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0DE1" w:rsidR="00CF44FB" w:rsidP="003B7BF3" w:rsidRDefault="00CF44FB" w14:paraId="2C6C8A14" w14:textId="77777777">
      <w:pPr>
        <w:widowControl/>
        <w:jc w:val="both"/>
        <w:rPr>
          <w:rFonts w:ascii="Calibri" w:hAnsi="Calibri" w:cs="Arial"/>
          <w:b/>
          <w:color w:val="00B0F0"/>
          <w:szCs w:val="24"/>
        </w:rPr>
      </w:pPr>
      <w:bookmarkStart w:name="_GoBack" w:id="0"/>
      <w:bookmarkEnd w:id="0"/>
      <w:r w:rsidRPr="00171F75">
        <w:rPr>
          <w:rFonts w:ascii="Calibri" w:hAnsi="Calibri" w:cs="Arial"/>
          <w:b/>
          <w:szCs w:val="24"/>
        </w:rPr>
        <w:t>Supporting Statement</w:t>
      </w:r>
      <w:r w:rsidR="00F90DE1">
        <w:rPr>
          <w:rFonts w:ascii="Calibri" w:hAnsi="Calibri" w:cs="Arial"/>
          <w:b/>
          <w:szCs w:val="24"/>
        </w:rPr>
        <w:t xml:space="preserve"> </w:t>
      </w:r>
    </w:p>
    <w:p w:rsidRPr="000000EB" w:rsidR="00CF44FB" w:rsidP="003B7BF3" w:rsidRDefault="00CF44FB" w14:paraId="5AF9FC87" w14:textId="77777777">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Cs w:val="24"/>
        </w:rPr>
      </w:pPr>
      <w:r w:rsidRPr="000000EB">
        <w:rPr>
          <w:rFonts w:ascii="Calibri" w:hAnsi="Calibri" w:cs="Arial"/>
          <w:szCs w:val="24"/>
        </w:rPr>
        <w:tab/>
      </w:r>
      <w:r w:rsidRPr="000000EB">
        <w:rPr>
          <w:rFonts w:ascii="Calibri" w:hAnsi="Calibri" w:cs="Arial"/>
          <w:szCs w:val="24"/>
        </w:rPr>
        <w:tab/>
      </w:r>
      <w:r w:rsidRPr="000000EB">
        <w:rPr>
          <w:rFonts w:ascii="Calibri" w:hAnsi="Calibri" w:cs="Arial"/>
          <w:szCs w:val="24"/>
        </w:rPr>
        <w:tab/>
      </w:r>
      <w:r w:rsidRPr="000000EB">
        <w:rPr>
          <w:rFonts w:ascii="Calibri" w:hAnsi="Calibri" w:cs="Arial"/>
          <w:szCs w:val="24"/>
        </w:rPr>
        <w:tab/>
      </w:r>
      <w:r w:rsidRPr="000000EB">
        <w:rPr>
          <w:rFonts w:ascii="Calibri" w:hAnsi="Calibri" w:cs="Arial"/>
          <w:szCs w:val="24"/>
        </w:rPr>
        <w:tab/>
      </w:r>
      <w:r w:rsidRPr="000000EB">
        <w:rPr>
          <w:rFonts w:ascii="Calibri" w:hAnsi="Calibri" w:cs="Arial"/>
          <w:szCs w:val="24"/>
        </w:rPr>
        <w:tab/>
      </w:r>
      <w:r w:rsidRPr="000000EB">
        <w:rPr>
          <w:rFonts w:ascii="Calibri" w:hAnsi="Calibri" w:cs="Arial"/>
          <w:szCs w:val="24"/>
        </w:rPr>
        <w:tab/>
      </w:r>
      <w:r w:rsidRPr="000000EB">
        <w:rPr>
          <w:rFonts w:ascii="Calibri" w:hAnsi="Calibri" w:cs="Arial"/>
          <w:szCs w:val="24"/>
        </w:rPr>
        <w:tab/>
      </w:r>
    </w:p>
    <w:p w:rsidRPr="000000EB" w:rsidR="00CF44FB" w:rsidP="003B7BF3" w:rsidRDefault="00CF44FB" w14:paraId="4359AA06" w14:textId="77777777">
      <w:pPr>
        <w:widowControl/>
        <w:tabs>
          <w:tab w:val="left" w:pos="-720"/>
          <w:tab w:val="left" w:pos="270"/>
        </w:tabs>
        <w:jc w:val="both"/>
        <w:rPr>
          <w:rFonts w:ascii="Calibri" w:hAnsi="Calibri" w:cs="Arial"/>
          <w:szCs w:val="24"/>
        </w:rPr>
      </w:pPr>
      <w:r w:rsidRPr="000000EB">
        <w:rPr>
          <w:rFonts w:ascii="Calibri" w:hAnsi="Calibri" w:cs="Arial"/>
          <w:b/>
          <w:szCs w:val="24"/>
        </w:rPr>
        <w:t>A.</w:t>
      </w:r>
      <w:r w:rsidRPr="000000EB">
        <w:rPr>
          <w:rFonts w:ascii="Calibri" w:hAnsi="Calibri" w:cs="Arial"/>
          <w:szCs w:val="24"/>
        </w:rPr>
        <w:t xml:space="preserve"> </w:t>
      </w:r>
      <w:r w:rsidRPr="000000EB">
        <w:rPr>
          <w:rFonts w:ascii="Calibri" w:hAnsi="Calibri" w:cs="Arial"/>
          <w:b/>
          <w:bCs/>
          <w:szCs w:val="24"/>
        </w:rPr>
        <w:t>Justification</w:t>
      </w:r>
    </w:p>
    <w:p w:rsidRPr="000000EB" w:rsidR="00CF44FB" w:rsidP="003B7BF3" w:rsidRDefault="00CF44FB" w14:paraId="61DC7FFE" w14:textId="77777777">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Cs w:val="24"/>
        </w:rPr>
      </w:pPr>
      <w:r w:rsidRPr="000000EB">
        <w:rPr>
          <w:rFonts w:ascii="Calibri" w:hAnsi="Calibri" w:cs="Arial"/>
          <w:szCs w:val="24"/>
        </w:rPr>
        <w:tab/>
      </w:r>
      <w:r w:rsidRPr="000000EB">
        <w:rPr>
          <w:rFonts w:ascii="Calibri" w:hAnsi="Calibri" w:cs="Arial"/>
          <w:szCs w:val="24"/>
        </w:rPr>
        <w:tab/>
      </w:r>
      <w:r w:rsidRPr="000000EB">
        <w:rPr>
          <w:rFonts w:ascii="Calibri" w:hAnsi="Calibri" w:cs="Arial"/>
          <w:szCs w:val="24"/>
        </w:rPr>
        <w:tab/>
      </w:r>
    </w:p>
    <w:p w:rsidRPr="00256E98" w:rsidR="00CF44FB" w:rsidP="00256E98" w:rsidRDefault="00CF44FB" w14:paraId="63272EFA" w14:textId="77777777">
      <w:pPr>
        <w:pStyle w:val="Heading1"/>
      </w:pPr>
      <w:r w:rsidRPr="00256E98">
        <w:t xml:space="preserve"> </w:t>
      </w:r>
      <w:r w:rsidRPr="00256E98">
        <w:tab/>
        <w:t>Necessity of the Information Collection</w:t>
      </w:r>
    </w:p>
    <w:p w:rsidRPr="000000EB" w:rsidR="00CF44FB" w:rsidP="00DA4EEC" w:rsidRDefault="0019193F" w14:paraId="714228C0" w14:textId="57B313B4">
      <w:r>
        <w:t xml:space="preserve">The </w:t>
      </w:r>
      <w:r w:rsidRPr="000000EB" w:rsidR="00CF44FB">
        <w:t xml:space="preserve">Bureau of Justice Statistics (BJS), of the U.S. Department of Justice, </w:t>
      </w:r>
      <w:r w:rsidR="00B26B4D">
        <w:t>requests</w:t>
      </w:r>
      <w:r>
        <w:t xml:space="preserve"> </w:t>
      </w:r>
      <w:r w:rsidRPr="000000EB" w:rsidR="00CF44FB">
        <w:t>an extension of a currently approved collection, the National Crime Victimization Survey (NCVS)</w:t>
      </w:r>
      <w:r w:rsidRPr="000000EB" w:rsidR="00A44590">
        <w:t xml:space="preserve"> </w:t>
      </w:r>
      <w:r w:rsidRPr="000000EB" w:rsidR="00A6786F">
        <w:t>(</w:t>
      </w:r>
      <w:r w:rsidRPr="000000EB" w:rsidR="00A44590">
        <w:t>OMB No. 1121-0111</w:t>
      </w:r>
      <w:r w:rsidRPr="000000EB" w:rsidR="00A6786F">
        <w:t>)</w:t>
      </w:r>
      <w:r w:rsidRPr="000000EB" w:rsidR="00CF44FB">
        <w:t>.</w:t>
      </w:r>
      <w:r w:rsidR="00F564AD">
        <w:t xml:space="preserve"> </w:t>
      </w:r>
      <w:r w:rsidRPr="000000EB" w:rsidR="00CF44FB">
        <w:t xml:space="preserve">The Office of Management and Budget’s (OMB) </w:t>
      </w:r>
      <w:r w:rsidRPr="000000EB" w:rsidR="00A44590">
        <w:t xml:space="preserve">current approval </w:t>
      </w:r>
      <w:r>
        <w:t xml:space="preserve">of the NCVS </w:t>
      </w:r>
      <w:r w:rsidR="00F33226">
        <w:t>expires February 28, 2022</w:t>
      </w:r>
      <w:r w:rsidRPr="000000EB" w:rsidR="00CF44FB">
        <w:t>.</w:t>
      </w:r>
      <w:r w:rsidR="00F564AD">
        <w:t xml:space="preserve"> </w:t>
      </w:r>
      <w:r w:rsidRPr="000000EB" w:rsidR="00CF44FB">
        <w:t>This submission is for an extension of the current approval</w:t>
      </w:r>
      <w:r w:rsidR="00C66EED">
        <w:t xml:space="preserve"> through</w:t>
      </w:r>
      <w:r w:rsidR="00592880">
        <w:t xml:space="preserve"> </w:t>
      </w:r>
      <w:r w:rsidR="006C3A57">
        <w:t>December</w:t>
      </w:r>
      <w:r w:rsidR="00592880">
        <w:t xml:space="preserve"> 2024</w:t>
      </w:r>
      <w:r w:rsidR="00C66EED">
        <w:t xml:space="preserve"> </w:t>
      </w:r>
      <w:r>
        <w:t xml:space="preserve">and a </w:t>
      </w:r>
      <w:r w:rsidR="00F33226">
        <w:t>non</w:t>
      </w:r>
      <w:r>
        <w:t>substantive revision to the NCVS to</w:t>
      </w:r>
      <w:r w:rsidR="00C9601B">
        <w:t xml:space="preserve"> </w:t>
      </w:r>
      <w:r w:rsidR="006B6954">
        <w:t>ask all respondents age 16 or older about sexual orientation and gender identity</w:t>
      </w:r>
      <w:r w:rsidR="00B562F5">
        <w:t xml:space="preserve"> beginning in January 2022</w:t>
      </w:r>
      <w:r w:rsidRPr="000000EB" w:rsidR="00CF44FB">
        <w:t>.</w:t>
      </w:r>
    </w:p>
    <w:p w:rsidRPr="000000EB" w:rsidR="00A6786F" w:rsidP="00F30ECC" w:rsidRDefault="00A5334E" w14:paraId="1222383A" w14:textId="43C0DE2F">
      <w:r w:rsidRPr="0084206A">
        <w:t xml:space="preserve">Title </w:t>
      </w:r>
      <w:r w:rsidRPr="0084206A" w:rsidR="00065B1E">
        <w:t>34</w:t>
      </w:r>
      <w:r w:rsidRPr="0084206A">
        <w:t xml:space="preserve">, United States Code, Section </w:t>
      </w:r>
      <w:r w:rsidRPr="0084206A" w:rsidR="00065B1E">
        <w:t>10132</w:t>
      </w:r>
      <w:r w:rsidRPr="0084206A">
        <w:t xml:space="preserve"> </w:t>
      </w:r>
      <w:r w:rsidRPr="000000EB">
        <w:t>authorizes BJS to collect statistics on victimization</w:t>
      </w:r>
      <w:r w:rsidRPr="000000EB" w:rsidR="00A44590">
        <w:t xml:space="preserve"> (</w:t>
      </w:r>
      <w:r w:rsidR="00937B3E">
        <w:t>Attachment 1</w:t>
      </w:r>
      <w:r w:rsidRPr="000000EB" w:rsidR="00A44590">
        <w:t>)</w:t>
      </w:r>
      <w:r w:rsidRPr="000000EB">
        <w:t>.</w:t>
      </w:r>
      <w:r w:rsidR="00F564AD">
        <w:t xml:space="preserve"> </w:t>
      </w:r>
      <w:r w:rsidR="00C66EED">
        <w:t>Since 197</w:t>
      </w:r>
      <w:r w:rsidR="008A1024">
        <w:t>2</w:t>
      </w:r>
      <w:r w:rsidR="00C66EED">
        <w:t>, t</w:t>
      </w:r>
      <w:r w:rsidRPr="000000EB">
        <w:t xml:space="preserve">he NCVS </w:t>
      </w:r>
      <w:r w:rsidR="00C66EED">
        <w:t xml:space="preserve">has been </w:t>
      </w:r>
      <w:r w:rsidRPr="000000EB" w:rsidR="00C66EED">
        <w:t>provid</w:t>
      </w:r>
      <w:r w:rsidR="00C66EED">
        <w:t>ing</w:t>
      </w:r>
      <w:r w:rsidRPr="000000EB" w:rsidR="00C66EED">
        <w:t xml:space="preserve"> </w:t>
      </w:r>
      <w:r w:rsidRPr="000000EB">
        <w:t>national data on personal and household victimization, both reported and not reported to police.</w:t>
      </w:r>
      <w:r w:rsidR="00F564AD">
        <w:t xml:space="preserve"> </w:t>
      </w:r>
      <w:r w:rsidRPr="000000EB" w:rsidR="00A22955">
        <w:t xml:space="preserve">The data collection allows the BJS to fulfill its mission of collecting, analyzing, publishing, and disseminating information on victims of crime. </w:t>
      </w:r>
      <w:r w:rsidRPr="000000EB">
        <w:t xml:space="preserve">Together with </w:t>
      </w:r>
      <w:r w:rsidRPr="000000EB" w:rsidR="00A22955">
        <w:t xml:space="preserve">the Federal Bureau of Investigation’s (FBI) </w:t>
      </w:r>
      <w:r w:rsidRPr="000000EB">
        <w:t>statistics on crimes reported t</w:t>
      </w:r>
      <w:r w:rsidRPr="000000EB" w:rsidR="00A22955">
        <w:t>o law enforcement agencies, the NCVS provides an understanding of the nature of and changes in the nation’s crime problems.</w:t>
      </w:r>
      <w:r w:rsidR="00F564AD">
        <w:t xml:space="preserve"> </w:t>
      </w:r>
    </w:p>
    <w:p w:rsidR="00A5334E" w:rsidP="00F30ECC" w:rsidRDefault="00A22955" w14:paraId="45D3C0E4" w14:textId="1B629E08">
      <w:r w:rsidRPr="000000EB">
        <w:t>The NCVS is currently the only source of annual national data on a number of policy</w:t>
      </w:r>
      <w:r w:rsidR="009900B7">
        <w:t>-</w:t>
      </w:r>
      <w:r w:rsidRPr="000000EB">
        <w:t xml:space="preserve">relevant subjects related to criminal victimization, including intimate partner violence, hate crime, </w:t>
      </w:r>
      <w:r w:rsidRPr="000000EB" w:rsidR="0029598C">
        <w:t xml:space="preserve">workplace violence, </w:t>
      </w:r>
      <w:r w:rsidRPr="000000EB">
        <w:t>injury from victimization, guns and crime, the cost of crime, reporting to police, and crime against vulnerable populations, such as the elderly, juveniles,</w:t>
      </w:r>
      <w:r w:rsidRPr="000000EB" w:rsidR="00C96B83">
        <w:t xml:space="preserve"> and persons with disabilities.</w:t>
      </w:r>
      <w:r w:rsidR="00F564AD">
        <w:t xml:space="preserve"> </w:t>
      </w:r>
      <w:r w:rsidRPr="000000EB" w:rsidR="00C96B83">
        <w:t xml:space="preserve">The NCVS is also a vehicle for the implementation of routine survey supplements that provide detailed information on timely and relevant topics such as identity theft, school crime, and contacts between the police and the public. </w:t>
      </w:r>
    </w:p>
    <w:p w:rsidR="006475CC" w:rsidP="00F30ECC" w:rsidRDefault="0037669E" w14:paraId="570160A6" w14:textId="238CE602">
      <w:pPr>
        <w:rPr>
          <w:color w:val="000000"/>
        </w:rPr>
      </w:pPr>
      <w:r>
        <w:rPr>
          <w:color w:val="000000"/>
        </w:rPr>
        <w:t>T</w:t>
      </w:r>
      <w:r w:rsidRPr="000000EB">
        <w:rPr>
          <w:color w:val="000000"/>
        </w:rPr>
        <w:t>he BJS is specifically requesting clearance for the core NCVS</w:t>
      </w:r>
      <w:r>
        <w:rPr>
          <w:color w:val="000000"/>
        </w:rPr>
        <w:t xml:space="preserve"> from </w:t>
      </w:r>
      <w:r w:rsidR="0045794F">
        <w:rPr>
          <w:color w:val="000000"/>
        </w:rPr>
        <w:t>January</w:t>
      </w:r>
      <w:r w:rsidR="006F3CCA">
        <w:rPr>
          <w:color w:val="000000"/>
        </w:rPr>
        <w:t xml:space="preserve"> 2022</w:t>
      </w:r>
      <w:r>
        <w:rPr>
          <w:color w:val="000000"/>
        </w:rPr>
        <w:t xml:space="preserve"> through </w:t>
      </w:r>
      <w:r w:rsidR="0045794F">
        <w:rPr>
          <w:color w:val="000000"/>
        </w:rPr>
        <w:t>December</w:t>
      </w:r>
      <w:r w:rsidR="006F3CCA">
        <w:rPr>
          <w:color w:val="000000"/>
        </w:rPr>
        <w:t xml:space="preserve"> 2024</w:t>
      </w:r>
      <w:r w:rsidRPr="000000EB">
        <w:rPr>
          <w:color w:val="000000"/>
        </w:rPr>
        <w:t>. The core NCVS includes the administration of the</w:t>
      </w:r>
      <w:r w:rsidR="00883F63">
        <w:rPr>
          <w:color w:val="000000"/>
        </w:rPr>
        <w:t xml:space="preserve"> basic </w:t>
      </w:r>
      <w:r w:rsidR="005E38FD">
        <w:rPr>
          <w:color w:val="000000"/>
        </w:rPr>
        <w:t>screen</w:t>
      </w:r>
      <w:r w:rsidR="00883F63">
        <w:rPr>
          <w:color w:val="000000"/>
        </w:rPr>
        <w:t xml:space="preserve"> questionnaire</w:t>
      </w:r>
      <w:r w:rsidRPr="000000EB">
        <w:rPr>
          <w:color w:val="000000"/>
        </w:rPr>
        <w:t xml:space="preserve"> (</w:t>
      </w:r>
      <w:r w:rsidR="005E38FD">
        <w:rPr>
          <w:color w:val="000000"/>
        </w:rPr>
        <w:t>NCVS-1</w:t>
      </w:r>
      <w:r w:rsidR="005B4798">
        <w:rPr>
          <w:color w:val="000000"/>
        </w:rPr>
        <w:t>, Attachment 19</w:t>
      </w:r>
      <w:r w:rsidRPr="000000EB">
        <w:rPr>
          <w:color w:val="000000"/>
        </w:rPr>
        <w:t xml:space="preserve">) and </w:t>
      </w:r>
      <w:r w:rsidR="005E38FD">
        <w:rPr>
          <w:color w:val="000000"/>
        </w:rPr>
        <w:t>crime incident report</w:t>
      </w:r>
      <w:r w:rsidRPr="000000EB">
        <w:rPr>
          <w:color w:val="000000"/>
        </w:rPr>
        <w:t xml:space="preserve"> (</w:t>
      </w:r>
      <w:r w:rsidR="005E38FD">
        <w:rPr>
          <w:color w:val="000000"/>
        </w:rPr>
        <w:t>NCVS-2</w:t>
      </w:r>
      <w:r w:rsidR="00937B3E">
        <w:rPr>
          <w:color w:val="000000"/>
        </w:rPr>
        <w:t>,</w:t>
      </w:r>
      <w:r w:rsidR="005B4798">
        <w:rPr>
          <w:color w:val="000000"/>
        </w:rPr>
        <w:t xml:space="preserve"> Attachment 20</w:t>
      </w:r>
      <w:r w:rsidRPr="000000EB">
        <w:rPr>
          <w:color w:val="000000"/>
        </w:rPr>
        <w:t xml:space="preserve">) instruments to a nationally representative sample of persons age 12 or older living in households in the United States, </w:t>
      </w:r>
      <w:r>
        <w:rPr>
          <w:color w:val="000000"/>
        </w:rPr>
        <w:t>including</w:t>
      </w:r>
      <w:r w:rsidRPr="000000EB">
        <w:rPr>
          <w:color w:val="000000"/>
        </w:rPr>
        <w:t xml:space="preserve"> samples of persons representative of the </w:t>
      </w:r>
      <w:r>
        <w:rPr>
          <w:color w:val="000000"/>
        </w:rPr>
        <w:t>22</w:t>
      </w:r>
      <w:r w:rsidRPr="000000EB">
        <w:rPr>
          <w:color w:val="000000"/>
        </w:rPr>
        <w:t xml:space="preserve"> </w:t>
      </w:r>
      <w:r w:rsidR="00AB0EF6">
        <w:rPr>
          <w:color w:val="000000"/>
        </w:rPr>
        <w:t>most populous</w:t>
      </w:r>
      <w:r w:rsidRPr="000000EB" w:rsidR="00AB0EF6">
        <w:rPr>
          <w:color w:val="000000"/>
        </w:rPr>
        <w:t xml:space="preserve"> </w:t>
      </w:r>
      <w:r w:rsidRPr="000000EB">
        <w:rPr>
          <w:color w:val="000000"/>
        </w:rPr>
        <w:t>states in the U</w:t>
      </w:r>
      <w:r w:rsidR="00C66EED">
        <w:rPr>
          <w:color w:val="000000"/>
        </w:rPr>
        <w:t>.</w:t>
      </w:r>
      <w:r w:rsidRPr="000000EB">
        <w:rPr>
          <w:color w:val="000000"/>
        </w:rPr>
        <w:t>S.</w:t>
      </w:r>
    </w:p>
    <w:p w:rsidR="0037669E" w:rsidP="00F30ECC" w:rsidRDefault="0037669E" w14:paraId="679BD107" w14:textId="4186D290">
      <w:pPr>
        <w:rPr>
          <w:color w:val="000000"/>
        </w:rPr>
      </w:pPr>
      <w:r w:rsidRPr="000000EB">
        <w:rPr>
          <w:color w:val="000000"/>
        </w:rPr>
        <w:t xml:space="preserve"> The core NCVS survey instrument covers </w:t>
      </w:r>
      <w:r w:rsidR="00AA1997">
        <w:rPr>
          <w:color w:val="000000"/>
        </w:rPr>
        <w:t>nine</w:t>
      </w:r>
      <w:r w:rsidRPr="000000EB">
        <w:rPr>
          <w:color w:val="000000"/>
        </w:rPr>
        <w:t xml:space="preserve"> general areas: 1</w:t>
      </w:r>
      <w:r w:rsidR="00C66EED">
        <w:rPr>
          <w:color w:val="000000"/>
        </w:rPr>
        <w:t>)</w:t>
      </w:r>
      <w:r w:rsidRPr="000000EB">
        <w:rPr>
          <w:color w:val="000000"/>
        </w:rPr>
        <w:t xml:space="preserve"> incidence of rape</w:t>
      </w:r>
      <w:r w:rsidR="00AA1997">
        <w:rPr>
          <w:color w:val="000000"/>
        </w:rPr>
        <w:t xml:space="preserve"> or </w:t>
      </w:r>
      <w:r w:rsidRPr="000000EB">
        <w:rPr>
          <w:color w:val="000000"/>
        </w:rPr>
        <w:t xml:space="preserve">sexual assault, robbery, </w:t>
      </w:r>
      <w:r w:rsidR="00AA1997">
        <w:rPr>
          <w:color w:val="000000"/>
        </w:rPr>
        <w:t>aggravated</w:t>
      </w:r>
      <w:r w:rsidR="002A1BBD">
        <w:rPr>
          <w:color w:val="000000"/>
        </w:rPr>
        <w:t xml:space="preserve"> assault,</w:t>
      </w:r>
      <w:r w:rsidR="00AA1997">
        <w:rPr>
          <w:color w:val="000000"/>
        </w:rPr>
        <w:t xml:space="preserve"> simple </w:t>
      </w:r>
      <w:r w:rsidRPr="000000EB">
        <w:rPr>
          <w:color w:val="000000"/>
        </w:rPr>
        <w:t>assault, personal larceny, burglary, motor vehicle theft, and other theft; 2</w:t>
      </w:r>
      <w:r w:rsidR="00C66EED">
        <w:rPr>
          <w:color w:val="000000"/>
        </w:rPr>
        <w:t>)</w:t>
      </w:r>
      <w:r w:rsidRPr="000000EB">
        <w:rPr>
          <w:color w:val="000000"/>
        </w:rPr>
        <w:t xml:space="preserve"> characteristics of these victimizations, including location, time, presence of a weapon, injury, and property/monetary loss; 3</w:t>
      </w:r>
      <w:r w:rsidR="00C66EED">
        <w:rPr>
          <w:color w:val="000000"/>
        </w:rPr>
        <w:t>)</w:t>
      </w:r>
      <w:r w:rsidRPr="000000EB">
        <w:rPr>
          <w:color w:val="000000"/>
        </w:rPr>
        <w:t xml:space="preserve"> characteristics of victims, including </w:t>
      </w:r>
      <w:r w:rsidR="00AA1997">
        <w:rPr>
          <w:color w:val="000000"/>
        </w:rPr>
        <w:t xml:space="preserve">sex, </w:t>
      </w:r>
      <w:r w:rsidRPr="000000EB">
        <w:rPr>
          <w:color w:val="000000"/>
        </w:rPr>
        <w:t xml:space="preserve">age, race, </w:t>
      </w:r>
      <w:r w:rsidR="00AA1997">
        <w:rPr>
          <w:color w:val="000000"/>
        </w:rPr>
        <w:t>Hispanic origin</w:t>
      </w:r>
      <w:r w:rsidRPr="000000EB">
        <w:rPr>
          <w:color w:val="000000"/>
        </w:rPr>
        <w:t>, disability, and occupation; 4</w:t>
      </w:r>
      <w:r w:rsidR="00C66EED">
        <w:rPr>
          <w:color w:val="000000"/>
        </w:rPr>
        <w:t>)</w:t>
      </w:r>
      <w:r w:rsidRPr="000000EB">
        <w:rPr>
          <w:color w:val="000000"/>
        </w:rPr>
        <w:t xml:space="preserve"> relationship between victim and offender; 5</w:t>
      </w:r>
      <w:r w:rsidR="00C66EED">
        <w:rPr>
          <w:color w:val="000000"/>
        </w:rPr>
        <w:t>)</w:t>
      </w:r>
      <w:r w:rsidRPr="000000EB">
        <w:rPr>
          <w:color w:val="000000"/>
        </w:rPr>
        <w:t xml:space="preserve"> emotional impact of victimization; 6</w:t>
      </w:r>
      <w:r w:rsidR="00C66EED">
        <w:rPr>
          <w:color w:val="000000"/>
        </w:rPr>
        <w:t>)</w:t>
      </w:r>
      <w:r w:rsidRPr="000000EB">
        <w:rPr>
          <w:color w:val="000000"/>
        </w:rPr>
        <w:t xml:space="preserve"> victim self-defense and bystander </w:t>
      </w:r>
      <w:r w:rsidRPr="000000EB">
        <w:rPr>
          <w:color w:val="000000"/>
        </w:rPr>
        <w:lastRenderedPageBreak/>
        <w:t>intervention; 7</w:t>
      </w:r>
      <w:r w:rsidR="00C66EED">
        <w:rPr>
          <w:color w:val="000000"/>
        </w:rPr>
        <w:t>)</w:t>
      </w:r>
      <w:r w:rsidRPr="000000EB">
        <w:rPr>
          <w:color w:val="000000"/>
        </w:rPr>
        <w:t xml:space="preserve"> offender characteristics</w:t>
      </w:r>
      <w:r w:rsidR="00E029C6">
        <w:rPr>
          <w:color w:val="000000"/>
        </w:rPr>
        <w:t xml:space="preserve"> including sex, age, race, and Hispanic origin</w:t>
      </w:r>
      <w:r w:rsidR="00517177">
        <w:rPr>
          <w:color w:val="000000"/>
        </w:rPr>
        <w:t>;</w:t>
      </w:r>
      <w:r w:rsidRPr="000000EB">
        <w:rPr>
          <w:color w:val="000000"/>
        </w:rPr>
        <w:t xml:space="preserve"> 8</w:t>
      </w:r>
      <w:r w:rsidR="00C66EED">
        <w:rPr>
          <w:color w:val="000000"/>
        </w:rPr>
        <w:t>)</w:t>
      </w:r>
      <w:r w:rsidRPr="000000EB">
        <w:rPr>
          <w:color w:val="000000"/>
        </w:rPr>
        <w:t xml:space="preserve"> reporting to police and police response; </w:t>
      </w:r>
      <w:r w:rsidR="00AA1997">
        <w:rPr>
          <w:color w:val="000000"/>
        </w:rPr>
        <w:t xml:space="preserve">and </w:t>
      </w:r>
      <w:r w:rsidRPr="000000EB">
        <w:rPr>
          <w:color w:val="000000"/>
        </w:rPr>
        <w:t>9</w:t>
      </w:r>
      <w:r w:rsidR="00C66EED">
        <w:rPr>
          <w:color w:val="000000"/>
        </w:rPr>
        <w:t>)</w:t>
      </w:r>
      <w:r w:rsidRPr="000000EB">
        <w:rPr>
          <w:color w:val="000000"/>
        </w:rPr>
        <w:t xml:space="preserve"> bias- or hate-motivated victimizations. </w:t>
      </w:r>
      <w:r w:rsidR="008A1024">
        <w:rPr>
          <w:color w:val="000000"/>
        </w:rPr>
        <w:t>NCVS c</w:t>
      </w:r>
      <w:r w:rsidRPr="000000EB">
        <w:rPr>
          <w:color w:val="000000"/>
        </w:rPr>
        <w:t xml:space="preserve">ore work also includes the analysis and dissemination of data products and reports stemming from the core collection, as well as technical and methodological analyses and reports based on the sampling for, administration of, and analysis of data from the </w:t>
      </w:r>
      <w:r w:rsidR="00883F63">
        <w:rPr>
          <w:color w:val="000000"/>
        </w:rPr>
        <w:t>NCVS basic screen questionnaire and crime incident report</w:t>
      </w:r>
      <w:r w:rsidRPr="000000EB">
        <w:rPr>
          <w:color w:val="000000"/>
        </w:rPr>
        <w:t>.</w:t>
      </w:r>
      <w:r w:rsidR="00E91199">
        <w:rPr>
          <w:rStyle w:val="FootnoteReference"/>
          <w:rFonts w:ascii="Calibri" w:hAnsi="Calibri" w:cs="Arial"/>
          <w:color w:val="000000"/>
          <w:szCs w:val="24"/>
        </w:rPr>
        <w:footnoteReference w:id="1"/>
      </w:r>
      <w:r w:rsidR="00F564AD">
        <w:rPr>
          <w:color w:val="000000"/>
        </w:rPr>
        <w:t xml:space="preserve"> </w:t>
      </w:r>
    </w:p>
    <w:p w:rsidRPr="00256E98" w:rsidR="00CF44FB" w:rsidP="00256E98" w:rsidRDefault="00CF44FB" w14:paraId="5FAEF074" w14:textId="77777777">
      <w:pPr>
        <w:pStyle w:val="Heading1"/>
      </w:pPr>
      <w:r w:rsidRPr="00256E98">
        <w:t xml:space="preserve">Needs and Uses </w:t>
      </w:r>
    </w:p>
    <w:p w:rsidR="00FD5E87" w:rsidP="00F30ECC" w:rsidRDefault="004307B5" w14:paraId="554B7618" w14:textId="1398BEE9">
      <w:r w:rsidRPr="000000EB">
        <w:t>Since 1972, t</w:t>
      </w:r>
      <w:r w:rsidRPr="000000EB" w:rsidR="000612E8">
        <w:t xml:space="preserve">he NCVS </w:t>
      </w:r>
      <w:r w:rsidRPr="000000EB">
        <w:t xml:space="preserve">and its predecessor, the National Crime Survey (NCS), have </w:t>
      </w:r>
      <w:r w:rsidRPr="000000EB" w:rsidR="000612E8">
        <w:t>provide</w:t>
      </w:r>
      <w:r w:rsidRPr="000000EB">
        <w:t>d</w:t>
      </w:r>
      <w:r w:rsidRPr="000000EB" w:rsidR="000612E8">
        <w:t xml:space="preserve"> </w:t>
      </w:r>
      <w:r w:rsidRPr="000000EB">
        <w:t xml:space="preserve">national </w:t>
      </w:r>
      <w:r w:rsidRPr="000000EB" w:rsidR="000612E8">
        <w:t>data on the level and change of personal and property crimes both reported and not reported to police. It is one of the two main sources of data on crime in the United States and the only source that provides detailed information on the</w:t>
      </w:r>
      <w:r w:rsidRPr="000000EB" w:rsidR="00885E9C">
        <w:t xml:space="preserve"> </w:t>
      </w:r>
      <w:r w:rsidRPr="000000EB" w:rsidR="000612E8">
        <w:t>nature and consequences of crime</w:t>
      </w:r>
      <w:r w:rsidRPr="000000EB" w:rsidR="004710A5">
        <w:t>.</w:t>
      </w:r>
      <w:r w:rsidR="00F564AD">
        <w:t xml:space="preserve"> </w:t>
      </w:r>
      <w:r w:rsidRPr="000000EB" w:rsidR="000612E8">
        <w:t>By capturing crimes not reported to police</w:t>
      </w:r>
      <w:r w:rsidRPr="000000EB" w:rsidR="008446A9">
        <w:t xml:space="preserve">, </w:t>
      </w:r>
      <w:r w:rsidRPr="000000EB" w:rsidR="000612E8">
        <w:t>as well as those known to law enforcement, the NCVS serves as the primary</w:t>
      </w:r>
      <w:r w:rsidRPr="000000EB" w:rsidR="00885E9C">
        <w:t>, independent</w:t>
      </w:r>
      <w:r w:rsidRPr="000000EB" w:rsidR="000612E8">
        <w:t xml:space="preserve"> source of information on </w:t>
      </w:r>
      <w:r w:rsidRPr="000000EB" w:rsidR="008446A9">
        <w:t xml:space="preserve">crime in the </w:t>
      </w:r>
      <w:r w:rsidRPr="000000EB" w:rsidR="00B8509A">
        <w:t xml:space="preserve">U.S. </w:t>
      </w:r>
      <w:r w:rsidRPr="000000EB" w:rsidR="000612E8">
        <w:t xml:space="preserve">Understanding </w:t>
      </w:r>
      <w:r w:rsidR="0058378B">
        <w:t xml:space="preserve">unreported crime </w:t>
      </w:r>
      <w:r w:rsidRPr="000000EB" w:rsidR="00885E9C">
        <w:t xml:space="preserve">also </w:t>
      </w:r>
      <w:r w:rsidRPr="000000EB" w:rsidR="00C00324">
        <w:t>helps to inform</w:t>
      </w:r>
      <w:r w:rsidRPr="000000EB" w:rsidR="00F87F2B">
        <w:t xml:space="preserve"> the appropriate allocation of criminal justice system and victim service resources and </w:t>
      </w:r>
      <w:r w:rsidRPr="000000EB" w:rsidR="00C00324">
        <w:t xml:space="preserve">provides a better </w:t>
      </w:r>
      <w:r w:rsidRPr="000000EB" w:rsidR="00F87F2B">
        <w:t xml:space="preserve">understanding </w:t>
      </w:r>
      <w:r w:rsidRPr="000000EB" w:rsidR="00C00324">
        <w:t>of victim decision-making,</w:t>
      </w:r>
      <w:r w:rsidRPr="000000EB" w:rsidR="00F87F2B">
        <w:t xml:space="preserve"> responses to crime</w:t>
      </w:r>
      <w:r w:rsidRPr="000000EB" w:rsidR="00C00324">
        <w:t>,</w:t>
      </w:r>
      <w:r w:rsidRPr="000000EB" w:rsidR="00B87426">
        <w:t xml:space="preserve"> </w:t>
      </w:r>
      <w:r w:rsidRPr="000000EB" w:rsidR="00C00324">
        <w:t>and the resulting consequences</w:t>
      </w:r>
      <w:r w:rsidRPr="000000EB" w:rsidR="00F87F2B">
        <w:t>.</w:t>
      </w:r>
      <w:r w:rsidR="00F564AD">
        <w:t xml:space="preserve"> </w:t>
      </w:r>
    </w:p>
    <w:p w:rsidR="005520B7" w:rsidP="00F30ECC" w:rsidRDefault="005520B7" w14:paraId="4AFE5C65" w14:textId="75081650">
      <w:r>
        <w:t xml:space="preserve">This section begins with an overview of </w:t>
      </w:r>
      <w:r w:rsidR="006C7B81">
        <w:t>the use and interest in the NCVS across a range of stakeholders, followed by a description of specific updates for the 2022-2024 collection and dissemination through reports, data, and tools. Finally, this section provides a summary of</w:t>
      </w:r>
      <w:r w:rsidR="00F564AD">
        <w:t xml:space="preserve"> </w:t>
      </w:r>
      <w:r w:rsidR="001D107C">
        <w:t>strategic initiatives</w:t>
      </w:r>
      <w:r w:rsidR="00E40B3C">
        <w:t xml:space="preserve"> that are underway</w:t>
      </w:r>
      <w:r w:rsidR="001D107C">
        <w:t xml:space="preserve"> </w:t>
      </w:r>
      <w:r w:rsidR="00256E98">
        <w:t xml:space="preserve">to increase the utility of the NCVS. </w:t>
      </w:r>
    </w:p>
    <w:p w:rsidRPr="00256E98" w:rsidR="005520B7" w:rsidP="00256E98" w:rsidRDefault="005520B7" w14:paraId="1B2B7B31" w14:textId="77777777">
      <w:pPr>
        <w:pStyle w:val="Heading2"/>
      </w:pPr>
      <w:r w:rsidRPr="00256E98">
        <w:t>Use and Interest in the NCVS</w:t>
      </w:r>
    </w:p>
    <w:p w:rsidRPr="000000EB" w:rsidR="005520B7" w:rsidP="005520B7" w:rsidRDefault="005520B7" w14:paraId="6E21BAE0" w14:textId="524CE5D6">
      <w:r w:rsidRPr="000000EB">
        <w:t xml:space="preserve">The reports and data generated through the NCVS are of use and interest to a wide range of audiences, including </w:t>
      </w:r>
      <w:r>
        <w:t xml:space="preserve">1) </w:t>
      </w:r>
      <w:r w:rsidRPr="000000EB">
        <w:t xml:space="preserve">government agencies, </w:t>
      </w:r>
      <w:r>
        <w:t xml:space="preserve">2) </w:t>
      </w:r>
      <w:r w:rsidRPr="000000EB">
        <w:t xml:space="preserve">the criminal justice community, and </w:t>
      </w:r>
      <w:r>
        <w:t xml:space="preserve">3) </w:t>
      </w:r>
      <w:r w:rsidRPr="000000EB">
        <w:t>the public.</w:t>
      </w:r>
      <w:r w:rsidR="00F564AD">
        <w:t xml:space="preserve"> </w:t>
      </w:r>
    </w:p>
    <w:p w:rsidRPr="00DA4EEC" w:rsidR="005520B7" w:rsidP="005520B7" w:rsidRDefault="005520B7" w14:paraId="1F0B066F" w14:textId="77777777">
      <w:pPr>
        <w:pStyle w:val="Heading3"/>
      </w:pPr>
      <w:r w:rsidRPr="00DA4EEC">
        <w:t>Government Agencies</w:t>
      </w:r>
    </w:p>
    <w:p w:rsidRPr="000000EB" w:rsidR="005520B7" w:rsidP="005520B7" w:rsidRDefault="005520B7" w14:paraId="050288E6" w14:textId="1E0C13D5">
      <w:pPr>
        <w:rPr>
          <w:color w:val="000000"/>
        </w:rPr>
      </w:pPr>
      <w:r w:rsidRPr="000000EB">
        <w:t>Because the NCVS is the only ongoing vehicle for producing data related to a broad spectrum of subjects related to crime and crime victimization, legislators and policymakers at all levels of government rely on the NCVS data.</w:t>
      </w:r>
      <w:r w:rsidR="00F564AD">
        <w:t xml:space="preserve"> </w:t>
      </w:r>
      <w:r w:rsidRPr="000000EB">
        <w:t>For example, Congressional debates on bills concerning victim compensation, gun control, crime and unemployment, and development of crime prevention programs for the elderly have used the NCVS data.</w:t>
      </w:r>
      <w:r w:rsidR="00F564AD">
        <w:t xml:space="preserve"> </w:t>
      </w:r>
      <w:r w:rsidRPr="000000EB">
        <w:t>Also, Federal executive departments have used the NCVS data to support development of programs related to a broad variety of issues, including violence against women, intimate partner violence, violence against racial and ethnic groups including American Indians, school crime, juvenile justice</w:t>
      </w:r>
      <w:r w:rsidR="00E34FA0">
        <w:t>,</w:t>
      </w:r>
      <w:r w:rsidRPr="000000EB">
        <w:t xml:space="preserve"> and crime against the elderly.</w:t>
      </w:r>
      <w:r w:rsidR="00F564AD">
        <w:rPr>
          <w:color w:val="000000"/>
        </w:rPr>
        <w:t xml:space="preserve"> </w:t>
      </w:r>
      <w:r w:rsidRPr="000000EB">
        <w:rPr>
          <w:color w:val="000000"/>
        </w:rPr>
        <w:t xml:space="preserve">Some specific examples of government agencies that make use of the NCVS </w:t>
      </w:r>
      <w:r w:rsidRPr="000000EB">
        <w:rPr>
          <w:color w:val="000000"/>
        </w:rPr>
        <w:lastRenderedPageBreak/>
        <w:t>data include the following:</w:t>
      </w:r>
    </w:p>
    <w:p w:rsidRPr="000000EB" w:rsidR="005520B7" w:rsidP="005520B7" w:rsidRDefault="005520B7" w14:paraId="4D4A985A" w14:textId="77777777">
      <w:pPr>
        <w:pStyle w:val="Heading4"/>
      </w:pPr>
      <w:r w:rsidRPr="000000EB">
        <w:t xml:space="preserve">Department of Justice </w:t>
      </w:r>
    </w:p>
    <w:p w:rsidRPr="000000EB" w:rsidR="005520B7" w:rsidP="005520B7" w:rsidRDefault="005520B7" w14:paraId="41C38265" w14:textId="77777777">
      <w:r>
        <w:t>Within the Department of Justice, the importance and utility of the NCVS are recognized, and the data are used for various purposes.</w:t>
      </w:r>
      <w:r w:rsidRPr="000000EB">
        <w:t xml:space="preserve"> The Office for Victims of Crime (OVC) has used the NCVS data to estimate the ratio of victims that receive crime victim fund assistance to the total number of victimizations and to identify vulnerable populations not receiving assistance. OVC has also used NCVS data to discuss improvements and gaps in the provision of victim services for congressional hearings and has links to a number of BJS reports on homicide trends, identity theft, the provision of victim services, and hate crime on their </w:t>
      </w:r>
      <w:hyperlink w:history="1" r:id="rId8">
        <w:r w:rsidRPr="00990DA9">
          <w:rPr>
            <w:rStyle w:val="Hyperlink"/>
          </w:rPr>
          <w:t>website</w:t>
        </w:r>
      </w:hyperlink>
      <w:r>
        <w:t xml:space="preserve">. </w:t>
      </w:r>
    </w:p>
    <w:p w:rsidRPr="00990DA9" w:rsidR="005520B7" w:rsidP="005520B7" w:rsidRDefault="005520B7" w14:paraId="046E4465" w14:textId="77777777">
      <w:pPr>
        <w:pStyle w:val="Heading4"/>
      </w:pPr>
      <w:r w:rsidRPr="000000EB">
        <w:t xml:space="preserve">Department of Education </w:t>
      </w:r>
    </w:p>
    <w:p w:rsidRPr="000000EB" w:rsidR="005520B7" w:rsidP="005520B7" w:rsidRDefault="005520B7" w14:paraId="15429928" w14:textId="77777777">
      <w:r w:rsidRPr="000000EB">
        <w:t xml:space="preserve">The NCVS is used to measure nonfatal victimizations at school in order </w:t>
      </w:r>
      <w:r w:rsidRPr="000000EB">
        <w:rPr>
          <w:rStyle w:val="contenttext1"/>
          <w:rFonts w:ascii="Calibri" w:hAnsi="Calibri" w:cs="Arial"/>
          <w:color w:val="000000"/>
          <w:sz w:val="24"/>
          <w:szCs w:val="24"/>
        </w:rPr>
        <w:t xml:space="preserve">to inform the nation on the current nature of crime in schools and the prevalence of </w:t>
      </w:r>
      <w:r w:rsidRPr="000000EB">
        <w:t xml:space="preserve">students victimized at school. These findings are released in the annual report, </w:t>
      </w:r>
      <w:hyperlink w:history="1" r:id="rId9">
        <w:r w:rsidRPr="00990DA9">
          <w:rPr>
            <w:rStyle w:val="Hyperlink"/>
            <w:i/>
          </w:rPr>
          <w:t>Indicators of School Crime and Safety</w:t>
        </w:r>
      </w:hyperlink>
      <w:r w:rsidRPr="000000EB">
        <w:t>. In addition, the National Center for Education Statistics sponsors the School Crime Supplement to the NCVS</w:t>
      </w:r>
      <w:r>
        <w:t>,</w:t>
      </w:r>
      <w:r w:rsidRPr="000000EB">
        <w:t xml:space="preserve"> </w:t>
      </w:r>
      <w:r>
        <w:t xml:space="preserve">which is fielded every other </w:t>
      </w:r>
      <w:r w:rsidRPr="000000EB">
        <w:t>year.</w:t>
      </w:r>
    </w:p>
    <w:p w:rsidRPr="00990DA9" w:rsidR="005520B7" w:rsidP="005520B7" w:rsidRDefault="005520B7" w14:paraId="36FA4B6E" w14:textId="77777777">
      <w:pPr>
        <w:pStyle w:val="Heading4"/>
      </w:pPr>
      <w:r w:rsidRPr="000000EB">
        <w:t>Federal Trade Commission</w:t>
      </w:r>
    </w:p>
    <w:p w:rsidR="005520B7" w:rsidP="005520B7" w:rsidRDefault="005520B7" w14:paraId="3B2C81C5" w14:textId="506181E2">
      <w:r w:rsidRPr="000000EB">
        <w:t xml:space="preserve">The Federal Trade Commission </w:t>
      </w:r>
      <w:r>
        <w:t xml:space="preserve">(FTC) </w:t>
      </w:r>
      <w:r w:rsidRPr="000000EB">
        <w:t>worked with BJS to develop and fund the Identity Theft Supplement (ITS) to the NCVS. The FTC relies on the ITS for data on the prevalence of identity theft, how personal information is obtained by perpetrators, and the characteristics of victims. These types of data assist the FTC in identifying populations that may be particularly vulnerable and appropriately targeting knowledge and prevention campaigns.</w:t>
      </w:r>
      <w:r w:rsidR="00F564AD">
        <w:t xml:space="preserve"> </w:t>
      </w:r>
      <w:r>
        <w:t>BJS recently published a</w:t>
      </w:r>
      <w:r w:rsidRPr="000000EB">
        <w:t xml:space="preserve"> </w:t>
      </w:r>
      <w:hyperlink w:history="1" r:id="rId10">
        <w:r w:rsidRPr="00990DA9">
          <w:rPr>
            <w:rStyle w:val="Hyperlink"/>
            <w:rFonts w:ascii="Calibri" w:hAnsi="Calibri" w:cs="Arial"/>
            <w:szCs w:val="24"/>
          </w:rPr>
          <w:t>report based on the 2018 ITS</w:t>
        </w:r>
      </w:hyperlink>
      <w:r>
        <w:t xml:space="preserve">. </w:t>
      </w:r>
      <w:r w:rsidRPr="000000EB">
        <w:t xml:space="preserve">The </w:t>
      </w:r>
      <w:r>
        <w:t>2021 survey is currently being administered through December 2021</w:t>
      </w:r>
      <w:r w:rsidRPr="000000EB">
        <w:t xml:space="preserve">. </w:t>
      </w:r>
    </w:p>
    <w:p w:rsidRPr="000000EB" w:rsidR="005520B7" w:rsidP="005520B7" w:rsidRDefault="005520B7" w14:paraId="357B2EFF" w14:textId="77777777">
      <w:r>
        <w:t xml:space="preserve">In addition, the </w:t>
      </w:r>
      <w:r w:rsidRPr="00846FE2">
        <w:t xml:space="preserve">2017 </w:t>
      </w:r>
      <w:r>
        <w:t>Supplemental Fraud Survey (</w:t>
      </w:r>
      <w:r w:rsidRPr="00846FE2">
        <w:t>SFS</w:t>
      </w:r>
      <w:r>
        <w:t>)</w:t>
      </w:r>
      <w:r w:rsidRPr="00846FE2">
        <w:t xml:space="preserve"> data on the prevalence of financial fraud and the characteristics of victims </w:t>
      </w:r>
      <w:r>
        <w:t xml:space="preserve">can </w:t>
      </w:r>
      <w:r w:rsidRPr="00846FE2">
        <w:t>assist agencies like the</w:t>
      </w:r>
      <w:r>
        <w:t xml:space="preserve"> FTC </w:t>
      </w:r>
      <w:r w:rsidRPr="00846FE2">
        <w:t>in identifying populations that may be particularly vulnerable, and appropriately targeting awareness and prevention campaigns.</w:t>
      </w:r>
      <w:r>
        <w:t xml:space="preserve"> BJS recently published a </w:t>
      </w:r>
      <w:hyperlink w:history="1" r:id="rId11">
        <w:r w:rsidRPr="00363E4B">
          <w:rPr>
            <w:rStyle w:val="Hyperlink"/>
            <w:rFonts w:ascii="Calibri" w:hAnsi="Calibri" w:cs="Arial"/>
            <w:szCs w:val="24"/>
          </w:rPr>
          <w:t>report based on the 2017 SFS</w:t>
        </w:r>
      </w:hyperlink>
      <w:r>
        <w:t>.</w:t>
      </w:r>
    </w:p>
    <w:p w:rsidRPr="000000EB" w:rsidR="005520B7" w:rsidP="005520B7" w:rsidRDefault="005520B7" w14:paraId="51C6AA9A" w14:textId="47C09B16">
      <w:pPr>
        <w:pStyle w:val="Heading4"/>
      </w:pPr>
      <w:r w:rsidRPr="000000EB">
        <w:t>Department of Health and Human Services</w:t>
      </w:r>
      <w:r w:rsidR="00F564AD">
        <w:t xml:space="preserve"> </w:t>
      </w:r>
    </w:p>
    <w:p w:rsidR="005520B7" w:rsidP="005520B7" w:rsidRDefault="005520B7" w14:paraId="4D8BB81A" w14:textId="0B4582B6">
      <w:pPr>
        <w:rPr>
          <w:rFonts w:cstheme="minorHAnsi"/>
        </w:rPr>
      </w:pPr>
      <w:r w:rsidRPr="00AC1D84">
        <w:t>The Department of Health and Human Services relies on NCVS data on nonfatal workplace victimizations to identify occupations and workplaces at high</w:t>
      </w:r>
      <w:r>
        <w:t xml:space="preserve"> </w:t>
      </w:r>
      <w:r w:rsidRPr="00AC1D84">
        <w:t xml:space="preserve">risk for violence and </w:t>
      </w:r>
      <w:r>
        <w:t xml:space="preserve">to </w:t>
      </w:r>
      <w:r w:rsidRPr="00AC1D84">
        <w:t xml:space="preserve">develop guidelines for dealing with workplace violence. </w:t>
      </w:r>
      <w:r w:rsidR="006475CC">
        <w:rPr>
          <w:rFonts w:cstheme="minorHAnsi"/>
        </w:rPr>
        <w:t>BJS plans to release a</w:t>
      </w:r>
      <w:r>
        <w:rPr>
          <w:rFonts w:cstheme="minorHAnsi"/>
        </w:rPr>
        <w:t xml:space="preserve"> report on workplace violence done in conjunction with the Department of Health and Human Services and the Department of Labor in </w:t>
      </w:r>
      <w:r w:rsidR="006475CC">
        <w:rPr>
          <w:rFonts w:cstheme="minorHAnsi"/>
        </w:rPr>
        <w:t xml:space="preserve">late </w:t>
      </w:r>
      <w:r>
        <w:rPr>
          <w:rFonts w:cstheme="minorHAnsi"/>
        </w:rPr>
        <w:t>2021.</w:t>
      </w:r>
    </w:p>
    <w:p w:rsidR="002526D6" w:rsidRDefault="002526D6" w14:paraId="04B43BC4" w14:textId="116571CC">
      <w:pPr>
        <w:widowControl/>
        <w:autoSpaceDE/>
        <w:autoSpaceDN/>
        <w:adjustRightInd/>
        <w:spacing w:after="0"/>
      </w:pPr>
      <w:r>
        <w:br w:type="page"/>
      </w:r>
    </w:p>
    <w:p w:rsidR="002526D6" w:rsidP="005520B7" w:rsidRDefault="002526D6" w14:paraId="7BCB5D4C" w14:textId="77777777"/>
    <w:p w:rsidRPr="00846FE2" w:rsidR="005520B7" w:rsidP="005520B7" w:rsidRDefault="005520B7" w14:paraId="04229557" w14:textId="77777777">
      <w:pPr>
        <w:pStyle w:val="Heading4"/>
      </w:pPr>
      <w:r w:rsidRPr="00846FE2">
        <w:t>Other Federal Agencies</w:t>
      </w:r>
    </w:p>
    <w:p w:rsidR="006475CC" w:rsidP="005520B7" w:rsidRDefault="006475CC" w14:paraId="724BD536" w14:textId="430A689E">
      <w:r>
        <w:t xml:space="preserve">The Identity Theft Supplement (ITS) can assist multiple federal agencies such </w:t>
      </w:r>
      <w:r w:rsidR="009900B7">
        <w:t xml:space="preserve">as </w:t>
      </w:r>
      <w:r>
        <w:t>the Office of Victims of Crime (OVC)</w:t>
      </w:r>
      <w:r w:rsidR="00653527">
        <w:t xml:space="preserve"> in identifying</w:t>
      </w:r>
      <w:r w:rsidR="00163062">
        <w:t xml:space="preserve"> the </w:t>
      </w:r>
      <w:r w:rsidR="00763A60">
        <w:t xml:space="preserve">financial as well as emotional </w:t>
      </w:r>
      <w:r w:rsidR="00163062">
        <w:t>effects of identity theft on victims which, in turn, can help the agency identify what services might be best suited to helping victims.</w:t>
      </w:r>
      <w:r w:rsidR="00F564AD">
        <w:t xml:space="preserve"> </w:t>
      </w:r>
      <w:r w:rsidR="00163062">
        <w:t xml:space="preserve">The information from the ITS can also help the Federal Trade Commission (FTC) in providing statistical information for various materials distributed to the public that provide information about identity theft. </w:t>
      </w:r>
    </w:p>
    <w:p w:rsidR="005520B7" w:rsidP="005520B7" w:rsidRDefault="005520B7" w14:paraId="3DC7E08E" w14:textId="5106F169">
      <w:r w:rsidRPr="00846FE2">
        <w:t>The 2017 S</w:t>
      </w:r>
      <w:r w:rsidR="006475CC">
        <w:t xml:space="preserve">upplemental </w:t>
      </w:r>
      <w:r w:rsidRPr="00846FE2">
        <w:t>F</w:t>
      </w:r>
      <w:r w:rsidR="006475CC">
        <w:t xml:space="preserve">raud </w:t>
      </w:r>
      <w:r w:rsidRPr="00846FE2">
        <w:t>S</w:t>
      </w:r>
      <w:r w:rsidR="006475CC">
        <w:t>urvey (SFS)</w:t>
      </w:r>
      <w:r w:rsidRPr="00846FE2">
        <w:t xml:space="preserve"> data on the prevalence of financial fraud and the characteristics of victims </w:t>
      </w:r>
      <w:r>
        <w:t xml:space="preserve">can </w:t>
      </w:r>
      <w:r w:rsidRPr="00846FE2">
        <w:t xml:space="preserve">assist agencies like the Securities and Exchange Commission (SEC), Internal Revenue Service (IRS), and U.S. Postal Inspection Service (USPIS) in identifying populations that may be particularly vulnerable, and appropriately targeting awareness and prevention campaigns. </w:t>
      </w:r>
      <w:r>
        <w:t xml:space="preserve">Policymakers </w:t>
      </w:r>
      <w:r w:rsidRPr="00846FE2">
        <w:t>also benefit from data assessing the magnitude of financial fraud in the United States.</w:t>
      </w:r>
      <w:r>
        <w:t xml:space="preserve"> These data </w:t>
      </w:r>
      <w:r w:rsidR="00E40B3C">
        <w:t>can</w:t>
      </w:r>
      <w:r>
        <w:t xml:space="preserve"> help inform legislative and other efforts to help protect consumers and the populace.</w:t>
      </w:r>
    </w:p>
    <w:p w:rsidR="006475CC" w:rsidP="005520B7" w:rsidRDefault="00E40B3C" w14:paraId="4AE8A589" w14:textId="0C65A820">
      <w:r>
        <w:t xml:space="preserve">Similarly, </w:t>
      </w:r>
      <w:r w:rsidRPr="00191A1F" w:rsidR="00191A1F">
        <w:t>the Police Public Contact Survey (PPCS)</w:t>
      </w:r>
      <w:r w:rsidR="00163062">
        <w:t xml:space="preserve"> </w:t>
      </w:r>
      <w:r w:rsidR="005520B7">
        <w:t xml:space="preserve">has utility across federal agencies. For example, </w:t>
      </w:r>
      <w:r>
        <w:t xml:space="preserve">PPCS data collected on traffic stops can assist </w:t>
      </w:r>
      <w:r w:rsidR="005520B7">
        <w:t xml:space="preserve">the National Highway Transportation Safety Administration (NHTSA) </w:t>
      </w:r>
      <w:r>
        <w:t>in building evidence for</w:t>
      </w:r>
      <w:r w:rsidR="005520B7">
        <w:t xml:space="preserve"> key agency initiatives.</w:t>
      </w:r>
    </w:p>
    <w:p w:rsidRPr="00B40277" w:rsidR="005520B7" w:rsidP="005520B7" w:rsidRDefault="005520B7" w14:paraId="387612C1" w14:textId="77777777">
      <w:pPr>
        <w:pStyle w:val="Heading3"/>
      </w:pPr>
      <w:r w:rsidRPr="00B40277">
        <w:t xml:space="preserve">Educational Institutions </w:t>
      </w:r>
    </w:p>
    <w:p w:rsidR="005520B7" w:rsidP="005520B7" w:rsidRDefault="005520B7" w14:paraId="24BA50B4" w14:textId="015C5623">
      <w:r w:rsidRPr="000000EB">
        <w:t xml:space="preserve">Many researchers use the NCVS data to prepare reports and scholarly publications. NCVS public-use data files housed at the Inter-university Consortium for Political and Social Research (ICPSR) at the University of Michigan </w:t>
      </w:r>
      <w:r>
        <w:t>are</w:t>
      </w:r>
      <w:r w:rsidRPr="000000EB">
        <w:t xml:space="preserve"> downloaded </w:t>
      </w:r>
      <w:r>
        <w:t>thousands of times each year</w:t>
      </w:r>
      <w:r w:rsidRPr="000000EB">
        <w:t>. The downloaded data are used in conjunction with research projects in a number of academic disciplines, including sociology, criminology, psychology, and political science.</w:t>
      </w:r>
      <w:r w:rsidR="00F564AD">
        <w:t xml:space="preserve"> </w:t>
      </w:r>
      <w:r w:rsidRPr="000000EB">
        <w:t xml:space="preserve">Researchers use the NCVS information to advance the study of various issues including why certain persons are victimized more than others are; the reasons why persons do or do not report crime incidents to the police; victimizations against particular subpopulations, domestic violence, rape, gang crime, multiple victimizations, and </w:t>
      </w:r>
      <w:r>
        <w:t>more. A list of some of the more</w:t>
      </w:r>
      <w:r w:rsidRPr="000000EB">
        <w:t xml:space="preserve"> recent articles </w:t>
      </w:r>
      <w:r>
        <w:t>follows.</w:t>
      </w:r>
    </w:p>
    <w:p w:rsidRPr="00327E5C" w:rsidR="005520B7" w:rsidP="005520B7" w:rsidRDefault="005520B7" w14:paraId="72F09A5B" w14:textId="03B91A31">
      <w:pPr>
        <w:pStyle w:val="ListParagraph"/>
        <w:numPr>
          <w:ilvl w:val="0"/>
          <w:numId w:val="10"/>
        </w:numPr>
        <w:rPr>
          <w:sz w:val="24"/>
        </w:rPr>
      </w:pPr>
      <w:r w:rsidRPr="00327E5C">
        <w:rPr>
          <w:sz w:val="24"/>
        </w:rPr>
        <w:t>Augustyn, M.</w:t>
      </w:r>
      <w:r w:rsidR="002A3BF5">
        <w:rPr>
          <w:sz w:val="24"/>
        </w:rPr>
        <w:t xml:space="preserve"> B.</w:t>
      </w:r>
      <w:r w:rsidRPr="00327E5C">
        <w:rPr>
          <w:sz w:val="24"/>
        </w:rPr>
        <w:t>, &amp; Willyard, K.</w:t>
      </w:r>
      <w:r w:rsidR="005200D3">
        <w:rPr>
          <w:sz w:val="24"/>
        </w:rPr>
        <w:t xml:space="preserve"> </w:t>
      </w:r>
      <w:r w:rsidR="002A3BF5">
        <w:rPr>
          <w:sz w:val="24"/>
        </w:rPr>
        <w:t>C.</w:t>
      </w:r>
      <w:r w:rsidRPr="00327E5C">
        <w:rPr>
          <w:sz w:val="24"/>
        </w:rPr>
        <w:t xml:space="preserve"> (2020). The contextual influences of police and social service providers on formal help-seeking after incidents of intimate partner violence. </w:t>
      </w:r>
      <w:r w:rsidRPr="00327E5C">
        <w:rPr>
          <w:i/>
          <w:sz w:val="24"/>
        </w:rPr>
        <w:t>Journal of Interpersonal Violence</w:t>
      </w:r>
      <w:r w:rsidRPr="00327E5C">
        <w:rPr>
          <w:sz w:val="24"/>
        </w:rPr>
        <w:t xml:space="preserve">. </w:t>
      </w:r>
      <w:hyperlink w:history="1" r:id="rId12">
        <w:r w:rsidRPr="000807E9" w:rsidR="00191A1F">
          <w:rPr>
            <w:rStyle w:val="Hyperlink"/>
            <w:sz w:val="24"/>
          </w:rPr>
          <w:t>https://doi.org/10.1177/0886260520915551</w:t>
        </w:r>
      </w:hyperlink>
      <w:r w:rsidRPr="00327E5C">
        <w:rPr>
          <w:sz w:val="24"/>
        </w:rPr>
        <w:t>.</w:t>
      </w:r>
    </w:p>
    <w:p w:rsidRPr="00327E5C" w:rsidR="005520B7" w:rsidP="005520B7" w:rsidRDefault="005520B7" w14:paraId="135E8D66" w14:textId="4E611CEF">
      <w:pPr>
        <w:pStyle w:val="ListParagraph"/>
        <w:numPr>
          <w:ilvl w:val="0"/>
          <w:numId w:val="10"/>
        </w:numPr>
        <w:rPr>
          <w:sz w:val="24"/>
        </w:rPr>
      </w:pPr>
      <w:r w:rsidRPr="00327E5C">
        <w:rPr>
          <w:sz w:val="24"/>
        </w:rPr>
        <w:t>Bender, A. K., &amp; Lauritsen, J. L. (2021). Violent victimization among lesbian, gay, and bisexual populations in the United States: Findings from the National Crime Victimization Survey, 2017-2018.</w:t>
      </w:r>
      <w:r w:rsidR="00F564AD">
        <w:rPr>
          <w:sz w:val="24"/>
        </w:rPr>
        <w:t xml:space="preserve"> </w:t>
      </w:r>
      <w:r w:rsidRPr="00327E5C">
        <w:rPr>
          <w:i/>
          <w:sz w:val="24"/>
        </w:rPr>
        <w:t>American Journal of Public Health</w:t>
      </w:r>
      <w:r w:rsidRPr="00327E5C">
        <w:rPr>
          <w:sz w:val="24"/>
        </w:rPr>
        <w:t>. 111</w:t>
      </w:r>
      <w:r w:rsidR="00A73B19">
        <w:rPr>
          <w:sz w:val="24"/>
        </w:rPr>
        <w:t>(2)</w:t>
      </w:r>
      <w:r w:rsidRPr="00327E5C">
        <w:rPr>
          <w:sz w:val="24"/>
        </w:rPr>
        <w:t>: 318-326</w:t>
      </w:r>
      <w:r w:rsidR="00191A1F">
        <w:rPr>
          <w:sz w:val="24"/>
        </w:rPr>
        <w:t xml:space="preserve">. </w:t>
      </w:r>
      <w:hyperlink w:history="1" r:id="rId13">
        <w:r w:rsidRPr="000807E9" w:rsidR="00191A1F">
          <w:rPr>
            <w:rStyle w:val="Hyperlink"/>
            <w:sz w:val="24"/>
          </w:rPr>
          <w:t>https://doi.org/10.2105/ajph.2020.306017</w:t>
        </w:r>
      </w:hyperlink>
      <w:r w:rsidRPr="00327E5C">
        <w:rPr>
          <w:sz w:val="24"/>
        </w:rPr>
        <w:t xml:space="preserve">. </w:t>
      </w:r>
    </w:p>
    <w:p w:rsidRPr="00327E5C" w:rsidR="005520B7" w:rsidP="005520B7" w:rsidRDefault="005520B7" w14:paraId="2D632ABE" w14:textId="7E9FDAB5">
      <w:pPr>
        <w:pStyle w:val="ListParagraph"/>
        <w:numPr>
          <w:ilvl w:val="0"/>
          <w:numId w:val="10"/>
        </w:numPr>
        <w:rPr>
          <w:sz w:val="24"/>
        </w:rPr>
      </w:pPr>
      <w:r w:rsidRPr="00327E5C">
        <w:rPr>
          <w:sz w:val="24"/>
        </w:rPr>
        <w:t xml:space="preserve">Berg, M. T. (2019). Trends in the lethality of American violence. </w:t>
      </w:r>
      <w:r w:rsidRPr="00327E5C">
        <w:rPr>
          <w:i/>
          <w:sz w:val="24"/>
        </w:rPr>
        <w:t>Homicide Studies</w:t>
      </w:r>
      <w:r w:rsidRPr="00327E5C">
        <w:rPr>
          <w:sz w:val="24"/>
        </w:rPr>
        <w:t>. 23</w:t>
      </w:r>
      <w:r w:rsidR="00A73B19">
        <w:rPr>
          <w:sz w:val="24"/>
        </w:rPr>
        <w:t>(3)</w:t>
      </w:r>
      <w:r w:rsidR="00DE297E">
        <w:rPr>
          <w:sz w:val="24"/>
        </w:rPr>
        <w:t>:</w:t>
      </w:r>
      <w:r w:rsidR="00F564AD">
        <w:rPr>
          <w:sz w:val="24"/>
        </w:rPr>
        <w:t xml:space="preserve"> </w:t>
      </w:r>
      <w:r w:rsidRPr="00327E5C">
        <w:rPr>
          <w:sz w:val="24"/>
        </w:rPr>
        <w:t>262-284.</w:t>
      </w:r>
      <w:r w:rsidR="00191A1F">
        <w:rPr>
          <w:sz w:val="24"/>
        </w:rPr>
        <w:t xml:space="preserve"> </w:t>
      </w:r>
      <w:hyperlink w:history="1" r:id="rId14">
        <w:r w:rsidRPr="000807E9" w:rsidR="005920DE">
          <w:rPr>
            <w:rStyle w:val="Hyperlink"/>
            <w:sz w:val="24"/>
          </w:rPr>
          <w:t>https://doi.org/10.1177%2F1088767919849643</w:t>
        </w:r>
      </w:hyperlink>
      <w:r w:rsidR="00191A1F">
        <w:rPr>
          <w:sz w:val="24"/>
        </w:rPr>
        <w:t>.</w:t>
      </w:r>
    </w:p>
    <w:p w:rsidR="005520B7" w:rsidP="00203EB4" w:rsidRDefault="005520B7" w14:paraId="506B86B3" w14:textId="2913ED18">
      <w:pPr>
        <w:pStyle w:val="ListParagraph"/>
        <w:numPr>
          <w:ilvl w:val="0"/>
          <w:numId w:val="10"/>
        </w:numPr>
        <w:spacing w:after="0"/>
        <w:rPr>
          <w:sz w:val="24"/>
        </w:rPr>
      </w:pPr>
      <w:r w:rsidRPr="00327E5C">
        <w:rPr>
          <w:sz w:val="24"/>
        </w:rPr>
        <w:lastRenderedPageBreak/>
        <w:t xml:space="preserve">Edmonds, A. T., Moe, C. A., Adhia, A., Mooney, S. J., Rivara, F. P., Hill, H. D., &amp; Rowhani-Rahbar, A. (2021). The earned income tax credit and intimate partner violence. </w:t>
      </w:r>
      <w:r w:rsidRPr="00327E5C">
        <w:rPr>
          <w:i/>
          <w:sz w:val="24"/>
        </w:rPr>
        <w:t>Journal of Interpersonal Violence</w:t>
      </w:r>
      <w:r w:rsidRPr="00327E5C">
        <w:rPr>
          <w:sz w:val="24"/>
        </w:rPr>
        <w:t xml:space="preserve">. </w:t>
      </w:r>
      <w:hyperlink w:history="1" r:id="rId15">
        <w:r w:rsidRPr="00327E5C">
          <w:rPr>
            <w:rStyle w:val="Hyperlink"/>
            <w:rFonts w:cs="Arial"/>
            <w:sz w:val="24"/>
          </w:rPr>
          <w:t>https://doi.org/10.1177/0886260521997440</w:t>
        </w:r>
      </w:hyperlink>
      <w:r w:rsidRPr="00327E5C">
        <w:rPr>
          <w:sz w:val="24"/>
        </w:rPr>
        <w:t>.</w:t>
      </w:r>
    </w:p>
    <w:p w:rsidRPr="005920DE" w:rsidR="000415BF" w:rsidP="00203EB4" w:rsidRDefault="000415BF" w14:paraId="70E9A400" w14:textId="0237BCBD">
      <w:pPr>
        <w:pStyle w:val="citation"/>
        <w:numPr>
          <w:ilvl w:val="0"/>
          <w:numId w:val="10"/>
        </w:numPr>
        <w:spacing w:after="0" w:afterAutospacing="0" w:line="276" w:lineRule="auto"/>
        <w:rPr>
          <w:rFonts w:ascii="Calibri" w:hAnsi="Calibri" w:cs="Arial"/>
        </w:rPr>
      </w:pPr>
      <w:r w:rsidRPr="000415BF">
        <w:rPr>
          <w:rFonts w:ascii="Calibri" w:hAnsi="Calibri" w:cs="Arial"/>
        </w:rPr>
        <w:t xml:space="preserve">Flores, A.R., Langton, L., Meyer, I.H., &amp; Romero, A.P. (2020). Victimization rates and traits of sexual and gender minorities in the United States: Results from the National Crime Victimization Survey, 2017. </w:t>
      </w:r>
      <w:r w:rsidRPr="000415BF">
        <w:rPr>
          <w:rFonts w:ascii="Calibri" w:hAnsi="Calibri" w:cs="Arial"/>
          <w:i/>
        </w:rPr>
        <w:t>Science Advances</w:t>
      </w:r>
      <w:r>
        <w:rPr>
          <w:rFonts w:ascii="Calibri" w:hAnsi="Calibri" w:cs="Arial"/>
        </w:rPr>
        <w:t>.</w:t>
      </w:r>
      <w:r w:rsidR="00203EB4">
        <w:rPr>
          <w:rFonts w:ascii="Calibri" w:hAnsi="Calibri" w:cs="Arial"/>
        </w:rPr>
        <w:t xml:space="preserve"> </w:t>
      </w:r>
      <w:r w:rsidR="00A73B19">
        <w:rPr>
          <w:rFonts w:ascii="Calibri" w:hAnsi="Calibri" w:cs="Arial"/>
        </w:rPr>
        <w:t>6(40):</w:t>
      </w:r>
      <w:r w:rsidR="005E1226">
        <w:rPr>
          <w:rFonts w:ascii="Calibri" w:hAnsi="Calibri" w:cs="Arial"/>
        </w:rPr>
        <w:t xml:space="preserve"> </w:t>
      </w:r>
      <w:r w:rsidR="00A73B19">
        <w:rPr>
          <w:rFonts w:ascii="Calibri" w:hAnsi="Calibri" w:cs="Arial"/>
        </w:rPr>
        <w:t xml:space="preserve">eaba6910. </w:t>
      </w:r>
      <w:hyperlink w:history="1" r:id="rId16">
        <w:r w:rsidRPr="00A73B19" w:rsidR="00A73B19">
          <w:rPr>
            <w:rStyle w:val="Hyperlink"/>
            <w:rFonts w:ascii="Calibri" w:hAnsi="Calibri" w:cs="Arial"/>
          </w:rPr>
          <w:t>https://doi.org/</w:t>
        </w:r>
        <w:r w:rsidRPr="00A73B19" w:rsidR="00A73B19">
          <w:rPr>
            <w:rStyle w:val="Hyperlink"/>
            <w:rFonts w:asciiTheme="minorHAnsi" w:hAnsiTheme="minorHAnsi" w:cstheme="minorHAnsi"/>
            <w:shd w:val="clear" w:color="auto" w:fill="FFFFFF"/>
          </w:rPr>
          <w:t>10.1126/sciadv.aba6910</w:t>
        </w:r>
      </w:hyperlink>
      <w:r w:rsidR="005920DE">
        <w:rPr>
          <w:rFonts w:asciiTheme="minorHAnsi" w:hAnsiTheme="minorHAnsi" w:cstheme="minorHAnsi"/>
          <w:shd w:val="clear" w:color="auto" w:fill="FFFFFF"/>
        </w:rPr>
        <w:t>.</w:t>
      </w:r>
      <w:r w:rsidR="00F564AD">
        <w:rPr>
          <w:rFonts w:asciiTheme="minorHAnsi" w:hAnsiTheme="minorHAnsi" w:cstheme="minorHAnsi"/>
          <w:shd w:val="clear" w:color="auto" w:fill="FFFFFF"/>
        </w:rPr>
        <w:t xml:space="preserve"> </w:t>
      </w:r>
    </w:p>
    <w:p w:rsidRPr="00327E5C" w:rsidR="005520B7" w:rsidP="005520B7" w:rsidRDefault="005520B7" w14:paraId="481B6C66" w14:textId="6D5B38DC">
      <w:pPr>
        <w:pStyle w:val="ListParagraph"/>
        <w:numPr>
          <w:ilvl w:val="0"/>
          <w:numId w:val="10"/>
        </w:numPr>
        <w:rPr>
          <w:sz w:val="24"/>
        </w:rPr>
      </w:pPr>
      <w:r w:rsidRPr="00327E5C">
        <w:rPr>
          <w:sz w:val="24"/>
        </w:rPr>
        <w:t xml:space="preserve">Flores, A. R., Meyer, I. H., Langton, L., &amp; Herman, J. L. (2021). Gender identity disparities in criminal victimization: National Crime Victimization Survey, 2017-2018. </w:t>
      </w:r>
      <w:r w:rsidRPr="00327E5C">
        <w:rPr>
          <w:i/>
          <w:sz w:val="24"/>
        </w:rPr>
        <w:t>American Journal of Public Health.</w:t>
      </w:r>
      <w:r w:rsidRPr="00327E5C">
        <w:rPr>
          <w:sz w:val="24"/>
        </w:rPr>
        <w:t xml:space="preserve"> 111</w:t>
      </w:r>
      <w:r w:rsidR="00A73B19">
        <w:rPr>
          <w:sz w:val="24"/>
        </w:rPr>
        <w:t>(4)</w:t>
      </w:r>
      <w:r w:rsidRPr="00327E5C">
        <w:rPr>
          <w:sz w:val="24"/>
        </w:rPr>
        <w:t>: 726-729.</w:t>
      </w:r>
      <w:r w:rsidR="005920DE">
        <w:rPr>
          <w:sz w:val="24"/>
        </w:rPr>
        <w:t xml:space="preserve"> </w:t>
      </w:r>
      <w:hyperlink w:history="1" r:id="rId17">
        <w:r w:rsidRPr="000807E9" w:rsidR="005920DE">
          <w:rPr>
            <w:rStyle w:val="Hyperlink"/>
            <w:rFonts w:asciiTheme="minorHAnsi" w:hAnsiTheme="minorHAnsi" w:cstheme="minorHAnsi"/>
            <w:sz w:val="24"/>
            <w:szCs w:val="24"/>
          </w:rPr>
          <w:t>https://doi.org/</w:t>
        </w:r>
        <w:r w:rsidRPr="000807E9" w:rsidR="005920DE">
          <w:rPr>
            <w:rStyle w:val="Hyperlink"/>
            <w:rFonts w:asciiTheme="minorHAnsi" w:hAnsiTheme="minorHAnsi" w:cstheme="minorHAnsi"/>
            <w:sz w:val="24"/>
            <w:szCs w:val="24"/>
            <w:shd w:val="clear" w:color="auto" w:fill="FFFFFF"/>
          </w:rPr>
          <w:t>10.2105/AJPH.2020.306099</w:t>
        </w:r>
      </w:hyperlink>
      <w:r w:rsidR="005920DE">
        <w:rPr>
          <w:rFonts w:asciiTheme="minorHAnsi" w:hAnsiTheme="minorHAnsi" w:cstheme="minorHAnsi"/>
          <w:sz w:val="24"/>
          <w:szCs w:val="24"/>
          <w:shd w:val="clear" w:color="auto" w:fill="FFFFFF"/>
        </w:rPr>
        <w:t>.</w:t>
      </w:r>
    </w:p>
    <w:p w:rsidRPr="00327E5C" w:rsidR="005520B7" w:rsidP="005520B7" w:rsidRDefault="005520B7" w14:paraId="5F1A6A0E" w14:textId="1E9EE651">
      <w:pPr>
        <w:pStyle w:val="ListParagraph"/>
        <w:numPr>
          <w:ilvl w:val="0"/>
          <w:numId w:val="10"/>
        </w:numPr>
        <w:rPr>
          <w:sz w:val="24"/>
        </w:rPr>
      </w:pPr>
      <w:r w:rsidRPr="00327E5C">
        <w:rPr>
          <w:sz w:val="24"/>
        </w:rPr>
        <w:t xml:space="preserve">Glover, A. R., Harper, S. B., &amp; Langton, L. (2020). Anti-Asian hate crime during the COVID-19 pandemic: Exploring the reproduction of inequality. </w:t>
      </w:r>
      <w:r w:rsidRPr="00327E5C">
        <w:rPr>
          <w:i/>
          <w:sz w:val="24"/>
        </w:rPr>
        <w:t>American Journal of Criminal Justice</w:t>
      </w:r>
      <w:r w:rsidR="00A73B19">
        <w:rPr>
          <w:i/>
          <w:sz w:val="24"/>
        </w:rPr>
        <w:t>.</w:t>
      </w:r>
      <w:r w:rsidRPr="00327E5C">
        <w:rPr>
          <w:i/>
          <w:sz w:val="24"/>
        </w:rPr>
        <w:t xml:space="preserve"> </w:t>
      </w:r>
      <w:r w:rsidRPr="00327E5C">
        <w:rPr>
          <w:sz w:val="24"/>
        </w:rPr>
        <w:t>45</w:t>
      </w:r>
      <w:r w:rsidR="005E1226">
        <w:rPr>
          <w:sz w:val="24"/>
        </w:rPr>
        <w:t>(4)</w:t>
      </w:r>
      <w:r w:rsidRPr="00327E5C">
        <w:rPr>
          <w:sz w:val="24"/>
        </w:rPr>
        <w:t>: 647-667.</w:t>
      </w:r>
      <w:r w:rsidR="005920DE">
        <w:rPr>
          <w:sz w:val="24"/>
        </w:rPr>
        <w:t xml:space="preserve"> </w:t>
      </w:r>
      <w:hyperlink w:history="1" r:id="rId18">
        <w:r w:rsidRPr="000807E9" w:rsidR="005920DE">
          <w:rPr>
            <w:rStyle w:val="Hyperlink"/>
            <w:sz w:val="24"/>
          </w:rPr>
          <w:t>https://doi.org/10.1007/s12103-020-09545-1</w:t>
        </w:r>
      </w:hyperlink>
      <w:r w:rsidR="005920DE">
        <w:rPr>
          <w:sz w:val="24"/>
        </w:rPr>
        <w:t>.</w:t>
      </w:r>
    </w:p>
    <w:p w:rsidRPr="00327E5C" w:rsidR="005520B7" w:rsidP="005520B7" w:rsidRDefault="005520B7" w14:paraId="13639599" w14:textId="51274DB1">
      <w:pPr>
        <w:pStyle w:val="ListParagraph"/>
        <w:numPr>
          <w:ilvl w:val="0"/>
          <w:numId w:val="10"/>
        </w:numPr>
        <w:rPr>
          <w:sz w:val="24"/>
        </w:rPr>
      </w:pPr>
      <w:r w:rsidRPr="00327E5C">
        <w:rPr>
          <w:sz w:val="24"/>
        </w:rPr>
        <w:t xml:space="preserve">Hullenaar, K. L., &amp; Frisco, M. </w:t>
      </w:r>
      <w:r w:rsidR="005E1226">
        <w:rPr>
          <w:sz w:val="24"/>
        </w:rPr>
        <w:t xml:space="preserve">L. </w:t>
      </w:r>
      <w:r w:rsidRPr="00327E5C">
        <w:rPr>
          <w:sz w:val="24"/>
        </w:rPr>
        <w:t xml:space="preserve">(2020). Understanding the barriers of violence victims' health care use. </w:t>
      </w:r>
      <w:r w:rsidRPr="00327E5C">
        <w:rPr>
          <w:i/>
          <w:sz w:val="24"/>
        </w:rPr>
        <w:t>Journal of Health and Social Behavior.</w:t>
      </w:r>
      <w:r w:rsidRPr="00327E5C">
        <w:rPr>
          <w:sz w:val="24"/>
        </w:rPr>
        <w:t xml:space="preserve"> </w:t>
      </w:r>
      <w:r w:rsidR="005E1226">
        <w:rPr>
          <w:sz w:val="24"/>
        </w:rPr>
        <w:t xml:space="preserve">61(4): 470-485. </w:t>
      </w:r>
      <w:hyperlink w:history="1" r:id="rId19">
        <w:r w:rsidRPr="005E1226" w:rsidR="005E1226">
          <w:rPr>
            <w:rStyle w:val="Hyperlink"/>
            <w:rFonts w:cs="Arial"/>
            <w:sz w:val="24"/>
          </w:rPr>
          <w:t>https://doi.org/10.1177/0022146520961481</w:t>
        </w:r>
      </w:hyperlink>
      <w:r w:rsidRPr="00327E5C">
        <w:rPr>
          <w:sz w:val="24"/>
        </w:rPr>
        <w:t>.</w:t>
      </w:r>
    </w:p>
    <w:p w:rsidRPr="00327E5C" w:rsidR="005520B7" w:rsidP="005520B7" w:rsidRDefault="005520B7" w14:paraId="6E6EC162" w14:textId="08AB0DCE">
      <w:pPr>
        <w:pStyle w:val="ListParagraph"/>
        <w:numPr>
          <w:ilvl w:val="0"/>
          <w:numId w:val="10"/>
        </w:numPr>
        <w:rPr>
          <w:sz w:val="24"/>
        </w:rPr>
      </w:pPr>
      <w:r w:rsidRPr="00327E5C">
        <w:rPr>
          <w:sz w:val="24"/>
        </w:rPr>
        <w:t xml:space="preserve">Lauritsen, J. L., &amp; Lentz, T. S. (2019). National and local trends in serious violence, firearm victimization, and homicide. </w:t>
      </w:r>
      <w:r w:rsidRPr="00327E5C">
        <w:rPr>
          <w:i/>
          <w:sz w:val="24"/>
        </w:rPr>
        <w:t>Homicide Studies</w:t>
      </w:r>
      <w:r w:rsidRPr="00327E5C">
        <w:rPr>
          <w:sz w:val="24"/>
        </w:rPr>
        <w:t>. 23</w:t>
      </w:r>
      <w:r w:rsidR="005E1226">
        <w:rPr>
          <w:sz w:val="24"/>
        </w:rPr>
        <w:t>(3)</w:t>
      </w:r>
      <w:r w:rsidR="00B811B8">
        <w:rPr>
          <w:sz w:val="24"/>
        </w:rPr>
        <w:t>:</w:t>
      </w:r>
      <w:r w:rsidRPr="00327E5C">
        <w:rPr>
          <w:sz w:val="24"/>
        </w:rPr>
        <w:t xml:space="preserve"> 243-261.</w:t>
      </w:r>
      <w:r w:rsidR="005920DE">
        <w:rPr>
          <w:sz w:val="24"/>
        </w:rPr>
        <w:t xml:space="preserve"> </w:t>
      </w:r>
      <w:hyperlink w:history="1" r:id="rId20">
        <w:r w:rsidRPr="000807E9" w:rsidR="005920DE">
          <w:rPr>
            <w:rStyle w:val="Hyperlink"/>
            <w:sz w:val="24"/>
          </w:rPr>
          <w:t>https://doi.org/10.1177%2F1088767919848665</w:t>
        </w:r>
      </w:hyperlink>
      <w:r w:rsidR="005920DE">
        <w:rPr>
          <w:sz w:val="24"/>
        </w:rPr>
        <w:t>.</w:t>
      </w:r>
    </w:p>
    <w:p w:rsidRPr="00327E5C" w:rsidR="005520B7" w:rsidP="005520B7" w:rsidRDefault="005520B7" w14:paraId="29FDAC49" w14:textId="7C7B7680">
      <w:pPr>
        <w:pStyle w:val="ListParagraph"/>
        <w:numPr>
          <w:ilvl w:val="0"/>
          <w:numId w:val="10"/>
        </w:numPr>
        <w:rPr>
          <w:sz w:val="24"/>
        </w:rPr>
      </w:pPr>
      <w:r w:rsidRPr="00327E5C">
        <w:rPr>
          <w:sz w:val="24"/>
        </w:rPr>
        <w:t xml:space="preserve">McCann, W. S., &amp; Boateng, F. D. (2021). An analysis of hate crime victimization amongst U.S. immigrants. </w:t>
      </w:r>
      <w:r w:rsidRPr="00327E5C">
        <w:rPr>
          <w:i/>
          <w:sz w:val="24"/>
        </w:rPr>
        <w:t>American Journal of Criminal Justice</w:t>
      </w:r>
      <w:r w:rsidRPr="00327E5C">
        <w:rPr>
          <w:sz w:val="24"/>
        </w:rPr>
        <w:t xml:space="preserve">. </w:t>
      </w:r>
      <w:hyperlink w:history="1" r:id="rId21">
        <w:r w:rsidRPr="000807E9" w:rsidR="00810DDE">
          <w:rPr>
            <w:rStyle w:val="Hyperlink"/>
            <w:sz w:val="24"/>
          </w:rPr>
          <w:t>https://doi.org/10.1007/s12103-021-09616-x</w:t>
        </w:r>
      </w:hyperlink>
      <w:r w:rsidRPr="00327E5C">
        <w:rPr>
          <w:sz w:val="24"/>
        </w:rPr>
        <w:t>.</w:t>
      </w:r>
    </w:p>
    <w:p w:rsidRPr="00327E5C" w:rsidR="005520B7" w:rsidP="005520B7" w:rsidRDefault="005520B7" w14:paraId="03C744B7" w14:textId="3740BC54">
      <w:pPr>
        <w:pStyle w:val="ListParagraph"/>
        <w:numPr>
          <w:ilvl w:val="0"/>
          <w:numId w:val="10"/>
        </w:numPr>
        <w:rPr>
          <w:sz w:val="24"/>
        </w:rPr>
      </w:pPr>
      <w:r w:rsidRPr="00327E5C">
        <w:rPr>
          <w:sz w:val="24"/>
        </w:rPr>
        <w:t xml:space="preserve">Muniz, C. N., &amp; Powers, R. A. (2020). Applying the classic rape scenario to robbery: An examination of situational characteristics and reporting victimization to police. </w:t>
      </w:r>
      <w:r w:rsidRPr="00327E5C">
        <w:rPr>
          <w:i/>
          <w:sz w:val="24"/>
        </w:rPr>
        <w:t>Journal of Criminal Justice</w:t>
      </w:r>
      <w:r w:rsidRPr="00327E5C">
        <w:rPr>
          <w:sz w:val="24"/>
        </w:rPr>
        <w:t>.</w:t>
      </w:r>
      <w:r w:rsidR="00395F5C">
        <w:rPr>
          <w:sz w:val="24"/>
        </w:rPr>
        <w:t xml:space="preserve"> 72: 101737.</w:t>
      </w:r>
      <w:r w:rsidR="00F564AD">
        <w:rPr>
          <w:sz w:val="24"/>
        </w:rPr>
        <w:t xml:space="preserve"> </w:t>
      </w:r>
      <w:hyperlink w:history="1" r:id="rId22">
        <w:r w:rsidRPr="000807E9" w:rsidR="00810DDE">
          <w:rPr>
            <w:rStyle w:val="Hyperlink"/>
            <w:sz w:val="24"/>
          </w:rPr>
          <w:t>https://doi.org/10.1016/j.jcrimjus.2020.101737</w:t>
        </w:r>
      </w:hyperlink>
      <w:r w:rsidRPr="00327E5C">
        <w:rPr>
          <w:sz w:val="24"/>
        </w:rPr>
        <w:t>.</w:t>
      </w:r>
    </w:p>
    <w:p w:rsidRPr="00327E5C" w:rsidR="005520B7" w:rsidP="005520B7" w:rsidRDefault="005520B7" w14:paraId="0EA3CBF1" w14:textId="284477F4">
      <w:pPr>
        <w:pStyle w:val="ListParagraph"/>
        <w:numPr>
          <w:ilvl w:val="0"/>
          <w:numId w:val="10"/>
        </w:numPr>
        <w:rPr>
          <w:sz w:val="24"/>
        </w:rPr>
      </w:pPr>
      <w:r w:rsidRPr="00327E5C">
        <w:rPr>
          <w:sz w:val="24"/>
        </w:rPr>
        <w:t>Phillips, J. B. (20</w:t>
      </w:r>
      <w:r w:rsidR="000A4369">
        <w:rPr>
          <w:sz w:val="24"/>
        </w:rPr>
        <w:t>21</w:t>
      </w:r>
      <w:r w:rsidRPr="00327E5C">
        <w:rPr>
          <w:sz w:val="24"/>
        </w:rPr>
        <w:t xml:space="preserve">). Postincident interpersonal difficulty among adolescent victims of violent crime. </w:t>
      </w:r>
      <w:r w:rsidRPr="00327E5C">
        <w:rPr>
          <w:i/>
          <w:sz w:val="24"/>
        </w:rPr>
        <w:t>Journal of Interpersonal Violence</w:t>
      </w:r>
      <w:r w:rsidRPr="00327E5C">
        <w:rPr>
          <w:sz w:val="24"/>
        </w:rPr>
        <w:t>.</w:t>
      </w:r>
      <w:r w:rsidR="009741B3">
        <w:rPr>
          <w:sz w:val="24"/>
        </w:rPr>
        <w:t xml:space="preserve"> </w:t>
      </w:r>
      <w:r w:rsidR="00BB2E4D">
        <w:rPr>
          <w:sz w:val="24"/>
        </w:rPr>
        <w:t xml:space="preserve">36(9-10): 3994-4017. </w:t>
      </w:r>
      <w:hyperlink w:history="1" r:id="rId23">
        <w:r w:rsidRPr="00BB2E4D" w:rsidR="00BB2E4D">
          <w:rPr>
            <w:rStyle w:val="Hyperlink"/>
            <w:rFonts w:cs="Arial"/>
            <w:sz w:val="24"/>
          </w:rPr>
          <w:t>https://doi.org/10.1177/0886260518788366</w:t>
        </w:r>
      </w:hyperlink>
      <w:r w:rsidRPr="00327E5C">
        <w:rPr>
          <w:sz w:val="24"/>
        </w:rPr>
        <w:t>.</w:t>
      </w:r>
    </w:p>
    <w:p w:rsidRPr="00327E5C" w:rsidR="005520B7" w:rsidP="005520B7" w:rsidRDefault="005520B7" w14:paraId="3CD39D84" w14:textId="34D4C9CC">
      <w:pPr>
        <w:pStyle w:val="ListParagraph"/>
        <w:numPr>
          <w:ilvl w:val="0"/>
          <w:numId w:val="10"/>
        </w:numPr>
        <w:rPr>
          <w:sz w:val="24"/>
        </w:rPr>
      </w:pPr>
      <w:r w:rsidRPr="00327E5C">
        <w:rPr>
          <w:sz w:val="24"/>
        </w:rPr>
        <w:t xml:space="preserve">Pinciotti, C. M., &amp; Seligowski, A. V. (2019). The influence of sexual assault resistance on reporting tendencies and law enforcement response: Findings from the National Crime Victimization Survey. </w:t>
      </w:r>
      <w:r w:rsidRPr="00327E5C">
        <w:rPr>
          <w:i/>
          <w:sz w:val="24"/>
        </w:rPr>
        <w:t>Journal of Interpersonal Violence</w:t>
      </w:r>
      <w:r w:rsidRPr="00327E5C">
        <w:rPr>
          <w:sz w:val="24"/>
        </w:rPr>
        <w:t xml:space="preserve">. </w:t>
      </w:r>
      <w:hyperlink w:history="1" r:id="rId24">
        <w:r w:rsidRPr="00327E5C">
          <w:rPr>
            <w:rStyle w:val="Hyperlink"/>
            <w:rFonts w:cs="Arial"/>
            <w:sz w:val="24"/>
          </w:rPr>
          <w:t>https://doi.org/10.1177/0886260519877946</w:t>
        </w:r>
      </w:hyperlink>
      <w:r w:rsidRPr="00327E5C">
        <w:rPr>
          <w:sz w:val="24"/>
        </w:rPr>
        <w:t>.</w:t>
      </w:r>
    </w:p>
    <w:p w:rsidRPr="00327E5C" w:rsidR="000415BF" w:rsidP="005520B7" w:rsidRDefault="000415BF" w14:paraId="01171F2C" w14:textId="65BA8449">
      <w:pPr>
        <w:pStyle w:val="ListParagraph"/>
        <w:numPr>
          <w:ilvl w:val="0"/>
          <w:numId w:val="10"/>
        </w:numPr>
        <w:rPr>
          <w:sz w:val="24"/>
        </w:rPr>
      </w:pPr>
      <w:r w:rsidRPr="000415BF">
        <w:rPr>
          <w:sz w:val="24"/>
        </w:rPr>
        <w:t xml:space="preserve">Truman, J.L., Morgan, R.E., Gilbert, T., &amp; Vaghela, P. (2019). </w:t>
      </w:r>
      <w:bookmarkStart w:name="_Hlk79742741" w:id="1"/>
      <w:r w:rsidRPr="000415BF">
        <w:rPr>
          <w:sz w:val="24"/>
        </w:rPr>
        <w:t>Measuring sexual orientation and gender identity</w:t>
      </w:r>
      <w:bookmarkEnd w:id="1"/>
      <w:r w:rsidRPr="000415BF">
        <w:rPr>
          <w:sz w:val="24"/>
        </w:rPr>
        <w:t xml:space="preserve"> in the National Crime Victimization Survey. </w:t>
      </w:r>
      <w:r w:rsidRPr="00D62D7B">
        <w:rPr>
          <w:i/>
          <w:sz w:val="24"/>
        </w:rPr>
        <w:t xml:space="preserve">Journal of Official Statistics. </w:t>
      </w:r>
      <w:r w:rsidRPr="000415BF">
        <w:rPr>
          <w:sz w:val="24"/>
        </w:rPr>
        <w:t>35</w:t>
      </w:r>
      <w:r w:rsidR="002C6790">
        <w:rPr>
          <w:sz w:val="24"/>
        </w:rPr>
        <w:t>(4)</w:t>
      </w:r>
      <w:r w:rsidRPr="000415BF">
        <w:rPr>
          <w:sz w:val="24"/>
        </w:rPr>
        <w:t>: 835-858.</w:t>
      </w:r>
      <w:r w:rsidR="00C81DCA">
        <w:rPr>
          <w:sz w:val="24"/>
        </w:rPr>
        <w:t xml:space="preserve"> </w:t>
      </w:r>
      <w:hyperlink w:history="1" r:id="rId25">
        <w:r w:rsidRPr="000807E9" w:rsidR="00C81DCA">
          <w:rPr>
            <w:rStyle w:val="Hyperlink"/>
            <w:sz w:val="24"/>
          </w:rPr>
          <w:t>https://doi.org/10.2478/jos-2019-0035</w:t>
        </w:r>
      </w:hyperlink>
      <w:r w:rsidR="00C81DCA">
        <w:rPr>
          <w:sz w:val="24"/>
        </w:rPr>
        <w:t>.</w:t>
      </w:r>
    </w:p>
    <w:p w:rsidRPr="00327E5C" w:rsidR="005520B7" w:rsidP="005520B7" w:rsidRDefault="005520B7" w14:paraId="6B0141B0" w14:textId="0AD7D02D">
      <w:pPr>
        <w:pStyle w:val="ListParagraph"/>
        <w:numPr>
          <w:ilvl w:val="0"/>
          <w:numId w:val="10"/>
        </w:numPr>
        <w:rPr>
          <w:sz w:val="24"/>
        </w:rPr>
      </w:pPr>
      <w:r w:rsidRPr="00327E5C">
        <w:rPr>
          <w:sz w:val="24"/>
        </w:rPr>
        <w:lastRenderedPageBreak/>
        <w:t>Vargas, E., &amp; Hemenway, D. (2021). Emotional and physical symptoms after gun victimization in the United States, 2009-2019.</w:t>
      </w:r>
      <w:r w:rsidR="00F564AD">
        <w:rPr>
          <w:sz w:val="24"/>
        </w:rPr>
        <w:t xml:space="preserve"> </w:t>
      </w:r>
      <w:r w:rsidRPr="00327E5C">
        <w:rPr>
          <w:i/>
          <w:sz w:val="24"/>
        </w:rPr>
        <w:t>Preventative Medicine.</w:t>
      </w:r>
      <w:r w:rsidRPr="00327E5C">
        <w:rPr>
          <w:sz w:val="24"/>
        </w:rPr>
        <w:t xml:space="preserve"> 143: 106374.</w:t>
      </w:r>
      <w:r w:rsidR="00F564AD">
        <w:rPr>
          <w:sz w:val="24"/>
        </w:rPr>
        <w:t xml:space="preserve"> </w:t>
      </w:r>
      <w:hyperlink w:history="1" r:id="rId26">
        <w:r w:rsidRPr="000807E9" w:rsidR="00784367">
          <w:rPr>
            <w:rStyle w:val="Hyperlink"/>
            <w:sz w:val="24"/>
          </w:rPr>
          <w:t>https://doi.org/10.1016/j.ypmed.2020.106374</w:t>
        </w:r>
      </w:hyperlink>
      <w:r w:rsidR="00784367">
        <w:rPr>
          <w:sz w:val="24"/>
        </w:rPr>
        <w:t xml:space="preserve">. </w:t>
      </w:r>
    </w:p>
    <w:p w:rsidRPr="00327E5C" w:rsidR="005520B7" w:rsidP="005520B7" w:rsidRDefault="005520B7" w14:paraId="2A41E83D" w14:textId="417F9CD5">
      <w:pPr>
        <w:pStyle w:val="ListParagraph"/>
        <w:numPr>
          <w:ilvl w:val="0"/>
          <w:numId w:val="10"/>
        </w:numPr>
        <w:rPr>
          <w:sz w:val="24"/>
        </w:rPr>
      </w:pPr>
      <w:r w:rsidRPr="00327E5C">
        <w:rPr>
          <w:sz w:val="24"/>
        </w:rPr>
        <w:t xml:space="preserve">Xie, M., &amp; Baumer, E. P. (2019). Neighborhood immigrant concentration and violent crime reporting to the police: A multilevel analysis of data from the National Crime Victimization Survey. </w:t>
      </w:r>
      <w:r w:rsidRPr="00327E5C">
        <w:rPr>
          <w:i/>
          <w:sz w:val="24"/>
        </w:rPr>
        <w:t>Criminology</w:t>
      </w:r>
      <w:r w:rsidRPr="00327E5C">
        <w:rPr>
          <w:sz w:val="24"/>
        </w:rPr>
        <w:t>.</w:t>
      </w:r>
      <w:r w:rsidRPr="00B811B8" w:rsidR="00B811B8">
        <w:rPr>
          <w:rFonts w:ascii="Arial" w:hAnsi="Arial" w:cs="Arial"/>
          <w:color w:val="333333"/>
          <w:sz w:val="21"/>
          <w:szCs w:val="21"/>
          <w:shd w:val="clear" w:color="auto" w:fill="FFFFFF"/>
        </w:rPr>
        <w:t xml:space="preserve"> </w:t>
      </w:r>
      <w:r w:rsidRPr="00B811B8" w:rsidR="00B811B8">
        <w:rPr>
          <w:rFonts w:asciiTheme="minorHAnsi" w:hAnsiTheme="minorHAnsi" w:cstheme="minorHAnsi"/>
          <w:color w:val="333333"/>
          <w:sz w:val="24"/>
          <w:szCs w:val="24"/>
          <w:shd w:val="clear" w:color="auto" w:fill="FFFFFF"/>
        </w:rPr>
        <w:t>57</w:t>
      </w:r>
      <w:r w:rsidR="002C6790">
        <w:rPr>
          <w:rFonts w:asciiTheme="minorHAnsi" w:hAnsiTheme="minorHAnsi" w:cstheme="minorHAnsi"/>
          <w:color w:val="333333"/>
          <w:sz w:val="24"/>
          <w:szCs w:val="24"/>
          <w:shd w:val="clear" w:color="auto" w:fill="FFFFFF"/>
        </w:rPr>
        <w:t>(2)</w:t>
      </w:r>
      <w:r w:rsidRPr="00B811B8" w:rsidR="00B811B8">
        <w:rPr>
          <w:rFonts w:asciiTheme="minorHAnsi" w:hAnsiTheme="minorHAnsi" w:cstheme="minorHAnsi"/>
          <w:color w:val="333333"/>
          <w:sz w:val="24"/>
          <w:szCs w:val="24"/>
          <w:shd w:val="clear" w:color="auto" w:fill="FFFFFF"/>
        </w:rPr>
        <w:t>:</w:t>
      </w:r>
      <w:r w:rsidR="00B811B8">
        <w:rPr>
          <w:rFonts w:asciiTheme="minorHAnsi" w:hAnsiTheme="minorHAnsi" w:cstheme="minorHAnsi"/>
          <w:color w:val="333333"/>
          <w:sz w:val="24"/>
          <w:szCs w:val="24"/>
          <w:shd w:val="clear" w:color="auto" w:fill="FFFFFF"/>
        </w:rPr>
        <w:t xml:space="preserve"> </w:t>
      </w:r>
      <w:r w:rsidRPr="00B811B8" w:rsidR="00B811B8">
        <w:rPr>
          <w:rFonts w:asciiTheme="minorHAnsi" w:hAnsiTheme="minorHAnsi" w:cstheme="minorHAnsi"/>
          <w:color w:val="333333"/>
          <w:sz w:val="24"/>
          <w:szCs w:val="24"/>
          <w:shd w:val="clear" w:color="auto" w:fill="FFFFFF"/>
        </w:rPr>
        <w:t>237–67</w:t>
      </w:r>
      <w:r w:rsidR="00B811B8">
        <w:t>.</w:t>
      </w:r>
      <w:r w:rsidRPr="00B811B8">
        <w:t xml:space="preserve"> </w:t>
      </w:r>
      <w:hyperlink w:history="1" r:id="rId27">
        <w:r w:rsidRPr="00327E5C">
          <w:rPr>
            <w:rStyle w:val="Hyperlink"/>
            <w:rFonts w:cs="Arial"/>
            <w:sz w:val="24"/>
          </w:rPr>
          <w:t>https://doi.org/10.1111/1745-9125.12204</w:t>
        </w:r>
      </w:hyperlink>
      <w:r w:rsidRPr="00327E5C">
        <w:rPr>
          <w:sz w:val="24"/>
        </w:rPr>
        <w:t>.</w:t>
      </w:r>
    </w:p>
    <w:p w:rsidRPr="00327E5C" w:rsidR="005520B7" w:rsidP="005520B7" w:rsidRDefault="005520B7" w14:paraId="3D7723D5" w14:textId="57B0788F">
      <w:pPr>
        <w:pStyle w:val="ListParagraph"/>
        <w:numPr>
          <w:ilvl w:val="0"/>
          <w:numId w:val="10"/>
        </w:numPr>
        <w:rPr>
          <w:sz w:val="24"/>
        </w:rPr>
      </w:pPr>
      <w:r w:rsidRPr="00327E5C">
        <w:rPr>
          <w:sz w:val="24"/>
        </w:rPr>
        <w:t xml:space="preserve">Xie, M., Heimer, K., Lynch, J.P., &amp; Planty, M. (2018). Why is the Victimization of Young Latino Adults Higher in New Areas of Settlement? </w:t>
      </w:r>
      <w:r w:rsidRPr="00327E5C">
        <w:rPr>
          <w:i/>
          <w:sz w:val="24"/>
        </w:rPr>
        <w:t>Journal of Quantitative Criminology.</w:t>
      </w:r>
      <w:r w:rsidRPr="00327E5C">
        <w:rPr>
          <w:sz w:val="24"/>
        </w:rPr>
        <w:t xml:space="preserve"> 34</w:t>
      </w:r>
      <w:r w:rsidR="002C6790">
        <w:rPr>
          <w:sz w:val="24"/>
        </w:rPr>
        <w:t>(3)</w:t>
      </w:r>
      <w:r w:rsidRPr="00327E5C">
        <w:rPr>
          <w:sz w:val="24"/>
        </w:rPr>
        <w:t>: 657–690.</w:t>
      </w:r>
      <w:r w:rsidR="00784367">
        <w:rPr>
          <w:sz w:val="24"/>
        </w:rPr>
        <w:t xml:space="preserve"> </w:t>
      </w:r>
      <w:hyperlink w:history="1" r:id="rId28">
        <w:r w:rsidRPr="000807E9" w:rsidR="00784367">
          <w:rPr>
            <w:rStyle w:val="Hyperlink"/>
            <w:sz w:val="24"/>
          </w:rPr>
          <w:t>https://doi.org/10.1007/s10940-017-9350-0</w:t>
        </w:r>
      </w:hyperlink>
      <w:r w:rsidR="00784367">
        <w:rPr>
          <w:sz w:val="24"/>
        </w:rPr>
        <w:t>.</w:t>
      </w:r>
    </w:p>
    <w:p w:rsidRPr="00327E5C" w:rsidR="005520B7" w:rsidP="005520B7" w:rsidRDefault="005520B7" w14:paraId="1EA67AA6" w14:textId="0851B454">
      <w:pPr>
        <w:pStyle w:val="ListParagraph"/>
        <w:numPr>
          <w:ilvl w:val="0"/>
          <w:numId w:val="10"/>
        </w:numPr>
        <w:rPr>
          <w:sz w:val="24"/>
        </w:rPr>
      </w:pPr>
      <w:r w:rsidRPr="00327E5C">
        <w:rPr>
          <w:sz w:val="24"/>
        </w:rPr>
        <w:t xml:space="preserve">Zaykowski, H., Allain, E., &amp; Campagna, L. M. (2019). Examining the paradox of crime reporting: Are disadvantaged victims more likely to report to the police? </w:t>
      </w:r>
      <w:r w:rsidRPr="00327E5C">
        <w:rPr>
          <w:i/>
          <w:sz w:val="24"/>
        </w:rPr>
        <w:t>Law and Society Review.</w:t>
      </w:r>
      <w:r w:rsidRPr="00327E5C">
        <w:rPr>
          <w:sz w:val="24"/>
        </w:rPr>
        <w:t xml:space="preserve"> 53</w:t>
      </w:r>
      <w:r w:rsidR="002C6790">
        <w:rPr>
          <w:sz w:val="24"/>
        </w:rPr>
        <w:t>(4)</w:t>
      </w:r>
      <w:r w:rsidR="00B811B8">
        <w:rPr>
          <w:sz w:val="24"/>
        </w:rPr>
        <w:t>:</w:t>
      </w:r>
      <w:r w:rsidRPr="00327E5C">
        <w:rPr>
          <w:sz w:val="24"/>
        </w:rPr>
        <w:t xml:space="preserve"> 1305-1340.</w:t>
      </w:r>
      <w:r w:rsidR="005E3905">
        <w:rPr>
          <w:sz w:val="24"/>
        </w:rPr>
        <w:t xml:space="preserve"> </w:t>
      </w:r>
      <w:hyperlink w:history="1" r:id="rId29">
        <w:r w:rsidRPr="000807E9" w:rsidR="005E3905">
          <w:rPr>
            <w:rStyle w:val="Hyperlink"/>
            <w:sz w:val="24"/>
          </w:rPr>
          <w:t>https://doi.org/10.1111/lasr.12440</w:t>
        </w:r>
      </w:hyperlink>
      <w:r w:rsidR="005E3905">
        <w:rPr>
          <w:sz w:val="24"/>
        </w:rPr>
        <w:t>.</w:t>
      </w:r>
    </w:p>
    <w:p w:rsidRPr="00B40277" w:rsidR="005520B7" w:rsidP="005520B7" w:rsidRDefault="005520B7" w14:paraId="73BBE4BB" w14:textId="77777777">
      <w:pPr>
        <w:pStyle w:val="Heading3"/>
      </w:pPr>
      <w:r w:rsidRPr="00B40277">
        <w:t xml:space="preserve">Others </w:t>
      </w:r>
    </w:p>
    <w:p w:rsidR="005520B7" w:rsidP="005520B7" w:rsidRDefault="005520B7" w14:paraId="0A42BD24" w14:textId="1459F610">
      <w:r w:rsidRPr="000000EB">
        <w:t>Independent groups also use the NCVS for policy an</w:t>
      </w:r>
      <w:r>
        <w:t xml:space="preserve">alysis, policy recommendations, </w:t>
      </w:r>
      <w:r w:rsidRPr="000000EB">
        <w:t>testimony before Congress, and documentation for use in courts.</w:t>
      </w:r>
      <w:r w:rsidR="00F564AD">
        <w:t xml:space="preserve"> </w:t>
      </w:r>
    </w:p>
    <w:p w:rsidR="005520B7" w:rsidP="005520B7" w:rsidRDefault="005520B7" w14:paraId="3D5ED470" w14:textId="77777777">
      <w:r w:rsidRPr="001123C9">
        <w:rPr>
          <w:b/>
        </w:rPr>
        <w:t>Financial Industry Regulatory Authority and Financial Fraud Research Center:</w:t>
      </w:r>
      <w:r>
        <w:t xml:space="preserve"> </w:t>
      </w:r>
      <w:r w:rsidRPr="00E66616">
        <w:t xml:space="preserve">Researchers from the Financial Fraud Research Center (FFRC), a joint project of the Stanford Center on Longevity and the </w:t>
      </w:r>
      <w:r>
        <w:t xml:space="preserve">Financial Industry Regulatory Authority </w:t>
      </w:r>
      <w:r w:rsidRPr="00E66616">
        <w:t>Investor Education Foundation (FINRA Foundation)</w:t>
      </w:r>
      <w:r>
        <w:t xml:space="preserve"> collaborated with BJS to develop a standardized fraud classification scheme.</w:t>
      </w:r>
      <w:r>
        <w:rPr>
          <w:rStyle w:val="FootnoteReference"/>
          <w:szCs w:val="24"/>
        </w:rPr>
        <w:footnoteReference w:id="2"/>
      </w:r>
      <w:r>
        <w:t xml:space="preserve"> This was then translated into survey questions that were administered on the Supplemental Fraud Survey (SFS) to the NCVS. </w:t>
      </w:r>
    </w:p>
    <w:p w:rsidR="005520B7" w:rsidP="005520B7" w:rsidRDefault="005520B7" w14:paraId="7A0895AA" w14:textId="77777777">
      <w:r w:rsidRPr="001123C9">
        <w:rPr>
          <w:b/>
        </w:rPr>
        <w:t>National Crime Prevention Council:</w:t>
      </w:r>
      <w:r>
        <w:t xml:space="preserve"> </w:t>
      </w:r>
      <w:r w:rsidRPr="000000EB">
        <w:t>Uses the NCVS data to develop programs on crime prevention and to train and educate individuals, communities, and organizations throughout the United States on effective crime prevention practices.</w:t>
      </w:r>
    </w:p>
    <w:p w:rsidRPr="001123C9" w:rsidR="005520B7" w:rsidP="005520B7" w:rsidRDefault="005520B7" w14:paraId="366297D0" w14:textId="5A4181A1">
      <w:pPr>
        <w:rPr>
          <w:szCs w:val="24"/>
        </w:rPr>
      </w:pPr>
      <w:r w:rsidRPr="001123C9">
        <w:rPr>
          <w:b/>
          <w:szCs w:val="24"/>
        </w:rPr>
        <w:t>Victim Advocacy Groups:</w:t>
      </w:r>
      <w:r>
        <w:rPr>
          <w:szCs w:val="24"/>
        </w:rPr>
        <w:t xml:space="preserve"> </w:t>
      </w:r>
      <w:r w:rsidRPr="000000EB">
        <w:t xml:space="preserve">Use the data to identify vulnerable populations, </w:t>
      </w:r>
      <w:r w:rsidR="009900B7">
        <w:t xml:space="preserve">such as </w:t>
      </w:r>
      <w:r w:rsidRPr="000000EB">
        <w:t xml:space="preserve">crime victims </w:t>
      </w:r>
      <w:r w:rsidR="009900B7">
        <w:t>who</w:t>
      </w:r>
      <w:r w:rsidRPr="000000EB" w:rsidR="009900B7">
        <w:t xml:space="preserve"> </w:t>
      </w:r>
      <w:r w:rsidRPr="000000EB">
        <w:t>do not receive necessary criminal justice system resources, and to draw attention to the emotional, physical, and economic consequences of victimization.</w:t>
      </w:r>
    </w:p>
    <w:p w:rsidRPr="000000EB" w:rsidR="005520B7" w:rsidP="005520B7" w:rsidRDefault="005520B7" w14:paraId="7F66E68B" w14:textId="77777777">
      <w:r w:rsidRPr="001123C9">
        <w:rPr>
          <w:b/>
        </w:rPr>
        <w:t>Community Groups:</w:t>
      </w:r>
      <w:r>
        <w:t xml:space="preserve"> </w:t>
      </w:r>
      <w:r w:rsidRPr="000000EB">
        <w:t xml:space="preserve">Use the data to develop neighborhood watch programs. </w:t>
      </w:r>
    </w:p>
    <w:p w:rsidR="002526D6" w:rsidRDefault="002526D6" w14:paraId="49B04916" w14:textId="77777777">
      <w:pPr>
        <w:widowControl/>
        <w:autoSpaceDE/>
        <w:autoSpaceDN/>
        <w:adjustRightInd/>
        <w:spacing w:after="0"/>
        <w:rPr>
          <w:b/>
        </w:rPr>
      </w:pPr>
      <w:r>
        <w:rPr>
          <w:b/>
        </w:rPr>
        <w:br w:type="page"/>
      </w:r>
    </w:p>
    <w:p w:rsidRPr="000000EB" w:rsidR="005520B7" w:rsidP="005520B7" w:rsidRDefault="005520B7" w14:paraId="29A7567D" w14:textId="43C723AC">
      <w:r w:rsidRPr="001123C9">
        <w:rPr>
          <w:b/>
        </w:rPr>
        <w:lastRenderedPageBreak/>
        <w:t>Law enforcement agencies:</w:t>
      </w:r>
      <w:r>
        <w:t xml:space="preserve"> </w:t>
      </w:r>
      <w:r w:rsidRPr="000000EB">
        <w:t>Use the NCVS findings to gain a better understand</w:t>
      </w:r>
      <w:r w:rsidR="009900B7">
        <w:t>ing of</w:t>
      </w:r>
      <w:r w:rsidRPr="000000EB">
        <w:t xml:space="preserve"> the types of crimes that are and are not reported to the police and what percentage of crime goes unreported</w:t>
      </w:r>
      <w:r w:rsidR="00A43BC3">
        <w:t xml:space="preserve"> and </w:t>
      </w:r>
      <w:r w:rsidRPr="000000EB">
        <w:t>to understand the reasons why victims do not report to the police</w:t>
      </w:r>
      <w:r>
        <w:t>.</w:t>
      </w:r>
    </w:p>
    <w:p w:rsidR="005520B7" w:rsidP="005520B7" w:rsidRDefault="005520B7" w14:paraId="13ADB3C8" w14:textId="77777777">
      <w:pPr>
        <w:rPr>
          <w:szCs w:val="24"/>
        </w:rPr>
      </w:pPr>
      <w:r w:rsidRPr="001123C9">
        <w:rPr>
          <w:b/>
          <w:bCs/>
          <w:szCs w:val="24"/>
        </w:rPr>
        <w:t>Media</w:t>
      </w:r>
      <w:r>
        <w:rPr>
          <w:szCs w:val="24"/>
        </w:rPr>
        <w:t xml:space="preserve">: </w:t>
      </w:r>
      <w:r w:rsidRPr="000000EB">
        <w:rPr>
          <w:szCs w:val="24"/>
        </w:rPr>
        <w:t xml:space="preserve">The media have become increasingly familiar with the NCVS data and the public regularly </w:t>
      </w:r>
      <w:r>
        <w:rPr>
          <w:szCs w:val="24"/>
        </w:rPr>
        <w:t xml:space="preserve">sees </w:t>
      </w:r>
      <w:r w:rsidRPr="000000EB">
        <w:rPr>
          <w:szCs w:val="24"/>
        </w:rPr>
        <w:t>news articles and press releases containing NCVS data. Findings from the NCVS appear regularly on a host of crime-related topics in a wide variety of contexts.</w:t>
      </w:r>
    </w:p>
    <w:p w:rsidR="005520B7" w:rsidP="005520B7" w:rsidRDefault="005520B7" w14:paraId="09D6C63E" w14:textId="77777777"/>
    <w:p w:rsidR="00256E98" w:rsidP="00256E98" w:rsidRDefault="00256E98" w14:paraId="0F7FF00C" w14:textId="77777777">
      <w:pPr>
        <w:pStyle w:val="Heading2"/>
      </w:pPr>
      <w:r>
        <w:t>Updates to the NCVS core and supplements 2022-2024</w:t>
      </w:r>
    </w:p>
    <w:p w:rsidRPr="00256E98" w:rsidR="00256E98" w:rsidP="00256E98" w:rsidRDefault="00256E98" w14:paraId="3A28C6B0" w14:textId="77777777"/>
    <w:p w:rsidR="00256E98" w:rsidP="00256E98" w:rsidRDefault="00256E98" w14:paraId="495B2EF8" w14:textId="77777777">
      <w:pPr>
        <w:pStyle w:val="Heading3"/>
      </w:pPr>
      <w:r>
        <w:t>NCVS core instrument</w:t>
      </w:r>
    </w:p>
    <w:p w:rsidR="00256E98" w:rsidP="00256E98" w:rsidRDefault="00256E98" w14:paraId="4A25C28D" w14:textId="0718DF00">
      <w:pPr>
        <w:rPr>
          <w:highlight w:val="yellow"/>
        </w:rPr>
      </w:pPr>
    </w:p>
    <w:p w:rsidR="002F33D6" w:rsidP="002526D6" w:rsidRDefault="00A7665C" w14:paraId="05D0000A" w14:textId="7BC2AFAE">
      <w:pPr>
        <w:rPr>
          <w:rFonts w:ascii="Calibri" w:hAnsi="Calibri" w:cs="Arial"/>
          <w:color w:val="000000"/>
          <w:szCs w:val="24"/>
        </w:rPr>
      </w:pPr>
      <w:r>
        <w:rPr>
          <w:rFonts w:ascii="Calibri" w:hAnsi="Calibri" w:cs="Arial"/>
          <w:color w:val="000000"/>
          <w:szCs w:val="24"/>
        </w:rPr>
        <w:t>I</w:t>
      </w:r>
      <w:r w:rsidR="0079798C">
        <w:rPr>
          <w:rFonts w:ascii="Calibri" w:hAnsi="Calibri" w:cs="Arial"/>
          <w:color w:val="000000"/>
          <w:szCs w:val="24"/>
        </w:rPr>
        <w:t>n an effort to modernized the NCVS instrument</w:t>
      </w:r>
      <w:r w:rsidRPr="00D62D7B" w:rsidR="00A93BAE">
        <w:rPr>
          <w:rFonts w:ascii="Calibri" w:hAnsi="Calibri" w:cs="Arial"/>
          <w:color w:val="000000"/>
          <w:szCs w:val="24"/>
        </w:rPr>
        <w:t>,</w:t>
      </w:r>
      <w:r w:rsidR="00A93BAE">
        <w:rPr>
          <w:rFonts w:ascii="Calibri" w:hAnsi="Calibri" w:cs="Arial"/>
          <w:color w:val="000000"/>
          <w:szCs w:val="24"/>
        </w:rPr>
        <w:t xml:space="preserve"> BJS felt that important near-term changes could be made to improve the relevance and utility of the NCVS without affecting </w:t>
      </w:r>
      <w:r w:rsidR="009900B7">
        <w:rPr>
          <w:rFonts w:ascii="Calibri" w:hAnsi="Calibri" w:cs="Arial"/>
          <w:color w:val="000000"/>
          <w:szCs w:val="24"/>
        </w:rPr>
        <w:t xml:space="preserve">the </w:t>
      </w:r>
      <w:r w:rsidR="00386C1D">
        <w:rPr>
          <w:rFonts w:ascii="Calibri" w:hAnsi="Calibri" w:cs="Arial"/>
          <w:color w:val="000000"/>
          <w:szCs w:val="24"/>
        </w:rPr>
        <w:t xml:space="preserve">measurement of </w:t>
      </w:r>
      <w:r w:rsidR="00A93BAE">
        <w:rPr>
          <w:rFonts w:ascii="Calibri" w:hAnsi="Calibri" w:cs="Arial"/>
          <w:color w:val="000000"/>
          <w:szCs w:val="24"/>
        </w:rPr>
        <w:t xml:space="preserve">the victimization rates. One area </w:t>
      </w:r>
      <w:r w:rsidR="00386C1D">
        <w:rPr>
          <w:rFonts w:ascii="Calibri" w:hAnsi="Calibri" w:cs="Arial"/>
          <w:color w:val="000000"/>
          <w:szCs w:val="24"/>
        </w:rPr>
        <w:t xml:space="preserve">most </w:t>
      </w:r>
      <w:r w:rsidR="00A93BAE">
        <w:rPr>
          <w:rFonts w:ascii="Calibri" w:hAnsi="Calibri" w:cs="Arial"/>
          <w:color w:val="000000"/>
          <w:szCs w:val="24"/>
        </w:rPr>
        <w:t xml:space="preserve">in need of modernization to better address policy-relevant questions </w:t>
      </w:r>
      <w:r w:rsidR="00386C1D">
        <w:rPr>
          <w:rFonts w:ascii="Calibri" w:hAnsi="Calibri" w:cs="Arial"/>
          <w:color w:val="000000"/>
          <w:szCs w:val="24"/>
        </w:rPr>
        <w:t>i</w:t>
      </w:r>
      <w:r w:rsidR="00A93BAE">
        <w:rPr>
          <w:rFonts w:ascii="Calibri" w:hAnsi="Calibri" w:cs="Arial"/>
          <w:color w:val="000000"/>
          <w:szCs w:val="24"/>
        </w:rPr>
        <w:t xml:space="preserve">s the </w:t>
      </w:r>
      <w:r w:rsidRPr="00ED47CB" w:rsidR="00A93BAE">
        <w:rPr>
          <w:rFonts w:ascii="Calibri" w:hAnsi="Calibri" w:cs="Arial"/>
          <w:color w:val="000000"/>
          <w:szCs w:val="24"/>
        </w:rPr>
        <w:t>socio-demographic information collected about respondents</w:t>
      </w:r>
      <w:r w:rsidR="00A93BAE">
        <w:rPr>
          <w:rFonts w:ascii="Calibri" w:hAnsi="Calibri" w:cs="Arial"/>
          <w:color w:val="000000"/>
          <w:szCs w:val="24"/>
        </w:rPr>
        <w:t xml:space="preserve">. </w:t>
      </w:r>
    </w:p>
    <w:p w:rsidR="00A93BAE" w:rsidP="002526D6" w:rsidRDefault="0079798C" w14:paraId="4621FEB4" w14:textId="07F036C1">
      <w:pPr>
        <w:rPr>
          <w:rFonts w:ascii="Calibri" w:hAnsi="Calibri" w:cs="Arial"/>
          <w:color w:val="000000"/>
          <w:szCs w:val="24"/>
        </w:rPr>
      </w:pPr>
      <w:r>
        <w:rPr>
          <w:rFonts w:ascii="Calibri" w:hAnsi="Calibri" w:cs="Arial"/>
          <w:color w:val="000000"/>
          <w:szCs w:val="24"/>
        </w:rPr>
        <w:t>As a result,</w:t>
      </w:r>
      <w:r w:rsidRPr="00851908" w:rsidR="00A93BAE">
        <w:rPr>
          <w:rFonts w:ascii="Calibri" w:hAnsi="Calibri" w:cs="Arial"/>
          <w:color w:val="000000"/>
          <w:szCs w:val="24"/>
        </w:rPr>
        <w:t xml:space="preserve"> new socio-demographic measures </w:t>
      </w:r>
      <w:r w:rsidR="00A93BAE">
        <w:rPr>
          <w:rFonts w:ascii="Calibri" w:hAnsi="Calibri" w:cs="Arial"/>
          <w:color w:val="000000"/>
          <w:szCs w:val="24"/>
        </w:rPr>
        <w:t>were</w:t>
      </w:r>
      <w:r w:rsidRPr="00851908" w:rsidR="00A93BAE">
        <w:rPr>
          <w:rFonts w:ascii="Calibri" w:hAnsi="Calibri" w:cs="Arial"/>
          <w:color w:val="000000"/>
          <w:szCs w:val="24"/>
        </w:rPr>
        <w:t xml:space="preserve"> added </w:t>
      </w:r>
      <w:r w:rsidR="00A93BAE">
        <w:rPr>
          <w:rFonts w:ascii="Calibri" w:hAnsi="Calibri" w:cs="Arial"/>
          <w:color w:val="000000"/>
          <w:szCs w:val="24"/>
        </w:rPr>
        <w:t>to the NCVS beginning July 1, 2016</w:t>
      </w:r>
      <w:r w:rsidRPr="00851908" w:rsidR="00A93BAE">
        <w:rPr>
          <w:rFonts w:ascii="Calibri" w:hAnsi="Calibri" w:cs="Arial"/>
          <w:color w:val="000000"/>
          <w:szCs w:val="24"/>
        </w:rPr>
        <w:t xml:space="preserve">: veteran status, citizenship, sexual orientation, and gender identity. </w:t>
      </w:r>
      <w:r w:rsidR="00A93BAE">
        <w:rPr>
          <w:rFonts w:ascii="Calibri" w:hAnsi="Calibri" w:cs="Arial"/>
          <w:color w:val="000000"/>
          <w:szCs w:val="24"/>
        </w:rPr>
        <w:t xml:space="preserve">In addition, disability status </w:t>
      </w:r>
      <w:r w:rsidR="00F62689">
        <w:rPr>
          <w:rFonts w:ascii="Calibri" w:hAnsi="Calibri" w:cs="Arial"/>
          <w:color w:val="000000"/>
          <w:szCs w:val="24"/>
        </w:rPr>
        <w:t xml:space="preserve">was </w:t>
      </w:r>
      <w:r w:rsidR="00A93BAE">
        <w:rPr>
          <w:rFonts w:ascii="Calibri" w:hAnsi="Calibri" w:cs="Arial"/>
          <w:color w:val="000000"/>
          <w:szCs w:val="24"/>
        </w:rPr>
        <w:t xml:space="preserve">asked of all respondents and the household income response categories </w:t>
      </w:r>
      <w:r w:rsidR="00F62689">
        <w:rPr>
          <w:rFonts w:ascii="Calibri" w:hAnsi="Calibri" w:cs="Arial"/>
          <w:color w:val="000000"/>
          <w:szCs w:val="24"/>
        </w:rPr>
        <w:t>were</w:t>
      </w:r>
      <w:r w:rsidR="00A93BAE">
        <w:rPr>
          <w:rFonts w:ascii="Calibri" w:hAnsi="Calibri" w:cs="Arial"/>
          <w:color w:val="000000"/>
          <w:szCs w:val="24"/>
        </w:rPr>
        <w:t xml:space="preserve"> expanded. </w:t>
      </w:r>
      <w:r w:rsidRPr="00851908" w:rsidR="00A93BAE">
        <w:rPr>
          <w:rFonts w:ascii="Calibri" w:hAnsi="Calibri" w:cs="Arial"/>
          <w:color w:val="000000"/>
          <w:szCs w:val="24"/>
        </w:rPr>
        <w:t xml:space="preserve">These measures have been identified in other research as subgroups of interest to key stakeholders and correlates </w:t>
      </w:r>
      <w:r w:rsidR="00D93740">
        <w:rPr>
          <w:rFonts w:ascii="Calibri" w:hAnsi="Calibri" w:cs="Arial"/>
          <w:color w:val="000000"/>
          <w:szCs w:val="24"/>
        </w:rPr>
        <w:t>of</w:t>
      </w:r>
      <w:r w:rsidRPr="00851908" w:rsidR="00D93740">
        <w:rPr>
          <w:rFonts w:ascii="Calibri" w:hAnsi="Calibri" w:cs="Arial"/>
          <w:color w:val="000000"/>
          <w:szCs w:val="24"/>
        </w:rPr>
        <w:t xml:space="preserve"> </w:t>
      </w:r>
      <w:r w:rsidRPr="00851908" w:rsidR="00A93BAE">
        <w:rPr>
          <w:rFonts w:ascii="Calibri" w:hAnsi="Calibri" w:cs="Arial"/>
          <w:color w:val="000000"/>
          <w:szCs w:val="24"/>
        </w:rPr>
        <w:t>victimization. For example, sexual orientation and gender identity are recognized in the 2013 reauthorized Violence Against Women Act (VAWA)</w:t>
      </w:r>
      <w:r w:rsidR="00D93740">
        <w:rPr>
          <w:rFonts w:ascii="Calibri" w:hAnsi="Calibri" w:cs="Arial"/>
          <w:color w:val="000000"/>
          <w:szCs w:val="24"/>
        </w:rPr>
        <w:t xml:space="preserve"> (</w:t>
      </w:r>
      <w:r w:rsidRPr="0079798C">
        <w:rPr>
          <w:rFonts w:ascii="Calibri" w:hAnsi="Calibri" w:cs="Arial"/>
          <w:color w:val="000000"/>
          <w:szCs w:val="24"/>
        </w:rPr>
        <w:t>Pub</w:t>
      </w:r>
      <w:r>
        <w:rPr>
          <w:rFonts w:ascii="Calibri" w:hAnsi="Calibri" w:cs="Arial"/>
          <w:color w:val="000000"/>
          <w:szCs w:val="24"/>
        </w:rPr>
        <w:t xml:space="preserve">lic </w:t>
      </w:r>
      <w:r w:rsidRPr="0079798C">
        <w:rPr>
          <w:rFonts w:ascii="Calibri" w:hAnsi="Calibri" w:cs="Arial"/>
          <w:color w:val="000000"/>
          <w:szCs w:val="24"/>
        </w:rPr>
        <w:t>L</w:t>
      </w:r>
      <w:r>
        <w:rPr>
          <w:rFonts w:ascii="Calibri" w:hAnsi="Calibri" w:cs="Arial"/>
          <w:color w:val="000000"/>
          <w:szCs w:val="24"/>
        </w:rPr>
        <w:t>aw</w:t>
      </w:r>
      <w:r w:rsidRPr="0079798C">
        <w:rPr>
          <w:rFonts w:ascii="Calibri" w:hAnsi="Calibri" w:cs="Arial"/>
          <w:color w:val="000000"/>
          <w:szCs w:val="24"/>
        </w:rPr>
        <w:t xml:space="preserve"> 103–322</w:t>
      </w:r>
      <w:r w:rsidR="00D93740">
        <w:rPr>
          <w:rFonts w:ascii="Calibri" w:hAnsi="Calibri" w:cs="Arial"/>
          <w:color w:val="000000"/>
          <w:szCs w:val="24"/>
        </w:rPr>
        <w:t>)</w:t>
      </w:r>
      <w:r w:rsidRPr="00851908" w:rsidR="00A93BAE">
        <w:rPr>
          <w:rFonts w:ascii="Calibri" w:hAnsi="Calibri" w:cs="Arial"/>
          <w:color w:val="000000"/>
          <w:szCs w:val="24"/>
        </w:rPr>
        <w:t>. Additionally, the inclusion of these items allow</w:t>
      </w:r>
      <w:r w:rsidR="00C93210">
        <w:rPr>
          <w:rFonts w:ascii="Calibri" w:hAnsi="Calibri" w:cs="Arial"/>
          <w:color w:val="000000"/>
          <w:szCs w:val="24"/>
        </w:rPr>
        <w:t>s</w:t>
      </w:r>
      <w:r w:rsidRPr="00851908" w:rsidR="00A93BAE">
        <w:rPr>
          <w:rFonts w:ascii="Calibri" w:hAnsi="Calibri" w:cs="Arial"/>
          <w:color w:val="000000"/>
          <w:szCs w:val="24"/>
        </w:rPr>
        <w:t xml:space="preserve"> researchers to better understand the relationships between these variables and experiences with criminal victimization. These </w:t>
      </w:r>
      <w:r w:rsidR="00A93BAE">
        <w:rPr>
          <w:rFonts w:ascii="Calibri" w:hAnsi="Calibri" w:cs="Arial"/>
          <w:color w:val="000000"/>
          <w:szCs w:val="24"/>
        </w:rPr>
        <w:t>new</w:t>
      </w:r>
      <w:r w:rsidRPr="00851908" w:rsidR="00A93BAE">
        <w:rPr>
          <w:rFonts w:ascii="Calibri" w:hAnsi="Calibri" w:cs="Arial"/>
          <w:color w:val="000000"/>
          <w:szCs w:val="24"/>
        </w:rPr>
        <w:t xml:space="preserve"> socio-demographic measures </w:t>
      </w:r>
      <w:r w:rsidR="00A93BAE">
        <w:rPr>
          <w:rFonts w:ascii="Calibri" w:hAnsi="Calibri" w:cs="Arial"/>
          <w:color w:val="000000"/>
          <w:szCs w:val="24"/>
        </w:rPr>
        <w:t>were</w:t>
      </w:r>
      <w:r w:rsidRPr="00851908" w:rsidR="00A93BAE">
        <w:rPr>
          <w:rFonts w:ascii="Calibri" w:hAnsi="Calibri" w:cs="Arial"/>
          <w:color w:val="000000"/>
          <w:szCs w:val="24"/>
        </w:rPr>
        <w:t xml:space="preserve"> </w:t>
      </w:r>
      <w:r w:rsidR="00A93BAE">
        <w:rPr>
          <w:rFonts w:ascii="Calibri" w:hAnsi="Calibri" w:cs="Arial"/>
          <w:color w:val="000000"/>
          <w:szCs w:val="24"/>
        </w:rPr>
        <w:t>approved by OMB through a non-substantive modification to the NCVS under the existing clearance (OMB No. 1121-0111)</w:t>
      </w:r>
      <w:r w:rsidRPr="00851908" w:rsidR="00A93BAE">
        <w:rPr>
          <w:rFonts w:ascii="Calibri" w:hAnsi="Calibri" w:cs="Arial"/>
          <w:color w:val="000000"/>
          <w:szCs w:val="24"/>
        </w:rPr>
        <w:t>.</w:t>
      </w:r>
    </w:p>
    <w:p w:rsidR="00A93BAE" w:rsidP="002526D6" w:rsidRDefault="00A93BAE" w14:paraId="33004C1F" w14:textId="76DAADAE">
      <w:pPr>
        <w:rPr>
          <w:rFonts w:ascii="Calibri" w:hAnsi="Calibri" w:cs="Arial"/>
          <w:color w:val="000000"/>
          <w:szCs w:val="24"/>
        </w:rPr>
      </w:pPr>
      <w:r w:rsidRPr="00D62D7B">
        <w:rPr>
          <w:rFonts w:ascii="Calibri" w:hAnsi="Calibri" w:cs="Arial"/>
          <w:color w:val="000000"/>
          <w:szCs w:val="24"/>
        </w:rPr>
        <w:t xml:space="preserve">Upon implementation in July of 2016, questions pertaining to sexual orientation and gender identity were initially administered to all </w:t>
      </w:r>
      <w:r w:rsidRPr="00D62D7B">
        <w:rPr>
          <w:rFonts w:ascii="Calibri" w:hAnsi="Calibri" w:cs="Arial"/>
          <w:i/>
          <w:color w:val="000000"/>
          <w:szCs w:val="24"/>
        </w:rPr>
        <w:t xml:space="preserve">respondents </w:t>
      </w:r>
      <w:r w:rsidRPr="00D62D7B">
        <w:rPr>
          <w:rFonts w:ascii="Calibri" w:hAnsi="Calibri" w:cs="Arial"/>
          <w:color w:val="000000"/>
          <w:szCs w:val="24"/>
        </w:rPr>
        <w:t xml:space="preserve">age 16 or older at their first, third, fifth, </w:t>
      </w:r>
      <w:r w:rsidR="005C51C1">
        <w:rPr>
          <w:rFonts w:ascii="Calibri" w:hAnsi="Calibri" w:cs="Arial"/>
          <w:color w:val="000000"/>
          <w:szCs w:val="24"/>
        </w:rPr>
        <w:t>and</w:t>
      </w:r>
      <w:r w:rsidRPr="00D62D7B" w:rsidR="005C51C1">
        <w:rPr>
          <w:rFonts w:ascii="Calibri" w:hAnsi="Calibri" w:cs="Arial"/>
          <w:color w:val="000000"/>
          <w:szCs w:val="24"/>
        </w:rPr>
        <w:t xml:space="preserve"> </w:t>
      </w:r>
      <w:r w:rsidRPr="00D62D7B">
        <w:rPr>
          <w:rFonts w:ascii="Calibri" w:hAnsi="Calibri" w:cs="Arial"/>
          <w:color w:val="000000"/>
          <w:szCs w:val="24"/>
        </w:rPr>
        <w:t>seventh interview</w:t>
      </w:r>
      <w:r w:rsidR="009900B7">
        <w:rPr>
          <w:rFonts w:ascii="Calibri" w:hAnsi="Calibri" w:cs="Arial"/>
          <w:color w:val="000000"/>
          <w:szCs w:val="24"/>
        </w:rPr>
        <w:t>s</w:t>
      </w:r>
      <w:r w:rsidRPr="00D62D7B">
        <w:rPr>
          <w:rFonts w:ascii="Calibri" w:hAnsi="Calibri" w:cs="Arial"/>
          <w:color w:val="000000"/>
          <w:szCs w:val="24"/>
        </w:rPr>
        <w:t xml:space="preserve">, or if they had not been asked the questions before. In April 2018, BJS submitted a proposal to OMB to raise the minimum age at which questions pertaining to sexual orientation and gender identity </w:t>
      </w:r>
      <w:r w:rsidR="00F62689">
        <w:rPr>
          <w:rFonts w:ascii="Calibri" w:hAnsi="Calibri" w:cs="Arial"/>
          <w:color w:val="000000"/>
          <w:szCs w:val="24"/>
        </w:rPr>
        <w:t>were</w:t>
      </w:r>
      <w:r w:rsidRPr="00D62D7B" w:rsidR="00F62689">
        <w:rPr>
          <w:rFonts w:ascii="Calibri" w:hAnsi="Calibri" w:cs="Arial"/>
          <w:color w:val="000000"/>
          <w:szCs w:val="24"/>
        </w:rPr>
        <w:t xml:space="preserve"> </w:t>
      </w:r>
      <w:r w:rsidRPr="00D62D7B">
        <w:rPr>
          <w:rFonts w:ascii="Calibri" w:hAnsi="Calibri" w:cs="Arial"/>
          <w:color w:val="000000"/>
          <w:szCs w:val="24"/>
        </w:rPr>
        <w:t xml:space="preserve">asked, from 16 to 18, out of concern over the potential sensitivity of these items. When comments on the proposed revision were solicited as part of the overall review and approval process through a 30-day notice in the Federal Register, BJS received numerous comments in response to this proposal. In weighing these comments along with BJS’s goals to preserve the utility of the survey data, BJS leadership amended the proposal. </w:t>
      </w:r>
    </w:p>
    <w:p w:rsidR="002526D6" w:rsidRDefault="002526D6" w14:paraId="2CEE265A" w14:textId="77777777">
      <w:pPr>
        <w:widowControl/>
        <w:autoSpaceDE/>
        <w:autoSpaceDN/>
        <w:adjustRightInd/>
        <w:spacing w:after="0"/>
        <w:rPr>
          <w:rFonts w:ascii="Calibri" w:hAnsi="Calibri" w:cs="Arial"/>
          <w:color w:val="000000"/>
          <w:szCs w:val="24"/>
        </w:rPr>
      </w:pPr>
      <w:r>
        <w:rPr>
          <w:rFonts w:ascii="Calibri" w:hAnsi="Calibri" w:cs="Arial"/>
          <w:color w:val="000000"/>
          <w:szCs w:val="24"/>
        </w:rPr>
        <w:br w:type="page"/>
      </w:r>
    </w:p>
    <w:p w:rsidRPr="00D62D7B" w:rsidR="00A93BAE" w:rsidP="0025384C" w:rsidRDefault="00A93BAE" w14:paraId="7B5B43CC" w14:textId="0157A290">
      <w:pPr>
        <w:rPr>
          <w:rFonts w:ascii="Calibri" w:hAnsi="Calibri" w:cs="Arial"/>
          <w:color w:val="000000"/>
          <w:szCs w:val="24"/>
        </w:rPr>
      </w:pPr>
      <w:r w:rsidRPr="00D62D7B">
        <w:rPr>
          <w:rFonts w:ascii="Calibri" w:hAnsi="Calibri" w:cs="Arial"/>
          <w:color w:val="000000"/>
          <w:szCs w:val="24"/>
        </w:rPr>
        <w:lastRenderedPageBreak/>
        <w:t xml:space="preserve">As a result, </w:t>
      </w:r>
      <w:r w:rsidRPr="00D62D7B">
        <w:rPr>
          <w:szCs w:val="24"/>
        </w:rPr>
        <w:t xml:space="preserve">BJS determined that the sexual orientation and gender identity questions would be administered to </w:t>
      </w:r>
      <w:r w:rsidRPr="00D62D7B">
        <w:rPr>
          <w:i/>
          <w:szCs w:val="24"/>
        </w:rPr>
        <w:t xml:space="preserve">victims </w:t>
      </w:r>
      <w:r w:rsidRPr="00D62D7B">
        <w:rPr>
          <w:szCs w:val="24"/>
        </w:rPr>
        <w:t>age 16 or older. With these revisions to the questionnaire, BJS would only be able to produce victimization estimates (counts and percentages of victims) by sexual orientation and gender identity status for persons age 16 or older. These changes were implemented in July 2019 and administered only to victims age 16 or older. In addition, these questions are only asked once of all victims during the time they remain in sample, rather than asking at their first, third, fifth, and seventh interview</w:t>
      </w:r>
      <w:r w:rsidR="009900B7">
        <w:rPr>
          <w:szCs w:val="24"/>
        </w:rPr>
        <w:t>s</w:t>
      </w:r>
      <w:r w:rsidRPr="00D62D7B">
        <w:rPr>
          <w:szCs w:val="24"/>
        </w:rPr>
        <w:t xml:space="preserve">. This change was approved by OMB in February 2019 under the existing clearance </w:t>
      </w:r>
      <w:r w:rsidRPr="00D62D7B">
        <w:rPr>
          <w:rFonts w:ascii="Calibri" w:hAnsi="Calibri" w:cs="Arial"/>
          <w:color w:val="000000"/>
          <w:szCs w:val="24"/>
        </w:rPr>
        <w:t>(OMB No. 1121-0111).</w:t>
      </w:r>
      <w:r w:rsidRPr="00D62D7B">
        <w:rPr>
          <w:szCs w:val="24"/>
        </w:rPr>
        <w:t xml:space="preserve"> </w:t>
      </w:r>
    </w:p>
    <w:p w:rsidR="00A93BAE" w:rsidP="002526D6" w:rsidRDefault="00A93BAE" w14:paraId="0B669BB6" w14:textId="3ABA4528">
      <w:pPr>
        <w:rPr>
          <w:rFonts w:ascii="Calibri" w:hAnsi="Calibri" w:cs="Arial"/>
          <w:color w:val="000000"/>
          <w:szCs w:val="24"/>
        </w:rPr>
      </w:pPr>
      <w:r w:rsidRPr="00D62D7B">
        <w:rPr>
          <w:rFonts w:ascii="Calibri" w:hAnsi="Calibri" w:cs="Arial"/>
          <w:color w:val="000000"/>
          <w:szCs w:val="24"/>
        </w:rPr>
        <w:t xml:space="preserve">Since these changes to the sexual orientation and gender identity questions were implemented in July 2019, BJS has monitored the NCVS performance in general and the performance of these items, including unit and item nonresponse. From 2017 (the first full year of SOGI data collection) to 2019, data quality measures continue to indicate no performance issues in the collection of sexual orientation and gender identity data. Overall NCVS household and person response rates have continued to decline over time. In 2017, the household response rate was 76% compared to 71% in 2019; the person response rate was 84% in 2017 compared to 83% in 2019. </w:t>
      </w:r>
    </w:p>
    <w:p w:rsidR="00596CF4" w:rsidP="002526D6" w:rsidRDefault="00A93BAE" w14:paraId="465F6C89" w14:textId="4FC79C07">
      <w:pPr>
        <w:rPr>
          <w:rFonts w:ascii="Calibri" w:hAnsi="Calibri" w:cs="Arial"/>
          <w:color w:val="000000"/>
          <w:szCs w:val="24"/>
        </w:rPr>
      </w:pPr>
      <w:r w:rsidRPr="00D62D7B">
        <w:rPr>
          <w:rFonts w:ascii="Calibri" w:hAnsi="Calibri" w:cs="Arial"/>
          <w:color w:val="000000"/>
          <w:szCs w:val="24"/>
        </w:rPr>
        <w:t xml:space="preserve">The decline in overall response was consistent for both adults and youth, though youth nonresponse increased at a higher rate than adults. From 2017 to 2019, the response rate declined from 86% to 85% for persons age 18 and older and from 58% to 54% for persons ages 16 and 17. Item nonresponse on the sexual orientation and gender identity measures remained similar over time. For sexual orientation, the percentage of persons who refused to answer ranged from 2% to 2.5% </w:t>
      </w:r>
      <w:r w:rsidR="009900B7">
        <w:rPr>
          <w:rFonts w:ascii="Calibri" w:hAnsi="Calibri" w:cs="Arial"/>
          <w:color w:val="000000"/>
          <w:szCs w:val="24"/>
        </w:rPr>
        <w:t>from</w:t>
      </w:r>
      <w:r w:rsidRPr="00D62D7B" w:rsidR="009900B7">
        <w:rPr>
          <w:rFonts w:ascii="Calibri" w:hAnsi="Calibri" w:cs="Arial"/>
          <w:color w:val="000000"/>
          <w:szCs w:val="24"/>
        </w:rPr>
        <w:t xml:space="preserve"> </w:t>
      </w:r>
      <w:r w:rsidRPr="00D62D7B">
        <w:rPr>
          <w:rFonts w:ascii="Calibri" w:hAnsi="Calibri" w:cs="Arial"/>
          <w:color w:val="000000"/>
          <w:szCs w:val="24"/>
        </w:rPr>
        <w:t>2017 to 2019. For the gender identity items (sex at birth and current gender identity), the percentage who refused to answer was under 1% during the same time period.</w:t>
      </w:r>
    </w:p>
    <w:p w:rsidR="00C47B4A" w:rsidP="002526D6" w:rsidRDefault="00A93BAE" w14:paraId="34B76D21" w14:textId="77777777">
      <w:pPr>
        <w:rPr>
          <w:rFonts w:ascii="Calibri" w:hAnsi="Calibri" w:cs="Arial"/>
          <w:color w:val="000000"/>
          <w:szCs w:val="24"/>
        </w:rPr>
      </w:pPr>
      <w:r w:rsidRPr="00D62D7B">
        <w:rPr>
          <w:rFonts w:ascii="Calibri" w:hAnsi="Calibri" w:cs="Arial"/>
          <w:color w:val="000000"/>
          <w:szCs w:val="24"/>
        </w:rPr>
        <w:t xml:space="preserve">The breakoffs, or </w:t>
      </w:r>
      <w:r>
        <w:rPr>
          <w:rFonts w:ascii="Calibri" w:hAnsi="Calibri" w:cs="Arial"/>
          <w:color w:val="000000"/>
          <w:szCs w:val="24"/>
        </w:rPr>
        <w:t xml:space="preserve">percentage of </w:t>
      </w:r>
      <w:r w:rsidRPr="00D62D7B">
        <w:rPr>
          <w:rFonts w:ascii="Calibri" w:hAnsi="Calibri" w:cs="Arial"/>
          <w:color w:val="000000"/>
          <w:szCs w:val="24"/>
        </w:rPr>
        <w:t xml:space="preserve">persons who stopped answering the survey questions, remained very low as well. In July-December 2017, 0.002% of respondents who received the sexual orientation question broke off at this question, compared to 0.08% in July-December 2019. Breakoffs at the sexual orientation question accounted for 0.03% of all breakoffs in July-December 2017 and 0.02% in July-December 2019. In July-December 2017, 0.003% of persons who received the sex at birth question broke off at this question. Breakoffs at the sex at birth question accounted for 0.04% of all breakoffs in July-December 2017. There were no breakoffs for persons receiving the sex at birth question in July-December 2019. </w:t>
      </w:r>
    </w:p>
    <w:p w:rsidR="002526D6" w:rsidP="002526D6" w:rsidRDefault="002526D6" w14:paraId="4F6BCCD1" w14:textId="77777777">
      <w:pPr>
        <w:widowControl/>
        <w:autoSpaceDE/>
        <w:autoSpaceDN/>
        <w:adjustRightInd/>
        <w:spacing w:after="0"/>
        <w:rPr>
          <w:rFonts w:ascii="Calibri" w:hAnsi="Calibri" w:cs="Arial"/>
          <w:color w:val="000000"/>
          <w:szCs w:val="24"/>
        </w:rPr>
      </w:pPr>
      <w:r>
        <w:rPr>
          <w:rFonts w:ascii="Calibri" w:hAnsi="Calibri" w:cs="Arial"/>
          <w:color w:val="000000"/>
          <w:szCs w:val="24"/>
        </w:rPr>
        <w:br w:type="page"/>
      </w:r>
    </w:p>
    <w:p w:rsidR="00A93BAE" w:rsidP="002526D6" w:rsidRDefault="00A93BAE" w14:paraId="3FC1E832" w14:textId="0AF0B566">
      <w:pPr>
        <w:rPr>
          <w:rFonts w:ascii="Calibri" w:hAnsi="Calibri" w:cs="Arial"/>
          <w:color w:val="000000"/>
          <w:szCs w:val="24"/>
        </w:rPr>
      </w:pPr>
      <w:r w:rsidRPr="00D62D7B">
        <w:rPr>
          <w:rFonts w:ascii="Calibri" w:hAnsi="Calibri" w:cs="Arial"/>
          <w:color w:val="000000"/>
          <w:szCs w:val="24"/>
        </w:rPr>
        <w:lastRenderedPageBreak/>
        <w:t xml:space="preserve">There were no breakoffs for persons receiving the current gender identity question in July-December 2017 or in July-December 2019. As a result of these findings, BJS has determined that the sexual orientation and gender identity items </w:t>
      </w:r>
      <w:r w:rsidR="007F3D2B">
        <w:rPr>
          <w:rFonts w:ascii="Calibri" w:hAnsi="Calibri" w:cs="Arial"/>
          <w:color w:val="000000"/>
          <w:szCs w:val="24"/>
        </w:rPr>
        <w:t>will</w:t>
      </w:r>
      <w:r w:rsidRPr="00D62D7B" w:rsidR="007F3D2B">
        <w:rPr>
          <w:rFonts w:ascii="Calibri" w:hAnsi="Calibri" w:cs="Arial"/>
          <w:color w:val="000000"/>
          <w:szCs w:val="24"/>
        </w:rPr>
        <w:t xml:space="preserve"> </w:t>
      </w:r>
      <w:r w:rsidRPr="00D62D7B">
        <w:rPr>
          <w:rFonts w:ascii="Calibri" w:hAnsi="Calibri" w:cs="Arial"/>
          <w:color w:val="000000"/>
          <w:szCs w:val="24"/>
        </w:rPr>
        <w:t xml:space="preserve">be reinstated and administered to the original universe of all </w:t>
      </w:r>
      <w:r w:rsidRPr="00436BF8">
        <w:rPr>
          <w:rFonts w:ascii="Calibri" w:hAnsi="Calibri" w:cs="Arial"/>
          <w:color w:val="000000"/>
          <w:szCs w:val="24"/>
        </w:rPr>
        <w:t>persons</w:t>
      </w:r>
      <w:r w:rsidRPr="00D62D7B">
        <w:rPr>
          <w:rFonts w:ascii="Calibri" w:hAnsi="Calibri" w:cs="Arial"/>
          <w:color w:val="000000"/>
          <w:szCs w:val="24"/>
        </w:rPr>
        <w:t xml:space="preserve"> age 16 or older</w:t>
      </w:r>
      <w:r w:rsidR="00B562F5">
        <w:rPr>
          <w:rFonts w:ascii="Calibri" w:hAnsi="Calibri" w:cs="Arial"/>
          <w:color w:val="000000"/>
          <w:szCs w:val="24"/>
        </w:rPr>
        <w:t xml:space="preserve"> beginning in January 2022</w:t>
      </w:r>
      <w:r w:rsidRPr="00D62D7B">
        <w:rPr>
          <w:rFonts w:ascii="Calibri" w:hAnsi="Calibri" w:cs="Arial"/>
          <w:color w:val="000000"/>
          <w:szCs w:val="24"/>
        </w:rPr>
        <w:t xml:space="preserve">. In addition, these items </w:t>
      </w:r>
      <w:r w:rsidR="007F3D2B">
        <w:rPr>
          <w:rFonts w:ascii="Calibri" w:hAnsi="Calibri" w:cs="Arial"/>
          <w:color w:val="000000"/>
          <w:szCs w:val="24"/>
        </w:rPr>
        <w:t>will</w:t>
      </w:r>
      <w:r w:rsidRPr="00D62D7B" w:rsidR="007F3D2B">
        <w:rPr>
          <w:rFonts w:ascii="Calibri" w:hAnsi="Calibri" w:cs="Arial"/>
          <w:color w:val="000000"/>
          <w:szCs w:val="24"/>
        </w:rPr>
        <w:t xml:space="preserve"> </w:t>
      </w:r>
      <w:r w:rsidRPr="00D62D7B">
        <w:rPr>
          <w:rFonts w:ascii="Calibri" w:hAnsi="Calibri" w:cs="Arial"/>
          <w:color w:val="000000"/>
          <w:szCs w:val="24"/>
        </w:rPr>
        <w:t>be asked at the first, third, fifth, and seventh interview</w:t>
      </w:r>
      <w:r w:rsidR="009900B7">
        <w:rPr>
          <w:rFonts w:ascii="Calibri" w:hAnsi="Calibri" w:cs="Arial"/>
          <w:color w:val="000000"/>
          <w:szCs w:val="24"/>
        </w:rPr>
        <w:t>s</w:t>
      </w:r>
      <w:r w:rsidRPr="00D62D7B">
        <w:rPr>
          <w:rFonts w:ascii="Calibri" w:hAnsi="Calibri" w:cs="Arial"/>
          <w:color w:val="000000"/>
          <w:szCs w:val="24"/>
        </w:rPr>
        <w:t xml:space="preserve"> to measure changes in these demographic characteristics over time.</w:t>
      </w:r>
      <w:r w:rsidR="00F564AD">
        <w:rPr>
          <w:rFonts w:ascii="Calibri" w:hAnsi="Calibri" w:cs="Arial"/>
          <w:color w:val="000000"/>
          <w:szCs w:val="24"/>
        </w:rPr>
        <w:t xml:space="preserve"> </w:t>
      </w:r>
    </w:p>
    <w:p w:rsidRPr="00256E98" w:rsidR="00256E98" w:rsidP="00256E98" w:rsidRDefault="00256E98" w14:paraId="55AB8DF4" w14:textId="77777777">
      <w:pPr>
        <w:pStyle w:val="Heading3"/>
      </w:pPr>
      <w:r w:rsidRPr="00256E98">
        <w:t>Supplements to the NCVS</w:t>
      </w:r>
    </w:p>
    <w:p w:rsidRPr="000000EB" w:rsidR="00256E98" w:rsidP="00256E98" w:rsidRDefault="00256E98" w14:paraId="31719C96" w14:textId="77777777">
      <w:r>
        <w:t>In 2022</w:t>
      </w:r>
      <w:r w:rsidRPr="000000EB">
        <w:t xml:space="preserve">, the NCVS will have </w:t>
      </w:r>
      <w:r>
        <w:t>two</w:t>
      </w:r>
      <w:r w:rsidRPr="000000EB">
        <w:t xml:space="preserve"> supplements (each with unique OMB numbers), which will remain in the field for six months. These supplements allow for the collection of detailed data on topics that are not included in the core NCVS. BJS also produces reports from each of the supplements and archives the data at ICPSR (</w:t>
      </w:r>
      <w:hyperlink w:history="1" r:id="rId30">
        <w:r w:rsidRPr="00CF68B6">
          <w:rPr>
            <w:rStyle w:val="Hyperlink"/>
            <w:rFonts w:ascii="Calibri" w:hAnsi="Calibri" w:cs="Arial"/>
            <w:szCs w:val="24"/>
          </w:rPr>
          <w:t>www.icpsr.umich.edu</w:t>
        </w:r>
      </w:hyperlink>
      <w:r w:rsidRPr="000000EB">
        <w:t xml:space="preserve">). Each supplement is conducted under a separate </w:t>
      </w:r>
      <w:r>
        <w:t>OMB</w:t>
      </w:r>
      <w:r w:rsidRPr="000000EB">
        <w:t xml:space="preserve"> review, and the tentative schedule for the administration of these routine supplements is as follows:</w:t>
      </w:r>
    </w:p>
    <w:p w:rsidR="00282731" w:rsidP="00282731" w:rsidRDefault="00256E98" w14:paraId="44F2D33D" w14:textId="74843932">
      <w:r w:rsidRPr="0063748C">
        <w:tab/>
        <w:t>January</w:t>
      </w:r>
      <w:r>
        <w:t xml:space="preserve"> –</w:t>
      </w:r>
      <w:r w:rsidRPr="0063748C">
        <w:t xml:space="preserve"> June</w:t>
      </w:r>
      <w:r>
        <w:t>, 2022</w:t>
      </w:r>
      <w:r w:rsidRPr="0063748C">
        <w:tab/>
      </w:r>
      <w:r w:rsidRPr="0063748C">
        <w:tab/>
        <w:t>School Crime Supplement</w:t>
      </w:r>
      <w:r>
        <w:t xml:space="preserve"> (SCS)</w:t>
      </w:r>
      <w:r w:rsidRPr="00282731" w:rsidR="00282731">
        <w:t xml:space="preserve"> </w:t>
      </w:r>
      <w:r w:rsidR="00282731">
        <w:t>(OMB No. 1121-0139)</w:t>
      </w:r>
    </w:p>
    <w:p w:rsidRPr="0063748C" w:rsidR="00256E98" w:rsidP="00256E98" w:rsidRDefault="00256E98" w14:paraId="4C36A982" w14:textId="5019894A">
      <w:r>
        <w:tab/>
        <w:t>July</w:t>
      </w:r>
      <w:r w:rsidR="00327E5C">
        <w:t xml:space="preserve"> –</w:t>
      </w:r>
      <w:r w:rsidRPr="0063748C" w:rsidR="00327E5C">
        <w:t xml:space="preserve"> </w:t>
      </w:r>
      <w:r>
        <w:t>December, 2022</w:t>
      </w:r>
      <w:r>
        <w:tab/>
        <w:t>Police-Public Contact Survey (PPCS)</w:t>
      </w:r>
      <w:r w:rsidR="00282731">
        <w:t xml:space="preserve"> (OMB No. 1121-0260)</w:t>
      </w:r>
    </w:p>
    <w:p w:rsidR="00256E98" w:rsidP="00256E98" w:rsidRDefault="00256E98" w14:paraId="6811B26C" w14:textId="77777777">
      <w:r>
        <w:t xml:space="preserve">BJS does not plan to administer supplements </w:t>
      </w:r>
      <w:r w:rsidR="00FD3206">
        <w:t>in</w:t>
      </w:r>
      <w:r>
        <w:t xml:space="preserve"> 2023-2024. During this period, BJS</w:t>
      </w:r>
      <w:r w:rsidR="00FD3206">
        <w:t xml:space="preserve"> plans to</w:t>
      </w:r>
      <w:r>
        <w:t xml:space="preserve"> </w:t>
      </w:r>
      <w:r w:rsidR="00FD3206">
        <w:t xml:space="preserve">test and introduce a new instrument (see section 2.4.1 below) and </w:t>
      </w:r>
      <w:r>
        <w:t xml:space="preserve">anticipates an increase in resources </w:t>
      </w:r>
      <w:r w:rsidR="00FD3206">
        <w:t xml:space="preserve">required </w:t>
      </w:r>
      <w:r>
        <w:t>to retain continuity of the series</w:t>
      </w:r>
      <w:r w:rsidR="00FD3206">
        <w:t>.</w:t>
      </w:r>
    </w:p>
    <w:p w:rsidR="00256E98" w:rsidP="00256E98" w:rsidRDefault="00256E98" w14:paraId="09F6BD0B" w14:textId="77777777"/>
    <w:p w:rsidRPr="00256E98" w:rsidR="00B75264" w:rsidP="00256E98" w:rsidRDefault="00B75264" w14:paraId="59BF005F" w14:textId="56FE6CA9">
      <w:pPr>
        <w:pStyle w:val="Heading2"/>
      </w:pPr>
      <w:r w:rsidRPr="00256E98">
        <w:t>Dissemination of data</w:t>
      </w:r>
    </w:p>
    <w:p w:rsidR="00596CF4" w:rsidP="00B75264" w:rsidRDefault="00B75264" w14:paraId="2E8D6C0C" w14:textId="77777777">
      <w:pPr>
        <w:ind w:left="630"/>
        <w:rPr>
          <w:rFonts w:ascii="Calibri" w:hAnsi="Calibri" w:cs="Arial"/>
          <w:color w:val="000000"/>
          <w:szCs w:val="24"/>
        </w:rPr>
      </w:pPr>
      <w:r>
        <w:rPr>
          <w:rFonts w:ascii="Calibri" w:hAnsi="Calibri" w:cs="Arial"/>
          <w:color w:val="000000"/>
          <w:szCs w:val="24"/>
        </w:rPr>
        <w:t>From 2022 through 2024</w:t>
      </w:r>
      <w:r w:rsidRPr="000000EB">
        <w:rPr>
          <w:rFonts w:ascii="Calibri" w:hAnsi="Calibri" w:cs="Arial"/>
          <w:color w:val="000000"/>
          <w:szCs w:val="24"/>
        </w:rPr>
        <w:t xml:space="preserve">, BJS statisticians will use NCVS data to produce a number of timely and relevant reports and products. These reports are </w:t>
      </w:r>
      <w:r>
        <w:rPr>
          <w:rFonts w:ascii="Calibri" w:hAnsi="Calibri" w:cs="Arial"/>
          <w:color w:val="000000"/>
          <w:szCs w:val="24"/>
        </w:rPr>
        <w:t xml:space="preserve">relevant </w:t>
      </w:r>
      <w:r w:rsidRPr="000000EB">
        <w:rPr>
          <w:rFonts w:ascii="Calibri" w:hAnsi="Calibri" w:cs="Arial"/>
          <w:color w:val="000000"/>
          <w:szCs w:val="24"/>
        </w:rPr>
        <w:t>to the priorities of the Department of Justice and the Office of Justice Programs, expressed needs and interests of other government agencies and the criminal justice community, current events, and methods for improving the usability and reliability of the NCVS, including research related to redesign projects.</w:t>
      </w:r>
    </w:p>
    <w:p w:rsidRPr="000000EB" w:rsidR="00B75264" w:rsidP="00B75264" w:rsidRDefault="00B75264" w14:paraId="0F7E3141" w14:textId="22BFD382">
      <w:pPr>
        <w:ind w:left="630"/>
        <w:rPr>
          <w:rFonts w:ascii="Calibri" w:hAnsi="Calibri" w:cs="Arial"/>
          <w:color w:val="000000"/>
          <w:szCs w:val="24"/>
        </w:rPr>
      </w:pPr>
      <w:r w:rsidRPr="000000EB">
        <w:rPr>
          <w:rFonts w:ascii="Calibri" w:hAnsi="Calibri" w:cs="Arial"/>
          <w:color w:val="000000"/>
          <w:szCs w:val="24"/>
        </w:rPr>
        <w:t xml:space="preserve">They are widely disseminated through the BJS website, the National Criminal Justice Reference Service, the BJS JUSTSTATS listserv, which has about </w:t>
      </w:r>
      <w:r w:rsidR="009B0B5F">
        <w:rPr>
          <w:rFonts w:ascii="Calibri" w:hAnsi="Calibri" w:cs="Arial"/>
          <w:color w:val="000000"/>
          <w:szCs w:val="24"/>
        </w:rPr>
        <w:t>2</w:t>
      </w:r>
      <w:r w:rsidR="00B074F9">
        <w:rPr>
          <w:rFonts w:ascii="Calibri" w:hAnsi="Calibri" w:cs="Arial"/>
          <w:color w:val="000000"/>
          <w:szCs w:val="24"/>
        </w:rPr>
        <w:t>3</w:t>
      </w:r>
      <w:r w:rsidR="009B0B5F">
        <w:rPr>
          <w:rFonts w:ascii="Calibri" w:hAnsi="Calibri" w:cs="Arial"/>
          <w:color w:val="000000"/>
          <w:szCs w:val="24"/>
        </w:rPr>
        <w:t xml:space="preserve">,000 </w:t>
      </w:r>
      <w:r w:rsidRPr="00E91199">
        <w:rPr>
          <w:rFonts w:ascii="Calibri" w:hAnsi="Calibri" w:cs="Arial"/>
          <w:color w:val="000000"/>
          <w:szCs w:val="24"/>
        </w:rPr>
        <w:t>members</w:t>
      </w:r>
      <w:r w:rsidR="00A454C0">
        <w:rPr>
          <w:rStyle w:val="FootnoteReference"/>
          <w:rFonts w:ascii="Calibri" w:hAnsi="Calibri" w:cs="Arial"/>
          <w:color w:val="000000"/>
          <w:szCs w:val="24"/>
        </w:rPr>
        <w:footnoteReference w:id="3"/>
      </w:r>
      <w:r w:rsidRPr="000000EB">
        <w:rPr>
          <w:rFonts w:ascii="Calibri" w:hAnsi="Calibri" w:cs="Arial"/>
          <w:color w:val="000000"/>
          <w:szCs w:val="24"/>
        </w:rPr>
        <w:t>, and press releases circulated to the Associated Press and other major news sources. They also demonstrate the breadth of information collected through the NCVS, covering topics that stem from the design of the instrument and relate to each of the major sections of the survey instrument</w:t>
      </w:r>
      <w:r>
        <w:rPr>
          <w:rFonts w:ascii="Calibri" w:hAnsi="Calibri" w:cs="Arial"/>
          <w:color w:val="000000"/>
          <w:szCs w:val="24"/>
        </w:rPr>
        <w:t xml:space="preserve">. </w:t>
      </w:r>
      <w:r w:rsidRPr="000000EB">
        <w:rPr>
          <w:rFonts w:ascii="Calibri" w:hAnsi="Calibri" w:cs="Arial"/>
          <w:color w:val="000000"/>
          <w:szCs w:val="24"/>
        </w:rPr>
        <w:t xml:space="preserve">Examples of </w:t>
      </w:r>
      <w:r>
        <w:rPr>
          <w:rFonts w:ascii="Calibri" w:hAnsi="Calibri" w:cs="Arial"/>
          <w:color w:val="000000"/>
          <w:szCs w:val="24"/>
        </w:rPr>
        <w:t xml:space="preserve">recent and </w:t>
      </w:r>
      <w:r w:rsidRPr="000000EB">
        <w:rPr>
          <w:rFonts w:ascii="Calibri" w:hAnsi="Calibri" w:cs="Arial"/>
          <w:color w:val="000000"/>
          <w:szCs w:val="24"/>
        </w:rPr>
        <w:t xml:space="preserve">planned topical reports and products by each section of the NCVS include: </w:t>
      </w:r>
    </w:p>
    <w:p w:rsidRPr="000000EB" w:rsidR="00B75264" w:rsidP="00BA0B30" w:rsidRDefault="00B75264" w14:paraId="77343DF0" w14:textId="77777777">
      <w:pPr>
        <w:numPr>
          <w:ilvl w:val="0"/>
          <w:numId w:val="3"/>
        </w:numPr>
        <w:rPr>
          <w:rFonts w:ascii="Calibri" w:hAnsi="Calibri" w:cs="Arial"/>
          <w:b/>
          <w:color w:val="000000"/>
          <w:szCs w:val="24"/>
          <w:u w:val="single"/>
        </w:rPr>
      </w:pPr>
      <w:r w:rsidRPr="000000EB">
        <w:rPr>
          <w:rFonts w:ascii="Calibri" w:hAnsi="Calibri" w:cs="Arial"/>
          <w:b/>
          <w:color w:val="000000"/>
          <w:szCs w:val="24"/>
          <w:u w:val="single"/>
        </w:rPr>
        <w:lastRenderedPageBreak/>
        <w:t>Enumeration of crime rates</w:t>
      </w:r>
    </w:p>
    <w:p w:rsidRPr="00FD3206" w:rsidR="00B75264" w:rsidP="00FD3206" w:rsidRDefault="002B2A01" w14:paraId="2A390A4A" w14:textId="687D52A3">
      <w:pPr>
        <w:numPr>
          <w:ilvl w:val="0"/>
          <w:numId w:val="1"/>
        </w:numPr>
        <w:rPr>
          <w:rFonts w:ascii="Calibri" w:hAnsi="Calibri" w:cs="Arial"/>
          <w:color w:val="000000"/>
          <w:szCs w:val="24"/>
        </w:rPr>
      </w:pPr>
      <w:hyperlink w:history="1" r:id="rId31">
        <w:r w:rsidRPr="00FD3206" w:rsidR="00B75264">
          <w:rPr>
            <w:rStyle w:val="Hyperlink"/>
            <w:rFonts w:ascii="Calibri" w:hAnsi="Calibri" w:cs="Arial"/>
            <w:i/>
            <w:szCs w:val="24"/>
          </w:rPr>
          <w:t>Criminal Victimization</w:t>
        </w:r>
      </w:hyperlink>
      <w:r w:rsidR="00B75264">
        <w:rPr>
          <w:rFonts w:ascii="Calibri" w:hAnsi="Calibri" w:cs="Arial"/>
          <w:i/>
          <w:color w:val="000000"/>
          <w:szCs w:val="24"/>
        </w:rPr>
        <w:t xml:space="preserve"> </w:t>
      </w:r>
      <w:r w:rsidR="00B75264">
        <w:rPr>
          <w:rFonts w:ascii="Calibri" w:hAnsi="Calibri" w:cs="Arial"/>
          <w:color w:val="000000"/>
          <w:szCs w:val="24"/>
        </w:rPr>
        <w:t>–</w:t>
      </w:r>
      <w:r w:rsidRPr="000000EB" w:rsidR="00B75264">
        <w:rPr>
          <w:rFonts w:ascii="Calibri" w:hAnsi="Calibri" w:cs="Arial"/>
          <w:i/>
          <w:color w:val="000000"/>
          <w:szCs w:val="24"/>
        </w:rPr>
        <w:t xml:space="preserve"> </w:t>
      </w:r>
      <w:r w:rsidR="00B75264">
        <w:rPr>
          <w:rFonts w:ascii="Calibri" w:hAnsi="Calibri" w:cs="Arial"/>
          <w:color w:val="000000"/>
          <w:szCs w:val="24"/>
        </w:rPr>
        <w:t>Annual reports that p</w:t>
      </w:r>
      <w:r w:rsidRPr="000000EB" w:rsidR="00B75264">
        <w:rPr>
          <w:rFonts w:ascii="Calibri" w:hAnsi="Calibri" w:cs="Arial"/>
          <w:color w:val="000000"/>
          <w:szCs w:val="24"/>
        </w:rPr>
        <w:t>resent estimates of rates and levels of violent and property crime victimization in the U.S.</w:t>
      </w:r>
      <w:r w:rsidR="00FD3206">
        <w:rPr>
          <w:rFonts w:ascii="Calibri" w:hAnsi="Calibri" w:cs="Arial"/>
          <w:color w:val="000000"/>
          <w:szCs w:val="24"/>
        </w:rPr>
        <w:t xml:space="preserve"> </w:t>
      </w:r>
      <w:r w:rsidR="00C87758">
        <w:rPr>
          <w:rFonts w:ascii="Calibri" w:hAnsi="Calibri" w:cs="Arial"/>
          <w:color w:val="000000"/>
          <w:szCs w:val="24"/>
        </w:rPr>
        <w:t>2020 report p</w:t>
      </w:r>
      <w:r w:rsidR="00555312">
        <w:rPr>
          <w:rFonts w:ascii="Calibri" w:hAnsi="Calibri" w:cs="Arial"/>
          <w:color w:val="000000"/>
          <w:szCs w:val="24"/>
        </w:rPr>
        <w:t>lanned for late 2021</w:t>
      </w:r>
      <w:r w:rsidRPr="00FD3206" w:rsidR="00B75264">
        <w:rPr>
          <w:rFonts w:ascii="Calibri" w:hAnsi="Calibri" w:cs="Arial"/>
          <w:color w:val="000000"/>
          <w:szCs w:val="24"/>
        </w:rPr>
        <w:t xml:space="preserve">. </w:t>
      </w:r>
    </w:p>
    <w:p w:rsidRPr="000000EB" w:rsidR="00B75264" w:rsidP="00BA0B30" w:rsidRDefault="002B2A01" w14:paraId="694C7426" w14:textId="4E7495E8">
      <w:pPr>
        <w:numPr>
          <w:ilvl w:val="0"/>
          <w:numId w:val="1"/>
        </w:numPr>
        <w:rPr>
          <w:rFonts w:ascii="Calibri" w:hAnsi="Calibri" w:cs="Arial"/>
          <w:i/>
          <w:color w:val="000000"/>
          <w:szCs w:val="24"/>
        </w:rPr>
      </w:pPr>
      <w:hyperlink w:history="1" r:id="rId32">
        <w:r w:rsidRPr="00D62D7B" w:rsidR="00B75264">
          <w:rPr>
            <w:rStyle w:val="Hyperlink"/>
            <w:rFonts w:ascii="Calibri" w:hAnsi="Calibri" w:cs="Arial"/>
            <w:i/>
            <w:szCs w:val="24"/>
          </w:rPr>
          <w:t>NCVS Victimization Analysis Tool (NVAT)</w:t>
        </w:r>
      </w:hyperlink>
      <w:r w:rsidR="00B75264">
        <w:rPr>
          <w:rFonts w:ascii="Calibri" w:hAnsi="Calibri" w:cs="Arial"/>
          <w:i/>
          <w:color w:val="000000"/>
          <w:szCs w:val="24"/>
        </w:rPr>
        <w:t xml:space="preserve"> </w:t>
      </w:r>
      <w:r w:rsidR="00B75264">
        <w:rPr>
          <w:rFonts w:ascii="Calibri" w:hAnsi="Calibri" w:cs="Arial"/>
          <w:color w:val="000000"/>
          <w:szCs w:val="24"/>
        </w:rPr>
        <w:t>–</w:t>
      </w:r>
      <w:r w:rsidRPr="000000EB" w:rsidR="00B75264">
        <w:rPr>
          <w:rFonts w:ascii="Calibri" w:hAnsi="Calibri" w:cs="Arial"/>
          <w:i/>
          <w:color w:val="000000"/>
          <w:szCs w:val="24"/>
        </w:rPr>
        <w:t xml:space="preserve"> </w:t>
      </w:r>
      <w:r w:rsidRPr="000000EB" w:rsidR="00B75264">
        <w:rPr>
          <w:rFonts w:ascii="Calibri" w:hAnsi="Calibri" w:cs="Arial"/>
          <w:color w:val="000000"/>
          <w:szCs w:val="24"/>
        </w:rPr>
        <w:t>Online dynamic analysis tool</w:t>
      </w:r>
      <w:r w:rsidR="00B75264">
        <w:rPr>
          <w:rFonts w:ascii="Calibri" w:hAnsi="Calibri" w:cs="Arial"/>
          <w:color w:val="000000"/>
          <w:szCs w:val="24"/>
        </w:rPr>
        <w:t>, updated annually,</w:t>
      </w:r>
      <w:r w:rsidRPr="000000EB" w:rsidR="00B75264">
        <w:rPr>
          <w:rFonts w:ascii="Calibri" w:hAnsi="Calibri" w:cs="Arial"/>
          <w:color w:val="000000"/>
          <w:szCs w:val="24"/>
        </w:rPr>
        <w:t xml:space="preserve"> that allows users to examine NCVS data and generate tables on violent and property victimization by select victim, household, and incident characteristics.</w:t>
      </w:r>
      <w:r w:rsidR="00B75264">
        <w:rPr>
          <w:rFonts w:ascii="Calibri" w:hAnsi="Calibri" w:cs="Arial"/>
          <w:color w:val="000000"/>
          <w:szCs w:val="24"/>
        </w:rPr>
        <w:t xml:space="preserve"> Data are available for 1993 through 2019.</w:t>
      </w:r>
      <w:r w:rsidR="00FD3206">
        <w:rPr>
          <w:rFonts w:ascii="Calibri" w:hAnsi="Calibri" w:cs="Arial"/>
          <w:color w:val="000000"/>
          <w:szCs w:val="24"/>
        </w:rPr>
        <w:t xml:space="preserve"> Updated annually.</w:t>
      </w:r>
    </w:p>
    <w:p w:rsidRPr="000000EB" w:rsidR="00B75264" w:rsidP="00BA0B30" w:rsidRDefault="00B75264" w14:paraId="3510C9A5" w14:textId="77777777">
      <w:pPr>
        <w:numPr>
          <w:ilvl w:val="0"/>
          <w:numId w:val="3"/>
        </w:numPr>
        <w:rPr>
          <w:rFonts w:ascii="Calibri" w:hAnsi="Calibri" w:cs="Arial"/>
          <w:b/>
          <w:color w:val="000000"/>
          <w:szCs w:val="24"/>
          <w:u w:val="single"/>
        </w:rPr>
      </w:pPr>
      <w:r w:rsidRPr="000000EB">
        <w:rPr>
          <w:rFonts w:ascii="Calibri" w:hAnsi="Calibri" w:cs="Arial"/>
          <w:b/>
          <w:color w:val="000000"/>
          <w:szCs w:val="24"/>
          <w:u w:val="single"/>
        </w:rPr>
        <w:t>Incident characteristics</w:t>
      </w:r>
    </w:p>
    <w:p w:rsidRPr="008D74D7" w:rsidR="00B75264" w:rsidP="00BA0B30" w:rsidRDefault="00B75264" w14:paraId="601491BC" w14:textId="75D60B96">
      <w:pPr>
        <w:numPr>
          <w:ilvl w:val="0"/>
          <w:numId w:val="2"/>
        </w:numPr>
        <w:rPr>
          <w:rFonts w:ascii="Calibri" w:hAnsi="Calibri" w:cs="Arial"/>
          <w:i/>
          <w:color w:val="000000"/>
          <w:szCs w:val="24"/>
        </w:rPr>
      </w:pPr>
      <w:r>
        <w:rPr>
          <w:rFonts w:ascii="Calibri" w:hAnsi="Calibri" w:cs="Arial"/>
          <w:i/>
          <w:color w:val="000000"/>
          <w:szCs w:val="24"/>
        </w:rPr>
        <w:t>Indicators of Workplace Violence</w:t>
      </w:r>
      <w:r w:rsidRPr="000000EB">
        <w:rPr>
          <w:rFonts w:ascii="Calibri" w:hAnsi="Calibri" w:cs="Arial"/>
          <w:i/>
          <w:color w:val="000000"/>
          <w:szCs w:val="24"/>
        </w:rPr>
        <w:t xml:space="preserve"> – </w:t>
      </w:r>
      <w:r w:rsidRPr="006902EF">
        <w:rPr>
          <w:rFonts w:ascii="Calibri" w:hAnsi="Calibri" w:cs="Arial"/>
          <w:color w:val="000000"/>
          <w:szCs w:val="24"/>
        </w:rPr>
        <w:t>Produced jointly with the National Institute of Occupational Safety and Health (NIOSH) and the Bureau of Labor Statistics (BLS)</w:t>
      </w:r>
      <w:r>
        <w:rPr>
          <w:rFonts w:ascii="Calibri" w:hAnsi="Calibri" w:cs="Arial"/>
          <w:color w:val="000000"/>
          <w:szCs w:val="24"/>
        </w:rPr>
        <w:t>,</w:t>
      </w:r>
      <w:r>
        <w:rPr>
          <w:rFonts w:ascii="Calibri" w:hAnsi="Calibri" w:cs="Arial"/>
          <w:i/>
          <w:color w:val="000000"/>
          <w:szCs w:val="24"/>
        </w:rPr>
        <w:t xml:space="preserve"> </w:t>
      </w:r>
      <w:r>
        <w:rPr>
          <w:rFonts w:ascii="Calibri" w:hAnsi="Calibri" w:cs="Arial"/>
          <w:color w:val="000000"/>
          <w:szCs w:val="24"/>
        </w:rPr>
        <w:t>p</w:t>
      </w:r>
      <w:r w:rsidRPr="000000EB">
        <w:rPr>
          <w:rFonts w:ascii="Calibri" w:hAnsi="Calibri" w:cs="Arial"/>
          <w:color w:val="000000"/>
          <w:szCs w:val="24"/>
        </w:rPr>
        <w:t>resents estimates on the extent of violence in the workplace.</w:t>
      </w:r>
      <w:r>
        <w:rPr>
          <w:rFonts w:ascii="Calibri" w:hAnsi="Calibri" w:cs="Arial"/>
          <w:color w:val="000000"/>
          <w:szCs w:val="24"/>
        </w:rPr>
        <w:t xml:space="preserve"> Planned for </w:t>
      </w:r>
      <w:r w:rsidR="001A6928">
        <w:rPr>
          <w:rFonts w:ascii="Calibri" w:hAnsi="Calibri" w:cs="Arial"/>
          <w:color w:val="000000"/>
          <w:szCs w:val="24"/>
        </w:rPr>
        <w:t xml:space="preserve">late </w:t>
      </w:r>
      <w:r>
        <w:rPr>
          <w:rFonts w:ascii="Calibri" w:hAnsi="Calibri" w:cs="Arial"/>
          <w:color w:val="000000"/>
          <w:szCs w:val="24"/>
        </w:rPr>
        <w:t>2021</w:t>
      </w:r>
      <w:r w:rsidR="001A6928">
        <w:rPr>
          <w:rFonts w:ascii="Calibri" w:hAnsi="Calibri" w:cs="Arial"/>
          <w:color w:val="000000"/>
          <w:szCs w:val="24"/>
        </w:rPr>
        <w:t xml:space="preserve"> or early 2022</w:t>
      </w:r>
      <w:r>
        <w:rPr>
          <w:rFonts w:ascii="Calibri" w:hAnsi="Calibri" w:cs="Arial"/>
          <w:color w:val="000000"/>
          <w:szCs w:val="24"/>
        </w:rPr>
        <w:t>.</w:t>
      </w:r>
    </w:p>
    <w:p w:rsidRPr="001674AF" w:rsidR="00B75264" w:rsidP="00BA0B30" w:rsidRDefault="00D12E1E" w14:paraId="1027CE7D" w14:textId="7E9C37B9">
      <w:pPr>
        <w:numPr>
          <w:ilvl w:val="0"/>
          <w:numId w:val="2"/>
        </w:numPr>
        <w:rPr>
          <w:rFonts w:ascii="Calibri" w:hAnsi="Calibri" w:cs="Arial"/>
          <w:i/>
          <w:color w:val="000000"/>
          <w:szCs w:val="24"/>
        </w:rPr>
      </w:pPr>
      <w:r w:rsidRPr="00D12E1E">
        <w:rPr>
          <w:rFonts w:ascii="Calibri" w:hAnsi="Calibri" w:cs="Arial"/>
          <w:i/>
          <w:szCs w:val="24"/>
        </w:rPr>
        <w:t>Firearm Violence</w:t>
      </w:r>
      <w:r w:rsidR="00B75264">
        <w:rPr>
          <w:rFonts w:ascii="Calibri" w:hAnsi="Calibri" w:cs="Arial"/>
          <w:color w:val="000000"/>
          <w:szCs w:val="24"/>
        </w:rPr>
        <w:t xml:space="preserve"> – Examines patterns and trends in nonfatal and fatal violent victimizations that involved a firearm. Planned for </w:t>
      </w:r>
      <w:r w:rsidR="001A6928">
        <w:rPr>
          <w:rFonts w:ascii="Calibri" w:hAnsi="Calibri" w:cs="Arial"/>
          <w:color w:val="000000"/>
          <w:szCs w:val="24"/>
        </w:rPr>
        <w:t xml:space="preserve">late </w:t>
      </w:r>
      <w:r w:rsidR="00B75264">
        <w:rPr>
          <w:rFonts w:ascii="Calibri" w:hAnsi="Calibri" w:cs="Arial"/>
          <w:color w:val="000000"/>
          <w:szCs w:val="24"/>
        </w:rPr>
        <w:t>2021</w:t>
      </w:r>
      <w:r w:rsidR="001A6928">
        <w:rPr>
          <w:rFonts w:ascii="Calibri" w:hAnsi="Calibri" w:cs="Arial"/>
          <w:color w:val="000000"/>
          <w:szCs w:val="24"/>
        </w:rPr>
        <w:t xml:space="preserve"> or early 2022</w:t>
      </w:r>
      <w:r w:rsidR="00B75264">
        <w:rPr>
          <w:rFonts w:ascii="Calibri" w:hAnsi="Calibri" w:cs="Arial"/>
          <w:color w:val="000000"/>
          <w:szCs w:val="24"/>
        </w:rPr>
        <w:t>.</w:t>
      </w:r>
    </w:p>
    <w:p w:rsidRPr="000000EB" w:rsidR="00B75264" w:rsidP="00BA0B30" w:rsidRDefault="00B75264" w14:paraId="6229482E" w14:textId="77777777">
      <w:pPr>
        <w:numPr>
          <w:ilvl w:val="0"/>
          <w:numId w:val="3"/>
        </w:numPr>
        <w:rPr>
          <w:rFonts w:ascii="Calibri" w:hAnsi="Calibri" w:cs="Arial"/>
          <w:b/>
          <w:color w:val="000000"/>
          <w:szCs w:val="24"/>
          <w:u w:val="single"/>
        </w:rPr>
      </w:pPr>
      <w:r w:rsidRPr="000000EB">
        <w:rPr>
          <w:rFonts w:ascii="Calibri" w:hAnsi="Calibri" w:cs="Arial"/>
          <w:b/>
          <w:color w:val="000000"/>
          <w:szCs w:val="24"/>
          <w:u w:val="single"/>
        </w:rPr>
        <w:t>Victim characteristics</w:t>
      </w:r>
    </w:p>
    <w:p w:rsidR="00B75264" w:rsidP="00BA0B30" w:rsidRDefault="002B2A01" w14:paraId="64C30472" w14:textId="205AE18D">
      <w:pPr>
        <w:numPr>
          <w:ilvl w:val="0"/>
          <w:numId w:val="4"/>
        </w:numPr>
        <w:rPr>
          <w:rFonts w:ascii="Calibri" w:hAnsi="Calibri" w:cs="Arial"/>
          <w:color w:val="000000"/>
          <w:szCs w:val="24"/>
        </w:rPr>
      </w:pPr>
      <w:hyperlink w:history="1" r:id="rId33">
        <w:r w:rsidRPr="002D6CD8" w:rsidR="00B75264">
          <w:rPr>
            <w:rStyle w:val="Hyperlink"/>
            <w:rFonts w:ascii="Calibri" w:hAnsi="Calibri" w:cs="Arial"/>
            <w:i/>
            <w:szCs w:val="24"/>
          </w:rPr>
          <w:t>Crime Against Persons with Disabilities</w:t>
        </w:r>
      </w:hyperlink>
      <w:r w:rsidR="00B75264">
        <w:rPr>
          <w:rFonts w:ascii="Calibri" w:hAnsi="Calibri" w:cs="Arial"/>
          <w:i/>
          <w:color w:val="000000"/>
          <w:szCs w:val="24"/>
        </w:rPr>
        <w:t xml:space="preserve"> </w:t>
      </w:r>
      <w:r w:rsidRPr="000000EB" w:rsidR="00B75264">
        <w:rPr>
          <w:rFonts w:ascii="Calibri" w:hAnsi="Calibri" w:cs="Arial"/>
          <w:color w:val="000000"/>
          <w:szCs w:val="24"/>
        </w:rPr>
        <w:t xml:space="preserve">– </w:t>
      </w:r>
      <w:r w:rsidR="00B75264">
        <w:rPr>
          <w:rFonts w:ascii="Calibri" w:hAnsi="Calibri" w:cs="Arial"/>
          <w:color w:val="000000"/>
          <w:szCs w:val="24"/>
        </w:rPr>
        <w:t>Annual Congressionally mandated report p</w:t>
      </w:r>
      <w:r w:rsidRPr="000000EB" w:rsidR="00B75264">
        <w:rPr>
          <w:rFonts w:ascii="Calibri" w:hAnsi="Calibri" w:cs="Arial"/>
          <w:color w:val="000000"/>
          <w:szCs w:val="24"/>
        </w:rPr>
        <w:t>resents estimates of nonfatal violent victimizations against person 12 years old or older with disabilities</w:t>
      </w:r>
      <w:r w:rsidR="00FD3206">
        <w:rPr>
          <w:rFonts w:ascii="Calibri" w:hAnsi="Calibri" w:cs="Arial"/>
          <w:color w:val="000000"/>
          <w:szCs w:val="24"/>
        </w:rPr>
        <w:t>.</w:t>
      </w:r>
      <w:r w:rsidRPr="000000EB" w:rsidR="00B75264">
        <w:rPr>
          <w:rFonts w:ascii="Calibri" w:hAnsi="Calibri" w:cs="Arial"/>
          <w:color w:val="000000"/>
          <w:szCs w:val="24"/>
        </w:rPr>
        <w:t xml:space="preserve"> </w:t>
      </w:r>
      <w:r w:rsidR="00B75264">
        <w:rPr>
          <w:rFonts w:ascii="Calibri" w:hAnsi="Calibri" w:cs="Arial"/>
          <w:color w:val="000000"/>
          <w:szCs w:val="24"/>
        </w:rPr>
        <w:t xml:space="preserve">Planned for </w:t>
      </w:r>
      <w:r w:rsidR="001A6928">
        <w:rPr>
          <w:rFonts w:ascii="Calibri" w:hAnsi="Calibri" w:cs="Arial"/>
          <w:color w:val="000000"/>
          <w:szCs w:val="24"/>
        </w:rPr>
        <w:t xml:space="preserve">late </w:t>
      </w:r>
      <w:r w:rsidR="00B75264">
        <w:rPr>
          <w:rFonts w:ascii="Calibri" w:hAnsi="Calibri" w:cs="Arial"/>
          <w:color w:val="000000"/>
          <w:szCs w:val="24"/>
        </w:rPr>
        <w:t>2021</w:t>
      </w:r>
      <w:r w:rsidR="001A6928">
        <w:rPr>
          <w:rFonts w:ascii="Calibri" w:hAnsi="Calibri" w:cs="Arial"/>
          <w:color w:val="000000"/>
          <w:szCs w:val="24"/>
        </w:rPr>
        <w:t xml:space="preserve"> or early 2022</w:t>
      </w:r>
      <w:r w:rsidR="00B75264">
        <w:rPr>
          <w:rFonts w:ascii="Calibri" w:hAnsi="Calibri" w:cs="Arial"/>
          <w:color w:val="000000"/>
          <w:szCs w:val="24"/>
        </w:rPr>
        <w:t>.</w:t>
      </w:r>
    </w:p>
    <w:p w:rsidR="00B75264" w:rsidP="00BA0B30" w:rsidRDefault="002B2A01" w14:paraId="288E6D4C" w14:textId="54523791">
      <w:pPr>
        <w:numPr>
          <w:ilvl w:val="0"/>
          <w:numId w:val="4"/>
        </w:numPr>
        <w:rPr>
          <w:rFonts w:ascii="Calibri" w:hAnsi="Calibri" w:cs="Arial"/>
          <w:color w:val="000000"/>
          <w:szCs w:val="24"/>
        </w:rPr>
      </w:pPr>
      <w:hyperlink w:history="1" r:id="rId34">
        <w:r w:rsidRPr="002D6CD8" w:rsidR="00B75264">
          <w:rPr>
            <w:rStyle w:val="Hyperlink"/>
            <w:rFonts w:ascii="Calibri" w:hAnsi="Calibri" w:cs="Arial"/>
            <w:i/>
            <w:szCs w:val="24"/>
          </w:rPr>
          <w:t>Indicators of School Crime and Safety</w:t>
        </w:r>
      </w:hyperlink>
      <w:r w:rsidR="00B75264">
        <w:rPr>
          <w:rFonts w:ascii="Calibri" w:hAnsi="Calibri" w:cs="Arial"/>
          <w:i/>
          <w:color w:val="000000"/>
          <w:szCs w:val="24"/>
        </w:rPr>
        <w:t xml:space="preserve"> </w:t>
      </w:r>
      <w:r w:rsidRPr="000000EB" w:rsidR="00B75264">
        <w:rPr>
          <w:rFonts w:ascii="Calibri" w:hAnsi="Calibri" w:cs="Arial"/>
          <w:color w:val="000000"/>
          <w:szCs w:val="24"/>
        </w:rPr>
        <w:t xml:space="preserve">– </w:t>
      </w:r>
      <w:r w:rsidR="00B75264">
        <w:rPr>
          <w:rFonts w:ascii="Calibri" w:hAnsi="Calibri" w:cs="Arial"/>
          <w:color w:val="000000"/>
          <w:szCs w:val="24"/>
        </w:rPr>
        <w:t>Annual report, produced jointly with the Department of Education, p</w:t>
      </w:r>
      <w:r w:rsidRPr="000000EB" w:rsidR="00B75264">
        <w:rPr>
          <w:rFonts w:ascii="Calibri" w:hAnsi="Calibri" w:cs="Arial"/>
          <w:color w:val="000000"/>
          <w:szCs w:val="24"/>
        </w:rPr>
        <w:t xml:space="preserve">resents estimates of crime occurring at school or on the way to and from school against persons age 12 to </w:t>
      </w:r>
      <w:proofErr w:type="gramStart"/>
      <w:r w:rsidRPr="000000EB" w:rsidR="00B75264">
        <w:rPr>
          <w:rFonts w:ascii="Calibri" w:hAnsi="Calibri" w:cs="Arial"/>
          <w:color w:val="000000"/>
          <w:szCs w:val="24"/>
        </w:rPr>
        <w:t>18</w:t>
      </w:r>
      <w:r w:rsidR="009900B7">
        <w:rPr>
          <w:rFonts w:ascii="Calibri" w:hAnsi="Calibri" w:cs="Arial"/>
          <w:color w:val="000000"/>
          <w:szCs w:val="24"/>
        </w:rPr>
        <w:t>.</w:t>
      </w:r>
      <w:r w:rsidR="002D6CD8">
        <w:rPr>
          <w:rFonts w:ascii="Calibri" w:hAnsi="Calibri" w:cs="Arial"/>
          <w:color w:val="000000"/>
          <w:szCs w:val="24"/>
        </w:rPr>
        <w:t>.</w:t>
      </w:r>
      <w:proofErr w:type="gramEnd"/>
      <w:r w:rsidRPr="000000EB" w:rsidR="00B75264">
        <w:rPr>
          <w:rFonts w:ascii="Calibri" w:hAnsi="Calibri" w:cs="Arial"/>
          <w:color w:val="000000"/>
          <w:szCs w:val="24"/>
        </w:rPr>
        <w:t xml:space="preserve"> </w:t>
      </w:r>
      <w:r w:rsidR="002D6CD8">
        <w:rPr>
          <w:rFonts w:cstheme="minorHAnsi"/>
          <w:szCs w:val="24"/>
        </w:rPr>
        <w:t xml:space="preserve">Last </w:t>
      </w:r>
      <w:r w:rsidRPr="003D576A" w:rsidR="003D576A">
        <w:rPr>
          <w:rFonts w:ascii="Calibri" w:hAnsi="Calibri" w:cs="Arial"/>
          <w:szCs w:val="24"/>
        </w:rPr>
        <w:t>published 202</w:t>
      </w:r>
      <w:r w:rsidR="002D6CD8">
        <w:rPr>
          <w:rFonts w:ascii="Calibri" w:hAnsi="Calibri" w:cs="Arial"/>
          <w:szCs w:val="24"/>
        </w:rPr>
        <w:t>1</w:t>
      </w:r>
      <w:r w:rsidR="00B75264">
        <w:rPr>
          <w:rFonts w:ascii="Calibri" w:hAnsi="Calibri" w:cs="Arial"/>
          <w:color w:val="000000"/>
          <w:szCs w:val="24"/>
        </w:rPr>
        <w:t>.</w:t>
      </w:r>
    </w:p>
    <w:p w:rsidRPr="000000EB" w:rsidR="00035347" w:rsidP="00BA0B30" w:rsidRDefault="00035347" w14:paraId="7B03B4F4" w14:textId="47729ACF">
      <w:pPr>
        <w:numPr>
          <w:ilvl w:val="0"/>
          <w:numId w:val="4"/>
        </w:numPr>
        <w:rPr>
          <w:rFonts w:ascii="Calibri" w:hAnsi="Calibri" w:cs="Arial"/>
          <w:color w:val="000000"/>
          <w:szCs w:val="24"/>
        </w:rPr>
      </w:pPr>
      <w:r>
        <w:rPr>
          <w:rFonts w:ascii="Calibri" w:hAnsi="Calibri" w:cs="Arial"/>
          <w:i/>
          <w:color w:val="000000"/>
          <w:szCs w:val="24"/>
        </w:rPr>
        <w:t xml:space="preserve">Sexual Orientation and Gender Identity in the NCVS </w:t>
      </w:r>
      <w:r>
        <w:rPr>
          <w:rFonts w:ascii="Calibri" w:hAnsi="Calibri" w:cs="Arial"/>
          <w:color w:val="000000"/>
          <w:szCs w:val="24"/>
        </w:rPr>
        <w:t xml:space="preserve">– Will present victimization and population estimates by sexual orientation and gender identity status. Planned for </w:t>
      </w:r>
      <w:r w:rsidR="00555312">
        <w:rPr>
          <w:rFonts w:ascii="Calibri" w:hAnsi="Calibri" w:cs="Arial"/>
          <w:color w:val="000000"/>
          <w:szCs w:val="24"/>
        </w:rPr>
        <w:t xml:space="preserve">late </w:t>
      </w:r>
      <w:r>
        <w:rPr>
          <w:rFonts w:ascii="Calibri" w:hAnsi="Calibri" w:cs="Arial"/>
          <w:color w:val="000000"/>
          <w:szCs w:val="24"/>
        </w:rPr>
        <w:t>2021</w:t>
      </w:r>
      <w:r w:rsidR="00555312">
        <w:rPr>
          <w:rFonts w:ascii="Calibri" w:hAnsi="Calibri" w:cs="Arial"/>
          <w:color w:val="000000"/>
          <w:szCs w:val="24"/>
        </w:rPr>
        <w:t xml:space="preserve"> or early 2022</w:t>
      </w:r>
      <w:r>
        <w:rPr>
          <w:rFonts w:ascii="Calibri" w:hAnsi="Calibri" w:cs="Arial"/>
          <w:color w:val="000000"/>
          <w:szCs w:val="24"/>
        </w:rPr>
        <w:t>.</w:t>
      </w:r>
    </w:p>
    <w:p w:rsidRPr="000000EB" w:rsidR="00B75264" w:rsidP="00BA0B30" w:rsidRDefault="00B75264" w14:paraId="5841E542" w14:textId="77777777">
      <w:pPr>
        <w:numPr>
          <w:ilvl w:val="0"/>
          <w:numId w:val="3"/>
        </w:numPr>
        <w:rPr>
          <w:rFonts w:ascii="Calibri" w:hAnsi="Calibri" w:cs="Arial"/>
          <w:b/>
          <w:color w:val="000000"/>
          <w:szCs w:val="24"/>
          <w:u w:val="single"/>
        </w:rPr>
      </w:pPr>
      <w:r>
        <w:rPr>
          <w:rFonts w:ascii="Calibri" w:hAnsi="Calibri" w:cs="Arial"/>
          <w:b/>
          <w:color w:val="000000"/>
          <w:szCs w:val="24"/>
          <w:u w:val="single"/>
        </w:rPr>
        <w:t>Victim-o</w:t>
      </w:r>
      <w:r w:rsidRPr="000000EB">
        <w:rPr>
          <w:rFonts w:ascii="Calibri" w:hAnsi="Calibri" w:cs="Arial"/>
          <w:b/>
          <w:color w:val="000000"/>
          <w:szCs w:val="24"/>
          <w:u w:val="single"/>
        </w:rPr>
        <w:t>ffender relationship</w:t>
      </w:r>
      <w:r>
        <w:rPr>
          <w:rFonts w:ascii="Calibri" w:hAnsi="Calibri" w:cs="Arial"/>
          <w:b/>
          <w:color w:val="000000"/>
          <w:szCs w:val="24"/>
          <w:u w:val="single"/>
        </w:rPr>
        <w:t xml:space="preserve"> and offender characteristics</w:t>
      </w:r>
    </w:p>
    <w:p w:rsidRPr="00E475DF" w:rsidR="00B75264" w:rsidP="00BA0B30" w:rsidRDefault="002B2A01" w14:paraId="7304EF1D" w14:textId="3FA160C1">
      <w:pPr>
        <w:numPr>
          <w:ilvl w:val="0"/>
          <w:numId w:val="2"/>
        </w:numPr>
        <w:rPr>
          <w:rFonts w:ascii="Calibri" w:hAnsi="Calibri" w:cs="Arial"/>
          <w:i/>
          <w:color w:val="000000"/>
          <w:szCs w:val="24"/>
        </w:rPr>
      </w:pPr>
      <w:hyperlink w:history="1" r:id="rId35">
        <w:r w:rsidRPr="00245928" w:rsidR="00B75264">
          <w:rPr>
            <w:rStyle w:val="Hyperlink"/>
            <w:rFonts w:ascii="Calibri" w:hAnsi="Calibri" w:cs="Arial"/>
            <w:i/>
            <w:szCs w:val="24"/>
          </w:rPr>
          <w:t>Race and Ethnicity of Violent Crime Offenders and Arrestees</w:t>
        </w:r>
      </w:hyperlink>
      <w:r w:rsidR="00B75264">
        <w:rPr>
          <w:rFonts w:ascii="Calibri" w:hAnsi="Calibri" w:cs="Arial"/>
          <w:i/>
          <w:color w:val="000000"/>
          <w:szCs w:val="24"/>
        </w:rPr>
        <w:t xml:space="preserve"> </w:t>
      </w:r>
      <w:r w:rsidR="003C5BDE">
        <w:rPr>
          <w:rFonts w:ascii="Calibri" w:hAnsi="Calibri" w:cs="Arial"/>
          <w:i/>
          <w:color w:val="000000"/>
          <w:szCs w:val="24"/>
        </w:rPr>
        <w:t>-</w:t>
      </w:r>
      <w:r w:rsidR="004D6F96">
        <w:rPr>
          <w:rFonts w:ascii="Calibri" w:hAnsi="Calibri" w:cs="Arial"/>
          <w:i/>
          <w:color w:val="000000"/>
          <w:szCs w:val="24"/>
        </w:rPr>
        <w:t xml:space="preserve"> </w:t>
      </w:r>
      <w:r w:rsidR="004D6F96">
        <w:rPr>
          <w:rFonts w:ascii="Calibri" w:hAnsi="Calibri" w:cs="Arial"/>
          <w:color w:val="000000"/>
          <w:szCs w:val="24"/>
        </w:rPr>
        <w:t>C</w:t>
      </w:r>
      <w:r w:rsidRPr="007F6893" w:rsidR="00B75264">
        <w:rPr>
          <w:rFonts w:ascii="Calibri" w:hAnsi="Calibri" w:cs="Arial"/>
          <w:color w:val="000000"/>
          <w:szCs w:val="24"/>
        </w:rPr>
        <w:t>ompares the FBI's Uniform Crime Reporting (UCR) Program data on incidents of nonfatal violent crime to data from BJS's National Crime Victimization Survey (NCVS) to determine if arrest differences by race and ethnicity can be attributed to differences in criminal involvement</w:t>
      </w:r>
      <w:r w:rsidR="002D6CD8">
        <w:rPr>
          <w:rFonts w:ascii="Calibri" w:hAnsi="Calibri" w:cs="Arial"/>
          <w:color w:val="000000"/>
          <w:szCs w:val="24"/>
        </w:rPr>
        <w:t>.</w:t>
      </w:r>
      <w:r w:rsidR="00B75264">
        <w:rPr>
          <w:rFonts w:ascii="Calibri" w:hAnsi="Calibri" w:cs="Arial"/>
          <w:color w:val="000000"/>
          <w:szCs w:val="24"/>
        </w:rPr>
        <w:t xml:space="preserve"> </w:t>
      </w:r>
      <w:r w:rsidR="002D6CD8">
        <w:rPr>
          <w:rFonts w:ascii="Calibri" w:hAnsi="Calibri" w:cs="Arial"/>
          <w:color w:val="000000"/>
          <w:szCs w:val="24"/>
        </w:rPr>
        <w:t>P</w:t>
      </w:r>
      <w:r w:rsidR="00B75264">
        <w:rPr>
          <w:rFonts w:ascii="Calibri" w:hAnsi="Calibri" w:cs="Arial"/>
          <w:color w:val="000000"/>
          <w:szCs w:val="24"/>
        </w:rPr>
        <w:t>ublished 2021</w:t>
      </w:r>
      <w:r w:rsidRPr="00246E2F" w:rsidR="00B75264">
        <w:rPr>
          <w:rFonts w:ascii="Calibri" w:hAnsi="Calibri" w:cs="Arial"/>
          <w:color w:val="000000"/>
          <w:szCs w:val="24"/>
        </w:rPr>
        <w:t xml:space="preserve">. </w:t>
      </w:r>
    </w:p>
    <w:p w:rsidRPr="00F969B4" w:rsidR="00B75264" w:rsidP="00BA0B30" w:rsidRDefault="002B2A01" w14:paraId="1F561915" w14:textId="257706F8">
      <w:pPr>
        <w:numPr>
          <w:ilvl w:val="0"/>
          <w:numId w:val="2"/>
        </w:numPr>
        <w:rPr>
          <w:rFonts w:ascii="Calibri" w:hAnsi="Calibri" w:cs="Arial"/>
          <w:i/>
          <w:color w:val="000000"/>
          <w:szCs w:val="24"/>
        </w:rPr>
      </w:pPr>
      <w:hyperlink w:history="1" r:id="rId36">
        <w:r w:rsidRPr="00245928" w:rsidR="00B75264">
          <w:rPr>
            <w:rStyle w:val="Hyperlink"/>
            <w:rFonts w:ascii="Calibri" w:hAnsi="Calibri" w:cs="Arial"/>
            <w:i/>
            <w:szCs w:val="24"/>
          </w:rPr>
          <w:t>Violent Victimization by Race or Ethnicity</w:t>
        </w:r>
      </w:hyperlink>
      <w:r w:rsidR="00B75264">
        <w:rPr>
          <w:rFonts w:ascii="Calibri" w:hAnsi="Calibri" w:cs="Arial"/>
          <w:i/>
          <w:color w:val="000000"/>
          <w:szCs w:val="24"/>
        </w:rPr>
        <w:t xml:space="preserve"> - </w:t>
      </w:r>
      <w:r w:rsidR="00B75264">
        <w:rPr>
          <w:rFonts w:ascii="Calibri" w:hAnsi="Calibri" w:cs="Arial"/>
          <w:color w:val="000000"/>
          <w:szCs w:val="24"/>
        </w:rPr>
        <w:t>A</w:t>
      </w:r>
      <w:r w:rsidRPr="00E475DF" w:rsidR="00B75264">
        <w:rPr>
          <w:rFonts w:ascii="Calibri" w:hAnsi="Calibri" w:cs="Arial"/>
          <w:color w:val="000000"/>
          <w:szCs w:val="24"/>
        </w:rPr>
        <w:t>ddresses trends in the number and rate of violent victimization by victim race or ethnicity</w:t>
      </w:r>
      <w:r w:rsidR="00245928">
        <w:rPr>
          <w:rFonts w:ascii="Calibri" w:hAnsi="Calibri" w:cs="Arial"/>
          <w:color w:val="000000"/>
          <w:szCs w:val="24"/>
        </w:rPr>
        <w:t>.</w:t>
      </w:r>
      <w:r w:rsidR="00B75264">
        <w:rPr>
          <w:rFonts w:ascii="Calibri" w:hAnsi="Calibri" w:cs="Arial"/>
          <w:i/>
          <w:color w:val="000000"/>
          <w:szCs w:val="24"/>
        </w:rPr>
        <w:t xml:space="preserve"> </w:t>
      </w:r>
      <w:r w:rsidR="00245928">
        <w:rPr>
          <w:rFonts w:ascii="Calibri" w:hAnsi="Calibri" w:cs="Arial"/>
          <w:color w:val="000000"/>
          <w:szCs w:val="24"/>
        </w:rPr>
        <w:t>P</w:t>
      </w:r>
      <w:r w:rsidR="00B75264">
        <w:rPr>
          <w:rFonts w:ascii="Calibri" w:hAnsi="Calibri" w:cs="Arial"/>
          <w:color w:val="000000"/>
          <w:szCs w:val="24"/>
        </w:rPr>
        <w:t>ublished 2020.</w:t>
      </w:r>
      <w:r w:rsidR="00B75264">
        <w:rPr>
          <w:rFonts w:ascii="Calibri" w:hAnsi="Calibri" w:cs="Arial"/>
          <w:i/>
          <w:color w:val="000000"/>
          <w:szCs w:val="24"/>
        </w:rPr>
        <w:t xml:space="preserve"> </w:t>
      </w:r>
    </w:p>
    <w:p w:rsidRPr="000000EB" w:rsidR="00B75264" w:rsidP="00BA0B30" w:rsidRDefault="00B75264" w14:paraId="450D03AF" w14:textId="77777777">
      <w:pPr>
        <w:numPr>
          <w:ilvl w:val="0"/>
          <w:numId w:val="3"/>
        </w:numPr>
        <w:rPr>
          <w:rFonts w:ascii="Calibri" w:hAnsi="Calibri" w:cs="Arial"/>
          <w:b/>
          <w:color w:val="000000"/>
          <w:szCs w:val="24"/>
          <w:u w:val="single"/>
        </w:rPr>
      </w:pPr>
      <w:r w:rsidRPr="000000EB">
        <w:rPr>
          <w:rFonts w:ascii="Calibri" w:hAnsi="Calibri" w:cs="Arial"/>
          <w:b/>
          <w:color w:val="000000"/>
          <w:szCs w:val="24"/>
          <w:u w:val="single"/>
        </w:rPr>
        <w:lastRenderedPageBreak/>
        <w:t>Bias-motivated victimizations</w:t>
      </w:r>
    </w:p>
    <w:p w:rsidRPr="000000EB" w:rsidR="00B75264" w:rsidP="00BA0B30" w:rsidRDefault="002B2A01" w14:paraId="1F532E3D" w14:textId="5F469950">
      <w:pPr>
        <w:numPr>
          <w:ilvl w:val="0"/>
          <w:numId w:val="2"/>
        </w:numPr>
        <w:rPr>
          <w:rFonts w:ascii="Calibri" w:hAnsi="Calibri" w:cs="Arial"/>
          <w:i/>
          <w:color w:val="000000"/>
          <w:szCs w:val="24"/>
        </w:rPr>
      </w:pPr>
      <w:hyperlink w:history="1" r:id="rId37">
        <w:r w:rsidRPr="00245928" w:rsidR="00B75264">
          <w:rPr>
            <w:rStyle w:val="Hyperlink"/>
            <w:rFonts w:ascii="Calibri" w:hAnsi="Calibri" w:cs="Arial"/>
            <w:i/>
            <w:szCs w:val="24"/>
          </w:rPr>
          <w:t>Hate Crime</w:t>
        </w:r>
      </w:hyperlink>
      <w:r w:rsidRPr="000000EB" w:rsidR="00B75264">
        <w:rPr>
          <w:rFonts w:ascii="Calibri" w:hAnsi="Calibri" w:cs="Arial"/>
          <w:i/>
          <w:color w:val="000000"/>
          <w:szCs w:val="24"/>
        </w:rPr>
        <w:t xml:space="preserve"> – </w:t>
      </w:r>
      <w:r w:rsidRPr="000000EB" w:rsidR="00B75264">
        <w:rPr>
          <w:rFonts w:ascii="Calibri" w:hAnsi="Calibri" w:cs="Arial"/>
          <w:color w:val="000000"/>
          <w:szCs w:val="24"/>
        </w:rPr>
        <w:t>Presents patterns and trends in victimizations motivated by racial, ethnic, gender, sexual orientation, or disability bias</w:t>
      </w:r>
      <w:r w:rsidR="00B75264">
        <w:rPr>
          <w:rFonts w:ascii="Calibri" w:hAnsi="Calibri" w:cs="Arial"/>
          <w:color w:val="000000"/>
          <w:szCs w:val="24"/>
        </w:rPr>
        <w:t xml:space="preserve">. </w:t>
      </w:r>
      <w:r w:rsidR="00245928">
        <w:rPr>
          <w:rFonts w:ascii="Calibri" w:hAnsi="Calibri" w:cs="Arial"/>
          <w:color w:val="000000"/>
          <w:szCs w:val="24"/>
        </w:rPr>
        <w:t xml:space="preserve">Last published 2017. </w:t>
      </w:r>
      <w:r w:rsidR="00B75264">
        <w:rPr>
          <w:rFonts w:ascii="Calibri" w:hAnsi="Calibri" w:cs="Arial"/>
          <w:color w:val="000000"/>
          <w:szCs w:val="24"/>
        </w:rPr>
        <w:t xml:space="preserve">Planned for </w:t>
      </w:r>
      <w:r w:rsidR="00555312">
        <w:rPr>
          <w:rFonts w:ascii="Calibri" w:hAnsi="Calibri" w:cs="Arial"/>
          <w:color w:val="000000"/>
          <w:szCs w:val="24"/>
        </w:rPr>
        <w:t xml:space="preserve">late </w:t>
      </w:r>
      <w:r w:rsidR="00B75264">
        <w:rPr>
          <w:rFonts w:ascii="Calibri" w:hAnsi="Calibri" w:cs="Arial"/>
          <w:color w:val="000000"/>
          <w:szCs w:val="24"/>
        </w:rPr>
        <w:t>2021</w:t>
      </w:r>
      <w:r w:rsidR="00555312">
        <w:rPr>
          <w:rFonts w:ascii="Calibri" w:hAnsi="Calibri" w:cs="Arial"/>
          <w:color w:val="000000"/>
          <w:szCs w:val="24"/>
        </w:rPr>
        <w:t xml:space="preserve"> or early 2022</w:t>
      </w:r>
      <w:r w:rsidR="00B75264">
        <w:rPr>
          <w:rFonts w:ascii="Calibri" w:hAnsi="Calibri" w:cs="Arial"/>
          <w:color w:val="000000"/>
          <w:szCs w:val="24"/>
        </w:rPr>
        <w:t>.</w:t>
      </w:r>
    </w:p>
    <w:p w:rsidRPr="00B75264" w:rsidR="00B75264" w:rsidP="00BA0B30" w:rsidRDefault="00B75264" w14:paraId="55218F95" w14:textId="26C9C2D3">
      <w:pPr>
        <w:numPr>
          <w:ilvl w:val="0"/>
          <w:numId w:val="3"/>
        </w:numPr>
        <w:rPr>
          <w:rFonts w:ascii="Calibri" w:hAnsi="Calibri" w:cs="Arial"/>
          <w:b/>
          <w:color w:val="000000"/>
          <w:szCs w:val="24"/>
          <w:u w:val="single"/>
        </w:rPr>
      </w:pPr>
      <w:r w:rsidRPr="00B75264">
        <w:rPr>
          <w:rFonts w:ascii="Calibri" w:hAnsi="Calibri" w:cs="Arial"/>
          <w:b/>
          <w:color w:val="000000"/>
          <w:szCs w:val="24"/>
          <w:u w:val="single"/>
        </w:rPr>
        <w:t>Technical/Methodological Research</w:t>
      </w:r>
      <w:r w:rsidR="00316BC8">
        <w:rPr>
          <w:rFonts w:ascii="Calibri" w:hAnsi="Calibri" w:cs="Arial"/>
          <w:b/>
          <w:color w:val="000000"/>
          <w:szCs w:val="24"/>
          <w:u w:val="single"/>
        </w:rPr>
        <w:t xml:space="preserve"> in the last 2 years</w:t>
      </w:r>
    </w:p>
    <w:p w:rsidRPr="000000EB" w:rsidR="00B75264" w:rsidP="00BA0B30" w:rsidRDefault="002B2A01" w14:paraId="038E3487" w14:textId="2D099279">
      <w:pPr>
        <w:numPr>
          <w:ilvl w:val="0"/>
          <w:numId w:val="2"/>
        </w:numPr>
        <w:rPr>
          <w:rFonts w:ascii="Calibri" w:hAnsi="Calibri" w:cs="Arial"/>
          <w:color w:val="000000"/>
          <w:szCs w:val="24"/>
        </w:rPr>
      </w:pPr>
      <w:hyperlink w:history="1" r:id="rId38">
        <w:r w:rsidRPr="00245928" w:rsidR="00B75264">
          <w:rPr>
            <w:rStyle w:val="Hyperlink"/>
            <w:rFonts w:ascii="Calibri" w:hAnsi="Calibri" w:cs="Arial"/>
            <w:i/>
            <w:szCs w:val="24"/>
          </w:rPr>
          <w:t>Classification of Urban, Suburban, and Rural Areas in the National Crime Victimization Survey</w:t>
        </w:r>
      </w:hyperlink>
      <w:r w:rsidR="004D6F96">
        <w:rPr>
          <w:rFonts w:ascii="Calibri" w:hAnsi="Calibri" w:cs="Arial"/>
          <w:i/>
          <w:color w:val="000000"/>
          <w:szCs w:val="24"/>
        </w:rPr>
        <w:t xml:space="preserve"> - </w:t>
      </w:r>
      <w:r w:rsidR="00B75264">
        <w:rPr>
          <w:rFonts w:ascii="Calibri" w:hAnsi="Calibri" w:cs="Arial"/>
          <w:color w:val="000000"/>
          <w:szCs w:val="24"/>
        </w:rPr>
        <w:t>I</w:t>
      </w:r>
      <w:r w:rsidRPr="000B6F43" w:rsidR="00B75264">
        <w:rPr>
          <w:rFonts w:ascii="Calibri" w:hAnsi="Calibri" w:cs="Arial"/>
          <w:color w:val="000000"/>
          <w:szCs w:val="24"/>
        </w:rPr>
        <w:t xml:space="preserve">llustrates how </w:t>
      </w:r>
      <w:r w:rsidR="00B75264">
        <w:rPr>
          <w:rFonts w:ascii="Calibri" w:hAnsi="Calibri" w:cs="Arial"/>
          <w:color w:val="000000"/>
          <w:szCs w:val="24"/>
        </w:rPr>
        <w:t>new</w:t>
      </w:r>
      <w:r w:rsidRPr="000B6F43" w:rsidR="00B75264">
        <w:rPr>
          <w:rFonts w:ascii="Calibri" w:hAnsi="Calibri" w:cs="Arial"/>
          <w:color w:val="000000"/>
          <w:szCs w:val="24"/>
        </w:rPr>
        <w:t xml:space="preserve"> classifications</w:t>
      </w:r>
      <w:r w:rsidR="00B75264">
        <w:rPr>
          <w:rFonts w:ascii="Calibri" w:hAnsi="Calibri" w:cs="Arial"/>
          <w:color w:val="000000"/>
          <w:szCs w:val="24"/>
        </w:rPr>
        <w:t xml:space="preserve"> of urban, suburban, and rural areas</w:t>
      </w:r>
      <w:r w:rsidRPr="000B6F43" w:rsidR="00B75264">
        <w:rPr>
          <w:rFonts w:ascii="Calibri" w:hAnsi="Calibri" w:cs="Arial"/>
          <w:color w:val="000000"/>
          <w:szCs w:val="24"/>
        </w:rPr>
        <w:t xml:space="preserve"> are determined and how the new definitions more closely fit U.S. residents’ own sense of where they live</w:t>
      </w:r>
      <w:r w:rsidR="00245928">
        <w:rPr>
          <w:rFonts w:ascii="Calibri" w:hAnsi="Calibri" w:cs="Arial"/>
          <w:color w:val="000000"/>
          <w:szCs w:val="24"/>
        </w:rPr>
        <w:t>. P</w:t>
      </w:r>
      <w:r w:rsidR="00B75264">
        <w:rPr>
          <w:rFonts w:ascii="Calibri" w:hAnsi="Calibri" w:cs="Arial"/>
          <w:color w:val="000000"/>
          <w:szCs w:val="24"/>
        </w:rPr>
        <w:t>ublished 2020.</w:t>
      </w:r>
    </w:p>
    <w:p w:rsidR="00B75264" w:rsidP="00BA0B30" w:rsidRDefault="002B2A01" w14:paraId="6D957D0E" w14:textId="6344F4EF">
      <w:pPr>
        <w:numPr>
          <w:ilvl w:val="0"/>
          <w:numId w:val="2"/>
        </w:numPr>
        <w:rPr>
          <w:rFonts w:ascii="Calibri" w:hAnsi="Calibri" w:cs="Arial"/>
          <w:color w:val="000000"/>
          <w:szCs w:val="24"/>
        </w:rPr>
      </w:pPr>
      <w:hyperlink w:history="1" r:id="rId39">
        <w:r w:rsidRPr="009C14B4" w:rsidR="00B75264">
          <w:rPr>
            <w:rStyle w:val="Hyperlink"/>
            <w:rFonts w:ascii="Calibri" w:hAnsi="Calibri" w:cs="Arial"/>
            <w:i/>
            <w:szCs w:val="24"/>
          </w:rPr>
          <w:t>Estimating Crime Victimization in the Large States and MSAs through Reweighting: Evaluation and Methodology</w:t>
        </w:r>
      </w:hyperlink>
      <w:r w:rsidR="00B75264">
        <w:rPr>
          <w:rFonts w:ascii="Calibri" w:hAnsi="Calibri" w:cs="Arial"/>
          <w:color w:val="000000"/>
          <w:szCs w:val="24"/>
        </w:rPr>
        <w:t xml:space="preserve"> - </w:t>
      </w:r>
      <w:r w:rsidR="004D6F96">
        <w:rPr>
          <w:rFonts w:ascii="Calibri" w:hAnsi="Calibri" w:cs="Arial"/>
          <w:color w:val="000000"/>
          <w:szCs w:val="24"/>
        </w:rPr>
        <w:t>E</w:t>
      </w:r>
      <w:r w:rsidRPr="00A85DF1" w:rsidR="00B75264">
        <w:rPr>
          <w:rFonts w:ascii="Calibri" w:hAnsi="Calibri" w:cs="Arial"/>
          <w:color w:val="000000"/>
          <w:szCs w:val="24"/>
        </w:rPr>
        <w:t>xamines the extent to which weighting for National Crime Victimization Survey (NCVS) data can be adjusted to produce reliable subnational violent- victimization statistics, and it also provides guidelines for aggregating NCVS data over multiple years to produce subnational estimates of interest</w:t>
      </w:r>
      <w:r w:rsidR="009C14B4">
        <w:rPr>
          <w:rFonts w:ascii="Calibri" w:hAnsi="Calibri" w:cs="Arial"/>
          <w:color w:val="000000"/>
          <w:szCs w:val="24"/>
        </w:rPr>
        <w:t>.</w:t>
      </w:r>
      <w:r w:rsidR="00B75264">
        <w:rPr>
          <w:rFonts w:ascii="Calibri" w:hAnsi="Calibri" w:cs="Arial"/>
          <w:color w:val="000000"/>
          <w:szCs w:val="24"/>
        </w:rPr>
        <w:t xml:space="preserve"> </w:t>
      </w:r>
      <w:r w:rsidR="009C14B4">
        <w:rPr>
          <w:rFonts w:ascii="Calibri" w:hAnsi="Calibri" w:cs="Arial"/>
          <w:color w:val="000000"/>
          <w:szCs w:val="24"/>
        </w:rPr>
        <w:t>P</w:t>
      </w:r>
      <w:r w:rsidR="00B75264">
        <w:rPr>
          <w:rFonts w:ascii="Calibri" w:hAnsi="Calibri" w:cs="Arial"/>
          <w:color w:val="000000"/>
          <w:szCs w:val="24"/>
        </w:rPr>
        <w:t>ublished 2021.</w:t>
      </w:r>
    </w:p>
    <w:p w:rsidR="00B75264" w:rsidP="00BA0B30" w:rsidRDefault="002B2A01" w14:paraId="1AEB655F" w14:textId="47BAD744">
      <w:pPr>
        <w:numPr>
          <w:ilvl w:val="0"/>
          <w:numId w:val="2"/>
        </w:numPr>
        <w:rPr>
          <w:rFonts w:ascii="Calibri" w:hAnsi="Calibri" w:cs="Arial"/>
          <w:color w:val="000000"/>
          <w:szCs w:val="24"/>
        </w:rPr>
      </w:pPr>
      <w:hyperlink w:history="1" r:id="rId40">
        <w:r w:rsidRPr="00DC5AD6" w:rsidR="00B75264">
          <w:rPr>
            <w:rStyle w:val="Hyperlink"/>
            <w:rFonts w:ascii="Calibri" w:hAnsi="Calibri" w:cs="Arial"/>
            <w:i/>
            <w:szCs w:val="24"/>
          </w:rPr>
          <w:t>Constructing and Disseminating Small Area Estimates from the National Crime Victimization Survey</w:t>
        </w:r>
      </w:hyperlink>
      <w:r w:rsidR="00B75264">
        <w:rPr>
          <w:rFonts w:ascii="Calibri" w:hAnsi="Calibri" w:cs="Arial"/>
          <w:i/>
          <w:color w:val="000000"/>
          <w:szCs w:val="24"/>
        </w:rPr>
        <w:t xml:space="preserve"> </w:t>
      </w:r>
      <w:r w:rsidRPr="00E475DF" w:rsidR="00B75264">
        <w:rPr>
          <w:rFonts w:ascii="Calibri" w:hAnsi="Calibri" w:cs="Arial"/>
          <w:color w:val="000000"/>
          <w:szCs w:val="24"/>
        </w:rPr>
        <w:t>-</w:t>
      </w:r>
      <w:r w:rsidR="00B75264">
        <w:rPr>
          <w:rFonts w:ascii="Calibri" w:hAnsi="Calibri" w:cs="Arial"/>
          <w:color w:val="000000"/>
          <w:szCs w:val="24"/>
        </w:rPr>
        <w:t xml:space="preserve"> F</w:t>
      </w:r>
      <w:r w:rsidRPr="0017287A" w:rsidR="00B75264">
        <w:rPr>
          <w:rFonts w:ascii="Calibri" w:hAnsi="Calibri" w:cs="Arial"/>
          <w:color w:val="000000"/>
          <w:szCs w:val="24"/>
        </w:rPr>
        <w:t>eatures state-level estimates for an expanded set of characteristics that have been produced as 3-year averages for 2007–2018</w:t>
      </w:r>
      <w:r w:rsidR="00DC5AD6">
        <w:rPr>
          <w:rFonts w:ascii="Calibri" w:hAnsi="Calibri" w:cs="Arial"/>
          <w:color w:val="000000"/>
          <w:szCs w:val="24"/>
        </w:rPr>
        <w:t>.</w:t>
      </w:r>
      <w:r w:rsidR="00B75264">
        <w:rPr>
          <w:rFonts w:ascii="Calibri" w:hAnsi="Calibri" w:cs="Arial"/>
          <w:color w:val="000000"/>
          <w:szCs w:val="24"/>
        </w:rPr>
        <w:t xml:space="preserve"> </w:t>
      </w:r>
      <w:r w:rsidR="00DC5AD6">
        <w:rPr>
          <w:rFonts w:ascii="Calibri" w:hAnsi="Calibri" w:cs="Arial"/>
          <w:color w:val="000000"/>
          <w:szCs w:val="24"/>
        </w:rPr>
        <w:t>P</w:t>
      </w:r>
      <w:r w:rsidR="00B75264">
        <w:rPr>
          <w:rFonts w:ascii="Calibri" w:hAnsi="Calibri" w:cs="Arial"/>
          <w:color w:val="000000"/>
          <w:szCs w:val="24"/>
        </w:rPr>
        <w:t>ublished 2021.</w:t>
      </w:r>
    </w:p>
    <w:p w:rsidR="00B75264" w:rsidP="00BA0B30" w:rsidRDefault="002B2A01" w14:paraId="539CA016" w14:textId="7BC060D5">
      <w:pPr>
        <w:numPr>
          <w:ilvl w:val="0"/>
          <w:numId w:val="2"/>
        </w:numPr>
        <w:rPr>
          <w:rFonts w:ascii="Calibri" w:hAnsi="Calibri" w:cs="Arial"/>
          <w:color w:val="000000"/>
          <w:szCs w:val="24"/>
        </w:rPr>
      </w:pPr>
      <w:hyperlink w:history="1" r:id="rId41">
        <w:r w:rsidRPr="00BC1696" w:rsidR="00B75264">
          <w:rPr>
            <w:rStyle w:val="Hyperlink"/>
            <w:rFonts w:ascii="Calibri" w:hAnsi="Calibri" w:cs="Arial"/>
            <w:i/>
            <w:szCs w:val="24"/>
          </w:rPr>
          <w:t>Small Area Estimation for the National Crime Victimization Survey</w:t>
        </w:r>
        <w:r w:rsidRPr="00BC1696" w:rsidR="00B75264">
          <w:rPr>
            <w:rStyle w:val="Hyperlink"/>
            <w:rFonts w:ascii="Calibri" w:hAnsi="Calibri" w:cs="Arial"/>
            <w:szCs w:val="24"/>
          </w:rPr>
          <w:t xml:space="preserve">: </w:t>
        </w:r>
        <w:r w:rsidRPr="00BC1696" w:rsidR="00B75264">
          <w:rPr>
            <w:rStyle w:val="Hyperlink"/>
            <w:rFonts w:ascii="Calibri" w:hAnsi="Calibri" w:cs="Arial"/>
            <w:i/>
            <w:szCs w:val="24"/>
          </w:rPr>
          <w:t>A Guide for Data Processing and Estimation Procedures</w:t>
        </w:r>
      </w:hyperlink>
      <w:r w:rsidR="00B75264">
        <w:rPr>
          <w:rFonts w:ascii="Calibri" w:hAnsi="Calibri" w:cs="Arial"/>
          <w:color w:val="000000"/>
          <w:szCs w:val="24"/>
        </w:rPr>
        <w:t xml:space="preserve"> - O</w:t>
      </w:r>
      <w:r w:rsidRPr="0017287A" w:rsidR="00B75264">
        <w:rPr>
          <w:rFonts w:ascii="Calibri" w:hAnsi="Calibri" w:cs="Arial"/>
          <w:color w:val="000000"/>
          <w:szCs w:val="24"/>
        </w:rPr>
        <w:t>ffers programmers and statisticians guidance on how to use small area estimation (SAE) techniques to develop crime estimates with data from the National Crime Victimization Survey (NCVS) and the Summary Reporting System (SRS) of the FBI’s Uniform Crime Reporting (UCR) Program</w:t>
      </w:r>
      <w:r w:rsidR="00BC1696">
        <w:rPr>
          <w:rFonts w:ascii="Calibri" w:hAnsi="Calibri" w:cs="Arial"/>
          <w:color w:val="000000"/>
          <w:szCs w:val="24"/>
        </w:rPr>
        <w:t>.</w:t>
      </w:r>
      <w:r w:rsidR="00B75264">
        <w:rPr>
          <w:rFonts w:ascii="Calibri" w:hAnsi="Calibri" w:cs="Arial"/>
          <w:color w:val="000000"/>
          <w:szCs w:val="24"/>
        </w:rPr>
        <w:t xml:space="preserve"> </w:t>
      </w:r>
      <w:r w:rsidR="00BC1696">
        <w:rPr>
          <w:rFonts w:ascii="Calibri" w:hAnsi="Calibri" w:cs="Arial"/>
          <w:color w:val="000000"/>
          <w:szCs w:val="24"/>
        </w:rPr>
        <w:t>P</w:t>
      </w:r>
      <w:r w:rsidR="00B75264">
        <w:rPr>
          <w:rFonts w:ascii="Calibri" w:hAnsi="Calibri" w:cs="Arial"/>
          <w:color w:val="000000"/>
          <w:szCs w:val="24"/>
        </w:rPr>
        <w:t>ublished in 2021.</w:t>
      </w:r>
    </w:p>
    <w:p w:rsidRPr="00E475DF" w:rsidR="00B75264" w:rsidP="00BA0B30" w:rsidRDefault="002B2A01" w14:paraId="3AB65D22" w14:textId="738F2864">
      <w:pPr>
        <w:numPr>
          <w:ilvl w:val="0"/>
          <w:numId w:val="2"/>
        </w:numPr>
        <w:rPr>
          <w:rFonts w:ascii="Calibri" w:hAnsi="Calibri" w:cs="Arial"/>
          <w:i/>
          <w:color w:val="000000"/>
          <w:szCs w:val="24"/>
        </w:rPr>
      </w:pPr>
      <w:hyperlink w:history="1" r:id="rId42">
        <w:r w:rsidRPr="00E40D9B" w:rsidR="00B75264">
          <w:rPr>
            <w:rStyle w:val="Hyperlink"/>
            <w:rFonts w:ascii="Calibri" w:hAnsi="Calibri" w:cs="Arial"/>
            <w:i/>
            <w:szCs w:val="24"/>
          </w:rPr>
          <w:t>Methodological Research to Support the National Crime Victimization Survey: Self-Report Data on Rape and Sexual Assault-Pilot Test</w:t>
        </w:r>
      </w:hyperlink>
      <w:r w:rsidR="00B75264">
        <w:rPr>
          <w:rFonts w:ascii="Calibri" w:hAnsi="Calibri" w:cs="Arial"/>
          <w:color w:val="000000"/>
          <w:szCs w:val="24"/>
        </w:rPr>
        <w:t xml:space="preserve"> –</w:t>
      </w:r>
      <w:r w:rsidR="0064609C">
        <w:rPr>
          <w:rFonts w:ascii="Calibri" w:hAnsi="Calibri" w:cs="Arial"/>
          <w:color w:val="000000"/>
          <w:szCs w:val="24"/>
        </w:rPr>
        <w:t>E</w:t>
      </w:r>
      <w:r w:rsidR="00B75264">
        <w:rPr>
          <w:rFonts w:ascii="Calibri" w:hAnsi="Calibri" w:cs="Arial"/>
          <w:color w:val="000000"/>
          <w:szCs w:val="24"/>
        </w:rPr>
        <w:t>valuate</w:t>
      </w:r>
      <w:r w:rsidR="0064609C">
        <w:rPr>
          <w:rFonts w:ascii="Calibri" w:hAnsi="Calibri" w:cs="Arial"/>
          <w:color w:val="000000"/>
          <w:szCs w:val="24"/>
        </w:rPr>
        <w:t>s</w:t>
      </w:r>
      <w:r w:rsidR="00B75264">
        <w:rPr>
          <w:rFonts w:ascii="Calibri" w:hAnsi="Calibri" w:cs="Arial"/>
          <w:color w:val="000000"/>
          <w:szCs w:val="24"/>
        </w:rPr>
        <w:t xml:space="preserve"> approaches to collecting data on rape and sexual assault and present recommendations for the NCVS</w:t>
      </w:r>
      <w:r w:rsidR="00E40D9B">
        <w:rPr>
          <w:rFonts w:ascii="Calibri" w:hAnsi="Calibri" w:cs="Arial"/>
          <w:color w:val="000000"/>
          <w:szCs w:val="24"/>
        </w:rPr>
        <w:t>.</w:t>
      </w:r>
      <w:r w:rsidR="00B75264">
        <w:rPr>
          <w:rFonts w:ascii="Calibri" w:hAnsi="Calibri" w:cs="Arial"/>
          <w:i/>
          <w:color w:val="000000"/>
          <w:szCs w:val="24"/>
        </w:rPr>
        <w:t xml:space="preserve"> </w:t>
      </w:r>
      <w:r w:rsidR="00E40D9B">
        <w:rPr>
          <w:rFonts w:ascii="Calibri" w:hAnsi="Calibri" w:cs="Arial"/>
          <w:color w:val="000000"/>
          <w:szCs w:val="24"/>
        </w:rPr>
        <w:t>P</w:t>
      </w:r>
      <w:r w:rsidR="00B75264">
        <w:rPr>
          <w:rFonts w:ascii="Calibri" w:hAnsi="Calibri" w:cs="Arial"/>
          <w:color w:val="000000"/>
          <w:szCs w:val="24"/>
        </w:rPr>
        <w:t>ublished 2021.</w:t>
      </w:r>
    </w:p>
    <w:p w:rsidRPr="003E04ED" w:rsidR="00B75264" w:rsidP="00BA0B30" w:rsidRDefault="002B2A01" w14:paraId="011FC5D6" w14:textId="3AA4BE29">
      <w:pPr>
        <w:numPr>
          <w:ilvl w:val="0"/>
          <w:numId w:val="2"/>
        </w:numPr>
        <w:rPr>
          <w:rFonts w:ascii="Calibri" w:hAnsi="Calibri" w:cs="Arial"/>
          <w:i/>
          <w:color w:val="000000"/>
          <w:szCs w:val="24"/>
        </w:rPr>
      </w:pPr>
      <w:hyperlink w:history="1" r:id="rId43">
        <w:r w:rsidRPr="00E40D9B" w:rsidR="00B75264">
          <w:rPr>
            <w:rStyle w:val="Hyperlink"/>
            <w:rFonts w:ascii="Calibri" w:hAnsi="Calibri" w:cs="Arial"/>
            <w:i/>
            <w:szCs w:val="24"/>
          </w:rPr>
          <w:t>National Crime Victimization Survey Local-Area Crime Survey: Field Test Methodology Report</w:t>
        </w:r>
      </w:hyperlink>
      <w:r w:rsidR="00B75264">
        <w:rPr>
          <w:rFonts w:ascii="Calibri" w:hAnsi="Calibri" w:cs="Arial"/>
          <w:i/>
          <w:color w:val="000000"/>
          <w:szCs w:val="24"/>
        </w:rPr>
        <w:t xml:space="preserve"> - </w:t>
      </w:r>
      <w:r w:rsidR="00B75264">
        <w:rPr>
          <w:rFonts w:ascii="Calibri" w:hAnsi="Calibri" w:cs="Arial"/>
          <w:color w:val="000000"/>
          <w:szCs w:val="24"/>
        </w:rPr>
        <w:t>D</w:t>
      </w:r>
      <w:r w:rsidRPr="003E04ED" w:rsidR="00B75264">
        <w:rPr>
          <w:rFonts w:ascii="Calibri" w:hAnsi="Calibri" w:cs="Arial"/>
          <w:color w:val="000000"/>
          <w:szCs w:val="24"/>
        </w:rPr>
        <w:t>iscusses the sample design, methods of data collection, response rates, and estimation procedures. It also compares survey results across versions of the LACS instrument and with the NCVS and the Uniform Crime Reporting Program</w:t>
      </w:r>
      <w:r w:rsidR="00E40D9B">
        <w:rPr>
          <w:rFonts w:ascii="Calibri" w:hAnsi="Calibri" w:cs="Arial"/>
          <w:color w:val="000000"/>
          <w:szCs w:val="24"/>
        </w:rPr>
        <w:t>.</w:t>
      </w:r>
      <w:r w:rsidR="00B75264">
        <w:rPr>
          <w:rFonts w:ascii="Calibri" w:hAnsi="Calibri" w:cs="Arial"/>
          <w:color w:val="000000"/>
          <w:szCs w:val="24"/>
        </w:rPr>
        <w:t xml:space="preserve"> </w:t>
      </w:r>
      <w:r w:rsidR="00E40D9B">
        <w:rPr>
          <w:rFonts w:ascii="Calibri" w:hAnsi="Calibri" w:cs="Arial"/>
          <w:color w:val="000000"/>
          <w:szCs w:val="24"/>
        </w:rPr>
        <w:t>P</w:t>
      </w:r>
      <w:r w:rsidR="00B75264">
        <w:rPr>
          <w:rFonts w:ascii="Calibri" w:hAnsi="Calibri" w:cs="Arial"/>
          <w:color w:val="000000"/>
          <w:szCs w:val="24"/>
        </w:rPr>
        <w:t>ublished 2020.</w:t>
      </w:r>
    </w:p>
    <w:p w:rsidR="002526D6" w:rsidRDefault="002526D6" w14:paraId="4DBAE6B7" w14:textId="77777777">
      <w:pPr>
        <w:widowControl/>
        <w:autoSpaceDE/>
        <w:autoSpaceDN/>
        <w:adjustRightInd/>
        <w:spacing w:after="0"/>
      </w:pPr>
      <w:r>
        <w:br w:type="page"/>
      </w:r>
    </w:p>
    <w:p w:rsidRPr="003E04ED" w:rsidR="00B75264" w:rsidP="00BA0B30" w:rsidRDefault="002B2A01" w14:paraId="3AF5461C" w14:textId="3D7F0A4C">
      <w:pPr>
        <w:numPr>
          <w:ilvl w:val="0"/>
          <w:numId w:val="2"/>
        </w:numPr>
        <w:rPr>
          <w:rFonts w:ascii="Calibri" w:hAnsi="Calibri" w:cs="Arial"/>
          <w:color w:val="000000"/>
          <w:szCs w:val="24"/>
        </w:rPr>
      </w:pPr>
      <w:hyperlink w:history="1" r:id="rId44">
        <w:r w:rsidRPr="00E40D9B" w:rsidR="00B75264">
          <w:rPr>
            <w:rStyle w:val="Hyperlink"/>
            <w:rFonts w:ascii="Calibri" w:hAnsi="Calibri" w:cs="Arial"/>
            <w:i/>
            <w:szCs w:val="24"/>
          </w:rPr>
          <w:t xml:space="preserve">National Crime Victimization Survey Local-Area Crime Survey Kit </w:t>
        </w:r>
        <w:r w:rsidRPr="00E40D9B" w:rsidR="00B75264">
          <w:rPr>
            <w:rStyle w:val="Hyperlink"/>
            <w:rFonts w:ascii="Calibri" w:hAnsi="Calibri" w:cs="Arial"/>
            <w:szCs w:val="24"/>
          </w:rPr>
          <w:t>-</w:t>
        </w:r>
      </w:hyperlink>
      <w:r w:rsidRPr="003E04ED" w:rsidR="00B75264">
        <w:rPr>
          <w:rFonts w:ascii="Calibri" w:hAnsi="Calibri" w:cs="Arial"/>
          <w:color w:val="000000"/>
          <w:szCs w:val="24"/>
        </w:rPr>
        <w:t xml:space="preserve"> </w:t>
      </w:r>
      <w:r w:rsidR="004D6F96">
        <w:rPr>
          <w:rFonts w:ascii="Calibri" w:hAnsi="Calibri" w:cs="Arial"/>
          <w:color w:val="000000"/>
          <w:szCs w:val="24"/>
        </w:rPr>
        <w:t>P</w:t>
      </w:r>
      <w:r w:rsidRPr="003E04ED" w:rsidR="00B75264">
        <w:rPr>
          <w:rFonts w:ascii="Calibri" w:hAnsi="Calibri" w:cs="Arial"/>
          <w:color w:val="000000"/>
          <w:szCs w:val="24"/>
        </w:rPr>
        <w:t>rovides local jurisdictions with guidance on how to conduct the Local-Area Crime Survey (LACS) and analyze the results</w:t>
      </w:r>
      <w:r w:rsidR="00E40D9B">
        <w:rPr>
          <w:rFonts w:ascii="Calibri" w:hAnsi="Calibri" w:cs="Arial"/>
          <w:color w:val="000000"/>
          <w:szCs w:val="24"/>
        </w:rPr>
        <w:t>.</w:t>
      </w:r>
      <w:r w:rsidR="00B75264">
        <w:rPr>
          <w:rFonts w:ascii="Calibri" w:hAnsi="Calibri" w:cs="Arial"/>
          <w:color w:val="000000"/>
          <w:szCs w:val="24"/>
        </w:rPr>
        <w:t xml:space="preserve"> </w:t>
      </w:r>
      <w:r w:rsidR="00E40D9B">
        <w:rPr>
          <w:rFonts w:ascii="Calibri" w:hAnsi="Calibri" w:cs="Arial"/>
          <w:color w:val="000000"/>
          <w:szCs w:val="24"/>
        </w:rPr>
        <w:t>P</w:t>
      </w:r>
      <w:r w:rsidR="00B75264">
        <w:rPr>
          <w:rFonts w:ascii="Calibri" w:hAnsi="Calibri" w:cs="Arial"/>
          <w:color w:val="000000"/>
          <w:szCs w:val="24"/>
        </w:rPr>
        <w:t>ublished 2020.</w:t>
      </w:r>
    </w:p>
    <w:p w:rsidR="002602AD" w:rsidP="00213A6D" w:rsidRDefault="00213A6D" w14:paraId="0FC1B3D1" w14:textId="5DD0FE4C">
      <w:pPr>
        <w:rPr>
          <w:rFonts w:cs="Arial"/>
          <w:color w:val="000000"/>
          <w:szCs w:val="24"/>
        </w:rPr>
      </w:pPr>
      <w:r>
        <w:rPr>
          <w:rFonts w:cs="Arial"/>
          <w:color w:val="000000"/>
          <w:szCs w:val="24"/>
        </w:rPr>
        <w:t>In addition to reports, BJS provides access to the NCVS data through several channels. T</w:t>
      </w:r>
      <w:r w:rsidRPr="00213A6D">
        <w:rPr>
          <w:rFonts w:cs="Arial"/>
          <w:color w:val="000000"/>
          <w:szCs w:val="24"/>
        </w:rPr>
        <w:t xml:space="preserve">he </w:t>
      </w:r>
      <w:hyperlink w:history="1" r:id="rId45">
        <w:r w:rsidRPr="00354216">
          <w:rPr>
            <w:rStyle w:val="Hyperlink"/>
            <w:rFonts w:cs="Arial"/>
            <w:szCs w:val="24"/>
          </w:rPr>
          <w:t>National Victimization Analysis Tool (NVAT)</w:t>
        </w:r>
      </w:hyperlink>
      <w:r>
        <w:rPr>
          <w:rFonts w:cs="Arial"/>
          <w:color w:val="000000"/>
          <w:szCs w:val="24"/>
        </w:rPr>
        <w:t xml:space="preserve"> </w:t>
      </w:r>
      <w:r w:rsidRPr="00213A6D">
        <w:rPr>
          <w:rFonts w:cs="Arial"/>
          <w:color w:val="000000"/>
          <w:szCs w:val="24"/>
        </w:rPr>
        <w:t>is an on-line data analysis tool</w:t>
      </w:r>
      <w:r>
        <w:rPr>
          <w:rFonts w:cs="Arial"/>
          <w:color w:val="000000"/>
          <w:szCs w:val="24"/>
        </w:rPr>
        <w:t xml:space="preserve"> </w:t>
      </w:r>
      <w:r w:rsidRPr="00213A6D">
        <w:rPr>
          <w:rFonts w:cs="Arial"/>
          <w:color w:val="000000"/>
          <w:szCs w:val="24"/>
        </w:rPr>
        <w:t xml:space="preserve">that allows users to examine NCVS data and generate tables on violent and property victimization by select victim, household, and incident characteristics. The NVAT data is updated annually and BJS will continue to improve upon the performance and capabilities of the tool and expand on the available variables. </w:t>
      </w:r>
      <w:r w:rsidR="002602AD">
        <w:rPr>
          <w:rFonts w:cs="Arial"/>
          <w:color w:val="000000"/>
          <w:szCs w:val="24"/>
        </w:rPr>
        <w:t>BJS is currently working on additional functionality that will allow users to visually explore the NCVS data.</w:t>
      </w:r>
    </w:p>
    <w:p w:rsidRPr="00213A6D" w:rsidR="00213A6D" w:rsidP="00213A6D" w:rsidRDefault="002602AD" w14:paraId="151C1B64" w14:textId="5782D137">
      <w:pPr>
        <w:rPr>
          <w:rFonts w:cs="Arial"/>
          <w:color w:val="000000"/>
          <w:szCs w:val="24"/>
        </w:rPr>
      </w:pPr>
      <w:r>
        <w:rPr>
          <w:rFonts w:cs="Arial"/>
          <w:color w:val="000000"/>
          <w:szCs w:val="24"/>
        </w:rPr>
        <w:t xml:space="preserve">BJS offers access to NCVS data through </w:t>
      </w:r>
      <w:r w:rsidRPr="002602AD">
        <w:rPr>
          <w:rFonts w:cs="Arial"/>
          <w:color w:val="000000"/>
          <w:szCs w:val="24"/>
        </w:rPr>
        <w:t>the Inter-university Consortium for Political and Social Research (ICPSR) at the University of Michigan.</w:t>
      </w:r>
      <w:r w:rsidR="00F564AD">
        <w:rPr>
          <w:rFonts w:cs="Arial"/>
          <w:color w:val="000000"/>
          <w:szCs w:val="24"/>
        </w:rPr>
        <w:t xml:space="preserve"> </w:t>
      </w:r>
      <w:r w:rsidRPr="002602AD">
        <w:rPr>
          <w:rFonts w:cs="Arial"/>
          <w:color w:val="000000"/>
          <w:szCs w:val="24"/>
        </w:rPr>
        <w:t>Researchers can download public</w:t>
      </w:r>
      <w:r w:rsidR="009900B7">
        <w:rPr>
          <w:rFonts w:cs="Arial"/>
          <w:color w:val="000000"/>
          <w:szCs w:val="24"/>
        </w:rPr>
        <w:t>-</w:t>
      </w:r>
      <w:r w:rsidRPr="002602AD">
        <w:rPr>
          <w:rFonts w:cs="Arial"/>
          <w:color w:val="000000"/>
          <w:szCs w:val="24"/>
        </w:rPr>
        <w:t>use files of the NCVS data and codebooks to conduct their own analyses.</w:t>
      </w:r>
      <w:r w:rsidR="00F564AD">
        <w:rPr>
          <w:rFonts w:cs="Arial"/>
          <w:color w:val="000000"/>
          <w:szCs w:val="24"/>
        </w:rPr>
        <w:t xml:space="preserve"> </w:t>
      </w:r>
      <w:r w:rsidRPr="002602AD">
        <w:rPr>
          <w:rFonts w:cs="Arial"/>
          <w:color w:val="000000"/>
          <w:szCs w:val="24"/>
        </w:rPr>
        <w:t>The public</w:t>
      </w:r>
      <w:r w:rsidR="009900B7">
        <w:rPr>
          <w:rFonts w:cs="Arial"/>
          <w:color w:val="000000"/>
          <w:szCs w:val="24"/>
        </w:rPr>
        <w:t>-</w:t>
      </w:r>
      <w:r w:rsidRPr="002602AD">
        <w:rPr>
          <w:rFonts w:cs="Arial"/>
          <w:color w:val="000000"/>
          <w:szCs w:val="24"/>
        </w:rPr>
        <w:t>use files are produced by the Census Bureau and ICPSR.</w:t>
      </w:r>
      <w:r>
        <w:rPr>
          <w:rFonts w:cs="Arial"/>
          <w:color w:val="000000"/>
          <w:szCs w:val="24"/>
        </w:rPr>
        <w:t xml:space="preserve"> </w:t>
      </w:r>
      <w:r w:rsidRPr="00213A6D" w:rsidR="00213A6D">
        <w:rPr>
          <w:rFonts w:cs="Arial"/>
          <w:color w:val="000000"/>
          <w:szCs w:val="24"/>
        </w:rPr>
        <w:t xml:space="preserve">Additionally, BJS and the Census Bureau </w:t>
      </w:r>
      <w:r w:rsidR="00213A6D">
        <w:rPr>
          <w:rFonts w:cs="Arial"/>
          <w:color w:val="000000"/>
          <w:szCs w:val="24"/>
        </w:rPr>
        <w:t xml:space="preserve">provide access to </w:t>
      </w:r>
      <w:r w:rsidRPr="00213A6D" w:rsidR="00213A6D">
        <w:rPr>
          <w:rFonts w:cs="Arial"/>
          <w:color w:val="000000"/>
          <w:szCs w:val="24"/>
        </w:rPr>
        <w:t xml:space="preserve">NCVS data files </w:t>
      </w:r>
      <w:r w:rsidR="00213A6D">
        <w:rPr>
          <w:rFonts w:cs="Arial"/>
          <w:color w:val="000000"/>
          <w:szCs w:val="24"/>
        </w:rPr>
        <w:t xml:space="preserve">through the </w:t>
      </w:r>
      <w:r w:rsidRPr="00213A6D" w:rsidR="00213A6D">
        <w:rPr>
          <w:rFonts w:cs="Arial"/>
          <w:color w:val="000000"/>
          <w:szCs w:val="24"/>
        </w:rPr>
        <w:t>Federal Statistical Research Data Centers (FSRDCs). The FSRDCs currently house data from the NCVS core survey from 2006 to 2016. This allows researchers who submit a justifiable proposal to access the geo-identified, restricted-use NCVS data files.</w:t>
      </w:r>
      <w:r w:rsidRPr="001A661A" w:rsidR="001A661A">
        <w:t xml:space="preserve"> </w:t>
      </w:r>
      <w:r w:rsidR="001A661A">
        <w:t>BJS is currently working on making more recent data available in the near future.</w:t>
      </w:r>
    </w:p>
    <w:p w:rsidRPr="00213A6D" w:rsidR="00BA0B30" w:rsidP="00213A6D" w:rsidRDefault="00BA0B30" w14:paraId="72538339" w14:textId="77777777">
      <w:pPr>
        <w:rPr>
          <w:rFonts w:ascii="Calibri" w:hAnsi="Calibri" w:cs="Arial"/>
          <w:color w:val="000000"/>
          <w:szCs w:val="24"/>
        </w:rPr>
      </w:pPr>
    </w:p>
    <w:p w:rsidRPr="00256E98" w:rsidR="00CD2D93" w:rsidP="00256E98" w:rsidRDefault="00B75264" w14:paraId="08DE0EE2" w14:textId="77777777">
      <w:pPr>
        <w:pStyle w:val="Heading2"/>
      </w:pPr>
      <w:r w:rsidRPr="00256E98">
        <w:t>Continuous Improvement Approach for the NCVS</w:t>
      </w:r>
    </w:p>
    <w:p w:rsidR="0029050D" w:rsidP="00F30ECC" w:rsidRDefault="0029050D" w14:paraId="49ED9A3D" w14:textId="67073351">
      <w:r w:rsidRPr="000000EB">
        <w:t xml:space="preserve">In order </w:t>
      </w:r>
      <w:r w:rsidR="00215949">
        <w:t>to</w:t>
      </w:r>
      <w:r w:rsidRPr="000000EB">
        <w:t xml:space="preserve"> fulfill its mission of generating and disseminating data on victims of crime, </w:t>
      </w:r>
      <w:r w:rsidR="00CB51A9">
        <w:t>BJS employs a continuous improvement approach</w:t>
      </w:r>
      <w:r w:rsidR="00E12F94">
        <w:t xml:space="preserve"> to improve the utility of the data and the efficiency </w:t>
      </w:r>
      <w:r w:rsidR="00585F50">
        <w:t xml:space="preserve">and effectiveness </w:t>
      </w:r>
      <w:r w:rsidR="00E12F94">
        <w:t>of the survey methodology</w:t>
      </w:r>
      <w:r w:rsidR="00215949">
        <w:t xml:space="preserve">. </w:t>
      </w:r>
      <w:r w:rsidR="00BF53F3">
        <w:t>This work is conducted across four pillars of the NCVS research program</w:t>
      </w:r>
      <w:r w:rsidR="003E16F7">
        <w:t>:</w:t>
      </w:r>
      <w:r w:rsidR="00E12F94">
        <w:t xml:space="preserve"> 1</w:t>
      </w:r>
      <w:r w:rsidR="008A1024">
        <w:t>)</w:t>
      </w:r>
      <w:r w:rsidR="00E12F94">
        <w:t xml:space="preserve"> </w:t>
      </w:r>
      <w:r w:rsidR="00BF53F3">
        <w:t>Modernization of the survey</w:t>
      </w:r>
      <w:r w:rsidR="009F56E6">
        <w:t xml:space="preserve"> instrument;</w:t>
      </w:r>
      <w:r w:rsidR="00BF53F3">
        <w:t xml:space="preserve"> 2) </w:t>
      </w:r>
      <w:r w:rsidR="002E0EEA">
        <w:t>R</w:t>
      </w:r>
      <w:r w:rsidR="00BF53F3">
        <w:t>esearch to</w:t>
      </w:r>
      <w:r w:rsidR="009F56E6">
        <w:t xml:space="preserve"> improve measurement and</w:t>
      </w:r>
      <w:r w:rsidR="00BF53F3">
        <w:t xml:space="preserve"> increase utility</w:t>
      </w:r>
      <w:r w:rsidR="009F56E6">
        <w:t xml:space="preserve">; 3) </w:t>
      </w:r>
      <w:r w:rsidR="00E12F94">
        <w:t>Continued development of the NCVS subnational program;</w:t>
      </w:r>
      <w:r w:rsidR="0063748C">
        <w:t xml:space="preserve"> </w:t>
      </w:r>
      <w:r w:rsidR="007E1EAD">
        <w:t>and 4</w:t>
      </w:r>
      <w:r w:rsidR="008A1024">
        <w:t>)</w:t>
      </w:r>
      <w:r w:rsidR="007E1EAD">
        <w:t xml:space="preserve"> </w:t>
      </w:r>
      <w:r w:rsidR="00CD2D93">
        <w:t>Expansion of other sources of data related to the NCVS</w:t>
      </w:r>
      <w:r w:rsidR="00424825">
        <w:t>.</w:t>
      </w:r>
    </w:p>
    <w:p w:rsidR="00EB28C4" w:rsidP="00B8509A" w:rsidRDefault="00EB28C4" w14:paraId="3B430175" w14:textId="77777777">
      <w:pPr>
        <w:ind w:left="634"/>
        <w:rPr>
          <w:rFonts w:ascii="Calibri" w:hAnsi="Calibri" w:cs="Arial"/>
          <w:szCs w:val="24"/>
        </w:rPr>
      </w:pPr>
    </w:p>
    <w:p w:rsidRPr="00B75264" w:rsidR="00EB28C4" w:rsidP="00B75264" w:rsidRDefault="00EB28C4" w14:paraId="149BC38B" w14:textId="77777777">
      <w:pPr>
        <w:pStyle w:val="Heading3"/>
      </w:pPr>
      <w:r w:rsidRPr="00B75264">
        <w:t xml:space="preserve">Modernization </w:t>
      </w:r>
      <w:r w:rsidRPr="00B75264" w:rsidR="001B4612">
        <w:t>of the survey instrument</w:t>
      </w:r>
    </w:p>
    <w:p w:rsidR="001A661A" w:rsidP="00F30ECC" w:rsidRDefault="00EB28C4" w14:paraId="67E61663" w14:textId="77777777">
      <w:r>
        <w:t xml:space="preserve">In early 2014, </w:t>
      </w:r>
      <w:r w:rsidRPr="005E2A90">
        <w:t xml:space="preserve">BJS initiated the </w:t>
      </w:r>
      <w:r w:rsidRPr="00ED47CB">
        <w:t>NCVS Instrument Redesign and Testing Project</w:t>
      </w:r>
      <w:r w:rsidRPr="005E2A90">
        <w:t xml:space="preserve"> through a competitive award to Westat, Inc.</w:t>
      </w:r>
      <w:r>
        <w:t xml:space="preserve"> </w:t>
      </w:r>
      <w:r w:rsidRPr="00ED47CB">
        <w:t xml:space="preserve">The NCVS Instrument Redesign and Testing Project is a major multi-year effort to overhaul the existing survey instrument. </w:t>
      </w:r>
      <w:r>
        <w:t>T</w:t>
      </w:r>
      <w:r w:rsidRPr="005E2A90">
        <w:t xml:space="preserve">he </w:t>
      </w:r>
      <w:r>
        <w:t xml:space="preserve">overarching </w:t>
      </w:r>
      <w:r w:rsidRPr="005E2A90">
        <w:t xml:space="preserve">objective </w:t>
      </w:r>
      <w:r>
        <w:t>of the project is to provide</w:t>
      </w:r>
      <w:r w:rsidRPr="005E2A90">
        <w:t xml:space="preserve"> scientific and technical support for the redesign and testing of the NCVS roster control card, crime screener (NCVS-1), and crime incident (NCVS-2) instruments in support of BJS’</w:t>
      </w:r>
      <w:r>
        <w:t>s</w:t>
      </w:r>
      <w:r w:rsidRPr="005E2A90">
        <w:t xml:space="preserve"> efforts related to increasing the efficiency, reliability, and utility of the NCVS. </w:t>
      </w:r>
    </w:p>
    <w:p w:rsidR="00EB28C4" w:rsidP="00F30ECC" w:rsidRDefault="00EB28C4" w14:paraId="36A95D66" w14:textId="28FC08B0">
      <w:r w:rsidRPr="00ED47CB">
        <w:t xml:space="preserve">Through </w:t>
      </w:r>
      <w:r>
        <w:t>the</w:t>
      </w:r>
      <w:r w:rsidRPr="00ED47CB">
        <w:t xml:space="preserve"> project, BJS aims to evaluate and modernize the organization and content of the NCVS; improve the efficiency of the instruments and the current core-supplement design; and develop a procedure for introducing routine improvements to the survey in order to capture </w:t>
      </w:r>
      <w:r w:rsidRPr="00ED47CB">
        <w:lastRenderedPageBreak/>
        <w:t>emerging crime types and time-relevant topics.</w:t>
      </w:r>
      <w:r>
        <w:t xml:space="preserve"> </w:t>
      </w:r>
      <w:r w:rsidR="00CD2D93">
        <w:t>BJS and Westat are currently analyzing the results from the national field test. Several reports will be published on the findings from this study.</w:t>
      </w:r>
    </w:p>
    <w:p w:rsidR="00424825" w:rsidP="00F30ECC" w:rsidRDefault="00CD2D93" w14:paraId="58E0BAB8" w14:textId="77777777">
      <w:r>
        <w:t>S</w:t>
      </w:r>
      <w:r w:rsidRPr="00ED47CB" w:rsidR="00EB28C4">
        <w:t xml:space="preserve">everal areas </w:t>
      </w:r>
      <w:r w:rsidR="00EB28C4">
        <w:t xml:space="preserve">of </w:t>
      </w:r>
      <w:r>
        <w:t>the instrument underwent significant development, including</w:t>
      </w:r>
      <w:r w:rsidR="00424825">
        <w:t>:</w:t>
      </w:r>
      <w:r w:rsidR="00EB28C4">
        <w:t xml:space="preserve"> </w:t>
      </w:r>
    </w:p>
    <w:p w:rsidR="00424825" w:rsidP="00424825" w:rsidRDefault="00EB28C4" w14:paraId="3E861BBF" w14:textId="77777777">
      <w:pPr>
        <w:ind w:firstLine="720"/>
      </w:pPr>
      <w:r>
        <w:t>1.</w:t>
      </w:r>
      <w:r w:rsidR="00CD2D93">
        <w:t xml:space="preserve"> Addition of n</w:t>
      </w:r>
      <w:r>
        <w:t xml:space="preserve">on-crime questions on perceptions of police and community safety; </w:t>
      </w:r>
    </w:p>
    <w:p w:rsidR="00424825" w:rsidP="00424825" w:rsidRDefault="00CD2D93" w14:paraId="5D3A430E" w14:textId="77777777">
      <w:pPr>
        <w:ind w:firstLine="720"/>
      </w:pPr>
      <w:r>
        <w:t>2</w:t>
      </w:r>
      <w:r w:rsidR="00EB28C4">
        <w:t xml:space="preserve">. Enhanced measures of victim help-seeking; </w:t>
      </w:r>
    </w:p>
    <w:p w:rsidR="00424825" w:rsidP="00424825" w:rsidRDefault="00CD2D93" w14:paraId="5BCE0E9D" w14:textId="77777777">
      <w:pPr>
        <w:ind w:firstLine="720"/>
      </w:pPr>
      <w:r>
        <w:t>3</w:t>
      </w:r>
      <w:r w:rsidR="00EB28C4">
        <w:t>. Improved measurement of sensitive crimes like rape and sexual assault</w:t>
      </w:r>
      <w:r w:rsidR="002E0EEA">
        <w:t xml:space="preserve">; </w:t>
      </w:r>
    </w:p>
    <w:p w:rsidR="00424825" w:rsidP="00424825" w:rsidRDefault="002E0EEA" w14:paraId="0423484B" w14:textId="77777777">
      <w:pPr>
        <w:ind w:firstLine="720"/>
      </w:pPr>
      <w:r>
        <w:t xml:space="preserve">4. Improved measurement of </w:t>
      </w:r>
      <w:r w:rsidR="00CD2D93">
        <w:t>hate crimes</w:t>
      </w:r>
      <w:r>
        <w:t xml:space="preserve">; and </w:t>
      </w:r>
    </w:p>
    <w:p w:rsidR="00EB28C4" w:rsidP="00517177" w:rsidRDefault="002E0EEA" w14:paraId="1A70EAD9" w14:textId="0B1372AF">
      <w:pPr>
        <w:ind w:left="720"/>
      </w:pPr>
      <w:r>
        <w:t>5</w:t>
      </w:r>
      <w:r w:rsidR="00EB28C4">
        <w:t xml:space="preserve">. Increased </w:t>
      </w:r>
      <w:r w:rsidR="00CD2D93">
        <w:t>understanding of juvenile respondents and proxy reporting</w:t>
      </w:r>
      <w:r>
        <w:t>. Each of these is discussed below.</w:t>
      </w:r>
    </w:p>
    <w:p w:rsidRPr="00721F22" w:rsidR="00EB28C4" w:rsidP="00B75264" w:rsidRDefault="00EB28C4" w14:paraId="78EE43AC" w14:textId="77777777">
      <w:pPr>
        <w:pStyle w:val="Heading4"/>
      </w:pPr>
      <w:r w:rsidRPr="00721F22">
        <w:t>Non-crime questions</w:t>
      </w:r>
    </w:p>
    <w:p w:rsidR="001A661A" w:rsidP="00517177" w:rsidRDefault="000A3079" w14:paraId="6D1F1DBD" w14:textId="50A10891">
      <w:pPr>
        <w:rPr>
          <w:rFonts w:ascii="Calibri" w:hAnsi="Calibri" w:cs="Arial"/>
          <w:color w:val="000000"/>
          <w:szCs w:val="24"/>
        </w:rPr>
      </w:pPr>
      <w:r>
        <w:rPr>
          <w:rFonts w:ascii="Calibri" w:hAnsi="Calibri" w:cs="Arial"/>
          <w:color w:val="000000"/>
          <w:szCs w:val="24"/>
        </w:rPr>
        <w:t xml:space="preserve">One </w:t>
      </w:r>
      <w:r w:rsidRPr="006D6360" w:rsidR="00EB28C4">
        <w:rPr>
          <w:rFonts w:ascii="Calibri" w:hAnsi="Calibri" w:cs="Arial"/>
          <w:color w:val="000000"/>
          <w:szCs w:val="24"/>
        </w:rPr>
        <w:t xml:space="preserve">key component of the redesigned instrument will be </w:t>
      </w:r>
      <w:r w:rsidR="00EB28C4">
        <w:rPr>
          <w:rFonts w:ascii="Calibri" w:hAnsi="Calibri" w:cs="Arial"/>
          <w:color w:val="000000"/>
          <w:szCs w:val="24"/>
        </w:rPr>
        <w:t xml:space="preserve">a </w:t>
      </w:r>
      <w:r w:rsidRPr="006D6360" w:rsidR="00EB28C4">
        <w:rPr>
          <w:rFonts w:ascii="Calibri" w:hAnsi="Calibri" w:cs="Arial"/>
          <w:color w:val="000000"/>
          <w:szCs w:val="24"/>
        </w:rPr>
        <w:t xml:space="preserve">series of questions pertaining to </w:t>
      </w:r>
      <w:r w:rsidR="00EB28C4">
        <w:rPr>
          <w:rFonts w:ascii="Calibri" w:hAnsi="Calibri" w:cs="Arial"/>
          <w:color w:val="000000"/>
          <w:szCs w:val="24"/>
        </w:rPr>
        <w:t>resident</w:t>
      </w:r>
      <w:r w:rsidRPr="006D6360" w:rsidR="00EB28C4">
        <w:rPr>
          <w:rFonts w:ascii="Calibri" w:hAnsi="Calibri" w:cs="Arial"/>
          <w:color w:val="000000"/>
          <w:szCs w:val="24"/>
        </w:rPr>
        <w:t>s’ perception of safety, disorder, police legitimacy and satisfaction with police, known as ‘non</w:t>
      </w:r>
      <w:r w:rsidR="00EB28C4">
        <w:rPr>
          <w:rFonts w:ascii="Calibri" w:hAnsi="Calibri" w:cs="Arial"/>
          <w:color w:val="000000"/>
          <w:szCs w:val="24"/>
        </w:rPr>
        <w:t>-</w:t>
      </w:r>
      <w:r w:rsidRPr="006D6360" w:rsidR="00EB28C4">
        <w:rPr>
          <w:rFonts w:ascii="Calibri" w:hAnsi="Calibri" w:cs="Arial"/>
          <w:color w:val="000000"/>
          <w:szCs w:val="24"/>
        </w:rPr>
        <w:t>crime’ questions.</w:t>
      </w:r>
      <w:r w:rsidR="00F564AD">
        <w:rPr>
          <w:rFonts w:ascii="Calibri" w:hAnsi="Calibri" w:cs="Arial"/>
          <w:color w:val="000000"/>
          <w:szCs w:val="24"/>
        </w:rPr>
        <w:t xml:space="preserve"> </w:t>
      </w:r>
      <w:r w:rsidR="00CA2280">
        <w:rPr>
          <w:rFonts w:ascii="Calibri" w:hAnsi="Calibri" w:cs="Arial"/>
          <w:color w:val="000000"/>
          <w:szCs w:val="24"/>
        </w:rPr>
        <w:t>This meets a</w:t>
      </w:r>
      <w:r w:rsidRPr="006D6360" w:rsidR="00EB28C4">
        <w:rPr>
          <w:rFonts w:ascii="Calibri" w:hAnsi="Calibri" w:cs="Arial"/>
          <w:color w:val="000000"/>
          <w:szCs w:val="24"/>
        </w:rPr>
        <w:t xml:space="preserve"> need for data on residents’ perceptions of police and for understanding the relationship between experiencing victimization, reporting crime to police, and perceived police legitimacy. </w:t>
      </w:r>
    </w:p>
    <w:p w:rsidRPr="006D6360" w:rsidR="00EB28C4" w:rsidP="00517177" w:rsidRDefault="00EB28C4" w14:paraId="67A70A34" w14:textId="28CA3A17">
      <w:pPr>
        <w:rPr>
          <w:rFonts w:ascii="Calibri" w:hAnsi="Calibri" w:cs="Arial"/>
          <w:color w:val="000000"/>
          <w:szCs w:val="24"/>
        </w:rPr>
      </w:pPr>
      <w:r w:rsidRPr="006D6360">
        <w:rPr>
          <w:rFonts w:ascii="Calibri" w:hAnsi="Calibri" w:cs="Arial"/>
          <w:color w:val="000000"/>
          <w:szCs w:val="24"/>
        </w:rPr>
        <w:t>Questions on satisfaction with police, police legitimacy, fear, perceptions of community disorder, and feelings of safety will be asked of all NCVS</w:t>
      </w:r>
      <w:r>
        <w:rPr>
          <w:rFonts w:ascii="Calibri" w:hAnsi="Calibri" w:cs="Arial"/>
          <w:color w:val="000000"/>
          <w:szCs w:val="24"/>
        </w:rPr>
        <w:t xml:space="preserve"> respondents</w:t>
      </w:r>
      <w:r w:rsidRPr="006D6360">
        <w:rPr>
          <w:rFonts w:ascii="Calibri" w:hAnsi="Calibri" w:cs="Arial"/>
          <w:color w:val="000000"/>
          <w:szCs w:val="24"/>
        </w:rPr>
        <w:t>, not just those who e</w:t>
      </w:r>
      <w:r>
        <w:rPr>
          <w:rFonts w:ascii="Calibri" w:hAnsi="Calibri" w:cs="Arial"/>
          <w:color w:val="000000"/>
          <w:szCs w:val="24"/>
        </w:rPr>
        <w:t>xperienced a victimization. These items</w:t>
      </w:r>
      <w:r w:rsidRPr="006D6360">
        <w:rPr>
          <w:rFonts w:ascii="Calibri" w:hAnsi="Calibri" w:cs="Arial"/>
          <w:color w:val="000000"/>
          <w:szCs w:val="24"/>
        </w:rPr>
        <w:t xml:space="preserve"> are intended to increase the relevance of the survey for the majority of respondents who never experience a victimization. Additionally, because the items are answered by all respondents</w:t>
      </w:r>
      <w:r w:rsidR="00DC3F8E">
        <w:rPr>
          <w:rFonts w:ascii="Calibri" w:hAnsi="Calibri" w:cs="Arial"/>
          <w:color w:val="000000"/>
          <w:szCs w:val="24"/>
        </w:rPr>
        <w:t>,</w:t>
      </w:r>
      <w:r w:rsidRPr="006D6360">
        <w:rPr>
          <w:rFonts w:ascii="Calibri" w:hAnsi="Calibri" w:cs="Arial"/>
          <w:color w:val="000000"/>
          <w:szCs w:val="24"/>
        </w:rPr>
        <w:t xml:space="preserve"> the estimates are expected to have stronger precision at the subnational level compared to </w:t>
      </w:r>
      <w:r>
        <w:rPr>
          <w:rFonts w:ascii="Calibri" w:hAnsi="Calibri" w:cs="Arial"/>
          <w:color w:val="000000"/>
          <w:szCs w:val="24"/>
        </w:rPr>
        <w:t xml:space="preserve">national-level </w:t>
      </w:r>
      <w:r w:rsidRPr="006D6360">
        <w:rPr>
          <w:rFonts w:ascii="Calibri" w:hAnsi="Calibri" w:cs="Arial"/>
          <w:color w:val="000000"/>
          <w:szCs w:val="24"/>
        </w:rPr>
        <w:t xml:space="preserve">victimization rates. </w:t>
      </w:r>
    </w:p>
    <w:p w:rsidR="00EB28C4" w:rsidP="00517177" w:rsidRDefault="00EB28C4" w14:paraId="0E3F5C50" w14:textId="383C8481">
      <w:r w:rsidRPr="006D6360">
        <w:t>The data from these ‘non</w:t>
      </w:r>
      <w:r>
        <w:t>-</w:t>
      </w:r>
      <w:r w:rsidRPr="006D6360">
        <w:t>crime’ question</w:t>
      </w:r>
      <w:r>
        <w:t>s</w:t>
      </w:r>
      <w:r w:rsidRPr="006D6360">
        <w:t xml:space="preserve"> will have utility for members of the law enforcement community as well as researchers and policy makers. The </w:t>
      </w:r>
      <w:r>
        <w:t>‘</w:t>
      </w:r>
      <w:r w:rsidRPr="006D6360">
        <w:t>non</w:t>
      </w:r>
      <w:r>
        <w:t>-</w:t>
      </w:r>
      <w:r w:rsidRPr="006D6360">
        <w:t>crime</w:t>
      </w:r>
      <w:r>
        <w:t>’</w:t>
      </w:r>
      <w:r w:rsidRPr="006D6360">
        <w:t xml:space="preserve"> questions could be used to assess the relationship between demographic characteristics of residents and their perceptions of neighborhood safety and satisfaction with police.</w:t>
      </w:r>
    </w:p>
    <w:p w:rsidRPr="00721F22" w:rsidR="00EB28C4" w:rsidP="00B75264" w:rsidRDefault="00EB28C4" w14:paraId="2FC5205C" w14:textId="77777777">
      <w:pPr>
        <w:pStyle w:val="Heading4"/>
      </w:pPr>
      <w:r w:rsidRPr="00721F22">
        <w:t>Victim help-seeking</w:t>
      </w:r>
    </w:p>
    <w:p w:rsidRPr="00343509" w:rsidR="00EB28C4" w:rsidP="00517177" w:rsidRDefault="00EB28C4" w14:paraId="38774536" w14:textId="77777777">
      <w:pPr>
        <w:rPr>
          <w:rFonts w:ascii="Calibri" w:hAnsi="Calibri" w:cs="Arial"/>
          <w:color w:val="000000"/>
          <w:szCs w:val="24"/>
        </w:rPr>
      </w:pPr>
      <w:r w:rsidRPr="00343509">
        <w:rPr>
          <w:rFonts w:ascii="Calibri" w:hAnsi="Calibri" w:cs="Arial"/>
          <w:color w:val="000000"/>
          <w:szCs w:val="24"/>
        </w:rPr>
        <w:t xml:space="preserve">The redesigned instrument will also better address stakeholder needs with a more extensive series of questions </w:t>
      </w:r>
      <w:r>
        <w:rPr>
          <w:rFonts w:ascii="Calibri" w:hAnsi="Calibri" w:cs="Arial"/>
          <w:color w:val="000000"/>
          <w:szCs w:val="24"/>
        </w:rPr>
        <w:t xml:space="preserve">on </w:t>
      </w:r>
      <w:r w:rsidRPr="00343509">
        <w:rPr>
          <w:rFonts w:ascii="Calibri" w:hAnsi="Calibri" w:cs="Arial"/>
          <w:color w:val="000000"/>
          <w:szCs w:val="24"/>
        </w:rPr>
        <w:t xml:space="preserve">formal and informal help-seeking behavior. Despite the fact that the federal government allocates billions of dollars a year to provide services and compensation to crime victims, very little data currently exists about who receives this money and where there are gaps in the services and compensation provided. The current NCVS instrument asks only two questions related to whether the victim received victim services. </w:t>
      </w:r>
    </w:p>
    <w:p w:rsidR="00EB28C4" w:rsidP="00517177" w:rsidRDefault="00EB28C4" w14:paraId="52A6EFA6" w14:textId="0B653EEE">
      <w:pPr>
        <w:rPr>
          <w:rFonts w:ascii="Calibri" w:hAnsi="Calibri" w:cs="Arial"/>
          <w:color w:val="000000"/>
          <w:szCs w:val="24"/>
        </w:rPr>
      </w:pPr>
      <w:r w:rsidRPr="00343509">
        <w:rPr>
          <w:rFonts w:ascii="Calibri" w:hAnsi="Calibri" w:cs="Arial"/>
          <w:color w:val="000000"/>
          <w:szCs w:val="24"/>
        </w:rPr>
        <w:t xml:space="preserve">The Office for Victims of Crime laid out the need for more comprehensive data in their </w:t>
      </w:r>
      <w:hyperlink w:history="1" r:id="rId46">
        <w:r w:rsidRPr="00CA2280">
          <w:rPr>
            <w:rStyle w:val="Hyperlink"/>
            <w:rFonts w:ascii="Calibri" w:hAnsi="Calibri" w:cs="Arial"/>
            <w:szCs w:val="24"/>
          </w:rPr>
          <w:t>Vision 21 report</w:t>
        </w:r>
      </w:hyperlink>
      <w:r>
        <w:rPr>
          <w:rFonts w:ascii="Calibri" w:hAnsi="Calibri" w:cs="Arial"/>
          <w:color w:val="000000"/>
          <w:szCs w:val="24"/>
        </w:rPr>
        <w:t xml:space="preserve"> </w:t>
      </w:r>
      <w:r w:rsidRPr="00343509">
        <w:rPr>
          <w:rFonts w:ascii="Calibri" w:hAnsi="Calibri" w:cs="Arial"/>
          <w:color w:val="000000"/>
          <w:szCs w:val="24"/>
        </w:rPr>
        <w:t xml:space="preserve">and BJS’s redesigned instrument will enhance the capacity of the survey to measure </w:t>
      </w:r>
      <w:r w:rsidRPr="00343509">
        <w:rPr>
          <w:rFonts w:ascii="Calibri" w:hAnsi="Calibri" w:cs="Arial"/>
          <w:color w:val="000000"/>
          <w:szCs w:val="24"/>
        </w:rPr>
        <w:lastRenderedPageBreak/>
        <w:t xml:space="preserve">both formal and informal victim help-seeking behaviors. </w:t>
      </w:r>
      <w:r w:rsidRPr="002053F8" w:rsidR="002053F8">
        <w:rPr>
          <w:rFonts w:ascii="Calibri" w:hAnsi="Calibri" w:cs="Arial"/>
          <w:color w:val="000000"/>
          <w:szCs w:val="24"/>
        </w:rPr>
        <w:t xml:space="preserve">The redesigned instrument will include expanded questions about why victims </w:t>
      </w:r>
      <w:r w:rsidRPr="00343509">
        <w:rPr>
          <w:rFonts w:ascii="Calibri" w:hAnsi="Calibri" w:cs="Arial"/>
          <w:color w:val="000000"/>
          <w:szCs w:val="24"/>
        </w:rPr>
        <w:t>do or do not receive formal services, and among those that do, the type of assistance they received</w:t>
      </w:r>
      <w:r>
        <w:rPr>
          <w:rFonts w:ascii="Calibri" w:hAnsi="Calibri" w:cs="Arial"/>
          <w:color w:val="000000"/>
          <w:szCs w:val="24"/>
        </w:rPr>
        <w:t xml:space="preserve"> and their levels of satisfaction with the assistance received</w:t>
      </w:r>
      <w:r w:rsidRPr="00343509">
        <w:rPr>
          <w:rFonts w:ascii="Calibri" w:hAnsi="Calibri" w:cs="Arial"/>
          <w:color w:val="000000"/>
          <w:szCs w:val="24"/>
        </w:rPr>
        <w:t xml:space="preserve">. The redesign effort will also add questions about informal help-seeking behaviors, such as speaking to a family member, friend, or religious leader </w:t>
      </w:r>
      <w:r>
        <w:rPr>
          <w:rFonts w:ascii="Calibri" w:hAnsi="Calibri" w:cs="Arial"/>
          <w:color w:val="000000"/>
          <w:szCs w:val="24"/>
        </w:rPr>
        <w:t xml:space="preserve">and </w:t>
      </w:r>
      <w:r w:rsidRPr="00343509">
        <w:rPr>
          <w:rFonts w:ascii="Calibri" w:hAnsi="Calibri" w:cs="Arial"/>
          <w:color w:val="000000"/>
          <w:szCs w:val="24"/>
        </w:rPr>
        <w:t xml:space="preserve">improve current NCVS questions about the </w:t>
      </w:r>
      <w:r>
        <w:rPr>
          <w:rFonts w:ascii="Calibri" w:hAnsi="Calibri" w:cs="Arial"/>
          <w:color w:val="000000"/>
          <w:szCs w:val="24"/>
        </w:rPr>
        <w:t xml:space="preserve">consequences of victimization including injuries, </w:t>
      </w:r>
      <w:r w:rsidRPr="00343509">
        <w:rPr>
          <w:rFonts w:ascii="Calibri" w:hAnsi="Calibri" w:cs="Arial"/>
          <w:color w:val="000000"/>
          <w:szCs w:val="24"/>
        </w:rPr>
        <w:t>receipt of medical and mental health care</w:t>
      </w:r>
      <w:r>
        <w:rPr>
          <w:rFonts w:ascii="Calibri" w:hAnsi="Calibri" w:cs="Arial"/>
          <w:color w:val="000000"/>
          <w:szCs w:val="24"/>
        </w:rPr>
        <w:t xml:space="preserve">, and emotional reactions following a victimization. </w:t>
      </w:r>
    </w:p>
    <w:p w:rsidRPr="00721F22" w:rsidR="00EB28C4" w:rsidP="00B75264" w:rsidRDefault="00EB28C4" w14:paraId="694494A2" w14:textId="77777777">
      <w:pPr>
        <w:pStyle w:val="Heading4"/>
      </w:pPr>
      <w:r w:rsidRPr="00721F22">
        <w:t>Measurement of rape and sexual assault</w:t>
      </w:r>
    </w:p>
    <w:p w:rsidRPr="000000EB" w:rsidR="00EB28C4" w:rsidP="00517177" w:rsidRDefault="00EB28C4" w14:paraId="0707092F" w14:textId="1F8BE091">
      <w:pPr>
        <w:rPr>
          <w:rFonts w:ascii="Calibri" w:hAnsi="Calibri" w:cs="Arial"/>
          <w:color w:val="000000"/>
          <w:szCs w:val="24"/>
        </w:rPr>
      </w:pPr>
      <w:r w:rsidRPr="000000EB">
        <w:rPr>
          <w:rFonts w:ascii="Calibri" w:hAnsi="Calibri" w:cs="Arial"/>
          <w:color w:val="000000"/>
          <w:szCs w:val="24"/>
        </w:rPr>
        <w:t xml:space="preserve">BJS is also improving the responsiveness of the NCVS to measurement issues </w:t>
      </w:r>
      <w:r w:rsidR="002053F8">
        <w:rPr>
          <w:rFonts w:ascii="Calibri" w:hAnsi="Calibri" w:cs="Arial"/>
          <w:color w:val="000000"/>
          <w:szCs w:val="24"/>
        </w:rPr>
        <w:t xml:space="preserve">that arise in </w:t>
      </w:r>
      <w:r w:rsidRPr="000000EB">
        <w:rPr>
          <w:rFonts w:ascii="Calibri" w:hAnsi="Calibri" w:cs="Arial"/>
          <w:color w:val="000000"/>
          <w:szCs w:val="24"/>
        </w:rPr>
        <w:t xml:space="preserve">the collection of data on sensitive topics like intimate partner violence and rape and sexual assault. To this end, BJS has initiated </w:t>
      </w:r>
      <w:r>
        <w:rPr>
          <w:rFonts w:ascii="Calibri" w:hAnsi="Calibri" w:cs="Arial"/>
          <w:color w:val="000000"/>
          <w:szCs w:val="24"/>
        </w:rPr>
        <w:t>several</w:t>
      </w:r>
      <w:r w:rsidRPr="000000EB">
        <w:rPr>
          <w:rFonts w:ascii="Calibri" w:hAnsi="Calibri" w:cs="Arial"/>
          <w:color w:val="000000"/>
          <w:szCs w:val="24"/>
        </w:rPr>
        <w:t xml:space="preserve"> projects to identify, develop, and test the optimal methods for collecting self-report data on rape and sexual assault. </w:t>
      </w:r>
      <w:r>
        <w:rPr>
          <w:rFonts w:ascii="Calibri" w:hAnsi="Calibri" w:cs="Arial"/>
          <w:color w:val="000000"/>
          <w:szCs w:val="24"/>
        </w:rPr>
        <w:t xml:space="preserve">The findings from these projects will be incorporated into the instrument redesign work. </w:t>
      </w:r>
    </w:p>
    <w:p w:rsidR="007C2F2A" w:rsidP="00517177" w:rsidRDefault="00EB28C4" w14:paraId="4F0E0822" w14:textId="5432CDDA">
      <w:pPr>
        <w:rPr>
          <w:rFonts w:ascii="Calibri" w:hAnsi="Calibri" w:cs="Arial"/>
          <w:color w:val="000000"/>
          <w:szCs w:val="24"/>
        </w:rPr>
      </w:pPr>
      <w:r w:rsidRPr="000000EB">
        <w:rPr>
          <w:rFonts w:ascii="Calibri" w:hAnsi="Calibri" w:cs="Arial"/>
          <w:color w:val="000000"/>
          <w:szCs w:val="24"/>
        </w:rPr>
        <w:t xml:space="preserve">In September 2011, BJS also made a competitive award to Westat, Inc., to develop and test two different survey designs for collecting self-report data on rape and sexual assault. One design </w:t>
      </w:r>
      <w:r>
        <w:rPr>
          <w:rFonts w:ascii="Calibri" w:hAnsi="Calibri" w:cs="Arial"/>
          <w:color w:val="000000"/>
          <w:szCs w:val="24"/>
        </w:rPr>
        <w:t>wa</w:t>
      </w:r>
      <w:r w:rsidRPr="000000EB">
        <w:rPr>
          <w:rFonts w:ascii="Calibri" w:hAnsi="Calibri" w:cs="Arial"/>
          <w:color w:val="000000"/>
          <w:szCs w:val="24"/>
        </w:rPr>
        <w:t xml:space="preserve">s to be an optimal design identified in collaboration with </w:t>
      </w:r>
      <w:r w:rsidR="00CC49C1">
        <w:rPr>
          <w:rFonts w:ascii="Calibri" w:hAnsi="Calibri" w:cs="Arial"/>
          <w:color w:val="000000"/>
          <w:szCs w:val="24"/>
        </w:rPr>
        <w:t xml:space="preserve">a </w:t>
      </w:r>
      <w:r w:rsidRPr="000000EB">
        <w:rPr>
          <w:rFonts w:ascii="Calibri" w:hAnsi="Calibri" w:cs="Arial"/>
          <w:color w:val="000000"/>
          <w:szCs w:val="24"/>
        </w:rPr>
        <w:t>panel</w:t>
      </w:r>
      <w:r w:rsidR="00CC49C1">
        <w:rPr>
          <w:rFonts w:ascii="Calibri" w:hAnsi="Calibri" w:cs="Arial"/>
          <w:color w:val="000000"/>
          <w:szCs w:val="24"/>
        </w:rPr>
        <w:t xml:space="preserve"> from the National Research Council’s Committee on National Statistics (CNSTAT) which was charged by BJS in 2011 to examine the </w:t>
      </w:r>
      <w:r w:rsidR="00CC49C1">
        <w:t>conceptual and methodological issues surrounding survey statistics on rape and sexual assault and to recommend to BJS the best methods for obtaining such statistics on an ongoing basis</w:t>
      </w:r>
      <w:r w:rsidRPr="000000EB">
        <w:rPr>
          <w:rFonts w:ascii="Calibri" w:hAnsi="Calibri" w:cs="Arial"/>
          <w:color w:val="000000"/>
          <w:szCs w:val="24"/>
        </w:rPr>
        <w:t xml:space="preserve">. The other </w:t>
      </w:r>
      <w:r>
        <w:rPr>
          <w:rFonts w:ascii="Calibri" w:hAnsi="Calibri" w:cs="Arial"/>
          <w:color w:val="000000"/>
          <w:szCs w:val="24"/>
        </w:rPr>
        <w:t>was</w:t>
      </w:r>
      <w:r w:rsidRPr="000000EB">
        <w:rPr>
          <w:rFonts w:ascii="Calibri" w:hAnsi="Calibri" w:cs="Arial"/>
          <w:color w:val="000000"/>
          <w:szCs w:val="24"/>
        </w:rPr>
        <w:t xml:space="preserve"> similar to designs used in the public health field that collect data on rape and sexual assault (e.g., National Women’s Study and the National Intimate Partner and Sexual Violence Surveillance System).</w:t>
      </w:r>
    </w:p>
    <w:p w:rsidRPr="000000EB" w:rsidR="00EB28C4" w:rsidP="00517177" w:rsidRDefault="00EB28C4" w14:paraId="33F80CFE" w14:textId="30960556">
      <w:pPr>
        <w:rPr>
          <w:rFonts w:ascii="Calibri" w:hAnsi="Calibri" w:cs="Arial"/>
          <w:color w:val="000000"/>
          <w:szCs w:val="24"/>
        </w:rPr>
      </w:pPr>
      <w:r w:rsidRPr="000000EB">
        <w:rPr>
          <w:rFonts w:ascii="Calibri" w:hAnsi="Calibri" w:cs="Arial"/>
          <w:color w:val="000000"/>
          <w:szCs w:val="24"/>
        </w:rPr>
        <w:t>BJS compare</w:t>
      </w:r>
      <w:r>
        <w:rPr>
          <w:rFonts w:ascii="Calibri" w:hAnsi="Calibri" w:cs="Arial"/>
          <w:color w:val="000000"/>
          <w:szCs w:val="24"/>
        </w:rPr>
        <w:t>d</w:t>
      </w:r>
      <w:r w:rsidRPr="000000EB">
        <w:rPr>
          <w:rFonts w:ascii="Calibri" w:hAnsi="Calibri" w:cs="Arial"/>
          <w:color w:val="000000"/>
          <w:szCs w:val="24"/>
        </w:rPr>
        <w:t xml:space="preserve"> estimates from these two alternative designs with estimates from the current NCVS. </w:t>
      </w:r>
      <w:r>
        <w:rPr>
          <w:rFonts w:ascii="Calibri" w:hAnsi="Calibri" w:cs="Arial"/>
          <w:color w:val="000000"/>
          <w:szCs w:val="24"/>
        </w:rPr>
        <w:t>Field testing of these alternative designs was completed and findings were released in 2021. The findings of this project were published in the BJS report</w:t>
      </w:r>
      <w:r w:rsidRPr="00FC05F1">
        <w:rPr>
          <w:rFonts w:ascii="Calibri" w:hAnsi="Calibri" w:cs="Arial"/>
          <w:i/>
          <w:color w:val="000000"/>
          <w:szCs w:val="24"/>
        </w:rPr>
        <w:t>,</w:t>
      </w:r>
      <w:r w:rsidRPr="00FC05F1">
        <w:rPr>
          <w:i/>
        </w:rPr>
        <w:t xml:space="preserve"> </w:t>
      </w:r>
      <w:hyperlink w:history="1" r:id="rId47">
        <w:r w:rsidRPr="00AD357E">
          <w:rPr>
            <w:rStyle w:val="Hyperlink"/>
            <w:rFonts w:ascii="Calibri" w:hAnsi="Calibri" w:cs="Arial"/>
            <w:i/>
            <w:szCs w:val="24"/>
          </w:rPr>
          <w:t xml:space="preserve">Methodological Research to Support the National Crime Victimization Survey: Self-Report Data on Rape and Sexual Assault – Pilot </w:t>
        </w:r>
        <w:r w:rsidRPr="00AD357E" w:rsidR="00CA2280">
          <w:rPr>
            <w:rStyle w:val="Hyperlink"/>
            <w:rFonts w:ascii="Calibri" w:hAnsi="Calibri" w:cs="Arial"/>
            <w:i/>
            <w:szCs w:val="24"/>
          </w:rPr>
          <w:t>Test</w:t>
        </w:r>
      </w:hyperlink>
      <w:r w:rsidR="00CA2280">
        <w:rPr>
          <w:rFonts w:ascii="Calibri" w:hAnsi="Calibri" w:cs="Arial"/>
          <w:color w:val="000000"/>
          <w:szCs w:val="24"/>
        </w:rPr>
        <w:t>,</w:t>
      </w:r>
      <w:r>
        <w:rPr>
          <w:rFonts w:ascii="Calibri" w:hAnsi="Calibri" w:cs="Arial"/>
          <w:color w:val="000000"/>
          <w:szCs w:val="24"/>
        </w:rPr>
        <w:t xml:space="preserve"> in January 2021. The findings from this report will be incorporated into the </w:t>
      </w:r>
      <w:r w:rsidR="00301552">
        <w:rPr>
          <w:rFonts w:ascii="Calibri" w:hAnsi="Calibri" w:cs="Arial"/>
          <w:color w:val="000000"/>
          <w:szCs w:val="24"/>
        </w:rPr>
        <w:t xml:space="preserve">instrument </w:t>
      </w:r>
      <w:r>
        <w:rPr>
          <w:rFonts w:ascii="Calibri" w:hAnsi="Calibri" w:cs="Arial"/>
          <w:color w:val="000000"/>
          <w:szCs w:val="24"/>
        </w:rPr>
        <w:t>redesign</w:t>
      </w:r>
      <w:r w:rsidR="00301552">
        <w:rPr>
          <w:rFonts w:ascii="Calibri" w:hAnsi="Calibri" w:cs="Arial"/>
          <w:color w:val="000000"/>
          <w:szCs w:val="24"/>
        </w:rPr>
        <w:t xml:space="preserve"> work.</w:t>
      </w:r>
      <w:r>
        <w:rPr>
          <w:rFonts w:ascii="Calibri" w:hAnsi="Calibri" w:cs="Arial"/>
          <w:color w:val="000000"/>
          <w:szCs w:val="24"/>
        </w:rPr>
        <w:t xml:space="preserve"> </w:t>
      </w:r>
    </w:p>
    <w:p w:rsidRPr="00721F22" w:rsidR="00CD2D93" w:rsidP="00B75264" w:rsidRDefault="00CD2D93" w14:paraId="4E173999" w14:textId="77777777">
      <w:pPr>
        <w:pStyle w:val="Heading4"/>
      </w:pPr>
      <w:r w:rsidRPr="00721F22">
        <w:t>Measurement of hate crimes</w:t>
      </w:r>
    </w:p>
    <w:p w:rsidRPr="00341872" w:rsidR="00CD2D93" w:rsidP="00517177" w:rsidRDefault="00341872" w14:paraId="6C098DCD" w14:textId="3C10005C">
      <w:pPr>
        <w:rPr>
          <w:rFonts w:ascii="Calibri" w:hAnsi="Calibri" w:cs="Arial"/>
          <w:color w:val="000000"/>
          <w:szCs w:val="24"/>
        </w:rPr>
      </w:pPr>
      <w:r w:rsidRPr="00341872">
        <w:rPr>
          <w:rFonts w:ascii="Calibri" w:hAnsi="Calibri" w:cs="Arial"/>
          <w:color w:val="000000"/>
          <w:szCs w:val="24"/>
        </w:rPr>
        <w:t>The current NCVS hate crime series asks about seven different types of potential evidence</w:t>
      </w:r>
      <w:r w:rsidR="00721352">
        <w:rPr>
          <w:rFonts w:ascii="Calibri" w:hAnsi="Calibri" w:cs="Arial"/>
          <w:color w:val="000000"/>
          <w:szCs w:val="24"/>
        </w:rPr>
        <w:t xml:space="preserve"> of a hate crime</w:t>
      </w:r>
      <w:r w:rsidRPr="00341872">
        <w:rPr>
          <w:rFonts w:ascii="Calibri" w:hAnsi="Calibri" w:cs="Arial"/>
          <w:color w:val="000000"/>
          <w:szCs w:val="24"/>
        </w:rPr>
        <w:t xml:space="preserve">, and BJS uses </w:t>
      </w:r>
      <w:r w:rsidR="00C25630">
        <w:rPr>
          <w:rFonts w:ascii="Calibri" w:hAnsi="Calibri" w:cs="Arial"/>
          <w:color w:val="000000"/>
          <w:szCs w:val="24"/>
        </w:rPr>
        <w:t>one of three of these types</w:t>
      </w:r>
      <w:r w:rsidRPr="00341872">
        <w:rPr>
          <w:rFonts w:ascii="Calibri" w:hAnsi="Calibri" w:cs="Arial"/>
          <w:color w:val="000000"/>
          <w:szCs w:val="24"/>
        </w:rPr>
        <w:t xml:space="preserve"> (offender used hate language, offender left hate-related signs or symbols at the scene, or police investigators confirmed the incident was a hate crime) to qualify as sufficient evidence to classify the offense as a hate crime.</w:t>
      </w:r>
      <w:r>
        <w:rPr>
          <w:rFonts w:ascii="Calibri" w:hAnsi="Calibri" w:cs="Arial"/>
          <w:color w:val="000000"/>
          <w:szCs w:val="24"/>
        </w:rPr>
        <w:t xml:space="preserve"> </w:t>
      </w:r>
      <w:r w:rsidRPr="00341872" w:rsidR="00CA2280">
        <w:rPr>
          <w:rFonts w:ascii="Calibri" w:hAnsi="Calibri" w:cs="Arial"/>
          <w:color w:val="000000"/>
          <w:szCs w:val="24"/>
        </w:rPr>
        <w:t xml:space="preserve">BJS is </w:t>
      </w:r>
      <w:r>
        <w:rPr>
          <w:rFonts w:ascii="Calibri" w:hAnsi="Calibri" w:cs="Arial"/>
          <w:color w:val="000000"/>
          <w:szCs w:val="24"/>
        </w:rPr>
        <w:t xml:space="preserve">currently </w:t>
      </w:r>
      <w:r w:rsidRPr="00341872" w:rsidR="00CA2280">
        <w:rPr>
          <w:rFonts w:ascii="Calibri" w:hAnsi="Calibri" w:cs="Arial"/>
          <w:color w:val="000000"/>
          <w:szCs w:val="24"/>
        </w:rPr>
        <w:t>conducting research</w:t>
      </w:r>
      <w:r>
        <w:rPr>
          <w:rFonts w:ascii="Calibri" w:hAnsi="Calibri" w:cs="Arial"/>
          <w:color w:val="000000"/>
          <w:szCs w:val="24"/>
        </w:rPr>
        <w:t xml:space="preserve"> to understand the limitations of the current measure and examine ways to</w:t>
      </w:r>
      <w:r w:rsidRPr="00341872" w:rsidR="00CA2280">
        <w:rPr>
          <w:rFonts w:ascii="Calibri" w:hAnsi="Calibri" w:cs="Arial"/>
          <w:color w:val="000000"/>
          <w:szCs w:val="24"/>
        </w:rPr>
        <w:t xml:space="preserve"> improve the measurement of hate crime in the NCVS</w:t>
      </w:r>
      <w:r>
        <w:rPr>
          <w:rFonts w:ascii="Calibri" w:hAnsi="Calibri" w:cs="Arial"/>
          <w:color w:val="000000"/>
          <w:szCs w:val="24"/>
        </w:rPr>
        <w:t>.</w:t>
      </w:r>
      <w:r w:rsidR="000601FA">
        <w:rPr>
          <w:rFonts w:ascii="Calibri" w:hAnsi="Calibri" w:cs="Arial"/>
          <w:color w:val="000000"/>
          <w:szCs w:val="24"/>
        </w:rPr>
        <w:t xml:space="preserve"> Findings from this research are expected to be released in </w:t>
      </w:r>
      <w:r w:rsidR="007A057D">
        <w:rPr>
          <w:rFonts w:ascii="Calibri" w:hAnsi="Calibri" w:cs="Arial"/>
          <w:color w:val="000000"/>
          <w:szCs w:val="24"/>
        </w:rPr>
        <w:t xml:space="preserve">late </w:t>
      </w:r>
      <w:r w:rsidR="000601FA">
        <w:rPr>
          <w:rFonts w:ascii="Calibri" w:hAnsi="Calibri" w:cs="Arial"/>
          <w:color w:val="000000"/>
          <w:szCs w:val="24"/>
        </w:rPr>
        <w:t>2021</w:t>
      </w:r>
      <w:r w:rsidR="007A057D">
        <w:rPr>
          <w:rFonts w:ascii="Calibri" w:hAnsi="Calibri" w:cs="Arial"/>
          <w:color w:val="000000"/>
          <w:szCs w:val="24"/>
        </w:rPr>
        <w:t xml:space="preserve"> or early 2022</w:t>
      </w:r>
      <w:r w:rsidR="000601FA">
        <w:rPr>
          <w:rFonts w:ascii="Calibri" w:hAnsi="Calibri" w:cs="Arial"/>
          <w:color w:val="000000"/>
          <w:szCs w:val="24"/>
        </w:rPr>
        <w:t>.</w:t>
      </w:r>
      <w:r>
        <w:rPr>
          <w:rFonts w:ascii="Calibri" w:hAnsi="Calibri" w:cs="Arial"/>
          <w:color w:val="000000"/>
          <w:szCs w:val="24"/>
        </w:rPr>
        <w:t xml:space="preserve"> </w:t>
      </w:r>
    </w:p>
    <w:p w:rsidRPr="00721F22" w:rsidR="00CD2D93" w:rsidP="00B75264" w:rsidRDefault="00CD2D93" w14:paraId="4591EEE7" w14:textId="77777777">
      <w:pPr>
        <w:pStyle w:val="Heading4"/>
      </w:pPr>
      <w:r w:rsidRPr="00721F22">
        <w:lastRenderedPageBreak/>
        <w:t xml:space="preserve">Juvenile </w:t>
      </w:r>
      <w:r w:rsidRPr="00721F22" w:rsidR="00F30ECC">
        <w:t>respondents and</w:t>
      </w:r>
      <w:r w:rsidRPr="00721F22">
        <w:t xml:space="preserve"> proxy interviews</w:t>
      </w:r>
    </w:p>
    <w:p w:rsidR="00EB28C4" w:rsidP="00517177" w:rsidRDefault="00341872" w14:paraId="0A86F075" w14:textId="0985B96B">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Cs w:val="24"/>
        </w:rPr>
      </w:pPr>
      <w:r w:rsidRPr="00341872">
        <w:rPr>
          <w:rFonts w:ascii="Calibri" w:hAnsi="Calibri"/>
          <w:szCs w:val="24"/>
        </w:rPr>
        <w:t xml:space="preserve">As part of the NCVS Redesign Research and Development Program, </w:t>
      </w:r>
      <w:r>
        <w:rPr>
          <w:rFonts w:ascii="Calibri" w:hAnsi="Calibri"/>
          <w:szCs w:val="24"/>
        </w:rPr>
        <w:t>BIS is</w:t>
      </w:r>
      <w:r w:rsidRPr="00341872">
        <w:rPr>
          <w:rFonts w:ascii="Calibri" w:hAnsi="Calibri"/>
          <w:szCs w:val="24"/>
        </w:rPr>
        <w:t xml:space="preserve"> engaged </w:t>
      </w:r>
      <w:r>
        <w:rPr>
          <w:rFonts w:ascii="Calibri" w:hAnsi="Calibri"/>
          <w:szCs w:val="24"/>
        </w:rPr>
        <w:t>in several</w:t>
      </w:r>
      <w:r w:rsidRPr="00341872">
        <w:rPr>
          <w:rFonts w:ascii="Calibri" w:hAnsi="Calibri"/>
          <w:szCs w:val="24"/>
        </w:rPr>
        <w:t xml:space="preserve"> research </w:t>
      </w:r>
      <w:r>
        <w:rPr>
          <w:rFonts w:ascii="Calibri" w:hAnsi="Calibri"/>
          <w:szCs w:val="24"/>
        </w:rPr>
        <w:t>projects</w:t>
      </w:r>
      <w:r w:rsidRPr="00341872">
        <w:rPr>
          <w:rFonts w:ascii="Calibri" w:hAnsi="Calibri"/>
          <w:szCs w:val="24"/>
        </w:rPr>
        <w:t xml:space="preserve"> </w:t>
      </w:r>
      <w:r>
        <w:rPr>
          <w:rFonts w:ascii="Calibri" w:hAnsi="Calibri"/>
          <w:szCs w:val="24"/>
        </w:rPr>
        <w:t>to</w:t>
      </w:r>
      <w:r w:rsidR="00D83009">
        <w:rPr>
          <w:rFonts w:ascii="Calibri" w:hAnsi="Calibri"/>
          <w:szCs w:val="24"/>
        </w:rPr>
        <w:t xml:space="preserve"> further understand and </w:t>
      </w:r>
      <w:r w:rsidRPr="00341872">
        <w:rPr>
          <w:rFonts w:ascii="Calibri" w:hAnsi="Calibri"/>
          <w:szCs w:val="24"/>
        </w:rPr>
        <w:t xml:space="preserve">improve the measurement of victimization among youth age 12-17. </w:t>
      </w:r>
      <w:r w:rsidR="00D83009">
        <w:rPr>
          <w:rFonts w:ascii="Calibri" w:hAnsi="Calibri"/>
          <w:szCs w:val="24"/>
        </w:rPr>
        <w:t xml:space="preserve">These efforts include cognitive testing with youth and parents. Youth interviews focus on testing comprehension of survey items and youth-specific adjustments to improve comprehension. Parent interviews focus on understanding </w:t>
      </w:r>
      <w:r w:rsidR="00D83009">
        <w:t>parents’ decisions to let their child</w:t>
      </w:r>
      <w:r w:rsidR="00732EB7">
        <w:t>ren</w:t>
      </w:r>
      <w:r w:rsidR="00D83009">
        <w:t xml:space="preserve"> participate in a survey like NCVS. An additional project examines </w:t>
      </w:r>
      <w:r w:rsidR="00AF1B82">
        <w:t xml:space="preserve">survey responses between parent-child pairs, to measure consistency in responses when the parent serves as a proxy respondent for the child. </w:t>
      </w:r>
      <w:r w:rsidR="009451D4">
        <w:t xml:space="preserve">Findings from this research are expected to be released in </w:t>
      </w:r>
      <w:r w:rsidR="007A057D">
        <w:t xml:space="preserve">late </w:t>
      </w:r>
      <w:r w:rsidR="009451D4">
        <w:t>2021</w:t>
      </w:r>
      <w:r w:rsidR="007A057D">
        <w:t xml:space="preserve"> or early 2022</w:t>
      </w:r>
      <w:r w:rsidR="009451D4">
        <w:t>.</w:t>
      </w:r>
    </w:p>
    <w:p w:rsidR="00EB28C4" w:rsidP="00EB28C4" w:rsidRDefault="00EB28C4" w14:paraId="66F25842" w14:textId="77777777">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Calibri" w:hAnsi="Calibri" w:cs="Arial"/>
          <w:szCs w:val="24"/>
        </w:rPr>
      </w:pPr>
    </w:p>
    <w:p w:rsidRPr="008719D1" w:rsidR="00EB28C4" w:rsidP="00B75264" w:rsidRDefault="00EB28C4" w14:paraId="7A30B7C3" w14:textId="77777777">
      <w:pPr>
        <w:pStyle w:val="Heading3"/>
      </w:pPr>
      <w:r w:rsidRPr="008719D1">
        <w:t>Inform and improve methodology</w:t>
      </w:r>
    </w:p>
    <w:p w:rsidR="00F30ECC" w:rsidP="00EE58C9" w:rsidRDefault="003B1F0C" w14:paraId="3A06A13C" w14:textId="77777777">
      <w:r>
        <w:t>BJS is working on a number of projects to improve the precision and reliability of victimization estimates.</w:t>
      </w:r>
      <w:r w:rsidRPr="00EE58C9" w:rsidR="00EE58C9">
        <w:t xml:space="preserve"> </w:t>
      </w:r>
      <w:r w:rsidR="00EE58C9">
        <w:t>Additionally</w:t>
      </w:r>
      <w:r w:rsidRPr="004956DA" w:rsidR="00EE58C9">
        <w:t xml:space="preserve">, in order to </w:t>
      </w:r>
      <w:r w:rsidR="00EE58C9">
        <w:t>improve the NCVS methodology</w:t>
      </w:r>
      <w:r w:rsidRPr="004956DA" w:rsidR="00EE58C9">
        <w:t>, BJS has also invested in a support center for the NCVS called the National Victimization Survey Support Program (NVSSP). The researchers in the NVSSP, on contract from RTI International, have substantial expertise in survey methodology and data analysis</w:t>
      </w:r>
      <w:r w:rsidR="00EE58C9">
        <w:t>.</w:t>
      </w:r>
    </w:p>
    <w:p w:rsidR="00F30ECC" w:rsidP="00B75264" w:rsidRDefault="00A67B1E" w14:paraId="2B645C21" w14:textId="77777777">
      <w:pPr>
        <w:pStyle w:val="Heading4"/>
      </w:pPr>
      <w:r>
        <w:t>Weighting Adjustments</w:t>
      </w:r>
    </w:p>
    <w:p w:rsidRPr="00A67B1E" w:rsidR="00A67B1E" w:rsidP="00A67B1E" w:rsidRDefault="00A67B1E" w14:paraId="442F35F4" w14:textId="10D2AEB6">
      <w:r w:rsidRPr="00A67B1E">
        <w:t>NCVS data are weighted to produce annual estimates of victimization for persons age 12 or older living in U.S. households. Because the NCVS relies on a sample rather than a census of the entire U.S. population, weights are designed to adjust to known population totals and to compensate for survey non-response and other aspects of the complex sample design.</w:t>
      </w:r>
      <w:r>
        <w:t xml:space="preserve"> In 2020, BJS conducted research on outlier weights and their impact on NCVS estimates. </w:t>
      </w:r>
      <w:r w:rsidRPr="00A67B1E">
        <w:t>BJS</w:t>
      </w:r>
      <w:r>
        <w:t xml:space="preserve"> explored several methods </w:t>
      </w:r>
      <w:r w:rsidRPr="00A67B1E">
        <w:t>to moderate the contribution of outlier weights on NCVS estimates</w:t>
      </w:r>
      <w:r>
        <w:t xml:space="preserve"> and applied a new adjustment factor beginning with the 2020 annual data file.</w:t>
      </w:r>
      <w:r w:rsidR="00FE386A">
        <w:t xml:space="preserve"> Results of this research are planned to be released in </w:t>
      </w:r>
      <w:r w:rsidR="00500807">
        <w:t xml:space="preserve">late </w:t>
      </w:r>
      <w:r w:rsidR="00FE386A">
        <w:t>2021</w:t>
      </w:r>
      <w:r w:rsidR="00500807">
        <w:t xml:space="preserve"> or early 2022</w:t>
      </w:r>
      <w:r w:rsidR="00FE386A">
        <w:t>.</w:t>
      </w:r>
    </w:p>
    <w:p w:rsidR="00545C38" w:rsidP="00B75264" w:rsidRDefault="00545C38" w14:paraId="6235B4EB" w14:textId="77777777">
      <w:pPr>
        <w:pStyle w:val="Heading4"/>
      </w:pPr>
      <w:r>
        <w:t>Improving ability to report out on race/ethnicity categories</w:t>
      </w:r>
    </w:p>
    <w:p w:rsidR="0039417D" w:rsidP="0039417D" w:rsidRDefault="001F415D" w14:paraId="416A8F10" w14:textId="4CD2777F">
      <w:r>
        <w:t>BJS</w:t>
      </w:r>
      <w:r w:rsidR="0039417D">
        <w:t xml:space="preserve"> uses the race and ethnicity categories for </w:t>
      </w:r>
      <w:r>
        <w:t xml:space="preserve">NCVS </w:t>
      </w:r>
      <w:r w:rsidR="0039417D">
        <w:t>data collection as specified by the Office of Management and Budget’s Standards for Maintaining, Collecting, and Presenting Federal Data on Race and Ethnicity. The standards have five categories for data on race: American Indian or Alaska Native,</w:t>
      </w:r>
      <w:r>
        <w:t xml:space="preserve"> </w:t>
      </w:r>
      <w:r w:rsidR="0039417D">
        <w:t>Asian, Black or African American, Native Hawaiian or Other Pacific Islander, and White. There are two categories for data on ethnicity: Hispanic or Latino, and Not Hispanic or Latino.</w:t>
      </w:r>
      <w:r w:rsidR="00F564AD">
        <w:t xml:space="preserve"> </w:t>
      </w:r>
      <w:r w:rsidR="0039417D">
        <w:t xml:space="preserve">Given that NCVS data are derived from surveyed respondents, the relatively small sizes of certain population groups compared to the overall U.S. population can pose measurement </w:t>
      </w:r>
      <w:r>
        <w:t>challenges</w:t>
      </w:r>
      <w:r w:rsidR="0039417D">
        <w:t>.</w:t>
      </w:r>
      <w:r>
        <w:t xml:space="preserve"> BJS is currently exploring statistical methods to increase the reliability of estimates for these categories.</w:t>
      </w:r>
    </w:p>
    <w:p w:rsidR="002526D6" w:rsidRDefault="002526D6" w14:paraId="13010490" w14:textId="77777777">
      <w:pPr>
        <w:widowControl/>
        <w:autoSpaceDE/>
        <w:autoSpaceDN/>
        <w:adjustRightInd/>
        <w:spacing w:after="0"/>
        <w:rPr>
          <w:rFonts w:ascii="Calibri" w:hAnsi="Calibri" w:cs="Arial"/>
          <w:i/>
          <w:color w:val="000000"/>
          <w:szCs w:val="24"/>
          <w:u w:val="single"/>
        </w:rPr>
      </w:pPr>
      <w:r>
        <w:br w:type="page"/>
      </w:r>
    </w:p>
    <w:p w:rsidR="00545C38" w:rsidP="00B75264" w:rsidRDefault="00EE58C9" w14:paraId="2FFF1DAC" w14:textId="1631E3E8">
      <w:pPr>
        <w:pStyle w:val="Heading4"/>
      </w:pPr>
      <w:r>
        <w:lastRenderedPageBreak/>
        <w:t>Methods of variance estimates</w:t>
      </w:r>
    </w:p>
    <w:p w:rsidR="00545C38" w:rsidP="00D7503F" w:rsidRDefault="00EE58C9" w14:paraId="6922268D" w14:textId="4CEA8CEF">
      <w:r>
        <w:t>For surveys with complex sample designs, such as the</w:t>
      </w:r>
      <w:r w:rsidR="009C6F85">
        <w:t xml:space="preserve"> </w:t>
      </w:r>
      <w:r>
        <w:t>NCVS, several methods can be used to estimate the</w:t>
      </w:r>
      <w:r w:rsidR="009C6F85">
        <w:t xml:space="preserve"> </w:t>
      </w:r>
      <w:r>
        <w:t>magnitude of sampling error associated with an estimate</w:t>
      </w:r>
      <w:r w:rsidR="00D7503F">
        <w:t>.</w:t>
      </w:r>
      <w:r w:rsidRPr="00D7503F" w:rsidR="00D7503F">
        <w:t xml:space="preserve"> </w:t>
      </w:r>
      <w:r w:rsidR="00D7503F">
        <w:t xml:space="preserve">BJS has an active research program on direct variance and </w:t>
      </w:r>
      <w:r w:rsidR="00351CD0">
        <w:t xml:space="preserve">generalized variance function (GVF) </w:t>
      </w:r>
      <w:r w:rsidR="00D7503F">
        <w:t>estimation methods that seeks to improve the quality and accuracy of NCVS estimates and make technical information available to data users to support research</w:t>
      </w:r>
      <w:r>
        <w:t>.</w:t>
      </w:r>
      <w:r w:rsidR="009C6F85">
        <w:t xml:space="preserve"> </w:t>
      </w:r>
    </w:p>
    <w:p w:rsidR="00242D66" w:rsidP="00B75264" w:rsidRDefault="00242D66" w14:paraId="5E2DCB9C" w14:textId="77777777">
      <w:pPr>
        <w:pStyle w:val="Heading4"/>
      </w:pPr>
      <w:r>
        <w:t>Urbanicity</w:t>
      </w:r>
    </w:p>
    <w:p w:rsidR="00EB28C4" w:rsidP="008719D1" w:rsidRDefault="00EE58C9" w14:paraId="1DE8F817" w14:textId="413F0E4A">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Cs w:val="24"/>
        </w:rPr>
      </w:pPr>
      <w:r>
        <w:rPr>
          <w:rFonts w:ascii="Calibri" w:hAnsi="Calibri" w:cs="Arial"/>
          <w:szCs w:val="24"/>
        </w:rPr>
        <w:t xml:space="preserve">To improve location of residence classification, BJS conducted research on methods to classify an area as urban, suburban, or rural. Through this research, BJS considered several measures of population density. The new NCVS definition uses weighted housing-unit density because that </w:t>
      </w:r>
      <w:r w:rsidRPr="00EE58C9">
        <w:rPr>
          <w:rFonts w:ascii="Calibri" w:hAnsi="Calibri" w:cs="Arial"/>
          <w:szCs w:val="24"/>
        </w:rPr>
        <w:t xml:space="preserve">measure provides </w:t>
      </w:r>
      <w:r>
        <w:rPr>
          <w:rFonts w:ascii="Calibri" w:hAnsi="Calibri" w:cs="Arial"/>
          <w:szCs w:val="24"/>
        </w:rPr>
        <w:t>the best</w:t>
      </w:r>
      <w:r w:rsidRPr="00EE58C9">
        <w:rPr>
          <w:rFonts w:ascii="Calibri" w:hAnsi="Calibri" w:cs="Arial"/>
          <w:szCs w:val="24"/>
        </w:rPr>
        <w:t xml:space="preserve"> indication of the degree of urban density</w:t>
      </w:r>
      <w:r>
        <w:rPr>
          <w:rFonts w:ascii="Calibri" w:hAnsi="Calibri" w:cs="Arial"/>
          <w:szCs w:val="24"/>
        </w:rPr>
        <w:t>. This new definition, which is available on the NCVS public</w:t>
      </w:r>
      <w:r w:rsidR="009900B7">
        <w:rPr>
          <w:rFonts w:ascii="Calibri" w:hAnsi="Calibri" w:cs="Arial"/>
          <w:szCs w:val="24"/>
        </w:rPr>
        <w:t>-</w:t>
      </w:r>
      <w:r>
        <w:rPr>
          <w:rFonts w:ascii="Calibri" w:hAnsi="Calibri" w:cs="Arial"/>
          <w:szCs w:val="24"/>
        </w:rPr>
        <w:t>use file beginning in 2020</w:t>
      </w:r>
      <w:r w:rsidR="00351CD0">
        <w:rPr>
          <w:rFonts w:ascii="Calibri" w:hAnsi="Calibri" w:cs="Arial"/>
          <w:szCs w:val="24"/>
        </w:rPr>
        <w:t>,</w:t>
      </w:r>
      <w:r>
        <w:rPr>
          <w:rFonts w:ascii="Calibri" w:hAnsi="Calibri" w:cs="Arial"/>
          <w:szCs w:val="24"/>
        </w:rPr>
        <w:t xml:space="preserve"> allows users to examine victimization rates for urban, suburban, and rural areas.</w:t>
      </w:r>
    </w:p>
    <w:p w:rsidRPr="000000EB" w:rsidR="00AF2A90" w:rsidP="008719D1" w:rsidRDefault="00AF2A90" w14:paraId="477E1A84" w14:textId="77777777">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Cs w:val="24"/>
        </w:rPr>
      </w:pPr>
    </w:p>
    <w:p w:rsidRPr="00495D85" w:rsidR="00B901A7" w:rsidP="00B75264" w:rsidRDefault="00B901A7" w14:paraId="0D824AB9" w14:textId="77777777">
      <w:pPr>
        <w:pStyle w:val="Heading3"/>
      </w:pPr>
      <w:r w:rsidRPr="00495D85">
        <w:t>Subnational estimates</w:t>
      </w:r>
      <w:r w:rsidRPr="00495D85" w:rsidR="00FD006D">
        <w:t xml:space="preserve"> </w:t>
      </w:r>
    </w:p>
    <w:p w:rsidR="00721F22" w:rsidP="00721F22" w:rsidRDefault="00721F22" w14:paraId="7AF77F4E" w14:textId="349CF010">
      <w:pPr>
        <w:rPr>
          <w:lang w:val="en"/>
        </w:rPr>
      </w:pPr>
      <w:r>
        <w:rPr>
          <w:lang w:val="en"/>
        </w:rPr>
        <w:t xml:space="preserve">The </w:t>
      </w:r>
      <w:r>
        <w:t xml:space="preserve">NCVS was </w:t>
      </w:r>
      <w:r>
        <w:rPr>
          <w:lang w:val="en"/>
        </w:rPr>
        <w:t>originally designed to provide national-level estimates of criminal victimization. Since its inception in 1973, BJS has recognized an increasing need for victimization data at the state and/or local levels. The three major reviews of the NCVS program (</w:t>
      </w:r>
      <w:hyperlink w:history="1" r:id="rId48">
        <w:r w:rsidRPr="00500807">
          <w:rPr>
            <w:rStyle w:val="Hyperlink"/>
            <w:lang w:val="en"/>
          </w:rPr>
          <w:t>Penick and Owens, 1976</w:t>
        </w:r>
      </w:hyperlink>
      <w:r>
        <w:rPr>
          <w:lang w:val="en"/>
        </w:rPr>
        <w:t xml:space="preserve">; </w:t>
      </w:r>
      <w:r w:rsidRPr="00517177" w:rsidR="00D15419">
        <w:rPr>
          <w:lang w:val="en"/>
        </w:rPr>
        <w:t>Biderman</w:t>
      </w:r>
      <w:r w:rsidR="00E1668E">
        <w:rPr>
          <w:lang w:val="en"/>
        </w:rPr>
        <w:t>,</w:t>
      </w:r>
      <w:r w:rsidRPr="00517177" w:rsidR="00D15419">
        <w:rPr>
          <w:lang w:val="en"/>
        </w:rPr>
        <w:t xml:space="preserve"> et al., 1986</w:t>
      </w:r>
      <w:r w:rsidR="00D15419">
        <w:rPr>
          <w:rStyle w:val="FootnoteReference"/>
          <w:color w:val="0000FF"/>
          <w:u w:val="single"/>
          <w:lang w:val="en"/>
        </w:rPr>
        <w:footnoteReference w:id="4"/>
      </w:r>
      <w:r>
        <w:rPr>
          <w:lang w:val="en"/>
        </w:rPr>
        <w:t xml:space="preserve">; </w:t>
      </w:r>
      <w:r w:rsidRPr="00517177" w:rsidR="00B138A0">
        <w:rPr>
          <w:lang w:val="en"/>
        </w:rPr>
        <w:t>Groves and Cork, 2008</w:t>
      </w:r>
      <w:r w:rsidR="00D15419">
        <w:rPr>
          <w:rStyle w:val="FootnoteReference"/>
          <w:color w:val="0000FF"/>
          <w:u w:val="single"/>
          <w:lang w:val="en"/>
        </w:rPr>
        <w:footnoteReference w:id="5"/>
      </w:r>
      <w:r>
        <w:rPr>
          <w:lang w:val="en"/>
        </w:rPr>
        <w:t xml:space="preserve">) point to the demand from local criminal justice administrators who want empirical information and data on crime that they can use to inform policy and practice. </w:t>
      </w:r>
    </w:p>
    <w:p w:rsidR="00721F22" w:rsidP="00721F22" w:rsidRDefault="00721F22" w14:paraId="03DBBBA4" w14:textId="03B2677D">
      <w:pPr>
        <w:rPr>
          <w:lang w:val="en"/>
        </w:rPr>
      </w:pPr>
      <w:r>
        <w:rPr>
          <w:lang w:val="en"/>
        </w:rPr>
        <w:t xml:space="preserve">Interest in subnational victimization data is met with practical limitations in producing these data. The </w:t>
      </w:r>
      <w:r w:rsidRPr="00D412CA" w:rsidR="00D412CA">
        <w:rPr>
          <w:lang w:val="en"/>
        </w:rPr>
        <w:t>NCVS</w:t>
      </w:r>
      <w:r>
        <w:rPr>
          <w:lang w:val="en"/>
        </w:rPr>
        <w:t xml:space="preserve"> is a complex household survey, which involves </w:t>
      </w:r>
      <w:r w:rsidRPr="00FE2F2A">
        <w:t>about 240,000 interviews on criminal victimization, involving 160,000 unique persons in about 95,000 households</w:t>
      </w:r>
      <w:r>
        <w:t xml:space="preserve"> each year. </w:t>
      </w:r>
      <w:r>
        <w:rPr>
          <w:lang w:val="en"/>
        </w:rPr>
        <w:t xml:space="preserve">Administration of the NCVS to produce reliable national-level estimates is costly and can potentially involve risk of disclosing sensitive information. These challenges are amplified </w:t>
      </w:r>
      <w:r w:rsidR="00E1668E">
        <w:rPr>
          <w:lang w:val="en"/>
        </w:rPr>
        <w:t xml:space="preserve">when </w:t>
      </w:r>
      <w:r>
        <w:rPr>
          <w:lang w:val="en"/>
        </w:rPr>
        <w:t>producing estimates for lower levels of geography. Thus, options for producing subnational victimization data through the NCVS require careful consideration.</w:t>
      </w:r>
    </w:p>
    <w:p w:rsidR="00721F22" w:rsidP="00721F22" w:rsidRDefault="00721F22" w14:paraId="1FBA3010" w14:textId="0BE5D2B5">
      <w:pPr>
        <w:rPr>
          <w:lang w:val="en"/>
        </w:rPr>
      </w:pPr>
      <w:r>
        <w:rPr>
          <w:lang w:val="en"/>
        </w:rPr>
        <w:t xml:space="preserve">Accordingly, BJS crafted plans for producing subnational crime data by developing multiple strategies and responses, and supported </w:t>
      </w:r>
      <w:hyperlink w:history="1" r:id="rId49">
        <w:r w:rsidRPr="00952320">
          <w:rPr>
            <w:rStyle w:val="Hyperlink"/>
            <w:lang w:val="en"/>
          </w:rPr>
          <w:t>research</w:t>
        </w:r>
      </w:hyperlink>
      <w:r w:rsidR="00E1668E">
        <w:rPr>
          <w:rStyle w:val="FootnoteReference"/>
          <w:color w:val="0000FF"/>
          <w:u w:val="single"/>
          <w:lang w:val="en"/>
        </w:rPr>
        <w:footnoteReference w:id="6"/>
      </w:r>
      <w:r>
        <w:rPr>
          <w:lang w:val="en"/>
        </w:rPr>
        <w:t xml:space="preserve"> ultimately demonstrating that the NCVS can be enhanced to produce several types of subnational estimates. Since 2012, BJS has worked </w:t>
      </w:r>
      <w:r>
        <w:rPr>
          <w:lang w:val="en"/>
        </w:rPr>
        <w:lastRenderedPageBreak/>
        <w:t xml:space="preserve">with its grantees to develop various approaches for producing subnational victimization estimates, including </w:t>
      </w:r>
    </w:p>
    <w:p w:rsidR="00721F22" w:rsidP="00721F22" w:rsidRDefault="00721F22" w14:paraId="44D2931B" w14:textId="77777777">
      <w:pPr>
        <w:rPr>
          <w:lang w:val="en"/>
        </w:rPr>
      </w:pPr>
      <w:r>
        <w:rPr>
          <w:lang w:val="en"/>
        </w:rPr>
        <w:t xml:space="preserve">(1) Boosting the NCVS sample size in large states to obtain direct state-level estimates, </w:t>
      </w:r>
    </w:p>
    <w:p w:rsidR="00721F22" w:rsidP="00721F22" w:rsidRDefault="00721F22" w14:paraId="5D623C9D" w14:textId="77777777">
      <w:pPr>
        <w:rPr>
          <w:lang w:val="en"/>
        </w:rPr>
      </w:pPr>
      <w:r>
        <w:rPr>
          <w:lang w:val="en"/>
        </w:rPr>
        <w:t xml:space="preserve">(2) Using reweighting methodologies and existing NCVS data collected under the national design to obtain direct estimates in subnational areas, </w:t>
      </w:r>
    </w:p>
    <w:p w:rsidR="00721F22" w:rsidP="00721F22" w:rsidRDefault="00721F22" w14:paraId="1CBC29A8" w14:textId="77777777">
      <w:pPr>
        <w:rPr>
          <w:lang w:val="en"/>
        </w:rPr>
      </w:pPr>
      <w:r>
        <w:rPr>
          <w:lang w:val="en"/>
        </w:rPr>
        <w:t xml:space="preserve">(3) Modeling state-level estimates using existing NCVS sample and external sources of data, </w:t>
      </w:r>
    </w:p>
    <w:p w:rsidR="00721F22" w:rsidP="00721F22" w:rsidRDefault="00721F22" w14:paraId="7996C49B" w14:textId="77777777">
      <w:pPr>
        <w:rPr>
          <w:lang w:val="en"/>
        </w:rPr>
      </w:pPr>
      <w:r>
        <w:rPr>
          <w:lang w:val="en"/>
        </w:rPr>
        <w:t xml:space="preserve">(4) Creating generic areas with geocoded identifiers, and </w:t>
      </w:r>
    </w:p>
    <w:p w:rsidR="00721F22" w:rsidP="00721F22" w:rsidRDefault="00721F22" w14:paraId="28015F74" w14:textId="6E38D96F">
      <w:pPr>
        <w:rPr>
          <w:lang w:val="en"/>
        </w:rPr>
      </w:pPr>
      <w:r>
        <w:rPr>
          <w:lang w:val="en"/>
        </w:rPr>
        <w:t>(5) Generating a lower</w:t>
      </w:r>
      <w:r w:rsidR="00E8342A">
        <w:rPr>
          <w:lang w:val="en"/>
        </w:rPr>
        <w:t>-</w:t>
      </w:r>
      <w:r>
        <w:rPr>
          <w:lang w:val="en"/>
        </w:rPr>
        <w:t xml:space="preserve">cost alternative survey based on the NCVS for direct administration within subnational areas. </w:t>
      </w:r>
    </w:p>
    <w:p w:rsidR="00721F22" w:rsidP="00721F22" w:rsidRDefault="00721F22" w14:paraId="57B7A368" w14:textId="77777777">
      <w:pPr>
        <w:rPr>
          <w:lang w:val="en"/>
        </w:rPr>
      </w:pPr>
    </w:p>
    <w:p w:rsidR="00721F22" w:rsidP="00B75264" w:rsidRDefault="00721F22" w14:paraId="3B04A473" w14:textId="77777777">
      <w:pPr>
        <w:pStyle w:val="Heading4"/>
      </w:pPr>
      <w:r>
        <w:t>Direct Sample Boost</w:t>
      </w:r>
    </w:p>
    <w:p w:rsidR="006B4B90" w:rsidP="00721F22" w:rsidRDefault="00721F22" w14:paraId="347721A5" w14:textId="77777777">
      <w:pPr>
        <w:rPr>
          <w:lang w:val="en"/>
        </w:rPr>
      </w:pPr>
      <w:r>
        <w:rPr>
          <w:lang w:val="en"/>
        </w:rPr>
        <w:t xml:space="preserve">Beginning in 2016, BJS increased the size of the NCVS core sample in the 22 most populous states, based on preliminary findings from a boost pilot test. Concurrent with the sample boost, BJS also adjusted the allocation of the sample as needed within these 22 states to enhance the representativeness of the NCVS sample relative to the population within each of these states. Together, these changes were designed to enable production of state-level estimates of violent victimization for the 22 states and specific metropolitan areas within those states with three years of aggregated data. </w:t>
      </w:r>
    </w:p>
    <w:p w:rsidR="00721F22" w:rsidP="00721F22" w:rsidRDefault="00721F22" w14:paraId="3C25972F" w14:textId="340EBD0B">
      <w:pPr>
        <w:rPr>
          <w:lang w:val="en"/>
        </w:rPr>
      </w:pPr>
      <w:r>
        <w:rPr>
          <w:lang w:val="en"/>
        </w:rPr>
        <w:t xml:space="preserve">BJS decided to focus on the 22 most populous states based on the estimated sample size that would be needed to produce representative estimates with sufficient precision, while balancing the increased costs associated with a larger and more geographically diverse sample. The 22 states selected for the sample boost accounted for 79% of the total U.S. population and approximately 80% of violent crime reported in the FBI's </w:t>
      </w:r>
      <w:r>
        <w:rPr>
          <w:rStyle w:val="Emphasis"/>
          <w:rFonts w:ascii="Times New Roman" w:hAnsi="Times New Roman" w:cs="Times New Roman"/>
          <w:szCs w:val="24"/>
          <w:lang w:val="en"/>
        </w:rPr>
        <w:t>Part 1 Uniform Crime Reports</w:t>
      </w:r>
      <w:r>
        <w:rPr>
          <w:lang w:val="en"/>
        </w:rPr>
        <w:t>.</w:t>
      </w:r>
    </w:p>
    <w:p w:rsidR="00721F22" w:rsidP="00721F22" w:rsidRDefault="00721F22" w14:paraId="0925C3E3" w14:textId="0DD1F3D2">
      <w:pPr>
        <w:rPr>
          <w:lang w:val="en"/>
        </w:rPr>
      </w:pPr>
      <w:r>
        <w:rPr>
          <w:lang w:val="en"/>
        </w:rPr>
        <w:t xml:space="preserve">BJS is working to carefully examine and validate the initial three-year direct NCVS estimates and plans to produce a </w:t>
      </w:r>
      <w:r w:rsidRPr="00267C34">
        <w:rPr>
          <w:lang w:val="en"/>
        </w:rPr>
        <w:t>report</w:t>
      </w:r>
      <w:r>
        <w:rPr>
          <w:lang w:val="en"/>
        </w:rPr>
        <w:t xml:space="preserve"> on these data. </w:t>
      </w:r>
    </w:p>
    <w:p w:rsidRPr="00721F22" w:rsidR="00721F22" w:rsidP="00B75264" w:rsidRDefault="00721F22" w14:paraId="08D89ED4" w14:textId="77777777">
      <w:pPr>
        <w:pStyle w:val="Heading4"/>
      </w:pPr>
      <w:r w:rsidRPr="00721F22">
        <w:t>Direct Estimation with Reweighted Data</w:t>
      </w:r>
    </w:p>
    <w:p w:rsidRPr="00B75264" w:rsidR="00721F22" w:rsidP="00721F22" w:rsidRDefault="00721F22" w14:paraId="7951E9CD" w14:textId="79F90C7C">
      <w:pPr>
        <w:rPr>
          <w:rFonts w:cstheme="minorHAnsi"/>
          <w:szCs w:val="24"/>
          <w:lang w:val="en"/>
        </w:rPr>
      </w:pPr>
      <w:r w:rsidRPr="00B75264">
        <w:rPr>
          <w:rFonts w:cstheme="minorHAnsi"/>
          <w:szCs w:val="24"/>
          <w:lang w:val="en"/>
        </w:rPr>
        <w:t xml:space="preserve">To address the needs of data users and stakeholders for more localized victimization data and to allow for the evaluation of trends in victimization over time within subnational areas prior to the sample redesign in 2016, BJS </w:t>
      </w:r>
      <w:r w:rsidR="00597CD5">
        <w:rPr>
          <w:rFonts w:cstheme="minorHAnsi"/>
          <w:szCs w:val="24"/>
          <w:lang w:val="en"/>
        </w:rPr>
        <w:t xml:space="preserve">has </w:t>
      </w:r>
      <w:r w:rsidRPr="00B75264">
        <w:rPr>
          <w:rFonts w:cstheme="minorHAnsi"/>
          <w:szCs w:val="24"/>
          <w:lang w:val="en"/>
        </w:rPr>
        <w:t xml:space="preserve">explored the feasibility of producing subnational estimates for years prior to 2016 using reweighting methods. </w:t>
      </w:r>
      <w:r w:rsidR="00597CD5">
        <w:rPr>
          <w:rFonts w:cstheme="minorHAnsi"/>
          <w:szCs w:val="24"/>
          <w:lang w:val="en"/>
        </w:rPr>
        <w:t xml:space="preserve">Doing so </w:t>
      </w:r>
      <w:r w:rsidRPr="00B75264">
        <w:rPr>
          <w:rFonts w:cstheme="minorHAnsi"/>
          <w:szCs w:val="24"/>
          <w:lang w:val="en"/>
        </w:rPr>
        <w:t>involve</w:t>
      </w:r>
      <w:r w:rsidR="00597CD5">
        <w:rPr>
          <w:rFonts w:cstheme="minorHAnsi"/>
          <w:szCs w:val="24"/>
          <w:lang w:val="en"/>
        </w:rPr>
        <w:t>s</w:t>
      </w:r>
      <w:r w:rsidRPr="00B75264">
        <w:rPr>
          <w:rFonts w:cstheme="minorHAnsi"/>
          <w:szCs w:val="24"/>
          <w:lang w:val="en"/>
        </w:rPr>
        <w:t xml:space="preserve"> aggregating data from the national sample over multiple years and recalibrating the distribution of NCVS respondents within a particular subnational area (i.e., state or</w:t>
      </w:r>
      <w:r w:rsidR="00597CD5">
        <w:rPr>
          <w:rFonts w:cstheme="minorHAnsi"/>
          <w:szCs w:val="24"/>
          <w:lang w:val="en"/>
        </w:rPr>
        <w:t xml:space="preserve"> Metropolitan Statistical Area</w:t>
      </w:r>
      <w:r w:rsidRPr="00B75264">
        <w:rPr>
          <w:rFonts w:cstheme="minorHAnsi"/>
          <w:szCs w:val="24"/>
          <w:lang w:val="en"/>
        </w:rPr>
        <w:t xml:space="preserve"> </w:t>
      </w:r>
      <w:r w:rsidR="00597CD5">
        <w:rPr>
          <w:rFonts w:cstheme="minorHAnsi"/>
          <w:szCs w:val="24"/>
          <w:lang w:val="en"/>
        </w:rPr>
        <w:t>(</w:t>
      </w:r>
      <w:r w:rsidRPr="00B75264">
        <w:rPr>
          <w:rFonts w:cstheme="minorHAnsi"/>
          <w:szCs w:val="24"/>
          <w:lang w:val="en"/>
        </w:rPr>
        <w:t>MSA</w:t>
      </w:r>
      <w:r w:rsidR="00597CD5">
        <w:rPr>
          <w:rFonts w:cstheme="minorHAnsi"/>
          <w:szCs w:val="24"/>
          <w:lang w:val="en"/>
        </w:rPr>
        <w:t>)</w:t>
      </w:r>
      <w:r w:rsidRPr="00B75264">
        <w:rPr>
          <w:rFonts w:cstheme="minorHAnsi"/>
          <w:szCs w:val="24"/>
          <w:lang w:val="en"/>
        </w:rPr>
        <w:t>) for as many known demographic and socioeconomic characteristics as possible. Using this method, victimization estimates have been generated for the 11 largest states and MSAs from 2008-2015.</w:t>
      </w:r>
    </w:p>
    <w:p w:rsidR="00721F22" w:rsidP="00721F22" w:rsidRDefault="00721F22" w14:paraId="568365EB" w14:textId="5500999F">
      <w:pPr>
        <w:rPr>
          <w:rFonts w:ascii="Times New Roman" w:hAnsi="Times New Roman" w:cs="Times New Roman"/>
          <w:szCs w:val="24"/>
          <w:lang w:val="en"/>
        </w:rPr>
      </w:pPr>
      <w:r w:rsidRPr="00B75264">
        <w:rPr>
          <w:rFonts w:cstheme="minorHAnsi"/>
          <w:szCs w:val="24"/>
          <w:lang w:val="en"/>
        </w:rPr>
        <w:lastRenderedPageBreak/>
        <w:t xml:space="preserve">Additional information about the reweighting methodology and victimization estimates for MSAs and states are available in the BJS third-party report, </w:t>
      </w:r>
      <w:hyperlink w:history="1" r:id="rId50">
        <w:r w:rsidRPr="0065497D" w:rsidR="0065497D">
          <w:rPr>
            <w:rStyle w:val="Hyperlink"/>
            <w:rFonts w:cstheme="minorHAnsi"/>
            <w:i/>
            <w:szCs w:val="24"/>
            <w:lang w:val="en"/>
          </w:rPr>
          <w:t>Estimating Crime Victimization in Large States and MSAs Through Reweighting: Evaluation and Methodology</w:t>
        </w:r>
      </w:hyperlink>
      <w:r>
        <w:rPr>
          <w:rFonts w:ascii="Times New Roman" w:hAnsi="Times New Roman" w:cs="Times New Roman"/>
          <w:szCs w:val="24"/>
          <w:lang w:val="en"/>
        </w:rPr>
        <w:t xml:space="preserve">. </w:t>
      </w:r>
    </w:p>
    <w:p w:rsidRPr="00721F22" w:rsidR="00721F22" w:rsidP="00B75264" w:rsidRDefault="00721F22" w14:paraId="09E9B95F" w14:textId="77777777">
      <w:pPr>
        <w:pStyle w:val="Heading4"/>
      </w:pPr>
      <w:r w:rsidRPr="00721F22">
        <w:t>Model-Based Estimates</w:t>
      </w:r>
    </w:p>
    <w:p w:rsidRPr="00B75264" w:rsidR="00721F22" w:rsidP="00721F22" w:rsidRDefault="00721F22" w14:paraId="6679328C" w14:textId="1A16B7BE">
      <w:pPr>
        <w:rPr>
          <w:rFonts w:cstheme="minorHAnsi"/>
          <w:szCs w:val="24"/>
          <w:lang w:val="en"/>
        </w:rPr>
      </w:pPr>
      <w:r w:rsidRPr="00B75264">
        <w:rPr>
          <w:rFonts w:cstheme="minorHAnsi"/>
          <w:szCs w:val="24"/>
          <w:lang w:val="en"/>
        </w:rPr>
        <w:t>When direct estimation techniques are not feasible to employ due to insufficient sample sizes, the indirect</w:t>
      </w:r>
      <w:r w:rsidR="00196910">
        <w:rPr>
          <w:rFonts w:cstheme="minorHAnsi"/>
          <w:szCs w:val="24"/>
          <w:lang w:val="en"/>
        </w:rPr>
        <w:t>,</w:t>
      </w:r>
      <w:r w:rsidRPr="00B75264">
        <w:rPr>
          <w:rFonts w:cstheme="minorHAnsi"/>
          <w:szCs w:val="24"/>
          <w:lang w:val="en"/>
        </w:rPr>
        <w:t xml:space="preserve"> or model-based</w:t>
      </w:r>
      <w:r w:rsidR="00196910">
        <w:rPr>
          <w:rFonts w:cstheme="minorHAnsi"/>
          <w:szCs w:val="24"/>
          <w:lang w:val="en"/>
        </w:rPr>
        <w:t>,</w:t>
      </w:r>
      <w:r w:rsidRPr="00B75264">
        <w:rPr>
          <w:rFonts w:cstheme="minorHAnsi"/>
          <w:szCs w:val="24"/>
          <w:lang w:val="en"/>
        </w:rPr>
        <w:t xml:space="preserve"> estimation approach can be used to generate victimization estimates for subnational areas. The model-based approach leverages auxiliary data or data from different time periods to effectively increase the sample size by linking related small areas. Auxiliary data from the American Community Survey, the FBI's </w:t>
      </w:r>
      <w:r w:rsidRPr="00B75264">
        <w:rPr>
          <w:rStyle w:val="Emphasis"/>
          <w:rFonts w:cstheme="minorHAnsi"/>
          <w:szCs w:val="24"/>
          <w:lang w:val="en"/>
        </w:rPr>
        <w:t xml:space="preserve">Uniform Crime Reports, </w:t>
      </w:r>
      <w:r w:rsidRPr="008566AB">
        <w:rPr>
          <w:rStyle w:val="Emphasis"/>
          <w:rFonts w:cstheme="minorHAnsi"/>
          <w:i w:val="0"/>
          <w:szCs w:val="24"/>
          <w:lang w:val="en"/>
        </w:rPr>
        <w:t>and the decennial census have been used to augment the NCVS sample to generate model-based estimates of criminal victimization for all 50 states, DC, large metropolitan areas, and counties</w:t>
      </w:r>
      <w:r w:rsidRPr="00B75264">
        <w:rPr>
          <w:rStyle w:val="Emphasis"/>
          <w:rFonts w:cstheme="minorHAnsi"/>
          <w:szCs w:val="24"/>
          <w:lang w:val="en"/>
        </w:rPr>
        <w:t>.</w:t>
      </w:r>
    </w:p>
    <w:p w:rsidRPr="00B75264" w:rsidR="00721F22" w:rsidP="00721F22" w:rsidRDefault="00AF2A90" w14:paraId="5295182C" w14:textId="7493A3C0">
      <w:pPr>
        <w:rPr>
          <w:rFonts w:cstheme="minorHAnsi"/>
          <w:szCs w:val="24"/>
          <w:lang w:val="en"/>
        </w:rPr>
      </w:pPr>
      <w:r>
        <w:rPr>
          <w:rFonts w:cstheme="minorHAnsi"/>
          <w:szCs w:val="24"/>
          <w:lang w:val="en"/>
        </w:rPr>
        <w:t>Recent r</w:t>
      </w:r>
      <w:r w:rsidRPr="00B75264" w:rsidR="00721F22">
        <w:rPr>
          <w:rFonts w:cstheme="minorHAnsi"/>
          <w:szCs w:val="24"/>
          <w:lang w:val="en"/>
        </w:rPr>
        <w:t>eports using or describing the application of the model-based, or small area</w:t>
      </w:r>
      <w:r w:rsidR="00196910">
        <w:rPr>
          <w:rFonts w:cstheme="minorHAnsi"/>
          <w:szCs w:val="24"/>
          <w:lang w:val="en"/>
        </w:rPr>
        <w:t>,</w:t>
      </w:r>
      <w:r w:rsidRPr="00B75264" w:rsidR="00721F22">
        <w:rPr>
          <w:rFonts w:cstheme="minorHAnsi"/>
          <w:szCs w:val="24"/>
          <w:lang w:val="en"/>
        </w:rPr>
        <w:t xml:space="preserve"> estimation, methodology for NCVS data follow below:</w:t>
      </w:r>
    </w:p>
    <w:p w:rsidRPr="006B4B90" w:rsidR="00721F22" w:rsidP="006B4B90" w:rsidRDefault="00721F22" w14:paraId="3CCD3EBB" w14:textId="16817699">
      <w:pPr>
        <w:widowControl/>
        <w:numPr>
          <w:ilvl w:val="0"/>
          <w:numId w:val="7"/>
        </w:numPr>
        <w:autoSpaceDE/>
        <w:autoSpaceDN/>
        <w:adjustRightInd/>
        <w:spacing w:line="259" w:lineRule="auto"/>
        <w:rPr>
          <w:rFonts w:cstheme="minorHAnsi"/>
          <w:szCs w:val="24"/>
        </w:rPr>
      </w:pPr>
      <w:r w:rsidRPr="006B4B90">
        <w:rPr>
          <w:rFonts w:cstheme="minorHAnsi"/>
          <w:szCs w:val="24"/>
        </w:rPr>
        <w:t>Fay, R.E. (2021). </w:t>
      </w:r>
      <w:hyperlink w:history="1" r:id="rId51">
        <w:r w:rsidRPr="006B4B90">
          <w:rPr>
            <w:rStyle w:val="Hyperlink"/>
            <w:rFonts w:cstheme="minorHAnsi"/>
            <w:i/>
            <w:iCs/>
            <w:szCs w:val="24"/>
          </w:rPr>
          <w:t>Constructing and Disseminating Small Area Estimates from the National Crime Victimization Survey, 2007-2018</w:t>
        </w:r>
      </w:hyperlink>
      <w:r w:rsidRPr="006B4B90">
        <w:rPr>
          <w:rFonts w:cstheme="minorHAnsi"/>
          <w:szCs w:val="24"/>
        </w:rPr>
        <w:t>. Prepared for the Bureau of Justice Statistics. Washington, DC: Westat.</w:t>
      </w:r>
      <w:r w:rsidRPr="006B4B90" w:rsidR="006B4B90">
        <w:rPr>
          <w:rFonts w:cstheme="minorHAnsi"/>
          <w:szCs w:val="24"/>
        </w:rPr>
        <w:t xml:space="preserve"> </w:t>
      </w:r>
      <w:r w:rsidR="006B4B90">
        <w:rPr>
          <w:rFonts w:cstheme="minorHAnsi"/>
          <w:szCs w:val="24"/>
        </w:rPr>
        <w:t>This report</w:t>
      </w:r>
      <w:r w:rsidRPr="006B4B90" w:rsidR="006B4B90">
        <w:rPr>
          <w:rFonts w:cstheme="minorHAnsi"/>
          <w:szCs w:val="24"/>
        </w:rPr>
        <w:t xml:space="preserve"> feature</w:t>
      </w:r>
      <w:r w:rsidR="006B4B90">
        <w:rPr>
          <w:rFonts w:cstheme="minorHAnsi"/>
          <w:szCs w:val="24"/>
        </w:rPr>
        <w:t>d</w:t>
      </w:r>
      <w:r w:rsidRPr="006B4B90" w:rsidR="006B4B90">
        <w:rPr>
          <w:rFonts w:cstheme="minorHAnsi"/>
          <w:szCs w:val="24"/>
        </w:rPr>
        <w:t xml:space="preserve"> state-level estimates for an expanded set of characteristics that have been produced as 3-year averages for 2007–2018. </w:t>
      </w:r>
      <w:r w:rsidR="006B4B90">
        <w:rPr>
          <w:rFonts w:cstheme="minorHAnsi"/>
          <w:szCs w:val="24"/>
        </w:rPr>
        <w:t xml:space="preserve">It also </w:t>
      </w:r>
      <w:r w:rsidRPr="006B4B90" w:rsidR="006B4B90">
        <w:rPr>
          <w:rFonts w:cstheme="minorHAnsi"/>
          <w:szCs w:val="24"/>
        </w:rPr>
        <w:t>include</w:t>
      </w:r>
      <w:r w:rsidR="006B4B90">
        <w:rPr>
          <w:rFonts w:cstheme="minorHAnsi"/>
          <w:szCs w:val="24"/>
        </w:rPr>
        <w:t>d</w:t>
      </w:r>
      <w:r w:rsidRPr="006B4B90" w:rsidR="006B4B90">
        <w:rPr>
          <w:rFonts w:cstheme="minorHAnsi"/>
          <w:szCs w:val="24"/>
        </w:rPr>
        <w:t xml:space="preserve"> displays of the state estimates accompanied by a more simplified description for the interested public. </w:t>
      </w:r>
    </w:p>
    <w:p w:rsidRPr="00B75264" w:rsidR="00721F22" w:rsidP="00BA0B30" w:rsidRDefault="00721F22" w14:paraId="28EC513E" w14:textId="2B140DD7">
      <w:pPr>
        <w:widowControl/>
        <w:numPr>
          <w:ilvl w:val="0"/>
          <w:numId w:val="7"/>
        </w:numPr>
        <w:autoSpaceDE/>
        <w:autoSpaceDN/>
        <w:adjustRightInd/>
        <w:spacing w:line="259" w:lineRule="auto"/>
        <w:rPr>
          <w:rFonts w:cstheme="minorHAnsi"/>
          <w:szCs w:val="24"/>
        </w:rPr>
      </w:pPr>
      <w:r w:rsidRPr="00B75264">
        <w:rPr>
          <w:rFonts w:cstheme="minorHAnsi"/>
          <w:szCs w:val="24"/>
        </w:rPr>
        <w:t xml:space="preserve">Liao, D., Zimmer, S., </w:t>
      </w:r>
      <w:r w:rsidR="006B4B90">
        <w:rPr>
          <w:rFonts w:cstheme="minorHAnsi"/>
          <w:szCs w:val="24"/>
        </w:rPr>
        <w:t xml:space="preserve">&amp; </w:t>
      </w:r>
      <w:r w:rsidRPr="00B75264">
        <w:rPr>
          <w:rFonts w:cstheme="minorHAnsi"/>
          <w:szCs w:val="24"/>
        </w:rPr>
        <w:t>Berzofsky, M.</w:t>
      </w:r>
      <w:r w:rsidR="00F564AD">
        <w:rPr>
          <w:rFonts w:cstheme="minorHAnsi"/>
          <w:szCs w:val="24"/>
        </w:rPr>
        <w:t xml:space="preserve"> </w:t>
      </w:r>
      <w:r w:rsidRPr="00B75264">
        <w:rPr>
          <w:rFonts w:cstheme="minorHAnsi"/>
          <w:szCs w:val="24"/>
        </w:rPr>
        <w:t>(2021). </w:t>
      </w:r>
      <w:hyperlink w:history="1" r:id="rId52">
        <w:r w:rsidRPr="00B75264">
          <w:rPr>
            <w:rStyle w:val="Hyperlink"/>
            <w:rFonts w:cstheme="minorHAnsi"/>
            <w:i/>
            <w:iCs/>
            <w:szCs w:val="24"/>
          </w:rPr>
          <w:t>Small Area Estimation for the National Crime Victimization Survey: A Guide for Data Processing and Estimation Procedures</w:t>
        </w:r>
      </w:hyperlink>
      <w:r w:rsidRPr="00B75264">
        <w:rPr>
          <w:rFonts w:cstheme="minorHAnsi"/>
          <w:i/>
          <w:iCs/>
          <w:szCs w:val="24"/>
        </w:rPr>
        <w:t>. </w:t>
      </w:r>
      <w:r w:rsidRPr="00B75264">
        <w:rPr>
          <w:rFonts w:cstheme="minorHAnsi"/>
          <w:szCs w:val="24"/>
        </w:rPr>
        <w:t>Prepared for the Bureau of Justice Statistics. Washington, DC: RTI International.</w:t>
      </w:r>
    </w:p>
    <w:p w:rsidRPr="00721F22" w:rsidR="00721F22" w:rsidP="00B75264" w:rsidRDefault="00721F22" w14:paraId="5013F905" w14:textId="77777777">
      <w:pPr>
        <w:pStyle w:val="Heading4"/>
      </w:pPr>
      <w:r w:rsidRPr="00721F22">
        <w:t>Generic Area Estimates</w:t>
      </w:r>
    </w:p>
    <w:p w:rsidRPr="00B75264" w:rsidR="00721F22" w:rsidP="00721F22" w:rsidRDefault="00721F22" w14:paraId="29450E22" w14:textId="0583AF4E">
      <w:pPr>
        <w:rPr>
          <w:rFonts w:cstheme="minorHAnsi"/>
          <w:szCs w:val="24"/>
          <w:lang w:val="en"/>
        </w:rPr>
      </w:pPr>
      <w:r w:rsidRPr="00B75264">
        <w:rPr>
          <w:rFonts w:cstheme="minorHAnsi"/>
          <w:szCs w:val="24"/>
          <w:lang w:val="en"/>
        </w:rPr>
        <w:t>As part of the subnational program, BJS</w:t>
      </w:r>
      <w:r w:rsidR="00196910">
        <w:rPr>
          <w:rFonts w:cstheme="minorHAnsi"/>
          <w:szCs w:val="24"/>
          <w:lang w:val="en"/>
        </w:rPr>
        <w:t xml:space="preserve"> has also</w:t>
      </w:r>
      <w:r w:rsidRPr="00B75264">
        <w:rPr>
          <w:rFonts w:cstheme="minorHAnsi"/>
          <w:szCs w:val="24"/>
          <w:lang w:val="en"/>
        </w:rPr>
        <w:t xml:space="preserve"> evaluated the use of generic area typologies based on various geographic, social, economic, or demographic characteristics as a way to provide more localized information about criminal victimization. These generic areas are intended to represent all places that are similar to each other based on a particular set of characteristics (e.g., urban areas in the northeast with a population size of 1 million or more persons). The use of generic areas allows data users to identify the typology which best aligns with their primary area of interest and make relative comparisons against similar and different types of places from that perspective.</w:t>
      </w:r>
    </w:p>
    <w:p w:rsidRPr="00681D7C" w:rsidR="00721F22" w:rsidP="00EE7F2C" w:rsidRDefault="00196910" w14:paraId="755B9376" w14:textId="4B1802E3">
      <w:pPr>
        <w:rPr>
          <w:rStyle w:val="Hyperlink"/>
          <w:rFonts w:cstheme="minorHAnsi"/>
          <w:szCs w:val="24"/>
        </w:rPr>
      </w:pPr>
      <w:r>
        <w:rPr>
          <w:rFonts w:cstheme="minorHAnsi"/>
          <w:szCs w:val="24"/>
          <w:lang w:val="en"/>
        </w:rPr>
        <w:t>A r</w:t>
      </w:r>
      <w:r w:rsidRPr="00B75264" w:rsidR="00721F22">
        <w:rPr>
          <w:rFonts w:cstheme="minorHAnsi"/>
          <w:szCs w:val="24"/>
          <w:lang w:val="en"/>
        </w:rPr>
        <w:t xml:space="preserve">eport </w:t>
      </w:r>
      <w:r>
        <w:rPr>
          <w:rFonts w:cstheme="minorHAnsi"/>
          <w:szCs w:val="24"/>
          <w:lang w:val="en"/>
        </w:rPr>
        <w:t xml:space="preserve">that </w:t>
      </w:r>
      <w:r w:rsidRPr="00B75264" w:rsidR="00721F22">
        <w:rPr>
          <w:rFonts w:cstheme="minorHAnsi"/>
          <w:szCs w:val="24"/>
          <w:lang w:val="en"/>
        </w:rPr>
        <w:t>us</w:t>
      </w:r>
      <w:r>
        <w:rPr>
          <w:rFonts w:cstheme="minorHAnsi"/>
          <w:szCs w:val="24"/>
          <w:lang w:val="en"/>
        </w:rPr>
        <w:t>es</w:t>
      </w:r>
      <w:r w:rsidRPr="00B75264" w:rsidR="00721F22">
        <w:rPr>
          <w:rFonts w:cstheme="minorHAnsi"/>
          <w:szCs w:val="24"/>
          <w:lang w:val="en"/>
        </w:rPr>
        <w:t xml:space="preserve"> the application of the generic area approach for NCVS data follow </w:t>
      </w:r>
      <w:r>
        <w:rPr>
          <w:rFonts w:cstheme="minorHAnsi"/>
          <w:szCs w:val="24"/>
          <w:lang w:val="en"/>
        </w:rPr>
        <w:t xml:space="preserve">is BJS’ </w:t>
      </w:r>
      <w:r w:rsidR="00681D7C">
        <w:rPr>
          <w:rFonts w:cstheme="minorHAnsi"/>
          <w:i/>
          <w:iCs/>
          <w:szCs w:val="24"/>
        </w:rPr>
        <w:fldChar w:fldCharType="begin"/>
      </w:r>
      <w:r w:rsidR="00681D7C">
        <w:rPr>
          <w:rFonts w:cstheme="minorHAnsi"/>
          <w:i/>
          <w:iCs/>
          <w:szCs w:val="24"/>
        </w:rPr>
        <w:instrText xml:space="preserve"> HYPERLINK "https://bjs.ojp.gov/sites/g/files/xyckuh236/files/media/document/249467.pdf" </w:instrText>
      </w:r>
      <w:r w:rsidR="00681D7C">
        <w:rPr>
          <w:rFonts w:cstheme="minorHAnsi"/>
          <w:i/>
          <w:iCs/>
          <w:szCs w:val="24"/>
        </w:rPr>
        <w:fldChar w:fldCharType="separate"/>
      </w:r>
      <w:r w:rsidRPr="00681D7C" w:rsidR="00721F22">
        <w:rPr>
          <w:rStyle w:val="Hyperlink"/>
          <w:rFonts w:cstheme="minorHAnsi"/>
          <w:i/>
          <w:iCs/>
          <w:szCs w:val="24"/>
        </w:rPr>
        <w:t>Assessing the Coverage and Reliability of Subnational Geographic Identifiers in the NCVS Public-Use File</w:t>
      </w:r>
      <w:r w:rsidR="00343F84">
        <w:rPr>
          <w:rStyle w:val="Hyperlink"/>
          <w:rFonts w:cstheme="minorHAnsi"/>
          <w:i/>
          <w:iCs/>
          <w:szCs w:val="24"/>
        </w:rPr>
        <w:t>.</w:t>
      </w:r>
    </w:p>
    <w:p w:rsidRPr="00721F22" w:rsidR="00721F22" w:rsidP="00B75264" w:rsidRDefault="00681D7C" w14:paraId="5534FA58" w14:textId="00A21CEB">
      <w:pPr>
        <w:pStyle w:val="Heading4"/>
      </w:pPr>
      <w:r>
        <w:rPr>
          <w:rFonts w:asciiTheme="minorHAnsi" w:hAnsiTheme="minorHAnsi" w:cstheme="minorHAnsi"/>
          <w:iCs/>
          <w:color w:val="auto"/>
          <w:u w:val="none"/>
        </w:rPr>
        <w:lastRenderedPageBreak/>
        <w:fldChar w:fldCharType="end"/>
      </w:r>
      <w:r w:rsidRPr="00721F22" w:rsidR="00721F22">
        <w:t>Local Area Crime Survey Estimates</w:t>
      </w:r>
    </w:p>
    <w:p w:rsidRPr="00B75264" w:rsidR="00721F22" w:rsidP="00721F22" w:rsidRDefault="00721F22" w14:paraId="6C74F222" w14:textId="5C89BE41">
      <w:pPr>
        <w:rPr>
          <w:rFonts w:cstheme="minorHAnsi"/>
          <w:szCs w:val="24"/>
        </w:rPr>
      </w:pPr>
      <w:r w:rsidRPr="00B75264">
        <w:rPr>
          <w:rFonts w:cstheme="minorHAnsi"/>
          <w:szCs w:val="24"/>
          <w:lang w:val="en"/>
        </w:rPr>
        <w:t xml:space="preserve">Another avenue for producing subnational estimates of victimization explored by BJS as part of the subnational estimation program is through the administration of the Local Area Crime Survey (LACS). Using mail data collection procedures and a truncated instrument based on the NCVS, </w:t>
      </w:r>
      <w:r w:rsidR="00976315">
        <w:rPr>
          <w:rFonts w:cstheme="minorHAnsi"/>
          <w:szCs w:val="24"/>
          <w:lang w:val="en"/>
        </w:rPr>
        <w:t>the LACS</w:t>
      </w:r>
      <w:r w:rsidRPr="00B75264">
        <w:rPr>
          <w:rFonts w:cstheme="minorHAnsi"/>
          <w:szCs w:val="24"/>
          <w:lang w:val="en"/>
        </w:rPr>
        <w:t xml:space="preserve"> </w:t>
      </w:r>
      <w:r w:rsidR="009900B7">
        <w:rPr>
          <w:rFonts w:cstheme="minorHAnsi"/>
          <w:szCs w:val="24"/>
          <w:lang w:val="en"/>
        </w:rPr>
        <w:t>was</w:t>
      </w:r>
      <w:r w:rsidRPr="00B75264" w:rsidR="009900B7">
        <w:rPr>
          <w:rFonts w:cstheme="minorHAnsi"/>
          <w:szCs w:val="24"/>
          <w:lang w:val="en"/>
        </w:rPr>
        <w:t xml:space="preserve"> </w:t>
      </w:r>
      <w:r w:rsidRPr="00B75264">
        <w:rPr>
          <w:rFonts w:cstheme="minorHAnsi"/>
          <w:szCs w:val="24"/>
          <w:lang w:val="en"/>
        </w:rPr>
        <w:t xml:space="preserve">constructed to be relatively inexpensive so that they could be administered by states, MSAs, cities, or police jurisdictions. Victimization estimates produced from </w:t>
      </w:r>
      <w:r w:rsidR="00E96E9C">
        <w:rPr>
          <w:rFonts w:cstheme="minorHAnsi"/>
          <w:szCs w:val="24"/>
          <w:lang w:val="en"/>
        </w:rPr>
        <w:t>them</w:t>
      </w:r>
      <w:r w:rsidRPr="00B75264">
        <w:rPr>
          <w:rFonts w:cstheme="minorHAnsi"/>
          <w:szCs w:val="24"/>
          <w:lang w:val="en"/>
        </w:rPr>
        <w:t xml:space="preserve"> are designed to correlate with those from the core NCVS and to support estimates of change over time within an area as well as comparisons across areas. A field test evaluating the feasibility of the LACS was administered in the 40 largest core-based statistical areas (CBSAs) in 2015 and 2016.</w:t>
      </w:r>
      <w:r w:rsidR="00F564AD">
        <w:rPr>
          <w:rFonts w:cstheme="minorHAnsi"/>
          <w:szCs w:val="24"/>
          <w:lang w:val="en"/>
        </w:rPr>
        <w:t xml:space="preserve"> </w:t>
      </w:r>
    </w:p>
    <w:p w:rsidRPr="00B75264" w:rsidR="00721F22" w:rsidP="00721F22" w:rsidRDefault="00721F22" w14:paraId="5D79FF55" w14:textId="765AA237">
      <w:pPr>
        <w:rPr>
          <w:rFonts w:cstheme="minorHAnsi"/>
          <w:szCs w:val="24"/>
          <w:lang w:val="en"/>
        </w:rPr>
      </w:pPr>
      <w:r w:rsidRPr="00B75264">
        <w:rPr>
          <w:rFonts w:cstheme="minorHAnsi"/>
          <w:szCs w:val="24"/>
        </w:rPr>
        <w:t>The</w:t>
      </w:r>
      <w:r w:rsidRPr="00B75264">
        <w:rPr>
          <w:rFonts w:cstheme="minorHAnsi"/>
          <w:b/>
          <w:bCs/>
          <w:szCs w:val="24"/>
        </w:rPr>
        <w:t> </w:t>
      </w:r>
      <w:hyperlink w:history="1" r:id="rId53">
        <w:r w:rsidRPr="00B75264">
          <w:rPr>
            <w:rStyle w:val="Hyperlink"/>
            <w:rFonts w:cstheme="minorHAnsi"/>
            <w:bCs/>
            <w:szCs w:val="24"/>
          </w:rPr>
          <w:t>LACS survey kit</w:t>
        </w:r>
      </w:hyperlink>
      <w:r w:rsidRPr="00B75264">
        <w:rPr>
          <w:rFonts w:cstheme="minorHAnsi"/>
          <w:szCs w:val="24"/>
        </w:rPr>
        <w:t> includes survey questionnaires, a template for a request for proposals from survey vendors, and sample supporting materials from the Field Test. This document offers general guidance on how to use those materials to conduct the survey and analyze the results.</w:t>
      </w:r>
    </w:p>
    <w:p w:rsidRPr="00B75264" w:rsidR="00721F22" w:rsidP="00721F22" w:rsidRDefault="00721F22" w14:paraId="2C4538D2" w14:textId="478AD1A8">
      <w:pPr>
        <w:rPr>
          <w:rFonts w:cstheme="minorHAnsi"/>
          <w:szCs w:val="24"/>
          <w:lang w:val="en"/>
        </w:rPr>
      </w:pPr>
      <w:r w:rsidRPr="00B75264">
        <w:rPr>
          <w:rFonts w:cstheme="minorHAnsi"/>
          <w:szCs w:val="24"/>
          <w:lang w:val="en"/>
        </w:rPr>
        <w:t xml:space="preserve">Reports related to the LACS instrument and methodology </w:t>
      </w:r>
      <w:r w:rsidR="00D847AC">
        <w:rPr>
          <w:rFonts w:cstheme="minorHAnsi"/>
          <w:szCs w:val="24"/>
          <w:lang w:val="en"/>
        </w:rPr>
        <w:t>include</w:t>
      </w:r>
      <w:r w:rsidRPr="00B75264">
        <w:rPr>
          <w:rFonts w:cstheme="minorHAnsi"/>
          <w:szCs w:val="24"/>
          <w:lang w:val="en"/>
        </w:rPr>
        <w:t>:</w:t>
      </w:r>
    </w:p>
    <w:p w:rsidRPr="00131D08" w:rsidR="00721F22" w:rsidP="00BA0B30" w:rsidRDefault="00131D08" w14:paraId="76A19B11" w14:textId="1C4AC196">
      <w:pPr>
        <w:widowControl/>
        <w:numPr>
          <w:ilvl w:val="0"/>
          <w:numId w:val="9"/>
        </w:numPr>
        <w:autoSpaceDE/>
        <w:autoSpaceDN/>
        <w:adjustRightInd/>
        <w:rPr>
          <w:rStyle w:val="Hyperlink"/>
          <w:rFonts w:cstheme="minorHAnsi"/>
          <w:szCs w:val="24"/>
        </w:rPr>
      </w:pPr>
      <w:r>
        <w:rPr>
          <w:rFonts w:cstheme="minorHAnsi"/>
          <w:i/>
          <w:iCs/>
          <w:szCs w:val="24"/>
        </w:rPr>
        <w:fldChar w:fldCharType="begin"/>
      </w:r>
      <w:r>
        <w:rPr>
          <w:rFonts w:cstheme="minorHAnsi"/>
          <w:i/>
          <w:iCs/>
          <w:szCs w:val="24"/>
        </w:rPr>
        <w:instrText xml:space="preserve"> HYPERLINK "https://bjs.ojp.gov/sites/g/files/xyckuh236/files/media/document/ncvslacsftmr.pdf" </w:instrText>
      </w:r>
      <w:r>
        <w:rPr>
          <w:rFonts w:cstheme="minorHAnsi"/>
          <w:i/>
          <w:iCs/>
          <w:szCs w:val="24"/>
        </w:rPr>
        <w:fldChar w:fldCharType="separate"/>
      </w:r>
      <w:r w:rsidRPr="00131D08" w:rsidR="00721F22">
        <w:rPr>
          <w:rStyle w:val="Hyperlink"/>
          <w:rFonts w:cstheme="minorHAnsi"/>
          <w:i/>
          <w:iCs/>
          <w:szCs w:val="24"/>
        </w:rPr>
        <w:t>National Crime Victimization Survey Local-Area Crime Survey: Field Test Methodology Report</w:t>
      </w:r>
    </w:p>
    <w:p w:rsidRPr="00131D08" w:rsidR="00721F22" w:rsidP="00BA0B30" w:rsidRDefault="00131D08" w14:paraId="30C6BFA8" w14:textId="148139B1">
      <w:pPr>
        <w:widowControl/>
        <w:numPr>
          <w:ilvl w:val="0"/>
          <w:numId w:val="9"/>
        </w:numPr>
        <w:autoSpaceDE/>
        <w:autoSpaceDN/>
        <w:adjustRightInd/>
        <w:rPr>
          <w:rStyle w:val="Hyperlink"/>
          <w:rFonts w:cstheme="minorHAnsi"/>
          <w:szCs w:val="24"/>
        </w:rPr>
      </w:pPr>
      <w:r>
        <w:rPr>
          <w:rFonts w:cstheme="minorHAnsi"/>
          <w:i/>
          <w:iCs/>
          <w:szCs w:val="24"/>
        </w:rPr>
        <w:fldChar w:fldCharType="end"/>
      </w:r>
      <w:r>
        <w:rPr>
          <w:rFonts w:cstheme="minorHAnsi"/>
          <w:i/>
          <w:iCs/>
          <w:szCs w:val="24"/>
        </w:rPr>
        <w:fldChar w:fldCharType="begin"/>
      </w:r>
      <w:r>
        <w:rPr>
          <w:rFonts w:cstheme="minorHAnsi"/>
          <w:i/>
          <w:iCs/>
          <w:szCs w:val="24"/>
        </w:rPr>
        <w:instrText xml:space="preserve"> HYPERLINK "https://www.ojp.gov/pdffiles1/bjs/grants/252632.pdf" </w:instrText>
      </w:r>
      <w:r>
        <w:rPr>
          <w:rFonts w:cstheme="minorHAnsi"/>
          <w:i/>
          <w:iCs/>
          <w:szCs w:val="24"/>
        </w:rPr>
        <w:fldChar w:fldCharType="separate"/>
      </w:r>
      <w:r w:rsidRPr="00131D08" w:rsidR="00721F22">
        <w:rPr>
          <w:rStyle w:val="Hyperlink"/>
          <w:rFonts w:cstheme="minorHAnsi"/>
          <w:i/>
          <w:iCs/>
          <w:szCs w:val="24"/>
        </w:rPr>
        <w:t>National Crime Victimization Survey Local-Area Crime Survey Kit</w:t>
      </w:r>
    </w:p>
    <w:p w:rsidRPr="00131D08" w:rsidR="00721F22" w:rsidP="00BA0B30" w:rsidRDefault="00131D08" w14:paraId="53B359D6" w14:textId="4AE0CAE6">
      <w:pPr>
        <w:widowControl/>
        <w:numPr>
          <w:ilvl w:val="0"/>
          <w:numId w:val="9"/>
        </w:numPr>
        <w:autoSpaceDE/>
        <w:autoSpaceDN/>
        <w:adjustRightInd/>
        <w:rPr>
          <w:rStyle w:val="Hyperlink"/>
          <w:rFonts w:cstheme="minorHAnsi"/>
          <w:i/>
          <w:szCs w:val="24"/>
        </w:rPr>
      </w:pPr>
      <w:r>
        <w:rPr>
          <w:rFonts w:cstheme="minorHAnsi"/>
          <w:i/>
          <w:iCs/>
          <w:szCs w:val="24"/>
        </w:rPr>
        <w:fldChar w:fldCharType="end"/>
      </w:r>
      <w:r>
        <w:rPr>
          <w:rFonts w:cstheme="minorHAnsi"/>
          <w:i/>
          <w:szCs w:val="24"/>
        </w:rPr>
        <w:fldChar w:fldCharType="begin"/>
      </w:r>
      <w:r>
        <w:rPr>
          <w:rFonts w:cstheme="minorHAnsi"/>
          <w:i/>
          <w:szCs w:val="24"/>
        </w:rPr>
        <w:instrText xml:space="preserve"> HYPERLINK "https://www.ojp.gov/pdffiles1/bjs/grants/300768.pdf" </w:instrText>
      </w:r>
      <w:r>
        <w:rPr>
          <w:rFonts w:cstheme="minorHAnsi"/>
          <w:i/>
          <w:szCs w:val="24"/>
        </w:rPr>
        <w:fldChar w:fldCharType="separate"/>
      </w:r>
      <w:r w:rsidRPr="00131D08" w:rsidR="00721F22">
        <w:rPr>
          <w:rStyle w:val="Hyperlink"/>
          <w:rFonts w:cstheme="minorHAnsi"/>
          <w:i/>
          <w:szCs w:val="24"/>
        </w:rPr>
        <w:t>Measuring Resident Perceptions of Police and Community Safety: Findings from the Local-Area Crime Survey</w:t>
      </w:r>
    </w:p>
    <w:p w:rsidRPr="000000EB" w:rsidR="00DF355B" w:rsidP="00B8509A" w:rsidRDefault="00131D08" w14:paraId="228A3D5D" w14:textId="4985EE17">
      <w:pPr>
        <w:ind w:left="630"/>
        <w:rPr>
          <w:rFonts w:ascii="Calibri" w:hAnsi="Calibri" w:cs="Arial"/>
          <w:color w:val="000000"/>
          <w:szCs w:val="24"/>
        </w:rPr>
      </w:pPr>
      <w:r>
        <w:rPr>
          <w:rFonts w:cstheme="minorHAnsi"/>
          <w:i/>
          <w:szCs w:val="24"/>
        </w:rPr>
        <w:fldChar w:fldCharType="end"/>
      </w:r>
    </w:p>
    <w:p w:rsidRPr="00B40277" w:rsidR="00BA0B30" w:rsidP="00BA0B30" w:rsidRDefault="00BA0B30" w14:paraId="2C60CB5D" w14:textId="77777777">
      <w:pPr>
        <w:pStyle w:val="Heading3"/>
      </w:pPr>
      <w:r w:rsidRPr="00B40277">
        <w:t>Expand and enhance other sources of data related to the NCVS</w:t>
      </w:r>
    </w:p>
    <w:p w:rsidR="00343F84" w:rsidP="002F0BAC" w:rsidRDefault="00BA0B30" w14:paraId="68438CC8" w14:textId="77777777">
      <w:r w:rsidRPr="00D5440C" w:rsidDel="000732DE">
        <w:t xml:space="preserve">To supplement the NCVS data and further improve the responsiveness of the BJS Victimization Statistics Unit to priority victimization issues, BJS has also been working to develop new data collections or improve existing data collections related to victims that </w:t>
      </w:r>
      <w:r w:rsidDel="000732DE">
        <w:t xml:space="preserve">are </w:t>
      </w:r>
      <w:r w:rsidRPr="00D5440C" w:rsidDel="000732DE">
        <w:t xml:space="preserve">separate from the NCVS but can be used in conjunction with NCVS data. To this end, </w:t>
      </w:r>
      <w:r w:rsidR="008719D1">
        <w:t xml:space="preserve">BJS developed a new data collection on Victim Service Providers. </w:t>
      </w:r>
    </w:p>
    <w:p w:rsidR="008719D1" w:rsidP="002F0BAC" w:rsidRDefault="008719D1" w14:paraId="18667991" w14:textId="2B54B8E1">
      <w:r w:rsidRPr="008719D1">
        <w:t>Th</w:t>
      </w:r>
      <w:r>
        <w:t>is</w:t>
      </w:r>
      <w:r w:rsidRPr="008719D1">
        <w:t xml:space="preserve"> program works to address gaps in understanding of how victim services are provided, including</w:t>
      </w:r>
      <w:r>
        <w:t xml:space="preserve"> (1) </w:t>
      </w:r>
      <w:r w:rsidRPr="008719D1">
        <w:t>the organizations and agencies that make up the victim services field</w:t>
      </w:r>
      <w:r>
        <w:t xml:space="preserve">; (2) </w:t>
      </w:r>
      <w:r w:rsidRPr="008719D1">
        <w:t>how victim service providers (VSPs) are staffed, funded, and organized</w:t>
      </w:r>
      <w:r>
        <w:t xml:space="preserve">; (3) </w:t>
      </w:r>
      <w:r w:rsidRPr="008719D1">
        <w:t xml:space="preserve">the number of crime victims </w:t>
      </w:r>
      <w:r w:rsidR="009900B7">
        <w:t>who</w:t>
      </w:r>
      <w:r w:rsidRPr="008719D1" w:rsidR="009900B7">
        <w:t xml:space="preserve"> </w:t>
      </w:r>
      <w:r w:rsidRPr="008719D1">
        <w:t>VSPs serve each year</w:t>
      </w:r>
      <w:r>
        <w:t xml:space="preserve">; and (4) </w:t>
      </w:r>
      <w:r w:rsidRPr="008719D1">
        <w:t>the range of services offered and provider perceptions of gaps across the field</w:t>
      </w:r>
      <w:r>
        <w:t>.</w:t>
      </w:r>
      <w:r w:rsidR="002F0BAC">
        <w:t xml:space="preserve"> BJS recently published findings from the </w:t>
      </w:r>
      <w:hyperlink w:history="1" r:id="rId54">
        <w:r w:rsidRPr="00FB287E" w:rsidR="002F0BAC">
          <w:rPr>
            <w:rStyle w:val="Hyperlink"/>
          </w:rPr>
          <w:t>National Census of Victim Service Providers (NCVSP)</w:t>
        </w:r>
      </w:hyperlink>
      <w:r w:rsidR="002F0BAC">
        <w:t xml:space="preserve"> and</w:t>
      </w:r>
      <w:r w:rsidR="00BF42D1">
        <w:t xml:space="preserve"> will publish findings from </w:t>
      </w:r>
      <w:r w:rsidR="002F0BAC">
        <w:t>the National Survey of Victim Service Providers (NSVSP)</w:t>
      </w:r>
      <w:r w:rsidR="002C48ED">
        <w:t xml:space="preserve"> in </w:t>
      </w:r>
      <w:r w:rsidR="00343F84">
        <w:t xml:space="preserve">late </w:t>
      </w:r>
      <w:r w:rsidR="002C48ED">
        <w:t>2021</w:t>
      </w:r>
      <w:r w:rsidR="00343F84">
        <w:t xml:space="preserve"> or early 2022</w:t>
      </w:r>
      <w:r w:rsidR="002F0BAC">
        <w:t>. In FY2022, BJS will begin planning for the second cycle of the NCVSP.</w:t>
      </w:r>
    </w:p>
    <w:p w:rsidR="00BA0B30" w:rsidP="002F0BAC" w:rsidRDefault="00BA0B30" w14:paraId="2E526DCB" w14:textId="77777777">
      <w:r w:rsidRPr="00D5440C" w:rsidDel="000732DE">
        <w:t>These project</w:t>
      </w:r>
      <w:r w:rsidDel="000732DE">
        <w:t>s</w:t>
      </w:r>
      <w:r w:rsidRPr="00D5440C" w:rsidDel="000732DE">
        <w:t xml:space="preserve"> and data collections will enhance the information generated by the Victimization Statistics Unit and when used in conjunction with NCVS data, particularly at the subnational </w:t>
      </w:r>
      <w:r w:rsidRPr="00D5440C" w:rsidDel="000732DE">
        <w:lastRenderedPageBreak/>
        <w:t>level, will provide a more comprehensive picture of victimization and the response to victimization in the U</w:t>
      </w:r>
      <w:r w:rsidDel="000732DE">
        <w:t>.</w:t>
      </w:r>
      <w:r w:rsidRPr="00D5440C" w:rsidDel="000732DE">
        <w:t>S.</w:t>
      </w:r>
    </w:p>
    <w:p w:rsidRPr="000000EB" w:rsidR="00CF44FB" w:rsidP="00B8509A" w:rsidRDefault="00CF44FB" w14:paraId="2B4ACE7A" w14:textId="77777777">
      <w:pPr>
        <w:tabs>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right" w:pos="9180"/>
        </w:tabs>
        <w:ind w:left="540"/>
        <w:rPr>
          <w:rFonts w:ascii="Calibri" w:hAnsi="Calibri" w:cs="Arial"/>
          <w:color w:val="000000"/>
          <w:szCs w:val="24"/>
        </w:rPr>
      </w:pPr>
    </w:p>
    <w:p w:rsidRPr="00256E98" w:rsidR="00CF44FB" w:rsidP="00256E98" w:rsidRDefault="00EB28C4" w14:paraId="6FDFEDF7" w14:textId="77777777">
      <w:pPr>
        <w:pStyle w:val="Heading1"/>
      </w:pPr>
      <w:r w:rsidRPr="00256E98">
        <w:t>Use of Information Technology</w:t>
      </w:r>
    </w:p>
    <w:p w:rsidRPr="000000EB" w:rsidR="00CF44FB" w:rsidP="002F0BAC" w:rsidRDefault="00CF44FB" w14:paraId="7CB92027" w14:textId="39BA34EF">
      <w:pPr>
        <w:rPr>
          <w:color w:val="000000"/>
        </w:rPr>
      </w:pPr>
      <w:r w:rsidRPr="000000EB">
        <w:t xml:space="preserve">Respondents </w:t>
      </w:r>
      <w:r w:rsidRPr="000000EB" w:rsidR="00256D11">
        <w:t xml:space="preserve">to the NCVS </w:t>
      </w:r>
      <w:r w:rsidRPr="000000EB">
        <w:t>are individuals</w:t>
      </w:r>
      <w:r w:rsidRPr="000000EB" w:rsidR="00D61396">
        <w:t xml:space="preserve"> living in households</w:t>
      </w:r>
      <w:r w:rsidRPr="000000EB">
        <w:t>.</w:t>
      </w:r>
      <w:r w:rsidR="00F564AD">
        <w:t xml:space="preserve"> </w:t>
      </w:r>
      <w:r w:rsidRPr="000000EB">
        <w:t xml:space="preserve">The Census Bureau collects the data </w:t>
      </w:r>
      <w:r w:rsidR="00FE5F13">
        <w:t xml:space="preserve">using </w:t>
      </w:r>
      <w:r w:rsidRPr="000000EB">
        <w:t>in-person and telephon</w:t>
      </w:r>
      <w:r w:rsidRPr="000000EB" w:rsidR="005E7222">
        <w:t>e</w:t>
      </w:r>
      <w:r w:rsidRPr="000000EB">
        <w:t xml:space="preserve"> interviews.</w:t>
      </w:r>
      <w:r w:rsidR="00F564AD">
        <w:t xml:space="preserve"> </w:t>
      </w:r>
      <w:r w:rsidR="00FE5F13">
        <w:rPr>
          <w:color w:val="000000"/>
        </w:rPr>
        <w:t xml:space="preserve">The NCVS continues to use </w:t>
      </w:r>
      <w:r w:rsidRPr="000000EB" w:rsidR="004300E1">
        <w:rPr>
          <w:rFonts w:ascii="Calibri" w:hAnsi="Calibri" w:cs="Arial"/>
          <w:color w:val="000000"/>
          <w:szCs w:val="24"/>
        </w:rPr>
        <w:t>computer-assisted personal interviewing</w:t>
      </w:r>
      <w:r w:rsidR="004300E1">
        <w:rPr>
          <w:color w:val="000000"/>
        </w:rPr>
        <w:t xml:space="preserve"> (</w:t>
      </w:r>
      <w:r w:rsidR="00FE5F13">
        <w:rPr>
          <w:color w:val="000000"/>
        </w:rPr>
        <w:t>CAPI</w:t>
      </w:r>
      <w:r w:rsidR="004300E1">
        <w:rPr>
          <w:color w:val="000000"/>
        </w:rPr>
        <w:t>)</w:t>
      </w:r>
      <w:r w:rsidR="00FE5F13">
        <w:rPr>
          <w:color w:val="000000"/>
        </w:rPr>
        <w:t xml:space="preserve"> to reduce cost</w:t>
      </w:r>
      <w:r w:rsidR="004300E1">
        <w:rPr>
          <w:color w:val="000000"/>
        </w:rPr>
        <w:t xml:space="preserve">, </w:t>
      </w:r>
      <w:r w:rsidR="00FE5F13">
        <w:rPr>
          <w:color w:val="000000"/>
        </w:rPr>
        <w:t xml:space="preserve">improve data quality, </w:t>
      </w:r>
      <w:r w:rsidR="004300E1">
        <w:rPr>
          <w:color w:val="000000"/>
        </w:rPr>
        <w:t xml:space="preserve">and </w:t>
      </w:r>
      <w:r w:rsidR="00FE5F13">
        <w:rPr>
          <w:color w:val="000000"/>
        </w:rPr>
        <w:t>streamline</w:t>
      </w:r>
      <w:r w:rsidR="004300E1">
        <w:rPr>
          <w:color w:val="000000"/>
        </w:rPr>
        <w:t xml:space="preserve"> data</w:t>
      </w:r>
      <w:r w:rsidR="00FE5F13">
        <w:rPr>
          <w:color w:val="000000"/>
        </w:rPr>
        <w:t xml:space="preserve"> processing.</w:t>
      </w:r>
    </w:p>
    <w:p w:rsidRPr="000000EB" w:rsidR="00CF44FB" w:rsidP="009A43E3" w:rsidRDefault="00F564AD" w14:paraId="65136915" w14:textId="5F3FB14E">
      <w:pPr>
        <w:ind w:left="630"/>
        <w:rPr>
          <w:rFonts w:ascii="Calibri" w:hAnsi="Calibri" w:cs="Arial"/>
          <w:szCs w:val="24"/>
        </w:rPr>
      </w:pPr>
      <w:r>
        <w:rPr>
          <w:rFonts w:ascii="Calibri" w:hAnsi="Calibri" w:cs="Arial"/>
          <w:color w:val="000000"/>
          <w:szCs w:val="24"/>
        </w:rPr>
        <w:t xml:space="preserve"> </w:t>
      </w:r>
      <w:r>
        <w:rPr>
          <w:rFonts w:ascii="Calibri" w:hAnsi="Calibri" w:cs="Arial"/>
          <w:szCs w:val="24"/>
        </w:rPr>
        <w:t xml:space="preserve">  </w:t>
      </w:r>
      <w:r w:rsidRPr="000000EB" w:rsidR="00CF44FB">
        <w:rPr>
          <w:rFonts w:ascii="Calibri" w:hAnsi="Calibri" w:cs="Arial"/>
          <w:szCs w:val="24"/>
        </w:rPr>
        <w:t xml:space="preserve"> </w:t>
      </w:r>
    </w:p>
    <w:p w:rsidRPr="00256E98" w:rsidR="00CF44FB" w:rsidP="00256E98" w:rsidRDefault="00CF44FB" w14:paraId="34B340A4" w14:textId="77777777">
      <w:pPr>
        <w:pStyle w:val="Heading1"/>
      </w:pPr>
      <w:r w:rsidRPr="00256E98">
        <w:t>Efforts to Identify Duplication</w:t>
      </w:r>
    </w:p>
    <w:p w:rsidRPr="000000EB" w:rsidR="00FA5790" w:rsidP="002F0BAC" w:rsidRDefault="00CF44FB" w14:paraId="5BC3B0A3" w14:textId="77777777">
      <w:r w:rsidRPr="000000EB">
        <w:t xml:space="preserve">The NCVS does not duplicate any other effort in the field. </w:t>
      </w:r>
      <w:r w:rsidRPr="000000EB" w:rsidR="00FA5790">
        <w:t xml:space="preserve">There is no other omnibus survey that can be used to generate </w:t>
      </w:r>
      <w:r w:rsidR="00AD000D">
        <w:t xml:space="preserve">annual </w:t>
      </w:r>
      <w:r w:rsidRPr="000000EB" w:rsidR="00FA5790">
        <w:t>national statistics on a range of crimes and victim responses to crimes regardless of whether the victimization was reported to the police.</w:t>
      </w:r>
    </w:p>
    <w:p w:rsidRPr="000000EB" w:rsidR="0083598F" w:rsidP="002F0BAC" w:rsidRDefault="0011520E" w14:paraId="7D5C4DFA" w14:textId="77777777">
      <w:r w:rsidRPr="000000EB">
        <w:t>The FBI’s</w:t>
      </w:r>
      <w:r w:rsidRPr="000000EB" w:rsidR="00CF44FB">
        <w:t xml:space="preserve"> Uniform Crime Reports (UCR) data</w:t>
      </w:r>
      <w:r w:rsidRPr="000000EB" w:rsidR="00FA5790">
        <w:t xml:space="preserve"> covers a similar range of crimes</w:t>
      </w:r>
      <w:r w:rsidRPr="000000EB">
        <w:t xml:space="preserve"> as the NCVS</w:t>
      </w:r>
      <w:r w:rsidRPr="000000EB" w:rsidR="00FA5790">
        <w:t xml:space="preserve">, but is limited to only those </w:t>
      </w:r>
      <w:r w:rsidRPr="000000EB">
        <w:t xml:space="preserve">crimes </w:t>
      </w:r>
      <w:r w:rsidRPr="000000EB" w:rsidR="00FA5790">
        <w:t>known to the police</w:t>
      </w:r>
      <w:r w:rsidRPr="000000EB">
        <w:t xml:space="preserve">. The UCR data is also limited by a lack of information on the characteristics of victims and </w:t>
      </w:r>
      <w:r w:rsidR="00AD000D">
        <w:t>incidents</w:t>
      </w:r>
      <w:r w:rsidRPr="000000EB">
        <w:t xml:space="preserve">. </w:t>
      </w:r>
    </w:p>
    <w:p w:rsidRPr="000000EB" w:rsidR="00D704E1" w:rsidP="002F0BAC" w:rsidRDefault="003878E7" w14:paraId="59287E2F" w14:textId="41CE055C">
      <w:r w:rsidRPr="000000EB">
        <w:t xml:space="preserve">The </w:t>
      </w:r>
      <w:r w:rsidR="00E96E9C">
        <w:t xml:space="preserve">UCR program is transitioning from summary reporting of crimes to detailed data collection on individual incidents. The </w:t>
      </w:r>
      <w:r w:rsidRPr="000000EB">
        <w:t xml:space="preserve">National Incident-Based Reporting System </w:t>
      </w:r>
      <w:r w:rsidRPr="000000EB" w:rsidR="00200A78">
        <w:t xml:space="preserve">(NIBRS) </w:t>
      </w:r>
      <w:r w:rsidRPr="000000EB">
        <w:t>includes similar crimes as the NCVS</w:t>
      </w:r>
      <w:r w:rsidRPr="000000EB" w:rsidR="00200A78">
        <w:t xml:space="preserve"> (as well as a number of additional offense types) and collects basic demographic data on the age, sex, and race of </w:t>
      </w:r>
      <w:r w:rsidR="00AD000D">
        <w:t>victim</w:t>
      </w:r>
      <w:r w:rsidR="009900B7">
        <w:t>s</w:t>
      </w:r>
      <w:r w:rsidR="00AD000D">
        <w:t xml:space="preserve"> and </w:t>
      </w:r>
      <w:r w:rsidRPr="000000EB" w:rsidR="00200A78">
        <w:t>offenders. NIBRS</w:t>
      </w:r>
      <w:r w:rsidR="00D970E9">
        <w:t>,</w:t>
      </w:r>
      <w:r w:rsidRPr="00D970E9" w:rsidR="00D970E9">
        <w:t xml:space="preserve"> </w:t>
      </w:r>
      <w:r w:rsidR="00D970E9">
        <w:t>like the summary system long used by the FBI,</w:t>
      </w:r>
      <w:r w:rsidRPr="000000EB" w:rsidR="00D970E9">
        <w:t xml:space="preserve"> </w:t>
      </w:r>
      <w:r w:rsidRPr="000000EB" w:rsidR="00200A78">
        <w:t>includes only crimes known to police</w:t>
      </w:r>
      <w:r w:rsidRPr="000000EB" w:rsidR="00551795">
        <w:t>.</w:t>
      </w:r>
      <w:r w:rsidRPr="000000EB" w:rsidR="00200A78">
        <w:t xml:space="preserve"> It is also limited by a lack of information on the victi</w:t>
      </w:r>
      <w:r w:rsidRPr="000000EB" w:rsidR="00551795">
        <w:t>m</w:t>
      </w:r>
      <w:r w:rsidR="001816E2">
        <w:t>’s</w:t>
      </w:r>
      <w:r w:rsidRPr="000000EB" w:rsidR="00551795">
        <w:t xml:space="preserve"> response to criminal incidents. To date, </w:t>
      </w:r>
      <w:r w:rsidR="008C0F30">
        <w:t>about a third</w:t>
      </w:r>
      <w:r w:rsidRPr="000000EB" w:rsidR="00551795">
        <w:t xml:space="preserve"> of </w:t>
      </w:r>
      <w:r w:rsidR="008C0F30">
        <w:t xml:space="preserve">all </w:t>
      </w:r>
      <w:r w:rsidRPr="000000EB" w:rsidR="00551795">
        <w:t>law enforcement agencies report NIBRS data to the FBI.</w:t>
      </w:r>
      <w:r w:rsidRPr="000000EB" w:rsidR="00551795">
        <w:rPr>
          <w:rStyle w:val="FootnoteReference"/>
          <w:rFonts w:ascii="Calibri" w:hAnsi="Calibri" w:cs="Arial"/>
          <w:szCs w:val="24"/>
        </w:rPr>
        <w:footnoteReference w:id="7"/>
      </w:r>
      <w:r w:rsidRPr="000000EB" w:rsidR="00551795">
        <w:t xml:space="preserve"> The</w:t>
      </w:r>
      <w:r w:rsidR="008C0F30">
        <w:t>se</w:t>
      </w:r>
      <w:r w:rsidRPr="000000EB" w:rsidR="00551795">
        <w:t xml:space="preserve"> reporting agencies cover </w:t>
      </w:r>
      <w:r w:rsidR="008C0F30">
        <w:t>only a portion</w:t>
      </w:r>
      <w:r w:rsidRPr="000000EB" w:rsidR="00551795">
        <w:t xml:space="preserve"> of the population of the United States, meaning that the data are not nationally representative</w:t>
      </w:r>
      <w:r w:rsidR="00AD000D">
        <w:t>.</w:t>
      </w:r>
    </w:p>
    <w:p w:rsidRPr="000000EB" w:rsidR="00CF44FB" w:rsidP="00B8509A" w:rsidRDefault="00CF44FB" w14:paraId="017DAF6A" w14:textId="77777777">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Cs w:val="24"/>
        </w:rPr>
      </w:pPr>
    </w:p>
    <w:p w:rsidRPr="00256E98" w:rsidR="00CF44FB" w:rsidP="00256E98" w:rsidRDefault="008C0F30" w14:paraId="4DBF1CEB" w14:textId="77777777">
      <w:pPr>
        <w:pStyle w:val="Heading1"/>
      </w:pPr>
      <w:r w:rsidRPr="00256E98">
        <w:t xml:space="preserve">Efforts to </w:t>
      </w:r>
      <w:r w:rsidRPr="00256E98" w:rsidR="00CF44FB">
        <w:t>Minimiz</w:t>
      </w:r>
      <w:r w:rsidRPr="00256E98">
        <w:t>e</w:t>
      </w:r>
      <w:r w:rsidRPr="00256E98" w:rsidR="00CF44FB">
        <w:t xml:space="preserve"> Burden</w:t>
      </w:r>
    </w:p>
    <w:p w:rsidRPr="000000EB" w:rsidR="00CF44FB" w:rsidP="00B8509A" w:rsidRDefault="00CF44FB" w14:paraId="37C5520B" w14:textId="77777777">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Cs w:val="24"/>
        </w:rPr>
      </w:pPr>
    </w:p>
    <w:p w:rsidRPr="007D4260" w:rsidR="00CF44FB" w:rsidP="002F0BAC" w:rsidRDefault="00CF44FB" w14:paraId="27E939CD" w14:textId="2981F526">
      <w:r w:rsidRPr="007D4260">
        <w:t>N/A.</w:t>
      </w:r>
      <w:r w:rsidR="00F564AD">
        <w:t xml:space="preserve"> </w:t>
      </w:r>
      <w:r w:rsidRPr="007D4260">
        <w:t>The NCVS is a household-based sample and does not impact small businesses or small entities.</w:t>
      </w:r>
    </w:p>
    <w:p w:rsidR="002526D6" w:rsidRDefault="002526D6" w14:paraId="395B4417" w14:textId="4A691D5C">
      <w:pPr>
        <w:widowControl/>
        <w:autoSpaceDE/>
        <w:autoSpaceDN/>
        <w:adjustRightInd/>
        <w:spacing w:after="0"/>
        <w:rPr>
          <w:rFonts w:ascii="Calibri" w:hAnsi="Calibri" w:cs="Arial"/>
          <w:b/>
          <w:szCs w:val="24"/>
        </w:rPr>
      </w:pPr>
      <w:r>
        <w:rPr>
          <w:rFonts w:ascii="Calibri" w:hAnsi="Calibri" w:cs="Arial"/>
          <w:b/>
          <w:szCs w:val="24"/>
        </w:rPr>
        <w:br w:type="page"/>
      </w:r>
    </w:p>
    <w:p w:rsidRPr="00256E98" w:rsidR="00CF44FB" w:rsidP="00256E98" w:rsidRDefault="006922B9" w14:paraId="7D4FFF4B" w14:textId="77777777">
      <w:pPr>
        <w:pStyle w:val="Heading1"/>
      </w:pPr>
      <w:r w:rsidRPr="00256E98">
        <w:lastRenderedPageBreak/>
        <w:t xml:space="preserve"> </w:t>
      </w:r>
      <w:r w:rsidRPr="00256E98" w:rsidR="00CF44FB">
        <w:t>Consequences of Less Frequent Collection</w:t>
      </w:r>
    </w:p>
    <w:p w:rsidR="00343F84" w:rsidP="002F0BAC" w:rsidRDefault="0081301F" w14:paraId="1C722825" w14:textId="505B78E8">
      <w:r w:rsidRPr="007D4260">
        <w:t xml:space="preserve">There are several reasons why it is necessary to </w:t>
      </w:r>
      <w:r w:rsidR="001816E2">
        <w:t xml:space="preserve">conduct </w:t>
      </w:r>
      <w:r w:rsidR="009942C0">
        <w:t xml:space="preserve">an ongoing </w:t>
      </w:r>
      <w:r w:rsidRPr="007D4260">
        <w:t>collect</w:t>
      </w:r>
      <w:r w:rsidR="009942C0">
        <w:t xml:space="preserve">ion of the </w:t>
      </w:r>
      <w:r w:rsidRPr="007D4260">
        <w:t xml:space="preserve">NCVS data. First, </w:t>
      </w:r>
      <w:r w:rsidRPr="007D4260" w:rsidR="005E7222">
        <w:t>t</w:t>
      </w:r>
      <w:r w:rsidRPr="007D4260" w:rsidR="00CF44FB">
        <w:t>o produce a</w:t>
      </w:r>
      <w:r w:rsidRPr="007D4260" w:rsidR="005E7222">
        <w:t xml:space="preserve">nnual estimates </w:t>
      </w:r>
      <w:r w:rsidRPr="007D4260" w:rsidR="0076538C">
        <w:t>and track year-to-year change in crime</w:t>
      </w:r>
      <w:r w:rsidRPr="007D4260" w:rsidR="005E7222">
        <w:t xml:space="preserve">, </w:t>
      </w:r>
      <w:r w:rsidRPr="007D4260">
        <w:t>data must be collected</w:t>
      </w:r>
      <w:r w:rsidRPr="007D4260" w:rsidR="005E7222">
        <w:t xml:space="preserve"> </w:t>
      </w:r>
      <w:r w:rsidRPr="007D4260">
        <w:t xml:space="preserve">on an </w:t>
      </w:r>
      <w:r w:rsidRPr="007D4260" w:rsidR="005E7222">
        <w:t>ongoing basis.</w:t>
      </w:r>
      <w:r w:rsidRPr="007D4260" w:rsidR="00CF44FB">
        <w:t xml:space="preserve"> </w:t>
      </w:r>
      <w:r w:rsidRPr="007D4260">
        <w:t>Second, because of the relative</w:t>
      </w:r>
      <w:r w:rsidRPr="007D4260" w:rsidR="00294193">
        <w:t xml:space="preserve"> rarity of crime and declining crime rates, rolling averages often must be used to increase the precision of </w:t>
      </w:r>
      <w:r w:rsidRPr="007D4260" w:rsidR="00CA117E">
        <w:t xml:space="preserve">national </w:t>
      </w:r>
      <w:r w:rsidRPr="007D4260" w:rsidR="00294193">
        <w:t>estimates that are based on small</w:t>
      </w:r>
      <w:r w:rsidRPr="000000EB" w:rsidR="00294193">
        <w:t xml:space="preserve"> sample sizes</w:t>
      </w:r>
      <w:r w:rsidRPr="000000EB" w:rsidR="00A2559E">
        <w:t xml:space="preserve">, such as estimates for populations like </w:t>
      </w:r>
      <w:r w:rsidR="00DF37A0">
        <w:t>the elder</w:t>
      </w:r>
      <w:r w:rsidR="00AC1D84">
        <w:t>l</w:t>
      </w:r>
      <w:r w:rsidR="00DF37A0">
        <w:t>y</w:t>
      </w:r>
      <w:r w:rsidRPr="000000EB" w:rsidR="00F22069">
        <w:t xml:space="preserve"> and victims of sexual assault</w:t>
      </w:r>
      <w:r w:rsidRPr="000000EB" w:rsidR="00A2559E">
        <w:t>.</w:t>
      </w:r>
      <w:r w:rsidR="00F564AD">
        <w:t xml:space="preserve"> </w:t>
      </w:r>
    </w:p>
    <w:p w:rsidRPr="000000EB" w:rsidR="00C26617" w:rsidP="002F0BAC" w:rsidRDefault="0081301F" w14:paraId="0101D164" w14:textId="35E1A1EC">
      <w:r w:rsidRPr="000000EB">
        <w:t xml:space="preserve">Rolling averages are also necessary for generating </w:t>
      </w:r>
      <w:r w:rsidR="00DF37A0">
        <w:t xml:space="preserve">precise </w:t>
      </w:r>
      <w:r w:rsidRPr="000000EB">
        <w:t xml:space="preserve">state-level estimates of victimization. </w:t>
      </w:r>
      <w:r w:rsidR="009942C0">
        <w:t>T</w:t>
      </w:r>
      <w:r w:rsidRPr="000000EB" w:rsidR="00294193">
        <w:t xml:space="preserve">o produce rolling averages and generate victimization </w:t>
      </w:r>
      <w:r w:rsidRPr="000000EB">
        <w:t>estimates for subpopulations,</w:t>
      </w:r>
      <w:r w:rsidRPr="000000EB" w:rsidR="00294193">
        <w:t xml:space="preserve"> </w:t>
      </w:r>
      <w:r w:rsidRPr="000000EB" w:rsidR="00C26617">
        <w:t>specific crime character</w:t>
      </w:r>
      <w:r w:rsidRPr="000000EB">
        <w:t>istics, and at the state and local level</w:t>
      </w:r>
      <w:r w:rsidR="00506A84">
        <w:t>s</w:t>
      </w:r>
      <w:r w:rsidRPr="000000EB">
        <w:t>, annual data are necessary. Third, i</w:t>
      </w:r>
      <w:r w:rsidRPr="000000EB" w:rsidR="00EB2B79">
        <w:t>f the data w</w:t>
      </w:r>
      <w:r w:rsidRPr="000000EB" w:rsidR="004C3E3E">
        <w:t>ere</w:t>
      </w:r>
      <w:r w:rsidRPr="000000EB" w:rsidR="00EB2B79">
        <w:t xml:space="preserve"> collected at </w:t>
      </w:r>
      <w:r w:rsidRPr="000000EB" w:rsidR="004C3E3E">
        <w:t xml:space="preserve">a </w:t>
      </w:r>
      <w:r w:rsidRPr="000000EB" w:rsidR="00EB2B79">
        <w:t>single point</w:t>
      </w:r>
      <w:r w:rsidRPr="000000EB" w:rsidR="004C3E3E">
        <w:t xml:space="preserve"> in time</w:t>
      </w:r>
      <w:r w:rsidRPr="000000EB" w:rsidR="00EB2B79">
        <w:t xml:space="preserve"> biannually or annually rather than on a continuous basis, the survey would be </w:t>
      </w:r>
      <w:r w:rsidR="001816E2">
        <w:t>costlier</w:t>
      </w:r>
      <w:r w:rsidRPr="000000EB" w:rsidR="00EB2B79">
        <w:t xml:space="preserve"> due to start-up and </w:t>
      </w:r>
      <w:r w:rsidR="009942C0">
        <w:t xml:space="preserve">interviewer </w:t>
      </w:r>
      <w:r w:rsidRPr="000000EB" w:rsidR="00EB2B79">
        <w:t xml:space="preserve">training costs. </w:t>
      </w:r>
    </w:p>
    <w:p w:rsidRPr="000000EB" w:rsidR="00AF2A90" w:rsidP="002F0BAC" w:rsidRDefault="00724A93" w14:paraId="78CBC217" w14:textId="52FD3532">
      <w:r w:rsidRPr="000000EB">
        <w:rPr>
          <w:color w:val="000000"/>
        </w:rPr>
        <w:t xml:space="preserve">If the NCVS program were discontinued or conducted on a less frequent basis, executive and legislative branch policymakers would no longer have </w:t>
      </w:r>
      <w:r w:rsidRPr="000000EB" w:rsidR="00DC55CE">
        <w:rPr>
          <w:color w:val="000000"/>
        </w:rPr>
        <w:t>detailed crime and victimization data, including the demographic, victim response, and incident characteristic information</w:t>
      </w:r>
      <w:r w:rsidRPr="000000EB">
        <w:rPr>
          <w:color w:val="000000"/>
        </w:rPr>
        <w:t xml:space="preserve"> </w:t>
      </w:r>
      <w:r w:rsidRPr="000000EB" w:rsidR="00DC55CE">
        <w:rPr>
          <w:color w:val="000000"/>
        </w:rPr>
        <w:t xml:space="preserve">not collected through the FBI, </w:t>
      </w:r>
      <w:r w:rsidRPr="000000EB">
        <w:rPr>
          <w:color w:val="000000"/>
        </w:rPr>
        <w:t>available when making deci</w:t>
      </w:r>
      <w:r w:rsidRPr="000000EB" w:rsidR="00DC55CE">
        <w:rPr>
          <w:color w:val="000000"/>
        </w:rPr>
        <w:t>sions o</w:t>
      </w:r>
      <w:r w:rsidR="009942C0">
        <w:rPr>
          <w:color w:val="000000"/>
        </w:rPr>
        <w:t>r</w:t>
      </w:r>
      <w:r w:rsidRPr="000000EB" w:rsidR="00DC55CE">
        <w:rPr>
          <w:color w:val="000000"/>
        </w:rPr>
        <w:t xml:space="preserve"> formulating legislation</w:t>
      </w:r>
      <w:r w:rsidRPr="000000EB">
        <w:rPr>
          <w:color w:val="000000"/>
        </w:rPr>
        <w:t xml:space="preserve">. </w:t>
      </w:r>
      <w:r w:rsidRPr="000000EB" w:rsidR="00DC55CE">
        <w:rPr>
          <w:color w:val="000000"/>
        </w:rPr>
        <w:t xml:space="preserve">Additionally, </w:t>
      </w:r>
      <w:r w:rsidRPr="000000EB">
        <w:rPr>
          <w:color w:val="000000"/>
        </w:rPr>
        <w:t>there would b</w:t>
      </w:r>
      <w:r w:rsidRPr="000000EB" w:rsidR="00DC55CE">
        <w:rPr>
          <w:color w:val="000000"/>
        </w:rPr>
        <w:t>e no reliable measure of change</w:t>
      </w:r>
      <w:r w:rsidRPr="000000EB">
        <w:rPr>
          <w:color w:val="000000"/>
        </w:rPr>
        <w:t xml:space="preserve"> in the rate of serious crime for the United States that include</w:t>
      </w:r>
      <w:r w:rsidRPr="000000EB" w:rsidR="00DC55CE">
        <w:rPr>
          <w:color w:val="000000"/>
        </w:rPr>
        <w:t>s</w:t>
      </w:r>
      <w:r w:rsidRPr="000000EB">
        <w:rPr>
          <w:color w:val="000000"/>
        </w:rPr>
        <w:t xml:space="preserve"> crimes not </w:t>
      </w:r>
      <w:r w:rsidRPr="000000EB" w:rsidR="00DC55CE">
        <w:rPr>
          <w:color w:val="000000"/>
        </w:rPr>
        <w:t>known</w:t>
      </w:r>
      <w:r w:rsidRPr="000000EB">
        <w:t xml:space="preserve"> to the police.</w:t>
      </w:r>
      <w:r w:rsidRPr="000000EB" w:rsidR="00EB2B79">
        <w:t xml:space="preserve"> </w:t>
      </w:r>
    </w:p>
    <w:p w:rsidRPr="00256E98" w:rsidR="00CF44FB" w:rsidP="00256E98" w:rsidRDefault="00CF44FB" w14:paraId="228C49E3" w14:textId="77777777">
      <w:pPr>
        <w:pStyle w:val="Heading1"/>
      </w:pPr>
      <w:r w:rsidRPr="00256E98">
        <w:t>Special Circumstances</w:t>
      </w:r>
    </w:p>
    <w:p w:rsidRPr="000000EB" w:rsidR="00CF44FB" w:rsidP="002F0BAC" w:rsidRDefault="00CF44FB" w14:paraId="7AFB5C55" w14:textId="2C0DBC25">
      <w:r w:rsidRPr="000000EB">
        <w:t>N/A.</w:t>
      </w:r>
      <w:r w:rsidR="00F564AD">
        <w:t xml:space="preserve"> </w:t>
      </w:r>
      <w:r w:rsidRPr="000000EB">
        <w:t>Collection is consistent with the guidelines in 5 CFR 1320.9.</w:t>
      </w:r>
    </w:p>
    <w:p w:rsidRPr="000000EB" w:rsidR="00CF44FB" w:rsidP="00B8509A" w:rsidRDefault="00CF44FB" w14:paraId="1812250A" w14:textId="77777777">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Cs w:val="24"/>
        </w:rPr>
      </w:pPr>
    </w:p>
    <w:p w:rsidRPr="00256E98" w:rsidR="00CF44FB" w:rsidP="00256E98" w:rsidRDefault="0096305C" w14:paraId="0B23A35D" w14:textId="77777777">
      <w:pPr>
        <w:pStyle w:val="Heading1"/>
      </w:pPr>
      <w:r w:rsidRPr="00256E98">
        <w:t>Adherence to 5 CFR 1320.8(d) and Outside Consultations</w:t>
      </w:r>
    </w:p>
    <w:p w:rsidR="0096305C" w:rsidP="00F30ECC" w:rsidRDefault="00F86068" w14:paraId="713ED922" w14:textId="63B6FB49">
      <w:r w:rsidRPr="002F47E2">
        <w:t xml:space="preserve">The research under this clearance is consistent with the guidelines in 5 CFR 1320.6 </w:t>
      </w:r>
      <w:r w:rsidR="00912D78">
        <w:t>and 5 CFR 1320.8(d).</w:t>
      </w:r>
      <w:r w:rsidRPr="002F47E2">
        <w:t xml:space="preserve"> Comments on </w:t>
      </w:r>
      <w:r w:rsidR="00533C9F">
        <w:t>the overall NCVS</w:t>
      </w:r>
      <w:r w:rsidRPr="002F47E2" w:rsidR="00533C9F">
        <w:t xml:space="preserve"> </w:t>
      </w:r>
      <w:r w:rsidRPr="002F47E2">
        <w:t xml:space="preserve">data collection effort were solicited </w:t>
      </w:r>
      <w:r w:rsidRPr="002F47E2" w:rsidR="00764D46">
        <w:t xml:space="preserve">in the Federal Register, </w:t>
      </w:r>
      <w:r w:rsidRPr="002F47E2" w:rsidR="0066766A">
        <w:t>Vol.</w:t>
      </w:r>
      <w:r w:rsidR="008B5FA5">
        <w:t xml:space="preserve"> 86</w:t>
      </w:r>
      <w:r w:rsidRPr="002F47E2" w:rsidR="0066766A">
        <w:t xml:space="preserve">, No. </w:t>
      </w:r>
      <w:r w:rsidR="008B5FA5">
        <w:t>121</w:t>
      </w:r>
      <w:r w:rsidR="00772936">
        <w:t>, pages 34046-34047</w:t>
      </w:r>
      <w:r w:rsidR="00436BF8">
        <w:t xml:space="preserve"> </w:t>
      </w:r>
      <w:r w:rsidRPr="002F47E2" w:rsidR="0066766A">
        <w:t xml:space="preserve">on </w:t>
      </w:r>
      <w:r w:rsidR="008B5FA5">
        <w:t>June 28, 2021</w:t>
      </w:r>
      <w:r w:rsidR="00772936">
        <w:t>.</w:t>
      </w:r>
      <w:r w:rsidR="008B5FA5">
        <w:t xml:space="preserve"> </w:t>
      </w:r>
      <w:r w:rsidRPr="002E0A36" w:rsidR="003C23D6">
        <w:rPr>
          <w:szCs w:val="24"/>
        </w:rPr>
        <w:t>Following the publication of the 60-day notice,</w:t>
      </w:r>
      <w:r w:rsidRPr="009A43E3" w:rsidR="007B6991">
        <w:t xml:space="preserve"> the follow</w:t>
      </w:r>
      <w:r w:rsidRPr="009A43E3" w:rsidR="0096305C">
        <w:t>ing</w:t>
      </w:r>
      <w:r w:rsidRPr="009A43E3" w:rsidR="007B6991">
        <w:t xml:space="preserve"> comments </w:t>
      </w:r>
      <w:r w:rsidR="007F3BB7">
        <w:t xml:space="preserve">and requests </w:t>
      </w:r>
      <w:r w:rsidRPr="009A43E3" w:rsidR="007B6991">
        <w:t>were received:</w:t>
      </w:r>
    </w:p>
    <w:p w:rsidRPr="009508E1" w:rsidR="006475CC" w:rsidP="006475CC" w:rsidRDefault="006475CC" w14:paraId="1FADD4E1" w14:textId="77777777">
      <w:pPr>
        <w:pStyle w:val="ListParagraph"/>
        <w:numPr>
          <w:ilvl w:val="0"/>
          <w:numId w:val="14"/>
        </w:numPr>
        <w:rPr>
          <w:sz w:val="24"/>
          <w:szCs w:val="24"/>
        </w:rPr>
      </w:pPr>
      <w:r w:rsidRPr="009508E1">
        <w:rPr>
          <w:sz w:val="24"/>
          <w:szCs w:val="24"/>
        </w:rPr>
        <w:t xml:space="preserve">2 comments in support of the continued administration of the NCVS - 1 each from Min Xie at the University of Maryland and Ellen Cohn at Florida International University. </w:t>
      </w:r>
    </w:p>
    <w:p w:rsidRPr="009508E1" w:rsidR="006475CC" w:rsidP="006475CC" w:rsidRDefault="006475CC" w14:paraId="6ACC8205" w14:textId="1D38E271">
      <w:pPr>
        <w:pStyle w:val="ListParagraph"/>
        <w:numPr>
          <w:ilvl w:val="0"/>
          <w:numId w:val="14"/>
        </w:numPr>
        <w:rPr>
          <w:sz w:val="24"/>
          <w:szCs w:val="24"/>
        </w:rPr>
      </w:pPr>
      <w:r w:rsidRPr="009508E1">
        <w:rPr>
          <w:sz w:val="24"/>
          <w:szCs w:val="24"/>
        </w:rPr>
        <w:t xml:space="preserve">1 comment in support of the continued administration of the NCVS and a suggestion to implement online data collection for the NCVS from Tara Martin at the University of Arkansas at Little Rock. BJS is already researching methods to improve estimation of subpopulations with the NCVS. </w:t>
      </w:r>
    </w:p>
    <w:p w:rsidRPr="009508E1" w:rsidR="006475CC" w:rsidP="006475CC" w:rsidRDefault="006475CC" w14:paraId="42A4E231" w14:textId="77777777">
      <w:pPr>
        <w:pStyle w:val="ListParagraph"/>
        <w:numPr>
          <w:ilvl w:val="0"/>
          <w:numId w:val="14"/>
        </w:numPr>
        <w:rPr>
          <w:sz w:val="24"/>
          <w:szCs w:val="24"/>
        </w:rPr>
      </w:pPr>
      <w:r w:rsidRPr="009508E1">
        <w:rPr>
          <w:sz w:val="24"/>
          <w:szCs w:val="24"/>
        </w:rPr>
        <w:t>1 request for the draft of the supporting statement and NCVS instrument from Andrew Reamer from the American Economic Association. A copy of the instrument and a copy of the supporting statement from the last approved OMB clearance package for the NCVS were sent in response.</w:t>
      </w:r>
    </w:p>
    <w:p w:rsidRPr="009508E1" w:rsidR="006475CC" w:rsidP="006475CC" w:rsidRDefault="006475CC" w14:paraId="4A864CB0" w14:textId="77777777">
      <w:pPr>
        <w:pStyle w:val="ListParagraph"/>
        <w:numPr>
          <w:ilvl w:val="0"/>
          <w:numId w:val="14"/>
        </w:numPr>
        <w:rPr>
          <w:sz w:val="24"/>
          <w:szCs w:val="24"/>
        </w:rPr>
      </w:pPr>
      <w:r w:rsidRPr="009508E1">
        <w:rPr>
          <w:sz w:val="24"/>
          <w:szCs w:val="24"/>
        </w:rPr>
        <w:lastRenderedPageBreak/>
        <w:t>1 request for the instrument from Denise Dougherty from Adolescents and Children Together for Health. A copy of the instrument was sent in response.</w:t>
      </w:r>
    </w:p>
    <w:p w:rsidR="00AF2A90" w:rsidP="002F0BAC" w:rsidRDefault="003C23D6" w14:paraId="02194250" w14:textId="4DF9B6D0">
      <w:r w:rsidRPr="003C23D6">
        <w:t>The 30-day notice for public commentary was published in the Federal Register</w:t>
      </w:r>
      <w:r w:rsidRPr="00772936" w:rsidR="00772936">
        <w:t xml:space="preserve"> </w:t>
      </w:r>
      <w:r w:rsidRPr="002F47E2" w:rsidR="00772936">
        <w:t>Vol.</w:t>
      </w:r>
      <w:r w:rsidR="00772936">
        <w:t xml:space="preserve"> 86</w:t>
      </w:r>
      <w:r w:rsidRPr="002F47E2" w:rsidR="00772936">
        <w:t xml:space="preserve">, No. </w:t>
      </w:r>
      <w:r w:rsidR="00772936">
        <w:t xml:space="preserve">179, page 52207 </w:t>
      </w:r>
      <w:r w:rsidRPr="002F47E2" w:rsidR="00772936">
        <w:t xml:space="preserve">on </w:t>
      </w:r>
      <w:r w:rsidR="00772936">
        <w:t>September 20, 2021</w:t>
      </w:r>
      <w:r w:rsidR="00DE1772">
        <w:t xml:space="preserve"> </w:t>
      </w:r>
      <w:r w:rsidRPr="003C23D6">
        <w:t>simultaneously with the submission of this OMB package.</w:t>
      </w:r>
    </w:p>
    <w:p w:rsidRPr="00912D78" w:rsidR="0096305C" w:rsidP="002F0BAC" w:rsidRDefault="002369B1" w14:paraId="1B2F3FC1" w14:textId="3593CC81">
      <w:r w:rsidRPr="00912D78">
        <w:t xml:space="preserve">Outside </w:t>
      </w:r>
      <w:r w:rsidR="00055B19">
        <w:t>C</w:t>
      </w:r>
      <w:r w:rsidRPr="00912D78">
        <w:t>onsultation</w:t>
      </w:r>
      <w:r w:rsidR="00C11A04">
        <w:t>s</w:t>
      </w:r>
      <w:r w:rsidRPr="00912D78">
        <w:t>:</w:t>
      </w:r>
    </w:p>
    <w:p w:rsidRPr="00A71435" w:rsidR="00567FD4" w:rsidP="00B72E0E" w:rsidRDefault="00847ABF" w14:paraId="352E51C1" w14:textId="7DAAD3C5">
      <w:pPr>
        <w:rPr>
          <w:rFonts w:ascii="Calibri" w:hAnsi="Calibri" w:cs="Arial"/>
          <w:szCs w:val="24"/>
        </w:rPr>
      </w:pPr>
      <w:r w:rsidRPr="000000EB">
        <w:rPr>
          <w:rFonts w:ascii="Calibri" w:hAnsi="Calibri" w:cs="Arial"/>
        </w:rPr>
        <w:t xml:space="preserve">In the process of </w:t>
      </w:r>
      <w:r w:rsidRPr="000000EB" w:rsidR="0066766A">
        <w:rPr>
          <w:rFonts w:ascii="Calibri" w:hAnsi="Calibri" w:cs="Arial"/>
        </w:rPr>
        <w:t>develo</w:t>
      </w:r>
      <w:r w:rsidRPr="000000EB" w:rsidR="006F68D6">
        <w:rPr>
          <w:rFonts w:ascii="Calibri" w:hAnsi="Calibri" w:cs="Arial"/>
        </w:rPr>
        <w:t>ping the subnational program, increasing the efficiency and productivity of the survey methodology, and redesigning and modernizing the survey instrument,</w:t>
      </w:r>
      <w:r w:rsidRPr="000000EB" w:rsidR="0066766A">
        <w:rPr>
          <w:rFonts w:ascii="Calibri" w:hAnsi="Calibri" w:cs="Arial"/>
        </w:rPr>
        <w:t xml:space="preserve"> </w:t>
      </w:r>
      <w:r w:rsidRPr="000000EB">
        <w:rPr>
          <w:rFonts w:ascii="Calibri" w:hAnsi="Calibri" w:cs="Arial"/>
        </w:rPr>
        <w:t>BJS consult</w:t>
      </w:r>
      <w:r w:rsidR="00B14D26">
        <w:rPr>
          <w:rFonts w:ascii="Calibri" w:hAnsi="Calibri" w:cs="Arial"/>
        </w:rPr>
        <w:t>s</w:t>
      </w:r>
      <w:r w:rsidRPr="000000EB">
        <w:rPr>
          <w:rFonts w:ascii="Calibri" w:hAnsi="Calibri" w:cs="Arial"/>
        </w:rPr>
        <w:t xml:space="preserve"> with a </w:t>
      </w:r>
      <w:r w:rsidR="00B14D26">
        <w:rPr>
          <w:rFonts w:ascii="Calibri" w:hAnsi="Calibri" w:cs="Arial"/>
        </w:rPr>
        <w:t>variety</w:t>
      </w:r>
      <w:r w:rsidRPr="000000EB" w:rsidR="00B14D26">
        <w:rPr>
          <w:rFonts w:ascii="Calibri" w:hAnsi="Calibri" w:cs="Arial"/>
        </w:rPr>
        <w:t xml:space="preserve"> </w:t>
      </w:r>
      <w:r w:rsidRPr="000000EB">
        <w:rPr>
          <w:rFonts w:ascii="Calibri" w:hAnsi="Calibri" w:cs="Arial"/>
        </w:rPr>
        <w:t xml:space="preserve">of data users, as well as </w:t>
      </w:r>
      <w:r w:rsidR="001816E2">
        <w:rPr>
          <w:rFonts w:ascii="Calibri" w:hAnsi="Calibri" w:cs="Arial"/>
        </w:rPr>
        <w:t xml:space="preserve">the </w:t>
      </w:r>
      <w:r w:rsidRPr="000000EB">
        <w:rPr>
          <w:rFonts w:ascii="Calibri" w:hAnsi="Calibri" w:cs="Arial"/>
        </w:rPr>
        <w:t xml:space="preserve">federal government and outside experts with knowledge and experience in </w:t>
      </w:r>
      <w:r w:rsidRPr="000000EB" w:rsidR="006F68D6">
        <w:rPr>
          <w:rFonts w:ascii="Calibri" w:hAnsi="Calibri" w:cs="Arial"/>
        </w:rPr>
        <w:t xml:space="preserve">criminal justice research and </w:t>
      </w:r>
      <w:r w:rsidRPr="000000EB">
        <w:rPr>
          <w:rFonts w:ascii="Calibri" w:hAnsi="Calibri" w:cs="Arial"/>
        </w:rPr>
        <w:t xml:space="preserve">survey methodology. </w:t>
      </w:r>
    </w:p>
    <w:p w:rsidRPr="000000EB" w:rsidR="00B857E9" w:rsidP="00B8509A" w:rsidRDefault="00B857E9" w14:paraId="2BEE3A58" w14:textId="77777777">
      <w:pPr>
        <w:ind w:left="630"/>
        <w:rPr>
          <w:rFonts w:ascii="Calibri" w:hAnsi="Calibri"/>
          <w:szCs w:val="24"/>
        </w:rPr>
      </w:pPr>
    </w:p>
    <w:p w:rsidRPr="00256E98" w:rsidR="00CF44FB" w:rsidP="00256E98" w:rsidRDefault="00CF44FB" w14:paraId="6D411835" w14:textId="77777777">
      <w:pPr>
        <w:pStyle w:val="Heading1"/>
      </w:pPr>
      <w:r w:rsidRPr="00256E98">
        <w:t>Paying Respondents</w:t>
      </w:r>
    </w:p>
    <w:p w:rsidRPr="000000EB" w:rsidR="00CF44FB" w:rsidP="002F0BAC" w:rsidRDefault="00CF44FB" w14:paraId="754AAC13" w14:textId="25F79004">
      <w:r w:rsidRPr="000000EB">
        <w:t>N/A.</w:t>
      </w:r>
      <w:r w:rsidR="00F564AD">
        <w:t xml:space="preserve"> </w:t>
      </w:r>
      <w:r w:rsidRPr="000000EB">
        <w:t xml:space="preserve">Payment or gifts to respondents </w:t>
      </w:r>
      <w:r w:rsidRPr="000000EB" w:rsidR="005D7A99">
        <w:t>are</w:t>
      </w:r>
      <w:r w:rsidRPr="000000EB">
        <w:t xml:space="preserve"> not provided in return for participation in the survey.</w:t>
      </w:r>
    </w:p>
    <w:p w:rsidRPr="000000EB" w:rsidR="00CF44FB" w:rsidP="00B8509A" w:rsidRDefault="00CF44FB" w14:paraId="4CB85ACC" w14:textId="77777777">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b/>
          <w:szCs w:val="24"/>
        </w:rPr>
      </w:pPr>
    </w:p>
    <w:p w:rsidRPr="00256E98" w:rsidR="00CF44FB" w:rsidP="002526D6" w:rsidRDefault="00CF44FB" w14:paraId="578034BA" w14:textId="77777777">
      <w:pPr>
        <w:pStyle w:val="Heading1"/>
      </w:pPr>
      <w:r w:rsidRPr="00256E98">
        <w:t>Assurance of Confidentiality</w:t>
      </w:r>
    </w:p>
    <w:p w:rsidRPr="000000EB" w:rsidR="00CF44FB" w:rsidP="002526D6" w:rsidRDefault="00CF44FB" w14:paraId="2A73366E" w14:textId="1522B2C5">
      <w:pPr>
        <w:pStyle w:val="BodyTextIndent3"/>
        <w:tabs>
          <w:tab w:val="clear" w:pos="630"/>
          <w:tab w:val="left" w:pos="0"/>
        </w:tabs>
        <w:ind w:left="0" w:firstLine="0"/>
        <w:rPr>
          <w:rFonts w:ascii="Calibri" w:hAnsi="Calibri" w:cs="Arial"/>
        </w:rPr>
      </w:pPr>
      <w:r w:rsidRPr="000000EB">
        <w:rPr>
          <w:rFonts w:ascii="Calibri" w:hAnsi="Calibri" w:cs="Arial"/>
        </w:rPr>
        <w:t>All NCVS information about individuals or hou</w:t>
      </w:r>
      <w:r w:rsidRPr="000000EB" w:rsidR="002A23DC">
        <w:rPr>
          <w:rFonts w:ascii="Calibri" w:hAnsi="Calibri" w:cs="Arial"/>
        </w:rPr>
        <w:t xml:space="preserve">seholds is confidential by law under </w:t>
      </w:r>
      <w:r w:rsidRPr="000000EB">
        <w:rPr>
          <w:rFonts w:ascii="Calibri" w:hAnsi="Calibri" w:cs="Arial"/>
        </w:rPr>
        <w:t xml:space="preserve">Title </w:t>
      </w:r>
      <w:r w:rsidR="00940325">
        <w:rPr>
          <w:rFonts w:ascii="Calibri" w:hAnsi="Calibri" w:cs="Arial"/>
        </w:rPr>
        <w:t>34</w:t>
      </w:r>
      <w:r w:rsidRPr="000000EB">
        <w:rPr>
          <w:rFonts w:ascii="Calibri" w:hAnsi="Calibri" w:cs="Arial"/>
        </w:rPr>
        <w:t xml:space="preserve">, United States Code, Sections </w:t>
      </w:r>
      <w:r w:rsidR="00940325">
        <w:rPr>
          <w:rFonts w:ascii="Calibri" w:hAnsi="Calibri" w:cs="Arial"/>
        </w:rPr>
        <w:t>10231</w:t>
      </w:r>
      <w:r w:rsidRPr="000000EB">
        <w:rPr>
          <w:rFonts w:ascii="Calibri" w:hAnsi="Calibri" w:cs="Arial"/>
        </w:rPr>
        <w:t xml:space="preserve"> and </w:t>
      </w:r>
      <w:r w:rsidR="00940325">
        <w:rPr>
          <w:rFonts w:ascii="Calibri" w:hAnsi="Calibri" w:cs="Arial"/>
        </w:rPr>
        <w:t>10134</w:t>
      </w:r>
      <w:r w:rsidRPr="000000EB">
        <w:rPr>
          <w:rFonts w:ascii="Calibri" w:hAnsi="Calibri" w:cs="Arial"/>
        </w:rPr>
        <w:t xml:space="preserve"> and Title 13, United States Code, Section 9. </w:t>
      </w:r>
      <w:r w:rsidRPr="00B9034B" w:rsidR="00B9034B">
        <w:rPr>
          <w:rFonts w:ascii="Calibri" w:hAnsi="Calibri" w:cs="Arial"/>
        </w:rPr>
        <w:t>By law, the Census Bureau is not permitted to publicly release survey responses in a way that could identify survey r</w:t>
      </w:r>
      <w:r w:rsidR="00B9034B">
        <w:rPr>
          <w:rFonts w:ascii="Calibri" w:hAnsi="Calibri" w:cs="Arial"/>
        </w:rPr>
        <w:t xml:space="preserve">espondents or their households. </w:t>
      </w:r>
      <w:r w:rsidRPr="000000EB">
        <w:rPr>
          <w:rFonts w:ascii="Calibri" w:hAnsi="Calibri" w:cs="Arial"/>
        </w:rPr>
        <w:t xml:space="preserve">Census Bureau employees </w:t>
      </w:r>
      <w:r w:rsidR="00B9034B">
        <w:rPr>
          <w:rFonts w:ascii="Calibri" w:hAnsi="Calibri" w:cs="Arial"/>
        </w:rPr>
        <w:t xml:space="preserve">who may see the survey responses are </w:t>
      </w:r>
      <w:r w:rsidRPr="000000EB">
        <w:rPr>
          <w:rFonts w:ascii="Calibri" w:hAnsi="Calibri" w:cs="Arial"/>
        </w:rPr>
        <w:t xml:space="preserve">sworn to preserve this confidentiality. Even </w:t>
      </w:r>
      <w:r w:rsidRPr="000000EB" w:rsidR="00E22984">
        <w:rPr>
          <w:rFonts w:ascii="Calibri" w:hAnsi="Calibri" w:cs="Arial"/>
        </w:rPr>
        <w:t>BJS</w:t>
      </w:r>
      <w:r w:rsidRPr="000000EB">
        <w:rPr>
          <w:rFonts w:ascii="Calibri" w:hAnsi="Calibri" w:cs="Arial"/>
        </w:rPr>
        <w:t xml:space="preserve">, as the sponsor of the survey, is not authorized to see or handle the data in its raw form. All unique and identifying information is scrambled or suppressed before it is </w:t>
      </w:r>
      <w:r w:rsidRPr="000000EB" w:rsidR="00CF74E3">
        <w:rPr>
          <w:rFonts w:ascii="Calibri" w:hAnsi="Calibri" w:cs="Arial"/>
        </w:rPr>
        <w:t>provided</w:t>
      </w:r>
      <w:r w:rsidRPr="000000EB">
        <w:rPr>
          <w:rFonts w:ascii="Calibri" w:hAnsi="Calibri" w:cs="Arial"/>
        </w:rPr>
        <w:t xml:space="preserve"> to </w:t>
      </w:r>
      <w:r w:rsidRPr="000000EB" w:rsidR="00E22984">
        <w:rPr>
          <w:rFonts w:ascii="Calibri" w:hAnsi="Calibri" w:cs="Arial"/>
        </w:rPr>
        <w:t>BJS</w:t>
      </w:r>
      <w:r w:rsidRPr="000000EB">
        <w:rPr>
          <w:rFonts w:ascii="Calibri" w:hAnsi="Calibri" w:cs="Arial"/>
        </w:rPr>
        <w:t xml:space="preserve"> to analyze. Data </w:t>
      </w:r>
      <w:r w:rsidRPr="000000EB" w:rsidR="00CF74E3">
        <w:rPr>
          <w:rFonts w:ascii="Calibri" w:hAnsi="Calibri" w:cs="Arial"/>
        </w:rPr>
        <w:t>are</w:t>
      </w:r>
      <w:r w:rsidRPr="000000EB">
        <w:rPr>
          <w:rFonts w:ascii="Calibri" w:hAnsi="Calibri" w:cs="Arial"/>
        </w:rPr>
        <w:t xml:space="preserve"> maintained in secure environments and in restricted access locations within the Census Bureau. All data </w:t>
      </w:r>
      <w:r w:rsidRPr="000000EB" w:rsidR="00CF74E3">
        <w:rPr>
          <w:rFonts w:ascii="Calibri" w:hAnsi="Calibri" w:cs="Arial"/>
        </w:rPr>
        <w:t>provided</w:t>
      </w:r>
      <w:r w:rsidRPr="000000EB">
        <w:rPr>
          <w:rFonts w:ascii="Calibri" w:hAnsi="Calibri" w:cs="Arial"/>
        </w:rPr>
        <w:t xml:space="preserve"> to </w:t>
      </w:r>
      <w:r w:rsidRPr="000000EB" w:rsidR="00E22984">
        <w:rPr>
          <w:rFonts w:ascii="Calibri" w:hAnsi="Calibri" w:cs="Arial"/>
        </w:rPr>
        <w:t>BJS</w:t>
      </w:r>
      <w:r w:rsidRPr="000000EB">
        <w:rPr>
          <w:rFonts w:ascii="Calibri" w:hAnsi="Calibri" w:cs="Arial"/>
        </w:rPr>
        <w:t xml:space="preserve"> must meet the confidentiality requirements set forth by the Disclosure Review Board at the Census Bureau.</w:t>
      </w:r>
    </w:p>
    <w:p w:rsidRPr="000000EB" w:rsidR="00CF44FB" w:rsidP="002526D6" w:rsidRDefault="00CF44FB" w14:paraId="7ADC2720" w14:textId="40E63071">
      <w:pPr>
        <w:pStyle w:val="BodyTextIndent3"/>
        <w:tabs>
          <w:tab w:val="clear" w:pos="630"/>
          <w:tab w:val="left" w:pos="0"/>
        </w:tabs>
        <w:ind w:left="0" w:firstLine="0"/>
        <w:rPr>
          <w:rFonts w:ascii="Calibri" w:hAnsi="Calibri" w:cs="Arial"/>
        </w:rPr>
      </w:pPr>
      <w:r w:rsidRPr="000000EB">
        <w:rPr>
          <w:rFonts w:ascii="Calibri" w:hAnsi="Calibri" w:cs="Arial"/>
        </w:rPr>
        <w:t xml:space="preserve">In a letter </w:t>
      </w:r>
      <w:r w:rsidR="00B9034B">
        <w:rPr>
          <w:rFonts w:ascii="Calibri" w:hAnsi="Calibri" w:cs="Arial"/>
        </w:rPr>
        <w:t>from</w:t>
      </w:r>
      <w:r w:rsidRPr="000000EB">
        <w:rPr>
          <w:rFonts w:ascii="Calibri" w:hAnsi="Calibri" w:cs="Arial"/>
        </w:rPr>
        <w:t xml:space="preserve"> the Director of the Census Bureau</w:t>
      </w:r>
      <w:r w:rsidR="00225F79">
        <w:rPr>
          <w:rFonts w:ascii="Calibri" w:hAnsi="Calibri" w:cs="Arial"/>
        </w:rPr>
        <w:t xml:space="preserve"> (NCVS-572(L) Attachment 16)</w:t>
      </w:r>
      <w:r w:rsidRPr="000000EB">
        <w:rPr>
          <w:rFonts w:ascii="Calibri" w:hAnsi="Calibri" w:cs="Arial"/>
        </w:rPr>
        <w:t xml:space="preserve">, sent to all </w:t>
      </w:r>
      <w:r w:rsidR="00B9034B">
        <w:rPr>
          <w:rFonts w:ascii="Calibri" w:hAnsi="Calibri" w:cs="Arial"/>
        </w:rPr>
        <w:t>households</w:t>
      </w:r>
      <w:r w:rsidRPr="000000EB">
        <w:rPr>
          <w:rFonts w:ascii="Calibri" w:hAnsi="Calibri" w:cs="Arial"/>
        </w:rPr>
        <w:t xml:space="preserve"> in the survey, respondents are informed of th</w:t>
      </w:r>
      <w:r w:rsidR="00B9034B">
        <w:rPr>
          <w:rFonts w:ascii="Calibri" w:hAnsi="Calibri" w:cs="Arial"/>
        </w:rPr>
        <w:t>ese</w:t>
      </w:r>
      <w:r w:rsidRPr="000000EB">
        <w:rPr>
          <w:rFonts w:ascii="Calibri" w:hAnsi="Calibri" w:cs="Arial"/>
        </w:rPr>
        <w:t xml:space="preserve"> law</w:t>
      </w:r>
      <w:r w:rsidR="00B9034B">
        <w:rPr>
          <w:rFonts w:ascii="Calibri" w:hAnsi="Calibri" w:cs="Arial"/>
        </w:rPr>
        <w:t>s</w:t>
      </w:r>
      <w:r w:rsidRPr="000000EB">
        <w:rPr>
          <w:rFonts w:ascii="Calibri" w:hAnsi="Calibri" w:cs="Arial"/>
        </w:rPr>
        <w:t xml:space="preserve"> and assured that it requires the Census Bureau to keep all information provided by the respondent confidential. The letter also informs respondents that this is a voluntary survey.</w:t>
      </w:r>
      <w:r w:rsidR="00F564AD">
        <w:rPr>
          <w:rFonts w:ascii="Calibri" w:hAnsi="Calibri" w:cs="Arial"/>
        </w:rPr>
        <w:t xml:space="preserve"> </w:t>
      </w:r>
      <w:r w:rsidRPr="000000EB">
        <w:rPr>
          <w:rFonts w:ascii="Calibri" w:hAnsi="Calibri" w:cs="Arial"/>
        </w:rPr>
        <w:t>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w:t>
      </w:r>
      <w:r w:rsidR="00F564AD">
        <w:rPr>
          <w:rFonts w:ascii="Calibri" w:hAnsi="Calibri" w:cs="Arial"/>
        </w:rPr>
        <w:t xml:space="preserve"> </w:t>
      </w:r>
    </w:p>
    <w:p w:rsidR="002526D6" w:rsidRDefault="002526D6" w14:paraId="6AD6006A" w14:textId="59DD25C8">
      <w:pPr>
        <w:widowControl/>
        <w:autoSpaceDE/>
        <w:autoSpaceDN/>
        <w:adjustRightInd/>
        <w:spacing w:after="0"/>
        <w:rPr>
          <w:rFonts w:ascii="Calibri" w:hAnsi="Calibri" w:cs="Arial"/>
          <w:szCs w:val="24"/>
        </w:rPr>
      </w:pPr>
      <w:r>
        <w:rPr>
          <w:rFonts w:ascii="Calibri" w:hAnsi="Calibri" w:cs="Arial"/>
        </w:rPr>
        <w:br w:type="page"/>
      </w:r>
    </w:p>
    <w:p w:rsidRPr="000000EB" w:rsidR="00CF44FB" w:rsidP="00B8509A" w:rsidRDefault="00CF44FB" w14:paraId="13FF557B" w14:textId="77777777">
      <w:pPr>
        <w:pStyle w:val="BodyTextIndent3"/>
        <w:rPr>
          <w:rFonts w:ascii="Calibri" w:hAnsi="Calibri" w:cs="Arial"/>
        </w:rPr>
      </w:pPr>
    </w:p>
    <w:p w:rsidRPr="00256E98" w:rsidR="00CF44FB" w:rsidP="00256E98" w:rsidRDefault="00CF44FB" w14:paraId="2EDAE436" w14:textId="77777777">
      <w:pPr>
        <w:pStyle w:val="Heading1"/>
      </w:pPr>
      <w:r w:rsidRPr="00256E98">
        <w:t>Justification for Sensitive Questions</w:t>
      </w:r>
    </w:p>
    <w:p w:rsidRPr="000000EB" w:rsidR="00CF44FB" w:rsidP="00B8509A" w:rsidRDefault="00CF44FB" w14:paraId="1E71AF48" w14:textId="77777777">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Cs w:val="24"/>
        </w:rPr>
      </w:pPr>
    </w:p>
    <w:p w:rsidRPr="000000EB" w:rsidR="00CF44FB" w:rsidP="002526D6" w:rsidRDefault="00CF44FB" w14:paraId="0A5E1176" w14:textId="36D99459">
      <w:pPr>
        <w:widowControl/>
        <w:numPr>
          <w:ilvl w:val="12"/>
          <w:numId w:val="0"/>
        </w:numPr>
        <w:tabs>
          <w:tab w:val="left" w:pos="-720"/>
          <w:tab w:val="left" w:pos="0"/>
          <w:tab w:val="left" w:pos="90"/>
          <w:tab w:val="left" w:pos="180"/>
          <w:tab w:val="left" w:pos="270"/>
          <w:tab w:val="left" w:pos="45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Cs w:val="24"/>
        </w:rPr>
      </w:pPr>
      <w:r w:rsidRPr="000000EB">
        <w:rPr>
          <w:rFonts w:ascii="Calibri" w:hAnsi="Calibri" w:cs="Arial"/>
          <w:szCs w:val="24"/>
        </w:rPr>
        <w:t xml:space="preserve">The NCVS asks about experiences </w:t>
      </w:r>
      <w:r w:rsidRPr="000000EB" w:rsidR="00F86068">
        <w:rPr>
          <w:rFonts w:ascii="Calibri" w:hAnsi="Calibri" w:cs="Arial"/>
          <w:szCs w:val="24"/>
        </w:rPr>
        <w:t xml:space="preserve">such as rape </w:t>
      </w:r>
      <w:r w:rsidR="002369B1">
        <w:rPr>
          <w:rFonts w:ascii="Calibri" w:hAnsi="Calibri" w:cs="Arial"/>
          <w:szCs w:val="24"/>
        </w:rPr>
        <w:t xml:space="preserve">and other types of victimization </w:t>
      </w:r>
      <w:r w:rsidRPr="000000EB">
        <w:rPr>
          <w:rFonts w:ascii="Calibri" w:hAnsi="Calibri" w:cs="Arial"/>
          <w:szCs w:val="24"/>
        </w:rPr>
        <w:t xml:space="preserve">that </w:t>
      </w:r>
      <w:r w:rsidRPr="000000EB" w:rsidR="00CF74E3">
        <w:rPr>
          <w:rFonts w:ascii="Calibri" w:hAnsi="Calibri" w:cs="Arial"/>
          <w:szCs w:val="24"/>
        </w:rPr>
        <w:t>may be</w:t>
      </w:r>
      <w:r w:rsidRPr="000000EB">
        <w:rPr>
          <w:rFonts w:ascii="Calibri" w:hAnsi="Calibri" w:cs="Arial"/>
          <w:szCs w:val="24"/>
        </w:rPr>
        <w:t xml:space="preserve"> sensitive for some respondents.</w:t>
      </w:r>
      <w:r w:rsidR="00F564AD">
        <w:rPr>
          <w:rFonts w:ascii="Calibri" w:hAnsi="Calibri" w:cs="Arial"/>
          <w:szCs w:val="24"/>
        </w:rPr>
        <w:t xml:space="preserve"> </w:t>
      </w:r>
      <w:r w:rsidRPr="000000EB">
        <w:rPr>
          <w:rFonts w:ascii="Calibri" w:hAnsi="Calibri" w:cs="Arial"/>
          <w:szCs w:val="24"/>
        </w:rPr>
        <w:t xml:space="preserve">Given the objective of the NCVS--to estimate the amount of </w:t>
      </w:r>
      <w:r w:rsidR="00E44DC8">
        <w:rPr>
          <w:rFonts w:ascii="Calibri" w:hAnsi="Calibri" w:cs="Arial"/>
          <w:szCs w:val="24"/>
        </w:rPr>
        <w:t xml:space="preserve">nonfatal </w:t>
      </w:r>
      <w:r w:rsidRPr="000000EB">
        <w:rPr>
          <w:rFonts w:ascii="Calibri" w:hAnsi="Calibri" w:cs="Arial"/>
          <w:szCs w:val="24"/>
        </w:rPr>
        <w:t>victimization in the Nation--this is</w:t>
      </w:r>
      <w:r w:rsidR="002369B1">
        <w:rPr>
          <w:rFonts w:ascii="Calibri" w:hAnsi="Calibri" w:cs="Arial"/>
          <w:szCs w:val="24"/>
        </w:rPr>
        <w:t xml:space="preserve"> </w:t>
      </w:r>
      <w:r w:rsidR="00E44DC8">
        <w:rPr>
          <w:rFonts w:ascii="Calibri" w:hAnsi="Calibri" w:cs="Arial"/>
          <w:szCs w:val="24"/>
        </w:rPr>
        <w:t xml:space="preserve">inevitable </w:t>
      </w:r>
      <w:r w:rsidR="002369B1">
        <w:rPr>
          <w:rFonts w:ascii="Calibri" w:hAnsi="Calibri" w:cs="Arial"/>
          <w:szCs w:val="24"/>
        </w:rPr>
        <w:t>as BJS would not be able to provide a complete picture of nonfatal violent victimization without asking about such experiences</w:t>
      </w:r>
      <w:r w:rsidRPr="000000EB">
        <w:rPr>
          <w:rFonts w:ascii="Calibri" w:hAnsi="Calibri" w:cs="Arial"/>
          <w:szCs w:val="24"/>
        </w:rPr>
        <w:t>.</w:t>
      </w:r>
      <w:r w:rsidR="00F564AD">
        <w:rPr>
          <w:rFonts w:ascii="Calibri" w:hAnsi="Calibri" w:cs="Arial"/>
          <w:szCs w:val="24"/>
        </w:rPr>
        <w:t xml:space="preserve"> </w:t>
      </w:r>
      <w:r w:rsidRPr="000000EB" w:rsidR="001C3674">
        <w:rPr>
          <w:rFonts w:ascii="Calibri" w:hAnsi="Calibri" w:cs="Arial"/>
          <w:szCs w:val="24"/>
        </w:rPr>
        <w:t xml:space="preserve">NCVS interviewers receive training and guidance on how to ask sensitive questions. </w:t>
      </w:r>
      <w:r w:rsidRPr="000000EB">
        <w:rPr>
          <w:rFonts w:ascii="Calibri" w:hAnsi="Calibri" w:cs="Arial"/>
          <w:szCs w:val="24"/>
        </w:rPr>
        <w:t xml:space="preserve">The importance of estimating crime levels, as well as the potential value of detailed information about victimization for designing crime prevention strategies, </w:t>
      </w:r>
      <w:r w:rsidRPr="000000EB" w:rsidR="00CF74E3">
        <w:rPr>
          <w:rFonts w:ascii="Calibri" w:hAnsi="Calibri" w:cs="Arial"/>
          <w:szCs w:val="24"/>
        </w:rPr>
        <w:t>is</w:t>
      </w:r>
      <w:r w:rsidRPr="000000EB">
        <w:rPr>
          <w:rFonts w:ascii="Calibri" w:hAnsi="Calibri" w:cs="Arial"/>
          <w:szCs w:val="24"/>
        </w:rPr>
        <w:t xml:space="preserve"> explained to any respondent who seems hesitant to answer.</w:t>
      </w:r>
      <w:r w:rsidR="00F564AD">
        <w:rPr>
          <w:rFonts w:ascii="Calibri" w:hAnsi="Calibri" w:cs="Arial"/>
          <w:szCs w:val="24"/>
        </w:rPr>
        <w:t xml:space="preserve"> </w:t>
      </w:r>
      <w:r w:rsidRPr="000000EB">
        <w:rPr>
          <w:rFonts w:ascii="Calibri" w:hAnsi="Calibri" w:cs="Arial"/>
          <w:szCs w:val="24"/>
        </w:rPr>
        <w:t>All respondents have the option of refusing to answer any question.</w:t>
      </w:r>
    </w:p>
    <w:p w:rsidRPr="000000EB" w:rsidR="00A07020" w:rsidP="00B8509A" w:rsidRDefault="00A07020" w14:paraId="55D0871A" w14:textId="77777777">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Calibri" w:hAnsi="Calibri" w:cs="Arial"/>
          <w:szCs w:val="24"/>
        </w:rPr>
      </w:pPr>
    </w:p>
    <w:p w:rsidRPr="000000EB" w:rsidR="00A07020" w:rsidP="002526D6" w:rsidRDefault="00A07020" w14:paraId="3BDBC2DE" w14:textId="457F11C5">
      <w:pPr>
        <w:widowControl/>
        <w:numPr>
          <w:ilvl w:val="12"/>
          <w:numId w:val="0"/>
        </w:numPr>
        <w:tabs>
          <w:tab w:val="left" w:pos="-720"/>
          <w:tab w:val="left" w:pos="0"/>
          <w:tab w:val="left" w:pos="90"/>
          <w:tab w:val="left" w:pos="180"/>
          <w:tab w:val="left" w:pos="270"/>
          <w:tab w:val="left" w:pos="45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szCs w:val="24"/>
        </w:rPr>
      </w:pPr>
      <w:r w:rsidRPr="000000EB">
        <w:rPr>
          <w:rFonts w:ascii="Calibri" w:hAnsi="Calibri" w:cs="Arial"/>
          <w:szCs w:val="24"/>
        </w:rPr>
        <w:t xml:space="preserve">In 2015, the Office </w:t>
      </w:r>
      <w:r w:rsidR="00751383">
        <w:rPr>
          <w:rFonts w:ascii="Calibri" w:hAnsi="Calibri" w:cs="Arial"/>
          <w:szCs w:val="24"/>
        </w:rPr>
        <w:t>of</w:t>
      </w:r>
      <w:r w:rsidRPr="000000EB" w:rsidR="00751383">
        <w:rPr>
          <w:rFonts w:ascii="Calibri" w:hAnsi="Calibri" w:cs="Arial"/>
          <w:szCs w:val="24"/>
        </w:rPr>
        <w:t xml:space="preserve"> </w:t>
      </w:r>
      <w:r w:rsidRPr="000000EB">
        <w:rPr>
          <w:rFonts w:ascii="Calibri" w:hAnsi="Calibri" w:cs="Arial"/>
          <w:szCs w:val="24"/>
        </w:rPr>
        <w:t xml:space="preserve">Justice Programs Institutional Review Board (IRB) declared the NCVS exempt from </w:t>
      </w:r>
      <w:r w:rsidRPr="000000EB" w:rsidR="00D642FF">
        <w:rPr>
          <w:rFonts w:ascii="Calibri" w:hAnsi="Calibri" w:cs="Arial"/>
          <w:szCs w:val="24"/>
        </w:rPr>
        <w:t>review and approval by an Institutional Review Board.</w:t>
      </w:r>
      <w:r w:rsidRPr="000000EB">
        <w:rPr>
          <w:rFonts w:ascii="Calibri" w:hAnsi="Calibri" w:cs="Arial"/>
          <w:szCs w:val="24"/>
        </w:rPr>
        <w:t xml:space="preserve"> </w:t>
      </w:r>
      <w:r w:rsidRPr="000000EB" w:rsidR="00D642FF">
        <w:rPr>
          <w:rFonts w:ascii="Calibri" w:hAnsi="Calibri" w:cs="Arial"/>
          <w:szCs w:val="24"/>
        </w:rPr>
        <w:t>Pursuant to the OJP Instruction for Protection of Human Subjects and Privacy Certification Requirements, the NCVS was declared exempt from</w:t>
      </w:r>
      <w:r w:rsidR="00751383">
        <w:rPr>
          <w:rFonts w:ascii="Calibri" w:hAnsi="Calibri" w:cs="Arial"/>
          <w:szCs w:val="24"/>
        </w:rPr>
        <w:t xml:space="preserve"> further IRB</w:t>
      </w:r>
      <w:r w:rsidRPr="000000EB" w:rsidR="00D642FF">
        <w:rPr>
          <w:rFonts w:ascii="Calibri" w:hAnsi="Calibri" w:cs="Arial"/>
          <w:szCs w:val="24"/>
        </w:rPr>
        <w:t xml:space="preserve"> review because the research is covered by provisions of the confidentiality statute at </w:t>
      </w:r>
      <w:r w:rsidR="00C475AF">
        <w:rPr>
          <w:rFonts w:ascii="Calibri" w:hAnsi="Calibri" w:cs="Arial"/>
          <w:szCs w:val="24"/>
        </w:rPr>
        <w:t>34</w:t>
      </w:r>
      <w:r w:rsidRPr="000000EB" w:rsidR="00D642FF">
        <w:rPr>
          <w:rFonts w:ascii="Calibri" w:hAnsi="Calibri" w:cs="Arial"/>
          <w:szCs w:val="24"/>
        </w:rPr>
        <w:t xml:space="preserve"> USC </w:t>
      </w:r>
      <w:r w:rsidR="00C475AF">
        <w:rPr>
          <w:rFonts w:ascii="Calibri" w:hAnsi="Calibri" w:cs="Arial"/>
          <w:szCs w:val="24"/>
        </w:rPr>
        <w:t>10231</w:t>
      </w:r>
      <w:r w:rsidRPr="000000EB" w:rsidR="00D642FF">
        <w:rPr>
          <w:rFonts w:ascii="Calibri" w:hAnsi="Calibri" w:cs="Arial"/>
          <w:szCs w:val="24"/>
        </w:rPr>
        <w:t xml:space="preserve"> and the respondents’ confidentiality is protected unde</w:t>
      </w:r>
      <w:r w:rsidRPr="000000EB" w:rsidR="005E31E3">
        <w:rPr>
          <w:rFonts w:ascii="Calibri" w:hAnsi="Calibri" w:cs="Arial"/>
          <w:szCs w:val="24"/>
        </w:rPr>
        <w:t>r Title 13 USC 9. The only involvement of human subjects consists of the administration of an interview questionnaire and the only predictable potential harm is release of the information with identifiers.</w:t>
      </w:r>
    </w:p>
    <w:p w:rsidRPr="000000EB" w:rsidR="00CF44FB" w:rsidP="00B8509A" w:rsidRDefault="00CF44FB" w14:paraId="78CF90FE" w14:textId="77777777">
      <w:pPr>
        <w:widowControl/>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Cs w:val="24"/>
        </w:rPr>
      </w:pPr>
    </w:p>
    <w:p w:rsidRPr="00256E98" w:rsidR="00CF44FB" w:rsidP="00256E98" w:rsidRDefault="00CF44FB" w14:paraId="4DFA5204" w14:textId="77777777">
      <w:pPr>
        <w:pStyle w:val="Heading1"/>
      </w:pPr>
      <w:r w:rsidRPr="00256E98">
        <w:t xml:space="preserve">Estimate </w:t>
      </w:r>
      <w:r w:rsidRPr="00256E98" w:rsidR="008A4344">
        <w:t xml:space="preserve">of </w:t>
      </w:r>
      <w:r w:rsidRPr="00256E98" w:rsidR="00FA7995">
        <w:t>Respondent</w:t>
      </w:r>
      <w:r w:rsidRPr="00256E98">
        <w:t xml:space="preserve"> Burden</w:t>
      </w:r>
    </w:p>
    <w:p w:rsidRPr="000000EB" w:rsidR="00CF44FB" w:rsidP="00F30ECC" w:rsidRDefault="00CF44FB" w14:paraId="1729331B" w14:textId="77777777"/>
    <w:p w:rsidR="008A3D72" w:rsidP="00F30ECC" w:rsidRDefault="00FA7995" w14:paraId="229A4982" w14:textId="34755FD0">
      <w:r w:rsidRPr="000000EB">
        <w:t>Table 1</w:t>
      </w:r>
      <w:r w:rsidR="00CF70B9">
        <w:t xml:space="preserve"> </w:t>
      </w:r>
      <w:r w:rsidRPr="000000EB" w:rsidR="00CF44FB">
        <w:t xml:space="preserve">shows the estimated respondent reporting burden for </w:t>
      </w:r>
      <w:r w:rsidR="002369B1">
        <w:t xml:space="preserve">both </w:t>
      </w:r>
      <w:r w:rsidRPr="000000EB" w:rsidR="00CF44FB">
        <w:t>interviewed and</w:t>
      </w:r>
      <w:r w:rsidRPr="000000EB" w:rsidR="00130015">
        <w:t xml:space="preserve"> </w:t>
      </w:r>
      <w:proofErr w:type="spellStart"/>
      <w:r w:rsidRPr="000000EB" w:rsidR="00CF44FB">
        <w:t>noninterviewed</w:t>
      </w:r>
      <w:proofErr w:type="spellEnd"/>
      <w:r w:rsidRPr="000000EB" w:rsidR="00CF44FB">
        <w:t xml:space="preserve"> </w:t>
      </w:r>
      <w:r w:rsidR="00C76614">
        <w:t>respondents</w:t>
      </w:r>
      <w:r w:rsidRPr="000000EB" w:rsidR="00CF44FB">
        <w:t>.</w:t>
      </w:r>
      <w:r w:rsidR="00F564AD">
        <w:t xml:space="preserve"> </w:t>
      </w:r>
      <w:r w:rsidRPr="000000EB" w:rsidR="00CF44FB">
        <w:t xml:space="preserve">The estimates are based on </w:t>
      </w:r>
      <w:r w:rsidR="00FE4826">
        <w:t>anticipated 20</w:t>
      </w:r>
      <w:r w:rsidR="0093779F">
        <w:t>22</w:t>
      </w:r>
      <w:r w:rsidRPr="000000EB" w:rsidR="00CF44FB">
        <w:t xml:space="preserve"> interview/noninterview counts</w:t>
      </w:r>
      <w:r w:rsidR="00FE4826">
        <w:t xml:space="preserve">, </w:t>
      </w:r>
      <w:r w:rsidR="00D93A00">
        <w:t>including</w:t>
      </w:r>
      <w:r w:rsidR="00FE4826">
        <w:t xml:space="preserve"> the 22-state sample boost </w:t>
      </w:r>
      <w:r w:rsidR="00D93A00">
        <w:t>that has been</w:t>
      </w:r>
      <w:r w:rsidR="00FE4826">
        <w:t xml:space="preserve"> in place </w:t>
      </w:r>
      <w:r w:rsidR="00CD5CBB">
        <w:t xml:space="preserve">since </w:t>
      </w:r>
      <w:r w:rsidR="00FE4826">
        <w:t>January of 2016</w:t>
      </w:r>
      <w:r w:rsidRPr="000000EB" w:rsidR="00CF44FB">
        <w:t>.</w:t>
      </w:r>
      <w:r w:rsidRPr="000000EB" w:rsidR="00DE70B0">
        <w:t xml:space="preserve"> The current annual inventory is based on the actual hours required to collect the data from the </w:t>
      </w:r>
      <w:r w:rsidR="00FE4826">
        <w:t>NCVS</w:t>
      </w:r>
      <w:r w:rsidRPr="000000EB" w:rsidR="00DE70B0">
        <w:t xml:space="preserve"> and accounts for a full 12-month cycle of data collection.</w:t>
      </w:r>
    </w:p>
    <w:p w:rsidR="002526D6" w:rsidRDefault="002526D6" w14:paraId="15E98EB3" w14:textId="3C141E3A">
      <w:pPr>
        <w:widowControl/>
        <w:autoSpaceDE/>
        <w:autoSpaceDN/>
        <w:adjustRightInd/>
        <w:spacing w:after="0"/>
      </w:pPr>
      <w:r>
        <w:br w:type="page"/>
      </w:r>
    </w:p>
    <w:tbl>
      <w:tblPr>
        <w:tblW w:w="7971" w:type="dxa"/>
        <w:tblLook w:val="04A0" w:firstRow="1" w:lastRow="0" w:firstColumn="1" w:lastColumn="0" w:noHBand="0" w:noVBand="1"/>
      </w:tblPr>
      <w:tblGrid>
        <w:gridCol w:w="2000"/>
        <w:gridCol w:w="1207"/>
        <w:gridCol w:w="1557"/>
        <w:gridCol w:w="1227"/>
        <w:gridCol w:w="1649"/>
        <w:gridCol w:w="331"/>
      </w:tblGrid>
      <w:tr w:rsidRPr="00F60EFF" w:rsidR="00F60EFF" w:rsidTr="00F60EFF" w14:paraId="3F01685B" w14:textId="77777777">
        <w:trPr>
          <w:trHeight w:val="300"/>
        </w:trPr>
        <w:tc>
          <w:tcPr>
            <w:tcW w:w="7971" w:type="dxa"/>
            <w:gridSpan w:val="6"/>
            <w:tcBorders>
              <w:top w:val="single" w:color="auto" w:sz="8" w:space="0"/>
              <w:left w:val="single" w:color="auto" w:sz="8" w:space="0"/>
              <w:bottom w:val="nil"/>
              <w:right w:val="single" w:color="000000" w:sz="8" w:space="0"/>
            </w:tcBorders>
            <w:shd w:val="clear" w:color="auto" w:fill="auto"/>
            <w:noWrap/>
            <w:vAlign w:val="center"/>
            <w:hideMark/>
          </w:tcPr>
          <w:p w:rsidRPr="00F60EFF" w:rsidR="00F60EFF" w:rsidP="00F60EFF" w:rsidRDefault="00F60EFF" w14:paraId="74320BF3" w14:textId="77777777">
            <w:pPr>
              <w:widowControl/>
              <w:autoSpaceDE/>
              <w:autoSpaceDN/>
              <w:adjustRightInd/>
              <w:spacing w:after="0"/>
              <w:rPr>
                <w:rFonts w:ascii="Arial" w:hAnsi="Arial" w:cs="Arial"/>
                <w:b/>
                <w:bCs/>
                <w:color w:val="000000"/>
                <w:sz w:val="18"/>
                <w:szCs w:val="18"/>
              </w:rPr>
            </w:pPr>
            <w:r w:rsidRPr="00F60EFF">
              <w:rPr>
                <w:rFonts w:ascii="Arial" w:hAnsi="Arial" w:cs="Arial"/>
                <w:b/>
                <w:bCs/>
                <w:color w:val="000000"/>
                <w:sz w:val="18"/>
                <w:szCs w:val="18"/>
              </w:rPr>
              <w:lastRenderedPageBreak/>
              <w:t>Table 1. Burden Hour Calculation</w:t>
            </w:r>
          </w:p>
        </w:tc>
      </w:tr>
      <w:tr w:rsidRPr="00F60EFF" w:rsidR="00F60EFF" w:rsidTr="00F60EFF" w14:paraId="027BF7DB" w14:textId="77777777">
        <w:trPr>
          <w:trHeight w:val="300"/>
        </w:trPr>
        <w:tc>
          <w:tcPr>
            <w:tcW w:w="2000" w:type="dxa"/>
            <w:tcBorders>
              <w:top w:val="nil"/>
              <w:left w:val="single" w:color="auto" w:sz="8" w:space="0"/>
              <w:bottom w:val="nil"/>
              <w:right w:val="nil"/>
            </w:tcBorders>
            <w:shd w:val="clear" w:color="auto" w:fill="auto"/>
            <w:noWrap/>
            <w:vAlign w:val="center"/>
            <w:hideMark/>
          </w:tcPr>
          <w:p w:rsidRPr="00F60EFF" w:rsidR="00F60EFF" w:rsidP="00F60EFF" w:rsidRDefault="00F60EFF" w14:paraId="340D474C" w14:textId="77777777">
            <w:pPr>
              <w:widowControl/>
              <w:autoSpaceDE/>
              <w:autoSpaceDN/>
              <w:adjustRightInd/>
              <w:spacing w:after="0"/>
              <w:rPr>
                <w:rFonts w:ascii="Arial" w:hAnsi="Arial" w:cs="Arial"/>
                <w:b/>
                <w:bCs/>
                <w:color w:val="000000"/>
                <w:sz w:val="18"/>
                <w:szCs w:val="18"/>
              </w:rPr>
            </w:pPr>
            <w:r w:rsidRPr="00F60EFF">
              <w:rPr>
                <w:rFonts w:ascii="Arial" w:hAnsi="Arial" w:cs="Arial"/>
                <w:b/>
                <w:bCs/>
                <w:color w:val="000000"/>
                <w:sz w:val="18"/>
                <w:szCs w:val="18"/>
              </w:rPr>
              <w:t> </w:t>
            </w:r>
          </w:p>
        </w:tc>
        <w:tc>
          <w:tcPr>
            <w:tcW w:w="1207" w:type="dxa"/>
            <w:tcBorders>
              <w:top w:val="nil"/>
              <w:left w:val="nil"/>
              <w:bottom w:val="nil"/>
              <w:right w:val="nil"/>
            </w:tcBorders>
            <w:shd w:val="clear" w:color="auto" w:fill="auto"/>
            <w:noWrap/>
            <w:vAlign w:val="center"/>
            <w:hideMark/>
          </w:tcPr>
          <w:p w:rsidRPr="00F60EFF" w:rsidR="00F60EFF" w:rsidP="00F60EFF" w:rsidRDefault="00F60EFF" w14:paraId="7C74F916" w14:textId="77777777">
            <w:pPr>
              <w:widowControl/>
              <w:autoSpaceDE/>
              <w:autoSpaceDN/>
              <w:adjustRightInd/>
              <w:spacing w:after="0"/>
              <w:rPr>
                <w:rFonts w:ascii="Arial" w:hAnsi="Arial" w:cs="Arial"/>
                <w:b/>
                <w:bCs/>
                <w:color w:val="000000"/>
                <w:sz w:val="18"/>
                <w:szCs w:val="18"/>
              </w:rPr>
            </w:pPr>
          </w:p>
        </w:tc>
        <w:tc>
          <w:tcPr>
            <w:tcW w:w="1557" w:type="dxa"/>
            <w:tcBorders>
              <w:top w:val="nil"/>
              <w:left w:val="nil"/>
              <w:bottom w:val="nil"/>
              <w:right w:val="nil"/>
            </w:tcBorders>
            <w:shd w:val="clear" w:color="auto" w:fill="auto"/>
            <w:noWrap/>
            <w:vAlign w:val="center"/>
            <w:hideMark/>
          </w:tcPr>
          <w:p w:rsidRPr="00F60EFF" w:rsidR="00F60EFF" w:rsidP="00F60EFF" w:rsidRDefault="00F60EFF" w14:paraId="2E84AFF6" w14:textId="77777777">
            <w:pPr>
              <w:widowControl/>
              <w:autoSpaceDE/>
              <w:autoSpaceDN/>
              <w:adjustRightInd/>
              <w:spacing w:after="0"/>
              <w:rPr>
                <w:rFonts w:ascii="Times New Roman" w:hAnsi="Times New Roman" w:cs="Times New Roman"/>
                <w:sz w:val="20"/>
              </w:rPr>
            </w:pPr>
          </w:p>
        </w:tc>
        <w:tc>
          <w:tcPr>
            <w:tcW w:w="1227" w:type="dxa"/>
            <w:tcBorders>
              <w:top w:val="nil"/>
              <w:left w:val="nil"/>
              <w:bottom w:val="nil"/>
              <w:right w:val="nil"/>
            </w:tcBorders>
            <w:shd w:val="clear" w:color="auto" w:fill="auto"/>
            <w:noWrap/>
            <w:vAlign w:val="center"/>
            <w:hideMark/>
          </w:tcPr>
          <w:p w:rsidRPr="00F60EFF" w:rsidR="00F60EFF" w:rsidP="00F60EFF" w:rsidRDefault="00F60EFF" w14:paraId="335F4AA8" w14:textId="77777777">
            <w:pPr>
              <w:widowControl/>
              <w:autoSpaceDE/>
              <w:autoSpaceDN/>
              <w:adjustRightInd/>
              <w:spacing w:after="0"/>
              <w:rPr>
                <w:rFonts w:ascii="Times New Roman" w:hAnsi="Times New Roman" w:cs="Times New Roman"/>
                <w:sz w:val="20"/>
              </w:rPr>
            </w:pPr>
          </w:p>
        </w:tc>
        <w:tc>
          <w:tcPr>
            <w:tcW w:w="1649" w:type="dxa"/>
            <w:tcBorders>
              <w:top w:val="nil"/>
              <w:left w:val="nil"/>
              <w:bottom w:val="nil"/>
              <w:right w:val="nil"/>
            </w:tcBorders>
            <w:shd w:val="clear" w:color="auto" w:fill="auto"/>
            <w:noWrap/>
            <w:vAlign w:val="center"/>
            <w:hideMark/>
          </w:tcPr>
          <w:p w:rsidRPr="00F60EFF" w:rsidR="00F60EFF" w:rsidP="00F60EFF" w:rsidRDefault="00F60EFF" w14:paraId="69BFE426" w14:textId="77777777">
            <w:pPr>
              <w:widowControl/>
              <w:autoSpaceDE/>
              <w:autoSpaceDN/>
              <w:adjustRightInd/>
              <w:spacing w:after="0"/>
              <w:rPr>
                <w:rFonts w:ascii="Times New Roman" w:hAnsi="Times New Roman" w:cs="Times New Roman"/>
                <w:sz w:val="20"/>
              </w:rPr>
            </w:pPr>
          </w:p>
        </w:tc>
        <w:tc>
          <w:tcPr>
            <w:tcW w:w="331" w:type="dxa"/>
            <w:tcBorders>
              <w:top w:val="nil"/>
              <w:left w:val="nil"/>
              <w:bottom w:val="nil"/>
              <w:right w:val="single" w:color="auto" w:sz="8" w:space="0"/>
            </w:tcBorders>
            <w:shd w:val="clear" w:color="auto" w:fill="auto"/>
            <w:noWrap/>
            <w:vAlign w:val="center"/>
            <w:hideMark/>
          </w:tcPr>
          <w:p w:rsidRPr="00F60EFF" w:rsidR="00F60EFF" w:rsidP="00F60EFF" w:rsidRDefault="00F60EFF" w14:paraId="01A06CD6" w14:textId="77777777">
            <w:pPr>
              <w:widowControl/>
              <w:autoSpaceDE/>
              <w:autoSpaceDN/>
              <w:adjustRightInd/>
              <w:spacing w:after="0"/>
              <w:rPr>
                <w:rFonts w:ascii="Arial" w:hAnsi="Arial" w:cs="Arial"/>
                <w:b/>
                <w:bCs/>
                <w:color w:val="000000"/>
                <w:sz w:val="18"/>
                <w:szCs w:val="18"/>
              </w:rPr>
            </w:pPr>
            <w:r w:rsidRPr="00F60EFF">
              <w:rPr>
                <w:rFonts w:ascii="Arial" w:hAnsi="Arial" w:cs="Arial"/>
                <w:b/>
                <w:bCs/>
                <w:color w:val="000000"/>
                <w:sz w:val="18"/>
                <w:szCs w:val="18"/>
              </w:rPr>
              <w:t> </w:t>
            </w:r>
          </w:p>
        </w:tc>
      </w:tr>
      <w:tr w:rsidRPr="00F60EFF" w:rsidR="00F60EFF" w:rsidTr="00F60EFF" w14:paraId="399A22E5" w14:textId="77777777">
        <w:trPr>
          <w:trHeight w:val="300"/>
        </w:trPr>
        <w:tc>
          <w:tcPr>
            <w:tcW w:w="2000" w:type="dxa"/>
            <w:tcBorders>
              <w:top w:val="nil"/>
              <w:left w:val="single" w:color="auto" w:sz="8" w:space="0"/>
              <w:bottom w:val="nil"/>
              <w:right w:val="nil"/>
            </w:tcBorders>
            <w:shd w:val="clear" w:color="auto" w:fill="auto"/>
            <w:vAlign w:val="center"/>
            <w:hideMark/>
          </w:tcPr>
          <w:p w:rsidRPr="00F60EFF" w:rsidR="00F60EFF" w:rsidP="00F60EFF" w:rsidRDefault="00F60EFF" w14:paraId="68E0432E" w14:textId="77777777">
            <w:pPr>
              <w:widowControl/>
              <w:autoSpaceDE/>
              <w:autoSpaceDN/>
              <w:adjustRightInd/>
              <w:spacing w:after="0"/>
              <w:rPr>
                <w:rFonts w:ascii="Arial" w:hAnsi="Arial" w:cs="Arial"/>
                <w:color w:val="000000"/>
                <w:sz w:val="18"/>
                <w:szCs w:val="18"/>
              </w:rPr>
            </w:pPr>
            <w:r w:rsidRPr="00F60EFF">
              <w:rPr>
                <w:rFonts w:ascii="Arial" w:hAnsi="Arial" w:cs="Arial"/>
                <w:color w:val="000000"/>
                <w:sz w:val="18"/>
                <w:szCs w:val="18"/>
              </w:rPr>
              <w:t> </w:t>
            </w:r>
          </w:p>
        </w:tc>
        <w:tc>
          <w:tcPr>
            <w:tcW w:w="1207" w:type="dxa"/>
            <w:tcBorders>
              <w:top w:val="nil"/>
              <w:left w:val="nil"/>
              <w:bottom w:val="nil"/>
              <w:right w:val="nil"/>
            </w:tcBorders>
            <w:shd w:val="clear" w:color="auto" w:fill="auto"/>
            <w:vAlign w:val="center"/>
            <w:hideMark/>
          </w:tcPr>
          <w:p w:rsidRPr="00F60EFF" w:rsidR="00F60EFF" w:rsidP="00F60EFF" w:rsidRDefault="00F60EFF" w14:paraId="7E7E3101" w14:textId="77777777">
            <w:pPr>
              <w:widowControl/>
              <w:autoSpaceDE/>
              <w:autoSpaceDN/>
              <w:adjustRightInd/>
              <w:spacing w:after="0"/>
              <w:rPr>
                <w:rFonts w:ascii="Arial" w:hAnsi="Arial" w:cs="Arial"/>
                <w:color w:val="000000"/>
                <w:sz w:val="18"/>
                <w:szCs w:val="18"/>
              </w:rPr>
            </w:pPr>
          </w:p>
        </w:tc>
        <w:tc>
          <w:tcPr>
            <w:tcW w:w="1557" w:type="dxa"/>
            <w:tcBorders>
              <w:top w:val="nil"/>
              <w:left w:val="nil"/>
              <w:bottom w:val="nil"/>
              <w:right w:val="nil"/>
            </w:tcBorders>
            <w:shd w:val="clear" w:color="auto" w:fill="auto"/>
            <w:vAlign w:val="center"/>
            <w:hideMark/>
          </w:tcPr>
          <w:p w:rsidRPr="00F60EFF" w:rsidR="00F60EFF" w:rsidP="00F60EFF" w:rsidRDefault="00F60EFF" w14:paraId="4A2AFD88" w14:textId="77777777">
            <w:pPr>
              <w:widowControl/>
              <w:autoSpaceDE/>
              <w:autoSpaceDN/>
              <w:adjustRightInd/>
              <w:spacing w:after="0"/>
              <w:rPr>
                <w:rFonts w:ascii="Times New Roman" w:hAnsi="Times New Roman" w:cs="Times New Roman"/>
                <w:sz w:val="20"/>
              </w:rPr>
            </w:pPr>
          </w:p>
        </w:tc>
        <w:tc>
          <w:tcPr>
            <w:tcW w:w="1227" w:type="dxa"/>
            <w:tcBorders>
              <w:top w:val="nil"/>
              <w:left w:val="nil"/>
              <w:bottom w:val="nil"/>
              <w:right w:val="nil"/>
            </w:tcBorders>
            <w:shd w:val="clear" w:color="auto" w:fill="auto"/>
            <w:vAlign w:val="center"/>
            <w:hideMark/>
          </w:tcPr>
          <w:p w:rsidRPr="00F60EFF" w:rsidR="00F60EFF" w:rsidP="00F60EFF" w:rsidRDefault="00F60EFF" w14:paraId="6E4D2225" w14:textId="77777777">
            <w:pPr>
              <w:widowControl/>
              <w:autoSpaceDE/>
              <w:autoSpaceDN/>
              <w:adjustRightInd/>
              <w:spacing w:after="0"/>
              <w:rPr>
                <w:rFonts w:ascii="Times New Roman" w:hAnsi="Times New Roman" w:cs="Times New Roman"/>
                <w:sz w:val="20"/>
              </w:rPr>
            </w:pPr>
          </w:p>
        </w:tc>
        <w:tc>
          <w:tcPr>
            <w:tcW w:w="1649" w:type="dxa"/>
            <w:tcBorders>
              <w:top w:val="nil"/>
              <w:left w:val="nil"/>
              <w:bottom w:val="nil"/>
              <w:right w:val="nil"/>
            </w:tcBorders>
            <w:shd w:val="clear" w:color="auto" w:fill="auto"/>
            <w:vAlign w:val="center"/>
            <w:hideMark/>
          </w:tcPr>
          <w:p w:rsidRPr="00F60EFF" w:rsidR="00F60EFF" w:rsidP="00F60EFF" w:rsidRDefault="00F60EFF" w14:paraId="2023DA2F" w14:textId="77777777">
            <w:pPr>
              <w:widowControl/>
              <w:autoSpaceDE/>
              <w:autoSpaceDN/>
              <w:adjustRightInd/>
              <w:spacing w:after="0"/>
              <w:rPr>
                <w:rFonts w:ascii="Times New Roman" w:hAnsi="Times New Roman" w:cs="Times New Roman"/>
                <w:sz w:val="20"/>
              </w:rPr>
            </w:pPr>
          </w:p>
        </w:tc>
        <w:tc>
          <w:tcPr>
            <w:tcW w:w="331" w:type="dxa"/>
            <w:tcBorders>
              <w:top w:val="nil"/>
              <w:left w:val="nil"/>
              <w:bottom w:val="nil"/>
              <w:right w:val="single" w:color="auto" w:sz="8" w:space="0"/>
            </w:tcBorders>
            <w:shd w:val="clear" w:color="auto" w:fill="auto"/>
            <w:vAlign w:val="center"/>
            <w:hideMark/>
          </w:tcPr>
          <w:p w:rsidRPr="00F60EFF" w:rsidR="00F60EFF" w:rsidP="00F60EFF" w:rsidRDefault="00F60EFF" w14:paraId="1A75F08D" w14:textId="77777777">
            <w:pPr>
              <w:widowControl/>
              <w:autoSpaceDE/>
              <w:autoSpaceDN/>
              <w:adjustRightInd/>
              <w:spacing w:after="0"/>
              <w:rPr>
                <w:rFonts w:ascii="Arial" w:hAnsi="Arial" w:cs="Arial"/>
                <w:color w:val="000000"/>
                <w:sz w:val="18"/>
                <w:szCs w:val="18"/>
              </w:rPr>
            </w:pPr>
            <w:r w:rsidRPr="00F60EFF">
              <w:rPr>
                <w:rFonts w:ascii="Arial" w:hAnsi="Arial" w:cs="Arial"/>
                <w:color w:val="000000"/>
                <w:sz w:val="18"/>
                <w:szCs w:val="18"/>
              </w:rPr>
              <w:t> </w:t>
            </w:r>
          </w:p>
        </w:tc>
      </w:tr>
      <w:tr w:rsidRPr="00F60EFF" w:rsidR="00F60EFF" w:rsidTr="001F0325" w14:paraId="4933051A" w14:textId="77777777">
        <w:trPr>
          <w:trHeight w:val="480"/>
        </w:trPr>
        <w:tc>
          <w:tcPr>
            <w:tcW w:w="2000" w:type="dxa"/>
            <w:tcBorders>
              <w:top w:val="nil"/>
              <w:left w:val="single" w:color="auto" w:sz="8" w:space="0"/>
              <w:bottom w:val="nil"/>
              <w:right w:val="nil"/>
            </w:tcBorders>
            <w:shd w:val="clear" w:color="auto" w:fill="auto"/>
            <w:vAlign w:val="center"/>
            <w:hideMark/>
          </w:tcPr>
          <w:p w:rsidRPr="00F60EFF" w:rsidR="00F60EFF" w:rsidP="00F60EFF" w:rsidRDefault="00F60EFF" w14:paraId="69398494" w14:textId="77777777">
            <w:pPr>
              <w:widowControl/>
              <w:autoSpaceDE/>
              <w:autoSpaceDN/>
              <w:adjustRightInd/>
              <w:spacing w:after="0"/>
              <w:rPr>
                <w:rFonts w:ascii="Arial" w:hAnsi="Arial" w:cs="Arial"/>
                <w:b/>
                <w:bCs/>
                <w:color w:val="000000"/>
                <w:sz w:val="18"/>
                <w:szCs w:val="18"/>
              </w:rPr>
            </w:pPr>
            <w:r w:rsidRPr="00F60EFF">
              <w:rPr>
                <w:rFonts w:ascii="Arial" w:hAnsi="Arial" w:cs="Arial"/>
                <w:b/>
                <w:bCs/>
                <w:color w:val="000000"/>
                <w:sz w:val="18"/>
                <w:szCs w:val="18"/>
              </w:rPr>
              <w:t> </w:t>
            </w:r>
          </w:p>
        </w:tc>
        <w:tc>
          <w:tcPr>
            <w:tcW w:w="1207" w:type="dxa"/>
            <w:tcBorders>
              <w:top w:val="nil"/>
              <w:left w:val="nil"/>
              <w:bottom w:val="nil"/>
              <w:right w:val="nil"/>
            </w:tcBorders>
            <w:shd w:val="clear" w:color="auto" w:fill="auto"/>
            <w:vAlign w:val="center"/>
            <w:hideMark/>
          </w:tcPr>
          <w:p w:rsidRPr="00F60EFF" w:rsidR="00F60EFF" w:rsidP="00F60EFF" w:rsidRDefault="00F60EFF" w14:paraId="5EA0165A" w14:textId="77777777">
            <w:pPr>
              <w:widowControl/>
              <w:autoSpaceDE/>
              <w:autoSpaceDN/>
              <w:adjustRightInd/>
              <w:spacing w:after="0"/>
              <w:jc w:val="center"/>
              <w:rPr>
                <w:rFonts w:ascii="Arial" w:hAnsi="Arial" w:cs="Arial"/>
                <w:b/>
                <w:bCs/>
                <w:color w:val="000000"/>
                <w:sz w:val="18"/>
                <w:szCs w:val="18"/>
                <w:u w:val="single"/>
              </w:rPr>
            </w:pPr>
            <w:r w:rsidRPr="00F60EFF">
              <w:rPr>
                <w:rFonts w:ascii="Arial" w:hAnsi="Arial" w:cs="Arial"/>
                <w:b/>
                <w:bCs/>
                <w:color w:val="000000"/>
                <w:sz w:val="18"/>
                <w:szCs w:val="18"/>
                <w:u w:val="single"/>
              </w:rPr>
              <w:t xml:space="preserve"> Interviewed </w:t>
            </w:r>
          </w:p>
        </w:tc>
        <w:tc>
          <w:tcPr>
            <w:tcW w:w="1557" w:type="dxa"/>
            <w:tcBorders>
              <w:top w:val="nil"/>
              <w:left w:val="nil"/>
              <w:bottom w:val="nil"/>
              <w:right w:val="nil"/>
            </w:tcBorders>
            <w:shd w:val="clear" w:color="auto" w:fill="auto"/>
            <w:vAlign w:val="center"/>
            <w:hideMark/>
          </w:tcPr>
          <w:p w:rsidRPr="00F60EFF" w:rsidR="00F60EFF" w:rsidP="00F60EFF" w:rsidRDefault="00F60EFF" w14:paraId="3E866CD0" w14:textId="77777777">
            <w:pPr>
              <w:widowControl/>
              <w:autoSpaceDE/>
              <w:autoSpaceDN/>
              <w:adjustRightInd/>
              <w:spacing w:after="0"/>
              <w:jc w:val="center"/>
              <w:rPr>
                <w:rFonts w:ascii="Arial" w:hAnsi="Arial" w:cs="Arial"/>
                <w:b/>
                <w:bCs/>
                <w:color w:val="000000"/>
                <w:sz w:val="18"/>
                <w:szCs w:val="18"/>
                <w:u w:val="single"/>
              </w:rPr>
            </w:pPr>
            <w:r w:rsidRPr="00F60EFF">
              <w:rPr>
                <w:rFonts w:ascii="Arial" w:hAnsi="Arial" w:cs="Arial"/>
                <w:b/>
                <w:bCs/>
                <w:color w:val="000000"/>
                <w:sz w:val="18"/>
                <w:szCs w:val="18"/>
                <w:u w:val="single"/>
              </w:rPr>
              <w:t xml:space="preserve"> Noninterviewed </w:t>
            </w:r>
          </w:p>
        </w:tc>
        <w:tc>
          <w:tcPr>
            <w:tcW w:w="1227" w:type="dxa"/>
            <w:tcBorders>
              <w:top w:val="nil"/>
              <w:left w:val="nil"/>
              <w:bottom w:val="nil"/>
              <w:right w:val="nil"/>
            </w:tcBorders>
            <w:shd w:val="clear" w:color="auto" w:fill="auto"/>
            <w:vAlign w:val="center"/>
            <w:hideMark/>
          </w:tcPr>
          <w:p w:rsidRPr="00F60EFF" w:rsidR="00F60EFF" w:rsidP="00F60EFF" w:rsidRDefault="00F60EFF" w14:paraId="4609338A" w14:textId="77777777">
            <w:pPr>
              <w:widowControl/>
              <w:autoSpaceDE/>
              <w:autoSpaceDN/>
              <w:adjustRightInd/>
              <w:spacing w:after="0"/>
              <w:jc w:val="center"/>
              <w:rPr>
                <w:rFonts w:ascii="Arial" w:hAnsi="Arial" w:cs="Arial"/>
                <w:b/>
                <w:bCs/>
                <w:color w:val="000000"/>
                <w:sz w:val="18"/>
                <w:szCs w:val="18"/>
                <w:u w:val="single"/>
              </w:rPr>
            </w:pPr>
            <w:r w:rsidRPr="00F60EFF">
              <w:rPr>
                <w:rFonts w:ascii="Arial" w:hAnsi="Arial" w:cs="Arial"/>
                <w:b/>
                <w:bCs/>
                <w:color w:val="000000"/>
                <w:sz w:val="18"/>
                <w:szCs w:val="18"/>
                <w:u w:val="single"/>
              </w:rPr>
              <w:t xml:space="preserve"> Reinterview (Interviews) </w:t>
            </w:r>
          </w:p>
        </w:tc>
        <w:tc>
          <w:tcPr>
            <w:tcW w:w="1649" w:type="dxa"/>
            <w:tcBorders>
              <w:top w:val="nil"/>
              <w:left w:val="nil"/>
              <w:bottom w:val="nil"/>
              <w:right w:val="nil"/>
            </w:tcBorders>
            <w:shd w:val="clear" w:color="auto" w:fill="auto"/>
            <w:vAlign w:val="bottom"/>
            <w:hideMark/>
          </w:tcPr>
          <w:p w:rsidRPr="00F60EFF" w:rsidR="00F60EFF" w:rsidP="001F0325" w:rsidRDefault="00F60EFF" w14:paraId="6A0B1603" w14:textId="7A5664E3">
            <w:pPr>
              <w:widowControl/>
              <w:autoSpaceDE/>
              <w:autoSpaceDN/>
              <w:adjustRightInd/>
              <w:spacing w:after="0"/>
              <w:jc w:val="center"/>
              <w:rPr>
                <w:rFonts w:ascii="Arial" w:hAnsi="Arial" w:cs="Arial"/>
                <w:b/>
                <w:bCs/>
                <w:color w:val="000000"/>
                <w:sz w:val="18"/>
                <w:szCs w:val="18"/>
                <w:u w:val="single"/>
              </w:rPr>
            </w:pPr>
            <w:r w:rsidRPr="00F60EFF">
              <w:rPr>
                <w:rFonts w:ascii="Arial" w:hAnsi="Arial" w:cs="Arial"/>
                <w:b/>
                <w:bCs/>
                <w:color w:val="000000"/>
                <w:sz w:val="18"/>
                <w:szCs w:val="18"/>
                <w:u w:val="single"/>
              </w:rPr>
              <w:t xml:space="preserve">Reinterview </w:t>
            </w:r>
            <w:r w:rsidRPr="00F60EFF">
              <w:rPr>
                <w:rFonts w:ascii="Arial" w:hAnsi="Arial" w:cs="Arial"/>
                <w:b/>
                <w:bCs/>
                <w:color w:val="000000"/>
                <w:sz w:val="18"/>
                <w:szCs w:val="18"/>
                <w:u w:val="single"/>
              </w:rPr>
              <w:br/>
              <w:t>(Non-interviews)</w:t>
            </w:r>
          </w:p>
        </w:tc>
        <w:tc>
          <w:tcPr>
            <w:tcW w:w="331" w:type="dxa"/>
            <w:tcBorders>
              <w:top w:val="nil"/>
              <w:left w:val="nil"/>
              <w:bottom w:val="nil"/>
              <w:right w:val="single" w:color="auto" w:sz="8" w:space="0"/>
            </w:tcBorders>
            <w:shd w:val="clear" w:color="auto" w:fill="auto"/>
            <w:noWrap/>
            <w:vAlign w:val="center"/>
            <w:hideMark/>
          </w:tcPr>
          <w:p w:rsidRPr="00F60EFF" w:rsidR="00F60EFF" w:rsidP="00F60EFF" w:rsidRDefault="00F60EFF" w14:paraId="46586BF9" w14:textId="77777777">
            <w:pPr>
              <w:widowControl/>
              <w:autoSpaceDE/>
              <w:autoSpaceDN/>
              <w:adjustRightInd/>
              <w:spacing w:after="0"/>
              <w:jc w:val="center"/>
              <w:rPr>
                <w:rFonts w:ascii="Arial" w:hAnsi="Arial" w:cs="Arial"/>
                <w:b/>
                <w:bCs/>
                <w:color w:val="000000"/>
                <w:sz w:val="20"/>
              </w:rPr>
            </w:pPr>
            <w:r w:rsidRPr="00F60EFF">
              <w:rPr>
                <w:rFonts w:ascii="Arial" w:hAnsi="Arial" w:cs="Arial"/>
                <w:b/>
                <w:bCs/>
                <w:color w:val="000000"/>
                <w:sz w:val="20"/>
              </w:rPr>
              <w:t> </w:t>
            </w:r>
          </w:p>
        </w:tc>
      </w:tr>
      <w:tr w:rsidRPr="00F60EFF" w:rsidR="00F60EFF" w:rsidTr="001F0325" w14:paraId="019090F3" w14:textId="77777777">
        <w:trPr>
          <w:trHeight w:val="480"/>
        </w:trPr>
        <w:tc>
          <w:tcPr>
            <w:tcW w:w="2000" w:type="dxa"/>
            <w:tcBorders>
              <w:top w:val="nil"/>
              <w:left w:val="single" w:color="auto" w:sz="8" w:space="0"/>
              <w:bottom w:val="nil"/>
              <w:right w:val="nil"/>
            </w:tcBorders>
            <w:shd w:val="clear" w:color="auto" w:fill="auto"/>
            <w:vAlign w:val="center"/>
            <w:hideMark/>
          </w:tcPr>
          <w:p w:rsidRPr="00F60EFF" w:rsidR="00F60EFF" w:rsidP="00F60EFF" w:rsidRDefault="00F60EFF" w14:paraId="45578186" w14:textId="77777777">
            <w:pPr>
              <w:widowControl/>
              <w:autoSpaceDE/>
              <w:autoSpaceDN/>
              <w:adjustRightInd/>
              <w:spacing w:after="0"/>
              <w:jc w:val="center"/>
              <w:rPr>
                <w:rFonts w:ascii="Arial" w:hAnsi="Arial" w:cs="Arial"/>
                <w:color w:val="000000"/>
                <w:sz w:val="18"/>
                <w:szCs w:val="18"/>
              </w:rPr>
            </w:pPr>
            <w:r w:rsidRPr="00F60EFF">
              <w:rPr>
                <w:rFonts w:ascii="Arial" w:hAnsi="Arial" w:cs="Arial"/>
                <w:color w:val="000000"/>
                <w:sz w:val="18"/>
                <w:szCs w:val="18"/>
              </w:rPr>
              <w:t>Number of respondents</w:t>
            </w:r>
          </w:p>
        </w:tc>
        <w:tc>
          <w:tcPr>
            <w:tcW w:w="1207" w:type="dxa"/>
            <w:tcBorders>
              <w:top w:val="nil"/>
              <w:left w:val="nil"/>
              <w:bottom w:val="nil"/>
              <w:right w:val="nil"/>
            </w:tcBorders>
            <w:shd w:val="clear" w:color="auto" w:fill="auto"/>
            <w:vAlign w:val="center"/>
            <w:hideMark/>
          </w:tcPr>
          <w:p w:rsidRPr="00F60EFF" w:rsidR="00F60EFF" w:rsidP="001F0325" w:rsidRDefault="00F60EFF" w14:paraId="4910CBAB"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124,663</w:t>
            </w:r>
          </w:p>
        </w:tc>
        <w:tc>
          <w:tcPr>
            <w:tcW w:w="1557" w:type="dxa"/>
            <w:tcBorders>
              <w:top w:val="nil"/>
              <w:left w:val="nil"/>
              <w:bottom w:val="nil"/>
              <w:right w:val="nil"/>
            </w:tcBorders>
            <w:shd w:val="clear" w:color="auto" w:fill="auto"/>
            <w:vAlign w:val="center"/>
            <w:hideMark/>
          </w:tcPr>
          <w:p w:rsidRPr="00F60EFF" w:rsidR="00F60EFF" w:rsidP="001F0325" w:rsidRDefault="00F60EFF" w14:paraId="24623EBB"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49,372</w:t>
            </w:r>
          </w:p>
        </w:tc>
        <w:tc>
          <w:tcPr>
            <w:tcW w:w="1227" w:type="dxa"/>
            <w:tcBorders>
              <w:top w:val="nil"/>
              <w:left w:val="nil"/>
              <w:bottom w:val="nil"/>
              <w:right w:val="nil"/>
            </w:tcBorders>
            <w:shd w:val="clear" w:color="auto" w:fill="auto"/>
            <w:vAlign w:val="center"/>
            <w:hideMark/>
          </w:tcPr>
          <w:p w:rsidRPr="00F60EFF" w:rsidR="00F60EFF" w:rsidP="001F0325" w:rsidRDefault="00F60EFF" w14:paraId="680D5D14"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8,441</w:t>
            </w:r>
          </w:p>
        </w:tc>
        <w:tc>
          <w:tcPr>
            <w:tcW w:w="1649" w:type="dxa"/>
            <w:tcBorders>
              <w:top w:val="nil"/>
              <w:left w:val="nil"/>
              <w:bottom w:val="nil"/>
              <w:right w:val="nil"/>
            </w:tcBorders>
            <w:shd w:val="clear" w:color="auto" w:fill="auto"/>
            <w:vAlign w:val="center"/>
            <w:hideMark/>
          </w:tcPr>
          <w:p w:rsidRPr="00F60EFF" w:rsidR="00F60EFF" w:rsidP="001F0325" w:rsidRDefault="00F60EFF" w14:paraId="63B8BD9A"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1,087</w:t>
            </w:r>
          </w:p>
        </w:tc>
        <w:tc>
          <w:tcPr>
            <w:tcW w:w="331" w:type="dxa"/>
            <w:tcBorders>
              <w:top w:val="nil"/>
              <w:left w:val="nil"/>
              <w:bottom w:val="nil"/>
              <w:right w:val="single" w:color="auto" w:sz="8" w:space="0"/>
            </w:tcBorders>
            <w:shd w:val="clear" w:color="auto" w:fill="auto"/>
            <w:vAlign w:val="center"/>
            <w:hideMark/>
          </w:tcPr>
          <w:p w:rsidRPr="00F60EFF" w:rsidR="00F60EFF" w:rsidP="00F60EFF" w:rsidRDefault="00F60EFF" w14:paraId="414EA805" w14:textId="77777777">
            <w:pPr>
              <w:widowControl/>
              <w:autoSpaceDE/>
              <w:autoSpaceDN/>
              <w:adjustRightInd/>
              <w:spacing w:after="0"/>
              <w:jc w:val="center"/>
              <w:rPr>
                <w:rFonts w:ascii="Arial" w:hAnsi="Arial" w:cs="Arial"/>
                <w:color w:val="000000"/>
                <w:sz w:val="16"/>
                <w:szCs w:val="16"/>
              </w:rPr>
            </w:pPr>
            <w:r w:rsidRPr="00F60EFF">
              <w:rPr>
                <w:rFonts w:ascii="Arial" w:hAnsi="Arial" w:cs="Arial"/>
                <w:color w:val="000000"/>
                <w:sz w:val="16"/>
                <w:szCs w:val="16"/>
              </w:rPr>
              <w:t> </w:t>
            </w:r>
          </w:p>
        </w:tc>
      </w:tr>
      <w:tr w:rsidRPr="00F60EFF" w:rsidR="00F60EFF" w:rsidTr="001F0325" w14:paraId="6F79C979" w14:textId="77777777">
        <w:trPr>
          <w:trHeight w:val="300"/>
        </w:trPr>
        <w:tc>
          <w:tcPr>
            <w:tcW w:w="2000" w:type="dxa"/>
            <w:tcBorders>
              <w:top w:val="nil"/>
              <w:left w:val="single" w:color="auto" w:sz="8" w:space="0"/>
              <w:bottom w:val="nil"/>
              <w:right w:val="nil"/>
            </w:tcBorders>
            <w:shd w:val="clear" w:color="auto" w:fill="auto"/>
            <w:vAlign w:val="center"/>
            <w:hideMark/>
          </w:tcPr>
          <w:p w:rsidRPr="00F60EFF" w:rsidR="00F60EFF" w:rsidP="00F60EFF" w:rsidRDefault="00F60EFF" w14:paraId="2215788B" w14:textId="77777777">
            <w:pPr>
              <w:widowControl/>
              <w:autoSpaceDE/>
              <w:autoSpaceDN/>
              <w:adjustRightInd/>
              <w:spacing w:after="0"/>
              <w:jc w:val="center"/>
              <w:rPr>
                <w:rFonts w:ascii="Arial" w:hAnsi="Arial" w:cs="Arial"/>
                <w:color w:val="000000"/>
                <w:sz w:val="18"/>
                <w:szCs w:val="18"/>
              </w:rPr>
            </w:pPr>
            <w:r w:rsidRPr="00F60EFF">
              <w:rPr>
                <w:rFonts w:ascii="Arial" w:hAnsi="Arial" w:cs="Arial"/>
                <w:color w:val="000000"/>
                <w:sz w:val="18"/>
                <w:szCs w:val="18"/>
              </w:rPr>
              <w:t>Number of responses</w:t>
            </w:r>
          </w:p>
        </w:tc>
        <w:tc>
          <w:tcPr>
            <w:tcW w:w="1207" w:type="dxa"/>
            <w:tcBorders>
              <w:top w:val="nil"/>
              <w:left w:val="nil"/>
              <w:bottom w:val="nil"/>
              <w:right w:val="nil"/>
            </w:tcBorders>
            <w:shd w:val="clear" w:color="auto" w:fill="auto"/>
            <w:vAlign w:val="center"/>
            <w:hideMark/>
          </w:tcPr>
          <w:p w:rsidRPr="00F60EFF" w:rsidR="00F60EFF" w:rsidP="001F0325" w:rsidRDefault="00F60EFF" w14:paraId="2CBE442A"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2</w:t>
            </w:r>
          </w:p>
        </w:tc>
        <w:tc>
          <w:tcPr>
            <w:tcW w:w="1557" w:type="dxa"/>
            <w:tcBorders>
              <w:top w:val="nil"/>
              <w:left w:val="nil"/>
              <w:bottom w:val="nil"/>
              <w:right w:val="nil"/>
            </w:tcBorders>
            <w:shd w:val="clear" w:color="auto" w:fill="auto"/>
            <w:vAlign w:val="center"/>
            <w:hideMark/>
          </w:tcPr>
          <w:p w:rsidRPr="00F60EFF" w:rsidR="00F60EFF" w:rsidP="001F0325" w:rsidRDefault="00F60EFF" w14:paraId="1A49D22B"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2</w:t>
            </w:r>
          </w:p>
        </w:tc>
        <w:tc>
          <w:tcPr>
            <w:tcW w:w="1227" w:type="dxa"/>
            <w:tcBorders>
              <w:top w:val="nil"/>
              <w:left w:val="nil"/>
              <w:bottom w:val="nil"/>
              <w:right w:val="nil"/>
            </w:tcBorders>
            <w:shd w:val="clear" w:color="auto" w:fill="auto"/>
            <w:vAlign w:val="center"/>
            <w:hideMark/>
          </w:tcPr>
          <w:p w:rsidRPr="00F60EFF" w:rsidR="00F60EFF" w:rsidP="001F0325" w:rsidRDefault="00F60EFF" w14:paraId="1D1081B8"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1</w:t>
            </w:r>
          </w:p>
        </w:tc>
        <w:tc>
          <w:tcPr>
            <w:tcW w:w="1649" w:type="dxa"/>
            <w:tcBorders>
              <w:top w:val="nil"/>
              <w:left w:val="nil"/>
              <w:bottom w:val="nil"/>
              <w:right w:val="nil"/>
            </w:tcBorders>
            <w:shd w:val="clear" w:color="auto" w:fill="auto"/>
            <w:vAlign w:val="center"/>
            <w:hideMark/>
          </w:tcPr>
          <w:p w:rsidRPr="00F60EFF" w:rsidR="00F60EFF" w:rsidP="001F0325" w:rsidRDefault="00F60EFF" w14:paraId="1D4D339E"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1</w:t>
            </w:r>
          </w:p>
        </w:tc>
        <w:tc>
          <w:tcPr>
            <w:tcW w:w="331" w:type="dxa"/>
            <w:tcBorders>
              <w:top w:val="nil"/>
              <w:left w:val="nil"/>
              <w:bottom w:val="nil"/>
              <w:right w:val="single" w:color="auto" w:sz="8" w:space="0"/>
            </w:tcBorders>
            <w:shd w:val="clear" w:color="auto" w:fill="auto"/>
            <w:vAlign w:val="center"/>
            <w:hideMark/>
          </w:tcPr>
          <w:p w:rsidRPr="00F60EFF" w:rsidR="00F60EFF" w:rsidP="00F60EFF" w:rsidRDefault="00F60EFF" w14:paraId="35C20655" w14:textId="77777777">
            <w:pPr>
              <w:widowControl/>
              <w:autoSpaceDE/>
              <w:autoSpaceDN/>
              <w:adjustRightInd/>
              <w:spacing w:after="0"/>
              <w:jc w:val="center"/>
              <w:rPr>
                <w:rFonts w:ascii="Arial" w:hAnsi="Arial" w:cs="Arial"/>
                <w:color w:val="000000"/>
                <w:sz w:val="16"/>
                <w:szCs w:val="16"/>
              </w:rPr>
            </w:pPr>
            <w:r w:rsidRPr="00F60EFF">
              <w:rPr>
                <w:rFonts w:ascii="Arial" w:hAnsi="Arial" w:cs="Arial"/>
                <w:color w:val="000000"/>
                <w:sz w:val="16"/>
                <w:szCs w:val="16"/>
              </w:rPr>
              <w:t> </w:t>
            </w:r>
          </w:p>
        </w:tc>
      </w:tr>
      <w:tr w:rsidRPr="00F60EFF" w:rsidR="00F60EFF" w:rsidTr="001F0325" w14:paraId="09287D9A" w14:textId="77777777">
        <w:trPr>
          <w:trHeight w:val="480"/>
        </w:trPr>
        <w:tc>
          <w:tcPr>
            <w:tcW w:w="2000" w:type="dxa"/>
            <w:tcBorders>
              <w:top w:val="nil"/>
              <w:left w:val="single" w:color="auto" w:sz="8" w:space="0"/>
              <w:bottom w:val="nil"/>
              <w:right w:val="nil"/>
            </w:tcBorders>
            <w:shd w:val="clear" w:color="auto" w:fill="auto"/>
            <w:vAlign w:val="center"/>
            <w:hideMark/>
          </w:tcPr>
          <w:p w:rsidRPr="00F60EFF" w:rsidR="00F60EFF" w:rsidP="00F60EFF" w:rsidRDefault="00F60EFF" w14:paraId="2E332058" w14:textId="77777777">
            <w:pPr>
              <w:widowControl/>
              <w:autoSpaceDE/>
              <w:autoSpaceDN/>
              <w:adjustRightInd/>
              <w:spacing w:after="0"/>
              <w:jc w:val="center"/>
              <w:rPr>
                <w:rFonts w:ascii="Arial" w:hAnsi="Arial" w:cs="Arial"/>
                <w:color w:val="000000"/>
                <w:sz w:val="18"/>
                <w:szCs w:val="18"/>
              </w:rPr>
            </w:pPr>
            <w:r w:rsidRPr="00F60EFF">
              <w:rPr>
                <w:rFonts w:ascii="Arial" w:hAnsi="Arial" w:cs="Arial"/>
                <w:color w:val="000000"/>
                <w:sz w:val="18"/>
                <w:szCs w:val="18"/>
              </w:rPr>
              <w:t>Estimated number of hours per response</w:t>
            </w:r>
          </w:p>
        </w:tc>
        <w:tc>
          <w:tcPr>
            <w:tcW w:w="1207" w:type="dxa"/>
            <w:tcBorders>
              <w:top w:val="nil"/>
              <w:left w:val="nil"/>
              <w:bottom w:val="nil"/>
              <w:right w:val="nil"/>
            </w:tcBorders>
            <w:shd w:val="clear" w:color="auto" w:fill="auto"/>
            <w:vAlign w:val="center"/>
            <w:hideMark/>
          </w:tcPr>
          <w:p w:rsidRPr="00F60EFF" w:rsidR="00F60EFF" w:rsidP="001F0325" w:rsidRDefault="00F60EFF" w14:paraId="7A6C8D55"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0.4167</w:t>
            </w:r>
          </w:p>
        </w:tc>
        <w:tc>
          <w:tcPr>
            <w:tcW w:w="1557" w:type="dxa"/>
            <w:tcBorders>
              <w:top w:val="nil"/>
              <w:left w:val="nil"/>
              <w:bottom w:val="nil"/>
              <w:right w:val="nil"/>
            </w:tcBorders>
            <w:shd w:val="clear" w:color="auto" w:fill="auto"/>
            <w:vAlign w:val="center"/>
            <w:hideMark/>
          </w:tcPr>
          <w:p w:rsidRPr="00F60EFF" w:rsidR="00F60EFF" w:rsidP="001F0325" w:rsidRDefault="00F60EFF" w14:paraId="3176ED04"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0.1167</w:t>
            </w:r>
          </w:p>
        </w:tc>
        <w:tc>
          <w:tcPr>
            <w:tcW w:w="1227" w:type="dxa"/>
            <w:tcBorders>
              <w:top w:val="nil"/>
              <w:left w:val="nil"/>
              <w:bottom w:val="nil"/>
              <w:right w:val="nil"/>
            </w:tcBorders>
            <w:shd w:val="clear" w:color="auto" w:fill="auto"/>
            <w:vAlign w:val="center"/>
            <w:hideMark/>
          </w:tcPr>
          <w:p w:rsidRPr="00F60EFF" w:rsidR="00F60EFF" w:rsidP="001F0325" w:rsidRDefault="00F60EFF" w14:paraId="3A6F851A"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0.2500</w:t>
            </w:r>
          </w:p>
        </w:tc>
        <w:tc>
          <w:tcPr>
            <w:tcW w:w="1649" w:type="dxa"/>
            <w:tcBorders>
              <w:top w:val="nil"/>
              <w:left w:val="nil"/>
              <w:bottom w:val="nil"/>
              <w:right w:val="nil"/>
            </w:tcBorders>
            <w:shd w:val="clear" w:color="auto" w:fill="auto"/>
            <w:vAlign w:val="center"/>
            <w:hideMark/>
          </w:tcPr>
          <w:p w:rsidRPr="00F60EFF" w:rsidR="00F60EFF" w:rsidP="001F0325" w:rsidRDefault="00F60EFF" w14:paraId="6351F755"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0.0167</w:t>
            </w:r>
          </w:p>
        </w:tc>
        <w:tc>
          <w:tcPr>
            <w:tcW w:w="331" w:type="dxa"/>
            <w:tcBorders>
              <w:top w:val="nil"/>
              <w:left w:val="nil"/>
              <w:bottom w:val="nil"/>
              <w:right w:val="single" w:color="auto" w:sz="8" w:space="0"/>
            </w:tcBorders>
            <w:shd w:val="clear" w:color="auto" w:fill="auto"/>
            <w:vAlign w:val="center"/>
            <w:hideMark/>
          </w:tcPr>
          <w:p w:rsidRPr="00F60EFF" w:rsidR="00F60EFF" w:rsidP="00F60EFF" w:rsidRDefault="00F60EFF" w14:paraId="5A8A5D41" w14:textId="77777777">
            <w:pPr>
              <w:widowControl/>
              <w:autoSpaceDE/>
              <w:autoSpaceDN/>
              <w:adjustRightInd/>
              <w:spacing w:after="0"/>
              <w:jc w:val="center"/>
              <w:rPr>
                <w:rFonts w:ascii="Arial" w:hAnsi="Arial" w:cs="Arial"/>
                <w:color w:val="000000"/>
                <w:sz w:val="16"/>
                <w:szCs w:val="16"/>
              </w:rPr>
            </w:pPr>
            <w:r w:rsidRPr="00F60EFF">
              <w:rPr>
                <w:rFonts w:ascii="Arial" w:hAnsi="Arial" w:cs="Arial"/>
                <w:color w:val="000000"/>
                <w:sz w:val="16"/>
                <w:szCs w:val="16"/>
              </w:rPr>
              <w:t> </w:t>
            </w:r>
          </w:p>
        </w:tc>
      </w:tr>
      <w:tr w:rsidRPr="00F60EFF" w:rsidR="00F60EFF" w:rsidTr="001F0325" w14:paraId="7D89CD0A" w14:textId="77777777">
        <w:trPr>
          <w:trHeight w:val="510"/>
        </w:trPr>
        <w:tc>
          <w:tcPr>
            <w:tcW w:w="2000" w:type="dxa"/>
            <w:tcBorders>
              <w:top w:val="nil"/>
              <w:left w:val="single" w:color="auto" w:sz="8" w:space="0"/>
              <w:bottom w:val="nil"/>
              <w:right w:val="nil"/>
            </w:tcBorders>
            <w:shd w:val="clear" w:color="auto" w:fill="auto"/>
            <w:vAlign w:val="center"/>
            <w:hideMark/>
          </w:tcPr>
          <w:p w:rsidRPr="00F60EFF" w:rsidR="00F60EFF" w:rsidP="00F60EFF" w:rsidRDefault="00F60EFF" w14:paraId="71674181" w14:textId="77777777">
            <w:pPr>
              <w:widowControl/>
              <w:autoSpaceDE/>
              <w:autoSpaceDN/>
              <w:adjustRightInd/>
              <w:spacing w:after="0"/>
              <w:jc w:val="center"/>
              <w:rPr>
                <w:rFonts w:ascii="Arial" w:hAnsi="Arial" w:cs="Arial"/>
                <w:color w:val="000000"/>
                <w:sz w:val="18"/>
                <w:szCs w:val="18"/>
              </w:rPr>
            </w:pPr>
            <w:r w:rsidRPr="00F60EFF">
              <w:rPr>
                <w:rFonts w:ascii="Arial" w:hAnsi="Arial" w:cs="Arial"/>
                <w:color w:val="000000"/>
                <w:sz w:val="18"/>
                <w:szCs w:val="18"/>
              </w:rPr>
              <w:t>Estimated total hours for respondent</w:t>
            </w:r>
            <w:r w:rsidRPr="00F60EFF">
              <w:rPr>
                <w:rFonts w:ascii="Arial" w:hAnsi="Arial" w:cs="Arial"/>
                <w:color w:val="000000"/>
                <w:sz w:val="18"/>
                <w:szCs w:val="18"/>
                <w:vertAlign w:val="superscript"/>
              </w:rPr>
              <w:t>a</w:t>
            </w:r>
          </w:p>
        </w:tc>
        <w:tc>
          <w:tcPr>
            <w:tcW w:w="1207" w:type="dxa"/>
            <w:tcBorders>
              <w:top w:val="nil"/>
              <w:left w:val="nil"/>
              <w:bottom w:val="nil"/>
              <w:right w:val="nil"/>
            </w:tcBorders>
            <w:shd w:val="clear" w:color="auto" w:fill="auto"/>
            <w:vAlign w:val="center"/>
            <w:hideMark/>
          </w:tcPr>
          <w:p w:rsidRPr="00F60EFF" w:rsidR="00F60EFF" w:rsidP="001F0325" w:rsidRDefault="00F60EFF" w14:paraId="2148D36C" w14:textId="338FB4B4">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103,8</w:t>
            </w:r>
            <w:r w:rsidR="001F0325">
              <w:rPr>
                <w:rFonts w:ascii="Arial" w:hAnsi="Arial" w:cs="Arial"/>
                <w:color w:val="000000"/>
                <w:sz w:val="16"/>
                <w:szCs w:val="16"/>
              </w:rPr>
              <w:t>94</w:t>
            </w:r>
          </w:p>
        </w:tc>
        <w:tc>
          <w:tcPr>
            <w:tcW w:w="1557" w:type="dxa"/>
            <w:tcBorders>
              <w:top w:val="nil"/>
              <w:left w:val="nil"/>
              <w:bottom w:val="nil"/>
              <w:right w:val="nil"/>
            </w:tcBorders>
            <w:shd w:val="clear" w:color="auto" w:fill="auto"/>
            <w:vAlign w:val="center"/>
            <w:hideMark/>
          </w:tcPr>
          <w:p w:rsidRPr="00F60EFF" w:rsidR="00F60EFF" w:rsidP="001F0325" w:rsidRDefault="00F60EFF" w14:paraId="01E39CE5" w14:textId="3EA3A61E">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11,52</w:t>
            </w:r>
            <w:r w:rsidR="001F0325">
              <w:rPr>
                <w:rFonts w:ascii="Arial" w:hAnsi="Arial" w:cs="Arial"/>
                <w:color w:val="000000"/>
                <w:sz w:val="16"/>
                <w:szCs w:val="16"/>
              </w:rPr>
              <w:t>3</w:t>
            </w:r>
          </w:p>
        </w:tc>
        <w:tc>
          <w:tcPr>
            <w:tcW w:w="1227" w:type="dxa"/>
            <w:tcBorders>
              <w:top w:val="nil"/>
              <w:left w:val="nil"/>
              <w:bottom w:val="nil"/>
              <w:right w:val="nil"/>
            </w:tcBorders>
            <w:shd w:val="clear" w:color="auto" w:fill="auto"/>
            <w:vAlign w:val="center"/>
            <w:hideMark/>
          </w:tcPr>
          <w:p w:rsidRPr="00F60EFF" w:rsidR="00F60EFF" w:rsidP="001F0325" w:rsidRDefault="00F60EFF" w14:paraId="1406BBAF"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2,110</w:t>
            </w:r>
          </w:p>
        </w:tc>
        <w:tc>
          <w:tcPr>
            <w:tcW w:w="1649" w:type="dxa"/>
            <w:tcBorders>
              <w:top w:val="nil"/>
              <w:left w:val="nil"/>
              <w:bottom w:val="nil"/>
              <w:right w:val="nil"/>
            </w:tcBorders>
            <w:shd w:val="clear" w:color="auto" w:fill="auto"/>
            <w:vAlign w:val="center"/>
            <w:hideMark/>
          </w:tcPr>
          <w:p w:rsidRPr="00F60EFF" w:rsidR="00F60EFF" w:rsidP="001F0325" w:rsidRDefault="00F60EFF" w14:paraId="615AEEC8" w14:textId="77777777">
            <w:pPr>
              <w:widowControl/>
              <w:autoSpaceDE/>
              <w:autoSpaceDN/>
              <w:adjustRightInd/>
              <w:spacing w:after="0"/>
              <w:jc w:val="right"/>
              <w:rPr>
                <w:rFonts w:ascii="Arial" w:hAnsi="Arial" w:cs="Arial"/>
                <w:color w:val="000000"/>
                <w:sz w:val="16"/>
                <w:szCs w:val="16"/>
              </w:rPr>
            </w:pPr>
            <w:r w:rsidRPr="00F60EFF">
              <w:rPr>
                <w:rFonts w:ascii="Arial" w:hAnsi="Arial" w:cs="Arial"/>
                <w:color w:val="000000"/>
                <w:sz w:val="16"/>
                <w:szCs w:val="16"/>
              </w:rPr>
              <w:t>18</w:t>
            </w:r>
          </w:p>
        </w:tc>
        <w:tc>
          <w:tcPr>
            <w:tcW w:w="331" w:type="dxa"/>
            <w:tcBorders>
              <w:top w:val="nil"/>
              <w:left w:val="nil"/>
              <w:bottom w:val="nil"/>
              <w:right w:val="single" w:color="auto" w:sz="8" w:space="0"/>
            </w:tcBorders>
            <w:shd w:val="clear" w:color="auto" w:fill="auto"/>
            <w:vAlign w:val="center"/>
            <w:hideMark/>
          </w:tcPr>
          <w:p w:rsidRPr="00F60EFF" w:rsidR="00F60EFF" w:rsidP="00F60EFF" w:rsidRDefault="00F60EFF" w14:paraId="78876710" w14:textId="77777777">
            <w:pPr>
              <w:widowControl/>
              <w:autoSpaceDE/>
              <w:autoSpaceDN/>
              <w:adjustRightInd/>
              <w:spacing w:after="0"/>
              <w:jc w:val="center"/>
              <w:rPr>
                <w:rFonts w:ascii="Arial" w:hAnsi="Arial" w:cs="Arial"/>
                <w:color w:val="000000"/>
                <w:sz w:val="16"/>
                <w:szCs w:val="16"/>
              </w:rPr>
            </w:pPr>
            <w:r w:rsidRPr="00F60EFF">
              <w:rPr>
                <w:rFonts w:ascii="Arial" w:hAnsi="Arial" w:cs="Arial"/>
                <w:color w:val="000000"/>
                <w:sz w:val="16"/>
                <w:szCs w:val="16"/>
              </w:rPr>
              <w:t> </w:t>
            </w:r>
          </w:p>
        </w:tc>
      </w:tr>
      <w:tr w:rsidRPr="00F60EFF" w:rsidR="00F60EFF" w:rsidTr="00F60EFF" w14:paraId="080F851A" w14:textId="77777777">
        <w:trPr>
          <w:trHeight w:val="300"/>
        </w:trPr>
        <w:tc>
          <w:tcPr>
            <w:tcW w:w="2000" w:type="dxa"/>
            <w:tcBorders>
              <w:top w:val="nil"/>
              <w:left w:val="single" w:color="auto" w:sz="8" w:space="0"/>
              <w:bottom w:val="nil"/>
              <w:right w:val="nil"/>
            </w:tcBorders>
            <w:shd w:val="clear" w:color="auto" w:fill="auto"/>
            <w:vAlign w:val="center"/>
            <w:hideMark/>
          </w:tcPr>
          <w:p w:rsidRPr="00F60EFF" w:rsidR="00F60EFF" w:rsidP="00F60EFF" w:rsidRDefault="00F60EFF" w14:paraId="2A8BFF21" w14:textId="77777777">
            <w:pPr>
              <w:widowControl/>
              <w:autoSpaceDE/>
              <w:autoSpaceDN/>
              <w:adjustRightInd/>
              <w:spacing w:after="0"/>
              <w:rPr>
                <w:rFonts w:ascii="Arial" w:hAnsi="Arial" w:cs="Arial"/>
                <w:color w:val="000000"/>
                <w:sz w:val="18"/>
                <w:szCs w:val="18"/>
              </w:rPr>
            </w:pPr>
            <w:r w:rsidRPr="00F60EFF">
              <w:rPr>
                <w:rFonts w:ascii="Arial" w:hAnsi="Arial" w:cs="Arial"/>
                <w:color w:val="000000"/>
                <w:sz w:val="18"/>
                <w:szCs w:val="18"/>
              </w:rPr>
              <w:t> </w:t>
            </w:r>
          </w:p>
        </w:tc>
        <w:tc>
          <w:tcPr>
            <w:tcW w:w="1207" w:type="dxa"/>
            <w:tcBorders>
              <w:top w:val="nil"/>
              <w:left w:val="nil"/>
              <w:bottom w:val="nil"/>
              <w:right w:val="nil"/>
            </w:tcBorders>
            <w:shd w:val="clear" w:color="auto" w:fill="auto"/>
            <w:vAlign w:val="center"/>
            <w:hideMark/>
          </w:tcPr>
          <w:p w:rsidRPr="00F60EFF" w:rsidR="00F60EFF" w:rsidP="00F60EFF" w:rsidRDefault="00F60EFF" w14:paraId="57C770A0" w14:textId="77777777">
            <w:pPr>
              <w:widowControl/>
              <w:autoSpaceDE/>
              <w:autoSpaceDN/>
              <w:adjustRightInd/>
              <w:spacing w:after="0"/>
              <w:rPr>
                <w:rFonts w:ascii="Arial" w:hAnsi="Arial" w:cs="Arial"/>
                <w:color w:val="000000"/>
                <w:sz w:val="18"/>
                <w:szCs w:val="18"/>
              </w:rPr>
            </w:pPr>
          </w:p>
        </w:tc>
        <w:tc>
          <w:tcPr>
            <w:tcW w:w="1557" w:type="dxa"/>
            <w:tcBorders>
              <w:top w:val="nil"/>
              <w:left w:val="nil"/>
              <w:bottom w:val="nil"/>
              <w:right w:val="nil"/>
            </w:tcBorders>
            <w:shd w:val="clear" w:color="auto" w:fill="auto"/>
            <w:vAlign w:val="center"/>
            <w:hideMark/>
          </w:tcPr>
          <w:p w:rsidRPr="00F60EFF" w:rsidR="00F60EFF" w:rsidP="00F60EFF" w:rsidRDefault="00F60EFF" w14:paraId="19388996" w14:textId="77777777">
            <w:pPr>
              <w:widowControl/>
              <w:autoSpaceDE/>
              <w:autoSpaceDN/>
              <w:adjustRightInd/>
              <w:spacing w:after="0"/>
              <w:rPr>
                <w:rFonts w:ascii="Times New Roman" w:hAnsi="Times New Roman" w:cs="Times New Roman"/>
                <w:sz w:val="20"/>
              </w:rPr>
            </w:pPr>
          </w:p>
        </w:tc>
        <w:tc>
          <w:tcPr>
            <w:tcW w:w="1227" w:type="dxa"/>
            <w:tcBorders>
              <w:top w:val="nil"/>
              <w:left w:val="nil"/>
              <w:bottom w:val="nil"/>
              <w:right w:val="nil"/>
            </w:tcBorders>
            <w:shd w:val="clear" w:color="auto" w:fill="auto"/>
            <w:vAlign w:val="center"/>
            <w:hideMark/>
          </w:tcPr>
          <w:p w:rsidRPr="00F60EFF" w:rsidR="00F60EFF" w:rsidP="00F60EFF" w:rsidRDefault="00F60EFF" w14:paraId="290302B4" w14:textId="77777777">
            <w:pPr>
              <w:widowControl/>
              <w:autoSpaceDE/>
              <w:autoSpaceDN/>
              <w:adjustRightInd/>
              <w:spacing w:after="0"/>
              <w:rPr>
                <w:rFonts w:ascii="Times New Roman" w:hAnsi="Times New Roman" w:cs="Times New Roman"/>
                <w:sz w:val="20"/>
              </w:rPr>
            </w:pPr>
          </w:p>
        </w:tc>
        <w:tc>
          <w:tcPr>
            <w:tcW w:w="1649" w:type="dxa"/>
            <w:tcBorders>
              <w:top w:val="nil"/>
              <w:left w:val="nil"/>
              <w:bottom w:val="nil"/>
              <w:right w:val="nil"/>
            </w:tcBorders>
            <w:shd w:val="clear" w:color="auto" w:fill="auto"/>
            <w:vAlign w:val="center"/>
            <w:hideMark/>
          </w:tcPr>
          <w:p w:rsidRPr="00F60EFF" w:rsidR="00F60EFF" w:rsidP="00F60EFF" w:rsidRDefault="00F60EFF" w14:paraId="738B8A9B" w14:textId="77777777">
            <w:pPr>
              <w:widowControl/>
              <w:autoSpaceDE/>
              <w:autoSpaceDN/>
              <w:adjustRightInd/>
              <w:spacing w:after="0"/>
              <w:rPr>
                <w:rFonts w:ascii="Times New Roman" w:hAnsi="Times New Roman" w:cs="Times New Roman"/>
                <w:sz w:val="20"/>
              </w:rPr>
            </w:pPr>
          </w:p>
        </w:tc>
        <w:tc>
          <w:tcPr>
            <w:tcW w:w="331" w:type="dxa"/>
            <w:tcBorders>
              <w:top w:val="nil"/>
              <w:left w:val="nil"/>
              <w:bottom w:val="nil"/>
              <w:right w:val="single" w:color="auto" w:sz="8" w:space="0"/>
            </w:tcBorders>
            <w:shd w:val="clear" w:color="auto" w:fill="auto"/>
            <w:vAlign w:val="center"/>
            <w:hideMark/>
          </w:tcPr>
          <w:p w:rsidRPr="00F60EFF" w:rsidR="00F60EFF" w:rsidP="00F60EFF" w:rsidRDefault="00F60EFF" w14:paraId="4B5146A2" w14:textId="77777777">
            <w:pPr>
              <w:widowControl/>
              <w:autoSpaceDE/>
              <w:autoSpaceDN/>
              <w:adjustRightInd/>
              <w:spacing w:after="0"/>
              <w:rPr>
                <w:rFonts w:ascii="Arial" w:hAnsi="Arial" w:cs="Arial"/>
                <w:color w:val="000000"/>
                <w:sz w:val="18"/>
                <w:szCs w:val="18"/>
              </w:rPr>
            </w:pPr>
            <w:r w:rsidRPr="00F60EFF">
              <w:rPr>
                <w:rFonts w:ascii="Arial" w:hAnsi="Arial" w:cs="Arial"/>
                <w:color w:val="000000"/>
                <w:sz w:val="18"/>
                <w:szCs w:val="18"/>
              </w:rPr>
              <w:t> </w:t>
            </w:r>
          </w:p>
        </w:tc>
      </w:tr>
      <w:tr w:rsidRPr="00F60EFF" w:rsidR="00F60EFF" w:rsidTr="00F60EFF" w14:paraId="79EECA95" w14:textId="77777777">
        <w:trPr>
          <w:trHeight w:val="300"/>
        </w:trPr>
        <w:tc>
          <w:tcPr>
            <w:tcW w:w="2000" w:type="dxa"/>
            <w:tcBorders>
              <w:top w:val="nil"/>
              <w:left w:val="single" w:color="auto" w:sz="8" w:space="0"/>
              <w:bottom w:val="nil"/>
              <w:right w:val="nil"/>
            </w:tcBorders>
            <w:shd w:val="clear" w:color="auto" w:fill="auto"/>
            <w:vAlign w:val="center"/>
            <w:hideMark/>
          </w:tcPr>
          <w:p w:rsidRPr="00F60EFF" w:rsidR="00F60EFF" w:rsidP="00F60EFF" w:rsidRDefault="00F60EFF" w14:paraId="5671FE86" w14:textId="77777777">
            <w:pPr>
              <w:widowControl/>
              <w:autoSpaceDE/>
              <w:autoSpaceDN/>
              <w:adjustRightInd/>
              <w:spacing w:after="0"/>
              <w:rPr>
                <w:rFonts w:ascii="Arial" w:hAnsi="Arial" w:cs="Arial"/>
                <w:b/>
                <w:bCs/>
                <w:color w:val="000000"/>
                <w:sz w:val="18"/>
                <w:szCs w:val="18"/>
              </w:rPr>
            </w:pPr>
            <w:r w:rsidRPr="00F60EFF">
              <w:rPr>
                <w:rFonts w:ascii="Arial" w:hAnsi="Arial" w:cs="Arial"/>
                <w:b/>
                <w:bCs/>
                <w:color w:val="000000"/>
                <w:sz w:val="18"/>
                <w:szCs w:val="18"/>
              </w:rPr>
              <w:t>Hours for year 1</w:t>
            </w:r>
            <w:r w:rsidRPr="00F60EFF">
              <w:rPr>
                <w:rFonts w:ascii="Arial" w:hAnsi="Arial" w:cs="Arial"/>
                <w:b/>
                <w:bCs/>
                <w:color w:val="000000"/>
                <w:sz w:val="18"/>
                <w:szCs w:val="18"/>
                <w:vertAlign w:val="superscript"/>
              </w:rPr>
              <w:t>b</w:t>
            </w:r>
          </w:p>
        </w:tc>
        <w:tc>
          <w:tcPr>
            <w:tcW w:w="1207" w:type="dxa"/>
            <w:tcBorders>
              <w:top w:val="nil"/>
              <w:left w:val="nil"/>
              <w:bottom w:val="nil"/>
              <w:right w:val="nil"/>
            </w:tcBorders>
            <w:shd w:val="clear" w:color="auto" w:fill="auto"/>
            <w:vAlign w:val="center"/>
            <w:hideMark/>
          </w:tcPr>
          <w:p w:rsidRPr="00F60EFF" w:rsidR="00F60EFF" w:rsidP="00F60EFF" w:rsidRDefault="00F60EFF" w14:paraId="6E3E50D7" w14:textId="5EF3026C">
            <w:pPr>
              <w:widowControl/>
              <w:autoSpaceDE/>
              <w:autoSpaceDN/>
              <w:adjustRightInd/>
              <w:spacing w:after="0"/>
              <w:jc w:val="right"/>
              <w:rPr>
                <w:rFonts w:ascii="Arial" w:hAnsi="Arial" w:cs="Arial"/>
                <w:color w:val="000000"/>
                <w:sz w:val="18"/>
                <w:szCs w:val="18"/>
              </w:rPr>
            </w:pPr>
            <w:r w:rsidRPr="00F60EFF">
              <w:rPr>
                <w:rFonts w:ascii="Arial" w:hAnsi="Arial" w:cs="Arial"/>
                <w:color w:val="000000"/>
                <w:sz w:val="18"/>
                <w:szCs w:val="18"/>
              </w:rPr>
              <w:t>117,5</w:t>
            </w:r>
            <w:r w:rsidR="001F0325">
              <w:rPr>
                <w:rFonts w:ascii="Arial" w:hAnsi="Arial" w:cs="Arial"/>
                <w:color w:val="000000"/>
                <w:sz w:val="18"/>
                <w:szCs w:val="18"/>
              </w:rPr>
              <w:t>4</w:t>
            </w:r>
            <w:r w:rsidRPr="00F60EFF">
              <w:rPr>
                <w:rFonts w:ascii="Arial" w:hAnsi="Arial" w:cs="Arial"/>
                <w:color w:val="000000"/>
                <w:sz w:val="18"/>
                <w:szCs w:val="18"/>
              </w:rPr>
              <w:t>5</w:t>
            </w:r>
          </w:p>
        </w:tc>
        <w:tc>
          <w:tcPr>
            <w:tcW w:w="1557" w:type="dxa"/>
            <w:tcBorders>
              <w:top w:val="nil"/>
              <w:left w:val="nil"/>
              <w:bottom w:val="nil"/>
              <w:right w:val="nil"/>
            </w:tcBorders>
            <w:shd w:val="clear" w:color="auto" w:fill="auto"/>
            <w:vAlign w:val="center"/>
            <w:hideMark/>
          </w:tcPr>
          <w:p w:rsidRPr="00F60EFF" w:rsidR="00F60EFF" w:rsidP="00F60EFF" w:rsidRDefault="00F60EFF" w14:paraId="67B0331A" w14:textId="77777777">
            <w:pPr>
              <w:widowControl/>
              <w:autoSpaceDE/>
              <w:autoSpaceDN/>
              <w:adjustRightInd/>
              <w:spacing w:after="0"/>
              <w:jc w:val="right"/>
              <w:rPr>
                <w:rFonts w:ascii="Arial" w:hAnsi="Arial" w:cs="Arial"/>
                <w:color w:val="000000"/>
                <w:sz w:val="18"/>
                <w:szCs w:val="18"/>
              </w:rPr>
            </w:pPr>
          </w:p>
        </w:tc>
        <w:tc>
          <w:tcPr>
            <w:tcW w:w="1227" w:type="dxa"/>
            <w:tcBorders>
              <w:top w:val="nil"/>
              <w:left w:val="nil"/>
              <w:bottom w:val="nil"/>
              <w:right w:val="nil"/>
            </w:tcBorders>
            <w:shd w:val="clear" w:color="auto" w:fill="auto"/>
            <w:vAlign w:val="center"/>
            <w:hideMark/>
          </w:tcPr>
          <w:p w:rsidRPr="00F60EFF" w:rsidR="00F60EFF" w:rsidP="00F60EFF" w:rsidRDefault="00F60EFF" w14:paraId="6DA554F8" w14:textId="77777777">
            <w:pPr>
              <w:widowControl/>
              <w:autoSpaceDE/>
              <w:autoSpaceDN/>
              <w:adjustRightInd/>
              <w:spacing w:after="0"/>
              <w:rPr>
                <w:rFonts w:ascii="Times New Roman" w:hAnsi="Times New Roman" w:cs="Times New Roman"/>
                <w:sz w:val="20"/>
              </w:rPr>
            </w:pPr>
          </w:p>
        </w:tc>
        <w:tc>
          <w:tcPr>
            <w:tcW w:w="1649" w:type="dxa"/>
            <w:tcBorders>
              <w:top w:val="nil"/>
              <w:left w:val="nil"/>
              <w:bottom w:val="nil"/>
              <w:right w:val="nil"/>
            </w:tcBorders>
            <w:shd w:val="clear" w:color="auto" w:fill="auto"/>
            <w:vAlign w:val="center"/>
            <w:hideMark/>
          </w:tcPr>
          <w:p w:rsidRPr="00F60EFF" w:rsidR="00F60EFF" w:rsidP="00F60EFF" w:rsidRDefault="00F60EFF" w14:paraId="7AB996D7" w14:textId="77777777">
            <w:pPr>
              <w:widowControl/>
              <w:autoSpaceDE/>
              <w:autoSpaceDN/>
              <w:adjustRightInd/>
              <w:spacing w:after="0"/>
              <w:rPr>
                <w:rFonts w:ascii="Times New Roman" w:hAnsi="Times New Roman" w:cs="Times New Roman"/>
                <w:sz w:val="20"/>
              </w:rPr>
            </w:pPr>
          </w:p>
        </w:tc>
        <w:tc>
          <w:tcPr>
            <w:tcW w:w="331" w:type="dxa"/>
            <w:tcBorders>
              <w:top w:val="nil"/>
              <w:left w:val="nil"/>
              <w:bottom w:val="nil"/>
              <w:right w:val="single" w:color="auto" w:sz="8" w:space="0"/>
            </w:tcBorders>
            <w:shd w:val="clear" w:color="auto" w:fill="auto"/>
            <w:vAlign w:val="center"/>
            <w:hideMark/>
          </w:tcPr>
          <w:p w:rsidRPr="00F60EFF" w:rsidR="00F60EFF" w:rsidP="00F60EFF" w:rsidRDefault="00F60EFF" w14:paraId="3CDCB3E9" w14:textId="77777777">
            <w:pPr>
              <w:widowControl/>
              <w:autoSpaceDE/>
              <w:autoSpaceDN/>
              <w:adjustRightInd/>
              <w:spacing w:after="0"/>
              <w:rPr>
                <w:rFonts w:ascii="Arial" w:hAnsi="Arial" w:cs="Arial"/>
                <w:b/>
                <w:bCs/>
                <w:color w:val="000000"/>
                <w:sz w:val="18"/>
                <w:szCs w:val="18"/>
              </w:rPr>
            </w:pPr>
            <w:r w:rsidRPr="00F60EFF">
              <w:rPr>
                <w:rFonts w:ascii="Arial" w:hAnsi="Arial" w:cs="Arial"/>
                <w:b/>
                <w:bCs/>
                <w:color w:val="000000"/>
                <w:sz w:val="18"/>
                <w:szCs w:val="18"/>
              </w:rPr>
              <w:t> </w:t>
            </w:r>
          </w:p>
        </w:tc>
      </w:tr>
      <w:tr w:rsidRPr="00F60EFF" w:rsidR="00F60EFF" w:rsidTr="00F60EFF" w14:paraId="37FB2DB8" w14:textId="77777777">
        <w:trPr>
          <w:trHeight w:val="300"/>
        </w:trPr>
        <w:tc>
          <w:tcPr>
            <w:tcW w:w="2000" w:type="dxa"/>
            <w:tcBorders>
              <w:top w:val="nil"/>
              <w:left w:val="single" w:color="auto" w:sz="8" w:space="0"/>
              <w:bottom w:val="nil"/>
              <w:right w:val="nil"/>
            </w:tcBorders>
            <w:shd w:val="clear" w:color="auto" w:fill="auto"/>
            <w:vAlign w:val="center"/>
            <w:hideMark/>
          </w:tcPr>
          <w:p w:rsidRPr="00F60EFF" w:rsidR="00F60EFF" w:rsidP="00F60EFF" w:rsidRDefault="00F60EFF" w14:paraId="58DEA745" w14:textId="77777777">
            <w:pPr>
              <w:widowControl/>
              <w:autoSpaceDE/>
              <w:autoSpaceDN/>
              <w:adjustRightInd/>
              <w:spacing w:after="0"/>
              <w:rPr>
                <w:rFonts w:ascii="Arial" w:hAnsi="Arial" w:cs="Arial"/>
                <w:b/>
                <w:bCs/>
                <w:color w:val="000000"/>
                <w:sz w:val="18"/>
                <w:szCs w:val="18"/>
              </w:rPr>
            </w:pPr>
            <w:r w:rsidRPr="00F60EFF">
              <w:rPr>
                <w:rFonts w:ascii="Arial" w:hAnsi="Arial" w:cs="Arial"/>
                <w:b/>
                <w:bCs/>
                <w:color w:val="000000"/>
                <w:sz w:val="18"/>
                <w:szCs w:val="18"/>
              </w:rPr>
              <w:t>Hours for year 2</w:t>
            </w:r>
            <w:r w:rsidRPr="00F60EFF">
              <w:rPr>
                <w:rFonts w:ascii="Arial" w:hAnsi="Arial" w:cs="Arial"/>
                <w:b/>
                <w:bCs/>
                <w:color w:val="000000"/>
                <w:sz w:val="18"/>
                <w:szCs w:val="18"/>
                <w:vertAlign w:val="superscript"/>
              </w:rPr>
              <w:t>b</w:t>
            </w:r>
          </w:p>
        </w:tc>
        <w:tc>
          <w:tcPr>
            <w:tcW w:w="1207" w:type="dxa"/>
            <w:tcBorders>
              <w:top w:val="nil"/>
              <w:left w:val="nil"/>
              <w:bottom w:val="nil"/>
              <w:right w:val="nil"/>
            </w:tcBorders>
            <w:shd w:val="clear" w:color="auto" w:fill="auto"/>
            <w:vAlign w:val="center"/>
            <w:hideMark/>
          </w:tcPr>
          <w:p w:rsidRPr="00F60EFF" w:rsidR="00F60EFF" w:rsidP="00F60EFF" w:rsidRDefault="00F60EFF" w14:paraId="70C3E6B1" w14:textId="3BADAE3B">
            <w:pPr>
              <w:widowControl/>
              <w:autoSpaceDE/>
              <w:autoSpaceDN/>
              <w:adjustRightInd/>
              <w:spacing w:after="0"/>
              <w:jc w:val="right"/>
              <w:rPr>
                <w:rFonts w:ascii="Arial" w:hAnsi="Arial" w:cs="Arial"/>
                <w:color w:val="000000"/>
                <w:sz w:val="18"/>
                <w:szCs w:val="18"/>
              </w:rPr>
            </w:pPr>
            <w:r w:rsidRPr="00F60EFF">
              <w:rPr>
                <w:rFonts w:ascii="Arial" w:hAnsi="Arial" w:cs="Arial"/>
                <w:color w:val="000000"/>
                <w:sz w:val="18"/>
                <w:szCs w:val="18"/>
              </w:rPr>
              <w:t>117,5</w:t>
            </w:r>
            <w:r w:rsidR="001F0325">
              <w:rPr>
                <w:rFonts w:ascii="Arial" w:hAnsi="Arial" w:cs="Arial"/>
                <w:color w:val="000000"/>
                <w:sz w:val="18"/>
                <w:szCs w:val="18"/>
              </w:rPr>
              <w:t>4</w:t>
            </w:r>
            <w:r w:rsidRPr="00F60EFF">
              <w:rPr>
                <w:rFonts w:ascii="Arial" w:hAnsi="Arial" w:cs="Arial"/>
                <w:color w:val="000000"/>
                <w:sz w:val="18"/>
                <w:szCs w:val="18"/>
              </w:rPr>
              <w:t>5</w:t>
            </w:r>
          </w:p>
        </w:tc>
        <w:tc>
          <w:tcPr>
            <w:tcW w:w="1557" w:type="dxa"/>
            <w:tcBorders>
              <w:top w:val="nil"/>
              <w:left w:val="nil"/>
              <w:bottom w:val="nil"/>
              <w:right w:val="nil"/>
            </w:tcBorders>
            <w:shd w:val="clear" w:color="auto" w:fill="auto"/>
            <w:vAlign w:val="center"/>
            <w:hideMark/>
          </w:tcPr>
          <w:p w:rsidRPr="00F60EFF" w:rsidR="00F60EFF" w:rsidP="00F60EFF" w:rsidRDefault="00F60EFF" w14:paraId="26761255" w14:textId="77777777">
            <w:pPr>
              <w:widowControl/>
              <w:autoSpaceDE/>
              <w:autoSpaceDN/>
              <w:adjustRightInd/>
              <w:spacing w:after="0"/>
              <w:jc w:val="right"/>
              <w:rPr>
                <w:rFonts w:ascii="Arial" w:hAnsi="Arial" w:cs="Arial"/>
                <w:color w:val="000000"/>
                <w:sz w:val="18"/>
                <w:szCs w:val="18"/>
              </w:rPr>
            </w:pPr>
          </w:p>
        </w:tc>
        <w:tc>
          <w:tcPr>
            <w:tcW w:w="1227" w:type="dxa"/>
            <w:tcBorders>
              <w:top w:val="nil"/>
              <w:left w:val="nil"/>
              <w:bottom w:val="nil"/>
              <w:right w:val="nil"/>
            </w:tcBorders>
            <w:shd w:val="clear" w:color="auto" w:fill="auto"/>
            <w:vAlign w:val="center"/>
            <w:hideMark/>
          </w:tcPr>
          <w:p w:rsidRPr="00F60EFF" w:rsidR="00F60EFF" w:rsidP="00F60EFF" w:rsidRDefault="00F60EFF" w14:paraId="1AAA0E70" w14:textId="77777777">
            <w:pPr>
              <w:widowControl/>
              <w:autoSpaceDE/>
              <w:autoSpaceDN/>
              <w:adjustRightInd/>
              <w:spacing w:after="0"/>
              <w:rPr>
                <w:rFonts w:ascii="Times New Roman" w:hAnsi="Times New Roman" w:cs="Times New Roman"/>
                <w:sz w:val="20"/>
              </w:rPr>
            </w:pPr>
          </w:p>
        </w:tc>
        <w:tc>
          <w:tcPr>
            <w:tcW w:w="1649" w:type="dxa"/>
            <w:tcBorders>
              <w:top w:val="nil"/>
              <w:left w:val="nil"/>
              <w:bottom w:val="nil"/>
              <w:right w:val="nil"/>
            </w:tcBorders>
            <w:shd w:val="clear" w:color="auto" w:fill="auto"/>
            <w:vAlign w:val="center"/>
            <w:hideMark/>
          </w:tcPr>
          <w:p w:rsidRPr="00F60EFF" w:rsidR="00F60EFF" w:rsidP="00F60EFF" w:rsidRDefault="00F60EFF" w14:paraId="08F8A413" w14:textId="77777777">
            <w:pPr>
              <w:widowControl/>
              <w:autoSpaceDE/>
              <w:autoSpaceDN/>
              <w:adjustRightInd/>
              <w:spacing w:after="0"/>
              <w:rPr>
                <w:rFonts w:ascii="Times New Roman" w:hAnsi="Times New Roman" w:cs="Times New Roman"/>
                <w:sz w:val="20"/>
              </w:rPr>
            </w:pPr>
          </w:p>
        </w:tc>
        <w:tc>
          <w:tcPr>
            <w:tcW w:w="331" w:type="dxa"/>
            <w:tcBorders>
              <w:top w:val="nil"/>
              <w:left w:val="nil"/>
              <w:bottom w:val="nil"/>
              <w:right w:val="single" w:color="auto" w:sz="8" w:space="0"/>
            </w:tcBorders>
            <w:shd w:val="clear" w:color="auto" w:fill="auto"/>
            <w:vAlign w:val="center"/>
            <w:hideMark/>
          </w:tcPr>
          <w:p w:rsidRPr="00F60EFF" w:rsidR="00F60EFF" w:rsidP="00F60EFF" w:rsidRDefault="00F60EFF" w14:paraId="45BB2805" w14:textId="77777777">
            <w:pPr>
              <w:widowControl/>
              <w:autoSpaceDE/>
              <w:autoSpaceDN/>
              <w:adjustRightInd/>
              <w:spacing w:after="0"/>
              <w:rPr>
                <w:rFonts w:ascii="Arial" w:hAnsi="Arial" w:cs="Arial"/>
                <w:b/>
                <w:bCs/>
                <w:color w:val="000000"/>
                <w:sz w:val="18"/>
                <w:szCs w:val="18"/>
              </w:rPr>
            </w:pPr>
            <w:r w:rsidRPr="00F60EFF">
              <w:rPr>
                <w:rFonts w:ascii="Arial" w:hAnsi="Arial" w:cs="Arial"/>
                <w:b/>
                <w:bCs/>
                <w:color w:val="000000"/>
                <w:sz w:val="18"/>
                <w:szCs w:val="18"/>
              </w:rPr>
              <w:t> </w:t>
            </w:r>
          </w:p>
        </w:tc>
      </w:tr>
      <w:tr w:rsidRPr="00F60EFF" w:rsidR="00F60EFF" w:rsidTr="00F60EFF" w14:paraId="6514D902" w14:textId="77777777">
        <w:trPr>
          <w:trHeight w:val="300"/>
        </w:trPr>
        <w:tc>
          <w:tcPr>
            <w:tcW w:w="2000" w:type="dxa"/>
            <w:tcBorders>
              <w:top w:val="nil"/>
              <w:left w:val="single" w:color="auto" w:sz="8" w:space="0"/>
              <w:bottom w:val="nil"/>
              <w:right w:val="nil"/>
            </w:tcBorders>
            <w:shd w:val="clear" w:color="auto" w:fill="auto"/>
            <w:vAlign w:val="center"/>
            <w:hideMark/>
          </w:tcPr>
          <w:p w:rsidRPr="00F60EFF" w:rsidR="00F60EFF" w:rsidP="00F60EFF" w:rsidRDefault="00F60EFF" w14:paraId="3A15C6E2" w14:textId="77777777">
            <w:pPr>
              <w:widowControl/>
              <w:autoSpaceDE/>
              <w:autoSpaceDN/>
              <w:adjustRightInd/>
              <w:spacing w:after="0"/>
              <w:rPr>
                <w:rFonts w:ascii="Arial" w:hAnsi="Arial" w:cs="Arial"/>
                <w:b/>
                <w:bCs/>
                <w:color w:val="000000"/>
                <w:sz w:val="18"/>
                <w:szCs w:val="18"/>
              </w:rPr>
            </w:pPr>
            <w:r w:rsidRPr="00F60EFF">
              <w:rPr>
                <w:rFonts w:ascii="Arial" w:hAnsi="Arial" w:cs="Arial"/>
                <w:b/>
                <w:bCs/>
                <w:color w:val="000000"/>
                <w:sz w:val="18"/>
                <w:szCs w:val="18"/>
              </w:rPr>
              <w:t>Hours for year 3</w:t>
            </w:r>
            <w:r w:rsidRPr="00F60EFF">
              <w:rPr>
                <w:rFonts w:ascii="Arial" w:hAnsi="Arial" w:cs="Arial"/>
                <w:b/>
                <w:bCs/>
                <w:color w:val="000000"/>
                <w:sz w:val="18"/>
                <w:szCs w:val="18"/>
                <w:vertAlign w:val="superscript"/>
              </w:rPr>
              <w:t>b</w:t>
            </w:r>
          </w:p>
        </w:tc>
        <w:tc>
          <w:tcPr>
            <w:tcW w:w="1207" w:type="dxa"/>
            <w:tcBorders>
              <w:top w:val="nil"/>
              <w:left w:val="nil"/>
              <w:bottom w:val="nil"/>
              <w:right w:val="nil"/>
            </w:tcBorders>
            <w:shd w:val="clear" w:color="auto" w:fill="auto"/>
            <w:vAlign w:val="center"/>
            <w:hideMark/>
          </w:tcPr>
          <w:p w:rsidRPr="00F60EFF" w:rsidR="00F60EFF" w:rsidP="00F60EFF" w:rsidRDefault="00F60EFF" w14:paraId="707B9A2D" w14:textId="13094379">
            <w:pPr>
              <w:widowControl/>
              <w:autoSpaceDE/>
              <w:autoSpaceDN/>
              <w:adjustRightInd/>
              <w:spacing w:after="0"/>
              <w:jc w:val="right"/>
              <w:rPr>
                <w:rFonts w:ascii="Arial" w:hAnsi="Arial" w:cs="Arial"/>
                <w:color w:val="000000"/>
                <w:sz w:val="18"/>
                <w:szCs w:val="18"/>
              </w:rPr>
            </w:pPr>
            <w:r w:rsidRPr="00F60EFF">
              <w:rPr>
                <w:rFonts w:ascii="Arial" w:hAnsi="Arial" w:cs="Arial"/>
                <w:color w:val="000000"/>
                <w:sz w:val="18"/>
                <w:szCs w:val="18"/>
              </w:rPr>
              <w:t>117,5</w:t>
            </w:r>
            <w:r w:rsidR="001F0325">
              <w:rPr>
                <w:rFonts w:ascii="Arial" w:hAnsi="Arial" w:cs="Arial"/>
                <w:color w:val="000000"/>
                <w:sz w:val="18"/>
                <w:szCs w:val="18"/>
              </w:rPr>
              <w:t>4</w:t>
            </w:r>
            <w:r w:rsidRPr="00F60EFF">
              <w:rPr>
                <w:rFonts w:ascii="Arial" w:hAnsi="Arial" w:cs="Arial"/>
                <w:color w:val="000000"/>
                <w:sz w:val="18"/>
                <w:szCs w:val="18"/>
              </w:rPr>
              <w:t>5</w:t>
            </w:r>
          </w:p>
        </w:tc>
        <w:tc>
          <w:tcPr>
            <w:tcW w:w="1557" w:type="dxa"/>
            <w:tcBorders>
              <w:top w:val="nil"/>
              <w:left w:val="nil"/>
              <w:bottom w:val="nil"/>
              <w:right w:val="nil"/>
            </w:tcBorders>
            <w:shd w:val="clear" w:color="auto" w:fill="auto"/>
            <w:vAlign w:val="center"/>
            <w:hideMark/>
          </w:tcPr>
          <w:p w:rsidRPr="00F60EFF" w:rsidR="00F60EFF" w:rsidP="00F60EFF" w:rsidRDefault="00F60EFF" w14:paraId="50D69487" w14:textId="77777777">
            <w:pPr>
              <w:widowControl/>
              <w:autoSpaceDE/>
              <w:autoSpaceDN/>
              <w:adjustRightInd/>
              <w:spacing w:after="0"/>
              <w:jc w:val="right"/>
              <w:rPr>
                <w:rFonts w:ascii="Arial" w:hAnsi="Arial" w:cs="Arial"/>
                <w:color w:val="000000"/>
                <w:sz w:val="18"/>
                <w:szCs w:val="18"/>
              </w:rPr>
            </w:pPr>
          </w:p>
        </w:tc>
        <w:tc>
          <w:tcPr>
            <w:tcW w:w="1227" w:type="dxa"/>
            <w:tcBorders>
              <w:top w:val="nil"/>
              <w:left w:val="nil"/>
              <w:bottom w:val="nil"/>
              <w:right w:val="nil"/>
            </w:tcBorders>
            <w:shd w:val="clear" w:color="auto" w:fill="auto"/>
            <w:vAlign w:val="center"/>
            <w:hideMark/>
          </w:tcPr>
          <w:p w:rsidRPr="00F60EFF" w:rsidR="00F60EFF" w:rsidP="00F60EFF" w:rsidRDefault="00F60EFF" w14:paraId="530CD356" w14:textId="77777777">
            <w:pPr>
              <w:widowControl/>
              <w:autoSpaceDE/>
              <w:autoSpaceDN/>
              <w:adjustRightInd/>
              <w:spacing w:after="0"/>
              <w:rPr>
                <w:rFonts w:ascii="Times New Roman" w:hAnsi="Times New Roman" w:cs="Times New Roman"/>
                <w:sz w:val="20"/>
              </w:rPr>
            </w:pPr>
          </w:p>
        </w:tc>
        <w:tc>
          <w:tcPr>
            <w:tcW w:w="1649" w:type="dxa"/>
            <w:tcBorders>
              <w:top w:val="nil"/>
              <w:left w:val="nil"/>
              <w:bottom w:val="nil"/>
              <w:right w:val="nil"/>
            </w:tcBorders>
            <w:shd w:val="clear" w:color="auto" w:fill="auto"/>
            <w:vAlign w:val="center"/>
            <w:hideMark/>
          </w:tcPr>
          <w:p w:rsidRPr="00F60EFF" w:rsidR="00F60EFF" w:rsidP="00F60EFF" w:rsidRDefault="00F60EFF" w14:paraId="2E147158" w14:textId="77777777">
            <w:pPr>
              <w:widowControl/>
              <w:autoSpaceDE/>
              <w:autoSpaceDN/>
              <w:adjustRightInd/>
              <w:spacing w:after="0"/>
              <w:jc w:val="right"/>
              <w:rPr>
                <w:rFonts w:ascii="Times New Roman" w:hAnsi="Times New Roman" w:cs="Times New Roman"/>
                <w:sz w:val="20"/>
              </w:rPr>
            </w:pPr>
          </w:p>
        </w:tc>
        <w:tc>
          <w:tcPr>
            <w:tcW w:w="331" w:type="dxa"/>
            <w:tcBorders>
              <w:top w:val="nil"/>
              <w:left w:val="nil"/>
              <w:bottom w:val="nil"/>
              <w:right w:val="single" w:color="auto" w:sz="8" w:space="0"/>
            </w:tcBorders>
            <w:shd w:val="clear" w:color="auto" w:fill="auto"/>
            <w:vAlign w:val="center"/>
            <w:hideMark/>
          </w:tcPr>
          <w:p w:rsidRPr="00F60EFF" w:rsidR="00F60EFF" w:rsidP="00F60EFF" w:rsidRDefault="00F60EFF" w14:paraId="614D1469" w14:textId="77777777">
            <w:pPr>
              <w:widowControl/>
              <w:autoSpaceDE/>
              <w:autoSpaceDN/>
              <w:adjustRightInd/>
              <w:spacing w:after="0"/>
              <w:jc w:val="right"/>
              <w:rPr>
                <w:rFonts w:ascii="Arial" w:hAnsi="Arial" w:cs="Arial"/>
                <w:b/>
                <w:bCs/>
                <w:color w:val="000000"/>
                <w:sz w:val="18"/>
                <w:szCs w:val="18"/>
              </w:rPr>
            </w:pPr>
            <w:r w:rsidRPr="00F60EFF">
              <w:rPr>
                <w:rFonts w:ascii="Arial" w:hAnsi="Arial" w:cs="Arial"/>
                <w:b/>
                <w:bCs/>
                <w:color w:val="000000"/>
                <w:sz w:val="18"/>
                <w:szCs w:val="18"/>
              </w:rPr>
              <w:t> </w:t>
            </w:r>
          </w:p>
        </w:tc>
      </w:tr>
      <w:tr w:rsidRPr="00F60EFF" w:rsidR="00F60EFF" w:rsidTr="00F60EFF" w14:paraId="1E1F0B14" w14:textId="77777777">
        <w:trPr>
          <w:trHeight w:val="300"/>
        </w:trPr>
        <w:tc>
          <w:tcPr>
            <w:tcW w:w="2000" w:type="dxa"/>
            <w:tcBorders>
              <w:top w:val="nil"/>
              <w:left w:val="single" w:color="auto" w:sz="8" w:space="0"/>
              <w:bottom w:val="nil"/>
              <w:right w:val="nil"/>
            </w:tcBorders>
            <w:shd w:val="clear" w:color="auto" w:fill="auto"/>
            <w:vAlign w:val="center"/>
            <w:hideMark/>
          </w:tcPr>
          <w:p w:rsidRPr="00F60EFF" w:rsidR="00F60EFF" w:rsidP="00F60EFF" w:rsidRDefault="00F60EFF" w14:paraId="6BD60BE6" w14:textId="77777777">
            <w:pPr>
              <w:widowControl/>
              <w:autoSpaceDE/>
              <w:autoSpaceDN/>
              <w:adjustRightInd/>
              <w:spacing w:after="0"/>
              <w:rPr>
                <w:rFonts w:ascii="Arial" w:hAnsi="Arial" w:cs="Arial"/>
                <w:b/>
                <w:bCs/>
                <w:color w:val="000000"/>
                <w:sz w:val="18"/>
                <w:szCs w:val="18"/>
              </w:rPr>
            </w:pPr>
            <w:r w:rsidRPr="00F60EFF">
              <w:rPr>
                <w:rFonts w:ascii="Arial" w:hAnsi="Arial" w:cs="Arial"/>
                <w:b/>
                <w:bCs/>
                <w:color w:val="000000"/>
                <w:sz w:val="18"/>
                <w:szCs w:val="18"/>
              </w:rPr>
              <w:t>TOTAL hours</w:t>
            </w:r>
          </w:p>
        </w:tc>
        <w:tc>
          <w:tcPr>
            <w:tcW w:w="1207" w:type="dxa"/>
            <w:tcBorders>
              <w:top w:val="nil"/>
              <w:left w:val="nil"/>
              <w:bottom w:val="nil"/>
              <w:right w:val="nil"/>
            </w:tcBorders>
            <w:shd w:val="clear" w:color="auto" w:fill="auto"/>
            <w:vAlign w:val="center"/>
            <w:hideMark/>
          </w:tcPr>
          <w:p w:rsidRPr="00F60EFF" w:rsidR="00F60EFF" w:rsidP="00F60EFF" w:rsidRDefault="00F60EFF" w14:paraId="0D935F28" w14:textId="7772356F">
            <w:pPr>
              <w:widowControl/>
              <w:autoSpaceDE/>
              <w:autoSpaceDN/>
              <w:adjustRightInd/>
              <w:spacing w:after="0"/>
              <w:jc w:val="right"/>
              <w:rPr>
                <w:rFonts w:ascii="Arial" w:hAnsi="Arial" w:cs="Arial"/>
                <w:color w:val="000000"/>
                <w:sz w:val="18"/>
                <w:szCs w:val="18"/>
              </w:rPr>
            </w:pPr>
            <w:r w:rsidRPr="00F60EFF">
              <w:rPr>
                <w:rFonts w:ascii="Arial" w:hAnsi="Arial" w:cs="Arial"/>
                <w:color w:val="000000"/>
                <w:sz w:val="18"/>
                <w:szCs w:val="18"/>
              </w:rPr>
              <w:t>352,6</w:t>
            </w:r>
            <w:r w:rsidR="001F0325">
              <w:rPr>
                <w:rFonts w:ascii="Arial" w:hAnsi="Arial" w:cs="Arial"/>
                <w:color w:val="000000"/>
                <w:sz w:val="18"/>
                <w:szCs w:val="18"/>
              </w:rPr>
              <w:t>35</w:t>
            </w:r>
          </w:p>
        </w:tc>
        <w:tc>
          <w:tcPr>
            <w:tcW w:w="1557" w:type="dxa"/>
            <w:tcBorders>
              <w:top w:val="nil"/>
              <w:left w:val="nil"/>
              <w:bottom w:val="nil"/>
              <w:right w:val="nil"/>
            </w:tcBorders>
            <w:shd w:val="clear" w:color="auto" w:fill="auto"/>
            <w:vAlign w:val="center"/>
            <w:hideMark/>
          </w:tcPr>
          <w:p w:rsidRPr="00F60EFF" w:rsidR="00F60EFF" w:rsidP="00F60EFF" w:rsidRDefault="00F60EFF" w14:paraId="69B64AE2" w14:textId="77777777">
            <w:pPr>
              <w:widowControl/>
              <w:autoSpaceDE/>
              <w:autoSpaceDN/>
              <w:adjustRightInd/>
              <w:spacing w:after="0"/>
              <w:jc w:val="right"/>
              <w:rPr>
                <w:rFonts w:ascii="Arial" w:hAnsi="Arial" w:cs="Arial"/>
                <w:color w:val="000000"/>
                <w:sz w:val="18"/>
                <w:szCs w:val="18"/>
              </w:rPr>
            </w:pPr>
          </w:p>
        </w:tc>
        <w:tc>
          <w:tcPr>
            <w:tcW w:w="1227" w:type="dxa"/>
            <w:tcBorders>
              <w:top w:val="nil"/>
              <w:left w:val="nil"/>
              <w:bottom w:val="nil"/>
              <w:right w:val="nil"/>
            </w:tcBorders>
            <w:shd w:val="clear" w:color="auto" w:fill="auto"/>
            <w:vAlign w:val="center"/>
            <w:hideMark/>
          </w:tcPr>
          <w:p w:rsidRPr="00F60EFF" w:rsidR="00F60EFF" w:rsidP="00F60EFF" w:rsidRDefault="00F60EFF" w14:paraId="1163B9A3" w14:textId="77777777">
            <w:pPr>
              <w:widowControl/>
              <w:autoSpaceDE/>
              <w:autoSpaceDN/>
              <w:adjustRightInd/>
              <w:spacing w:after="0"/>
              <w:rPr>
                <w:rFonts w:ascii="Times New Roman" w:hAnsi="Times New Roman" w:cs="Times New Roman"/>
                <w:sz w:val="20"/>
              </w:rPr>
            </w:pPr>
          </w:p>
        </w:tc>
        <w:tc>
          <w:tcPr>
            <w:tcW w:w="1649" w:type="dxa"/>
            <w:tcBorders>
              <w:top w:val="nil"/>
              <w:left w:val="nil"/>
              <w:bottom w:val="nil"/>
              <w:right w:val="nil"/>
            </w:tcBorders>
            <w:shd w:val="clear" w:color="auto" w:fill="auto"/>
            <w:vAlign w:val="center"/>
            <w:hideMark/>
          </w:tcPr>
          <w:p w:rsidRPr="00F60EFF" w:rsidR="00F60EFF" w:rsidP="00F60EFF" w:rsidRDefault="00F60EFF" w14:paraId="39D56D85" w14:textId="77777777">
            <w:pPr>
              <w:widowControl/>
              <w:autoSpaceDE/>
              <w:autoSpaceDN/>
              <w:adjustRightInd/>
              <w:spacing w:after="0"/>
              <w:jc w:val="right"/>
              <w:rPr>
                <w:rFonts w:ascii="Times New Roman" w:hAnsi="Times New Roman" w:cs="Times New Roman"/>
                <w:sz w:val="20"/>
              </w:rPr>
            </w:pPr>
          </w:p>
        </w:tc>
        <w:tc>
          <w:tcPr>
            <w:tcW w:w="331" w:type="dxa"/>
            <w:tcBorders>
              <w:top w:val="nil"/>
              <w:left w:val="nil"/>
              <w:bottom w:val="nil"/>
              <w:right w:val="single" w:color="auto" w:sz="8" w:space="0"/>
            </w:tcBorders>
            <w:shd w:val="clear" w:color="auto" w:fill="auto"/>
            <w:vAlign w:val="center"/>
            <w:hideMark/>
          </w:tcPr>
          <w:p w:rsidRPr="00F60EFF" w:rsidR="00F60EFF" w:rsidP="00F60EFF" w:rsidRDefault="00F60EFF" w14:paraId="4BD74FD9" w14:textId="77777777">
            <w:pPr>
              <w:widowControl/>
              <w:autoSpaceDE/>
              <w:autoSpaceDN/>
              <w:adjustRightInd/>
              <w:spacing w:after="0"/>
              <w:jc w:val="right"/>
              <w:rPr>
                <w:rFonts w:ascii="Arial" w:hAnsi="Arial" w:cs="Arial"/>
                <w:b/>
                <w:bCs/>
                <w:color w:val="000000"/>
                <w:sz w:val="18"/>
                <w:szCs w:val="18"/>
              </w:rPr>
            </w:pPr>
            <w:r w:rsidRPr="00F60EFF">
              <w:rPr>
                <w:rFonts w:ascii="Arial" w:hAnsi="Arial" w:cs="Arial"/>
                <w:b/>
                <w:bCs/>
                <w:color w:val="000000"/>
                <w:sz w:val="18"/>
                <w:szCs w:val="18"/>
              </w:rPr>
              <w:t> </w:t>
            </w:r>
          </w:p>
        </w:tc>
      </w:tr>
      <w:tr w:rsidRPr="00F60EFF" w:rsidR="00F60EFF" w:rsidTr="00F60EFF" w14:paraId="7D8D4347" w14:textId="77777777">
        <w:trPr>
          <w:trHeight w:val="300"/>
        </w:trPr>
        <w:tc>
          <w:tcPr>
            <w:tcW w:w="2000" w:type="dxa"/>
            <w:tcBorders>
              <w:top w:val="nil"/>
              <w:left w:val="single" w:color="auto" w:sz="8" w:space="0"/>
              <w:bottom w:val="nil"/>
              <w:right w:val="nil"/>
            </w:tcBorders>
            <w:shd w:val="clear" w:color="auto" w:fill="auto"/>
            <w:vAlign w:val="center"/>
            <w:hideMark/>
          </w:tcPr>
          <w:p w:rsidRPr="00F60EFF" w:rsidR="00F60EFF" w:rsidP="00F60EFF" w:rsidRDefault="00F60EFF" w14:paraId="27F8D08A" w14:textId="77777777">
            <w:pPr>
              <w:widowControl/>
              <w:autoSpaceDE/>
              <w:autoSpaceDN/>
              <w:adjustRightInd/>
              <w:spacing w:after="0"/>
              <w:rPr>
                <w:rFonts w:ascii="Arial" w:hAnsi="Arial" w:cs="Arial"/>
                <w:color w:val="000000"/>
                <w:sz w:val="18"/>
                <w:szCs w:val="18"/>
              </w:rPr>
            </w:pPr>
            <w:r w:rsidRPr="00F60EFF">
              <w:rPr>
                <w:rFonts w:ascii="Arial" w:hAnsi="Arial" w:cs="Arial"/>
                <w:color w:val="000000"/>
                <w:sz w:val="18"/>
                <w:szCs w:val="18"/>
              </w:rPr>
              <w:t> </w:t>
            </w:r>
          </w:p>
        </w:tc>
        <w:tc>
          <w:tcPr>
            <w:tcW w:w="1207" w:type="dxa"/>
            <w:tcBorders>
              <w:top w:val="nil"/>
              <w:left w:val="nil"/>
              <w:bottom w:val="nil"/>
              <w:right w:val="nil"/>
            </w:tcBorders>
            <w:shd w:val="clear" w:color="auto" w:fill="auto"/>
            <w:vAlign w:val="center"/>
            <w:hideMark/>
          </w:tcPr>
          <w:p w:rsidRPr="00F60EFF" w:rsidR="00F60EFF" w:rsidP="00F60EFF" w:rsidRDefault="00F60EFF" w14:paraId="0F65028C" w14:textId="77777777">
            <w:pPr>
              <w:widowControl/>
              <w:autoSpaceDE/>
              <w:autoSpaceDN/>
              <w:adjustRightInd/>
              <w:spacing w:after="0"/>
              <w:rPr>
                <w:rFonts w:ascii="Arial" w:hAnsi="Arial" w:cs="Arial"/>
                <w:color w:val="000000"/>
                <w:sz w:val="18"/>
                <w:szCs w:val="18"/>
              </w:rPr>
            </w:pPr>
          </w:p>
        </w:tc>
        <w:tc>
          <w:tcPr>
            <w:tcW w:w="1557" w:type="dxa"/>
            <w:tcBorders>
              <w:top w:val="nil"/>
              <w:left w:val="nil"/>
              <w:bottom w:val="nil"/>
              <w:right w:val="nil"/>
            </w:tcBorders>
            <w:shd w:val="clear" w:color="auto" w:fill="auto"/>
            <w:vAlign w:val="center"/>
            <w:hideMark/>
          </w:tcPr>
          <w:p w:rsidRPr="00F60EFF" w:rsidR="00F60EFF" w:rsidP="00F60EFF" w:rsidRDefault="00F60EFF" w14:paraId="311F621E" w14:textId="77777777">
            <w:pPr>
              <w:widowControl/>
              <w:autoSpaceDE/>
              <w:autoSpaceDN/>
              <w:adjustRightInd/>
              <w:spacing w:after="0"/>
              <w:rPr>
                <w:rFonts w:ascii="Times New Roman" w:hAnsi="Times New Roman" w:cs="Times New Roman"/>
                <w:sz w:val="20"/>
              </w:rPr>
            </w:pPr>
          </w:p>
        </w:tc>
        <w:tc>
          <w:tcPr>
            <w:tcW w:w="1227" w:type="dxa"/>
            <w:tcBorders>
              <w:top w:val="nil"/>
              <w:left w:val="nil"/>
              <w:bottom w:val="nil"/>
              <w:right w:val="nil"/>
            </w:tcBorders>
            <w:shd w:val="clear" w:color="auto" w:fill="auto"/>
            <w:vAlign w:val="center"/>
            <w:hideMark/>
          </w:tcPr>
          <w:p w:rsidRPr="00F60EFF" w:rsidR="00F60EFF" w:rsidP="00F60EFF" w:rsidRDefault="00F60EFF" w14:paraId="1C03E7A7" w14:textId="77777777">
            <w:pPr>
              <w:widowControl/>
              <w:autoSpaceDE/>
              <w:autoSpaceDN/>
              <w:adjustRightInd/>
              <w:spacing w:after="0"/>
              <w:rPr>
                <w:rFonts w:ascii="Times New Roman" w:hAnsi="Times New Roman" w:cs="Times New Roman"/>
                <w:sz w:val="20"/>
              </w:rPr>
            </w:pPr>
          </w:p>
        </w:tc>
        <w:tc>
          <w:tcPr>
            <w:tcW w:w="1649" w:type="dxa"/>
            <w:tcBorders>
              <w:top w:val="nil"/>
              <w:left w:val="nil"/>
              <w:bottom w:val="nil"/>
              <w:right w:val="nil"/>
            </w:tcBorders>
            <w:shd w:val="clear" w:color="auto" w:fill="auto"/>
            <w:vAlign w:val="center"/>
            <w:hideMark/>
          </w:tcPr>
          <w:p w:rsidRPr="00F60EFF" w:rsidR="00F60EFF" w:rsidP="00F60EFF" w:rsidRDefault="00F60EFF" w14:paraId="5CDAA179" w14:textId="77777777">
            <w:pPr>
              <w:widowControl/>
              <w:autoSpaceDE/>
              <w:autoSpaceDN/>
              <w:adjustRightInd/>
              <w:spacing w:after="0"/>
              <w:jc w:val="right"/>
              <w:rPr>
                <w:rFonts w:ascii="Times New Roman" w:hAnsi="Times New Roman" w:cs="Times New Roman"/>
                <w:sz w:val="20"/>
              </w:rPr>
            </w:pPr>
          </w:p>
        </w:tc>
        <w:tc>
          <w:tcPr>
            <w:tcW w:w="331" w:type="dxa"/>
            <w:tcBorders>
              <w:top w:val="nil"/>
              <w:left w:val="nil"/>
              <w:bottom w:val="nil"/>
              <w:right w:val="single" w:color="auto" w:sz="8" w:space="0"/>
            </w:tcBorders>
            <w:shd w:val="clear" w:color="auto" w:fill="auto"/>
            <w:vAlign w:val="center"/>
            <w:hideMark/>
          </w:tcPr>
          <w:p w:rsidRPr="00F60EFF" w:rsidR="00F60EFF" w:rsidP="00F60EFF" w:rsidRDefault="00F60EFF" w14:paraId="4A717473" w14:textId="77777777">
            <w:pPr>
              <w:widowControl/>
              <w:autoSpaceDE/>
              <w:autoSpaceDN/>
              <w:adjustRightInd/>
              <w:spacing w:after="0"/>
              <w:jc w:val="right"/>
              <w:rPr>
                <w:rFonts w:ascii="Arial" w:hAnsi="Arial" w:cs="Arial"/>
                <w:b/>
                <w:bCs/>
                <w:color w:val="000000"/>
                <w:sz w:val="18"/>
                <w:szCs w:val="18"/>
              </w:rPr>
            </w:pPr>
            <w:r w:rsidRPr="00F60EFF">
              <w:rPr>
                <w:rFonts w:ascii="Arial" w:hAnsi="Arial" w:cs="Arial"/>
                <w:b/>
                <w:bCs/>
                <w:color w:val="000000"/>
                <w:sz w:val="18"/>
                <w:szCs w:val="18"/>
              </w:rPr>
              <w:t> </w:t>
            </w:r>
          </w:p>
        </w:tc>
      </w:tr>
      <w:tr w:rsidRPr="00F60EFF" w:rsidR="00F60EFF" w:rsidTr="00F60EFF" w14:paraId="519DCBE6" w14:textId="77777777">
        <w:trPr>
          <w:trHeight w:val="600"/>
        </w:trPr>
        <w:tc>
          <w:tcPr>
            <w:tcW w:w="7971" w:type="dxa"/>
            <w:gridSpan w:val="6"/>
            <w:tcBorders>
              <w:top w:val="nil"/>
              <w:left w:val="single" w:color="auto" w:sz="8" w:space="0"/>
              <w:bottom w:val="nil"/>
              <w:right w:val="single" w:color="000000" w:sz="8" w:space="0"/>
            </w:tcBorders>
            <w:shd w:val="clear" w:color="auto" w:fill="auto"/>
            <w:vAlign w:val="center"/>
            <w:hideMark/>
          </w:tcPr>
          <w:p w:rsidRPr="00F60EFF" w:rsidR="00F60EFF" w:rsidP="00F60EFF" w:rsidRDefault="00F60EFF" w14:paraId="2F5B0363" w14:textId="77777777">
            <w:pPr>
              <w:widowControl/>
              <w:autoSpaceDE/>
              <w:autoSpaceDN/>
              <w:adjustRightInd/>
              <w:spacing w:after="0"/>
              <w:rPr>
                <w:rFonts w:ascii="Arial" w:hAnsi="Arial" w:cs="Arial"/>
                <w:color w:val="000000"/>
                <w:sz w:val="18"/>
                <w:szCs w:val="18"/>
              </w:rPr>
            </w:pPr>
            <w:r w:rsidRPr="00F60EFF">
              <w:rPr>
                <w:rFonts w:ascii="Arial" w:hAnsi="Arial" w:cs="Arial"/>
                <w:color w:val="000000"/>
                <w:sz w:val="18"/>
                <w:szCs w:val="18"/>
                <w:vertAlign w:val="superscript"/>
              </w:rPr>
              <w:t>a</w:t>
            </w:r>
            <w:r w:rsidRPr="00F60EFF">
              <w:rPr>
                <w:rFonts w:ascii="Arial" w:hAnsi="Arial" w:cs="Arial"/>
                <w:color w:val="000000"/>
                <w:sz w:val="18"/>
                <w:szCs w:val="18"/>
              </w:rPr>
              <w:t xml:space="preserve">Equal to number of respondents * number of responses * estimated number of hours per response. </w:t>
            </w:r>
          </w:p>
        </w:tc>
      </w:tr>
      <w:tr w:rsidRPr="00F60EFF" w:rsidR="00F60EFF" w:rsidTr="00F60EFF" w14:paraId="0AE1DB2F" w14:textId="77777777">
        <w:trPr>
          <w:trHeight w:val="600"/>
        </w:trPr>
        <w:tc>
          <w:tcPr>
            <w:tcW w:w="7971" w:type="dxa"/>
            <w:gridSpan w:val="6"/>
            <w:tcBorders>
              <w:top w:val="nil"/>
              <w:left w:val="single" w:color="auto" w:sz="8" w:space="0"/>
              <w:bottom w:val="single" w:color="auto" w:sz="8" w:space="0"/>
              <w:right w:val="single" w:color="000000" w:sz="8" w:space="0"/>
            </w:tcBorders>
            <w:shd w:val="clear" w:color="auto" w:fill="auto"/>
            <w:vAlign w:val="bottom"/>
            <w:hideMark/>
          </w:tcPr>
          <w:p w:rsidRPr="00F60EFF" w:rsidR="00F60EFF" w:rsidP="00F60EFF" w:rsidRDefault="00F60EFF" w14:paraId="2DA415B7" w14:textId="77777777">
            <w:pPr>
              <w:widowControl/>
              <w:autoSpaceDE/>
              <w:autoSpaceDN/>
              <w:adjustRightInd/>
              <w:spacing w:after="0"/>
              <w:rPr>
                <w:rFonts w:ascii="Arial" w:hAnsi="Arial" w:cs="Arial"/>
                <w:sz w:val="18"/>
                <w:szCs w:val="18"/>
              </w:rPr>
            </w:pPr>
            <w:r w:rsidRPr="00F60EFF">
              <w:rPr>
                <w:rFonts w:ascii="Arial" w:hAnsi="Arial" w:cs="Arial"/>
                <w:sz w:val="18"/>
                <w:szCs w:val="18"/>
                <w:vertAlign w:val="superscript"/>
              </w:rPr>
              <w:t>b</w:t>
            </w:r>
            <w:r w:rsidRPr="00F60EFF">
              <w:rPr>
                <w:rFonts w:ascii="Arial" w:hAnsi="Arial" w:cs="Arial"/>
                <w:sz w:val="18"/>
                <w:szCs w:val="18"/>
              </w:rPr>
              <w:t xml:space="preserve">Equal to sum of the total hours for all respondents (interviewed, noninterivewed, and reinterviewed). </w:t>
            </w:r>
          </w:p>
        </w:tc>
      </w:tr>
    </w:tbl>
    <w:p w:rsidRPr="00454ADD" w:rsidR="004815EB" w:rsidP="00454ADD" w:rsidRDefault="004815EB" w14:paraId="1402CAA2" w14:textId="046900F5"/>
    <w:p w:rsidRPr="00256E98" w:rsidR="00CF44FB" w:rsidP="00256E98" w:rsidRDefault="00CF44FB" w14:paraId="0F65E2DC" w14:textId="41D94A18">
      <w:pPr>
        <w:pStyle w:val="Heading1"/>
      </w:pPr>
      <w:bookmarkStart w:name="OLE_LINK3" w:id="2"/>
      <w:r w:rsidRPr="00256E98">
        <w:t xml:space="preserve">Estimate of </w:t>
      </w:r>
      <w:r w:rsidRPr="00256E98" w:rsidR="008A4344">
        <w:t xml:space="preserve">Respondent’s </w:t>
      </w:r>
      <w:r w:rsidRPr="00256E98">
        <w:t>Cost Burden</w:t>
      </w:r>
    </w:p>
    <w:p w:rsidRPr="000000EB" w:rsidR="00CF44FB" w:rsidP="00F30ECC" w:rsidRDefault="00CF44FB" w14:paraId="52BCBFDA" w14:textId="77777777">
      <w:r w:rsidRPr="000000EB">
        <w:t>There are no costs to respondents other than that of their time to respond.</w:t>
      </w:r>
    </w:p>
    <w:p w:rsidRPr="000000EB" w:rsidR="00CF44FB" w:rsidP="006F7B4C" w:rsidRDefault="00CF44FB" w14:paraId="2E18F54C" w14:textId="77777777">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Calibri" w:hAnsi="Calibri" w:cs="Arial"/>
          <w:szCs w:val="24"/>
        </w:rPr>
      </w:pPr>
    </w:p>
    <w:p w:rsidRPr="00256E98" w:rsidR="00CF44FB" w:rsidP="00256E98" w:rsidRDefault="00CF44FB" w14:paraId="0E873C0E" w14:textId="77777777">
      <w:pPr>
        <w:pStyle w:val="Heading1"/>
      </w:pPr>
      <w:r w:rsidRPr="00256E98">
        <w:tab/>
      </w:r>
      <w:bookmarkStart w:name="OLE_LINK2" w:id="3"/>
      <w:r w:rsidRPr="00256E98" w:rsidR="00FA7995">
        <w:t>C</w:t>
      </w:r>
      <w:r w:rsidRPr="00256E98">
        <w:t>ost</w:t>
      </w:r>
      <w:r w:rsidRPr="00256E98" w:rsidR="00FA7995">
        <w:t>s</w:t>
      </w:r>
      <w:r w:rsidRPr="00256E98">
        <w:t xml:space="preserve"> to Federal Government</w:t>
      </w:r>
    </w:p>
    <w:p w:rsidRPr="000000EB" w:rsidR="00CF44FB" w:rsidP="00F30ECC" w:rsidRDefault="00CF44FB" w14:paraId="75179796" w14:textId="343401C0">
      <w:r w:rsidRPr="000000EB">
        <w:t>There are no capital or start-up costs associated with the data collection.</w:t>
      </w:r>
      <w:r w:rsidR="00F564AD">
        <w:t xml:space="preserve"> </w:t>
      </w:r>
    </w:p>
    <w:p w:rsidR="00CF44FB" w:rsidP="00F30ECC" w:rsidRDefault="008376B7" w14:paraId="251F3FAB" w14:textId="472341E4">
      <w:pPr>
        <w:rPr>
          <w:b/>
          <w:bCs/>
        </w:rPr>
      </w:pPr>
      <w:r w:rsidRPr="00AE7958">
        <w:t>Table 2 shows a breakdown of the estimated annual cost to the Federal Government</w:t>
      </w:r>
      <w:r w:rsidRPr="00AE7958" w:rsidR="00FE4826">
        <w:t xml:space="preserve"> for activities associated with </w:t>
      </w:r>
      <w:r w:rsidRPr="00AE7958" w:rsidR="0063748C">
        <w:t xml:space="preserve">the national NCVS </w:t>
      </w:r>
      <w:r w:rsidRPr="00AE7958" w:rsidR="00FE4826">
        <w:t>data collection</w:t>
      </w:r>
      <w:r w:rsidRPr="00AE7958">
        <w:t xml:space="preserve">. </w:t>
      </w:r>
      <w:r w:rsidRPr="00B9034B" w:rsidR="00B9034B">
        <w:t>The Census Bureau will act as the data collection agent for the NCVS at an estimated cost of about $4</w:t>
      </w:r>
      <w:r w:rsidR="006F109C">
        <w:t>7</w:t>
      </w:r>
      <w:r w:rsidRPr="00B9034B" w:rsidR="00B9034B">
        <w:t xml:space="preserve"> million for the 20</w:t>
      </w:r>
      <w:r w:rsidR="006F109C">
        <w:t>22</w:t>
      </w:r>
      <w:r w:rsidRPr="00B9034B" w:rsidR="00B9034B">
        <w:t xml:space="preserve"> cycle. Census will develop, test, and finalize the NCVS instrument, develop all data collection support and training materials, train interviewers and support staff, and collect, process, and disseminate the NCVS data.</w:t>
      </w:r>
      <w:r w:rsidRPr="00AE7958" w:rsidR="00CF44FB">
        <w:t xml:space="preserve"> </w:t>
      </w:r>
      <w:r w:rsidRPr="00AE7958" w:rsidR="00E22984">
        <w:t>BJS</w:t>
      </w:r>
      <w:r w:rsidRPr="00AE7958" w:rsidR="00130015">
        <w:t xml:space="preserve"> staff time costs </w:t>
      </w:r>
      <w:r w:rsidRPr="00AE7958" w:rsidR="001C3674">
        <w:t xml:space="preserve">about </w:t>
      </w:r>
      <w:r w:rsidRPr="00AE7958" w:rsidR="00130015">
        <w:t>$</w:t>
      </w:r>
      <w:r w:rsidRPr="00AE7958" w:rsidR="00A821CB">
        <w:t>1.</w:t>
      </w:r>
      <w:r w:rsidR="005702F7">
        <w:t>3</w:t>
      </w:r>
      <w:r w:rsidRPr="00AE7958" w:rsidR="00A821CB">
        <w:t xml:space="preserve"> million</w:t>
      </w:r>
      <w:r w:rsidRPr="00AE7958" w:rsidR="00CF44FB">
        <w:t xml:space="preserve">. </w:t>
      </w:r>
      <w:r w:rsidRPr="00AE7958" w:rsidR="00E22984">
        <w:t>BJS</w:t>
      </w:r>
      <w:r w:rsidRPr="00AE7958" w:rsidR="00CF44FB">
        <w:t xml:space="preserve"> of the U.S. Department of Justice bears all costs of the survey. </w:t>
      </w:r>
      <w:r w:rsidRPr="00AE7958" w:rsidR="00FE4826">
        <w:t>The estimated annual cost to the Fed</w:t>
      </w:r>
      <w:r w:rsidR="006177B0">
        <w:t>eral Government for the NCVS is $</w:t>
      </w:r>
      <w:r w:rsidR="0023283C">
        <w:t>48.</w:t>
      </w:r>
      <w:r w:rsidR="00742BB7">
        <w:t>3</w:t>
      </w:r>
      <w:r w:rsidR="00F1083F">
        <w:t xml:space="preserve"> million in FY 20</w:t>
      </w:r>
      <w:r w:rsidR="006F0AC5">
        <w:t>22</w:t>
      </w:r>
      <w:r w:rsidRPr="00AE7958" w:rsidR="00FE4826">
        <w:t>.</w:t>
      </w:r>
      <w:r w:rsidRPr="000000EB" w:rsidR="00FE4826">
        <w:t xml:space="preserve"> </w:t>
      </w:r>
      <w:r w:rsidR="00B857E9">
        <w:t>The requested revision will have a negligible impact on survey costs.</w:t>
      </w:r>
      <w:r w:rsidR="00F564AD">
        <w:t xml:space="preserve"> </w:t>
      </w:r>
    </w:p>
    <w:p w:rsidR="002966A1" w:rsidRDefault="002966A1" w14:paraId="3ADA456F" w14:textId="77777777"/>
    <w:tbl>
      <w:tblPr>
        <w:tblStyle w:val="TableGrid"/>
        <w:tblpPr w:leftFromText="180" w:rightFromText="180" w:vertAnchor="text" w:horzAnchor="margin" w:tblpXSpec="center" w:tblpY="39"/>
        <w:tblW w:w="93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729"/>
        <w:gridCol w:w="1417"/>
        <w:gridCol w:w="1220"/>
        <w:gridCol w:w="2033"/>
      </w:tblGrid>
      <w:tr w:rsidRPr="00005BF7" w:rsidR="00D71BB8" w:rsidTr="002526D6" w14:paraId="0D8E9C21" w14:textId="77777777">
        <w:trPr>
          <w:trHeight w:val="20"/>
        </w:trPr>
        <w:tc>
          <w:tcPr>
            <w:tcW w:w="4729" w:type="dxa"/>
            <w:tcBorders>
              <w:bottom w:val="single" w:color="auto" w:sz="4" w:space="0"/>
            </w:tcBorders>
            <w:noWrap/>
          </w:tcPr>
          <w:p w:rsidRPr="00005BF7" w:rsidR="00D71BB8" w:rsidP="002526D6" w:rsidRDefault="00D71BB8" w14:paraId="62A683A5"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r w:rsidRPr="00D71BB8">
              <w:rPr>
                <w:b/>
                <w:bCs/>
                <w:szCs w:val="24"/>
              </w:rPr>
              <w:lastRenderedPageBreak/>
              <w:t>Table 2. Estimated costs for NCVS</w:t>
            </w:r>
          </w:p>
        </w:tc>
        <w:tc>
          <w:tcPr>
            <w:tcW w:w="1417" w:type="dxa"/>
            <w:tcBorders>
              <w:bottom w:val="single" w:color="auto" w:sz="4" w:space="0"/>
            </w:tcBorders>
          </w:tcPr>
          <w:p w:rsidRPr="00005BF7" w:rsidR="00D71BB8" w:rsidP="002526D6" w:rsidRDefault="00D71BB8" w14:paraId="2915465B"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c>
          <w:tcPr>
            <w:tcW w:w="1220" w:type="dxa"/>
            <w:tcBorders>
              <w:bottom w:val="single" w:color="auto" w:sz="4" w:space="0"/>
            </w:tcBorders>
          </w:tcPr>
          <w:p w:rsidRPr="00005BF7" w:rsidR="00D71BB8" w:rsidP="002526D6" w:rsidRDefault="00D71BB8" w14:paraId="3038DCBD"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c>
          <w:tcPr>
            <w:tcW w:w="2033" w:type="dxa"/>
            <w:tcBorders>
              <w:bottom w:val="single" w:color="auto" w:sz="4" w:space="0"/>
            </w:tcBorders>
            <w:noWrap/>
          </w:tcPr>
          <w:p w:rsidRPr="00005BF7" w:rsidR="00D71BB8" w:rsidP="002526D6" w:rsidRDefault="00D71BB8" w14:paraId="107903AC"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r>
      <w:tr w:rsidRPr="00005BF7" w:rsidR="00CC6C66" w:rsidTr="002526D6" w14:paraId="3D85C1CF" w14:textId="77777777">
        <w:trPr>
          <w:trHeight w:val="20"/>
        </w:trPr>
        <w:tc>
          <w:tcPr>
            <w:tcW w:w="4729" w:type="dxa"/>
            <w:tcBorders>
              <w:top w:val="single" w:color="auto" w:sz="4" w:space="0"/>
              <w:bottom w:val="single" w:color="auto" w:sz="4" w:space="0"/>
            </w:tcBorders>
            <w:noWrap/>
          </w:tcPr>
          <w:p w:rsidRPr="00D71BB8" w:rsidR="00CC6C66" w:rsidP="002526D6" w:rsidRDefault="00CC6C66" w14:paraId="33084BC5"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r w:rsidRPr="00CC6C66">
              <w:rPr>
                <w:b/>
                <w:bCs/>
                <w:szCs w:val="24"/>
              </w:rPr>
              <w:t>Estimated U.S. Census Bureau costs</w:t>
            </w:r>
          </w:p>
        </w:tc>
        <w:tc>
          <w:tcPr>
            <w:tcW w:w="1417" w:type="dxa"/>
            <w:tcBorders>
              <w:top w:val="single" w:color="auto" w:sz="4" w:space="0"/>
              <w:bottom w:val="single" w:color="auto" w:sz="4" w:space="0"/>
            </w:tcBorders>
          </w:tcPr>
          <w:p w:rsidRPr="00005BF7" w:rsidR="00CC6C66" w:rsidP="002526D6" w:rsidRDefault="00CC6C66" w14:paraId="604F9DBB"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c>
          <w:tcPr>
            <w:tcW w:w="1220" w:type="dxa"/>
            <w:tcBorders>
              <w:top w:val="single" w:color="auto" w:sz="4" w:space="0"/>
              <w:bottom w:val="single" w:color="auto" w:sz="4" w:space="0"/>
            </w:tcBorders>
          </w:tcPr>
          <w:p w:rsidRPr="00005BF7" w:rsidR="00CC6C66" w:rsidP="002526D6" w:rsidRDefault="00CC6C66" w14:paraId="6962EE9D"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c>
          <w:tcPr>
            <w:tcW w:w="2033" w:type="dxa"/>
            <w:tcBorders>
              <w:top w:val="single" w:color="auto" w:sz="4" w:space="0"/>
              <w:bottom w:val="single" w:color="auto" w:sz="4" w:space="0"/>
            </w:tcBorders>
            <w:noWrap/>
          </w:tcPr>
          <w:p w:rsidRPr="00005BF7" w:rsidR="00CC6C66" w:rsidP="002526D6" w:rsidRDefault="00CC6C66" w14:paraId="1368FB84"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r>
      <w:tr w:rsidRPr="00005BF7" w:rsidR="006177B0" w:rsidTr="002526D6" w14:paraId="7CA90FA6" w14:textId="77777777">
        <w:trPr>
          <w:trHeight w:val="20"/>
        </w:trPr>
        <w:tc>
          <w:tcPr>
            <w:tcW w:w="4729" w:type="dxa"/>
            <w:tcBorders>
              <w:top w:val="single" w:color="auto" w:sz="4" w:space="0"/>
            </w:tcBorders>
            <w:noWrap/>
            <w:hideMark/>
          </w:tcPr>
          <w:p w:rsidRPr="000E676C" w:rsidR="00D71BB8" w:rsidP="002526D6" w:rsidRDefault="00D71BB8" w14:paraId="4F68E748"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Cs/>
                <w:i/>
                <w:szCs w:val="24"/>
              </w:rPr>
            </w:pPr>
            <w:r w:rsidRPr="000E676C">
              <w:rPr>
                <w:bCs/>
                <w:i/>
                <w:szCs w:val="24"/>
              </w:rPr>
              <w:t>Division</w:t>
            </w:r>
          </w:p>
        </w:tc>
        <w:tc>
          <w:tcPr>
            <w:tcW w:w="1417" w:type="dxa"/>
            <w:tcBorders>
              <w:top w:val="single" w:color="auto" w:sz="4" w:space="0"/>
            </w:tcBorders>
          </w:tcPr>
          <w:p w:rsidRPr="00005BF7" w:rsidR="00D71BB8" w:rsidP="002526D6" w:rsidRDefault="00D71BB8" w14:paraId="067DA122"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c>
          <w:tcPr>
            <w:tcW w:w="1220" w:type="dxa"/>
            <w:tcBorders>
              <w:top w:val="single" w:color="auto" w:sz="4" w:space="0"/>
              <w:right w:val="single" w:color="auto" w:sz="4" w:space="0"/>
            </w:tcBorders>
          </w:tcPr>
          <w:p w:rsidRPr="00005BF7" w:rsidR="00D71BB8" w:rsidP="002526D6" w:rsidRDefault="00D71BB8" w14:paraId="1C9B3F04"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c>
          <w:tcPr>
            <w:tcW w:w="2033" w:type="dxa"/>
            <w:tcBorders>
              <w:top w:val="single" w:color="auto" w:sz="4" w:space="0"/>
              <w:left w:val="single" w:color="auto" w:sz="4" w:space="0"/>
              <w:bottom w:val="single" w:color="auto" w:sz="4" w:space="0"/>
              <w:right w:val="single" w:color="auto" w:sz="4" w:space="0"/>
            </w:tcBorders>
            <w:noWrap/>
            <w:hideMark/>
          </w:tcPr>
          <w:p w:rsidRPr="00005BF7" w:rsidR="00D71BB8" w:rsidP="002526D6" w:rsidRDefault="00D71BB8" w14:paraId="0ACD2FA2"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r w:rsidRPr="00005BF7">
              <w:rPr>
                <w:b/>
                <w:bCs/>
                <w:szCs w:val="24"/>
              </w:rPr>
              <w:t>Estimated Cost</w:t>
            </w:r>
          </w:p>
        </w:tc>
      </w:tr>
      <w:tr w:rsidRPr="00005BF7" w:rsidR="00D71BB8" w:rsidTr="002526D6" w14:paraId="04B6AFD7" w14:textId="77777777">
        <w:trPr>
          <w:trHeight w:val="20"/>
        </w:trPr>
        <w:tc>
          <w:tcPr>
            <w:tcW w:w="4729" w:type="dxa"/>
            <w:noWrap/>
            <w:hideMark/>
          </w:tcPr>
          <w:p w:rsidRPr="00005BF7" w:rsidR="00D71BB8" w:rsidP="002526D6" w:rsidRDefault="00D71BB8" w14:paraId="7CCA3D2D"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4" w:hanging="994"/>
              <w:rPr>
                <w:szCs w:val="24"/>
              </w:rPr>
            </w:pPr>
            <w:r w:rsidRPr="00005BF7">
              <w:rPr>
                <w:szCs w:val="24"/>
              </w:rPr>
              <w:t>DSMD (Sample Design and Estimation)</w:t>
            </w:r>
          </w:p>
        </w:tc>
        <w:tc>
          <w:tcPr>
            <w:tcW w:w="1417" w:type="dxa"/>
          </w:tcPr>
          <w:p w:rsidRPr="00005BF7" w:rsidR="00D71BB8" w:rsidP="002526D6" w:rsidRDefault="00D71BB8" w14:paraId="7599DA82"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4" w:hanging="994"/>
              <w:rPr>
                <w:szCs w:val="24"/>
              </w:rPr>
            </w:pPr>
          </w:p>
        </w:tc>
        <w:tc>
          <w:tcPr>
            <w:tcW w:w="1220" w:type="dxa"/>
            <w:tcBorders>
              <w:right w:val="single" w:color="auto" w:sz="4" w:space="0"/>
            </w:tcBorders>
          </w:tcPr>
          <w:p w:rsidRPr="00005BF7" w:rsidR="00D71BB8" w:rsidP="002526D6" w:rsidRDefault="00D71BB8" w14:paraId="2A60B479"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4" w:hanging="994"/>
              <w:rPr>
                <w:szCs w:val="24"/>
              </w:rPr>
            </w:pPr>
          </w:p>
        </w:tc>
        <w:tc>
          <w:tcPr>
            <w:tcW w:w="2033" w:type="dxa"/>
            <w:tcBorders>
              <w:top w:val="single" w:color="auto" w:sz="4" w:space="0"/>
              <w:left w:val="single" w:color="auto" w:sz="4" w:space="0"/>
              <w:bottom w:val="single" w:color="auto" w:sz="4" w:space="0"/>
              <w:right w:val="single" w:color="auto" w:sz="4" w:space="0"/>
            </w:tcBorders>
            <w:noWrap/>
          </w:tcPr>
          <w:p w:rsidRPr="00005BF7" w:rsidR="00D71BB8" w:rsidP="002526D6" w:rsidRDefault="00D71BB8" w14:paraId="5AF85A8D"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4" w:hanging="994"/>
              <w:jc w:val="right"/>
              <w:rPr>
                <w:szCs w:val="24"/>
              </w:rPr>
            </w:pPr>
            <w:r w:rsidRPr="00005BF7">
              <w:rPr>
                <w:szCs w:val="24"/>
              </w:rPr>
              <w:t>$</w:t>
            </w:r>
            <w:r w:rsidR="002D43BF">
              <w:rPr>
                <w:szCs w:val="24"/>
              </w:rPr>
              <w:t>1,513,290</w:t>
            </w:r>
          </w:p>
        </w:tc>
      </w:tr>
      <w:tr w:rsidRPr="00005BF7" w:rsidR="00D71BB8" w:rsidTr="002526D6" w14:paraId="65C66C23" w14:textId="77777777">
        <w:trPr>
          <w:trHeight w:val="20"/>
        </w:trPr>
        <w:tc>
          <w:tcPr>
            <w:tcW w:w="4729" w:type="dxa"/>
            <w:noWrap/>
          </w:tcPr>
          <w:p w:rsidRPr="00005BF7" w:rsidR="00D71BB8" w:rsidP="002526D6" w:rsidRDefault="00D71BB8" w14:paraId="6F846BB2"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r>
              <w:rPr>
                <w:szCs w:val="24"/>
              </w:rPr>
              <w:t>POP (Population Estimate Support)</w:t>
            </w:r>
          </w:p>
        </w:tc>
        <w:tc>
          <w:tcPr>
            <w:tcW w:w="1417" w:type="dxa"/>
          </w:tcPr>
          <w:p w:rsidR="00D71BB8" w:rsidP="002526D6" w:rsidRDefault="00D71BB8" w14:paraId="46248C64"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1220" w:type="dxa"/>
            <w:tcBorders>
              <w:right w:val="single" w:color="auto" w:sz="4" w:space="0"/>
            </w:tcBorders>
          </w:tcPr>
          <w:p w:rsidR="00D71BB8" w:rsidP="002526D6" w:rsidRDefault="00D71BB8" w14:paraId="032AB492"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2033" w:type="dxa"/>
            <w:tcBorders>
              <w:top w:val="single" w:color="auto" w:sz="4" w:space="0"/>
              <w:left w:val="single" w:color="auto" w:sz="4" w:space="0"/>
              <w:bottom w:val="single" w:color="auto" w:sz="4" w:space="0"/>
              <w:right w:val="single" w:color="auto" w:sz="4" w:space="0"/>
            </w:tcBorders>
            <w:noWrap/>
          </w:tcPr>
          <w:p w:rsidRPr="00005BF7" w:rsidR="00D71BB8" w:rsidP="002526D6" w:rsidRDefault="00D71BB8" w14:paraId="185DE928"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szCs w:val="24"/>
              </w:rPr>
            </w:pPr>
            <w:r>
              <w:rPr>
                <w:szCs w:val="24"/>
              </w:rPr>
              <w:t>$</w:t>
            </w:r>
            <w:r w:rsidR="002D43BF">
              <w:rPr>
                <w:szCs w:val="24"/>
              </w:rPr>
              <w:t>2,400</w:t>
            </w:r>
          </w:p>
        </w:tc>
      </w:tr>
      <w:tr w:rsidRPr="00005BF7" w:rsidR="00D71BB8" w:rsidTr="002526D6" w14:paraId="16C3F3C2" w14:textId="77777777">
        <w:trPr>
          <w:trHeight w:val="20"/>
        </w:trPr>
        <w:tc>
          <w:tcPr>
            <w:tcW w:w="4729" w:type="dxa"/>
            <w:noWrap/>
            <w:hideMark/>
          </w:tcPr>
          <w:p w:rsidRPr="00005BF7" w:rsidR="00D71BB8" w:rsidP="002526D6" w:rsidRDefault="00D71BB8" w14:paraId="082F6BEF"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r w:rsidRPr="00005BF7">
              <w:rPr>
                <w:szCs w:val="24"/>
              </w:rPr>
              <w:t>ADSD (Instrument Development)</w:t>
            </w:r>
          </w:p>
        </w:tc>
        <w:tc>
          <w:tcPr>
            <w:tcW w:w="1417" w:type="dxa"/>
          </w:tcPr>
          <w:p w:rsidRPr="00005BF7" w:rsidR="00D71BB8" w:rsidP="002526D6" w:rsidRDefault="00D71BB8" w14:paraId="1E4C74E9"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1220" w:type="dxa"/>
            <w:tcBorders>
              <w:right w:val="single" w:color="auto" w:sz="4" w:space="0"/>
            </w:tcBorders>
          </w:tcPr>
          <w:p w:rsidRPr="00005BF7" w:rsidR="00D71BB8" w:rsidP="002526D6" w:rsidRDefault="00D71BB8" w14:paraId="762DD440"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2033" w:type="dxa"/>
            <w:tcBorders>
              <w:top w:val="single" w:color="auto" w:sz="4" w:space="0"/>
              <w:left w:val="single" w:color="auto" w:sz="4" w:space="0"/>
              <w:bottom w:val="single" w:color="auto" w:sz="4" w:space="0"/>
              <w:right w:val="single" w:color="auto" w:sz="4" w:space="0"/>
            </w:tcBorders>
            <w:noWrap/>
          </w:tcPr>
          <w:p w:rsidRPr="00005BF7" w:rsidR="00D71BB8" w:rsidP="002526D6" w:rsidRDefault="00D71BB8" w14:paraId="573491A3"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szCs w:val="24"/>
              </w:rPr>
            </w:pPr>
            <w:r w:rsidRPr="00005BF7">
              <w:rPr>
                <w:szCs w:val="24"/>
              </w:rPr>
              <w:t>$</w:t>
            </w:r>
            <w:r w:rsidR="002D43BF">
              <w:rPr>
                <w:szCs w:val="24"/>
              </w:rPr>
              <w:t>1,018,260</w:t>
            </w:r>
          </w:p>
        </w:tc>
      </w:tr>
      <w:tr w:rsidRPr="00005BF7" w:rsidR="00D71BB8" w:rsidTr="002526D6" w14:paraId="14308C3C" w14:textId="77777777">
        <w:trPr>
          <w:trHeight w:val="20"/>
        </w:trPr>
        <w:tc>
          <w:tcPr>
            <w:tcW w:w="4729" w:type="dxa"/>
            <w:noWrap/>
            <w:hideMark/>
          </w:tcPr>
          <w:p w:rsidRPr="00005BF7" w:rsidR="00D71BB8" w:rsidP="002526D6" w:rsidRDefault="00D71BB8" w14:paraId="766B0F46"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r w:rsidRPr="00005BF7">
              <w:rPr>
                <w:szCs w:val="24"/>
              </w:rPr>
              <w:t>DSD (Data Processing)</w:t>
            </w:r>
          </w:p>
        </w:tc>
        <w:tc>
          <w:tcPr>
            <w:tcW w:w="1417" w:type="dxa"/>
          </w:tcPr>
          <w:p w:rsidRPr="00005BF7" w:rsidR="00D71BB8" w:rsidP="002526D6" w:rsidRDefault="00D71BB8" w14:paraId="0435DA4F"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1220" w:type="dxa"/>
            <w:tcBorders>
              <w:right w:val="single" w:color="auto" w:sz="4" w:space="0"/>
            </w:tcBorders>
          </w:tcPr>
          <w:p w:rsidRPr="00005BF7" w:rsidR="00D71BB8" w:rsidP="002526D6" w:rsidRDefault="00D71BB8" w14:paraId="2104AF24"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2033" w:type="dxa"/>
            <w:tcBorders>
              <w:top w:val="single" w:color="auto" w:sz="4" w:space="0"/>
              <w:left w:val="single" w:color="auto" w:sz="4" w:space="0"/>
              <w:bottom w:val="single" w:color="auto" w:sz="4" w:space="0"/>
              <w:right w:val="single" w:color="auto" w:sz="4" w:space="0"/>
            </w:tcBorders>
            <w:noWrap/>
          </w:tcPr>
          <w:p w:rsidRPr="00005BF7" w:rsidR="00D71BB8" w:rsidP="002526D6" w:rsidRDefault="00D71BB8" w14:paraId="4BBFB286"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szCs w:val="24"/>
              </w:rPr>
            </w:pPr>
            <w:r w:rsidRPr="00005BF7">
              <w:rPr>
                <w:szCs w:val="24"/>
              </w:rPr>
              <w:t>$</w:t>
            </w:r>
            <w:r w:rsidR="002D43BF">
              <w:rPr>
                <w:szCs w:val="24"/>
              </w:rPr>
              <w:t>1,847,900</w:t>
            </w:r>
          </w:p>
        </w:tc>
      </w:tr>
      <w:tr w:rsidRPr="00005BF7" w:rsidR="00D71BB8" w:rsidTr="002526D6" w14:paraId="4C3DF77A" w14:textId="77777777">
        <w:trPr>
          <w:trHeight w:val="20"/>
        </w:trPr>
        <w:tc>
          <w:tcPr>
            <w:tcW w:w="4729" w:type="dxa"/>
            <w:noWrap/>
            <w:hideMark/>
          </w:tcPr>
          <w:p w:rsidRPr="00005BF7" w:rsidR="00D71BB8" w:rsidP="002526D6" w:rsidRDefault="00D71BB8" w14:paraId="25808D33"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r w:rsidRPr="00005BF7">
              <w:rPr>
                <w:szCs w:val="24"/>
              </w:rPr>
              <w:t>FLD (Data Collection)</w:t>
            </w:r>
          </w:p>
        </w:tc>
        <w:tc>
          <w:tcPr>
            <w:tcW w:w="1417" w:type="dxa"/>
          </w:tcPr>
          <w:p w:rsidRPr="00005BF7" w:rsidR="00D71BB8" w:rsidP="002526D6" w:rsidRDefault="00D71BB8" w14:paraId="4FB5A83B"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1220" w:type="dxa"/>
            <w:tcBorders>
              <w:right w:val="single" w:color="auto" w:sz="4" w:space="0"/>
            </w:tcBorders>
          </w:tcPr>
          <w:p w:rsidRPr="00005BF7" w:rsidR="00D71BB8" w:rsidP="002526D6" w:rsidRDefault="00D71BB8" w14:paraId="0703BCF3"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2033" w:type="dxa"/>
            <w:tcBorders>
              <w:top w:val="single" w:color="auto" w:sz="4" w:space="0"/>
              <w:left w:val="single" w:color="auto" w:sz="4" w:space="0"/>
              <w:bottom w:val="single" w:color="auto" w:sz="4" w:space="0"/>
              <w:right w:val="single" w:color="auto" w:sz="4" w:space="0"/>
            </w:tcBorders>
            <w:noWrap/>
          </w:tcPr>
          <w:p w:rsidRPr="00005BF7" w:rsidR="00D71BB8" w:rsidP="002526D6" w:rsidRDefault="00D71BB8" w14:paraId="35745DC4"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szCs w:val="24"/>
              </w:rPr>
            </w:pPr>
            <w:r w:rsidRPr="00005BF7">
              <w:rPr>
                <w:szCs w:val="24"/>
              </w:rPr>
              <w:t>$</w:t>
            </w:r>
            <w:r w:rsidR="002D43BF">
              <w:rPr>
                <w:szCs w:val="24"/>
              </w:rPr>
              <w:t>35,882,720</w:t>
            </w:r>
          </w:p>
        </w:tc>
      </w:tr>
      <w:tr w:rsidRPr="00005BF7" w:rsidR="00D71BB8" w:rsidTr="002526D6" w14:paraId="4C95DA6B" w14:textId="77777777">
        <w:trPr>
          <w:trHeight w:val="20"/>
        </w:trPr>
        <w:tc>
          <w:tcPr>
            <w:tcW w:w="4729" w:type="dxa"/>
            <w:noWrap/>
          </w:tcPr>
          <w:p w:rsidRPr="00005BF7" w:rsidR="00D71BB8" w:rsidP="002526D6" w:rsidRDefault="00D71BB8" w14:paraId="004BE3E8"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r>
              <w:rPr>
                <w:szCs w:val="24"/>
              </w:rPr>
              <w:t>LCC (Telephone Centers)</w:t>
            </w:r>
          </w:p>
        </w:tc>
        <w:tc>
          <w:tcPr>
            <w:tcW w:w="1417" w:type="dxa"/>
          </w:tcPr>
          <w:p w:rsidR="00D71BB8" w:rsidP="002526D6" w:rsidRDefault="00D71BB8" w14:paraId="7A72F3EC"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1220" w:type="dxa"/>
            <w:tcBorders>
              <w:right w:val="single" w:color="auto" w:sz="4" w:space="0"/>
            </w:tcBorders>
          </w:tcPr>
          <w:p w:rsidR="00D71BB8" w:rsidP="002526D6" w:rsidRDefault="00D71BB8" w14:paraId="2704B13A"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2033" w:type="dxa"/>
            <w:tcBorders>
              <w:top w:val="single" w:color="auto" w:sz="4" w:space="0"/>
              <w:left w:val="single" w:color="auto" w:sz="4" w:space="0"/>
              <w:bottom w:val="single" w:color="auto" w:sz="4" w:space="0"/>
              <w:right w:val="single" w:color="auto" w:sz="4" w:space="0"/>
            </w:tcBorders>
            <w:noWrap/>
          </w:tcPr>
          <w:p w:rsidRPr="00005BF7" w:rsidR="00D71BB8" w:rsidP="002526D6" w:rsidRDefault="00D71BB8" w14:paraId="7A0FD61C"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szCs w:val="24"/>
              </w:rPr>
            </w:pPr>
            <w:r>
              <w:rPr>
                <w:szCs w:val="24"/>
              </w:rPr>
              <w:t>$</w:t>
            </w:r>
            <w:r w:rsidR="002D43BF">
              <w:rPr>
                <w:szCs w:val="24"/>
              </w:rPr>
              <w:t>269,380</w:t>
            </w:r>
          </w:p>
        </w:tc>
      </w:tr>
      <w:tr w:rsidRPr="00005BF7" w:rsidR="00D71BB8" w:rsidTr="002526D6" w14:paraId="52291908" w14:textId="77777777">
        <w:trPr>
          <w:trHeight w:val="85"/>
        </w:trPr>
        <w:tc>
          <w:tcPr>
            <w:tcW w:w="4729" w:type="dxa"/>
            <w:noWrap/>
          </w:tcPr>
          <w:p w:rsidRPr="00005BF7" w:rsidR="00D71BB8" w:rsidP="002526D6" w:rsidRDefault="00D71BB8" w14:paraId="2BE92A97"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r>
              <w:rPr>
                <w:szCs w:val="24"/>
              </w:rPr>
              <w:t>NPC (Data Collection Support)</w:t>
            </w:r>
          </w:p>
        </w:tc>
        <w:tc>
          <w:tcPr>
            <w:tcW w:w="1417" w:type="dxa"/>
          </w:tcPr>
          <w:p w:rsidR="00D71BB8" w:rsidP="002526D6" w:rsidRDefault="00D71BB8" w14:paraId="2B13B607"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1220" w:type="dxa"/>
            <w:tcBorders>
              <w:right w:val="single" w:color="auto" w:sz="4" w:space="0"/>
            </w:tcBorders>
          </w:tcPr>
          <w:p w:rsidR="00D71BB8" w:rsidP="002526D6" w:rsidRDefault="00D71BB8" w14:paraId="2E3AF5D9"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2033" w:type="dxa"/>
            <w:tcBorders>
              <w:top w:val="single" w:color="auto" w:sz="4" w:space="0"/>
              <w:left w:val="single" w:color="auto" w:sz="4" w:space="0"/>
              <w:bottom w:val="single" w:color="auto" w:sz="4" w:space="0"/>
              <w:right w:val="single" w:color="auto" w:sz="4" w:space="0"/>
            </w:tcBorders>
            <w:noWrap/>
          </w:tcPr>
          <w:p w:rsidRPr="00005BF7" w:rsidR="00D71BB8" w:rsidP="002526D6" w:rsidRDefault="006177B0" w14:paraId="26F64E5D"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szCs w:val="24"/>
              </w:rPr>
            </w:pPr>
            <w:r>
              <w:rPr>
                <w:szCs w:val="24"/>
              </w:rPr>
              <w:t>$</w:t>
            </w:r>
            <w:r w:rsidR="002D43BF">
              <w:rPr>
                <w:szCs w:val="24"/>
              </w:rPr>
              <w:t>1,007,600</w:t>
            </w:r>
          </w:p>
        </w:tc>
      </w:tr>
      <w:tr w:rsidRPr="00005BF7" w:rsidR="00D71BB8" w:rsidTr="002526D6" w14:paraId="5C40BC5D" w14:textId="77777777">
        <w:trPr>
          <w:trHeight w:val="20"/>
        </w:trPr>
        <w:tc>
          <w:tcPr>
            <w:tcW w:w="4729" w:type="dxa"/>
            <w:noWrap/>
            <w:hideMark/>
          </w:tcPr>
          <w:p w:rsidRPr="00005BF7" w:rsidR="00D71BB8" w:rsidP="002526D6" w:rsidRDefault="00D71BB8" w14:paraId="0DB21A2E"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r w:rsidRPr="00005BF7">
              <w:rPr>
                <w:szCs w:val="24"/>
              </w:rPr>
              <w:t>ADDP</w:t>
            </w:r>
            <w:r w:rsidR="000E676C">
              <w:rPr>
                <w:szCs w:val="24"/>
              </w:rPr>
              <w:t xml:space="preserve"> (Survey Operations and Project </w:t>
            </w:r>
            <w:r w:rsidRPr="00005BF7">
              <w:rPr>
                <w:szCs w:val="24"/>
              </w:rPr>
              <w:t>Management)</w:t>
            </w:r>
          </w:p>
        </w:tc>
        <w:tc>
          <w:tcPr>
            <w:tcW w:w="1417" w:type="dxa"/>
          </w:tcPr>
          <w:p w:rsidRPr="00005BF7" w:rsidR="00D71BB8" w:rsidP="002526D6" w:rsidRDefault="00D71BB8" w14:paraId="04A31B20"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1220" w:type="dxa"/>
            <w:tcBorders>
              <w:right w:val="single" w:color="auto" w:sz="4" w:space="0"/>
            </w:tcBorders>
          </w:tcPr>
          <w:p w:rsidRPr="00005BF7" w:rsidR="00D71BB8" w:rsidP="002526D6" w:rsidRDefault="00D71BB8" w14:paraId="005447E3"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szCs w:val="24"/>
              </w:rPr>
            </w:pPr>
          </w:p>
        </w:tc>
        <w:tc>
          <w:tcPr>
            <w:tcW w:w="2033" w:type="dxa"/>
            <w:tcBorders>
              <w:top w:val="single" w:color="auto" w:sz="4" w:space="0"/>
              <w:left w:val="single" w:color="auto" w:sz="4" w:space="0"/>
              <w:bottom w:val="single" w:color="auto" w:sz="4" w:space="0"/>
              <w:right w:val="single" w:color="auto" w:sz="4" w:space="0"/>
            </w:tcBorders>
            <w:noWrap/>
          </w:tcPr>
          <w:p w:rsidRPr="00005BF7" w:rsidR="00D71BB8" w:rsidP="002526D6" w:rsidRDefault="00D71BB8" w14:paraId="3C5677DA"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szCs w:val="24"/>
              </w:rPr>
            </w:pPr>
            <w:r w:rsidRPr="00005BF7">
              <w:rPr>
                <w:szCs w:val="24"/>
              </w:rPr>
              <w:t>$</w:t>
            </w:r>
            <w:r w:rsidR="002D43BF">
              <w:rPr>
                <w:szCs w:val="24"/>
              </w:rPr>
              <w:t>5,482,590</w:t>
            </w:r>
          </w:p>
        </w:tc>
      </w:tr>
      <w:tr w:rsidRPr="006177B0" w:rsidR="00D71BB8" w:rsidTr="002526D6" w14:paraId="3E83F1A4" w14:textId="77777777">
        <w:trPr>
          <w:trHeight w:val="20"/>
        </w:trPr>
        <w:tc>
          <w:tcPr>
            <w:tcW w:w="4729" w:type="dxa"/>
            <w:noWrap/>
            <w:hideMark/>
          </w:tcPr>
          <w:p w:rsidRPr="006177B0" w:rsidR="00D71BB8" w:rsidP="002526D6" w:rsidRDefault="00CC6C66" w14:paraId="3A871FAA"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Cs/>
                <w:szCs w:val="24"/>
              </w:rPr>
            </w:pPr>
            <w:r w:rsidRPr="006177B0">
              <w:rPr>
                <w:bCs/>
                <w:szCs w:val="24"/>
              </w:rPr>
              <w:t>Subt</w:t>
            </w:r>
            <w:r w:rsidRPr="006177B0" w:rsidR="00D71BB8">
              <w:rPr>
                <w:bCs/>
                <w:szCs w:val="24"/>
              </w:rPr>
              <w:t>otal</w:t>
            </w:r>
            <w:r w:rsidRPr="006177B0">
              <w:rPr>
                <w:bCs/>
                <w:szCs w:val="24"/>
              </w:rPr>
              <w:t>:</w:t>
            </w:r>
            <w:r w:rsidRPr="006177B0" w:rsidR="00D71BB8">
              <w:rPr>
                <w:bCs/>
                <w:szCs w:val="24"/>
              </w:rPr>
              <w:t xml:space="preserve"> estimated costs</w:t>
            </w:r>
            <w:r w:rsidRPr="006177B0">
              <w:rPr>
                <w:bCs/>
                <w:szCs w:val="24"/>
              </w:rPr>
              <w:t xml:space="preserve"> for Census Bureau</w:t>
            </w:r>
          </w:p>
        </w:tc>
        <w:tc>
          <w:tcPr>
            <w:tcW w:w="1417" w:type="dxa"/>
          </w:tcPr>
          <w:p w:rsidRPr="006177B0" w:rsidR="00D71BB8" w:rsidP="002526D6" w:rsidRDefault="00D71BB8" w14:paraId="6CD69B77"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Cs/>
                <w:szCs w:val="24"/>
              </w:rPr>
            </w:pPr>
          </w:p>
        </w:tc>
        <w:tc>
          <w:tcPr>
            <w:tcW w:w="1220" w:type="dxa"/>
            <w:tcBorders>
              <w:right w:val="single" w:color="auto" w:sz="4" w:space="0"/>
            </w:tcBorders>
          </w:tcPr>
          <w:p w:rsidRPr="006177B0" w:rsidR="00D71BB8" w:rsidP="002526D6" w:rsidRDefault="00D71BB8" w14:paraId="001714DA"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Cs/>
                <w:szCs w:val="24"/>
              </w:rPr>
            </w:pPr>
          </w:p>
        </w:tc>
        <w:tc>
          <w:tcPr>
            <w:tcW w:w="2033" w:type="dxa"/>
            <w:tcBorders>
              <w:top w:val="single" w:color="auto" w:sz="4" w:space="0"/>
              <w:left w:val="single" w:color="auto" w:sz="4" w:space="0"/>
              <w:bottom w:val="single" w:color="auto" w:sz="4" w:space="0"/>
              <w:right w:val="single" w:color="auto" w:sz="4" w:space="0"/>
            </w:tcBorders>
            <w:noWrap/>
          </w:tcPr>
          <w:p w:rsidRPr="006177B0" w:rsidR="00D71BB8" w:rsidP="002526D6" w:rsidRDefault="00D71BB8" w14:paraId="1087A2F9" w14:textId="7D0B30EF">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Cs/>
                <w:szCs w:val="24"/>
              </w:rPr>
            </w:pPr>
            <w:r w:rsidRPr="006177B0">
              <w:rPr>
                <w:bCs/>
                <w:szCs w:val="24"/>
              </w:rPr>
              <w:t>$</w:t>
            </w:r>
            <w:r w:rsidR="002D43BF">
              <w:rPr>
                <w:bCs/>
                <w:szCs w:val="24"/>
              </w:rPr>
              <w:t>47,024,1</w:t>
            </w:r>
            <w:r w:rsidR="002F0B98">
              <w:rPr>
                <w:bCs/>
                <w:szCs w:val="24"/>
              </w:rPr>
              <w:t>4</w:t>
            </w:r>
            <w:r w:rsidR="002D43BF">
              <w:rPr>
                <w:bCs/>
                <w:szCs w:val="24"/>
              </w:rPr>
              <w:t>0</w:t>
            </w:r>
          </w:p>
        </w:tc>
      </w:tr>
      <w:tr w:rsidRPr="00005BF7" w:rsidR="006177B0" w:rsidTr="002526D6" w14:paraId="541AEA9C" w14:textId="77777777">
        <w:trPr>
          <w:trHeight w:val="20"/>
        </w:trPr>
        <w:tc>
          <w:tcPr>
            <w:tcW w:w="4729" w:type="dxa"/>
            <w:noWrap/>
          </w:tcPr>
          <w:p w:rsidR="00D71BB8" w:rsidP="002526D6" w:rsidRDefault="00D71BB8" w14:paraId="66D9F723"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c>
          <w:tcPr>
            <w:tcW w:w="1417" w:type="dxa"/>
          </w:tcPr>
          <w:p w:rsidRPr="00005BF7" w:rsidR="00D71BB8" w:rsidP="002526D6" w:rsidRDefault="00D71BB8" w14:paraId="52EAEA2E"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c>
          <w:tcPr>
            <w:tcW w:w="1220" w:type="dxa"/>
          </w:tcPr>
          <w:p w:rsidRPr="00005BF7" w:rsidR="00D71BB8" w:rsidP="002526D6" w:rsidRDefault="00D71BB8" w14:paraId="1926D934"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c>
          <w:tcPr>
            <w:tcW w:w="2033" w:type="dxa"/>
            <w:tcBorders>
              <w:top w:val="single" w:color="auto" w:sz="4" w:space="0"/>
            </w:tcBorders>
            <w:noWrap/>
          </w:tcPr>
          <w:p w:rsidRPr="00005BF7" w:rsidR="00D71BB8" w:rsidP="002526D6" w:rsidRDefault="00D71BB8" w14:paraId="0267685A"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
                <w:bCs/>
                <w:szCs w:val="24"/>
              </w:rPr>
            </w:pPr>
          </w:p>
        </w:tc>
      </w:tr>
      <w:tr w:rsidRPr="00005BF7" w:rsidR="006177B0" w:rsidTr="002526D6" w14:paraId="26B2E5ED" w14:textId="77777777">
        <w:trPr>
          <w:trHeight w:val="20"/>
        </w:trPr>
        <w:tc>
          <w:tcPr>
            <w:tcW w:w="4729" w:type="dxa"/>
            <w:tcBorders>
              <w:bottom w:val="single" w:color="auto" w:sz="4" w:space="0"/>
            </w:tcBorders>
            <w:noWrap/>
          </w:tcPr>
          <w:p w:rsidR="00D71BB8" w:rsidP="002526D6" w:rsidRDefault="00CC6C66" w14:paraId="27A73911"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r>
              <w:rPr>
                <w:b/>
                <w:bCs/>
                <w:szCs w:val="24"/>
              </w:rPr>
              <w:t xml:space="preserve">Estimated </w:t>
            </w:r>
            <w:r w:rsidR="00D71BB8">
              <w:rPr>
                <w:b/>
                <w:bCs/>
                <w:szCs w:val="24"/>
              </w:rPr>
              <w:t>BJS Costs</w:t>
            </w:r>
          </w:p>
        </w:tc>
        <w:tc>
          <w:tcPr>
            <w:tcW w:w="1417" w:type="dxa"/>
            <w:tcBorders>
              <w:bottom w:val="single" w:color="auto" w:sz="4" w:space="0"/>
            </w:tcBorders>
          </w:tcPr>
          <w:p w:rsidRPr="00005BF7" w:rsidR="00D71BB8" w:rsidP="002526D6" w:rsidRDefault="00D71BB8" w14:paraId="55451C36"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c>
          <w:tcPr>
            <w:tcW w:w="1220" w:type="dxa"/>
            <w:tcBorders>
              <w:bottom w:val="single" w:color="auto" w:sz="4" w:space="0"/>
            </w:tcBorders>
          </w:tcPr>
          <w:p w:rsidRPr="00005BF7" w:rsidR="00D71BB8" w:rsidP="002526D6" w:rsidRDefault="00D71BB8" w14:paraId="5758380E"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c>
          <w:tcPr>
            <w:tcW w:w="2033" w:type="dxa"/>
            <w:tcBorders>
              <w:bottom w:val="single" w:color="auto" w:sz="4" w:space="0"/>
            </w:tcBorders>
            <w:noWrap/>
          </w:tcPr>
          <w:p w:rsidRPr="00005BF7" w:rsidR="00D71BB8" w:rsidP="002526D6" w:rsidRDefault="00D71BB8" w14:paraId="6E6B5543"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p>
        </w:tc>
      </w:tr>
      <w:tr w:rsidRPr="00005BF7" w:rsidR="006177B0" w:rsidTr="002526D6" w14:paraId="43815E93" w14:textId="77777777">
        <w:trPr>
          <w:trHeight w:val="20"/>
        </w:trPr>
        <w:tc>
          <w:tcPr>
            <w:tcW w:w="4729" w:type="dxa"/>
            <w:tcBorders>
              <w:top w:val="single" w:color="auto" w:sz="4" w:space="0"/>
            </w:tcBorders>
            <w:noWrap/>
          </w:tcPr>
          <w:p w:rsidRPr="00D71BB8" w:rsidR="00D71BB8" w:rsidP="002526D6" w:rsidRDefault="00D71BB8" w14:paraId="382B6EDE"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Cs/>
                <w:szCs w:val="24"/>
              </w:rPr>
            </w:pPr>
            <w:r>
              <w:rPr>
                <w:bCs/>
                <w:szCs w:val="24"/>
              </w:rPr>
              <w:t>Staff salaries</w:t>
            </w:r>
          </w:p>
        </w:tc>
        <w:tc>
          <w:tcPr>
            <w:tcW w:w="1417" w:type="dxa"/>
            <w:tcBorders>
              <w:top w:val="single" w:color="auto" w:sz="4" w:space="0"/>
            </w:tcBorders>
          </w:tcPr>
          <w:p w:rsidRPr="00CC6C66" w:rsidR="00D71BB8" w:rsidP="002526D6" w:rsidRDefault="00D71BB8" w14:paraId="75491635"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r w:rsidRPr="00CC6C66">
              <w:rPr>
                <w:b/>
                <w:bCs/>
                <w:szCs w:val="24"/>
              </w:rPr>
              <w:t>Base salary</w:t>
            </w:r>
          </w:p>
        </w:tc>
        <w:tc>
          <w:tcPr>
            <w:tcW w:w="1220" w:type="dxa"/>
            <w:tcBorders>
              <w:top w:val="single" w:color="auto" w:sz="4" w:space="0"/>
            </w:tcBorders>
          </w:tcPr>
          <w:p w:rsidRPr="00CC6C66" w:rsidR="00D71BB8" w:rsidP="002526D6" w:rsidRDefault="00D71BB8" w14:paraId="0FE5EE1C"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r w:rsidRPr="00CC6C66">
              <w:rPr>
                <w:b/>
                <w:bCs/>
                <w:szCs w:val="24"/>
              </w:rPr>
              <w:t>Fringe</w:t>
            </w:r>
          </w:p>
        </w:tc>
        <w:tc>
          <w:tcPr>
            <w:tcW w:w="2033" w:type="dxa"/>
            <w:tcBorders>
              <w:top w:val="single" w:color="auto" w:sz="4" w:space="0"/>
            </w:tcBorders>
            <w:noWrap/>
          </w:tcPr>
          <w:p w:rsidRPr="00CC6C66" w:rsidR="00D71BB8" w:rsidP="002526D6" w:rsidRDefault="00D71BB8" w14:paraId="02EC6F95"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rPr>
                <w:b/>
                <w:bCs/>
                <w:szCs w:val="24"/>
              </w:rPr>
            </w:pPr>
            <w:r w:rsidRPr="00CC6C66">
              <w:rPr>
                <w:b/>
                <w:bCs/>
                <w:szCs w:val="24"/>
              </w:rPr>
              <w:t>Salary estimates</w:t>
            </w:r>
          </w:p>
        </w:tc>
      </w:tr>
      <w:tr w:rsidRPr="00005BF7" w:rsidR="002F0B98" w:rsidTr="002526D6" w14:paraId="3CB0B2CB" w14:textId="77777777">
        <w:trPr>
          <w:trHeight w:val="20"/>
        </w:trPr>
        <w:tc>
          <w:tcPr>
            <w:tcW w:w="4729" w:type="dxa"/>
            <w:shd w:val="clear" w:color="auto" w:fill="auto"/>
            <w:noWrap/>
            <w:vAlign w:val="bottom"/>
          </w:tcPr>
          <w:p w:rsidRPr="000000EB" w:rsidR="002F0B98" w:rsidP="002526D6" w:rsidRDefault="002F0B98" w14:paraId="55161721" w14:textId="77777777">
            <w:pPr>
              <w:widowControl/>
              <w:autoSpaceDE/>
              <w:autoSpaceDN/>
              <w:adjustRightInd/>
              <w:spacing w:after="0"/>
              <w:rPr>
                <w:rFonts w:ascii="Calibri" w:hAnsi="Calibri" w:cs="Arial"/>
                <w:szCs w:val="24"/>
              </w:rPr>
            </w:pPr>
            <w:r w:rsidRPr="000000EB">
              <w:rPr>
                <w:rFonts w:ascii="Calibri" w:hAnsi="Calibri" w:cs="Arial"/>
                <w:szCs w:val="24"/>
              </w:rPr>
              <w:t xml:space="preserve">GS15 </w:t>
            </w:r>
            <w:r>
              <w:rPr>
                <w:rFonts w:ascii="Calibri" w:hAnsi="Calibri" w:cs="Arial"/>
                <w:szCs w:val="24"/>
              </w:rPr>
              <w:t>Supervisory Statistician</w:t>
            </w:r>
            <w:r w:rsidRPr="000000EB">
              <w:rPr>
                <w:rFonts w:ascii="Calibri" w:hAnsi="Calibri" w:cs="Arial"/>
                <w:szCs w:val="24"/>
              </w:rPr>
              <w:t xml:space="preserve"> (1</w:t>
            </w:r>
            <w:r>
              <w:rPr>
                <w:rFonts w:ascii="Calibri" w:hAnsi="Calibri" w:cs="Arial"/>
                <w:szCs w:val="24"/>
              </w:rPr>
              <w:t xml:space="preserve"> </w:t>
            </w:r>
            <w:r w:rsidRPr="000000EB">
              <w:rPr>
                <w:rFonts w:ascii="Calibri" w:hAnsi="Calibri" w:cs="Arial"/>
                <w:szCs w:val="24"/>
              </w:rPr>
              <w:t>@</w:t>
            </w:r>
            <w:r>
              <w:rPr>
                <w:rFonts w:ascii="Calibri" w:hAnsi="Calibri" w:cs="Arial"/>
                <w:szCs w:val="24"/>
              </w:rPr>
              <w:t xml:space="preserve"> </w:t>
            </w:r>
            <w:r w:rsidRPr="000000EB">
              <w:rPr>
                <w:rFonts w:ascii="Calibri" w:hAnsi="Calibri" w:cs="Arial"/>
                <w:szCs w:val="24"/>
              </w:rPr>
              <w:t>100%)</w:t>
            </w:r>
          </w:p>
        </w:tc>
        <w:tc>
          <w:tcPr>
            <w:tcW w:w="1417" w:type="dxa"/>
            <w:shd w:val="clear" w:color="auto" w:fill="auto"/>
          </w:tcPr>
          <w:p w:rsidRPr="000000EB" w:rsidR="002F0B98" w:rsidP="002526D6" w:rsidRDefault="002F0B98" w14:paraId="4B8222C8" w14:textId="6F92E65C">
            <w:pPr>
              <w:widowControl/>
              <w:autoSpaceDE/>
              <w:autoSpaceDN/>
              <w:adjustRightInd/>
              <w:spacing w:after="0"/>
              <w:jc w:val="right"/>
              <w:rPr>
                <w:rFonts w:ascii="Calibri" w:hAnsi="Calibri" w:cs="Arial"/>
                <w:szCs w:val="24"/>
              </w:rPr>
            </w:pPr>
            <w:r w:rsidRPr="00342BB3">
              <w:t xml:space="preserve">$163,345 </w:t>
            </w:r>
          </w:p>
        </w:tc>
        <w:tc>
          <w:tcPr>
            <w:tcW w:w="1220" w:type="dxa"/>
            <w:shd w:val="clear" w:color="auto" w:fill="auto"/>
          </w:tcPr>
          <w:p w:rsidRPr="000000EB" w:rsidR="002F0B98" w:rsidP="002526D6" w:rsidRDefault="002F0B98" w14:paraId="5A7D2BAB" w14:textId="72CBA9E8">
            <w:pPr>
              <w:widowControl/>
              <w:autoSpaceDE/>
              <w:autoSpaceDN/>
              <w:adjustRightInd/>
              <w:spacing w:after="0"/>
              <w:jc w:val="right"/>
              <w:rPr>
                <w:rFonts w:ascii="Calibri" w:hAnsi="Calibri" w:cs="Arial"/>
                <w:szCs w:val="24"/>
              </w:rPr>
            </w:pPr>
            <w:r w:rsidRPr="0033271E">
              <w:t xml:space="preserve">$45,737 </w:t>
            </w:r>
          </w:p>
        </w:tc>
        <w:tc>
          <w:tcPr>
            <w:tcW w:w="2033" w:type="dxa"/>
            <w:shd w:val="clear" w:color="auto" w:fill="auto"/>
            <w:noWrap/>
          </w:tcPr>
          <w:p w:rsidRPr="000000EB" w:rsidR="002F0B98" w:rsidP="002526D6" w:rsidRDefault="002F0B98" w14:paraId="0F01373C" w14:textId="16FD1C2E">
            <w:pPr>
              <w:widowControl/>
              <w:autoSpaceDE/>
              <w:autoSpaceDN/>
              <w:adjustRightInd/>
              <w:spacing w:after="0"/>
              <w:jc w:val="right"/>
              <w:rPr>
                <w:rFonts w:ascii="Calibri" w:hAnsi="Calibri" w:cs="Arial"/>
                <w:szCs w:val="24"/>
              </w:rPr>
            </w:pPr>
            <w:r w:rsidRPr="000F49AD">
              <w:t xml:space="preserve">$209,082 </w:t>
            </w:r>
          </w:p>
        </w:tc>
      </w:tr>
      <w:tr w:rsidRPr="00005BF7" w:rsidR="002F0B98" w:rsidTr="002526D6" w14:paraId="43C396D2" w14:textId="77777777">
        <w:trPr>
          <w:trHeight w:val="20"/>
        </w:trPr>
        <w:tc>
          <w:tcPr>
            <w:tcW w:w="4729" w:type="dxa"/>
            <w:shd w:val="clear" w:color="auto" w:fill="auto"/>
            <w:noWrap/>
            <w:vAlign w:val="bottom"/>
          </w:tcPr>
          <w:p w:rsidRPr="000000EB" w:rsidR="002F0B98" w:rsidP="002526D6" w:rsidRDefault="002F0B98" w14:paraId="61C7DFD9" w14:textId="1B175830">
            <w:pPr>
              <w:widowControl/>
              <w:autoSpaceDE/>
              <w:autoSpaceDN/>
              <w:adjustRightInd/>
              <w:spacing w:after="0"/>
              <w:rPr>
                <w:rFonts w:ascii="Calibri" w:hAnsi="Calibri" w:cs="Arial"/>
                <w:szCs w:val="24"/>
              </w:rPr>
            </w:pPr>
            <w:r w:rsidRPr="000000EB">
              <w:rPr>
                <w:rFonts w:ascii="Calibri" w:hAnsi="Calibri" w:cs="Arial"/>
                <w:szCs w:val="24"/>
              </w:rPr>
              <w:t>GS</w:t>
            </w:r>
            <w:r>
              <w:rPr>
                <w:rFonts w:ascii="Calibri" w:hAnsi="Calibri" w:cs="Arial"/>
                <w:szCs w:val="24"/>
              </w:rPr>
              <w:t>14</w:t>
            </w:r>
            <w:r w:rsidRPr="000000EB">
              <w:rPr>
                <w:rFonts w:ascii="Calibri" w:hAnsi="Calibri" w:cs="Arial"/>
                <w:szCs w:val="24"/>
              </w:rPr>
              <w:t xml:space="preserve"> </w:t>
            </w:r>
            <w:r>
              <w:rPr>
                <w:rFonts w:ascii="Calibri" w:hAnsi="Calibri" w:cs="Arial"/>
                <w:szCs w:val="24"/>
              </w:rPr>
              <w:t>Lead Technical Editor,</w:t>
            </w:r>
            <w:r w:rsidRPr="000000EB">
              <w:rPr>
                <w:rFonts w:ascii="Calibri" w:hAnsi="Calibri" w:cs="Arial"/>
                <w:szCs w:val="24"/>
              </w:rPr>
              <w:t xml:space="preserve"> BJS (1</w:t>
            </w:r>
            <w:r>
              <w:rPr>
                <w:rFonts w:ascii="Calibri" w:hAnsi="Calibri" w:cs="Arial"/>
                <w:szCs w:val="24"/>
              </w:rPr>
              <w:t xml:space="preserve"> </w:t>
            </w:r>
            <w:r w:rsidRPr="000000EB">
              <w:rPr>
                <w:rFonts w:ascii="Calibri" w:hAnsi="Calibri" w:cs="Arial"/>
                <w:szCs w:val="24"/>
              </w:rPr>
              <w:t>@</w:t>
            </w:r>
            <w:r>
              <w:rPr>
                <w:rFonts w:ascii="Calibri" w:hAnsi="Calibri" w:cs="Arial"/>
                <w:szCs w:val="24"/>
              </w:rPr>
              <w:t xml:space="preserve"> </w:t>
            </w:r>
            <w:r w:rsidRPr="000000EB">
              <w:rPr>
                <w:rFonts w:ascii="Calibri" w:hAnsi="Calibri" w:cs="Arial"/>
                <w:szCs w:val="24"/>
              </w:rPr>
              <w:t>25%)</w:t>
            </w:r>
          </w:p>
        </w:tc>
        <w:tc>
          <w:tcPr>
            <w:tcW w:w="1417" w:type="dxa"/>
            <w:shd w:val="clear" w:color="auto" w:fill="auto"/>
          </w:tcPr>
          <w:p w:rsidRPr="000000EB" w:rsidR="002F0B98" w:rsidP="002526D6" w:rsidRDefault="002F0B98" w14:paraId="4BE37A52" w14:textId="6BEC856A">
            <w:pPr>
              <w:widowControl/>
              <w:autoSpaceDE/>
              <w:autoSpaceDN/>
              <w:adjustRightInd/>
              <w:spacing w:after="0"/>
              <w:jc w:val="right"/>
              <w:rPr>
                <w:rFonts w:ascii="Calibri" w:hAnsi="Calibri" w:cs="Arial"/>
                <w:szCs w:val="24"/>
              </w:rPr>
            </w:pPr>
            <w:r w:rsidRPr="00342BB3">
              <w:t xml:space="preserve">$138,866 </w:t>
            </w:r>
          </w:p>
        </w:tc>
        <w:tc>
          <w:tcPr>
            <w:tcW w:w="1220" w:type="dxa"/>
            <w:shd w:val="clear" w:color="auto" w:fill="auto"/>
          </w:tcPr>
          <w:p w:rsidRPr="000000EB" w:rsidR="002F0B98" w:rsidP="002526D6" w:rsidRDefault="002F0B98" w14:paraId="70D88A9B" w14:textId="538DA512">
            <w:pPr>
              <w:widowControl/>
              <w:autoSpaceDE/>
              <w:autoSpaceDN/>
              <w:adjustRightInd/>
              <w:spacing w:after="0"/>
              <w:jc w:val="right"/>
              <w:rPr>
                <w:rFonts w:ascii="Calibri" w:hAnsi="Calibri" w:cs="Arial"/>
                <w:szCs w:val="24"/>
              </w:rPr>
            </w:pPr>
            <w:r w:rsidRPr="0033271E">
              <w:t xml:space="preserve">$38,882 </w:t>
            </w:r>
          </w:p>
        </w:tc>
        <w:tc>
          <w:tcPr>
            <w:tcW w:w="2033" w:type="dxa"/>
            <w:shd w:val="clear" w:color="auto" w:fill="auto"/>
            <w:noWrap/>
          </w:tcPr>
          <w:p w:rsidRPr="000000EB" w:rsidR="002F0B98" w:rsidP="002526D6" w:rsidRDefault="002F0B98" w14:paraId="3E4A4EF3" w14:textId="0988DBAA">
            <w:pPr>
              <w:widowControl/>
              <w:autoSpaceDE/>
              <w:autoSpaceDN/>
              <w:adjustRightInd/>
              <w:spacing w:after="0"/>
              <w:jc w:val="right"/>
              <w:rPr>
                <w:rFonts w:ascii="Calibri" w:hAnsi="Calibri" w:cs="Arial"/>
                <w:szCs w:val="24"/>
              </w:rPr>
            </w:pPr>
            <w:r w:rsidRPr="000F49AD">
              <w:t xml:space="preserve">$44,437 </w:t>
            </w:r>
          </w:p>
        </w:tc>
      </w:tr>
      <w:tr w:rsidRPr="00005BF7" w:rsidR="002F0B98" w:rsidTr="002526D6" w14:paraId="2B702AE5" w14:textId="77777777">
        <w:trPr>
          <w:trHeight w:val="20"/>
        </w:trPr>
        <w:tc>
          <w:tcPr>
            <w:tcW w:w="4729" w:type="dxa"/>
            <w:shd w:val="clear" w:color="auto" w:fill="auto"/>
            <w:noWrap/>
            <w:vAlign w:val="bottom"/>
          </w:tcPr>
          <w:p w:rsidRPr="000000EB" w:rsidR="002F0B98" w:rsidP="002526D6" w:rsidRDefault="002F0B98" w14:paraId="417DC843" w14:textId="6A99DA07">
            <w:pPr>
              <w:widowControl/>
              <w:autoSpaceDE/>
              <w:autoSpaceDN/>
              <w:adjustRightInd/>
              <w:spacing w:after="0"/>
              <w:rPr>
                <w:rFonts w:ascii="Calibri" w:hAnsi="Calibri" w:cs="Arial"/>
                <w:szCs w:val="24"/>
              </w:rPr>
            </w:pPr>
            <w:r>
              <w:rPr>
                <w:rFonts w:ascii="Calibri" w:hAnsi="Calibri" w:cs="Arial"/>
                <w:szCs w:val="24"/>
              </w:rPr>
              <w:t xml:space="preserve">GS14 – Statistician, BJS (3 </w:t>
            </w:r>
            <w:r w:rsidRPr="000000EB">
              <w:rPr>
                <w:rFonts w:ascii="Calibri" w:hAnsi="Calibri" w:cs="Arial"/>
                <w:szCs w:val="24"/>
              </w:rPr>
              <w:t>@ 100%)</w:t>
            </w:r>
          </w:p>
        </w:tc>
        <w:tc>
          <w:tcPr>
            <w:tcW w:w="1417" w:type="dxa"/>
            <w:shd w:val="clear" w:color="auto" w:fill="auto"/>
          </w:tcPr>
          <w:p w:rsidRPr="000000EB" w:rsidR="002F0B98" w:rsidP="002526D6" w:rsidRDefault="002F0B98" w14:paraId="1178813E" w14:textId="4E3EC4C6">
            <w:pPr>
              <w:widowControl/>
              <w:autoSpaceDE/>
              <w:autoSpaceDN/>
              <w:adjustRightInd/>
              <w:spacing w:after="0"/>
              <w:jc w:val="right"/>
              <w:rPr>
                <w:rFonts w:ascii="Calibri" w:hAnsi="Calibri" w:cs="Arial"/>
                <w:szCs w:val="24"/>
              </w:rPr>
            </w:pPr>
            <w:r w:rsidRPr="00342BB3">
              <w:t xml:space="preserve">$138,866 </w:t>
            </w:r>
          </w:p>
        </w:tc>
        <w:tc>
          <w:tcPr>
            <w:tcW w:w="1220" w:type="dxa"/>
            <w:shd w:val="clear" w:color="auto" w:fill="auto"/>
          </w:tcPr>
          <w:p w:rsidRPr="000000EB" w:rsidR="002F0B98" w:rsidP="002526D6" w:rsidRDefault="002F0B98" w14:paraId="5702E543" w14:textId="6EAD905C">
            <w:pPr>
              <w:widowControl/>
              <w:autoSpaceDE/>
              <w:autoSpaceDN/>
              <w:adjustRightInd/>
              <w:spacing w:after="0"/>
              <w:jc w:val="right"/>
              <w:rPr>
                <w:rFonts w:ascii="Calibri" w:hAnsi="Calibri" w:cs="Arial"/>
                <w:szCs w:val="24"/>
              </w:rPr>
            </w:pPr>
            <w:r w:rsidRPr="0033271E">
              <w:t xml:space="preserve">$38,882 </w:t>
            </w:r>
          </w:p>
        </w:tc>
        <w:tc>
          <w:tcPr>
            <w:tcW w:w="2033" w:type="dxa"/>
            <w:shd w:val="clear" w:color="auto" w:fill="auto"/>
            <w:noWrap/>
          </w:tcPr>
          <w:p w:rsidRPr="000000EB" w:rsidR="002F0B98" w:rsidP="002526D6" w:rsidRDefault="002F0B98" w14:paraId="25222EF5" w14:textId="5232BC90">
            <w:pPr>
              <w:widowControl/>
              <w:autoSpaceDE/>
              <w:autoSpaceDN/>
              <w:adjustRightInd/>
              <w:spacing w:after="0"/>
              <w:jc w:val="right"/>
              <w:rPr>
                <w:rFonts w:ascii="Calibri" w:hAnsi="Calibri" w:cs="Arial"/>
                <w:szCs w:val="24"/>
              </w:rPr>
            </w:pPr>
            <w:r w:rsidRPr="000F49AD">
              <w:t xml:space="preserve">$533,245 </w:t>
            </w:r>
          </w:p>
        </w:tc>
      </w:tr>
      <w:tr w:rsidRPr="00005BF7" w:rsidR="002F0B98" w:rsidTr="002526D6" w14:paraId="0A24AEE0" w14:textId="77777777">
        <w:trPr>
          <w:trHeight w:val="20"/>
        </w:trPr>
        <w:tc>
          <w:tcPr>
            <w:tcW w:w="4729" w:type="dxa"/>
            <w:shd w:val="clear" w:color="auto" w:fill="auto"/>
            <w:noWrap/>
            <w:vAlign w:val="bottom"/>
          </w:tcPr>
          <w:p w:rsidRPr="000000EB" w:rsidR="002F0B98" w:rsidP="002526D6" w:rsidRDefault="002F0B98" w14:paraId="092A6E62" w14:textId="1A413FFF">
            <w:pPr>
              <w:widowControl/>
              <w:autoSpaceDE/>
              <w:autoSpaceDN/>
              <w:adjustRightInd/>
              <w:spacing w:after="0"/>
              <w:rPr>
                <w:rFonts w:ascii="Calibri" w:hAnsi="Calibri" w:cs="Arial"/>
                <w:szCs w:val="24"/>
              </w:rPr>
            </w:pPr>
            <w:r>
              <w:rPr>
                <w:rFonts w:ascii="Calibri" w:hAnsi="Calibri" w:cs="Arial"/>
                <w:szCs w:val="24"/>
              </w:rPr>
              <w:t>GS13</w:t>
            </w:r>
            <w:r w:rsidRPr="000000EB">
              <w:rPr>
                <w:rFonts w:ascii="Calibri" w:hAnsi="Calibri" w:cs="Arial"/>
                <w:szCs w:val="24"/>
              </w:rPr>
              <w:t xml:space="preserve"> – Statistician</w:t>
            </w:r>
            <w:r>
              <w:rPr>
                <w:rFonts w:ascii="Calibri" w:hAnsi="Calibri" w:cs="Arial"/>
                <w:szCs w:val="24"/>
              </w:rPr>
              <w:t>,</w:t>
            </w:r>
            <w:r w:rsidRPr="000000EB">
              <w:rPr>
                <w:rFonts w:ascii="Calibri" w:hAnsi="Calibri" w:cs="Arial"/>
                <w:szCs w:val="24"/>
              </w:rPr>
              <w:t xml:space="preserve"> BJS (</w:t>
            </w:r>
            <w:r>
              <w:rPr>
                <w:rFonts w:ascii="Calibri" w:hAnsi="Calibri" w:cs="Arial"/>
                <w:szCs w:val="24"/>
              </w:rPr>
              <w:t xml:space="preserve">1 </w:t>
            </w:r>
            <w:r w:rsidRPr="000000EB">
              <w:rPr>
                <w:rFonts w:ascii="Calibri" w:hAnsi="Calibri" w:cs="Arial"/>
                <w:szCs w:val="24"/>
              </w:rPr>
              <w:t>@</w:t>
            </w:r>
            <w:r>
              <w:rPr>
                <w:rFonts w:ascii="Calibri" w:hAnsi="Calibri" w:cs="Arial"/>
                <w:szCs w:val="24"/>
              </w:rPr>
              <w:t xml:space="preserve"> </w:t>
            </w:r>
            <w:r w:rsidRPr="000000EB">
              <w:rPr>
                <w:rFonts w:ascii="Calibri" w:hAnsi="Calibri" w:cs="Arial"/>
                <w:szCs w:val="24"/>
              </w:rPr>
              <w:t>100%)</w:t>
            </w:r>
          </w:p>
        </w:tc>
        <w:tc>
          <w:tcPr>
            <w:tcW w:w="1417" w:type="dxa"/>
            <w:shd w:val="clear" w:color="auto" w:fill="auto"/>
          </w:tcPr>
          <w:p w:rsidRPr="000000EB" w:rsidR="002F0B98" w:rsidP="002526D6" w:rsidRDefault="002F0B98" w14:paraId="3BD95B40" w14:textId="69FD1FE3">
            <w:pPr>
              <w:widowControl/>
              <w:autoSpaceDE/>
              <w:autoSpaceDN/>
              <w:adjustRightInd/>
              <w:spacing w:after="0"/>
              <w:jc w:val="right"/>
              <w:rPr>
                <w:rFonts w:ascii="Calibri" w:hAnsi="Calibri" w:cs="Arial"/>
                <w:szCs w:val="24"/>
              </w:rPr>
            </w:pPr>
            <w:r w:rsidRPr="00342BB3">
              <w:t xml:space="preserve">$117,516 </w:t>
            </w:r>
          </w:p>
        </w:tc>
        <w:tc>
          <w:tcPr>
            <w:tcW w:w="1220" w:type="dxa"/>
            <w:shd w:val="clear" w:color="auto" w:fill="auto"/>
          </w:tcPr>
          <w:p w:rsidRPr="000000EB" w:rsidR="002F0B98" w:rsidP="002526D6" w:rsidRDefault="002F0B98" w14:paraId="1C8E8231" w14:textId="5CECFD21">
            <w:pPr>
              <w:widowControl/>
              <w:autoSpaceDE/>
              <w:autoSpaceDN/>
              <w:adjustRightInd/>
              <w:spacing w:after="0"/>
              <w:jc w:val="right"/>
              <w:rPr>
                <w:rFonts w:ascii="Calibri" w:hAnsi="Calibri" w:cs="Arial"/>
                <w:szCs w:val="24"/>
              </w:rPr>
            </w:pPr>
            <w:r w:rsidRPr="0033271E">
              <w:t xml:space="preserve">$32,904 </w:t>
            </w:r>
          </w:p>
        </w:tc>
        <w:tc>
          <w:tcPr>
            <w:tcW w:w="2033" w:type="dxa"/>
            <w:shd w:val="clear" w:color="auto" w:fill="auto"/>
            <w:noWrap/>
          </w:tcPr>
          <w:p w:rsidRPr="000000EB" w:rsidR="002F0B98" w:rsidP="002526D6" w:rsidRDefault="002F0B98" w14:paraId="22254069" w14:textId="442B1FFD">
            <w:pPr>
              <w:widowControl/>
              <w:autoSpaceDE/>
              <w:autoSpaceDN/>
              <w:adjustRightInd/>
              <w:spacing w:after="0"/>
              <w:jc w:val="right"/>
              <w:rPr>
                <w:rFonts w:ascii="Calibri" w:hAnsi="Calibri" w:cs="Arial"/>
                <w:szCs w:val="24"/>
              </w:rPr>
            </w:pPr>
            <w:r w:rsidRPr="000F49AD">
              <w:t xml:space="preserve">$150,420 </w:t>
            </w:r>
          </w:p>
        </w:tc>
      </w:tr>
      <w:tr w:rsidRPr="00005BF7" w:rsidR="002F0B98" w:rsidTr="002526D6" w14:paraId="08CB3E72" w14:textId="77777777">
        <w:trPr>
          <w:trHeight w:val="20"/>
        </w:trPr>
        <w:tc>
          <w:tcPr>
            <w:tcW w:w="4729" w:type="dxa"/>
            <w:shd w:val="clear" w:color="auto" w:fill="auto"/>
            <w:noWrap/>
            <w:vAlign w:val="bottom"/>
          </w:tcPr>
          <w:p w:rsidR="002F0B98" w:rsidP="002526D6" w:rsidRDefault="002F0B98" w14:paraId="3B2F1B53" w14:textId="08242B6D">
            <w:pPr>
              <w:widowControl/>
              <w:autoSpaceDE/>
              <w:autoSpaceDN/>
              <w:adjustRightInd/>
              <w:spacing w:after="0"/>
              <w:rPr>
                <w:rFonts w:ascii="Calibri" w:hAnsi="Calibri" w:cs="Arial"/>
                <w:szCs w:val="24"/>
              </w:rPr>
            </w:pPr>
            <w:r>
              <w:rPr>
                <w:rFonts w:ascii="Calibri" w:hAnsi="Calibri" w:cs="Arial"/>
                <w:szCs w:val="24"/>
              </w:rPr>
              <w:t>GS11</w:t>
            </w:r>
            <w:r w:rsidRPr="000000EB">
              <w:rPr>
                <w:rFonts w:ascii="Calibri" w:hAnsi="Calibri" w:cs="Arial"/>
                <w:szCs w:val="24"/>
              </w:rPr>
              <w:t xml:space="preserve"> – Statistician</w:t>
            </w:r>
            <w:r>
              <w:rPr>
                <w:rFonts w:ascii="Calibri" w:hAnsi="Calibri" w:cs="Arial"/>
                <w:szCs w:val="24"/>
              </w:rPr>
              <w:t>,</w:t>
            </w:r>
            <w:r w:rsidRPr="000000EB">
              <w:rPr>
                <w:rFonts w:ascii="Calibri" w:hAnsi="Calibri" w:cs="Arial"/>
                <w:szCs w:val="24"/>
              </w:rPr>
              <w:t xml:space="preserve"> BJS (</w:t>
            </w:r>
            <w:r w:rsidR="00CC2ED2">
              <w:rPr>
                <w:rFonts w:ascii="Calibri" w:hAnsi="Calibri" w:cs="Arial"/>
                <w:szCs w:val="24"/>
              </w:rPr>
              <w:t>2</w:t>
            </w:r>
            <w:r>
              <w:rPr>
                <w:rFonts w:ascii="Calibri" w:hAnsi="Calibri" w:cs="Arial"/>
                <w:szCs w:val="24"/>
              </w:rPr>
              <w:t xml:space="preserve"> </w:t>
            </w:r>
            <w:r w:rsidRPr="000000EB">
              <w:rPr>
                <w:rFonts w:ascii="Calibri" w:hAnsi="Calibri" w:cs="Arial"/>
                <w:szCs w:val="24"/>
              </w:rPr>
              <w:t>@</w:t>
            </w:r>
            <w:r>
              <w:rPr>
                <w:rFonts w:ascii="Calibri" w:hAnsi="Calibri" w:cs="Arial"/>
                <w:szCs w:val="24"/>
              </w:rPr>
              <w:t xml:space="preserve"> </w:t>
            </w:r>
            <w:r w:rsidRPr="000000EB">
              <w:rPr>
                <w:rFonts w:ascii="Calibri" w:hAnsi="Calibri" w:cs="Arial"/>
                <w:szCs w:val="24"/>
              </w:rPr>
              <w:t>100%)</w:t>
            </w:r>
          </w:p>
        </w:tc>
        <w:tc>
          <w:tcPr>
            <w:tcW w:w="1417" w:type="dxa"/>
            <w:shd w:val="clear" w:color="auto" w:fill="auto"/>
          </w:tcPr>
          <w:p w:rsidRPr="000000EB" w:rsidR="002F0B98" w:rsidP="002526D6" w:rsidRDefault="002F0B98" w14:paraId="19381B2B" w14:textId="016E83E2">
            <w:pPr>
              <w:widowControl/>
              <w:autoSpaceDE/>
              <w:autoSpaceDN/>
              <w:adjustRightInd/>
              <w:spacing w:after="0"/>
              <w:jc w:val="right"/>
              <w:rPr>
                <w:rFonts w:ascii="Calibri" w:hAnsi="Calibri" w:cs="Arial"/>
                <w:szCs w:val="24"/>
              </w:rPr>
            </w:pPr>
            <w:r w:rsidRPr="00342BB3">
              <w:t>$</w:t>
            </w:r>
            <w:r w:rsidR="00793913">
              <w:t>82,453</w:t>
            </w:r>
            <w:r w:rsidRPr="00342BB3">
              <w:t xml:space="preserve"> </w:t>
            </w:r>
          </w:p>
        </w:tc>
        <w:tc>
          <w:tcPr>
            <w:tcW w:w="1220" w:type="dxa"/>
            <w:shd w:val="clear" w:color="auto" w:fill="auto"/>
            <w:vAlign w:val="bottom"/>
          </w:tcPr>
          <w:p w:rsidRPr="000000EB" w:rsidR="002F0B98" w:rsidP="002526D6" w:rsidRDefault="002F0B98" w14:paraId="1876F633" w14:textId="70F82241">
            <w:pPr>
              <w:widowControl/>
              <w:autoSpaceDE/>
              <w:autoSpaceDN/>
              <w:adjustRightInd/>
              <w:spacing w:after="0"/>
              <w:jc w:val="right"/>
              <w:rPr>
                <w:rFonts w:ascii="Calibri" w:hAnsi="Calibri" w:cs="Arial"/>
                <w:szCs w:val="24"/>
              </w:rPr>
            </w:pPr>
            <w:r w:rsidRPr="000000EB">
              <w:rPr>
                <w:rFonts w:ascii="Calibri" w:hAnsi="Calibri" w:cs="Arial"/>
                <w:szCs w:val="24"/>
              </w:rPr>
              <w:t>$</w:t>
            </w:r>
            <w:r w:rsidR="00793913">
              <w:rPr>
                <w:rFonts w:ascii="Calibri" w:hAnsi="Calibri" w:cs="Arial"/>
                <w:szCs w:val="24"/>
              </w:rPr>
              <w:t>23,087</w:t>
            </w:r>
          </w:p>
        </w:tc>
        <w:tc>
          <w:tcPr>
            <w:tcW w:w="2033" w:type="dxa"/>
            <w:shd w:val="clear" w:color="auto" w:fill="auto"/>
            <w:noWrap/>
            <w:vAlign w:val="bottom"/>
          </w:tcPr>
          <w:p w:rsidRPr="000000EB" w:rsidR="002F0B98" w:rsidP="002526D6" w:rsidRDefault="002F0B98" w14:paraId="26CFB122" w14:textId="75B4EB9D">
            <w:pPr>
              <w:widowControl/>
              <w:autoSpaceDE/>
              <w:autoSpaceDN/>
              <w:adjustRightInd/>
              <w:spacing w:after="0"/>
              <w:jc w:val="right"/>
              <w:rPr>
                <w:rFonts w:ascii="Calibri" w:hAnsi="Calibri" w:cs="Arial"/>
                <w:szCs w:val="24"/>
              </w:rPr>
            </w:pPr>
            <w:r w:rsidRPr="000000EB">
              <w:rPr>
                <w:rFonts w:ascii="Calibri" w:hAnsi="Calibri" w:cs="Arial"/>
                <w:szCs w:val="24"/>
              </w:rPr>
              <w:t>$</w:t>
            </w:r>
            <w:r w:rsidR="00CC2ED2">
              <w:rPr>
                <w:rFonts w:ascii="Calibri" w:hAnsi="Calibri" w:cs="Arial"/>
                <w:szCs w:val="24"/>
              </w:rPr>
              <w:t>211,080</w:t>
            </w:r>
          </w:p>
        </w:tc>
      </w:tr>
      <w:tr w:rsidRPr="00005BF7" w:rsidR="002E04DE" w:rsidTr="002526D6" w14:paraId="1B5EB224" w14:textId="77777777">
        <w:trPr>
          <w:trHeight w:val="20"/>
        </w:trPr>
        <w:tc>
          <w:tcPr>
            <w:tcW w:w="4729" w:type="dxa"/>
            <w:shd w:val="clear" w:color="auto" w:fill="auto"/>
            <w:noWrap/>
            <w:vAlign w:val="bottom"/>
          </w:tcPr>
          <w:p w:rsidRPr="000000EB" w:rsidR="002E04DE" w:rsidP="002526D6" w:rsidRDefault="002E04DE" w14:paraId="3C5579BA" w14:textId="77777777">
            <w:pPr>
              <w:widowControl/>
              <w:autoSpaceDE/>
              <w:autoSpaceDN/>
              <w:adjustRightInd/>
              <w:spacing w:after="0"/>
              <w:rPr>
                <w:rFonts w:ascii="Calibri" w:hAnsi="Calibri" w:cs="Arial"/>
                <w:szCs w:val="24"/>
              </w:rPr>
            </w:pPr>
          </w:p>
        </w:tc>
        <w:tc>
          <w:tcPr>
            <w:tcW w:w="1417" w:type="dxa"/>
            <w:shd w:val="clear" w:color="auto" w:fill="auto"/>
            <w:vAlign w:val="bottom"/>
          </w:tcPr>
          <w:p w:rsidRPr="000000EB" w:rsidR="002E04DE" w:rsidP="002526D6" w:rsidRDefault="002E04DE" w14:paraId="362BB0CF" w14:textId="77777777">
            <w:pPr>
              <w:widowControl/>
              <w:autoSpaceDE/>
              <w:autoSpaceDN/>
              <w:adjustRightInd/>
              <w:spacing w:after="0"/>
              <w:jc w:val="right"/>
              <w:rPr>
                <w:rFonts w:ascii="Calibri" w:hAnsi="Calibri" w:cs="Arial"/>
                <w:szCs w:val="24"/>
              </w:rPr>
            </w:pPr>
          </w:p>
        </w:tc>
        <w:tc>
          <w:tcPr>
            <w:tcW w:w="1220" w:type="dxa"/>
            <w:shd w:val="clear" w:color="auto" w:fill="auto"/>
            <w:vAlign w:val="bottom"/>
          </w:tcPr>
          <w:p w:rsidRPr="000000EB" w:rsidR="002E04DE" w:rsidP="002526D6" w:rsidRDefault="002E04DE" w14:paraId="452ABFAE" w14:textId="77777777">
            <w:pPr>
              <w:widowControl/>
              <w:autoSpaceDE/>
              <w:autoSpaceDN/>
              <w:adjustRightInd/>
              <w:spacing w:after="0"/>
              <w:jc w:val="right"/>
              <w:rPr>
                <w:rFonts w:ascii="Calibri" w:hAnsi="Calibri" w:cs="Arial"/>
                <w:szCs w:val="24"/>
              </w:rPr>
            </w:pPr>
          </w:p>
        </w:tc>
        <w:tc>
          <w:tcPr>
            <w:tcW w:w="2033" w:type="dxa"/>
            <w:shd w:val="clear" w:color="auto" w:fill="auto"/>
            <w:noWrap/>
            <w:vAlign w:val="bottom"/>
          </w:tcPr>
          <w:p w:rsidRPr="000000EB" w:rsidR="002E04DE" w:rsidP="002526D6" w:rsidRDefault="002E04DE" w14:paraId="14083ED2" w14:textId="77777777">
            <w:pPr>
              <w:widowControl/>
              <w:autoSpaceDE/>
              <w:autoSpaceDN/>
              <w:adjustRightInd/>
              <w:spacing w:after="0"/>
              <w:jc w:val="right"/>
              <w:rPr>
                <w:rFonts w:ascii="Calibri" w:hAnsi="Calibri" w:cs="Arial"/>
                <w:szCs w:val="24"/>
              </w:rPr>
            </w:pPr>
          </w:p>
        </w:tc>
      </w:tr>
      <w:tr w:rsidRPr="00005BF7" w:rsidR="002E04DE" w:rsidTr="002526D6" w14:paraId="3FC9C5FE" w14:textId="77777777">
        <w:trPr>
          <w:trHeight w:val="20"/>
        </w:trPr>
        <w:tc>
          <w:tcPr>
            <w:tcW w:w="4729" w:type="dxa"/>
            <w:shd w:val="clear" w:color="auto" w:fill="auto"/>
            <w:noWrap/>
            <w:vAlign w:val="bottom"/>
          </w:tcPr>
          <w:p w:rsidRPr="00D71BB8" w:rsidR="002E04DE" w:rsidP="002526D6" w:rsidRDefault="002E04DE" w14:paraId="1AE4DD3B" w14:textId="77777777">
            <w:pPr>
              <w:widowControl/>
              <w:autoSpaceDE/>
              <w:autoSpaceDN/>
              <w:adjustRightInd/>
              <w:spacing w:after="0"/>
              <w:jc w:val="right"/>
              <w:rPr>
                <w:rFonts w:ascii="Calibri" w:hAnsi="Calibri" w:cs="Arial"/>
                <w:szCs w:val="24"/>
              </w:rPr>
            </w:pPr>
            <w:r w:rsidRPr="00D71BB8">
              <w:rPr>
                <w:rFonts w:ascii="Calibri" w:hAnsi="Calibri" w:cs="Arial"/>
                <w:szCs w:val="24"/>
              </w:rPr>
              <w:t xml:space="preserve">Subtotal: Salary </w:t>
            </w:r>
            <w:r>
              <w:rPr>
                <w:rFonts w:ascii="Calibri" w:hAnsi="Calibri" w:cs="Arial"/>
                <w:szCs w:val="24"/>
              </w:rPr>
              <w:t>and</w:t>
            </w:r>
            <w:r w:rsidRPr="00D71BB8">
              <w:rPr>
                <w:rFonts w:ascii="Calibri" w:hAnsi="Calibri" w:cs="Arial"/>
                <w:szCs w:val="24"/>
              </w:rPr>
              <w:t xml:space="preserve"> fringe</w:t>
            </w:r>
            <w:r>
              <w:rPr>
                <w:rFonts w:ascii="Calibri" w:hAnsi="Calibri" w:cs="Arial"/>
                <w:szCs w:val="24"/>
              </w:rPr>
              <w:t xml:space="preserve"> (28%)</w:t>
            </w:r>
          </w:p>
        </w:tc>
        <w:tc>
          <w:tcPr>
            <w:tcW w:w="1417" w:type="dxa"/>
            <w:shd w:val="clear" w:color="auto" w:fill="auto"/>
            <w:vAlign w:val="bottom"/>
          </w:tcPr>
          <w:p w:rsidRPr="000000EB" w:rsidR="002E04DE" w:rsidP="002526D6" w:rsidRDefault="002E04DE" w14:paraId="5907E537" w14:textId="77777777">
            <w:pPr>
              <w:widowControl/>
              <w:autoSpaceDE/>
              <w:autoSpaceDN/>
              <w:adjustRightInd/>
              <w:spacing w:after="0"/>
              <w:jc w:val="right"/>
              <w:rPr>
                <w:rFonts w:ascii="Calibri" w:hAnsi="Calibri" w:cs="Arial"/>
                <w:szCs w:val="24"/>
              </w:rPr>
            </w:pPr>
          </w:p>
        </w:tc>
        <w:tc>
          <w:tcPr>
            <w:tcW w:w="1220" w:type="dxa"/>
            <w:shd w:val="clear" w:color="auto" w:fill="auto"/>
            <w:vAlign w:val="bottom"/>
          </w:tcPr>
          <w:p w:rsidRPr="000000EB" w:rsidR="002E04DE" w:rsidP="002526D6" w:rsidRDefault="002E04DE" w14:paraId="1EF16572" w14:textId="77777777">
            <w:pPr>
              <w:widowControl/>
              <w:autoSpaceDE/>
              <w:autoSpaceDN/>
              <w:adjustRightInd/>
              <w:spacing w:after="0"/>
              <w:jc w:val="right"/>
              <w:rPr>
                <w:rFonts w:ascii="Calibri" w:hAnsi="Calibri" w:cs="Arial"/>
                <w:szCs w:val="24"/>
              </w:rPr>
            </w:pPr>
          </w:p>
        </w:tc>
        <w:tc>
          <w:tcPr>
            <w:tcW w:w="2033" w:type="dxa"/>
            <w:shd w:val="clear" w:color="auto" w:fill="auto"/>
            <w:noWrap/>
            <w:vAlign w:val="bottom"/>
          </w:tcPr>
          <w:p w:rsidRPr="000000EB" w:rsidR="002E04DE" w:rsidP="002526D6" w:rsidRDefault="002F0B98" w14:paraId="2DCD808F" w14:textId="38BFD082">
            <w:pPr>
              <w:widowControl/>
              <w:autoSpaceDE/>
              <w:autoSpaceDN/>
              <w:adjustRightInd/>
              <w:spacing w:after="0"/>
              <w:jc w:val="right"/>
              <w:rPr>
                <w:rFonts w:ascii="Calibri" w:hAnsi="Calibri" w:cs="Arial"/>
                <w:szCs w:val="24"/>
              </w:rPr>
            </w:pPr>
            <w:r w:rsidRPr="002F0B98">
              <w:rPr>
                <w:rFonts w:ascii="Calibri" w:hAnsi="Calibri" w:cs="Arial"/>
                <w:szCs w:val="24"/>
              </w:rPr>
              <w:t>$</w:t>
            </w:r>
            <w:r w:rsidR="00CC2ED2">
              <w:rPr>
                <w:rFonts w:ascii="Calibri" w:hAnsi="Calibri" w:cs="Arial"/>
                <w:szCs w:val="24"/>
              </w:rPr>
              <w:t>1,148,264</w:t>
            </w:r>
          </w:p>
        </w:tc>
      </w:tr>
      <w:tr w:rsidRPr="00005BF7" w:rsidR="002E04DE" w:rsidTr="002526D6" w14:paraId="6597FD42" w14:textId="77777777">
        <w:trPr>
          <w:trHeight w:val="20"/>
        </w:trPr>
        <w:tc>
          <w:tcPr>
            <w:tcW w:w="4729" w:type="dxa"/>
            <w:shd w:val="clear" w:color="auto" w:fill="auto"/>
            <w:noWrap/>
            <w:vAlign w:val="bottom"/>
          </w:tcPr>
          <w:p w:rsidRPr="00D71BB8" w:rsidR="002E04DE" w:rsidP="002526D6" w:rsidRDefault="002E04DE" w14:paraId="3ABD6529" w14:textId="77777777">
            <w:pPr>
              <w:widowControl/>
              <w:autoSpaceDE/>
              <w:autoSpaceDN/>
              <w:adjustRightInd/>
              <w:spacing w:after="0"/>
              <w:jc w:val="both"/>
              <w:rPr>
                <w:rFonts w:ascii="Calibri" w:hAnsi="Calibri" w:cs="Arial"/>
                <w:szCs w:val="24"/>
              </w:rPr>
            </w:pPr>
            <w:r w:rsidRPr="00D71BB8">
              <w:rPr>
                <w:rFonts w:ascii="Calibri" w:hAnsi="Calibri" w:cs="Arial"/>
                <w:szCs w:val="24"/>
              </w:rPr>
              <w:t>Other administrative costs</w:t>
            </w:r>
            <w:r>
              <w:rPr>
                <w:rFonts w:ascii="Calibri" w:hAnsi="Calibri" w:cs="Arial"/>
                <w:szCs w:val="24"/>
              </w:rPr>
              <w:t xml:space="preserve"> of s</w:t>
            </w:r>
            <w:r w:rsidRPr="00D71BB8">
              <w:rPr>
                <w:rFonts w:ascii="Calibri" w:hAnsi="Calibri" w:cs="Arial"/>
                <w:szCs w:val="24"/>
              </w:rPr>
              <w:t>alary &amp; fringe (</w:t>
            </w:r>
            <w:r>
              <w:rPr>
                <w:rFonts w:ascii="Calibri" w:hAnsi="Calibri" w:cs="Arial"/>
                <w:szCs w:val="24"/>
              </w:rPr>
              <w:t>15</w:t>
            </w:r>
            <w:r w:rsidRPr="00D71BB8">
              <w:rPr>
                <w:rFonts w:ascii="Calibri" w:hAnsi="Calibri" w:cs="Arial"/>
                <w:szCs w:val="24"/>
              </w:rPr>
              <w:t>%)</w:t>
            </w:r>
          </w:p>
        </w:tc>
        <w:tc>
          <w:tcPr>
            <w:tcW w:w="1417" w:type="dxa"/>
          </w:tcPr>
          <w:p w:rsidRPr="00005BF7" w:rsidR="002E04DE" w:rsidP="002526D6" w:rsidRDefault="002E04DE" w14:paraId="0EDE9F1A"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
                <w:bCs/>
                <w:szCs w:val="24"/>
              </w:rPr>
            </w:pPr>
          </w:p>
        </w:tc>
        <w:tc>
          <w:tcPr>
            <w:tcW w:w="1220" w:type="dxa"/>
          </w:tcPr>
          <w:p w:rsidRPr="00005BF7" w:rsidR="002E04DE" w:rsidP="002526D6" w:rsidRDefault="002E04DE" w14:paraId="0D8A6DAF"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
                <w:bCs/>
                <w:szCs w:val="24"/>
              </w:rPr>
            </w:pPr>
          </w:p>
        </w:tc>
        <w:tc>
          <w:tcPr>
            <w:tcW w:w="2033" w:type="dxa"/>
            <w:shd w:val="clear" w:color="auto" w:fill="auto"/>
            <w:noWrap/>
            <w:vAlign w:val="bottom"/>
          </w:tcPr>
          <w:p w:rsidRPr="000000EB" w:rsidR="002E04DE" w:rsidP="002526D6" w:rsidRDefault="002E04DE" w14:paraId="129E7FC2" w14:textId="31AEE96A">
            <w:pPr>
              <w:widowControl/>
              <w:autoSpaceDE/>
              <w:autoSpaceDN/>
              <w:adjustRightInd/>
              <w:spacing w:after="0"/>
              <w:jc w:val="right"/>
              <w:rPr>
                <w:rFonts w:ascii="Calibri" w:hAnsi="Calibri" w:cs="Arial"/>
                <w:szCs w:val="24"/>
              </w:rPr>
            </w:pPr>
            <w:r w:rsidRPr="000000EB">
              <w:rPr>
                <w:rFonts w:ascii="Calibri" w:hAnsi="Calibri" w:cs="Arial"/>
                <w:szCs w:val="24"/>
              </w:rPr>
              <w:t>$</w:t>
            </w:r>
            <w:r w:rsidR="00CC2ED2">
              <w:rPr>
                <w:rFonts w:ascii="Calibri" w:hAnsi="Calibri" w:cs="Arial"/>
                <w:szCs w:val="24"/>
              </w:rPr>
              <w:t>172,240</w:t>
            </w:r>
          </w:p>
        </w:tc>
      </w:tr>
      <w:tr w:rsidRPr="00005BF7" w:rsidR="002E04DE" w:rsidTr="002526D6" w14:paraId="682AA2B0" w14:textId="77777777">
        <w:trPr>
          <w:trHeight w:val="20"/>
        </w:trPr>
        <w:tc>
          <w:tcPr>
            <w:tcW w:w="4729" w:type="dxa"/>
            <w:shd w:val="clear" w:color="auto" w:fill="auto"/>
            <w:noWrap/>
            <w:vAlign w:val="bottom"/>
          </w:tcPr>
          <w:p w:rsidRPr="00D71BB8" w:rsidR="002E04DE" w:rsidP="002526D6" w:rsidRDefault="002E04DE" w14:paraId="12DBA745" w14:textId="77777777">
            <w:pPr>
              <w:widowControl/>
              <w:autoSpaceDE/>
              <w:autoSpaceDN/>
              <w:adjustRightInd/>
              <w:spacing w:after="0"/>
              <w:jc w:val="right"/>
              <w:rPr>
                <w:rFonts w:ascii="Calibri" w:hAnsi="Calibri" w:cs="Arial"/>
                <w:szCs w:val="24"/>
              </w:rPr>
            </w:pPr>
            <w:r w:rsidRPr="00D71BB8">
              <w:rPr>
                <w:rFonts w:ascii="Calibri" w:hAnsi="Calibri" w:cs="Arial"/>
                <w:szCs w:val="24"/>
              </w:rPr>
              <w:t xml:space="preserve">Subtotal: </w:t>
            </w:r>
            <w:r>
              <w:rPr>
                <w:rFonts w:ascii="Calibri" w:hAnsi="Calibri" w:cs="Arial"/>
                <w:szCs w:val="24"/>
              </w:rPr>
              <w:t>estimated BJS costs</w:t>
            </w:r>
          </w:p>
        </w:tc>
        <w:tc>
          <w:tcPr>
            <w:tcW w:w="1417" w:type="dxa"/>
          </w:tcPr>
          <w:p w:rsidRPr="00005BF7" w:rsidR="002E04DE" w:rsidP="002526D6" w:rsidRDefault="002E04DE" w14:paraId="0FACB0D3"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
                <w:bCs/>
                <w:szCs w:val="24"/>
              </w:rPr>
            </w:pPr>
          </w:p>
        </w:tc>
        <w:tc>
          <w:tcPr>
            <w:tcW w:w="1220" w:type="dxa"/>
          </w:tcPr>
          <w:p w:rsidRPr="00005BF7" w:rsidR="002E04DE" w:rsidP="002526D6" w:rsidRDefault="002E04DE" w14:paraId="6F084F50"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
                <w:bCs/>
                <w:szCs w:val="24"/>
              </w:rPr>
            </w:pPr>
          </w:p>
        </w:tc>
        <w:tc>
          <w:tcPr>
            <w:tcW w:w="2033" w:type="dxa"/>
            <w:noWrap/>
          </w:tcPr>
          <w:p w:rsidRPr="00CC6C66" w:rsidR="002E04DE" w:rsidP="002526D6" w:rsidRDefault="002E04DE" w14:paraId="2CD7A6E6" w14:textId="2FE6F1E2">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Cs/>
                <w:szCs w:val="24"/>
              </w:rPr>
            </w:pPr>
            <w:r>
              <w:rPr>
                <w:bCs/>
                <w:szCs w:val="24"/>
              </w:rPr>
              <w:t>$</w:t>
            </w:r>
            <w:r w:rsidR="00CC2ED2">
              <w:rPr>
                <w:bCs/>
                <w:szCs w:val="24"/>
              </w:rPr>
              <w:t>1,320,504</w:t>
            </w:r>
          </w:p>
        </w:tc>
      </w:tr>
      <w:tr w:rsidRPr="00005BF7" w:rsidR="002E04DE" w:rsidTr="002526D6" w14:paraId="07193165" w14:textId="77777777">
        <w:trPr>
          <w:trHeight w:val="20"/>
        </w:trPr>
        <w:tc>
          <w:tcPr>
            <w:tcW w:w="4729" w:type="dxa"/>
            <w:shd w:val="clear" w:color="auto" w:fill="auto"/>
            <w:noWrap/>
            <w:vAlign w:val="bottom"/>
          </w:tcPr>
          <w:p w:rsidRPr="00D71BB8" w:rsidR="002E04DE" w:rsidP="002526D6" w:rsidRDefault="002E04DE" w14:paraId="46B031AC" w14:textId="77777777">
            <w:pPr>
              <w:widowControl/>
              <w:autoSpaceDE/>
              <w:autoSpaceDN/>
              <w:adjustRightInd/>
              <w:spacing w:after="0"/>
              <w:jc w:val="right"/>
              <w:rPr>
                <w:rFonts w:ascii="Calibri" w:hAnsi="Calibri" w:cs="Arial"/>
                <w:szCs w:val="24"/>
              </w:rPr>
            </w:pPr>
            <w:r w:rsidRPr="00D71BB8">
              <w:rPr>
                <w:rFonts w:ascii="Calibri" w:hAnsi="Calibri" w:cs="Arial"/>
                <w:szCs w:val="24"/>
              </w:rPr>
              <w:t xml:space="preserve">Subtotal: Annual estimated BJS and </w:t>
            </w:r>
            <w:r>
              <w:rPr>
                <w:rFonts w:ascii="Calibri" w:hAnsi="Calibri" w:cs="Arial"/>
                <w:szCs w:val="24"/>
              </w:rPr>
              <w:t xml:space="preserve">U.S. </w:t>
            </w:r>
            <w:r w:rsidRPr="00D71BB8">
              <w:rPr>
                <w:rFonts w:ascii="Calibri" w:hAnsi="Calibri" w:cs="Arial"/>
                <w:szCs w:val="24"/>
              </w:rPr>
              <w:t>Census Bureau costs</w:t>
            </w:r>
          </w:p>
        </w:tc>
        <w:tc>
          <w:tcPr>
            <w:tcW w:w="1417" w:type="dxa"/>
          </w:tcPr>
          <w:p w:rsidRPr="00005BF7" w:rsidR="002E04DE" w:rsidP="002526D6" w:rsidRDefault="002E04DE" w14:paraId="706E775C"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
                <w:bCs/>
                <w:szCs w:val="24"/>
              </w:rPr>
            </w:pPr>
          </w:p>
        </w:tc>
        <w:tc>
          <w:tcPr>
            <w:tcW w:w="1220" w:type="dxa"/>
          </w:tcPr>
          <w:p w:rsidRPr="00005BF7" w:rsidR="002E04DE" w:rsidP="002526D6" w:rsidRDefault="002E04DE" w14:paraId="58E6097E"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
                <w:bCs/>
                <w:szCs w:val="24"/>
              </w:rPr>
            </w:pPr>
          </w:p>
        </w:tc>
        <w:tc>
          <w:tcPr>
            <w:tcW w:w="2033" w:type="dxa"/>
            <w:noWrap/>
          </w:tcPr>
          <w:p w:rsidRPr="00CC6C66" w:rsidR="002E04DE" w:rsidP="002526D6" w:rsidRDefault="002E04DE" w14:paraId="0C071765" w14:textId="49DA28B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Cs/>
                <w:szCs w:val="24"/>
              </w:rPr>
            </w:pPr>
            <w:r w:rsidRPr="00CC6C66">
              <w:rPr>
                <w:bCs/>
                <w:szCs w:val="24"/>
              </w:rPr>
              <w:t>$</w:t>
            </w:r>
            <w:r w:rsidR="00294C12">
              <w:rPr>
                <w:bCs/>
                <w:szCs w:val="24"/>
              </w:rPr>
              <w:t>48,</w:t>
            </w:r>
            <w:r w:rsidR="00CC2ED2">
              <w:rPr>
                <w:bCs/>
                <w:szCs w:val="24"/>
              </w:rPr>
              <w:t>344,644</w:t>
            </w:r>
          </w:p>
        </w:tc>
      </w:tr>
      <w:tr w:rsidRPr="00005BF7" w:rsidR="002E04DE" w:rsidTr="002526D6" w14:paraId="1F36D689" w14:textId="77777777">
        <w:trPr>
          <w:trHeight w:val="20"/>
        </w:trPr>
        <w:tc>
          <w:tcPr>
            <w:tcW w:w="4729" w:type="dxa"/>
            <w:tcBorders>
              <w:bottom w:val="single" w:color="auto" w:sz="4" w:space="0"/>
            </w:tcBorders>
            <w:noWrap/>
          </w:tcPr>
          <w:p w:rsidR="002E04DE" w:rsidP="002526D6" w:rsidRDefault="002E04DE" w14:paraId="6C88AFE7"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
                <w:bCs/>
                <w:szCs w:val="24"/>
              </w:rPr>
            </w:pPr>
            <w:r w:rsidRPr="00D71BB8">
              <w:rPr>
                <w:b/>
                <w:bCs/>
                <w:szCs w:val="24"/>
              </w:rPr>
              <w:t>Total: Estimated costs @ 3 years</w:t>
            </w:r>
          </w:p>
        </w:tc>
        <w:tc>
          <w:tcPr>
            <w:tcW w:w="1417" w:type="dxa"/>
            <w:tcBorders>
              <w:bottom w:val="single" w:color="auto" w:sz="4" w:space="0"/>
            </w:tcBorders>
          </w:tcPr>
          <w:p w:rsidRPr="00005BF7" w:rsidR="002E04DE" w:rsidP="002526D6" w:rsidRDefault="002E04DE" w14:paraId="52D1244F"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
                <w:bCs/>
                <w:szCs w:val="24"/>
              </w:rPr>
            </w:pPr>
          </w:p>
        </w:tc>
        <w:tc>
          <w:tcPr>
            <w:tcW w:w="1220" w:type="dxa"/>
            <w:tcBorders>
              <w:bottom w:val="single" w:color="auto" w:sz="4" w:space="0"/>
            </w:tcBorders>
          </w:tcPr>
          <w:p w:rsidRPr="00005BF7" w:rsidR="002E04DE" w:rsidP="002526D6" w:rsidRDefault="002E04DE" w14:paraId="3C6ABA0C"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
                <w:bCs/>
                <w:szCs w:val="24"/>
              </w:rPr>
            </w:pPr>
          </w:p>
        </w:tc>
        <w:tc>
          <w:tcPr>
            <w:tcW w:w="2033" w:type="dxa"/>
            <w:tcBorders>
              <w:bottom w:val="single" w:color="auto" w:sz="4" w:space="0"/>
            </w:tcBorders>
            <w:noWrap/>
          </w:tcPr>
          <w:p w:rsidRPr="00005BF7" w:rsidR="002E04DE" w:rsidP="002526D6" w:rsidRDefault="002E04DE" w14:paraId="657045E9" w14:textId="7F78BFD8">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after="0"/>
              <w:ind w:left="990" w:hanging="990"/>
              <w:jc w:val="right"/>
              <w:rPr>
                <w:b/>
                <w:bCs/>
                <w:szCs w:val="24"/>
              </w:rPr>
            </w:pPr>
            <w:r>
              <w:rPr>
                <w:b/>
                <w:bCs/>
                <w:szCs w:val="24"/>
              </w:rPr>
              <w:t>$</w:t>
            </w:r>
            <w:r w:rsidR="00CC2ED2">
              <w:rPr>
                <w:b/>
                <w:bCs/>
                <w:szCs w:val="24"/>
              </w:rPr>
              <w:t>145,033,93</w:t>
            </w:r>
            <w:r w:rsidR="002C5B11">
              <w:rPr>
                <w:b/>
                <w:bCs/>
                <w:szCs w:val="24"/>
              </w:rPr>
              <w:t>2</w:t>
            </w:r>
          </w:p>
        </w:tc>
      </w:tr>
    </w:tbl>
    <w:p w:rsidRPr="000000EB" w:rsidR="00B9034B" w:rsidP="006F7B4C" w:rsidRDefault="00B9034B" w14:paraId="15D105E9" w14:textId="77777777">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rPr>
          <w:rFonts w:ascii="Calibri" w:hAnsi="Calibri" w:cs="Arial"/>
          <w:szCs w:val="24"/>
        </w:rPr>
      </w:pPr>
    </w:p>
    <w:bookmarkEnd w:id="2"/>
    <w:bookmarkEnd w:id="3"/>
    <w:p w:rsidRPr="00256E98" w:rsidR="00CF44FB" w:rsidP="00256E98" w:rsidRDefault="00CF44FB" w14:paraId="3C68A9DC" w14:textId="77777777">
      <w:pPr>
        <w:pStyle w:val="Heading1"/>
      </w:pPr>
      <w:r w:rsidRPr="00256E98">
        <w:t>Reason</w:t>
      </w:r>
      <w:r w:rsidRPr="00256E98" w:rsidR="00FA7995">
        <w:t>s</w:t>
      </w:r>
      <w:r w:rsidRPr="00256E98">
        <w:t xml:space="preserve"> for Change in Burden</w:t>
      </w:r>
    </w:p>
    <w:p w:rsidRPr="000000EB" w:rsidR="00CC6A16" w:rsidP="00BA0B30" w:rsidRDefault="008376B7" w14:paraId="1649441A" w14:textId="77777777">
      <w:r w:rsidRPr="000000EB">
        <w:t xml:space="preserve">The estimated total annual hours </w:t>
      </w:r>
      <w:r w:rsidR="00FE4826">
        <w:t>for 20</w:t>
      </w:r>
      <w:r w:rsidR="00CA043A">
        <w:t>22</w:t>
      </w:r>
      <w:r w:rsidR="00FE4826">
        <w:t xml:space="preserve"> through 20</w:t>
      </w:r>
      <w:r w:rsidR="00F1083F">
        <w:t>2</w:t>
      </w:r>
      <w:r w:rsidR="00CA043A">
        <w:t>4</w:t>
      </w:r>
      <w:r w:rsidRPr="000000EB" w:rsidR="00A821CB">
        <w:t xml:space="preserve"> (</w:t>
      </w:r>
      <w:r w:rsidR="009F0634">
        <w:t>117,535</w:t>
      </w:r>
      <w:r w:rsidRPr="000000EB">
        <w:t xml:space="preserve">) is </w:t>
      </w:r>
      <w:r w:rsidR="00CD3093">
        <w:t xml:space="preserve">slightly </w:t>
      </w:r>
      <w:r w:rsidR="0065721A">
        <w:t xml:space="preserve">lower </w:t>
      </w:r>
      <w:r w:rsidRPr="000000EB" w:rsidR="0065721A">
        <w:t>than</w:t>
      </w:r>
      <w:r w:rsidRPr="000000EB">
        <w:t xml:space="preserve"> the </w:t>
      </w:r>
      <w:r w:rsidR="009F0634">
        <w:t>120,810</w:t>
      </w:r>
      <w:r w:rsidR="00FE4826">
        <w:t xml:space="preserve"> </w:t>
      </w:r>
      <w:r w:rsidRPr="000000EB">
        <w:t xml:space="preserve">requested in </w:t>
      </w:r>
      <w:r w:rsidR="00FE4826">
        <w:t>201</w:t>
      </w:r>
      <w:r w:rsidR="009F0634">
        <w:t>8</w:t>
      </w:r>
      <w:r w:rsidR="00CD3093">
        <w:t>.</w:t>
      </w:r>
      <w:r w:rsidRPr="000000EB">
        <w:t xml:space="preserve"> </w:t>
      </w:r>
    </w:p>
    <w:p w:rsidR="00E4412C" w:rsidP="00BA0B30" w:rsidRDefault="00E4412C" w14:paraId="13C6517F" w14:textId="2BAC2FA6">
      <w:r>
        <w:t xml:space="preserve">The </w:t>
      </w:r>
      <w:r w:rsidR="00CD3093">
        <w:t>only</w:t>
      </w:r>
      <w:r>
        <w:t xml:space="preserve"> revision </w:t>
      </w:r>
      <w:r w:rsidR="00CD3093">
        <w:t>being made to the survey is that the</w:t>
      </w:r>
      <w:r>
        <w:t xml:space="preserve"> sexual orientation and gender identity questions </w:t>
      </w:r>
      <w:r w:rsidR="00CD3093">
        <w:t>will be administered to all respondents age 16 or older</w:t>
      </w:r>
      <w:r w:rsidR="00F97A94">
        <w:t xml:space="preserve"> during the first, third, fifth and seventh interviews</w:t>
      </w:r>
      <w:r w:rsidR="00CD3093">
        <w:t xml:space="preserve">. While this addition may </w:t>
      </w:r>
      <w:r w:rsidR="00F97A94">
        <w:t xml:space="preserve">appear </w:t>
      </w:r>
      <w:r w:rsidR="00CD3093">
        <w:t xml:space="preserve">to increase burden, the fact that these questions will not be asked at </w:t>
      </w:r>
      <w:r w:rsidR="00F97A94">
        <w:t xml:space="preserve">each </w:t>
      </w:r>
      <w:r w:rsidR="00CD3093">
        <w:t>interview during the survey will cause this change to</w:t>
      </w:r>
      <w:r>
        <w:t xml:space="preserve"> have a negligible impact on respondent burden. </w:t>
      </w:r>
    </w:p>
    <w:p w:rsidRPr="000000EB" w:rsidR="00E4412C" w:rsidP="006F7B4C" w:rsidRDefault="00E4412C" w14:paraId="3A312385" w14:textId="77777777">
      <w:pPr>
        <w:widowControl/>
        <w:numPr>
          <w:ilvl w:val="12"/>
          <w:numId w:val="0"/>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Calibri" w:hAnsi="Calibri" w:cs="Arial"/>
          <w:szCs w:val="24"/>
        </w:rPr>
      </w:pPr>
    </w:p>
    <w:p w:rsidRPr="00256E98" w:rsidR="00CF44FB" w:rsidP="00256E98" w:rsidRDefault="00CF44FB" w14:paraId="0A2C6981" w14:textId="77777777">
      <w:pPr>
        <w:pStyle w:val="Heading1"/>
      </w:pPr>
      <w:r w:rsidRPr="00256E98">
        <w:t>Project Schedule</w:t>
      </w:r>
      <w:r w:rsidRPr="00256E98" w:rsidR="008A4344">
        <w:t xml:space="preserve"> and Publication Plans</w:t>
      </w:r>
    </w:p>
    <w:p w:rsidRPr="000000EB" w:rsidR="003704EE" w:rsidP="00BA0B30" w:rsidRDefault="008B24E6" w14:paraId="64D83894" w14:textId="62E661F5">
      <w:r w:rsidRPr="000000EB">
        <w:t xml:space="preserve">For collection years </w:t>
      </w:r>
      <w:r w:rsidR="006C70BA">
        <w:t>20</w:t>
      </w:r>
      <w:r w:rsidR="001278BD">
        <w:t>22</w:t>
      </w:r>
      <w:r w:rsidR="006C70BA">
        <w:t>, 20</w:t>
      </w:r>
      <w:r w:rsidR="001278BD">
        <w:t>23</w:t>
      </w:r>
      <w:r w:rsidR="006C70BA">
        <w:t xml:space="preserve">, </w:t>
      </w:r>
      <w:r w:rsidR="001278BD">
        <w:t xml:space="preserve">and </w:t>
      </w:r>
      <w:r w:rsidRPr="000000EB" w:rsidR="0065721A">
        <w:t>20</w:t>
      </w:r>
      <w:r w:rsidR="0065721A">
        <w:t>24,</w:t>
      </w:r>
      <w:r w:rsidRPr="000000EB" w:rsidR="003704EE">
        <w:t xml:space="preserve"> the NCVS is in the field from January 1 through December 31. Interviewing begins on the first of each month.</w:t>
      </w:r>
      <w:r w:rsidR="00F564AD">
        <w:t xml:space="preserve"> </w:t>
      </w:r>
      <w:r w:rsidRPr="000000EB" w:rsidR="003704EE">
        <w:t>The CAPI interviewing is conducted over the entire interview month.</w:t>
      </w:r>
      <w:r w:rsidR="00F564AD">
        <w:t xml:space="preserve"> </w:t>
      </w:r>
      <w:r w:rsidRPr="000000EB" w:rsidR="003704EE">
        <w:t>Data processing is conducted on both a monthly and quarterly basis.</w:t>
      </w:r>
      <w:r w:rsidR="00F564AD">
        <w:t xml:space="preserve"> </w:t>
      </w:r>
      <w:r w:rsidRPr="000000EB" w:rsidR="003704EE">
        <w:t>Because the survey uses a 6-month recall period, crime incidence data for a given calendar year are not fully collected until June of the following year.</w:t>
      </w:r>
      <w:r w:rsidR="00F564AD">
        <w:t xml:space="preserve"> </w:t>
      </w:r>
      <w:r w:rsidRPr="000000EB" w:rsidR="003704EE">
        <w:t>However, annual estimates are produced and published based on data collected during a calendar year (collection year) rather than on crimes occurring during a calendar year (data year) starting with the 1996 data.</w:t>
      </w:r>
      <w:r w:rsidR="00F564AD">
        <w:t xml:space="preserve"> </w:t>
      </w:r>
      <w:r w:rsidRPr="000000EB" w:rsidR="003704EE">
        <w:t xml:space="preserve">Annual collection year estimates </w:t>
      </w:r>
      <w:r w:rsidR="00CB7FB0">
        <w:t xml:space="preserve">for the nation </w:t>
      </w:r>
      <w:r w:rsidRPr="000000EB" w:rsidR="003704EE">
        <w:t>are provided to BJS approx</w:t>
      </w:r>
      <w:r w:rsidR="00CB7FB0">
        <w:t>imately in April of each year.</w:t>
      </w:r>
    </w:p>
    <w:p w:rsidRPr="000000EB" w:rsidR="00CF44FB" w:rsidP="00BA0B30" w:rsidRDefault="00E22984" w14:paraId="55FF60E1" w14:textId="3B48E273">
      <w:r w:rsidRPr="000000EB">
        <w:t>BJS</w:t>
      </w:r>
      <w:r w:rsidRPr="000000EB" w:rsidR="00CF44FB">
        <w:t xml:space="preserve"> releases information collected in the NCVS in a variety of formats.</w:t>
      </w:r>
      <w:r w:rsidR="00F564AD">
        <w:t xml:space="preserve"> </w:t>
      </w:r>
      <w:r w:rsidRPr="000000EB" w:rsidR="00CF44FB">
        <w:t xml:space="preserve">Each </w:t>
      </w:r>
      <w:r w:rsidR="00D24FC1">
        <w:t>year</w:t>
      </w:r>
      <w:r w:rsidRPr="000000EB" w:rsidR="00D24FC1">
        <w:t xml:space="preserve"> </w:t>
      </w:r>
      <w:r w:rsidRPr="000000EB">
        <w:t>BJS</w:t>
      </w:r>
      <w:r w:rsidRPr="000000EB" w:rsidR="00CF44FB">
        <w:t xml:space="preserve"> releases a </w:t>
      </w:r>
      <w:r w:rsidRPr="000000EB" w:rsidR="00B91269">
        <w:t>bulletin</w:t>
      </w:r>
      <w:r w:rsidRPr="000000EB" w:rsidR="003704EE">
        <w:t xml:space="preserve">, </w:t>
      </w:r>
      <w:r w:rsidRPr="000000EB" w:rsidR="003704EE">
        <w:rPr>
          <w:i/>
        </w:rPr>
        <w:t>Criminal Victimization</w:t>
      </w:r>
      <w:r w:rsidRPr="000000EB" w:rsidR="003704EE">
        <w:t>,</w:t>
      </w:r>
      <w:r w:rsidRPr="000000EB" w:rsidR="00CF44FB">
        <w:t xml:space="preserve"> </w:t>
      </w:r>
      <w:r w:rsidRPr="000000EB" w:rsidR="003704EE">
        <w:t>which provides</w:t>
      </w:r>
      <w:r w:rsidRPr="000000EB" w:rsidR="00CF44FB">
        <w:t xml:space="preserve"> annual </w:t>
      </w:r>
      <w:r w:rsidR="00CB7FB0">
        <w:t xml:space="preserve">national </w:t>
      </w:r>
      <w:r w:rsidRPr="000000EB" w:rsidR="00CF44FB">
        <w:t xml:space="preserve">estimates from the </w:t>
      </w:r>
      <w:r w:rsidRPr="000000EB" w:rsidR="008A332D">
        <w:t xml:space="preserve">preceding year of </w:t>
      </w:r>
      <w:r w:rsidRPr="000000EB" w:rsidR="00CF44FB">
        <w:t>survey</w:t>
      </w:r>
      <w:r w:rsidRPr="000000EB" w:rsidR="008A332D">
        <w:t xml:space="preserve"> data collection</w:t>
      </w:r>
      <w:r w:rsidRPr="000000EB" w:rsidR="00CF44FB">
        <w:t>, including rates and counts of violent and property crime, characteristics of crimes and victims, year-to-year change estimates</w:t>
      </w:r>
      <w:r w:rsidR="001816E2">
        <w:t>,</w:t>
      </w:r>
      <w:r w:rsidRPr="000000EB" w:rsidR="00CF44FB">
        <w:t xml:space="preserve"> and trend estimates.</w:t>
      </w:r>
      <w:r w:rsidRPr="000000EB" w:rsidR="00AF0F18">
        <w:t xml:space="preserve"> Simultaneous </w:t>
      </w:r>
      <w:r w:rsidRPr="000000EB" w:rsidR="00B0306E">
        <w:t xml:space="preserve">with </w:t>
      </w:r>
      <w:r w:rsidRPr="000000EB" w:rsidR="00AF0F18">
        <w:t xml:space="preserve">the release of the annual </w:t>
      </w:r>
      <w:r w:rsidRPr="000000EB" w:rsidR="00AF0F18">
        <w:rPr>
          <w:i/>
        </w:rPr>
        <w:t>Criminal Victimization</w:t>
      </w:r>
      <w:r w:rsidRPr="000000EB" w:rsidR="00AF0F18">
        <w:t xml:space="preserve"> bulletin, the online National Victimization Analysis Tool (NVAT) </w:t>
      </w:r>
      <w:r w:rsidR="00DA4F6B">
        <w:t xml:space="preserve">and the </w:t>
      </w:r>
      <w:r w:rsidR="00387CFA">
        <w:t>National Crime Victimization Survey (</w:t>
      </w:r>
      <w:r w:rsidR="00DA4F6B">
        <w:t>NCVS</w:t>
      </w:r>
      <w:r w:rsidR="00387CFA">
        <w:t>)</w:t>
      </w:r>
      <w:r w:rsidR="00DA4F6B">
        <w:t xml:space="preserve"> Restful API are</w:t>
      </w:r>
      <w:r w:rsidRPr="000000EB" w:rsidR="00AF0F18">
        <w:t xml:space="preserve"> updated with the most recent year of data. </w:t>
      </w:r>
    </w:p>
    <w:p w:rsidRPr="000000EB" w:rsidR="0041718D" w:rsidP="00BA0B30" w:rsidRDefault="008A332D" w14:paraId="41346CC8" w14:textId="575D9E84">
      <w:r w:rsidRPr="000000EB">
        <w:t xml:space="preserve">Once the data are released by BJS through </w:t>
      </w:r>
      <w:r w:rsidRPr="000000EB">
        <w:rPr>
          <w:i/>
        </w:rPr>
        <w:t>Criminal Victimization</w:t>
      </w:r>
      <w:r w:rsidR="00B57A74">
        <w:rPr>
          <w:i/>
        </w:rPr>
        <w:t>,</w:t>
      </w:r>
      <w:r w:rsidRPr="000000EB">
        <w:rPr>
          <w:i/>
        </w:rPr>
        <w:t xml:space="preserve"> </w:t>
      </w:r>
      <w:r w:rsidRPr="000000EB">
        <w:t>the NVAT</w:t>
      </w:r>
      <w:r w:rsidR="00B57A74">
        <w:t xml:space="preserve"> and the NCVS API</w:t>
      </w:r>
      <w:r w:rsidRPr="000000EB">
        <w:t>, the data are archived at the Inter-university Consortium for Political and Social Research (ICPSR) at the University of Michigan.</w:t>
      </w:r>
      <w:r w:rsidR="00F564AD">
        <w:t xml:space="preserve"> </w:t>
      </w:r>
      <w:r w:rsidRPr="000000EB">
        <w:t>Researchers can download public</w:t>
      </w:r>
      <w:r w:rsidR="001816E2">
        <w:t>-</w:t>
      </w:r>
      <w:r w:rsidRPr="000000EB">
        <w:t>use files of the NCVS data and codebooks to conduct their own analyses.</w:t>
      </w:r>
      <w:r w:rsidR="00F564AD">
        <w:t xml:space="preserve"> </w:t>
      </w:r>
      <w:r w:rsidRPr="000000EB">
        <w:t>The public</w:t>
      </w:r>
      <w:r w:rsidR="001816E2">
        <w:t>-</w:t>
      </w:r>
      <w:r w:rsidRPr="000000EB">
        <w:t>use files are produced by the Census Bureau</w:t>
      </w:r>
      <w:r w:rsidRPr="000000EB" w:rsidR="00B91269">
        <w:t xml:space="preserve"> and ICPSR</w:t>
      </w:r>
      <w:r w:rsidRPr="000000EB">
        <w:t>. All information that might identify individual respondents is removed fro</w:t>
      </w:r>
      <w:r w:rsidRPr="000000EB" w:rsidR="0041718D">
        <w:t xml:space="preserve">m the files </w:t>
      </w:r>
      <w:r w:rsidRPr="000000EB" w:rsidR="00B91269">
        <w:t xml:space="preserve">prior to being </w:t>
      </w:r>
      <w:r w:rsidRPr="000000EB" w:rsidR="0041718D">
        <w:t xml:space="preserve">sent to the ICPSR. </w:t>
      </w:r>
    </w:p>
    <w:p w:rsidRPr="000000EB" w:rsidR="008A332D" w:rsidP="00BA0B30" w:rsidRDefault="00055B19" w14:paraId="133E14B8" w14:textId="3D97053F">
      <w:r>
        <w:t>T</w:t>
      </w:r>
      <w:r w:rsidRPr="000000EB" w:rsidR="0041718D">
        <w:t>o further enhance the utility of the data, in</w:t>
      </w:r>
      <w:r w:rsidRPr="000000EB" w:rsidR="008A332D">
        <w:t xml:space="preserve"> addition to the public</w:t>
      </w:r>
      <w:r w:rsidR="001816E2">
        <w:t>-</w:t>
      </w:r>
      <w:r w:rsidRPr="000000EB" w:rsidR="008A332D">
        <w:t>use files</w:t>
      </w:r>
      <w:r w:rsidRPr="000000EB" w:rsidR="007548ED">
        <w:t xml:space="preserve"> housed at ICPSR</w:t>
      </w:r>
      <w:r w:rsidRPr="000000EB" w:rsidR="008A332D">
        <w:t xml:space="preserve">, the geographically identified </w:t>
      </w:r>
      <w:r w:rsidRPr="000000EB" w:rsidR="004822C1">
        <w:t xml:space="preserve">NCVS </w:t>
      </w:r>
      <w:r w:rsidRPr="000000EB" w:rsidR="008A332D">
        <w:t xml:space="preserve">files are also </w:t>
      </w:r>
      <w:r w:rsidRPr="000000EB" w:rsidR="00B0306E">
        <w:t>available in</w:t>
      </w:r>
      <w:r w:rsidRPr="000000EB" w:rsidR="008A332D">
        <w:t xml:space="preserve"> </w:t>
      </w:r>
      <w:r w:rsidR="00EC027B">
        <w:t>the Census Bureau</w:t>
      </w:r>
      <w:r w:rsidR="001816E2">
        <w:t>’s</w:t>
      </w:r>
      <w:r w:rsidRPr="000000EB" w:rsidR="007548ED">
        <w:t xml:space="preserve"> secure </w:t>
      </w:r>
      <w:hyperlink w:history="1" r:id="rId55">
        <w:r w:rsidRPr="00EE7F2C" w:rsidR="00EC027B">
          <w:rPr>
            <w:rStyle w:val="Hyperlink"/>
          </w:rPr>
          <w:t xml:space="preserve">federal statistical </w:t>
        </w:r>
        <w:r w:rsidRPr="00EE7F2C" w:rsidR="004822C1">
          <w:rPr>
            <w:rStyle w:val="Hyperlink"/>
          </w:rPr>
          <w:t xml:space="preserve">research </w:t>
        </w:r>
        <w:r w:rsidRPr="00EE7F2C" w:rsidR="007548ED">
          <w:rPr>
            <w:rStyle w:val="Hyperlink"/>
          </w:rPr>
          <w:t>data center</w:t>
        </w:r>
        <w:r w:rsidRPr="00EE7F2C" w:rsidR="00EC027B">
          <w:rPr>
            <w:rStyle w:val="Hyperlink"/>
          </w:rPr>
          <w:t>s</w:t>
        </w:r>
      </w:hyperlink>
      <w:r w:rsidRPr="000000EB" w:rsidR="007548ED">
        <w:t xml:space="preserve"> </w:t>
      </w:r>
      <w:r w:rsidRPr="000000EB" w:rsidR="004822C1">
        <w:t>(</w:t>
      </w:r>
      <w:r w:rsidR="00EC027B">
        <w:t>FS</w:t>
      </w:r>
      <w:r w:rsidRPr="000000EB" w:rsidR="004822C1">
        <w:t>RDC)</w:t>
      </w:r>
      <w:r w:rsidRPr="000000EB" w:rsidR="0041718D">
        <w:t xml:space="preserve">. The </w:t>
      </w:r>
      <w:r w:rsidR="00EC027B">
        <w:t>FS</w:t>
      </w:r>
      <w:r w:rsidRPr="000000EB" w:rsidR="0041718D">
        <w:t xml:space="preserve">RDC files </w:t>
      </w:r>
      <w:r w:rsidRPr="000000EB" w:rsidR="007548ED">
        <w:t xml:space="preserve">can be accessed by researchers who submit a proposal for the research they plan to conduct using the data and agree to all confidentiality and protected use constraints. </w:t>
      </w:r>
      <w:r w:rsidRPr="000000EB" w:rsidR="004822C1">
        <w:t xml:space="preserve">Data are available through ICPSR and the </w:t>
      </w:r>
      <w:r w:rsidR="00EC027B">
        <w:t>FS</w:t>
      </w:r>
      <w:r w:rsidRPr="000000EB" w:rsidR="004822C1">
        <w:t xml:space="preserve">RDCs by the fall of the year following collection. </w:t>
      </w:r>
    </w:p>
    <w:p w:rsidR="00EE7F2C" w:rsidP="00BA0B30" w:rsidRDefault="00C1460E" w14:paraId="68D661BA" w14:textId="65B10CD0">
      <w:r>
        <w:t xml:space="preserve">As </w:t>
      </w:r>
      <w:r w:rsidR="00A8406D">
        <w:t xml:space="preserve">noted </w:t>
      </w:r>
      <w:r>
        <w:t>above, d</w:t>
      </w:r>
      <w:r w:rsidRPr="000000EB" w:rsidR="004822C1">
        <w:t>uring the course of each year,</w:t>
      </w:r>
      <w:r w:rsidRPr="000000EB" w:rsidR="00CF44FB">
        <w:t xml:space="preserve"> </w:t>
      </w:r>
      <w:r w:rsidRPr="000000EB" w:rsidR="00E22984">
        <w:t>BJS</w:t>
      </w:r>
      <w:r w:rsidRPr="000000EB" w:rsidR="00CF44FB">
        <w:t xml:space="preserve"> </w:t>
      </w:r>
      <w:r w:rsidRPr="000000EB" w:rsidR="004822C1">
        <w:t xml:space="preserve">also </w:t>
      </w:r>
      <w:r w:rsidRPr="000000EB" w:rsidR="00CF44FB">
        <w:t xml:space="preserve">releases </w:t>
      </w:r>
      <w:r>
        <w:t>several</w:t>
      </w:r>
      <w:r w:rsidRPr="000000EB" w:rsidR="00AF0F18">
        <w:t xml:space="preserve"> </w:t>
      </w:r>
      <w:r w:rsidRPr="000000EB" w:rsidR="00CF44FB">
        <w:t xml:space="preserve">in-depth analytical </w:t>
      </w:r>
      <w:r w:rsidRPr="000000EB" w:rsidR="00AF0F18">
        <w:t>reports</w:t>
      </w:r>
      <w:r w:rsidRPr="000000EB" w:rsidR="00CF44FB">
        <w:t xml:space="preserve"> and other papers that provide information on some of the broad range of topics covered in the survey.</w:t>
      </w:r>
      <w:r w:rsidR="00F564AD">
        <w:t xml:space="preserve"> </w:t>
      </w:r>
      <w:r w:rsidRPr="000000EB" w:rsidR="00CF44FB">
        <w:t xml:space="preserve">These reports </w:t>
      </w:r>
      <w:r w:rsidRPr="000000EB" w:rsidR="0041718D">
        <w:t xml:space="preserve">reflect </w:t>
      </w:r>
      <w:r w:rsidRPr="000000EB" w:rsidR="00CF17C4">
        <w:t xml:space="preserve">findings from </w:t>
      </w:r>
      <w:r w:rsidRPr="000000EB" w:rsidR="0041718D">
        <w:t>redesign work regarding topi</w:t>
      </w:r>
      <w:r w:rsidRPr="000000EB" w:rsidR="00CF17C4">
        <w:t>cs of interest to the public, as well as</w:t>
      </w:r>
      <w:r w:rsidRPr="000000EB" w:rsidR="0041718D">
        <w:t xml:space="preserve"> </w:t>
      </w:r>
      <w:r w:rsidRPr="000000EB" w:rsidR="00CF17C4">
        <w:t xml:space="preserve">methodological reports on improving the usability and reliability of victimization estimates without increasing survey costs. </w:t>
      </w:r>
    </w:p>
    <w:p w:rsidRPr="000000EB" w:rsidR="00CF44FB" w:rsidP="00BA0B30" w:rsidRDefault="00CF17C4" w14:paraId="4FAD8513" w14:textId="2086A78C">
      <w:r w:rsidRPr="000000EB">
        <w:t>T</w:t>
      </w:r>
      <w:r w:rsidRPr="000000EB" w:rsidR="00CF44FB">
        <w:t xml:space="preserve">opics </w:t>
      </w:r>
      <w:r w:rsidRPr="000000EB">
        <w:t>include</w:t>
      </w:r>
      <w:r w:rsidRPr="000000EB" w:rsidR="00B7586C">
        <w:t xml:space="preserve"> </w:t>
      </w:r>
      <w:r w:rsidRPr="000000EB">
        <w:t>series or repeat victimization; patterns and trends in victim and offender race; harm caused by violent c</w:t>
      </w:r>
      <w:r w:rsidRPr="000000EB" w:rsidR="00B7586C">
        <w:t>rime; intimate partner violence;</w:t>
      </w:r>
      <w:r w:rsidRPr="000000EB" w:rsidR="00CF44FB">
        <w:t xml:space="preserve"> age pa</w:t>
      </w:r>
      <w:r w:rsidRPr="000000EB">
        <w:t xml:space="preserve">tterns in violent victimization; </w:t>
      </w:r>
      <w:r w:rsidRPr="000000EB">
        <w:lastRenderedPageBreak/>
        <w:t>Hispanic victims of crime;</w:t>
      </w:r>
      <w:r w:rsidRPr="000000EB" w:rsidR="00CF44FB">
        <w:t xml:space="preserve"> </w:t>
      </w:r>
      <w:r w:rsidRPr="000000EB" w:rsidR="00AF0F18">
        <w:t>victimization of persons with disabilities</w:t>
      </w:r>
      <w:r w:rsidRPr="000000EB">
        <w:t xml:space="preserve">; </w:t>
      </w:r>
      <w:r w:rsidR="00A8406D">
        <w:t xml:space="preserve">long-term trends in victimization; </w:t>
      </w:r>
      <w:r w:rsidRPr="000000EB">
        <w:t>workplace violence;</w:t>
      </w:r>
      <w:r w:rsidRPr="000000EB" w:rsidR="00AF0F18">
        <w:t xml:space="preserve"> hate </w:t>
      </w:r>
      <w:r w:rsidRPr="000000EB">
        <w:t>crime; rape and sexual assault; criminal victimization by place;</w:t>
      </w:r>
      <w:r w:rsidRPr="000000EB" w:rsidR="00AF0F18">
        <w:t xml:space="preserve"> </w:t>
      </w:r>
      <w:r w:rsidR="00A8406D">
        <w:t xml:space="preserve">help-seeking patterns among victims; </w:t>
      </w:r>
      <w:r w:rsidRPr="000000EB" w:rsidR="008A332D">
        <w:t xml:space="preserve">and police response and follow-up activities. </w:t>
      </w:r>
      <w:r w:rsidRPr="000000EB" w:rsidR="0058431A">
        <w:t xml:space="preserve">See the </w:t>
      </w:r>
      <w:r w:rsidRPr="006177B0" w:rsidR="0058431A">
        <w:t>specific list of planned topical reports under section 2. Needs and Uses.</w:t>
      </w:r>
    </w:p>
    <w:p w:rsidRPr="00256E98" w:rsidR="00CF44FB" w:rsidP="00256E98" w:rsidRDefault="008A4344" w14:paraId="2A21BCE9" w14:textId="77777777">
      <w:pPr>
        <w:pStyle w:val="Heading1"/>
      </w:pPr>
      <w:r w:rsidRPr="00256E98">
        <w:t>Display of E</w:t>
      </w:r>
      <w:r w:rsidRPr="00256E98" w:rsidR="00CF44FB">
        <w:t>xpiration Date</w:t>
      </w:r>
    </w:p>
    <w:p w:rsidR="00CF44FB" w:rsidP="00BA0B30" w:rsidRDefault="002E73FC" w14:paraId="6B591101" w14:textId="544579FA">
      <w:pPr>
        <w:rPr>
          <w:rFonts w:ascii="Calibri" w:hAnsi="Calibri" w:cs="Arial"/>
          <w:szCs w:val="24"/>
        </w:rPr>
      </w:pPr>
      <w:r w:rsidRPr="002E73FC">
        <w:rPr>
          <w:rFonts w:ascii="Calibri" w:hAnsi="Calibri" w:cs="Arial"/>
          <w:szCs w:val="24"/>
        </w:rPr>
        <w:t>T</w:t>
      </w:r>
      <w:r w:rsidRPr="00BA0B30">
        <w:t xml:space="preserve">he OMB control number </w:t>
      </w:r>
      <w:r w:rsidR="00A93BAE">
        <w:t xml:space="preserve">is </w:t>
      </w:r>
      <w:r w:rsidRPr="00BA0B30">
        <w:t>displayed on the CAPI laptop or read during the interview describing the nature of the survey and authority to collect the information. A screenshot is included in the attachments.</w:t>
      </w:r>
    </w:p>
    <w:p w:rsidRPr="00256E98" w:rsidR="00CF44FB" w:rsidP="00256E98" w:rsidRDefault="00CF44FB" w14:paraId="52EE55D0" w14:textId="77777777">
      <w:pPr>
        <w:pStyle w:val="Heading1"/>
      </w:pPr>
      <w:r w:rsidRPr="00256E98">
        <w:t>Exception to the Certificat</w:t>
      </w:r>
      <w:r w:rsidRPr="00256E98" w:rsidR="008A4344">
        <w:t>e Statement</w:t>
      </w:r>
    </w:p>
    <w:p w:rsidRPr="000000EB" w:rsidR="00CF44FB" w:rsidP="00BA0B30" w:rsidRDefault="00CF44FB" w14:paraId="1C5EEF8C" w14:textId="3247BDE2">
      <w:r w:rsidRPr="000000EB">
        <w:t>N/A.</w:t>
      </w:r>
      <w:r w:rsidR="00F564AD">
        <w:t xml:space="preserve"> </w:t>
      </w:r>
      <w:r w:rsidRPr="000000EB">
        <w:t>There are no exceptions to Certification for Paperwork Reduction Act Submissions. Collection is consistent with the guidelines in 5 CFR 1320.9.</w:t>
      </w:r>
      <w:r w:rsidR="00F564AD">
        <w:t xml:space="preserve"> </w:t>
      </w:r>
    </w:p>
    <w:p w:rsidRPr="000000EB" w:rsidR="00205B2C" w:rsidP="003B7BF3" w:rsidRDefault="00205B2C" w14:paraId="01187F51" w14:textId="77777777">
      <w:pPr>
        <w:pStyle w:val="BodyTextIndent"/>
        <w:numPr>
          <w:ilvl w:val="12"/>
          <w:numId w:val="0"/>
        </w:numPr>
        <w:tabs>
          <w:tab w:val="clear" w:pos="450"/>
          <w:tab w:val="clear" w:pos="810"/>
          <w:tab w:val="clear" w:pos="1440"/>
          <w:tab w:val="clear" w:pos="2160"/>
          <w:tab w:val="left" w:pos="1710"/>
        </w:tabs>
        <w:ind w:left="630"/>
        <w:jc w:val="both"/>
        <w:rPr>
          <w:rFonts w:ascii="Calibri" w:hAnsi="Calibri" w:cs="Arial"/>
        </w:rPr>
      </w:pPr>
    </w:p>
    <w:sectPr w:rsidRPr="000000EB" w:rsidR="00205B2C">
      <w:headerReference w:type="even" r:id="rId56"/>
      <w:headerReference w:type="default" r:id="rId57"/>
      <w:footerReference w:type="even" r:id="rId58"/>
      <w:footerReference w:type="default" r:id="rId59"/>
      <w:headerReference w:type="first" r:id="rId60"/>
      <w:footerReference w:type="first" r:id="rId61"/>
      <w:footnotePr>
        <w:numFmt w:val="lowerLetter"/>
      </w:footnotePr>
      <w:type w:val="continuous"/>
      <w:pgSz w:w="12240" w:h="15840" w:code="1"/>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2451E" w14:textId="77777777" w:rsidR="009900B7" w:rsidRDefault="009900B7">
      <w:r>
        <w:separator/>
      </w:r>
    </w:p>
  </w:endnote>
  <w:endnote w:type="continuationSeparator" w:id="0">
    <w:p w14:paraId="2242A6A5" w14:textId="77777777" w:rsidR="009900B7" w:rsidRDefault="0099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0cpi">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5CFE" w14:textId="77777777" w:rsidR="009900B7" w:rsidRDefault="00990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14D4F" w14:textId="77777777" w:rsidR="009900B7" w:rsidRDefault="00990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5664" w14:textId="77777777" w:rsidR="009900B7" w:rsidRDefault="00990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CD36F" w14:textId="77777777" w:rsidR="009900B7" w:rsidRDefault="009900B7">
      <w:r>
        <w:separator/>
      </w:r>
    </w:p>
  </w:footnote>
  <w:footnote w:type="continuationSeparator" w:id="0">
    <w:p w14:paraId="5DEDA227" w14:textId="77777777" w:rsidR="009900B7" w:rsidRDefault="009900B7">
      <w:r>
        <w:continuationSeparator/>
      </w:r>
    </w:p>
  </w:footnote>
  <w:footnote w:id="1">
    <w:p w14:paraId="7D8C1A9C" w14:textId="77777777" w:rsidR="009900B7" w:rsidRDefault="009900B7">
      <w:pPr>
        <w:pStyle w:val="FootnoteText"/>
      </w:pPr>
      <w:r>
        <w:rPr>
          <w:rStyle w:val="FootnoteReference"/>
        </w:rPr>
        <w:footnoteRef/>
      </w:r>
      <w:r>
        <w:t xml:space="preserve"> </w:t>
      </w:r>
      <w:r w:rsidRPr="003960D9">
        <w:rPr>
          <w:sz w:val="20"/>
        </w:rPr>
        <w:t>In this document, the NCVS core instrument refers to the NCVS control card (NCVS-500), NCVS-1 (Basic Screen Questionnaire), and NCVS-2 (Crime Incident Report). In general, the NCVS core project or the NCVS core work refers to all efforts related to the NCVS core instrument as well as to the broader, overall NCVS operation.</w:t>
      </w:r>
    </w:p>
  </w:footnote>
  <w:footnote w:id="2">
    <w:p w14:paraId="02E5BBBA" w14:textId="2111859E" w:rsidR="009900B7" w:rsidRDefault="009900B7" w:rsidP="005520B7">
      <w:pPr>
        <w:pStyle w:val="FootnoteText"/>
      </w:pPr>
      <w:r>
        <w:rPr>
          <w:rStyle w:val="FootnoteReference"/>
        </w:rPr>
        <w:footnoteRef/>
      </w:r>
      <w:r>
        <w:t xml:space="preserve"> </w:t>
      </w:r>
      <w:hyperlink r:id="rId1" w:history="1">
        <w:r w:rsidRPr="00E812C2">
          <w:rPr>
            <w:rStyle w:val="Hyperlink"/>
            <w:sz w:val="20"/>
          </w:rPr>
          <w:t>https://www.finrafoundation.org/sites/finrafoundation/files/framework-taxonomy-fraud.pdf</w:t>
        </w:r>
      </w:hyperlink>
      <w:r>
        <w:rPr>
          <w:rStyle w:val="Hyperlink"/>
        </w:rPr>
        <w:t xml:space="preserve"> </w:t>
      </w:r>
    </w:p>
  </w:footnote>
  <w:footnote w:id="3">
    <w:p w14:paraId="4BBEE310" w14:textId="5AAAC485" w:rsidR="009900B7" w:rsidRDefault="009900B7">
      <w:pPr>
        <w:pStyle w:val="FootnoteText"/>
      </w:pPr>
      <w:r>
        <w:rPr>
          <w:rStyle w:val="FootnoteReference"/>
        </w:rPr>
        <w:footnoteRef/>
      </w:r>
      <w:r>
        <w:t xml:space="preserve"> </w:t>
      </w:r>
      <w:r w:rsidRPr="00E812C2">
        <w:rPr>
          <w:sz w:val="20"/>
        </w:rPr>
        <w:t>As of August 2021.</w:t>
      </w:r>
    </w:p>
  </w:footnote>
  <w:footnote w:id="4">
    <w:p w14:paraId="595DD127" w14:textId="2182766D" w:rsidR="009900B7" w:rsidRPr="009508E1" w:rsidRDefault="009900B7">
      <w:pPr>
        <w:pStyle w:val="FootnoteText"/>
        <w:rPr>
          <w:sz w:val="20"/>
        </w:rPr>
      </w:pPr>
      <w:r w:rsidRPr="009508E1">
        <w:rPr>
          <w:rStyle w:val="FootnoteReference"/>
          <w:sz w:val="20"/>
        </w:rPr>
        <w:footnoteRef/>
      </w:r>
      <w:r w:rsidRPr="009508E1">
        <w:rPr>
          <w:sz w:val="20"/>
        </w:rPr>
        <w:t xml:space="preserve"> </w:t>
      </w:r>
      <w:hyperlink r:id="rId2" w:history="1">
        <w:r w:rsidRPr="009508E1">
          <w:rPr>
            <w:rStyle w:val="Hyperlink"/>
            <w:sz w:val="20"/>
          </w:rPr>
          <w:t>https://www.worldcat.org/title/final-report-of-research-and-development-for-the-redesign-of-the-national-crime-survey/oclc/22539067&amp;referer=brief_results</w:t>
        </w:r>
      </w:hyperlink>
      <w:r w:rsidRPr="009508E1">
        <w:rPr>
          <w:sz w:val="20"/>
        </w:rPr>
        <w:t xml:space="preserve"> </w:t>
      </w:r>
    </w:p>
  </w:footnote>
  <w:footnote w:id="5">
    <w:p w14:paraId="19D8A340" w14:textId="755C5F04" w:rsidR="009900B7" w:rsidRDefault="009900B7">
      <w:pPr>
        <w:pStyle w:val="FootnoteText"/>
      </w:pPr>
      <w:r w:rsidRPr="009508E1">
        <w:rPr>
          <w:rStyle w:val="FootnoteReference"/>
          <w:sz w:val="20"/>
        </w:rPr>
        <w:footnoteRef/>
      </w:r>
      <w:r w:rsidRPr="009508E1">
        <w:rPr>
          <w:sz w:val="20"/>
        </w:rPr>
        <w:t xml:space="preserve"> </w:t>
      </w:r>
      <w:hyperlink r:id="rId3" w:history="1">
        <w:r w:rsidRPr="009508E1">
          <w:rPr>
            <w:rStyle w:val="Hyperlink"/>
            <w:sz w:val="20"/>
          </w:rPr>
          <w:t>https://www.nap.edu/catalog/12090/surveying-victims-options-for-conducting-the-national-crime-victimization-survey</w:t>
        </w:r>
      </w:hyperlink>
      <w:r>
        <w:t xml:space="preserve"> </w:t>
      </w:r>
    </w:p>
  </w:footnote>
  <w:footnote w:id="6">
    <w:p w14:paraId="0AD113A4" w14:textId="36CAEBD1" w:rsidR="009900B7" w:rsidRPr="00517177" w:rsidRDefault="009900B7">
      <w:pPr>
        <w:pStyle w:val="FootnoteText"/>
        <w:rPr>
          <w:sz w:val="20"/>
        </w:rPr>
      </w:pPr>
      <w:r w:rsidRPr="009508E1">
        <w:rPr>
          <w:rStyle w:val="FootnoteReference"/>
          <w:sz w:val="20"/>
        </w:rPr>
        <w:footnoteRef/>
      </w:r>
      <w:r w:rsidRPr="00517177">
        <w:rPr>
          <w:sz w:val="20"/>
        </w:rPr>
        <w:t xml:space="preserve"> </w:t>
      </w:r>
      <w:hyperlink r:id="rId4" w:history="1">
        <w:r w:rsidRPr="00120FB6">
          <w:rPr>
            <w:rStyle w:val="Hyperlink"/>
            <w:sz w:val="20"/>
          </w:rPr>
          <w:t>https://bjs.ojp.gov/content/pub/pdf/westat_lae_5-19-10.pdf</w:t>
        </w:r>
      </w:hyperlink>
      <w:r>
        <w:rPr>
          <w:sz w:val="20"/>
        </w:rPr>
        <w:t xml:space="preserve"> </w:t>
      </w:r>
    </w:p>
  </w:footnote>
  <w:footnote w:id="7">
    <w:p w14:paraId="425F7529" w14:textId="77777777" w:rsidR="009900B7" w:rsidRPr="008C0F30" w:rsidRDefault="009900B7">
      <w:pPr>
        <w:pStyle w:val="FootnoteText"/>
      </w:pPr>
      <w:r w:rsidRPr="008C0F30">
        <w:rPr>
          <w:rStyle w:val="FootnoteReference"/>
        </w:rPr>
        <w:footnoteRef/>
      </w:r>
      <w:r w:rsidRPr="008C0F30">
        <w:t xml:space="preserve"> </w:t>
      </w:r>
      <w:r w:rsidRPr="00E812C2">
        <w:rPr>
          <w:sz w:val="20"/>
        </w:rPr>
        <w:t xml:space="preserve">Details on NIBRS reporting are available through the FBI’s website: </w:t>
      </w:r>
      <w:hyperlink r:id="rId5" w:history="1">
        <w:r w:rsidRPr="00E812C2">
          <w:rPr>
            <w:rStyle w:val="Hyperlink"/>
            <w:sz w:val="20"/>
          </w:rPr>
          <w:t>https://ucr.fbi.gov/nibrs-overview</w:t>
        </w:r>
      </w:hyperlink>
      <w:r w:rsidRPr="00E812C2">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0194" w14:textId="77777777" w:rsidR="009900B7" w:rsidRDefault="00990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2B4A" w14:textId="77777777" w:rsidR="009900B7" w:rsidRDefault="009900B7">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FD19CD6" w14:textId="77777777" w:rsidR="009900B7" w:rsidRDefault="009900B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BC57" w14:textId="77777777" w:rsidR="009900B7" w:rsidRDefault="00990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59C4"/>
    <w:multiLevelType w:val="hybridMultilevel"/>
    <w:tmpl w:val="1310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26789"/>
    <w:multiLevelType w:val="hybridMultilevel"/>
    <w:tmpl w:val="6EC6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26B6"/>
    <w:multiLevelType w:val="multilevel"/>
    <w:tmpl w:val="AB44ED2A"/>
    <w:styleLink w:val="Numbered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5F5CD7"/>
    <w:multiLevelType w:val="hybridMultilevel"/>
    <w:tmpl w:val="EC201FEE"/>
    <w:lvl w:ilvl="0" w:tplc="2A069F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9AE4052"/>
    <w:multiLevelType w:val="hybridMultilevel"/>
    <w:tmpl w:val="7DD86A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313B6872"/>
    <w:multiLevelType w:val="multilevel"/>
    <w:tmpl w:val="540477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B0488"/>
    <w:multiLevelType w:val="hybridMultilevel"/>
    <w:tmpl w:val="2C5EA1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527775C5"/>
    <w:multiLevelType w:val="multilevel"/>
    <w:tmpl w:val="A1F26D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0D596B"/>
    <w:multiLevelType w:val="hybridMultilevel"/>
    <w:tmpl w:val="21CC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2351B8"/>
    <w:multiLevelType w:val="multilevel"/>
    <w:tmpl w:val="8AE4BC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7917A4"/>
    <w:multiLevelType w:val="hybridMultilevel"/>
    <w:tmpl w:val="26BE998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734038AD"/>
    <w:multiLevelType w:val="hybridMultilevel"/>
    <w:tmpl w:val="2C865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DDE079F"/>
    <w:multiLevelType w:val="multilevel"/>
    <w:tmpl w:val="00D677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8"/>
  </w:num>
  <w:num w:numId="3">
    <w:abstractNumId w:val="3"/>
  </w:num>
  <w:num w:numId="4">
    <w:abstractNumId w:val="11"/>
  </w:num>
  <w:num w:numId="5">
    <w:abstractNumId w:val="6"/>
  </w:num>
  <w:num w:numId="6">
    <w:abstractNumId w:val="4"/>
  </w:num>
  <w:num w:numId="7">
    <w:abstractNumId w:val="5"/>
  </w:num>
  <w:num w:numId="8">
    <w:abstractNumId w:val="9"/>
  </w:num>
  <w:num w:numId="9">
    <w:abstractNumId w:val="7"/>
  </w:num>
  <w:num w:numId="10">
    <w:abstractNumId w:val="0"/>
  </w:num>
  <w:num w:numId="11">
    <w:abstractNumId w:val="12"/>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7825"/>
  </w:hdrShapeDefaults>
  <w:footnotePr>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8A"/>
    <w:rsid w:val="000000EB"/>
    <w:rsid w:val="00001972"/>
    <w:rsid w:val="000042F0"/>
    <w:rsid w:val="00013597"/>
    <w:rsid w:val="00020C2A"/>
    <w:rsid w:val="000213E0"/>
    <w:rsid w:val="000248EC"/>
    <w:rsid w:val="000264F5"/>
    <w:rsid w:val="00033CA8"/>
    <w:rsid w:val="00034BD5"/>
    <w:rsid w:val="00035347"/>
    <w:rsid w:val="00036D2D"/>
    <w:rsid w:val="000415BF"/>
    <w:rsid w:val="00047289"/>
    <w:rsid w:val="00047C00"/>
    <w:rsid w:val="000503A6"/>
    <w:rsid w:val="000509D5"/>
    <w:rsid w:val="0005310C"/>
    <w:rsid w:val="000536BE"/>
    <w:rsid w:val="00055B19"/>
    <w:rsid w:val="000579B8"/>
    <w:rsid w:val="000601FA"/>
    <w:rsid w:val="000612E8"/>
    <w:rsid w:val="00061B5F"/>
    <w:rsid w:val="00062DAA"/>
    <w:rsid w:val="00062E4A"/>
    <w:rsid w:val="000654C7"/>
    <w:rsid w:val="00065B0A"/>
    <w:rsid w:val="00065B1E"/>
    <w:rsid w:val="00065CC6"/>
    <w:rsid w:val="00067BA3"/>
    <w:rsid w:val="0007044B"/>
    <w:rsid w:val="000732DE"/>
    <w:rsid w:val="00074272"/>
    <w:rsid w:val="00082247"/>
    <w:rsid w:val="00083E8A"/>
    <w:rsid w:val="00087C54"/>
    <w:rsid w:val="00092BB2"/>
    <w:rsid w:val="000A108D"/>
    <w:rsid w:val="000A10CD"/>
    <w:rsid w:val="000A1C6B"/>
    <w:rsid w:val="000A3079"/>
    <w:rsid w:val="000A4369"/>
    <w:rsid w:val="000A57DC"/>
    <w:rsid w:val="000A7CEC"/>
    <w:rsid w:val="000B6F43"/>
    <w:rsid w:val="000B74AC"/>
    <w:rsid w:val="000C2E72"/>
    <w:rsid w:val="000C3248"/>
    <w:rsid w:val="000C404F"/>
    <w:rsid w:val="000C56C0"/>
    <w:rsid w:val="000C58C5"/>
    <w:rsid w:val="000C5EDB"/>
    <w:rsid w:val="000C6B5F"/>
    <w:rsid w:val="000C7203"/>
    <w:rsid w:val="000C77C5"/>
    <w:rsid w:val="000D0543"/>
    <w:rsid w:val="000D2B10"/>
    <w:rsid w:val="000D30B9"/>
    <w:rsid w:val="000D6E53"/>
    <w:rsid w:val="000E16ED"/>
    <w:rsid w:val="000E1F85"/>
    <w:rsid w:val="000E676C"/>
    <w:rsid w:val="000E68F1"/>
    <w:rsid w:val="000E7763"/>
    <w:rsid w:val="000E7E95"/>
    <w:rsid w:val="000F4BD0"/>
    <w:rsid w:val="000F5171"/>
    <w:rsid w:val="000F5A64"/>
    <w:rsid w:val="0010017C"/>
    <w:rsid w:val="00101024"/>
    <w:rsid w:val="00104C06"/>
    <w:rsid w:val="001051AB"/>
    <w:rsid w:val="001075EF"/>
    <w:rsid w:val="00107E53"/>
    <w:rsid w:val="0011054C"/>
    <w:rsid w:val="001114E7"/>
    <w:rsid w:val="001123C9"/>
    <w:rsid w:val="00112E12"/>
    <w:rsid w:val="00112E4A"/>
    <w:rsid w:val="0011394D"/>
    <w:rsid w:val="0011433E"/>
    <w:rsid w:val="00114E05"/>
    <w:rsid w:val="0011520E"/>
    <w:rsid w:val="00115AB5"/>
    <w:rsid w:val="001174F7"/>
    <w:rsid w:val="00117EE5"/>
    <w:rsid w:val="00121FF9"/>
    <w:rsid w:val="00123E9A"/>
    <w:rsid w:val="00124FD7"/>
    <w:rsid w:val="001278BD"/>
    <w:rsid w:val="00130015"/>
    <w:rsid w:val="00131213"/>
    <w:rsid w:val="00131D08"/>
    <w:rsid w:val="00132675"/>
    <w:rsid w:val="00137E21"/>
    <w:rsid w:val="001424C4"/>
    <w:rsid w:val="001427FA"/>
    <w:rsid w:val="00146D39"/>
    <w:rsid w:val="001501BD"/>
    <w:rsid w:val="001556E3"/>
    <w:rsid w:val="00155CB8"/>
    <w:rsid w:val="00157304"/>
    <w:rsid w:val="00160748"/>
    <w:rsid w:val="00162F2B"/>
    <w:rsid w:val="00163062"/>
    <w:rsid w:val="00163761"/>
    <w:rsid w:val="00163C94"/>
    <w:rsid w:val="00164E88"/>
    <w:rsid w:val="00166E4C"/>
    <w:rsid w:val="00166E91"/>
    <w:rsid w:val="001674AF"/>
    <w:rsid w:val="00171F75"/>
    <w:rsid w:val="0017287A"/>
    <w:rsid w:val="00172D50"/>
    <w:rsid w:val="00173195"/>
    <w:rsid w:val="001738C0"/>
    <w:rsid w:val="00174E3A"/>
    <w:rsid w:val="00177845"/>
    <w:rsid w:val="00180BC2"/>
    <w:rsid w:val="001816E2"/>
    <w:rsid w:val="00185908"/>
    <w:rsid w:val="001866D7"/>
    <w:rsid w:val="00190D88"/>
    <w:rsid w:val="0019193F"/>
    <w:rsid w:val="00191A1F"/>
    <w:rsid w:val="001922E0"/>
    <w:rsid w:val="00192601"/>
    <w:rsid w:val="00193415"/>
    <w:rsid w:val="00193A43"/>
    <w:rsid w:val="001948D7"/>
    <w:rsid w:val="00196331"/>
    <w:rsid w:val="001964B8"/>
    <w:rsid w:val="00196892"/>
    <w:rsid w:val="00196910"/>
    <w:rsid w:val="00196CF8"/>
    <w:rsid w:val="001A16E8"/>
    <w:rsid w:val="001A1B14"/>
    <w:rsid w:val="001A36B3"/>
    <w:rsid w:val="001A4B51"/>
    <w:rsid w:val="001A4F1F"/>
    <w:rsid w:val="001A661A"/>
    <w:rsid w:val="001A6928"/>
    <w:rsid w:val="001B210A"/>
    <w:rsid w:val="001B4612"/>
    <w:rsid w:val="001B477B"/>
    <w:rsid w:val="001B47EF"/>
    <w:rsid w:val="001B54B9"/>
    <w:rsid w:val="001B6167"/>
    <w:rsid w:val="001C1204"/>
    <w:rsid w:val="001C1E0A"/>
    <w:rsid w:val="001C3674"/>
    <w:rsid w:val="001D107C"/>
    <w:rsid w:val="001D178A"/>
    <w:rsid w:val="001D3F9E"/>
    <w:rsid w:val="001D67CB"/>
    <w:rsid w:val="001D70BA"/>
    <w:rsid w:val="001E18FB"/>
    <w:rsid w:val="001E2F09"/>
    <w:rsid w:val="001E4A65"/>
    <w:rsid w:val="001E5914"/>
    <w:rsid w:val="001F0325"/>
    <w:rsid w:val="001F180C"/>
    <w:rsid w:val="001F415D"/>
    <w:rsid w:val="001F5CE1"/>
    <w:rsid w:val="001F79DC"/>
    <w:rsid w:val="00200A78"/>
    <w:rsid w:val="00202C85"/>
    <w:rsid w:val="00203EB4"/>
    <w:rsid w:val="002053F8"/>
    <w:rsid w:val="00205B2C"/>
    <w:rsid w:val="002061BC"/>
    <w:rsid w:val="00206535"/>
    <w:rsid w:val="00213A6D"/>
    <w:rsid w:val="00215949"/>
    <w:rsid w:val="00215A38"/>
    <w:rsid w:val="00216923"/>
    <w:rsid w:val="00220044"/>
    <w:rsid w:val="00220D0E"/>
    <w:rsid w:val="002217BC"/>
    <w:rsid w:val="00221EB1"/>
    <w:rsid w:val="00222328"/>
    <w:rsid w:val="00223F43"/>
    <w:rsid w:val="00224635"/>
    <w:rsid w:val="00225F79"/>
    <w:rsid w:val="0022678F"/>
    <w:rsid w:val="00230D26"/>
    <w:rsid w:val="00230F31"/>
    <w:rsid w:val="002313AD"/>
    <w:rsid w:val="0023283C"/>
    <w:rsid w:val="00235DB2"/>
    <w:rsid w:val="002369B1"/>
    <w:rsid w:val="00236EC0"/>
    <w:rsid w:val="00237096"/>
    <w:rsid w:val="0023789D"/>
    <w:rsid w:val="0024054B"/>
    <w:rsid w:val="00242D66"/>
    <w:rsid w:val="0024379F"/>
    <w:rsid w:val="00245928"/>
    <w:rsid w:val="00246E2F"/>
    <w:rsid w:val="00250132"/>
    <w:rsid w:val="002508DC"/>
    <w:rsid w:val="00250F4B"/>
    <w:rsid w:val="00251D3D"/>
    <w:rsid w:val="002526D6"/>
    <w:rsid w:val="0025384C"/>
    <w:rsid w:val="0025440B"/>
    <w:rsid w:val="0025529A"/>
    <w:rsid w:val="00256D11"/>
    <w:rsid w:val="00256E98"/>
    <w:rsid w:val="002602AD"/>
    <w:rsid w:val="00260690"/>
    <w:rsid w:val="0026217E"/>
    <w:rsid w:val="002622C3"/>
    <w:rsid w:val="0026549A"/>
    <w:rsid w:val="00265ACC"/>
    <w:rsid w:val="00267B4F"/>
    <w:rsid w:val="00270BD6"/>
    <w:rsid w:val="002720B5"/>
    <w:rsid w:val="00274352"/>
    <w:rsid w:val="002766D0"/>
    <w:rsid w:val="00276E6A"/>
    <w:rsid w:val="002808AC"/>
    <w:rsid w:val="002813E7"/>
    <w:rsid w:val="00281B4E"/>
    <w:rsid w:val="00282731"/>
    <w:rsid w:val="002827F8"/>
    <w:rsid w:val="0028288D"/>
    <w:rsid w:val="00284DEB"/>
    <w:rsid w:val="00286998"/>
    <w:rsid w:val="00286BCA"/>
    <w:rsid w:val="00286F43"/>
    <w:rsid w:val="0029050D"/>
    <w:rsid w:val="00291FD3"/>
    <w:rsid w:val="0029413B"/>
    <w:rsid w:val="00294193"/>
    <w:rsid w:val="00294C12"/>
    <w:rsid w:val="00295417"/>
    <w:rsid w:val="002955C5"/>
    <w:rsid w:val="0029598C"/>
    <w:rsid w:val="002966A1"/>
    <w:rsid w:val="002971D8"/>
    <w:rsid w:val="002A0835"/>
    <w:rsid w:val="002A1BBD"/>
    <w:rsid w:val="002A23DC"/>
    <w:rsid w:val="002A2448"/>
    <w:rsid w:val="002A3BF5"/>
    <w:rsid w:val="002A3E1C"/>
    <w:rsid w:val="002A6144"/>
    <w:rsid w:val="002A665B"/>
    <w:rsid w:val="002B1597"/>
    <w:rsid w:val="002B2510"/>
    <w:rsid w:val="002B2A01"/>
    <w:rsid w:val="002B445C"/>
    <w:rsid w:val="002B600A"/>
    <w:rsid w:val="002B70E7"/>
    <w:rsid w:val="002B780A"/>
    <w:rsid w:val="002C290D"/>
    <w:rsid w:val="002C48ED"/>
    <w:rsid w:val="002C4BFF"/>
    <w:rsid w:val="002C5B11"/>
    <w:rsid w:val="002C6790"/>
    <w:rsid w:val="002C75AB"/>
    <w:rsid w:val="002C787A"/>
    <w:rsid w:val="002C7A2D"/>
    <w:rsid w:val="002D1A5E"/>
    <w:rsid w:val="002D43BF"/>
    <w:rsid w:val="002D6CD8"/>
    <w:rsid w:val="002D79AE"/>
    <w:rsid w:val="002E0221"/>
    <w:rsid w:val="002E04DE"/>
    <w:rsid w:val="002E0AFE"/>
    <w:rsid w:val="002E0EEA"/>
    <w:rsid w:val="002E1D01"/>
    <w:rsid w:val="002E3C9F"/>
    <w:rsid w:val="002E49CD"/>
    <w:rsid w:val="002E73FC"/>
    <w:rsid w:val="002F0B98"/>
    <w:rsid w:val="002F0BAC"/>
    <w:rsid w:val="002F2467"/>
    <w:rsid w:val="002F29F9"/>
    <w:rsid w:val="002F33D6"/>
    <w:rsid w:val="002F3757"/>
    <w:rsid w:val="002F3C19"/>
    <w:rsid w:val="002F47E2"/>
    <w:rsid w:val="002F508F"/>
    <w:rsid w:val="002F6264"/>
    <w:rsid w:val="002F6BDF"/>
    <w:rsid w:val="002F7DC7"/>
    <w:rsid w:val="00300285"/>
    <w:rsid w:val="00300716"/>
    <w:rsid w:val="00301552"/>
    <w:rsid w:val="003018DD"/>
    <w:rsid w:val="00303425"/>
    <w:rsid w:val="00303D16"/>
    <w:rsid w:val="00305FFD"/>
    <w:rsid w:val="0031090F"/>
    <w:rsid w:val="00314CFE"/>
    <w:rsid w:val="00316BC8"/>
    <w:rsid w:val="00322E96"/>
    <w:rsid w:val="00323D6A"/>
    <w:rsid w:val="00324157"/>
    <w:rsid w:val="0032656C"/>
    <w:rsid w:val="003270D2"/>
    <w:rsid w:val="00327E5C"/>
    <w:rsid w:val="0033033E"/>
    <w:rsid w:val="00332DCC"/>
    <w:rsid w:val="0033318A"/>
    <w:rsid w:val="00333876"/>
    <w:rsid w:val="00337A9F"/>
    <w:rsid w:val="00340310"/>
    <w:rsid w:val="00341872"/>
    <w:rsid w:val="00343509"/>
    <w:rsid w:val="003436AB"/>
    <w:rsid w:val="00343F84"/>
    <w:rsid w:val="00344D95"/>
    <w:rsid w:val="00347D9D"/>
    <w:rsid w:val="00351146"/>
    <w:rsid w:val="00351CD0"/>
    <w:rsid w:val="00353619"/>
    <w:rsid w:val="00354216"/>
    <w:rsid w:val="003548EE"/>
    <w:rsid w:val="0035573C"/>
    <w:rsid w:val="00356882"/>
    <w:rsid w:val="0036186B"/>
    <w:rsid w:val="00361F11"/>
    <w:rsid w:val="00363E4B"/>
    <w:rsid w:val="00364931"/>
    <w:rsid w:val="003652E4"/>
    <w:rsid w:val="003704EE"/>
    <w:rsid w:val="00372ED8"/>
    <w:rsid w:val="00376492"/>
    <w:rsid w:val="0037669E"/>
    <w:rsid w:val="00376A8B"/>
    <w:rsid w:val="00377BCE"/>
    <w:rsid w:val="0038157B"/>
    <w:rsid w:val="00383DA7"/>
    <w:rsid w:val="00385B5A"/>
    <w:rsid w:val="00386C1D"/>
    <w:rsid w:val="003878E7"/>
    <w:rsid w:val="00387CFA"/>
    <w:rsid w:val="003922AD"/>
    <w:rsid w:val="0039279F"/>
    <w:rsid w:val="00392D59"/>
    <w:rsid w:val="00393636"/>
    <w:rsid w:val="0039417D"/>
    <w:rsid w:val="00394287"/>
    <w:rsid w:val="00395A8D"/>
    <w:rsid w:val="00395F5C"/>
    <w:rsid w:val="003960D9"/>
    <w:rsid w:val="00397104"/>
    <w:rsid w:val="003A1BB2"/>
    <w:rsid w:val="003A2C13"/>
    <w:rsid w:val="003A3ECC"/>
    <w:rsid w:val="003A6A63"/>
    <w:rsid w:val="003A7C15"/>
    <w:rsid w:val="003B1F0C"/>
    <w:rsid w:val="003B1FA7"/>
    <w:rsid w:val="003B55E0"/>
    <w:rsid w:val="003B5D32"/>
    <w:rsid w:val="003B62F3"/>
    <w:rsid w:val="003B7BF3"/>
    <w:rsid w:val="003C1605"/>
    <w:rsid w:val="003C23D6"/>
    <w:rsid w:val="003C2402"/>
    <w:rsid w:val="003C54F1"/>
    <w:rsid w:val="003C5BDE"/>
    <w:rsid w:val="003D00C0"/>
    <w:rsid w:val="003D1278"/>
    <w:rsid w:val="003D1799"/>
    <w:rsid w:val="003D3064"/>
    <w:rsid w:val="003D4EE9"/>
    <w:rsid w:val="003D576A"/>
    <w:rsid w:val="003D7BEB"/>
    <w:rsid w:val="003E04ED"/>
    <w:rsid w:val="003E0E56"/>
    <w:rsid w:val="003E16F7"/>
    <w:rsid w:val="003E1C16"/>
    <w:rsid w:val="003E1E06"/>
    <w:rsid w:val="003E23BB"/>
    <w:rsid w:val="003E2AC5"/>
    <w:rsid w:val="003E2DCB"/>
    <w:rsid w:val="003E3D5C"/>
    <w:rsid w:val="003E48DA"/>
    <w:rsid w:val="003E694F"/>
    <w:rsid w:val="003F0A60"/>
    <w:rsid w:val="003F3BA0"/>
    <w:rsid w:val="00400445"/>
    <w:rsid w:val="00401DE6"/>
    <w:rsid w:val="004057F1"/>
    <w:rsid w:val="00406208"/>
    <w:rsid w:val="00412852"/>
    <w:rsid w:val="00413DA0"/>
    <w:rsid w:val="00416439"/>
    <w:rsid w:val="00416632"/>
    <w:rsid w:val="0041718D"/>
    <w:rsid w:val="00417702"/>
    <w:rsid w:val="00421117"/>
    <w:rsid w:val="00423FE7"/>
    <w:rsid w:val="00424825"/>
    <w:rsid w:val="00424F76"/>
    <w:rsid w:val="004300E1"/>
    <w:rsid w:val="0043078F"/>
    <w:rsid w:val="004307B5"/>
    <w:rsid w:val="004322E3"/>
    <w:rsid w:val="00433525"/>
    <w:rsid w:val="00434155"/>
    <w:rsid w:val="00435B89"/>
    <w:rsid w:val="00436BF8"/>
    <w:rsid w:val="00440024"/>
    <w:rsid w:val="00450683"/>
    <w:rsid w:val="00452746"/>
    <w:rsid w:val="00452872"/>
    <w:rsid w:val="00454ADD"/>
    <w:rsid w:val="0045596C"/>
    <w:rsid w:val="0045794F"/>
    <w:rsid w:val="00460F0C"/>
    <w:rsid w:val="00461A4F"/>
    <w:rsid w:val="00463F6B"/>
    <w:rsid w:val="00464443"/>
    <w:rsid w:val="00465802"/>
    <w:rsid w:val="0046582A"/>
    <w:rsid w:val="00466285"/>
    <w:rsid w:val="004710A5"/>
    <w:rsid w:val="0047349C"/>
    <w:rsid w:val="00473CAC"/>
    <w:rsid w:val="00474170"/>
    <w:rsid w:val="0047473D"/>
    <w:rsid w:val="004800DD"/>
    <w:rsid w:val="004815EB"/>
    <w:rsid w:val="00482151"/>
    <w:rsid w:val="004822C1"/>
    <w:rsid w:val="00482A32"/>
    <w:rsid w:val="0048406D"/>
    <w:rsid w:val="00484CF3"/>
    <w:rsid w:val="004864BE"/>
    <w:rsid w:val="00487697"/>
    <w:rsid w:val="00487F51"/>
    <w:rsid w:val="004956DA"/>
    <w:rsid w:val="00495D85"/>
    <w:rsid w:val="004965BA"/>
    <w:rsid w:val="004A1F94"/>
    <w:rsid w:val="004A2410"/>
    <w:rsid w:val="004A437F"/>
    <w:rsid w:val="004A4FC9"/>
    <w:rsid w:val="004A68E6"/>
    <w:rsid w:val="004A69B0"/>
    <w:rsid w:val="004A6DEE"/>
    <w:rsid w:val="004A740A"/>
    <w:rsid w:val="004A78EE"/>
    <w:rsid w:val="004A7DA6"/>
    <w:rsid w:val="004B5CBA"/>
    <w:rsid w:val="004B662B"/>
    <w:rsid w:val="004C0496"/>
    <w:rsid w:val="004C265E"/>
    <w:rsid w:val="004C3100"/>
    <w:rsid w:val="004C3E3E"/>
    <w:rsid w:val="004C66D3"/>
    <w:rsid w:val="004C756A"/>
    <w:rsid w:val="004D0763"/>
    <w:rsid w:val="004D19D9"/>
    <w:rsid w:val="004D1B10"/>
    <w:rsid w:val="004D24A6"/>
    <w:rsid w:val="004D6F96"/>
    <w:rsid w:val="004D7E22"/>
    <w:rsid w:val="004E25E5"/>
    <w:rsid w:val="004E52C5"/>
    <w:rsid w:val="004E6025"/>
    <w:rsid w:val="004F0DBF"/>
    <w:rsid w:val="004F4B0C"/>
    <w:rsid w:val="004F5FDA"/>
    <w:rsid w:val="004F60E6"/>
    <w:rsid w:val="00500807"/>
    <w:rsid w:val="00506A84"/>
    <w:rsid w:val="00511720"/>
    <w:rsid w:val="00511BF5"/>
    <w:rsid w:val="00513850"/>
    <w:rsid w:val="005170D7"/>
    <w:rsid w:val="00517177"/>
    <w:rsid w:val="005176EF"/>
    <w:rsid w:val="005200D3"/>
    <w:rsid w:val="0052084C"/>
    <w:rsid w:val="005227F8"/>
    <w:rsid w:val="0052563C"/>
    <w:rsid w:val="00525CC9"/>
    <w:rsid w:val="00527A22"/>
    <w:rsid w:val="005306C5"/>
    <w:rsid w:val="00531782"/>
    <w:rsid w:val="00533C9F"/>
    <w:rsid w:val="0053634F"/>
    <w:rsid w:val="00537679"/>
    <w:rsid w:val="00537FC0"/>
    <w:rsid w:val="00540C75"/>
    <w:rsid w:val="00545C38"/>
    <w:rsid w:val="005502C3"/>
    <w:rsid w:val="0055062C"/>
    <w:rsid w:val="00551795"/>
    <w:rsid w:val="00551E7A"/>
    <w:rsid w:val="005520B7"/>
    <w:rsid w:val="005525DB"/>
    <w:rsid w:val="00555312"/>
    <w:rsid w:val="00556A1E"/>
    <w:rsid w:val="00557903"/>
    <w:rsid w:val="00557E17"/>
    <w:rsid w:val="00565A56"/>
    <w:rsid w:val="00567FD4"/>
    <w:rsid w:val="005702F7"/>
    <w:rsid w:val="00571AD8"/>
    <w:rsid w:val="00575116"/>
    <w:rsid w:val="00575B62"/>
    <w:rsid w:val="00575D0B"/>
    <w:rsid w:val="00583361"/>
    <w:rsid w:val="0058378B"/>
    <w:rsid w:val="0058431A"/>
    <w:rsid w:val="00585F50"/>
    <w:rsid w:val="005920DE"/>
    <w:rsid w:val="005926C1"/>
    <w:rsid w:val="00592709"/>
    <w:rsid w:val="00592880"/>
    <w:rsid w:val="00593A24"/>
    <w:rsid w:val="00596CF4"/>
    <w:rsid w:val="00597CD5"/>
    <w:rsid w:val="005A1B4F"/>
    <w:rsid w:val="005A2077"/>
    <w:rsid w:val="005A2793"/>
    <w:rsid w:val="005A45E4"/>
    <w:rsid w:val="005A7D5B"/>
    <w:rsid w:val="005B193B"/>
    <w:rsid w:val="005B3EB5"/>
    <w:rsid w:val="005B4203"/>
    <w:rsid w:val="005B4798"/>
    <w:rsid w:val="005B4AFC"/>
    <w:rsid w:val="005B6411"/>
    <w:rsid w:val="005C1D0D"/>
    <w:rsid w:val="005C3DE9"/>
    <w:rsid w:val="005C51C1"/>
    <w:rsid w:val="005C6E5E"/>
    <w:rsid w:val="005C6F5A"/>
    <w:rsid w:val="005D12BB"/>
    <w:rsid w:val="005D1CE6"/>
    <w:rsid w:val="005D2911"/>
    <w:rsid w:val="005D3F85"/>
    <w:rsid w:val="005D409E"/>
    <w:rsid w:val="005D4830"/>
    <w:rsid w:val="005D507C"/>
    <w:rsid w:val="005D6446"/>
    <w:rsid w:val="005D77DA"/>
    <w:rsid w:val="005D7A99"/>
    <w:rsid w:val="005E05D0"/>
    <w:rsid w:val="005E0824"/>
    <w:rsid w:val="005E1226"/>
    <w:rsid w:val="005E1699"/>
    <w:rsid w:val="005E2A90"/>
    <w:rsid w:val="005E31E3"/>
    <w:rsid w:val="005E38FD"/>
    <w:rsid w:val="005E3905"/>
    <w:rsid w:val="005E3A0B"/>
    <w:rsid w:val="005E4FD2"/>
    <w:rsid w:val="005E644D"/>
    <w:rsid w:val="005E7222"/>
    <w:rsid w:val="005E7B91"/>
    <w:rsid w:val="005F057F"/>
    <w:rsid w:val="005F414F"/>
    <w:rsid w:val="005F4244"/>
    <w:rsid w:val="005F490E"/>
    <w:rsid w:val="00604374"/>
    <w:rsid w:val="00605DAE"/>
    <w:rsid w:val="0061239D"/>
    <w:rsid w:val="006177B0"/>
    <w:rsid w:val="00621456"/>
    <w:rsid w:val="00621CA5"/>
    <w:rsid w:val="00623D8A"/>
    <w:rsid w:val="00627DC2"/>
    <w:rsid w:val="00631A11"/>
    <w:rsid w:val="00632C27"/>
    <w:rsid w:val="006371BE"/>
    <w:rsid w:val="0063748C"/>
    <w:rsid w:val="0063757C"/>
    <w:rsid w:val="00637729"/>
    <w:rsid w:val="00641D06"/>
    <w:rsid w:val="00643BDB"/>
    <w:rsid w:val="0064609C"/>
    <w:rsid w:val="00646B11"/>
    <w:rsid w:val="006475CC"/>
    <w:rsid w:val="00652B81"/>
    <w:rsid w:val="00652BF6"/>
    <w:rsid w:val="0065307A"/>
    <w:rsid w:val="00653527"/>
    <w:rsid w:val="0065497D"/>
    <w:rsid w:val="006560F7"/>
    <w:rsid w:val="0065721A"/>
    <w:rsid w:val="00660013"/>
    <w:rsid w:val="006604FB"/>
    <w:rsid w:val="0066245F"/>
    <w:rsid w:val="006631B4"/>
    <w:rsid w:val="0066326C"/>
    <w:rsid w:val="00663F63"/>
    <w:rsid w:val="006641FB"/>
    <w:rsid w:val="00665DBA"/>
    <w:rsid w:val="0066766A"/>
    <w:rsid w:val="00670701"/>
    <w:rsid w:val="00671CC4"/>
    <w:rsid w:val="00673943"/>
    <w:rsid w:val="00673CAD"/>
    <w:rsid w:val="00675A02"/>
    <w:rsid w:val="00675D39"/>
    <w:rsid w:val="00676D8F"/>
    <w:rsid w:val="00681D7C"/>
    <w:rsid w:val="00684FB5"/>
    <w:rsid w:val="00687081"/>
    <w:rsid w:val="006902EF"/>
    <w:rsid w:val="0069059B"/>
    <w:rsid w:val="00691A01"/>
    <w:rsid w:val="006922B9"/>
    <w:rsid w:val="006976D4"/>
    <w:rsid w:val="00697B36"/>
    <w:rsid w:val="006A0143"/>
    <w:rsid w:val="006A08B2"/>
    <w:rsid w:val="006A1A7B"/>
    <w:rsid w:val="006A1E59"/>
    <w:rsid w:val="006A28DD"/>
    <w:rsid w:val="006A57E8"/>
    <w:rsid w:val="006A5E03"/>
    <w:rsid w:val="006B0E2E"/>
    <w:rsid w:val="006B2E5A"/>
    <w:rsid w:val="006B4916"/>
    <w:rsid w:val="006B4B90"/>
    <w:rsid w:val="006B4DC4"/>
    <w:rsid w:val="006B6954"/>
    <w:rsid w:val="006B75C1"/>
    <w:rsid w:val="006C3A57"/>
    <w:rsid w:val="006C4162"/>
    <w:rsid w:val="006C42D4"/>
    <w:rsid w:val="006C4E5F"/>
    <w:rsid w:val="006C4EE4"/>
    <w:rsid w:val="006C5CBB"/>
    <w:rsid w:val="006C7045"/>
    <w:rsid w:val="006C70BA"/>
    <w:rsid w:val="006C7B81"/>
    <w:rsid w:val="006D52B3"/>
    <w:rsid w:val="006D6360"/>
    <w:rsid w:val="006D6CE1"/>
    <w:rsid w:val="006E2D73"/>
    <w:rsid w:val="006E74C8"/>
    <w:rsid w:val="006F055F"/>
    <w:rsid w:val="006F0AC5"/>
    <w:rsid w:val="006F109C"/>
    <w:rsid w:val="006F1F87"/>
    <w:rsid w:val="006F3CCA"/>
    <w:rsid w:val="006F4820"/>
    <w:rsid w:val="006F5AFF"/>
    <w:rsid w:val="006F68D6"/>
    <w:rsid w:val="006F7A66"/>
    <w:rsid w:val="006F7B4C"/>
    <w:rsid w:val="007025E0"/>
    <w:rsid w:val="00702AD4"/>
    <w:rsid w:val="00703512"/>
    <w:rsid w:val="007047FE"/>
    <w:rsid w:val="007103DA"/>
    <w:rsid w:val="00710958"/>
    <w:rsid w:val="00710B4B"/>
    <w:rsid w:val="00710C0C"/>
    <w:rsid w:val="00716A51"/>
    <w:rsid w:val="00721352"/>
    <w:rsid w:val="00721F22"/>
    <w:rsid w:val="00722731"/>
    <w:rsid w:val="00722DAC"/>
    <w:rsid w:val="00724A93"/>
    <w:rsid w:val="00724C9D"/>
    <w:rsid w:val="00730808"/>
    <w:rsid w:val="00730D9C"/>
    <w:rsid w:val="007315B5"/>
    <w:rsid w:val="00732EB7"/>
    <w:rsid w:val="007345CE"/>
    <w:rsid w:val="007410F7"/>
    <w:rsid w:val="00742AE4"/>
    <w:rsid w:val="00742BB7"/>
    <w:rsid w:val="00743267"/>
    <w:rsid w:val="00745E51"/>
    <w:rsid w:val="007479A9"/>
    <w:rsid w:val="00751383"/>
    <w:rsid w:val="007548ED"/>
    <w:rsid w:val="007549D4"/>
    <w:rsid w:val="007579F8"/>
    <w:rsid w:val="007603D5"/>
    <w:rsid w:val="00762938"/>
    <w:rsid w:val="00763126"/>
    <w:rsid w:val="00763A60"/>
    <w:rsid w:val="00763AAD"/>
    <w:rsid w:val="00764D46"/>
    <w:rsid w:val="0076538C"/>
    <w:rsid w:val="007661F6"/>
    <w:rsid w:val="0076629E"/>
    <w:rsid w:val="0077117E"/>
    <w:rsid w:val="0077283D"/>
    <w:rsid w:val="00772936"/>
    <w:rsid w:val="00773182"/>
    <w:rsid w:val="00773C25"/>
    <w:rsid w:val="00773D45"/>
    <w:rsid w:val="00775E03"/>
    <w:rsid w:val="00777F77"/>
    <w:rsid w:val="00780C00"/>
    <w:rsid w:val="00782AF9"/>
    <w:rsid w:val="00782CFD"/>
    <w:rsid w:val="0078321B"/>
    <w:rsid w:val="00784367"/>
    <w:rsid w:val="00784D0A"/>
    <w:rsid w:val="0078660E"/>
    <w:rsid w:val="00791480"/>
    <w:rsid w:val="00791A07"/>
    <w:rsid w:val="00793913"/>
    <w:rsid w:val="00794EA1"/>
    <w:rsid w:val="00795E9E"/>
    <w:rsid w:val="0079798C"/>
    <w:rsid w:val="007A057D"/>
    <w:rsid w:val="007A0E82"/>
    <w:rsid w:val="007A1CFA"/>
    <w:rsid w:val="007A3FD1"/>
    <w:rsid w:val="007A71E4"/>
    <w:rsid w:val="007A73FB"/>
    <w:rsid w:val="007A7E30"/>
    <w:rsid w:val="007A7EF3"/>
    <w:rsid w:val="007B05D6"/>
    <w:rsid w:val="007B1FF7"/>
    <w:rsid w:val="007B409C"/>
    <w:rsid w:val="007B417E"/>
    <w:rsid w:val="007B6991"/>
    <w:rsid w:val="007B7947"/>
    <w:rsid w:val="007C016D"/>
    <w:rsid w:val="007C072A"/>
    <w:rsid w:val="007C2F2A"/>
    <w:rsid w:val="007C3F15"/>
    <w:rsid w:val="007C4B21"/>
    <w:rsid w:val="007C6371"/>
    <w:rsid w:val="007C6BD2"/>
    <w:rsid w:val="007D3E42"/>
    <w:rsid w:val="007D3E50"/>
    <w:rsid w:val="007D4260"/>
    <w:rsid w:val="007D4925"/>
    <w:rsid w:val="007D5098"/>
    <w:rsid w:val="007D5753"/>
    <w:rsid w:val="007D7E41"/>
    <w:rsid w:val="007E1EAD"/>
    <w:rsid w:val="007E220B"/>
    <w:rsid w:val="007E25D1"/>
    <w:rsid w:val="007E3E71"/>
    <w:rsid w:val="007E4CDA"/>
    <w:rsid w:val="007F0D37"/>
    <w:rsid w:val="007F3988"/>
    <w:rsid w:val="007F3BB7"/>
    <w:rsid w:val="007F3C64"/>
    <w:rsid w:val="007F3D2B"/>
    <w:rsid w:val="007F6893"/>
    <w:rsid w:val="007F7123"/>
    <w:rsid w:val="007F7646"/>
    <w:rsid w:val="00805D68"/>
    <w:rsid w:val="008101B1"/>
    <w:rsid w:val="00810A52"/>
    <w:rsid w:val="00810DDE"/>
    <w:rsid w:val="0081301F"/>
    <w:rsid w:val="00815410"/>
    <w:rsid w:val="00815CF0"/>
    <w:rsid w:val="00816BE5"/>
    <w:rsid w:val="00817127"/>
    <w:rsid w:val="00820F9B"/>
    <w:rsid w:val="008210F6"/>
    <w:rsid w:val="00823AE2"/>
    <w:rsid w:val="00823C8F"/>
    <w:rsid w:val="008247CD"/>
    <w:rsid w:val="0082720A"/>
    <w:rsid w:val="008320C7"/>
    <w:rsid w:val="00834AF8"/>
    <w:rsid w:val="0083598F"/>
    <w:rsid w:val="00836B0B"/>
    <w:rsid w:val="008376B7"/>
    <w:rsid w:val="00840B7D"/>
    <w:rsid w:val="00840DDE"/>
    <w:rsid w:val="0084206A"/>
    <w:rsid w:val="0084304A"/>
    <w:rsid w:val="0084462B"/>
    <w:rsid w:val="008446A9"/>
    <w:rsid w:val="0084578E"/>
    <w:rsid w:val="00846FE2"/>
    <w:rsid w:val="00847ABF"/>
    <w:rsid w:val="00851908"/>
    <w:rsid w:val="0085529A"/>
    <w:rsid w:val="008566AB"/>
    <w:rsid w:val="00860F88"/>
    <w:rsid w:val="00865727"/>
    <w:rsid w:val="00866E3A"/>
    <w:rsid w:val="008719D1"/>
    <w:rsid w:val="00871F76"/>
    <w:rsid w:val="008775A1"/>
    <w:rsid w:val="00883F63"/>
    <w:rsid w:val="0088450A"/>
    <w:rsid w:val="00885E9C"/>
    <w:rsid w:val="00887CD4"/>
    <w:rsid w:val="00897A71"/>
    <w:rsid w:val="008A1024"/>
    <w:rsid w:val="008A332D"/>
    <w:rsid w:val="008A3D72"/>
    <w:rsid w:val="008A4344"/>
    <w:rsid w:val="008A68E3"/>
    <w:rsid w:val="008A6EA3"/>
    <w:rsid w:val="008B0A16"/>
    <w:rsid w:val="008B2393"/>
    <w:rsid w:val="008B24E6"/>
    <w:rsid w:val="008B52E7"/>
    <w:rsid w:val="008B5B79"/>
    <w:rsid w:val="008B5FA5"/>
    <w:rsid w:val="008B6BF4"/>
    <w:rsid w:val="008B7ED8"/>
    <w:rsid w:val="008C0F30"/>
    <w:rsid w:val="008C16C5"/>
    <w:rsid w:val="008C1FB8"/>
    <w:rsid w:val="008C2230"/>
    <w:rsid w:val="008C2A7C"/>
    <w:rsid w:val="008C3785"/>
    <w:rsid w:val="008C4EE2"/>
    <w:rsid w:val="008C5A72"/>
    <w:rsid w:val="008C7490"/>
    <w:rsid w:val="008C7A9B"/>
    <w:rsid w:val="008D0A74"/>
    <w:rsid w:val="008D1C6C"/>
    <w:rsid w:val="008D20E8"/>
    <w:rsid w:val="008D28A7"/>
    <w:rsid w:val="008D2EE6"/>
    <w:rsid w:val="008D3A9D"/>
    <w:rsid w:val="008D3E1A"/>
    <w:rsid w:val="008D442C"/>
    <w:rsid w:val="008D47AD"/>
    <w:rsid w:val="008D492C"/>
    <w:rsid w:val="008D74D7"/>
    <w:rsid w:val="008E019E"/>
    <w:rsid w:val="008E196F"/>
    <w:rsid w:val="008E4126"/>
    <w:rsid w:val="008E5F78"/>
    <w:rsid w:val="008E765A"/>
    <w:rsid w:val="008E79E5"/>
    <w:rsid w:val="008E7E31"/>
    <w:rsid w:val="008F062B"/>
    <w:rsid w:val="008F0AB3"/>
    <w:rsid w:val="008F2208"/>
    <w:rsid w:val="008F271D"/>
    <w:rsid w:val="008F301B"/>
    <w:rsid w:val="00902892"/>
    <w:rsid w:val="009028B9"/>
    <w:rsid w:val="00904DCA"/>
    <w:rsid w:val="009071B5"/>
    <w:rsid w:val="00911742"/>
    <w:rsid w:val="00912D78"/>
    <w:rsid w:val="00914446"/>
    <w:rsid w:val="00915B67"/>
    <w:rsid w:val="00916D58"/>
    <w:rsid w:val="00920DE9"/>
    <w:rsid w:val="00921B70"/>
    <w:rsid w:val="00921E91"/>
    <w:rsid w:val="009259AE"/>
    <w:rsid w:val="0092682B"/>
    <w:rsid w:val="00926C72"/>
    <w:rsid w:val="00930310"/>
    <w:rsid w:val="00936C0B"/>
    <w:rsid w:val="0093779F"/>
    <w:rsid w:val="00937B3E"/>
    <w:rsid w:val="00937CE9"/>
    <w:rsid w:val="00937EEF"/>
    <w:rsid w:val="00940325"/>
    <w:rsid w:val="009439CC"/>
    <w:rsid w:val="009451D4"/>
    <w:rsid w:val="00945783"/>
    <w:rsid w:val="009473E4"/>
    <w:rsid w:val="00947EAB"/>
    <w:rsid w:val="00950137"/>
    <w:rsid w:val="00950776"/>
    <w:rsid w:val="009508E1"/>
    <w:rsid w:val="0095372E"/>
    <w:rsid w:val="00954966"/>
    <w:rsid w:val="00960028"/>
    <w:rsid w:val="00960DEC"/>
    <w:rsid w:val="00962B99"/>
    <w:rsid w:val="0096305C"/>
    <w:rsid w:val="009632EF"/>
    <w:rsid w:val="009638D0"/>
    <w:rsid w:val="00964760"/>
    <w:rsid w:val="00971FE0"/>
    <w:rsid w:val="009741B3"/>
    <w:rsid w:val="00976315"/>
    <w:rsid w:val="00986424"/>
    <w:rsid w:val="00986777"/>
    <w:rsid w:val="00986A34"/>
    <w:rsid w:val="00987937"/>
    <w:rsid w:val="009900B7"/>
    <w:rsid w:val="00990444"/>
    <w:rsid w:val="00990DA9"/>
    <w:rsid w:val="00992BE8"/>
    <w:rsid w:val="00992DE6"/>
    <w:rsid w:val="009942C0"/>
    <w:rsid w:val="00994A3D"/>
    <w:rsid w:val="0099600F"/>
    <w:rsid w:val="0099715C"/>
    <w:rsid w:val="009972C7"/>
    <w:rsid w:val="00997D74"/>
    <w:rsid w:val="009A43E3"/>
    <w:rsid w:val="009A444A"/>
    <w:rsid w:val="009A4D1A"/>
    <w:rsid w:val="009A65B0"/>
    <w:rsid w:val="009B0B5F"/>
    <w:rsid w:val="009B13B4"/>
    <w:rsid w:val="009B5038"/>
    <w:rsid w:val="009B62C5"/>
    <w:rsid w:val="009C14B4"/>
    <w:rsid w:val="009C2972"/>
    <w:rsid w:val="009C2CB4"/>
    <w:rsid w:val="009C40AA"/>
    <w:rsid w:val="009C6F85"/>
    <w:rsid w:val="009C7AAA"/>
    <w:rsid w:val="009D02F6"/>
    <w:rsid w:val="009D4269"/>
    <w:rsid w:val="009D6381"/>
    <w:rsid w:val="009D7F43"/>
    <w:rsid w:val="009E4016"/>
    <w:rsid w:val="009E419C"/>
    <w:rsid w:val="009E4817"/>
    <w:rsid w:val="009E6551"/>
    <w:rsid w:val="009E67C7"/>
    <w:rsid w:val="009E6E82"/>
    <w:rsid w:val="009F0634"/>
    <w:rsid w:val="009F30D5"/>
    <w:rsid w:val="009F34DF"/>
    <w:rsid w:val="009F56E6"/>
    <w:rsid w:val="009F604C"/>
    <w:rsid w:val="00A0128E"/>
    <w:rsid w:val="00A030DA"/>
    <w:rsid w:val="00A043EC"/>
    <w:rsid w:val="00A04873"/>
    <w:rsid w:val="00A06512"/>
    <w:rsid w:val="00A06525"/>
    <w:rsid w:val="00A07020"/>
    <w:rsid w:val="00A132A7"/>
    <w:rsid w:val="00A14A0D"/>
    <w:rsid w:val="00A158C7"/>
    <w:rsid w:val="00A15B83"/>
    <w:rsid w:val="00A16966"/>
    <w:rsid w:val="00A2081F"/>
    <w:rsid w:val="00A22955"/>
    <w:rsid w:val="00A24274"/>
    <w:rsid w:val="00A2559E"/>
    <w:rsid w:val="00A323AD"/>
    <w:rsid w:val="00A33DA4"/>
    <w:rsid w:val="00A35E3C"/>
    <w:rsid w:val="00A37C06"/>
    <w:rsid w:val="00A37C80"/>
    <w:rsid w:val="00A43BC3"/>
    <w:rsid w:val="00A43F40"/>
    <w:rsid w:val="00A44590"/>
    <w:rsid w:val="00A44AAA"/>
    <w:rsid w:val="00A454C0"/>
    <w:rsid w:val="00A47153"/>
    <w:rsid w:val="00A5334E"/>
    <w:rsid w:val="00A53F7A"/>
    <w:rsid w:val="00A54B71"/>
    <w:rsid w:val="00A55BF5"/>
    <w:rsid w:val="00A562CD"/>
    <w:rsid w:val="00A562D6"/>
    <w:rsid w:val="00A567AA"/>
    <w:rsid w:val="00A62161"/>
    <w:rsid w:val="00A626F4"/>
    <w:rsid w:val="00A62D43"/>
    <w:rsid w:val="00A63697"/>
    <w:rsid w:val="00A6530F"/>
    <w:rsid w:val="00A65F45"/>
    <w:rsid w:val="00A6786F"/>
    <w:rsid w:val="00A67B1E"/>
    <w:rsid w:val="00A7053F"/>
    <w:rsid w:val="00A705FE"/>
    <w:rsid w:val="00A70D47"/>
    <w:rsid w:val="00A71435"/>
    <w:rsid w:val="00A7221D"/>
    <w:rsid w:val="00A73B19"/>
    <w:rsid w:val="00A750CE"/>
    <w:rsid w:val="00A7665C"/>
    <w:rsid w:val="00A81E0C"/>
    <w:rsid w:val="00A821CB"/>
    <w:rsid w:val="00A83BB2"/>
    <w:rsid w:val="00A83E95"/>
    <w:rsid w:val="00A83FAE"/>
    <w:rsid w:val="00A8406D"/>
    <w:rsid w:val="00A85DF1"/>
    <w:rsid w:val="00A86474"/>
    <w:rsid w:val="00A867DD"/>
    <w:rsid w:val="00A919A7"/>
    <w:rsid w:val="00A93A54"/>
    <w:rsid w:val="00A93BAE"/>
    <w:rsid w:val="00A95328"/>
    <w:rsid w:val="00A95837"/>
    <w:rsid w:val="00A97522"/>
    <w:rsid w:val="00A97C46"/>
    <w:rsid w:val="00AA1997"/>
    <w:rsid w:val="00AA2236"/>
    <w:rsid w:val="00AA4F08"/>
    <w:rsid w:val="00AA6944"/>
    <w:rsid w:val="00AA7B3D"/>
    <w:rsid w:val="00AA7B9A"/>
    <w:rsid w:val="00AB0E24"/>
    <w:rsid w:val="00AB0EF6"/>
    <w:rsid w:val="00AB1E6A"/>
    <w:rsid w:val="00AB6439"/>
    <w:rsid w:val="00AB64C3"/>
    <w:rsid w:val="00AB65E3"/>
    <w:rsid w:val="00AC0837"/>
    <w:rsid w:val="00AC097D"/>
    <w:rsid w:val="00AC09D9"/>
    <w:rsid w:val="00AC0A2A"/>
    <w:rsid w:val="00AC1336"/>
    <w:rsid w:val="00AC1D84"/>
    <w:rsid w:val="00AC1DCA"/>
    <w:rsid w:val="00AC4A8B"/>
    <w:rsid w:val="00AC4D34"/>
    <w:rsid w:val="00AC4DF2"/>
    <w:rsid w:val="00AC53E5"/>
    <w:rsid w:val="00AD000D"/>
    <w:rsid w:val="00AD3095"/>
    <w:rsid w:val="00AD3206"/>
    <w:rsid w:val="00AD357E"/>
    <w:rsid w:val="00AE03FF"/>
    <w:rsid w:val="00AE5200"/>
    <w:rsid w:val="00AE679A"/>
    <w:rsid w:val="00AE6E41"/>
    <w:rsid w:val="00AE7023"/>
    <w:rsid w:val="00AE7958"/>
    <w:rsid w:val="00AF0F18"/>
    <w:rsid w:val="00AF1B82"/>
    <w:rsid w:val="00AF2A90"/>
    <w:rsid w:val="00AF337E"/>
    <w:rsid w:val="00AF3514"/>
    <w:rsid w:val="00B01F58"/>
    <w:rsid w:val="00B0306E"/>
    <w:rsid w:val="00B074F9"/>
    <w:rsid w:val="00B10CF6"/>
    <w:rsid w:val="00B1266C"/>
    <w:rsid w:val="00B13157"/>
    <w:rsid w:val="00B138A0"/>
    <w:rsid w:val="00B13949"/>
    <w:rsid w:val="00B14D26"/>
    <w:rsid w:val="00B16D9A"/>
    <w:rsid w:val="00B26B4D"/>
    <w:rsid w:val="00B26F83"/>
    <w:rsid w:val="00B2711B"/>
    <w:rsid w:val="00B30B6B"/>
    <w:rsid w:val="00B31811"/>
    <w:rsid w:val="00B335FE"/>
    <w:rsid w:val="00B33EDD"/>
    <w:rsid w:val="00B35D5A"/>
    <w:rsid w:val="00B36571"/>
    <w:rsid w:val="00B37EC4"/>
    <w:rsid w:val="00B40277"/>
    <w:rsid w:val="00B407BC"/>
    <w:rsid w:val="00B41644"/>
    <w:rsid w:val="00B41E2F"/>
    <w:rsid w:val="00B5230C"/>
    <w:rsid w:val="00B53D04"/>
    <w:rsid w:val="00B541B4"/>
    <w:rsid w:val="00B54CC3"/>
    <w:rsid w:val="00B562F5"/>
    <w:rsid w:val="00B56FEB"/>
    <w:rsid w:val="00B57991"/>
    <w:rsid w:val="00B57A74"/>
    <w:rsid w:val="00B608D5"/>
    <w:rsid w:val="00B62E9C"/>
    <w:rsid w:val="00B67175"/>
    <w:rsid w:val="00B72488"/>
    <w:rsid w:val="00B72E0E"/>
    <w:rsid w:val="00B73D70"/>
    <w:rsid w:val="00B741FB"/>
    <w:rsid w:val="00B75264"/>
    <w:rsid w:val="00B7586C"/>
    <w:rsid w:val="00B80ED4"/>
    <w:rsid w:val="00B811B8"/>
    <w:rsid w:val="00B82D8D"/>
    <w:rsid w:val="00B831C4"/>
    <w:rsid w:val="00B8509A"/>
    <w:rsid w:val="00B857E9"/>
    <w:rsid w:val="00B867A3"/>
    <w:rsid w:val="00B86BD3"/>
    <w:rsid w:val="00B87426"/>
    <w:rsid w:val="00B879F7"/>
    <w:rsid w:val="00B87BE5"/>
    <w:rsid w:val="00B901A7"/>
    <w:rsid w:val="00B9034B"/>
    <w:rsid w:val="00B9061A"/>
    <w:rsid w:val="00B90DD0"/>
    <w:rsid w:val="00B91091"/>
    <w:rsid w:val="00B91269"/>
    <w:rsid w:val="00B95693"/>
    <w:rsid w:val="00B95FC5"/>
    <w:rsid w:val="00B97F0E"/>
    <w:rsid w:val="00BA0B30"/>
    <w:rsid w:val="00BA3607"/>
    <w:rsid w:val="00BA7133"/>
    <w:rsid w:val="00BA7E98"/>
    <w:rsid w:val="00BB2E4D"/>
    <w:rsid w:val="00BB3F60"/>
    <w:rsid w:val="00BB4A6E"/>
    <w:rsid w:val="00BB52D3"/>
    <w:rsid w:val="00BC1696"/>
    <w:rsid w:val="00BC3F90"/>
    <w:rsid w:val="00BC5ED7"/>
    <w:rsid w:val="00BD2408"/>
    <w:rsid w:val="00BD25A7"/>
    <w:rsid w:val="00BD3263"/>
    <w:rsid w:val="00BD3472"/>
    <w:rsid w:val="00BD40D2"/>
    <w:rsid w:val="00BE174D"/>
    <w:rsid w:val="00BE19FE"/>
    <w:rsid w:val="00BE4A94"/>
    <w:rsid w:val="00BE593E"/>
    <w:rsid w:val="00BE7B99"/>
    <w:rsid w:val="00BF2399"/>
    <w:rsid w:val="00BF27B3"/>
    <w:rsid w:val="00BF42D1"/>
    <w:rsid w:val="00BF4C63"/>
    <w:rsid w:val="00BF53F3"/>
    <w:rsid w:val="00BF764C"/>
    <w:rsid w:val="00C00324"/>
    <w:rsid w:val="00C0422F"/>
    <w:rsid w:val="00C04C86"/>
    <w:rsid w:val="00C052CA"/>
    <w:rsid w:val="00C05683"/>
    <w:rsid w:val="00C10261"/>
    <w:rsid w:val="00C11A04"/>
    <w:rsid w:val="00C11CB4"/>
    <w:rsid w:val="00C12D84"/>
    <w:rsid w:val="00C12F09"/>
    <w:rsid w:val="00C1460E"/>
    <w:rsid w:val="00C15283"/>
    <w:rsid w:val="00C156EB"/>
    <w:rsid w:val="00C175D6"/>
    <w:rsid w:val="00C22CA0"/>
    <w:rsid w:val="00C2354C"/>
    <w:rsid w:val="00C24281"/>
    <w:rsid w:val="00C25222"/>
    <w:rsid w:val="00C2537D"/>
    <w:rsid w:val="00C25630"/>
    <w:rsid w:val="00C2597F"/>
    <w:rsid w:val="00C26617"/>
    <w:rsid w:val="00C26962"/>
    <w:rsid w:val="00C27357"/>
    <w:rsid w:val="00C27CB7"/>
    <w:rsid w:val="00C33EF6"/>
    <w:rsid w:val="00C346C5"/>
    <w:rsid w:val="00C42104"/>
    <w:rsid w:val="00C422B6"/>
    <w:rsid w:val="00C45575"/>
    <w:rsid w:val="00C45B98"/>
    <w:rsid w:val="00C46DFD"/>
    <w:rsid w:val="00C475AF"/>
    <w:rsid w:val="00C47B4A"/>
    <w:rsid w:val="00C51D9A"/>
    <w:rsid w:val="00C55F4C"/>
    <w:rsid w:val="00C61BE8"/>
    <w:rsid w:val="00C61FB2"/>
    <w:rsid w:val="00C647DA"/>
    <w:rsid w:val="00C66EED"/>
    <w:rsid w:val="00C677DE"/>
    <w:rsid w:val="00C71CAC"/>
    <w:rsid w:val="00C7266A"/>
    <w:rsid w:val="00C72DB7"/>
    <w:rsid w:val="00C74C71"/>
    <w:rsid w:val="00C76614"/>
    <w:rsid w:val="00C80361"/>
    <w:rsid w:val="00C81DCA"/>
    <w:rsid w:val="00C87758"/>
    <w:rsid w:val="00C87B05"/>
    <w:rsid w:val="00C87ED6"/>
    <w:rsid w:val="00C918FC"/>
    <w:rsid w:val="00C91976"/>
    <w:rsid w:val="00C91EDF"/>
    <w:rsid w:val="00C92170"/>
    <w:rsid w:val="00C93210"/>
    <w:rsid w:val="00C9601B"/>
    <w:rsid w:val="00C96B83"/>
    <w:rsid w:val="00CA043A"/>
    <w:rsid w:val="00CA05FF"/>
    <w:rsid w:val="00CA117E"/>
    <w:rsid w:val="00CA2280"/>
    <w:rsid w:val="00CA33BB"/>
    <w:rsid w:val="00CA71E7"/>
    <w:rsid w:val="00CB51A9"/>
    <w:rsid w:val="00CB662B"/>
    <w:rsid w:val="00CB79FD"/>
    <w:rsid w:val="00CB7FB0"/>
    <w:rsid w:val="00CC01F9"/>
    <w:rsid w:val="00CC271F"/>
    <w:rsid w:val="00CC2ED2"/>
    <w:rsid w:val="00CC41FC"/>
    <w:rsid w:val="00CC4291"/>
    <w:rsid w:val="00CC49C1"/>
    <w:rsid w:val="00CC49DB"/>
    <w:rsid w:val="00CC6A16"/>
    <w:rsid w:val="00CC6C66"/>
    <w:rsid w:val="00CC7A3C"/>
    <w:rsid w:val="00CC7A75"/>
    <w:rsid w:val="00CD0779"/>
    <w:rsid w:val="00CD1E46"/>
    <w:rsid w:val="00CD2D93"/>
    <w:rsid w:val="00CD3093"/>
    <w:rsid w:val="00CD5CBB"/>
    <w:rsid w:val="00CE5606"/>
    <w:rsid w:val="00CE6521"/>
    <w:rsid w:val="00CF17C4"/>
    <w:rsid w:val="00CF2100"/>
    <w:rsid w:val="00CF294B"/>
    <w:rsid w:val="00CF44FB"/>
    <w:rsid w:val="00CF70B9"/>
    <w:rsid w:val="00CF74E3"/>
    <w:rsid w:val="00CF7893"/>
    <w:rsid w:val="00D003B1"/>
    <w:rsid w:val="00D01D11"/>
    <w:rsid w:val="00D0337B"/>
    <w:rsid w:val="00D05EF1"/>
    <w:rsid w:val="00D06161"/>
    <w:rsid w:val="00D07164"/>
    <w:rsid w:val="00D12E1E"/>
    <w:rsid w:val="00D13812"/>
    <w:rsid w:val="00D14A11"/>
    <w:rsid w:val="00D15419"/>
    <w:rsid w:val="00D21BB0"/>
    <w:rsid w:val="00D2242A"/>
    <w:rsid w:val="00D22448"/>
    <w:rsid w:val="00D24FC1"/>
    <w:rsid w:val="00D27D6E"/>
    <w:rsid w:val="00D30571"/>
    <w:rsid w:val="00D3093B"/>
    <w:rsid w:val="00D33780"/>
    <w:rsid w:val="00D4008C"/>
    <w:rsid w:val="00D407B7"/>
    <w:rsid w:val="00D412CA"/>
    <w:rsid w:val="00D41723"/>
    <w:rsid w:val="00D41A02"/>
    <w:rsid w:val="00D43E68"/>
    <w:rsid w:val="00D4642C"/>
    <w:rsid w:val="00D466E5"/>
    <w:rsid w:val="00D52083"/>
    <w:rsid w:val="00D535BF"/>
    <w:rsid w:val="00D535DD"/>
    <w:rsid w:val="00D5440C"/>
    <w:rsid w:val="00D54669"/>
    <w:rsid w:val="00D54CDE"/>
    <w:rsid w:val="00D55381"/>
    <w:rsid w:val="00D56314"/>
    <w:rsid w:val="00D56F25"/>
    <w:rsid w:val="00D60B34"/>
    <w:rsid w:val="00D61396"/>
    <w:rsid w:val="00D62D7B"/>
    <w:rsid w:val="00D6310E"/>
    <w:rsid w:val="00D642FF"/>
    <w:rsid w:val="00D64A39"/>
    <w:rsid w:val="00D704E1"/>
    <w:rsid w:val="00D71BB8"/>
    <w:rsid w:val="00D721E0"/>
    <w:rsid w:val="00D723BD"/>
    <w:rsid w:val="00D72947"/>
    <w:rsid w:val="00D73F22"/>
    <w:rsid w:val="00D745B4"/>
    <w:rsid w:val="00D7503F"/>
    <w:rsid w:val="00D750CE"/>
    <w:rsid w:val="00D75E86"/>
    <w:rsid w:val="00D7763B"/>
    <w:rsid w:val="00D81B33"/>
    <w:rsid w:val="00D822FC"/>
    <w:rsid w:val="00D83009"/>
    <w:rsid w:val="00D831C7"/>
    <w:rsid w:val="00D8407D"/>
    <w:rsid w:val="00D847AC"/>
    <w:rsid w:val="00D85F43"/>
    <w:rsid w:val="00D861DF"/>
    <w:rsid w:val="00D877BF"/>
    <w:rsid w:val="00D924FD"/>
    <w:rsid w:val="00D9302A"/>
    <w:rsid w:val="00D93740"/>
    <w:rsid w:val="00D93A00"/>
    <w:rsid w:val="00D94069"/>
    <w:rsid w:val="00D967F8"/>
    <w:rsid w:val="00D970E9"/>
    <w:rsid w:val="00DA1D3B"/>
    <w:rsid w:val="00DA2CAF"/>
    <w:rsid w:val="00DA3479"/>
    <w:rsid w:val="00DA35D3"/>
    <w:rsid w:val="00DA4EEC"/>
    <w:rsid w:val="00DA4F6B"/>
    <w:rsid w:val="00DA54A7"/>
    <w:rsid w:val="00DA572E"/>
    <w:rsid w:val="00DA596F"/>
    <w:rsid w:val="00DA68FC"/>
    <w:rsid w:val="00DA6C1F"/>
    <w:rsid w:val="00DB33E8"/>
    <w:rsid w:val="00DB513C"/>
    <w:rsid w:val="00DB5645"/>
    <w:rsid w:val="00DC0863"/>
    <w:rsid w:val="00DC1BBE"/>
    <w:rsid w:val="00DC2729"/>
    <w:rsid w:val="00DC283D"/>
    <w:rsid w:val="00DC3F8E"/>
    <w:rsid w:val="00DC5151"/>
    <w:rsid w:val="00DC55CE"/>
    <w:rsid w:val="00DC5632"/>
    <w:rsid w:val="00DC5AD6"/>
    <w:rsid w:val="00DC662B"/>
    <w:rsid w:val="00DD0428"/>
    <w:rsid w:val="00DD09CB"/>
    <w:rsid w:val="00DD135F"/>
    <w:rsid w:val="00DD17CC"/>
    <w:rsid w:val="00DD3F42"/>
    <w:rsid w:val="00DD5DA6"/>
    <w:rsid w:val="00DE079A"/>
    <w:rsid w:val="00DE0997"/>
    <w:rsid w:val="00DE0B24"/>
    <w:rsid w:val="00DE1203"/>
    <w:rsid w:val="00DE1772"/>
    <w:rsid w:val="00DE1B2B"/>
    <w:rsid w:val="00DE22C2"/>
    <w:rsid w:val="00DE297E"/>
    <w:rsid w:val="00DE2B4D"/>
    <w:rsid w:val="00DE70B0"/>
    <w:rsid w:val="00DF184C"/>
    <w:rsid w:val="00DF29E4"/>
    <w:rsid w:val="00DF355B"/>
    <w:rsid w:val="00DF37A0"/>
    <w:rsid w:val="00DF4F13"/>
    <w:rsid w:val="00DF5F59"/>
    <w:rsid w:val="00E029C6"/>
    <w:rsid w:val="00E03AC7"/>
    <w:rsid w:val="00E0477E"/>
    <w:rsid w:val="00E05115"/>
    <w:rsid w:val="00E05B7C"/>
    <w:rsid w:val="00E07F46"/>
    <w:rsid w:val="00E1009F"/>
    <w:rsid w:val="00E105B5"/>
    <w:rsid w:val="00E12D13"/>
    <w:rsid w:val="00E12F94"/>
    <w:rsid w:val="00E15618"/>
    <w:rsid w:val="00E1668E"/>
    <w:rsid w:val="00E167EE"/>
    <w:rsid w:val="00E17C19"/>
    <w:rsid w:val="00E17EFB"/>
    <w:rsid w:val="00E20A8C"/>
    <w:rsid w:val="00E20A8E"/>
    <w:rsid w:val="00E22984"/>
    <w:rsid w:val="00E22A4F"/>
    <w:rsid w:val="00E3056B"/>
    <w:rsid w:val="00E309D8"/>
    <w:rsid w:val="00E30BC7"/>
    <w:rsid w:val="00E317E8"/>
    <w:rsid w:val="00E31CA6"/>
    <w:rsid w:val="00E338CB"/>
    <w:rsid w:val="00E34FA0"/>
    <w:rsid w:val="00E40B3C"/>
    <w:rsid w:val="00E40D9B"/>
    <w:rsid w:val="00E419CE"/>
    <w:rsid w:val="00E42B7F"/>
    <w:rsid w:val="00E43B77"/>
    <w:rsid w:val="00E4412C"/>
    <w:rsid w:val="00E44DC8"/>
    <w:rsid w:val="00E45516"/>
    <w:rsid w:val="00E45DDE"/>
    <w:rsid w:val="00E475DF"/>
    <w:rsid w:val="00E5223D"/>
    <w:rsid w:val="00E646C8"/>
    <w:rsid w:val="00E66616"/>
    <w:rsid w:val="00E66FBF"/>
    <w:rsid w:val="00E67132"/>
    <w:rsid w:val="00E70B09"/>
    <w:rsid w:val="00E719E7"/>
    <w:rsid w:val="00E7327E"/>
    <w:rsid w:val="00E73B01"/>
    <w:rsid w:val="00E76B0B"/>
    <w:rsid w:val="00E76C8B"/>
    <w:rsid w:val="00E77CE7"/>
    <w:rsid w:val="00E812C2"/>
    <w:rsid w:val="00E81B8A"/>
    <w:rsid w:val="00E8342A"/>
    <w:rsid w:val="00E83FDB"/>
    <w:rsid w:val="00E85F19"/>
    <w:rsid w:val="00E87C55"/>
    <w:rsid w:val="00E90245"/>
    <w:rsid w:val="00E9050D"/>
    <w:rsid w:val="00E91173"/>
    <w:rsid w:val="00E91199"/>
    <w:rsid w:val="00E91C87"/>
    <w:rsid w:val="00E93DE3"/>
    <w:rsid w:val="00E93EA7"/>
    <w:rsid w:val="00E94DC7"/>
    <w:rsid w:val="00E955E9"/>
    <w:rsid w:val="00E96E9C"/>
    <w:rsid w:val="00EA08D7"/>
    <w:rsid w:val="00EA504F"/>
    <w:rsid w:val="00EB1289"/>
    <w:rsid w:val="00EB20B3"/>
    <w:rsid w:val="00EB28C4"/>
    <w:rsid w:val="00EB2B79"/>
    <w:rsid w:val="00EB5464"/>
    <w:rsid w:val="00EC027B"/>
    <w:rsid w:val="00EC13B3"/>
    <w:rsid w:val="00EC19A2"/>
    <w:rsid w:val="00EC2050"/>
    <w:rsid w:val="00EC4721"/>
    <w:rsid w:val="00EC63F5"/>
    <w:rsid w:val="00EC6EE9"/>
    <w:rsid w:val="00ED4352"/>
    <w:rsid w:val="00ED47CB"/>
    <w:rsid w:val="00ED4F9F"/>
    <w:rsid w:val="00EE04FC"/>
    <w:rsid w:val="00EE0B1D"/>
    <w:rsid w:val="00EE38E2"/>
    <w:rsid w:val="00EE3962"/>
    <w:rsid w:val="00EE435E"/>
    <w:rsid w:val="00EE58C9"/>
    <w:rsid w:val="00EE7B4E"/>
    <w:rsid w:val="00EE7F2C"/>
    <w:rsid w:val="00EF3CDA"/>
    <w:rsid w:val="00EF56F7"/>
    <w:rsid w:val="00EF700E"/>
    <w:rsid w:val="00F01B4E"/>
    <w:rsid w:val="00F0231D"/>
    <w:rsid w:val="00F0565D"/>
    <w:rsid w:val="00F05D79"/>
    <w:rsid w:val="00F07DEA"/>
    <w:rsid w:val="00F1083F"/>
    <w:rsid w:val="00F10B18"/>
    <w:rsid w:val="00F10DAF"/>
    <w:rsid w:val="00F11BAF"/>
    <w:rsid w:val="00F13B58"/>
    <w:rsid w:val="00F14AA0"/>
    <w:rsid w:val="00F1772B"/>
    <w:rsid w:val="00F177E4"/>
    <w:rsid w:val="00F17935"/>
    <w:rsid w:val="00F17AC1"/>
    <w:rsid w:val="00F22069"/>
    <w:rsid w:val="00F22E0D"/>
    <w:rsid w:val="00F27996"/>
    <w:rsid w:val="00F30ECC"/>
    <w:rsid w:val="00F33226"/>
    <w:rsid w:val="00F34FB3"/>
    <w:rsid w:val="00F35A96"/>
    <w:rsid w:val="00F35FA1"/>
    <w:rsid w:val="00F36A55"/>
    <w:rsid w:val="00F37562"/>
    <w:rsid w:val="00F37CEE"/>
    <w:rsid w:val="00F43B98"/>
    <w:rsid w:val="00F4646D"/>
    <w:rsid w:val="00F46694"/>
    <w:rsid w:val="00F46EA0"/>
    <w:rsid w:val="00F5088E"/>
    <w:rsid w:val="00F564AD"/>
    <w:rsid w:val="00F60EFF"/>
    <w:rsid w:val="00F62689"/>
    <w:rsid w:val="00F63167"/>
    <w:rsid w:val="00F65F02"/>
    <w:rsid w:val="00F67DD3"/>
    <w:rsid w:val="00F67F8F"/>
    <w:rsid w:val="00F71F1E"/>
    <w:rsid w:val="00F745E6"/>
    <w:rsid w:val="00F74DB8"/>
    <w:rsid w:val="00F75159"/>
    <w:rsid w:val="00F7564B"/>
    <w:rsid w:val="00F75711"/>
    <w:rsid w:val="00F75D48"/>
    <w:rsid w:val="00F75F00"/>
    <w:rsid w:val="00F80160"/>
    <w:rsid w:val="00F80F1F"/>
    <w:rsid w:val="00F824A4"/>
    <w:rsid w:val="00F841C7"/>
    <w:rsid w:val="00F84865"/>
    <w:rsid w:val="00F8526E"/>
    <w:rsid w:val="00F86068"/>
    <w:rsid w:val="00F87F2B"/>
    <w:rsid w:val="00F908D8"/>
    <w:rsid w:val="00F90DE1"/>
    <w:rsid w:val="00F91DC3"/>
    <w:rsid w:val="00F938D1"/>
    <w:rsid w:val="00F95941"/>
    <w:rsid w:val="00F969B4"/>
    <w:rsid w:val="00F9732B"/>
    <w:rsid w:val="00F978DB"/>
    <w:rsid w:val="00F97A71"/>
    <w:rsid w:val="00F97A94"/>
    <w:rsid w:val="00F97CF5"/>
    <w:rsid w:val="00FA03E0"/>
    <w:rsid w:val="00FA55BD"/>
    <w:rsid w:val="00FA5790"/>
    <w:rsid w:val="00FA7995"/>
    <w:rsid w:val="00FA7C26"/>
    <w:rsid w:val="00FB1063"/>
    <w:rsid w:val="00FB190E"/>
    <w:rsid w:val="00FB287E"/>
    <w:rsid w:val="00FC05F1"/>
    <w:rsid w:val="00FC313C"/>
    <w:rsid w:val="00FC3E1B"/>
    <w:rsid w:val="00FC41A5"/>
    <w:rsid w:val="00FC5A3A"/>
    <w:rsid w:val="00FC6D75"/>
    <w:rsid w:val="00FC72A7"/>
    <w:rsid w:val="00FC79C5"/>
    <w:rsid w:val="00FD006D"/>
    <w:rsid w:val="00FD0510"/>
    <w:rsid w:val="00FD2512"/>
    <w:rsid w:val="00FD2A5D"/>
    <w:rsid w:val="00FD3206"/>
    <w:rsid w:val="00FD42E7"/>
    <w:rsid w:val="00FD505C"/>
    <w:rsid w:val="00FD5089"/>
    <w:rsid w:val="00FD5E87"/>
    <w:rsid w:val="00FD654F"/>
    <w:rsid w:val="00FD6EC1"/>
    <w:rsid w:val="00FE1F2A"/>
    <w:rsid w:val="00FE2E55"/>
    <w:rsid w:val="00FE33C0"/>
    <w:rsid w:val="00FE386A"/>
    <w:rsid w:val="00FE4572"/>
    <w:rsid w:val="00FE4826"/>
    <w:rsid w:val="00FE4FF4"/>
    <w:rsid w:val="00FE5F13"/>
    <w:rsid w:val="00FF0AF9"/>
    <w:rsid w:val="00FF115E"/>
    <w:rsid w:val="00FF120E"/>
    <w:rsid w:val="00FF5098"/>
    <w:rsid w:val="00FF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BB4BB41"/>
  <w15:chartTrackingRefBased/>
  <w15:docId w15:val="{52DF2DD4-3A38-4152-8F7E-1E10F92C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F22"/>
    <w:pPr>
      <w:widowControl w:val="0"/>
      <w:autoSpaceDE w:val="0"/>
      <w:autoSpaceDN w:val="0"/>
      <w:adjustRightInd w:val="0"/>
      <w:spacing w:after="160"/>
    </w:pPr>
    <w:rPr>
      <w:rFonts w:asciiTheme="minorHAnsi" w:hAnsiTheme="minorHAnsi" w:cs="Courier 10cpi"/>
      <w:sz w:val="24"/>
    </w:rPr>
  </w:style>
  <w:style w:type="paragraph" w:styleId="Heading1">
    <w:name w:val="heading 1"/>
    <w:next w:val="Normal"/>
    <w:qFormat/>
    <w:rsid w:val="00256E98"/>
    <w:pPr>
      <w:numPr>
        <w:numId w:val="12"/>
      </w:numPr>
      <w:tabs>
        <w:tab w:val="left" w:pos="-720"/>
        <w:tab w:val="left" w:pos="0"/>
        <w:tab w:val="left" w:pos="540"/>
        <w:tab w:val="left" w:pos="630"/>
      </w:tabs>
      <w:jc w:val="both"/>
      <w:outlineLvl w:val="0"/>
    </w:pPr>
    <w:rPr>
      <w:rFonts w:ascii="Calibri" w:hAnsi="Calibri" w:cs="Arial"/>
      <w:b/>
      <w:sz w:val="24"/>
      <w:szCs w:val="24"/>
    </w:rPr>
  </w:style>
  <w:style w:type="paragraph" w:styleId="Heading2">
    <w:name w:val="heading 2"/>
    <w:basedOn w:val="Heading1"/>
    <w:next w:val="Normal"/>
    <w:qFormat/>
    <w:rsid w:val="00256E98"/>
    <w:pPr>
      <w:keepNext/>
      <w:numPr>
        <w:ilvl w:val="1"/>
      </w:numPr>
      <w:tabs>
        <w:tab w:val="left" w:pos="90"/>
        <w:tab w:val="left" w:pos="180"/>
        <w:tab w:val="left" w:pos="270"/>
        <w:tab w:val="left" w:pos="45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u w:val="single"/>
    </w:rPr>
  </w:style>
  <w:style w:type="paragraph" w:styleId="Heading3">
    <w:name w:val="heading 3"/>
    <w:basedOn w:val="Heading2"/>
    <w:next w:val="Normal"/>
    <w:qFormat/>
    <w:rsid w:val="00B40277"/>
    <w:pPr>
      <w:numPr>
        <w:ilvl w:val="2"/>
      </w:numPr>
      <w:outlineLvl w:val="2"/>
    </w:pPr>
    <w:rPr>
      <w:b w:val="0"/>
      <w:i/>
      <w:color w:val="000000"/>
    </w:rPr>
  </w:style>
  <w:style w:type="paragraph" w:styleId="Heading4">
    <w:name w:val="heading 4"/>
    <w:basedOn w:val="Heading3"/>
    <w:next w:val="Normal"/>
    <w:qFormat/>
    <w:rsid w:val="00B40277"/>
    <w:pPr>
      <w:numPr>
        <w:ilvl w:val="3"/>
      </w:numPr>
      <w:tabs>
        <w:tab w:val="left" w:pos="1710"/>
      </w:tabs>
      <w:outlineLvl w:val="3"/>
    </w:pPr>
  </w:style>
  <w:style w:type="paragraph" w:styleId="Heading5">
    <w:name w:val="heading 5"/>
    <w:basedOn w:val="Normal"/>
    <w:next w:val="Normal"/>
    <w:qFormat/>
    <w:pPr>
      <w:keepNext/>
      <w:widowControl/>
      <w:numPr>
        <w:ilvl w:val="4"/>
        <w:numId w:val="11"/>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szCs w:val="24"/>
    </w:rPr>
  </w:style>
  <w:style w:type="paragraph" w:styleId="Heading6">
    <w:name w:val="heading 6"/>
    <w:basedOn w:val="Normal"/>
    <w:next w:val="Normal"/>
    <w:qFormat/>
    <w:pPr>
      <w:keepNext/>
      <w:widowControl/>
      <w:numPr>
        <w:ilvl w:val="5"/>
        <w:numId w:val="11"/>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5"/>
    </w:pPr>
    <w:rPr>
      <w:b/>
      <w:bCs/>
      <w:szCs w:val="24"/>
    </w:rPr>
  </w:style>
  <w:style w:type="paragraph" w:styleId="Heading7">
    <w:name w:val="heading 7"/>
    <w:basedOn w:val="Normal"/>
    <w:next w:val="Normal"/>
    <w:qFormat/>
    <w:pPr>
      <w:keepNext/>
      <w:numPr>
        <w:ilvl w:val="6"/>
        <w:numId w:val="11"/>
      </w:numPr>
      <w:outlineLvl w:val="6"/>
    </w:pPr>
    <w:rPr>
      <w:b/>
      <w:bCs/>
      <w:szCs w:val="24"/>
    </w:rPr>
  </w:style>
  <w:style w:type="paragraph" w:styleId="Heading8">
    <w:name w:val="heading 8"/>
    <w:basedOn w:val="Normal"/>
    <w:next w:val="Normal"/>
    <w:qFormat/>
    <w:pPr>
      <w:keepNext/>
      <w:widowControl/>
      <w:numPr>
        <w:ilvl w:val="7"/>
        <w:numId w:val="11"/>
      </w:numPr>
      <w:tabs>
        <w:tab w:val="left" w:pos="-720"/>
        <w:tab w:val="left" w:pos="90"/>
        <w:tab w:val="left" w:pos="180"/>
        <w:tab w:val="left" w:pos="270"/>
        <w:tab w:val="left" w:pos="45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7"/>
    </w:pPr>
    <w:rPr>
      <w:rFonts w:ascii="Times New Roman" w:hAnsi="Times New Roman"/>
      <w:szCs w:val="24"/>
    </w:rPr>
  </w:style>
  <w:style w:type="paragraph" w:styleId="Heading9">
    <w:name w:val="heading 9"/>
    <w:basedOn w:val="Normal"/>
    <w:next w:val="Normal"/>
    <w:link w:val="Heading9Char"/>
    <w:semiHidden/>
    <w:unhideWhenUsed/>
    <w:qFormat/>
    <w:rsid w:val="000A10CD"/>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10cpi" w:hAnsi="Courier 10cpi" w:cs="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cs="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cs="Courier 10cpi"/>
      <w:sz w:val="24"/>
      <w:szCs w:val="24"/>
    </w:rPr>
  </w:style>
  <w:style w:type="paragraph" w:customStyle="1" w:styleId="Level4">
    <w:name w:val="Level 4"/>
    <w:pPr>
      <w:widowControl w:val="0"/>
      <w:autoSpaceDE w:val="0"/>
      <w:autoSpaceDN w:val="0"/>
      <w:adjustRightInd w:val="0"/>
      <w:ind w:left="2880"/>
      <w:jc w:val="both"/>
    </w:pPr>
    <w:rPr>
      <w:rFonts w:ascii="Courier 10cpi" w:hAnsi="Courier 10cpi" w:cs="Courier 10cpi"/>
      <w:sz w:val="24"/>
      <w:szCs w:val="24"/>
    </w:rPr>
  </w:style>
  <w:style w:type="paragraph" w:customStyle="1" w:styleId="Level5">
    <w:name w:val="Level 5"/>
    <w:pPr>
      <w:widowControl w:val="0"/>
      <w:autoSpaceDE w:val="0"/>
      <w:autoSpaceDN w:val="0"/>
      <w:adjustRightInd w:val="0"/>
      <w:ind w:left="3600"/>
      <w:jc w:val="both"/>
    </w:pPr>
    <w:rPr>
      <w:rFonts w:ascii="Courier 10cpi" w:hAnsi="Courier 10cpi" w:cs="Courier 10cpi"/>
      <w:sz w:val="24"/>
      <w:szCs w:val="24"/>
    </w:rPr>
  </w:style>
  <w:style w:type="paragraph" w:customStyle="1" w:styleId="Level6">
    <w:name w:val="Level 6"/>
    <w:pPr>
      <w:widowControl w:val="0"/>
      <w:autoSpaceDE w:val="0"/>
      <w:autoSpaceDN w:val="0"/>
      <w:adjustRightInd w:val="0"/>
      <w:ind w:left="4320"/>
      <w:jc w:val="both"/>
    </w:pPr>
    <w:rPr>
      <w:rFonts w:ascii="Courier 10cpi" w:hAnsi="Courier 10cpi" w:cs="Courier 10cpi"/>
      <w:sz w:val="24"/>
      <w:szCs w:val="24"/>
    </w:rPr>
  </w:style>
  <w:style w:type="paragraph" w:customStyle="1" w:styleId="Level7">
    <w:name w:val="Level 7"/>
    <w:pPr>
      <w:widowControl w:val="0"/>
      <w:autoSpaceDE w:val="0"/>
      <w:autoSpaceDN w:val="0"/>
      <w:adjustRightInd w:val="0"/>
      <w:ind w:left="5040"/>
      <w:jc w:val="both"/>
    </w:pPr>
    <w:rPr>
      <w:rFonts w:ascii="Courier 10cpi" w:hAnsi="Courier 10cpi" w:cs="Courier 10cpi"/>
      <w:sz w:val="24"/>
      <w:szCs w:val="24"/>
    </w:rPr>
  </w:style>
  <w:style w:type="paragraph" w:customStyle="1" w:styleId="Level8">
    <w:name w:val="Level 8"/>
    <w:pPr>
      <w:widowControl w:val="0"/>
      <w:autoSpaceDE w:val="0"/>
      <w:autoSpaceDN w:val="0"/>
      <w:adjustRightInd w:val="0"/>
      <w:ind w:left="5760"/>
      <w:jc w:val="both"/>
    </w:pPr>
    <w:rPr>
      <w:rFonts w:ascii="Courier 10cpi" w:hAnsi="Courier 10cpi" w:cs="Courier 10cpi"/>
      <w:sz w:val="24"/>
      <w:szCs w:val="24"/>
    </w:rPr>
  </w:style>
  <w:style w:type="paragraph" w:customStyle="1" w:styleId="Level9">
    <w:name w:val="Level 9"/>
    <w:pPr>
      <w:widowControl w:val="0"/>
      <w:autoSpaceDE w:val="0"/>
      <w:autoSpaceDN w:val="0"/>
      <w:adjustRightInd w:val="0"/>
      <w:ind w:left="6480"/>
      <w:jc w:val="both"/>
    </w:pPr>
    <w:rPr>
      <w:rFonts w:ascii="Courier 10cpi" w:hAnsi="Courier 10cpi" w:cs="Courier 10cpi"/>
      <w:sz w:val="24"/>
      <w:szCs w:val="24"/>
    </w:rPr>
  </w:style>
  <w:style w:type="paragraph" w:customStyle="1" w:styleId="26">
    <w:name w:val="_26"/>
    <w:pPr>
      <w:widowControl w:val="0"/>
      <w:autoSpaceDE w:val="0"/>
      <w:autoSpaceDN w:val="0"/>
      <w:adjustRightInd w:val="0"/>
      <w:jc w:val="both"/>
    </w:pPr>
    <w:rPr>
      <w:rFonts w:ascii="Courier 10cpi" w:hAnsi="Courier 10cpi" w:cs="Courier 10cpi"/>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cs="Courier 10cpi"/>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cs="Courier 10cpi"/>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cs="Courier 10cpi"/>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cs="Courier 10cpi"/>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cs="Courier 10cpi"/>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cs="Courier 10cpi"/>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cs="Courier 10cpi"/>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cs="Courier 10cpi"/>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jc w:val="both"/>
    </w:pPr>
    <w:rPr>
      <w:rFonts w:ascii="Courier 10cpi" w:hAnsi="Courier 10cpi" w:cs="Courier 10cpi"/>
      <w:sz w:val="24"/>
      <w:szCs w:val="24"/>
    </w:rPr>
  </w:style>
  <w:style w:type="paragraph" w:styleId="BodyTextIndent">
    <w:name w:val="Body Text Indent"/>
    <w:basedOn w:val="Normal"/>
    <w:pPr>
      <w:widowControl/>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Pr>
      <w:szCs w:val="24"/>
    </w:rPr>
  </w:style>
  <w:style w:type="paragraph" w:styleId="BodyTextIndent2">
    <w:name w:val="Body Text Indent 2"/>
    <w:basedOn w:val="Normal"/>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450"/>
    </w:pPr>
    <w:rPr>
      <w:szCs w:val="24"/>
    </w:rPr>
  </w:style>
  <w:style w:type="character" w:customStyle="1" w:styleId="s1">
    <w:name w:val="s1"/>
    <w:rPr>
      <w:rFonts w:ascii="Arial" w:hAnsi="Arial" w:cs="Arial"/>
      <w:color w:val="000000"/>
      <w:sz w:val="19"/>
      <w:szCs w:val="19"/>
      <w:shd w:val="clear" w:color="auto" w:fill="FFFFFF"/>
    </w:rPr>
  </w:style>
  <w:style w:type="paragraph" w:styleId="BodyTextIndent3">
    <w:name w:val="Body Text Indent 3"/>
    <w:basedOn w:val="Normal"/>
    <w:pPr>
      <w:widowControl/>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pPr>
    <w:rPr>
      <w:szCs w:val="24"/>
    </w:rPr>
  </w:style>
  <w:style w:type="character" w:styleId="Strong">
    <w:name w:val="Strong"/>
    <w:uiPriority w:val="22"/>
    <w:qFormat/>
    <w:rPr>
      <w:b/>
      <w:bCs/>
    </w:rPr>
  </w:style>
  <w:style w:type="paragraph" w:customStyle="1" w:styleId="basic">
    <w:name w:val="basic"/>
    <w:basedOn w:val="Normal"/>
    <w:pPr>
      <w:widowControl/>
      <w:autoSpaceDE/>
      <w:autoSpaceDN/>
      <w:adjustRightInd/>
      <w:spacing w:before="100" w:beforeAutospacing="1" w:after="100" w:afterAutospacing="1"/>
    </w:pPr>
    <w:rPr>
      <w:rFonts w:ascii="Arial" w:eastAsia="Arial Unicode MS" w:hAnsi="Arial" w:cs="Arial"/>
      <w:color w:val="000000"/>
      <w:sz w:val="16"/>
      <w:szCs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customStyle="1" w:styleId="contenttext1">
    <w:name w:val="contenttext1"/>
    <w:rPr>
      <w:rFonts w:ascii="Verdana" w:hAnsi="Verdana" w:cs="Verdana"/>
      <w:color w:val="auto"/>
      <w:sz w:val="15"/>
      <w:szCs w:val="15"/>
    </w:rPr>
  </w:style>
  <w:style w:type="paragraph" w:customStyle="1" w:styleId="BodyTextIn">
    <w:name w:val="Body Text In"/>
    <w:pPr>
      <w:autoSpaceDE w:val="0"/>
      <w:autoSpaceDN w:val="0"/>
      <w:adjustRightInd w:val="0"/>
      <w:ind w:firstLine="180"/>
    </w:pPr>
    <w:rPr>
      <w:rFonts w:ascii="Courier 10cpi" w:hAnsi="Courier 10cpi" w:cs="Courier 10cpi"/>
      <w:sz w:val="24"/>
      <w:szCs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color w:val="0000FF"/>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sid w:val="00DF4F13"/>
    <w:rPr>
      <w:color w:val="0000FF"/>
      <w:u w:val="single"/>
    </w:rPr>
  </w:style>
  <w:style w:type="table" w:styleId="TableGrid">
    <w:name w:val="Table Grid"/>
    <w:basedOn w:val="TableNormal"/>
    <w:rsid w:val="00C235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
    <w:name w:val="citation"/>
    <w:basedOn w:val="Normal"/>
    <w:rsid w:val="006922B9"/>
    <w:pPr>
      <w:widowControl/>
      <w:autoSpaceDE/>
      <w:autoSpaceDN/>
      <w:adjustRightInd/>
      <w:spacing w:before="100" w:beforeAutospacing="1" w:after="100" w:afterAutospacing="1"/>
    </w:pPr>
    <w:rPr>
      <w:rFonts w:ascii="Times New Roman" w:eastAsia="Arial Unicode MS" w:hAnsi="Times New Roman" w:cs="Times New Roman"/>
      <w:szCs w:val="24"/>
    </w:rPr>
  </w:style>
  <w:style w:type="character" w:customStyle="1" w:styleId="text1">
    <w:name w:val="text1"/>
    <w:rsid w:val="00A65F45"/>
    <w:rPr>
      <w:rFonts w:ascii="Arial" w:hAnsi="Arial" w:cs="Arial" w:hint="default"/>
      <w:color w:val="000000"/>
    </w:rPr>
  </w:style>
  <w:style w:type="paragraph" w:styleId="HTMLPreformatted">
    <w:name w:val="HTML Preformatted"/>
    <w:basedOn w:val="Normal"/>
    <w:rsid w:val="00CD07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rsid w:val="00D9302A"/>
    <w:pPr>
      <w:tabs>
        <w:tab w:val="center" w:pos="4320"/>
        <w:tab w:val="right" w:pos="8640"/>
      </w:tabs>
    </w:pPr>
  </w:style>
  <w:style w:type="character" w:customStyle="1" w:styleId="title-link-wrapper">
    <w:name w:val="title-link-wrapper"/>
    <w:basedOn w:val="DefaultParagraphFont"/>
    <w:rsid w:val="0010017C"/>
  </w:style>
  <w:style w:type="character" w:customStyle="1" w:styleId="hidden">
    <w:name w:val="hidden"/>
    <w:basedOn w:val="DefaultParagraphFont"/>
    <w:rsid w:val="0010017C"/>
  </w:style>
  <w:style w:type="character" w:styleId="HTMLCite">
    <w:name w:val="HTML Cite"/>
    <w:uiPriority w:val="99"/>
    <w:unhideWhenUsed/>
    <w:rsid w:val="0010017C"/>
    <w:rPr>
      <w:i/>
      <w:iCs/>
    </w:rPr>
  </w:style>
  <w:style w:type="paragraph" w:styleId="ListParagraph">
    <w:name w:val="List Paragraph"/>
    <w:basedOn w:val="Normal"/>
    <w:uiPriority w:val="34"/>
    <w:qFormat/>
    <w:rsid w:val="00D745B4"/>
    <w:pPr>
      <w:widowControl/>
      <w:autoSpaceDE/>
      <w:autoSpaceDN/>
      <w:adjustRightInd/>
      <w:spacing w:after="200" w:line="276" w:lineRule="auto"/>
      <w:ind w:left="720"/>
      <w:contextualSpacing/>
    </w:pPr>
    <w:rPr>
      <w:rFonts w:ascii="Calibri" w:eastAsia="Calibri" w:hAnsi="Calibri" w:cs="Times New Roman"/>
      <w:sz w:val="22"/>
      <w:szCs w:val="22"/>
    </w:rPr>
  </w:style>
  <w:style w:type="character" w:styleId="CommentReference">
    <w:name w:val="annotation reference"/>
    <w:uiPriority w:val="99"/>
    <w:rsid w:val="00300285"/>
    <w:rPr>
      <w:sz w:val="16"/>
      <w:szCs w:val="16"/>
    </w:rPr>
  </w:style>
  <w:style w:type="paragraph" w:styleId="CommentText">
    <w:name w:val="annotation text"/>
    <w:basedOn w:val="Normal"/>
    <w:link w:val="CommentTextChar"/>
    <w:uiPriority w:val="99"/>
    <w:rsid w:val="00300285"/>
  </w:style>
  <w:style w:type="character" w:customStyle="1" w:styleId="CommentTextChar">
    <w:name w:val="Comment Text Char"/>
    <w:link w:val="CommentText"/>
    <w:uiPriority w:val="99"/>
    <w:rsid w:val="00300285"/>
    <w:rPr>
      <w:rFonts w:ascii="Courier 10cpi" w:hAnsi="Courier 10cpi" w:cs="Courier 10cpi"/>
    </w:rPr>
  </w:style>
  <w:style w:type="paragraph" w:styleId="CommentSubject">
    <w:name w:val="annotation subject"/>
    <w:basedOn w:val="CommentText"/>
    <w:next w:val="CommentText"/>
    <w:link w:val="CommentSubjectChar"/>
    <w:rsid w:val="00300285"/>
    <w:rPr>
      <w:b/>
      <w:bCs/>
    </w:rPr>
  </w:style>
  <w:style w:type="character" w:customStyle="1" w:styleId="CommentSubjectChar">
    <w:name w:val="Comment Subject Char"/>
    <w:link w:val="CommentSubject"/>
    <w:rsid w:val="00300285"/>
    <w:rPr>
      <w:rFonts w:ascii="Courier 10cpi" w:hAnsi="Courier 10cpi" w:cs="Courier 10cpi"/>
      <w:b/>
      <w:bCs/>
    </w:rPr>
  </w:style>
  <w:style w:type="character" w:styleId="FollowedHyperlink">
    <w:name w:val="FollowedHyperlink"/>
    <w:rsid w:val="00A83BB2"/>
    <w:rPr>
      <w:color w:val="800080"/>
      <w:u w:val="single"/>
    </w:rPr>
  </w:style>
  <w:style w:type="character" w:customStyle="1" w:styleId="name">
    <w:name w:val="name"/>
    <w:rsid w:val="00F75F00"/>
  </w:style>
  <w:style w:type="character" w:customStyle="1" w:styleId="cit-vol2">
    <w:name w:val="cit-vol2"/>
    <w:rsid w:val="00372ED8"/>
  </w:style>
  <w:style w:type="character" w:customStyle="1" w:styleId="cit-sep2">
    <w:name w:val="cit-sep2"/>
    <w:rsid w:val="00372ED8"/>
  </w:style>
  <w:style w:type="character" w:customStyle="1" w:styleId="cit-first-page">
    <w:name w:val="cit-first-page"/>
    <w:rsid w:val="00372ED8"/>
  </w:style>
  <w:style w:type="character" w:customStyle="1" w:styleId="cit-last-page2">
    <w:name w:val="cit-last-page2"/>
    <w:rsid w:val="00372ED8"/>
  </w:style>
  <w:style w:type="paragraph" w:styleId="Revision">
    <w:name w:val="Revision"/>
    <w:hidden/>
    <w:uiPriority w:val="99"/>
    <w:semiHidden/>
    <w:rsid w:val="00E77CE7"/>
    <w:rPr>
      <w:rFonts w:ascii="Courier 10cpi" w:hAnsi="Courier 10cpi" w:cs="Courier 10cpi"/>
    </w:rPr>
  </w:style>
  <w:style w:type="character" w:styleId="UnresolvedMention">
    <w:name w:val="Unresolved Mention"/>
    <w:basedOn w:val="DefaultParagraphFont"/>
    <w:uiPriority w:val="99"/>
    <w:semiHidden/>
    <w:unhideWhenUsed/>
    <w:rsid w:val="00A132A7"/>
    <w:rPr>
      <w:color w:val="605E5C"/>
      <w:shd w:val="clear" w:color="auto" w:fill="E1DFDD"/>
    </w:rPr>
  </w:style>
  <w:style w:type="paragraph" w:styleId="NormalWeb">
    <w:name w:val="Normal (Web)"/>
    <w:basedOn w:val="Normal"/>
    <w:uiPriority w:val="99"/>
    <w:unhideWhenUsed/>
    <w:rsid w:val="00721F22"/>
    <w:pPr>
      <w:widowControl/>
      <w:autoSpaceDE/>
      <w:autoSpaceDN/>
      <w:adjustRightInd/>
      <w:spacing w:before="100" w:beforeAutospacing="1" w:after="100" w:afterAutospacing="1"/>
    </w:pPr>
    <w:rPr>
      <w:rFonts w:ascii="Times New Roman" w:hAnsi="Times New Roman" w:cs="Times New Roman"/>
      <w:szCs w:val="24"/>
    </w:rPr>
  </w:style>
  <w:style w:type="character" w:styleId="Emphasis">
    <w:name w:val="Emphasis"/>
    <w:basedOn w:val="DefaultParagraphFont"/>
    <w:uiPriority w:val="20"/>
    <w:qFormat/>
    <w:rsid w:val="00721F22"/>
    <w:rPr>
      <w:i/>
      <w:iCs/>
    </w:rPr>
  </w:style>
  <w:style w:type="character" w:customStyle="1" w:styleId="Heading9Char">
    <w:name w:val="Heading 9 Char"/>
    <w:basedOn w:val="DefaultParagraphFont"/>
    <w:link w:val="Heading9"/>
    <w:semiHidden/>
    <w:rsid w:val="000A10CD"/>
    <w:rPr>
      <w:rFonts w:asciiTheme="majorHAnsi" w:eastAsiaTheme="majorEastAsia" w:hAnsiTheme="majorHAnsi" w:cstheme="majorBidi"/>
      <w:i/>
      <w:iCs/>
      <w:color w:val="272727" w:themeColor="text1" w:themeTint="D8"/>
      <w:sz w:val="21"/>
      <w:szCs w:val="21"/>
    </w:rPr>
  </w:style>
  <w:style w:type="numbering" w:customStyle="1" w:styleId="NumberedHeadings">
    <w:name w:val="NumberedHeadings"/>
    <w:uiPriority w:val="99"/>
    <w:rsid w:val="00B40277"/>
    <w:pPr>
      <w:numPr>
        <w:numId w:val="12"/>
      </w:numPr>
    </w:pPr>
  </w:style>
  <w:style w:type="paragraph" w:styleId="Subtitle">
    <w:name w:val="Subtitle"/>
    <w:basedOn w:val="Normal"/>
    <w:next w:val="Normal"/>
    <w:link w:val="SubtitleChar"/>
    <w:qFormat/>
    <w:rsid w:val="00DA4EEC"/>
    <w:pPr>
      <w:numPr>
        <w:ilvl w:val="1"/>
      </w:numPr>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DA4EEC"/>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7990">
      <w:bodyDiv w:val="1"/>
      <w:marLeft w:val="0"/>
      <w:marRight w:val="0"/>
      <w:marTop w:val="0"/>
      <w:marBottom w:val="0"/>
      <w:divBdr>
        <w:top w:val="none" w:sz="0" w:space="0" w:color="auto"/>
        <w:left w:val="none" w:sz="0" w:space="0" w:color="auto"/>
        <w:bottom w:val="none" w:sz="0" w:space="0" w:color="auto"/>
        <w:right w:val="none" w:sz="0" w:space="0" w:color="auto"/>
      </w:divBdr>
    </w:div>
    <w:div w:id="200172240">
      <w:bodyDiv w:val="1"/>
      <w:marLeft w:val="0"/>
      <w:marRight w:val="0"/>
      <w:marTop w:val="0"/>
      <w:marBottom w:val="0"/>
      <w:divBdr>
        <w:top w:val="none" w:sz="0" w:space="0" w:color="auto"/>
        <w:left w:val="none" w:sz="0" w:space="0" w:color="auto"/>
        <w:bottom w:val="none" w:sz="0" w:space="0" w:color="auto"/>
        <w:right w:val="none" w:sz="0" w:space="0" w:color="auto"/>
      </w:divBdr>
    </w:div>
    <w:div w:id="297102741">
      <w:bodyDiv w:val="1"/>
      <w:marLeft w:val="0"/>
      <w:marRight w:val="0"/>
      <w:marTop w:val="0"/>
      <w:marBottom w:val="0"/>
      <w:divBdr>
        <w:top w:val="none" w:sz="0" w:space="0" w:color="auto"/>
        <w:left w:val="none" w:sz="0" w:space="0" w:color="auto"/>
        <w:bottom w:val="none" w:sz="0" w:space="0" w:color="auto"/>
        <w:right w:val="none" w:sz="0" w:space="0" w:color="auto"/>
      </w:divBdr>
      <w:divsChild>
        <w:div w:id="1804347845">
          <w:marLeft w:val="0"/>
          <w:marRight w:val="0"/>
          <w:marTop w:val="0"/>
          <w:marBottom w:val="0"/>
          <w:divBdr>
            <w:top w:val="none" w:sz="0" w:space="0" w:color="auto"/>
            <w:left w:val="none" w:sz="0" w:space="0" w:color="auto"/>
            <w:bottom w:val="none" w:sz="0" w:space="0" w:color="auto"/>
            <w:right w:val="none" w:sz="0" w:space="0" w:color="auto"/>
          </w:divBdr>
          <w:divsChild>
            <w:div w:id="14240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30080">
      <w:bodyDiv w:val="1"/>
      <w:marLeft w:val="0"/>
      <w:marRight w:val="0"/>
      <w:marTop w:val="0"/>
      <w:marBottom w:val="0"/>
      <w:divBdr>
        <w:top w:val="none" w:sz="0" w:space="0" w:color="auto"/>
        <w:left w:val="none" w:sz="0" w:space="0" w:color="auto"/>
        <w:bottom w:val="none" w:sz="0" w:space="0" w:color="auto"/>
        <w:right w:val="none" w:sz="0" w:space="0" w:color="auto"/>
      </w:divBdr>
    </w:div>
    <w:div w:id="385030169">
      <w:bodyDiv w:val="1"/>
      <w:marLeft w:val="0"/>
      <w:marRight w:val="0"/>
      <w:marTop w:val="0"/>
      <w:marBottom w:val="0"/>
      <w:divBdr>
        <w:top w:val="none" w:sz="0" w:space="0" w:color="auto"/>
        <w:left w:val="none" w:sz="0" w:space="0" w:color="auto"/>
        <w:bottom w:val="none" w:sz="0" w:space="0" w:color="auto"/>
        <w:right w:val="none" w:sz="0" w:space="0" w:color="auto"/>
      </w:divBdr>
      <w:divsChild>
        <w:div w:id="370694650">
          <w:marLeft w:val="360"/>
          <w:marRight w:val="0"/>
          <w:marTop w:val="200"/>
          <w:marBottom w:val="0"/>
          <w:divBdr>
            <w:top w:val="none" w:sz="0" w:space="0" w:color="auto"/>
            <w:left w:val="none" w:sz="0" w:space="0" w:color="auto"/>
            <w:bottom w:val="none" w:sz="0" w:space="0" w:color="auto"/>
            <w:right w:val="none" w:sz="0" w:space="0" w:color="auto"/>
          </w:divBdr>
        </w:div>
        <w:div w:id="1399397996">
          <w:marLeft w:val="360"/>
          <w:marRight w:val="0"/>
          <w:marTop w:val="200"/>
          <w:marBottom w:val="0"/>
          <w:divBdr>
            <w:top w:val="none" w:sz="0" w:space="0" w:color="auto"/>
            <w:left w:val="none" w:sz="0" w:space="0" w:color="auto"/>
            <w:bottom w:val="none" w:sz="0" w:space="0" w:color="auto"/>
            <w:right w:val="none" w:sz="0" w:space="0" w:color="auto"/>
          </w:divBdr>
        </w:div>
      </w:divsChild>
    </w:div>
    <w:div w:id="415178137">
      <w:bodyDiv w:val="1"/>
      <w:marLeft w:val="0"/>
      <w:marRight w:val="0"/>
      <w:marTop w:val="0"/>
      <w:marBottom w:val="0"/>
      <w:divBdr>
        <w:top w:val="none" w:sz="0" w:space="0" w:color="auto"/>
        <w:left w:val="none" w:sz="0" w:space="0" w:color="auto"/>
        <w:bottom w:val="none" w:sz="0" w:space="0" w:color="auto"/>
        <w:right w:val="none" w:sz="0" w:space="0" w:color="auto"/>
      </w:divBdr>
    </w:div>
    <w:div w:id="555169649">
      <w:bodyDiv w:val="1"/>
      <w:marLeft w:val="0"/>
      <w:marRight w:val="0"/>
      <w:marTop w:val="0"/>
      <w:marBottom w:val="0"/>
      <w:divBdr>
        <w:top w:val="none" w:sz="0" w:space="0" w:color="auto"/>
        <w:left w:val="none" w:sz="0" w:space="0" w:color="auto"/>
        <w:bottom w:val="none" w:sz="0" w:space="0" w:color="auto"/>
        <w:right w:val="none" w:sz="0" w:space="0" w:color="auto"/>
      </w:divBdr>
    </w:div>
    <w:div w:id="587543715">
      <w:bodyDiv w:val="1"/>
      <w:marLeft w:val="0"/>
      <w:marRight w:val="0"/>
      <w:marTop w:val="0"/>
      <w:marBottom w:val="0"/>
      <w:divBdr>
        <w:top w:val="none" w:sz="0" w:space="0" w:color="auto"/>
        <w:left w:val="none" w:sz="0" w:space="0" w:color="auto"/>
        <w:bottom w:val="none" w:sz="0" w:space="0" w:color="auto"/>
        <w:right w:val="none" w:sz="0" w:space="0" w:color="auto"/>
      </w:divBdr>
    </w:div>
    <w:div w:id="601038307">
      <w:bodyDiv w:val="1"/>
      <w:marLeft w:val="0"/>
      <w:marRight w:val="0"/>
      <w:marTop w:val="0"/>
      <w:marBottom w:val="0"/>
      <w:divBdr>
        <w:top w:val="none" w:sz="0" w:space="0" w:color="auto"/>
        <w:left w:val="none" w:sz="0" w:space="0" w:color="auto"/>
        <w:bottom w:val="none" w:sz="0" w:space="0" w:color="auto"/>
        <w:right w:val="none" w:sz="0" w:space="0" w:color="auto"/>
      </w:divBdr>
    </w:div>
    <w:div w:id="603611103">
      <w:bodyDiv w:val="1"/>
      <w:marLeft w:val="0"/>
      <w:marRight w:val="0"/>
      <w:marTop w:val="0"/>
      <w:marBottom w:val="0"/>
      <w:divBdr>
        <w:top w:val="none" w:sz="0" w:space="0" w:color="auto"/>
        <w:left w:val="none" w:sz="0" w:space="0" w:color="auto"/>
        <w:bottom w:val="none" w:sz="0" w:space="0" w:color="auto"/>
        <w:right w:val="none" w:sz="0" w:space="0" w:color="auto"/>
      </w:divBdr>
      <w:divsChild>
        <w:div w:id="1393502232">
          <w:marLeft w:val="1005"/>
          <w:marRight w:val="1005"/>
          <w:marTop w:val="0"/>
          <w:marBottom w:val="0"/>
          <w:divBdr>
            <w:top w:val="none" w:sz="0" w:space="0" w:color="auto"/>
            <w:left w:val="none" w:sz="0" w:space="0" w:color="auto"/>
            <w:bottom w:val="none" w:sz="0" w:space="0" w:color="auto"/>
            <w:right w:val="none" w:sz="0" w:space="0" w:color="auto"/>
          </w:divBdr>
        </w:div>
      </w:divsChild>
    </w:div>
    <w:div w:id="806244120">
      <w:bodyDiv w:val="1"/>
      <w:marLeft w:val="0"/>
      <w:marRight w:val="0"/>
      <w:marTop w:val="0"/>
      <w:marBottom w:val="0"/>
      <w:divBdr>
        <w:top w:val="none" w:sz="0" w:space="0" w:color="auto"/>
        <w:left w:val="none" w:sz="0" w:space="0" w:color="auto"/>
        <w:bottom w:val="none" w:sz="0" w:space="0" w:color="auto"/>
        <w:right w:val="none" w:sz="0" w:space="0" w:color="auto"/>
      </w:divBdr>
    </w:div>
    <w:div w:id="827943151">
      <w:bodyDiv w:val="1"/>
      <w:marLeft w:val="0"/>
      <w:marRight w:val="0"/>
      <w:marTop w:val="0"/>
      <w:marBottom w:val="0"/>
      <w:divBdr>
        <w:top w:val="none" w:sz="0" w:space="0" w:color="auto"/>
        <w:left w:val="none" w:sz="0" w:space="0" w:color="auto"/>
        <w:bottom w:val="none" w:sz="0" w:space="0" w:color="auto"/>
        <w:right w:val="none" w:sz="0" w:space="0" w:color="auto"/>
      </w:divBdr>
    </w:div>
    <w:div w:id="914705657">
      <w:bodyDiv w:val="1"/>
      <w:marLeft w:val="0"/>
      <w:marRight w:val="0"/>
      <w:marTop w:val="0"/>
      <w:marBottom w:val="0"/>
      <w:divBdr>
        <w:top w:val="none" w:sz="0" w:space="0" w:color="auto"/>
        <w:left w:val="none" w:sz="0" w:space="0" w:color="auto"/>
        <w:bottom w:val="none" w:sz="0" w:space="0" w:color="auto"/>
        <w:right w:val="none" w:sz="0" w:space="0" w:color="auto"/>
      </w:divBdr>
      <w:divsChild>
        <w:div w:id="1802109663">
          <w:marLeft w:val="0"/>
          <w:marRight w:val="0"/>
          <w:marTop w:val="0"/>
          <w:marBottom w:val="0"/>
          <w:divBdr>
            <w:top w:val="none" w:sz="0" w:space="0" w:color="auto"/>
            <w:left w:val="none" w:sz="0" w:space="0" w:color="auto"/>
            <w:bottom w:val="none" w:sz="0" w:space="0" w:color="auto"/>
            <w:right w:val="none" w:sz="0" w:space="0" w:color="auto"/>
          </w:divBdr>
          <w:divsChild>
            <w:div w:id="1596743282">
              <w:marLeft w:val="0"/>
              <w:marRight w:val="0"/>
              <w:marTop w:val="0"/>
              <w:marBottom w:val="0"/>
              <w:divBdr>
                <w:top w:val="none" w:sz="0" w:space="0" w:color="auto"/>
                <w:left w:val="none" w:sz="0" w:space="0" w:color="auto"/>
                <w:bottom w:val="none" w:sz="0" w:space="0" w:color="auto"/>
                <w:right w:val="none" w:sz="0" w:space="0" w:color="auto"/>
              </w:divBdr>
              <w:divsChild>
                <w:div w:id="615066126">
                  <w:marLeft w:val="0"/>
                  <w:marRight w:val="0"/>
                  <w:marTop w:val="0"/>
                  <w:marBottom w:val="0"/>
                  <w:divBdr>
                    <w:top w:val="none" w:sz="0" w:space="0" w:color="auto"/>
                    <w:left w:val="none" w:sz="0" w:space="0" w:color="auto"/>
                    <w:bottom w:val="none" w:sz="0" w:space="0" w:color="auto"/>
                    <w:right w:val="none" w:sz="0" w:space="0" w:color="auto"/>
                  </w:divBdr>
                  <w:divsChild>
                    <w:div w:id="1694918677">
                      <w:marLeft w:val="0"/>
                      <w:marRight w:val="0"/>
                      <w:marTop w:val="0"/>
                      <w:marBottom w:val="0"/>
                      <w:divBdr>
                        <w:top w:val="none" w:sz="0" w:space="0" w:color="auto"/>
                        <w:left w:val="none" w:sz="0" w:space="0" w:color="auto"/>
                        <w:bottom w:val="none" w:sz="0" w:space="0" w:color="auto"/>
                        <w:right w:val="none" w:sz="0" w:space="0" w:color="auto"/>
                      </w:divBdr>
                      <w:divsChild>
                        <w:div w:id="948127194">
                          <w:marLeft w:val="0"/>
                          <w:marRight w:val="0"/>
                          <w:marTop w:val="0"/>
                          <w:marBottom w:val="0"/>
                          <w:divBdr>
                            <w:top w:val="none" w:sz="0" w:space="0" w:color="auto"/>
                            <w:left w:val="none" w:sz="0" w:space="0" w:color="auto"/>
                            <w:bottom w:val="none" w:sz="0" w:space="0" w:color="auto"/>
                            <w:right w:val="none" w:sz="0" w:space="0" w:color="auto"/>
                          </w:divBdr>
                          <w:divsChild>
                            <w:div w:id="20428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85174">
      <w:bodyDiv w:val="1"/>
      <w:marLeft w:val="0"/>
      <w:marRight w:val="0"/>
      <w:marTop w:val="0"/>
      <w:marBottom w:val="0"/>
      <w:divBdr>
        <w:top w:val="none" w:sz="0" w:space="0" w:color="auto"/>
        <w:left w:val="none" w:sz="0" w:space="0" w:color="auto"/>
        <w:bottom w:val="none" w:sz="0" w:space="0" w:color="auto"/>
        <w:right w:val="none" w:sz="0" w:space="0" w:color="auto"/>
      </w:divBdr>
    </w:div>
    <w:div w:id="1077823660">
      <w:bodyDiv w:val="1"/>
      <w:marLeft w:val="0"/>
      <w:marRight w:val="0"/>
      <w:marTop w:val="0"/>
      <w:marBottom w:val="0"/>
      <w:divBdr>
        <w:top w:val="none" w:sz="0" w:space="0" w:color="auto"/>
        <w:left w:val="none" w:sz="0" w:space="0" w:color="auto"/>
        <w:bottom w:val="none" w:sz="0" w:space="0" w:color="auto"/>
        <w:right w:val="none" w:sz="0" w:space="0" w:color="auto"/>
      </w:divBdr>
    </w:div>
    <w:div w:id="1148715489">
      <w:bodyDiv w:val="1"/>
      <w:marLeft w:val="0"/>
      <w:marRight w:val="0"/>
      <w:marTop w:val="0"/>
      <w:marBottom w:val="0"/>
      <w:divBdr>
        <w:top w:val="none" w:sz="0" w:space="0" w:color="auto"/>
        <w:left w:val="none" w:sz="0" w:space="0" w:color="auto"/>
        <w:bottom w:val="none" w:sz="0" w:space="0" w:color="auto"/>
        <w:right w:val="none" w:sz="0" w:space="0" w:color="auto"/>
      </w:divBdr>
      <w:divsChild>
        <w:div w:id="668018315">
          <w:marLeft w:val="0"/>
          <w:marRight w:val="0"/>
          <w:marTop w:val="0"/>
          <w:marBottom w:val="0"/>
          <w:divBdr>
            <w:top w:val="single" w:sz="2" w:space="0" w:color="2E2E2E"/>
            <w:left w:val="single" w:sz="2" w:space="0" w:color="2E2E2E"/>
            <w:bottom w:val="single" w:sz="2" w:space="0" w:color="2E2E2E"/>
            <w:right w:val="single" w:sz="2" w:space="0" w:color="2E2E2E"/>
          </w:divBdr>
          <w:divsChild>
            <w:div w:id="974600143">
              <w:marLeft w:val="0"/>
              <w:marRight w:val="0"/>
              <w:marTop w:val="0"/>
              <w:marBottom w:val="0"/>
              <w:divBdr>
                <w:top w:val="single" w:sz="6" w:space="0" w:color="C9C9C9"/>
                <w:left w:val="none" w:sz="0" w:space="0" w:color="auto"/>
                <w:bottom w:val="none" w:sz="0" w:space="0" w:color="auto"/>
                <w:right w:val="none" w:sz="0" w:space="0" w:color="auto"/>
              </w:divBdr>
              <w:divsChild>
                <w:div w:id="1605380847">
                  <w:marLeft w:val="0"/>
                  <w:marRight w:val="0"/>
                  <w:marTop w:val="0"/>
                  <w:marBottom w:val="0"/>
                  <w:divBdr>
                    <w:top w:val="none" w:sz="0" w:space="0" w:color="auto"/>
                    <w:left w:val="none" w:sz="0" w:space="0" w:color="auto"/>
                    <w:bottom w:val="none" w:sz="0" w:space="0" w:color="auto"/>
                    <w:right w:val="none" w:sz="0" w:space="0" w:color="auto"/>
                  </w:divBdr>
                  <w:divsChild>
                    <w:div w:id="2120179784">
                      <w:marLeft w:val="0"/>
                      <w:marRight w:val="0"/>
                      <w:marTop w:val="0"/>
                      <w:marBottom w:val="0"/>
                      <w:divBdr>
                        <w:top w:val="none" w:sz="0" w:space="0" w:color="auto"/>
                        <w:left w:val="none" w:sz="0" w:space="0" w:color="auto"/>
                        <w:bottom w:val="none" w:sz="0" w:space="0" w:color="auto"/>
                        <w:right w:val="none" w:sz="0" w:space="0" w:color="auto"/>
                      </w:divBdr>
                      <w:divsChild>
                        <w:div w:id="1109278054">
                          <w:marLeft w:val="0"/>
                          <w:marRight w:val="0"/>
                          <w:marTop w:val="0"/>
                          <w:marBottom w:val="0"/>
                          <w:divBdr>
                            <w:top w:val="none" w:sz="0" w:space="0" w:color="auto"/>
                            <w:left w:val="none" w:sz="0" w:space="0" w:color="auto"/>
                            <w:bottom w:val="none" w:sz="0" w:space="0" w:color="auto"/>
                            <w:right w:val="none" w:sz="0" w:space="0" w:color="auto"/>
                          </w:divBdr>
                          <w:divsChild>
                            <w:div w:id="1192692912">
                              <w:marLeft w:val="0"/>
                              <w:marRight w:val="0"/>
                              <w:marTop w:val="225"/>
                              <w:marBottom w:val="180"/>
                              <w:divBdr>
                                <w:top w:val="single" w:sz="6" w:space="0" w:color="DFDFDF"/>
                                <w:left w:val="single" w:sz="6" w:space="0" w:color="DFDFDF"/>
                                <w:bottom w:val="single" w:sz="6" w:space="0" w:color="DFDFDF"/>
                                <w:right w:val="single" w:sz="6" w:space="0" w:color="DFDFDF"/>
                              </w:divBdr>
                              <w:divsChild>
                                <w:div w:id="45448533">
                                  <w:marLeft w:val="0"/>
                                  <w:marRight w:val="0"/>
                                  <w:marTop w:val="0"/>
                                  <w:marBottom w:val="0"/>
                                  <w:divBdr>
                                    <w:top w:val="none" w:sz="0" w:space="0" w:color="auto"/>
                                    <w:left w:val="none" w:sz="0" w:space="0" w:color="auto"/>
                                    <w:bottom w:val="none" w:sz="0" w:space="0" w:color="auto"/>
                                    <w:right w:val="none" w:sz="0" w:space="0" w:color="auto"/>
                                  </w:divBdr>
                                  <w:divsChild>
                                    <w:div w:id="7163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144991">
      <w:bodyDiv w:val="1"/>
      <w:marLeft w:val="0"/>
      <w:marRight w:val="0"/>
      <w:marTop w:val="0"/>
      <w:marBottom w:val="0"/>
      <w:divBdr>
        <w:top w:val="none" w:sz="0" w:space="0" w:color="auto"/>
        <w:left w:val="none" w:sz="0" w:space="0" w:color="auto"/>
        <w:bottom w:val="none" w:sz="0" w:space="0" w:color="auto"/>
        <w:right w:val="none" w:sz="0" w:space="0" w:color="auto"/>
      </w:divBdr>
    </w:div>
    <w:div w:id="1325206758">
      <w:bodyDiv w:val="1"/>
      <w:marLeft w:val="0"/>
      <w:marRight w:val="0"/>
      <w:marTop w:val="0"/>
      <w:marBottom w:val="0"/>
      <w:divBdr>
        <w:top w:val="none" w:sz="0" w:space="0" w:color="auto"/>
        <w:left w:val="none" w:sz="0" w:space="0" w:color="auto"/>
        <w:bottom w:val="none" w:sz="0" w:space="0" w:color="auto"/>
        <w:right w:val="none" w:sz="0" w:space="0" w:color="auto"/>
      </w:divBdr>
      <w:divsChild>
        <w:div w:id="250354655">
          <w:marLeft w:val="0"/>
          <w:marRight w:val="0"/>
          <w:marTop w:val="0"/>
          <w:marBottom w:val="0"/>
          <w:divBdr>
            <w:top w:val="none" w:sz="0" w:space="0" w:color="auto"/>
            <w:left w:val="none" w:sz="0" w:space="0" w:color="auto"/>
            <w:bottom w:val="none" w:sz="0" w:space="0" w:color="auto"/>
            <w:right w:val="none" w:sz="0" w:space="0" w:color="auto"/>
          </w:divBdr>
          <w:divsChild>
            <w:div w:id="1701932647">
              <w:marLeft w:val="0"/>
              <w:marRight w:val="0"/>
              <w:marTop w:val="0"/>
              <w:marBottom w:val="0"/>
              <w:divBdr>
                <w:top w:val="none" w:sz="0" w:space="0" w:color="auto"/>
                <w:left w:val="none" w:sz="0" w:space="0" w:color="auto"/>
                <w:bottom w:val="none" w:sz="0" w:space="0" w:color="auto"/>
                <w:right w:val="none" w:sz="0" w:space="0" w:color="auto"/>
              </w:divBdr>
              <w:divsChild>
                <w:div w:id="833960383">
                  <w:marLeft w:val="0"/>
                  <w:marRight w:val="0"/>
                  <w:marTop w:val="0"/>
                  <w:marBottom w:val="0"/>
                  <w:divBdr>
                    <w:top w:val="none" w:sz="0" w:space="0" w:color="auto"/>
                    <w:left w:val="none" w:sz="0" w:space="0" w:color="auto"/>
                    <w:bottom w:val="none" w:sz="0" w:space="0" w:color="auto"/>
                    <w:right w:val="none" w:sz="0" w:space="0" w:color="auto"/>
                  </w:divBdr>
                  <w:divsChild>
                    <w:div w:id="1360856823">
                      <w:marLeft w:val="0"/>
                      <w:marRight w:val="0"/>
                      <w:marTop w:val="0"/>
                      <w:marBottom w:val="0"/>
                      <w:divBdr>
                        <w:top w:val="none" w:sz="0" w:space="0" w:color="auto"/>
                        <w:left w:val="none" w:sz="0" w:space="0" w:color="auto"/>
                        <w:bottom w:val="none" w:sz="0" w:space="0" w:color="auto"/>
                        <w:right w:val="none" w:sz="0" w:space="0" w:color="auto"/>
                      </w:divBdr>
                      <w:divsChild>
                        <w:div w:id="6796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200420">
      <w:bodyDiv w:val="1"/>
      <w:marLeft w:val="0"/>
      <w:marRight w:val="0"/>
      <w:marTop w:val="0"/>
      <w:marBottom w:val="0"/>
      <w:divBdr>
        <w:top w:val="none" w:sz="0" w:space="0" w:color="auto"/>
        <w:left w:val="none" w:sz="0" w:space="0" w:color="auto"/>
        <w:bottom w:val="none" w:sz="0" w:space="0" w:color="auto"/>
        <w:right w:val="none" w:sz="0" w:space="0" w:color="auto"/>
      </w:divBdr>
    </w:div>
    <w:div w:id="1629779709">
      <w:bodyDiv w:val="1"/>
      <w:marLeft w:val="0"/>
      <w:marRight w:val="0"/>
      <w:marTop w:val="0"/>
      <w:marBottom w:val="0"/>
      <w:divBdr>
        <w:top w:val="none" w:sz="0" w:space="0" w:color="auto"/>
        <w:left w:val="none" w:sz="0" w:space="0" w:color="auto"/>
        <w:bottom w:val="none" w:sz="0" w:space="0" w:color="auto"/>
        <w:right w:val="none" w:sz="0" w:space="0" w:color="auto"/>
      </w:divBdr>
    </w:div>
    <w:div w:id="1665353096">
      <w:bodyDiv w:val="1"/>
      <w:marLeft w:val="0"/>
      <w:marRight w:val="0"/>
      <w:marTop w:val="0"/>
      <w:marBottom w:val="0"/>
      <w:divBdr>
        <w:top w:val="none" w:sz="0" w:space="0" w:color="auto"/>
        <w:left w:val="none" w:sz="0" w:space="0" w:color="auto"/>
        <w:bottom w:val="none" w:sz="0" w:space="0" w:color="auto"/>
        <w:right w:val="none" w:sz="0" w:space="0" w:color="auto"/>
      </w:divBdr>
    </w:div>
    <w:div w:id="1705128799">
      <w:bodyDiv w:val="1"/>
      <w:marLeft w:val="0"/>
      <w:marRight w:val="0"/>
      <w:marTop w:val="0"/>
      <w:marBottom w:val="0"/>
      <w:divBdr>
        <w:top w:val="none" w:sz="0" w:space="0" w:color="auto"/>
        <w:left w:val="none" w:sz="0" w:space="0" w:color="auto"/>
        <w:bottom w:val="none" w:sz="0" w:space="0" w:color="auto"/>
        <w:right w:val="none" w:sz="0" w:space="0" w:color="auto"/>
      </w:divBdr>
      <w:divsChild>
        <w:div w:id="208760085">
          <w:marLeft w:val="0"/>
          <w:marRight w:val="0"/>
          <w:marTop w:val="0"/>
          <w:marBottom w:val="0"/>
          <w:divBdr>
            <w:top w:val="none" w:sz="0" w:space="0" w:color="auto"/>
            <w:left w:val="none" w:sz="0" w:space="0" w:color="auto"/>
            <w:bottom w:val="none" w:sz="0" w:space="0" w:color="auto"/>
            <w:right w:val="none" w:sz="0" w:space="0" w:color="auto"/>
          </w:divBdr>
          <w:divsChild>
            <w:div w:id="811292872">
              <w:marLeft w:val="0"/>
              <w:marRight w:val="0"/>
              <w:marTop w:val="0"/>
              <w:marBottom w:val="0"/>
              <w:divBdr>
                <w:top w:val="none" w:sz="0" w:space="0" w:color="auto"/>
                <w:left w:val="none" w:sz="0" w:space="0" w:color="auto"/>
                <w:bottom w:val="none" w:sz="0" w:space="0" w:color="auto"/>
                <w:right w:val="none" w:sz="0" w:space="0" w:color="auto"/>
              </w:divBdr>
              <w:divsChild>
                <w:div w:id="624507032">
                  <w:marLeft w:val="0"/>
                  <w:marRight w:val="0"/>
                  <w:marTop w:val="0"/>
                  <w:marBottom w:val="0"/>
                  <w:divBdr>
                    <w:top w:val="none" w:sz="0" w:space="0" w:color="auto"/>
                    <w:left w:val="none" w:sz="0" w:space="0" w:color="auto"/>
                    <w:bottom w:val="none" w:sz="0" w:space="0" w:color="auto"/>
                    <w:right w:val="none" w:sz="0" w:space="0" w:color="auto"/>
                  </w:divBdr>
                  <w:divsChild>
                    <w:div w:id="632830474">
                      <w:marLeft w:val="0"/>
                      <w:marRight w:val="0"/>
                      <w:marTop w:val="0"/>
                      <w:marBottom w:val="0"/>
                      <w:divBdr>
                        <w:top w:val="none" w:sz="0" w:space="0" w:color="auto"/>
                        <w:left w:val="none" w:sz="0" w:space="0" w:color="auto"/>
                        <w:bottom w:val="none" w:sz="0" w:space="0" w:color="auto"/>
                        <w:right w:val="none" w:sz="0" w:space="0" w:color="auto"/>
                      </w:divBdr>
                      <w:divsChild>
                        <w:div w:id="626012084">
                          <w:marLeft w:val="0"/>
                          <w:marRight w:val="0"/>
                          <w:marTop w:val="0"/>
                          <w:marBottom w:val="0"/>
                          <w:divBdr>
                            <w:top w:val="none" w:sz="0" w:space="0" w:color="auto"/>
                            <w:left w:val="none" w:sz="0" w:space="0" w:color="auto"/>
                            <w:bottom w:val="none" w:sz="0" w:space="0" w:color="auto"/>
                            <w:right w:val="none" w:sz="0" w:space="0" w:color="auto"/>
                          </w:divBdr>
                          <w:divsChild>
                            <w:div w:id="1493255921">
                              <w:marLeft w:val="0"/>
                              <w:marRight w:val="0"/>
                              <w:marTop w:val="0"/>
                              <w:marBottom w:val="0"/>
                              <w:divBdr>
                                <w:top w:val="none" w:sz="0" w:space="0" w:color="auto"/>
                                <w:left w:val="none" w:sz="0" w:space="0" w:color="auto"/>
                                <w:bottom w:val="none" w:sz="0" w:space="0" w:color="auto"/>
                                <w:right w:val="none" w:sz="0" w:space="0" w:color="auto"/>
                              </w:divBdr>
                              <w:divsChild>
                                <w:div w:id="7128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76419">
      <w:bodyDiv w:val="1"/>
      <w:marLeft w:val="0"/>
      <w:marRight w:val="0"/>
      <w:marTop w:val="0"/>
      <w:marBottom w:val="0"/>
      <w:divBdr>
        <w:top w:val="none" w:sz="0" w:space="0" w:color="auto"/>
        <w:left w:val="none" w:sz="0" w:space="0" w:color="auto"/>
        <w:bottom w:val="none" w:sz="0" w:space="0" w:color="auto"/>
        <w:right w:val="none" w:sz="0" w:space="0" w:color="auto"/>
      </w:divBdr>
      <w:divsChild>
        <w:div w:id="1016417849">
          <w:marLeft w:val="0"/>
          <w:marRight w:val="0"/>
          <w:marTop w:val="0"/>
          <w:marBottom w:val="0"/>
          <w:divBdr>
            <w:top w:val="none" w:sz="0" w:space="0" w:color="auto"/>
            <w:left w:val="none" w:sz="0" w:space="0" w:color="auto"/>
            <w:bottom w:val="none" w:sz="0" w:space="0" w:color="auto"/>
            <w:right w:val="none" w:sz="0" w:space="0" w:color="auto"/>
          </w:divBdr>
          <w:divsChild>
            <w:div w:id="1962691230">
              <w:marLeft w:val="0"/>
              <w:marRight w:val="0"/>
              <w:marTop w:val="0"/>
              <w:marBottom w:val="0"/>
              <w:divBdr>
                <w:top w:val="none" w:sz="0" w:space="0" w:color="auto"/>
                <w:left w:val="none" w:sz="0" w:space="0" w:color="auto"/>
                <w:bottom w:val="none" w:sz="0" w:space="0" w:color="auto"/>
                <w:right w:val="none" w:sz="0" w:space="0" w:color="auto"/>
              </w:divBdr>
              <w:divsChild>
                <w:div w:id="658770761">
                  <w:marLeft w:val="0"/>
                  <w:marRight w:val="0"/>
                  <w:marTop w:val="0"/>
                  <w:marBottom w:val="0"/>
                  <w:divBdr>
                    <w:top w:val="none" w:sz="0" w:space="0" w:color="auto"/>
                    <w:left w:val="none" w:sz="0" w:space="0" w:color="auto"/>
                    <w:bottom w:val="none" w:sz="0" w:space="0" w:color="auto"/>
                    <w:right w:val="none" w:sz="0" w:space="0" w:color="auto"/>
                  </w:divBdr>
                  <w:divsChild>
                    <w:div w:id="1859461377">
                      <w:marLeft w:val="0"/>
                      <w:marRight w:val="0"/>
                      <w:marTop w:val="0"/>
                      <w:marBottom w:val="0"/>
                      <w:divBdr>
                        <w:top w:val="none" w:sz="0" w:space="0" w:color="auto"/>
                        <w:left w:val="none" w:sz="0" w:space="0" w:color="auto"/>
                        <w:bottom w:val="none" w:sz="0" w:space="0" w:color="auto"/>
                        <w:right w:val="none" w:sz="0" w:space="0" w:color="auto"/>
                      </w:divBdr>
                      <w:divsChild>
                        <w:div w:id="1433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072897">
      <w:bodyDiv w:val="1"/>
      <w:marLeft w:val="0"/>
      <w:marRight w:val="0"/>
      <w:marTop w:val="0"/>
      <w:marBottom w:val="0"/>
      <w:divBdr>
        <w:top w:val="none" w:sz="0" w:space="0" w:color="auto"/>
        <w:left w:val="none" w:sz="0" w:space="0" w:color="auto"/>
        <w:bottom w:val="none" w:sz="0" w:space="0" w:color="auto"/>
        <w:right w:val="none" w:sz="0" w:space="0" w:color="auto"/>
      </w:divBdr>
      <w:divsChild>
        <w:div w:id="1297688311">
          <w:marLeft w:val="0"/>
          <w:marRight w:val="0"/>
          <w:marTop w:val="0"/>
          <w:marBottom w:val="0"/>
          <w:divBdr>
            <w:top w:val="none" w:sz="0" w:space="0" w:color="auto"/>
            <w:left w:val="none" w:sz="0" w:space="0" w:color="auto"/>
            <w:bottom w:val="none" w:sz="0" w:space="0" w:color="auto"/>
            <w:right w:val="none" w:sz="0" w:space="0" w:color="auto"/>
          </w:divBdr>
          <w:divsChild>
            <w:div w:id="95492530">
              <w:marLeft w:val="0"/>
              <w:marRight w:val="0"/>
              <w:marTop w:val="0"/>
              <w:marBottom w:val="0"/>
              <w:divBdr>
                <w:top w:val="none" w:sz="0" w:space="0" w:color="auto"/>
                <w:left w:val="none" w:sz="0" w:space="0" w:color="auto"/>
                <w:bottom w:val="none" w:sz="0" w:space="0" w:color="auto"/>
                <w:right w:val="none" w:sz="0" w:space="0" w:color="auto"/>
              </w:divBdr>
              <w:divsChild>
                <w:div w:id="1570455703">
                  <w:marLeft w:val="0"/>
                  <w:marRight w:val="0"/>
                  <w:marTop w:val="0"/>
                  <w:marBottom w:val="0"/>
                  <w:divBdr>
                    <w:top w:val="none" w:sz="0" w:space="0" w:color="auto"/>
                    <w:left w:val="none" w:sz="0" w:space="0" w:color="auto"/>
                    <w:bottom w:val="none" w:sz="0" w:space="0" w:color="auto"/>
                    <w:right w:val="none" w:sz="0" w:space="0" w:color="auto"/>
                  </w:divBdr>
                  <w:divsChild>
                    <w:div w:id="1723600142">
                      <w:marLeft w:val="0"/>
                      <w:marRight w:val="0"/>
                      <w:marTop w:val="0"/>
                      <w:marBottom w:val="0"/>
                      <w:divBdr>
                        <w:top w:val="none" w:sz="0" w:space="0" w:color="auto"/>
                        <w:left w:val="none" w:sz="0" w:space="0" w:color="auto"/>
                        <w:bottom w:val="none" w:sz="0" w:space="0" w:color="auto"/>
                        <w:right w:val="none" w:sz="0" w:space="0" w:color="auto"/>
                      </w:divBdr>
                      <w:divsChild>
                        <w:div w:id="1539320744">
                          <w:marLeft w:val="0"/>
                          <w:marRight w:val="0"/>
                          <w:marTop w:val="0"/>
                          <w:marBottom w:val="0"/>
                          <w:divBdr>
                            <w:top w:val="none" w:sz="0" w:space="0" w:color="auto"/>
                            <w:left w:val="none" w:sz="0" w:space="0" w:color="auto"/>
                            <w:bottom w:val="none" w:sz="0" w:space="0" w:color="auto"/>
                            <w:right w:val="none" w:sz="0" w:space="0" w:color="auto"/>
                          </w:divBdr>
                          <w:divsChild>
                            <w:div w:id="1047221023">
                              <w:marLeft w:val="0"/>
                              <w:marRight w:val="0"/>
                              <w:marTop w:val="0"/>
                              <w:marBottom w:val="0"/>
                              <w:divBdr>
                                <w:top w:val="none" w:sz="0" w:space="0" w:color="auto"/>
                                <w:left w:val="none" w:sz="0" w:space="0" w:color="auto"/>
                                <w:bottom w:val="none" w:sz="0" w:space="0" w:color="auto"/>
                                <w:right w:val="none" w:sz="0" w:space="0" w:color="auto"/>
                              </w:divBdr>
                              <w:divsChild>
                                <w:div w:id="182723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597675">
      <w:bodyDiv w:val="1"/>
      <w:marLeft w:val="0"/>
      <w:marRight w:val="0"/>
      <w:marTop w:val="0"/>
      <w:marBottom w:val="0"/>
      <w:divBdr>
        <w:top w:val="none" w:sz="0" w:space="0" w:color="auto"/>
        <w:left w:val="none" w:sz="0" w:space="0" w:color="auto"/>
        <w:bottom w:val="none" w:sz="0" w:space="0" w:color="auto"/>
        <w:right w:val="none" w:sz="0" w:space="0" w:color="auto"/>
      </w:divBdr>
    </w:div>
    <w:div w:id="1970865768">
      <w:bodyDiv w:val="1"/>
      <w:marLeft w:val="0"/>
      <w:marRight w:val="0"/>
      <w:marTop w:val="0"/>
      <w:marBottom w:val="0"/>
      <w:divBdr>
        <w:top w:val="none" w:sz="0" w:space="0" w:color="auto"/>
        <w:left w:val="none" w:sz="0" w:space="0" w:color="auto"/>
        <w:bottom w:val="none" w:sz="0" w:space="0" w:color="auto"/>
        <w:right w:val="none" w:sz="0" w:space="0" w:color="auto"/>
      </w:divBdr>
    </w:div>
    <w:div w:id="2048211299">
      <w:bodyDiv w:val="1"/>
      <w:marLeft w:val="0"/>
      <w:marRight w:val="0"/>
      <w:marTop w:val="0"/>
      <w:marBottom w:val="0"/>
      <w:divBdr>
        <w:top w:val="none" w:sz="0" w:space="0" w:color="auto"/>
        <w:left w:val="none" w:sz="0" w:space="0" w:color="auto"/>
        <w:bottom w:val="none" w:sz="0" w:space="0" w:color="auto"/>
        <w:right w:val="none" w:sz="0" w:space="0" w:color="auto"/>
      </w:divBdr>
      <w:divsChild>
        <w:div w:id="980112800">
          <w:marLeft w:val="0"/>
          <w:marRight w:val="0"/>
          <w:marTop w:val="0"/>
          <w:marBottom w:val="0"/>
          <w:divBdr>
            <w:top w:val="none" w:sz="0" w:space="0" w:color="auto"/>
            <w:left w:val="none" w:sz="0" w:space="0" w:color="auto"/>
            <w:bottom w:val="none" w:sz="0" w:space="0" w:color="auto"/>
            <w:right w:val="none" w:sz="0" w:space="0" w:color="auto"/>
          </w:divBdr>
          <w:divsChild>
            <w:div w:id="209388479">
              <w:marLeft w:val="0"/>
              <w:marRight w:val="0"/>
              <w:marTop w:val="0"/>
              <w:marBottom w:val="0"/>
              <w:divBdr>
                <w:top w:val="none" w:sz="0" w:space="0" w:color="auto"/>
                <w:left w:val="none" w:sz="0" w:space="0" w:color="auto"/>
                <w:bottom w:val="none" w:sz="0" w:space="0" w:color="auto"/>
                <w:right w:val="none" w:sz="0" w:space="0" w:color="auto"/>
              </w:divBdr>
              <w:divsChild>
                <w:div w:id="616333064">
                  <w:marLeft w:val="0"/>
                  <w:marRight w:val="0"/>
                  <w:marTop w:val="0"/>
                  <w:marBottom w:val="0"/>
                  <w:divBdr>
                    <w:top w:val="none" w:sz="0" w:space="0" w:color="auto"/>
                    <w:left w:val="none" w:sz="0" w:space="0" w:color="auto"/>
                    <w:bottom w:val="none" w:sz="0" w:space="0" w:color="auto"/>
                    <w:right w:val="none" w:sz="0" w:space="0" w:color="auto"/>
                  </w:divBdr>
                  <w:divsChild>
                    <w:div w:id="219292579">
                      <w:marLeft w:val="0"/>
                      <w:marRight w:val="0"/>
                      <w:marTop w:val="0"/>
                      <w:marBottom w:val="0"/>
                      <w:divBdr>
                        <w:top w:val="none" w:sz="0" w:space="0" w:color="auto"/>
                        <w:left w:val="none" w:sz="0" w:space="0" w:color="auto"/>
                        <w:bottom w:val="none" w:sz="0" w:space="0" w:color="auto"/>
                        <w:right w:val="none" w:sz="0" w:space="0" w:color="auto"/>
                      </w:divBdr>
                      <w:divsChild>
                        <w:div w:id="1497106713">
                          <w:marLeft w:val="0"/>
                          <w:marRight w:val="0"/>
                          <w:marTop w:val="0"/>
                          <w:marBottom w:val="0"/>
                          <w:divBdr>
                            <w:top w:val="none" w:sz="0" w:space="0" w:color="auto"/>
                            <w:left w:val="none" w:sz="0" w:space="0" w:color="auto"/>
                            <w:bottom w:val="none" w:sz="0" w:space="0" w:color="auto"/>
                            <w:right w:val="none" w:sz="0" w:space="0" w:color="auto"/>
                          </w:divBdr>
                          <w:divsChild>
                            <w:div w:id="5496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2105/ajph.2020.306017" TargetMode="External"/><Relationship Id="rId18" Type="http://schemas.openxmlformats.org/officeDocument/2006/relationships/hyperlink" Target="https://doi.org/10.1007/s12103-020-09545-1" TargetMode="External"/><Relationship Id="rId26" Type="http://schemas.openxmlformats.org/officeDocument/2006/relationships/hyperlink" Target="https://doi.org/10.1016/j.ypmed.2020.106374" TargetMode="External"/><Relationship Id="rId39" Type="http://schemas.openxmlformats.org/officeDocument/2006/relationships/hyperlink" Target="https://www.ojp.gov/pdffiles1/bjs/grants/252701.pdf" TargetMode="External"/><Relationship Id="rId21" Type="http://schemas.openxmlformats.org/officeDocument/2006/relationships/hyperlink" Target="https://doi.org/10.1007/s12103-021-09616-x" TargetMode="External"/><Relationship Id="rId34" Type="http://schemas.openxmlformats.org/officeDocument/2006/relationships/hyperlink" Target="https://bjs.ojp.gov/library/publications/list?series_filter=Indicators%20of%20School%20Crime%20and%20Safety" TargetMode="External"/><Relationship Id="rId42" Type="http://schemas.openxmlformats.org/officeDocument/2006/relationships/hyperlink" Target="https://bjs.ojp.gov/sites/g/files/xyckuh236/files/media/document/256011.pdf" TargetMode="External"/><Relationship Id="rId47" Type="http://schemas.openxmlformats.org/officeDocument/2006/relationships/hyperlink" Target="https://bjs.ojp.gov/sites/g/files/xyckuh236/files/media/document/256011.pdf" TargetMode="External"/><Relationship Id="rId50" Type="http://schemas.openxmlformats.org/officeDocument/2006/relationships/hyperlink" Target="https://www.ojp.gov/pdffiles1/bjs/grants/252701.pdf" TargetMode="External"/><Relationship Id="rId55" Type="http://schemas.openxmlformats.org/officeDocument/2006/relationships/hyperlink" Target="https://www.census.gov/about/adrm/fsrdc.html"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26/sciadv.aba6910" TargetMode="External"/><Relationship Id="rId20" Type="http://schemas.openxmlformats.org/officeDocument/2006/relationships/hyperlink" Target="https://doi.org/10.1177%2F1088767919848665" TargetMode="External"/><Relationship Id="rId29" Type="http://schemas.openxmlformats.org/officeDocument/2006/relationships/hyperlink" Target="https://doi.org/10.1111/lasr.12440" TargetMode="External"/><Relationship Id="rId41" Type="http://schemas.openxmlformats.org/officeDocument/2006/relationships/hyperlink" Target="https://bjs.ojp.gov/sites/g/files/xyckuh236/files/media/document/300580.pdf" TargetMode="External"/><Relationship Id="rId54" Type="http://schemas.openxmlformats.org/officeDocument/2006/relationships/hyperlink" Target="https://bjs.ojp.gov/content/pub/pdf/vspus17.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js.ojp.gov/content/pub/pdf/ffus17.pdf" TargetMode="External"/><Relationship Id="rId24" Type="http://schemas.openxmlformats.org/officeDocument/2006/relationships/hyperlink" Target="https://doi.org/10.1177/0886260519877946" TargetMode="External"/><Relationship Id="rId32" Type="http://schemas.openxmlformats.org/officeDocument/2006/relationships/hyperlink" Target="https://www.bjs.gov/index.cfm?ty=nvat" TargetMode="External"/><Relationship Id="rId37" Type="http://schemas.openxmlformats.org/officeDocument/2006/relationships/hyperlink" Target="https://bjs.ojp.gov/library/publications/list?series_filter=Hate%20Crime" TargetMode="External"/><Relationship Id="rId40" Type="http://schemas.openxmlformats.org/officeDocument/2006/relationships/hyperlink" Target="https://bjs.ojp.gov/sites/g/files/xyckuh236/files/media/document/300603.pdf" TargetMode="External"/><Relationship Id="rId45" Type="http://schemas.openxmlformats.org/officeDocument/2006/relationships/hyperlink" Target="https://www.bjs.gov/index.cfm?ty=nvat" TargetMode="External"/><Relationship Id="rId53" Type="http://schemas.openxmlformats.org/officeDocument/2006/relationships/hyperlink" Target="https://www.ojp.gov/pdffiles1/bjs/grants/252632.pdf"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77/0886260521997440" TargetMode="External"/><Relationship Id="rId23" Type="http://schemas.openxmlformats.org/officeDocument/2006/relationships/hyperlink" Target="https://doi.org/10.1177/0886260518788366" TargetMode="External"/><Relationship Id="rId28" Type="http://schemas.openxmlformats.org/officeDocument/2006/relationships/hyperlink" Target="https://doi.org/10.1007/s10940-017-9350-0" TargetMode="External"/><Relationship Id="rId36" Type="http://schemas.openxmlformats.org/officeDocument/2006/relationships/hyperlink" Target="https://bjs.ojp.gov/content/pub/pdf/vvre0519.pdf" TargetMode="External"/><Relationship Id="rId49" Type="http://schemas.openxmlformats.org/officeDocument/2006/relationships/hyperlink" Target="https://www.bjs.gov/content/pub/pdf/westat_lae_5-19-10.pdf"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https://bjs.ojp.gov/content/pub/pdf/vit18.pdf" TargetMode="External"/><Relationship Id="rId19" Type="http://schemas.openxmlformats.org/officeDocument/2006/relationships/hyperlink" Target="https://doi.org/10.1177/0022146520961481" TargetMode="External"/><Relationship Id="rId31" Type="http://schemas.openxmlformats.org/officeDocument/2006/relationships/hyperlink" Target="https://bjs.ojp.gov/library/publications/list?series_filter=Criminal%20Victimization" TargetMode="External"/><Relationship Id="rId44" Type="http://schemas.openxmlformats.org/officeDocument/2006/relationships/hyperlink" Target="https://bjs.ojp.gov/sites/g/files/xyckuh236/files/media/document/ncvslacsk.pdf" TargetMode="External"/><Relationship Id="rId52" Type="http://schemas.openxmlformats.org/officeDocument/2006/relationships/hyperlink" Target="https://www.ojp.gov/pdffiles1/bjs/grants/300580.pdf"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js.ojp.gov/library/publications/report-indicators-school-crime-and-safety-2020" TargetMode="External"/><Relationship Id="rId14" Type="http://schemas.openxmlformats.org/officeDocument/2006/relationships/hyperlink" Target="https://doi.org/10.1177%2F1088767919849643" TargetMode="External"/><Relationship Id="rId22" Type="http://schemas.openxmlformats.org/officeDocument/2006/relationships/hyperlink" Target="https://doi.org/10.1016/j.jcrimjus.2020.101737" TargetMode="External"/><Relationship Id="rId27" Type="http://schemas.openxmlformats.org/officeDocument/2006/relationships/hyperlink" Target="https://doi.org/10.1111/1745-9125.12204" TargetMode="External"/><Relationship Id="rId30" Type="http://schemas.openxmlformats.org/officeDocument/2006/relationships/hyperlink" Target="http://www.icpsr.umich.edu" TargetMode="External"/><Relationship Id="rId35" Type="http://schemas.openxmlformats.org/officeDocument/2006/relationships/hyperlink" Target="https://bjs.ojp.gov/content/pub/pdf/revcoa18.pdf" TargetMode="External"/><Relationship Id="rId43" Type="http://schemas.openxmlformats.org/officeDocument/2006/relationships/hyperlink" Target="https://bjs.ojp.gov/sites/g/files/xyckuh236/files/media/document/ncvslacsftmr.pdf" TargetMode="External"/><Relationship Id="rId48" Type="http://schemas.openxmlformats.org/officeDocument/2006/relationships/hyperlink" Target="https://www.ojp.gov/ncjrs/virtual-library/abstracts/surveying-crime" TargetMode="External"/><Relationship Id="rId56" Type="http://schemas.openxmlformats.org/officeDocument/2006/relationships/header" Target="header1.xml"/><Relationship Id="rId8" Type="http://schemas.openxmlformats.org/officeDocument/2006/relationships/hyperlink" Target="https://ovc.ojp.gov/library/publications/list" TargetMode="External"/><Relationship Id="rId51" Type="http://schemas.openxmlformats.org/officeDocument/2006/relationships/hyperlink" Target="https://www.ojp.gov/pdffiles1/bjs/grants/300603.pdf" TargetMode="External"/><Relationship Id="rId3" Type="http://schemas.openxmlformats.org/officeDocument/2006/relationships/styles" Target="styles.xml"/><Relationship Id="rId12" Type="http://schemas.openxmlformats.org/officeDocument/2006/relationships/hyperlink" Target="https://doi.org/10.1177/0886260520915551" TargetMode="External"/><Relationship Id="rId17" Type="http://schemas.openxmlformats.org/officeDocument/2006/relationships/hyperlink" Target="https://doi.org/10.2105/AJPH.2020.306099" TargetMode="External"/><Relationship Id="rId25" Type="http://schemas.openxmlformats.org/officeDocument/2006/relationships/hyperlink" Target="https://doi.org/10.2478/jos-2019-0035" TargetMode="External"/><Relationship Id="rId33" Type="http://schemas.openxmlformats.org/officeDocument/2006/relationships/hyperlink" Target="https://bjs.ojp.gov/library/publications/list?series_filter=Crime%20Against%20People%20with%20Disabilities" TargetMode="External"/><Relationship Id="rId38" Type="http://schemas.openxmlformats.org/officeDocument/2006/relationships/hyperlink" Target="https://bjs.ojp.gov/content/pub/pdf/cusrancvs.pdf" TargetMode="External"/><Relationship Id="rId46" Type="http://schemas.openxmlformats.org/officeDocument/2006/relationships/hyperlink" Target="http://ovc.ncjrs.gov/vision21/pdfs/Vision21_Report.pdf" TargetMode="External"/><Relationship Id="rId5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ap.edu/catalog/12090/surveying-victims-options-for-conducting-the-national-crime-victimization-survey" TargetMode="External"/><Relationship Id="rId2" Type="http://schemas.openxmlformats.org/officeDocument/2006/relationships/hyperlink" Target="https://www.worldcat.org/title/final-report-of-research-and-development-for-the-redesign-of-the-national-crime-survey/oclc/22539067&amp;referer=brief_results" TargetMode="External"/><Relationship Id="rId1" Type="http://schemas.openxmlformats.org/officeDocument/2006/relationships/hyperlink" Target="https://www.finrafoundation.org/sites/finrafoundation/files/framework-taxonomy-fraud.pdf" TargetMode="External"/><Relationship Id="rId5" Type="http://schemas.openxmlformats.org/officeDocument/2006/relationships/hyperlink" Target="https://ucr.fbi.gov/nibrs-overview" TargetMode="External"/><Relationship Id="rId4" Type="http://schemas.openxmlformats.org/officeDocument/2006/relationships/hyperlink" Target="https://bjs.ojp.gov/content/pub/pdf/westat_lae_5-19-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0CB2-DF7A-4EF4-8086-52113701C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9959</Words>
  <Characters>60180</Characters>
  <Application>Microsoft Office Word</Application>
  <DocSecurity>4</DocSecurity>
  <Lines>501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70000</CharactersWithSpaces>
  <SharedDoc>false</SharedDoc>
  <HLinks>
    <vt:vector size="96" baseType="variant">
      <vt:variant>
        <vt:i4>1376269</vt:i4>
      </vt:variant>
      <vt:variant>
        <vt:i4>36</vt:i4>
      </vt:variant>
      <vt:variant>
        <vt:i4>0</vt:i4>
      </vt:variant>
      <vt:variant>
        <vt:i4>5</vt:i4>
      </vt:variant>
      <vt:variant>
        <vt:lpwstr>http://www.bjs.gov/content/pub/pdf/vit12.pdf</vt:lpwstr>
      </vt:variant>
      <vt:variant>
        <vt:lpwstr/>
      </vt:variant>
      <vt:variant>
        <vt:i4>4718656</vt:i4>
      </vt:variant>
      <vt:variant>
        <vt:i4>33</vt:i4>
      </vt:variant>
      <vt:variant>
        <vt:i4>0</vt:i4>
      </vt:variant>
      <vt:variant>
        <vt:i4>5</vt:i4>
      </vt:variant>
      <vt:variant>
        <vt:lpwstr>http://ovc.ncjrs.gov/Publications.aspx?TopicID=2</vt:lpwstr>
      </vt:variant>
      <vt:variant>
        <vt:lpwstr/>
      </vt:variant>
      <vt:variant>
        <vt:i4>2490481</vt:i4>
      </vt:variant>
      <vt:variant>
        <vt:i4>30</vt:i4>
      </vt:variant>
      <vt:variant>
        <vt:i4>0</vt:i4>
      </vt:variant>
      <vt:variant>
        <vt:i4>5</vt:i4>
      </vt:variant>
      <vt:variant>
        <vt:lpwstr>http://bjs.ojp.usdoj.gov/content/pub/pdf/iscs11.pdf</vt:lpwstr>
      </vt:variant>
      <vt:variant>
        <vt:lpwstr/>
      </vt:variant>
      <vt:variant>
        <vt:i4>1572884</vt:i4>
      </vt:variant>
      <vt:variant>
        <vt:i4>27</vt:i4>
      </vt:variant>
      <vt:variant>
        <vt:i4>0</vt:i4>
      </vt:variant>
      <vt:variant>
        <vt:i4>5</vt:i4>
      </vt:variant>
      <vt:variant>
        <vt:lpwstr>http://www.bjs.gov/content/pub/pdf/capd0913st.pdf</vt:lpwstr>
      </vt:variant>
      <vt:variant>
        <vt:lpwstr/>
      </vt:variant>
      <vt:variant>
        <vt:i4>5177349</vt:i4>
      </vt:variant>
      <vt:variant>
        <vt:i4>24</vt:i4>
      </vt:variant>
      <vt:variant>
        <vt:i4>0</vt:i4>
      </vt:variant>
      <vt:variant>
        <vt:i4>5</vt:i4>
      </vt:variant>
      <vt:variant>
        <vt:lpwstr>http://bjs.ojp.usdoj.gov/content/pub/pdf/cv13.pdf</vt:lpwstr>
      </vt:variant>
      <vt:variant>
        <vt:lpwstr/>
      </vt:variant>
      <vt:variant>
        <vt:i4>5111853</vt:i4>
      </vt:variant>
      <vt:variant>
        <vt:i4>21</vt:i4>
      </vt:variant>
      <vt:variant>
        <vt:i4>0</vt:i4>
      </vt:variant>
      <vt:variant>
        <vt:i4>5</vt:i4>
      </vt:variant>
      <vt:variant>
        <vt:lpwstr>http://ovc.ncjrs.gov/vision21/pdfs/Vision21_Report.pdf</vt:lpwstr>
      </vt:variant>
      <vt:variant>
        <vt:lpwstr/>
      </vt:variant>
      <vt:variant>
        <vt:i4>2359338</vt:i4>
      </vt:variant>
      <vt:variant>
        <vt:i4>18</vt:i4>
      </vt:variant>
      <vt:variant>
        <vt:i4>0</vt:i4>
      </vt:variant>
      <vt:variant>
        <vt:i4>5</vt:i4>
      </vt:variant>
      <vt:variant>
        <vt:lpwstr>http://www.icpsr.umich.edu/</vt:lpwstr>
      </vt:variant>
      <vt:variant>
        <vt:lpwstr/>
      </vt:variant>
      <vt:variant>
        <vt:i4>524314</vt:i4>
      </vt:variant>
      <vt:variant>
        <vt:i4>15</vt:i4>
      </vt:variant>
      <vt:variant>
        <vt:i4>0</vt:i4>
      </vt:variant>
      <vt:variant>
        <vt:i4>5</vt:i4>
      </vt:variant>
      <vt:variant>
        <vt:lpwstr>http://www.bjs.gov/content/pub/pdf/vvneha0710.pdf</vt:lpwstr>
      </vt:variant>
      <vt:variant>
        <vt:lpwstr/>
      </vt:variant>
      <vt:variant>
        <vt:i4>2359402</vt:i4>
      </vt:variant>
      <vt:variant>
        <vt:i4>12</vt:i4>
      </vt:variant>
      <vt:variant>
        <vt:i4>0</vt:i4>
      </vt:variant>
      <vt:variant>
        <vt:i4>5</vt:i4>
      </vt:variant>
      <vt:variant>
        <vt:lpwstr>http://www.fcsm.gov/12papers/Fay_2012FCSM_I-B.pdf</vt:lpwstr>
      </vt:variant>
      <vt:variant>
        <vt:lpwstr/>
      </vt:variant>
      <vt:variant>
        <vt:i4>3604580</vt:i4>
      </vt:variant>
      <vt:variant>
        <vt:i4>9</vt:i4>
      </vt:variant>
      <vt:variant>
        <vt:i4>0</vt:i4>
      </vt:variant>
      <vt:variant>
        <vt:i4>5</vt:i4>
      </vt:variant>
      <vt:variant>
        <vt:lpwstr>http://www.fcsm.gov/12papers/Li_2012FCSM_I-B.pdf</vt:lpwstr>
      </vt:variant>
      <vt:variant>
        <vt:lpwstr/>
      </vt:variant>
      <vt:variant>
        <vt:i4>2490479</vt:i4>
      </vt:variant>
      <vt:variant>
        <vt:i4>6</vt:i4>
      </vt:variant>
      <vt:variant>
        <vt:i4>0</vt:i4>
      </vt:variant>
      <vt:variant>
        <vt:i4>5</vt:i4>
      </vt:variant>
      <vt:variant>
        <vt:lpwstr>http://www.copafs.org/userfiles/file/fcsm/a2_diallo_2013fcsm.pdf</vt:lpwstr>
      </vt:variant>
      <vt:variant>
        <vt:lpwstr/>
      </vt:variant>
      <vt:variant>
        <vt:i4>3539037</vt:i4>
      </vt:variant>
      <vt:variant>
        <vt:i4>3</vt:i4>
      </vt:variant>
      <vt:variant>
        <vt:i4>0</vt:i4>
      </vt:variant>
      <vt:variant>
        <vt:i4>5</vt:i4>
      </vt:variant>
      <vt:variant>
        <vt:lpwstr>https://www.amstat.org/sections/srms/proceedings/y2012/files/304438_73111.pdf</vt:lpwstr>
      </vt:variant>
      <vt:variant>
        <vt:lpwstr/>
      </vt:variant>
      <vt:variant>
        <vt:i4>5767194</vt:i4>
      </vt:variant>
      <vt:variant>
        <vt:i4>0</vt:i4>
      </vt:variant>
      <vt:variant>
        <vt:i4>0</vt:i4>
      </vt:variant>
      <vt:variant>
        <vt:i4>5</vt:i4>
      </vt:variant>
      <vt:variant>
        <vt:lpwstr>http://www.bjs.gov/content/pub/pdf/westat_lae_5-19-10.pdf</vt:lpwstr>
      </vt:variant>
      <vt:variant>
        <vt:lpwstr/>
      </vt:variant>
      <vt:variant>
        <vt:i4>7602279</vt:i4>
      </vt:variant>
      <vt:variant>
        <vt:i4>6</vt:i4>
      </vt:variant>
      <vt:variant>
        <vt:i4>0</vt:i4>
      </vt:variant>
      <vt:variant>
        <vt:i4>5</vt:i4>
      </vt:variant>
      <vt:variant>
        <vt:lpwstr>http://www.fbi.gov/about-us/cjis/ucr/nibrs</vt:lpwstr>
      </vt:variant>
      <vt:variant>
        <vt:lpwstr/>
      </vt:variant>
      <vt:variant>
        <vt:i4>4980808</vt:i4>
      </vt:variant>
      <vt:variant>
        <vt:i4>3</vt:i4>
      </vt:variant>
      <vt:variant>
        <vt:i4>0</vt:i4>
      </vt:variant>
      <vt:variant>
        <vt:i4>5</vt:i4>
      </vt:variant>
      <vt:variant>
        <vt:lpwstr>http://www.nap.edu/catalog/18605/estimating-the-incidence-of-rape-and-sexual-assault</vt:lpwstr>
      </vt:variant>
      <vt:variant>
        <vt:lpwstr/>
      </vt:variant>
      <vt:variant>
        <vt:i4>1704053</vt:i4>
      </vt:variant>
      <vt:variant>
        <vt:i4>0</vt:i4>
      </vt:variant>
      <vt:variant>
        <vt:i4>0</vt:i4>
      </vt:variant>
      <vt:variant>
        <vt:i4>5</vt:i4>
      </vt:variant>
      <vt:variant>
        <vt:lpwstr>http://www.nap.edu/catlog.-php?record_id=12090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Rachel (OJP)</dc:creator>
  <cp:keywords/>
  <dc:description/>
  <cp:lastModifiedBy>BJS</cp:lastModifiedBy>
  <cp:revision>2</cp:revision>
  <dcterms:created xsi:type="dcterms:W3CDTF">2021-09-22T20:14:00Z</dcterms:created>
  <dcterms:modified xsi:type="dcterms:W3CDTF">2021-09-22T20:14:00Z</dcterms:modified>
</cp:coreProperties>
</file>