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34EF" w:rsidR="004C2ADF" w:rsidRDefault="00C3254E">
      <w:pPr>
        <w:jc w:val="center"/>
        <w:rPr>
          <w:b/>
          <w:bCs/>
        </w:rPr>
      </w:pPr>
      <w:r>
        <w:rPr>
          <w:b/>
          <w:bCs/>
        </w:rPr>
        <w:t xml:space="preserve">Supporting Statement Part B </w:t>
      </w:r>
      <w:r w:rsidRPr="00FD34EF" w:rsidR="004C2ADF">
        <w:rPr>
          <w:b/>
          <w:bCs/>
        </w:rPr>
        <w:t>for the</w:t>
      </w:r>
    </w:p>
    <w:p w:rsidRPr="00FD34EF" w:rsidR="004C2ADF" w:rsidRDefault="004C2ADF">
      <w:pPr>
        <w:jc w:val="center"/>
      </w:pPr>
      <w:r w:rsidRPr="00FD34EF">
        <w:rPr>
          <w:b/>
          <w:bCs/>
        </w:rPr>
        <w:t>Paperwork Reduction Act Submission</w:t>
      </w:r>
    </w:p>
    <w:p w:rsidRPr="00FD34EF" w:rsidR="004C2ADF" w:rsidRDefault="00C3254E">
      <w:pPr>
        <w:jc w:val="center"/>
      </w:pPr>
      <w:r>
        <w:pict>
          <v:rect id="_x0000_i1025" style="width:468pt;height:2pt" o:hr="t" o:hrstd="t" o:hrnoshade="t" o:hralign="center" fillcolor="black" stroked="f"/>
        </w:pict>
      </w:r>
    </w:p>
    <w:p w:rsidRPr="00FD34EF" w:rsidR="004C2ADF" w:rsidRDefault="004C2ADF">
      <w:pPr>
        <w:pStyle w:val="Header"/>
        <w:tabs>
          <w:tab w:val="clear" w:pos="4320"/>
          <w:tab w:val="clear" w:pos="8640"/>
        </w:tabs>
      </w:pPr>
    </w:p>
    <w:p w:rsidRPr="00FD34EF" w:rsidR="004C2ADF" w:rsidRDefault="004C2ADF">
      <w:pPr>
        <w:pStyle w:val="Header"/>
        <w:tabs>
          <w:tab w:val="clear" w:pos="4320"/>
          <w:tab w:val="clear" w:pos="8640"/>
          <w:tab w:val="left" w:pos="1100"/>
        </w:tabs>
      </w:pPr>
      <w:r w:rsidRPr="00FD34EF">
        <w:t xml:space="preserve">Agency: </w:t>
      </w:r>
      <w:r w:rsidRPr="00FD34EF">
        <w:tab/>
        <w:t xml:space="preserve">Office of Justice Programs, </w:t>
      </w:r>
      <w:r w:rsidRPr="00FD34EF" w:rsidR="000D7BEE">
        <w:t>Office of Juvenile Justice and Delinquency Prevention</w:t>
      </w:r>
    </w:p>
    <w:p w:rsidRPr="00FD34EF" w:rsidR="00BE0533" w:rsidP="00BE0533" w:rsidRDefault="004C2ADF">
      <w:pPr>
        <w:pStyle w:val="Header"/>
        <w:tabs>
          <w:tab w:val="clear" w:pos="4320"/>
          <w:tab w:val="clear" w:pos="8640"/>
          <w:tab w:val="left" w:pos="1080"/>
        </w:tabs>
        <w:rPr>
          <w:b/>
          <w:lang w:val="fr-FR"/>
        </w:rPr>
      </w:pPr>
      <w:r w:rsidRPr="00FD34EF">
        <w:t xml:space="preserve">Title: </w:t>
      </w:r>
      <w:r w:rsidRPr="00FD34EF">
        <w:tab/>
      </w:r>
      <w:r w:rsidRPr="00FD34EF" w:rsidR="000D7BEE">
        <w:rPr>
          <w:b/>
        </w:rPr>
        <w:t>OJJDP</w:t>
      </w:r>
      <w:r w:rsidRPr="00FD34EF" w:rsidR="00A847DC">
        <w:rPr>
          <w:b/>
        </w:rPr>
        <w:t>’s</w:t>
      </w:r>
      <w:r w:rsidRPr="00FD34EF" w:rsidR="000D7BEE">
        <w:rPr>
          <w:b/>
        </w:rPr>
        <w:t xml:space="preserve"> NTTAC</w:t>
      </w:r>
      <w:r w:rsidRPr="00FD34EF">
        <w:rPr>
          <w:b/>
        </w:rPr>
        <w:t xml:space="preserve"> Feedback Form Package</w:t>
      </w:r>
      <w:r w:rsidRPr="00FD34EF">
        <w:rPr>
          <w:b/>
          <w:lang w:val="fr-FR"/>
        </w:rPr>
        <w:tab/>
      </w:r>
    </w:p>
    <w:p w:rsidRPr="00FD34EF" w:rsidR="004C2ADF" w:rsidP="00BE0533" w:rsidRDefault="004C2ADF">
      <w:pPr>
        <w:pStyle w:val="Header"/>
        <w:tabs>
          <w:tab w:val="clear" w:pos="4320"/>
          <w:tab w:val="clear" w:pos="8640"/>
          <w:tab w:val="left" w:pos="1100"/>
        </w:tabs>
        <w:ind w:left="1080" w:hanging="1080"/>
      </w:pPr>
      <w:r w:rsidRPr="00FD34EF">
        <w:t>OMB No:</w:t>
      </w:r>
      <w:r w:rsidRPr="00FD34EF">
        <w:tab/>
      </w:r>
      <w:r w:rsidRPr="00FD34EF" w:rsidR="004A115D">
        <w:rPr>
          <w:iCs/>
        </w:rPr>
        <w:t>1121-0277</w:t>
      </w:r>
    </w:p>
    <w:p w:rsidRPr="00FD34EF" w:rsidR="004C2ADF" w:rsidRDefault="004C2ADF">
      <w:pPr>
        <w:widowControl/>
        <w:tabs>
          <w:tab w:val="left" w:pos="-1440"/>
        </w:tabs>
        <w:spacing w:line="288" w:lineRule="auto"/>
      </w:pPr>
      <w:bookmarkStart w:name="_GoBack" w:id="0"/>
      <w:bookmarkEnd w:id="0"/>
    </w:p>
    <w:p w:rsidRPr="00FD34EF" w:rsidR="004C2ADF" w:rsidRDefault="004C2ADF">
      <w:pPr>
        <w:pStyle w:val="Level1"/>
        <w:widowControl/>
        <w:numPr>
          <w:ilvl w:val="0"/>
          <w:numId w:val="0"/>
        </w:numPr>
        <w:tabs>
          <w:tab w:val="left" w:pos="-1440"/>
          <w:tab w:val="left" w:pos="720"/>
        </w:tabs>
        <w:spacing w:line="288" w:lineRule="auto"/>
        <w:rPr>
          <w:b/>
        </w:rPr>
      </w:pPr>
      <w:r w:rsidRPr="00FD34EF">
        <w:rPr>
          <w:b/>
        </w:rPr>
        <w:t>B. STATISTICAL METHODS</w:t>
      </w:r>
    </w:p>
    <w:p w:rsidRPr="00FD34EF" w:rsidR="004C2ADF" w:rsidRDefault="004C2ADF">
      <w:pPr>
        <w:widowControl/>
        <w:tabs>
          <w:tab w:val="left" w:pos="-1440"/>
        </w:tabs>
        <w:spacing w:line="288" w:lineRule="auto"/>
      </w:pPr>
    </w:p>
    <w:p w:rsidRPr="00FD34EF" w:rsidR="00923EF8" w:rsidP="00193270" w:rsidRDefault="00923EF8">
      <w:pPr>
        <w:widowControl/>
        <w:tabs>
          <w:tab w:val="left" w:pos="-1440"/>
        </w:tabs>
        <w:spacing w:line="288" w:lineRule="auto"/>
      </w:pPr>
      <w:r w:rsidRPr="00FD34EF">
        <w:t xml:space="preserve">The potential respondent universe is </w:t>
      </w:r>
      <w:r w:rsidR="00702C15">
        <w:t xml:space="preserve">recipients of </w:t>
      </w:r>
      <w:r w:rsidRPr="00FD34EF">
        <w:t xml:space="preserve">all </w:t>
      </w:r>
      <w:r w:rsidRPr="00FD34EF" w:rsidR="00702C15">
        <w:t xml:space="preserve">OJJDP </w:t>
      </w:r>
      <w:r w:rsidR="00702C15">
        <w:t>TTA services and</w:t>
      </w:r>
      <w:r w:rsidRPr="00FD34EF" w:rsidR="00702C15">
        <w:t xml:space="preserve"> </w:t>
      </w:r>
      <w:r w:rsidRPr="00FD34EF">
        <w:t xml:space="preserve">OJJDP </w:t>
      </w:r>
      <w:r w:rsidR="00702C15">
        <w:t>TTA</w:t>
      </w:r>
      <w:r w:rsidRPr="00FD34EF">
        <w:t xml:space="preserve"> Providers. This is an unknown universe, but the expected number of respondents based on previous years and expected ac</w:t>
      </w:r>
      <w:r w:rsidRPr="00FD34EF" w:rsidR="00D52408">
        <w:t xml:space="preserve">tivities for the coming year is </w:t>
      </w:r>
      <w:r w:rsidR="00737E71">
        <w:t>5</w:t>
      </w:r>
      <w:r w:rsidR="00445B68">
        <w:t>,</w:t>
      </w:r>
      <w:r w:rsidR="00737E71">
        <w:t>066</w:t>
      </w:r>
      <w:r w:rsidR="000C686C">
        <w:t>.</w:t>
      </w:r>
      <w:r w:rsidRPr="00FD34EF">
        <w:t xml:space="preserve"> No sampling plans will be used. For eligible events, all participants will be asked to respond to the surveys. The estimated response rate for the previous calendar year (using the previously approved set of forms and different modes of collection) remained between 30% and 40% depending on the event type.</w:t>
      </w:r>
    </w:p>
    <w:p w:rsidRPr="00FD34EF" w:rsidR="00923EF8" w:rsidP="00193270" w:rsidRDefault="00923EF8">
      <w:pPr>
        <w:widowControl/>
        <w:tabs>
          <w:tab w:val="left" w:pos="-1440"/>
        </w:tabs>
        <w:spacing w:line="288" w:lineRule="auto"/>
      </w:pPr>
    </w:p>
    <w:p w:rsidRPr="00FD34EF" w:rsidR="00923EF8" w:rsidP="00923EF8" w:rsidRDefault="00923EF8">
      <w:pPr>
        <w:widowControl/>
        <w:tabs>
          <w:tab w:val="left" w:pos="-1440"/>
        </w:tabs>
        <w:spacing w:line="288" w:lineRule="auto"/>
      </w:pPr>
      <w:r w:rsidRPr="00FD34EF">
        <w:t>Attempts to increase response rates include providing surveys in online formats and/or hard copy format as best suited to the event, encouraging response at the time of the assistance provided, reducing the length and number of questions per survey, and tailoring each survey only to the event in which the participant attended using specific goals and objectives for each event.</w:t>
      </w:r>
    </w:p>
    <w:p w:rsidRPr="00FD34EF" w:rsidR="00923EF8" w:rsidP="00193270" w:rsidRDefault="00923EF8">
      <w:pPr>
        <w:widowControl/>
        <w:tabs>
          <w:tab w:val="left" w:pos="-1440"/>
        </w:tabs>
        <w:spacing w:line="288" w:lineRule="auto"/>
      </w:pPr>
    </w:p>
    <w:p w:rsidRPr="00FD34EF" w:rsidR="00502AD6" w:rsidP="00193270" w:rsidRDefault="001D75E0">
      <w:pPr>
        <w:widowControl/>
        <w:tabs>
          <w:tab w:val="left" w:pos="-1440"/>
        </w:tabs>
        <w:spacing w:line="288" w:lineRule="auto"/>
      </w:pPr>
      <w:bookmarkStart w:name="_Hlk77324321" w:id="1"/>
      <w:r w:rsidRPr="00FD34EF">
        <w:t>We will be employing basic statistical methods in this information collection</w:t>
      </w:r>
      <w:bookmarkEnd w:id="1"/>
      <w:r w:rsidRPr="00FD34EF">
        <w:t>, including simple descriptive statistics (e.g., frequencies, mean) and aggregating simple descriptive statistics across multiple events. No inferential statistical tests or</w:t>
      </w:r>
      <w:r w:rsidRPr="00FD34EF" w:rsidR="00923EF8">
        <w:t xml:space="preserve"> sophisticated statistical techniques </w:t>
      </w:r>
      <w:r w:rsidRPr="00FD34EF" w:rsidR="00BC77A2">
        <w:t xml:space="preserve">will be conducted </w:t>
      </w:r>
      <w:r w:rsidRPr="00FD34EF" w:rsidR="00923EF8">
        <w:t>(e.g., sampling plans, imputation or other missing data adjustments, statistical est</w:t>
      </w:r>
      <w:r w:rsidRPr="00FD34EF">
        <w:t>imation techniques)</w:t>
      </w:r>
      <w:r w:rsidRPr="00FD34EF" w:rsidR="00923EF8">
        <w:t>. Procedures of administration are described above for each instrument.</w:t>
      </w:r>
      <w:r w:rsidR="00C33438">
        <w:t xml:space="preserve"> </w:t>
      </w:r>
      <w:r w:rsidRPr="00FD34EF" w:rsidR="00923EF8">
        <w:t xml:space="preserve">Data to be provided will be sufficiently accurate for the purpose of continuous program improvement. </w:t>
      </w:r>
      <w:r w:rsidRPr="00FD34EF" w:rsidR="004C2ADF">
        <w:t>Therefore, items one through five (1-5) of section B are not addressed.</w:t>
      </w:r>
    </w:p>
    <w:p w:rsidRPr="00FD34EF" w:rsidR="001D75E0" w:rsidP="00193270" w:rsidRDefault="001D75E0">
      <w:pPr>
        <w:widowControl/>
        <w:tabs>
          <w:tab w:val="left" w:pos="-1440"/>
        </w:tabs>
        <w:spacing w:line="288" w:lineRule="auto"/>
      </w:pPr>
    </w:p>
    <w:p w:rsidRPr="00FD34EF" w:rsidR="001D75E0" w:rsidP="00193270" w:rsidRDefault="001D75E0">
      <w:pPr>
        <w:widowControl/>
        <w:tabs>
          <w:tab w:val="left" w:pos="-1440"/>
        </w:tabs>
        <w:spacing w:line="288" w:lineRule="auto"/>
      </w:pPr>
      <w:r w:rsidRPr="00FD34EF">
        <w:t xml:space="preserve">The organization responsible for collecting and analyzing the data is: ICF, 9300 Lee Highway, Fairfax, VA 22031. For questions related to statistical methods, please contact </w:t>
      </w:r>
      <w:r w:rsidRPr="00FD34EF" w:rsidR="00837458">
        <w:t xml:space="preserve">Janine Crossman </w:t>
      </w:r>
      <w:r w:rsidRPr="00FD34EF">
        <w:t xml:space="preserve">at ICF </w:t>
      </w:r>
      <w:r w:rsidR="00445B68">
        <w:t>by</w:t>
      </w:r>
      <w:r w:rsidRPr="00FD34EF" w:rsidR="00445B68">
        <w:t xml:space="preserve"> </w:t>
      </w:r>
      <w:r w:rsidRPr="00FD34EF">
        <w:t xml:space="preserve">email, </w:t>
      </w:r>
      <w:r w:rsidRPr="00FD34EF" w:rsidR="00837458">
        <w:t>Janine.Crossman</w:t>
      </w:r>
      <w:r w:rsidRPr="00FD34EF">
        <w:t>@icf.com, or phone (</w:t>
      </w:r>
      <w:r w:rsidRPr="00FD34EF" w:rsidR="00837458">
        <w:t>703)</w:t>
      </w:r>
      <w:r w:rsidR="007076ED">
        <w:t xml:space="preserve"> </w:t>
      </w:r>
      <w:r w:rsidRPr="00FD34EF" w:rsidR="00837458">
        <w:t>272</w:t>
      </w:r>
      <w:r w:rsidR="00445B68">
        <w:t>–</w:t>
      </w:r>
      <w:r w:rsidRPr="00FD34EF" w:rsidR="00837458">
        <w:t>9581</w:t>
      </w:r>
      <w:r w:rsidRPr="00FD34EF">
        <w:t>.</w:t>
      </w:r>
    </w:p>
    <w:p w:rsidRPr="00FD34EF" w:rsidR="00923EF8" w:rsidRDefault="00923EF8">
      <w:pPr>
        <w:widowControl/>
        <w:tabs>
          <w:tab w:val="left" w:pos="-1440"/>
        </w:tabs>
        <w:spacing w:line="288" w:lineRule="auto"/>
      </w:pPr>
    </w:p>
    <w:sectPr w:rsidRPr="00FD34EF" w:rsidR="00923EF8">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853" w:rsidRDefault="00164853">
      <w:r>
        <w:separator/>
      </w:r>
    </w:p>
  </w:endnote>
  <w:endnote w:type="continuationSeparator" w:id="0">
    <w:p w:rsidR="00164853" w:rsidRDefault="0016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AA" w:rsidRDefault="00CC5FAA">
    <w:pPr>
      <w:pStyle w:val="Footer"/>
      <w:pBdr>
        <w:top w:val="single" w:sz="4" w:space="1" w:color="auto"/>
      </w:pBdr>
      <w:tabs>
        <w:tab w:val="clear" w:pos="8640"/>
        <w:tab w:val="right" w:pos="9360"/>
      </w:tabs>
      <w:rPr>
        <w:sz w:val="20"/>
      </w:rPr>
    </w:pPr>
    <w:r>
      <w:rPr>
        <w:sz w:val="20"/>
      </w:rPr>
      <w:t xml:space="preserve">OMB Submission </w:t>
    </w:r>
    <w:r w:rsidR="0096612D">
      <w:rPr>
        <w:sz w:val="20"/>
      </w:rPr>
      <w:t xml:space="preserve">– </w:t>
    </w:r>
    <w:r>
      <w:rPr>
        <w:sz w:val="20"/>
      </w:rPr>
      <w:t>OJJDP</w:t>
    </w:r>
    <w:r w:rsidR="00A847DC">
      <w:rPr>
        <w:sz w:val="20"/>
      </w:rPr>
      <w:t>’s</w:t>
    </w:r>
    <w:r>
      <w:rPr>
        <w:sz w:val="20"/>
      </w:rPr>
      <w:t xml:space="preserve"> NTTAC</w:t>
    </w:r>
    <w:r w:rsidR="00AD4680">
      <w:rPr>
        <w:sz w:val="20"/>
      </w:rPr>
      <w:t xml:space="preserve"> </w:t>
    </w:r>
    <w:r>
      <w:rPr>
        <w:sz w:val="20"/>
      </w:rPr>
      <w:t>Feedback Form Package</w:t>
    </w:r>
    <w:r>
      <w:rPr>
        <w:sz w:val="20"/>
      </w:rPr>
      <w:tab/>
      <w:t xml:space="preserve">Page </w:t>
    </w:r>
    <w:r>
      <w:rPr>
        <w:sz w:val="20"/>
      </w:rPr>
      <w:fldChar w:fldCharType="begin"/>
    </w:r>
    <w:r>
      <w:rPr>
        <w:sz w:val="20"/>
      </w:rPr>
      <w:instrText xml:space="preserve"> PAGE </w:instrText>
    </w:r>
    <w:r>
      <w:rPr>
        <w:sz w:val="20"/>
      </w:rPr>
      <w:fldChar w:fldCharType="separate"/>
    </w:r>
    <w:r w:rsidR="00C3254E">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853" w:rsidRDefault="00164853">
      <w:r>
        <w:separator/>
      </w:r>
    </w:p>
  </w:footnote>
  <w:footnote w:type="continuationSeparator" w:id="0">
    <w:p w:rsidR="00164853" w:rsidRDefault="0016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15:restartNumberingAfterBreak="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0" w15:restartNumberingAfterBreak="0">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1" w15:restartNumberingAfterBreak="0">
    <w:nsid w:val="2A1763A6"/>
    <w:multiLevelType w:val="multilevel"/>
    <w:tmpl w:val="3F7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37273"/>
    <w:multiLevelType w:val="hybridMultilevel"/>
    <w:tmpl w:val="C89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0" w15:restartNumberingAfterBreak="0">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2" w15:restartNumberingAfterBreak="0">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1"/>
  </w:num>
  <w:num w:numId="5">
    <w:abstractNumId w:val="9"/>
  </w:num>
  <w:num w:numId="6">
    <w:abstractNumId w:val="19"/>
  </w:num>
  <w:num w:numId="7">
    <w:abstractNumId w:val="8"/>
  </w:num>
  <w:num w:numId="8">
    <w:abstractNumId w:val="6"/>
  </w:num>
  <w:num w:numId="9">
    <w:abstractNumId w:val="7"/>
  </w:num>
  <w:num w:numId="10">
    <w:abstractNumId w:val="14"/>
  </w:num>
  <w:num w:numId="11">
    <w:abstractNumId w:val="15"/>
  </w:num>
  <w:num w:numId="12">
    <w:abstractNumId w:val="20"/>
  </w:num>
  <w:num w:numId="13">
    <w:abstractNumId w:val="13"/>
  </w:num>
  <w:num w:numId="14">
    <w:abstractNumId w:val="12"/>
  </w:num>
  <w:num w:numId="15">
    <w:abstractNumId w:val="18"/>
  </w:num>
  <w:num w:numId="16">
    <w:abstractNumId w:val="22"/>
  </w:num>
  <w:num w:numId="17">
    <w:abstractNumId w:val="10"/>
  </w:num>
  <w:num w:numId="18">
    <w:abstractNumId w:val="17"/>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43"/>
    <w:rsid w:val="000072C7"/>
    <w:rsid w:val="00020E54"/>
    <w:rsid w:val="0002190A"/>
    <w:rsid w:val="00035378"/>
    <w:rsid w:val="00063288"/>
    <w:rsid w:val="00064132"/>
    <w:rsid w:val="00066435"/>
    <w:rsid w:val="000761B7"/>
    <w:rsid w:val="000A0441"/>
    <w:rsid w:val="000A4B7D"/>
    <w:rsid w:val="000A6EDA"/>
    <w:rsid w:val="000A71DA"/>
    <w:rsid w:val="000B212E"/>
    <w:rsid w:val="000C182E"/>
    <w:rsid w:val="000C2168"/>
    <w:rsid w:val="000C686C"/>
    <w:rsid w:val="000D280D"/>
    <w:rsid w:val="000D5A9F"/>
    <w:rsid w:val="000D7BEE"/>
    <w:rsid w:val="000E386B"/>
    <w:rsid w:val="000E6C9C"/>
    <w:rsid w:val="000E7A0C"/>
    <w:rsid w:val="000E7EFD"/>
    <w:rsid w:val="000F2B43"/>
    <w:rsid w:val="00116F62"/>
    <w:rsid w:val="001350FD"/>
    <w:rsid w:val="001423DE"/>
    <w:rsid w:val="0014471B"/>
    <w:rsid w:val="0015662F"/>
    <w:rsid w:val="00164853"/>
    <w:rsid w:val="00175BC4"/>
    <w:rsid w:val="001773EA"/>
    <w:rsid w:val="00193270"/>
    <w:rsid w:val="001B6388"/>
    <w:rsid w:val="001D019F"/>
    <w:rsid w:val="001D75E0"/>
    <w:rsid w:val="001F4EB8"/>
    <w:rsid w:val="001F66AE"/>
    <w:rsid w:val="0022075C"/>
    <w:rsid w:val="00226EE3"/>
    <w:rsid w:val="002369B7"/>
    <w:rsid w:val="002464BC"/>
    <w:rsid w:val="00276CD1"/>
    <w:rsid w:val="00286EC5"/>
    <w:rsid w:val="002A78E8"/>
    <w:rsid w:val="002C2023"/>
    <w:rsid w:val="002D4868"/>
    <w:rsid w:val="002D5D0C"/>
    <w:rsid w:val="002F3304"/>
    <w:rsid w:val="003005B5"/>
    <w:rsid w:val="00305D84"/>
    <w:rsid w:val="00306C4C"/>
    <w:rsid w:val="00320218"/>
    <w:rsid w:val="003244EC"/>
    <w:rsid w:val="003332C0"/>
    <w:rsid w:val="00337B04"/>
    <w:rsid w:val="00346519"/>
    <w:rsid w:val="00346C82"/>
    <w:rsid w:val="00391985"/>
    <w:rsid w:val="003A445C"/>
    <w:rsid w:val="003B5E65"/>
    <w:rsid w:val="003C5EA8"/>
    <w:rsid w:val="003D161E"/>
    <w:rsid w:val="004053E3"/>
    <w:rsid w:val="004142DA"/>
    <w:rsid w:val="00422BAF"/>
    <w:rsid w:val="0042378D"/>
    <w:rsid w:val="004314B7"/>
    <w:rsid w:val="00436248"/>
    <w:rsid w:val="00445B68"/>
    <w:rsid w:val="00450731"/>
    <w:rsid w:val="00451933"/>
    <w:rsid w:val="004700BF"/>
    <w:rsid w:val="00474720"/>
    <w:rsid w:val="00476C62"/>
    <w:rsid w:val="00487162"/>
    <w:rsid w:val="00497EC3"/>
    <w:rsid w:val="004A115D"/>
    <w:rsid w:val="004A447D"/>
    <w:rsid w:val="004C2ADF"/>
    <w:rsid w:val="004D1BDA"/>
    <w:rsid w:val="004D41A8"/>
    <w:rsid w:val="004D737F"/>
    <w:rsid w:val="004E2299"/>
    <w:rsid w:val="004F025D"/>
    <w:rsid w:val="005002E8"/>
    <w:rsid w:val="00501813"/>
    <w:rsid w:val="00502AD6"/>
    <w:rsid w:val="0050418C"/>
    <w:rsid w:val="00513F25"/>
    <w:rsid w:val="00516861"/>
    <w:rsid w:val="00517C02"/>
    <w:rsid w:val="005220E5"/>
    <w:rsid w:val="00536A6F"/>
    <w:rsid w:val="005410B4"/>
    <w:rsid w:val="00553331"/>
    <w:rsid w:val="00562863"/>
    <w:rsid w:val="00565F04"/>
    <w:rsid w:val="0057320F"/>
    <w:rsid w:val="00583F5F"/>
    <w:rsid w:val="005840DC"/>
    <w:rsid w:val="00590198"/>
    <w:rsid w:val="005919F9"/>
    <w:rsid w:val="00594CE6"/>
    <w:rsid w:val="005A4D6A"/>
    <w:rsid w:val="005D0B67"/>
    <w:rsid w:val="005D3EDC"/>
    <w:rsid w:val="005E2C1E"/>
    <w:rsid w:val="005F2729"/>
    <w:rsid w:val="005F478B"/>
    <w:rsid w:val="0060670C"/>
    <w:rsid w:val="00606EA9"/>
    <w:rsid w:val="00631541"/>
    <w:rsid w:val="00633530"/>
    <w:rsid w:val="00645446"/>
    <w:rsid w:val="00671F90"/>
    <w:rsid w:val="00673924"/>
    <w:rsid w:val="00681C5A"/>
    <w:rsid w:val="0068278E"/>
    <w:rsid w:val="006E4262"/>
    <w:rsid w:val="006F6F61"/>
    <w:rsid w:val="00700814"/>
    <w:rsid w:val="00700D76"/>
    <w:rsid w:val="00702C15"/>
    <w:rsid w:val="007076ED"/>
    <w:rsid w:val="00712DDF"/>
    <w:rsid w:val="00723763"/>
    <w:rsid w:val="007339F8"/>
    <w:rsid w:val="00737E71"/>
    <w:rsid w:val="00750E1C"/>
    <w:rsid w:val="00754FE5"/>
    <w:rsid w:val="00760FD9"/>
    <w:rsid w:val="00762382"/>
    <w:rsid w:val="007652B5"/>
    <w:rsid w:val="007B27AD"/>
    <w:rsid w:val="007D12E6"/>
    <w:rsid w:val="007E555C"/>
    <w:rsid w:val="007E68F2"/>
    <w:rsid w:val="008142F6"/>
    <w:rsid w:val="00814A38"/>
    <w:rsid w:val="0081579C"/>
    <w:rsid w:val="00831192"/>
    <w:rsid w:val="008312CA"/>
    <w:rsid w:val="00837458"/>
    <w:rsid w:val="00840AF4"/>
    <w:rsid w:val="00874500"/>
    <w:rsid w:val="00880F97"/>
    <w:rsid w:val="008A37B7"/>
    <w:rsid w:val="008A6F6F"/>
    <w:rsid w:val="008A713E"/>
    <w:rsid w:val="008B0F72"/>
    <w:rsid w:val="008D5348"/>
    <w:rsid w:val="008D7587"/>
    <w:rsid w:val="008D7B50"/>
    <w:rsid w:val="008E445F"/>
    <w:rsid w:val="00901CB4"/>
    <w:rsid w:val="00923EF8"/>
    <w:rsid w:val="00933D8E"/>
    <w:rsid w:val="009361C7"/>
    <w:rsid w:val="0094253D"/>
    <w:rsid w:val="009513F7"/>
    <w:rsid w:val="00963F69"/>
    <w:rsid w:val="0096612D"/>
    <w:rsid w:val="00973BAB"/>
    <w:rsid w:val="00974BB7"/>
    <w:rsid w:val="00977FC3"/>
    <w:rsid w:val="00981DB7"/>
    <w:rsid w:val="00983052"/>
    <w:rsid w:val="009B43D8"/>
    <w:rsid w:val="009B710C"/>
    <w:rsid w:val="009B7D11"/>
    <w:rsid w:val="009D1559"/>
    <w:rsid w:val="009F538B"/>
    <w:rsid w:val="00A131BF"/>
    <w:rsid w:val="00A217E1"/>
    <w:rsid w:val="00A24D8B"/>
    <w:rsid w:val="00A3530F"/>
    <w:rsid w:val="00A437D8"/>
    <w:rsid w:val="00A521EA"/>
    <w:rsid w:val="00A56546"/>
    <w:rsid w:val="00A602CC"/>
    <w:rsid w:val="00A60ADC"/>
    <w:rsid w:val="00A847DC"/>
    <w:rsid w:val="00A93785"/>
    <w:rsid w:val="00A95FC2"/>
    <w:rsid w:val="00AA2D27"/>
    <w:rsid w:val="00AC6C6B"/>
    <w:rsid w:val="00AD4680"/>
    <w:rsid w:val="00AE4441"/>
    <w:rsid w:val="00AE4933"/>
    <w:rsid w:val="00AE5A45"/>
    <w:rsid w:val="00AE69F9"/>
    <w:rsid w:val="00AF3CFC"/>
    <w:rsid w:val="00AF5B65"/>
    <w:rsid w:val="00B004C9"/>
    <w:rsid w:val="00B00512"/>
    <w:rsid w:val="00B030E5"/>
    <w:rsid w:val="00B03443"/>
    <w:rsid w:val="00B16538"/>
    <w:rsid w:val="00B210A2"/>
    <w:rsid w:val="00B21532"/>
    <w:rsid w:val="00B32FC0"/>
    <w:rsid w:val="00B55424"/>
    <w:rsid w:val="00B6027E"/>
    <w:rsid w:val="00B6231F"/>
    <w:rsid w:val="00B667E5"/>
    <w:rsid w:val="00B67EC6"/>
    <w:rsid w:val="00B723E9"/>
    <w:rsid w:val="00B8078A"/>
    <w:rsid w:val="00B82633"/>
    <w:rsid w:val="00B913BA"/>
    <w:rsid w:val="00B92AF8"/>
    <w:rsid w:val="00BC77A2"/>
    <w:rsid w:val="00BD194D"/>
    <w:rsid w:val="00BD2FBA"/>
    <w:rsid w:val="00BD4898"/>
    <w:rsid w:val="00BE0533"/>
    <w:rsid w:val="00BF5207"/>
    <w:rsid w:val="00BF5C0E"/>
    <w:rsid w:val="00C04529"/>
    <w:rsid w:val="00C07321"/>
    <w:rsid w:val="00C17AA8"/>
    <w:rsid w:val="00C259BC"/>
    <w:rsid w:val="00C3254E"/>
    <w:rsid w:val="00C33438"/>
    <w:rsid w:val="00C354E2"/>
    <w:rsid w:val="00C35FC9"/>
    <w:rsid w:val="00C502B1"/>
    <w:rsid w:val="00C57CDB"/>
    <w:rsid w:val="00C61751"/>
    <w:rsid w:val="00C707D4"/>
    <w:rsid w:val="00C72AD0"/>
    <w:rsid w:val="00C91018"/>
    <w:rsid w:val="00C97A12"/>
    <w:rsid w:val="00CA3DE3"/>
    <w:rsid w:val="00CC5FAA"/>
    <w:rsid w:val="00CF3561"/>
    <w:rsid w:val="00CF6B1C"/>
    <w:rsid w:val="00CF7319"/>
    <w:rsid w:val="00CF73E1"/>
    <w:rsid w:val="00D072B9"/>
    <w:rsid w:val="00D079CB"/>
    <w:rsid w:val="00D20AFB"/>
    <w:rsid w:val="00D233DA"/>
    <w:rsid w:val="00D24524"/>
    <w:rsid w:val="00D377B7"/>
    <w:rsid w:val="00D41353"/>
    <w:rsid w:val="00D4518F"/>
    <w:rsid w:val="00D4796F"/>
    <w:rsid w:val="00D52203"/>
    <w:rsid w:val="00D52408"/>
    <w:rsid w:val="00D53C01"/>
    <w:rsid w:val="00D709EA"/>
    <w:rsid w:val="00D8207F"/>
    <w:rsid w:val="00DB0903"/>
    <w:rsid w:val="00DC731D"/>
    <w:rsid w:val="00DD0850"/>
    <w:rsid w:val="00DD08C6"/>
    <w:rsid w:val="00DD3B51"/>
    <w:rsid w:val="00DE443E"/>
    <w:rsid w:val="00DE66A9"/>
    <w:rsid w:val="00E178E2"/>
    <w:rsid w:val="00E22F32"/>
    <w:rsid w:val="00E239AA"/>
    <w:rsid w:val="00E508FA"/>
    <w:rsid w:val="00E774A0"/>
    <w:rsid w:val="00E809C8"/>
    <w:rsid w:val="00EA2EDC"/>
    <w:rsid w:val="00EA3BD5"/>
    <w:rsid w:val="00EB082C"/>
    <w:rsid w:val="00EB1D17"/>
    <w:rsid w:val="00EB3E52"/>
    <w:rsid w:val="00EC1053"/>
    <w:rsid w:val="00EC4881"/>
    <w:rsid w:val="00EC7D8D"/>
    <w:rsid w:val="00EF3991"/>
    <w:rsid w:val="00F10488"/>
    <w:rsid w:val="00F10E7E"/>
    <w:rsid w:val="00F22986"/>
    <w:rsid w:val="00F36E84"/>
    <w:rsid w:val="00F42BBE"/>
    <w:rsid w:val="00F44A41"/>
    <w:rsid w:val="00F526BD"/>
    <w:rsid w:val="00F715FB"/>
    <w:rsid w:val="00F8332D"/>
    <w:rsid w:val="00F86376"/>
    <w:rsid w:val="00FC2CCB"/>
    <w:rsid w:val="00FD34EF"/>
    <w:rsid w:val="00FF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1F06E9"/>
  <w15:chartTrackingRefBased/>
  <w15:docId w15:val="{50714CAC-745F-4150-8CEC-742FC907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style>
  <w:style w:type="paragraph" w:customStyle="1" w:styleId="1">
    <w:name w:val="1"/>
    <w:basedOn w:val="Normal"/>
    <w:rPr>
      <w:sz w:val="22"/>
    </w:rPr>
  </w:style>
  <w:style w:type="paragraph" w:styleId="BodyText">
    <w:name w:val="Body Text"/>
    <w:basedOn w:val="Normal"/>
  </w:style>
  <w:style w:type="paragraph" w:customStyle="1" w:styleId="Level1">
    <w:name w:val="Level 1"/>
    <w:basedOn w:val="Normal"/>
    <w:pPr>
      <w:numPr>
        <w:numId w:val="2"/>
      </w:numPr>
      <w:ind w:left="720" w:hanging="720"/>
      <w:outlineLvl w:val="0"/>
    </w:pPr>
  </w:style>
  <w:style w:type="paragraph" w:styleId="BodyTextIndent">
    <w:name w:val="Body Text Indent"/>
    <w:basedOn w:val="Normal"/>
    <w:pPr>
      <w:spacing w:line="288" w:lineRule="auto"/>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B03443"/>
    <w:pPr>
      <w:autoSpaceDE w:val="0"/>
      <w:autoSpaceDN w:val="0"/>
      <w:adjustRightInd w:val="0"/>
    </w:pPr>
    <w:rPr>
      <w:color w:val="000000"/>
      <w:sz w:val="24"/>
      <w:szCs w:val="24"/>
    </w:rPr>
  </w:style>
  <w:style w:type="paragraph" w:styleId="NormalWeb">
    <w:name w:val="Normal (Web)"/>
    <w:basedOn w:val="Normal"/>
    <w:rsid w:val="00DC731D"/>
    <w:pPr>
      <w:widowControl/>
      <w:spacing w:before="100" w:beforeAutospacing="1" w:after="100" w:afterAutospacing="1"/>
    </w:pPr>
    <w:rPr>
      <w:snapToGrid/>
      <w:szCs w:val="24"/>
    </w:rPr>
  </w:style>
  <w:style w:type="character" w:styleId="Hyperlink">
    <w:name w:val="Hyperlink"/>
    <w:rsid w:val="00DC731D"/>
    <w:rPr>
      <w:b/>
      <w:bCs/>
      <w:strike w:val="0"/>
      <w:dstrike w:val="0"/>
      <w:color w:val="C67905"/>
      <w:u w:val="none"/>
      <w:effect w:val="none"/>
    </w:rPr>
  </w:style>
  <w:style w:type="paragraph" w:styleId="ListParagraph">
    <w:name w:val="List Paragraph"/>
    <w:basedOn w:val="Normal"/>
    <w:uiPriority w:val="34"/>
    <w:qFormat/>
    <w:rsid w:val="006F6F61"/>
    <w:pPr>
      <w:ind w:left="720"/>
    </w:pPr>
  </w:style>
  <w:style w:type="paragraph" w:styleId="EndnoteText">
    <w:name w:val="endnote text"/>
    <w:basedOn w:val="Normal"/>
    <w:semiHidden/>
    <w:rsid w:val="00840AF4"/>
    <w:pPr>
      <w:tabs>
        <w:tab w:val="left" w:pos="-720"/>
      </w:tabs>
      <w:suppressAutoHyphens/>
    </w:pPr>
    <w:rPr>
      <w:rFonts w:ascii="Courier" w:hAnsi="Courier"/>
    </w:rPr>
  </w:style>
  <w:style w:type="character" w:styleId="CommentReference">
    <w:name w:val="annotation reference"/>
    <w:rsid w:val="00BD194D"/>
    <w:rPr>
      <w:sz w:val="16"/>
      <w:szCs w:val="16"/>
    </w:rPr>
  </w:style>
  <w:style w:type="paragraph" w:styleId="CommentText">
    <w:name w:val="annotation text"/>
    <w:basedOn w:val="Normal"/>
    <w:link w:val="CommentTextChar"/>
    <w:rsid w:val="00BD194D"/>
    <w:rPr>
      <w:sz w:val="20"/>
    </w:rPr>
  </w:style>
  <w:style w:type="character" w:customStyle="1" w:styleId="CommentTextChar">
    <w:name w:val="Comment Text Char"/>
    <w:link w:val="CommentText"/>
    <w:rsid w:val="00BD194D"/>
    <w:rPr>
      <w:snapToGrid w:val="0"/>
    </w:rPr>
  </w:style>
  <w:style w:type="paragraph" w:styleId="CommentSubject">
    <w:name w:val="annotation subject"/>
    <w:basedOn w:val="CommentText"/>
    <w:next w:val="CommentText"/>
    <w:link w:val="CommentSubjectChar"/>
    <w:rsid w:val="00BD194D"/>
    <w:rPr>
      <w:b/>
      <w:bCs/>
    </w:rPr>
  </w:style>
  <w:style w:type="character" w:customStyle="1" w:styleId="CommentSubjectChar">
    <w:name w:val="Comment Subject Char"/>
    <w:link w:val="CommentSubject"/>
    <w:rsid w:val="00BD194D"/>
    <w:rPr>
      <w:b/>
      <w:bCs/>
      <w:snapToGrid w:val="0"/>
    </w:rPr>
  </w:style>
  <w:style w:type="paragraph" w:styleId="BalloonText">
    <w:name w:val="Balloon Text"/>
    <w:basedOn w:val="Normal"/>
    <w:link w:val="BalloonTextChar"/>
    <w:rsid w:val="00BD194D"/>
    <w:rPr>
      <w:rFonts w:ascii="Tahoma" w:hAnsi="Tahoma" w:cs="Tahoma"/>
      <w:sz w:val="16"/>
      <w:szCs w:val="16"/>
    </w:rPr>
  </w:style>
  <w:style w:type="character" w:customStyle="1" w:styleId="BalloonTextChar">
    <w:name w:val="Balloon Text Char"/>
    <w:link w:val="BalloonText"/>
    <w:rsid w:val="00BD194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01BC-7A9B-4232-A1A3-83DDACEFDACB}">
  <ds:schemaRefs>
    <ds:schemaRef ds:uri="http://schemas.microsoft.com/sharepoint/v3/contenttype/forms"/>
  </ds:schemaRefs>
</ds:datastoreItem>
</file>

<file path=customXml/itemProps2.xml><?xml version="1.0" encoding="utf-8"?>
<ds:datastoreItem xmlns:ds="http://schemas.openxmlformats.org/officeDocument/2006/customXml" ds:itemID="{0EDE144F-9E76-4118-8D56-7708DD15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14232-918D-4F68-A4EB-6FE87DBEEEDE}">
  <ds:schemaRefs>
    <ds:schemaRef ds:uri="http://purl.org/dc/elements/1.1/"/>
    <ds:schemaRef ds:uri="http://schemas.microsoft.com/office/2006/metadata/properties"/>
    <ds:schemaRef ds:uri="9f95d429-340c-4811-a45f-31c852f3d034"/>
    <ds:schemaRef ds:uri="http://purl.org/dc/terms/"/>
    <ds:schemaRef ds:uri="http://schemas.openxmlformats.org/package/2006/metadata/core-properties"/>
    <ds:schemaRef ds:uri="01655a4d-2cd4-434e-b3a7-11cd3eebf0f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C6E6DD7-65A0-4956-8CB9-112C74E0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jenkinss</dc:creator>
  <cp:keywords/>
  <cp:lastModifiedBy>Braswell, Melody (JMD)</cp:lastModifiedBy>
  <cp:revision>2</cp:revision>
  <cp:lastPrinted>2011-06-17T14:21:00Z</cp:lastPrinted>
  <dcterms:created xsi:type="dcterms:W3CDTF">2021-09-29T16:15:00Z</dcterms:created>
  <dcterms:modified xsi:type="dcterms:W3CDTF">2021-09-29T16:15:00Z</dcterms:modified>
</cp:coreProperties>
</file>