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4D9" w:rsidP="00CE34D9" w:rsidRDefault="000F29A1" w14:paraId="4604A69C" w14:textId="3EE2023D">
      <w:pPr>
        <w:jc w:val="center"/>
        <w:outlineLvl w:val="0"/>
      </w:pPr>
      <w:r>
        <w:t>Department of Justice</w:t>
      </w:r>
    </w:p>
    <w:p w:rsidR="00CE34D9" w:rsidP="00CE34D9" w:rsidRDefault="000F29A1" w14:paraId="3B787D59" w14:textId="6E722C42">
      <w:pPr>
        <w:jc w:val="center"/>
        <w:outlineLvl w:val="0"/>
      </w:pPr>
      <w:r>
        <w:t>Bureau of Alcohol, Tobacco, Firearms and Explosives</w:t>
      </w:r>
    </w:p>
    <w:p w:rsidR="00CE34D9" w:rsidP="00CE34D9" w:rsidRDefault="000F29A1" w14:paraId="186D8E89" w14:textId="15D52E8D">
      <w:pPr>
        <w:jc w:val="center"/>
        <w:outlineLvl w:val="0"/>
      </w:pPr>
      <w:r>
        <w:t xml:space="preserve"> Information Collection Request</w:t>
      </w:r>
    </w:p>
    <w:p w:rsidR="00CE34D9" w:rsidP="00CE34D9" w:rsidRDefault="000F29A1" w14:paraId="3E01D105" w14:textId="54AE2D4B">
      <w:pPr>
        <w:jc w:val="center"/>
        <w:outlineLvl w:val="0"/>
      </w:pPr>
      <w:r>
        <w:t>Supporting Statement</w:t>
      </w:r>
    </w:p>
    <w:p w:rsidR="00CE34D9" w:rsidP="00CE34D9" w:rsidRDefault="00CE34D9" w14:paraId="66BC8FF2" w14:textId="77777777">
      <w:pPr>
        <w:jc w:val="center"/>
      </w:pPr>
      <w:r>
        <w:t>OMB 1140-0067</w:t>
      </w:r>
    </w:p>
    <w:p w:rsidR="00CE34D9" w:rsidP="00CE34D9" w:rsidRDefault="00CE34D9" w14:paraId="58B79939" w14:textId="430FA415">
      <w:pPr>
        <w:jc w:val="center"/>
      </w:pPr>
      <w:r>
        <w:t>Licensed Firearms Manufacturers Records of Production, Disposition, and Supporting Data</w:t>
      </w:r>
    </w:p>
    <w:p w:rsidR="00CE34D9" w:rsidP="00CE34D9" w:rsidRDefault="00CE34D9" w14:paraId="167DF61A" w14:textId="77777777">
      <w:pPr>
        <w:jc w:val="center"/>
      </w:pPr>
    </w:p>
    <w:p w:rsidR="00CE34D9" w:rsidP="00CE34D9" w:rsidRDefault="00CE34D9" w14:paraId="7957077A" w14:textId="77777777">
      <w:pPr>
        <w:jc w:val="center"/>
      </w:pPr>
    </w:p>
    <w:p w:rsidR="00CE34D9" w:rsidP="00CE34D9" w:rsidRDefault="00CE34D9" w14:paraId="1AC6D0D4" w14:textId="77777777"/>
    <w:p w:rsidRPr="008F5137" w:rsidR="00CE34D9" w:rsidP="008F5137" w:rsidRDefault="00CE34D9" w14:paraId="58461215" w14:textId="296C4F5D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8F5137">
        <w:rPr>
          <w:b/>
          <w:bCs/>
        </w:rPr>
        <w:t>JUSTIFICATION</w:t>
      </w:r>
    </w:p>
    <w:p w:rsidR="00CE34D9" w:rsidP="00CE34D9" w:rsidRDefault="00CE34D9" w14:paraId="13308AE5" w14:textId="77777777">
      <w:pPr>
        <w:ind w:left="360"/>
      </w:pPr>
    </w:p>
    <w:p w:rsidR="00CE34D9" w:rsidP="008F5137" w:rsidRDefault="00CE34D9" w14:paraId="484D2FCF" w14:textId="77777777">
      <w:pPr>
        <w:ind w:left="360"/>
        <w:rPr>
          <w:u w:val="single"/>
        </w:rPr>
      </w:pPr>
      <w:r>
        <w:t xml:space="preserve">1.   </w:t>
      </w:r>
      <w:r>
        <w:rPr>
          <w:u w:val="single"/>
        </w:rPr>
        <w:t>Necessity of Information Collection</w:t>
      </w:r>
    </w:p>
    <w:p w:rsidR="00CE34D9" w:rsidP="008F5137" w:rsidRDefault="00CE34D9" w14:paraId="542FF004" w14:textId="77777777">
      <w:pPr>
        <w:ind w:left="360"/>
        <w:rPr>
          <w:u w:val="single"/>
        </w:rPr>
      </w:pPr>
    </w:p>
    <w:p w:rsidR="00CE34D9" w:rsidP="008F5137" w:rsidRDefault="00CE34D9" w14:paraId="4E179ECC" w14:textId="3EEF1F95">
      <w:pPr>
        <w:ind w:left="360"/>
      </w:pPr>
      <w:r>
        <w:t xml:space="preserve">Each licensed importer, manufacturer, and dealer shall maintain records of importation, production, shipment, receipt, sale, or other disposition of firearms at </w:t>
      </w:r>
      <w:r w:rsidR="00EA54FF">
        <w:t xml:space="preserve">their </w:t>
      </w:r>
      <w:r>
        <w:t>place</w:t>
      </w:r>
      <w:r w:rsidR="00242037">
        <w:t xml:space="preserve"> of</w:t>
      </w:r>
      <w:r>
        <w:t xml:space="preserve"> business</w:t>
      </w:r>
      <w:r w:rsidR="00242037">
        <w:t>,</w:t>
      </w:r>
      <w:r>
        <w:t xml:space="preserve"> for such period, and in such form, as the</w:t>
      </w:r>
      <w:r w:rsidR="00461759">
        <w:t xml:space="preserve"> United States</w:t>
      </w:r>
      <w:r>
        <w:t xml:space="preserve"> Attorney General may prescribe. These records are required by 18 U</w:t>
      </w:r>
      <w:r w:rsidR="004746DE">
        <w:t>.</w:t>
      </w:r>
      <w:r>
        <w:t>S</w:t>
      </w:r>
      <w:r w:rsidR="004746DE">
        <w:t>.</w:t>
      </w:r>
      <w:r>
        <w:t>C</w:t>
      </w:r>
      <w:r w:rsidR="004746DE">
        <w:t xml:space="preserve">. § </w:t>
      </w:r>
      <w:r>
        <w:t>923(g)(1)(A)</w:t>
      </w:r>
      <w:r w:rsidR="00461759">
        <w:t>,</w:t>
      </w:r>
      <w:r>
        <w:t xml:space="preserve"> and </w:t>
      </w:r>
      <w:r w:rsidR="00EA54FF">
        <w:t>allow</w:t>
      </w:r>
      <w:r>
        <w:t xml:space="preserve"> </w:t>
      </w:r>
      <w:r w:rsidR="00242037">
        <w:t>Bureau of Alcohol, Tobacco, Firearms, and Explosives (</w:t>
      </w:r>
      <w:r>
        <w:t>ATF</w:t>
      </w:r>
      <w:r w:rsidR="00242037">
        <w:t>)</w:t>
      </w:r>
      <w:r w:rsidR="00EA54FF">
        <w:t xml:space="preserve"> personnel</w:t>
      </w:r>
      <w:r>
        <w:t xml:space="preserve"> to inquire into the disposition of any firearm</w:t>
      </w:r>
      <w:r w:rsidR="00242037">
        <w:t>,</w:t>
      </w:r>
      <w:r>
        <w:t xml:space="preserve"> </w:t>
      </w:r>
      <w:r w:rsidR="003D3769">
        <w:t>during</w:t>
      </w:r>
      <w:r>
        <w:t xml:space="preserve"> a criminal investigation (18 U.S.C.</w:t>
      </w:r>
      <w:r w:rsidR="004746DE">
        <w:t xml:space="preserve"> §</w:t>
      </w:r>
      <w:r>
        <w:t xml:space="preserve"> 926(a)(2)). The records are established and maintained by the licensee</w:t>
      </w:r>
      <w:r w:rsidR="00242037">
        <w:t>,</w:t>
      </w:r>
      <w:r>
        <w:t xml:space="preserve"> </w:t>
      </w:r>
      <w:r w:rsidR="004746DE">
        <w:t xml:space="preserve">who </w:t>
      </w:r>
      <w:r>
        <w:t>enter</w:t>
      </w:r>
      <w:r w:rsidR="004746DE">
        <w:t>s</w:t>
      </w:r>
      <w:r>
        <w:t xml:space="preserve"> the required information into the proper record books as prescribed by 27 CFR</w:t>
      </w:r>
      <w:r w:rsidR="00082657">
        <w:t xml:space="preserve"> § </w:t>
      </w:r>
      <w:r>
        <w:t>478.123</w:t>
      </w:r>
      <w:r w:rsidR="003D3769">
        <w:t>,</w:t>
      </w:r>
      <w:r>
        <w:t xml:space="preserve"> which refers to </w:t>
      </w:r>
      <w:bookmarkStart w:name="_Hlk76622402" w:id="0"/>
      <w:r>
        <w:t xml:space="preserve">27 CFR </w:t>
      </w:r>
      <w:r w:rsidR="00082657">
        <w:t xml:space="preserve">§§ </w:t>
      </w:r>
      <w:r>
        <w:t>478.121</w:t>
      </w:r>
      <w:r w:rsidR="004746DE">
        <w:t xml:space="preserve">- </w:t>
      </w:r>
      <w:r>
        <w:t>478.125</w:t>
      </w:r>
      <w:bookmarkEnd w:id="0"/>
      <w:r>
        <w:t xml:space="preserve">. </w:t>
      </w:r>
      <w:r w:rsidR="003D3769">
        <w:t>R</w:t>
      </w:r>
      <w:r>
        <w:t xml:space="preserve">ecords of production, disposition, and supporting data </w:t>
      </w:r>
      <w:r w:rsidR="00EA54FF">
        <w:t xml:space="preserve">may also be used </w:t>
      </w:r>
      <w:r>
        <w:t xml:space="preserve">to </w:t>
      </w:r>
      <w:r w:rsidR="00EA54FF">
        <w:t xml:space="preserve">initiate </w:t>
      </w:r>
      <w:r>
        <w:t>a weapon</w:t>
      </w:r>
      <w:r w:rsidR="00E35C83">
        <w:t>’</w:t>
      </w:r>
      <w:r w:rsidR="00EA54FF">
        <w:t>s</w:t>
      </w:r>
      <w:r>
        <w:t xml:space="preserve"> trace during criminal investigations</w:t>
      </w:r>
      <w:r w:rsidR="003D3769">
        <w:t xml:space="preserve"> and support </w:t>
      </w:r>
      <w:r w:rsidR="00EA54FF">
        <w:t xml:space="preserve">other aspects of </w:t>
      </w:r>
      <w:r>
        <w:t xml:space="preserve">ATF’s </w:t>
      </w:r>
      <w:r w:rsidR="003D3769">
        <w:t xml:space="preserve">law enforcement and regulatory </w:t>
      </w:r>
      <w:r>
        <w:t>mission</w:t>
      </w:r>
      <w:r w:rsidR="003D3769">
        <w:t xml:space="preserve">. These records can be easily reviewed by ATF personnel </w:t>
      </w:r>
      <w:r w:rsidR="00EA54FF">
        <w:t>during compliance inspections that are conducted under the authority of 18 U.S.C. 923 §</w:t>
      </w:r>
      <w:r w:rsidR="00082657">
        <w:t xml:space="preserve">§ </w:t>
      </w:r>
      <w:r w:rsidR="00EA54FF">
        <w:t xml:space="preserve">(g)(1)(A) and (B), </w:t>
      </w:r>
      <w:r w:rsidR="003D3769">
        <w:t xml:space="preserve">with minimal interference </w:t>
      </w:r>
      <w:r w:rsidR="00EA54FF">
        <w:t xml:space="preserve">to </w:t>
      </w:r>
      <w:r w:rsidR="003D3769">
        <w:t>the licensee’s normal business operations</w:t>
      </w:r>
      <w:r w:rsidR="00EA54FF">
        <w:t>.</w:t>
      </w:r>
      <w:r w:rsidR="003D3769">
        <w:t xml:space="preserve"> </w:t>
      </w:r>
    </w:p>
    <w:p w:rsidR="00CE34D9" w:rsidP="008F5137" w:rsidRDefault="00CE34D9" w14:paraId="7B33CDAD" w14:textId="77777777">
      <w:pPr>
        <w:ind w:left="360"/>
      </w:pPr>
    </w:p>
    <w:p w:rsidR="00CE34D9" w:rsidP="008F5137" w:rsidRDefault="00CE34D9" w14:paraId="0D665053" w14:textId="77777777">
      <w:pPr>
        <w:ind w:left="360"/>
        <w:rPr>
          <w:u w:val="single"/>
        </w:rPr>
      </w:pPr>
      <w:r>
        <w:t xml:space="preserve">2. </w:t>
      </w:r>
      <w:r>
        <w:rPr>
          <w:u w:val="single"/>
        </w:rPr>
        <w:t>Needs and uses</w:t>
      </w:r>
    </w:p>
    <w:p w:rsidR="00CE34D9" w:rsidP="008F5137" w:rsidRDefault="00CE34D9" w14:paraId="292437FA" w14:textId="77777777">
      <w:pPr>
        <w:ind w:left="360"/>
        <w:rPr>
          <w:u w:val="single"/>
        </w:rPr>
      </w:pPr>
    </w:p>
    <w:p w:rsidR="00CE34D9" w:rsidP="008F5137" w:rsidRDefault="00DF5627" w14:paraId="6D8431A8" w14:textId="58C8219F">
      <w:pPr>
        <w:ind w:left="360"/>
      </w:pPr>
      <w:r>
        <w:t>Licensees will use the</w:t>
      </w:r>
      <w:r w:rsidR="00CE34D9">
        <w:t xml:space="preserve"> records </w:t>
      </w:r>
      <w:r>
        <w:t xml:space="preserve">associated with this collection </w:t>
      </w:r>
      <w:r w:rsidR="00CE34D9">
        <w:t>for accounting purposes</w:t>
      </w:r>
      <w:r>
        <w:t xml:space="preserve">. ATF personnel will review these records during a </w:t>
      </w:r>
      <w:r w:rsidR="00CE34D9">
        <w:t>criminal investigation</w:t>
      </w:r>
      <w:r w:rsidR="00A72FD7">
        <w:t>, and/</w:t>
      </w:r>
      <w:r w:rsidR="00CE34D9">
        <w:t xml:space="preserve">or </w:t>
      </w:r>
      <w:r>
        <w:t xml:space="preserve">for </w:t>
      </w:r>
      <w:r w:rsidR="00CE34D9">
        <w:t>regulatory compliance with the Gun Control Act of 1968. The</w:t>
      </w:r>
      <w:r>
        <w:t xml:space="preserve"> United States</w:t>
      </w:r>
      <w:r w:rsidR="00CE34D9">
        <w:t xml:space="preserve"> Attorney General may inspect or examine the inventory and records of a licensed importer, manufacturer, or dealer without reasonable cause or warrant</w:t>
      </w:r>
      <w:r w:rsidR="00082657">
        <w:t>,</w:t>
      </w:r>
      <w:r w:rsidR="00CE34D9">
        <w:t xml:space="preserve"> during the course of a criminal investigation of a person</w:t>
      </w:r>
      <w:r w:rsidR="00E35C83">
        <w:t>(s)</w:t>
      </w:r>
      <w:r w:rsidR="00CE34D9">
        <w:t xml:space="preserve"> other than the licensee</w:t>
      </w:r>
      <w:r>
        <w:t xml:space="preserve">, to </w:t>
      </w:r>
      <w:r w:rsidR="00CE34D9">
        <w:t>ensu</w:t>
      </w:r>
      <w:r>
        <w:t>re</w:t>
      </w:r>
      <w:r w:rsidR="00CE34D9">
        <w:t xml:space="preserve"> compliance with the recordkeeping requirements of 18 U</w:t>
      </w:r>
      <w:r w:rsidR="004746DE">
        <w:t>.</w:t>
      </w:r>
      <w:r w:rsidR="00CE34D9">
        <w:t>S</w:t>
      </w:r>
      <w:r w:rsidR="004746DE">
        <w:t>.</w:t>
      </w:r>
      <w:r w:rsidR="00CE34D9">
        <w:t>C</w:t>
      </w:r>
      <w:r w:rsidR="004746DE">
        <w:t xml:space="preserve"> §</w:t>
      </w:r>
      <w:r w:rsidR="00082657">
        <w:t>§</w:t>
      </w:r>
      <w:r w:rsidR="00CE34D9">
        <w:t xml:space="preserve"> 923 (g) (1) (A) and (B). The Attorney General may </w:t>
      </w:r>
      <w:r>
        <w:t xml:space="preserve">also </w:t>
      </w:r>
      <w:r w:rsidR="00CE34D9">
        <w:t xml:space="preserve">inspect or examine records relating to a firearm </w:t>
      </w:r>
      <w:r>
        <w:t>that is to be disposed of</w:t>
      </w:r>
      <w:r w:rsidR="00A72FD7">
        <w:t xml:space="preserve">, </w:t>
      </w:r>
      <w:r>
        <w:t>and/or has been traced to a licensee</w:t>
      </w:r>
      <w:r w:rsidR="00A72FD7">
        <w:t>,</w:t>
      </w:r>
      <w:r>
        <w:t xml:space="preserve"> during the course of </w:t>
      </w:r>
      <w:r w:rsidR="00CE34D9">
        <w:t>a criminal investigation.</w:t>
      </w:r>
    </w:p>
    <w:p w:rsidR="00CE34D9" w:rsidRDefault="00CE34D9" w14:paraId="45353194" w14:textId="77777777"/>
    <w:p w:rsidR="00CE34D9" w:rsidP="008F5137" w:rsidRDefault="00CE34D9" w14:paraId="24BBE76A" w14:textId="77777777">
      <w:pPr>
        <w:ind w:left="360"/>
        <w:rPr>
          <w:u w:val="single"/>
        </w:rPr>
      </w:pPr>
      <w:r>
        <w:t xml:space="preserve">3. </w:t>
      </w:r>
      <w:r>
        <w:rPr>
          <w:u w:val="single"/>
        </w:rPr>
        <w:t>Use of Information Technology</w:t>
      </w:r>
    </w:p>
    <w:p w:rsidR="00CE34D9" w:rsidP="008F5137" w:rsidRDefault="00CE34D9" w14:paraId="57A98F85" w14:textId="77777777">
      <w:pPr>
        <w:ind w:left="360"/>
        <w:rPr>
          <w:u w:val="single"/>
        </w:rPr>
      </w:pPr>
    </w:p>
    <w:p w:rsidR="00CE34D9" w:rsidP="008F5137" w:rsidRDefault="00CE34D9" w14:paraId="1EF3BC22" w14:textId="7899B145">
      <w:pPr>
        <w:ind w:left="360"/>
      </w:pPr>
      <w:r>
        <w:t>The use of automated</w:t>
      </w:r>
      <w:r w:rsidR="008664D8">
        <w:t>,</w:t>
      </w:r>
      <w:r>
        <w:t xml:space="preserve"> electronic</w:t>
      </w:r>
      <w:r w:rsidR="008664D8">
        <w:t>,</w:t>
      </w:r>
      <w:r>
        <w:t xml:space="preserve"> mechanical</w:t>
      </w:r>
      <w:r w:rsidR="008664D8">
        <w:t>,</w:t>
      </w:r>
      <w:r>
        <w:t xml:space="preserve"> or other collection techniques is not required by this information collection</w:t>
      </w:r>
      <w:r w:rsidR="008664D8">
        <w:t>. However</w:t>
      </w:r>
      <w:r>
        <w:t>, pursuant to ATF Rul</w:t>
      </w:r>
      <w:r w:rsidR="008664D8">
        <w:t>ing</w:t>
      </w:r>
      <w:r w:rsidRPr="00464EE8">
        <w:t xml:space="preserve"> </w:t>
      </w:r>
      <w:r w:rsidRPr="00E84F17">
        <w:t>2016-1</w:t>
      </w:r>
      <w:r w:rsidRPr="00464EE8">
        <w:t>,</w:t>
      </w:r>
      <w:r>
        <w:t xml:space="preserve"> maintaining these records electronically is permissible. The</w:t>
      </w:r>
      <w:r w:rsidR="008664D8">
        <w:t>se</w:t>
      </w:r>
      <w:r>
        <w:t xml:space="preserve"> records </w:t>
      </w:r>
      <w:r w:rsidR="008664D8">
        <w:t xml:space="preserve">must be </w:t>
      </w:r>
      <w:r>
        <w:t>kept on the licensee</w:t>
      </w:r>
      <w:r w:rsidR="008664D8">
        <w:t>’s</w:t>
      </w:r>
      <w:r>
        <w:t xml:space="preserve"> business premise and </w:t>
      </w:r>
      <w:r w:rsidR="008664D8">
        <w:t>contain</w:t>
      </w:r>
      <w:r>
        <w:t xml:space="preserve"> specific entries regarding the </w:t>
      </w:r>
      <w:r w:rsidR="00082657">
        <w:t xml:space="preserve">manufacture and </w:t>
      </w:r>
      <w:r>
        <w:t>disposition of firearms.</w:t>
      </w:r>
    </w:p>
    <w:p w:rsidR="00CE34D9" w:rsidP="008F5137" w:rsidRDefault="00CE34D9" w14:paraId="07851D87" w14:textId="77777777">
      <w:pPr>
        <w:ind w:left="360"/>
      </w:pPr>
    </w:p>
    <w:p w:rsidR="00CE34D9" w:rsidP="008F5137" w:rsidRDefault="00CE34D9" w14:paraId="18CA67DD" w14:textId="77777777">
      <w:pPr>
        <w:ind w:left="360"/>
      </w:pPr>
      <w:r>
        <w:lastRenderedPageBreak/>
        <w:t xml:space="preserve">4. </w:t>
      </w:r>
      <w:r>
        <w:rPr>
          <w:u w:val="single"/>
        </w:rPr>
        <w:t>Efforts to Identify Duplication</w:t>
      </w:r>
    </w:p>
    <w:p w:rsidR="00CE34D9" w:rsidP="008F5137" w:rsidRDefault="00CE34D9" w14:paraId="27FF3605" w14:textId="77777777">
      <w:pPr>
        <w:ind w:left="360"/>
      </w:pPr>
    </w:p>
    <w:p w:rsidR="00CE34D9" w:rsidP="008F5137" w:rsidRDefault="00CE34D9" w14:paraId="04C82228" w14:textId="3A95EFEE">
      <w:pPr>
        <w:ind w:left="360"/>
      </w:pPr>
      <w:r>
        <w:t>ATF officer</w:t>
      </w:r>
      <w:r w:rsidR="008F29D0">
        <w:t xml:space="preserve">s must </w:t>
      </w:r>
      <w:r>
        <w:t>ensure</w:t>
      </w:r>
      <w:r w:rsidRPr="008F29D0" w:rsidR="008F29D0">
        <w:t xml:space="preserve"> </w:t>
      </w:r>
      <w:r w:rsidR="008F29D0">
        <w:t xml:space="preserve">that there is no duplication or false entries of licensee records  during </w:t>
      </w:r>
      <w:r>
        <w:t>inspection</w:t>
      </w:r>
      <w:r w:rsidR="008F29D0">
        <w:t>s.</w:t>
      </w:r>
    </w:p>
    <w:p w:rsidR="00CE34D9" w:rsidP="008F5137" w:rsidRDefault="00CE34D9" w14:paraId="0CD2FED3" w14:textId="77777777">
      <w:pPr>
        <w:ind w:left="360"/>
      </w:pPr>
    </w:p>
    <w:p w:rsidR="00CE34D9" w:rsidP="008F5137" w:rsidRDefault="00CE34D9" w14:paraId="1586912A" w14:textId="77777777">
      <w:pPr>
        <w:ind w:left="360"/>
      </w:pPr>
      <w:r>
        <w:t xml:space="preserve">5. </w:t>
      </w:r>
      <w:r>
        <w:rPr>
          <w:u w:val="single"/>
        </w:rPr>
        <w:t>Minimizing Burden on Small Businesses</w:t>
      </w:r>
    </w:p>
    <w:p w:rsidR="00CE34D9" w:rsidP="008F5137" w:rsidRDefault="00CE34D9" w14:paraId="667BA7AF" w14:textId="77777777">
      <w:pPr>
        <w:ind w:left="360"/>
      </w:pPr>
    </w:p>
    <w:p w:rsidR="00CE34D9" w:rsidP="008F5137" w:rsidRDefault="00CE34D9" w14:paraId="30DCE3F4" w14:textId="40B96702">
      <w:pPr>
        <w:ind w:left="360"/>
      </w:pPr>
      <w:r>
        <w:t>This collection does not have any impact on small business</w:t>
      </w:r>
      <w:r w:rsidR="008C4ACC">
        <w:t>es</w:t>
      </w:r>
      <w:r>
        <w:t>.</w:t>
      </w:r>
    </w:p>
    <w:p w:rsidR="00CE34D9" w:rsidP="008F5137" w:rsidRDefault="00CE34D9" w14:paraId="2521D964" w14:textId="77777777">
      <w:pPr>
        <w:ind w:left="360"/>
      </w:pPr>
    </w:p>
    <w:p w:rsidR="00CE34D9" w:rsidP="008F5137" w:rsidRDefault="00CE34D9" w14:paraId="1E9D8B53" w14:textId="77777777">
      <w:pPr>
        <w:ind w:left="360"/>
      </w:pPr>
      <w:r>
        <w:t xml:space="preserve">6. </w:t>
      </w:r>
      <w:r>
        <w:rPr>
          <w:u w:val="single"/>
        </w:rPr>
        <w:t>Consequences of Not Conduction or less frequent Collection</w:t>
      </w:r>
    </w:p>
    <w:p w:rsidR="00CE34D9" w:rsidP="008F5137" w:rsidRDefault="00CE34D9" w14:paraId="1CF6B942" w14:textId="77777777">
      <w:pPr>
        <w:ind w:left="360"/>
      </w:pPr>
    </w:p>
    <w:p w:rsidR="00CE34D9" w:rsidP="008F5137" w:rsidRDefault="008F29D0" w14:paraId="402DE51B" w14:textId="2901F46B">
      <w:pPr>
        <w:ind w:left="360"/>
      </w:pPr>
      <w:r>
        <w:t xml:space="preserve">Without </w:t>
      </w:r>
      <w:r w:rsidR="00CE34D9">
        <w:t>this information collection</w:t>
      </w:r>
      <w:r>
        <w:t>, licensees</w:t>
      </w:r>
      <w:r w:rsidR="00CE34D9">
        <w:t xml:space="preserve"> could</w:t>
      </w:r>
      <w:r>
        <w:t xml:space="preserve"> provide falsified records that </w:t>
      </w:r>
      <w:r w:rsidR="00E35C83">
        <w:t xml:space="preserve">would </w:t>
      </w:r>
      <w:r>
        <w:t>negatively impact</w:t>
      </w:r>
      <w:r w:rsidR="00CE34D9">
        <w:t xml:space="preserve"> criminal investigations. These records are vital to ATF’s </w:t>
      </w:r>
      <w:r>
        <w:t xml:space="preserve">law enforcement </w:t>
      </w:r>
      <w:r w:rsidR="00CE34D9">
        <w:t xml:space="preserve">mission. </w:t>
      </w:r>
    </w:p>
    <w:p w:rsidR="00CE34D9" w:rsidP="008F5137" w:rsidRDefault="00CE34D9" w14:paraId="3BBB0544" w14:textId="77777777">
      <w:pPr>
        <w:ind w:left="360"/>
      </w:pPr>
    </w:p>
    <w:p w:rsidR="00CE34D9" w:rsidP="008F5137" w:rsidRDefault="00CE34D9" w14:paraId="10C5CDFC" w14:textId="77777777">
      <w:pPr>
        <w:ind w:left="360"/>
      </w:pPr>
      <w:r>
        <w:t xml:space="preserve">7.  </w:t>
      </w:r>
      <w:r>
        <w:rPr>
          <w:u w:val="single"/>
        </w:rPr>
        <w:t>Special Circumstances</w:t>
      </w:r>
    </w:p>
    <w:p w:rsidR="00CE34D9" w:rsidP="008F5137" w:rsidRDefault="00CE34D9" w14:paraId="0F7BEC94" w14:textId="77777777">
      <w:pPr>
        <w:ind w:left="360"/>
      </w:pPr>
    </w:p>
    <w:p w:rsidR="00CE34D9" w:rsidP="008F5137" w:rsidRDefault="00CE34D9" w14:paraId="202FADCE" w14:textId="17E024F5">
      <w:pPr>
        <w:ind w:left="360"/>
      </w:pPr>
      <w:r>
        <w:t>There are no special circumstances associated with this information collection. This record</w:t>
      </w:r>
      <w:r w:rsidR="00082657">
        <w:t xml:space="preserve"> retention</w:t>
      </w:r>
      <w:r>
        <w:t xml:space="preserve"> requirement is conducted in a manner consistent with 5 CFR</w:t>
      </w:r>
      <w:r w:rsidR="00082657">
        <w:t xml:space="preserve"> §</w:t>
      </w:r>
      <w:r>
        <w:t xml:space="preserve"> 1320.6.</w:t>
      </w:r>
    </w:p>
    <w:p w:rsidR="00CE34D9" w:rsidP="008F5137" w:rsidRDefault="00CE34D9" w14:paraId="602B689D" w14:textId="77777777">
      <w:pPr>
        <w:ind w:left="360"/>
      </w:pPr>
    </w:p>
    <w:p w:rsidR="00CE34D9" w:rsidP="008F5137" w:rsidRDefault="00CE34D9" w14:paraId="7C593263" w14:textId="77777777">
      <w:pPr>
        <w:ind w:left="360"/>
        <w:rPr>
          <w:u w:val="single"/>
        </w:rPr>
      </w:pPr>
      <w:r>
        <w:t xml:space="preserve">8. </w:t>
      </w:r>
      <w:r>
        <w:rPr>
          <w:u w:val="single"/>
        </w:rPr>
        <w:t>Public Comments and Consultations</w:t>
      </w:r>
    </w:p>
    <w:p w:rsidR="00CE34D9" w:rsidP="008F5137" w:rsidRDefault="00CE34D9" w14:paraId="04EEFAA0" w14:textId="77777777">
      <w:pPr>
        <w:ind w:left="360"/>
      </w:pPr>
    </w:p>
    <w:p w:rsidR="00CE34D9" w:rsidP="008F5137" w:rsidRDefault="001001E6" w14:paraId="5F118CF0" w14:textId="36CD584A">
      <w:pPr>
        <w:ind w:left="360"/>
      </w:pPr>
      <w:r>
        <w:t>One comment</w:t>
      </w:r>
      <w:r w:rsidR="007C71E2">
        <w:t xml:space="preserve"> received during the</w:t>
      </w:r>
      <w:r w:rsidR="008F29D0">
        <w:t xml:space="preserve"> </w:t>
      </w:r>
      <w:r w:rsidRPr="00E84F17" w:rsidR="00CE34D9">
        <w:t>60-day</w:t>
      </w:r>
      <w:r w:rsidR="007C71E2">
        <w:t xml:space="preserve"> Federal Register (FR) notice period</w:t>
      </w:r>
      <w:r>
        <w:t xml:space="preserve"> received a response</w:t>
      </w:r>
      <w:r w:rsidR="007C71E2">
        <w:t xml:space="preserve">. </w:t>
      </w:r>
      <w:r>
        <w:t xml:space="preserve">A </w:t>
      </w:r>
      <w:r w:rsidRPr="00E84F17" w:rsidR="00CE34D9">
        <w:t xml:space="preserve">30-day </w:t>
      </w:r>
      <w:r w:rsidR="007C71E2">
        <w:t>FR notice</w:t>
      </w:r>
      <w:r w:rsidRPr="00E84F17" w:rsidR="00CE34D9">
        <w:t xml:space="preserve"> </w:t>
      </w:r>
      <w:r w:rsidR="008F29D0">
        <w:t>will be</w:t>
      </w:r>
      <w:r w:rsidRPr="00E84F17" w:rsidR="008F29D0">
        <w:t xml:space="preserve"> </w:t>
      </w:r>
      <w:r w:rsidRPr="00E84F17" w:rsidR="00CE34D9">
        <w:t>published to solicit public</w:t>
      </w:r>
      <w:r w:rsidR="00082657">
        <w:t xml:space="preserve"> comments</w:t>
      </w:r>
      <w:r w:rsidRPr="00E84F17" w:rsidR="00CE34D9">
        <w:t xml:space="preserve">.  </w:t>
      </w:r>
    </w:p>
    <w:p w:rsidR="00CE34D9" w:rsidP="008F5137" w:rsidRDefault="00CE34D9" w14:paraId="3F58B199" w14:textId="77777777">
      <w:pPr>
        <w:ind w:left="360"/>
      </w:pPr>
    </w:p>
    <w:p w:rsidR="00CE34D9" w:rsidP="008F5137" w:rsidRDefault="00CE34D9" w14:paraId="48A20F53" w14:textId="77777777">
      <w:pPr>
        <w:ind w:left="360"/>
      </w:pPr>
      <w:r>
        <w:t xml:space="preserve">9. </w:t>
      </w:r>
      <w:r>
        <w:rPr>
          <w:u w:val="single"/>
        </w:rPr>
        <w:t>Provision of Payments or Gifts to Respondents</w:t>
      </w:r>
    </w:p>
    <w:p w:rsidR="00CE34D9" w:rsidP="008F5137" w:rsidRDefault="00CE34D9" w14:paraId="0C32CDB4" w14:textId="77777777">
      <w:pPr>
        <w:ind w:left="360"/>
      </w:pPr>
    </w:p>
    <w:p w:rsidR="00CE34D9" w:rsidP="008F5137" w:rsidRDefault="00CE34D9" w14:paraId="140A311C" w14:textId="77777777">
      <w:pPr>
        <w:ind w:left="360"/>
      </w:pPr>
      <w:r>
        <w:t>No decision of payment or gift is associated with this collection.</w:t>
      </w:r>
    </w:p>
    <w:p w:rsidR="00CE34D9" w:rsidP="008F5137" w:rsidRDefault="00CE34D9" w14:paraId="660AB3EB" w14:textId="77777777">
      <w:pPr>
        <w:ind w:left="360"/>
      </w:pPr>
    </w:p>
    <w:p w:rsidR="00CE34D9" w:rsidP="008F5137" w:rsidRDefault="00CE34D9" w14:paraId="43A539C7" w14:textId="77777777">
      <w:pPr>
        <w:ind w:left="360"/>
        <w:rPr>
          <w:u w:val="single"/>
        </w:rPr>
      </w:pPr>
      <w:r>
        <w:t xml:space="preserve">10. </w:t>
      </w:r>
      <w:r>
        <w:rPr>
          <w:u w:val="single"/>
        </w:rPr>
        <w:t>Assurance of confidentiality</w:t>
      </w:r>
    </w:p>
    <w:p w:rsidR="00CE34D9" w:rsidP="008F5137" w:rsidRDefault="00CE34D9" w14:paraId="34A6675A" w14:textId="77777777">
      <w:pPr>
        <w:ind w:left="360"/>
      </w:pPr>
    </w:p>
    <w:p w:rsidR="00CE34D9" w:rsidP="008F5137" w:rsidRDefault="00CE34D9" w14:paraId="6ED7BC49" w14:textId="157DBBFD">
      <w:pPr>
        <w:ind w:left="360"/>
      </w:pPr>
      <w:r>
        <w:t xml:space="preserve">These records are maintained at the premises of the licensee in a secured location. Only cleared ATF investigators have access to </w:t>
      </w:r>
      <w:r w:rsidR="00421FF7">
        <w:t>these records</w:t>
      </w:r>
      <w:r>
        <w:t>. Confidentiality is not assured.</w:t>
      </w:r>
    </w:p>
    <w:p w:rsidR="00CE34D9" w:rsidP="008F5137" w:rsidRDefault="00CE34D9" w14:paraId="655F3F7E" w14:textId="77777777">
      <w:pPr>
        <w:ind w:left="360"/>
      </w:pPr>
    </w:p>
    <w:p w:rsidR="00CE34D9" w:rsidP="008F5137" w:rsidRDefault="00CE34D9" w14:paraId="1213B219" w14:textId="77777777">
      <w:pPr>
        <w:ind w:left="360"/>
      </w:pPr>
      <w:r>
        <w:t xml:space="preserve">11. </w:t>
      </w:r>
      <w:r>
        <w:rPr>
          <w:u w:val="single"/>
        </w:rPr>
        <w:t>Justification for Sensitive Questions</w:t>
      </w:r>
    </w:p>
    <w:p w:rsidR="00CE34D9" w:rsidP="008F5137" w:rsidRDefault="00CE34D9" w14:paraId="18A41D16" w14:textId="77777777">
      <w:pPr>
        <w:ind w:left="360"/>
      </w:pPr>
    </w:p>
    <w:p w:rsidR="00CE34D9" w:rsidP="008F5137" w:rsidRDefault="00986B01" w14:paraId="6AFC8AB7" w14:textId="5959F3E9">
      <w:pPr>
        <w:ind w:left="360"/>
      </w:pPr>
      <w:r>
        <w:t>Business owners</w:t>
      </w:r>
      <w:r w:rsidR="00CE34D9">
        <w:t xml:space="preserve"> are not required to maintain records of a sensitive nature.</w:t>
      </w:r>
    </w:p>
    <w:p w:rsidR="00CE34D9" w:rsidP="008F5137" w:rsidRDefault="00CE34D9" w14:paraId="75627162" w14:textId="77777777">
      <w:pPr>
        <w:ind w:left="360"/>
      </w:pPr>
    </w:p>
    <w:p w:rsidR="00CE34D9" w:rsidP="008F5137" w:rsidRDefault="00CE34D9" w14:paraId="5CA4B3D0" w14:textId="086B3047">
      <w:pPr>
        <w:ind w:left="360"/>
        <w:rPr>
          <w:u w:val="single"/>
        </w:rPr>
      </w:pPr>
      <w:r>
        <w:t xml:space="preserve">12. </w:t>
      </w:r>
      <w:r>
        <w:rPr>
          <w:u w:val="single"/>
        </w:rPr>
        <w:t xml:space="preserve">Estimate </w:t>
      </w:r>
      <w:r w:rsidR="008C4ACC">
        <w:rPr>
          <w:u w:val="single"/>
        </w:rPr>
        <w:t xml:space="preserve">of </w:t>
      </w:r>
      <w:r>
        <w:rPr>
          <w:u w:val="single"/>
        </w:rPr>
        <w:t>Respondent</w:t>
      </w:r>
      <w:r w:rsidR="008C4ACC">
        <w:rPr>
          <w:u w:val="single"/>
        </w:rPr>
        <w:t>’</w:t>
      </w:r>
      <w:r>
        <w:rPr>
          <w:u w:val="single"/>
        </w:rPr>
        <w:t>s Burden</w:t>
      </w:r>
    </w:p>
    <w:p w:rsidR="00CE34D9" w:rsidP="008F5137" w:rsidRDefault="00CE34D9" w14:paraId="35930C1A" w14:textId="77777777">
      <w:pPr>
        <w:ind w:left="360"/>
      </w:pPr>
    </w:p>
    <w:p w:rsidRPr="00AB3CDD" w:rsidR="00CE34D9" w:rsidP="008F5137" w:rsidRDefault="00CE34D9" w14:paraId="65441D9B" w14:textId="628C6EFA">
      <w:pPr>
        <w:ind w:left="360"/>
      </w:pPr>
      <w:r w:rsidRPr="00AB3CDD">
        <w:t xml:space="preserve">ATF estimates that </w:t>
      </w:r>
      <w:r w:rsidRPr="003517DE">
        <w:t xml:space="preserve">approximately </w:t>
      </w:r>
      <w:r>
        <w:t>10,513</w:t>
      </w:r>
      <w:r w:rsidRPr="00464EE8">
        <w:t xml:space="preserve"> firearm manufacturers will respond to this collection regarding </w:t>
      </w:r>
      <w:r w:rsidR="00082657">
        <w:t>some</w:t>
      </w:r>
      <w:r w:rsidRPr="00464EE8">
        <w:t xml:space="preserve"> </w:t>
      </w:r>
      <w:r>
        <w:t>7,188,649</w:t>
      </w:r>
      <w:r w:rsidRPr="00464EE8">
        <w:t xml:space="preserve"> firearms</w:t>
      </w:r>
      <w:r w:rsidRPr="00AB3CDD">
        <w:t xml:space="preserve"> that are produced each year.  It is estimated that 7% of the respondents are larger manufacturers that produce 95% (</w:t>
      </w:r>
      <w:r>
        <w:t>6,829,217</w:t>
      </w:r>
      <w:r w:rsidRPr="00AB3CDD">
        <w:t xml:space="preserve">) of </w:t>
      </w:r>
      <w:r w:rsidR="00A16583">
        <w:t xml:space="preserve">all </w:t>
      </w:r>
      <w:r w:rsidRPr="00AB3CDD">
        <w:t>firearms. Due to</w:t>
      </w:r>
      <w:r w:rsidR="00986B01">
        <w:t xml:space="preserve"> the use of an </w:t>
      </w:r>
      <w:r w:rsidRPr="00AB3CDD">
        <w:t xml:space="preserve">efficient computer record systems by the larger manufacturers, it is estimated that it will take approximately </w:t>
      </w:r>
      <w:r w:rsidR="00A16583">
        <w:t>1.06 minutes</w:t>
      </w:r>
      <w:r w:rsidRPr="00AB3CDD">
        <w:t xml:space="preserve"> (.017</w:t>
      </w:r>
      <w:r w:rsidR="00A16583">
        <w:t>6728</w:t>
      </w:r>
      <w:r w:rsidRPr="00AB3CDD">
        <w:t xml:space="preserve"> hours</w:t>
      </w:r>
      <w:r w:rsidR="00A16583">
        <w:t>)</w:t>
      </w:r>
      <w:r w:rsidRPr="00AB3CDD">
        <w:t xml:space="preserve"> to record the required data</w:t>
      </w:r>
      <w:r w:rsidR="00986B01">
        <w:t xml:space="preserve"> for this collection:</w:t>
      </w:r>
    </w:p>
    <w:p w:rsidRPr="00AB3CDD" w:rsidR="00CE34D9" w:rsidP="008F5137" w:rsidRDefault="00CE34D9" w14:paraId="0130AD30" w14:textId="77777777">
      <w:pPr>
        <w:ind w:left="360"/>
      </w:pPr>
    </w:p>
    <w:p w:rsidRPr="00AB3CDD" w:rsidR="00CE34D9" w:rsidP="008F5137" w:rsidRDefault="00CE34D9" w14:paraId="4370B0CD" w14:textId="77777777">
      <w:pPr>
        <w:ind w:left="360"/>
      </w:pPr>
      <w:r>
        <w:t>6,829,217 *</w:t>
      </w:r>
      <w:r w:rsidRPr="00AB3CDD">
        <w:t xml:space="preserve"> .017 hours </w:t>
      </w:r>
      <w:r>
        <w:t>= 113,820</w:t>
      </w:r>
      <w:r w:rsidRPr="00AB3CDD">
        <w:t xml:space="preserve"> hours.</w:t>
      </w:r>
      <w:r>
        <w:t xml:space="preserve"> </w:t>
      </w:r>
    </w:p>
    <w:p w:rsidRPr="00AB3CDD" w:rsidR="00CE34D9" w:rsidP="008F5137" w:rsidRDefault="00CE34D9" w14:paraId="553B8250" w14:textId="77777777">
      <w:pPr>
        <w:ind w:left="360"/>
      </w:pPr>
    </w:p>
    <w:p w:rsidRPr="00AB3CDD" w:rsidR="00CE34D9" w:rsidP="008F5137" w:rsidRDefault="00CE34D9" w14:paraId="67031432" w14:textId="30440F63">
      <w:pPr>
        <w:ind w:left="360"/>
      </w:pPr>
      <w:r w:rsidRPr="00AB3CDD">
        <w:t xml:space="preserve">It is estimated that the remaining </w:t>
      </w:r>
      <w:r>
        <w:t>359,432</w:t>
      </w:r>
      <w:r w:rsidRPr="00AB3CDD">
        <w:t xml:space="preserve"> firearms can be recorded in approximately two minutes (.033 hours)</w:t>
      </w:r>
      <w:r>
        <w:t>, which equals 11,981 hours</w:t>
      </w:r>
      <w:r w:rsidR="00986B01">
        <w:t>:</w:t>
      </w:r>
      <w:r>
        <w:t xml:space="preserve"> </w:t>
      </w:r>
    </w:p>
    <w:p w:rsidRPr="00AB3CDD" w:rsidR="00CE34D9" w:rsidP="008F5137" w:rsidRDefault="00CE34D9" w14:paraId="7C2AB9E5" w14:textId="77777777">
      <w:pPr>
        <w:ind w:left="360"/>
      </w:pPr>
    </w:p>
    <w:p w:rsidRPr="00AB3CDD" w:rsidR="00CE34D9" w:rsidP="008F5137" w:rsidRDefault="00CE34D9" w14:paraId="0E2A9070" w14:textId="77777777">
      <w:pPr>
        <w:ind w:left="360"/>
      </w:pPr>
      <w:r>
        <w:t>359,432 *</w:t>
      </w:r>
      <w:r w:rsidRPr="00AB3CDD">
        <w:t xml:space="preserve"> .</w:t>
      </w:r>
      <w:r>
        <w:t>0</w:t>
      </w:r>
      <w:r w:rsidRPr="00AB3CDD">
        <w:t xml:space="preserve">33 hours </w:t>
      </w:r>
      <w:r>
        <w:t>= 11,981 hours</w:t>
      </w:r>
      <w:r w:rsidRPr="00AB3CDD">
        <w:t>.</w:t>
      </w:r>
    </w:p>
    <w:p w:rsidRPr="00AB3CDD" w:rsidR="00CE34D9" w:rsidP="008F5137" w:rsidRDefault="00CE34D9" w14:paraId="11F3D11D" w14:textId="77777777">
      <w:pPr>
        <w:ind w:left="360"/>
      </w:pPr>
    </w:p>
    <w:p w:rsidRPr="00AB3CDD" w:rsidR="00CE34D9" w:rsidP="008F5137" w:rsidRDefault="00CE34D9" w14:paraId="51A9F065" w14:textId="619F330B">
      <w:pPr>
        <w:ind w:left="360"/>
      </w:pPr>
      <w:r w:rsidRPr="00AB3CDD">
        <w:t xml:space="preserve">The total time </w:t>
      </w:r>
      <w:r w:rsidR="008C4ACC">
        <w:t xml:space="preserve">to </w:t>
      </w:r>
      <w:r w:rsidRPr="00AB3CDD">
        <w:t>record</w:t>
      </w:r>
      <w:r w:rsidR="008C4ACC">
        <w:t xml:space="preserve"> </w:t>
      </w:r>
      <w:r w:rsidRPr="00AB3CDD">
        <w:t>the required information is:</w:t>
      </w:r>
    </w:p>
    <w:p w:rsidRPr="00AB3CDD" w:rsidR="00CE34D9" w:rsidP="008F5137" w:rsidRDefault="00CE34D9" w14:paraId="7F7828A1" w14:textId="77777777">
      <w:pPr>
        <w:ind w:left="360"/>
      </w:pPr>
    </w:p>
    <w:p w:rsidRPr="00AB3CDD" w:rsidR="00CE34D9" w:rsidP="008F5137" w:rsidRDefault="00CE34D9" w14:paraId="3FBBB5CE" w14:textId="0B21E3CD">
      <w:pPr>
        <w:ind w:left="360"/>
      </w:pPr>
      <w:r>
        <w:t>113,820</w:t>
      </w:r>
      <w:r w:rsidRPr="00AB3CDD">
        <w:t xml:space="preserve"> hours </w:t>
      </w:r>
      <w:r w:rsidR="00A16583">
        <w:t xml:space="preserve">+ </w:t>
      </w:r>
      <w:r>
        <w:t xml:space="preserve">59,432 </w:t>
      </w:r>
      <w:r w:rsidRPr="00AB3CDD">
        <w:t>hours</w:t>
      </w:r>
      <w:r w:rsidR="00A16583">
        <w:t xml:space="preserve"> =</w:t>
      </w:r>
      <w:r w:rsidRPr="00AB3CDD">
        <w:t xml:space="preserve"> </w:t>
      </w:r>
      <w:r>
        <w:t>125,801</w:t>
      </w:r>
      <w:r w:rsidRPr="00AB3CDD">
        <w:t xml:space="preserve"> hours</w:t>
      </w:r>
      <w:r>
        <w:t xml:space="preserve">. </w:t>
      </w:r>
    </w:p>
    <w:p w:rsidRPr="00AB3CDD" w:rsidR="00CE34D9" w:rsidP="008F5137" w:rsidRDefault="00CE34D9" w14:paraId="1F3A697E" w14:textId="77777777">
      <w:pPr>
        <w:ind w:left="360"/>
      </w:pPr>
    </w:p>
    <w:p w:rsidRPr="00AB3CDD" w:rsidR="00CE34D9" w:rsidP="008F5137" w:rsidRDefault="00CE34D9" w14:paraId="1EEDCF75" w14:textId="77777777">
      <w:pPr>
        <w:ind w:left="360"/>
      </w:pPr>
      <w:r w:rsidRPr="00AB3CDD">
        <w:t xml:space="preserve">The estimated total number of responses is </w:t>
      </w:r>
      <w:r>
        <w:t>7,118,649</w:t>
      </w:r>
      <w:r w:rsidRPr="00AB3CDD">
        <w:t>.</w:t>
      </w:r>
    </w:p>
    <w:p w:rsidRPr="00AB3CDD" w:rsidR="00CE34D9" w:rsidP="008F5137" w:rsidRDefault="00242037" w14:paraId="243C7653" w14:textId="6938DDCE">
      <w:pPr>
        <w:ind w:left="360"/>
      </w:pPr>
      <w:r>
        <w:t>I</w:t>
      </w:r>
      <w:r w:rsidRPr="00AB3CDD" w:rsidR="00CE34D9">
        <w:t xml:space="preserve">t takes approximately </w:t>
      </w:r>
      <w:r w:rsidR="00CE34D9">
        <w:t>1.</w:t>
      </w:r>
      <w:r w:rsidR="001778D8">
        <w:t>06</w:t>
      </w:r>
      <w:r w:rsidRPr="00AB3CDD" w:rsidR="001778D8">
        <w:t xml:space="preserve"> </w:t>
      </w:r>
      <w:r w:rsidRPr="00AB3CDD" w:rsidR="00CE34D9">
        <w:t>minutes</w:t>
      </w:r>
      <w:r w:rsidR="00A16583">
        <w:t xml:space="preserve"> </w:t>
      </w:r>
      <w:r w:rsidRPr="00AB3CDD" w:rsidR="00A16583">
        <w:t>(.017</w:t>
      </w:r>
      <w:r w:rsidR="00A16583">
        <w:t>6728</w:t>
      </w:r>
      <w:r w:rsidRPr="00AB3CDD" w:rsidR="00A16583">
        <w:t xml:space="preserve"> hours</w:t>
      </w:r>
      <w:r w:rsidR="00A16583">
        <w:t>)</w:t>
      </w:r>
      <w:r>
        <w:t xml:space="preserve"> to prepare a response to this collection</w:t>
      </w:r>
      <w:r w:rsidRPr="00AB3CDD" w:rsidR="00CE34D9">
        <w:t>.</w:t>
      </w:r>
    </w:p>
    <w:p w:rsidR="00CE34D9" w:rsidP="008F5137" w:rsidRDefault="00CE34D9" w14:paraId="3E94182F" w14:textId="56328066">
      <w:pPr>
        <w:ind w:left="360"/>
      </w:pPr>
      <w:r w:rsidRPr="00AB3CDD">
        <w:t xml:space="preserve">The estimated total burden for this collection is </w:t>
      </w:r>
      <w:r>
        <w:t>125,801</w:t>
      </w:r>
      <w:r w:rsidRPr="00AB3CDD">
        <w:t xml:space="preserve"> hours.</w:t>
      </w:r>
    </w:p>
    <w:p w:rsidR="00E53CF2" w:rsidP="008F5137" w:rsidRDefault="00CE34D9" w14:paraId="629B9BD1" w14:textId="77777777">
      <w:pPr>
        <w:ind w:left="360"/>
      </w:pPr>
      <w:r>
        <w:t xml:space="preserve"> </w:t>
      </w:r>
    </w:p>
    <w:p w:rsidR="00CE34D9" w:rsidP="008F5137" w:rsidRDefault="00CE34D9" w14:paraId="5270883B" w14:textId="51B9DE8D">
      <w:pPr>
        <w:ind w:left="360"/>
      </w:pPr>
      <w:r>
        <w:t xml:space="preserve">13.  </w:t>
      </w:r>
      <w:r>
        <w:rPr>
          <w:u w:val="single"/>
        </w:rPr>
        <w:t>Estimate of Cost Burden</w:t>
      </w:r>
    </w:p>
    <w:p w:rsidR="00CE34D9" w:rsidP="008F5137" w:rsidRDefault="00CE34D9" w14:paraId="42273260" w14:textId="77777777">
      <w:pPr>
        <w:ind w:left="360"/>
      </w:pPr>
    </w:p>
    <w:p w:rsidR="00090065" w:rsidP="008F5137" w:rsidRDefault="008F5137" w14:paraId="2B42A9CC" w14:textId="5B8E1A4C">
      <w:pPr>
        <w:ind w:left="360"/>
      </w:pPr>
      <w:r>
        <w:t>There is no cost associated with this collection as respondent</w:t>
      </w:r>
      <w:r w:rsidR="00090065">
        <w:t>s maintain the</w:t>
      </w:r>
      <w:r w:rsidR="00A16583">
        <w:t xml:space="preserve"> required</w:t>
      </w:r>
      <w:r>
        <w:t xml:space="preserve"> records on the</w:t>
      </w:r>
      <w:r w:rsidR="00090065">
        <w:t>ir</w:t>
      </w:r>
      <w:r>
        <w:t xml:space="preserve"> </w:t>
      </w:r>
      <w:r w:rsidR="00090065">
        <w:t xml:space="preserve">business </w:t>
      </w:r>
      <w:r>
        <w:t xml:space="preserve">premises.  </w:t>
      </w:r>
    </w:p>
    <w:p w:rsidR="00090065" w:rsidP="008F5137" w:rsidRDefault="00090065" w14:paraId="2E1D8CAC" w14:textId="77777777">
      <w:pPr>
        <w:ind w:left="360"/>
      </w:pPr>
    </w:p>
    <w:p w:rsidR="00CE34D9" w:rsidP="008F5137" w:rsidRDefault="00CE34D9" w14:paraId="2B8EA435" w14:textId="3778BDFE">
      <w:pPr>
        <w:ind w:left="360"/>
      </w:pPr>
      <w:r>
        <w:t xml:space="preserve">14. </w:t>
      </w:r>
      <w:r>
        <w:rPr>
          <w:u w:val="single"/>
        </w:rPr>
        <w:t>Costs to Federal Government</w:t>
      </w:r>
    </w:p>
    <w:p w:rsidR="00CE34D9" w:rsidP="008F5137" w:rsidRDefault="00CE34D9" w14:paraId="1A3E5DE6" w14:textId="77777777">
      <w:pPr>
        <w:ind w:left="360"/>
      </w:pPr>
    </w:p>
    <w:p w:rsidR="00CE34D9" w:rsidP="008F5137" w:rsidRDefault="00CE34D9" w14:paraId="65A4EF75" w14:textId="77777777">
      <w:pPr>
        <w:ind w:left="360"/>
      </w:pPr>
      <w:r>
        <w:t>There is no cost to the Federal Government.</w:t>
      </w:r>
    </w:p>
    <w:p w:rsidR="00CE34D9" w:rsidP="008F5137" w:rsidRDefault="00CE34D9" w14:paraId="03835079" w14:textId="77777777">
      <w:pPr>
        <w:ind w:left="360"/>
      </w:pPr>
    </w:p>
    <w:p w:rsidR="00CE34D9" w:rsidP="008F5137" w:rsidRDefault="00CE34D9" w14:paraId="5FB2D3D3" w14:textId="77777777">
      <w:pPr>
        <w:ind w:left="360"/>
      </w:pPr>
      <w:r>
        <w:t xml:space="preserve">15.  </w:t>
      </w:r>
      <w:r>
        <w:rPr>
          <w:u w:val="single"/>
        </w:rPr>
        <w:t>Reason for Change in Burden</w:t>
      </w:r>
    </w:p>
    <w:p w:rsidR="00CE34D9" w:rsidP="008F5137" w:rsidRDefault="00CE34D9" w14:paraId="6A752363" w14:textId="77777777">
      <w:pPr>
        <w:ind w:left="360"/>
      </w:pPr>
    </w:p>
    <w:p w:rsidR="00CE34D9" w:rsidP="008F5137" w:rsidRDefault="00090065" w14:paraId="2ADB6FB9" w14:textId="1910808E">
      <w:pPr>
        <w:ind w:left="360"/>
      </w:pPr>
      <w:r>
        <w:t>The increase in the total respondents by 1,467</w:t>
      </w:r>
      <w:r w:rsidR="00592A89">
        <w:t>,</w:t>
      </w:r>
      <w:r>
        <w:t xml:space="preserve"> is due to more </w:t>
      </w:r>
      <w:r w:rsidR="00CE34D9">
        <w:t>firearms manufacturers respond</w:t>
      </w:r>
      <w:r>
        <w:t>ing</w:t>
      </w:r>
      <w:r w:rsidR="00CE34D9">
        <w:t xml:space="preserve"> to this collection</w:t>
      </w:r>
      <w:r>
        <w:t>. However</w:t>
      </w:r>
      <w:r w:rsidR="00505D39">
        <w:t xml:space="preserve">, </w:t>
      </w:r>
      <w:r>
        <w:t xml:space="preserve">the total responses and burden hours </w:t>
      </w:r>
      <w:r w:rsidR="00592A89">
        <w:t>decreased by</w:t>
      </w:r>
      <w:r>
        <w:t xml:space="preserve"> 4,378,792 and 75,404</w:t>
      </w:r>
      <w:r w:rsidR="00C1106B">
        <w:t xml:space="preserve"> hours</w:t>
      </w:r>
      <w:r>
        <w:t xml:space="preserve"> respectively</w:t>
      </w:r>
      <w:r w:rsidR="00A16583">
        <w:t>,</w:t>
      </w:r>
      <w:r>
        <w:t xml:space="preserve"> because less firearms were produced</w:t>
      </w:r>
      <w:r w:rsidR="00592A89">
        <w:t xml:space="preserve"> since the last renewal</w:t>
      </w:r>
      <w:r w:rsidR="00242037">
        <w:t xml:space="preserve"> of this collection</w:t>
      </w:r>
      <w:r w:rsidR="00592A89">
        <w:t xml:space="preserve"> in 2018</w:t>
      </w:r>
      <w:r>
        <w:t xml:space="preserve">. </w:t>
      </w:r>
    </w:p>
    <w:p w:rsidR="00CE34D9" w:rsidP="00090065" w:rsidRDefault="00CE34D9" w14:paraId="3F59CF1E" w14:textId="77777777"/>
    <w:p w:rsidR="00CE34D9" w:rsidP="008F5137" w:rsidRDefault="00CE34D9" w14:paraId="736B939A" w14:textId="77777777">
      <w:pPr>
        <w:ind w:left="360"/>
      </w:pPr>
      <w:r>
        <w:t xml:space="preserve">16. </w:t>
      </w:r>
      <w:r>
        <w:rPr>
          <w:u w:val="single"/>
        </w:rPr>
        <w:t>Anticipated Publication Plan and Schedule</w:t>
      </w:r>
    </w:p>
    <w:p w:rsidR="00CE34D9" w:rsidP="008F5137" w:rsidRDefault="00CE34D9" w14:paraId="010A75C2" w14:textId="77777777">
      <w:pPr>
        <w:ind w:left="360"/>
      </w:pPr>
    </w:p>
    <w:p w:rsidR="00CE34D9" w:rsidP="008F5137" w:rsidRDefault="00CE34D9" w14:paraId="09543BDE" w14:textId="77777777">
      <w:pPr>
        <w:ind w:left="360"/>
      </w:pPr>
      <w:r>
        <w:t>The results of this collection will not be published.</w:t>
      </w:r>
    </w:p>
    <w:p w:rsidR="00CE34D9" w:rsidP="008F5137" w:rsidRDefault="00CE34D9" w14:paraId="7F896373" w14:textId="77777777">
      <w:pPr>
        <w:ind w:left="360"/>
      </w:pPr>
    </w:p>
    <w:p w:rsidR="00CE34D9" w:rsidP="008F5137" w:rsidRDefault="00CE34D9" w14:paraId="54B93A22" w14:textId="77777777">
      <w:pPr>
        <w:ind w:left="360"/>
      </w:pPr>
      <w:r>
        <w:t xml:space="preserve">17.  </w:t>
      </w:r>
      <w:r>
        <w:rPr>
          <w:u w:val="single"/>
        </w:rPr>
        <w:t>Display of Expiration Date</w:t>
      </w:r>
    </w:p>
    <w:p w:rsidR="00CE34D9" w:rsidP="008F5137" w:rsidRDefault="00CE34D9" w14:paraId="60F81C9E" w14:textId="77777777">
      <w:pPr>
        <w:ind w:left="360"/>
      </w:pPr>
    </w:p>
    <w:p w:rsidR="00CE34D9" w:rsidP="008F5137" w:rsidRDefault="00CE34D9" w14:paraId="296EB350" w14:textId="1D7579EC">
      <w:pPr>
        <w:ind w:left="360"/>
      </w:pPr>
      <w:r>
        <w:t xml:space="preserve">ATF does not request approval to not display the expiration date for </w:t>
      </w:r>
      <w:r w:rsidR="00C1106B">
        <w:t>Office of Management and Budget</w:t>
      </w:r>
      <w:r>
        <w:t xml:space="preserve"> approval of the information for this collection.</w:t>
      </w:r>
    </w:p>
    <w:p w:rsidR="00CE34D9" w:rsidP="008F5137" w:rsidRDefault="00CE34D9" w14:paraId="16E1DCB5" w14:textId="77777777">
      <w:pPr>
        <w:ind w:left="360"/>
      </w:pPr>
    </w:p>
    <w:p w:rsidR="00CE34D9" w:rsidP="008F5137" w:rsidRDefault="00CE34D9" w14:paraId="71DCBAA8" w14:textId="77777777">
      <w:pPr>
        <w:ind w:left="360"/>
      </w:pPr>
      <w:r>
        <w:t xml:space="preserve">18.  </w:t>
      </w:r>
      <w:r>
        <w:rPr>
          <w:u w:val="single"/>
        </w:rPr>
        <w:t>Exception to the Certification Statement</w:t>
      </w:r>
    </w:p>
    <w:p w:rsidR="00CE34D9" w:rsidP="008F5137" w:rsidRDefault="00CE34D9" w14:paraId="3BF1B3FF" w14:textId="77777777">
      <w:pPr>
        <w:ind w:left="360"/>
      </w:pPr>
    </w:p>
    <w:p w:rsidR="00CE34D9" w:rsidP="008F5137" w:rsidRDefault="00CE34D9" w14:paraId="429305F1" w14:textId="408A5173">
      <w:pPr>
        <w:ind w:left="360"/>
      </w:pPr>
      <w:r>
        <w:t>There are no exceptions to the certification statement.</w:t>
      </w:r>
    </w:p>
    <w:p w:rsidR="00986B01" w:rsidP="008F5137" w:rsidRDefault="00986B01" w14:paraId="15638072" w14:textId="77777777">
      <w:pPr>
        <w:ind w:left="360"/>
      </w:pPr>
    </w:p>
    <w:p w:rsidR="00CE34D9" w:rsidP="00CE34D9" w:rsidRDefault="00CE34D9" w14:paraId="1D57D342" w14:textId="77777777"/>
    <w:p w:rsidRPr="008F5137" w:rsidR="00CE34D9" w:rsidP="00CE34D9" w:rsidRDefault="00CE34D9" w14:paraId="4D50433F" w14:textId="77777777">
      <w:pPr>
        <w:rPr>
          <w:b/>
          <w:bCs/>
        </w:rPr>
      </w:pPr>
      <w:r w:rsidRPr="008F5137">
        <w:rPr>
          <w:b/>
          <w:bCs/>
        </w:rPr>
        <w:lastRenderedPageBreak/>
        <w:t>B.  STATISTICAL METHODS</w:t>
      </w:r>
    </w:p>
    <w:p w:rsidR="00CE34D9" w:rsidP="00CE34D9" w:rsidRDefault="00CE34D9" w14:paraId="1B30B18A" w14:textId="77777777"/>
    <w:p w:rsidR="00CE34D9" w:rsidP="008F5137" w:rsidRDefault="00CE34D9" w14:paraId="3617B2F5" w14:textId="77777777">
      <w:pPr>
        <w:pStyle w:val="ListParagraph"/>
        <w:numPr>
          <w:ilvl w:val="0"/>
          <w:numId w:val="2"/>
        </w:numPr>
        <w:ind w:left="810" w:hanging="270"/>
      </w:pPr>
      <w:r>
        <w:t>This collection does not employ statistical methods.</w:t>
      </w:r>
    </w:p>
    <w:p w:rsidR="00CE34D9" w:rsidP="00CE34D9" w:rsidRDefault="00CE34D9" w14:paraId="463920D8" w14:textId="77777777"/>
    <w:p w:rsidR="007550A0" w:rsidRDefault="007550A0" w14:paraId="2AB36EDF" w14:textId="77777777"/>
    <w:sectPr w:rsidR="007550A0" w:rsidSect="008F5137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6B3F" w14:textId="77777777" w:rsidR="00F76BA7" w:rsidRDefault="00F76BA7" w:rsidP="00CE34D9">
      <w:r>
        <w:separator/>
      </w:r>
    </w:p>
  </w:endnote>
  <w:endnote w:type="continuationSeparator" w:id="0">
    <w:p w14:paraId="399FD137" w14:textId="77777777" w:rsidR="00F76BA7" w:rsidRDefault="00F76BA7" w:rsidP="00CE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963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8464D" w14:textId="69AEAC0B" w:rsidR="00B57486" w:rsidRDefault="00B574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FB69D7" w14:textId="77777777" w:rsidR="00B57486" w:rsidRDefault="00B57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8153" w14:textId="77777777" w:rsidR="00F76BA7" w:rsidRDefault="00F76BA7" w:rsidP="00CE34D9">
      <w:r>
        <w:separator/>
      </w:r>
    </w:p>
  </w:footnote>
  <w:footnote w:type="continuationSeparator" w:id="0">
    <w:p w14:paraId="41225AE2" w14:textId="77777777" w:rsidR="00F76BA7" w:rsidRDefault="00F76BA7" w:rsidP="00CE3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1CB"/>
    <w:multiLevelType w:val="hybridMultilevel"/>
    <w:tmpl w:val="A49CA7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D5D9E"/>
    <w:multiLevelType w:val="hybridMultilevel"/>
    <w:tmpl w:val="71FC6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D9"/>
    <w:rsid w:val="0003354D"/>
    <w:rsid w:val="00082657"/>
    <w:rsid w:val="00090065"/>
    <w:rsid w:val="000F29A1"/>
    <w:rsid w:val="001001E6"/>
    <w:rsid w:val="001778D8"/>
    <w:rsid w:val="00242037"/>
    <w:rsid w:val="00254A92"/>
    <w:rsid w:val="0026488F"/>
    <w:rsid w:val="00267C41"/>
    <w:rsid w:val="003249C6"/>
    <w:rsid w:val="003809F6"/>
    <w:rsid w:val="003D3769"/>
    <w:rsid w:val="00421FF7"/>
    <w:rsid w:val="00426ED6"/>
    <w:rsid w:val="00433707"/>
    <w:rsid w:val="00461759"/>
    <w:rsid w:val="004746DE"/>
    <w:rsid w:val="004B112B"/>
    <w:rsid w:val="004D6583"/>
    <w:rsid w:val="00505D39"/>
    <w:rsid w:val="00530613"/>
    <w:rsid w:val="00570436"/>
    <w:rsid w:val="00592A89"/>
    <w:rsid w:val="007550A0"/>
    <w:rsid w:val="007C71E2"/>
    <w:rsid w:val="007F44F0"/>
    <w:rsid w:val="0085691B"/>
    <w:rsid w:val="008664D8"/>
    <w:rsid w:val="008C4ACC"/>
    <w:rsid w:val="008E622F"/>
    <w:rsid w:val="008F29D0"/>
    <w:rsid w:val="008F5137"/>
    <w:rsid w:val="00937846"/>
    <w:rsid w:val="00986B01"/>
    <w:rsid w:val="00A16583"/>
    <w:rsid w:val="00A72FD7"/>
    <w:rsid w:val="00A760EF"/>
    <w:rsid w:val="00B57486"/>
    <w:rsid w:val="00C1106B"/>
    <w:rsid w:val="00C74C87"/>
    <w:rsid w:val="00CE34D9"/>
    <w:rsid w:val="00DF5627"/>
    <w:rsid w:val="00E35C83"/>
    <w:rsid w:val="00E53CF2"/>
    <w:rsid w:val="00EA54FF"/>
    <w:rsid w:val="00F76BA7"/>
    <w:rsid w:val="00F933CB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6667"/>
  <w15:chartTrackingRefBased/>
  <w15:docId w15:val="{D15A26BE-6D18-4FD4-A55A-4583EED8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CE34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E34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E34D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E34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34D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CE34D9"/>
    <w:rPr>
      <w:vertAlign w:val="superscript"/>
    </w:rPr>
  </w:style>
  <w:style w:type="paragraph" w:styleId="Revision">
    <w:name w:val="Revision"/>
    <w:hidden/>
    <w:uiPriority w:val="99"/>
    <w:semiHidden/>
    <w:rsid w:val="00CE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9A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F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7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4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4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A4E6-C296-44BE-88FD-5806A16B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Dawn M.</dc:creator>
  <cp:keywords/>
  <dc:description/>
  <cp:lastModifiedBy>Bolton, Tamelia A. (Contractor)</cp:lastModifiedBy>
  <cp:revision>4</cp:revision>
  <dcterms:created xsi:type="dcterms:W3CDTF">2021-09-24T12:06:00Z</dcterms:created>
  <dcterms:modified xsi:type="dcterms:W3CDTF">2021-09-30T16:40:00Z</dcterms:modified>
</cp:coreProperties>
</file>