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8A0" w:rsidP="00542BA1" w:rsidRDefault="00D60F5A" w14:paraId="1FEB21B8" w14:textId="0766B97D">
      <w:pPr>
        <w:jc w:val="center"/>
        <w:rPr>
          <w:b/>
          <w:bCs/>
        </w:rPr>
      </w:pPr>
      <w:r>
        <w:rPr>
          <w:b/>
          <w:bCs/>
        </w:rPr>
        <w:t>PRUDENCE AND LOYALTY IN SELECTING PLAN INVESTMENTS AND EXERCISING SHAREHOLDER RIGHTS</w:t>
      </w:r>
    </w:p>
    <w:p w:rsidR="00542BA1" w:rsidP="00542BA1" w:rsidRDefault="00542BA1" w14:paraId="1A7948CB" w14:textId="4B819DEE">
      <w:pPr>
        <w:jc w:val="center"/>
        <w:rPr>
          <w:b/>
          <w:bCs/>
        </w:rPr>
      </w:pPr>
      <w:r w:rsidRPr="00F23471">
        <w:rPr>
          <w:b/>
          <w:bCs/>
        </w:rPr>
        <w:t>OMB</w:t>
      </w:r>
      <w:r>
        <w:rPr>
          <w:b/>
          <w:bCs/>
        </w:rPr>
        <w:t xml:space="preserve"> CONTROL NUMBER 1210-</w:t>
      </w:r>
      <w:r w:rsidR="00B707EE">
        <w:rPr>
          <w:b/>
          <w:bCs/>
        </w:rPr>
        <w:t>0162</w:t>
      </w:r>
    </w:p>
    <w:p w:rsidR="00542BA1" w:rsidP="00542BA1" w:rsidRDefault="00542BA1" w14:paraId="39EA4905" w14:textId="77777777">
      <w:pPr>
        <w:rPr>
          <w:b/>
          <w:bCs/>
        </w:rPr>
      </w:pPr>
    </w:p>
    <w:p w:rsidR="00542BA1" w:rsidP="00542BA1" w:rsidRDefault="00542BA1" w14:paraId="6C002446" w14:textId="660807E2">
      <w:pPr>
        <w:rPr>
          <w:b/>
          <w:bCs/>
        </w:rPr>
      </w:pPr>
      <w:r w:rsidRPr="00B514A6">
        <w:rPr>
          <w:b/>
          <w:bCs/>
        </w:rPr>
        <w:t>This ICR seeks</w:t>
      </w:r>
      <w:r>
        <w:rPr>
          <w:b/>
          <w:bCs/>
        </w:rPr>
        <w:t xml:space="preserve"> </w:t>
      </w:r>
      <w:r w:rsidR="00C609CF">
        <w:rPr>
          <w:b/>
          <w:bCs/>
        </w:rPr>
        <w:t>a revision</w:t>
      </w:r>
      <w:r w:rsidRPr="00B514A6">
        <w:rPr>
          <w:b/>
          <w:bCs/>
        </w:rPr>
        <w:t xml:space="preserve"> of a</w:t>
      </w:r>
      <w:r w:rsidR="00F3232A">
        <w:rPr>
          <w:b/>
          <w:bCs/>
        </w:rPr>
        <w:t>n</w:t>
      </w:r>
      <w:r w:rsidRPr="00B514A6">
        <w:rPr>
          <w:b/>
          <w:bCs/>
        </w:rPr>
        <w:t xml:space="preserve"> </w:t>
      </w:r>
      <w:r w:rsidR="002E4931">
        <w:rPr>
          <w:b/>
          <w:bCs/>
        </w:rPr>
        <w:t>existing</w:t>
      </w:r>
      <w:r w:rsidRPr="00B514A6" w:rsidR="002E4931">
        <w:rPr>
          <w:b/>
          <w:bCs/>
        </w:rPr>
        <w:t xml:space="preserve"> </w:t>
      </w:r>
      <w:r w:rsidRPr="00B514A6">
        <w:rPr>
          <w:b/>
          <w:bCs/>
        </w:rPr>
        <w:t xml:space="preserve">collection of information under OMB </w:t>
      </w:r>
      <w:r>
        <w:rPr>
          <w:b/>
          <w:bCs/>
        </w:rPr>
        <w:t>Control Number 1210–</w:t>
      </w:r>
      <w:r w:rsidR="00B707EE">
        <w:rPr>
          <w:b/>
          <w:bCs/>
        </w:rPr>
        <w:t>0162</w:t>
      </w:r>
      <w:r w:rsidRPr="00B514A6">
        <w:rPr>
          <w:b/>
          <w:bCs/>
        </w:rPr>
        <w:t>.</w:t>
      </w:r>
      <w:r w:rsidR="002E4931">
        <w:rPr>
          <w:b/>
          <w:bCs/>
        </w:rPr>
        <w:t xml:space="preserve">  </w:t>
      </w:r>
    </w:p>
    <w:p w:rsidRPr="008823D6" w:rsidR="0031329A" w:rsidP="00CF1AC0" w:rsidRDefault="0031329A" w14:paraId="5C7C7B01" w14:textId="77777777"/>
    <w:p w:rsidRPr="00F752BF" w:rsidR="00F752BF" w:rsidP="00F752BF" w:rsidRDefault="00C06DA8" w14:paraId="2E87ACA8" w14:textId="77777777">
      <w:pPr>
        <w:widowControl w:val="0"/>
        <w:numPr>
          <w:ilvl w:val="0"/>
          <w:numId w:val="4"/>
        </w:numPr>
        <w:autoSpaceDE w:val="0"/>
        <w:autoSpaceDN w:val="0"/>
        <w:adjustRightInd w:val="0"/>
        <w:ind w:hanging="720"/>
      </w:pPr>
      <w:r w:rsidRPr="00F752BF">
        <w:rPr>
          <w:b/>
          <w:bCs/>
        </w:rPr>
        <w:t>JUSTIFICATION</w:t>
      </w:r>
    </w:p>
    <w:p w:rsidRPr="00F752BF" w:rsidR="00F752BF" w:rsidP="00F752BF" w:rsidRDefault="00F752BF" w14:paraId="25F773F6" w14:textId="77777777">
      <w:pPr>
        <w:widowControl w:val="0"/>
        <w:autoSpaceDE w:val="0"/>
        <w:autoSpaceDN w:val="0"/>
        <w:adjustRightInd w:val="0"/>
      </w:pPr>
    </w:p>
    <w:p w:rsidRPr="00C95CEB" w:rsidR="00F752BF" w:rsidP="008F643D" w:rsidRDefault="005653E4" w14:paraId="2128706C" w14:textId="77777777">
      <w:pPr>
        <w:widowControl w:val="0"/>
        <w:tabs>
          <w:tab w:val="left" w:pos="-1440"/>
          <w:tab w:val="num" w:pos="720"/>
        </w:tabs>
        <w:autoSpaceDE w:val="0"/>
        <w:autoSpaceDN w:val="0"/>
        <w:adjustRightInd w:val="0"/>
        <w:ind w:left="720" w:hanging="720"/>
        <w:rPr>
          <w:b/>
        </w:rPr>
      </w:pPr>
      <w:r w:rsidRPr="00C95CEB">
        <w:rPr>
          <w:b/>
          <w:iCs/>
        </w:rPr>
        <w:t>1.</w:t>
      </w:r>
      <w:r w:rsidR="00ED2FC9">
        <w:rPr>
          <w:b/>
          <w:iCs/>
        </w:rPr>
        <w:tab/>
      </w:r>
      <w:r w:rsidRPr="008F643D" w:rsidR="00F752BF">
        <w:rPr>
          <w:b/>
        </w:rPr>
        <w:t>Explain the ci</w:t>
      </w:r>
      <w:bookmarkStart w:name="_GoBack" w:id="0"/>
      <w:bookmarkEnd w:id="0"/>
      <w:r w:rsidRPr="008F643D" w:rsidR="00F752BF">
        <w:rPr>
          <w:b/>
        </w:rPr>
        <w:t>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823D6" w:rsidR="00F752BF" w:rsidP="00F752BF" w:rsidRDefault="00F752BF" w14:paraId="276DA0B9" w14:textId="77777777">
      <w:pPr>
        <w:ind w:left="360"/>
        <w:rPr>
          <w:b/>
          <w:i/>
          <w:iCs/>
        </w:rPr>
      </w:pPr>
    </w:p>
    <w:p w:rsidR="00D60F5A" w:rsidP="00D60F5A" w:rsidRDefault="00D60F5A" w14:paraId="7C4FF0AB" w14:textId="5327F4A2">
      <w:pPr>
        <w:ind w:left="720"/>
        <w:rPr>
          <w:rFonts w:eastAsiaTheme="minorEastAsia"/>
          <w:color w:val="000000"/>
        </w:rPr>
      </w:pPr>
      <w:r w:rsidRPr="00D60F5A">
        <w:rPr>
          <w:rFonts w:eastAsiaTheme="minorEastAsia"/>
          <w:color w:val="000000"/>
        </w:rPr>
        <w:t xml:space="preserve">In late 2020, the Department published two final rules dealing with the selection of plan investments and the exercise of shareholder rights, including proxy voting.  The Department published those rules to provide clarity and certainty to plan fiduciaries regarding their legal duties under ERISA section 404 in connection with making plan investments and for exercising shareholder rights.  The Department was also concerned that some investment products may be marketed to ERISA fiduciaries on the basis of purported benefits and goals unrelated to financial performance.  Before issuing the rules, the Department had periodically considered and issued guidance pertaining to the application of ERISA’s fiduciary rules to plan investment decisions that are based, in whole or part, on factors unrelated to financial performance.  Confusion with respect to these factors persisted, perhaps due in part to varied statements the Department had made on the subject over the years in non-regulatory guidance.  Accordingly, the 2020 rules were intended to interpret ERISA and provide clarity and certainty regarding the scope of fiduciary duties surrounding such issues.  </w:t>
      </w:r>
    </w:p>
    <w:p w:rsidRPr="00D60F5A" w:rsidR="00D60F5A" w:rsidP="00D60F5A" w:rsidRDefault="00D60F5A" w14:paraId="7DD6102D" w14:textId="77777777">
      <w:pPr>
        <w:ind w:left="720"/>
        <w:rPr>
          <w:rFonts w:eastAsiaTheme="minorEastAsia"/>
          <w:color w:val="000000"/>
        </w:rPr>
      </w:pPr>
    </w:p>
    <w:p w:rsidR="00D60F5A" w:rsidP="00D60F5A" w:rsidRDefault="00D60F5A" w14:paraId="7231A35C" w14:textId="136226A8">
      <w:pPr>
        <w:ind w:left="720"/>
        <w:rPr>
          <w:rFonts w:eastAsiaTheme="minorEastAsia"/>
          <w:color w:val="000000"/>
        </w:rPr>
      </w:pPr>
      <w:r w:rsidRPr="00D60F5A">
        <w:rPr>
          <w:rFonts w:eastAsiaTheme="minorEastAsia"/>
          <w:color w:val="000000"/>
        </w:rPr>
        <w:t>Responses to the 2020 rules, however, suggest that the new rules may have inadvertently caused more confusion than clarity.  Many interested stakeholders have told the Department that the terms and tone of the final rules and preambles have increased concerns and uncertainty about the extent to which plan fiduciaries may consider environmental, social and governance factors in their investment decisions, and that the final rules have chilling effects contrary to the interests of participants and beneficiaries.  Consequently, on March 10, 2021, the Department announced that it would stay enforcement of the 2020 rules pending a complete review of the matter.  Subsequently, on May 20, 2021, the President issued Executive Order 14030, entitled “Executive Order on Climate-Related Financial Risk.”  Section 4 of the Executive Order directs the Department to consider suspending, revising, or rescinding any rules from the prior administration that would have barred plan fiduciaries (and their investment-firm service providers) from considering environmental, social and governance factors, including climate-related risks, in their investment decisions related to workers’ pensions.  In light of the foregoing, the Department concluded that additional notice and comment rulemaking was necessary to safeguard the interests of participants and beneficiaries in their retirement and welfare plan benefits.</w:t>
      </w:r>
    </w:p>
    <w:p w:rsidR="00AB7450" w:rsidP="00F752BF" w:rsidRDefault="00AB7450" w14:paraId="05A99C3A" w14:textId="5F57679E">
      <w:pPr>
        <w:ind w:left="720"/>
      </w:pPr>
    </w:p>
    <w:p w:rsidR="00C6659F" w:rsidP="00F752BF" w:rsidRDefault="00C6659F" w14:paraId="137BF25C" w14:textId="04A032C4">
      <w:pPr>
        <w:ind w:left="720"/>
      </w:pPr>
      <w:r>
        <w:t xml:space="preserve">The proposed rule includes </w:t>
      </w:r>
      <w:r w:rsidR="00EE1E1A">
        <w:t>a proposed</w:t>
      </w:r>
      <w:r w:rsidR="0030540D">
        <w:t xml:space="preserve"> revision to currently approved ICR 1210-0162. </w:t>
      </w:r>
      <w:r w:rsidR="00EE1E1A">
        <w:t xml:space="preserve">This proposed revision includes elements of the </w:t>
      </w:r>
      <w:r w:rsidR="00B91DB8">
        <w:t xml:space="preserve">information collection </w:t>
      </w:r>
      <w:r w:rsidR="00EE1E1A">
        <w:t>currently approved under OMB Number 1210-0165</w:t>
      </w:r>
      <w:r w:rsidR="00B91DB8">
        <w:t xml:space="preserve"> </w:t>
      </w:r>
      <w:bookmarkStart w:name="OLE_LINK1" w:id="1"/>
      <w:r w:rsidR="00B91DB8">
        <w:t>(</w:t>
      </w:r>
      <w:r w:rsidRPr="0030540D" w:rsidR="00B91DB8">
        <w:t>Fiduciary Duties Regarding Proxy Voting and Shareholder Rights</w:t>
      </w:r>
      <w:r w:rsidR="00B91DB8">
        <w:t>)</w:t>
      </w:r>
      <w:bookmarkEnd w:id="1"/>
      <w:r w:rsidR="00EE1E1A">
        <w:t xml:space="preserve">. </w:t>
      </w:r>
      <w:r w:rsidR="00B91DB8">
        <w:t>After</w:t>
      </w:r>
      <w:r w:rsidR="00EE1E1A">
        <w:t xml:space="preserve"> the </w:t>
      </w:r>
      <w:r w:rsidR="00B91DB8">
        <w:t xml:space="preserve">revision to </w:t>
      </w:r>
      <w:r w:rsidR="00EE1E1A">
        <w:t>1210-0162</w:t>
      </w:r>
      <w:r w:rsidR="00B91DB8">
        <w:t xml:space="preserve"> has been approved, 1210-0165 will be discontinued.</w:t>
      </w:r>
      <w:r w:rsidR="00EE1E1A">
        <w:t xml:space="preserve"> </w:t>
      </w:r>
    </w:p>
    <w:p w:rsidR="00C6659F" w:rsidP="00F752BF" w:rsidRDefault="00C6659F" w14:paraId="52D335E3" w14:textId="1B2B2B90">
      <w:pPr>
        <w:ind w:left="720"/>
        <w:rPr>
          <w:color w:val="000000"/>
        </w:rPr>
      </w:pPr>
    </w:p>
    <w:p w:rsidR="006B004A" w:rsidP="00F752BF" w:rsidRDefault="03D4B90F" w14:paraId="585CAB98" w14:textId="257C528B">
      <w:pPr>
        <w:ind w:left="720"/>
      </w:pPr>
      <w:r>
        <w:t>T</w:t>
      </w:r>
      <w:r w:rsidR="5BF39BF9">
        <w:t>he</w:t>
      </w:r>
      <w:r w:rsidRPr="007A5C48" w:rsidR="006B004A">
        <w:t xml:space="preserve"> proposal states that</w:t>
      </w:r>
      <w:r w:rsidRPr="001E221F" w:rsidR="006B004A">
        <w:t xml:space="preserve"> if</w:t>
      </w:r>
      <w:r w:rsidR="006B004A">
        <w:t xml:space="preserve"> </w:t>
      </w:r>
      <w:r w:rsidRPr="001E221F" w:rsidR="006B004A">
        <w:t>a fiduciary prudently concludes that competing investment</w:t>
      </w:r>
      <w:r w:rsidR="006B004A">
        <w:t xml:space="preserve"> choice</w:t>
      </w:r>
      <w:r w:rsidRPr="001E221F" w:rsidR="006B004A">
        <w:t xml:space="preserve">s, or investment courses of action, </w:t>
      </w:r>
      <w:r w:rsidRPr="00110652" w:rsidR="006B004A">
        <w:t>equally serve the financial interests of the plan</w:t>
      </w:r>
      <w:r w:rsidR="006B004A">
        <w:t xml:space="preserve">, </w:t>
      </w:r>
      <w:r w:rsidRPr="007A5C48" w:rsidR="006B004A">
        <w:t xml:space="preserve">a fiduciary </w:t>
      </w:r>
      <w:r w:rsidR="006B004A">
        <w:t>can select</w:t>
      </w:r>
      <w:r w:rsidRPr="00D10224" w:rsidR="006B004A">
        <w:t xml:space="preserve"> the investment, or investment course of action, based on collateral benefits other than investment returns.</w:t>
      </w:r>
      <w:r w:rsidR="006B004A">
        <w:t xml:space="preserve">  In </w:t>
      </w:r>
      <w:r w:rsidRPr="007A5C48" w:rsidR="006B004A">
        <w:t xml:space="preserve">the case of a designated investment alternative for an individual account plan, </w:t>
      </w:r>
      <w:r w:rsidR="006B004A">
        <w:t xml:space="preserve">including a QDIA, </w:t>
      </w:r>
      <w:r w:rsidRPr="00231098" w:rsidR="006B004A">
        <w:t>the plan fiduciary must ensure that the collateral</w:t>
      </w:r>
      <w:r w:rsidR="006B004A">
        <w:t>-</w:t>
      </w:r>
      <w:r w:rsidRPr="00231098" w:rsidR="006B004A">
        <w:t xml:space="preserve">benefit </w:t>
      </w:r>
      <w:r w:rsidRPr="007A5C48" w:rsidR="006B004A">
        <w:t xml:space="preserve">characteristic of the fund, product, or model portfolio </w:t>
      </w:r>
      <w:r w:rsidR="006B004A">
        <w:t xml:space="preserve">is </w:t>
      </w:r>
      <w:r w:rsidRPr="007A5C48" w:rsidR="006B004A">
        <w:t>prominently displayed in disclosure materials provided to participants and beneficiaries.  A fiduciary</w:t>
      </w:r>
      <w:r w:rsidR="006B004A">
        <w:t>, however,</w:t>
      </w:r>
      <w:r w:rsidRPr="007A5C48" w:rsidR="006B004A">
        <w:t xml:space="preserve"> may not accept expected reduced returns or greater risks </w:t>
      </w:r>
      <w:r w:rsidR="006B004A">
        <w:t>in selecting such an investment or investment course of action.</w:t>
      </w:r>
    </w:p>
    <w:p w:rsidR="006B004A" w:rsidP="00F752BF" w:rsidRDefault="006B004A" w14:paraId="3FD7E6E1" w14:textId="4A84921F">
      <w:pPr>
        <w:ind w:left="720"/>
        <w:rPr>
          <w:color w:val="000000"/>
        </w:rPr>
      </w:pPr>
    </w:p>
    <w:p w:rsidR="00EB039A" w:rsidP="00870BF3" w:rsidRDefault="00EB039A" w14:paraId="357098E8" w14:textId="33069418"/>
    <w:p w:rsidR="00EB039A" w:rsidP="00750800" w:rsidRDefault="00EC5413" w14:paraId="3BA6BE98" w14:textId="77777777">
      <w:pPr>
        <w:ind w:left="720" w:hanging="720"/>
        <w:rPr>
          <w:b/>
          <w:i/>
        </w:rPr>
      </w:pPr>
      <w:r w:rsidRPr="00420372">
        <w:rPr>
          <w:b/>
        </w:rPr>
        <w:t>2.</w:t>
      </w:r>
      <w:r w:rsidR="00750800">
        <w:rPr>
          <w:b/>
          <w:i/>
        </w:rPr>
        <w:tab/>
      </w:r>
      <w:r w:rsidRPr="00547868" w:rsidR="00EB039A">
        <w:rPr>
          <w:b/>
        </w:rPr>
        <w:t>Indicate how, by whom, and for what purpose the information is to be used.  Except for a new collection, indicate the actual use the agency has made of the information received from the current collection.</w:t>
      </w:r>
    </w:p>
    <w:p w:rsidR="000214FF" w:rsidP="00930E52" w:rsidRDefault="000214FF" w14:paraId="5C4A67D0" w14:textId="1FCC7437">
      <w:pPr>
        <w:ind w:left="720"/>
      </w:pPr>
    </w:p>
    <w:p w:rsidR="00AA5B5C" w:rsidP="006B004A" w:rsidRDefault="00863A76" w14:paraId="6DF6F094" w14:textId="226C8C58">
      <w:pPr>
        <w:ind w:left="720"/>
      </w:pPr>
      <w:r w:rsidRPr="007345EA">
        <w:t>T</w:t>
      </w:r>
      <w:r w:rsidRPr="007345EA">
        <w:rPr>
          <w:color w:val="000000"/>
        </w:rPr>
        <w:t>he proposed rule requires that if a fiduciary prudently concludes that competing investments or investment courses of action</w:t>
      </w:r>
      <w:r>
        <w:rPr>
          <w:color w:val="000000"/>
        </w:rPr>
        <w:t xml:space="preserve"> </w:t>
      </w:r>
      <w:r w:rsidRPr="00171F6C">
        <w:t>equally serve the financial interests of the plan</w:t>
      </w:r>
      <w:r>
        <w:t xml:space="preserve"> over the appropriate time horizon</w:t>
      </w:r>
      <w:r w:rsidRPr="007345EA">
        <w:rPr>
          <w:color w:val="000000"/>
        </w:rPr>
        <w:t xml:space="preserve">, the fiduciary is not prohibited from selecting the investment, or investment course of action, based on collateral benefits other than investment returns.  </w:t>
      </w:r>
      <w:r w:rsidR="00AA5B5C">
        <w:rPr>
          <w:color w:val="000000"/>
        </w:rPr>
        <w:t>I</w:t>
      </w:r>
      <w:r w:rsidRPr="007345EA" w:rsidR="00415237">
        <w:rPr>
          <w:color w:val="000000"/>
        </w:rPr>
        <w:t xml:space="preserve">n the case of a designated investment alternative for an individual account plan, the plan fiduciary must ensure that the collateral-benefit characteristic of the fund, product, or model portfolio is prominently displayed in disclosure materials provided to participants and beneficiaries.  </w:t>
      </w:r>
      <w:r w:rsidR="00AA5B5C">
        <w:t>This new disclosure is expected</w:t>
      </w:r>
      <w:r w:rsidRPr="000214FF" w:rsidR="000214FF">
        <w:t xml:space="preserve"> </w:t>
      </w:r>
      <w:r w:rsidR="00062CB7">
        <w:t xml:space="preserve">to </w:t>
      </w:r>
      <w:r w:rsidRPr="000214FF" w:rsidR="000214FF">
        <w:t>be useful to participants and beneficiaries in deciding how to invest their plan accounts.</w:t>
      </w:r>
    </w:p>
    <w:p w:rsidRPr="00EB039A" w:rsidR="00EB039A" w:rsidP="00B6094A" w:rsidRDefault="00EB039A" w14:paraId="3BAA428A" w14:textId="450768D9">
      <w:pPr>
        <w:ind w:left="720"/>
      </w:pPr>
    </w:p>
    <w:p w:rsidRPr="00547868" w:rsidR="00EB039A" w:rsidP="00A44174" w:rsidRDefault="00EC5413" w14:paraId="0DC76D4C" w14:textId="77777777">
      <w:pPr>
        <w:ind w:left="720" w:hanging="720"/>
        <w:rPr>
          <w:b/>
        </w:rPr>
      </w:pPr>
      <w:r w:rsidRPr="00547868">
        <w:rPr>
          <w:b/>
        </w:rPr>
        <w:t>3.</w:t>
      </w:r>
      <w:r w:rsidR="00565B0A">
        <w:rPr>
          <w:b/>
          <w:i/>
        </w:rPr>
        <w:tab/>
      </w:r>
      <w:r w:rsidRPr="00547868" w:rsidR="00EB039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547868" w:rsidR="00133A24" w:rsidP="00EF55F3" w:rsidRDefault="00133A24" w14:paraId="36B8A2D3" w14:textId="77777777">
      <w:pPr>
        <w:ind w:left="720"/>
        <w:rPr>
          <w:b/>
        </w:rPr>
      </w:pPr>
    </w:p>
    <w:p w:rsidR="0003538F" w:rsidP="0003538F" w:rsidRDefault="0003538F" w14:paraId="644B448E" w14:textId="77777777">
      <w:pPr>
        <w:ind w:left="720"/>
      </w:pPr>
      <w:r>
        <w:t xml:space="preserve">Use of electronic methods of compliance is neither required nor precluded by the terms of this </w:t>
      </w:r>
      <w:r w:rsidR="003062E4">
        <w:t>IC</w:t>
      </w:r>
      <w:r>
        <w:t xml:space="preserve">.  </w:t>
      </w:r>
      <w:r>
        <w:rPr>
          <w:iCs/>
        </w:rPr>
        <w:t>The Department has assumed that the</w:t>
      </w:r>
      <w:r w:rsidR="00D77847">
        <w:rPr>
          <w:iCs/>
        </w:rPr>
        <w:t xml:space="preserve"> tasks involved with meeting the </w:t>
      </w:r>
      <w:r>
        <w:rPr>
          <w:iCs/>
        </w:rPr>
        <w:t xml:space="preserve">requirements </w:t>
      </w:r>
      <w:r w:rsidR="00D77847">
        <w:rPr>
          <w:iCs/>
        </w:rPr>
        <w:t xml:space="preserve">of the IC </w:t>
      </w:r>
      <w:r w:rsidR="008B0075">
        <w:rPr>
          <w:iCs/>
        </w:rPr>
        <w:t xml:space="preserve">generally </w:t>
      </w:r>
      <w:r>
        <w:rPr>
          <w:iCs/>
        </w:rPr>
        <w:t xml:space="preserve">will be performed by </w:t>
      </w:r>
      <w:r w:rsidR="008B0075">
        <w:rPr>
          <w:iCs/>
        </w:rPr>
        <w:t xml:space="preserve">regulated </w:t>
      </w:r>
      <w:r>
        <w:rPr>
          <w:iCs/>
        </w:rPr>
        <w:t xml:space="preserve">financial </w:t>
      </w:r>
      <w:r w:rsidR="008B0075">
        <w:rPr>
          <w:iCs/>
        </w:rPr>
        <w:t xml:space="preserve">services </w:t>
      </w:r>
      <w:r>
        <w:rPr>
          <w:iCs/>
        </w:rPr>
        <w:t xml:space="preserve">entities </w:t>
      </w:r>
      <w:r w:rsidR="00771DA8">
        <w:rPr>
          <w:iCs/>
        </w:rPr>
        <w:t xml:space="preserve">acting </w:t>
      </w:r>
      <w:r>
        <w:rPr>
          <w:iCs/>
        </w:rPr>
        <w:t xml:space="preserve">on behalf of employee benefit plans in connection with the </w:t>
      </w:r>
      <w:r w:rsidR="00D60D7C">
        <w:rPr>
          <w:iCs/>
        </w:rPr>
        <w:t>proper management and voting</w:t>
      </w:r>
      <w:r>
        <w:rPr>
          <w:iCs/>
        </w:rPr>
        <w:t xml:space="preserve"> of securities</w:t>
      </w:r>
      <w:r w:rsidR="00771DA8">
        <w:rPr>
          <w:iCs/>
        </w:rPr>
        <w:t>,</w:t>
      </w:r>
      <w:r>
        <w:rPr>
          <w:iCs/>
        </w:rPr>
        <w:t xml:space="preserve"> and that </w:t>
      </w:r>
      <w:r w:rsidR="00D60D7C">
        <w:rPr>
          <w:iCs/>
        </w:rPr>
        <w:t xml:space="preserve">the plans and </w:t>
      </w:r>
      <w:r w:rsidR="008B0075">
        <w:rPr>
          <w:iCs/>
        </w:rPr>
        <w:t xml:space="preserve">financial services entities </w:t>
      </w:r>
      <w:r w:rsidR="00D60D7C">
        <w:rPr>
          <w:iCs/>
        </w:rPr>
        <w:t xml:space="preserve">involved </w:t>
      </w:r>
      <w:r>
        <w:rPr>
          <w:iCs/>
        </w:rPr>
        <w:t xml:space="preserve">will establish and maintain recordkeeping systems, and comply with </w:t>
      </w:r>
      <w:r w:rsidR="008B0075">
        <w:rPr>
          <w:iCs/>
        </w:rPr>
        <w:t>the IC requirements</w:t>
      </w:r>
      <w:r>
        <w:rPr>
          <w:iCs/>
        </w:rPr>
        <w:t xml:space="preserve">, by electronic means. </w:t>
      </w:r>
      <w:r w:rsidR="00D60D7C">
        <w:rPr>
          <w:iCs/>
        </w:rPr>
        <w:t xml:space="preserve"> </w:t>
      </w:r>
      <w:r>
        <w:rPr>
          <w:iCs/>
        </w:rPr>
        <w:t>The Department’s estimates</w:t>
      </w:r>
      <w:r w:rsidR="00771DA8">
        <w:rPr>
          <w:iCs/>
        </w:rPr>
        <w:t>,</w:t>
      </w:r>
      <w:r>
        <w:rPr>
          <w:iCs/>
        </w:rPr>
        <w:t xml:space="preserve"> therefore</w:t>
      </w:r>
      <w:r w:rsidR="00771DA8">
        <w:rPr>
          <w:iCs/>
        </w:rPr>
        <w:t>,</w:t>
      </w:r>
      <w:r>
        <w:rPr>
          <w:iCs/>
        </w:rPr>
        <w:t xml:space="preserve"> take account of the use of electronic recordkeeping in establishing the burden </w:t>
      </w:r>
      <w:r w:rsidR="00ED2770">
        <w:rPr>
          <w:iCs/>
        </w:rPr>
        <w:t>associated with this IC</w:t>
      </w:r>
      <w:r>
        <w:rPr>
          <w:iCs/>
        </w:rPr>
        <w:t>.</w:t>
      </w:r>
      <w:r w:rsidR="00D60D7C">
        <w:rPr>
          <w:iCs/>
        </w:rPr>
        <w:t xml:space="preserve"> </w:t>
      </w:r>
    </w:p>
    <w:p w:rsidRPr="00EB039A" w:rsidR="00EB039A" w:rsidP="000264C2" w:rsidRDefault="00EB039A" w14:paraId="3691D580" w14:textId="77777777"/>
    <w:p w:rsidR="00EB039A" w:rsidP="00793FFE" w:rsidRDefault="00A330F6" w14:paraId="13B86825" w14:textId="77777777">
      <w:pPr>
        <w:ind w:left="720" w:hanging="720"/>
        <w:rPr>
          <w:b/>
          <w:i/>
        </w:rPr>
      </w:pPr>
      <w:r w:rsidRPr="00547868">
        <w:rPr>
          <w:b/>
        </w:rPr>
        <w:t>4.</w:t>
      </w:r>
      <w:r w:rsidR="00793FFE">
        <w:rPr>
          <w:b/>
          <w:i/>
        </w:rPr>
        <w:tab/>
      </w:r>
      <w:r w:rsidRPr="00547868" w:rsidR="00EB039A">
        <w:rPr>
          <w:b/>
        </w:rPr>
        <w:t>Describe efforts to identify duplication.  Show specifically why any similar information already available cannot be used or modified for use for the purposes described in Item 2 above.</w:t>
      </w:r>
    </w:p>
    <w:p w:rsidR="0087117A" w:rsidP="00EB039A" w:rsidRDefault="0087117A" w14:paraId="24800259" w14:textId="77777777">
      <w:pPr>
        <w:ind w:left="720"/>
        <w:rPr>
          <w:b/>
          <w:i/>
        </w:rPr>
      </w:pPr>
    </w:p>
    <w:p w:rsidR="00BB2670" w:rsidP="00BB2670" w:rsidRDefault="00BB2670" w14:paraId="78C568A6" w14:textId="0ECBBBE1">
      <w:pPr>
        <w:ind w:left="720"/>
      </w:pPr>
      <w:r>
        <w:t>For the requirements relating to investment practices, the Department is issuing this proposal under sections 404(a)(1)(A) and 404(a)(1)(B) of Title I under ERISA.  The Department has sole jurisdiction to interpret these provisions as they apply to plan fiduciaries’ consideration in selecting plan investment funds.  Therefore, there are no duplicate, overlapping, or relevant federal rules.</w:t>
      </w:r>
      <w:r w:rsidR="00C16E23">
        <w:t xml:space="preserve">  For the requirement included in this IC, t</w:t>
      </w:r>
      <w:r w:rsidRPr="00C16E23" w:rsidR="00C16E23">
        <w:t>he Department believes such disclosures are already commonplace for many regulated investment products</w:t>
      </w:r>
      <w:r w:rsidR="00C16E23">
        <w:t>.  As such, the Department assumes that existing disclosures, with minor modifications or clarifications, could be sufficient to satisfy the disclosure element of the tie-breaker provision.</w:t>
      </w:r>
    </w:p>
    <w:p w:rsidR="00BB2670" w:rsidP="00BB2670" w:rsidRDefault="00BB2670" w14:paraId="3AC50B10" w14:textId="77777777">
      <w:pPr>
        <w:ind w:left="720"/>
      </w:pPr>
    </w:p>
    <w:p w:rsidR="00EB039A" w:rsidP="00527974" w:rsidRDefault="00A330F6" w14:paraId="65ABC530" w14:textId="77777777">
      <w:pPr>
        <w:ind w:left="720" w:hanging="720"/>
        <w:rPr>
          <w:b/>
          <w:i/>
        </w:rPr>
      </w:pPr>
      <w:r w:rsidRPr="00547868">
        <w:rPr>
          <w:b/>
        </w:rPr>
        <w:t>5.</w:t>
      </w:r>
      <w:r w:rsidR="00527974">
        <w:rPr>
          <w:b/>
        </w:rPr>
        <w:tab/>
      </w:r>
      <w:r w:rsidRPr="00547868" w:rsidR="00EB039A">
        <w:rPr>
          <w:b/>
        </w:rPr>
        <w:t>If the collection of information impacts small businesses or other small entities describe any methods used to minimize burden.</w:t>
      </w:r>
    </w:p>
    <w:p w:rsidR="00723578" w:rsidP="00EB039A" w:rsidRDefault="00723578" w14:paraId="09B8B65B" w14:textId="77777777">
      <w:pPr>
        <w:ind w:left="720"/>
        <w:rPr>
          <w:b/>
          <w:i/>
        </w:rPr>
      </w:pPr>
    </w:p>
    <w:p w:rsidR="007F6950" w:rsidP="00EB039A" w:rsidRDefault="007F6950" w14:paraId="16965622" w14:textId="7EC445F7">
      <w:pPr>
        <w:ind w:left="720"/>
      </w:pPr>
      <w:r w:rsidRPr="007F6950">
        <w:t>The clarifications in the proposed amendment would affect small ERISA-covered plans and their</w:t>
      </w:r>
      <w:r>
        <w:t xml:space="preserve"> participants and beneficiaries:  </w:t>
      </w:r>
      <w:r w:rsidRPr="007345EA">
        <w:rPr>
          <w:rFonts w:eastAsia="Calibri"/>
        </w:rPr>
        <w:t xml:space="preserve">ERISA-covered plans whose fiduciaries consider or will begin considering </w:t>
      </w:r>
      <w:r w:rsidRPr="007345EA">
        <w:rPr>
          <w:rFonts w:eastAsia="Calibri"/>
          <w:shd w:val="clear" w:color="auto" w:fill="FFFFFF"/>
        </w:rPr>
        <w:t xml:space="preserve">environmental, social and governance </w:t>
      </w:r>
      <w:r w:rsidRPr="007345EA">
        <w:rPr>
          <w:rFonts w:eastAsia="Calibri"/>
        </w:rPr>
        <w:t>factors when selecting investments and th</w:t>
      </w:r>
      <w:r>
        <w:rPr>
          <w:rFonts w:eastAsia="Calibri"/>
        </w:rPr>
        <w:t>e participants in those plans</w:t>
      </w:r>
      <w:r w:rsidR="00EB392B">
        <w:rPr>
          <w:rFonts w:eastAsia="Calibri"/>
        </w:rPr>
        <w:t>.</w:t>
      </w:r>
      <w:r>
        <w:rPr>
          <w:rFonts w:eastAsia="Calibri"/>
        </w:rPr>
        <w:t xml:space="preserve"> </w:t>
      </w:r>
    </w:p>
    <w:p w:rsidR="007F6950" w:rsidP="00EB039A" w:rsidRDefault="007F6950" w14:paraId="384EB0F4" w14:textId="2D8C24F1">
      <w:pPr>
        <w:ind w:left="720"/>
      </w:pPr>
    </w:p>
    <w:p w:rsidR="007F6950" w:rsidP="00EB039A" w:rsidRDefault="007F6950" w14:paraId="7471FD9A" w14:textId="54F160A3">
      <w:pPr>
        <w:ind w:left="720"/>
      </w:pPr>
      <w:r>
        <w:t>The Department believes</w:t>
      </w:r>
      <w:r w:rsidRPr="007F6950">
        <w:t xml:space="preserve"> that many plan fiduciaries for small plans already conduct themselves in a manner that would comport, in whole or in part, with the requirements in these provisions.  The Department, therefore, estimates that the incremental costs of the proposal would be minimal on a per-plan basis.</w:t>
      </w:r>
      <w:r>
        <w:t xml:space="preserve">  </w:t>
      </w:r>
      <w:r w:rsidRPr="007F6950">
        <w:t>The proposed rule seeks to provide clarity and certainty regarding the scope of fiduciary duties surrounding in investment and proxy voting policies.  These standards apply to all affected entities, both large and small; therefore, the Department’s ability to craft specific alternatives for small plans is limited.</w:t>
      </w:r>
    </w:p>
    <w:p w:rsidRPr="00EB039A" w:rsidR="00A457B7" w:rsidP="00EB039A" w:rsidRDefault="00A457B7" w14:paraId="26D89D93" w14:textId="77777777">
      <w:pPr>
        <w:ind w:left="720"/>
      </w:pPr>
    </w:p>
    <w:p w:rsidRPr="00547868" w:rsidR="00EB039A" w:rsidP="00BF5E85" w:rsidRDefault="006C4686" w14:paraId="5F21C78C" w14:textId="77777777">
      <w:pPr>
        <w:ind w:left="720" w:hanging="720"/>
        <w:rPr>
          <w:b/>
        </w:rPr>
      </w:pPr>
      <w:r w:rsidRPr="00547868">
        <w:rPr>
          <w:b/>
        </w:rPr>
        <w:t>6.</w:t>
      </w:r>
      <w:r w:rsidR="00BF5E85">
        <w:rPr>
          <w:b/>
          <w:i/>
        </w:rPr>
        <w:tab/>
      </w:r>
      <w:r w:rsidRPr="00547868" w:rsidR="00EB039A">
        <w:rPr>
          <w:b/>
        </w:rPr>
        <w:t>Describe the consequence to Federal program or policy activities if the collection is not conducted or is conducted less frequently, as well as any technical or legal obstacles to reducing burden.</w:t>
      </w:r>
    </w:p>
    <w:p w:rsidR="007C3733" w:rsidP="00117D58" w:rsidRDefault="007C3733" w14:paraId="2DF13A13" w14:textId="77777777">
      <w:pPr>
        <w:ind w:left="720"/>
      </w:pPr>
    </w:p>
    <w:p w:rsidR="00005E5A" w:rsidP="00EB039A" w:rsidRDefault="00005E5A" w14:paraId="7A750A9E" w14:textId="4ABD07F8">
      <w:pPr>
        <w:ind w:left="720"/>
      </w:pPr>
      <w:r>
        <w:t xml:space="preserve">The proposed rule requires </w:t>
      </w:r>
      <w:r w:rsidR="51AE9FCD">
        <w:t>that,</w:t>
      </w:r>
      <w:r>
        <w:t xml:space="preserve"> in </w:t>
      </w:r>
      <w:r w:rsidRPr="007A5C48">
        <w:t xml:space="preserve">the case of a designated investment alternative for an individual account plan, </w:t>
      </w:r>
      <w:r>
        <w:t xml:space="preserve">including a QDIA, </w:t>
      </w:r>
      <w:r w:rsidRPr="00231098">
        <w:t>the plan fiduciary must ensure that the collateral</w:t>
      </w:r>
      <w:r>
        <w:t>-</w:t>
      </w:r>
      <w:r w:rsidRPr="00231098">
        <w:t xml:space="preserve">benefit </w:t>
      </w:r>
      <w:r w:rsidRPr="007A5C48">
        <w:t xml:space="preserve">characteristic of the fund, product, or model portfolio </w:t>
      </w:r>
      <w:r>
        <w:t xml:space="preserve">is </w:t>
      </w:r>
      <w:r w:rsidRPr="007A5C48">
        <w:t xml:space="preserve">prominently displayed in disclosure materials provided to participants and beneficiaries.  </w:t>
      </w:r>
      <w:r>
        <w:t>The requirement serves as a protection to plan participants as it alerts them that an investment alternative</w:t>
      </w:r>
      <w:r w:rsidR="72F949F6">
        <w:t xml:space="preserve"> offered by </w:t>
      </w:r>
      <w:r>
        <w:t xml:space="preserve">the plan was selected based </w:t>
      </w:r>
      <w:r w:rsidR="60A0A923">
        <w:t xml:space="preserve">partly </w:t>
      </w:r>
      <w:r>
        <w:t>on collateral-benefit characteristics of the fund.</w:t>
      </w:r>
    </w:p>
    <w:p w:rsidR="00005E5A" w:rsidP="00EB039A" w:rsidRDefault="00005E5A" w14:paraId="6E882BF6" w14:textId="77777777">
      <w:pPr>
        <w:ind w:left="720"/>
      </w:pPr>
    </w:p>
    <w:p w:rsidRPr="00EB039A" w:rsidR="00EB039A" w:rsidP="00EB039A" w:rsidRDefault="00EB039A" w14:paraId="32EC30EE" w14:textId="77777777">
      <w:pPr>
        <w:ind w:left="720"/>
      </w:pPr>
    </w:p>
    <w:p w:rsidRPr="00547868" w:rsidR="00EB039A" w:rsidP="00477D42" w:rsidRDefault="009A0938" w14:paraId="2A1DF979" w14:textId="77777777">
      <w:pPr>
        <w:ind w:left="720" w:hanging="720"/>
        <w:rPr>
          <w:b/>
        </w:rPr>
      </w:pPr>
      <w:r w:rsidRPr="00547868">
        <w:rPr>
          <w:b/>
        </w:rPr>
        <w:lastRenderedPageBreak/>
        <w:t>7.</w:t>
      </w:r>
      <w:r w:rsidR="00477D42">
        <w:rPr>
          <w:b/>
          <w:i/>
        </w:rPr>
        <w:tab/>
      </w:r>
      <w:r w:rsidRPr="00547868" w:rsidR="00EB039A">
        <w:rPr>
          <w:b/>
        </w:rPr>
        <w:t>Explain any special circumstances that would cause an information collection to be conducted in a manner:</w:t>
      </w:r>
    </w:p>
    <w:p w:rsidRPr="00547868" w:rsidR="00DB6234" w:rsidP="00547868" w:rsidRDefault="00EB039A" w14:paraId="5AF856B8" w14:textId="77777777">
      <w:pPr>
        <w:pStyle w:val="ListParagraph"/>
        <w:numPr>
          <w:ilvl w:val="0"/>
          <w:numId w:val="8"/>
        </w:numPr>
        <w:rPr>
          <w:b/>
          <w:iCs/>
        </w:rPr>
      </w:pPr>
      <w:r w:rsidRPr="00547868">
        <w:rPr>
          <w:b/>
          <w:iCs/>
        </w:rPr>
        <w:t>requiring respondents to report information to the agency more often than quarterly;</w:t>
      </w:r>
    </w:p>
    <w:p w:rsidRPr="00547868" w:rsidR="00DB6234" w:rsidP="00547868" w:rsidRDefault="00EB039A" w14:paraId="0423C0CA" w14:textId="77777777">
      <w:pPr>
        <w:pStyle w:val="ListParagraph"/>
        <w:numPr>
          <w:ilvl w:val="0"/>
          <w:numId w:val="8"/>
        </w:numPr>
        <w:rPr>
          <w:b/>
          <w:iCs/>
        </w:rPr>
      </w:pPr>
      <w:r w:rsidRPr="00547868">
        <w:rPr>
          <w:b/>
          <w:iCs/>
        </w:rPr>
        <w:t>requiring respondents to prepare a written response to a collection of information in fewer than 30 days after receipt of it;</w:t>
      </w:r>
    </w:p>
    <w:p w:rsidRPr="00547868" w:rsidR="00DB6234" w:rsidP="00547868" w:rsidRDefault="00EB039A" w14:paraId="6AA7C718" w14:textId="77777777">
      <w:pPr>
        <w:pStyle w:val="ListParagraph"/>
        <w:numPr>
          <w:ilvl w:val="0"/>
          <w:numId w:val="8"/>
        </w:numPr>
        <w:rPr>
          <w:b/>
          <w:iCs/>
        </w:rPr>
      </w:pPr>
      <w:r w:rsidRPr="00547868">
        <w:rPr>
          <w:b/>
          <w:iCs/>
        </w:rPr>
        <w:t>requiring respondents to submit more than an original and two copies of any document;</w:t>
      </w:r>
    </w:p>
    <w:p w:rsidRPr="00547868" w:rsidR="00DB6234" w:rsidP="00547868" w:rsidRDefault="00EB039A" w14:paraId="418DC906" w14:textId="77777777">
      <w:pPr>
        <w:pStyle w:val="ListParagraph"/>
        <w:numPr>
          <w:ilvl w:val="0"/>
          <w:numId w:val="8"/>
        </w:numPr>
        <w:rPr>
          <w:b/>
          <w:iCs/>
        </w:rPr>
      </w:pPr>
      <w:r w:rsidRPr="00547868">
        <w:rPr>
          <w:b/>
          <w:iCs/>
        </w:rPr>
        <w:t>requiring respondents to retain records, other than health, medical, government contract, grant-in-aid, or tax records for more than three years;</w:t>
      </w:r>
    </w:p>
    <w:p w:rsidRPr="00547868" w:rsidR="00DB6234" w:rsidP="00547868" w:rsidRDefault="00EB039A" w14:paraId="7765B4D5" w14:textId="77777777">
      <w:pPr>
        <w:pStyle w:val="ListParagraph"/>
        <w:numPr>
          <w:ilvl w:val="0"/>
          <w:numId w:val="8"/>
        </w:numPr>
        <w:rPr>
          <w:b/>
          <w:iCs/>
        </w:rPr>
      </w:pPr>
      <w:r w:rsidRPr="00547868">
        <w:rPr>
          <w:b/>
          <w:iCs/>
        </w:rPr>
        <w:t>in connection with a statistical survey, that is not designed to produce valid and reliable results that can be generalized to the universe of study;</w:t>
      </w:r>
    </w:p>
    <w:p w:rsidRPr="00547868" w:rsidR="00DB6234" w:rsidP="00547868" w:rsidRDefault="00EB039A" w14:paraId="13D73E6D" w14:textId="77777777">
      <w:pPr>
        <w:pStyle w:val="ListParagraph"/>
        <w:numPr>
          <w:ilvl w:val="0"/>
          <w:numId w:val="8"/>
        </w:numPr>
        <w:rPr>
          <w:b/>
          <w:iCs/>
        </w:rPr>
      </w:pPr>
      <w:r w:rsidRPr="00547868">
        <w:rPr>
          <w:b/>
          <w:iCs/>
        </w:rPr>
        <w:t>requiring the use of a statistical data classification that has not been reviewed and approved by OMB;</w:t>
      </w:r>
    </w:p>
    <w:p w:rsidRPr="00547868" w:rsidR="00DB6234" w:rsidP="00547868" w:rsidRDefault="00EB039A" w14:paraId="43829691" w14:textId="77777777">
      <w:pPr>
        <w:pStyle w:val="ListParagraph"/>
        <w:numPr>
          <w:ilvl w:val="0"/>
          <w:numId w:val="8"/>
        </w:numPr>
        <w:rPr>
          <w:b/>
          <w:iCs/>
        </w:rPr>
      </w:pPr>
      <w:r w:rsidRPr="00547868">
        <w:rPr>
          <w:b/>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47868" w:rsidR="00EB039A" w:rsidP="00547868" w:rsidRDefault="00EB039A" w14:paraId="03D710A5" w14:textId="77777777">
      <w:pPr>
        <w:pStyle w:val="ListParagraph"/>
        <w:numPr>
          <w:ilvl w:val="0"/>
          <w:numId w:val="8"/>
        </w:numPr>
        <w:rPr>
          <w:b/>
          <w:iCs/>
        </w:rPr>
      </w:pPr>
      <w:r w:rsidRPr="00547868">
        <w:rPr>
          <w:b/>
          <w:iCs/>
        </w:rPr>
        <w:t>requiring respondents to submit proprietary trade secret, or other confidential information unless the agency can demonstrate that it has instituted procedures to protect the information’s confidentiality to the extent permitted by law.</w:t>
      </w:r>
    </w:p>
    <w:p w:rsidRPr="00EB039A" w:rsidR="00EB039A" w:rsidP="00EB039A" w:rsidRDefault="00EB039A" w14:paraId="6CA646DB" w14:textId="77777777">
      <w:pPr>
        <w:ind w:left="720"/>
      </w:pPr>
    </w:p>
    <w:p w:rsidRPr="00EB039A" w:rsidR="00EB039A" w:rsidP="00EB039A" w:rsidRDefault="00EB039A" w14:paraId="41F93340" w14:textId="77777777">
      <w:pPr>
        <w:ind w:left="720"/>
      </w:pPr>
      <w:r w:rsidRPr="00EB039A">
        <w:t>There are no special circumstances that require the collection to be conducted in a manner inconsistent with the guidelines in 5 CFR 1320.5.</w:t>
      </w:r>
    </w:p>
    <w:p w:rsidRPr="00EB039A" w:rsidR="00EB039A" w:rsidP="00EB039A" w:rsidRDefault="00EB039A" w14:paraId="102FE31D" w14:textId="77777777">
      <w:pPr>
        <w:ind w:left="720"/>
      </w:pPr>
    </w:p>
    <w:p w:rsidRPr="00547868" w:rsidR="00EB039A" w:rsidP="003B35E7" w:rsidRDefault="00501DF2" w14:paraId="1828803E" w14:textId="77777777">
      <w:pPr>
        <w:ind w:left="720" w:hanging="720"/>
        <w:rPr>
          <w:b/>
        </w:rPr>
      </w:pPr>
      <w:r w:rsidRPr="00547868">
        <w:rPr>
          <w:b/>
        </w:rPr>
        <w:t>8.</w:t>
      </w:r>
      <w:r w:rsidR="003B35E7">
        <w:rPr>
          <w:b/>
          <w:i/>
        </w:rPr>
        <w:tab/>
      </w:r>
      <w:r w:rsidRPr="00547868" w:rsidR="00EB039A">
        <w:rPr>
          <w:b/>
        </w:rPr>
        <w:t>If applicable, provide a copy and identify the date and page number of publication in the Federal Register of the agency’s notice, required by 5 C.F.R. §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47868" w:rsidR="00EB039A" w:rsidP="00EB039A" w:rsidRDefault="00EB039A" w14:paraId="64CC808B" w14:textId="77777777">
      <w:pPr>
        <w:ind w:left="720"/>
        <w:rPr>
          <w:iCs/>
        </w:rPr>
      </w:pPr>
    </w:p>
    <w:p w:rsidRPr="00547868" w:rsidR="00EB039A" w:rsidP="00EB039A" w:rsidRDefault="00EB039A" w14:paraId="146C5347" w14:textId="77777777">
      <w:pPr>
        <w:ind w:left="720"/>
        <w:rPr>
          <w:b/>
          <w:iCs/>
        </w:rPr>
      </w:pPr>
      <w:r w:rsidRPr="00547868">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47868" w:rsidR="00EB039A" w:rsidP="00EB039A" w:rsidRDefault="00EB039A" w14:paraId="1AC38B29" w14:textId="77777777">
      <w:pPr>
        <w:ind w:left="720"/>
        <w:rPr>
          <w:b/>
          <w:iCs/>
        </w:rPr>
      </w:pPr>
    </w:p>
    <w:p w:rsidRPr="00547868" w:rsidR="00AA3FD1" w:rsidP="00AA3FD1" w:rsidRDefault="00EB039A" w14:paraId="5ABE587E" w14:textId="6745868D">
      <w:pPr>
        <w:ind w:left="720"/>
        <w:rPr>
          <w:b/>
          <w:iCs/>
        </w:rPr>
      </w:pPr>
      <w:r w:rsidRPr="00547868">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A50C0" w:rsidP="00AA3FD1" w:rsidRDefault="007A50C0" w14:paraId="7147B7E5" w14:textId="1848D818">
      <w:pPr>
        <w:ind w:left="720"/>
        <w:rPr>
          <w:b/>
          <w:iCs/>
        </w:rPr>
      </w:pPr>
    </w:p>
    <w:p w:rsidRPr="00A879B8" w:rsidR="00B97498" w:rsidP="00A879B8" w:rsidRDefault="006C3D69" w14:paraId="3D96D67A" w14:textId="5B1CDCD4">
      <w:pPr>
        <w:ind w:left="720"/>
      </w:pPr>
      <w:r w:rsidRPr="00C7366F">
        <w:lastRenderedPageBreak/>
        <w:t>DOL published a Notice of Proposed Rulemaking that proposes amendments to the Investment Duties regulation under Title I of the Employee Retirement Income Security Act of 1974, as amended (ERISA), to clarify the application of ERISA’s fiduciary duties of prudence and loyalty to selecting investments and investment courses of action, including selecting qualified default investment alternatives, exercising shareholder rights, such as proxy voting, and the use of written proxy voting policies and guidelines. The notice published October 14, 2021 (</w:t>
      </w:r>
      <w:r w:rsidRPr="00A879B8" w:rsidR="00A879B8">
        <w:t>86 FR 57272</w:t>
      </w:r>
      <w:r w:rsidRPr="00C7366F">
        <w:t xml:space="preserve">). Comments on the proposal are due by December 13, 2021. </w:t>
      </w:r>
      <w:r w:rsidRPr="00B97498" w:rsidR="00B97498">
        <w:rPr>
          <w:iCs/>
        </w:rPr>
        <w:t>In addition to requesting public comment on the proposed regulation, the NPRM solicits public comment on the paperwork burden of the proposed regulation. </w:t>
      </w:r>
      <w:r w:rsidR="00B97498">
        <w:rPr>
          <w:iCs/>
        </w:rPr>
        <w:t xml:space="preserve"> </w:t>
      </w:r>
      <w:r w:rsidRPr="00B97498" w:rsidR="00B97498">
        <w:rPr>
          <w:iCs/>
        </w:rPr>
        <w:t xml:space="preserve">The Office of Management and Budget has 60 days to review the information, but must allow at least 30 days for public comment. </w:t>
      </w:r>
      <w:r w:rsidR="00B97498">
        <w:rPr>
          <w:iCs/>
        </w:rPr>
        <w:t xml:space="preserve"> </w:t>
      </w:r>
      <w:r w:rsidRPr="00B97498" w:rsidR="00B97498">
        <w:rPr>
          <w:iCs/>
        </w:rPr>
        <w:t xml:space="preserve">Therefore, the PRA section of the proposed rule requests the public to send comments within 30 days to ensure their consideration. </w:t>
      </w:r>
      <w:r w:rsidR="00B97498">
        <w:rPr>
          <w:iCs/>
        </w:rPr>
        <w:t xml:space="preserve"> </w:t>
      </w:r>
      <w:r w:rsidRPr="00B97498" w:rsidR="00B97498">
        <w:rPr>
          <w:iCs/>
        </w:rPr>
        <w:t xml:space="preserve">(5 CFR 1320.11(c); 5 CFR 1320.11(e)). </w:t>
      </w:r>
    </w:p>
    <w:p w:rsidRPr="00547868" w:rsidR="00371169" w:rsidP="00AA3FD1" w:rsidRDefault="00371169" w14:paraId="6E007E61" w14:textId="77777777">
      <w:pPr>
        <w:ind w:left="720"/>
        <w:rPr>
          <w:b/>
          <w:iCs/>
        </w:rPr>
      </w:pPr>
    </w:p>
    <w:p w:rsidRPr="00547868" w:rsidR="00EB039A" w:rsidP="00F434CD" w:rsidRDefault="00501DF2" w14:paraId="6E88F69E" w14:textId="77777777">
      <w:pPr>
        <w:keepNext/>
        <w:ind w:left="720" w:hanging="720"/>
        <w:rPr>
          <w:b/>
        </w:rPr>
      </w:pPr>
      <w:r w:rsidRPr="00547868">
        <w:rPr>
          <w:b/>
        </w:rPr>
        <w:t>9.</w:t>
      </w:r>
      <w:r w:rsidR="00F434CD">
        <w:rPr>
          <w:b/>
        </w:rPr>
        <w:tab/>
      </w:r>
      <w:r w:rsidRPr="00547868" w:rsidR="00EB039A">
        <w:rPr>
          <w:b/>
        </w:rPr>
        <w:t>Explain any decision to provide any payment or gift to respondents, other than remuneration of contractors or grantees.</w:t>
      </w:r>
    </w:p>
    <w:p w:rsidRPr="00EB039A" w:rsidR="00EB039A" w:rsidP="007144B9" w:rsidRDefault="00EB039A" w14:paraId="1769EFCE" w14:textId="77777777">
      <w:pPr>
        <w:keepNext/>
        <w:ind w:left="720"/>
      </w:pPr>
    </w:p>
    <w:p w:rsidRPr="00EB039A" w:rsidR="00EB039A" w:rsidP="007144B9" w:rsidRDefault="00EB039A" w14:paraId="56217499" w14:textId="77777777">
      <w:pPr>
        <w:keepNext/>
        <w:ind w:left="720"/>
      </w:pPr>
      <w:r w:rsidRPr="00EB039A">
        <w:t>No payments or gifts are provided to respondents.</w:t>
      </w:r>
    </w:p>
    <w:p w:rsidRPr="00EB039A" w:rsidR="00EB039A" w:rsidP="007144B9" w:rsidRDefault="00EB039A" w14:paraId="5C82E55A" w14:textId="77777777">
      <w:pPr>
        <w:keepNext/>
        <w:ind w:left="720"/>
      </w:pPr>
    </w:p>
    <w:p w:rsidRPr="00547868" w:rsidR="00EB039A" w:rsidP="001F688C" w:rsidRDefault="00564EF1" w14:paraId="24A58A62" w14:textId="77777777">
      <w:pPr>
        <w:ind w:left="720" w:hanging="720"/>
        <w:rPr>
          <w:b/>
        </w:rPr>
      </w:pPr>
      <w:r w:rsidRPr="00547868">
        <w:rPr>
          <w:b/>
        </w:rPr>
        <w:t>10.</w:t>
      </w:r>
      <w:r w:rsidR="001F688C">
        <w:rPr>
          <w:b/>
          <w:i/>
        </w:rPr>
        <w:tab/>
      </w:r>
      <w:r w:rsidRPr="00547868" w:rsidR="00EB039A">
        <w:rPr>
          <w:b/>
        </w:rPr>
        <w:t>Describe any assurance of confidentiality provided to respondents and the basis for the assurance in statute, regulation, or agency policy.</w:t>
      </w:r>
    </w:p>
    <w:p w:rsidRPr="00EB039A" w:rsidR="00EB039A" w:rsidP="00EB039A" w:rsidRDefault="00EB039A" w14:paraId="7DBA9F86" w14:textId="77777777">
      <w:pPr>
        <w:ind w:left="720"/>
      </w:pPr>
    </w:p>
    <w:p w:rsidRPr="00EB039A" w:rsidR="00EB039A" w:rsidP="00EB039A" w:rsidRDefault="00EB039A" w14:paraId="7B86D448" w14:textId="77777777">
      <w:pPr>
        <w:ind w:left="720"/>
      </w:pPr>
      <w:r w:rsidRPr="00EB039A">
        <w:t>There is no assurance of confidentiality provided to respondents.</w:t>
      </w:r>
    </w:p>
    <w:p w:rsidRPr="00EB039A" w:rsidR="00EB039A" w:rsidP="00EB039A" w:rsidRDefault="00EB039A" w14:paraId="7E8AD10D" w14:textId="77777777">
      <w:pPr>
        <w:ind w:left="720"/>
      </w:pPr>
    </w:p>
    <w:p w:rsidRPr="00EB039A" w:rsidR="00EB039A" w:rsidP="001F688C" w:rsidRDefault="00564EF1" w14:paraId="2E82EC84" w14:textId="77777777">
      <w:pPr>
        <w:ind w:left="720" w:hanging="720"/>
        <w:rPr>
          <w:b/>
          <w:i/>
        </w:rPr>
      </w:pPr>
      <w:r w:rsidRPr="00547868">
        <w:rPr>
          <w:b/>
        </w:rPr>
        <w:t>11.</w:t>
      </w:r>
      <w:r w:rsidR="001F688C">
        <w:rPr>
          <w:b/>
        </w:rPr>
        <w:tab/>
      </w:r>
      <w:r w:rsidRPr="00547868" w:rsidR="00EB039A">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w:t>
      </w:r>
      <w:r w:rsidRPr="001F78C3" w:rsidR="00EB039A">
        <w:rPr>
          <w:b/>
        </w:rPr>
        <w:t>m the information is requested, and any steps to be taken to obtain their consent.</w:t>
      </w:r>
    </w:p>
    <w:p w:rsidRPr="00EB039A" w:rsidR="00EB039A" w:rsidP="00EB039A" w:rsidRDefault="00EB039A" w14:paraId="6FB8431D" w14:textId="77777777">
      <w:pPr>
        <w:ind w:left="720"/>
      </w:pPr>
    </w:p>
    <w:p w:rsidRPr="00EB039A" w:rsidR="00EB039A" w:rsidP="00EB039A" w:rsidRDefault="00EB039A" w14:paraId="0AF3B476" w14:textId="77777777">
      <w:pPr>
        <w:ind w:left="720"/>
      </w:pPr>
      <w:r w:rsidRPr="00EB039A">
        <w:t>There are no questions of a sensitive nature.</w:t>
      </w:r>
    </w:p>
    <w:p w:rsidRPr="00EB039A" w:rsidR="00EB039A" w:rsidP="00EB039A" w:rsidRDefault="00EB039A" w14:paraId="425ECF56" w14:textId="77777777">
      <w:pPr>
        <w:ind w:left="720"/>
      </w:pPr>
    </w:p>
    <w:p w:rsidRPr="00547868" w:rsidR="0051414D" w:rsidP="00ED21DD" w:rsidRDefault="00237776" w14:paraId="4A44E01F" w14:textId="77777777">
      <w:pPr>
        <w:ind w:left="720" w:hanging="720"/>
        <w:rPr>
          <w:b/>
        </w:rPr>
      </w:pPr>
      <w:r w:rsidRPr="00547868">
        <w:rPr>
          <w:b/>
        </w:rPr>
        <w:t>12.</w:t>
      </w:r>
      <w:r w:rsidR="00ED21DD">
        <w:rPr>
          <w:b/>
        </w:rPr>
        <w:tab/>
      </w:r>
      <w:r w:rsidRPr="00547868" w:rsidR="00EB039A">
        <w:rPr>
          <w:b/>
        </w:rPr>
        <w:t>Provide estimates of the hour burden of the collection of information.  The statement should:</w:t>
      </w:r>
    </w:p>
    <w:p w:rsidRPr="006A3CC3" w:rsidR="0051414D" w:rsidP="00547868" w:rsidRDefault="00EB039A" w14:paraId="4F56E2D9" w14:textId="77777777">
      <w:pPr>
        <w:pStyle w:val="ListParagraph"/>
        <w:numPr>
          <w:ilvl w:val="0"/>
          <w:numId w:val="11"/>
        </w:numPr>
        <w:rPr>
          <w:b/>
        </w:rPr>
      </w:pPr>
      <w:r w:rsidRPr="00547868">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3635B" w:rsidR="0051414D" w:rsidP="00547868" w:rsidRDefault="00EB039A" w14:paraId="534973A6" w14:textId="4D4C9E13">
      <w:pPr>
        <w:pStyle w:val="ListParagraph"/>
        <w:numPr>
          <w:ilvl w:val="0"/>
          <w:numId w:val="11"/>
        </w:numPr>
        <w:rPr>
          <w:b/>
        </w:rPr>
      </w:pPr>
      <w:r w:rsidRPr="00D3635B">
        <w:rPr>
          <w:b/>
        </w:rPr>
        <w:t xml:space="preserve">If this request for approval covers more than one form, provide separate hour burden estimates for each form and aggregate the hour burdens in Item </w:t>
      </w:r>
      <w:r w:rsidRPr="00D3635B" w:rsidR="001C42D2">
        <w:rPr>
          <w:b/>
        </w:rPr>
        <w:lastRenderedPageBreak/>
        <w:t>1</w:t>
      </w:r>
      <w:r w:rsidR="001C42D2">
        <w:rPr>
          <w:b/>
        </w:rPr>
        <w:t>2</w:t>
      </w:r>
      <w:r w:rsidRPr="00D3635B">
        <w:rPr>
          <w:b/>
        </w:rPr>
        <w:t>.</w:t>
      </w:r>
    </w:p>
    <w:p w:rsidRPr="006A3CC3" w:rsidR="00EB039A" w:rsidP="00547868" w:rsidRDefault="00237776" w14:paraId="43E698D2" w14:textId="2083609F">
      <w:pPr>
        <w:pStyle w:val="ListParagraph"/>
        <w:numPr>
          <w:ilvl w:val="0"/>
          <w:numId w:val="11"/>
        </w:numPr>
      </w:pPr>
      <w:r w:rsidRPr="006A3CC3">
        <w:rPr>
          <w:b/>
          <w:i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rsidRPr="006A3CC3" w:rsidR="001C42D2">
        <w:rPr>
          <w:b/>
          <w:iCs/>
        </w:rPr>
        <w:t>1</w:t>
      </w:r>
      <w:r w:rsidR="001C42D2">
        <w:rPr>
          <w:b/>
          <w:iCs/>
        </w:rPr>
        <w:t>3</w:t>
      </w:r>
      <w:r w:rsidRPr="006A3CC3">
        <w:rPr>
          <w:b/>
          <w:iCs/>
        </w:rPr>
        <w:t>.</w:t>
      </w:r>
    </w:p>
    <w:p w:rsidR="00237776" w:rsidP="00EB039A" w:rsidRDefault="00237776" w14:paraId="00819140" w14:textId="41E64DD8">
      <w:pPr>
        <w:ind w:left="720"/>
        <w:rPr>
          <w:b/>
          <w:i/>
          <w:iCs/>
        </w:rPr>
      </w:pPr>
    </w:p>
    <w:p w:rsidR="0022136E" w:rsidP="00D83188" w:rsidRDefault="0022136E" w14:paraId="3595A0C6" w14:textId="77777777">
      <w:pPr>
        <w:ind w:left="810"/>
        <w:rPr>
          <w:iCs/>
        </w:rPr>
      </w:pPr>
    </w:p>
    <w:p w:rsidR="0022136E" w:rsidP="00D83188" w:rsidRDefault="00C20435" w14:paraId="30A51BC5" w14:textId="6D599984">
      <w:pPr>
        <w:ind w:left="810"/>
        <w:rPr>
          <w:iCs/>
        </w:rPr>
      </w:pPr>
      <w:r w:rsidRPr="00C20435">
        <w:rPr>
          <w:iCs/>
        </w:rPr>
        <w:t>The Department anticipates that all plans using ESG would be affected in some way by the proposal.  With respect to participant-directed individual account plans, a small fraction offer at least one ESG-themed option among their designated investment alternatives.  According to the Plan Sponsor Council of America, about three percent of 401(k) and/or profit sharing plans offered at least one ESG-them</w:t>
      </w:r>
      <w:r>
        <w:rPr>
          <w:iCs/>
        </w:rPr>
        <w:t xml:space="preserve">ed investment option in 2019.  </w:t>
      </w:r>
      <w:r w:rsidRPr="00C20435">
        <w:rPr>
          <w:iCs/>
        </w:rPr>
        <w:t>Vanguard’s 2018 administrative data show that approximately nine percent of DC plans offered one or more “socially responsible”</w:t>
      </w:r>
      <w:r w:rsidR="00EF1437">
        <w:rPr>
          <w:iCs/>
        </w:rPr>
        <w:t xml:space="preserve"> domestic equity fund options. </w:t>
      </w:r>
      <w:r w:rsidRPr="00C20435">
        <w:rPr>
          <w:iCs/>
        </w:rPr>
        <w:t xml:space="preserve"> In a comment letter, Fidelity Investments reported that 14.5 percent of corporate DC plans with fewer than 50 participants offered an ESG option, and that the figure is higher for large plans with at least 1,000 participants.  Considering these sources together, the Department estimates that nine percent of participant-directed individual account plans have at least one ESG-themed designated investment alternative.  This represents 53,000 participant-directed individual account plans.</w:t>
      </w:r>
    </w:p>
    <w:p w:rsidR="0022136E" w:rsidP="00D83188" w:rsidRDefault="0022136E" w14:paraId="313AD322" w14:textId="77777777">
      <w:pPr>
        <w:ind w:left="810"/>
        <w:rPr>
          <w:iCs/>
        </w:rPr>
      </w:pPr>
    </w:p>
    <w:p w:rsidR="0022136E" w:rsidP="00D83188" w:rsidRDefault="00C20435" w14:paraId="42101758" w14:textId="77777777">
      <w:pPr>
        <w:ind w:left="810"/>
        <w:rPr>
          <w:iCs/>
        </w:rPr>
      </w:pPr>
      <w:r w:rsidRPr="00C20435">
        <w:rPr>
          <w:iCs/>
        </w:rPr>
        <w:t>According to a 2018 survey by the NEPC, approximately 12 percent of private pension plan</w:t>
      </w:r>
      <w:r>
        <w:rPr>
          <w:iCs/>
        </w:rPr>
        <w:t xml:space="preserve">s have adopted ESG investing.  </w:t>
      </w:r>
      <w:r w:rsidRPr="00C20435">
        <w:rPr>
          <w:iCs/>
        </w:rPr>
        <w:t>Another survey, conducted by the Callan Institute in 2019, found that about 19 percent of private sector pension plans consider ESG fac</w:t>
      </w:r>
      <w:r>
        <w:rPr>
          <w:iCs/>
        </w:rPr>
        <w:t xml:space="preserve">tors in investment decisions.  </w:t>
      </w:r>
      <w:r w:rsidRPr="00C20435">
        <w:rPr>
          <w:iCs/>
        </w:rPr>
        <w:t>Both of these estimates are calculated from samples that include both defined benefit and defined contribution plans.  For purposes of this analysis, the Department assumes that 19 percent of defined benefit plans and nonparticipant-directed defined contribution plans use ESG investing, which represents 25,300 defined benefit and nonparticipant-directed defined contribution plans.</w:t>
      </w:r>
    </w:p>
    <w:p w:rsidR="0022136E" w:rsidP="00D83188" w:rsidRDefault="0022136E" w14:paraId="609B831D" w14:textId="77777777">
      <w:pPr>
        <w:ind w:left="810"/>
        <w:rPr>
          <w:iCs/>
        </w:rPr>
      </w:pPr>
    </w:p>
    <w:p w:rsidR="00C20435" w:rsidP="00D83188" w:rsidRDefault="00C20435" w14:paraId="457B789B" w14:textId="172884CC">
      <w:pPr>
        <w:ind w:left="810"/>
        <w:rPr>
          <w:iCs/>
        </w:rPr>
      </w:pPr>
      <w:r w:rsidRPr="00C20435">
        <w:rPr>
          <w:iCs/>
        </w:rPr>
        <w:t>As a result, the Department estimates as a lower bound that approximately 11 percent of retirement plans, or 78,300 plans, would be affected by paragraph (</w:t>
      </w:r>
      <w:r w:rsidR="00EF1437">
        <w:rPr>
          <w:iCs/>
        </w:rPr>
        <w:t xml:space="preserve">c) of the proposal. </w:t>
      </w:r>
      <w:r w:rsidRPr="00C20435">
        <w:rPr>
          <w:iCs/>
        </w:rPr>
        <w:t xml:space="preserve"> This is the weighted average of nine percent for participant-directed defined contribution plans and 19 percent for other plans and is the Department’s best approximation of the number of plans that were using ESG under the prior non-regulatory guidance.  The estimate is a lower bound because it is likely that more plans will start to use ESG.  The proposal and its clarification of how to</w:t>
      </w:r>
      <w:r w:rsidR="00530884">
        <w:rPr>
          <w:iCs/>
        </w:rPr>
        <w:t xml:space="preserve"> employ climate change and other </w:t>
      </w:r>
      <w:r w:rsidRPr="00C20435">
        <w:rPr>
          <w:iCs/>
        </w:rPr>
        <w:t xml:space="preserve">ESG </w:t>
      </w:r>
      <w:r w:rsidR="00E947D7">
        <w:rPr>
          <w:iCs/>
        </w:rPr>
        <w:t xml:space="preserve">considerations in </w:t>
      </w:r>
      <w:r w:rsidRPr="00C20435">
        <w:rPr>
          <w:iCs/>
        </w:rPr>
        <w:t xml:space="preserve">investing appropriately in an ERISA plan may provide reassurance to some plan fiduciaries that will make them feel more at ease to begin incorporating </w:t>
      </w:r>
      <w:r w:rsidR="00E947D7">
        <w:rPr>
          <w:iCs/>
        </w:rPr>
        <w:t xml:space="preserve">climate change and other </w:t>
      </w:r>
      <w:r w:rsidRPr="00C20435">
        <w:rPr>
          <w:iCs/>
        </w:rPr>
        <w:t xml:space="preserve">ESG factors.  Furthermore, ESG investing is generally increasing in popularity, and that may well carry over to ERISA plans and participants. </w:t>
      </w:r>
    </w:p>
    <w:p w:rsidR="00C20435" w:rsidP="00D83188" w:rsidRDefault="00C20435" w14:paraId="2FACB298" w14:textId="0C500738">
      <w:pPr>
        <w:ind w:left="810"/>
        <w:rPr>
          <w:iCs/>
        </w:rPr>
      </w:pPr>
      <w:r w:rsidRPr="00C20435">
        <w:rPr>
          <w:iCs/>
        </w:rPr>
        <w:t xml:space="preserve">  </w:t>
      </w:r>
    </w:p>
    <w:p w:rsidR="00A75815" w:rsidP="00D83188" w:rsidRDefault="00C20435" w14:paraId="65A74714" w14:textId="3429C099">
      <w:pPr>
        <w:ind w:left="810"/>
      </w:pPr>
      <w:r w:rsidRPr="00C20435">
        <w:rPr>
          <w:iCs/>
        </w:rPr>
        <w:t xml:space="preserve">The proposed rule requires that if a fiduciary prudently concludes that competing investments or investment courses of action equally serve the financial interests of the plan over the appropriate time horizon, the fiduciary is not prohibited from selecting the </w:t>
      </w:r>
      <w:r w:rsidRPr="00C20435">
        <w:rPr>
          <w:iCs/>
        </w:rPr>
        <w:lastRenderedPageBreak/>
        <w:t>investment, or investment course of action, based on collateral benefits other than investment returns.  Further, in the case of a designated investment alternative</w:t>
      </w:r>
      <w:r w:rsidR="00A75815">
        <w:rPr>
          <w:iCs/>
        </w:rPr>
        <w:t xml:space="preserve">, </w:t>
      </w:r>
      <w:r w:rsidR="00A75815">
        <w:t>including a QDIA,</w:t>
      </w:r>
      <w:r w:rsidRPr="00C20435">
        <w:rPr>
          <w:iCs/>
        </w:rPr>
        <w:t xml:space="preserve"> for an individual account plan, the plan fiduciary must ensure that the collateral-benefit characteristic of the fund, product, or model portfolio is prominently displayed in disclosure materials provided to participants and beneficiaries.  </w:t>
      </w:r>
      <w:r w:rsidRPr="007A5C48" w:rsidR="00A75815">
        <w:t>A fiduciary</w:t>
      </w:r>
      <w:r w:rsidR="00A75815">
        <w:t>, however,</w:t>
      </w:r>
      <w:r w:rsidRPr="007A5C48" w:rsidR="00A75815">
        <w:t xml:space="preserve"> may not accept expected reduced returns or greater risks </w:t>
      </w:r>
      <w:r w:rsidR="00A75815">
        <w:t>in selecting such an investment or investment course of action.</w:t>
      </w:r>
    </w:p>
    <w:p w:rsidR="00A75815" w:rsidP="00D83188" w:rsidRDefault="00A75815" w14:paraId="1434A130" w14:textId="77777777">
      <w:pPr>
        <w:ind w:left="810"/>
        <w:rPr>
          <w:iCs/>
        </w:rPr>
      </w:pPr>
    </w:p>
    <w:p w:rsidR="00C20435" w:rsidP="00D83188" w:rsidRDefault="00C20435" w14:paraId="06A0CF31" w14:textId="2F6E4736">
      <w:pPr>
        <w:ind w:left="810"/>
        <w:rPr>
          <w:iCs/>
        </w:rPr>
      </w:pPr>
      <w:r w:rsidRPr="00C20435">
        <w:rPr>
          <w:iCs/>
        </w:rPr>
        <w:t>The proposed rule provides flexibility in how plans may fulfill this requirement.  One likely way is using the required disclosure under 29 CFR 2550.404a-</w:t>
      </w:r>
      <w:r w:rsidR="001C17E3">
        <w:rPr>
          <w:iCs/>
        </w:rPr>
        <w:t>5</w:t>
      </w:r>
      <w:r w:rsidRPr="00C20435">
        <w:rPr>
          <w:iCs/>
        </w:rPr>
        <w:t xml:space="preserve"> covered under </w:t>
      </w:r>
      <w:r>
        <w:rPr>
          <w:iCs/>
        </w:rPr>
        <w:t xml:space="preserve">OMB Control Number 1210-0090.  </w:t>
      </w:r>
      <w:r w:rsidRPr="00C20435">
        <w:rPr>
          <w:iCs/>
        </w:rPr>
        <w:t>The burden associated with the information collection includes updating information on the investment options annually.</w:t>
      </w:r>
    </w:p>
    <w:p w:rsidR="002D0E03" w:rsidP="00D83188" w:rsidRDefault="002D0E03" w14:paraId="511A1D11" w14:textId="0DD8C95A">
      <w:pPr>
        <w:ind w:left="810"/>
        <w:rPr>
          <w:iCs/>
        </w:rPr>
      </w:pPr>
    </w:p>
    <w:p w:rsidR="002D0E03" w:rsidP="00D83188" w:rsidRDefault="002D0E03" w14:paraId="50B149A0" w14:textId="169714D6">
      <w:pPr>
        <w:ind w:left="810"/>
        <w:rPr>
          <w:iCs/>
        </w:rPr>
      </w:pPr>
      <w:r w:rsidRPr="002D0E03">
        <w:rPr>
          <w:iCs/>
        </w:rPr>
        <w:t>The Department estimates that it will take a legal professional twenty minutes on average per year to update existing disclosures to meet this requirement.  If each of the approximately 53,000 participated-directed individual account plans estimated to have at least one ESG-themed designated investment alternative used the tie-breaker provision in paragraph (c)(3) of the proposal, the result would be a cost of $2.4 million annually.</w:t>
      </w:r>
      <w:r>
        <w:rPr>
          <w:iCs/>
        </w:rPr>
        <w:t xml:space="preserve">  </w:t>
      </w:r>
      <w:r>
        <w:rPr>
          <w:shd w:val="clear" w:color="auto" w:fill="FFFFFF"/>
        </w:rPr>
        <w:t xml:space="preserve">This estimate </w:t>
      </w:r>
      <w:r w:rsidR="006C3D69">
        <w:rPr>
          <w:shd w:val="clear" w:color="auto" w:fill="FFFFFF"/>
        </w:rPr>
        <w:t>takes into account that following factors:</w:t>
      </w:r>
      <w:r>
        <w:rPr>
          <w:shd w:val="clear" w:color="auto" w:fill="FFFFFF"/>
        </w:rPr>
        <w:t xml:space="preserve"> </w:t>
      </w:r>
      <w:r w:rsidR="006C3D69">
        <w:rPr>
          <w:shd w:val="clear" w:color="auto" w:fill="FFFFFF"/>
        </w:rPr>
        <w:t xml:space="preserve">1) </w:t>
      </w:r>
      <w:r>
        <w:rPr>
          <w:shd w:val="clear" w:color="auto" w:fill="FFFFFF"/>
        </w:rPr>
        <w:t xml:space="preserve">each such plan is unlikely to use the tie-breaker provision and because the ongoing costs of the disclosure requirement in paragraph (c)(3) of the proposal would be approximately zero absent changes to an affected designated investment alternative.  </w:t>
      </w:r>
      <w:r w:rsidR="006C3D69">
        <w:rPr>
          <w:shd w:val="clear" w:color="auto" w:fill="FFFFFF"/>
        </w:rPr>
        <w:t xml:space="preserve">2) </w:t>
      </w:r>
      <w:r>
        <w:rPr>
          <w:shd w:val="clear" w:color="auto" w:fill="FFFFFF"/>
        </w:rPr>
        <w:t>the extent that more plans use</w:t>
      </w:r>
      <w:r w:rsidR="00E947D7">
        <w:rPr>
          <w:shd w:val="clear" w:color="auto" w:fill="FFFFFF"/>
        </w:rPr>
        <w:t xml:space="preserve"> climate change and other</w:t>
      </w:r>
      <w:r>
        <w:rPr>
          <w:shd w:val="clear" w:color="auto" w:fill="FFFFFF"/>
        </w:rPr>
        <w:t xml:space="preserve"> ESG criteria in the future and to the extent such plans have multiple designated investment options subject to paragraph (c)(3) of the proposed rule.</w:t>
      </w:r>
    </w:p>
    <w:p w:rsidR="0022136E" w:rsidP="00D83188" w:rsidRDefault="0022136E" w14:paraId="73ACC2F3" w14:textId="77777777">
      <w:pPr>
        <w:ind w:left="810" w:firstLine="720"/>
        <w:rPr>
          <w:iCs/>
        </w:rPr>
      </w:pPr>
    </w:p>
    <w:p w:rsidR="00AE5E22" w:rsidP="00D83188" w:rsidRDefault="00C20435" w14:paraId="1210E02C" w14:textId="03A4C117">
      <w:pPr>
        <w:ind w:left="810"/>
        <w:rPr>
          <w:rFonts w:eastAsia="Calibri"/>
          <w:color w:val="000000"/>
        </w:rPr>
      </w:pPr>
      <w:r w:rsidRPr="00C20435">
        <w:rPr>
          <w:iCs/>
        </w:rPr>
        <w:t xml:space="preserve">In summary, the total </w:t>
      </w:r>
      <w:r w:rsidR="00743B69">
        <w:rPr>
          <w:iCs/>
        </w:rPr>
        <w:t xml:space="preserve">annual </w:t>
      </w:r>
      <w:r w:rsidRPr="00C20435">
        <w:rPr>
          <w:iCs/>
        </w:rPr>
        <w:t xml:space="preserve">hour burden associated with this information collection is </w:t>
      </w:r>
      <w:r w:rsidR="00023568">
        <w:rPr>
          <w:rFonts w:eastAsia="Calibri"/>
          <w:color w:val="000000"/>
        </w:rPr>
        <w:t xml:space="preserve">17,655 hours with an equivalent cost of </w:t>
      </w:r>
      <w:r w:rsidRPr="00F942E4" w:rsidR="00023568">
        <w:rPr>
          <w:rFonts w:eastAsia="Calibri"/>
          <w:color w:val="000000"/>
        </w:rPr>
        <w:t>$2,443,629</w:t>
      </w:r>
      <w:r w:rsidR="00023568">
        <w:rPr>
          <w:rFonts w:eastAsia="Calibri"/>
          <w:color w:val="000000"/>
        </w:rPr>
        <w:t>.</w:t>
      </w:r>
      <w:r w:rsidRPr="007345EA" w:rsidR="00023568">
        <w:rPr>
          <w:rFonts w:eastAsia="Calibri"/>
          <w:color w:val="000000"/>
        </w:rPr>
        <w:t xml:space="preserve">  </w:t>
      </w:r>
    </w:p>
    <w:p w:rsidR="00D53E38" w:rsidP="00D83188" w:rsidRDefault="00D53E38" w14:paraId="41F9001F" w14:textId="3908BD12">
      <w:pPr>
        <w:ind w:left="810"/>
        <w:rPr>
          <w:iCs/>
        </w:rPr>
      </w:pPr>
    </w:p>
    <w:p w:rsidR="00D53E38" w:rsidP="00D53E38" w:rsidRDefault="00D53E38" w14:paraId="66149932" w14:textId="73E92F75">
      <w:pPr>
        <w:ind w:left="720"/>
        <w:jc w:val="center"/>
        <w:rPr>
          <w:b/>
        </w:rPr>
      </w:pPr>
      <w:r w:rsidRPr="00E60FB0">
        <w:rPr>
          <w:b/>
        </w:rPr>
        <w:t>Estimated Annualized Respondent Cost and Hour Burden</w:t>
      </w:r>
    </w:p>
    <w:p w:rsidRPr="00E60FB0" w:rsidR="00D53E38" w:rsidP="00D53E38" w:rsidRDefault="00D53E38" w14:paraId="7AB60CDC" w14:textId="77777777">
      <w:pPr>
        <w:ind w:left="720"/>
        <w:jc w:val="center"/>
        <w:rPr>
          <w:i/>
        </w:rPr>
      </w:pP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5"/>
        <w:gridCol w:w="1440"/>
        <w:gridCol w:w="1350"/>
        <w:gridCol w:w="1260"/>
        <w:gridCol w:w="1080"/>
        <w:gridCol w:w="990"/>
        <w:gridCol w:w="990"/>
        <w:gridCol w:w="1350"/>
      </w:tblGrid>
      <w:tr w:rsidRPr="00E60FB0" w:rsidR="005E7ED0" w:rsidTr="008F4A1C" w14:paraId="490F2D15" w14:textId="77777777">
        <w:trPr>
          <w:trHeight w:val="890"/>
        </w:trPr>
        <w:tc>
          <w:tcPr>
            <w:tcW w:w="179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53E38" w:rsidP="00AB7450" w:rsidRDefault="00D53E38" w14:paraId="3F45F5C5" w14:textId="77777777">
            <w:pPr>
              <w:spacing w:line="276" w:lineRule="auto"/>
              <w:jc w:val="center"/>
              <w:rPr>
                <w:b/>
                <w:sz w:val="22"/>
                <w:szCs w:val="22"/>
              </w:rPr>
            </w:pPr>
            <w:r w:rsidRPr="00E60FB0">
              <w:rPr>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53E38" w:rsidP="00AB7450" w:rsidRDefault="00D53E38" w14:paraId="79F261E7" w14:textId="77777777">
            <w:pPr>
              <w:spacing w:line="276" w:lineRule="auto"/>
              <w:jc w:val="center"/>
              <w:rPr>
                <w:b/>
                <w:sz w:val="22"/>
                <w:szCs w:val="22"/>
              </w:rPr>
            </w:pPr>
            <w:r w:rsidRPr="00F935EE">
              <w:rPr>
                <w:b/>
                <w:sz w:val="22"/>
                <w:szCs w:val="22"/>
              </w:rPr>
              <w:t>No.</w:t>
            </w:r>
            <w:r w:rsidRPr="00E60FB0">
              <w:rPr>
                <w:b/>
                <w:sz w:val="22"/>
                <w:szCs w:val="22"/>
              </w:rPr>
              <w:t xml:space="preserve">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D53E38" w:rsidP="00AB7450" w:rsidRDefault="00D53E38" w14:paraId="19674C7F" w14:textId="77777777">
            <w:pPr>
              <w:spacing w:line="276" w:lineRule="auto"/>
              <w:jc w:val="center"/>
              <w:rPr>
                <w:b/>
                <w:sz w:val="22"/>
                <w:szCs w:val="22"/>
              </w:rPr>
            </w:pPr>
            <w:r w:rsidRPr="00E60FB0">
              <w:rPr>
                <w:b/>
                <w:sz w:val="22"/>
                <w:szCs w:val="22"/>
              </w:rPr>
              <w:t xml:space="preserve">No. of Responses </w:t>
            </w:r>
          </w:p>
          <w:p w:rsidRPr="00E60FB0" w:rsidR="00D53E38" w:rsidP="00AB7450" w:rsidRDefault="00D53E38" w14:paraId="2AEE616E" w14:textId="77777777">
            <w:pPr>
              <w:spacing w:line="276" w:lineRule="auto"/>
              <w:jc w:val="center"/>
              <w:rPr>
                <w:b/>
                <w:sz w:val="22"/>
                <w:szCs w:val="22"/>
              </w:rPr>
            </w:pPr>
            <w:r w:rsidRPr="00E60FB0">
              <w:rPr>
                <w:b/>
                <w:sz w:val="22"/>
                <w:szCs w:val="22"/>
              </w:rPr>
              <w:t>per</w:t>
            </w:r>
            <w:r>
              <w:rPr>
                <w:b/>
                <w:sz w:val="22"/>
                <w:szCs w:val="22"/>
              </w:rPr>
              <w:t xml:space="preserve">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53E38" w:rsidP="00AB7450" w:rsidRDefault="00D53E38" w14:paraId="161C82C5" w14:textId="77777777">
            <w:pPr>
              <w:spacing w:line="276" w:lineRule="auto"/>
              <w:jc w:val="center"/>
              <w:rPr>
                <w:b/>
                <w:sz w:val="22"/>
                <w:szCs w:val="22"/>
              </w:rPr>
            </w:pPr>
            <w:r w:rsidRPr="00E60FB0">
              <w:rPr>
                <w:b/>
                <w:sz w:val="22"/>
                <w:szCs w:val="22"/>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53E38" w:rsidP="00AB7450" w:rsidRDefault="00D53E38" w14:paraId="5ED16FD2" w14:textId="77777777">
            <w:pPr>
              <w:spacing w:line="276" w:lineRule="auto"/>
              <w:jc w:val="center"/>
              <w:rPr>
                <w:b/>
                <w:sz w:val="22"/>
                <w:szCs w:val="22"/>
              </w:rPr>
            </w:pPr>
            <w:r w:rsidRPr="006626FF">
              <w:rPr>
                <w:b/>
                <w:sz w:val="22"/>
                <w:szCs w:val="22"/>
              </w:rPr>
              <w:t>Average Burden (H</w:t>
            </w:r>
            <w:r w:rsidRPr="00E60FB0">
              <w:rPr>
                <w:b/>
                <w:sz w:val="22"/>
                <w:szCs w:val="22"/>
              </w:rPr>
              <w:t>our</w:t>
            </w:r>
            <w:r>
              <w:rPr>
                <w:b/>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53E38" w:rsidP="00AB7450" w:rsidRDefault="00D53E38" w14:paraId="23BBA43B" w14:textId="77777777">
            <w:pPr>
              <w:spacing w:line="276" w:lineRule="auto"/>
              <w:jc w:val="center"/>
              <w:rPr>
                <w:b/>
                <w:sz w:val="22"/>
                <w:szCs w:val="22"/>
              </w:rPr>
            </w:pPr>
            <w:r w:rsidRPr="00E60FB0">
              <w:rPr>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53E38" w:rsidP="00AB7450" w:rsidRDefault="00D53E38" w14:paraId="70983636" w14:textId="77777777">
            <w:pPr>
              <w:spacing w:line="276" w:lineRule="auto"/>
              <w:jc w:val="center"/>
              <w:rPr>
                <w:b/>
                <w:sz w:val="22"/>
                <w:szCs w:val="22"/>
              </w:rPr>
            </w:pPr>
            <w:r w:rsidRPr="00E60FB0">
              <w:rPr>
                <w:b/>
                <w:sz w:val="22"/>
                <w:szCs w:val="22"/>
              </w:rPr>
              <w:t>Hourly</w:t>
            </w:r>
          </w:p>
          <w:p w:rsidRPr="00E60FB0" w:rsidR="00D53E38" w:rsidP="00AB7450" w:rsidRDefault="00D53E38" w14:paraId="1A649A19" w14:textId="77777777">
            <w:pPr>
              <w:spacing w:line="276" w:lineRule="auto"/>
              <w:jc w:val="center"/>
              <w:rPr>
                <w:b/>
                <w:sz w:val="22"/>
                <w:szCs w:val="22"/>
              </w:rPr>
            </w:pPr>
            <w:r w:rsidRPr="00E60FB0">
              <w:rPr>
                <w:b/>
                <w:sz w:val="22"/>
                <w:szCs w:val="22"/>
              </w:rPr>
              <w:t>Wage Rate</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D53E38" w:rsidP="00AB7450" w:rsidRDefault="00D53E38" w14:paraId="20787AE3" w14:textId="77777777">
            <w:pPr>
              <w:spacing w:line="276" w:lineRule="auto"/>
              <w:jc w:val="center"/>
              <w:rPr>
                <w:b/>
                <w:sz w:val="22"/>
                <w:szCs w:val="22"/>
              </w:rPr>
            </w:pPr>
            <w:r w:rsidRPr="00A224BA">
              <w:rPr>
                <w:b/>
                <w:sz w:val="22"/>
                <w:szCs w:val="22"/>
              </w:rPr>
              <w:t>Monetized Value of Respondent Time</w:t>
            </w:r>
          </w:p>
        </w:tc>
      </w:tr>
      <w:tr w:rsidRPr="00E60FB0" w:rsidR="005E7ED0" w:rsidTr="008F4A1C" w14:paraId="0345CE1E" w14:textId="77777777">
        <w:tc>
          <w:tcPr>
            <w:tcW w:w="1795" w:type="dxa"/>
            <w:tcBorders>
              <w:top w:val="single" w:color="auto" w:sz="4" w:space="0"/>
              <w:left w:val="single" w:color="auto" w:sz="4" w:space="0"/>
              <w:bottom w:val="single" w:color="auto" w:sz="4" w:space="0"/>
              <w:right w:val="single" w:color="auto" w:sz="4" w:space="0"/>
            </w:tcBorders>
            <w:vAlign w:val="bottom"/>
          </w:tcPr>
          <w:p w:rsidR="00023568" w:rsidRDefault="0009170C" w14:paraId="307713CD" w14:textId="65D18C13">
            <w:pPr>
              <w:spacing w:line="276" w:lineRule="auto"/>
              <w:rPr>
                <w:sz w:val="22"/>
                <w:szCs w:val="22"/>
              </w:rPr>
            </w:pPr>
            <w:r>
              <w:rPr>
                <w:sz w:val="22"/>
                <w:szCs w:val="22"/>
              </w:rPr>
              <w:t>Lawyer</w:t>
            </w:r>
            <w:r w:rsidR="00023568">
              <w:rPr>
                <w:sz w:val="22"/>
                <w:szCs w:val="22"/>
              </w:rPr>
              <w:t xml:space="preserve"> </w:t>
            </w:r>
            <w:r w:rsidR="00A0673A">
              <w:rPr>
                <w:iCs/>
              </w:rPr>
              <w:t>update</w:t>
            </w:r>
            <w:r>
              <w:rPr>
                <w:iCs/>
              </w:rPr>
              <w:t>s</w:t>
            </w:r>
            <w:r w:rsidR="00A0673A">
              <w:rPr>
                <w:iCs/>
              </w:rPr>
              <w:t xml:space="preserve"> existing disclosures for collateral benefits (Annually)</w:t>
            </w:r>
          </w:p>
        </w:tc>
        <w:tc>
          <w:tcPr>
            <w:tcW w:w="1440" w:type="dxa"/>
            <w:tcBorders>
              <w:top w:val="single" w:color="auto" w:sz="4" w:space="0"/>
              <w:left w:val="single" w:color="auto" w:sz="4" w:space="0"/>
              <w:bottom w:val="single" w:color="auto" w:sz="4" w:space="0"/>
              <w:right w:val="single" w:color="auto" w:sz="4" w:space="0"/>
            </w:tcBorders>
            <w:vAlign w:val="center"/>
          </w:tcPr>
          <w:p w:rsidR="00023568" w:rsidP="00AB7450" w:rsidRDefault="00023568" w14:paraId="633F5F3C" w14:textId="040E67B2">
            <w:pPr>
              <w:spacing w:line="276" w:lineRule="auto"/>
              <w:jc w:val="center"/>
              <w:rPr>
                <w:sz w:val="22"/>
                <w:szCs w:val="22"/>
              </w:rPr>
            </w:pPr>
            <w:r>
              <w:rPr>
                <w:sz w:val="22"/>
                <w:szCs w:val="22"/>
              </w:rPr>
              <w:t>52,965</w:t>
            </w:r>
          </w:p>
        </w:tc>
        <w:tc>
          <w:tcPr>
            <w:tcW w:w="1350" w:type="dxa"/>
            <w:tcBorders>
              <w:top w:val="single" w:color="auto" w:sz="4" w:space="0"/>
              <w:left w:val="single" w:color="auto" w:sz="4" w:space="0"/>
              <w:bottom w:val="single" w:color="auto" w:sz="4" w:space="0"/>
              <w:right w:val="single" w:color="auto" w:sz="4" w:space="0"/>
            </w:tcBorders>
            <w:vAlign w:val="center"/>
          </w:tcPr>
          <w:p w:rsidR="00023568" w:rsidP="00AB7450" w:rsidRDefault="00023568" w14:paraId="113570BE" w14:textId="51FD38BA">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rsidR="00023568" w:rsidP="00AB7450" w:rsidRDefault="00023568" w14:paraId="4A32EABC" w14:textId="1AA69949">
            <w:pPr>
              <w:spacing w:line="276" w:lineRule="auto"/>
              <w:jc w:val="center"/>
              <w:rPr>
                <w:sz w:val="22"/>
                <w:szCs w:val="22"/>
              </w:rPr>
            </w:pPr>
            <w:r>
              <w:rPr>
                <w:sz w:val="22"/>
                <w:szCs w:val="22"/>
              </w:rPr>
              <w:t>52,965</w:t>
            </w:r>
          </w:p>
        </w:tc>
        <w:tc>
          <w:tcPr>
            <w:tcW w:w="1080" w:type="dxa"/>
            <w:tcBorders>
              <w:top w:val="single" w:color="auto" w:sz="4" w:space="0"/>
              <w:left w:val="single" w:color="auto" w:sz="4" w:space="0"/>
              <w:bottom w:val="single" w:color="auto" w:sz="4" w:space="0"/>
              <w:right w:val="single" w:color="auto" w:sz="4" w:space="0"/>
            </w:tcBorders>
            <w:vAlign w:val="center"/>
          </w:tcPr>
          <w:p w:rsidRPr="00A32544" w:rsidR="00023568" w:rsidP="00AB7450" w:rsidRDefault="00023568" w14:paraId="1E64139A" w14:textId="3999E671">
            <w:pPr>
              <w:spacing w:line="276" w:lineRule="auto"/>
              <w:jc w:val="center"/>
              <w:rPr>
                <w:sz w:val="22"/>
                <w:szCs w:val="22"/>
              </w:rPr>
            </w:pPr>
            <w:r>
              <w:rPr>
                <w:sz w:val="22"/>
                <w:szCs w:val="22"/>
              </w:rPr>
              <w:t>0.33</w:t>
            </w:r>
          </w:p>
        </w:tc>
        <w:tc>
          <w:tcPr>
            <w:tcW w:w="990" w:type="dxa"/>
            <w:tcBorders>
              <w:top w:val="single" w:color="auto" w:sz="4" w:space="0"/>
              <w:left w:val="single" w:color="auto" w:sz="4" w:space="0"/>
              <w:bottom w:val="single" w:color="auto" w:sz="4" w:space="0"/>
              <w:right w:val="single" w:color="auto" w:sz="4" w:space="0"/>
            </w:tcBorders>
            <w:vAlign w:val="center"/>
          </w:tcPr>
          <w:p w:rsidRPr="00583F46" w:rsidR="00023568" w:rsidP="00AB7450" w:rsidRDefault="00023568" w14:paraId="0050C49B" w14:textId="2CE56129">
            <w:pPr>
              <w:spacing w:line="276" w:lineRule="auto"/>
              <w:jc w:val="center"/>
              <w:rPr>
                <w:sz w:val="22"/>
                <w:szCs w:val="22"/>
              </w:rPr>
            </w:pPr>
            <w:r>
              <w:rPr>
                <w:sz w:val="22"/>
                <w:szCs w:val="22"/>
              </w:rPr>
              <w:t>17,655</w:t>
            </w:r>
          </w:p>
        </w:tc>
        <w:tc>
          <w:tcPr>
            <w:tcW w:w="990" w:type="dxa"/>
            <w:tcBorders>
              <w:top w:val="single" w:color="auto" w:sz="4" w:space="0"/>
              <w:left w:val="single" w:color="auto" w:sz="4" w:space="0"/>
              <w:bottom w:val="single" w:color="auto" w:sz="4" w:space="0"/>
              <w:right w:val="single" w:color="auto" w:sz="4" w:space="0"/>
            </w:tcBorders>
            <w:vAlign w:val="center"/>
          </w:tcPr>
          <w:p w:rsidR="00023568" w:rsidP="00AB7450" w:rsidRDefault="00023568" w14:paraId="359310A0" w14:textId="71CAD8C9">
            <w:pPr>
              <w:spacing w:line="276" w:lineRule="auto"/>
              <w:jc w:val="center"/>
              <w:rPr>
                <w:sz w:val="22"/>
                <w:szCs w:val="22"/>
              </w:rPr>
            </w:pPr>
            <w:r>
              <w:rPr>
                <w:sz w:val="22"/>
                <w:szCs w:val="22"/>
              </w:rPr>
              <w:t>$138.41</w:t>
            </w:r>
          </w:p>
        </w:tc>
        <w:tc>
          <w:tcPr>
            <w:tcW w:w="1350" w:type="dxa"/>
            <w:tcBorders>
              <w:top w:val="single" w:color="auto" w:sz="4" w:space="0"/>
              <w:left w:val="single" w:color="auto" w:sz="4" w:space="0"/>
              <w:bottom w:val="single" w:color="auto" w:sz="4" w:space="0"/>
              <w:right w:val="single" w:color="auto" w:sz="4" w:space="0"/>
            </w:tcBorders>
            <w:vAlign w:val="center"/>
          </w:tcPr>
          <w:p w:rsidRPr="002B1E60" w:rsidR="00023568" w:rsidP="00AB7450" w:rsidRDefault="00023568" w14:paraId="65F1AB4E" w14:textId="36F45CBA">
            <w:pPr>
              <w:spacing w:line="276" w:lineRule="auto"/>
              <w:jc w:val="center"/>
              <w:rPr>
                <w:sz w:val="22"/>
                <w:szCs w:val="22"/>
              </w:rPr>
            </w:pPr>
            <w:r>
              <w:rPr>
                <w:sz w:val="22"/>
                <w:szCs w:val="22"/>
              </w:rPr>
              <w:t>$2,443,629</w:t>
            </w:r>
          </w:p>
        </w:tc>
      </w:tr>
    </w:tbl>
    <w:p w:rsidR="00D53E38" w:rsidP="00B25B76" w:rsidRDefault="00D53E38" w14:paraId="6C4C7543" w14:textId="77777777">
      <w:pPr>
        <w:ind w:left="720"/>
        <w:rPr>
          <w:iCs/>
        </w:rPr>
      </w:pPr>
    </w:p>
    <w:p w:rsidRPr="00EB039A" w:rsidR="00EC580D" w:rsidP="00B328CE" w:rsidRDefault="00EC580D" w14:paraId="6E2762A0" w14:textId="3E9CF3FD"/>
    <w:p w:rsidR="00EB039A" w:rsidP="005669A7" w:rsidRDefault="0079646A" w14:paraId="4C395217" w14:textId="77777777">
      <w:pPr>
        <w:ind w:left="720" w:hanging="720"/>
        <w:rPr>
          <w:b/>
        </w:rPr>
      </w:pPr>
      <w:r w:rsidRPr="00181EE3">
        <w:rPr>
          <w:b/>
        </w:rPr>
        <w:t>13.</w:t>
      </w:r>
      <w:r w:rsidR="005669A7">
        <w:rPr>
          <w:b/>
        </w:rPr>
        <w:tab/>
      </w:r>
      <w:r w:rsidRPr="00223395" w:rsidR="00223395">
        <w:rPr>
          <w:b/>
        </w:rPr>
        <w:t>Provide an estimate of the total annual cost burden to respondents or recordkeepers resulting from the collection of information.</w:t>
      </w:r>
    </w:p>
    <w:p w:rsidRPr="00223395" w:rsidR="00223395" w:rsidP="00223395" w:rsidRDefault="00223395" w14:paraId="4E0F10F3" w14:textId="77777777">
      <w:pPr>
        <w:numPr>
          <w:ilvl w:val="0"/>
          <w:numId w:val="12"/>
        </w:numPr>
        <w:rPr>
          <w:b/>
          <w:iCs/>
        </w:rPr>
      </w:pPr>
      <w:r w:rsidRPr="00223395">
        <w:rPr>
          <w:b/>
          <w:iCs/>
        </w:rPr>
        <w:lastRenderedPageBreak/>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23395" w:rsidR="00223395" w:rsidP="00223395" w:rsidRDefault="00223395" w14:paraId="330A16E4" w14:textId="77777777">
      <w:pPr>
        <w:numPr>
          <w:ilvl w:val="0"/>
          <w:numId w:val="12"/>
        </w:numPr>
        <w:rPr>
          <w:b/>
          <w:iCs/>
        </w:rPr>
      </w:pPr>
      <w:r w:rsidRPr="00223395">
        <w:rPr>
          <w:b/>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C2914" w:rsidR="00940619" w:rsidP="005C2914" w:rsidRDefault="00223395" w14:paraId="7DBD24E3" w14:textId="0FDDCCCE">
      <w:pPr>
        <w:numPr>
          <w:ilvl w:val="0"/>
          <w:numId w:val="12"/>
        </w:numPr>
        <w:rPr>
          <w:b/>
          <w:iCs/>
        </w:rPr>
      </w:pPr>
      <w:r w:rsidRPr="00223395">
        <w:rPr>
          <w:b/>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4379B" w:rsidP="00285871" w:rsidRDefault="00C4379B" w14:paraId="59604C42" w14:textId="2F90DAD1">
      <w:pPr>
        <w:keepNext/>
        <w:ind w:left="720"/>
      </w:pPr>
    </w:p>
    <w:p w:rsidRPr="007E308A" w:rsidR="008D61FB" w:rsidP="00285871" w:rsidRDefault="008D61FB" w14:paraId="63275359" w14:textId="3B2B50A3">
      <w:pPr>
        <w:keepNext/>
        <w:ind w:left="720"/>
      </w:pPr>
      <w:r>
        <w:t xml:space="preserve">There are no other costs than the costs </w:t>
      </w:r>
      <w:r w:rsidR="00480B31">
        <w:t xml:space="preserve">associated with the hour burden </w:t>
      </w:r>
      <w:r>
        <w:t xml:space="preserve">discussed in Question 12.  </w:t>
      </w:r>
    </w:p>
    <w:p w:rsidRPr="00181EE3" w:rsidR="007144B9" w:rsidP="007144B9" w:rsidRDefault="007144B9" w14:paraId="4D20027B" w14:textId="77777777">
      <w:pPr>
        <w:ind w:left="720"/>
        <w:rPr>
          <w:b/>
        </w:rPr>
      </w:pPr>
    </w:p>
    <w:p w:rsidRPr="00181EE3" w:rsidR="00EB039A" w:rsidP="00631344" w:rsidRDefault="0079646A" w14:paraId="600C1A46" w14:textId="77777777">
      <w:pPr>
        <w:ind w:left="720" w:hanging="720"/>
        <w:rPr>
          <w:b/>
        </w:rPr>
      </w:pPr>
      <w:r w:rsidRPr="00181EE3">
        <w:rPr>
          <w:b/>
        </w:rPr>
        <w:t>14.</w:t>
      </w:r>
      <w:r w:rsidR="00631344">
        <w:rPr>
          <w:b/>
        </w:rPr>
        <w:tab/>
      </w:r>
      <w:r w:rsidRPr="00181EE3" w:rsidR="00EB039A">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B039A" w:rsidR="00EB039A" w:rsidP="007144B9" w:rsidRDefault="00EB039A" w14:paraId="4B58D75B" w14:textId="77777777">
      <w:pPr>
        <w:ind w:left="720"/>
      </w:pPr>
    </w:p>
    <w:p w:rsidRPr="00EB039A" w:rsidR="00EB039A" w:rsidP="007144B9" w:rsidRDefault="00EB039A" w14:paraId="2A4A956D" w14:textId="77777777">
      <w:pPr>
        <w:ind w:left="720"/>
      </w:pPr>
      <w:r w:rsidRPr="00EB039A">
        <w:t>There are no ongoing costs to the Federal government.</w:t>
      </w:r>
    </w:p>
    <w:p w:rsidRPr="00EB039A" w:rsidR="00EB039A" w:rsidP="007144B9" w:rsidRDefault="00EB039A" w14:paraId="0A53487F" w14:textId="77777777">
      <w:pPr>
        <w:ind w:left="720"/>
      </w:pPr>
    </w:p>
    <w:p w:rsidRPr="00181EE3" w:rsidR="00EB039A" w:rsidP="00631344" w:rsidRDefault="002C668F" w14:paraId="3810F812" w14:textId="77777777">
      <w:pPr>
        <w:ind w:left="720" w:hanging="720"/>
        <w:rPr>
          <w:b/>
        </w:rPr>
      </w:pPr>
      <w:r w:rsidRPr="00181EE3">
        <w:rPr>
          <w:b/>
        </w:rPr>
        <w:t>15.</w:t>
      </w:r>
      <w:r w:rsidR="00631344">
        <w:rPr>
          <w:b/>
        </w:rPr>
        <w:tab/>
      </w:r>
      <w:r w:rsidRPr="00181EE3" w:rsidR="00EB039A">
        <w:rPr>
          <w:b/>
        </w:rPr>
        <w:t>Explain the reasons for any program changes or adjustments reporting in Items 13 or 14.</w:t>
      </w:r>
    </w:p>
    <w:p w:rsidR="00EB039A" w:rsidP="007144B9" w:rsidRDefault="00EB039A" w14:paraId="7E098C66" w14:textId="77777777">
      <w:pPr>
        <w:ind w:left="720"/>
      </w:pPr>
    </w:p>
    <w:p w:rsidRPr="008F4A1C" w:rsidR="007D41AB" w:rsidP="008F4A1C" w:rsidRDefault="00027D6B" w14:paraId="50EB27FE" w14:textId="35D6A5B6">
      <w:pPr>
        <w:ind w:left="720"/>
        <w:rPr>
          <w:bCs/>
        </w:rPr>
      </w:pPr>
      <w:r>
        <w:t>O</w:t>
      </w:r>
      <w:r w:rsidRPr="00027D6B">
        <w:t xml:space="preserve">n March 10, 2021, the Department announced that it would stay enforcement of the 2020 rules pending a complete review of the matter.  Subsequently, on May 20, 2021, the President issued Executive Order 14030, entitled “Executive Order on Climate-Related Financial Risk.”  Section 4 of the Executive Order directs the Department to consider suspending, revising, or rescinding any rules from the prior administration that would </w:t>
      </w:r>
      <w:r w:rsidRPr="00027D6B">
        <w:lastRenderedPageBreak/>
        <w:t>have barred plan fiduciaries (and their investment-firm service providers) from considering environmental, social and governance factors, including climate-related risks, in their investment decisions related to workers’ pensions.  In light of the foregoing, the Department concluded that additional notice and comment rulemaking was necessary to safeguard the interests of participants and beneficiaries in their retirement and welfare plan benefits.</w:t>
      </w:r>
      <w:r w:rsidR="007D41AB">
        <w:t xml:space="preserve">  </w:t>
      </w:r>
    </w:p>
    <w:p w:rsidRPr="00EB039A" w:rsidR="00EB039A" w:rsidP="007144B9" w:rsidRDefault="00EB039A" w14:paraId="1B1CDD2D" w14:textId="77777777">
      <w:pPr>
        <w:ind w:left="720"/>
      </w:pPr>
    </w:p>
    <w:p w:rsidRPr="00631344" w:rsidR="00EB039A" w:rsidP="00631344" w:rsidRDefault="002C668F" w14:paraId="3D5DB85A" w14:textId="77777777">
      <w:pPr>
        <w:ind w:left="720" w:hanging="720"/>
        <w:rPr>
          <w:b/>
        </w:rPr>
      </w:pPr>
      <w:r w:rsidRPr="00631344">
        <w:rPr>
          <w:b/>
        </w:rPr>
        <w:t>16.</w:t>
      </w:r>
      <w:r w:rsidR="00631344">
        <w:rPr>
          <w:b/>
        </w:rPr>
        <w:tab/>
      </w:r>
      <w:r w:rsidRPr="00631344" w:rsidR="00EB039A">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B039A" w:rsidR="00EB039A" w:rsidP="007144B9" w:rsidRDefault="00EB039A" w14:paraId="4F762697" w14:textId="77777777">
      <w:pPr>
        <w:ind w:left="720"/>
      </w:pPr>
    </w:p>
    <w:p w:rsidRPr="00EB039A" w:rsidR="00EB039A" w:rsidP="007144B9" w:rsidRDefault="00EB039A" w14:paraId="02B35D27" w14:textId="77777777">
      <w:pPr>
        <w:ind w:left="720"/>
      </w:pPr>
      <w:r w:rsidRPr="00EB039A">
        <w:t>This is not a collection of information for statistical use</w:t>
      </w:r>
      <w:r w:rsidR="00EC0806">
        <w:t>,</w:t>
      </w:r>
      <w:r w:rsidRPr="00EB039A">
        <w:t xml:space="preserve"> and there are no plans to publish the results of this collection.</w:t>
      </w:r>
    </w:p>
    <w:p w:rsidRPr="00EB039A" w:rsidR="00EB039A" w:rsidP="007144B9" w:rsidRDefault="00EB039A" w14:paraId="36096308" w14:textId="77777777">
      <w:pPr>
        <w:ind w:left="720"/>
      </w:pPr>
    </w:p>
    <w:p w:rsidRPr="00181EE3" w:rsidR="00EB039A" w:rsidP="001E2AC8" w:rsidRDefault="002C668F" w14:paraId="2128F6CA" w14:textId="77777777">
      <w:pPr>
        <w:ind w:left="720" w:hanging="720"/>
        <w:rPr>
          <w:b/>
        </w:rPr>
      </w:pPr>
      <w:r w:rsidRPr="00181EE3">
        <w:rPr>
          <w:b/>
        </w:rPr>
        <w:t>17.</w:t>
      </w:r>
      <w:r w:rsidR="001E2AC8">
        <w:rPr>
          <w:b/>
        </w:rPr>
        <w:tab/>
      </w:r>
      <w:r w:rsidRPr="00181EE3" w:rsidR="00EB039A">
        <w:rPr>
          <w:b/>
        </w:rPr>
        <w:t>If seeking approval to not display the expiration date for OMB approval of the information collection, explain the reasons that display would be inappropriate.</w:t>
      </w:r>
    </w:p>
    <w:p w:rsidRPr="00EB039A" w:rsidR="00EB039A" w:rsidP="007144B9" w:rsidRDefault="00EB039A" w14:paraId="3B90556F" w14:textId="77777777">
      <w:pPr>
        <w:ind w:left="720"/>
      </w:pPr>
    </w:p>
    <w:p w:rsidR="00EB039A" w:rsidP="00702043" w:rsidRDefault="00702043" w14:paraId="2B2A6A0D" w14:textId="77777777">
      <w:pPr>
        <w:ind w:left="720"/>
      </w:pPr>
      <w:r w:rsidRPr="00702043">
        <w:t>Not applicable.</w:t>
      </w:r>
    </w:p>
    <w:p w:rsidRPr="00EB039A" w:rsidR="00360C5A" w:rsidP="007144B9" w:rsidRDefault="00360C5A" w14:paraId="15334FB0" w14:textId="77777777">
      <w:pPr>
        <w:ind w:left="720"/>
      </w:pPr>
    </w:p>
    <w:p w:rsidRPr="00181EE3" w:rsidR="00EB039A" w:rsidP="001E2AC8" w:rsidRDefault="00BD6980" w14:paraId="6C84DA0B" w14:textId="77777777">
      <w:pPr>
        <w:ind w:left="720" w:hanging="720"/>
        <w:rPr>
          <w:b/>
        </w:rPr>
      </w:pPr>
      <w:r w:rsidRPr="00181EE3">
        <w:rPr>
          <w:b/>
        </w:rPr>
        <w:t>18.</w:t>
      </w:r>
      <w:r w:rsidR="001E2AC8">
        <w:rPr>
          <w:b/>
        </w:rPr>
        <w:tab/>
      </w:r>
      <w:r w:rsidRPr="00181EE3" w:rsidR="00EB039A">
        <w:rPr>
          <w:b/>
        </w:rPr>
        <w:t>Explain each exception to the certification statement.</w:t>
      </w:r>
    </w:p>
    <w:p w:rsidRPr="00EB039A" w:rsidR="00EB039A" w:rsidP="007144B9" w:rsidRDefault="00EB039A" w14:paraId="3FADC04C" w14:textId="77777777">
      <w:pPr>
        <w:ind w:left="720"/>
      </w:pPr>
    </w:p>
    <w:p w:rsidR="00EB039A" w:rsidP="007144B9" w:rsidRDefault="00EB039A" w14:paraId="07B6F775" w14:textId="77777777">
      <w:pPr>
        <w:ind w:left="720"/>
      </w:pPr>
      <w:r w:rsidRPr="00EB039A">
        <w:t>There are no exceptions to the certification statement.</w:t>
      </w:r>
    </w:p>
    <w:p w:rsidR="00DD1B12" w:rsidP="007144B9" w:rsidRDefault="00DD1B12" w14:paraId="114000CC" w14:textId="77777777">
      <w:pPr>
        <w:ind w:left="720"/>
      </w:pPr>
    </w:p>
    <w:p w:rsidRPr="002009CC" w:rsidR="00DD1B12" w:rsidP="00D32C8D" w:rsidRDefault="00DD1B12" w14:paraId="5F6B5BEA" w14:textId="77777777">
      <w:pPr>
        <w:pStyle w:val="ListParagraph"/>
        <w:numPr>
          <w:ilvl w:val="0"/>
          <w:numId w:val="4"/>
        </w:numPr>
        <w:tabs>
          <w:tab w:val="left" w:pos="-1440"/>
        </w:tabs>
        <w:ind w:hanging="720"/>
        <w:outlineLvl w:val="0"/>
      </w:pPr>
      <w:r w:rsidRPr="00DD1B12">
        <w:rPr>
          <w:b/>
          <w:bCs/>
        </w:rPr>
        <w:t>COLLECTIONS OF INFORMATION EMPLOYING STATISTICAL METHODS</w:t>
      </w:r>
    </w:p>
    <w:p w:rsidRPr="002009CC" w:rsidR="00DD1B12" w:rsidP="00DD1B12" w:rsidRDefault="00DD1B12" w14:paraId="34B1F6A0" w14:textId="77777777">
      <w:pPr>
        <w:ind w:left="720"/>
      </w:pPr>
    </w:p>
    <w:p w:rsidRPr="000E0DAF" w:rsidR="00DD1B12" w:rsidP="00DD1B12" w:rsidRDefault="00DD1B12" w14:paraId="2A4F3111" w14:textId="77777777">
      <w:pPr>
        <w:ind w:left="720"/>
        <w:outlineLvl w:val="0"/>
      </w:pPr>
      <w:r w:rsidRPr="002009CC">
        <w:t>Not applicable.  The use of statistical methods is not relevant to this collection of information.</w:t>
      </w:r>
    </w:p>
    <w:p w:rsidRPr="00EB039A" w:rsidR="00DD1B12" w:rsidP="007144B9" w:rsidRDefault="00DD1B12" w14:paraId="3B1A23F4" w14:textId="77777777">
      <w:pPr>
        <w:ind w:left="720"/>
      </w:pPr>
    </w:p>
    <w:sectPr w:rsidRPr="00EB039A" w:rsidR="00DD1B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0D3AC" w14:textId="77777777" w:rsidR="00862BCF" w:rsidRDefault="00862BCF" w:rsidP="00CF1AC0">
      <w:r>
        <w:separator/>
      </w:r>
    </w:p>
  </w:endnote>
  <w:endnote w:type="continuationSeparator" w:id="0">
    <w:p w14:paraId="1B8F2AF1" w14:textId="77777777" w:rsidR="00862BCF" w:rsidRDefault="00862BCF" w:rsidP="00CF1AC0">
      <w:r>
        <w:continuationSeparator/>
      </w:r>
    </w:p>
  </w:endnote>
  <w:endnote w:type="continuationNotice" w:id="1">
    <w:p w14:paraId="6B138D58" w14:textId="77777777" w:rsidR="00862BCF" w:rsidRDefault="00862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849051"/>
      <w:docPartObj>
        <w:docPartGallery w:val="Page Numbers (Bottom of Page)"/>
        <w:docPartUnique/>
      </w:docPartObj>
    </w:sdtPr>
    <w:sdtEndPr>
      <w:rPr>
        <w:noProof/>
      </w:rPr>
    </w:sdtEndPr>
    <w:sdtContent>
      <w:p w14:paraId="2496BE8D" w14:textId="6C5607FB" w:rsidR="00530884" w:rsidRDefault="00530884">
        <w:pPr>
          <w:pStyle w:val="Footer"/>
          <w:jc w:val="center"/>
        </w:pPr>
        <w:r>
          <w:fldChar w:fldCharType="begin"/>
        </w:r>
        <w:r>
          <w:instrText xml:space="preserve"> PAGE   \* MERGEFORMAT </w:instrText>
        </w:r>
        <w:r>
          <w:fldChar w:fldCharType="separate"/>
        </w:r>
        <w:r w:rsidR="00F70431">
          <w:rPr>
            <w:noProof/>
          </w:rPr>
          <w:t>1</w:t>
        </w:r>
        <w:r>
          <w:rPr>
            <w:noProof/>
          </w:rPr>
          <w:fldChar w:fldCharType="end"/>
        </w:r>
      </w:p>
    </w:sdtContent>
  </w:sdt>
  <w:p w14:paraId="65F5FB3A" w14:textId="77777777" w:rsidR="00530884" w:rsidRDefault="00530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393F4" w14:textId="77777777" w:rsidR="00862BCF" w:rsidRDefault="00862BCF" w:rsidP="00CF1AC0">
      <w:r>
        <w:separator/>
      </w:r>
    </w:p>
  </w:footnote>
  <w:footnote w:type="continuationSeparator" w:id="0">
    <w:p w14:paraId="29D21495" w14:textId="77777777" w:rsidR="00862BCF" w:rsidRDefault="00862BCF" w:rsidP="00CF1AC0">
      <w:r>
        <w:continuationSeparator/>
      </w:r>
    </w:p>
  </w:footnote>
  <w:footnote w:type="continuationNotice" w:id="1">
    <w:p w14:paraId="0962F405" w14:textId="77777777" w:rsidR="00862BCF" w:rsidRDefault="00862BC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B8C34D9"/>
    <w:multiLevelType w:val="hybridMultilevel"/>
    <w:tmpl w:val="3D020374"/>
    <w:lvl w:ilvl="0" w:tplc="E8B64A02">
      <w:start w:val="1"/>
      <w:numFmt w:val="decimal"/>
      <w:lvlText w:val="%1."/>
      <w:lvlJc w:val="left"/>
      <w:pPr>
        <w:ind w:left="720" w:hanging="360"/>
      </w:pPr>
    </w:lvl>
    <w:lvl w:ilvl="1" w:tplc="C444005E">
      <w:start w:val="1"/>
      <w:numFmt w:val="lowerLetter"/>
      <w:lvlText w:val="%2."/>
      <w:lvlJc w:val="left"/>
      <w:pPr>
        <w:ind w:left="1440" w:hanging="360"/>
      </w:pPr>
    </w:lvl>
    <w:lvl w:ilvl="2" w:tplc="8B1AF19A">
      <w:start w:val="1"/>
      <w:numFmt w:val="lowerRoman"/>
      <w:lvlText w:val="%3."/>
      <w:lvlJc w:val="right"/>
      <w:pPr>
        <w:ind w:left="2160" w:hanging="180"/>
      </w:pPr>
    </w:lvl>
    <w:lvl w:ilvl="3" w:tplc="25769098">
      <w:start w:val="1"/>
      <w:numFmt w:val="decimal"/>
      <w:lvlText w:val="%4."/>
      <w:lvlJc w:val="left"/>
      <w:pPr>
        <w:ind w:left="2880" w:hanging="360"/>
      </w:pPr>
    </w:lvl>
    <w:lvl w:ilvl="4" w:tplc="ABA09228">
      <w:start w:val="1"/>
      <w:numFmt w:val="lowerLetter"/>
      <w:lvlText w:val="%5."/>
      <w:lvlJc w:val="left"/>
      <w:pPr>
        <w:ind w:left="3600" w:hanging="360"/>
      </w:pPr>
    </w:lvl>
    <w:lvl w:ilvl="5" w:tplc="B1245644">
      <w:start w:val="1"/>
      <w:numFmt w:val="lowerRoman"/>
      <w:lvlText w:val="%6."/>
      <w:lvlJc w:val="right"/>
      <w:pPr>
        <w:ind w:left="4320" w:hanging="180"/>
      </w:pPr>
    </w:lvl>
    <w:lvl w:ilvl="6" w:tplc="E5DCA404">
      <w:start w:val="1"/>
      <w:numFmt w:val="decimal"/>
      <w:lvlText w:val="%7."/>
      <w:lvlJc w:val="left"/>
      <w:pPr>
        <w:ind w:left="5040" w:hanging="360"/>
      </w:pPr>
    </w:lvl>
    <w:lvl w:ilvl="7" w:tplc="B5DAEECA">
      <w:start w:val="1"/>
      <w:numFmt w:val="lowerLetter"/>
      <w:lvlText w:val="%8."/>
      <w:lvlJc w:val="left"/>
      <w:pPr>
        <w:ind w:left="5760" w:hanging="360"/>
      </w:pPr>
    </w:lvl>
    <w:lvl w:ilvl="8" w:tplc="51F2280C">
      <w:start w:val="1"/>
      <w:numFmt w:val="lowerRoman"/>
      <w:lvlText w:val="%9."/>
      <w:lvlJc w:val="right"/>
      <w:pPr>
        <w:ind w:left="6480" w:hanging="180"/>
      </w:pPr>
    </w:lvl>
  </w:abstractNum>
  <w:abstractNum w:abstractNumId="2" w15:restartNumberingAfterBreak="0">
    <w:nsid w:val="0C750E06"/>
    <w:multiLevelType w:val="hybridMultilevel"/>
    <w:tmpl w:val="43FEC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63E06"/>
    <w:multiLevelType w:val="hybridMultilevel"/>
    <w:tmpl w:val="68F4AFC4"/>
    <w:lvl w:ilvl="0" w:tplc="6E96FCDC">
      <w:start w:val="1"/>
      <w:numFmt w:val="decimal"/>
      <w:lvlText w:val="%1."/>
      <w:lvlJc w:val="left"/>
      <w:pPr>
        <w:ind w:left="720" w:hanging="360"/>
      </w:pPr>
    </w:lvl>
    <w:lvl w:ilvl="1" w:tplc="362CB92A">
      <w:start w:val="1"/>
      <w:numFmt w:val="lowerLetter"/>
      <w:lvlText w:val="%2."/>
      <w:lvlJc w:val="left"/>
      <w:pPr>
        <w:ind w:left="1440" w:hanging="360"/>
      </w:pPr>
    </w:lvl>
    <w:lvl w:ilvl="2" w:tplc="F69C7AD8">
      <w:start w:val="1"/>
      <w:numFmt w:val="lowerRoman"/>
      <w:lvlText w:val="%3."/>
      <w:lvlJc w:val="right"/>
      <w:pPr>
        <w:ind w:left="2160" w:hanging="180"/>
      </w:pPr>
    </w:lvl>
    <w:lvl w:ilvl="3" w:tplc="2A926E74">
      <w:start w:val="1"/>
      <w:numFmt w:val="decimal"/>
      <w:lvlText w:val="%4."/>
      <w:lvlJc w:val="left"/>
      <w:pPr>
        <w:ind w:left="2880" w:hanging="360"/>
      </w:pPr>
    </w:lvl>
    <w:lvl w:ilvl="4" w:tplc="B9FA40F4">
      <w:start w:val="1"/>
      <w:numFmt w:val="lowerLetter"/>
      <w:lvlText w:val="%5."/>
      <w:lvlJc w:val="left"/>
      <w:pPr>
        <w:ind w:left="3600" w:hanging="360"/>
      </w:pPr>
    </w:lvl>
    <w:lvl w:ilvl="5" w:tplc="35067F02">
      <w:start w:val="1"/>
      <w:numFmt w:val="lowerRoman"/>
      <w:lvlText w:val="%6."/>
      <w:lvlJc w:val="right"/>
      <w:pPr>
        <w:ind w:left="4320" w:hanging="180"/>
      </w:pPr>
    </w:lvl>
    <w:lvl w:ilvl="6" w:tplc="F6FA6DEC">
      <w:start w:val="1"/>
      <w:numFmt w:val="decimal"/>
      <w:lvlText w:val="%7."/>
      <w:lvlJc w:val="left"/>
      <w:pPr>
        <w:ind w:left="5040" w:hanging="360"/>
      </w:pPr>
    </w:lvl>
    <w:lvl w:ilvl="7" w:tplc="8A9C0A88">
      <w:start w:val="1"/>
      <w:numFmt w:val="lowerLetter"/>
      <w:lvlText w:val="%8."/>
      <w:lvlJc w:val="left"/>
      <w:pPr>
        <w:ind w:left="5760" w:hanging="360"/>
      </w:pPr>
    </w:lvl>
    <w:lvl w:ilvl="8" w:tplc="45288D58">
      <w:start w:val="1"/>
      <w:numFmt w:val="lowerRoman"/>
      <w:lvlText w:val="%9."/>
      <w:lvlJc w:val="right"/>
      <w:pPr>
        <w:ind w:left="6480" w:hanging="180"/>
      </w:pPr>
    </w:lvl>
  </w:abstractNum>
  <w:abstractNum w:abstractNumId="4" w15:restartNumberingAfterBreak="0">
    <w:nsid w:val="15DB2F66"/>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82794"/>
    <w:multiLevelType w:val="hybridMultilevel"/>
    <w:tmpl w:val="056441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FB73C9A"/>
    <w:multiLevelType w:val="hybridMultilevel"/>
    <w:tmpl w:val="478C4592"/>
    <w:lvl w:ilvl="0" w:tplc="73421854">
      <w:start w:val="1"/>
      <w:numFmt w:val="decimal"/>
      <w:lvlText w:val="%1."/>
      <w:lvlJc w:val="left"/>
      <w:pPr>
        <w:ind w:left="720" w:hanging="360"/>
      </w:pPr>
    </w:lvl>
    <w:lvl w:ilvl="1" w:tplc="920A0862">
      <w:start w:val="1"/>
      <w:numFmt w:val="lowerLetter"/>
      <w:lvlText w:val="%2."/>
      <w:lvlJc w:val="left"/>
      <w:pPr>
        <w:ind w:left="1440" w:hanging="360"/>
      </w:pPr>
    </w:lvl>
    <w:lvl w:ilvl="2" w:tplc="04D4B952">
      <w:start w:val="1"/>
      <w:numFmt w:val="lowerRoman"/>
      <w:lvlText w:val="%3."/>
      <w:lvlJc w:val="right"/>
      <w:pPr>
        <w:ind w:left="2160" w:hanging="180"/>
      </w:pPr>
    </w:lvl>
    <w:lvl w:ilvl="3" w:tplc="0706D81E">
      <w:start w:val="1"/>
      <w:numFmt w:val="decimal"/>
      <w:lvlText w:val="%4."/>
      <w:lvlJc w:val="left"/>
      <w:pPr>
        <w:ind w:left="2880" w:hanging="360"/>
      </w:pPr>
    </w:lvl>
    <w:lvl w:ilvl="4" w:tplc="B096FD1A">
      <w:start w:val="1"/>
      <w:numFmt w:val="lowerLetter"/>
      <w:lvlText w:val="%5."/>
      <w:lvlJc w:val="left"/>
      <w:pPr>
        <w:ind w:left="3600" w:hanging="360"/>
      </w:pPr>
    </w:lvl>
    <w:lvl w:ilvl="5" w:tplc="9B7EC370">
      <w:start w:val="1"/>
      <w:numFmt w:val="lowerRoman"/>
      <w:lvlText w:val="%6."/>
      <w:lvlJc w:val="right"/>
      <w:pPr>
        <w:ind w:left="4320" w:hanging="180"/>
      </w:pPr>
    </w:lvl>
    <w:lvl w:ilvl="6" w:tplc="584018A0">
      <w:start w:val="1"/>
      <w:numFmt w:val="decimal"/>
      <w:lvlText w:val="%7."/>
      <w:lvlJc w:val="left"/>
      <w:pPr>
        <w:ind w:left="5040" w:hanging="360"/>
      </w:pPr>
    </w:lvl>
    <w:lvl w:ilvl="7" w:tplc="328C7280">
      <w:start w:val="1"/>
      <w:numFmt w:val="lowerLetter"/>
      <w:lvlText w:val="%8."/>
      <w:lvlJc w:val="left"/>
      <w:pPr>
        <w:ind w:left="5760" w:hanging="360"/>
      </w:pPr>
    </w:lvl>
    <w:lvl w:ilvl="8" w:tplc="204A2E4C">
      <w:start w:val="1"/>
      <w:numFmt w:val="lowerRoman"/>
      <w:lvlText w:val="%9."/>
      <w:lvlJc w:val="right"/>
      <w:pPr>
        <w:ind w:left="6480" w:hanging="180"/>
      </w:pPr>
    </w:lvl>
  </w:abstractNum>
  <w:abstractNum w:abstractNumId="7" w15:restartNumberingAfterBreak="0">
    <w:nsid w:val="36761151"/>
    <w:multiLevelType w:val="hybridMultilevel"/>
    <w:tmpl w:val="2D986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6D7F1A"/>
    <w:multiLevelType w:val="hybridMultilevel"/>
    <w:tmpl w:val="77EE5502"/>
    <w:lvl w:ilvl="0" w:tplc="AD70480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41053"/>
    <w:multiLevelType w:val="hybridMultilevel"/>
    <w:tmpl w:val="7660DE78"/>
    <w:lvl w:ilvl="0" w:tplc="3C6202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430563"/>
    <w:multiLevelType w:val="hybridMultilevel"/>
    <w:tmpl w:val="BBF8A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1E7172"/>
    <w:multiLevelType w:val="multilevel"/>
    <w:tmpl w:val="F6DAD38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0"/>
    <w:lvlOverride w:ilvl="0">
      <w:lvl w:ilvl="0">
        <w:start w:val="1"/>
        <w:numFmt w:val="decimal"/>
        <w:pStyle w:val="Quick1"/>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9"/>
  </w:num>
  <w:num w:numId="5">
    <w:abstractNumId w:val="11"/>
  </w:num>
  <w:num w:numId="6">
    <w:abstractNumId w:val="1"/>
  </w:num>
  <w:num w:numId="7">
    <w:abstractNumId w:val="8"/>
  </w:num>
  <w:num w:numId="8">
    <w:abstractNumId w:val="2"/>
  </w:num>
  <w:num w:numId="9">
    <w:abstractNumId w:val="3"/>
  </w:num>
  <w:num w:numId="10">
    <w:abstractNumId w:val="7"/>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C0"/>
    <w:rsid w:val="00005E5A"/>
    <w:rsid w:val="0001540D"/>
    <w:rsid w:val="0001743E"/>
    <w:rsid w:val="00021347"/>
    <w:rsid w:val="000214FF"/>
    <w:rsid w:val="00022A9B"/>
    <w:rsid w:val="00023568"/>
    <w:rsid w:val="00025E14"/>
    <w:rsid w:val="000264C2"/>
    <w:rsid w:val="00027D6B"/>
    <w:rsid w:val="00030A0D"/>
    <w:rsid w:val="0003425C"/>
    <w:rsid w:val="00034FCE"/>
    <w:rsid w:val="0003538F"/>
    <w:rsid w:val="00047F67"/>
    <w:rsid w:val="00051E9C"/>
    <w:rsid w:val="00062035"/>
    <w:rsid w:val="00062CB7"/>
    <w:rsid w:val="00066351"/>
    <w:rsid w:val="00067408"/>
    <w:rsid w:val="000725C7"/>
    <w:rsid w:val="00072942"/>
    <w:rsid w:val="00080C1D"/>
    <w:rsid w:val="000869B0"/>
    <w:rsid w:val="00090A5A"/>
    <w:rsid w:val="0009170C"/>
    <w:rsid w:val="000943BE"/>
    <w:rsid w:val="0009778C"/>
    <w:rsid w:val="000A3571"/>
    <w:rsid w:val="000C195D"/>
    <w:rsid w:val="000C1B7C"/>
    <w:rsid w:val="000C59D4"/>
    <w:rsid w:val="000C6478"/>
    <w:rsid w:val="000D32D4"/>
    <w:rsid w:val="000E0C15"/>
    <w:rsid w:val="000F5C32"/>
    <w:rsid w:val="000F7EEC"/>
    <w:rsid w:val="00101B49"/>
    <w:rsid w:val="001057A9"/>
    <w:rsid w:val="001107D8"/>
    <w:rsid w:val="00112B91"/>
    <w:rsid w:val="0011380B"/>
    <w:rsid w:val="001141BD"/>
    <w:rsid w:val="00117D58"/>
    <w:rsid w:val="00127C47"/>
    <w:rsid w:val="0013190D"/>
    <w:rsid w:val="001336B8"/>
    <w:rsid w:val="00133A24"/>
    <w:rsid w:val="00141442"/>
    <w:rsid w:val="00141B21"/>
    <w:rsid w:val="00143FC9"/>
    <w:rsid w:val="00144339"/>
    <w:rsid w:val="0014590D"/>
    <w:rsid w:val="001541D0"/>
    <w:rsid w:val="00161B7B"/>
    <w:rsid w:val="00170DEC"/>
    <w:rsid w:val="001712A1"/>
    <w:rsid w:val="00181D17"/>
    <w:rsid w:val="00181EE3"/>
    <w:rsid w:val="001858BD"/>
    <w:rsid w:val="00186848"/>
    <w:rsid w:val="00190B5E"/>
    <w:rsid w:val="00192492"/>
    <w:rsid w:val="00192BCA"/>
    <w:rsid w:val="001941C7"/>
    <w:rsid w:val="001948A6"/>
    <w:rsid w:val="00197261"/>
    <w:rsid w:val="001A0D22"/>
    <w:rsid w:val="001A4025"/>
    <w:rsid w:val="001A535C"/>
    <w:rsid w:val="001A5699"/>
    <w:rsid w:val="001B2639"/>
    <w:rsid w:val="001B54FC"/>
    <w:rsid w:val="001B5A8D"/>
    <w:rsid w:val="001C17E3"/>
    <w:rsid w:val="001C3F56"/>
    <w:rsid w:val="001C42D2"/>
    <w:rsid w:val="001C4638"/>
    <w:rsid w:val="001C786E"/>
    <w:rsid w:val="001C7D96"/>
    <w:rsid w:val="001D01EA"/>
    <w:rsid w:val="001D1A84"/>
    <w:rsid w:val="001D3338"/>
    <w:rsid w:val="001D6344"/>
    <w:rsid w:val="001D7778"/>
    <w:rsid w:val="001E2AC8"/>
    <w:rsid w:val="001E3AEA"/>
    <w:rsid w:val="001E492D"/>
    <w:rsid w:val="001F4B4E"/>
    <w:rsid w:val="001F688C"/>
    <w:rsid w:val="001F78C3"/>
    <w:rsid w:val="00200408"/>
    <w:rsid w:val="00204F1B"/>
    <w:rsid w:val="002105AC"/>
    <w:rsid w:val="00215741"/>
    <w:rsid w:val="0022136E"/>
    <w:rsid w:val="00223395"/>
    <w:rsid w:val="002233C0"/>
    <w:rsid w:val="002320AE"/>
    <w:rsid w:val="00237776"/>
    <w:rsid w:val="00242A3D"/>
    <w:rsid w:val="00242D27"/>
    <w:rsid w:val="002474F8"/>
    <w:rsid w:val="00247F08"/>
    <w:rsid w:val="00255FCD"/>
    <w:rsid w:val="00260DA8"/>
    <w:rsid w:val="00264784"/>
    <w:rsid w:val="00267670"/>
    <w:rsid w:val="002709E5"/>
    <w:rsid w:val="00271187"/>
    <w:rsid w:val="0027482C"/>
    <w:rsid w:val="00277B3D"/>
    <w:rsid w:val="00277C5A"/>
    <w:rsid w:val="00284B45"/>
    <w:rsid w:val="00285871"/>
    <w:rsid w:val="00286023"/>
    <w:rsid w:val="002868D5"/>
    <w:rsid w:val="00292798"/>
    <w:rsid w:val="0029384C"/>
    <w:rsid w:val="002954AB"/>
    <w:rsid w:val="002A064B"/>
    <w:rsid w:val="002A0A24"/>
    <w:rsid w:val="002B110A"/>
    <w:rsid w:val="002B1286"/>
    <w:rsid w:val="002B1E60"/>
    <w:rsid w:val="002B2DD1"/>
    <w:rsid w:val="002B3A4D"/>
    <w:rsid w:val="002B4A60"/>
    <w:rsid w:val="002C3D71"/>
    <w:rsid w:val="002C4C9C"/>
    <w:rsid w:val="002C53FE"/>
    <w:rsid w:val="002C668F"/>
    <w:rsid w:val="002C6C83"/>
    <w:rsid w:val="002C7E17"/>
    <w:rsid w:val="002D0E03"/>
    <w:rsid w:val="002D2DD1"/>
    <w:rsid w:val="002D495B"/>
    <w:rsid w:val="002E129B"/>
    <w:rsid w:val="002E1AA8"/>
    <w:rsid w:val="002E45AE"/>
    <w:rsid w:val="002E4931"/>
    <w:rsid w:val="002E6EF9"/>
    <w:rsid w:val="002F2BC8"/>
    <w:rsid w:val="003005E8"/>
    <w:rsid w:val="0030540D"/>
    <w:rsid w:val="003062E4"/>
    <w:rsid w:val="0031176F"/>
    <w:rsid w:val="00313112"/>
    <w:rsid w:val="0031329A"/>
    <w:rsid w:val="00314B02"/>
    <w:rsid w:val="00330532"/>
    <w:rsid w:val="003308D4"/>
    <w:rsid w:val="0033219C"/>
    <w:rsid w:val="003330CC"/>
    <w:rsid w:val="00340E68"/>
    <w:rsid w:val="00341C08"/>
    <w:rsid w:val="0034259D"/>
    <w:rsid w:val="00347B6E"/>
    <w:rsid w:val="00354DB2"/>
    <w:rsid w:val="00356244"/>
    <w:rsid w:val="003567E9"/>
    <w:rsid w:val="00357F09"/>
    <w:rsid w:val="00360C5A"/>
    <w:rsid w:val="00362135"/>
    <w:rsid w:val="00371169"/>
    <w:rsid w:val="00376544"/>
    <w:rsid w:val="003775E5"/>
    <w:rsid w:val="00380E85"/>
    <w:rsid w:val="00386A98"/>
    <w:rsid w:val="00386D8C"/>
    <w:rsid w:val="00386E3F"/>
    <w:rsid w:val="0038743D"/>
    <w:rsid w:val="00390430"/>
    <w:rsid w:val="00390DDB"/>
    <w:rsid w:val="003A3060"/>
    <w:rsid w:val="003A4198"/>
    <w:rsid w:val="003A4C4A"/>
    <w:rsid w:val="003B2BFB"/>
    <w:rsid w:val="003B35E7"/>
    <w:rsid w:val="003B4A53"/>
    <w:rsid w:val="003B5A90"/>
    <w:rsid w:val="003B6B44"/>
    <w:rsid w:val="003C34B7"/>
    <w:rsid w:val="003C5255"/>
    <w:rsid w:val="003D0A50"/>
    <w:rsid w:val="003D396D"/>
    <w:rsid w:val="003D422D"/>
    <w:rsid w:val="003D5DC1"/>
    <w:rsid w:val="003E01D8"/>
    <w:rsid w:val="003E0EA2"/>
    <w:rsid w:val="003E3CE5"/>
    <w:rsid w:val="003E70AC"/>
    <w:rsid w:val="003F0BD0"/>
    <w:rsid w:val="003F25A4"/>
    <w:rsid w:val="003F49EC"/>
    <w:rsid w:val="003F4B09"/>
    <w:rsid w:val="00415237"/>
    <w:rsid w:val="00420161"/>
    <w:rsid w:val="00420372"/>
    <w:rsid w:val="0042105E"/>
    <w:rsid w:val="00424D38"/>
    <w:rsid w:val="00433EB4"/>
    <w:rsid w:val="004421D3"/>
    <w:rsid w:val="0044243A"/>
    <w:rsid w:val="004465DD"/>
    <w:rsid w:val="00450BC1"/>
    <w:rsid w:val="00450D67"/>
    <w:rsid w:val="00454DCF"/>
    <w:rsid w:val="00456E94"/>
    <w:rsid w:val="004600FB"/>
    <w:rsid w:val="0046616F"/>
    <w:rsid w:val="00466D3B"/>
    <w:rsid w:val="004678A0"/>
    <w:rsid w:val="00471757"/>
    <w:rsid w:val="00471DE2"/>
    <w:rsid w:val="00475C8D"/>
    <w:rsid w:val="00477D42"/>
    <w:rsid w:val="00480B31"/>
    <w:rsid w:val="00481D30"/>
    <w:rsid w:val="00484E07"/>
    <w:rsid w:val="00484FE9"/>
    <w:rsid w:val="00491CB2"/>
    <w:rsid w:val="004928C5"/>
    <w:rsid w:val="004A04F2"/>
    <w:rsid w:val="004A1F8A"/>
    <w:rsid w:val="004A4F42"/>
    <w:rsid w:val="004B242D"/>
    <w:rsid w:val="004B31B6"/>
    <w:rsid w:val="004B5175"/>
    <w:rsid w:val="004B68F2"/>
    <w:rsid w:val="004B7673"/>
    <w:rsid w:val="004B7ACF"/>
    <w:rsid w:val="004C1E82"/>
    <w:rsid w:val="004C5DBE"/>
    <w:rsid w:val="004C7915"/>
    <w:rsid w:val="004D5E99"/>
    <w:rsid w:val="004E06F3"/>
    <w:rsid w:val="004E2DF6"/>
    <w:rsid w:val="004E3784"/>
    <w:rsid w:val="004E49DB"/>
    <w:rsid w:val="004E577D"/>
    <w:rsid w:val="004E762E"/>
    <w:rsid w:val="004F0BB1"/>
    <w:rsid w:val="004F6401"/>
    <w:rsid w:val="004F7A5D"/>
    <w:rsid w:val="00501DF2"/>
    <w:rsid w:val="00502E2D"/>
    <w:rsid w:val="00502F15"/>
    <w:rsid w:val="00505D5A"/>
    <w:rsid w:val="00506397"/>
    <w:rsid w:val="005105E3"/>
    <w:rsid w:val="0051414D"/>
    <w:rsid w:val="0051590D"/>
    <w:rsid w:val="0051623E"/>
    <w:rsid w:val="00527974"/>
    <w:rsid w:val="00530884"/>
    <w:rsid w:val="00534DB0"/>
    <w:rsid w:val="0053501E"/>
    <w:rsid w:val="005366EB"/>
    <w:rsid w:val="00541785"/>
    <w:rsid w:val="0054258B"/>
    <w:rsid w:val="00542BA1"/>
    <w:rsid w:val="005442C7"/>
    <w:rsid w:val="00545DB6"/>
    <w:rsid w:val="00547868"/>
    <w:rsid w:val="00552B7F"/>
    <w:rsid w:val="00553FB3"/>
    <w:rsid w:val="00554C8E"/>
    <w:rsid w:val="00563990"/>
    <w:rsid w:val="00564EF1"/>
    <w:rsid w:val="005653E4"/>
    <w:rsid w:val="00565B0A"/>
    <w:rsid w:val="005669A7"/>
    <w:rsid w:val="0057213D"/>
    <w:rsid w:val="00573FCF"/>
    <w:rsid w:val="00580454"/>
    <w:rsid w:val="00580F01"/>
    <w:rsid w:val="00583EFE"/>
    <w:rsid w:val="00583F46"/>
    <w:rsid w:val="005849CB"/>
    <w:rsid w:val="005907A9"/>
    <w:rsid w:val="005961CB"/>
    <w:rsid w:val="005972A5"/>
    <w:rsid w:val="005A4AAA"/>
    <w:rsid w:val="005A6716"/>
    <w:rsid w:val="005A699A"/>
    <w:rsid w:val="005B03D4"/>
    <w:rsid w:val="005B0B33"/>
    <w:rsid w:val="005B26A5"/>
    <w:rsid w:val="005B29B5"/>
    <w:rsid w:val="005B3D23"/>
    <w:rsid w:val="005C06BA"/>
    <w:rsid w:val="005C0C84"/>
    <w:rsid w:val="005C20BA"/>
    <w:rsid w:val="005C2914"/>
    <w:rsid w:val="005C478C"/>
    <w:rsid w:val="005C5C6E"/>
    <w:rsid w:val="005C7D82"/>
    <w:rsid w:val="005D275A"/>
    <w:rsid w:val="005D289D"/>
    <w:rsid w:val="005D7AD7"/>
    <w:rsid w:val="005E7ED0"/>
    <w:rsid w:val="005F086B"/>
    <w:rsid w:val="005F77D2"/>
    <w:rsid w:val="0060262B"/>
    <w:rsid w:val="0060569B"/>
    <w:rsid w:val="00607784"/>
    <w:rsid w:val="00607AFD"/>
    <w:rsid w:val="00616BBC"/>
    <w:rsid w:val="00617F97"/>
    <w:rsid w:val="006211C3"/>
    <w:rsid w:val="006308CC"/>
    <w:rsid w:val="00631344"/>
    <w:rsid w:val="00631651"/>
    <w:rsid w:val="0063328F"/>
    <w:rsid w:val="00634201"/>
    <w:rsid w:val="00634D61"/>
    <w:rsid w:val="00637280"/>
    <w:rsid w:val="00640DD6"/>
    <w:rsid w:val="0064117C"/>
    <w:rsid w:val="00654D84"/>
    <w:rsid w:val="00656E72"/>
    <w:rsid w:val="00662BE8"/>
    <w:rsid w:val="006818D7"/>
    <w:rsid w:val="00681E82"/>
    <w:rsid w:val="00692C34"/>
    <w:rsid w:val="006967F6"/>
    <w:rsid w:val="006A0318"/>
    <w:rsid w:val="006A3CC3"/>
    <w:rsid w:val="006A599E"/>
    <w:rsid w:val="006A682C"/>
    <w:rsid w:val="006B004A"/>
    <w:rsid w:val="006B1A6E"/>
    <w:rsid w:val="006B43AC"/>
    <w:rsid w:val="006B48A5"/>
    <w:rsid w:val="006B69C7"/>
    <w:rsid w:val="006C3D69"/>
    <w:rsid w:val="006C4686"/>
    <w:rsid w:val="006C7C15"/>
    <w:rsid w:val="006C7CE6"/>
    <w:rsid w:val="006D1009"/>
    <w:rsid w:val="006D366F"/>
    <w:rsid w:val="006D5091"/>
    <w:rsid w:val="006E1C65"/>
    <w:rsid w:val="006E4F13"/>
    <w:rsid w:val="006E66B9"/>
    <w:rsid w:val="006E77AB"/>
    <w:rsid w:val="006F5050"/>
    <w:rsid w:val="00700138"/>
    <w:rsid w:val="00700918"/>
    <w:rsid w:val="00701A06"/>
    <w:rsid w:val="00702043"/>
    <w:rsid w:val="00707D6B"/>
    <w:rsid w:val="00710068"/>
    <w:rsid w:val="007100DA"/>
    <w:rsid w:val="00710639"/>
    <w:rsid w:val="00712F29"/>
    <w:rsid w:val="007144B9"/>
    <w:rsid w:val="00720773"/>
    <w:rsid w:val="00723126"/>
    <w:rsid w:val="00723578"/>
    <w:rsid w:val="00726AA1"/>
    <w:rsid w:val="0073004C"/>
    <w:rsid w:val="0073081B"/>
    <w:rsid w:val="00731F4B"/>
    <w:rsid w:val="00732903"/>
    <w:rsid w:val="0073404A"/>
    <w:rsid w:val="0073631F"/>
    <w:rsid w:val="00743B69"/>
    <w:rsid w:val="00745FC2"/>
    <w:rsid w:val="00746C97"/>
    <w:rsid w:val="00750800"/>
    <w:rsid w:val="00750F03"/>
    <w:rsid w:val="00757CC4"/>
    <w:rsid w:val="0077128A"/>
    <w:rsid w:val="00771DA8"/>
    <w:rsid w:val="0078065D"/>
    <w:rsid w:val="00785672"/>
    <w:rsid w:val="00793976"/>
    <w:rsid w:val="00793FFE"/>
    <w:rsid w:val="0079646A"/>
    <w:rsid w:val="007A2856"/>
    <w:rsid w:val="007A2CF2"/>
    <w:rsid w:val="007A50C0"/>
    <w:rsid w:val="007A6BB0"/>
    <w:rsid w:val="007B162F"/>
    <w:rsid w:val="007C3733"/>
    <w:rsid w:val="007C60F9"/>
    <w:rsid w:val="007C6F78"/>
    <w:rsid w:val="007D106B"/>
    <w:rsid w:val="007D14E3"/>
    <w:rsid w:val="007D41AB"/>
    <w:rsid w:val="007D6A80"/>
    <w:rsid w:val="007E5EE2"/>
    <w:rsid w:val="007E649F"/>
    <w:rsid w:val="007F6950"/>
    <w:rsid w:val="007F72ED"/>
    <w:rsid w:val="00803187"/>
    <w:rsid w:val="008038F1"/>
    <w:rsid w:val="00815202"/>
    <w:rsid w:val="00817C7D"/>
    <w:rsid w:val="008355C4"/>
    <w:rsid w:val="008405D0"/>
    <w:rsid w:val="008425B7"/>
    <w:rsid w:val="00844CC8"/>
    <w:rsid w:val="00851E44"/>
    <w:rsid w:val="00852BE1"/>
    <w:rsid w:val="00855D6A"/>
    <w:rsid w:val="00856716"/>
    <w:rsid w:val="00862BCF"/>
    <w:rsid w:val="008632DC"/>
    <w:rsid w:val="00863A76"/>
    <w:rsid w:val="00863FC4"/>
    <w:rsid w:val="00865AF3"/>
    <w:rsid w:val="00867799"/>
    <w:rsid w:val="00870BF3"/>
    <w:rsid w:val="0087117A"/>
    <w:rsid w:val="00877152"/>
    <w:rsid w:val="008777A5"/>
    <w:rsid w:val="008836CF"/>
    <w:rsid w:val="0089296D"/>
    <w:rsid w:val="00895AC6"/>
    <w:rsid w:val="00895EEA"/>
    <w:rsid w:val="008A0051"/>
    <w:rsid w:val="008A02BD"/>
    <w:rsid w:val="008B0075"/>
    <w:rsid w:val="008B04C8"/>
    <w:rsid w:val="008C1646"/>
    <w:rsid w:val="008C50E1"/>
    <w:rsid w:val="008D4694"/>
    <w:rsid w:val="008D5982"/>
    <w:rsid w:val="008D61FB"/>
    <w:rsid w:val="008E2018"/>
    <w:rsid w:val="008E70F2"/>
    <w:rsid w:val="008E7190"/>
    <w:rsid w:val="008F0B26"/>
    <w:rsid w:val="008F2E5F"/>
    <w:rsid w:val="008F4A1C"/>
    <w:rsid w:val="008F4D02"/>
    <w:rsid w:val="008F643D"/>
    <w:rsid w:val="0090266D"/>
    <w:rsid w:val="009029A4"/>
    <w:rsid w:val="009035B1"/>
    <w:rsid w:val="00904911"/>
    <w:rsid w:val="00920B4B"/>
    <w:rsid w:val="00926D23"/>
    <w:rsid w:val="00930E52"/>
    <w:rsid w:val="00931E35"/>
    <w:rsid w:val="009328B8"/>
    <w:rsid w:val="00932AC8"/>
    <w:rsid w:val="00937C83"/>
    <w:rsid w:val="00940619"/>
    <w:rsid w:val="0094097F"/>
    <w:rsid w:val="00947D1A"/>
    <w:rsid w:val="009570C0"/>
    <w:rsid w:val="00957680"/>
    <w:rsid w:val="00957AB5"/>
    <w:rsid w:val="00967C05"/>
    <w:rsid w:val="009702BF"/>
    <w:rsid w:val="00972593"/>
    <w:rsid w:val="00977B05"/>
    <w:rsid w:val="00980B04"/>
    <w:rsid w:val="00980C23"/>
    <w:rsid w:val="00981A44"/>
    <w:rsid w:val="00986FE3"/>
    <w:rsid w:val="009925B8"/>
    <w:rsid w:val="00994761"/>
    <w:rsid w:val="00995A82"/>
    <w:rsid w:val="00995E2C"/>
    <w:rsid w:val="009967FE"/>
    <w:rsid w:val="009A0938"/>
    <w:rsid w:val="009A2BE3"/>
    <w:rsid w:val="009A4699"/>
    <w:rsid w:val="009A79AE"/>
    <w:rsid w:val="009B3724"/>
    <w:rsid w:val="009B5DBF"/>
    <w:rsid w:val="009B68EE"/>
    <w:rsid w:val="009B6D6F"/>
    <w:rsid w:val="009B7A0E"/>
    <w:rsid w:val="009B7B8A"/>
    <w:rsid w:val="009C5986"/>
    <w:rsid w:val="009D1718"/>
    <w:rsid w:val="009D25FC"/>
    <w:rsid w:val="009D2D60"/>
    <w:rsid w:val="009E2DBD"/>
    <w:rsid w:val="009E3010"/>
    <w:rsid w:val="009E5F09"/>
    <w:rsid w:val="009E5FD4"/>
    <w:rsid w:val="009F276C"/>
    <w:rsid w:val="00A0018F"/>
    <w:rsid w:val="00A00679"/>
    <w:rsid w:val="00A0421D"/>
    <w:rsid w:val="00A0673A"/>
    <w:rsid w:val="00A1026A"/>
    <w:rsid w:val="00A10689"/>
    <w:rsid w:val="00A1637A"/>
    <w:rsid w:val="00A17FDA"/>
    <w:rsid w:val="00A202F9"/>
    <w:rsid w:val="00A24F5E"/>
    <w:rsid w:val="00A25FF0"/>
    <w:rsid w:val="00A312F4"/>
    <w:rsid w:val="00A31A24"/>
    <w:rsid w:val="00A31A67"/>
    <w:rsid w:val="00A32544"/>
    <w:rsid w:val="00A330F6"/>
    <w:rsid w:val="00A33662"/>
    <w:rsid w:val="00A37F84"/>
    <w:rsid w:val="00A44174"/>
    <w:rsid w:val="00A457B7"/>
    <w:rsid w:val="00A50B32"/>
    <w:rsid w:val="00A60B95"/>
    <w:rsid w:val="00A646DC"/>
    <w:rsid w:val="00A66105"/>
    <w:rsid w:val="00A661EF"/>
    <w:rsid w:val="00A66802"/>
    <w:rsid w:val="00A67BE5"/>
    <w:rsid w:val="00A70CFC"/>
    <w:rsid w:val="00A73D86"/>
    <w:rsid w:val="00A75815"/>
    <w:rsid w:val="00A76E9C"/>
    <w:rsid w:val="00A770B8"/>
    <w:rsid w:val="00A85B16"/>
    <w:rsid w:val="00A879B8"/>
    <w:rsid w:val="00A93DF8"/>
    <w:rsid w:val="00AA3FD1"/>
    <w:rsid w:val="00AA4954"/>
    <w:rsid w:val="00AA5B5C"/>
    <w:rsid w:val="00AB4D10"/>
    <w:rsid w:val="00AB5974"/>
    <w:rsid w:val="00AB723D"/>
    <w:rsid w:val="00AB7450"/>
    <w:rsid w:val="00AC25D1"/>
    <w:rsid w:val="00AC5532"/>
    <w:rsid w:val="00AC5FD5"/>
    <w:rsid w:val="00AC6B31"/>
    <w:rsid w:val="00AD08FE"/>
    <w:rsid w:val="00AD1C08"/>
    <w:rsid w:val="00AD365F"/>
    <w:rsid w:val="00AE1574"/>
    <w:rsid w:val="00AE3058"/>
    <w:rsid w:val="00AE33C3"/>
    <w:rsid w:val="00AE3C29"/>
    <w:rsid w:val="00AE58D1"/>
    <w:rsid w:val="00AE5E22"/>
    <w:rsid w:val="00AE7B22"/>
    <w:rsid w:val="00AF1493"/>
    <w:rsid w:val="00AF438F"/>
    <w:rsid w:val="00B0325A"/>
    <w:rsid w:val="00B03D78"/>
    <w:rsid w:val="00B055A9"/>
    <w:rsid w:val="00B06E43"/>
    <w:rsid w:val="00B07202"/>
    <w:rsid w:val="00B07D02"/>
    <w:rsid w:val="00B13429"/>
    <w:rsid w:val="00B17D95"/>
    <w:rsid w:val="00B20535"/>
    <w:rsid w:val="00B230F2"/>
    <w:rsid w:val="00B25B76"/>
    <w:rsid w:val="00B300A7"/>
    <w:rsid w:val="00B30954"/>
    <w:rsid w:val="00B3146A"/>
    <w:rsid w:val="00B31479"/>
    <w:rsid w:val="00B31CAD"/>
    <w:rsid w:val="00B328CE"/>
    <w:rsid w:val="00B37258"/>
    <w:rsid w:val="00B40FBD"/>
    <w:rsid w:val="00B429E1"/>
    <w:rsid w:val="00B44ADF"/>
    <w:rsid w:val="00B50272"/>
    <w:rsid w:val="00B50601"/>
    <w:rsid w:val="00B510F5"/>
    <w:rsid w:val="00B6094A"/>
    <w:rsid w:val="00B641C4"/>
    <w:rsid w:val="00B64435"/>
    <w:rsid w:val="00B6509F"/>
    <w:rsid w:val="00B671D6"/>
    <w:rsid w:val="00B67241"/>
    <w:rsid w:val="00B707EE"/>
    <w:rsid w:val="00B74807"/>
    <w:rsid w:val="00B7517B"/>
    <w:rsid w:val="00B75ECF"/>
    <w:rsid w:val="00B76C44"/>
    <w:rsid w:val="00B8658E"/>
    <w:rsid w:val="00B87606"/>
    <w:rsid w:val="00B91559"/>
    <w:rsid w:val="00B91DB8"/>
    <w:rsid w:val="00B93243"/>
    <w:rsid w:val="00B97498"/>
    <w:rsid w:val="00B97693"/>
    <w:rsid w:val="00BA2B12"/>
    <w:rsid w:val="00BA5948"/>
    <w:rsid w:val="00BB1164"/>
    <w:rsid w:val="00BB15E6"/>
    <w:rsid w:val="00BB2670"/>
    <w:rsid w:val="00BC2788"/>
    <w:rsid w:val="00BC55BB"/>
    <w:rsid w:val="00BC7FF6"/>
    <w:rsid w:val="00BD6980"/>
    <w:rsid w:val="00BD6FD9"/>
    <w:rsid w:val="00BD76F8"/>
    <w:rsid w:val="00BE3A7F"/>
    <w:rsid w:val="00BE4C4F"/>
    <w:rsid w:val="00BE5894"/>
    <w:rsid w:val="00BE59AE"/>
    <w:rsid w:val="00BF0BFF"/>
    <w:rsid w:val="00BF1C65"/>
    <w:rsid w:val="00BF4744"/>
    <w:rsid w:val="00BF5E85"/>
    <w:rsid w:val="00BF69D2"/>
    <w:rsid w:val="00BF7A5E"/>
    <w:rsid w:val="00C03A38"/>
    <w:rsid w:val="00C04A71"/>
    <w:rsid w:val="00C06DA8"/>
    <w:rsid w:val="00C0705D"/>
    <w:rsid w:val="00C07F19"/>
    <w:rsid w:val="00C11151"/>
    <w:rsid w:val="00C11E4D"/>
    <w:rsid w:val="00C12344"/>
    <w:rsid w:val="00C13B27"/>
    <w:rsid w:val="00C15221"/>
    <w:rsid w:val="00C1674C"/>
    <w:rsid w:val="00C16E23"/>
    <w:rsid w:val="00C202C0"/>
    <w:rsid w:val="00C20435"/>
    <w:rsid w:val="00C20E5D"/>
    <w:rsid w:val="00C333E2"/>
    <w:rsid w:val="00C342CD"/>
    <w:rsid w:val="00C3471A"/>
    <w:rsid w:val="00C35B7D"/>
    <w:rsid w:val="00C3752C"/>
    <w:rsid w:val="00C37963"/>
    <w:rsid w:val="00C4379B"/>
    <w:rsid w:val="00C44686"/>
    <w:rsid w:val="00C50665"/>
    <w:rsid w:val="00C54345"/>
    <w:rsid w:val="00C5599A"/>
    <w:rsid w:val="00C567CF"/>
    <w:rsid w:val="00C609CF"/>
    <w:rsid w:val="00C638C7"/>
    <w:rsid w:val="00C643D3"/>
    <w:rsid w:val="00C647ED"/>
    <w:rsid w:val="00C6659F"/>
    <w:rsid w:val="00C725B2"/>
    <w:rsid w:val="00C72745"/>
    <w:rsid w:val="00C75EEC"/>
    <w:rsid w:val="00C77F4D"/>
    <w:rsid w:val="00C82E51"/>
    <w:rsid w:val="00C870DB"/>
    <w:rsid w:val="00C91897"/>
    <w:rsid w:val="00C95B8A"/>
    <w:rsid w:val="00C95CEB"/>
    <w:rsid w:val="00C97CB7"/>
    <w:rsid w:val="00CA01D2"/>
    <w:rsid w:val="00CA47C3"/>
    <w:rsid w:val="00CA49EF"/>
    <w:rsid w:val="00CA6E87"/>
    <w:rsid w:val="00CA7B66"/>
    <w:rsid w:val="00CB004E"/>
    <w:rsid w:val="00CB4FA5"/>
    <w:rsid w:val="00CC1C42"/>
    <w:rsid w:val="00CC3E7D"/>
    <w:rsid w:val="00CD0CD6"/>
    <w:rsid w:val="00CD2EF2"/>
    <w:rsid w:val="00CD4FAB"/>
    <w:rsid w:val="00CD5B21"/>
    <w:rsid w:val="00CD7F70"/>
    <w:rsid w:val="00CE03C9"/>
    <w:rsid w:val="00CE2C7E"/>
    <w:rsid w:val="00CE5C67"/>
    <w:rsid w:val="00CE67E9"/>
    <w:rsid w:val="00CF1AC0"/>
    <w:rsid w:val="00CF3566"/>
    <w:rsid w:val="00CF5D42"/>
    <w:rsid w:val="00CF6C4F"/>
    <w:rsid w:val="00D021B1"/>
    <w:rsid w:val="00D0405A"/>
    <w:rsid w:val="00D1230A"/>
    <w:rsid w:val="00D16ED7"/>
    <w:rsid w:val="00D22518"/>
    <w:rsid w:val="00D26373"/>
    <w:rsid w:val="00D26C2A"/>
    <w:rsid w:val="00D27B9A"/>
    <w:rsid w:val="00D32415"/>
    <w:rsid w:val="00D32C8D"/>
    <w:rsid w:val="00D35AE4"/>
    <w:rsid w:val="00D3635B"/>
    <w:rsid w:val="00D374F6"/>
    <w:rsid w:val="00D43854"/>
    <w:rsid w:val="00D43EC2"/>
    <w:rsid w:val="00D4584C"/>
    <w:rsid w:val="00D45FC4"/>
    <w:rsid w:val="00D53E38"/>
    <w:rsid w:val="00D552AE"/>
    <w:rsid w:val="00D56CA3"/>
    <w:rsid w:val="00D60D7C"/>
    <w:rsid w:val="00D60F5A"/>
    <w:rsid w:val="00D6112A"/>
    <w:rsid w:val="00D6491A"/>
    <w:rsid w:val="00D6555B"/>
    <w:rsid w:val="00D719BE"/>
    <w:rsid w:val="00D733CE"/>
    <w:rsid w:val="00D76CA7"/>
    <w:rsid w:val="00D77847"/>
    <w:rsid w:val="00D82DD8"/>
    <w:rsid w:val="00D83188"/>
    <w:rsid w:val="00D85EB8"/>
    <w:rsid w:val="00D928C2"/>
    <w:rsid w:val="00D939F7"/>
    <w:rsid w:val="00DA0BDD"/>
    <w:rsid w:val="00DA6E9F"/>
    <w:rsid w:val="00DA7001"/>
    <w:rsid w:val="00DA792B"/>
    <w:rsid w:val="00DB6234"/>
    <w:rsid w:val="00DC024E"/>
    <w:rsid w:val="00DC4CA2"/>
    <w:rsid w:val="00DC5229"/>
    <w:rsid w:val="00DD1B12"/>
    <w:rsid w:val="00DD2322"/>
    <w:rsid w:val="00DD338D"/>
    <w:rsid w:val="00DD3872"/>
    <w:rsid w:val="00DD500B"/>
    <w:rsid w:val="00DD5C84"/>
    <w:rsid w:val="00DD78A3"/>
    <w:rsid w:val="00DE779D"/>
    <w:rsid w:val="00DE7929"/>
    <w:rsid w:val="00DF1C04"/>
    <w:rsid w:val="00DF2263"/>
    <w:rsid w:val="00DF5EAE"/>
    <w:rsid w:val="00DF6154"/>
    <w:rsid w:val="00E01901"/>
    <w:rsid w:val="00E078A5"/>
    <w:rsid w:val="00E21B0A"/>
    <w:rsid w:val="00E2680D"/>
    <w:rsid w:val="00E416D3"/>
    <w:rsid w:val="00E426F1"/>
    <w:rsid w:val="00E4688A"/>
    <w:rsid w:val="00E519AB"/>
    <w:rsid w:val="00E5216C"/>
    <w:rsid w:val="00E521B9"/>
    <w:rsid w:val="00E6115A"/>
    <w:rsid w:val="00E62FB4"/>
    <w:rsid w:val="00E64CAD"/>
    <w:rsid w:val="00E65040"/>
    <w:rsid w:val="00E66064"/>
    <w:rsid w:val="00E70F02"/>
    <w:rsid w:val="00E71E91"/>
    <w:rsid w:val="00E725E3"/>
    <w:rsid w:val="00E76CF3"/>
    <w:rsid w:val="00E81D15"/>
    <w:rsid w:val="00E902F7"/>
    <w:rsid w:val="00E92E42"/>
    <w:rsid w:val="00E94221"/>
    <w:rsid w:val="00E947D7"/>
    <w:rsid w:val="00E96A12"/>
    <w:rsid w:val="00E97139"/>
    <w:rsid w:val="00EA193A"/>
    <w:rsid w:val="00EA2D48"/>
    <w:rsid w:val="00EA37BE"/>
    <w:rsid w:val="00EB039A"/>
    <w:rsid w:val="00EB1D6D"/>
    <w:rsid w:val="00EB21D3"/>
    <w:rsid w:val="00EB392B"/>
    <w:rsid w:val="00EC0806"/>
    <w:rsid w:val="00EC0904"/>
    <w:rsid w:val="00EC34A8"/>
    <w:rsid w:val="00EC5413"/>
    <w:rsid w:val="00EC580D"/>
    <w:rsid w:val="00ED01C2"/>
    <w:rsid w:val="00ED21DD"/>
    <w:rsid w:val="00ED2486"/>
    <w:rsid w:val="00ED2770"/>
    <w:rsid w:val="00ED2FC9"/>
    <w:rsid w:val="00ED2FFC"/>
    <w:rsid w:val="00ED5308"/>
    <w:rsid w:val="00EE00FD"/>
    <w:rsid w:val="00EE1E1A"/>
    <w:rsid w:val="00EE35EF"/>
    <w:rsid w:val="00EF1437"/>
    <w:rsid w:val="00EF399D"/>
    <w:rsid w:val="00EF4948"/>
    <w:rsid w:val="00EF55F3"/>
    <w:rsid w:val="00EF605D"/>
    <w:rsid w:val="00F044D8"/>
    <w:rsid w:val="00F13D62"/>
    <w:rsid w:val="00F13EB3"/>
    <w:rsid w:val="00F20C04"/>
    <w:rsid w:val="00F2203D"/>
    <w:rsid w:val="00F22C8F"/>
    <w:rsid w:val="00F25E7B"/>
    <w:rsid w:val="00F30430"/>
    <w:rsid w:val="00F31093"/>
    <w:rsid w:val="00F3232A"/>
    <w:rsid w:val="00F32EB4"/>
    <w:rsid w:val="00F333CF"/>
    <w:rsid w:val="00F3352C"/>
    <w:rsid w:val="00F34891"/>
    <w:rsid w:val="00F367C0"/>
    <w:rsid w:val="00F434CD"/>
    <w:rsid w:val="00F46C80"/>
    <w:rsid w:val="00F62E51"/>
    <w:rsid w:val="00F659A3"/>
    <w:rsid w:val="00F66708"/>
    <w:rsid w:val="00F70431"/>
    <w:rsid w:val="00F741A7"/>
    <w:rsid w:val="00F752BF"/>
    <w:rsid w:val="00F80E83"/>
    <w:rsid w:val="00F8226D"/>
    <w:rsid w:val="00F945E2"/>
    <w:rsid w:val="00F946FD"/>
    <w:rsid w:val="00FA63F6"/>
    <w:rsid w:val="00FB0D9F"/>
    <w:rsid w:val="00FB4A13"/>
    <w:rsid w:val="00FB69A2"/>
    <w:rsid w:val="00FC223C"/>
    <w:rsid w:val="00FC28DE"/>
    <w:rsid w:val="00FC6D66"/>
    <w:rsid w:val="00FC7172"/>
    <w:rsid w:val="00FC7395"/>
    <w:rsid w:val="00FD1F58"/>
    <w:rsid w:val="00FD5C33"/>
    <w:rsid w:val="00FD79C6"/>
    <w:rsid w:val="00FE1798"/>
    <w:rsid w:val="00FF5CAB"/>
    <w:rsid w:val="00FF6720"/>
    <w:rsid w:val="00FF68F1"/>
    <w:rsid w:val="01224305"/>
    <w:rsid w:val="02B78737"/>
    <w:rsid w:val="03D4B90F"/>
    <w:rsid w:val="11D69DC4"/>
    <w:rsid w:val="1C96F0B4"/>
    <w:rsid w:val="1ED3783B"/>
    <w:rsid w:val="2A1E1868"/>
    <w:rsid w:val="2BC39CB9"/>
    <w:rsid w:val="309BF227"/>
    <w:rsid w:val="3C77CEB3"/>
    <w:rsid w:val="3F6283B7"/>
    <w:rsid w:val="44677F99"/>
    <w:rsid w:val="45A284DF"/>
    <w:rsid w:val="51AE9FCD"/>
    <w:rsid w:val="5BF39BF9"/>
    <w:rsid w:val="60A0A923"/>
    <w:rsid w:val="72F949F6"/>
    <w:rsid w:val="7747A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5D46"/>
  <w15:chartTrackingRefBased/>
  <w15:docId w15:val="{9DE169F8-B100-4FE1-AE07-F75ED5C4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A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F1AC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AC0"/>
    <w:rPr>
      <w:rFonts w:ascii="Times New Roman" w:eastAsia="Times New Roman" w:hAnsi="Times New Roman" w:cs="Times New Roman"/>
      <w:b/>
      <w:bCs/>
      <w:sz w:val="24"/>
      <w:szCs w:val="24"/>
    </w:rPr>
  </w:style>
  <w:style w:type="paragraph" w:styleId="Header">
    <w:name w:val="header"/>
    <w:basedOn w:val="Normal"/>
    <w:link w:val="HeaderChar"/>
    <w:uiPriority w:val="99"/>
    <w:rsid w:val="00CF1AC0"/>
    <w:pPr>
      <w:tabs>
        <w:tab w:val="center" w:pos="4320"/>
        <w:tab w:val="right" w:pos="8640"/>
      </w:tabs>
    </w:pPr>
  </w:style>
  <w:style w:type="character" w:customStyle="1" w:styleId="HeaderChar">
    <w:name w:val="Header Char"/>
    <w:basedOn w:val="DefaultParagraphFont"/>
    <w:link w:val="Header"/>
    <w:uiPriority w:val="99"/>
    <w:rsid w:val="00CF1A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1AC0"/>
    <w:pPr>
      <w:tabs>
        <w:tab w:val="center" w:pos="4680"/>
        <w:tab w:val="right" w:pos="9360"/>
      </w:tabs>
    </w:pPr>
  </w:style>
  <w:style w:type="character" w:customStyle="1" w:styleId="FooterChar">
    <w:name w:val="Footer Char"/>
    <w:basedOn w:val="DefaultParagraphFont"/>
    <w:link w:val="Footer"/>
    <w:uiPriority w:val="99"/>
    <w:rsid w:val="00CF1AC0"/>
    <w:rPr>
      <w:rFonts w:ascii="Times New Roman" w:eastAsia="Times New Roman" w:hAnsi="Times New Roman" w:cs="Times New Roman"/>
      <w:sz w:val="24"/>
      <w:szCs w:val="24"/>
    </w:rPr>
  </w:style>
  <w:style w:type="paragraph" w:customStyle="1" w:styleId="Quick1">
    <w:name w:val="Quick 1."/>
    <w:basedOn w:val="Normal"/>
    <w:rsid w:val="00F752BF"/>
    <w:pPr>
      <w:widowControl w:val="0"/>
      <w:numPr>
        <w:numId w:val="2"/>
      </w:numPr>
      <w:autoSpaceDE w:val="0"/>
      <w:autoSpaceDN w:val="0"/>
      <w:adjustRightInd w:val="0"/>
      <w:ind w:left="720" w:hanging="720"/>
    </w:pPr>
    <w:rPr>
      <w:rFonts w:ascii="Courier" w:hAnsi="Courier"/>
    </w:rPr>
  </w:style>
  <w:style w:type="paragraph" w:styleId="FootnoteText">
    <w:name w:val="footnote text"/>
    <w:basedOn w:val="Normal"/>
    <w:link w:val="FootnoteTextChar"/>
    <w:uiPriority w:val="99"/>
    <w:unhideWhenUsed/>
    <w:rsid w:val="0073404A"/>
    <w:rPr>
      <w:sz w:val="20"/>
      <w:szCs w:val="20"/>
    </w:rPr>
  </w:style>
  <w:style w:type="character" w:customStyle="1" w:styleId="FootnoteTextChar">
    <w:name w:val="Footnote Text Char"/>
    <w:basedOn w:val="DefaultParagraphFont"/>
    <w:link w:val="FootnoteText"/>
    <w:uiPriority w:val="99"/>
    <w:rsid w:val="0073404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73404A"/>
    <w:rPr>
      <w:rFonts w:cs="Times New Roman"/>
      <w:vertAlign w:val="superscript"/>
    </w:rPr>
  </w:style>
  <w:style w:type="paragraph" w:styleId="BodyTextIndent">
    <w:name w:val="Body Text Indent"/>
    <w:basedOn w:val="Normal"/>
    <w:link w:val="BodyTextIndentChar"/>
    <w:rsid w:val="00133A24"/>
    <w:pPr>
      <w:widowControl w:val="0"/>
      <w:autoSpaceDE w:val="0"/>
      <w:autoSpaceDN w:val="0"/>
      <w:adjustRightInd w:val="0"/>
      <w:ind w:firstLine="720"/>
    </w:pPr>
  </w:style>
  <w:style w:type="character" w:customStyle="1" w:styleId="BodyTextIndentChar">
    <w:name w:val="Body Text Indent Char"/>
    <w:basedOn w:val="DefaultParagraphFont"/>
    <w:link w:val="BodyTextIndent"/>
    <w:rsid w:val="00133A24"/>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1CAD"/>
  </w:style>
  <w:style w:type="paragraph" w:styleId="BalloonText">
    <w:name w:val="Balloon Text"/>
    <w:basedOn w:val="Normal"/>
    <w:link w:val="BalloonTextChar"/>
    <w:uiPriority w:val="99"/>
    <w:semiHidden/>
    <w:unhideWhenUsed/>
    <w:rsid w:val="00D37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4F6"/>
    <w:rPr>
      <w:rFonts w:ascii="Segoe UI" w:eastAsia="Times New Roman" w:hAnsi="Segoe UI" w:cs="Segoe UI"/>
      <w:sz w:val="18"/>
      <w:szCs w:val="18"/>
    </w:rPr>
  </w:style>
  <w:style w:type="character" w:styleId="CommentReference">
    <w:name w:val="annotation reference"/>
    <w:basedOn w:val="DefaultParagraphFont"/>
    <w:uiPriority w:val="99"/>
    <w:unhideWhenUsed/>
    <w:rsid w:val="00501DF2"/>
    <w:rPr>
      <w:sz w:val="16"/>
      <w:szCs w:val="16"/>
    </w:rPr>
  </w:style>
  <w:style w:type="paragraph" w:styleId="CommentText">
    <w:name w:val="annotation text"/>
    <w:basedOn w:val="Normal"/>
    <w:link w:val="CommentTextChar"/>
    <w:uiPriority w:val="99"/>
    <w:unhideWhenUsed/>
    <w:rsid w:val="00501DF2"/>
    <w:rPr>
      <w:sz w:val="20"/>
      <w:szCs w:val="20"/>
    </w:rPr>
  </w:style>
  <w:style w:type="character" w:customStyle="1" w:styleId="CommentTextChar">
    <w:name w:val="Comment Text Char"/>
    <w:basedOn w:val="DefaultParagraphFont"/>
    <w:link w:val="CommentText"/>
    <w:uiPriority w:val="99"/>
    <w:rsid w:val="00501D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DF2"/>
    <w:rPr>
      <w:b/>
      <w:bCs/>
    </w:rPr>
  </w:style>
  <w:style w:type="character" w:customStyle="1" w:styleId="CommentSubjectChar">
    <w:name w:val="Comment Subject Char"/>
    <w:basedOn w:val="CommentTextChar"/>
    <w:link w:val="CommentSubject"/>
    <w:uiPriority w:val="99"/>
    <w:semiHidden/>
    <w:rsid w:val="00501DF2"/>
    <w:rPr>
      <w:rFonts w:ascii="Times New Roman" w:eastAsia="Times New Roman" w:hAnsi="Times New Roman" w:cs="Times New Roman"/>
      <w:b/>
      <w:bCs/>
      <w:sz w:val="20"/>
      <w:szCs w:val="20"/>
    </w:rPr>
  </w:style>
  <w:style w:type="character" w:styleId="Hyperlink">
    <w:name w:val="Hyperlink"/>
    <w:basedOn w:val="DefaultParagraphFont"/>
    <w:uiPriority w:val="99"/>
    <w:rsid w:val="00237776"/>
    <w:rPr>
      <w:rFonts w:cs="Times New Roman"/>
      <w:color w:val="0768A9"/>
      <w:u w:val="single"/>
    </w:rPr>
  </w:style>
  <w:style w:type="paragraph" w:styleId="ListParagraph">
    <w:name w:val="List Paragraph"/>
    <w:basedOn w:val="Normal"/>
    <w:uiPriority w:val="34"/>
    <w:qFormat/>
    <w:rsid w:val="00DD1B12"/>
    <w:pPr>
      <w:widowControl w:val="0"/>
      <w:autoSpaceDE w:val="0"/>
      <w:autoSpaceDN w:val="0"/>
      <w:adjustRightInd w:val="0"/>
      <w:ind w:left="720"/>
      <w:contextualSpacing/>
    </w:pPr>
  </w:style>
  <w:style w:type="paragraph" w:styleId="Revision">
    <w:name w:val="Revision"/>
    <w:hidden/>
    <w:uiPriority w:val="99"/>
    <w:semiHidden/>
    <w:rsid w:val="00863FC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17224">
      <w:bodyDiv w:val="1"/>
      <w:marLeft w:val="0"/>
      <w:marRight w:val="0"/>
      <w:marTop w:val="0"/>
      <w:marBottom w:val="0"/>
      <w:divBdr>
        <w:top w:val="none" w:sz="0" w:space="0" w:color="auto"/>
        <w:left w:val="none" w:sz="0" w:space="0" w:color="auto"/>
        <w:bottom w:val="none" w:sz="0" w:space="0" w:color="auto"/>
        <w:right w:val="none" w:sz="0" w:space="0" w:color="auto"/>
      </w:divBdr>
    </w:div>
    <w:div w:id="835268621">
      <w:bodyDiv w:val="1"/>
      <w:marLeft w:val="0"/>
      <w:marRight w:val="0"/>
      <w:marTop w:val="0"/>
      <w:marBottom w:val="0"/>
      <w:divBdr>
        <w:top w:val="none" w:sz="0" w:space="0" w:color="auto"/>
        <w:left w:val="none" w:sz="0" w:space="0" w:color="auto"/>
        <w:bottom w:val="none" w:sz="0" w:space="0" w:color="auto"/>
        <w:right w:val="none" w:sz="0" w:space="0" w:color="auto"/>
      </w:divBdr>
    </w:div>
    <w:div w:id="1009411713">
      <w:bodyDiv w:val="1"/>
      <w:marLeft w:val="0"/>
      <w:marRight w:val="0"/>
      <w:marTop w:val="0"/>
      <w:marBottom w:val="0"/>
      <w:divBdr>
        <w:top w:val="none" w:sz="0" w:space="0" w:color="auto"/>
        <w:left w:val="none" w:sz="0" w:space="0" w:color="auto"/>
        <w:bottom w:val="none" w:sz="0" w:space="0" w:color="auto"/>
        <w:right w:val="none" w:sz="0" w:space="0" w:color="auto"/>
      </w:divBdr>
      <w:divsChild>
        <w:div w:id="284501840">
          <w:marLeft w:val="0"/>
          <w:marRight w:val="0"/>
          <w:marTop w:val="0"/>
          <w:marBottom w:val="0"/>
          <w:divBdr>
            <w:top w:val="none" w:sz="0" w:space="0" w:color="auto"/>
            <w:left w:val="none" w:sz="0" w:space="0" w:color="auto"/>
            <w:bottom w:val="none" w:sz="0" w:space="0" w:color="auto"/>
            <w:right w:val="none" w:sz="0" w:space="0" w:color="auto"/>
          </w:divBdr>
        </w:div>
      </w:divsChild>
    </w:div>
    <w:div w:id="1157576810">
      <w:bodyDiv w:val="1"/>
      <w:marLeft w:val="0"/>
      <w:marRight w:val="0"/>
      <w:marTop w:val="0"/>
      <w:marBottom w:val="0"/>
      <w:divBdr>
        <w:top w:val="none" w:sz="0" w:space="0" w:color="auto"/>
        <w:left w:val="none" w:sz="0" w:space="0" w:color="auto"/>
        <w:bottom w:val="none" w:sz="0" w:space="0" w:color="auto"/>
        <w:right w:val="none" w:sz="0" w:space="0" w:color="auto"/>
      </w:divBdr>
    </w:div>
    <w:div w:id="1682849813">
      <w:bodyDiv w:val="1"/>
      <w:marLeft w:val="0"/>
      <w:marRight w:val="0"/>
      <w:marTop w:val="0"/>
      <w:marBottom w:val="0"/>
      <w:divBdr>
        <w:top w:val="none" w:sz="0" w:space="0" w:color="auto"/>
        <w:left w:val="none" w:sz="0" w:space="0" w:color="auto"/>
        <w:bottom w:val="none" w:sz="0" w:space="0" w:color="auto"/>
        <w:right w:val="none" w:sz="0" w:space="0" w:color="auto"/>
      </w:divBdr>
    </w:div>
    <w:div w:id="1713461095">
      <w:bodyDiv w:val="1"/>
      <w:marLeft w:val="0"/>
      <w:marRight w:val="0"/>
      <w:marTop w:val="0"/>
      <w:marBottom w:val="0"/>
      <w:divBdr>
        <w:top w:val="none" w:sz="0" w:space="0" w:color="auto"/>
        <w:left w:val="none" w:sz="0" w:space="0" w:color="auto"/>
        <w:bottom w:val="none" w:sz="0" w:space="0" w:color="auto"/>
        <w:right w:val="none" w:sz="0" w:space="0" w:color="auto"/>
      </w:divBdr>
    </w:div>
    <w:div w:id="1749233667">
      <w:bodyDiv w:val="1"/>
      <w:marLeft w:val="0"/>
      <w:marRight w:val="0"/>
      <w:marTop w:val="0"/>
      <w:marBottom w:val="0"/>
      <w:divBdr>
        <w:top w:val="none" w:sz="0" w:space="0" w:color="auto"/>
        <w:left w:val="none" w:sz="0" w:space="0" w:color="auto"/>
        <w:bottom w:val="none" w:sz="0" w:space="0" w:color="auto"/>
        <w:right w:val="none" w:sz="0" w:space="0" w:color="auto"/>
      </w:divBdr>
      <w:divsChild>
        <w:div w:id="218715715">
          <w:marLeft w:val="0"/>
          <w:marRight w:val="0"/>
          <w:marTop w:val="0"/>
          <w:marBottom w:val="0"/>
          <w:divBdr>
            <w:top w:val="none" w:sz="0" w:space="0" w:color="auto"/>
            <w:left w:val="none" w:sz="0" w:space="0" w:color="auto"/>
            <w:bottom w:val="none" w:sz="0" w:space="0" w:color="auto"/>
            <w:right w:val="none" w:sz="0" w:space="0" w:color="auto"/>
          </w:divBdr>
        </w:div>
      </w:divsChild>
    </w:div>
    <w:div w:id="1813063996">
      <w:bodyDiv w:val="1"/>
      <w:marLeft w:val="0"/>
      <w:marRight w:val="0"/>
      <w:marTop w:val="0"/>
      <w:marBottom w:val="0"/>
      <w:divBdr>
        <w:top w:val="none" w:sz="0" w:space="0" w:color="auto"/>
        <w:left w:val="none" w:sz="0" w:space="0" w:color="auto"/>
        <w:bottom w:val="none" w:sz="0" w:space="0" w:color="auto"/>
        <w:right w:val="none" w:sz="0" w:space="0" w:color="auto"/>
      </w:divBdr>
    </w:div>
    <w:div w:id="210410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298CC-1191-4314-A207-976870481101}">
  <ds:schemaRefs>
    <ds:schemaRef ds:uri="http://schemas.microsoft.com/sharepoint/v3/contenttype/forms"/>
  </ds:schemaRefs>
</ds:datastoreItem>
</file>

<file path=customXml/itemProps2.xml><?xml version="1.0" encoding="utf-8"?>
<ds:datastoreItem xmlns:ds="http://schemas.openxmlformats.org/officeDocument/2006/customXml" ds:itemID="{EC79F7F7-244F-4E2B-85E4-21F651F3DCCC}">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2b487234-2a61-45b0-86e3-998bf12a0e9d"/>
    <ds:schemaRef ds:uri="2a1ba486-ff2f-4459-80ac-1ab5aa17f82f"/>
  </ds:schemaRefs>
</ds:datastoreItem>
</file>

<file path=customXml/itemProps3.xml><?xml version="1.0" encoding="utf-8"?>
<ds:datastoreItem xmlns:ds="http://schemas.openxmlformats.org/officeDocument/2006/customXml" ds:itemID="{86C0F175-64FF-4E74-A3CE-98F4DDAB0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A7385-0A49-4FBA-BDA3-3724644E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Buyniski, Brian - EBSA</dc:creator>
  <cp:keywords/>
  <dc:description/>
  <cp:lastModifiedBy>MSB</cp:lastModifiedBy>
  <cp:revision>3</cp:revision>
  <dcterms:created xsi:type="dcterms:W3CDTF">2021-10-14T13:58:00Z</dcterms:created>
  <dcterms:modified xsi:type="dcterms:W3CDTF">2021-10-14T13:59:00Z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