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1AD3" w:rsidP="003A3874" w:rsidRDefault="001A1AD3" w14:paraId="7D67A890" w14:textId="23A14624">
      <w:pPr>
        <w:pStyle w:val="H2Chapter"/>
        <w:outlineLvl w:val="0"/>
      </w:pPr>
      <w:bookmarkStart w:name="_Toc496104729" w:id="0"/>
      <w:bookmarkStart w:name="_Toc68878639" w:id="1"/>
      <w:r w:rsidRPr="00E54502">
        <w:t>Part A: Justification</w:t>
      </w:r>
      <w:bookmarkEnd w:id="0"/>
      <w:bookmarkEnd w:id="1"/>
    </w:p>
    <w:p w:rsidRPr="00BA0005" w:rsidR="00707247" w:rsidP="00BA0005" w:rsidRDefault="00E04F0C" w14:paraId="2EB3A9CE" w14:textId="4314CA83">
      <w:pPr>
        <w:pStyle w:val="NumberedBullet"/>
        <w:numPr>
          <w:ilvl w:val="0"/>
          <w:numId w:val="0"/>
        </w:numPr>
        <w:rPr>
          <w:rFonts w:eastAsiaTheme="minorEastAsia"/>
          <w:color w:val="000000" w:themeColor="text1"/>
        </w:rPr>
      </w:pPr>
      <w:r w:rsidRPr="6ED171C5">
        <w:rPr>
          <w:rFonts w:eastAsiaTheme="minorEastAsia"/>
        </w:rPr>
        <w:t xml:space="preserve">The Chief Evaluation Office (CEO) of the U.S. Department of Labor (DOL) </w:t>
      </w:r>
      <w:r w:rsidR="00A817FE">
        <w:rPr>
          <w:rFonts w:eastAsiaTheme="minorEastAsia"/>
        </w:rPr>
        <w:t xml:space="preserve">seeks approval to collect information for the implementation, </w:t>
      </w:r>
      <w:proofErr w:type="gramStart"/>
      <w:r w:rsidR="00A817FE">
        <w:rPr>
          <w:rFonts w:eastAsiaTheme="minorEastAsia"/>
        </w:rPr>
        <w:t>outcome</w:t>
      </w:r>
      <w:proofErr w:type="gramEnd"/>
      <w:r w:rsidR="00A817FE">
        <w:rPr>
          <w:rFonts w:eastAsiaTheme="minorEastAsia"/>
        </w:rPr>
        <w:t xml:space="preserve"> and impact feasibility studies of </w:t>
      </w:r>
      <w:r w:rsidR="000C6EE4">
        <w:rPr>
          <w:rFonts w:eastAsiaTheme="minorEastAsia"/>
        </w:rPr>
        <w:t>two</w:t>
      </w:r>
      <w:r w:rsidRPr="6ED171C5">
        <w:rPr>
          <w:rFonts w:eastAsiaTheme="minorEastAsia"/>
        </w:rPr>
        <w:t xml:space="preserve"> Job Corps demonstration pilots. </w:t>
      </w:r>
      <w:r w:rsidR="00FC60CC">
        <w:rPr>
          <w:rFonts w:eastAsiaTheme="minorEastAsia"/>
        </w:rPr>
        <w:t>These studies,</w:t>
      </w:r>
      <w:r w:rsidR="00C00AB5">
        <w:rPr>
          <w:rFonts w:eastAsiaTheme="minorEastAsia"/>
        </w:rPr>
        <w:t xml:space="preserve"> funded as part of the broader Job Corps Evidence</w:t>
      </w:r>
      <w:r w:rsidR="00DE33E4">
        <w:rPr>
          <w:rFonts w:eastAsiaTheme="minorEastAsia"/>
        </w:rPr>
        <w:t>-</w:t>
      </w:r>
      <w:r w:rsidR="00C00AB5">
        <w:rPr>
          <w:rFonts w:eastAsiaTheme="minorEastAsia"/>
        </w:rPr>
        <w:t xml:space="preserve">Building </w:t>
      </w:r>
      <w:r w:rsidR="000215ED">
        <w:rPr>
          <w:rFonts w:eastAsiaTheme="minorEastAsia"/>
        </w:rPr>
        <w:t xml:space="preserve">Portfolio </w:t>
      </w:r>
      <w:r w:rsidR="00DE33E4">
        <w:rPr>
          <w:rFonts w:eastAsiaTheme="minorEastAsia"/>
        </w:rPr>
        <w:t>Program</w:t>
      </w:r>
      <w:r w:rsidR="000F6253">
        <w:rPr>
          <w:rFonts w:eastAsiaTheme="minorEastAsia"/>
        </w:rPr>
        <w:t>,</w:t>
      </w:r>
      <w:r w:rsidR="000C6EE4">
        <w:rPr>
          <w:rFonts w:eastAsiaTheme="minorEastAsia"/>
        </w:rPr>
        <w:t xml:space="preserve"> aim </w:t>
      </w:r>
      <w:r w:rsidRPr="6ED171C5">
        <w:rPr>
          <w:rFonts w:eastAsiaTheme="minorEastAsia"/>
        </w:rPr>
        <w:t>to understand who the pilots enroll, what services they provide, how these services are implemented, and how the pilots compare with traditional Job Corps</w:t>
      </w:r>
      <w:r w:rsidR="008E3621">
        <w:rPr>
          <w:rFonts w:eastAsiaTheme="minorEastAsia"/>
        </w:rPr>
        <w:t xml:space="preserve"> centers</w:t>
      </w:r>
      <w:r w:rsidRPr="6ED171C5">
        <w:rPr>
          <w:rFonts w:eastAsiaTheme="minorEastAsia"/>
        </w:rPr>
        <w:t>. The evaluation will also assess outcomes of participants in the demonstration pilots. The project also includes impact feasibility assessments of each of the pilots to assess the potential for conducting an impact evaluation of the pilot’s effectiveness or similar future pilots.</w:t>
      </w:r>
      <w:r w:rsidR="000250BC">
        <w:rPr>
          <w:rFonts w:eastAsiaTheme="minorEastAsia"/>
        </w:rPr>
        <w:t xml:space="preserve"> MDRC and its subcontractor </w:t>
      </w:r>
      <w:proofErr w:type="spellStart"/>
      <w:r w:rsidR="000250BC">
        <w:rPr>
          <w:rFonts w:eastAsiaTheme="minorEastAsia"/>
        </w:rPr>
        <w:t>Abt</w:t>
      </w:r>
      <w:proofErr w:type="spellEnd"/>
      <w:r w:rsidR="000250BC">
        <w:rPr>
          <w:rFonts w:eastAsiaTheme="minorEastAsia"/>
        </w:rPr>
        <w:t xml:space="preserve"> Associates have be</w:t>
      </w:r>
      <w:r w:rsidR="0045638A">
        <w:rPr>
          <w:rFonts w:eastAsiaTheme="minorEastAsia"/>
        </w:rPr>
        <w:t xml:space="preserve">en contracted to conduct these studies. </w:t>
      </w:r>
      <w:r w:rsidR="00BA0005">
        <w:rPr>
          <w:rFonts w:eastAsiaTheme="minorEastAsia"/>
          <w:color w:val="000000" w:themeColor="text1"/>
        </w:rPr>
        <w:t xml:space="preserve">This supporting statement is the first and only OMB submission planned for the Job Corps Evidence-Building Portfolio Program. </w:t>
      </w:r>
      <w:r w:rsidR="00707247">
        <w:t xml:space="preserve">This package requests clearance for </w:t>
      </w:r>
      <w:r w:rsidR="005F1B2E">
        <w:t xml:space="preserve">four </w:t>
      </w:r>
      <w:r w:rsidR="00707247">
        <w:t>data collection activities</w:t>
      </w:r>
      <w:r w:rsidR="00A87A24">
        <w:t xml:space="preserve"> as part of the</w:t>
      </w:r>
      <w:r w:rsidR="00694502">
        <w:t>se studies</w:t>
      </w:r>
      <w:r w:rsidR="00707247">
        <w:t>:</w:t>
      </w:r>
    </w:p>
    <w:p w:rsidR="00C84DB0" w:rsidP="00C84DB0" w:rsidRDefault="00C84DB0" w14:paraId="0FE60933" w14:textId="77777777">
      <w:pPr>
        <w:spacing w:line="240" w:lineRule="auto"/>
        <w:contextualSpacing/>
      </w:pPr>
    </w:p>
    <w:p w:rsidRPr="00FC0B28" w:rsidR="005F61C9" w:rsidP="005F61C9" w:rsidRDefault="005F61C9" w14:paraId="7AE3AF23" w14:textId="6B8B1F9F">
      <w:pPr>
        <w:pStyle w:val="NumberedBullet"/>
      </w:pPr>
      <w:r w:rsidRPr="00FC0B28">
        <w:rPr>
          <w:rFonts w:eastAsiaTheme="minorEastAsia"/>
          <w:color w:val="000000"/>
        </w:rPr>
        <w:t xml:space="preserve">Program survey of demonstration pilot grantees.  </w:t>
      </w:r>
    </w:p>
    <w:p w:rsidRPr="00FC0B28" w:rsidR="00E92A51" w:rsidP="00BA48EF" w:rsidRDefault="00E92A51" w14:paraId="6C7F5A27" w14:textId="1F501C6F">
      <w:pPr>
        <w:pStyle w:val="NumberedBullet"/>
      </w:pPr>
      <w:r w:rsidRPr="00FC0B28">
        <w:rPr>
          <w:rFonts w:eastAsiaTheme="minorEastAsia"/>
          <w:color w:val="000000"/>
        </w:rPr>
        <w:t xml:space="preserve">Semi-structured </w:t>
      </w:r>
      <w:r w:rsidRPr="00FC0B28">
        <w:t xml:space="preserve">interviews with program staff and staff from </w:t>
      </w:r>
      <w:r w:rsidR="003F5D5A">
        <w:t xml:space="preserve">employer and </w:t>
      </w:r>
      <w:r w:rsidRPr="00FC0B28">
        <w:t>partner organizations topic guide.</w:t>
      </w:r>
      <w:r w:rsidRPr="00FC0B28">
        <w:rPr>
          <w:rFonts w:eastAsiaTheme="minorEastAsia"/>
          <w:color w:val="000000"/>
        </w:rPr>
        <w:t xml:space="preserve"> </w:t>
      </w:r>
    </w:p>
    <w:p w:rsidRPr="00FC0B28" w:rsidR="00A76427" w:rsidP="00C84DB0" w:rsidRDefault="00A76427" w14:paraId="5BACB5DA" w14:textId="5F5F8146">
      <w:pPr>
        <w:pStyle w:val="NumberedBullet"/>
      </w:pPr>
      <w:r w:rsidRPr="00FC0B28">
        <w:rPr>
          <w:rFonts w:eastAsiaTheme="minorEastAsia"/>
          <w:color w:val="000000"/>
        </w:rPr>
        <w:t>Participant interviews or focus group</w:t>
      </w:r>
      <w:r w:rsidR="003F5D5A">
        <w:rPr>
          <w:rFonts w:eastAsiaTheme="minorEastAsia"/>
          <w:color w:val="000000"/>
        </w:rPr>
        <w:t>s</w:t>
      </w:r>
      <w:r w:rsidRPr="00FC0B28">
        <w:rPr>
          <w:rFonts w:eastAsiaTheme="minorEastAsia"/>
          <w:color w:val="000000"/>
        </w:rPr>
        <w:t xml:space="preserve"> topic guide. </w:t>
      </w:r>
    </w:p>
    <w:p w:rsidRPr="00882FF8" w:rsidR="00676A52" w:rsidP="008E53DF" w:rsidRDefault="00FC0B28" w14:paraId="43041F84" w14:textId="611B5439">
      <w:pPr>
        <w:pStyle w:val="NumberedBullet"/>
        <w:spacing w:after="0"/>
      </w:pPr>
      <w:r w:rsidRPr="00FC0B28">
        <w:rPr>
          <w:rFonts w:eastAsiaTheme="minorEastAsia"/>
          <w:color w:val="000000" w:themeColor="text1"/>
        </w:rPr>
        <w:t xml:space="preserve">Impact feasibility assessment interviews with demonstration pilot staff topic guide. </w:t>
      </w:r>
    </w:p>
    <w:p w:rsidRPr="00FC0B28" w:rsidR="00676A52" w:rsidP="00676A52" w:rsidRDefault="00676A52" w14:paraId="691C1643" w14:textId="77777777">
      <w:pPr>
        <w:pStyle w:val="NumberedBullet"/>
        <w:numPr>
          <w:ilvl w:val="0"/>
          <w:numId w:val="0"/>
        </w:numPr>
      </w:pPr>
    </w:p>
    <w:p w:rsidR="00707247" w:rsidP="003A3874" w:rsidRDefault="00871FB8" w14:paraId="750A9D72" w14:textId="42D4444D">
      <w:pPr>
        <w:pStyle w:val="H3Alpha"/>
        <w:ind w:left="0" w:firstLine="0"/>
        <w:outlineLvl w:val="1"/>
      </w:pPr>
      <w:bookmarkStart w:name="_Toc496104730" w:id="2"/>
      <w:bookmarkStart w:name="_Toc68878640" w:id="3"/>
      <w:r w:rsidRPr="00871FB8">
        <w:t>1.</w:t>
      </w:r>
      <w:r>
        <w:t xml:space="preserve"> </w:t>
      </w:r>
      <w:r w:rsidRPr="00C51490" w:rsidR="002D7F1C">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2"/>
      <w:bookmarkEnd w:id="3"/>
    </w:p>
    <w:p w:rsidR="001E3C70" w:rsidP="005C45D4" w:rsidRDefault="007F07EE" w14:paraId="635F900F" w14:textId="590F43BC">
      <w:pPr>
        <w:pStyle w:val="NormalSS"/>
        <w:ind w:firstLine="0"/>
      </w:pPr>
      <w:r>
        <w:t xml:space="preserve">Job Corps is the nation’s largest program serving young people </w:t>
      </w:r>
      <w:r w:rsidR="007753AB">
        <w:t xml:space="preserve">16 to 24 who </w:t>
      </w:r>
      <w:proofErr w:type="gramStart"/>
      <w:r w:rsidR="007753AB">
        <w:t xml:space="preserve">are </w:t>
      </w:r>
      <w:r w:rsidR="00EA6D88">
        <w:t>in need of</w:t>
      </w:r>
      <w:proofErr w:type="gramEnd"/>
      <w:r w:rsidR="00EA6D88">
        <w:t xml:space="preserve"> comprehensive education, job training and </w:t>
      </w:r>
      <w:r w:rsidR="00C4377E">
        <w:t>employment</w:t>
      </w:r>
      <w:r w:rsidR="00044C31">
        <w:t xml:space="preserve"> services to </w:t>
      </w:r>
      <w:r w:rsidR="00AB0AD8">
        <w:t xml:space="preserve">connect to the labor force and advance </w:t>
      </w:r>
      <w:r w:rsidR="00C4377E">
        <w:t xml:space="preserve">towards stable, high-quality jobs. </w:t>
      </w:r>
      <w:r w:rsidRPr="007B6A9D" w:rsidR="007B6A9D">
        <w:t xml:space="preserve">The program aims to help </w:t>
      </w:r>
      <w:r w:rsidR="007B6A9D">
        <w:t xml:space="preserve">young people who did not finish high school or are unemployed </w:t>
      </w:r>
      <w:r w:rsidRPr="007B6A9D" w:rsidR="007B6A9D">
        <w:t>train for careers and obtain a high school diploma or its equivalency.</w:t>
      </w:r>
      <w:r w:rsidR="007B6A9D">
        <w:t xml:space="preserve"> Job Corps services are typically </w:t>
      </w:r>
      <w:r w:rsidR="003E3C7F">
        <w:t>delivered at 123 centers</w:t>
      </w:r>
      <w:r w:rsidR="00407DDE">
        <w:t xml:space="preserve"> </w:t>
      </w:r>
      <w:r w:rsidR="000708E9">
        <w:t>throughout the United States</w:t>
      </w:r>
      <w:r w:rsidR="00F047C2">
        <w:t>.</w:t>
      </w:r>
    </w:p>
    <w:p w:rsidR="00576A13" w:rsidP="005C45D4" w:rsidRDefault="006A56B3" w14:paraId="667A1637" w14:textId="7DD8FA65">
      <w:pPr>
        <w:pStyle w:val="NormalSS"/>
        <w:ind w:firstLine="0"/>
      </w:pPr>
      <w:r>
        <w:t xml:space="preserve">Through the Workforce Innovation and Opportunity Act (WIOA), Job Corps had authority to </w:t>
      </w:r>
      <w:r w:rsidR="001E3C70">
        <w:t xml:space="preserve">implement demonstration projects to explore new and innovative ways to serve the young people who are eligible for </w:t>
      </w:r>
      <w:r w:rsidR="00316A9A">
        <w:t xml:space="preserve">Job </w:t>
      </w:r>
      <w:r w:rsidR="00093207">
        <w:t>Corps</w:t>
      </w:r>
      <w:r w:rsidR="00316A9A">
        <w:t>.</w:t>
      </w:r>
      <w:r w:rsidR="002469F4">
        <w:t xml:space="preserve"> Current demonstration pilots include the Job Corps Scholars Program and </w:t>
      </w:r>
      <w:r w:rsidR="003B29C9">
        <w:t xml:space="preserve">Idaho </w:t>
      </w:r>
      <w:r w:rsidR="002469F4">
        <w:t>Job Corps Demonstration Project.</w:t>
      </w:r>
      <w:r w:rsidR="009D0163">
        <w:t xml:space="preserve"> The </w:t>
      </w:r>
      <w:r w:rsidR="004E680A">
        <w:t>agreements</w:t>
      </w:r>
      <w:r w:rsidR="009D0163">
        <w:t xml:space="preserve"> to operate these pilots </w:t>
      </w:r>
      <w:r w:rsidR="00052FCA">
        <w:t xml:space="preserve">require that pilots participate </w:t>
      </w:r>
      <w:r w:rsidR="009D0163">
        <w:t>in an independent, third-party evaluation.</w:t>
      </w:r>
      <w:r w:rsidR="00AF06CD">
        <w:t xml:space="preserve"> </w:t>
      </w:r>
      <w:r w:rsidR="0029407C">
        <w:t xml:space="preserve">The implementation and impact feasibility studies </w:t>
      </w:r>
      <w:r w:rsidR="006E3076">
        <w:t xml:space="preserve">will assess the outcomes and implementation of these pilots to provide information to Job Corps about potential strategies for </w:t>
      </w:r>
      <w:r w:rsidR="0050309C">
        <w:t>serving th</w:t>
      </w:r>
      <w:r w:rsidR="00B40421">
        <w:t xml:space="preserve">is population of young people. </w:t>
      </w:r>
      <w:r w:rsidR="00D844CE">
        <w:t xml:space="preserve">Lessons from the demonstration pilots will provide information </w:t>
      </w:r>
      <w:r w:rsidR="00BA0EA8">
        <w:t xml:space="preserve">to Job Corps and programs serving Job Corps-eligible young people about </w:t>
      </w:r>
      <w:r w:rsidR="00A55C33">
        <w:t>how to potentially strengthen</w:t>
      </w:r>
      <w:r w:rsidR="00AB1412">
        <w:t xml:space="preserve"> education and employment services </w:t>
      </w:r>
      <w:r w:rsidR="00A55C33">
        <w:t xml:space="preserve">for this population. </w:t>
      </w:r>
      <w:r w:rsidR="00AB1412">
        <w:t xml:space="preserve"> </w:t>
      </w:r>
    </w:p>
    <w:p w:rsidR="004C2BAE" w:rsidP="005C45D4" w:rsidRDefault="004C2BAE" w14:paraId="49A97725" w14:textId="77777777">
      <w:pPr>
        <w:pStyle w:val="NormalSS"/>
        <w:ind w:firstLine="0"/>
      </w:pPr>
    </w:p>
    <w:p w:rsidR="00983E4F" w:rsidP="005C45D4" w:rsidRDefault="002D7F1C" w14:paraId="2C1C2F7F" w14:textId="77777777">
      <w:pPr>
        <w:pStyle w:val="NormalSS"/>
        <w:ind w:firstLine="0"/>
      </w:pPr>
      <w:r w:rsidRPr="0031638A">
        <w:rPr>
          <w:b/>
        </w:rPr>
        <w:lastRenderedPageBreak/>
        <w:t>Citation of sections of laws that justify this information collection:</w:t>
      </w:r>
      <w:r>
        <w:t xml:space="preserve"> </w:t>
      </w:r>
    </w:p>
    <w:p w:rsidR="00983E4F" w:rsidP="005C45D4" w:rsidRDefault="00340770" w14:paraId="3179FE15" w14:textId="582E925F">
      <w:pPr>
        <w:pStyle w:val="NormalSS"/>
        <w:ind w:firstLine="0"/>
      </w:pPr>
      <w:r w:rsidRPr="00A01FE0">
        <w:t xml:space="preserve">The Job Corps program is authorized by </w:t>
      </w:r>
      <w:r>
        <w:t xml:space="preserve">the Workforce Innovation and Opportunity Act (WIOA) of 2016 (P.L. 113-128). </w:t>
      </w:r>
      <w:r w:rsidR="007D590C">
        <w:t>Section 156</w:t>
      </w:r>
      <w:r w:rsidR="005D4C65">
        <w:t>(a)</w:t>
      </w:r>
      <w:r w:rsidR="000F181B">
        <w:t xml:space="preserve"> of the Workforce Innovation and Opportunity Act (WIOA) allow the Department of Labor to </w:t>
      </w:r>
      <w:r w:rsidR="00B73453">
        <w:t>“carry out experimental, research, or demonstration projects relating to carry</w:t>
      </w:r>
      <w:r w:rsidR="007D14BB">
        <w:t>ing</w:t>
      </w:r>
      <w:r w:rsidR="00B73453">
        <w:t xml:space="preserve"> out the Job Corps program</w:t>
      </w:r>
      <w:r w:rsidR="009F3408">
        <w:t xml:space="preserve"> (29 U.S.C 3</w:t>
      </w:r>
      <w:r w:rsidR="0015557B">
        <w:t>206</w:t>
      </w:r>
      <w:r w:rsidR="009F3408">
        <w:t xml:space="preserve">(a)). </w:t>
      </w:r>
    </w:p>
    <w:p w:rsidR="002F31D9" w:rsidP="005C45D4" w:rsidRDefault="0056329B" w14:paraId="33AD4A81" w14:textId="1F0218EC">
      <w:pPr>
        <w:pStyle w:val="NormalSS"/>
        <w:ind w:firstLine="0"/>
      </w:pPr>
      <w:r>
        <w:t xml:space="preserve">Sections 161 and 169 of the Workforce Innovation and Opportunity Act (WIOA) </w:t>
      </w:r>
      <w:r w:rsidR="002C2A58">
        <w:t xml:space="preserve">require </w:t>
      </w:r>
      <w:r w:rsidR="003441F8">
        <w:t>that the Job Corps program undergo a third-part</w:t>
      </w:r>
      <w:r w:rsidR="00AA4CDC">
        <w:t>y</w:t>
      </w:r>
      <w:r w:rsidR="003441F8">
        <w:t xml:space="preserve"> </w:t>
      </w:r>
      <w:r w:rsidR="00BC6FCF">
        <w:t xml:space="preserve">evaluation every 5 years </w:t>
      </w:r>
      <w:r w:rsidR="00A627E2">
        <w:t xml:space="preserve">that looks at </w:t>
      </w:r>
      <w:r w:rsidR="00A3120B">
        <w:t xml:space="preserve">the general effectiveness of the program, </w:t>
      </w:r>
      <w:r w:rsidR="00455267">
        <w:t xml:space="preserve">effectiveness of performance accountability measures, effectiveness of the structure </w:t>
      </w:r>
      <w:r w:rsidR="008F4CD1">
        <w:t xml:space="preserve">and mechanisms for delivery of services, impact of the program </w:t>
      </w:r>
      <w:r w:rsidR="0042496E">
        <w:t xml:space="preserve">on local community, related programs, and the extent to which it meets the needs of various demographic groups. </w:t>
      </w:r>
      <w:r w:rsidR="00707247">
        <w:t xml:space="preserve"> </w:t>
      </w:r>
    </w:p>
    <w:p w:rsidR="00707247" w:rsidP="008E5735" w:rsidRDefault="002F31D9" w14:paraId="482F7F03" w14:textId="39EBBB7D">
      <w:pPr>
        <w:pStyle w:val="NormalSS"/>
        <w:ind w:firstLine="0"/>
      </w:pPr>
      <w:r w:rsidRPr="002F31D9">
        <w:t xml:space="preserve">This package requests clearance for </w:t>
      </w:r>
      <w:r w:rsidR="00C918E3">
        <w:t>four</w:t>
      </w:r>
      <w:r w:rsidRPr="002F31D9">
        <w:t xml:space="preserve"> data collection activities </w:t>
      </w:r>
      <w:r w:rsidR="008E5735">
        <w:t>that</w:t>
      </w:r>
      <w:r>
        <w:t xml:space="preserve"> </w:t>
      </w:r>
      <w:r w:rsidR="00376380">
        <w:t xml:space="preserve">require approval </w:t>
      </w:r>
      <w:r w:rsidR="00667291">
        <w:t>so that collection may begin in</w:t>
      </w:r>
      <w:r w:rsidR="0029048E">
        <w:t xml:space="preserve"> </w:t>
      </w:r>
      <w:r w:rsidR="000D34DE">
        <w:t>February</w:t>
      </w:r>
      <w:r w:rsidR="00667291">
        <w:t xml:space="preserve"> </w:t>
      </w:r>
      <w:r>
        <w:t>202</w:t>
      </w:r>
      <w:r w:rsidR="00C75AE9">
        <w:t>2</w:t>
      </w:r>
      <w:r>
        <w:t xml:space="preserve"> </w:t>
      </w:r>
      <w:r w:rsidRPr="002F31D9">
        <w:t>as part o</w:t>
      </w:r>
      <w:r>
        <w:t>f the implementation evaluation.</w:t>
      </w:r>
      <w:r w:rsidRPr="00924CD3" w:rsidR="00924CD3">
        <w:t xml:space="preserve"> </w:t>
      </w:r>
      <w:r w:rsidR="00463ACE">
        <w:t>Given that some of the pilots</w:t>
      </w:r>
      <w:r w:rsidR="00F0244F">
        <w:t xml:space="preserve"> </w:t>
      </w:r>
      <w:r w:rsidR="00463ACE">
        <w:t xml:space="preserve">will </w:t>
      </w:r>
      <w:r w:rsidR="00154090">
        <w:t>cease</w:t>
      </w:r>
      <w:r w:rsidR="00A66197">
        <w:t xml:space="preserve"> enrolling </w:t>
      </w:r>
      <w:r w:rsidR="005661E1">
        <w:t xml:space="preserve">or providing services to </w:t>
      </w:r>
      <w:r w:rsidR="00A66197">
        <w:t xml:space="preserve">students in </w:t>
      </w:r>
      <w:r w:rsidR="005661E1">
        <w:t>the first half of 2022, it is critical</w:t>
      </w:r>
      <w:r w:rsidR="00DD48A6">
        <w:t xml:space="preserve"> that the research team be able to start fielding the instruments in </w:t>
      </w:r>
      <w:r w:rsidR="000D34DE">
        <w:t>early</w:t>
      </w:r>
      <w:r w:rsidR="00DD48A6">
        <w:t xml:space="preserve"> 202</w:t>
      </w:r>
      <w:r w:rsidR="000D34DE">
        <w:t>2</w:t>
      </w:r>
      <w:r w:rsidR="00DD48A6">
        <w:t xml:space="preserve"> </w:t>
      </w:r>
      <w:r w:rsidR="0045641E">
        <w:t>in order to</w:t>
      </w:r>
      <w:r w:rsidR="00DD48A6">
        <w:t xml:space="preserve"> gather data from the </w:t>
      </w:r>
      <w:r w:rsidR="00657B2C">
        <w:t>pilots</w:t>
      </w:r>
      <w:r w:rsidR="00DD48A6">
        <w:t xml:space="preserve"> when they are</w:t>
      </w:r>
      <w:r w:rsidR="0045641E">
        <w:t xml:space="preserve"> operating</w:t>
      </w:r>
      <w:r w:rsidR="00DD48A6">
        <w:t xml:space="preserve"> in a </w:t>
      </w:r>
      <w:proofErr w:type="gramStart"/>
      <w:r w:rsidR="00DD48A6">
        <w:t>steady-state</w:t>
      </w:r>
      <w:proofErr w:type="gramEnd"/>
      <w:r w:rsidR="00924CD3">
        <w:t>.</w:t>
      </w:r>
    </w:p>
    <w:p w:rsidR="008E1F00" w:rsidP="003A3874" w:rsidRDefault="008E1F00" w14:paraId="38F491EA" w14:textId="414BD33C">
      <w:pPr>
        <w:pStyle w:val="H3Alpha"/>
        <w:ind w:left="0" w:firstLine="0"/>
        <w:outlineLvl w:val="1"/>
        <w:rPr>
          <w:rFonts w:ascii="Times New Roman" w:hAnsi="Times New Roman"/>
          <w:i/>
        </w:rPr>
      </w:pPr>
      <w:bookmarkStart w:name="_Toc496104734" w:id="4"/>
      <w:bookmarkStart w:name="_Toc68878641" w:id="5"/>
      <w:r>
        <w:t xml:space="preserve">2. </w:t>
      </w:r>
      <w:r w:rsidRPr="00C51490" w:rsidR="002D7F1C">
        <w:rPr>
          <w:rFonts w:ascii="Times New Roman" w:hAnsi="Times New Roman"/>
          <w:i/>
        </w:rPr>
        <w:t>Indicate how, by whom, and for what purpose the information is to be used.  Except for a new collection, indicate the actual use the agency has made of the information received from the current collection.</w:t>
      </w:r>
      <w:bookmarkEnd w:id="4"/>
      <w:bookmarkEnd w:id="5"/>
    </w:p>
    <w:p w:rsidRPr="003F2EDD" w:rsidR="00E373CB" w:rsidP="008E53DF" w:rsidRDefault="00E373CB" w14:paraId="2E9C908B" w14:textId="296B2C82">
      <w:pPr>
        <w:pStyle w:val="NormalSS"/>
        <w:spacing w:after="0"/>
        <w:ind w:firstLine="0"/>
      </w:pPr>
      <w:r w:rsidRPr="1325DAB7">
        <w:rPr>
          <w:rFonts w:eastAsiaTheme="minorEastAsia"/>
        </w:rPr>
        <w:t xml:space="preserve">The </w:t>
      </w:r>
      <w:r w:rsidR="00EA7900">
        <w:rPr>
          <w:rFonts w:eastAsiaTheme="minorEastAsia"/>
        </w:rPr>
        <w:t xml:space="preserve">data gathered through the activities summarized in this </w:t>
      </w:r>
      <w:r w:rsidR="004B7054">
        <w:rPr>
          <w:rFonts w:eastAsiaTheme="minorEastAsia"/>
        </w:rPr>
        <w:t>request</w:t>
      </w:r>
      <w:r w:rsidR="00EA7900">
        <w:rPr>
          <w:rFonts w:eastAsiaTheme="minorEastAsia"/>
        </w:rPr>
        <w:t xml:space="preserve"> will be used by DOL to </w:t>
      </w:r>
      <w:r w:rsidR="00B701DB">
        <w:rPr>
          <w:rFonts w:eastAsiaTheme="minorEastAsia"/>
        </w:rPr>
        <w:t xml:space="preserve">comprehensively describe implementation of the demonstration pilots, including </w:t>
      </w:r>
      <w:r>
        <w:rPr>
          <w:rFonts w:eastAsiaTheme="minorEastAsia"/>
        </w:rPr>
        <w:t xml:space="preserve">who the pilots enroll, </w:t>
      </w:r>
      <w:r w:rsidRPr="1325DAB7">
        <w:rPr>
          <w:rFonts w:eastAsiaTheme="minorEastAsia"/>
        </w:rPr>
        <w:t>what services the</w:t>
      </w:r>
      <w:r>
        <w:rPr>
          <w:rFonts w:eastAsiaTheme="minorEastAsia"/>
        </w:rPr>
        <w:t>y</w:t>
      </w:r>
      <w:r w:rsidRPr="1325DAB7">
        <w:rPr>
          <w:rFonts w:eastAsiaTheme="minorEastAsia"/>
        </w:rPr>
        <w:t xml:space="preserve"> provide</w:t>
      </w:r>
      <w:r>
        <w:rPr>
          <w:rFonts w:eastAsiaTheme="minorEastAsia"/>
        </w:rPr>
        <w:t xml:space="preserve">, </w:t>
      </w:r>
      <w:r w:rsidRPr="1325DAB7">
        <w:rPr>
          <w:rFonts w:eastAsiaTheme="minorEastAsia"/>
        </w:rPr>
        <w:t xml:space="preserve">how </w:t>
      </w:r>
      <w:r>
        <w:rPr>
          <w:rFonts w:eastAsiaTheme="minorEastAsia"/>
        </w:rPr>
        <w:t>these services are</w:t>
      </w:r>
      <w:r w:rsidRPr="1325DAB7">
        <w:rPr>
          <w:rFonts w:eastAsiaTheme="minorEastAsia"/>
        </w:rPr>
        <w:t xml:space="preserve"> implemented</w:t>
      </w:r>
      <w:r>
        <w:rPr>
          <w:rFonts w:eastAsiaTheme="minorEastAsia"/>
        </w:rPr>
        <w:t xml:space="preserve">, and how the pilots compare with traditional Job Corps. </w:t>
      </w:r>
      <w:r w:rsidR="003A08C3">
        <w:rPr>
          <w:rFonts w:eastAsiaTheme="minorEastAsia"/>
        </w:rPr>
        <w:t xml:space="preserve">Although not addressed in the instruments in this package, </w:t>
      </w:r>
      <w:r w:rsidR="00D31B85">
        <w:rPr>
          <w:rFonts w:eastAsiaTheme="minorEastAsia"/>
        </w:rPr>
        <w:t>t</w:t>
      </w:r>
      <w:r>
        <w:rPr>
          <w:rFonts w:eastAsiaTheme="minorEastAsia"/>
        </w:rPr>
        <w:t xml:space="preserve">he evaluation will also assess </w:t>
      </w:r>
      <w:r w:rsidRPr="1325DAB7">
        <w:rPr>
          <w:rFonts w:eastAsiaTheme="minorEastAsia"/>
        </w:rPr>
        <w:t>outcomes of participants</w:t>
      </w:r>
      <w:r>
        <w:rPr>
          <w:rFonts w:eastAsiaTheme="minorEastAsia"/>
        </w:rPr>
        <w:t xml:space="preserve"> in the demonstration pilots</w:t>
      </w:r>
      <w:r w:rsidR="00D31B85">
        <w:rPr>
          <w:rFonts w:eastAsiaTheme="minorEastAsia"/>
        </w:rPr>
        <w:t xml:space="preserve"> through analysis of </w:t>
      </w:r>
      <w:r w:rsidR="00560FB7">
        <w:rPr>
          <w:rFonts w:eastAsiaTheme="minorEastAsia"/>
        </w:rPr>
        <w:t>de-identified data gathered by DOL from the pilots</w:t>
      </w:r>
      <w:r w:rsidR="000E1132">
        <w:rPr>
          <w:rFonts w:eastAsiaTheme="minorEastAsia"/>
        </w:rPr>
        <w:t xml:space="preserve"> and through existing administrative data sets, which does not require OMB approval</w:t>
      </w:r>
      <w:r w:rsidRPr="1325DAB7">
        <w:rPr>
          <w:rFonts w:eastAsiaTheme="minorEastAsia"/>
        </w:rPr>
        <w:t xml:space="preserve">. The project also includes impact feasibility assessments of each of the demonstration pilots to assess the potential for conducting </w:t>
      </w:r>
      <w:r>
        <w:rPr>
          <w:rFonts w:eastAsiaTheme="minorEastAsia"/>
        </w:rPr>
        <w:t>an impact</w:t>
      </w:r>
      <w:r w:rsidRPr="1325DAB7">
        <w:rPr>
          <w:rFonts w:eastAsiaTheme="minorEastAsia"/>
        </w:rPr>
        <w:t xml:space="preserve"> evaluation of the pilot’s effectiveness or similar future pilots. </w:t>
      </w:r>
    </w:p>
    <w:p w:rsidR="00E373CB" w:rsidP="008E53DF" w:rsidRDefault="00E373CB" w14:paraId="2FE2E5F4" w14:textId="77777777">
      <w:pPr>
        <w:pStyle w:val="NormalSS"/>
        <w:spacing w:after="0"/>
        <w:ind w:firstLine="0"/>
      </w:pPr>
    </w:p>
    <w:p w:rsidRPr="00A32DE1" w:rsidR="00CF29B0" w:rsidP="008E53DF" w:rsidRDefault="00CF29B0" w14:paraId="1C912275" w14:textId="4F1B4E47">
      <w:pPr>
        <w:pStyle w:val="H3Alpha"/>
        <w:numPr>
          <w:ilvl w:val="0"/>
          <w:numId w:val="12"/>
        </w:numPr>
        <w:spacing w:after="0"/>
        <w:outlineLvl w:val="0"/>
        <w:rPr>
          <w:rFonts w:ascii="Times New Roman" w:hAnsi="Times New Roman"/>
          <w:b/>
          <w:bCs/>
          <w:sz w:val="24"/>
          <w:szCs w:val="24"/>
        </w:rPr>
      </w:pPr>
      <w:bookmarkStart w:name="_Toc68878642" w:id="6"/>
      <w:r w:rsidRPr="00A32DE1">
        <w:rPr>
          <w:rFonts w:ascii="Times New Roman" w:hAnsi="Times New Roman"/>
          <w:b/>
          <w:bCs/>
          <w:sz w:val="24"/>
          <w:szCs w:val="24"/>
        </w:rPr>
        <w:t>Overview of evaluation</w:t>
      </w:r>
      <w:bookmarkEnd w:id="6"/>
    </w:p>
    <w:p w:rsidR="00E373CB" w:rsidP="00E373CB" w:rsidRDefault="00E373CB" w14:paraId="324A3436" w14:textId="63C1B995">
      <w:pPr>
        <w:spacing w:line="240" w:lineRule="auto"/>
        <w:ind w:firstLine="0"/>
        <w:rPr>
          <w:rFonts w:eastAsiaTheme="minorEastAsia"/>
        </w:rPr>
      </w:pPr>
    </w:p>
    <w:p w:rsidR="00E373CB" w:rsidP="008E53DF" w:rsidRDefault="00E373CB" w14:paraId="1095A76A" w14:textId="4D3B2B37">
      <w:pPr>
        <w:pStyle w:val="NormalSS"/>
        <w:spacing w:after="0"/>
      </w:pPr>
      <w:r>
        <w:t>The Job Corps Evidence</w:t>
      </w:r>
      <w:r w:rsidR="003F2EDD">
        <w:t>-</w:t>
      </w:r>
      <w:r>
        <w:t xml:space="preserve">Building </w:t>
      </w:r>
      <w:r w:rsidR="00064772">
        <w:t>Portfolio Program</w:t>
      </w:r>
      <w:r>
        <w:t xml:space="preserve"> </w:t>
      </w:r>
      <w:r w:rsidR="00AB3A45">
        <w:t>demonstration pilot</w:t>
      </w:r>
      <w:r>
        <w:t xml:space="preserve"> studies includes two components: (1) an implementation and outcome evaluation to understand program implementation and participant outcomes and (2) </w:t>
      </w:r>
      <w:r w:rsidR="004E35A8">
        <w:t>an</w:t>
      </w:r>
      <w:r>
        <w:t xml:space="preserve"> </w:t>
      </w:r>
      <w:r w:rsidRPr="1325DAB7">
        <w:rPr>
          <w:rFonts w:eastAsiaTheme="minorEastAsia"/>
        </w:rPr>
        <w:t xml:space="preserve">impact feasibility assessment to assess the potential for conducting </w:t>
      </w:r>
      <w:r>
        <w:rPr>
          <w:rFonts w:eastAsiaTheme="minorEastAsia"/>
        </w:rPr>
        <w:t>an impact</w:t>
      </w:r>
      <w:r w:rsidRPr="1325DAB7">
        <w:rPr>
          <w:rFonts w:eastAsiaTheme="minorEastAsia"/>
        </w:rPr>
        <w:t xml:space="preserve"> evaluation of the pilot’s effectiveness or similar future pilots.</w:t>
      </w:r>
      <w:r w:rsidR="008E1653">
        <w:rPr>
          <w:rFonts w:eastAsiaTheme="minorEastAsia"/>
        </w:rPr>
        <w:t xml:space="preserve"> The research will take place from 2021 to </w:t>
      </w:r>
      <w:r w:rsidR="006F0C3A">
        <w:rPr>
          <w:rFonts w:eastAsiaTheme="minorEastAsia"/>
        </w:rPr>
        <w:t>2024 and will address the following research questions</w:t>
      </w:r>
      <w:r w:rsidR="00C576E2">
        <w:rPr>
          <w:rFonts w:eastAsiaTheme="minorEastAsia"/>
        </w:rPr>
        <w:t xml:space="preserve"> across seven domains</w:t>
      </w:r>
      <w:r w:rsidR="006F0C3A">
        <w:rPr>
          <w:rFonts w:eastAsiaTheme="minorEastAsia"/>
        </w:rPr>
        <w:t xml:space="preserve">: </w:t>
      </w:r>
    </w:p>
    <w:p w:rsidR="00E373CB" w:rsidP="00E373CB" w:rsidRDefault="00E373CB" w14:paraId="19F96B4A" w14:textId="77777777">
      <w:pPr>
        <w:spacing w:line="240" w:lineRule="auto"/>
        <w:ind w:firstLine="0"/>
        <w:rPr>
          <w:rFonts w:eastAsiaTheme="minorEastAsia"/>
        </w:rPr>
      </w:pPr>
    </w:p>
    <w:p w:rsidRPr="00A03337" w:rsidR="00A03337" w:rsidP="00FB27E6" w:rsidRDefault="0056159B" w14:paraId="362E2227" w14:textId="56789C77">
      <w:pPr>
        <w:pStyle w:val="NormalSS"/>
        <w:numPr>
          <w:ilvl w:val="0"/>
          <w:numId w:val="9"/>
        </w:numPr>
      </w:pPr>
      <w:r>
        <w:rPr>
          <w:rFonts w:cstheme="minorHAnsi"/>
          <w:b/>
          <w:bCs/>
        </w:rPr>
        <w:t>Program planning and design</w:t>
      </w:r>
      <w:r w:rsidRPr="00A03337" w:rsidR="00A03337">
        <w:rPr>
          <w:rFonts w:cstheme="minorHAnsi"/>
          <w:b/>
          <w:bCs/>
        </w:rPr>
        <w:t>.</w:t>
      </w:r>
      <w:r w:rsidR="00A03337">
        <w:rPr>
          <w:rFonts w:cstheme="minorHAnsi"/>
        </w:rPr>
        <w:t xml:space="preserve"> What is needed and required for each of the pilots to startup? </w:t>
      </w:r>
      <w:r w:rsidR="00330DD5">
        <w:rPr>
          <w:rFonts w:cstheme="minorHAnsi"/>
        </w:rPr>
        <w:t xml:space="preserve">How </w:t>
      </w:r>
      <w:r w:rsidR="008D7CA1">
        <w:rPr>
          <w:rFonts w:cstheme="minorHAnsi"/>
        </w:rPr>
        <w:t xml:space="preserve">does the demonstration pilot compare with Job Corps? </w:t>
      </w:r>
    </w:p>
    <w:p w:rsidRPr="00C576E2" w:rsidR="007C4ABF" w:rsidP="00FB27E6" w:rsidRDefault="00D368AB" w14:paraId="287EE95B" w14:textId="3AF9ABC1">
      <w:pPr>
        <w:pStyle w:val="NormalSS"/>
        <w:numPr>
          <w:ilvl w:val="0"/>
          <w:numId w:val="9"/>
        </w:numPr>
      </w:pPr>
      <w:r w:rsidRPr="00D368AB">
        <w:rPr>
          <w:b/>
          <w:bCs/>
        </w:rPr>
        <w:lastRenderedPageBreak/>
        <w:t>Program services</w:t>
      </w:r>
      <w:r>
        <w:t xml:space="preserve">. </w:t>
      </w:r>
      <w:r w:rsidR="00C8360D">
        <w:t>What types and combinations of services were provided</w:t>
      </w:r>
      <w:r w:rsidR="0065031C">
        <w:t xml:space="preserve"> by the pilot</w:t>
      </w:r>
      <w:r w:rsidR="00C8360D">
        <w:t>?</w:t>
      </w:r>
      <w:r w:rsidRPr="0065031C" w:rsidR="0065031C">
        <w:rPr>
          <w:rFonts w:ascii="Times" w:hAnsi="Times" w:cs="Times"/>
        </w:rPr>
        <w:t xml:space="preserve"> </w:t>
      </w:r>
      <w:r w:rsidRPr="00114F0C" w:rsidR="0065031C">
        <w:rPr>
          <w:rFonts w:ascii="Times" w:hAnsi="Times" w:cs="Times"/>
        </w:rPr>
        <w:t>How were the services implemented, such as staffing, training, and use of technology? </w:t>
      </w:r>
      <w:r w:rsidR="00013A9F">
        <w:rPr>
          <w:rFonts w:ascii="Times" w:hAnsi="Times" w:cs="Times"/>
        </w:rPr>
        <w:t xml:space="preserve">What </w:t>
      </w:r>
      <w:r w:rsidR="003F41BD">
        <w:rPr>
          <w:rFonts w:ascii="Times" w:hAnsi="Times" w:cs="Times"/>
        </w:rPr>
        <w:t>were</w:t>
      </w:r>
      <w:r w:rsidR="00013A9F">
        <w:rPr>
          <w:rFonts w:ascii="Times" w:hAnsi="Times" w:cs="Times"/>
        </w:rPr>
        <w:t xml:space="preserve"> the perceived influence</w:t>
      </w:r>
      <w:r w:rsidR="003F41BD">
        <w:rPr>
          <w:rFonts w:ascii="Times" w:hAnsi="Times" w:cs="Times"/>
        </w:rPr>
        <w:t>s</w:t>
      </w:r>
      <w:r w:rsidR="00013A9F">
        <w:rPr>
          <w:rFonts w:ascii="Times" w:hAnsi="Times" w:cs="Times"/>
        </w:rPr>
        <w:t xml:space="preserve"> that </w:t>
      </w:r>
      <w:r w:rsidR="003F41BD">
        <w:rPr>
          <w:rFonts w:ascii="Times" w:hAnsi="Times" w:cs="Times"/>
        </w:rPr>
        <w:t>the implementing agency or local context had on implementation</w:t>
      </w:r>
      <w:r w:rsidR="00AE39D2">
        <w:rPr>
          <w:rFonts w:ascii="Times" w:hAnsi="Times" w:cs="Times"/>
        </w:rPr>
        <w:t>?</w:t>
      </w:r>
    </w:p>
    <w:p w:rsidRPr="007C4ABF" w:rsidR="007C4ABF" w:rsidP="00FB27E6" w:rsidRDefault="00D368AB" w14:paraId="13D696A2" w14:textId="1AEF545B">
      <w:pPr>
        <w:pStyle w:val="ListParagraph"/>
        <w:numPr>
          <w:ilvl w:val="0"/>
          <w:numId w:val="9"/>
        </w:numPr>
        <w:spacing w:line="240" w:lineRule="auto"/>
        <w:textAlignment w:val="baseline"/>
        <w:rPr>
          <w:rFonts w:ascii="Times" w:hAnsi="Times" w:cs="Times"/>
        </w:rPr>
      </w:pPr>
      <w:r w:rsidRPr="00D368AB">
        <w:rPr>
          <w:rFonts w:ascii="Times" w:hAnsi="Times" w:cs="Times"/>
          <w:b/>
          <w:bCs/>
        </w:rPr>
        <w:t>Recruitment and enrollment.</w:t>
      </w:r>
      <w:r>
        <w:rPr>
          <w:rFonts w:ascii="Times" w:hAnsi="Times" w:cs="Times"/>
        </w:rPr>
        <w:t xml:space="preserve"> </w:t>
      </w:r>
      <w:r w:rsidR="007C4ABF">
        <w:rPr>
          <w:rFonts w:ascii="Times" w:hAnsi="Times" w:cs="Times"/>
        </w:rPr>
        <w:t xml:space="preserve">How </w:t>
      </w:r>
      <w:r w:rsidR="0065031C">
        <w:rPr>
          <w:rFonts w:ascii="Times" w:hAnsi="Times" w:cs="Times"/>
        </w:rPr>
        <w:t>did</w:t>
      </w:r>
      <w:r w:rsidR="007C4ABF">
        <w:rPr>
          <w:rFonts w:ascii="Times" w:hAnsi="Times" w:cs="Times"/>
        </w:rPr>
        <w:t xml:space="preserve"> young people enroll in the pilots and what are their characteristics? </w:t>
      </w:r>
      <w:r w:rsidR="007C4ABF">
        <w:rPr>
          <w:rFonts w:ascii="Times" w:hAnsi="Times" w:cs="Times"/>
        </w:rPr>
        <w:br/>
      </w:r>
    </w:p>
    <w:p w:rsidR="003E4000" w:rsidP="00FB27E6" w:rsidRDefault="00A03337" w14:paraId="0B1CC3AC" w14:textId="10C270FF">
      <w:pPr>
        <w:pStyle w:val="ListParagraph"/>
        <w:numPr>
          <w:ilvl w:val="0"/>
          <w:numId w:val="9"/>
        </w:numPr>
        <w:spacing w:line="240" w:lineRule="auto"/>
        <w:textAlignment w:val="baseline"/>
        <w:rPr>
          <w:rFonts w:ascii="Times" w:hAnsi="Times" w:cs="Times"/>
        </w:rPr>
      </w:pPr>
      <w:r w:rsidRPr="00A03337">
        <w:rPr>
          <w:rFonts w:ascii="Times" w:hAnsi="Times" w:cs="Times"/>
          <w:b/>
          <w:bCs/>
        </w:rPr>
        <w:t>Participant experience.</w:t>
      </w:r>
      <w:r>
        <w:rPr>
          <w:rFonts w:ascii="Times" w:hAnsi="Times" w:cs="Times"/>
        </w:rPr>
        <w:t xml:space="preserve"> </w:t>
      </w:r>
      <w:r w:rsidRPr="007C4ABF" w:rsidR="007C4ABF">
        <w:rPr>
          <w:rFonts w:ascii="Times" w:hAnsi="Times" w:cs="Times"/>
        </w:rPr>
        <w:t xml:space="preserve">What </w:t>
      </w:r>
      <w:r w:rsidR="0065031C">
        <w:rPr>
          <w:rFonts w:ascii="Times" w:hAnsi="Times" w:cs="Times"/>
        </w:rPr>
        <w:t>were</w:t>
      </w:r>
      <w:r w:rsidRPr="007C4ABF" w:rsidR="007C4ABF">
        <w:rPr>
          <w:rFonts w:ascii="Times" w:hAnsi="Times" w:cs="Times"/>
        </w:rPr>
        <w:t xml:space="preserve"> the experiences of young people who enroll</w:t>
      </w:r>
      <w:r w:rsidR="00312971">
        <w:rPr>
          <w:rFonts w:ascii="Times" w:hAnsi="Times" w:cs="Times"/>
        </w:rPr>
        <w:t>ed</w:t>
      </w:r>
      <w:r w:rsidRPr="007C4ABF" w:rsidR="007C4ABF">
        <w:rPr>
          <w:rFonts w:ascii="Times" w:hAnsi="Times" w:cs="Times"/>
        </w:rPr>
        <w:t xml:space="preserve"> in the program? </w:t>
      </w:r>
      <w:r w:rsidRPr="00A03337" w:rsidR="00C73AC7">
        <w:rPr>
          <w:rFonts w:ascii="Times" w:hAnsi="Times" w:cs="Times"/>
        </w:rPr>
        <w:t xml:space="preserve">To what extent </w:t>
      </w:r>
      <w:r w:rsidRPr="00A03337" w:rsidR="0065031C">
        <w:rPr>
          <w:rFonts w:ascii="Times" w:hAnsi="Times" w:cs="Times"/>
        </w:rPr>
        <w:t>were</w:t>
      </w:r>
      <w:r w:rsidRPr="00A03337" w:rsidR="00C73AC7">
        <w:rPr>
          <w:rFonts w:ascii="Times" w:hAnsi="Times" w:cs="Times"/>
        </w:rPr>
        <w:t xml:space="preserve"> youth engaged in pilot program activities, and what factors facilitate</w:t>
      </w:r>
      <w:r w:rsidRPr="00A03337" w:rsidR="0065031C">
        <w:rPr>
          <w:rFonts w:ascii="Times" w:hAnsi="Times" w:cs="Times"/>
        </w:rPr>
        <w:t>d</w:t>
      </w:r>
      <w:r w:rsidRPr="00A03337" w:rsidR="00C73AC7">
        <w:rPr>
          <w:rFonts w:ascii="Times" w:hAnsi="Times" w:cs="Times"/>
        </w:rPr>
        <w:t xml:space="preserve"> or constrain</w:t>
      </w:r>
      <w:r w:rsidRPr="00A03337" w:rsidR="0065031C">
        <w:rPr>
          <w:rFonts w:ascii="Times" w:hAnsi="Times" w:cs="Times"/>
        </w:rPr>
        <w:t>ed</w:t>
      </w:r>
      <w:r w:rsidRPr="00A03337" w:rsidR="00C73AC7">
        <w:rPr>
          <w:rFonts w:ascii="Times" w:hAnsi="Times" w:cs="Times"/>
        </w:rPr>
        <w:t xml:space="preserve"> their participation?</w:t>
      </w:r>
    </w:p>
    <w:p w:rsidR="00EB650C" w:rsidP="00EB650C" w:rsidRDefault="00EB650C" w14:paraId="3130FC58" w14:textId="77777777">
      <w:pPr>
        <w:pStyle w:val="ListParagraph"/>
        <w:spacing w:line="240" w:lineRule="auto"/>
        <w:ind w:left="1152" w:firstLine="0"/>
        <w:textAlignment w:val="baseline"/>
        <w:rPr>
          <w:rFonts w:ascii="Times" w:hAnsi="Times" w:cs="Times"/>
        </w:rPr>
      </w:pPr>
    </w:p>
    <w:p w:rsidRPr="00E8252B" w:rsidR="00A03337" w:rsidP="00FB27E6" w:rsidRDefault="00EB650C" w14:paraId="32D0C9E8" w14:textId="17C3C932">
      <w:pPr>
        <w:pStyle w:val="NormalSS"/>
        <w:numPr>
          <w:ilvl w:val="0"/>
          <w:numId w:val="9"/>
        </w:numPr>
      </w:pPr>
      <w:r w:rsidRPr="00A03337">
        <w:rPr>
          <w:rFonts w:ascii="Times" w:hAnsi="Times" w:cs="Times"/>
          <w:b/>
          <w:bCs/>
        </w:rPr>
        <w:t>Cost.</w:t>
      </w:r>
      <w:r>
        <w:rPr>
          <w:rFonts w:ascii="Times" w:hAnsi="Times" w:cs="Times"/>
        </w:rPr>
        <w:t xml:space="preserve"> What were the costs to provide services? </w:t>
      </w:r>
      <w:r w:rsidRPr="002D503D">
        <w:rPr>
          <w:rFonts w:ascii="Times" w:hAnsi="Times" w:cs="Times"/>
        </w:rPr>
        <w:t> </w:t>
      </w:r>
    </w:p>
    <w:p w:rsidRPr="001A46AB" w:rsidR="001A46AB" w:rsidP="00FB27E6" w:rsidRDefault="00A03337" w14:paraId="63F31031" w14:textId="1926AB43">
      <w:pPr>
        <w:pStyle w:val="NormalSS"/>
        <w:numPr>
          <w:ilvl w:val="0"/>
          <w:numId w:val="9"/>
        </w:numPr>
      </w:pPr>
      <w:r w:rsidRPr="00A03337">
        <w:rPr>
          <w:rFonts w:ascii="Times" w:hAnsi="Times" w:cs="Times"/>
          <w:b/>
          <w:bCs/>
        </w:rPr>
        <w:t>Student outcomes.</w:t>
      </w:r>
      <w:r>
        <w:rPr>
          <w:rFonts w:ascii="Times" w:hAnsi="Times" w:cs="Times"/>
        </w:rPr>
        <w:t xml:space="preserve"> </w:t>
      </w:r>
      <w:r w:rsidRPr="002D503D" w:rsidR="003900BD">
        <w:rPr>
          <w:rFonts w:ascii="Times" w:hAnsi="Times" w:cs="Times"/>
        </w:rPr>
        <w:t xml:space="preserve">What </w:t>
      </w:r>
      <w:r w:rsidR="0065031C">
        <w:rPr>
          <w:rFonts w:ascii="Times" w:hAnsi="Times" w:cs="Times"/>
        </w:rPr>
        <w:t>were</w:t>
      </w:r>
      <w:r w:rsidRPr="002D503D" w:rsidR="003900BD">
        <w:rPr>
          <w:rFonts w:ascii="Times" w:hAnsi="Times" w:cs="Times"/>
        </w:rPr>
        <w:t xml:space="preserve"> the outcomes for the young people who participate</w:t>
      </w:r>
      <w:r w:rsidR="00F01108">
        <w:rPr>
          <w:rFonts w:ascii="Times" w:hAnsi="Times" w:cs="Times"/>
        </w:rPr>
        <w:t>d</w:t>
      </w:r>
      <w:r w:rsidRPr="002D503D" w:rsidR="003900BD">
        <w:rPr>
          <w:rFonts w:ascii="Times" w:hAnsi="Times" w:cs="Times"/>
        </w:rPr>
        <w:t xml:space="preserve"> in the program?   </w:t>
      </w:r>
    </w:p>
    <w:p w:rsidRPr="009B6B85" w:rsidR="00FD35F9" w:rsidP="00FB27E6" w:rsidRDefault="00A03337" w14:paraId="748C7D6A" w14:textId="1029011D">
      <w:pPr>
        <w:pStyle w:val="NormalSS"/>
        <w:numPr>
          <w:ilvl w:val="0"/>
          <w:numId w:val="9"/>
        </w:numPr>
      </w:pPr>
      <w:r w:rsidRPr="00A03337">
        <w:rPr>
          <w:rFonts w:ascii="Times" w:hAnsi="Times" w:cs="Times"/>
          <w:b/>
          <w:bCs/>
        </w:rPr>
        <w:t>Impact feasibility.</w:t>
      </w:r>
      <w:r>
        <w:rPr>
          <w:rFonts w:ascii="Times" w:hAnsi="Times" w:cs="Times"/>
        </w:rPr>
        <w:t xml:space="preserve"> </w:t>
      </w:r>
      <w:r w:rsidR="00FD35F9">
        <w:rPr>
          <w:rFonts w:ascii="Times" w:hAnsi="Times" w:cs="Times"/>
        </w:rPr>
        <w:t xml:space="preserve">What are the options for conducting an impact study of the pilot? </w:t>
      </w:r>
    </w:p>
    <w:p w:rsidRPr="00511DC4" w:rsidR="004D1A82" w:rsidP="004D1A82" w:rsidRDefault="004D1A82" w14:paraId="4A1EADB1" w14:textId="77777777">
      <w:pPr>
        <w:pStyle w:val="BodyText"/>
        <w:rPr>
          <w:sz w:val="24"/>
          <w:szCs w:val="24"/>
        </w:rPr>
      </w:pPr>
      <w:r w:rsidRPr="00511DC4">
        <w:rPr>
          <w:sz w:val="24"/>
          <w:szCs w:val="24"/>
        </w:rPr>
        <w:t>To address the research questions listed above, pilot studies will include the following data collection activities:</w:t>
      </w:r>
    </w:p>
    <w:p w:rsidRPr="00511DC4" w:rsidR="005F61C9" w:rsidP="005F61C9" w:rsidRDefault="005F61C9" w14:paraId="2C4036A4" w14:textId="77777777">
      <w:pPr>
        <w:pStyle w:val="NormalSS"/>
        <w:numPr>
          <w:ilvl w:val="0"/>
          <w:numId w:val="11"/>
        </w:numPr>
        <w:rPr>
          <w:szCs w:val="24"/>
        </w:rPr>
      </w:pPr>
      <w:r>
        <w:rPr>
          <w:szCs w:val="24"/>
        </w:rPr>
        <w:t xml:space="preserve">Pilot survey data </w:t>
      </w:r>
      <w:r w:rsidRPr="00C77BC7">
        <w:rPr>
          <w:b/>
          <w:bCs/>
          <w:szCs w:val="24"/>
        </w:rPr>
        <w:t>(clearance requested in this package)</w:t>
      </w:r>
    </w:p>
    <w:p w:rsidRPr="00C77BC7" w:rsidR="004D1A82" w:rsidP="00FB27E6" w:rsidRDefault="004D1A82" w14:paraId="15FA42CF" w14:textId="5257B1E5">
      <w:pPr>
        <w:pStyle w:val="NormalSS"/>
        <w:numPr>
          <w:ilvl w:val="0"/>
          <w:numId w:val="11"/>
        </w:numPr>
        <w:rPr>
          <w:b/>
          <w:bCs/>
          <w:szCs w:val="24"/>
        </w:rPr>
      </w:pPr>
      <w:r>
        <w:rPr>
          <w:szCs w:val="24"/>
        </w:rPr>
        <w:t xml:space="preserve">Interview and focus group data </w:t>
      </w:r>
      <w:r w:rsidR="00F01108">
        <w:rPr>
          <w:szCs w:val="24"/>
        </w:rPr>
        <w:t>collection</w:t>
      </w:r>
      <w:r>
        <w:rPr>
          <w:szCs w:val="24"/>
        </w:rPr>
        <w:t xml:space="preserve"> during in-person or virtual site visits </w:t>
      </w:r>
      <w:r w:rsidRPr="00C77BC7">
        <w:rPr>
          <w:b/>
          <w:bCs/>
          <w:szCs w:val="24"/>
        </w:rPr>
        <w:t xml:space="preserve">(clearance requested in this package) </w:t>
      </w:r>
    </w:p>
    <w:p w:rsidR="004D1A82" w:rsidP="00FB27E6" w:rsidRDefault="004D1A82" w14:paraId="3CE1C688" w14:textId="1E64470B">
      <w:pPr>
        <w:pStyle w:val="NormalSS"/>
        <w:numPr>
          <w:ilvl w:val="0"/>
          <w:numId w:val="11"/>
        </w:numPr>
        <w:rPr>
          <w:szCs w:val="24"/>
        </w:rPr>
      </w:pPr>
      <w:r>
        <w:rPr>
          <w:szCs w:val="24"/>
        </w:rPr>
        <w:t>Document review</w:t>
      </w:r>
    </w:p>
    <w:p w:rsidR="00463469" w:rsidP="00FB27E6" w:rsidRDefault="00463469" w14:paraId="08063ACE" w14:textId="17507D03">
      <w:pPr>
        <w:pStyle w:val="NormalSS"/>
        <w:numPr>
          <w:ilvl w:val="0"/>
          <w:numId w:val="11"/>
        </w:numPr>
        <w:rPr>
          <w:szCs w:val="24"/>
        </w:rPr>
      </w:pPr>
      <w:r>
        <w:rPr>
          <w:szCs w:val="24"/>
        </w:rPr>
        <w:t xml:space="preserve">Observations of program </w:t>
      </w:r>
      <w:r w:rsidR="00DC4A62">
        <w:rPr>
          <w:szCs w:val="24"/>
        </w:rPr>
        <w:t>activities</w:t>
      </w:r>
    </w:p>
    <w:p w:rsidRPr="00511DC4" w:rsidR="004D1A82" w:rsidP="00FB27E6" w:rsidRDefault="004D1A82" w14:paraId="1AEA2CBC" w14:textId="77777777">
      <w:pPr>
        <w:pStyle w:val="NormalSS"/>
        <w:numPr>
          <w:ilvl w:val="0"/>
          <w:numId w:val="11"/>
        </w:numPr>
        <w:rPr>
          <w:szCs w:val="24"/>
        </w:rPr>
      </w:pPr>
      <w:r>
        <w:rPr>
          <w:szCs w:val="24"/>
        </w:rPr>
        <w:t>Participant application, participation and follow-up data provided by pilot sites to ETA</w:t>
      </w:r>
    </w:p>
    <w:p w:rsidRPr="00511DC4" w:rsidR="004D1A82" w:rsidP="00FB27E6" w:rsidRDefault="004D1A82" w14:paraId="24C2E6B7" w14:textId="77777777">
      <w:pPr>
        <w:pStyle w:val="NormalSS"/>
        <w:numPr>
          <w:ilvl w:val="0"/>
          <w:numId w:val="11"/>
        </w:numPr>
        <w:rPr>
          <w:szCs w:val="24"/>
        </w:rPr>
      </w:pPr>
      <w:r w:rsidRPr="006F1CA7">
        <w:rPr>
          <w:szCs w:val="24"/>
        </w:rPr>
        <w:t xml:space="preserve">Other administrative data from the National Student Clearinghouse (NSC) and the National Directory of New Hires (NDNH)  </w:t>
      </w:r>
    </w:p>
    <w:p w:rsidR="00756F9C" w:rsidP="00860930" w:rsidRDefault="00F05389" w14:paraId="0E226640" w14:textId="09359A86">
      <w:pPr>
        <w:pStyle w:val="NormalSS"/>
        <w:ind w:firstLine="0"/>
      </w:pPr>
      <w:r>
        <w:t xml:space="preserve">The implementation study will answer </w:t>
      </w:r>
      <w:r w:rsidR="00EB650C">
        <w:t xml:space="preserve">research questions 1-5.  The outcome study will answer </w:t>
      </w:r>
      <w:r w:rsidR="00E8252B">
        <w:t>question 6.  The impact feasibility study will answer question 7. To conduct the implementation study</w:t>
      </w:r>
      <w:r w:rsidR="009407DB">
        <w:t xml:space="preserve">, the research team will collect descriptive information about pilot implementation through staff and participant interviews and focus groups, </w:t>
      </w:r>
      <w:r w:rsidR="0058206D">
        <w:t xml:space="preserve">and through a pilot survey.  </w:t>
      </w:r>
      <w:r w:rsidR="00FA6210">
        <w:t xml:space="preserve">The pilot survey will be fielded to </w:t>
      </w:r>
      <w:r w:rsidR="00667360">
        <w:t>30</w:t>
      </w:r>
      <w:r w:rsidR="00FA6210">
        <w:t xml:space="preserve"> demonstration sites</w:t>
      </w:r>
      <w:r w:rsidR="00BF743F">
        <w:t xml:space="preserve"> and </w:t>
      </w:r>
      <w:r w:rsidR="00667360">
        <w:t xml:space="preserve">satellites (26 Job Scholars sites and </w:t>
      </w:r>
      <w:r w:rsidR="003B2D4D">
        <w:t>4</w:t>
      </w:r>
      <w:r w:rsidR="00AD175F">
        <w:t xml:space="preserve"> Idaho sites).</w:t>
      </w:r>
      <w:r w:rsidR="00FA6210">
        <w:t xml:space="preserve"> </w:t>
      </w:r>
      <w:r w:rsidR="00974A6C">
        <w:t>Interviews and focus groups will be conducted with staff and participants either virtually or in-person at a subset of pilot grantees. The results of the pilot survey will be used to select sites for sites visits and interviews.</w:t>
      </w:r>
      <w:r w:rsidR="001778A4">
        <w:t xml:space="preserve"> The research will take a tiered approach to </w:t>
      </w:r>
      <w:r w:rsidR="00C979AC">
        <w:t xml:space="preserve">data collection, with some sites receiving in-depth site visits </w:t>
      </w:r>
      <w:r w:rsidR="007F038C">
        <w:t>where most staff are interviewed, and some sites receiving targeted interviews where a smaller portion of staff are interviewed.</w:t>
      </w:r>
      <w:r w:rsidR="00974A6C">
        <w:t xml:space="preserve"> </w:t>
      </w:r>
      <w:r w:rsidR="002319B1">
        <w:t>Approximately six</w:t>
      </w:r>
      <w:r w:rsidR="00784E4A">
        <w:t xml:space="preserve"> pilots </w:t>
      </w:r>
      <w:r w:rsidR="00784E4A">
        <w:lastRenderedPageBreak/>
        <w:t>will be selected for site visits</w:t>
      </w:r>
      <w:r w:rsidR="0066311B">
        <w:t xml:space="preserve"> with </w:t>
      </w:r>
      <w:r w:rsidR="002319B1">
        <w:t>approximately</w:t>
      </w:r>
      <w:r w:rsidR="0066311B">
        <w:t xml:space="preserve"> 15 interviews</w:t>
      </w:r>
      <w:r w:rsidR="004462CF">
        <w:t xml:space="preserve"> during the visit</w:t>
      </w:r>
      <w:r w:rsidR="00784E4A">
        <w:t xml:space="preserve">, and </w:t>
      </w:r>
      <w:r w:rsidR="002319B1">
        <w:t>approximately</w:t>
      </w:r>
      <w:r w:rsidR="008E6240">
        <w:t xml:space="preserve"> 15</w:t>
      </w:r>
      <w:r w:rsidR="004462CF">
        <w:t xml:space="preserve"> additional</w:t>
      </w:r>
      <w:r w:rsidR="008E6240">
        <w:t xml:space="preserve"> sites will be selected for virtual </w:t>
      </w:r>
      <w:r w:rsidR="00974A6C">
        <w:t xml:space="preserve">interviews of </w:t>
      </w:r>
      <w:r w:rsidR="002319B1">
        <w:t>five</w:t>
      </w:r>
      <w:r w:rsidR="00974A6C">
        <w:t xml:space="preserve"> or fewer staff. </w:t>
      </w:r>
      <w:r w:rsidR="006A08AC">
        <w:t xml:space="preserve"> </w:t>
      </w:r>
      <w:r w:rsidR="00681763">
        <w:t xml:space="preserve">The research team will select sites to ensure </w:t>
      </w:r>
      <w:r w:rsidR="00933B54">
        <w:t xml:space="preserve">they </w:t>
      </w:r>
      <w:r w:rsidR="00EF7927">
        <w:t xml:space="preserve">span the </w:t>
      </w:r>
      <w:r w:rsidR="002D6B5F">
        <w:t>variation in pilot implementation, such as structure of pilot,</w:t>
      </w:r>
      <w:r w:rsidR="00F90357">
        <w:t xml:space="preserve"> enrollment strategies,</w:t>
      </w:r>
      <w:r w:rsidR="002D6B5F">
        <w:t xml:space="preserve"> type of trainings offered, urbanicity, region, types of partners, </w:t>
      </w:r>
      <w:r w:rsidR="00F90357">
        <w:t xml:space="preserve">and type of support services provided to participants. </w:t>
      </w:r>
      <w:r w:rsidR="00354380">
        <w:t xml:space="preserve">The impact feasibility interviews will be conducted </w:t>
      </w:r>
      <w:r w:rsidR="006E5B31">
        <w:t xml:space="preserve">in </w:t>
      </w:r>
      <w:r w:rsidR="002319B1">
        <w:t>five</w:t>
      </w:r>
      <w:r w:rsidR="006E5B31">
        <w:t xml:space="preserve"> sites</w:t>
      </w:r>
      <w:r w:rsidR="00354380">
        <w:t xml:space="preserve">. </w:t>
      </w:r>
      <w:r w:rsidRPr="000235BB" w:rsidR="000235BB">
        <w:rPr>
          <w:rFonts w:eastAsiaTheme="minorEastAsia"/>
          <w:color w:val="000000"/>
        </w:rPr>
        <w:t xml:space="preserve"> </w:t>
      </w:r>
      <w:r w:rsidR="000235BB">
        <w:t xml:space="preserve">The research team will also review documents from all pilots and </w:t>
      </w:r>
      <w:r w:rsidRPr="00F433E1" w:rsidR="000235BB">
        <w:rPr>
          <w:rFonts w:eastAsiaTheme="minorEastAsia"/>
          <w:color w:val="000000"/>
        </w:rPr>
        <w:t>observe program activities</w:t>
      </w:r>
      <w:r w:rsidR="000235BB">
        <w:rPr>
          <w:rFonts w:eastAsiaTheme="minorEastAsia"/>
          <w:color w:val="000000"/>
        </w:rPr>
        <w:t xml:space="preserve"> at select pilots</w:t>
      </w:r>
      <w:r w:rsidRPr="00F433E1" w:rsidR="000235BB">
        <w:rPr>
          <w:rFonts w:eastAsiaTheme="minorEastAsia"/>
          <w:color w:val="000000" w:themeColor="text1"/>
        </w:rPr>
        <w:t>, either in person or virtually via phone or video,</w:t>
      </w:r>
      <w:r w:rsidRPr="00F433E1" w:rsidR="000235BB">
        <w:rPr>
          <w:rFonts w:eastAsiaTheme="minorEastAsia"/>
          <w:color w:val="000000"/>
        </w:rPr>
        <w:t xml:space="preserve"> to help us describe key program components</w:t>
      </w:r>
      <w:r w:rsidRPr="00F433E1" w:rsidR="000235BB">
        <w:rPr>
          <w:rFonts w:eastAsiaTheme="minorEastAsia"/>
          <w:color w:val="000000" w:themeColor="text1"/>
        </w:rPr>
        <w:t xml:space="preserve"> and participant engagement</w:t>
      </w:r>
      <w:r w:rsidRPr="00F433E1" w:rsidR="000235BB">
        <w:rPr>
          <w:rFonts w:eastAsiaTheme="minorEastAsia"/>
          <w:color w:val="000000"/>
        </w:rPr>
        <w:t xml:space="preserve">. </w:t>
      </w:r>
      <w:r w:rsidR="00DC4A62">
        <w:rPr>
          <w:rFonts w:eastAsiaTheme="minorEastAsia"/>
          <w:color w:val="000000"/>
        </w:rPr>
        <w:t>Document review and observations do not require clearance.</w:t>
      </w:r>
    </w:p>
    <w:p w:rsidR="00756F9C" w:rsidP="002319B1" w:rsidRDefault="00F90357" w14:paraId="05B22461" w14:textId="3470D258">
      <w:pPr>
        <w:pStyle w:val="NormalSS"/>
        <w:spacing w:after="0"/>
        <w:ind w:firstLine="0"/>
      </w:pPr>
      <w:r>
        <w:t xml:space="preserve">This </w:t>
      </w:r>
      <w:r w:rsidR="002319B1">
        <w:t>ICR</w:t>
      </w:r>
      <w:r>
        <w:t xml:space="preserve"> includes the</w:t>
      </w:r>
      <w:r w:rsidR="00D17B3E">
        <w:t xml:space="preserve"> pilot survey and the topics guides that will be used to develop pilot-specific interview</w:t>
      </w:r>
      <w:r>
        <w:t xml:space="preserve"> protocols that will be used during the interviews and focus groups</w:t>
      </w:r>
      <w:r w:rsidR="00354380">
        <w:t xml:space="preserve"> for the implementation and impact feasibility studies</w:t>
      </w:r>
      <w:r w:rsidR="00D17B3E">
        <w:t>.</w:t>
      </w:r>
      <w:r w:rsidR="004F167F">
        <w:t xml:space="preserve"> De-identified data gathered by </w:t>
      </w:r>
      <w:proofErr w:type="gramStart"/>
      <w:r w:rsidR="004F167F">
        <w:t>DOL</w:t>
      </w:r>
      <w:proofErr w:type="gramEnd"/>
      <w:r w:rsidR="004F167F">
        <w:t xml:space="preserve"> and administrative data will be used to answer </w:t>
      </w:r>
      <w:r w:rsidR="008014C1">
        <w:t xml:space="preserve">question 6. </w:t>
      </w:r>
      <w:r>
        <w:t xml:space="preserve">  </w:t>
      </w:r>
    </w:p>
    <w:p w:rsidR="00890C4C" w:rsidP="002319B1" w:rsidRDefault="00890C4C" w14:paraId="20356D1A" w14:textId="77777777">
      <w:pPr>
        <w:pStyle w:val="NormalSS"/>
        <w:spacing w:after="0"/>
        <w:ind w:firstLine="0"/>
      </w:pPr>
    </w:p>
    <w:p w:rsidR="00D70AED" w:rsidP="002319B1" w:rsidRDefault="009B6B85" w14:paraId="0E4F8590" w14:textId="72122512">
      <w:pPr>
        <w:pStyle w:val="H4Number"/>
        <w:spacing w:after="0"/>
        <w:outlineLvl w:val="0"/>
      </w:pPr>
      <w:bookmarkStart w:name="_Toc68878643" w:id="7"/>
      <w:r>
        <w:t>2.</w:t>
      </w:r>
      <w:r>
        <w:tab/>
        <w:t>Overview of the data collection</w:t>
      </w:r>
      <w:bookmarkEnd w:id="7"/>
    </w:p>
    <w:p w:rsidRPr="00040FDF" w:rsidR="00040FDF" w:rsidP="00040FDF" w:rsidRDefault="00040FDF" w14:paraId="53D92D5B" w14:textId="77777777">
      <w:pPr>
        <w:pStyle w:val="NormalSS"/>
        <w:spacing w:after="0"/>
      </w:pPr>
    </w:p>
    <w:p w:rsidR="000F7C9C" w:rsidP="00303F89" w:rsidRDefault="000F7C9C" w14:paraId="514FE7C1" w14:textId="2386CB4F">
      <w:pPr>
        <w:pStyle w:val="NormalSS"/>
        <w:ind w:firstLine="0"/>
      </w:pPr>
      <w:r>
        <w:t xml:space="preserve">Understanding the implementation, outcomes and impact feasibility of Job Corps’ pilots </w:t>
      </w:r>
      <w:proofErr w:type="gramStart"/>
      <w:r>
        <w:t>requires</w:t>
      </w:r>
      <w:proofErr w:type="gramEnd"/>
      <w:r>
        <w:t xml:space="preserve"> collecting data from multiple sources. </w:t>
      </w:r>
      <w:r w:rsidR="00D039F9">
        <w:t>A survey will provide general information about implementation and services</w:t>
      </w:r>
      <w:r w:rsidR="000719EE">
        <w:t xml:space="preserve"> offered</w:t>
      </w:r>
      <w:r w:rsidR="00D039F9">
        <w:t xml:space="preserve"> across all the pilots</w:t>
      </w:r>
      <w:r w:rsidR="00653CC7">
        <w:t xml:space="preserve">. Interviews with staff, partners and participants will provide more detailed information about implementation at selected pilots. </w:t>
      </w:r>
      <w:r w:rsidR="009258C7">
        <w:t xml:space="preserve">Though the </w:t>
      </w:r>
      <w:r w:rsidR="00717D68">
        <w:t>demonstration</w:t>
      </w:r>
      <w:r w:rsidR="009258C7">
        <w:t xml:space="preserve"> </w:t>
      </w:r>
      <w:r w:rsidR="00717D68">
        <w:t xml:space="preserve">pilots </w:t>
      </w:r>
      <w:r w:rsidR="007E548A">
        <w:t xml:space="preserve">are required to provide certain services, each pilot has adapted the program to their local context, including </w:t>
      </w:r>
      <w:r w:rsidR="00241551">
        <w:t>available training programs</w:t>
      </w:r>
      <w:r w:rsidR="00EB3281">
        <w:t xml:space="preserve">, </w:t>
      </w:r>
      <w:r w:rsidR="007E548A">
        <w:t>partners,</w:t>
      </w:r>
      <w:r w:rsidR="00EB3281">
        <w:t xml:space="preserve"> and</w:t>
      </w:r>
      <w:r w:rsidR="007E548A">
        <w:t xml:space="preserve"> </w:t>
      </w:r>
      <w:r w:rsidR="00EB3281">
        <w:t>employers</w:t>
      </w:r>
      <w:r w:rsidR="00653CC7">
        <w:t>.</w:t>
      </w:r>
      <w:r w:rsidR="00EB3281">
        <w:t xml:space="preserve"> Thus, </w:t>
      </w:r>
      <w:r w:rsidR="0011140B">
        <w:t xml:space="preserve">the research team will use </w:t>
      </w:r>
      <w:r w:rsidR="00EB3281">
        <w:t xml:space="preserve">topic guides to </w:t>
      </w:r>
      <w:r w:rsidR="0011140B">
        <w:t xml:space="preserve">develop </w:t>
      </w:r>
      <w:r w:rsidR="00EB3281">
        <w:t xml:space="preserve">specific interview protocols for each pilot. </w:t>
      </w:r>
      <w:r w:rsidR="00653CC7">
        <w:t xml:space="preserve"> </w:t>
      </w:r>
      <w:r w:rsidR="0011140B">
        <w:t xml:space="preserve">Pilot responses to the survey will be used to </w:t>
      </w:r>
      <w:r w:rsidR="00D542FC">
        <w:t xml:space="preserve">select sites for interviews to ensure that interviewees reflect the range of </w:t>
      </w:r>
      <w:r w:rsidR="00D65F13">
        <w:t>variation in how pilots are implementing their programs.</w:t>
      </w:r>
      <w:r w:rsidR="000A7240">
        <w:t xml:space="preserve"> This package seeks </w:t>
      </w:r>
      <w:r w:rsidR="003904B7">
        <w:t>approval</w:t>
      </w:r>
      <w:r w:rsidR="000A7240">
        <w:t xml:space="preserve"> for</w:t>
      </w:r>
      <w:r w:rsidR="003904B7">
        <w:t xml:space="preserve"> the pilot survey and</w:t>
      </w:r>
      <w:r w:rsidR="000A7240">
        <w:t xml:space="preserve"> topic guides for </w:t>
      </w:r>
      <w:r w:rsidR="00457AD4">
        <w:t>two</w:t>
      </w:r>
      <w:r w:rsidR="000A7240">
        <w:t xml:space="preserve"> types of respondents</w:t>
      </w:r>
      <w:r w:rsidR="003904B7">
        <w:t xml:space="preserve"> for the implementation study</w:t>
      </w:r>
      <w:r w:rsidR="000A7240">
        <w:t>: program staff and partner</w:t>
      </w:r>
      <w:r w:rsidR="006C47E9">
        <w:t xml:space="preserve"> staff,</w:t>
      </w:r>
      <w:r w:rsidR="003904B7">
        <w:t xml:space="preserve"> and </w:t>
      </w:r>
      <w:r w:rsidR="000E738A">
        <w:t>participants</w:t>
      </w:r>
      <w:r w:rsidR="003904B7">
        <w:t xml:space="preserve">. An additional topic guide is included for interviews with </w:t>
      </w:r>
      <w:r w:rsidR="000E738A">
        <w:t>pilot staff who can inform the impact feasibility study</w:t>
      </w:r>
      <w:r w:rsidR="003904B7">
        <w:t>.</w:t>
      </w:r>
      <w:r w:rsidR="000A7240">
        <w:t xml:space="preserve"> </w:t>
      </w:r>
      <w:r w:rsidR="007844E3">
        <w:t>Participant i</w:t>
      </w:r>
      <w:r w:rsidR="003904B7">
        <w:t xml:space="preserve">nterviews will be conducted individually or </w:t>
      </w:r>
      <w:r w:rsidR="002922BF">
        <w:t>as focus groups</w:t>
      </w:r>
      <w:r w:rsidR="00FD6A26">
        <w:t xml:space="preserve">. </w:t>
      </w:r>
    </w:p>
    <w:p w:rsidR="005F61C9" w:rsidP="003B143D" w:rsidRDefault="005F61C9" w14:paraId="0DD8DBE1" w14:textId="50FCE380">
      <w:pPr>
        <w:pStyle w:val="ListParagraph"/>
        <w:numPr>
          <w:ilvl w:val="0"/>
          <w:numId w:val="13"/>
        </w:numPr>
        <w:autoSpaceDE w:val="0"/>
        <w:autoSpaceDN w:val="0"/>
        <w:adjustRightInd w:val="0"/>
        <w:spacing w:line="240" w:lineRule="auto"/>
        <w:rPr>
          <w:rFonts w:eastAsiaTheme="minorEastAsia"/>
          <w:color w:val="000000"/>
          <w:szCs w:val="24"/>
        </w:rPr>
      </w:pPr>
      <w:r w:rsidRPr="004E5678">
        <w:rPr>
          <w:rFonts w:eastAsiaTheme="minorEastAsia"/>
          <w:i/>
          <w:color w:val="000000"/>
          <w:szCs w:val="24"/>
        </w:rPr>
        <w:t>Program survey of demonstration pilot grantees.</w:t>
      </w:r>
      <w:r w:rsidRPr="004E5678">
        <w:rPr>
          <w:rFonts w:eastAsiaTheme="minorEastAsia"/>
          <w:color w:val="000000"/>
          <w:szCs w:val="24"/>
        </w:rPr>
        <w:t xml:space="preserve">  The project will field a program survey to each of the demonstration pilot grantees to gather information about program implementation, service offerings, and staffing.</w:t>
      </w:r>
      <w:r w:rsidR="003B143D">
        <w:rPr>
          <w:rFonts w:eastAsiaTheme="minorEastAsia"/>
          <w:color w:val="000000"/>
          <w:szCs w:val="24"/>
        </w:rPr>
        <w:t xml:space="preserve"> </w:t>
      </w:r>
      <w:r w:rsidRPr="004E5678">
        <w:rPr>
          <w:rFonts w:eastAsiaTheme="minorEastAsia"/>
          <w:color w:val="000000"/>
          <w:szCs w:val="24"/>
        </w:rPr>
        <w:t xml:space="preserve">The survey will be fielded to </w:t>
      </w:r>
      <w:r w:rsidR="002319B1">
        <w:rPr>
          <w:rFonts w:eastAsiaTheme="minorEastAsia"/>
          <w:color w:val="000000"/>
          <w:szCs w:val="24"/>
        </w:rPr>
        <w:t>approximately</w:t>
      </w:r>
      <w:r w:rsidR="003B143D">
        <w:rPr>
          <w:rFonts w:eastAsiaTheme="minorEastAsia"/>
          <w:color w:val="000000"/>
          <w:szCs w:val="24"/>
        </w:rPr>
        <w:t xml:space="preserve"> 30</w:t>
      </w:r>
      <w:r w:rsidRPr="004E5678">
        <w:rPr>
          <w:rFonts w:eastAsiaTheme="minorEastAsia"/>
          <w:color w:val="000000"/>
          <w:szCs w:val="24"/>
        </w:rPr>
        <w:t xml:space="preserve"> pilot demonstration sites in 2022. </w:t>
      </w:r>
    </w:p>
    <w:p w:rsidRPr="004E5678" w:rsidR="005F61C9" w:rsidP="003B143D" w:rsidRDefault="005F61C9" w14:paraId="3C9EA377" w14:textId="77777777">
      <w:pPr>
        <w:pStyle w:val="ListParagraph"/>
        <w:autoSpaceDE w:val="0"/>
        <w:autoSpaceDN w:val="0"/>
        <w:adjustRightInd w:val="0"/>
        <w:spacing w:line="240" w:lineRule="auto"/>
        <w:ind w:firstLine="0"/>
        <w:rPr>
          <w:rFonts w:eastAsiaTheme="minorEastAsia"/>
          <w:color w:val="000000"/>
          <w:szCs w:val="24"/>
        </w:rPr>
      </w:pPr>
    </w:p>
    <w:p w:rsidRPr="00F433E1" w:rsidR="00E154BF" w:rsidP="003B143D" w:rsidRDefault="00E154BF" w14:paraId="6A5DDDF7" w14:textId="7570C551">
      <w:pPr>
        <w:pStyle w:val="ListParagraph"/>
        <w:numPr>
          <w:ilvl w:val="0"/>
          <w:numId w:val="13"/>
        </w:numPr>
        <w:autoSpaceDE w:val="0"/>
        <w:autoSpaceDN w:val="0"/>
        <w:adjustRightInd w:val="0"/>
        <w:spacing w:line="240" w:lineRule="auto"/>
        <w:rPr>
          <w:rFonts w:eastAsiaTheme="minorEastAsia"/>
          <w:color w:val="000000"/>
        </w:rPr>
      </w:pPr>
      <w:r w:rsidRPr="00F433E1">
        <w:rPr>
          <w:rFonts w:eastAsiaTheme="minorEastAsia"/>
          <w:i/>
          <w:iCs/>
          <w:color w:val="000000"/>
        </w:rPr>
        <w:t xml:space="preserve">Semi-structured </w:t>
      </w:r>
      <w:r w:rsidRPr="00F433E1">
        <w:rPr>
          <w:i/>
          <w:iCs/>
        </w:rPr>
        <w:t>interviews with program staff and staff from selected community partner organizations topic guide.</w:t>
      </w:r>
      <w:r w:rsidRPr="00F433E1">
        <w:rPr>
          <w:rFonts w:eastAsiaTheme="minorEastAsia"/>
          <w:i/>
          <w:iCs/>
          <w:color w:val="000000"/>
        </w:rPr>
        <w:t xml:space="preserve"> </w:t>
      </w:r>
      <w:r w:rsidRPr="00F433E1">
        <w:rPr>
          <w:rFonts w:eastAsiaTheme="minorEastAsia"/>
          <w:color w:val="000000" w:themeColor="text1"/>
        </w:rPr>
        <w:t>Interviews will be conducted over the phone or video or during in-person s</w:t>
      </w:r>
      <w:r w:rsidRPr="00F433E1">
        <w:rPr>
          <w:rFonts w:eastAsiaTheme="minorEastAsia"/>
          <w:color w:val="000000"/>
        </w:rPr>
        <w:t>ite visits in 20</w:t>
      </w:r>
      <w:r w:rsidRPr="00F433E1">
        <w:rPr>
          <w:rFonts w:eastAsiaTheme="minorEastAsia"/>
          <w:color w:val="000000" w:themeColor="text1"/>
        </w:rPr>
        <w:t>22</w:t>
      </w:r>
      <w:r w:rsidRPr="00F433E1">
        <w:rPr>
          <w:rFonts w:eastAsiaTheme="minorEastAsia"/>
          <w:color w:val="000000"/>
        </w:rPr>
        <w:t xml:space="preserve">. </w:t>
      </w:r>
      <w:r w:rsidRPr="00F433E1">
        <w:rPr>
          <w:rFonts w:eastAsiaTheme="minorEastAsia"/>
          <w:color w:val="000000" w:themeColor="text1"/>
        </w:rPr>
        <w:t xml:space="preserve">Whether conducted virtually or in person, each interview will last about one hour.  Each of the pilot demonstration projects draw on a range of staff and partners </w:t>
      </w:r>
      <w:r w:rsidR="00922D15">
        <w:rPr>
          <w:rFonts w:eastAsiaTheme="minorEastAsia"/>
          <w:color w:val="000000" w:themeColor="text1"/>
        </w:rPr>
        <w:t>to</w:t>
      </w:r>
      <w:r w:rsidRPr="00F433E1">
        <w:rPr>
          <w:rFonts w:eastAsiaTheme="minorEastAsia"/>
          <w:color w:val="000000" w:themeColor="text1"/>
        </w:rPr>
        <w:t xml:space="preserve"> deliver services; thus, interviews may include pilot</w:t>
      </w:r>
      <w:r w:rsidRPr="00F433E1">
        <w:rPr>
          <w:rFonts w:eastAsiaTheme="minorEastAsia"/>
          <w:color w:val="000000"/>
        </w:rPr>
        <w:t xml:space="preserve"> staff, partner staff, employers, </w:t>
      </w:r>
      <w:r w:rsidRPr="00F433E1">
        <w:rPr>
          <w:rFonts w:eastAsiaTheme="minorEastAsia"/>
          <w:color w:val="000000" w:themeColor="text1"/>
        </w:rPr>
        <w:t xml:space="preserve">and </w:t>
      </w:r>
      <w:r w:rsidRPr="00F433E1">
        <w:rPr>
          <w:rFonts w:eastAsiaTheme="minorEastAsia"/>
          <w:color w:val="000000"/>
        </w:rPr>
        <w:t>training and education providers.</w:t>
      </w:r>
      <w:r w:rsidRPr="00F433E1">
        <w:rPr>
          <w:rFonts w:eastAsiaTheme="minorEastAsia"/>
          <w:color w:val="000000" w:themeColor="text1"/>
        </w:rPr>
        <w:t xml:space="preserve"> We estimate that a total of 175 interviews will be conducted across all pilots.</w:t>
      </w:r>
    </w:p>
    <w:p w:rsidRPr="00F433E1" w:rsidR="00F433E1" w:rsidP="003B143D" w:rsidRDefault="00F433E1" w14:paraId="48C809C3" w14:textId="77777777">
      <w:pPr>
        <w:pStyle w:val="ListParagraph"/>
        <w:autoSpaceDE w:val="0"/>
        <w:autoSpaceDN w:val="0"/>
        <w:adjustRightInd w:val="0"/>
        <w:spacing w:line="240" w:lineRule="auto"/>
        <w:ind w:firstLine="0"/>
        <w:rPr>
          <w:rFonts w:eastAsiaTheme="minorEastAsia"/>
          <w:color w:val="000000"/>
        </w:rPr>
      </w:pPr>
    </w:p>
    <w:p w:rsidRPr="00C86E93" w:rsidR="00E154BF" w:rsidP="003B143D" w:rsidRDefault="00E154BF" w14:paraId="2E193CE6" w14:textId="4FC5627C">
      <w:pPr>
        <w:pStyle w:val="ListParagraph"/>
        <w:numPr>
          <w:ilvl w:val="0"/>
          <w:numId w:val="13"/>
        </w:numPr>
        <w:autoSpaceDE w:val="0"/>
        <w:autoSpaceDN w:val="0"/>
        <w:adjustRightInd w:val="0"/>
        <w:spacing w:line="240" w:lineRule="auto"/>
        <w:rPr>
          <w:rFonts w:eastAsiaTheme="minorEastAsia"/>
          <w:color w:val="000000"/>
          <w:szCs w:val="24"/>
        </w:rPr>
      </w:pPr>
      <w:r w:rsidRPr="00C86E93">
        <w:rPr>
          <w:rFonts w:eastAsiaTheme="minorEastAsia"/>
          <w:i/>
          <w:color w:val="000000"/>
          <w:szCs w:val="24"/>
        </w:rPr>
        <w:t xml:space="preserve">Participant interviews or focus </w:t>
      </w:r>
      <w:r w:rsidRPr="00C86E93" w:rsidR="002319B1">
        <w:rPr>
          <w:rFonts w:eastAsiaTheme="minorEastAsia"/>
          <w:i/>
          <w:color w:val="000000"/>
          <w:szCs w:val="24"/>
        </w:rPr>
        <w:t>gr</w:t>
      </w:r>
      <w:r w:rsidR="002319B1">
        <w:rPr>
          <w:rFonts w:eastAsiaTheme="minorEastAsia"/>
          <w:i/>
          <w:color w:val="000000"/>
          <w:szCs w:val="24"/>
        </w:rPr>
        <w:t>oup</w:t>
      </w:r>
      <w:r w:rsidRPr="00C86E93" w:rsidR="002319B1">
        <w:rPr>
          <w:rFonts w:eastAsiaTheme="minorEastAsia"/>
          <w:i/>
          <w:color w:val="000000"/>
          <w:szCs w:val="24"/>
        </w:rPr>
        <w:t xml:space="preserve"> </w:t>
      </w:r>
      <w:r w:rsidRPr="00C86E93">
        <w:rPr>
          <w:rFonts w:eastAsiaTheme="minorEastAsia"/>
          <w:i/>
          <w:color w:val="000000"/>
          <w:szCs w:val="24"/>
        </w:rPr>
        <w:t xml:space="preserve">guide. </w:t>
      </w:r>
      <w:r w:rsidRPr="00C86E93">
        <w:rPr>
          <w:rFonts w:eastAsiaTheme="minorEastAsia"/>
          <w:color w:val="000000"/>
          <w:szCs w:val="24"/>
        </w:rPr>
        <w:t xml:space="preserve">We will also interview demonstration pilot participants through one-on-one interviews or focus groups. Focus groups or interviews </w:t>
      </w:r>
      <w:r w:rsidRPr="00C86E93">
        <w:rPr>
          <w:rFonts w:eastAsiaTheme="minorEastAsia"/>
          <w:color w:val="000000"/>
          <w:szCs w:val="24"/>
        </w:rPr>
        <w:lastRenderedPageBreak/>
        <w:t xml:space="preserve">will be limited to a maximum of 175 interviewees across all pilots.  These interviews or focus groups may be conducted in person, </w:t>
      </w:r>
      <w:r w:rsidR="00270BBE">
        <w:rPr>
          <w:rFonts w:eastAsiaTheme="minorEastAsia"/>
          <w:color w:val="000000"/>
          <w:szCs w:val="24"/>
        </w:rPr>
        <w:t>video</w:t>
      </w:r>
      <w:r w:rsidRPr="00C86E93">
        <w:rPr>
          <w:rFonts w:eastAsiaTheme="minorEastAsia"/>
          <w:color w:val="000000"/>
          <w:szCs w:val="24"/>
        </w:rPr>
        <w:t>, or over the phone.</w:t>
      </w:r>
      <w:r w:rsidRPr="00C86E93">
        <w:rPr>
          <w:rFonts w:eastAsiaTheme="minorEastAsia"/>
          <w:i/>
          <w:color w:val="000000"/>
          <w:szCs w:val="24"/>
        </w:rPr>
        <w:t xml:space="preserve"> </w:t>
      </w:r>
      <w:r w:rsidRPr="00C86E93">
        <w:rPr>
          <w:rFonts w:eastAsiaTheme="minorEastAsia"/>
          <w:color w:val="000000"/>
          <w:szCs w:val="24"/>
        </w:rPr>
        <w:t xml:space="preserve"> </w:t>
      </w:r>
    </w:p>
    <w:p w:rsidRPr="004E5678" w:rsidR="004E5678" w:rsidP="003B143D" w:rsidRDefault="004E5678" w14:paraId="474080E2" w14:textId="77777777">
      <w:pPr>
        <w:autoSpaceDE w:val="0"/>
        <w:autoSpaceDN w:val="0"/>
        <w:adjustRightInd w:val="0"/>
        <w:spacing w:line="240" w:lineRule="auto"/>
        <w:ind w:firstLine="0"/>
        <w:rPr>
          <w:rFonts w:eastAsiaTheme="minorEastAsia"/>
          <w:color w:val="000000"/>
          <w:szCs w:val="24"/>
        </w:rPr>
      </w:pPr>
    </w:p>
    <w:p w:rsidRPr="00CD46C9" w:rsidR="004C3491" w:rsidP="00CD46C9" w:rsidRDefault="00E154BF" w14:paraId="6907B77A" w14:textId="6E82F834">
      <w:pPr>
        <w:pStyle w:val="ListParagraph"/>
        <w:numPr>
          <w:ilvl w:val="0"/>
          <w:numId w:val="13"/>
        </w:numPr>
        <w:autoSpaceDE w:val="0"/>
        <w:autoSpaceDN w:val="0"/>
        <w:adjustRightInd w:val="0"/>
        <w:spacing w:line="240" w:lineRule="auto"/>
        <w:rPr>
          <w:rFonts w:eastAsiaTheme="minorEastAsia"/>
          <w:color w:val="000000" w:themeColor="text1"/>
        </w:rPr>
      </w:pPr>
      <w:r w:rsidRPr="00CD46C9">
        <w:rPr>
          <w:rFonts w:eastAsiaTheme="minorEastAsia"/>
          <w:i/>
          <w:iCs/>
          <w:color w:val="000000" w:themeColor="text1"/>
        </w:rPr>
        <w:t xml:space="preserve">Impact feasibility assessment interviews with demonstration pilot staff topic guide. </w:t>
      </w:r>
      <w:r w:rsidRPr="00CD46C9">
        <w:rPr>
          <w:rFonts w:eastAsiaTheme="minorEastAsia"/>
          <w:color w:val="000000" w:themeColor="text1"/>
        </w:rPr>
        <w:t>In addition to the implementation and outcome study, the evaluation will gather information from select grantee staff about topics related to feasibility of conducting an impact study of the demonstration pilot.  The team will conduct phone, video or in person interviews with grantee staff who are involved in management, enrollment, and program services. The project will conduct 25 interviews across the three pilots.</w:t>
      </w:r>
    </w:p>
    <w:p w:rsidR="00631E16" w:rsidP="00631E16" w:rsidRDefault="00631E16" w14:paraId="7E81FEBB" w14:textId="2FB555A1">
      <w:pPr>
        <w:autoSpaceDE w:val="0"/>
        <w:autoSpaceDN w:val="0"/>
        <w:adjustRightInd w:val="0"/>
        <w:spacing w:line="240" w:lineRule="auto"/>
        <w:ind w:firstLine="0"/>
        <w:jc w:val="both"/>
        <w:rPr>
          <w:rFonts w:eastAsiaTheme="minorEastAsia"/>
          <w:color w:val="000000" w:themeColor="text1"/>
        </w:rPr>
      </w:pPr>
    </w:p>
    <w:p w:rsidR="00631E16" w:rsidP="00631E16" w:rsidRDefault="00631E16" w14:paraId="46C2C638" w14:textId="77777777">
      <w:pPr>
        <w:pStyle w:val="NormalSS"/>
      </w:pPr>
      <w:r>
        <w:t xml:space="preserve">Proposed uses for each data collection activity are described in Table A.1. </w:t>
      </w:r>
    </w:p>
    <w:p w:rsidRPr="00AA74BF" w:rsidR="00A929AC" w:rsidP="00AA74BF" w:rsidRDefault="00A929AC" w14:paraId="233FB771" w14:textId="0E34C935">
      <w:pPr>
        <w:pStyle w:val="NormalSS"/>
        <w:spacing w:after="0"/>
        <w:rPr>
          <w:rFonts w:ascii="Arial Narrow" w:hAnsi="Arial Narrow"/>
          <w:b/>
          <w:bCs/>
          <w:sz w:val="20"/>
          <w:szCs w:val="16"/>
        </w:rPr>
      </w:pPr>
      <w:r w:rsidRPr="00AA74BF">
        <w:rPr>
          <w:rFonts w:ascii="Arial Narrow" w:hAnsi="Arial Narrow"/>
          <w:b/>
          <w:bCs/>
          <w:sz w:val="20"/>
          <w:szCs w:val="16"/>
        </w:rPr>
        <w:t xml:space="preserve">Table A.1: Proposed </w:t>
      </w:r>
      <w:r w:rsidR="00ED0F98">
        <w:rPr>
          <w:rFonts w:ascii="Arial Narrow" w:hAnsi="Arial Narrow"/>
          <w:b/>
          <w:bCs/>
          <w:sz w:val="20"/>
          <w:szCs w:val="16"/>
        </w:rPr>
        <w:t>U</w:t>
      </w:r>
      <w:r w:rsidRPr="00AA74BF" w:rsidR="00AA74BF">
        <w:rPr>
          <w:rFonts w:ascii="Arial Narrow" w:hAnsi="Arial Narrow"/>
          <w:b/>
          <w:bCs/>
          <w:sz w:val="20"/>
          <w:szCs w:val="16"/>
        </w:rPr>
        <w:t xml:space="preserve">ses for </w:t>
      </w:r>
      <w:r w:rsidR="00ED0F98">
        <w:rPr>
          <w:rFonts w:ascii="Arial Narrow" w:hAnsi="Arial Narrow"/>
          <w:b/>
          <w:bCs/>
          <w:sz w:val="20"/>
          <w:szCs w:val="16"/>
        </w:rPr>
        <w:t>D</w:t>
      </w:r>
      <w:r w:rsidRPr="00AA74BF" w:rsidR="00AA74BF">
        <w:rPr>
          <w:rFonts w:ascii="Arial Narrow" w:hAnsi="Arial Narrow"/>
          <w:b/>
          <w:bCs/>
          <w:sz w:val="20"/>
          <w:szCs w:val="16"/>
        </w:rPr>
        <w:t xml:space="preserve">ata </w:t>
      </w:r>
      <w:r w:rsidR="00ED0F98">
        <w:rPr>
          <w:rFonts w:ascii="Arial Narrow" w:hAnsi="Arial Narrow"/>
          <w:b/>
          <w:bCs/>
          <w:sz w:val="20"/>
          <w:szCs w:val="16"/>
        </w:rPr>
        <w:t>C</w:t>
      </w:r>
      <w:r w:rsidRPr="00AA74BF" w:rsidR="00AA74BF">
        <w:rPr>
          <w:rFonts w:ascii="Arial Narrow" w:hAnsi="Arial Narrow"/>
          <w:b/>
          <w:bCs/>
          <w:sz w:val="20"/>
          <w:szCs w:val="16"/>
        </w:rPr>
        <w:t xml:space="preserve">ollection </w:t>
      </w:r>
      <w:r w:rsidR="00ED0F98">
        <w:rPr>
          <w:rFonts w:ascii="Arial Narrow" w:hAnsi="Arial Narrow"/>
          <w:b/>
          <w:bCs/>
          <w:sz w:val="20"/>
          <w:szCs w:val="16"/>
        </w:rPr>
        <w:t>A</w:t>
      </w:r>
      <w:r w:rsidRPr="00AA74BF" w:rsidR="00AA74BF">
        <w:rPr>
          <w:rFonts w:ascii="Arial Narrow" w:hAnsi="Arial Narrow"/>
          <w:b/>
          <w:bCs/>
          <w:sz w:val="20"/>
          <w:szCs w:val="16"/>
        </w:rPr>
        <w:t xml:space="preserve">ctivities </w:t>
      </w:r>
    </w:p>
    <w:tbl>
      <w:tblPr>
        <w:tblStyle w:val="MPRBaseTable"/>
        <w:tblW w:w="8730" w:type="dxa"/>
        <w:tblInd w:w="360" w:type="dxa"/>
        <w:tblLook w:val="04A0" w:firstRow="1" w:lastRow="0" w:firstColumn="1" w:lastColumn="0" w:noHBand="0" w:noVBand="1"/>
      </w:tblPr>
      <w:tblGrid>
        <w:gridCol w:w="540"/>
        <w:gridCol w:w="270"/>
        <w:gridCol w:w="2880"/>
        <w:gridCol w:w="5040"/>
      </w:tblGrid>
      <w:tr w:rsidR="007341DD" w:rsidTr="007F4E61" w14:paraId="7264955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0" w:type="dxa"/>
          </w:tcPr>
          <w:p w:rsidRPr="00AA74BF" w:rsidR="007341DD" w:rsidP="007341DD" w:rsidRDefault="007341DD" w14:paraId="0410B7CE" w14:textId="2D8F6FD3">
            <w:pPr>
              <w:autoSpaceDE w:val="0"/>
              <w:autoSpaceDN w:val="0"/>
              <w:adjustRightInd w:val="0"/>
              <w:spacing w:line="240" w:lineRule="auto"/>
              <w:ind w:firstLine="0"/>
              <w:jc w:val="both"/>
              <w:rPr>
                <w:rFonts w:ascii="Arial Narrow" w:hAnsi="Arial Narrow" w:eastAsiaTheme="minorEastAsia"/>
              </w:rPr>
            </w:pPr>
          </w:p>
        </w:tc>
        <w:tc>
          <w:tcPr>
            <w:tcW w:w="3150" w:type="dxa"/>
            <w:gridSpan w:val="2"/>
          </w:tcPr>
          <w:p w:rsidRPr="00AA74BF" w:rsidR="007341DD" w:rsidP="007341DD" w:rsidRDefault="007341DD" w14:paraId="10680CDE" w14:textId="326A707D">
            <w:pPr>
              <w:autoSpaceDE w:val="0"/>
              <w:autoSpaceDN w:val="0"/>
              <w:adjustRightInd w:val="0"/>
              <w:spacing w:line="240" w:lineRule="auto"/>
              <w:ind w:firstLine="0"/>
              <w:jc w:val="both"/>
              <w:cnfStyle w:val="100000000000" w:firstRow="1" w:lastRow="0" w:firstColumn="0" w:lastColumn="0" w:oddVBand="0" w:evenVBand="0" w:oddHBand="0" w:evenHBand="0" w:firstRowFirstColumn="0" w:firstRowLastColumn="0" w:lastRowFirstColumn="0" w:lastRowLastColumn="0"/>
              <w:rPr>
                <w:rFonts w:ascii="Arial Narrow" w:hAnsi="Arial Narrow" w:eastAsiaTheme="minorEastAsia"/>
              </w:rPr>
            </w:pPr>
            <w:r w:rsidRPr="00AA74BF">
              <w:rPr>
                <w:rFonts w:ascii="Arial Narrow" w:hAnsi="Arial Narrow" w:eastAsiaTheme="minorEastAsia"/>
              </w:rPr>
              <w:t>Data Collection Activity</w:t>
            </w:r>
          </w:p>
        </w:tc>
        <w:tc>
          <w:tcPr>
            <w:tcW w:w="5040" w:type="dxa"/>
          </w:tcPr>
          <w:p w:rsidRPr="00AA74BF" w:rsidR="007341DD" w:rsidP="007341DD" w:rsidRDefault="007341DD" w14:paraId="02C24884" w14:textId="320C5DE2">
            <w:pPr>
              <w:autoSpaceDE w:val="0"/>
              <w:autoSpaceDN w:val="0"/>
              <w:adjustRightInd w:val="0"/>
              <w:spacing w:line="240" w:lineRule="auto"/>
              <w:ind w:firstLine="0"/>
              <w:jc w:val="both"/>
              <w:cnfStyle w:val="100000000000" w:firstRow="1" w:lastRow="0" w:firstColumn="0" w:lastColumn="0" w:oddVBand="0" w:evenVBand="0" w:oddHBand="0" w:evenHBand="0" w:firstRowFirstColumn="0" w:firstRowLastColumn="0" w:lastRowFirstColumn="0" w:lastRowLastColumn="0"/>
              <w:rPr>
                <w:rFonts w:ascii="Arial Narrow" w:hAnsi="Arial Narrow" w:eastAsiaTheme="minorEastAsia"/>
                <w:color w:val="000000"/>
              </w:rPr>
            </w:pPr>
            <w:r w:rsidRPr="00AA74BF">
              <w:rPr>
                <w:rFonts w:ascii="Arial Narrow" w:hAnsi="Arial Narrow" w:eastAsiaTheme="minorEastAsia"/>
              </w:rPr>
              <w:t>How the data will be used</w:t>
            </w:r>
          </w:p>
        </w:tc>
      </w:tr>
      <w:tr w:rsidR="007341DD" w:rsidTr="007F4E61" w14:paraId="45983A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gridSpan w:val="2"/>
          </w:tcPr>
          <w:p w:rsidRPr="00AA74BF" w:rsidR="007341DD" w:rsidP="007341DD" w:rsidRDefault="007341DD" w14:paraId="17C21CF3" w14:textId="77777777">
            <w:pPr>
              <w:autoSpaceDE w:val="0"/>
              <w:autoSpaceDN w:val="0"/>
              <w:adjustRightInd w:val="0"/>
              <w:spacing w:line="240" w:lineRule="auto"/>
              <w:ind w:firstLine="0"/>
              <w:jc w:val="both"/>
              <w:rPr>
                <w:rFonts w:ascii="Arial Narrow" w:hAnsi="Arial Narrow" w:eastAsiaTheme="minorEastAsia"/>
                <w:color w:val="000000"/>
              </w:rPr>
            </w:pPr>
          </w:p>
        </w:tc>
        <w:tc>
          <w:tcPr>
            <w:tcW w:w="2880" w:type="dxa"/>
          </w:tcPr>
          <w:p w:rsidRPr="00AA74BF" w:rsidR="007341DD" w:rsidP="007341DD" w:rsidRDefault="007341DD" w14:paraId="0CDD67E1" w14:textId="77777777">
            <w:pPr>
              <w:autoSpaceDE w:val="0"/>
              <w:autoSpaceDN w:val="0"/>
              <w:adjustRightInd w:val="0"/>
              <w:spacing w:line="240" w:lineRule="auto"/>
              <w:ind w:firstLine="0"/>
              <w:jc w:val="both"/>
              <w:cnfStyle w:val="000000100000" w:firstRow="0" w:lastRow="0" w:firstColumn="0" w:lastColumn="0" w:oddVBand="0" w:evenVBand="0" w:oddHBand="1" w:evenHBand="0" w:firstRowFirstColumn="0" w:firstRowLastColumn="0" w:lastRowFirstColumn="0" w:lastRowLastColumn="0"/>
              <w:rPr>
                <w:rFonts w:ascii="Arial Narrow" w:hAnsi="Arial Narrow" w:eastAsiaTheme="minorEastAsia"/>
                <w:color w:val="000000"/>
              </w:rPr>
            </w:pPr>
          </w:p>
        </w:tc>
        <w:tc>
          <w:tcPr>
            <w:tcW w:w="5040" w:type="dxa"/>
          </w:tcPr>
          <w:p w:rsidRPr="00AA74BF" w:rsidR="007341DD" w:rsidP="007341DD" w:rsidRDefault="007341DD" w14:paraId="24E6CECC" w14:textId="77777777">
            <w:pPr>
              <w:autoSpaceDE w:val="0"/>
              <w:autoSpaceDN w:val="0"/>
              <w:adjustRightInd w:val="0"/>
              <w:spacing w:line="240" w:lineRule="auto"/>
              <w:ind w:firstLine="0"/>
              <w:jc w:val="both"/>
              <w:cnfStyle w:val="000000100000" w:firstRow="0" w:lastRow="0" w:firstColumn="0" w:lastColumn="0" w:oddVBand="0" w:evenVBand="0" w:oddHBand="1" w:evenHBand="0" w:firstRowFirstColumn="0" w:firstRowLastColumn="0" w:lastRowFirstColumn="0" w:lastRowLastColumn="0"/>
              <w:rPr>
                <w:rFonts w:ascii="Arial Narrow" w:hAnsi="Arial Narrow" w:eastAsiaTheme="minorEastAsia"/>
                <w:color w:val="000000"/>
              </w:rPr>
            </w:pPr>
          </w:p>
        </w:tc>
      </w:tr>
      <w:tr w:rsidR="005F61C9" w:rsidTr="007F4E61" w14:paraId="73F830E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gridSpan w:val="2"/>
          </w:tcPr>
          <w:p w:rsidRPr="00AA74BF" w:rsidR="005F61C9" w:rsidP="005F61C9" w:rsidRDefault="005F61C9" w14:paraId="6DBFBD1E" w14:textId="77777777">
            <w:pPr>
              <w:pStyle w:val="ListParagraph"/>
              <w:numPr>
                <w:ilvl w:val="0"/>
                <w:numId w:val="14"/>
              </w:numPr>
              <w:autoSpaceDE w:val="0"/>
              <w:autoSpaceDN w:val="0"/>
              <w:adjustRightInd w:val="0"/>
              <w:spacing w:line="240" w:lineRule="auto"/>
              <w:jc w:val="both"/>
              <w:rPr>
                <w:rFonts w:ascii="Arial Narrow" w:hAnsi="Arial Narrow" w:eastAsiaTheme="minorEastAsia"/>
                <w:color w:val="000000"/>
              </w:rPr>
            </w:pPr>
          </w:p>
        </w:tc>
        <w:tc>
          <w:tcPr>
            <w:tcW w:w="2880" w:type="dxa"/>
          </w:tcPr>
          <w:p w:rsidRPr="00AA74BF" w:rsidR="005F61C9" w:rsidP="005F61C9" w:rsidRDefault="005F61C9" w14:paraId="04AF779E" w14:textId="77777777">
            <w:pPr>
              <w:autoSpaceDE w:val="0"/>
              <w:autoSpaceDN w:val="0"/>
              <w:adjustRightInd w:val="0"/>
              <w:spacing w:line="240" w:lineRule="auto"/>
              <w:ind w:firstLine="0"/>
              <w:cnfStyle w:val="000000010000" w:firstRow="0" w:lastRow="0" w:firstColumn="0" w:lastColumn="0" w:oddVBand="0" w:evenVBand="0" w:oddHBand="0" w:evenHBand="1" w:firstRowFirstColumn="0" w:firstRowLastColumn="0" w:lastRowFirstColumn="0" w:lastRowLastColumn="0"/>
              <w:rPr>
                <w:rFonts w:ascii="Arial Narrow" w:hAnsi="Arial Narrow" w:eastAsiaTheme="minorEastAsia"/>
                <w:color w:val="000000"/>
                <w:szCs w:val="24"/>
              </w:rPr>
            </w:pPr>
            <w:r w:rsidRPr="00AA74BF">
              <w:rPr>
                <w:rFonts w:ascii="Arial Narrow" w:hAnsi="Arial Narrow" w:eastAsiaTheme="minorEastAsia"/>
                <w:color w:val="000000"/>
                <w:szCs w:val="24"/>
              </w:rPr>
              <w:t>Program survey of Job Corps centers and demonstration pilot grantees</w:t>
            </w:r>
          </w:p>
          <w:p w:rsidRPr="00AA74BF" w:rsidR="005F61C9" w:rsidP="005F61C9" w:rsidRDefault="005F61C9" w14:paraId="6FC71AB0" w14:textId="77777777">
            <w:pPr>
              <w:autoSpaceDE w:val="0"/>
              <w:autoSpaceDN w:val="0"/>
              <w:adjustRightInd w:val="0"/>
              <w:spacing w:line="240" w:lineRule="auto"/>
              <w:ind w:firstLine="0"/>
              <w:cnfStyle w:val="000000010000" w:firstRow="0" w:lastRow="0" w:firstColumn="0" w:lastColumn="0" w:oddVBand="0" w:evenVBand="0" w:oddHBand="0" w:evenHBand="1" w:firstRowFirstColumn="0" w:firstRowLastColumn="0" w:lastRowFirstColumn="0" w:lastRowLastColumn="0"/>
              <w:rPr>
                <w:rFonts w:ascii="Arial Narrow" w:hAnsi="Arial Narrow" w:eastAsiaTheme="minorEastAsia"/>
                <w:color w:val="000000"/>
              </w:rPr>
            </w:pPr>
          </w:p>
        </w:tc>
        <w:tc>
          <w:tcPr>
            <w:tcW w:w="5040" w:type="dxa"/>
          </w:tcPr>
          <w:p w:rsidRPr="00AA74BF" w:rsidR="005F61C9" w:rsidP="005F61C9" w:rsidRDefault="005F61C9" w14:paraId="5A8CADDB" w14:textId="12983257">
            <w:pPr>
              <w:autoSpaceDE w:val="0"/>
              <w:autoSpaceDN w:val="0"/>
              <w:adjustRightInd w:val="0"/>
              <w:spacing w:line="240" w:lineRule="auto"/>
              <w:ind w:firstLine="0"/>
              <w:jc w:val="both"/>
              <w:cnfStyle w:val="000000010000" w:firstRow="0" w:lastRow="0" w:firstColumn="0" w:lastColumn="0" w:oddVBand="0" w:evenVBand="0" w:oddHBand="0" w:evenHBand="1" w:firstRowFirstColumn="0" w:firstRowLastColumn="0" w:lastRowFirstColumn="0" w:lastRowLastColumn="0"/>
              <w:rPr>
                <w:rFonts w:ascii="Arial Narrow" w:hAnsi="Arial Narrow" w:eastAsiaTheme="minorEastAsia"/>
                <w:color w:val="000000"/>
              </w:rPr>
            </w:pPr>
            <w:r w:rsidRPr="00AA74BF">
              <w:rPr>
                <w:rFonts w:ascii="Arial Narrow" w:hAnsi="Arial Narrow" w:eastAsiaTheme="minorEastAsia"/>
                <w:color w:val="000000"/>
              </w:rPr>
              <w:t xml:space="preserve">On-line survey to gather information from all pilots about key aspects of implementation, including staffing, enrollment, services, partnerships, funding, </w:t>
            </w:r>
            <w:r w:rsidRPr="00AA74BF" w:rsidR="009B2CA7">
              <w:rPr>
                <w:rFonts w:ascii="Arial Narrow" w:hAnsi="Arial Narrow" w:eastAsiaTheme="minorEastAsia"/>
                <w:color w:val="000000"/>
              </w:rPr>
              <w:t xml:space="preserve">and </w:t>
            </w:r>
            <w:r w:rsidRPr="00AA74BF">
              <w:rPr>
                <w:rFonts w:ascii="Arial Narrow" w:hAnsi="Arial Narrow" w:eastAsiaTheme="minorEastAsia"/>
                <w:color w:val="000000"/>
              </w:rPr>
              <w:t xml:space="preserve">data </w:t>
            </w:r>
            <w:r w:rsidRPr="00AA74BF" w:rsidR="009B2CA7">
              <w:rPr>
                <w:rFonts w:ascii="Arial Narrow" w:hAnsi="Arial Narrow" w:eastAsiaTheme="minorEastAsia"/>
                <w:color w:val="000000"/>
              </w:rPr>
              <w:t xml:space="preserve">management. </w:t>
            </w:r>
          </w:p>
          <w:p w:rsidRPr="00AA74BF" w:rsidR="005F61C9" w:rsidP="005F61C9" w:rsidRDefault="005F61C9" w14:paraId="4457B644" w14:textId="77777777">
            <w:pPr>
              <w:autoSpaceDE w:val="0"/>
              <w:autoSpaceDN w:val="0"/>
              <w:adjustRightInd w:val="0"/>
              <w:spacing w:line="240" w:lineRule="auto"/>
              <w:ind w:firstLine="0"/>
              <w:cnfStyle w:val="000000010000" w:firstRow="0" w:lastRow="0" w:firstColumn="0" w:lastColumn="0" w:oddVBand="0" w:evenVBand="0" w:oddHBand="0" w:evenHBand="1" w:firstRowFirstColumn="0" w:firstRowLastColumn="0" w:lastRowFirstColumn="0" w:lastRowLastColumn="0"/>
              <w:rPr>
                <w:rFonts w:ascii="Arial Narrow" w:hAnsi="Arial Narrow" w:eastAsiaTheme="minorEastAsia"/>
                <w:color w:val="000000"/>
              </w:rPr>
            </w:pPr>
          </w:p>
        </w:tc>
      </w:tr>
      <w:tr w:rsidR="007341DD" w:rsidTr="007F4E61" w14:paraId="1D39AA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gridSpan w:val="2"/>
          </w:tcPr>
          <w:p w:rsidRPr="00AA74BF" w:rsidR="007341DD" w:rsidP="00FB27E6" w:rsidRDefault="007341DD" w14:paraId="7C0765E1" w14:textId="1FB6CEBA">
            <w:pPr>
              <w:pStyle w:val="ListParagraph"/>
              <w:numPr>
                <w:ilvl w:val="0"/>
                <w:numId w:val="14"/>
              </w:numPr>
              <w:autoSpaceDE w:val="0"/>
              <w:autoSpaceDN w:val="0"/>
              <w:adjustRightInd w:val="0"/>
              <w:spacing w:line="240" w:lineRule="auto"/>
              <w:jc w:val="both"/>
              <w:rPr>
                <w:rFonts w:ascii="Arial Narrow" w:hAnsi="Arial Narrow" w:eastAsiaTheme="minorEastAsia"/>
                <w:color w:val="000000"/>
              </w:rPr>
            </w:pPr>
          </w:p>
        </w:tc>
        <w:tc>
          <w:tcPr>
            <w:tcW w:w="2880" w:type="dxa"/>
          </w:tcPr>
          <w:p w:rsidRPr="00AA74BF" w:rsidR="007341DD" w:rsidP="007341DD" w:rsidRDefault="007341DD" w14:paraId="04A54C4A" w14:textId="070C87EB">
            <w:pPr>
              <w:autoSpaceDE w:val="0"/>
              <w:autoSpaceDN w:val="0"/>
              <w:adjustRightInd w:val="0"/>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AA74BF">
              <w:rPr>
                <w:rFonts w:ascii="Arial Narrow" w:hAnsi="Arial Narrow" w:eastAsiaTheme="minorEastAsia"/>
                <w:color w:val="000000"/>
              </w:rPr>
              <w:t xml:space="preserve">Semi-structured </w:t>
            </w:r>
            <w:r w:rsidRPr="00AA74BF">
              <w:rPr>
                <w:rFonts w:ascii="Arial Narrow" w:hAnsi="Arial Narrow"/>
              </w:rPr>
              <w:t>interviews with program staff and staff from selected community partner</w:t>
            </w:r>
            <w:r w:rsidRPr="00AA74BF" w:rsidR="001D2BE6">
              <w:rPr>
                <w:rFonts w:ascii="Arial Narrow" w:hAnsi="Arial Narrow"/>
              </w:rPr>
              <w:t>s topic guide</w:t>
            </w:r>
          </w:p>
          <w:p w:rsidRPr="00AA74BF" w:rsidR="007341DD" w:rsidP="007341DD" w:rsidRDefault="007341DD" w14:paraId="42DC5E9A" w14:textId="16B3A3F3">
            <w:pPr>
              <w:autoSpaceDE w:val="0"/>
              <w:autoSpaceDN w:val="0"/>
              <w:adjustRightInd w:val="0"/>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Narrow" w:hAnsi="Arial Narrow" w:eastAsiaTheme="minorEastAsia"/>
                <w:color w:val="000000"/>
              </w:rPr>
            </w:pPr>
          </w:p>
        </w:tc>
        <w:tc>
          <w:tcPr>
            <w:tcW w:w="5040" w:type="dxa"/>
          </w:tcPr>
          <w:p w:rsidRPr="00AA74BF" w:rsidR="007341DD" w:rsidP="00E30181" w:rsidRDefault="00E30181" w14:paraId="1B260926" w14:textId="7D453097">
            <w:pPr>
              <w:autoSpaceDE w:val="0"/>
              <w:autoSpaceDN w:val="0"/>
              <w:adjustRightInd w:val="0"/>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Narrow" w:hAnsi="Arial Narrow" w:eastAsiaTheme="minorEastAsia"/>
                <w:color w:val="000000"/>
              </w:rPr>
            </w:pPr>
            <w:r w:rsidRPr="00AA74BF">
              <w:rPr>
                <w:rFonts w:ascii="Arial Narrow" w:hAnsi="Arial Narrow" w:eastAsiaTheme="minorEastAsia"/>
                <w:color w:val="000000"/>
              </w:rPr>
              <w:t xml:space="preserve">In-person or virtual interviews to gather information about pilot start-up, staffing, services, implementation, recruitment, partners, </w:t>
            </w:r>
            <w:r w:rsidRPr="00AA74BF" w:rsidR="0063150C">
              <w:rPr>
                <w:rFonts w:ascii="Arial Narrow" w:hAnsi="Arial Narrow" w:eastAsiaTheme="minorEastAsia"/>
                <w:color w:val="000000"/>
              </w:rPr>
              <w:t xml:space="preserve">and local context. </w:t>
            </w:r>
          </w:p>
        </w:tc>
      </w:tr>
      <w:tr w:rsidR="007341DD" w:rsidTr="007F4E61" w14:paraId="4908C55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gridSpan w:val="2"/>
          </w:tcPr>
          <w:p w:rsidRPr="00AA74BF" w:rsidR="007341DD" w:rsidP="00FB27E6" w:rsidRDefault="007341DD" w14:paraId="483DBE37" w14:textId="5701E8BF">
            <w:pPr>
              <w:pStyle w:val="ListParagraph"/>
              <w:numPr>
                <w:ilvl w:val="0"/>
                <w:numId w:val="14"/>
              </w:numPr>
              <w:autoSpaceDE w:val="0"/>
              <w:autoSpaceDN w:val="0"/>
              <w:adjustRightInd w:val="0"/>
              <w:spacing w:line="240" w:lineRule="auto"/>
              <w:jc w:val="both"/>
              <w:rPr>
                <w:rFonts w:ascii="Arial Narrow" w:hAnsi="Arial Narrow" w:eastAsiaTheme="minorEastAsia"/>
                <w:color w:val="000000"/>
              </w:rPr>
            </w:pPr>
          </w:p>
        </w:tc>
        <w:tc>
          <w:tcPr>
            <w:tcW w:w="2880" w:type="dxa"/>
          </w:tcPr>
          <w:p w:rsidRPr="00AA74BF" w:rsidR="007341DD" w:rsidP="007341DD" w:rsidRDefault="007341DD" w14:paraId="5F20D7C3" w14:textId="02D0CAB5">
            <w:pPr>
              <w:autoSpaceDE w:val="0"/>
              <w:autoSpaceDN w:val="0"/>
              <w:adjustRightInd w:val="0"/>
              <w:spacing w:line="240" w:lineRule="auto"/>
              <w:ind w:firstLine="0"/>
              <w:cnfStyle w:val="000000010000" w:firstRow="0" w:lastRow="0" w:firstColumn="0" w:lastColumn="0" w:oddVBand="0" w:evenVBand="0" w:oddHBand="0" w:evenHBand="1" w:firstRowFirstColumn="0" w:firstRowLastColumn="0" w:lastRowFirstColumn="0" w:lastRowLastColumn="0"/>
              <w:rPr>
                <w:rFonts w:ascii="Arial Narrow" w:hAnsi="Arial Narrow" w:eastAsiaTheme="minorEastAsia"/>
                <w:color w:val="000000"/>
                <w:szCs w:val="24"/>
              </w:rPr>
            </w:pPr>
            <w:r w:rsidRPr="00AA74BF">
              <w:rPr>
                <w:rFonts w:ascii="Arial Narrow" w:hAnsi="Arial Narrow" w:eastAsiaTheme="minorEastAsia"/>
                <w:color w:val="000000"/>
                <w:szCs w:val="24"/>
              </w:rPr>
              <w:t xml:space="preserve">Participant interviews or focus </w:t>
            </w:r>
            <w:r w:rsidR="002319B1">
              <w:rPr>
                <w:rFonts w:ascii="Arial Narrow" w:hAnsi="Arial Narrow" w:eastAsiaTheme="minorEastAsia"/>
                <w:color w:val="000000"/>
                <w:szCs w:val="24"/>
              </w:rPr>
              <w:t>group</w:t>
            </w:r>
            <w:r w:rsidRPr="00AA74BF" w:rsidR="002319B1">
              <w:rPr>
                <w:rFonts w:ascii="Arial Narrow" w:hAnsi="Arial Narrow" w:eastAsiaTheme="minorEastAsia"/>
                <w:color w:val="000000"/>
                <w:szCs w:val="24"/>
              </w:rPr>
              <w:t xml:space="preserve"> </w:t>
            </w:r>
            <w:r w:rsidRPr="00AA74BF">
              <w:rPr>
                <w:rFonts w:ascii="Arial Narrow" w:hAnsi="Arial Narrow" w:eastAsiaTheme="minorEastAsia"/>
                <w:color w:val="000000"/>
                <w:szCs w:val="24"/>
              </w:rPr>
              <w:t>guide</w:t>
            </w:r>
          </w:p>
          <w:p w:rsidRPr="00AA74BF" w:rsidR="007341DD" w:rsidP="007341DD" w:rsidRDefault="007341DD" w14:paraId="03B729BD" w14:textId="546C7066">
            <w:pPr>
              <w:autoSpaceDE w:val="0"/>
              <w:autoSpaceDN w:val="0"/>
              <w:adjustRightInd w:val="0"/>
              <w:spacing w:line="240" w:lineRule="auto"/>
              <w:ind w:firstLine="0"/>
              <w:cnfStyle w:val="000000010000" w:firstRow="0" w:lastRow="0" w:firstColumn="0" w:lastColumn="0" w:oddVBand="0" w:evenVBand="0" w:oddHBand="0" w:evenHBand="1" w:firstRowFirstColumn="0" w:firstRowLastColumn="0" w:lastRowFirstColumn="0" w:lastRowLastColumn="0"/>
              <w:rPr>
                <w:rFonts w:ascii="Arial Narrow" w:hAnsi="Arial Narrow" w:eastAsiaTheme="minorEastAsia"/>
                <w:color w:val="000000"/>
              </w:rPr>
            </w:pPr>
          </w:p>
        </w:tc>
        <w:tc>
          <w:tcPr>
            <w:tcW w:w="5040" w:type="dxa"/>
          </w:tcPr>
          <w:p w:rsidRPr="00AA74BF" w:rsidR="007341DD" w:rsidP="00B777C2" w:rsidRDefault="0063150C" w14:paraId="157BCACA" w14:textId="1784D261">
            <w:pPr>
              <w:autoSpaceDE w:val="0"/>
              <w:autoSpaceDN w:val="0"/>
              <w:adjustRightInd w:val="0"/>
              <w:spacing w:line="240" w:lineRule="auto"/>
              <w:ind w:firstLine="0"/>
              <w:cnfStyle w:val="000000010000" w:firstRow="0" w:lastRow="0" w:firstColumn="0" w:lastColumn="0" w:oddVBand="0" w:evenVBand="0" w:oddHBand="0" w:evenHBand="1" w:firstRowFirstColumn="0" w:firstRowLastColumn="0" w:lastRowFirstColumn="0" w:lastRowLastColumn="0"/>
              <w:rPr>
                <w:rFonts w:ascii="Arial Narrow" w:hAnsi="Arial Narrow" w:eastAsiaTheme="minorEastAsia"/>
                <w:color w:val="000000"/>
              </w:rPr>
            </w:pPr>
            <w:r w:rsidRPr="00AA74BF">
              <w:rPr>
                <w:rFonts w:ascii="Arial Narrow" w:hAnsi="Arial Narrow" w:eastAsiaTheme="minorEastAsia"/>
                <w:color w:val="000000"/>
              </w:rPr>
              <w:t xml:space="preserve">In-person or virtual interviews or focus </w:t>
            </w:r>
            <w:r w:rsidR="002319B1">
              <w:rPr>
                <w:rFonts w:ascii="Arial Narrow" w:hAnsi="Arial Narrow" w:eastAsiaTheme="minorEastAsia"/>
                <w:color w:val="000000"/>
              </w:rPr>
              <w:t>group</w:t>
            </w:r>
            <w:r w:rsidRPr="00AA74BF" w:rsidR="002319B1">
              <w:rPr>
                <w:rFonts w:ascii="Arial Narrow" w:hAnsi="Arial Narrow" w:eastAsiaTheme="minorEastAsia"/>
                <w:color w:val="000000"/>
              </w:rPr>
              <w:t xml:space="preserve"> </w:t>
            </w:r>
            <w:r w:rsidRPr="00AA74BF">
              <w:rPr>
                <w:rFonts w:ascii="Arial Narrow" w:hAnsi="Arial Narrow" w:eastAsiaTheme="minorEastAsia"/>
                <w:color w:val="000000"/>
              </w:rPr>
              <w:t xml:space="preserve">gather information about participants’ experience in the pilot, including </w:t>
            </w:r>
            <w:r w:rsidRPr="00AA74BF" w:rsidR="00B777C2">
              <w:rPr>
                <w:rFonts w:ascii="Arial Narrow" w:hAnsi="Arial Narrow" w:eastAsiaTheme="minorEastAsia"/>
                <w:color w:val="000000"/>
              </w:rPr>
              <w:t xml:space="preserve">background, interest in program, enrollment, services, post-program experiences.  </w:t>
            </w:r>
          </w:p>
          <w:p w:rsidRPr="00AA74BF" w:rsidR="00B777C2" w:rsidP="00B777C2" w:rsidRDefault="00B777C2" w14:paraId="24C8DE66" w14:textId="4D0D622A">
            <w:pPr>
              <w:autoSpaceDE w:val="0"/>
              <w:autoSpaceDN w:val="0"/>
              <w:adjustRightInd w:val="0"/>
              <w:spacing w:line="240" w:lineRule="auto"/>
              <w:ind w:firstLine="0"/>
              <w:cnfStyle w:val="000000010000" w:firstRow="0" w:lastRow="0" w:firstColumn="0" w:lastColumn="0" w:oddVBand="0" w:evenVBand="0" w:oddHBand="0" w:evenHBand="1" w:firstRowFirstColumn="0" w:firstRowLastColumn="0" w:lastRowFirstColumn="0" w:lastRowLastColumn="0"/>
              <w:rPr>
                <w:rFonts w:ascii="Arial Narrow" w:hAnsi="Arial Narrow" w:eastAsiaTheme="minorEastAsia"/>
                <w:color w:val="000000"/>
              </w:rPr>
            </w:pPr>
          </w:p>
        </w:tc>
      </w:tr>
      <w:tr w:rsidR="007341DD" w:rsidTr="007F4E61" w14:paraId="706DA9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gridSpan w:val="2"/>
          </w:tcPr>
          <w:p w:rsidRPr="00AA74BF" w:rsidR="007341DD" w:rsidP="00FB27E6" w:rsidRDefault="007341DD" w14:paraId="3072A830" w14:textId="315BD6B9">
            <w:pPr>
              <w:pStyle w:val="ListParagraph"/>
              <w:numPr>
                <w:ilvl w:val="0"/>
                <w:numId w:val="14"/>
              </w:numPr>
              <w:autoSpaceDE w:val="0"/>
              <w:autoSpaceDN w:val="0"/>
              <w:adjustRightInd w:val="0"/>
              <w:spacing w:line="240" w:lineRule="auto"/>
              <w:jc w:val="both"/>
              <w:rPr>
                <w:rFonts w:ascii="Arial Narrow" w:hAnsi="Arial Narrow" w:eastAsiaTheme="minorEastAsia"/>
                <w:color w:val="000000"/>
              </w:rPr>
            </w:pPr>
          </w:p>
        </w:tc>
        <w:tc>
          <w:tcPr>
            <w:tcW w:w="2880" w:type="dxa"/>
          </w:tcPr>
          <w:p w:rsidRPr="00AA74BF" w:rsidR="007341DD" w:rsidP="007341DD" w:rsidRDefault="007341DD" w14:paraId="74F14DA3" w14:textId="77777777">
            <w:pPr>
              <w:autoSpaceDE w:val="0"/>
              <w:autoSpaceDN w:val="0"/>
              <w:adjustRightInd w:val="0"/>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Narrow" w:hAnsi="Arial Narrow" w:eastAsiaTheme="minorEastAsia"/>
                <w:color w:val="000000" w:themeColor="text1"/>
              </w:rPr>
            </w:pPr>
            <w:r w:rsidRPr="00AA74BF">
              <w:rPr>
                <w:rFonts w:ascii="Arial Narrow" w:hAnsi="Arial Narrow" w:eastAsiaTheme="minorEastAsia"/>
                <w:color w:val="000000" w:themeColor="text1"/>
              </w:rPr>
              <w:t>Impact feasibility assessment interviews with demonstration pilot staff topic guide</w:t>
            </w:r>
          </w:p>
          <w:p w:rsidRPr="00AA74BF" w:rsidR="007341DD" w:rsidP="007341DD" w:rsidRDefault="007341DD" w14:paraId="39AB0FC1" w14:textId="3BB39F41">
            <w:pPr>
              <w:autoSpaceDE w:val="0"/>
              <w:autoSpaceDN w:val="0"/>
              <w:adjustRightInd w:val="0"/>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Narrow" w:hAnsi="Arial Narrow" w:eastAsiaTheme="minorEastAsia"/>
                <w:color w:val="000000"/>
              </w:rPr>
            </w:pPr>
          </w:p>
        </w:tc>
        <w:tc>
          <w:tcPr>
            <w:tcW w:w="5040" w:type="dxa"/>
          </w:tcPr>
          <w:p w:rsidRPr="00AA74BF" w:rsidR="007341DD" w:rsidP="007341DD" w:rsidRDefault="00D04793" w14:paraId="7288428A" w14:textId="527944F1">
            <w:pPr>
              <w:autoSpaceDE w:val="0"/>
              <w:autoSpaceDN w:val="0"/>
              <w:adjustRightInd w:val="0"/>
              <w:spacing w:line="240" w:lineRule="auto"/>
              <w:ind w:firstLine="0"/>
              <w:jc w:val="both"/>
              <w:cnfStyle w:val="000000100000" w:firstRow="0" w:lastRow="0" w:firstColumn="0" w:lastColumn="0" w:oddVBand="0" w:evenVBand="0" w:oddHBand="1" w:evenHBand="0" w:firstRowFirstColumn="0" w:firstRowLastColumn="0" w:lastRowFirstColumn="0" w:lastRowLastColumn="0"/>
              <w:rPr>
                <w:rFonts w:ascii="Arial Narrow" w:hAnsi="Arial Narrow" w:eastAsiaTheme="minorEastAsia"/>
                <w:color w:val="000000"/>
              </w:rPr>
            </w:pPr>
            <w:r w:rsidRPr="00AA74BF">
              <w:rPr>
                <w:rFonts w:ascii="Arial Narrow" w:hAnsi="Arial Narrow" w:eastAsiaTheme="minorEastAsia"/>
                <w:color w:val="000000"/>
              </w:rPr>
              <w:t xml:space="preserve">In-person or virtual interviews with pilot staff to gather information about </w:t>
            </w:r>
            <w:r w:rsidRPr="00AA74BF" w:rsidR="00DD6E6A">
              <w:rPr>
                <w:rFonts w:ascii="Arial Narrow" w:hAnsi="Arial Narrow" w:eastAsiaTheme="minorEastAsia"/>
                <w:color w:val="000000"/>
              </w:rPr>
              <w:t xml:space="preserve">recruitment, enrollment, data systems and alternative services in </w:t>
            </w:r>
            <w:r w:rsidRPr="00AA74BF" w:rsidR="001D791F">
              <w:rPr>
                <w:rFonts w:ascii="Arial Narrow" w:hAnsi="Arial Narrow" w:eastAsiaTheme="minorEastAsia"/>
                <w:color w:val="000000"/>
              </w:rPr>
              <w:t xml:space="preserve">the </w:t>
            </w:r>
            <w:r w:rsidRPr="00AA74BF" w:rsidR="00DD6E6A">
              <w:rPr>
                <w:rFonts w:ascii="Arial Narrow" w:hAnsi="Arial Narrow" w:eastAsiaTheme="minorEastAsia"/>
                <w:color w:val="000000"/>
              </w:rPr>
              <w:t>community to assess feasibility of an impact study</w:t>
            </w:r>
            <w:r w:rsidRPr="00AA74BF" w:rsidR="00FB27E6">
              <w:rPr>
                <w:rFonts w:ascii="Arial Narrow" w:hAnsi="Arial Narrow" w:eastAsiaTheme="minorEastAsia"/>
                <w:color w:val="000000"/>
              </w:rPr>
              <w:t>.</w:t>
            </w:r>
          </w:p>
        </w:tc>
      </w:tr>
    </w:tbl>
    <w:p w:rsidRPr="006877AE" w:rsidR="00631E16" w:rsidP="00631E16" w:rsidRDefault="00631E16" w14:paraId="5AA2CEBD" w14:textId="77777777">
      <w:pPr>
        <w:autoSpaceDE w:val="0"/>
        <w:autoSpaceDN w:val="0"/>
        <w:adjustRightInd w:val="0"/>
        <w:spacing w:line="240" w:lineRule="auto"/>
        <w:ind w:firstLine="0"/>
        <w:jc w:val="both"/>
        <w:rPr>
          <w:rFonts w:eastAsiaTheme="minorEastAsia"/>
          <w:color w:val="000000"/>
        </w:rPr>
      </w:pPr>
    </w:p>
    <w:p w:rsidR="00C046EB" w:rsidP="00A4609D" w:rsidRDefault="000A10A1" w14:paraId="1E04CEE3" w14:textId="392F0F6B">
      <w:pPr>
        <w:pStyle w:val="NormalSS"/>
        <w:ind w:firstLine="0"/>
      </w:pPr>
      <w:bookmarkStart w:name="_Toc496104735" w:id="8"/>
      <w:r>
        <w:t xml:space="preserve">This data collection will provide useful information to the government about </w:t>
      </w:r>
      <w:r w:rsidR="00CC43CF">
        <w:t>how Job Corps service</w:t>
      </w:r>
      <w:r w:rsidR="007524E2">
        <w:t>s</w:t>
      </w:r>
      <w:r w:rsidR="00CC43CF">
        <w:t xml:space="preserve"> may be adapted </w:t>
      </w:r>
      <w:r w:rsidR="007524E2">
        <w:t xml:space="preserve">and provided in different contexts, such as community colleges, </w:t>
      </w:r>
      <w:r w:rsidR="00CC43CF">
        <w:t xml:space="preserve">to better serve young people who are eligible for the </w:t>
      </w:r>
      <w:r w:rsidR="00612482">
        <w:t>program.</w:t>
      </w:r>
    </w:p>
    <w:p w:rsidR="003F44C3" w:rsidP="00D81553" w:rsidRDefault="003F44C3" w14:paraId="414D334B" w14:textId="7C6EEE67">
      <w:pPr>
        <w:pStyle w:val="H3Alpha"/>
        <w:ind w:left="0" w:firstLine="0"/>
        <w:outlineLvl w:val="1"/>
        <w:rPr>
          <w:rFonts w:ascii="Times New Roman" w:hAnsi="Times New Roman"/>
          <w:i/>
        </w:rPr>
      </w:pPr>
      <w:bookmarkStart w:name="_Toc68878644" w:id="9"/>
      <w:r>
        <w:t xml:space="preserve">3. </w:t>
      </w:r>
      <w:r w:rsidRPr="00946B48" w:rsidR="002D7F1C">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sidR="00871FB8">
        <w:rPr>
          <w:rFonts w:ascii="Times New Roman" w:hAnsi="Times New Roman"/>
          <w:i/>
        </w:rPr>
        <w:t xml:space="preserve">ting this means of collection. </w:t>
      </w:r>
      <w:r w:rsidRPr="00946B48" w:rsidR="002D7F1C">
        <w:rPr>
          <w:rFonts w:ascii="Times New Roman" w:hAnsi="Times New Roman"/>
          <w:i/>
        </w:rPr>
        <w:t>Also describe any consideration of using information technology to reduce burden.</w:t>
      </w:r>
      <w:bookmarkEnd w:id="8"/>
      <w:bookmarkEnd w:id="9"/>
    </w:p>
    <w:p w:rsidRPr="00B61EED" w:rsidR="00366FB9" w:rsidP="002039FA" w:rsidRDefault="00366FB9" w14:paraId="0BF525BC" w14:textId="53A98DA3">
      <w:pPr>
        <w:pStyle w:val="NormalSS"/>
        <w:ind w:firstLine="0"/>
      </w:pPr>
      <w:r>
        <w:t xml:space="preserve">The evaluation team will primarily use email to help facilitate the logistics and scheduling of the site visits and interviews to reduce the burden on participants. Site visitors for the evaluation will use electronic audio recorders to record the interviews. This will allow the visitors to conduct interviews in the shortest amount of time possible, as they will not be required to use interview time to take notes on the content of the conversation. </w:t>
      </w:r>
      <w:r w:rsidR="00355408">
        <w:t xml:space="preserve">The pilot survey will be fielded using Qualtrics, </w:t>
      </w:r>
      <w:r w:rsidR="008C24D8">
        <w:t>an online survey system</w:t>
      </w:r>
      <w:r w:rsidR="002A171D">
        <w:t xml:space="preserve"> and will utilize skip patterns to minimize burden on respondents by not asking non-applicable questions. </w:t>
      </w:r>
      <w:r w:rsidR="008C24D8">
        <w:t xml:space="preserve">The system includes drop-down menus and response categories </w:t>
      </w:r>
      <w:r w:rsidR="001D4D54">
        <w:t xml:space="preserve">will </w:t>
      </w:r>
      <w:r w:rsidR="00641221">
        <w:t xml:space="preserve">be </w:t>
      </w:r>
      <w:r w:rsidR="001D4D54">
        <w:t xml:space="preserve">mostly multiple choice </w:t>
      </w:r>
      <w:r w:rsidR="008C24D8">
        <w:t>to minimize data entry</w:t>
      </w:r>
      <w:r w:rsidR="001D4D54">
        <w:t xml:space="preserve"> </w:t>
      </w:r>
      <w:r w:rsidR="008C24D8">
        <w:t xml:space="preserve">placed on respondents. </w:t>
      </w:r>
    </w:p>
    <w:p w:rsidR="003F44C3" w:rsidP="000B0CC7" w:rsidRDefault="003F44C3" w14:paraId="2524D3E5" w14:textId="78EF0741">
      <w:pPr>
        <w:pStyle w:val="H3Alpha"/>
        <w:ind w:left="0" w:firstLine="0"/>
        <w:outlineLvl w:val="1"/>
      </w:pPr>
      <w:bookmarkStart w:name="_Toc496104736" w:id="10"/>
      <w:bookmarkStart w:name="_Toc68878645" w:id="11"/>
      <w:r>
        <w:lastRenderedPageBreak/>
        <w:t xml:space="preserve">4. </w:t>
      </w:r>
      <w:r w:rsidRPr="00946B48" w:rsidR="002D7F1C">
        <w:rPr>
          <w:rFonts w:ascii="Times New Roman" w:hAnsi="Times New Roman"/>
          <w:i/>
        </w:rPr>
        <w:t>Describe efforts to identify duplication. Show specifically why any similar information already available cannot be used or modified for use for the purposes described in Item 2 above.</w:t>
      </w:r>
      <w:bookmarkEnd w:id="10"/>
      <w:bookmarkEnd w:id="11"/>
    </w:p>
    <w:p w:rsidR="00EB78D9" w:rsidP="00EB78D9" w:rsidRDefault="00303108" w14:paraId="7AC9C889" w14:textId="10C435CC">
      <w:pPr>
        <w:pStyle w:val="NormalSS"/>
        <w:ind w:firstLine="0"/>
      </w:pPr>
      <w:r>
        <w:t xml:space="preserve">The evaluation will </w:t>
      </w:r>
      <w:r w:rsidR="00497DF9">
        <w:t>identify and minimize duplication of information available through alternate source</w:t>
      </w:r>
      <w:r w:rsidR="009F406B">
        <w:t>s</w:t>
      </w:r>
      <w:r w:rsidR="00497DF9">
        <w:t xml:space="preserve">. </w:t>
      </w:r>
      <w:r>
        <w:t xml:space="preserve">For example, the evaluation will use available information from </w:t>
      </w:r>
      <w:r w:rsidR="009E45E7">
        <w:t xml:space="preserve">the survey, </w:t>
      </w:r>
      <w:r>
        <w:t>grantee applications and existing administrative data sets to ensure that data collected through interview and focus groups are not available elsewhere.</w:t>
      </w:r>
    </w:p>
    <w:p w:rsidR="003F44C3" w:rsidP="002525F8" w:rsidRDefault="003F44C3" w14:paraId="3E411CBF" w14:textId="422FD6F5">
      <w:pPr>
        <w:pStyle w:val="H3Alpha"/>
        <w:ind w:left="0" w:firstLine="0"/>
        <w:outlineLvl w:val="1"/>
      </w:pPr>
      <w:bookmarkStart w:name="_Toc496104737" w:id="12"/>
      <w:bookmarkStart w:name="_Toc68878646" w:id="13"/>
      <w:r>
        <w:t xml:space="preserve">5. </w:t>
      </w:r>
      <w:r w:rsidRPr="00946B48" w:rsidR="002D7F1C">
        <w:rPr>
          <w:rFonts w:ascii="Times New Roman" w:hAnsi="Times New Roman"/>
          <w:i/>
        </w:rPr>
        <w:t>If the collection of information impacts small businesses or other small entities, describe any methods used to minimize burden.</w:t>
      </w:r>
      <w:bookmarkEnd w:id="12"/>
      <w:bookmarkEnd w:id="13"/>
    </w:p>
    <w:p w:rsidR="003F44C3" w:rsidP="00A920A2" w:rsidRDefault="00AB11A2" w14:paraId="62F8B230" w14:textId="548DBD80">
      <w:pPr>
        <w:pStyle w:val="NormalSS"/>
        <w:ind w:firstLine="0"/>
      </w:pPr>
      <w:r>
        <w:t xml:space="preserve">Interviews </w:t>
      </w:r>
      <w:r w:rsidR="00674894">
        <w:t>may</w:t>
      </w:r>
      <w:r>
        <w:t xml:space="preserve"> be conducted with</w:t>
      </w:r>
      <w:r w:rsidR="00564491">
        <w:t xml:space="preserve"> employers </w:t>
      </w:r>
      <w:r>
        <w:t xml:space="preserve">or program </w:t>
      </w:r>
      <w:r w:rsidR="00674894">
        <w:t>partners who represent</w:t>
      </w:r>
      <w:r w:rsidR="00564491">
        <w:t xml:space="preserve"> </w:t>
      </w:r>
      <w:r w:rsidR="003F44C3">
        <w:t xml:space="preserve">small </w:t>
      </w:r>
      <w:r w:rsidR="00B03384">
        <w:t xml:space="preserve">businesses or other small entities. </w:t>
      </w:r>
      <w:r w:rsidR="00674894">
        <w:t>Interviewers</w:t>
      </w:r>
      <w:r w:rsidR="00C03BFC">
        <w:t xml:space="preserve"> </w:t>
      </w:r>
      <w:r w:rsidR="003F44C3">
        <w:t xml:space="preserve">will only request information </w:t>
      </w:r>
      <w:r w:rsidR="00FE4929">
        <w:t>necessary for the evaluation and will</w:t>
      </w:r>
      <w:r w:rsidR="003F44C3">
        <w:t xml:space="preserve"> minimize burden by restricting the length of</w:t>
      </w:r>
      <w:r w:rsidR="00564491">
        <w:t xml:space="preserve"> interviews </w:t>
      </w:r>
      <w:r w:rsidR="003F44C3">
        <w:t>to the minimum required</w:t>
      </w:r>
      <w:r w:rsidR="00283CBE">
        <w:t xml:space="preserve"> time</w:t>
      </w:r>
      <w:r w:rsidR="003F44C3">
        <w:t>.</w:t>
      </w:r>
    </w:p>
    <w:p w:rsidR="003F44C3" w:rsidP="002525F8" w:rsidRDefault="003F44C3" w14:paraId="79D8BD5E" w14:textId="347B3988">
      <w:pPr>
        <w:pStyle w:val="H3Alpha"/>
        <w:ind w:left="0" w:firstLine="0"/>
        <w:outlineLvl w:val="1"/>
      </w:pPr>
      <w:bookmarkStart w:name="_Toc496104738" w:id="14"/>
      <w:bookmarkStart w:name="_Toc68878647" w:id="15"/>
      <w:r>
        <w:t xml:space="preserve">6. </w:t>
      </w:r>
      <w:r w:rsidRPr="00946B48" w:rsidR="002D7F1C">
        <w:rPr>
          <w:rFonts w:ascii="Times New Roman" w:hAnsi="Times New Roman"/>
          <w:i/>
        </w:rPr>
        <w:t>Describe the consequence to Federal program or policy activities if the collection is not conducted or is conducted less frequently, as well as any technical or legal obstacles to reducing burden.</w:t>
      </w:r>
      <w:bookmarkEnd w:id="14"/>
      <w:bookmarkEnd w:id="15"/>
    </w:p>
    <w:p w:rsidR="00364006" w:rsidP="00364006" w:rsidRDefault="00364006" w14:paraId="128B41F7" w14:textId="4B43B350">
      <w:pPr>
        <w:pStyle w:val="NormalSS"/>
        <w:ind w:firstLine="0"/>
      </w:pPr>
      <w:r>
        <w:t xml:space="preserve">If the </w:t>
      </w:r>
      <w:r w:rsidR="00AC3ABB">
        <w:t>survey and</w:t>
      </w:r>
      <w:r>
        <w:t xml:space="preserve"> interviews are not conducted, DOL will not have the information necessary to answer </w:t>
      </w:r>
      <w:r w:rsidR="00D90D56">
        <w:t xml:space="preserve">the </w:t>
      </w:r>
      <w:r>
        <w:t xml:space="preserve">key research questions of the evaluation. </w:t>
      </w:r>
      <w:r w:rsidR="00CB7EB1">
        <w:t xml:space="preserve">The pilots </w:t>
      </w:r>
      <w:r w:rsidR="002F46E0">
        <w:t xml:space="preserve">will </w:t>
      </w:r>
      <w:r w:rsidR="00CB7EB1">
        <w:t xml:space="preserve">operate for </w:t>
      </w:r>
      <w:r w:rsidR="00742EE0">
        <w:t xml:space="preserve">a </w:t>
      </w:r>
      <w:r w:rsidR="00C277EA">
        <w:t>time-limited period</w:t>
      </w:r>
      <w:r w:rsidR="00742EE0">
        <w:t xml:space="preserve">, thus not collecting data at this point will </w:t>
      </w:r>
      <w:r w:rsidR="00E073F0">
        <w:t>prevent</w:t>
      </w:r>
      <w:r w:rsidR="000D46F0">
        <w:t xml:space="preserve"> </w:t>
      </w:r>
      <w:r w:rsidR="00A82E80">
        <w:t>DOL</w:t>
      </w:r>
      <w:r w:rsidR="00E073F0">
        <w:t xml:space="preserve"> from collecting data about the pilots while they are operating</w:t>
      </w:r>
      <w:r w:rsidR="0088028B">
        <w:t xml:space="preserve">. </w:t>
      </w:r>
      <w:r w:rsidR="005D12DD">
        <w:t>In result</w:t>
      </w:r>
      <w:r w:rsidR="0088028B">
        <w:t xml:space="preserve">, </w:t>
      </w:r>
      <w:r w:rsidR="009450CE">
        <w:t xml:space="preserve">the research team </w:t>
      </w:r>
      <w:r w:rsidR="005D12DD">
        <w:t>will</w:t>
      </w:r>
      <w:r w:rsidR="009450CE">
        <w:t xml:space="preserve"> lack the information needed to answer questions about implementation of services and participant experience.  Without this information, DOL and stakeholders </w:t>
      </w:r>
      <w:r w:rsidR="005D12DD">
        <w:t>will</w:t>
      </w:r>
      <w:r w:rsidR="009450CE">
        <w:t xml:space="preserve"> lack the </w:t>
      </w:r>
      <w:r w:rsidR="00BD3131">
        <w:t xml:space="preserve">lessons from the </w:t>
      </w:r>
      <w:r w:rsidR="002328A8">
        <w:t xml:space="preserve">demonstration pilots about how to </w:t>
      </w:r>
      <w:r w:rsidR="00DC2B60">
        <w:t xml:space="preserve">improve Job Corps or </w:t>
      </w:r>
      <w:r w:rsidR="0014473B">
        <w:t>implement similar pilots in the future</w:t>
      </w:r>
      <w:r w:rsidR="00DC2B60">
        <w:t xml:space="preserve">. </w:t>
      </w:r>
      <w:r w:rsidR="00702434">
        <w:t xml:space="preserve"> </w:t>
      </w:r>
    </w:p>
    <w:p w:rsidR="003F44C3" w:rsidP="002525F8" w:rsidRDefault="003F44C3" w14:paraId="26C4D3A1" w14:textId="07D192E0">
      <w:pPr>
        <w:pStyle w:val="H3Alpha"/>
        <w:ind w:left="0" w:firstLine="0"/>
        <w:outlineLvl w:val="1"/>
        <w:rPr>
          <w:rFonts w:ascii="Times New Roman" w:hAnsi="Times New Roman"/>
          <w:i/>
        </w:rPr>
      </w:pPr>
      <w:bookmarkStart w:name="_Toc496104739" w:id="16"/>
      <w:bookmarkStart w:name="_Toc68878648" w:id="17"/>
      <w:r>
        <w:t xml:space="preserve">7. </w:t>
      </w:r>
      <w:r w:rsidRPr="00946B48" w:rsidR="002D7F1C">
        <w:rPr>
          <w:rFonts w:ascii="Times New Roman" w:hAnsi="Times New Roman"/>
          <w:i/>
        </w:rPr>
        <w:t>Explain any special circumstances that would cause an information collection to be conducted in a manner:</w:t>
      </w:r>
      <w:bookmarkEnd w:id="16"/>
      <w:bookmarkEnd w:id="17"/>
    </w:p>
    <w:p w:rsidRPr="00B31391" w:rsidR="003D046E" w:rsidP="003D046E" w:rsidRDefault="003D046E" w14:paraId="3CF0521C" w14:textId="77777777">
      <w:pPr>
        <w:pStyle w:val="NormalSS"/>
        <w:rPr>
          <w:i/>
        </w:rPr>
      </w:pPr>
      <w:r w:rsidRPr="00B31391">
        <w:rPr>
          <w:i/>
        </w:rPr>
        <w:t xml:space="preserve">* Requiring respondents to report information to the agency more often than </w:t>
      </w:r>
      <w:proofErr w:type="gramStart"/>
      <w:r w:rsidRPr="00B31391">
        <w:rPr>
          <w:i/>
        </w:rPr>
        <w:t>quarterly;</w:t>
      </w:r>
      <w:proofErr w:type="gramEnd"/>
      <w:r w:rsidRPr="00B31391">
        <w:rPr>
          <w:i/>
        </w:rPr>
        <w:t xml:space="preserve"> </w:t>
      </w:r>
    </w:p>
    <w:p w:rsidRPr="00B31391" w:rsidR="003D046E" w:rsidP="003D046E" w:rsidRDefault="003D046E" w14:paraId="6A8AE1EC" w14:textId="77777777">
      <w:pPr>
        <w:pStyle w:val="NormalSS"/>
        <w:rPr>
          <w:i/>
        </w:rPr>
      </w:pPr>
      <w:r w:rsidRPr="00B31391">
        <w:rPr>
          <w:i/>
        </w:rPr>
        <w:t xml:space="preserve">* Requiring respondents to prepare a written response to a collection of information in fewer than 30 days after receipt of </w:t>
      </w:r>
      <w:proofErr w:type="gramStart"/>
      <w:r w:rsidRPr="00B31391">
        <w:rPr>
          <w:i/>
        </w:rPr>
        <w:t>it;</w:t>
      </w:r>
      <w:proofErr w:type="gramEnd"/>
      <w:r w:rsidRPr="00B31391">
        <w:rPr>
          <w:i/>
        </w:rPr>
        <w:t xml:space="preserve"> </w:t>
      </w:r>
    </w:p>
    <w:p w:rsidRPr="00B31391" w:rsidR="003D046E" w:rsidP="003D046E" w:rsidRDefault="003D046E" w14:paraId="6D0A0E32" w14:textId="77777777">
      <w:pPr>
        <w:pStyle w:val="NormalSS"/>
        <w:rPr>
          <w:i/>
        </w:rPr>
      </w:pPr>
      <w:r w:rsidRPr="00B31391">
        <w:rPr>
          <w:i/>
        </w:rPr>
        <w:t xml:space="preserve">* Requiring respondents to submit more than an original and two copies of any </w:t>
      </w:r>
      <w:proofErr w:type="gramStart"/>
      <w:r w:rsidRPr="00B31391">
        <w:rPr>
          <w:i/>
        </w:rPr>
        <w:t>document;</w:t>
      </w:r>
      <w:proofErr w:type="gramEnd"/>
      <w:r w:rsidRPr="00B31391">
        <w:rPr>
          <w:i/>
        </w:rPr>
        <w:t xml:space="preserve"> </w:t>
      </w:r>
    </w:p>
    <w:p w:rsidRPr="00B31391" w:rsidR="003D046E" w:rsidP="003D046E" w:rsidRDefault="003D046E" w14:paraId="35CF90D8" w14:textId="77777777">
      <w:pPr>
        <w:pStyle w:val="NormalSS"/>
        <w:rPr>
          <w:i/>
        </w:rPr>
      </w:pPr>
      <w:r w:rsidRPr="00B31391">
        <w:rPr>
          <w:i/>
        </w:rPr>
        <w:t xml:space="preserve">* Requiring respondents to retain records, other than health, medical, government contract, grant-in-aid, or tax records, for more than three </w:t>
      </w:r>
      <w:proofErr w:type="gramStart"/>
      <w:r w:rsidRPr="00B31391">
        <w:rPr>
          <w:i/>
        </w:rPr>
        <w:t>years;</w:t>
      </w:r>
      <w:proofErr w:type="gramEnd"/>
      <w:r w:rsidRPr="00B31391">
        <w:rPr>
          <w:i/>
        </w:rPr>
        <w:t xml:space="preserve"> </w:t>
      </w:r>
    </w:p>
    <w:p w:rsidRPr="00B31391" w:rsidR="003D046E" w:rsidP="003D046E" w:rsidRDefault="003D046E" w14:paraId="76F491E5" w14:textId="77777777">
      <w:pPr>
        <w:pStyle w:val="NormalSS"/>
        <w:rPr>
          <w:i/>
        </w:rPr>
      </w:pPr>
      <w:r w:rsidRPr="00B31391">
        <w:rPr>
          <w:i/>
        </w:rPr>
        <w:t xml:space="preserve">* In connection with a statistical survey, that is not designed to produce valid and reliable results that can be generalized to the universe of </w:t>
      </w:r>
      <w:proofErr w:type="gramStart"/>
      <w:r w:rsidRPr="00B31391">
        <w:rPr>
          <w:i/>
        </w:rPr>
        <w:t>study;</w:t>
      </w:r>
      <w:proofErr w:type="gramEnd"/>
      <w:r w:rsidRPr="00B31391">
        <w:rPr>
          <w:i/>
        </w:rPr>
        <w:t xml:space="preserve"> </w:t>
      </w:r>
    </w:p>
    <w:p w:rsidRPr="00B31391" w:rsidR="003D046E" w:rsidP="003D046E" w:rsidRDefault="003D046E" w14:paraId="1F8DFFD2" w14:textId="77777777">
      <w:pPr>
        <w:pStyle w:val="NormalSS"/>
        <w:rPr>
          <w:i/>
        </w:rPr>
      </w:pPr>
      <w:r w:rsidRPr="00B31391">
        <w:rPr>
          <w:i/>
        </w:rPr>
        <w:t xml:space="preserve">* Requiring the use of a statistical data classification that has not been reviewed and approved by </w:t>
      </w:r>
      <w:proofErr w:type="gramStart"/>
      <w:r w:rsidRPr="00B31391">
        <w:rPr>
          <w:i/>
        </w:rPr>
        <w:t>OMB;</w:t>
      </w:r>
      <w:proofErr w:type="gramEnd"/>
      <w:r w:rsidRPr="00B31391">
        <w:rPr>
          <w:i/>
        </w:rPr>
        <w:t xml:space="preserve"> </w:t>
      </w:r>
    </w:p>
    <w:p w:rsidRPr="00B31391" w:rsidR="003D046E" w:rsidP="003D046E" w:rsidRDefault="003D046E" w14:paraId="259BD80F" w14:textId="77777777">
      <w:pPr>
        <w:pStyle w:val="NormalSS"/>
        <w:rPr>
          <w:i/>
        </w:rPr>
      </w:pPr>
      <w:r w:rsidRPr="00B31391">
        <w:rPr>
          <w:i/>
        </w:rPr>
        <w:t xml:space="preserve">* That includes a pledge of confidentiality that is not supported by authority established in statute or regulation, that is not supported by disclosure and data security policies that are </w:t>
      </w:r>
      <w:r w:rsidRPr="00B31391">
        <w:rPr>
          <w:i/>
        </w:rPr>
        <w:lastRenderedPageBreak/>
        <w:t xml:space="preserve">consistent with the pledge, or which unnecessarily impedes sharing of data with other agencies for compatible confidential use; or </w:t>
      </w:r>
    </w:p>
    <w:p w:rsidRPr="00B31391" w:rsidR="003D046E" w:rsidP="00B31391" w:rsidRDefault="003D046E" w14:paraId="65687164" w14:textId="66BC76D6">
      <w:pPr>
        <w:pStyle w:val="NormalSS"/>
        <w:rPr>
          <w:i/>
        </w:rPr>
      </w:pPr>
      <w:r w:rsidRPr="00B31391">
        <w:rPr>
          <w:i/>
        </w:rPr>
        <w:t>* Requiring respondents to submit proprietary trade secrets, or other confidential information unless the agency can demonstrate that it has instituted procedures to protect the information's confidentiality to the extent permitted by law.</w:t>
      </w:r>
    </w:p>
    <w:p w:rsidR="003F44C3" w:rsidP="003F44C3" w:rsidRDefault="003F44C3" w14:paraId="67F78E4B" w14:textId="77777777">
      <w:pPr>
        <w:pStyle w:val="NormalSS"/>
      </w:pPr>
      <w:r>
        <w:t>No special circumstances apply to this data collection.</w:t>
      </w:r>
    </w:p>
    <w:p w:rsidRPr="005C45D4" w:rsidR="005455E1" w:rsidP="002525F8" w:rsidRDefault="003F44C3" w14:paraId="2673F2A5" w14:textId="638AE54E">
      <w:pPr>
        <w:pStyle w:val="H3Alpha"/>
        <w:ind w:left="0" w:firstLine="0"/>
        <w:outlineLvl w:val="1"/>
        <w:rPr>
          <w:i/>
        </w:rPr>
      </w:pPr>
      <w:bookmarkStart w:name="_Toc496104740" w:id="18"/>
      <w:bookmarkStart w:name="_Toc68878649" w:id="19"/>
      <w:r>
        <w:t>8.</w:t>
      </w:r>
      <w:r w:rsidR="00871FB8">
        <w:t xml:space="preserve"> </w:t>
      </w:r>
      <w:bookmarkStart w:name="_Toc496104741" w:id="20"/>
      <w:bookmarkEnd w:id="18"/>
      <w:r w:rsidRPr="005C45D4" w:rsidR="005455E1">
        <w:rPr>
          <w:rFonts w:ascii="Times New Roman" w:hAnsi="Times New Roman"/>
          <w:i/>
        </w:rPr>
        <w:t xml:space="preserve">If applicable, provide a copy and identify the date and page number of </w:t>
      </w:r>
      <w:proofErr w:type="gramStart"/>
      <w:r w:rsidRPr="005C45D4" w:rsidR="005455E1">
        <w:rPr>
          <w:rFonts w:ascii="Times New Roman" w:hAnsi="Times New Roman"/>
          <w:i/>
        </w:rPr>
        <w:t>publication</w:t>
      </w:r>
      <w:proofErr w:type="gramEnd"/>
      <w:r w:rsidRPr="005C45D4" w:rsidR="005455E1">
        <w:rPr>
          <w:rFonts w:ascii="Times New Roman" w:hAnsi="Times New Roman"/>
          <w:i/>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bookmarkEnd w:id="19"/>
    </w:p>
    <w:bookmarkEnd w:id="20"/>
    <w:p w:rsidR="003F44C3" w:rsidP="00877769" w:rsidRDefault="003F44C3" w14:paraId="76916EBC" w14:textId="2CE5F3E2">
      <w:pPr>
        <w:pStyle w:val="NormalSS"/>
        <w:ind w:firstLine="0"/>
      </w:pPr>
      <w:r>
        <w:t xml:space="preserve">A 60-day notice to solicit public comments was published in the </w:t>
      </w:r>
      <w:r w:rsidRPr="003F44C3">
        <w:rPr>
          <w:i/>
        </w:rPr>
        <w:t>Federal Register</w:t>
      </w:r>
      <w:r>
        <w:t xml:space="preserve">, </w:t>
      </w:r>
      <w:r w:rsidRPr="00DB7515" w:rsidR="003F597A">
        <w:t>8</w:t>
      </w:r>
      <w:r w:rsidR="00F409AD">
        <w:t>6</w:t>
      </w:r>
      <w:r w:rsidRPr="00DB7515" w:rsidR="003F597A">
        <w:t xml:space="preserve"> </w:t>
      </w:r>
      <w:r w:rsidRPr="00DB7515" w:rsidR="00DB7515">
        <w:t xml:space="preserve">FR </w:t>
      </w:r>
      <w:r w:rsidR="00F409AD">
        <w:t>1528</w:t>
      </w:r>
      <w:r w:rsidR="007A6226">
        <w:t xml:space="preserve"> </w:t>
      </w:r>
      <w:r>
        <w:t>on</w:t>
      </w:r>
      <w:r w:rsidR="00931AB6">
        <w:t xml:space="preserve"> </w:t>
      </w:r>
      <w:r w:rsidR="00502B54">
        <w:t>January</w:t>
      </w:r>
      <w:r w:rsidR="00C42903">
        <w:t xml:space="preserve"> </w:t>
      </w:r>
      <w:r w:rsidR="00502B54">
        <w:t>8</w:t>
      </w:r>
      <w:r w:rsidR="00C42903">
        <w:t>, 20</w:t>
      </w:r>
      <w:r w:rsidR="00502B54">
        <w:t>21</w:t>
      </w:r>
      <w:r w:rsidR="005E210F">
        <w:t>.</w:t>
      </w:r>
      <w:r w:rsidR="00C03BFC">
        <w:t xml:space="preserve"> </w:t>
      </w:r>
      <w:r w:rsidR="00877769">
        <w:t xml:space="preserve">No comments were received. </w:t>
      </w:r>
    </w:p>
    <w:p w:rsidRPr="00946B48" w:rsidR="005455E1" w:rsidP="005C45D4" w:rsidRDefault="005455E1" w14:paraId="19C05BAB" w14:textId="56290FA7">
      <w:pPr>
        <w:spacing w:line="240" w:lineRule="auto"/>
        <w:rPr>
          <w:i/>
        </w:rPr>
      </w:pPr>
      <w:bookmarkStart w:name="_Toc496104742" w:id="21"/>
      <w:r w:rsidRPr="00946B48">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946B48" w:rsidR="005455E1" w:rsidP="005C45D4" w:rsidRDefault="005455E1" w14:paraId="03897482" w14:textId="77777777">
      <w:pPr>
        <w:spacing w:line="240" w:lineRule="auto"/>
        <w:rPr>
          <w:i/>
        </w:rPr>
      </w:pPr>
    </w:p>
    <w:p w:rsidR="005455E1" w:rsidP="005C45D4" w:rsidRDefault="005455E1" w14:paraId="4B475A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rPr>
      </w:pPr>
      <w:r w:rsidRPr="00946B48">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bookmarkEnd w:id="21"/>
    <w:p w:rsidR="00BD0932" w:rsidP="002319B1" w:rsidRDefault="00BD0932" w14:paraId="0C1E299E" w14:textId="34501575">
      <w:pPr>
        <w:pStyle w:val="NormalSS"/>
        <w:spacing w:after="0"/>
        <w:ind w:firstLine="0"/>
      </w:pPr>
    </w:p>
    <w:p w:rsidR="00211C7B" w:rsidP="00DC7273" w:rsidRDefault="002710B7" w14:paraId="7F5407FC" w14:textId="09CF82A6">
      <w:pPr>
        <w:pStyle w:val="NormalSS"/>
        <w:ind w:firstLine="0"/>
      </w:pPr>
      <w:r>
        <w:t xml:space="preserve">Seven individuals, who compose the contractor’s research team, </w:t>
      </w:r>
      <w:r w:rsidR="006A510F">
        <w:t xml:space="preserve">were </w:t>
      </w:r>
      <w:r w:rsidRPr="00211C7B" w:rsidR="006A510F">
        <w:t>consulted</w:t>
      </w:r>
      <w:r w:rsidRPr="00211C7B" w:rsidR="00211C7B">
        <w:t xml:space="preserve"> in developing the design, the data collection plan, and the </w:t>
      </w:r>
      <w:r w:rsidR="00211C7B">
        <w:t>data collection tools</w:t>
      </w:r>
      <w:r w:rsidRPr="00211C7B" w:rsidR="00211C7B">
        <w:t xml:space="preserve"> for which clearance is requested.</w:t>
      </w:r>
    </w:p>
    <w:p w:rsidRPr="003A4A8C" w:rsidR="00EE33B1" w:rsidP="003A4A8C" w:rsidRDefault="000B32A3" w14:paraId="5EC22CB8" w14:textId="7575C62D">
      <w:pPr>
        <w:pStyle w:val="BodyText"/>
        <w:rPr>
          <w:sz w:val="24"/>
          <w:szCs w:val="24"/>
        </w:rPr>
      </w:pPr>
      <w:r w:rsidRPr="00295572">
        <w:rPr>
          <w:sz w:val="24"/>
          <w:szCs w:val="24"/>
        </w:rPr>
        <w:t>The research team</w:t>
      </w:r>
      <w:r w:rsidRPr="00295572" w:rsidR="00FF22DB">
        <w:rPr>
          <w:sz w:val="24"/>
          <w:szCs w:val="24"/>
        </w:rPr>
        <w:t xml:space="preserve"> will also assemble a technical working group consisting </w:t>
      </w:r>
      <w:r w:rsidRPr="00295572" w:rsidR="000C70C2">
        <w:rPr>
          <w:sz w:val="24"/>
          <w:szCs w:val="24"/>
        </w:rPr>
        <w:t xml:space="preserve">of </w:t>
      </w:r>
      <w:r w:rsidR="002319B1">
        <w:rPr>
          <w:sz w:val="24"/>
          <w:szCs w:val="24"/>
        </w:rPr>
        <w:t>approximately</w:t>
      </w:r>
      <w:r w:rsidRPr="00295572" w:rsidR="000C70C2">
        <w:rPr>
          <w:sz w:val="24"/>
          <w:szCs w:val="24"/>
        </w:rPr>
        <w:t xml:space="preserve"> </w:t>
      </w:r>
      <w:r w:rsidRPr="00295572" w:rsidR="00FF22DB">
        <w:rPr>
          <w:sz w:val="24"/>
          <w:szCs w:val="24"/>
        </w:rPr>
        <w:t>five experts in the following areas: (1) experience with Job Corps and</w:t>
      </w:r>
      <w:r w:rsidRPr="00295572" w:rsidR="00F93C21">
        <w:rPr>
          <w:sz w:val="24"/>
          <w:szCs w:val="24"/>
        </w:rPr>
        <w:t xml:space="preserve"> </w:t>
      </w:r>
      <w:r w:rsidRPr="00295572" w:rsidR="007E45E9">
        <w:rPr>
          <w:sz w:val="24"/>
          <w:szCs w:val="24"/>
        </w:rPr>
        <w:t xml:space="preserve">other </w:t>
      </w:r>
      <w:r w:rsidRPr="00295572" w:rsidR="00213B99">
        <w:rPr>
          <w:sz w:val="24"/>
          <w:szCs w:val="24"/>
        </w:rPr>
        <w:t>young employment and training programs</w:t>
      </w:r>
      <w:r w:rsidR="00FD6948">
        <w:rPr>
          <w:sz w:val="24"/>
          <w:szCs w:val="24"/>
        </w:rPr>
        <w:t>;</w:t>
      </w:r>
      <w:r w:rsidRPr="00295572" w:rsidR="00FF22DB">
        <w:rPr>
          <w:sz w:val="24"/>
          <w:szCs w:val="24"/>
        </w:rPr>
        <w:t xml:space="preserve"> (2) experience with workforce development and job training; (3) </w:t>
      </w:r>
      <w:r w:rsidRPr="00295572" w:rsidR="007E45E9">
        <w:rPr>
          <w:sz w:val="24"/>
          <w:szCs w:val="24"/>
        </w:rPr>
        <w:t>experience with</w:t>
      </w:r>
      <w:r w:rsidRPr="00295572" w:rsidR="00213B99">
        <w:rPr>
          <w:sz w:val="24"/>
          <w:szCs w:val="24"/>
        </w:rPr>
        <w:t xml:space="preserve"> community colleges</w:t>
      </w:r>
      <w:r w:rsidRPr="00295572" w:rsidR="00FF22DB">
        <w:rPr>
          <w:sz w:val="24"/>
          <w:szCs w:val="24"/>
        </w:rPr>
        <w:t xml:space="preserve">; and (4) </w:t>
      </w:r>
      <w:r w:rsidRPr="00295572" w:rsidR="00351EC1">
        <w:rPr>
          <w:sz w:val="24"/>
          <w:szCs w:val="24"/>
        </w:rPr>
        <w:t>implementation research</w:t>
      </w:r>
      <w:r w:rsidRPr="00295572" w:rsidR="00FF22DB">
        <w:rPr>
          <w:sz w:val="24"/>
          <w:szCs w:val="24"/>
        </w:rPr>
        <w:t xml:space="preserve"> methods. These experts will review and comment on the </w:t>
      </w:r>
      <w:r w:rsidRPr="00295572" w:rsidR="00C301BD">
        <w:rPr>
          <w:sz w:val="24"/>
          <w:szCs w:val="24"/>
        </w:rPr>
        <w:t>implementation</w:t>
      </w:r>
      <w:r w:rsidRPr="00295572" w:rsidR="00FF22DB">
        <w:rPr>
          <w:sz w:val="24"/>
          <w:szCs w:val="24"/>
        </w:rPr>
        <w:t xml:space="preserve"> study design </w:t>
      </w:r>
      <w:r w:rsidRPr="00295572" w:rsidR="00C301BD">
        <w:rPr>
          <w:sz w:val="24"/>
          <w:szCs w:val="24"/>
        </w:rPr>
        <w:t xml:space="preserve">plan, </w:t>
      </w:r>
      <w:r w:rsidRPr="00295572" w:rsidR="00056F18">
        <w:rPr>
          <w:sz w:val="24"/>
          <w:szCs w:val="24"/>
        </w:rPr>
        <w:t xml:space="preserve">impact feasibility assessments and </w:t>
      </w:r>
      <w:r w:rsidRPr="00295572" w:rsidR="00295572">
        <w:rPr>
          <w:sz w:val="24"/>
          <w:szCs w:val="24"/>
        </w:rPr>
        <w:t>reports arising from this research.</w:t>
      </w:r>
      <w:r w:rsidR="0057716E">
        <w:rPr>
          <w:sz w:val="24"/>
          <w:szCs w:val="24"/>
        </w:rPr>
        <w:t xml:space="preserve"> </w:t>
      </w:r>
      <w:r w:rsidRPr="0057716E" w:rsidR="0057716E">
        <w:rPr>
          <w:sz w:val="24"/>
          <w:szCs w:val="24"/>
        </w:rPr>
        <w:t>The Team will also engage</w:t>
      </w:r>
      <w:r w:rsidR="0057716E">
        <w:rPr>
          <w:sz w:val="24"/>
          <w:szCs w:val="24"/>
        </w:rPr>
        <w:t xml:space="preserve"> s</w:t>
      </w:r>
      <w:r w:rsidRPr="0057716E" w:rsidR="0057716E">
        <w:rPr>
          <w:sz w:val="24"/>
          <w:szCs w:val="24"/>
        </w:rPr>
        <w:t xml:space="preserve">ubject </w:t>
      </w:r>
      <w:r w:rsidR="0057716E">
        <w:rPr>
          <w:sz w:val="24"/>
          <w:szCs w:val="24"/>
        </w:rPr>
        <w:t>m</w:t>
      </w:r>
      <w:r w:rsidRPr="0057716E" w:rsidR="0057716E">
        <w:rPr>
          <w:sz w:val="24"/>
          <w:szCs w:val="24"/>
        </w:rPr>
        <w:t xml:space="preserve">atter </w:t>
      </w:r>
      <w:r w:rsidR="0057716E">
        <w:rPr>
          <w:sz w:val="24"/>
          <w:szCs w:val="24"/>
        </w:rPr>
        <w:t>e</w:t>
      </w:r>
      <w:r w:rsidRPr="0057716E" w:rsidR="0057716E">
        <w:rPr>
          <w:sz w:val="24"/>
          <w:szCs w:val="24"/>
        </w:rPr>
        <w:t>xperts to provide consultation as needed on evaluation design.</w:t>
      </w:r>
    </w:p>
    <w:p w:rsidRPr="00946B48" w:rsidR="00871FB8" w:rsidP="003A4A8C" w:rsidRDefault="00EE33B1" w14:paraId="6777259A" w14:textId="30451A7E">
      <w:pPr>
        <w:pStyle w:val="Heading2"/>
        <w:framePr w:wrap="auto" w:vAnchor="margin" w:yAlign="inline"/>
        <w:pBdr>
          <w:bottom w:val="none" w:color="auto" w:sz="0" w:space="0"/>
        </w:pBdr>
        <w:rPr>
          <w:i/>
        </w:rPr>
      </w:pPr>
      <w:bookmarkStart w:name="_Toc68878650" w:id="22"/>
      <w:bookmarkStart w:name="_Toc496104743" w:id="23"/>
      <w:r w:rsidRPr="005C45D4">
        <w:t>9.</w:t>
      </w:r>
      <w:r>
        <w:t xml:space="preserve"> </w:t>
      </w:r>
      <w:r w:rsidRPr="003A4A8C" w:rsidR="003A4A8C">
        <w:rPr>
          <w:rFonts w:ascii="Times New Roman" w:hAnsi="Times New Roman"/>
          <w:i/>
          <w:caps w:val="0"/>
        </w:rPr>
        <w:t>Explain any decision to provide any payment or gift to respondents, other than remuneration of contractors or grantees.</w:t>
      </w:r>
      <w:bookmarkEnd w:id="22"/>
    </w:p>
    <w:bookmarkEnd w:id="23"/>
    <w:p w:rsidR="00EE33B1" w:rsidP="003A4A8C" w:rsidRDefault="00EE33B1" w14:paraId="49C8C157" w14:textId="7B312EA1">
      <w:pPr>
        <w:pStyle w:val="NormalSS"/>
        <w:ind w:firstLine="0"/>
      </w:pPr>
      <w:r>
        <w:t>There are no payments or gifts to program and partner staff</w:t>
      </w:r>
      <w:r w:rsidR="00F2675A">
        <w:t>, as activities</w:t>
      </w:r>
      <w:r>
        <w:t xml:space="preserve"> are expected to be carried out in the course of their employment, and no additional compensation will be provided outside of their normal pay. </w:t>
      </w:r>
      <w:r w:rsidR="00554648">
        <w:t xml:space="preserve">Program participants who take part in </w:t>
      </w:r>
      <w:r w:rsidR="00DC7273">
        <w:t>interviews or</w:t>
      </w:r>
      <w:r w:rsidR="00F2675A">
        <w:t xml:space="preserve"> focus groups will receive a $25 gift card.</w:t>
      </w:r>
    </w:p>
    <w:p w:rsidR="00EE33B1" w:rsidP="002525F8" w:rsidRDefault="00EE33B1" w14:paraId="35AE1427" w14:textId="18626721">
      <w:pPr>
        <w:pStyle w:val="H3Alpha"/>
        <w:ind w:left="0" w:firstLine="0"/>
        <w:outlineLvl w:val="1"/>
        <w:rPr>
          <w:rFonts w:ascii="Times New Roman" w:hAnsi="Times New Roman"/>
          <w:i/>
        </w:rPr>
      </w:pPr>
      <w:bookmarkStart w:name="_Toc496104744" w:id="24"/>
      <w:bookmarkStart w:name="_Toc68878651" w:id="25"/>
      <w:r>
        <w:lastRenderedPageBreak/>
        <w:t xml:space="preserve">10. </w:t>
      </w:r>
      <w:r w:rsidRPr="00946B48" w:rsidR="005455E1">
        <w:rPr>
          <w:rFonts w:ascii="Times New Roman" w:hAnsi="Times New Roman"/>
          <w:i/>
        </w:rPr>
        <w:t xml:space="preserve">Describe any assurance of </w:t>
      </w:r>
      <w:r w:rsidR="005455E1">
        <w:rPr>
          <w:rFonts w:ascii="Times New Roman" w:hAnsi="Times New Roman"/>
          <w:i/>
        </w:rPr>
        <w:t>privacy</w:t>
      </w:r>
      <w:r w:rsidRPr="00946B48" w:rsidR="005455E1">
        <w:rPr>
          <w:rFonts w:ascii="Times New Roman" w:hAnsi="Times New Roman"/>
          <w:i/>
        </w:rPr>
        <w:t xml:space="preserve"> provided to respondents and the basis for the assurance in statute, regulation, or agency policy.</w:t>
      </w:r>
      <w:bookmarkEnd w:id="24"/>
      <w:bookmarkEnd w:id="25"/>
    </w:p>
    <w:p w:rsidRPr="003F4BE4" w:rsidR="00DC135E" w:rsidP="007A4C2A" w:rsidRDefault="00DC135E" w14:paraId="366AA04B" w14:textId="4F02133F">
      <w:pPr>
        <w:pStyle w:val="normalss0"/>
      </w:pPr>
      <w:bookmarkStart w:name="_Toc496104745" w:id="26"/>
      <w:r w:rsidRPr="003F4BE4">
        <w:t xml:space="preserve">Procedures will be strictly followed by the evaluation team to ensure the privacy of participant information to the extent permitted by law. </w:t>
      </w:r>
      <w:r w:rsidR="00667291">
        <w:t>The contractor</w:t>
      </w:r>
      <w:r w:rsidR="009826E8">
        <w:t xml:space="preserve"> has been awarded FedRAMP Authorizations to Operate (ATOs) at the moderate impact level issued by the Department of Health and Human Services (HHS) and the FedRAMP Program Management Office (PMO).</w:t>
      </w:r>
      <w:r w:rsidR="00B24080">
        <w:t xml:space="preserve"> </w:t>
      </w:r>
      <w:r w:rsidRPr="003F4BE4">
        <w:t>The following actions will be taken:</w:t>
      </w:r>
    </w:p>
    <w:p w:rsidR="0029048E" w:rsidP="0097604A" w:rsidRDefault="0049347F" w14:paraId="136AC371" w14:textId="4BA1CD0B">
      <w:pPr>
        <w:pStyle w:val="bulletblack"/>
        <w:numPr>
          <w:ilvl w:val="0"/>
          <w:numId w:val="16"/>
        </w:numPr>
        <w:spacing w:after="0" w:afterAutospacing="0"/>
        <w:ind w:left="720" w:right="144"/>
        <w:rPr>
          <w:bCs/>
        </w:rPr>
      </w:pPr>
      <w:r>
        <w:rPr>
          <w:b/>
        </w:rPr>
        <w:t>Survey</w:t>
      </w:r>
      <w:r w:rsidR="00982B53">
        <w:rPr>
          <w:b/>
        </w:rPr>
        <w:t>.</w:t>
      </w:r>
      <w:r w:rsidR="000412F6">
        <w:rPr>
          <w:b/>
        </w:rPr>
        <w:t xml:space="preserve"> </w:t>
      </w:r>
      <w:r w:rsidRPr="000412F6" w:rsidR="000412F6">
        <w:rPr>
          <w:bCs/>
        </w:rPr>
        <w:t xml:space="preserve">Staff survey responses will be collected via Qualtrics, a </w:t>
      </w:r>
      <w:proofErr w:type="gramStart"/>
      <w:r w:rsidRPr="000412F6" w:rsidR="000412F6">
        <w:rPr>
          <w:bCs/>
        </w:rPr>
        <w:t>web-based</w:t>
      </w:r>
      <w:proofErr w:type="gramEnd"/>
      <w:r w:rsidRPr="000412F6" w:rsidR="000412F6">
        <w:rPr>
          <w:bCs/>
        </w:rPr>
        <w:t xml:space="preserve"> FedRAMP authorized software package in which data will be protected meeting federal government FISMA moderate standards. Data will be exported from Qualtrics into a CSV format and securely transferred into </w:t>
      </w:r>
      <w:r w:rsidR="00667291">
        <w:rPr>
          <w:bCs/>
        </w:rPr>
        <w:t>the contractor</w:t>
      </w:r>
      <w:r w:rsidRPr="000412F6" w:rsidR="000412F6">
        <w:rPr>
          <w:bCs/>
        </w:rPr>
        <w:t>’s private network via BOX.</w:t>
      </w:r>
    </w:p>
    <w:p w:rsidRPr="0097604A" w:rsidR="0029048E" w:rsidP="0097604A" w:rsidRDefault="0029048E" w14:paraId="6EC2301C" w14:textId="77777777">
      <w:pPr>
        <w:pStyle w:val="bulletblack"/>
        <w:spacing w:before="0" w:beforeAutospacing="0" w:after="0" w:afterAutospacing="0"/>
        <w:ind w:left="720" w:right="144"/>
      </w:pPr>
    </w:p>
    <w:p w:rsidR="00DC135E" w:rsidP="0097604A" w:rsidRDefault="00DC135E" w14:paraId="33943B6F" w14:textId="00487C8B">
      <w:pPr>
        <w:pStyle w:val="bulletblack"/>
        <w:numPr>
          <w:ilvl w:val="0"/>
          <w:numId w:val="16"/>
        </w:numPr>
        <w:spacing w:before="0" w:beforeAutospacing="0" w:after="0" w:afterAutospacing="0"/>
        <w:ind w:left="720" w:right="144"/>
      </w:pPr>
      <w:r w:rsidRPr="003F4BE4">
        <w:rPr>
          <w:b/>
        </w:rPr>
        <w:t>Training interviewers in privacy procedures.</w:t>
      </w:r>
      <w:r w:rsidRPr="003F4BE4">
        <w:t xml:space="preserve"> Evaluation team members interviewing staff, program partners, and participants will follow strict privacy procedures to protect data. All evaluation staff must regularly undergo mandatory human subjects research and data security trainings. Whenever possible, notes will be taken on encrypted laptops and saved on secure servers. </w:t>
      </w:r>
    </w:p>
    <w:p w:rsidRPr="003F4BE4" w:rsidR="0029048E" w:rsidP="002319B1" w:rsidRDefault="0029048E" w14:paraId="77DE8BA7" w14:textId="77777777">
      <w:pPr>
        <w:pStyle w:val="bulletblack"/>
        <w:spacing w:before="0" w:beforeAutospacing="0" w:after="0" w:afterAutospacing="0"/>
        <w:ind w:left="720" w:right="144"/>
      </w:pPr>
    </w:p>
    <w:p w:rsidR="00DC135E" w:rsidP="0097604A" w:rsidRDefault="00DC135E" w14:paraId="453D08CE" w14:textId="6939C2EA">
      <w:pPr>
        <w:pStyle w:val="bulletblack"/>
        <w:numPr>
          <w:ilvl w:val="0"/>
          <w:numId w:val="16"/>
        </w:numPr>
        <w:spacing w:before="0" w:beforeAutospacing="0" w:after="0" w:afterAutospacing="0"/>
        <w:ind w:left="720" w:right="144"/>
      </w:pPr>
      <w:r w:rsidRPr="003F4BE4">
        <w:rPr>
          <w:b/>
        </w:rPr>
        <w:t xml:space="preserve">Using de-identified data for all interview participants. </w:t>
      </w:r>
      <w:r w:rsidRPr="003F4BE4">
        <w:t>Any data elements used for recruitment of participants for semi-structured interviews, such as name and telephone number, will be destroyed after completion of the interview. Interview transcripts and resulting reports will not identify respondents by name.</w:t>
      </w:r>
    </w:p>
    <w:p w:rsidRPr="0097604A" w:rsidR="0029048E" w:rsidP="0097604A" w:rsidRDefault="0029048E" w14:paraId="1550F623" w14:textId="77777777">
      <w:pPr>
        <w:pStyle w:val="bulletblack"/>
        <w:spacing w:before="0" w:beforeAutospacing="0" w:after="0" w:afterAutospacing="0"/>
        <w:ind w:left="720" w:right="144"/>
      </w:pPr>
    </w:p>
    <w:p w:rsidR="00DC135E" w:rsidP="0097604A" w:rsidRDefault="00DC135E" w14:paraId="5187AACA" w14:textId="421C0117">
      <w:pPr>
        <w:pStyle w:val="bulletblack"/>
        <w:numPr>
          <w:ilvl w:val="0"/>
          <w:numId w:val="16"/>
        </w:numPr>
        <w:spacing w:before="0" w:beforeAutospacing="0" w:after="0" w:afterAutospacing="0"/>
        <w:ind w:left="720" w:right="144"/>
      </w:pPr>
      <w:r w:rsidRPr="003F4BE4">
        <w:rPr>
          <w:b/>
        </w:rPr>
        <w:t>Obtaining informed consent from all interview participants.</w:t>
      </w:r>
      <w:r w:rsidRPr="003F4BE4">
        <w:t xml:space="preserve"> All interview participants will be informed that their participation in interviews is completely voluntary, that their information will be kept private</w:t>
      </w:r>
      <w:r w:rsidRPr="003F4BE4">
        <w:rPr>
          <w:kern w:val="2"/>
          <w:lang w:eastAsia="ar-SA"/>
        </w:rPr>
        <w:t xml:space="preserve">, and that members of the research team will be taking notes during the </w:t>
      </w:r>
      <w:proofErr w:type="gramStart"/>
      <w:r w:rsidRPr="003F4BE4">
        <w:rPr>
          <w:kern w:val="2"/>
          <w:lang w:eastAsia="ar-SA"/>
        </w:rPr>
        <w:t>interviews</w:t>
      </w:r>
      <w:proofErr w:type="gramEnd"/>
      <w:r w:rsidRPr="003F4BE4">
        <w:rPr>
          <w:kern w:val="2"/>
          <w:lang w:eastAsia="ar-SA"/>
        </w:rPr>
        <w:t xml:space="preserve"> but their names will not be attached to these notes and the evaluation team will not reveal statements made</w:t>
      </w:r>
      <w:r w:rsidRPr="003F4BE4" w:rsidR="00660EED">
        <w:rPr>
          <w:kern w:val="2"/>
          <w:lang w:eastAsia="ar-SA"/>
        </w:rPr>
        <w:t xml:space="preserve"> </w:t>
      </w:r>
      <w:r w:rsidRPr="003F4BE4">
        <w:rPr>
          <w:kern w:val="2"/>
          <w:lang w:eastAsia="ar-SA"/>
        </w:rPr>
        <w:t xml:space="preserve">by individuals to anyone outside of the evaluation team. Staff will be further informed that their participation or non-participation will not affect their employment, while participants will be informed </w:t>
      </w:r>
      <w:r w:rsidRPr="003F4BE4">
        <w:t xml:space="preserve">that their </w:t>
      </w:r>
      <w:r w:rsidRPr="003F4BE4">
        <w:rPr>
          <w:kern w:val="2"/>
          <w:lang w:eastAsia="ar-SA"/>
        </w:rPr>
        <w:t xml:space="preserve">participation or non-participation will not affect the services they receive. </w:t>
      </w:r>
      <w:r w:rsidRPr="003F4BE4">
        <w:t>The evaluation team will obtain verbal informed consent from staff</w:t>
      </w:r>
      <w:r w:rsidR="003F4BE4">
        <w:t xml:space="preserve">, </w:t>
      </w:r>
      <w:r w:rsidRPr="003F4BE4">
        <w:t>partners</w:t>
      </w:r>
      <w:r w:rsidR="003F4BE4">
        <w:t xml:space="preserve">, and </w:t>
      </w:r>
      <w:r w:rsidRPr="003F4BE4">
        <w:t>study participants prior to conducting interviews</w:t>
      </w:r>
      <w:r w:rsidR="003F4BE4">
        <w:t xml:space="preserve"> or focus groups</w:t>
      </w:r>
      <w:r w:rsidRPr="003F4BE4">
        <w:t>.</w:t>
      </w:r>
    </w:p>
    <w:p w:rsidR="0029048E" w:rsidP="0097604A" w:rsidRDefault="0029048E" w14:paraId="47629C9B" w14:textId="77777777">
      <w:pPr>
        <w:pStyle w:val="bulletblack"/>
        <w:spacing w:before="0" w:beforeAutospacing="0" w:after="0" w:afterAutospacing="0"/>
        <w:ind w:left="720" w:right="144"/>
      </w:pPr>
    </w:p>
    <w:p w:rsidR="0029048E" w:rsidP="0097604A" w:rsidRDefault="001E5EC7" w14:paraId="1F14594D" w14:textId="77777777">
      <w:pPr>
        <w:pStyle w:val="bulletblack"/>
        <w:numPr>
          <w:ilvl w:val="0"/>
          <w:numId w:val="16"/>
        </w:numPr>
        <w:spacing w:before="0" w:beforeAutospacing="0" w:after="0" w:afterAutospacing="0"/>
        <w:ind w:left="720" w:right="144"/>
      </w:pPr>
      <w:r w:rsidRPr="00706965">
        <w:rPr>
          <w:b/>
        </w:rPr>
        <w:t>Institutional data security protocols.</w:t>
      </w:r>
      <w:r w:rsidR="00667291">
        <w:t xml:space="preserve"> </w:t>
      </w:r>
      <w:r w:rsidRPr="00706965">
        <w:t xml:space="preserve"> </w:t>
      </w:r>
      <w:r w:rsidRPr="00706965" w:rsidR="00DC135E">
        <w:t xml:space="preserve">MDRC has strict confidentiality protocols for all research data collection and usage. </w:t>
      </w:r>
      <w:r w:rsidRPr="00706965" w:rsidR="006040FE">
        <w:t>The evaluation team complies with DOL data security requirements by implementing security controls for processes that it routinely uses in projects that involve sensitive data.</w:t>
      </w:r>
    </w:p>
    <w:p w:rsidRPr="00706965" w:rsidR="009A0F7F" w:rsidP="0097604A" w:rsidRDefault="009A0F7F" w14:paraId="69D36FF8" w14:textId="40AD00DB">
      <w:pPr>
        <w:pStyle w:val="bulletblack"/>
        <w:spacing w:before="0" w:beforeAutospacing="0" w:after="0" w:afterAutospacing="0"/>
        <w:ind w:right="144"/>
      </w:pPr>
    </w:p>
    <w:p w:rsidRPr="00706965" w:rsidR="00DC135E" w:rsidP="0097604A" w:rsidRDefault="00DC135E" w14:paraId="12709DFF" w14:textId="1BE0E2DC">
      <w:pPr>
        <w:pStyle w:val="bulletblack"/>
        <w:numPr>
          <w:ilvl w:val="0"/>
          <w:numId w:val="16"/>
        </w:numPr>
        <w:spacing w:before="0" w:beforeAutospacing="0" w:after="240" w:afterAutospacing="0"/>
        <w:ind w:left="720" w:right="144"/>
      </w:pPr>
      <w:r w:rsidRPr="00706965">
        <w:rPr>
          <w:b/>
        </w:rPr>
        <w:t xml:space="preserve">IRB approval. </w:t>
      </w:r>
      <w:r w:rsidR="0029048E">
        <w:t>T</w:t>
      </w:r>
      <w:r w:rsidRPr="00706965">
        <w:t xml:space="preserve">he </w:t>
      </w:r>
      <w:r w:rsidRPr="00706965" w:rsidR="008C0887">
        <w:t>data collection protocols</w:t>
      </w:r>
      <w:r w:rsidRPr="00706965">
        <w:t xml:space="preserve"> </w:t>
      </w:r>
      <w:r w:rsidR="0029048E">
        <w:t xml:space="preserve">have been approved by </w:t>
      </w:r>
      <w:r w:rsidRPr="00706965">
        <w:t>MDRC’s accredited IRB</w:t>
      </w:r>
      <w:r w:rsidRPr="0097604A" w:rsidR="0029048E">
        <w:t>.</w:t>
      </w:r>
      <w:r w:rsidRPr="0097604A">
        <w:t xml:space="preserve"> (IRB Registration Number 0003522, Federal-wide Assurance (FWA) Number 00003694).</w:t>
      </w:r>
    </w:p>
    <w:p w:rsidR="00871FB8" w:rsidP="002525F8" w:rsidRDefault="00EE33B1" w14:paraId="40C9EDFE" w14:textId="090B63A8">
      <w:pPr>
        <w:pStyle w:val="H3Alpha"/>
        <w:ind w:left="0" w:firstLine="0"/>
        <w:outlineLvl w:val="1"/>
        <w:rPr>
          <w:rFonts w:ascii="Times New Roman" w:hAnsi="Times New Roman"/>
          <w:i/>
        </w:rPr>
      </w:pPr>
      <w:bookmarkStart w:name="_Toc68878652" w:id="27"/>
      <w:r>
        <w:lastRenderedPageBreak/>
        <w:t xml:space="preserve">11. </w:t>
      </w:r>
      <w:r w:rsidRPr="00946B48" w:rsidR="005455E1">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7"/>
    </w:p>
    <w:p w:rsidRPr="005C45D4" w:rsidR="00EE33B1" w:rsidP="00EA6620" w:rsidRDefault="00A113D9" w14:paraId="5CB7F448" w14:textId="6EE0FEC9">
      <w:pPr>
        <w:pStyle w:val="NormalSS"/>
        <w:ind w:firstLine="0"/>
      </w:pPr>
      <w:r w:rsidRPr="00EA6620">
        <w:rPr>
          <w:snapToGrid w:val="0"/>
          <w:szCs w:val="24"/>
        </w:rPr>
        <w:t xml:space="preserve">Staff and partner interviews focus on the experiences of program and </w:t>
      </w:r>
      <w:r w:rsidR="00706965">
        <w:rPr>
          <w:snapToGrid w:val="0"/>
          <w:szCs w:val="24"/>
        </w:rPr>
        <w:t>partner</w:t>
      </w:r>
      <w:r w:rsidRPr="00EA6620">
        <w:rPr>
          <w:snapToGrid w:val="0"/>
          <w:szCs w:val="24"/>
        </w:rPr>
        <w:t xml:space="preserve"> staff with their jobs of delivering services. Similarly, there are no sensitive questions involved in the pilot survey</w:t>
      </w:r>
      <w:bookmarkEnd w:id="26"/>
      <w:r w:rsidR="00EA6620">
        <w:rPr>
          <w:rFonts w:ascii="Calibri" w:hAnsi="Calibri"/>
          <w:snapToGrid w:val="0"/>
          <w:sz w:val="20"/>
        </w:rPr>
        <w:t>.</w:t>
      </w:r>
      <w:r w:rsidR="00A53513">
        <w:rPr>
          <w:rFonts w:ascii="Calibri" w:hAnsi="Calibri"/>
          <w:snapToGrid w:val="0"/>
          <w:sz w:val="20"/>
        </w:rPr>
        <w:t xml:space="preserve"> </w:t>
      </w:r>
      <w:r w:rsidRPr="005C45D4" w:rsidR="00B769E6">
        <w:t xml:space="preserve">Participant </w:t>
      </w:r>
      <w:r>
        <w:t xml:space="preserve">interviews and </w:t>
      </w:r>
      <w:r w:rsidRPr="005C45D4" w:rsidR="00707ED3">
        <w:t xml:space="preserve">focus groups </w:t>
      </w:r>
      <w:r w:rsidRPr="005C45D4" w:rsidR="00B769E6">
        <w:t xml:space="preserve">will collect </w:t>
      </w:r>
      <w:r w:rsidRPr="005C45D4" w:rsidR="00A7074C">
        <w:t xml:space="preserve">demographic </w:t>
      </w:r>
      <w:r w:rsidRPr="005C45D4" w:rsidR="00B769E6">
        <w:t>data such as gender,</w:t>
      </w:r>
      <w:r w:rsidRPr="005C45D4" w:rsidR="00A7074C">
        <w:t xml:space="preserve"> </w:t>
      </w:r>
      <w:r w:rsidR="00FA702F">
        <w:t xml:space="preserve">living arrangements, </w:t>
      </w:r>
      <w:r w:rsidRPr="005C45D4" w:rsidR="00A7074C">
        <w:t>employment status</w:t>
      </w:r>
      <w:r w:rsidRPr="005C45D4" w:rsidR="00B769E6">
        <w:t>,</w:t>
      </w:r>
      <w:r w:rsidRPr="005C45D4" w:rsidR="00A7074C">
        <w:t xml:space="preserve"> </w:t>
      </w:r>
      <w:r w:rsidR="00FA702F">
        <w:t xml:space="preserve">and </w:t>
      </w:r>
      <w:r w:rsidRPr="005C45D4" w:rsidR="00A7074C">
        <w:t xml:space="preserve">education </w:t>
      </w:r>
      <w:r w:rsidR="00FA702F">
        <w:t xml:space="preserve">history. </w:t>
      </w:r>
      <w:r w:rsidRPr="005C45D4" w:rsidR="00A7074C">
        <w:t xml:space="preserve">This information will describe participant backgrounds and </w:t>
      </w:r>
      <w:r w:rsidRPr="005C45D4" w:rsidR="002768F8">
        <w:t>reasons for seeking services through</w:t>
      </w:r>
      <w:r w:rsidRPr="005C45D4" w:rsidR="00A7074C">
        <w:t xml:space="preserve"> </w:t>
      </w:r>
      <w:r>
        <w:t>Job Corps pilots</w:t>
      </w:r>
      <w:r w:rsidRPr="005C45D4" w:rsidR="00283CBE">
        <w:t>, which could be considered sensitive</w:t>
      </w:r>
      <w:r w:rsidRPr="005C45D4" w:rsidR="00A7074C">
        <w:t>.</w:t>
      </w:r>
      <w:r w:rsidRPr="005C45D4" w:rsidR="00350CDF">
        <w:t xml:space="preserve"> </w:t>
      </w:r>
      <w:r w:rsidRPr="005C45D4" w:rsidR="00994A4D">
        <w:t>The i</w:t>
      </w:r>
      <w:r w:rsidRPr="005C45D4" w:rsidR="00350CDF">
        <w:t xml:space="preserve">nformation </w:t>
      </w:r>
      <w:r w:rsidRPr="005C45D4" w:rsidR="00994A4D">
        <w:t>will be important for</w:t>
      </w:r>
      <w:r w:rsidRPr="005C45D4" w:rsidR="00350CDF">
        <w:t xml:space="preserve"> </w:t>
      </w:r>
      <w:r w:rsidR="00B20BB5">
        <w:t>describing participants who take part in interviews</w:t>
      </w:r>
      <w:r w:rsidRPr="005C45D4" w:rsidR="00350CDF">
        <w:t xml:space="preserve">. Past evaluations have included similar questions without any evidence of significant harm. As described earlier, all </w:t>
      </w:r>
      <w:r w:rsidR="0024117D">
        <w:t>participants</w:t>
      </w:r>
      <w:r w:rsidRPr="005C45D4" w:rsidR="00350CDF">
        <w:t xml:space="preserve"> will be assured of the privacy of their responses before being asked </w:t>
      </w:r>
      <w:r w:rsidR="00C65EDD">
        <w:t xml:space="preserve">to </w:t>
      </w:r>
      <w:r w:rsidR="0024117D">
        <w:t>answer any question</w:t>
      </w:r>
      <w:r w:rsidR="00C13D89">
        <w:t>s</w:t>
      </w:r>
      <w:r w:rsidR="0024117D">
        <w:t xml:space="preserve"> and they</w:t>
      </w:r>
      <w:r w:rsidRPr="005C45D4" w:rsidR="00350CDF">
        <w:t xml:space="preserve"> can skip any questions they do not wish to answer. All data will be reported in aggregate, summary format only, eliminating the possibility of individual identification</w:t>
      </w:r>
      <w:r w:rsidRPr="005C45D4" w:rsidR="00C80948">
        <w:t xml:space="preserve"> and ensuring that individual responses are </w:t>
      </w:r>
      <w:r w:rsidR="00C65EDD">
        <w:t>confidential</w:t>
      </w:r>
      <w:r w:rsidR="006A510F">
        <w:t>.</w:t>
      </w:r>
      <w:r w:rsidRPr="005C45D4" w:rsidR="00A7074C">
        <w:t xml:space="preserve">   </w:t>
      </w:r>
      <w:r w:rsidRPr="005C45D4" w:rsidR="00B769E6">
        <w:t xml:space="preserve">  </w:t>
      </w:r>
    </w:p>
    <w:p w:rsidRPr="0021159E" w:rsidR="005455E1" w:rsidP="00577B5B" w:rsidRDefault="00EE33B1" w14:paraId="34C69A89" w14:textId="7CB9F15B">
      <w:pPr>
        <w:pStyle w:val="Heading2"/>
        <w:framePr w:wrap="auto" w:vAnchor="margin" w:yAlign="inline"/>
        <w:pBdr>
          <w:bottom w:val="none" w:color="auto" w:sz="0" w:space="0"/>
        </w:pBdr>
        <w:rPr>
          <w:i/>
        </w:rPr>
      </w:pPr>
      <w:bookmarkStart w:name="_Toc68878653" w:id="28"/>
      <w:bookmarkStart w:name="_Toc496104746" w:id="29"/>
      <w:r w:rsidRPr="005C45D4">
        <w:t xml:space="preserve">12. </w:t>
      </w:r>
      <w:r w:rsidRPr="00577B5B" w:rsidR="00577B5B">
        <w:rPr>
          <w:rFonts w:ascii="Times New Roman" w:hAnsi="Times New Roman"/>
          <w:i/>
          <w:caps w:val="0"/>
        </w:rPr>
        <w:t>Provide estimates of the hour burden of the collection of information.</w:t>
      </w:r>
      <w:bookmarkEnd w:id="28"/>
    </w:p>
    <w:p w:rsidRPr="00B31391" w:rsidR="00072E64" w:rsidP="00B31391" w:rsidRDefault="00072E64" w14:paraId="04B956D8" w14:textId="77777777">
      <w:pPr>
        <w:spacing w:line="240" w:lineRule="auto"/>
        <w:ind w:firstLine="0"/>
        <w:rPr>
          <w:i/>
        </w:rPr>
      </w:pPr>
      <w:r w:rsidRPr="00B31391">
        <w:rPr>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31391" w:rsidR="00072E64" w:rsidP="00B31391" w:rsidRDefault="00072E64" w14:paraId="554550EB" w14:textId="77777777">
      <w:pPr>
        <w:spacing w:line="240" w:lineRule="auto"/>
        <w:ind w:firstLine="0"/>
        <w:rPr>
          <w:i/>
        </w:rPr>
      </w:pPr>
      <w:r w:rsidRPr="00B31391">
        <w:rPr>
          <w:i/>
        </w:rPr>
        <w:t xml:space="preserve">* If this request for approval covers more than one form, provide separate hour burden estimates for each </w:t>
      </w:r>
      <w:proofErr w:type="gramStart"/>
      <w:r w:rsidRPr="00B31391">
        <w:rPr>
          <w:i/>
        </w:rPr>
        <w:t>form</w:t>
      </w:r>
      <w:proofErr w:type="gramEnd"/>
      <w:r w:rsidRPr="00B31391">
        <w:rPr>
          <w:i/>
        </w:rPr>
        <w:t xml:space="preserve"> and aggregate the hour burdens. </w:t>
      </w:r>
    </w:p>
    <w:p w:rsidR="00072E64" w:rsidP="00B31391" w:rsidRDefault="00072E64" w14:paraId="4F21F5D6" w14:textId="6A4DF1E1">
      <w:pPr>
        <w:spacing w:line="240" w:lineRule="auto"/>
        <w:ind w:firstLine="0"/>
        <w:rPr>
          <w:i/>
        </w:rPr>
      </w:pPr>
      <w:r w:rsidRPr="00B31391">
        <w:rPr>
          <w:i/>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786BFF" w:rsidP="00B31391" w:rsidRDefault="00786BFF" w14:paraId="4B45470A" w14:textId="3BC31F9A">
      <w:pPr>
        <w:spacing w:line="240" w:lineRule="auto"/>
        <w:ind w:firstLine="0"/>
        <w:rPr>
          <w:i/>
        </w:rPr>
      </w:pPr>
    </w:p>
    <w:p w:rsidRPr="00072E64" w:rsidR="00072E64" w:rsidP="00B31391" w:rsidRDefault="00072E64" w14:paraId="34C09DBC" w14:textId="77777777">
      <w:pPr>
        <w:spacing w:line="240" w:lineRule="auto"/>
        <w:ind w:firstLine="0"/>
      </w:pPr>
    </w:p>
    <w:bookmarkEnd w:id="29"/>
    <w:p w:rsidR="00EE33B1" w:rsidP="00F449A4" w:rsidRDefault="00EE33B1" w14:paraId="217BBA89" w14:textId="6163E783">
      <w:pPr>
        <w:pStyle w:val="NormalSS"/>
        <w:ind w:firstLine="0"/>
      </w:pPr>
      <w:r>
        <w:t xml:space="preserve">Table A.3 provides annual burden estimates for each of the data collection activities for which this package requests clearance. </w:t>
      </w:r>
      <w:proofErr w:type="gramStart"/>
      <w:r>
        <w:t>All of</w:t>
      </w:r>
      <w:proofErr w:type="gramEnd"/>
      <w:r>
        <w:t xml:space="preserve"> the activities covered by this request will take place </w:t>
      </w:r>
      <w:r w:rsidR="00031F73">
        <w:t>over</w:t>
      </w:r>
      <w:r>
        <w:t xml:space="preserve"> a </w:t>
      </w:r>
      <w:r w:rsidR="00A56D86">
        <w:t>one-year</w:t>
      </w:r>
      <w:r>
        <w:t xml:space="preserve"> period. To calculate the estimated cost burden for respondents, average hourly wages from the U.S. Bureau of Labor Statistics, National, State, Metropolitan, and Nonmetropolitan Area Occupational Employment and Wage Estimates for May </w:t>
      </w:r>
      <w:r w:rsidR="005E3769">
        <w:t>20</w:t>
      </w:r>
      <w:r w:rsidR="00FA672C">
        <w:t>20</w:t>
      </w:r>
      <w:r w:rsidR="005E3769">
        <w:t xml:space="preserve"> </w:t>
      </w:r>
      <w:r>
        <w:t xml:space="preserve">were multiplied by the number of hours per respondent type. The following summarizes the annual burden estimates for each of the </w:t>
      </w:r>
      <w:r w:rsidR="00F449A4">
        <w:t>four</w:t>
      </w:r>
      <w:r w:rsidR="009233DF">
        <w:t xml:space="preserve"> </w:t>
      </w:r>
      <w:r>
        <w:t>data collection activities:</w:t>
      </w:r>
    </w:p>
    <w:p w:rsidR="001517EF" w:rsidP="001517EF" w:rsidRDefault="001517EF" w14:paraId="7B2BAF19" w14:textId="7268B3F4">
      <w:pPr>
        <w:pStyle w:val="ListParagraph"/>
        <w:numPr>
          <w:ilvl w:val="0"/>
          <w:numId w:val="17"/>
        </w:numPr>
        <w:autoSpaceDE w:val="0"/>
        <w:autoSpaceDN w:val="0"/>
        <w:adjustRightInd w:val="0"/>
        <w:spacing w:line="240" w:lineRule="auto"/>
        <w:rPr>
          <w:rFonts w:eastAsiaTheme="minorEastAsia"/>
          <w:color w:val="000000"/>
          <w:szCs w:val="24"/>
        </w:rPr>
      </w:pPr>
      <w:r w:rsidRPr="005F275A">
        <w:rPr>
          <w:rFonts w:eastAsiaTheme="minorEastAsia"/>
          <w:i/>
          <w:color w:val="000000"/>
          <w:szCs w:val="24"/>
        </w:rPr>
        <w:t>Program survey of demonstration pilot grantees.</w:t>
      </w:r>
      <w:r w:rsidRPr="005F275A">
        <w:rPr>
          <w:rFonts w:eastAsiaTheme="minorEastAsia"/>
          <w:color w:val="000000"/>
          <w:szCs w:val="24"/>
        </w:rPr>
        <w:t xml:space="preserve">  The survey will be targeted at program directors. The survey will be fielded to all </w:t>
      </w:r>
      <w:r>
        <w:rPr>
          <w:rFonts w:eastAsiaTheme="minorEastAsia"/>
          <w:color w:val="000000"/>
          <w:szCs w:val="24"/>
        </w:rPr>
        <w:t>30</w:t>
      </w:r>
      <w:r w:rsidRPr="005F275A">
        <w:rPr>
          <w:rFonts w:eastAsiaTheme="minorEastAsia"/>
          <w:color w:val="000000"/>
          <w:szCs w:val="24"/>
        </w:rPr>
        <w:t xml:space="preserve"> pilot demonstration sites in </w:t>
      </w:r>
      <w:r w:rsidR="008E53DF">
        <w:rPr>
          <w:rFonts w:eastAsiaTheme="minorEastAsia"/>
          <w:color w:val="000000"/>
          <w:szCs w:val="24"/>
        </w:rPr>
        <w:t xml:space="preserve">early </w:t>
      </w:r>
      <w:r w:rsidRPr="005F275A">
        <w:rPr>
          <w:rFonts w:eastAsiaTheme="minorEastAsia"/>
          <w:color w:val="000000"/>
          <w:szCs w:val="24"/>
        </w:rPr>
        <w:t xml:space="preserve">2022. </w:t>
      </w:r>
      <w:r w:rsidR="00696AF1">
        <w:rPr>
          <w:rFonts w:eastAsiaTheme="minorEastAsia"/>
          <w:color w:val="000000"/>
          <w:szCs w:val="24"/>
        </w:rPr>
        <w:t xml:space="preserve">On average, the online survey will take </w:t>
      </w:r>
      <w:r w:rsidR="002319B1">
        <w:rPr>
          <w:rFonts w:eastAsiaTheme="minorEastAsia"/>
          <w:color w:val="000000"/>
          <w:szCs w:val="24"/>
        </w:rPr>
        <w:t>approximately</w:t>
      </w:r>
      <w:r w:rsidR="00B24080">
        <w:rPr>
          <w:rFonts w:eastAsiaTheme="minorEastAsia"/>
          <w:color w:val="000000"/>
          <w:szCs w:val="24"/>
        </w:rPr>
        <w:t xml:space="preserve"> </w:t>
      </w:r>
      <w:r w:rsidR="00696AF1">
        <w:rPr>
          <w:rFonts w:eastAsiaTheme="minorEastAsia"/>
          <w:color w:val="000000"/>
          <w:szCs w:val="24"/>
        </w:rPr>
        <w:t xml:space="preserve">2 hours per grantee to complete.  We </w:t>
      </w:r>
      <w:r w:rsidR="00696AF1">
        <w:rPr>
          <w:rFonts w:eastAsiaTheme="minorEastAsia"/>
          <w:color w:val="000000"/>
          <w:szCs w:val="24"/>
        </w:rPr>
        <w:lastRenderedPageBreak/>
        <w:t xml:space="preserve">expect that in most cases the pilot program director or manager will complete the survey. </w:t>
      </w:r>
      <w:r w:rsidRPr="00C15996" w:rsidR="00696AF1">
        <w:rPr>
          <w:rFonts w:eastAsiaTheme="minorEastAsia"/>
          <w:color w:val="000000"/>
          <w:szCs w:val="24"/>
        </w:rPr>
        <w:t xml:space="preserve">The total burden for survey is </w:t>
      </w:r>
      <w:r w:rsidRPr="00C15996" w:rsidR="00D04C9B">
        <w:rPr>
          <w:rFonts w:eastAsiaTheme="minorEastAsia"/>
          <w:color w:val="000000"/>
          <w:szCs w:val="24"/>
        </w:rPr>
        <w:t>60 hours (</w:t>
      </w:r>
      <w:r w:rsidRPr="00C15996" w:rsidR="00C15996">
        <w:rPr>
          <w:rFonts w:eastAsiaTheme="minorEastAsia"/>
          <w:color w:val="000000"/>
          <w:szCs w:val="24"/>
        </w:rPr>
        <w:t>30 pilots (26 Job Scholars + 4 Idaho) x 2 hours)</w:t>
      </w:r>
      <w:r w:rsidRPr="00C15996" w:rsidR="00696AF1">
        <w:rPr>
          <w:rFonts w:eastAsiaTheme="minorEastAsia"/>
          <w:color w:val="000000"/>
          <w:szCs w:val="24"/>
        </w:rPr>
        <w:t>.</w:t>
      </w:r>
      <w:r w:rsidR="00696AF1">
        <w:rPr>
          <w:rFonts w:eastAsiaTheme="minorEastAsia"/>
          <w:color w:val="000000"/>
          <w:szCs w:val="24"/>
        </w:rPr>
        <w:t xml:space="preserve"> </w:t>
      </w:r>
    </w:p>
    <w:p w:rsidRPr="00DF7C12" w:rsidR="00DF7C12" w:rsidP="0087343A" w:rsidRDefault="00DF7C12" w14:paraId="235F11FD" w14:textId="77777777">
      <w:pPr>
        <w:autoSpaceDE w:val="0"/>
        <w:autoSpaceDN w:val="0"/>
        <w:adjustRightInd w:val="0"/>
        <w:spacing w:line="240" w:lineRule="auto"/>
        <w:ind w:firstLine="0"/>
        <w:rPr>
          <w:rFonts w:eastAsiaTheme="minorEastAsia"/>
          <w:color w:val="000000"/>
          <w:szCs w:val="24"/>
        </w:rPr>
      </w:pPr>
    </w:p>
    <w:p w:rsidRPr="00660B53" w:rsidR="0087343A" w:rsidP="00660B53" w:rsidRDefault="001517EF" w14:paraId="602BCC42" w14:textId="223DD8AF">
      <w:pPr>
        <w:pStyle w:val="ListParagraph"/>
        <w:numPr>
          <w:ilvl w:val="0"/>
          <w:numId w:val="17"/>
        </w:numPr>
        <w:autoSpaceDE w:val="0"/>
        <w:autoSpaceDN w:val="0"/>
        <w:adjustRightInd w:val="0"/>
        <w:spacing w:line="240" w:lineRule="auto"/>
        <w:rPr>
          <w:rFonts w:eastAsiaTheme="minorEastAsia"/>
          <w:color w:val="000000"/>
        </w:rPr>
      </w:pPr>
      <w:r w:rsidRPr="005F275A">
        <w:rPr>
          <w:rFonts w:eastAsiaTheme="minorEastAsia"/>
          <w:i/>
          <w:iCs/>
          <w:color w:val="000000"/>
        </w:rPr>
        <w:t xml:space="preserve">Semi-structured </w:t>
      </w:r>
      <w:r w:rsidRPr="005F275A">
        <w:rPr>
          <w:i/>
          <w:iCs/>
        </w:rPr>
        <w:t>interviews with program staff and staff from selected community partner organizations topic guide.</w:t>
      </w:r>
      <w:r w:rsidRPr="005F275A">
        <w:rPr>
          <w:rFonts w:eastAsiaTheme="minorEastAsia"/>
          <w:i/>
          <w:iCs/>
          <w:color w:val="000000"/>
        </w:rPr>
        <w:t xml:space="preserve"> </w:t>
      </w:r>
      <w:r w:rsidRPr="005F275A">
        <w:rPr>
          <w:rFonts w:eastAsiaTheme="minorEastAsia"/>
          <w:color w:val="000000" w:themeColor="text1"/>
        </w:rPr>
        <w:t>Each of the pilot demonstration projects draw on a range of staff and partners that deliver services; thus, interviews may include pilot</w:t>
      </w:r>
      <w:r w:rsidRPr="005F275A">
        <w:rPr>
          <w:rFonts w:eastAsiaTheme="minorEastAsia"/>
          <w:color w:val="000000"/>
        </w:rPr>
        <w:t xml:space="preserve"> staff, partner staff, employers, </w:t>
      </w:r>
      <w:r w:rsidRPr="005F275A">
        <w:rPr>
          <w:rFonts w:eastAsiaTheme="minorEastAsia"/>
          <w:color w:val="000000" w:themeColor="text1"/>
        </w:rPr>
        <w:t xml:space="preserve">and </w:t>
      </w:r>
      <w:r w:rsidRPr="005F275A">
        <w:rPr>
          <w:rFonts w:eastAsiaTheme="minorEastAsia"/>
          <w:color w:val="000000"/>
        </w:rPr>
        <w:t xml:space="preserve">training and education providers. The team will conduct </w:t>
      </w:r>
      <w:r w:rsidR="006A510F">
        <w:rPr>
          <w:rFonts w:eastAsiaTheme="minorEastAsia"/>
          <w:color w:val="000000"/>
        </w:rPr>
        <w:t>one</w:t>
      </w:r>
      <w:r w:rsidR="00977768">
        <w:rPr>
          <w:rFonts w:eastAsiaTheme="minorEastAsia"/>
          <w:color w:val="000000"/>
        </w:rPr>
        <w:t xml:space="preserve"> site visit</w:t>
      </w:r>
      <w:r w:rsidR="00600670">
        <w:rPr>
          <w:rFonts w:eastAsiaTheme="minorEastAsia"/>
          <w:color w:val="000000"/>
        </w:rPr>
        <w:t xml:space="preserve"> </w:t>
      </w:r>
      <w:r w:rsidR="00307979">
        <w:rPr>
          <w:rFonts w:eastAsiaTheme="minorEastAsia"/>
          <w:color w:val="000000"/>
        </w:rPr>
        <w:t xml:space="preserve">(in-person or virtual) </w:t>
      </w:r>
      <w:r w:rsidRPr="005F275A">
        <w:rPr>
          <w:rFonts w:eastAsiaTheme="minorEastAsia"/>
          <w:color w:val="000000"/>
        </w:rPr>
        <w:t xml:space="preserve">to Idaho Job Scholars </w:t>
      </w:r>
      <w:r w:rsidR="00D04C9B">
        <w:rPr>
          <w:rFonts w:eastAsiaTheme="minorEastAsia"/>
          <w:color w:val="000000"/>
        </w:rPr>
        <w:t xml:space="preserve">(which may include multiple locations) </w:t>
      </w:r>
      <w:r w:rsidRPr="005F275A">
        <w:rPr>
          <w:rFonts w:eastAsiaTheme="minorEastAsia"/>
          <w:color w:val="000000"/>
        </w:rPr>
        <w:t xml:space="preserve">and will interview </w:t>
      </w:r>
      <w:r w:rsidR="002319B1">
        <w:rPr>
          <w:rFonts w:eastAsiaTheme="minorEastAsia"/>
          <w:color w:val="000000"/>
        </w:rPr>
        <w:t>approximately</w:t>
      </w:r>
      <w:r w:rsidRPr="005F275A">
        <w:rPr>
          <w:rFonts w:eastAsiaTheme="minorEastAsia"/>
          <w:color w:val="000000"/>
        </w:rPr>
        <w:t xml:space="preserve"> </w:t>
      </w:r>
      <w:r w:rsidR="002C7C5F">
        <w:rPr>
          <w:rFonts w:eastAsiaTheme="minorEastAsia"/>
          <w:color w:val="000000"/>
        </w:rPr>
        <w:t>25</w:t>
      </w:r>
      <w:r w:rsidRPr="005F275A">
        <w:rPr>
          <w:rFonts w:eastAsiaTheme="minorEastAsia"/>
          <w:color w:val="000000"/>
        </w:rPr>
        <w:t xml:space="preserve"> staff, partners and employers associated with the program. </w:t>
      </w:r>
      <w:r w:rsidR="002319B1">
        <w:rPr>
          <w:rFonts w:eastAsiaTheme="minorEastAsia"/>
          <w:color w:val="000000"/>
        </w:rPr>
        <w:t>Approximately</w:t>
      </w:r>
      <w:r w:rsidRPr="005F275A">
        <w:rPr>
          <w:rFonts w:eastAsiaTheme="minorEastAsia"/>
          <w:color w:val="000000"/>
        </w:rPr>
        <w:t xml:space="preserve"> five Job Scholars sites will be selected for site visits, which will also take place virtually or in-person and will include </w:t>
      </w:r>
      <w:r w:rsidR="002319B1">
        <w:rPr>
          <w:rFonts w:eastAsiaTheme="minorEastAsia"/>
          <w:color w:val="000000"/>
        </w:rPr>
        <w:t>approximately</w:t>
      </w:r>
      <w:r w:rsidRPr="005F275A">
        <w:rPr>
          <w:rFonts w:eastAsiaTheme="minorEastAsia"/>
          <w:color w:val="000000"/>
        </w:rPr>
        <w:t xml:space="preserve"> 15 interviews. </w:t>
      </w:r>
      <w:r w:rsidR="002319B1">
        <w:rPr>
          <w:rFonts w:eastAsiaTheme="minorEastAsia"/>
          <w:color w:val="000000"/>
        </w:rPr>
        <w:t>Approximately</w:t>
      </w:r>
      <w:r w:rsidRPr="005F275A">
        <w:rPr>
          <w:rFonts w:eastAsiaTheme="minorEastAsia"/>
          <w:color w:val="000000"/>
        </w:rPr>
        <w:t xml:space="preserve"> 15 Job Scholars sites will be selected for phone interviews, and </w:t>
      </w:r>
      <w:r w:rsidR="002319B1">
        <w:rPr>
          <w:rFonts w:eastAsiaTheme="minorEastAsia"/>
          <w:color w:val="000000"/>
        </w:rPr>
        <w:t>approximately</w:t>
      </w:r>
      <w:r w:rsidRPr="005F275A">
        <w:rPr>
          <w:rFonts w:eastAsiaTheme="minorEastAsia"/>
          <w:color w:val="000000"/>
        </w:rPr>
        <w:t xml:space="preserve"> five staff, partners or employers at these sites will participate.</w:t>
      </w:r>
      <w:r w:rsidR="00585679">
        <w:rPr>
          <w:rFonts w:eastAsiaTheme="minorEastAsia"/>
          <w:color w:val="000000"/>
        </w:rPr>
        <w:t xml:space="preserve"> Each interview will take </w:t>
      </w:r>
      <w:r w:rsidR="002319B1">
        <w:rPr>
          <w:rFonts w:eastAsiaTheme="minorEastAsia"/>
          <w:color w:val="000000"/>
        </w:rPr>
        <w:t>approximately</w:t>
      </w:r>
      <w:r w:rsidR="00585679">
        <w:rPr>
          <w:rFonts w:eastAsiaTheme="minorEastAsia"/>
          <w:color w:val="000000"/>
        </w:rPr>
        <w:t xml:space="preserve"> 90 minutes to complete.</w:t>
      </w:r>
      <w:r w:rsidR="00660B53">
        <w:rPr>
          <w:rFonts w:eastAsiaTheme="minorEastAsia"/>
          <w:color w:val="000000"/>
        </w:rPr>
        <w:t xml:space="preserve"> All interviews will take place in 2022.</w:t>
      </w:r>
      <w:r w:rsidR="00585679">
        <w:rPr>
          <w:rFonts w:eastAsiaTheme="minorEastAsia"/>
          <w:color w:val="000000"/>
        </w:rPr>
        <w:t xml:space="preserve">  The total burden for </w:t>
      </w:r>
      <w:r w:rsidR="005A5943">
        <w:rPr>
          <w:rFonts w:eastAsiaTheme="minorEastAsia"/>
          <w:color w:val="000000"/>
        </w:rPr>
        <w:t xml:space="preserve">staff interviews is </w:t>
      </w:r>
      <w:r w:rsidR="002C7C5F">
        <w:rPr>
          <w:rFonts w:eastAsiaTheme="minorEastAsia"/>
          <w:color w:val="000000"/>
        </w:rPr>
        <w:t>262.5</w:t>
      </w:r>
      <w:r w:rsidR="005A5943">
        <w:rPr>
          <w:rFonts w:eastAsiaTheme="minorEastAsia"/>
          <w:color w:val="000000"/>
        </w:rPr>
        <w:t xml:space="preserve"> hours (1x</w:t>
      </w:r>
      <w:r w:rsidR="002C7C5F">
        <w:rPr>
          <w:rFonts w:eastAsiaTheme="minorEastAsia"/>
          <w:color w:val="000000"/>
        </w:rPr>
        <w:t>25</w:t>
      </w:r>
      <w:r w:rsidR="00E87384">
        <w:rPr>
          <w:rFonts w:eastAsiaTheme="minorEastAsia"/>
          <w:color w:val="000000"/>
        </w:rPr>
        <w:t xml:space="preserve"> for Idaho site visit </w:t>
      </w:r>
      <w:r w:rsidR="005A5943">
        <w:rPr>
          <w:rFonts w:eastAsiaTheme="minorEastAsia"/>
          <w:color w:val="000000"/>
        </w:rPr>
        <w:t>+5x15</w:t>
      </w:r>
      <w:r w:rsidR="00E87384">
        <w:rPr>
          <w:rFonts w:eastAsiaTheme="minorEastAsia"/>
          <w:color w:val="000000"/>
        </w:rPr>
        <w:t xml:space="preserve"> for Job Scholars site visit </w:t>
      </w:r>
      <w:r w:rsidR="005A5943">
        <w:rPr>
          <w:rFonts w:eastAsiaTheme="minorEastAsia"/>
          <w:color w:val="000000"/>
        </w:rPr>
        <w:t>+</w:t>
      </w:r>
      <w:r w:rsidR="00E87384">
        <w:rPr>
          <w:rFonts w:eastAsiaTheme="minorEastAsia"/>
          <w:color w:val="000000"/>
        </w:rPr>
        <w:t>15x5 for Job Scholars interviews</w:t>
      </w:r>
      <w:r w:rsidR="00746BC8">
        <w:rPr>
          <w:rFonts w:eastAsiaTheme="minorEastAsia"/>
          <w:color w:val="000000"/>
        </w:rPr>
        <w:t xml:space="preserve"> x 90/60 hours)</w:t>
      </w:r>
      <w:r w:rsidR="00E87384">
        <w:rPr>
          <w:rFonts w:eastAsiaTheme="minorEastAsia"/>
          <w:color w:val="000000"/>
        </w:rPr>
        <w:t>)</w:t>
      </w:r>
    </w:p>
    <w:p w:rsidRPr="005F275A" w:rsidR="001517EF" w:rsidP="001517EF" w:rsidRDefault="001517EF" w14:paraId="771467B9" w14:textId="77777777">
      <w:pPr>
        <w:autoSpaceDE w:val="0"/>
        <w:autoSpaceDN w:val="0"/>
        <w:adjustRightInd w:val="0"/>
        <w:spacing w:line="240" w:lineRule="auto"/>
        <w:jc w:val="both"/>
        <w:rPr>
          <w:rFonts w:eastAsiaTheme="minorEastAsia"/>
          <w:color w:val="000000"/>
        </w:rPr>
      </w:pPr>
    </w:p>
    <w:p w:rsidRPr="00660B53" w:rsidR="001517EF" w:rsidP="00660B53" w:rsidRDefault="001517EF" w14:paraId="68A7CD58" w14:textId="19C2410E">
      <w:pPr>
        <w:pStyle w:val="ListParagraph"/>
        <w:numPr>
          <w:ilvl w:val="0"/>
          <w:numId w:val="17"/>
        </w:numPr>
        <w:autoSpaceDE w:val="0"/>
        <w:autoSpaceDN w:val="0"/>
        <w:adjustRightInd w:val="0"/>
        <w:spacing w:line="240" w:lineRule="auto"/>
        <w:rPr>
          <w:rFonts w:eastAsiaTheme="minorEastAsia"/>
          <w:color w:val="000000"/>
        </w:rPr>
      </w:pPr>
      <w:r w:rsidRPr="00531C14">
        <w:rPr>
          <w:rFonts w:eastAsiaTheme="minorEastAsia"/>
          <w:i/>
          <w:color w:val="000000"/>
          <w:szCs w:val="24"/>
        </w:rPr>
        <w:t xml:space="preserve">Participant interviews or focus </w:t>
      </w:r>
      <w:r w:rsidR="008E53DF">
        <w:rPr>
          <w:rFonts w:eastAsiaTheme="minorEastAsia"/>
          <w:i/>
          <w:color w:val="000000"/>
          <w:szCs w:val="24"/>
        </w:rPr>
        <w:t>group</w:t>
      </w:r>
      <w:r w:rsidRPr="00531C14" w:rsidR="008E53DF">
        <w:rPr>
          <w:rFonts w:eastAsiaTheme="minorEastAsia"/>
          <w:i/>
          <w:color w:val="000000"/>
          <w:szCs w:val="24"/>
        </w:rPr>
        <w:t xml:space="preserve"> </w:t>
      </w:r>
      <w:r w:rsidRPr="00531C14">
        <w:rPr>
          <w:rFonts w:eastAsiaTheme="minorEastAsia"/>
          <w:i/>
          <w:color w:val="000000"/>
          <w:szCs w:val="24"/>
        </w:rPr>
        <w:t xml:space="preserve">guide. </w:t>
      </w:r>
      <w:r w:rsidRPr="00531C14">
        <w:rPr>
          <w:rFonts w:eastAsiaTheme="minorEastAsia"/>
          <w:color w:val="000000"/>
          <w:szCs w:val="24"/>
        </w:rPr>
        <w:t>These interviews or focus groups may be conducted in person, online, or over the phone.</w:t>
      </w:r>
      <w:r w:rsidRPr="00531C14">
        <w:rPr>
          <w:rFonts w:eastAsiaTheme="minorEastAsia"/>
          <w:i/>
          <w:color w:val="000000"/>
          <w:szCs w:val="24"/>
        </w:rPr>
        <w:t xml:space="preserve"> </w:t>
      </w:r>
      <w:r w:rsidRPr="00531C14">
        <w:rPr>
          <w:rFonts w:eastAsiaTheme="minorEastAsia"/>
          <w:color w:val="000000"/>
          <w:szCs w:val="24"/>
        </w:rPr>
        <w:t xml:space="preserve"> We will conduct interviews and focus groups with </w:t>
      </w:r>
      <w:r w:rsidR="002319B1">
        <w:rPr>
          <w:rFonts w:eastAsiaTheme="minorEastAsia"/>
          <w:color w:val="000000"/>
          <w:szCs w:val="24"/>
        </w:rPr>
        <w:t>approximately</w:t>
      </w:r>
      <w:r w:rsidRPr="00531C14">
        <w:rPr>
          <w:rFonts w:eastAsiaTheme="minorEastAsia"/>
          <w:color w:val="000000"/>
          <w:szCs w:val="24"/>
        </w:rPr>
        <w:t xml:space="preserve"> 25 participants at Idaho Job Corps.  At each of the </w:t>
      </w:r>
      <w:r w:rsidRPr="00531C14" w:rsidR="008E53DF">
        <w:rPr>
          <w:rFonts w:eastAsiaTheme="minorEastAsia"/>
          <w:color w:val="000000"/>
          <w:szCs w:val="24"/>
        </w:rPr>
        <w:t>five</w:t>
      </w:r>
      <w:r w:rsidRPr="00531C14">
        <w:rPr>
          <w:rFonts w:eastAsiaTheme="minorEastAsia"/>
          <w:color w:val="000000"/>
          <w:szCs w:val="24"/>
        </w:rPr>
        <w:t xml:space="preserve"> Job Scholars sites selected for site visits, we will conduct interviews and focus groups with </w:t>
      </w:r>
      <w:r w:rsidR="002319B1">
        <w:rPr>
          <w:rFonts w:eastAsiaTheme="minorEastAsia"/>
          <w:color w:val="000000"/>
          <w:szCs w:val="24"/>
        </w:rPr>
        <w:t>approximately</w:t>
      </w:r>
      <w:r w:rsidRPr="00531C14">
        <w:rPr>
          <w:rFonts w:eastAsiaTheme="minorEastAsia"/>
          <w:color w:val="000000"/>
          <w:szCs w:val="24"/>
        </w:rPr>
        <w:t xml:space="preserve"> 20 participants. At the remaining sites, we will conduct </w:t>
      </w:r>
      <w:r w:rsidR="002319B1">
        <w:rPr>
          <w:rFonts w:eastAsiaTheme="minorEastAsia"/>
          <w:color w:val="000000"/>
          <w:szCs w:val="24"/>
        </w:rPr>
        <w:t>approximately</w:t>
      </w:r>
      <w:r w:rsidRPr="00531C14">
        <w:rPr>
          <w:rFonts w:eastAsiaTheme="minorEastAsia"/>
          <w:color w:val="000000"/>
          <w:szCs w:val="24"/>
        </w:rPr>
        <w:t xml:space="preserve"> 50 phone interviews with participants. </w:t>
      </w:r>
      <w:r w:rsidR="00F42935">
        <w:rPr>
          <w:rFonts w:eastAsiaTheme="minorEastAsia"/>
          <w:color w:val="000000"/>
        </w:rPr>
        <w:t xml:space="preserve">Each interview or focus group will take </w:t>
      </w:r>
      <w:r w:rsidR="002319B1">
        <w:rPr>
          <w:rFonts w:eastAsiaTheme="minorEastAsia"/>
          <w:color w:val="000000"/>
        </w:rPr>
        <w:t>approximately</w:t>
      </w:r>
      <w:r w:rsidR="00F42935">
        <w:rPr>
          <w:rFonts w:eastAsiaTheme="minorEastAsia"/>
          <w:color w:val="000000"/>
        </w:rPr>
        <w:t xml:space="preserve"> 90 minutes to complete.</w:t>
      </w:r>
      <w:r w:rsidR="00660B53">
        <w:rPr>
          <w:rFonts w:eastAsiaTheme="minorEastAsia"/>
          <w:color w:val="000000"/>
        </w:rPr>
        <w:t xml:space="preserve"> All interviews will take place in 2022.</w:t>
      </w:r>
      <w:r w:rsidR="00F42935">
        <w:rPr>
          <w:rFonts w:eastAsiaTheme="minorEastAsia"/>
          <w:color w:val="000000"/>
        </w:rPr>
        <w:t xml:space="preserve"> </w:t>
      </w:r>
      <w:r w:rsidR="00531C14">
        <w:rPr>
          <w:rFonts w:eastAsiaTheme="minorEastAsia"/>
          <w:color w:val="000000"/>
        </w:rPr>
        <w:t>The total burden for participant interviews is 262.5 hours (1x25 for Idaho site visit +5x</w:t>
      </w:r>
      <w:r w:rsidR="00FF41A8">
        <w:rPr>
          <w:rFonts w:eastAsiaTheme="minorEastAsia"/>
          <w:color w:val="000000"/>
        </w:rPr>
        <w:t>2</w:t>
      </w:r>
      <w:r w:rsidR="00893763">
        <w:rPr>
          <w:rFonts w:eastAsiaTheme="minorEastAsia"/>
          <w:color w:val="000000"/>
        </w:rPr>
        <w:t>5</w:t>
      </w:r>
      <w:r w:rsidR="00531C14">
        <w:rPr>
          <w:rFonts w:eastAsiaTheme="minorEastAsia"/>
          <w:color w:val="000000"/>
        </w:rPr>
        <w:t xml:space="preserve"> for Job Scholars site visit +</w:t>
      </w:r>
      <w:r w:rsidR="00893763">
        <w:rPr>
          <w:rFonts w:eastAsiaTheme="minorEastAsia"/>
          <w:color w:val="000000"/>
        </w:rPr>
        <w:t xml:space="preserve"> 50 phone</w:t>
      </w:r>
      <w:r w:rsidR="00531C14">
        <w:rPr>
          <w:rFonts w:eastAsiaTheme="minorEastAsia"/>
          <w:color w:val="000000"/>
        </w:rPr>
        <w:t xml:space="preserve"> interviews x 90/60 hours))</w:t>
      </w:r>
    </w:p>
    <w:p w:rsidRPr="00531C14" w:rsidR="00531C14" w:rsidP="00531C14" w:rsidRDefault="00531C14" w14:paraId="135C543C" w14:textId="77777777">
      <w:pPr>
        <w:pStyle w:val="ListParagraph"/>
        <w:autoSpaceDE w:val="0"/>
        <w:autoSpaceDN w:val="0"/>
        <w:adjustRightInd w:val="0"/>
        <w:spacing w:line="240" w:lineRule="auto"/>
        <w:ind w:firstLine="0"/>
        <w:jc w:val="both"/>
        <w:rPr>
          <w:rFonts w:eastAsiaTheme="minorEastAsia"/>
          <w:color w:val="000000"/>
          <w:szCs w:val="24"/>
        </w:rPr>
      </w:pPr>
    </w:p>
    <w:p w:rsidRPr="005F275A" w:rsidR="001517EF" w:rsidP="001517EF" w:rsidRDefault="001517EF" w14:paraId="087D8CED" w14:textId="44ABD583">
      <w:pPr>
        <w:pStyle w:val="ListParagraph"/>
        <w:numPr>
          <w:ilvl w:val="0"/>
          <w:numId w:val="17"/>
        </w:numPr>
        <w:autoSpaceDE w:val="0"/>
        <w:autoSpaceDN w:val="0"/>
        <w:adjustRightInd w:val="0"/>
        <w:spacing w:line="240" w:lineRule="auto"/>
        <w:jc w:val="both"/>
        <w:rPr>
          <w:rFonts w:eastAsiaTheme="minorEastAsia"/>
          <w:color w:val="000000" w:themeColor="text1"/>
        </w:rPr>
      </w:pPr>
      <w:r w:rsidRPr="005F275A">
        <w:rPr>
          <w:rFonts w:eastAsiaTheme="minorEastAsia"/>
          <w:i/>
          <w:iCs/>
          <w:color w:val="000000" w:themeColor="text1"/>
        </w:rPr>
        <w:t xml:space="preserve">Impact feasibility assessment interviews with demonstration pilot staff topic guide. </w:t>
      </w:r>
      <w:r w:rsidRPr="005F275A">
        <w:rPr>
          <w:rFonts w:eastAsiaTheme="minorEastAsia"/>
          <w:color w:val="000000" w:themeColor="text1"/>
        </w:rPr>
        <w:t xml:space="preserve">The team will conduct phone, video or in person interviews with grantee staff who are involved in management, enrollment, and program services in 2022. The project will conduct 30 interviews across the 27 pilots. Idaho Job Corps will have </w:t>
      </w:r>
      <w:r w:rsidR="002319B1">
        <w:rPr>
          <w:rFonts w:eastAsiaTheme="minorEastAsia"/>
          <w:color w:val="000000" w:themeColor="text1"/>
        </w:rPr>
        <w:t>approximately</w:t>
      </w:r>
      <w:r w:rsidRPr="005F275A">
        <w:rPr>
          <w:rFonts w:eastAsiaTheme="minorEastAsia"/>
          <w:color w:val="000000" w:themeColor="text1"/>
        </w:rPr>
        <w:t xml:space="preserve"> </w:t>
      </w:r>
      <w:r w:rsidRPr="005F275A" w:rsidR="008E53DF">
        <w:rPr>
          <w:rFonts w:eastAsiaTheme="minorEastAsia"/>
          <w:color w:val="000000" w:themeColor="text1"/>
        </w:rPr>
        <w:t>five</w:t>
      </w:r>
      <w:r w:rsidRPr="005F275A">
        <w:rPr>
          <w:rFonts w:eastAsiaTheme="minorEastAsia"/>
          <w:color w:val="000000" w:themeColor="text1"/>
        </w:rPr>
        <w:t xml:space="preserve"> interviews, and the Job Scholars grantees will have </w:t>
      </w:r>
      <w:r w:rsidR="002319B1">
        <w:rPr>
          <w:rFonts w:eastAsiaTheme="minorEastAsia"/>
          <w:color w:val="000000" w:themeColor="text1"/>
        </w:rPr>
        <w:t>approximately</w:t>
      </w:r>
      <w:r w:rsidRPr="005F275A">
        <w:rPr>
          <w:rFonts w:eastAsiaTheme="minorEastAsia"/>
          <w:color w:val="000000" w:themeColor="text1"/>
        </w:rPr>
        <w:t xml:space="preserve"> 25 interviews. Some Job Scholars grantees will have </w:t>
      </w:r>
      <w:r w:rsidR="002319B1">
        <w:rPr>
          <w:rFonts w:eastAsiaTheme="minorEastAsia"/>
          <w:color w:val="000000" w:themeColor="text1"/>
        </w:rPr>
        <w:t>approximately</w:t>
      </w:r>
      <w:r w:rsidRPr="005F275A">
        <w:rPr>
          <w:rFonts w:eastAsiaTheme="minorEastAsia"/>
          <w:color w:val="000000" w:themeColor="text1"/>
        </w:rPr>
        <w:t xml:space="preserve"> </w:t>
      </w:r>
      <w:r w:rsidRPr="005F275A" w:rsidR="008E53DF">
        <w:rPr>
          <w:rFonts w:eastAsiaTheme="minorEastAsia"/>
          <w:color w:val="000000" w:themeColor="text1"/>
        </w:rPr>
        <w:t>three</w:t>
      </w:r>
      <w:r w:rsidRPr="005F275A">
        <w:rPr>
          <w:rFonts w:eastAsiaTheme="minorEastAsia"/>
          <w:color w:val="000000" w:themeColor="text1"/>
        </w:rPr>
        <w:t xml:space="preserve"> interviews and some grantees will have none. </w:t>
      </w:r>
      <w:r w:rsidR="00FD18CA">
        <w:rPr>
          <w:rFonts w:eastAsiaTheme="minorEastAsia"/>
          <w:color w:val="000000" w:themeColor="text1"/>
        </w:rPr>
        <w:t>The total burden for impact feasibility interviews is</w:t>
      </w:r>
      <w:r w:rsidR="004E41E8">
        <w:rPr>
          <w:rFonts w:eastAsiaTheme="minorEastAsia"/>
          <w:color w:val="000000" w:themeColor="text1"/>
        </w:rPr>
        <w:t xml:space="preserve"> 45 hours</w:t>
      </w:r>
      <w:r w:rsidR="00FD18CA">
        <w:rPr>
          <w:rFonts w:eastAsiaTheme="minorEastAsia"/>
          <w:color w:val="000000" w:themeColor="text1"/>
        </w:rPr>
        <w:t xml:space="preserve"> </w:t>
      </w:r>
      <w:r w:rsidR="00825DCD">
        <w:rPr>
          <w:rFonts w:eastAsiaTheme="minorEastAsia"/>
          <w:color w:val="000000" w:themeColor="text1"/>
        </w:rPr>
        <w:t xml:space="preserve">(30 interviews x </w:t>
      </w:r>
      <w:r w:rsidR="004E41E8">
        <w:rPr>
          <w:rFonts w:eastAsiaTheme="minorEastAsia"/>
          <w:color w:val="000000" w:themeColor="text1"/>
        </w:rPr>
        <w:t>90/60 hours).</w:t>
      </w:r>
    </w:p>
    <w:p w:rsidR="00542944" w:rsidP="00B324C5" w:rsidRDefault="00542944" w14:paraId="6286ACF4" w14:textId="50B570FE">
      <w:pPr>
        <w:pStyle w:val="NumberedBullet"/>
        <w:numPr>
          <w:ilvl w:val="0"/>
          <w:numId w:val="0"/>
        </w:numPr>
        <w:ind w:left="360"/>
        <w:sectPr w:rsidR="00542944" w:rsidSect="00577B5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00F16715" w:rsidP="00931AB6" w:rsidRDefault="00F16715" w14:paraId="3E9A2300" w14:textId="63F90020">
      <w:pPr>
        <w:pStyle w:val="NumberedBullet"/>
        <w:numPr>
          <w:ilvl w:val="0"/>
          <w:numId w:val="0"/>
        </w:numPr>
        <w:ind w:left="360" w:firstLine="270"/>
      </w:pPr>
    </w:p>
    <w:p w:rsidRPr="00AA47AB" w:rsidR="00F63B73" w:rsidP="00F63B73" w:rsidRDefault="00F63B73" w14:paraId="142DC7E8" w14:textId="24A9FEFC">
      <w:pPr>
        <w:pStyle w:val="MarkforTableTitle"/>
        <w:rPr>
          <w:rFonts w:ascii="Arial Narrow" w:hAnsi="Arial Narrow"/>
          <w:b/>
          <w:bCs/>
          <w:sz w:val="20"/>
          <w:szCs w:val="18"/>
        </w:rPr>
      </w:pPr>
      <w:r w:rsidRPr="00AA47AB">
        <w:rPr>
          <w:rFonts w:ascii="Arial Narrow" w:hAnsi="Arial Narrow"/>
          <w:b/>
          <w:bCs/>
          <w:sz w:val="20"/>
          <w:szCs w:val="18"/>
        </w:rPr>
        <w:t xml:space="preserve">Table A.3. Estimated Annualized Respondent Hour and Cost Burden </w:t>
      </w:r>
    </w:p>
    <w:tbl>
      <w:tblPr>
        <w:tblStyle w:val="SMPRTableBlack"/>
        <w:tblW w:w="5670" w:type="pct"/>
        <w:tblInd w:w="-450" w:type="dxa"/>
        <w:tblLayout w:type="fixed"/>
        <w:tblLook w:val="0000" w:firstRow="0" w:lastRow="0" w:firstColumn="0" w:lastColumn="0" w:noHBand="0" w:noVBand="0"/>
      </w:tblPr>
      <w:tblGrid>
        <w:gridCol w:w="2993"/>
        <w:gridCol w:w="1869"/>
        <w:gridCol w:w="1746"/>
        <w:gridCol w:w="1746"/>
        <w:gridCol w:w="1620"/>
        <w:gridCol w:w="1496"/>
        <w:gridCol w:w="1493"/>
        <w:gridCol w:w="1734"/>
      </w:tblGrid>
      <w:tr w:rsidRPr="00C62A6D" w:rsidR="00592A4A" w:rsidTr="00A83EF6" w14:paraId="526CB00F" w14:textId="77777777">
        <w:tc>
          <w:tcPr>
            <w:tcW w:w="1018" w:type="pct"/>
            <w:tcBorders>
              <w:top w:val="single" w:color="auto" w:sz="12" w:space="0"/>
              <w:bottom w:val="single" w:color="auto" w:sz="4" w:space="0"/>
            </w:tcBorders>
            <w:shd w:val="clear" w:color="auto" w:fill="6C6F70"/>
          </w:tcPr>
          <w:p w:rsidRPr="00AA47AB" w:rsidR="00037B93" w:rsidP="00737D0F" w:rsidRDefault="00037B93" w14:paraId="3B5AD617" w14:textId="77777777">
            <w:pPr>
              <w:pStyle w:val="TableHeaderLeft"/>
              <w:jc w:val="center"/>
              <w:rPr>
                <w:rFonts w:ascii="Arial Narrow" w:hAnsi="Arial Narrow"/>
                <w:szCs w:val="18"/>
              </w:rPr>
            </w:pPr>
            <w:r w:rsidRPr="00AA47AB">
              <w:rPr>
                <w:rFonts w:ascii="Arial Narrow" w:hAnsi="Arial Narrow"/>
                <w:szCs w:val="18"/>
              </w:rPr>
              <w:t>Data Collection Activity</w:t>
            </w:r>
          </w:p>
        </w:tc>
        <w:tc>
          <w:tcPr>
            <w:tcW w:w="636" w:type="pct"/>
            <w:tcBorders>
              <w:top w:val="single" w:color="auto" w:sz="12" w:space="0"/>
              <w:bottom w:val="single" w:color="auto" w:sz="4" w:space="0"/>
            </w:tcBorders>
            <w:shd w:val="clear" w:color="auto" w:fill="6C6F70"/>
          </w:tcPr>
          <w:p w:rsidRPr="00AA47AB" w:rsidR="00037B93" w:rsidP="00737D0F" w:rsidRDefault="003A5858" w14:paraId="2D9568FD" w14:textId="66B0B51E">
            <w:pPr>
              <w:pStyle w:val="TableHeaderCenter"/>
              <w:rPr>
                <w:rFonts w:ascii="Arial Narrow" w:hAnsi="Arial Narrow"/>
                <w:szCs w:val="18"/>
              </w:rPr>
            </w:pPr>
            <w:r w:rsidRPr="00AA47AB">
              <w:rPr>
                <w:rFonts w:ascii="Arial Narrow" w:hAnsi="Arial Narrow"/>
                <w:szCs w:val="18"/>
              </w:rPr>
              <w:t>N</w:t>
            </w:r>
            <w:r w:rsidRPr="00AA47AB" w:rsidR="00037B93">
              <w:rPr>
                <w:rFonts w:ascii="Arial Narrow" w:hAnsi="Arial Narrow"/>
                <w:szCs w:val="18"/>
              </w:rPr>
              <w:t>umber of respondents</w:t>
            </w:r>
          </w:p>
        </w:tc>
        <w:tc>
          <w:tcPr>
            <w:tcW w:w="594" w:type="pct"/>
            <w:tcBorders>
              <w:top w:val="single" w:color="auto" w:sz="12" w:space="0"/>
              <w:bottom w:val="single" w:color="auto" w:sz="4" w:space="0"/>
            </w:tcBorders>
            <w:shd w:val="clear" w:color="auto" w:fill="6C6F70"/>
          </w:tcPr>
          <w:p w:rsidRPr="00AA47AB" w:rsidR="00037B93" w:rsidP="00737D0F" w:rsidRDefault="00037B93" w14:paraId="57E96DB4" w14:textId="77777777">
            <w:pPr>
              <w:pStyle w:val="TableHeaderCenter"/>
              <w:rPr>
                <w:rFonts w:ascii="Arial Narrow" w:hAnsi="Arial Narrow"/>
                <w:szCs w:val="18"/>
              </w:rPr>
            </w:pPr>
            <w:r w:rsidRPr="00AA47AB">
              <w:rPr>
                <w:rFonts w:ascii="Arial Narrow" w:hAnsi="Arial Narrow"/>
                <w:szCs w:val="18"/>
              </w:rPr>
              <w:t>Number of responses per respondent</w:t>
            </w:r>
          </w:p>
        </w:tc>
        <w:tc>
          <w:tcPr>
            <w:tcW w:w="594" w:type="pct"/>
            <w:tcBorders>
              <w:top w:val="single" w:color="auto" w:sz="12" w:space="0"/>
              <w:bottom w:val="single" w:color="auto" w:sz="4" w:space="0"/>
            </w:tcBorders>
            <w:shd w:val="clear" w:color="auto" w:fill="6C6F70"/>
          </w:tcPr>
          <w:p w:rsidRPr="00AA47AB" w:rsidR="00037B93" w:rsidP="008F20DD" w:rsidRDefault="00037B93" w14:paraId="31226A48" w14:textId="7E263AD6">
            <w:pPr>
              <w:pStyle w:val="TableHeaderCenter"/>
              <w:rPr>
                <w:rFonts w:ascii="Arial Narrow" w:hAnsi="Arial Narrow"/>
                <w:szCs w:val="18"/>
              </w:rPr>
            </w:pPr>
            <w:r w:rsidRPr="00AA47AB">
              <w:rPr>
                <w:rFonts w:ascii="Arial Narrow" w:hAnsi="Arial Narrow"/>
                <w:szCs w:val="18"/>
              </w:rPr>
              <w:t xml:space="preserve">Total </w:t>
            </w:r>
            <w:r w:rsidRPr="00AA47AB" w:rsidR="008F20DD">
              <w:rPr>
                <w:rFonts w:ascii="Arial Narrow" w:hAnsi="Arial Narrow"/>
                <w:szCs w:val="18"/>
              </w:rPr>
              <w:t>n</w:t>
            </w:r>
            <w:r w:rsidRPr="00AA47AB">
              <w:rPr>
                <w:rFonts w:ascii="Arial Narrow" w:hAnsi="Arial Narrow"/>
                <w:szCs w:val="18"/>
              </w:rPr>
              <w:t xml:space="preserve">umber of </w:t>
            </w:r>
            <w:r w:rsidRPr="00AA47AB" w:rsidR="008F20DD">
              <w:rPr>
                <w:rFonts w:ascii="Arial Narrow" w:hAnsi="Arial Narrow"/>
                <w:szCs w:val="18"/>
              </w:rPr>
              <w:t>r</w:t>
            </w:r>
            <w:r w:rsidRPr="00AA47AB">
              <w:rPr>
                <w:rFonts w:ascii="Arial Narrow" w:hAnsi="Arial Narrow"/>
                <w:szCs w:val="18"/>
              </w:rPr>
              <w:t>esponses</w:t>
            </w:r>
          </w:p>
        </w:tc>
        <w:tc>
          <w:tcPr>
            <w:tcW w:w="551" w:type="pct"/>
            <w:tcBorders>
              <w:top w:val="single" w:color="auto" w:sz="12" w:space="0"/>
              <w:bottom w:val="single" w:color="auto" w:sz="4" w:space="0"/>
            </w:tcBorders>
            <w:shd w:val="clear" w:color="auto" w:fill="6C6F70"/>
          </w:tcPr>
          <w:p w:rsidRPr="00AA47AB" w:rsidR="00037B93" w:rsidP="008F20DD" w:rsidRDefault="00037B93" w14:paraId="10542879" w14:textId="1BAC2AD7">
            <w:pPr>
              <w:pStyle w:val="TableHeaderCenter"/>
              <w:rPr>
                <w:rFonts w:ascii="Arial Narrow" w:hAnsi="Arial Narrow"/>
                <w:szCs w:val="18"/>
              </w:rPr>
            </w:pPr>
            <w:r w:rsidRPr="00AA47AB">
              <w:rPr>
                <w:rFonts w:ascii="Arial Narrow" w:hAnsi="Arial Narrow"/>
                <w:szCs w:val="18"/>
              </w:rPr>
              <w:t xml:space="preserve">Average burden per response (in </w:t>
            </w:r>
            <w:r w:rsidRPr="00AA47AB" w:rsidR="008F20DD">
              <w:rPr>
                <w:rFonts w:ascii="Arial Narrow" w:hAnsi="Arial Narrow"/>
                <w:szCs w:val="18"/>
              </w:rPr>
              <w:t>h</w:t>
            </w:r>
            <w:r w:rsidRPr="00AA47AB">
              <w:rPr>
                <w:rFonts w:ascii="Arial Narrow" w:hAnsi="Arial Narrow"/>
                <w:szCs w:val="18"/>
              </w:rPr>
              <w:t>ours)</w:t>
            </w:r>
          </w:p>
        </w:tc>
        <w:tc>
          <w:tcPr>
            <w:tcW w:w="509" w:type="pct"/>
            <w:tcBorders>
              <w:top w:val="single" w:color="auto" w:sz="12" w:space="0"/>
              <w:bottom w:val="single" w:color="auto" w:sz="4" w:space="0"/>
            </w:tcBorders>
            <w:shd w:val="clear" w:color="auto" w:fill="6C6F70"/>
          </w:tcPr>
          <w:p w:rsidRPr="00AA47AB" w:rsidR="00037B93" w:rsidP="00737D0F" w:rsidRDefault="00037B93" w14:paraId="07A1550B" w14:textId="77777777">
            <w:pPr>
              <w:pStyle w:val="TableHeaderCenter"/>
              <w:rPr>
                <w:rFonts w:ascii="Arial Narrow" w:hAnsi="Arial Narrow"/>
                <w:szCs w:val="18"/>
              </w:rPr>
            </w:pPr>
            <w:r w:rsidRPr="00AA47AB">
              <w:rPr>
                <w:rFonts w:ascii="Arial Narrow" w:hAnsi="Arial Narrow"/>
                <w:szCs w:val="18"/>
              </w:rPr>
              <w:t>Annual</w:t>
            </w:r>
            <w:r w:rsidRPr="00AA47AB">
              <w:rPr>
                <w:rFonts w:ascii="Arial Narrow" w:hAnsi="Arial Narrow"/>
                <w:szCs w:val="18"/>
              </w:rPr>
              <w:br/>
              <w:t>estimated burden hours</w:t>
            </w:r>
          </w:p>
        </w:tc>
        <w:tc>
          <w:tcPr>
            <w:tcW w:w="508" w:type="pct"/>
            <w:tcBorders>
              <w:top w:val="single" w:color="auto" w:sz="12" w:space="0"/>
              <w:bottom w:val="single" w:color="auto" w:sz="4" w:space="0"/>
            </w:tcBorders>
            <w:shd w:val="clear" w:color="auto" w:fill="6C6F70"/>
          </w:tcPr>
          <w:p w:rsidRPr="00AA47AB" w:rsidR="00037B93" w:rsidP="00A36079" w:rsidRDefault="00037B93" w14:paraId="53484B7B" w14:textId="0D3F270F">
            <w:pPr>
              <w:pStyle w:val="TableHeaderCenter"/>
              <w:rPr>
                <w:rFonts w:ascii="Arial Narrow" w:hAnsi="Arial Narrow"/>
                <w:szCs w:val="18"/>
              </w:rPr>
            </w:pPr>
            <w:r w:rsidRPr="00AA47AB">
              <w:rPr>
                <w:rFonts w:ascii="Arial Narrow" w:hAnsi="Arial Narrow"/>
                <w:szCs w:val="18"/>
              </w:rPr>
              <w:t xml:space="preserve">Average hourly </w:t>
            </w:r>
            <w:r w:rsidRPr="00AA47AB" w:rsidR="00F707EE">
              <w:rPr>
                <w:rFonts w:ascii="Arial Narrow" w:hAnsi="Arial Narrow"/>
                <w:szCs w:val="18"/>
                <w:vertAlign w:val="superscript"/>
              </w:rPr>
              <w:t>a</w:t>
            </w:r>
          </w:p>
        </w:tc>
        <w:tc>
          <w:tcPr>
            <w:tcW w:w="590" w:type="pct"/>
            <w:tcBorders>
              <w:top w:val="single" w:color="auto" w:sz="12" w:space="0"/>
              <w:bottom w:val="single" w:color="auto" w:sz="4" w:space="0"/>
            </w:tcBorders>
            <w:shd w:val="clear" w:color="auto" w:fill="6C6F70"/>
          </w:tcPr>
          <w:p w:rsidRPr="00AA47AB" w:rsidR="00037B93" w:rsidP="00737D0F" w:rsidRDefault="00037B93" w14:paraId="17848846" w14:textId="77777777">
            <w:pPr>
              <w:pStyle w:val="TableHeaderCenter"/>
              <w:rPr>
                <w:rFonts w:ascii="Arial Narrow" w:hAnsi="Arial Narrow"/>
                <w:szCs w:val="18"/>
              </w:rPr>
            </w:pPr>
            <w:r w:rsidRPr="00AA47AB">
              <w:rPr>
                <w:rFonts w:ascii="Arial Narrow" w:hAnsi="Arial Narrow"/>
                <w:szCs w:val="18"/>
              </w:rPr>
              <w:t>Annual monetized burden hours</w:t>
            </w:r>
          </w:p>
        </w:tc>
      </w:tr>
      <w:tr w:rsidRPr="00C62A6D" w:rsidR="00542944" w:rsidTr="00383149" w14:paraId="2E21690C" w14:textId="77777777">
        <w:tc>
          <w:tcPr>
            <w:tcW w:w="1018" w:type="pct"/>
            <w:tcBorders>
              <w:top w:val="single" w:color="auto" w:sz="4" w:space="0"/>
              <w:bottom w:val="nil"/>
            </w:tcBorders>
            <w:vAlign w:val="top"/>
          </w:tcPr>
          <w:p w:rsidRPr="00AA47AB" w:rsidR="00542944" w:rsidP="00542944" w:rsidRDefault="00A241F4" w14:paraId="2EAB05FE" w14:textId="3C6A769D">
            <w:pPr>
              <w:pStyle w:val="TableText"/>
              <w:spacing w:before="60" w:after="60"/>
              <w:rPr>
                <w:rFonts w:ascii="Arial Narrow" w:hAnsi="Arial Narrow"/>
                <w:szCs w:val="18"/>
              </w:rPr>
            </w:pPr>
            <w:r w:rsidRPr="00AA47AB">
              <w:rPr>
                <w:rFonts w:ascii="Arial Narrow" w:hAnsi="Arial Narrow"/>
                <w:snapToGrid w:val="0"/>
                <w:color w:val="000000"/>
                <w:szCs w:val="18"/>
              </w:rPr>
              <w:t>Program survey of grantees</w:t>
            </w:r>
          </w:p>
        </w:tc>
        <w:tc>
          <w:tcPr>
            <w:tcW w:w="636" w:type="pct"/>
            <w:tcBorders>
              <w:top w:val="single" w:color="auto" w:sz="4" w:space="0"/>
              <w:bottom w:val="nil"/>
            </w:tcBorders>
            <w:vAlign w:val="top"/>
          </w:tcPr>
          <w:p w:rsidRPr="00AA47AB" w:rsidR="00542944" w:rsidRDefault="00855B09" w14:paraId="2C1646CA" w14:textId="31956325">
            <w:pPr>
              <w:pStyle w:val="TableText"/>
              <w:spacing w:before="60" w:after="60"/>
              <w:ind w:right="144"/>
              <w:jc w:val="center"/>
              <w:rPr>
                <w:rFonts w:ascii="Arial Narrow" w:hAnsi="Arial Narrow"/>
                <w:szCs w:val="18"/>
              </w:rPr>
            </w:pPr>
            <w:r w:rsidRPr="00AA47AB">
              <w:rPr>
                <w:rFonts w:ascii="Arial Narrow" w:hAnsi="Arial Narrow"/>
                <w:szCs w:val="18"/>
              </w:rPr>
              <w:t>30</w:t>
            </w:r>
          </w:p>
        </w:tc>
        <w:tc>
          <w:tcPr>
            <w:tcW w:w="594" w:type="pct"/>
            <w:tcBorders>
              <w:top w:val="single" w:color="auto" w:sz="4" w:space="0"/>
              <w:bottom w:val="nil"/>
            </w:tcBorders>
            <w:vAlign w:val="top"/>
          </w:tcPr>
          <w:p w:rsidRPr="00AA47AB" w:rsidR="00542944" w:rsidRDefault="00F663F2" w14:paraId="6DA67132" w14:textId="1D5FAE77">
            <w:pPr>
              <w:pStyle w:val="TableText"/>
              <w:spacing w:before="60" w:after="60"/>
              <w:ind w:right="144"/>
              <w:jc w:val="center"/>
              <w:rPr>
                <w:rFonts w:ascii="Arial Narrow" w:hAnsi="Arial Narrow"/>
                <w:szCs w:val="18"/>
              </w:rPr>
            </w:pPr>
            <w:r w:rsidRPr="00AA47AB">
              <w:rPr>
                <w:rFonts w:ascii="Arial Narrow" w:hAnsi="Arial Narrow"/>
                <w:szCs w:val="18"/>
              </w:rPr>
              <w:t>1</w:t>
            </w:r>
          </w:p>
        </w:tc>
        <w:tc>
          <w:tcPr>
            <w:tcW w:w="594" w:type="pct"/>
            <w:tcBorders>
              <w:top w:val="single" w:color="auto" w:sz="4" w:space="0"/>
              <w:bottom w:val="nil"/>
            </w:tcBorders>
            <w:vAlign w:val="top"/>
          </w:tcPr>
          <w:p w:rsidRPr="00AA47AB" w:rsidR="00542944" w:rsidRDefault="009E1E21" w14:paraId="255185C0" w14:textId="2172097B">
            <w:pPr>
              <w:pStyle w:val="TableText"/>
              <w:spacing w:before="60" w:after="60"/>
              <w:ind w:right="144"/>
              <w:jc w:val="center"/>
              <w:rPr>
                <w:rFonts w:ascii="Arial Narrow" w:hAnsi="Arial Narrow"/>
                <w:szCs w:val="18"/>
              </w:rPr>
            </w:pPr>
            <w:r w:rsidRPr="00AA47AB">
              <w:rPr>
                <w:rFonts w:ascii="Arial Narrow" w:hAnsi="Arial Narrow"/>
                <w:szCs w:val="18"/>
              </w:rPr>
              <w:t>30</w:t>
            </w:r>
          </w:p>
        </w:tc>
        <w:tc>
          <w:tcPr>
            <w:tcW w:w="551" w:type="pct"/>
            <w:tcBorders>
              <w:top w:val="single" w:color="auto" w:sz="4" w:space="0"/>
              <w:bottom w:val="nil"/>
            </w:tcBorders>
            <w:vAlign w:val="top"/>
          </w:tcPr>
          <w:p w:rsidRPr="00AA47AB" w:rsidR="00542944" w:rsidP="00584173" w:rsidRDefault="008400A2" w14:paraId="4384D085" w14:textId="23A6C8A1">
            <w:pPr>
              <w:pStyle w:val="TableText"/>
              <w:spacing w:before="60" w:after="60"/>
              <w:ind w:right="144"/>
              <w:jc w:val="center"/>
              <w:rPr>
                <w:rFonts w:ascii="Arial Narrow" w:hAnsi="Arial Narrow"/>
                <w:szCs w:val="18"/>
              </w:rPr>
            </w:pPr>
            <w:r w:rsidRPr="00AA47AB">
              <w:rPr>
                <w:rFonts w:ascii="Arial Narrow" w:hAnsi="Arial Narrow"/>
                <w:szCs w:val="18"/>
              </w:rPr>
              <w:t>120</w:t>
            </w:r>
            <w:r w:rsidRPr="00AA47AB" w:rsidR="00E96DB1">
              <w:rPr>
                <w:rFonts w:ascii="Arial Narrow" w:hAnsi="Arial Narrow"/>
                <w:szCs w:val="18"/>
              </w:rPr>
              <w:t>/60</w:t>
            </w:r>
          </w:p>
        </w:tc>
        <w:tc>
          <w:tcPr>
            <w:tcW w:w="509" w:type="pct"/>
            <w:tcBorders>
              <w:top w:val="single" w:color="auto" w:sz="4" w:space="0"/>
              <w:bottom w:val="nil"/>
            </w:tcBorders>
            <w:vAlign w:val="top"/>
          </w:tcPr>
          <w:p w:rsidRPr="00AA47AB" w:rsidR="00542944" w:rsidRDefault="00996E6D" w14:paraId="594059E1" w14:textId="4277CC14">
            <w:pPr>
              <w:pStyle w:val="TableText"/>
              <w:spacing w:before="60" w:after="60"/>
              <w:ind w:right="144"/>
              <w:jc w:val="center"/>
              <w:rPr>
                <w:rFonts w:ascii="Arial Narrow" w:hAnsi="Arial Narrow"/>
                <w:szCs w:val="18"/>
              </w:rPr>
            </w:pPr>
            <w:r w:rsidRPr="00AA47AB">
              <w:rPr>
                <w:rFonts w:ascii="Arial Narrow" w:hAnsi="Arial Narrow"/>
                <w:szCs w:val="18"/>
              </w:rPr>
              <w:t>60</w:t>
            </w:r>
            <w:r w:rsidRPr="00AA47AB" w:rsidR="00707D3E">
              <w:rPr>
                <w:rFonts w:ascii="Arial Narrow" w:hAnsi="Arial Narrow"/>
                <w:szCs w:val="18"/>
              </w:rPr>
              <w:t xml:space="preserve"> </w:t>
            </w:r>
          </w:p>
        </w:tc>
        <w:tc>
          <w:tcPr>
            <w:tcW w:w="508" w:type="pct"/>
            <w:tcBorders>
              <w:top w:val="single" w:color="auto" w:sz="4" w:space="0"/>
              <w:bottom w:val="nil"/>
            </w:tcBorders>
            <w:vAlign w:val="top"/>
          </w:tcPr>
          <w:p w:rsidRPr="00AA47AB" w:rsidR="00542944" w:rsidDel="00584494" w:rsidP="005C3024" w:rsidRDefault="00E96DB1" w14:paraId="14C4E53B" w14:textId="07705858">
            <w:pPr>
              <w:pStyle w:val="TableText"/>
              <w:spacing w:before="60" w:after="60"/>
              <w:ind w:right="144"/>
              <w:jc w:val="center"/>
              <w:rPr>
                <w:rFonts w:ascii="Arial Narrow" w:hAnsi="Arial Narrow"/>
                <w:szCs w:val="18"/>
              </w:rPr>
            </w:pPr>
            <w:r w:rsidRPr="00AA47AB">
              <w:rPr>
                <w:rFonts w:ascii="Arial Narrow" w:hAnsi="Arial Narrow"/>
                <w:szCs w:val="18"/>
              </w:rPr>
              <w:t>$</w:t>
            </w:r>
            <w:r w:rsidR="00821CDB">
              <w:rPr>
                <w:rFonts w:ascii="Arial Narrow" w:hAnsi="Arial Narrow"/>
                <w:szCs w:val="18"/>
              </w:rPr>
              <w:t>46.87</w:t>
            </w:r>
          </w:p>
        </w:tc>
        <w:tc>
          <w:tcPr>
            <w:tcW w:w="590" w:type="pct"/>
            <w:tcBorders>
              <w:top w:val="single" w:color="auto" w:sz="4" w:space="0"/>
              <w:bottom w:val="nil"/>
            </w:tcBorders>
            <w:vAlign w:val="top"/>
          </w:tcPr>
          <w:p w:rsidRPr="00AA47AB" w:rsidR="00542944" w:rsidRDefault="0039014D" w14:paraId="609ACFC3" w14:textId="399E4A85">
            <w:pPr>
              <w:pStyle w:val="TableText"/>
              <w:spacing w:before="60" w:after="60"/>
              <w:ind w:right="144"/>
              <w:jc w:val="center"/>
              <w:rPr>
                <w:rFonts w:ascii="Arial Narrow" w:hAnsi="Arial Narrow"/>
                <w:szCs w:val="18"/>
              </w:rPr>
            </w:pPr>
            <w:r w:rsidRPr="00AA47AB">
              <w:rPr>
                <w:rFonts w:ascii="Arial Narrow" w:hAnsi="Arial Narrow"/>
                <w:szCs w:val="18"/>
              </w:rPr>
              <w:t>$2</w:t>
            </w:r>
            <w:r w:rsidR="00E97525">
              <w:rPr>
                <w:rFonts w:ascii="Arial Narrow" w:hAnsi="Arial Narrow"/>
                <w:szCs w:val="18"/>
              </w:rPr>
              <w:t>,812</w:t>
            </w:r>
          </w:p>
        </w:tc>
      </w:tr>
      <w:tr w:rsidRPr="00C62A6D" w:rsidR="00AB6706" w:rsidTr="00A83EF6" w14:paraId="0DA0D2B0" w14:textId="6EAC4702">
        <w:tc>
          <w:tcPr>
            <w:tcW w:w="1018" w:type="pct"/>
            <w:tcBorders>
              <w:top w:val="single" w:color="auto" w:sz="4" w:space="0"/>
              <w:bottom w:val="nil"/>
            </w:tcBorders>
            <w:vAlign w:val="top"/>
          </w:tcPr>
          <w:p w:rsidRPr="00AA47AB" w:rsidR="00AB6706" w:rsidP="00761AE1" w:rsidRDefault="007A2208" w14:paraId="77601888" w14:textId="7F4C77E0">
            <w:pPr>
              <w:pStyle w:val="TableText"/>
              <w:spacing w:before="60" w:after="60"/>
              <w:rPr>
                <w:rFonts w:ascii="Arial Narrow" w:hAnsi="Arial Narrow"/>
                <w:szCs w:val="18"/>
              </w:rPr>
            </w:pPr>
            <w:r w:rsidRPr="00AA47AB">
              <w:rPr>
                <w:rFonts w:ascii="Arial Narrow" w:hAnsi="Arial Narrow"/>
                <w:snapToGrid w:val="0"/>
                <w:color w:val="000000"/>
                <w:szCs w:val="18"/>
              </w:rPr>
              <w:t xml:space="preserve">Semi-structured interview with staff, partners, and </w:t>
            </w:r>
            <w:proofErr w:type="gramStart"/>
            <w:r w:rsidRPr="00AA47AB">
              <w:rPr>
                <w:rFonts w:ascii="Arial Narrow" w:hAnsi="Arial Narrow"/>
                <w:snapToGrid w:val="0"/>
                <w:color w:val="000000"/>
                <w:szCs w:val="18"/>
              </w:rPr>
              <w:t>stakeholders</w:t>
            </w:r>
            <w:proofErr w:type="gramEnd"/>
            <w:r w:rsidRPr="00AA47AB">
              <w:rPr>
                <w:rFonts w:ascii="Arial Narrow" w:hAnsi="Arial Narrow"/>
                <w:snapToGrid w:val="0"/>
                <w:color w:val="000000"/>
                <w:szCs w:val="18"/>
              </w:rPr>
              <w:t xml:space="preserve"> topic guide</w:t>
            </w:r>
          </w:p>
        </w:tc>
        <w:tc>
          <w:tcPr>
            <w:tcW w:w="636" w:type="pct"/>
            <w:tcBorders>
              <w:top w:val="single" w:color="auto" w:sz="4" w:space="0"/>
              <w:bottom w:val="nil"/>
            </w:tcBorders>
            <w:vAlign w:val="top"/>
          </w:tcPr>
          <w:p w:rsidRPr="00AA47AB" w:rsidR="00AB6706" w:rsidRDefault="00CC39E5" w14:paraId="3C9A2453" w14:textId="4BED7DB6">
            <w:pPr>
              <w:pStyle w:val="TableText"/>
              <w:spacing w:before="60" w:after="60"/>
              <w:ind w:right="144"/>
              <w:jc w:val="center"/>
              <w:rPr>
                <w:rFonts w:ascii="Arial Narrow" w:hAnsi="Arial Narrow" w:cs="Arial"/>
                <w:color w:val="000000"/>
                <w:szCs w:val="18"/>
              </w:rPr>
            </w:pPr>
            <w:r w:rsidRPr="00AA47AB">
              <w:rPr>
                <w:rFonts w:ascii="Arial Narrow" w:hAnsi="Arial Narrow" w:cs="Arial"/>
                <w:color w:val="000000"/>
                <w:szCs w:val="18"/>
              </w:rPr>
              <w:t>175</w:t>
            </w:r>
          </w:p>
        </w:tc>
        <w:tc>
          <w:tcPr>
            <w:tcW w:w="594" w:type="pct"/>
            <w:tcBorders>
              <w:top w:val="single" w:color="auto" w:sz="4" w:space="0"/>
              <w:bottom w:val="nil"/>
            </w:tcBorders>
            <w:vAlign w:val="top"/>
          </w:tcPr>
          <w:p w:rsidRPr="00AA47AB" w:rsidR="00AB6706" w:rsidP="00AB6706" w:rsidRDefault="00AB6706" w14:paraId="00705501" w14:textId="451C30ED">
            <w:pPr>
              <w:pStyle w:val="TableText"/>
              <w:spacing w:before="60" w:after="60"/>
              <w:ind w:right="144"/>
              <w:jc w:val="center"/>
              <w:rPr>
                <w:rFonts w:ascii="Arial Narrow" w:hAnsi="Arial Narrow" w:cs="Arial"/>
                <w:color w:val="000000"/>
                <w:szCs w:val="18"/>
              </w:rPr>
            </w:pPr>
            <w:r w:rsidRPr="00AA47AB">
              <w:rPr>
                <w:rFonts w:ascii="Arial Narrow" w:hAnsi="Arial Narrow" w:cs="Arial"/>
                <w:color w:val="000000"/>
                <w:szCs w:val="18"/>
              </w:rPr>
              <w:t>1</w:t>
            </w:r>
          </w:p>
        </w:tc>
        <w:tc>
          <w:tcPr>
            <w:tcW w:w="594" w:type="pct"/>
            <w:tcBorders>
              <w:top w:val="single" w:color="auto" w:sz="4" w:space="0"/>
              <w:bottom w:val="nil"/>
            </w:tcBorders>
            <w:vAlign w:val="top"/>
          </w:tcPr>
          <w:p w:rsidRPr="00AA47AB" w:rsidR="00AB6706" w:rsidP="00AB6706" w:rsidRDefault="009E1E21" w14:paraId="7079BA76" w14:textId="0F693407">
            <w:pPr>
              <w:pStyle w:val="TableText"/>
              <w:spacing w:before="60" w:after="60"/>
              <w:ind w:right="144"/>
              <w:jc w:val="center"/>
              <w:rPr>
                <w:rFonts w:ascii="Arial Narrow" w:hAnsi="Arial Narrow" w:cs="Arial"/>
                <w:color w:val="000000"/>
                <w:szCs w:val="18"/>
              </w:rPr>
            </w:pPr>
            <w:r w:rsidRPr="00AA47AB">
              <w:rPr>
                <w:rFonts w:ascii="Arial Narrow" w:hAnsi="Arial Narrow" w:cs="Arial"/>
                <w:color w:val="000000"/>
                <w:szCs w:val="18"/>
              </w:rPr>
              <w:t>175</w:t>
            </w:r>
          </w:p>
        </w:tc>
        <w:tc>
          <w:tcPr>
            <w:tcW w:w="551" w:type="pct"/>
            <w:tcBorders>
              <w:top w:val="single" w:color="auto" w:sz="4" w:space="0"/>
              <w:bottom w:val="nil"/>
            </w:tcBorders>
            <w:vAlign w:val="top"/>
          </w:tcPr>
          <w:p w:rsidRPr="00AA47AB" w:rsidR="00AB6706" w:rsidP="00AB6706" w:rsidRDefault="008400A2" w14:paraId="08F33C6E" w14:textId="1F53C70C">
            <w:pPr>
              <w:pStyle w:val="TableText"/>
              <w:spacing w:before="60" w:after="60"/>
              <w:ind w:right="144"/>
              <w:jc w:val="center"/>
              <w:rPr>
                <w:rFonts w:ascii="Arial Narrow" w:hAnsi="Arial Narrow" w:cs="Arial"/>
                <w:color w:val="000000"/>
                <w:szCs w:val="18"/>
              </w:rPr>
            </w:pPr>
            <w:r w:rsidRPr="00AA47AB">
              <w:rPr>
                <w:rFonts w:ascii="Arial Narrow" w:hAnsi="Arial Narrow" w:cs="Arial"/>
                <w:color w:val="000000"/>
                <w:szCs w:val="18"/>
              </w:rPr>
              <w:t>90</w:t>
            </w:r>
            <w:r w:rsidRPr="00AA47AB" w:rsidR="00AB6706">
              <w:rPr>
                <w:rFonts w:ascii="Arial Narrow" w:hAnsi="Arial Narrow" w:cs="Arial"/>
                <w:color w:val="000000"/>
                <w:szCs w:val="18"/>
              </w:rPr>
              <w:t>/60</w:t>
            </w:r>
          </w:p>
        </w:tc>
        <w:tc>
          <w:tcPr>
            <w:tcW w:w="509" w:type="pct"/>
            <w:tcBorders>
              <w:top w:val="single" w:color="auto" w:sz="4" w:space="0"/>
              <w:bottom w:val="nil"/>
            </w:tcBorders>
            <w:vAlign w:val="top"/>
          </w:tcPr>
          <w:p w:rsidRPr="00AA47AB" w:rsidR="00AB6706" w:rsidRDefault="00121BE7" w14:paraId="7661F4D7" w14:textId="2D49566C">
            <w:pPr>
              <w:pStyle w:val="TableText"/>
              <w:spacing w:before="60" w:after="60"/>
              <w:ind w:right="144"/>
              <w:jc w:val="center"/>
              <w:rPr>
                <w:rFonts w:ascii="Arial Narrow" w:hAnsi="Arial Narrow" w:cs="Arial"/>
                <w:color w:val="000000"/>
                <w:szCs w:val="18"/>
              </w:rPr>
            </w:pPr>
            <w:r w:rsidRPr="00AA47AB">
              <w:rPr>
                <w:rFonts w:ascii="Arial Narrow" w:hAnsi="Arial Narrow" w:cs="Arial"/>
                <w:color w:val="000000"/>
                <w:szCs w:val="18"/>
              </w:rPr>
              <w:t>26</w:t>
            </w:r>
            <w:r w:rsidR="0019099A">
              <w:rPr>
                <w:rFonts w:ascii="Arial Narrow" w:hAnsi="Arial Narrow" w:cs="Arial"/>
                <w:color w:val="000000"/>
                <w:szCs w:val="18"/>
              </w:rPr>
              <w:t>3</w:t>
            </w:r>
          </w:p>
        </w:tc>
        <w:tc>
          <w:tcPr>
            <w:tcW w:w="508" w:type="pct"/>
            <w:tcBorders>
              <w:top w:val="single" w:color="auto" w:sz="4" w:space="0"/>
              <w:bottom w:val="nil"/>
            </w:tcBorders>
            <w:vAlign w:val="top"/>
          </w:tcPr>
          <w:p w:rsidRPr="00AA47AB" w:rsidR="00AB6706" w:rsidP="00AB6706" w:rsidRDefault="00584173" w14:paraId="26FAD4BE" w14:textId="235C14CB">
            <w:pPr>
              <w:pStyle w:val="TableText"/>
              <w:spacing w:before="60" w:after="60"/>
              <w:ind w:right="144"/>
              <w:jc w:val="center"/>
              <w:rPr>
                <w:rFonts w:ascii="Arial Narrow" w:hAnsi="Arial Narrow" w:cs="Arial"/>
                <w:color w:val="000000"/>
                <w:szCs w:val="18"/>
              </w:rPr>
            </w:pPr>
            <w:r w:rsidRPr="00AA47AB">
              <w:rPr>
                <w:rFonts w:ascii="Arial Narrow" w:hAnsi="Arial Narrow" w:cs="Arial"/>
                <w:color w:val="000000"/>
                <w:szCs w:val="18"/>
              </w:rPr>
              <w:t>$</w:t>
            </w:r>
            <w:r w:rsidR="00821CDB">
              <w:rPr>
                <w:rFonts w:ascii="Arial Narrow" w:hAnsi="Arial Narrow" w:cs="Arial"/>
                <w:color w:val="000000"/>
                <w:szCs w:val="18"/>
              </w:rPr>
              <w:t>46.87</w:t>
            </w:r>
          </w:p>
        </w:tc>
        <w:tc>
          <w:tcPr>
            <w:tcW w:w="590" w:type="pct"/>
            <w:tcBorders>
              <w:top w:val="single" w:color="auto" w:sz="4" w:space="0"/>
              <w:bottom w:val="nil"/>
            </w:tcBorders>
            <w:vAlign w:val="top"/>
          </w:tcPr>
          <w:p w:rsidRPr="00AA47AB" w:rsidR="00AB6706" w:rsidRDefault="00AB6706" w14:paraId="7FC04194" w14:textId="1E966878">
            <w:pPr>
              <w:pStyle w:val="TableText"/>
              <w:spacing w:before="60" w:after="60"/>
              <w:ind w:right="144"/>
              <w:jc w:val="center"/>
              <w:rPr>
                <w:rFonts w:ascii="Arial Narrow" w:hAnsi="Arial Narrow" w:cs="Arial"/>
                <w:color w:val="000000"/>
                <w:szCs w:val="18"/>
              </w:rPr>
            </w:pPr>
            <w:r w:rsidRPr="00AA47AB">
              <w:rPr>
                <w:rFonts w:ascii="Arial Narrow" w:hAnsi="Arial Narrow" w:cs="Arial"/>
                <w:color w:val="000000"/>
                <w:szCs w:val="18"/>
              </w:rPr>
              <w:t>$</w:t>
            </w:r>
            <w:r w:rsidRPr="00AA47AB" w:rsidR="00297F7D">
              <w:rPr>
                <w:rFonts w:ascii="Arial Narrow" w:hAnsi="Arial Narrow" w:cs="Arial"/>
                <w:color w:val="000000"/>
                <w:szCs w:val="18"/>
              </w:rPr>
              <w:t>12,</w:t>
            </w:r>
            <w:r w:rsidR="00CE6021">
              <w:rPr>
                <w:rFonts w:ascii="Arial Narrow" w:hAnsi="Arial Narrow" w:cs="Arial"/>
                <w:color w:val="000000"/>
                <w:szCs w:val="18"/>
              </w:rPr>
              <w:t>303</w:t>
            </w:r>
          </w:p>
        </w:tc>
      </w:tr>
      <w:tr w:rsidRPr="00C62A6D" w:rsidR="00A83EF6" w:rsidTr="00383149" w14:paraId="5498EA8C" w14:textId="77777777">
        <w:tc>
          <w:tcPr>
            <w:tcW w:w="1018" w:type="pct"/>
            <w:tcBorders>
              <w:top w:val="single" w:color="auto" w:sz="4" w:space="0"/>
              <w:bottom w:val="nil"/>
            </w:tcBorders>
            <w:vAlign w:val="top"/>
          </w:tcPr>
          <w:p w:rsidRPr="00AA47AB" w:rsidR="00A83EF6" w:rsidP="00A83EF6" w:rsidRDefault="00300EA1" w14:paraId="73D90412" w14:textId="376903AD">
            <w:pPr>
              <w:pStyle w:val="TableText"/>
              <w:spacing w:before="60" w:after="60"/>
              <w:rPr>
                <w:rFonts w:ascii="Arial Narrow" w:hAnsi="Arial Narrow"/>
                <w:szCs w:val="18"/>
              </w:rPr>
            </w:pPr>
            <w:r w:rsidRPr="00AA47AB">
              <w:rPr>
                <w:rFonts w:ascii="Arial Narrow" w:hAnsi="Arial Narrow"/>
                <w:snapToGrid w:val="0"/>
                <w:color w:val="000000"/>
                <w:szCs w:val="18"/>
              </w:rPr>
              <w:t>Participant interview or focus group protocol</w:t>
            </w:r>
          </w:p>
        </w:tc>
        <w:tc>
          <w:tcPr>
            <w:tcW w:w="636" w:type="pct"/>
            <w:tcBorders>
              <w:top w:val="single" w:color="auto" w:sz="4" w:space="0"/>
              <w:bottom w:val="nil"/>
            </w:tcBorders>
            <w:vAlign w:val="top"/>
          </w:tcPr>
          <w:p w:rsidRPr="00AA47AB" w:rsidR="00A83EF6" w:rsidRDefault="00CC39E5" w14:paraId="677E0FD0" w14:textId="728BEB71">
            <w:pPr>
              <w:pStyle w:val="TableText"/>
              <w:spacing w:before="60" w:after="60"/>
              <w:ind w:right="144"/>
              <w:jc w:val="center"/>
              <w:rPr>
                <w:rFonts w:ascii="Arial Narrow" w:hAnsi="Arial Narrow"/>
                <w:szCs w:val="18"/>
              </w:rPr>
            </w:pPr>
            <w:r w:rsidRPr="00AA47AB">
              <w:rPr>
                <w:rFonts w:ascii="Arial Narrow" w:hAnsi="Arial Narrow" w:cs="Arial"/>
                <w:color w:val="000000"/>
                <w:szCs w:val="18"/>
              </w:rPr>
              <w:t>175</w:t>
            </w:r>
          </w:p>
        </w:tc>
        <w:tc>
          <w:tcPr>
            <w:tcW w:w="594" w:type="pct"/>
            <w:tcBorders>
              <w:top w:val="single" w:color="auto" w:sz="4" w:space="0"/>
              <w:bottom w:val="nil"/>
            </w:tcBorders>
            <w:vAlign w:val="top"/>
          </w:tcPr>
          <w:p w:rsidRPr="00AA47AB" w:rsidR="00A83EF6" w:rsidRDefault="00A83EF6" w14:paraId="6A318057" w14:textId="4B8C74D3">
            <w:pPr>
              <w:pStyle w:val="TableText"/>
              <w:spacing w:before="60" w:after="60"/>
              <w:ind w:right="144"/>
              <w:jc w:val="center"/>
              <w:rPr>
                <w:rFonts w:ascii="Arial Narrow" w:hAnsi="Arial Narrow"/>
                <w:szCs w:val="18"/>
              </w:rPr>
            </w:pPr>
            <w:r w:rsidRPr="00AA47AB">
              <w:rPr>
                <w:rFonts w:ascii="Arial Narrow" w:hAnsi="Arial Narrow" w:cs="Arial"/>
                <w:color w:val="000000"/>
                <w:szCs w:val="18"/>
              </w:rPr>
              <w:t>1</w:t>
            </w:r>
          </w:p>
        </w:tc>
        <w:tc>
          <w:tcPr>
            <w:tcW w:w="594" w:type="pct"/>
            <w:tcBorders>
              <w:top w:val="single" w:color="auto" w:sz="4" w:space="0"/>
              <w:bottom w:val="nil"/>
            </w:tcBorders>
            <w:vAlign w:val="top"/>
          </w:tcPr>
          <w:p w:rsidRPr="00AA47AB" w:rsidR="00A83EF6" w:rsidRDefault="009E1E21" w14:paraId="08158B63" w14:textId="12E0DCCE">
            <w:pPr>
              <w:pStyle w:val="TableText"/>
              <w:spacing w:before="60" w:after="60"/>
              <w:ind w:right="144"/>
              <w:jc w:val="center"/>
              <w:rPr>
                <w:rFonts w:ascii="Arial Narrow" w:hAnsi="Arial Narrow"/>
                <w:szCs w:val="18"/>
              </w:rPr>
            </w:pPr>
            <w:r w:rsidRPr="00AA47AB">
              <w:rPr>
                <w:rFonts w:ascii="Arial Narrow" w:hAnsi="Arial Narrow" w:cs="Arial"/>
                <w:color w:val="000000"/>
                <w:szCs w:val="18"/>
              </w:rPr>
              <w:t>175</w:t>
            </w:r>
          </w:p>
        </w:tc>
        <w:tc>
          <w:tcPr>
            <w:tcW w:w="551" w:type="pct"/>
            <w:tcBorders>
              <w:top w:val="single" w:color="auto" w:sz="4" w:space="0"/>
              <w:bottom w:val="nil"/>
            </w:tcBorders>
            <w:vAlign w:val="top"/>
          </w:tcPr>
          <w:p w:rsidRPr="00AA47AB" w:rsidR="00A83EF6" w:rsidRDefault="00A83EF6" w14:paraId="3D90F928" w14:textId="22B1E312">
            <w:pPr>
              <w:pStyle w:val="TableText"/>
              <w:spacing w:before="60" w:after="60"/>
              <w:ind w:right="144"/>
              <w:jc w:val="center"/>
              <w:rPr>
                <w:rFonts w:ascii="Arial Narrow" w:hAnsi="Arial Narrow"/>
                <w:szCs w:val="18"/>
              </w:rPr>
            </w:pPr>
            <w:r w:rsidRPr="00AA47AB">
              <w:rPr>
                <w:rFonts w:ascii="Arial Narrow" w:hAnsi="Arial Narrow" w:cs="Arial"/>
                <w:color w:val="000000"/>
                <w:szCs w:val="18"/>
              </w:rPr>
              <w:t>90/60</w:t>
            </w:r>
          </w:p>
        </w:tc>
        <w:tc>
          <w:tcPr>
            <w:tcW w:w="509" w:type="pct"/>
            <w:tcBorders>
              <w:top w:val="single" w:color="auto" w:sz="4" w:space="0"/>
              <w:bottom w:val="nil"/>
            </w:tcBorders>
            <w:vAlign w:val="top"/>
          </w:tcPr>
          <w:p w:rsidRPr="00AA47AB" w:rsidR="00A83EF6" w:rsidRDefault="0019099A" w14:paraId="7DB3431A" w14:textId="71852E0B">
            <w:pPr>
              <w:pStyle w:val="TableText"/>
              <w:spacing w:before="60" w:after="60"/>
              <w:ind w:right="144"/>
              <w:jc w:val="center"/>
              <w:rPr>
                <w:rFonts w:ascii="Arial Narrow" w:hAnsi="Arial Narrow"/>
                <w:szCs w:val="18"/>
              </w:rPr>
            </w:pPr>
            <w:r>
              <w:rPr>
                <w:rFonts w:ascii="Arial Narrow" w:hAnsi="Arial Narrow"/>
                <w:szCs w:val="18"/>
              </w:rPr>
              <w:t>263</w:t>
            </w:r>
          </w:p>
        </w:tc>
        <w:tc>
          <w:tcPr>
            <w:tcW w:w="508" w:type="pct"/>
            <w:tcBorders>
              <w:top w:val="single" w:color="auto" w:sz="4" w:space="0"/>
              <w:bottom w:val="nil"/>
            </w:tcBorders>
            <w:vAlign w:val="top"/>
          </w:tcPr>
          <w:p w:rsidRPr="00AA47AB" w:rsidR="00A83EF6" w:rsidP="005C3024" w:rsidRDefault="00A83EF6" w14:paraId="612238E6" w14:textId="2CF17DFA">
            <w:pPr>
              <w:pStyle w:val="TableText"/>
              <w:spacing w:before="60" w:after="60"/>
              <w:ind w:right="144"/>
              <w:jc w:val="center"/>
              <w:rPr>
                <w:rFonts w:ascii="Arial Narrow" w:hAnsi="Arial Narrow"/>
                <w:szCs w:val="18"/>
              </w:rPr>
            </w:pPr>
            <w:r w:rsidRPr="00AA47AB">
              <w:rPr>
                <w:rFonts w:ascii="Arial Narrow" w:hAnsi="Arial Narrow" w:cs="Arial"/>
                <w:color w:val="000000"/>
                <w:szCs w:val="18"/>
              </w:rPr>
              <w:t>$</w:t>
            </w:r>
            <w:r w:rsidR="00821CDB">
              <w:rPr>
                <w:rFonts w:ascii="Arial Narrow" w:hAnsi="Arial Narrow" w:cs="Arial"/>
                <w:color w:val="000000"/>
                <w:szCs w:val="18"/>
              </w:rPr>
              <w:t>20.17</w:t>
            </w:r>
          </w:p>
        </w:tc>
        <w:tc>
          <w:tcPr>
            <w:tcW w:w="590" w:type="pct"/>
            <w:tcBorders>
              <w:top w:val="single" w:color="auto" w:sz="4" w:space="0"/>
              <w:bottom w:val="nil"/>
            </w:tcBorders>
            <w:vAlign w:val="top"/>
          </w:tcPr>
          <w:p w:rsidRPr="00AA47AB" w:rsidR="00A83EF6" w:rsidRDefault="00A83EF6" w14:paraId="78EDC484" w14:textId="477AA1E8">
            <w:pPr>
              <w:pStyle w:val="TableText"/>
              <w:spacing w:before="60" w:after="60"/>
              <w:ind w:right="144"/>
              <w:jc w:val="center"/>
              <w:rPr>
                <w:rFonts w:ascii="Arial Narrow" w:hAnsi="Arial Narrow"/>
                <w:szCs w:val="18"/>
              </w:rPr>
            </w:pPr>
            <w:r w:rsidRPr="00AA47AB">
              <w:rPr>
                <w:rFonts w:ascii="Arial Narrow" w:hAnsi="Arial Narrow" w:cs="Arial"/>
                <w:color w:val="000000"/>
                <w:szCs w:val="18"/>
              </w:rPr>
              <w:t>$</w:t>
            </w:r>
            <w:r w:rsidR="00CE6021">
              <w:rPr>
                <w:rFonts w:ascii="Arial Narrow" w:hAnsi="Arial Narrow" w:cs="Arial"/>
                <w:color w:val="000000"/>
                <w:szCs w:val="18"/>
              </w:rPr>
              <w:t>5,295</w:t>
            </w:r>
          </w:p>
        </w:tc>
      </w:tr>
      <w:tr w:rsidRPr="00C62A6D" w:rsidR="00AE4A04" w:rsidTr="00383149" w14:paraId="6889921E" w14:textId="77777777">
        <w:tc>
          <w:tcPr>
            <w:tcW w:w="1018" w:type="pct"/>
            <w:tcBorders>
              <w:top w:val="single" w:color="auto" w:sz="4" w:space="0"/>
              <w:bottom w:val="nil"/>
            </w:tcBorders>
            <w:vAlign w:val="top"/>
          </w:tcPr>
          <w:p w:rsidRPr="00AA47AB" w:rsidR="00AE4A04" w:rsidP="00A83EF6" w:rsidRDefault="00855B09" w14:paraId="3C799CE2" w14:textId="37237B64">
            <w:pPr>
              <w:pStyle w:val="TableText"/>
              <w:spacing w:before="60" w:after="60"/>
              <w:rPr>
                <w:rFonts w:ascii="Arial Narrow" w:hAnsi="Arial Narrow"/>
                <w:szCs w:val="18"/>
              </w:rPr>
            </w:pPr>
            <w:r w:rsidRPr="00AA47AB">
              <w:rPr>
                <w:rFonts w:ascii="Arial Narrow" w:hAnsi="Arial Narrow"/>
                <w:snapToGrid w:val="0"/>
                <w:color w:val="000000"/>
                <w:szCs w:val="18"/>
              </w:rPr>
              <w:t>Impact feasibility topic guide</w:t>
            </w:r>
          </w:p>
        </w:tc>
        <w:tc>
          <w:tcPr>
            <w:tcW w:w="636" w:type="pct"/>
            <w:tcBorders>
              <w:top w:val="single" w:color="auto" w:sz="4" w:space="0"/>
              <w:bottom w:val="nil"/>
            </w:tcBorders>
            <w:vAlign w:val="top"/>
          </w:tcPr>
          <w:p w:rsidRPr="00AA47AB" w:rsidR="00AE4A04" w:rsidRDefault="00CC39E5" w14:paraId="2084582E" w14:textId="35F41063">
            <w:pPr>
              <w:pStyle w:val="TableText"/>
              <w:spacing w:before="60" w:after="60"/>
              <w:ind w:right="144"/>
              <w:jc w:val="center"/>
              <w:rPr>
                <w:rFonts w:ascii="Arial Narrow" w:hAnsi="Arial Narrow" w:cs="Arial"/>
                <w:color w:val="000000"/>
                <w:szCs w:val="18"/>
              </w:rPr>
            </w:pPr>
            <w:r w:rsidRPr="00AA47AB">
              <w:rPr>
                <w:rFonts w:ascii="Arial Narrow" w:hAnsi="Arial Narrow" w:cs="Arial"/>
                <w:color w:val="000000"/>
                <w:szCs w:val="18"/>
              </w:rPr>
              <w:t>30</w:t>
            </w:r>
          </w:p>
        </w:tc>
        <w:tc>
          <w:tcPr>
            <w:tcW w:w="594" w:type="pct"/>
            <w:tcBorders>
              <w:top w:val="single" w:color="auto" w:sz="4" w:space="0"/>
              <w:bottom w:val="nil"/>
            </w:tcBorders>
            <w:vAlign w:val="top"/>
          </w:tcPr>
          <w:p w:rsidRPr="00AA47AB" w:rsidR="00AE4A04" w:rsidRDefault="00AE4A04" w14:paraId="10379A88" w14:textId="78094D16">
            <w:pPr>
              <w:pStyle w:val="TableText"/>
              <w:spacing w:before="60" w:after="60"/>
              <w:ind w:right="144"/>
              <w:jc w:val="center"/>
              <w:rPr>
                <w:rFonts w:ascii="Arial Narrow" w:hAnsi="Arial Narrow" w:cs="Arial"/>
                <w:color w:val="000000"/>
                <w:szCs w:val="18"/>
              </w:rPr>
            </w:pPr>
            <w:r w:rsidRPr="00AA47AB">
              <w:rPr>
                <w:rFonts w:ascii="Arial Narrow" w:hAnsi="Arial Narrow" w:cs="Arial"/>
                <w:color w:val="000000"/>
                <w:szCs w:val="18"/>
              </w:rPr>
              <w:t>1</w:t>
            </w:r>
          </w:p>
        </w:tc>
        <w:tc>
          <w:tcPr>
            <w:tcW w:w="594" w:type="pct"/>
            <w:tcBorders>
              <w:top w:val="single" w:color="auto" w:sz="4" w:space="0"/>
              <w:bottom w:val="nil"/>
            </w:tcBorders>
            <w:vAlign w:val="top"/>
          </w:tcPr>
          <w:p w:rsidRPr="00AA47AB" w:rsidR="00AE4A04" w:rsidRDefault="009E1E21" w14:paraId="40300143" w14:textId="4E202B62">
            <w:pPr>
              <w:pStyle w:val="TableText"/>
              <w:spacing w:before="60" w:after="60"/>
              <w:ind w:right="144"/>
              <w:jc w:val="center"/>
              <w:rPr>
                <w:rFonts w:ascii="Arial Narrow" w:hAnsi="Arial Narrow" w:cs="Arial"/>
                <w:color w:val="000000"/>
                <w:szCs w:val="18"/>
              </w:rPr>
            </w:pPr>
            <w:r w:rsidRPr="00AA47AB">
              <w:rPr>
                <w:rFonts w:ascii="Arial Narrow" w:hAnsi="Arial Narrow" w:cs="Arial"/>
                <w:color w:val="000000"/>
                <w:szCs w:val="18"/>
              </w:rPr>
              <w:t>30</w:t>
            </w:r>
          </w:p>
        </w:tc>
        <w:tc>
          <w:tcPr>
            <w:tcW w:w="551" w:type="pct"/>
            <w:tcBorders>
              <w:top w:val="single" w:color="auto" w:sz="4" w:space="0"/>
              <w:bottom w:val="nil"/>
            </w:tcBorders>
            <w:vAlign w:val="top"/>
          </w:tcPr>
          <w:p w:rsidRPr="00AA47AB" w:rsidR="00AE4A04" w:rsidRDefault="008400A2" w14:paraId="0CAD477A" w14:textId="1E3A8AA8">
            <w:pPr>
              <w:pStyle w:val="TableText"/>
              <w:spacing w:before="60" w:after="60"/>
              <w:ind w:right="144"/>
              <w:jc w:val="center"/>
              <w:rPr>
                <w:rFonts w:ascii="Arial Narrow" w:hAnsi="Arial Narrow" w:cs="Arial"/>
                <w:color w:val="000000"/>
                <w:szCs w:val="18"/>
              </w:rPr>
            </w:pPr>
            <w:r w:rsidRPr="00AA47AB">
              <w:rPr>
                <w:rFonts w:ascii="Arial Narrow" w:hAnsi="Arial Narrow" w:cs="Arial"/>
                <w:color w:val="000000"/>
                <w:szCs w:val="18"/>
              </w:rPr>
              <w:t>90</w:t>
            </w:r>
            <w:r w:rsidRPr="00AA47AB" w:rsidR="00AE4A04">
              <w:rPr>
                <w:rFonts w:ascii="Arial Narrow" w:hAnsi="Arial Narrow" w:cs="Arial"/>
                <w:color w:val="000000"/>
                <w:szCs w:val="18"/>
              </w:rPr>
              <w:t>/60</w:t>
            </w:r>
          </w:p>
        </w:tc>
        <w:tc>
          <w:tcPr>
            <w:tcW w:w="509" w:type="pct"/>
            <w:tcBorders>
              <w:top w:val="single" w:color="auto" w:sz="4" w:space="0"/>
              <w:bottom w:val="nil"/>
            </w:tcBorders>
            <w:vAlign w:val="top"/>
          </w:tcPr>
          <w:p w:rsidRPr="00AA47AB" w:rsidR="00AE4A04" w:rsidRDefault="0039014D" w14:paraId="6E9BC884" w14:textId="36CB08AA">
            <w:pPr>
              <w:pStyle w:val="TableText"/>
              <w:spacing w:before="60" w:after="60"/>
              <w:ind w:right="144"/>
              <w:jc w:val="center"/>
              <w:rPr>
                <w:rFonts w:ascii="Arial Narrow" w:hAnsi="Arial Narrow" w:cs="Arial"/>
                <w:color w:val="000000"/>
                <w:szCs w:val="18"/>
              </w:rPr>
            </w:pPr>
            <w:r w:rsidRPr="00AA47AB">
              <w:rPr>
                <w:rFonts w:ascii="Arial Narrow" w:hAnsi="Arial Narrow" w:cs="Arial"/>
                <w:color w:val="000000"/>
                <w:szCs w:val="18"/>
              </w:rPr>
              <w:t>45</w:t>
            </w:r>
          </w:p>
        </w:tc>
        <w:tc>
          <w:tcPr>
            <w:tcW w:w="508" w:type="pct"/>
            <w:tcBorders>
              <w:top w:val="single" w:color="auto" w:sz="4" w:space="0"/>
              <w:bottom w:val="nil"/>
            </w:tcBorders>
            <w:vAlign w:val="top"/>
          </w:tcPr>
          <w:p w:rsidRPr="00AA47AB" w:rsidR="00AE4A04" w:rsidP="005C3024" w:rsidRDefault="00AE4A04" w14:paraId="69686ECE" w14:textId="46A22310">
            <w:pPr>
              <w:pStyle w:val="TableText"/>
              <w:spacing w:before="60" w:after="60"/>
              <w:ind w:right="144"/>
              <w:jc w:val="center"/>
              <w:rPr>
                <w:rFonts w:ascii="Arial Narrow" w:hAnsi="Arial Narrow" w:cs="Arial"/>
                <w:color w:val="000000"/>
                <w:szCs w:val="18"/>
              </w:rPr>
            </w:pPr>
            <w:r w:rsidRPr="00AA47AB">
              <w:rPr>
                <w:rFonts w:ascii="Arial Narrow" w:hAnsi="Arial Narrow" w:cs="Arial"/>
                <w:color w:val="000000"/>
                <w:szCs w:val="18"/>
              </w:rPr>
              <w:t>$</w:t>
            </w:r>
            <w:r w:rsidR="00821CDB">
              <w:rPr>
                <w:rFonts w:ascii="Arial Narrow" w:hAnsi="Arial Narrow" w:cs="Arial"/>
                <w:color w:val="000000"/>
                <w:szCs w:val="18"/>
              </w:rPr>
              <w:t>46.87</w:t>
            </w:r>
          </w:p>
        </w:tc>
        <w:tc>
          <w:tcPr>
            <w:tcW w:w="590" w:type="pct"/>
            <w:tcBorders>
              <w:top w:val="single" w:color="auto" w:sz="4" w:space="0"/>
              <w:bottom w:val="nil"/>
            </w:tcBorders>
            <w:vAlign w:val="top"/>
          </w:tcPr>
          <w:p w:rsidRPr="00AA47AB" w:rsidR="00AE4A04" w:rsidRDefault="00AE4A04" w14:paraId="666FC29B" w14:textId="5527F839">
            <w:pPr>
              <w:pStyle w:val="TableText"/>
              <w:spacing w:before="60" w:after="60"/>
              <w:ind w:right="144"/>
              <w:jc w:val="center"/>
              <w:rPr>
                <w:rFonts w:ascii="Arial Narrow" w:hAnsi="Arial Narrow" w:cs="Arial"/>
                <w:color w:val="000000"/>
                <w:szCs w:val="18"/>
              </w:rPr>
            </w:pPr>
            <w:r w:rsidRPr="00AA47AB">
              <w:rPr>
                <w:rFonts w:ascii="Arial Narrow" w:hAnsi="Arial Narrow" w:cs="Arial"/>
                <w:color w:val="000000"/>
                <w:szCs w:val="18"/>
              </w:rPr>
              <w:t>$</w:t>
            </w:r>
            <w:r w:rsidRPr="00AA47AB" w:rsidR="003B12CA">
              <w:rPr>
                <w:rFonts w:ascii="Arial Narrow" w:hAnsi="Arial Narrow" w:cs="Arial"/>
                <w:color w:val="000000"/>
                <w:szCs w:val="18"/>
              </w:rPr>
              <w:t>2,</w:t>
            </w:r>
            <w:r w:rsidR="009805AA">
              <w:rPr>
                <w:rFonts w:ascii="Arial Narrow" w:hAnsi="Arial Narrow" w:cs="Arial"/>
                <w:color w:val="000000"/>
                <w:szCs w:val="18"/>
              </w:rPr>
              <w:t>109</w:t>
            </w:r>
          </w:p>
        </w:tc>
      </w:tr>
      <w:tr w:rsidRPr="0094551C" w:rsidR="00A83EF6" w:rsidTr="00383149" w14:paraId="75C5A527" w14:textId="77777777">
        <w:tc>
          <w:tcPr>
            <w:tcW w:w="1018" w:type="pct"/>
            <w:tcBorders>
              <w:top w:val="single" w:color="auto" w:sz="4" w:space="0"/>
              <w:bottom w:val="single" w:color="auto" w:sz="4" w:space="0"/>
            </w:tcBorders>
            <w:vAlign w:val="center"/>
          </w:tcPr>
          <w:p w:rsidRPr="00AA47AB" w:rsidR="00A83EF6" w:rsidP="00A83EF6" w:rsidRDefault="00A83EF6" w14:paraId="268CBD7F" w14:textId="77777777">
            <w:pPr>
              <w:pStyle w:val="TableText"/>
              <w:tabs>
                <w:tab w:val="decimal" w:pos="489"/>
              </w:tabs>
              <w:spacing w:before="60" w:after="60"/>
              <w:rPr>
                <w:rFonts w:ascii="Arial Narrow" w:hAnsi="Arial Narrow"/>
                <w:b/>
                <w:szCs w:val="18"/>
              </w:rPr>
            </w:pPr>
            <w:r w:rsidRPr="00AA47AB">
              <w:rPr>
                <w:rFonts w:ascii="Arial Narrow" w:hAnsi="Arial Narrow"/>
                <w:b/>
                <w:szCs w:val="18"/>
              </w:rPr>
              <w:t>Unduplicated Total</w:t>
            </w:r>
          </w:p>
        </w:tc>
        <w:tc>
          <w:tcPr>
            <w:tcW w:w="636" w:type="pct"/>
            <w:tcBorders>
              <w:top w:val="single" w:color="auto" w:sz="4" w:space="0"/>
              <w:bottom w:val="single" w:color="auto" w:sz="4" w:space="0"/>
            </w:tcBorders>
            <w:vAlign w:val="top"/>
          </w:tcPr>
          <w:p w:rsidRPr="00AA47AB" w:rsidR="00A83EF6" w:rsidRDefault="0029048E" w14:paraId="5AB02A1F" w14:textId="1EF53826">
            <w:pPr>
              <w:pStyle w:val="TableText"/>
              <w:spacing w:before="60" w:after="60"/>
              <w:ind w:right="144"/>
              <w:jc w:val="center"/>
              <w:rPr>
                <w:rFonts w:ascii="Arial Narrow" w:hAnsi="Arial Narrow"/>
                <w:b/>
                <w:szCs w:val="18"/>
              </w:rPr>
            </w:pPr>
            <w:r>
              <w:rPr>
                <w:rFonts w:ascii="Arial Narrow" w:hAnsi="Arial Narrow"/>
                <w:b/>
                <w:szCs w:val="18"/>
              </w:rPr>
              <w:t>410</w:t>
            </w:r>
          </w:p>
        </w:tc>
        <w:tc>
          <w:tcPr>
            <w:tcW w:w="594" w:type="pct"/>
            <w:tcBorders>
              <w:top w:val="single" w:color="auto" w:sz="4" w:space="0"/>
              <w:bottom w:val="single" w:color="auto" w:sz="4" w:space="0"/>
            </w:tcBorders>
            <w:vAlign w:val="top"/>
          </w:tcPr>
          <w:p w:rsidRPr="00AA47AB" w:rsidR="00A83EF6" w:rsidP="00383149" w:rsidRDefault="00A83EF6" w14:paraId="334CBAF6" w14:textId="1312FC0B">
            <w:pPr>
              <w:pStyle w:val="TableText"/>
              <w:spacing w:before="60" w:after="60"/>
              <w:ind w:right="144"/>
              <w:jc w:val="center"/>
              <w:rPr>
                <w:rFonts w:ascii="Arial Narrow" w:hAnsi="Arial Narrow" w:cs="Arial"/>
                <w:color w:val="000000"/>
                <w:szCs w:val="18"/>
              </w:rPr>
            </w:pPr>
            <w:r w:rsidRPr="00AA47AB">
              <w:rPr>
                <w:rFonts w:ascii="Arial Narrow" w:hAnsi="Arial Narrow" w:cs="Arial"/>
                <w:color w:val="000000"/>
                <w:szCs w:val="18"/>
              </w:rPr>
              <w:t>--</w:t>
            </w:r>
          </w:p>
        </w:tc>
        <w:tc>
          <w:tcPr>
            <w:tcW w:w="594" w:type="pct"/>
            <w:tcBorders>
              <w:top w:val="single" w:color="auto" w:sz="4" w:space="0"/>
              <w:bottom w:val="single" w:color="auto" w:sz="4" w:space="0"/>
            </w:tcBorders>
            <w:vAlign w:val="top"/>
          </w:tcPr>
          <w:p w:rsidRPr="00AA47AB" w:rsidR="00A83EF6" w:rsidP="00297415" w:rsidRDefault="0029048E" w14:paraId="21AD2D1C" w14:textId="4A167FD6">
            <w:pPr>
              <w:pStyle w:val="TableText"/>
              <w:spacing w:before="60" w:after="60"/>
              <w:ind w:right="144"/>
              <w:jc w:val="center"/>
              <w:rPr>
                <w:rFonts w:ascii="Arial Narrow" w:hAnsi="Arial Narrow" w:cs="Arial"/>
                <w:b/>
                <w:color w:val="000000"/>
                <w:szCs w:val="18"/>
              </w:rPr>
            </w:pPr>
            <w:r>
              <w:rPr>
                <w:rFonts w:ascii="Arial Narrow" w:hAnsi="Arial Narrow" w:cs="Arial"/>
                <w:b/>
                <w:color w:val="000000"/>
                <w:szCs w:val="18"/>
              </w:rPr>
              <w:t>410</w:t>
            </w:r>
          </w:p>
        </w:tc>
        <w:tc>
          <w:tcPr>
            <w:tcW w:w="551" w:type="pct"/>
            <w:tcBorders>
              <w:top w:val="single" w:color="auto" w:sz="4" w:space="0"/>
              <w:bottom w:val="single" w:color="auto" w:sz="4" w:space="0"/>
            </w:tcBorders>
            <w:vAlign w:val="top"/>
          </w:tcPr>
          <w:p w:rsidRPr="00AA47AB" w:rsidR="00A83EF6" w:rsidP="00383149" w:rsidRDefault="00E45E37" w14:paraId="0BA8586D" w14:textId="6B41141F">
            <w:pPr>
              <w:pStyle w:val="TableText"/>
              <w:spacing w:before="60" w:after="60"/>
              <w:ind w:right="144"/>
              <w:jc w:val="center"/>
              <w:rPr>
                <w:rFonts w:ascii="Arial Narrow" w:hAnsi="Arial Narrow" w:cs="Arial"/>
                <w:b/>
                <w:color w:val="000000"/>
                <w:szCs w:val="18"/>
              </w:rPr>
            </w:pPr>
            <w:r>
              <w:rPr>
                <w:rFonts w:ascii="Arial Narrow" w:hAnsi="Arial Narrow" w:cs="Arial"/>
                <w:b/>
                <w:color w:val="000000"/>
                <w:szCs w:val="18"/>
              </w:rPr>
              <w:t>--</w:t>
            </w:r>
          </w:p>
        </w:tc>
        <w:tc>
          <w:tcPr>
            <w:tcW w:w="509" w:type="pct"/>
            <w:tcBorders>
              <w:top w:val="single" w:color="auto" w:sz="4" w:space="0"/>
              <w:bottom w:val="single" w:color="auto" w:sz="4" w:space="0"/>
            </w:tcBorders>
            <w:vAlign w:val="top"/>
          </w:tcPr>
          <w:p w:rsidRPr="00AA47AB" w:rsidR="00A83EF6" w:rsidRDefault="0029048E" w14:paraId="54550B7D" w14:textId="0308CF61">
            <w:pPr>
              <w:pStyle w:val="TableText"/>
              <w:spacing w:before="60" w:after="60"/>
              <w:ind w:right="144"/>
              <w:jc w:val="center"/>
              <w:rPr>
                <w:rFonts w:ascii="Arial Narrow" w:hAnsi="Arial Narrow" w:cs="Arial"/>
                <w:b/>
                <w:color w:val="000000"/>
                <w:szCs w:val="18"/>
              </w:rPr>
            </w:pPr>
            <w:r>
              <w:rPr>
                <w:rFonts w:ascii="Arial Narrow" w:hAnsi="Arial Narrow" w:cs="Arial"/>
                <w:b/>
                <w:color w:val="000000"/>
                <w:szCs w:val="18"/>
              </w:rPr>
              <w:t>63</w:t>
            </w:r>
            <w:r w:rsidR="00A0140E">
              <w:rPr>
                <w:rFonts w:ascii="Arial Narrow" w:hAnsi="Arial Narrow" w:cs="Arial"/>
                <w:b/>
                <w:color w:val="000000"/>
                <w:szCs w:val="18"/>
              </w:rPr>
              <w:t>1</w:t>
            </w:r>
          </w:p>
        </w:tc>
        <w:tc>
          <w:tcPr>
            <w:tcW w:w="508" w:type="pct"/>
            <w:tcBorders>
              <w:top w:val="single" w:color="auto" w:sz="4" w:space="0"/>
              <w:bottom w:val="single" w:color="auto" w:sz="4" w:space="0"/>
            </w:tcBorders>
            <w:vAlign w:val="top"/>
          </w:tcPr>
          <w:p w:rsidRPr="00AA47AB" w:rsidR="00A83EF6" w:rsidP="00383149" w:rsidRDefault="00E45E37" w14:paraId="5DA69599" w14:textId="1928D0E5">
            <w:pPr>
              <w:pStyle w:val="TableText"/>
              <w:spacing w:before="60" w:after="60"/>
              <w:ind w:right="144"/>
              <w:jc w:val="center"/>
              <w:rPr>
                <w:rFonts w:ascii="Arial Narrow" w:hAnsi="Arial Narrow" w:cs="Arial"/>
                <w:b/>
                <w:color w:val="000000"/>
                <w:szCs w:val="18"/>
              </w:rPr>
            </w:pPr>
            <w:r>
              <w:rPr>
                <w:rFonts w:ascii="Arial Narrow" w:hAnsi="Arial Narrow" w:cs="Arial"/>
                <w:b/>
                <w:color w:val="000000"/>
                <w:szCs w:val="18"/>
              </w:rPr>
              <w:t>--</w:t>
            </w:r>
          </w:p>
        </w:tc>
        <w:tc>
          <w:tcPr>
            <w:tcW w:w="590" w:type="pct"/>
            <w:tcBorders>
              <w:top w:val="single" w:color="auto" w:sz="4" w:space="0"/>
              <w:bottom w:val="single" w:color="auto" w:sz="4" w:space="0"/>
            </w:tcBorders>
            <w:vAlign w:val="top"/>
          </w:tcPr>
          <w:p w:rsidRPr="00AA47AB" w:rsidR="00A83EF6" w:rsidRDefault="00FA7514" w14:paraId="5AC5EA98" w14:textId="796A939F">
            <w:pPr>
              <w:pStyle w:val="TableText"/>
              <w:spacing w:before="60" w:after="60"/>
              <w:ind w:right="144"/>
              <w:jc w:val="center"/>
              <w:rPr>
                <w:rFonts w:ascii="Arial Narrow" w:hAnsi="Arial Narrow" w:cs="Arial"/>
                <w:b/>
                <w:color w:val="000000"/>
                <w:szCs w:val="18"/>
              </w:rPr>
            </w:pPr>
            <w:r w:rsidRPr="00AA47AB">
              <w:rPr>
                <w:rFonts w:ascii="Arial Narrow" w:hAnsi="Arial Narrow" w:cs="Arial"/>
                <w:b/>
                <w:color w:val="000000"/>
                <w:szCs w:val="18"/>
              </w:rPr>
              <w:t>$</w:t>
            </w:r>
            <w:r w:rsidRPr="00AA47AB" w:rsidR="00855090">
              <w:rPr>
                <w:rFonts w:ascii="Arial Narrow" w:hAnsi="Arial Narrow" w:cs="Arial"/>
                <w:b/>
                <w:color w:val="000000"/>
                <w:szCs w:val="18"/>
              </w:rPr>
              <w:t xml:space="preserve"> </w:t>
            </w:r>
            <w:r w:rsidRPr="00AA47AB" w:rsidR="002E4E5A">
              <w:rPr>
                <w:rFonts w:ascii="Arial Narrow" w:hAnsi="Arial Narrow" w:cs="Arial"/>
                <w:b/>
                <w:color w:val="000000"/>
                <w:szCs w:val="18"/>
              </w:rPr>
              <w:t>22,</w:t>
            </w:r>
            <w:r w:rsidR="00633177">
              <w:rPr>
                <w:rFonts w:ascii="Arial Narrow" w:hAnsi="Arial Narrow" w:cs="Arial"/>
                <w:b/>
                <w:color w:val="000000"/>
                <w:szCs w:val="18"/>
              </w:rPr>
              <w:t>519</w:t>
            </w:r>
          </w:p>
        </w:tc>
      </w:tr>
    </w:tbl>
    <w:p w:rsidRPr="00AA47AB" w:rsidR="00B9456E" w:rsidP="00542944" w:rsidRDefault="00F707EE" w14:paraId="6B4741AC" w14:textId="201DE006">
      <w:pPr>
        <w:pStyle w:val="TableFootnoteCaption"/>
        <w:rPr>
          <w:rFonts w:ascii="Arial Narrow" w:hAnsi="Arial Narrow"/>
        </w:rPr>
        <w:sectPr w:rsidRPr="00AA47AB" w:rsidR="00B9456E" w:rsidSect="00577B5B">
          <w:pgSz w:w="15840" w:h="12240" w:orient="landscape"/>
          <w:pgMar w:top="1440" w:right="1440" w:bottom="1440" w:left="1440" w:header="720" w:footer="720" w:gutter="0"/>
          <w:cols w:space="720"/>
          <w:titlePg/>
          <w:docGrid w:linePitch="360"/>
        </w:sectPr>
      </w:pPr>
      <w:proofErr w:type="spellStart"/>
      <w:r w:rsidRPr="00AA47AB">
        <w:rPr>
          <w:rFonts w:ascii="Arial Narrow" w:hAnsi="Arial Narrow"/>
          <w:color w:val="000000"/>
          <w:vertAlign w:val="superscript"/>
        </w:rPr>
        <w:t>a</w:t>
      </w:r>
      <w:proofErr w:type="spellEnd"/>
      <w:r w:rsidRPr="00AA47AB" w:rsidR="00F63B73">
        <w:rPr>
          <w:rFonts w:ascii="Arial Narrow" w:hAnsi="Arial Narrow"/>
          <w:color w:val="000000"/>
          <w:vertAlign w:val="superscript"/>
        </w:rPr>
        <w:t xml:space="preserve"> </w:t>
      </w:r>
      <w:r w:rsidRPr="00AA47AB" w:rsidR="00F63B73">
        <w:rPr>
          <w:rFonts w:ascii="Arial Narrow" w:hAnsi="Arial Narrow"/>
        </w:rPr>
        <w:t xml:space="preserve">The hourly wage of </w:t>
      </w:r>
      <w:r w:rsidRPr="00AA47AB">
        <w:rPr>
          <w:rFonts w:ascii="Arial Narrow" w:hAnsi="Arial Narrow"/>
        </w:rPr>
        <w:t>$</w:t>
      </w:r>
      <w:r w:rsidR="00C7478C">
        <w:rPr>
          <w:rFonts w:ascii="Arial Narrow" w:hAnsi="Arial Narrow"/>
        </w:rPr>
        <w:t>46.87</w:t>
      </w:r>
      <w:r w:rsidR="008F2F38">
        <w:rPr>
          <w:rFonts w:ascii="Arial Narrow" w:hAnsi="Arial Narrow"/>
        </w:rPr>
        <w:t xml:space="preserve"> </w:t>
      </w:r>
      <w:r w:rsidRPr="00AA47AB">
        <w:rPr>
          <w:rFonts w:ascii="Arial Narrow" w:hAnsi="Arial Narrow"/>
        </w:rPr>
        <w:t xml:space="preserve"> is the May </w:t>
      </w:r>
      <w:r w:rsidRPr="00AA47AB" w:rsidR="00FC66A8">
        <w:rPr>
          <w:rFonts w:ascii="Arial Narrow" w:hAnsi="Arial Narrow"/>
        </w:rPr>
        <w:t>20</w:t>
      </w:r>
      <w:r w:rsidR="003E02D6">
        <w:rPr>
          <w:rFonts w:ascii="Arial Narrow" w:hAnsi="Arial Narrow"/>
        </w:rPr>
        <w:t>20</w:t>
      </w:r>
      <w:r w:rsidRPr="00AA47AB" w:rsidR="00FC66A8">
        <w:rPr>
          <w:rFonts w:ascii="Arial Narrow" w:hAnsi="Arial Narrow"/>
        </w:rPr>
        <w:t xml:space="preserve"> </w:t>
      </w:r>
      <w:r w:rsidRPr="00AA47AB">
        <w:rPr>
          <w:rFonts w:ascii="Arial Narrow" w:hAnsi="Arial Narrow"/>
        </w:rPr>
        <w:t>median wage across Education Administrators</w:t>
      </w:r>
      <w:r w:rsidRPr="00AA47AB" w:rsidR="00D35FA2">
        <w:rPr>
          <w:rFonts w:ascii="Arial Narrow" w:hAnsi="Arial Narrow"/>
        </w:rPr>
        <w:t>, Postsecondary</w:t>
      </w:r>
      <w:r w:rsidRPr="00AA47AB" w:rsidR="00F63B73">
        <w:rPr>
          <w:rFonts w:ascii="Arial Narrow" w:hAnsi="Arial Narrow"/>
        </w:rPr>
        <w:t xml:space="preserve"> (see</w:t>
      </w:r>
      <w:r w:rsidRPr="00AA47AB" w:rsidR="00C234EF">
        <w:rPr>
          <w:rFonts w:ascii="Arial Narrow" w:hAnsi="Arial Narrow"/>
        </w:rPr>
        <w:t xml:space="preserve"> </w:t>
      </w:r>
      <w:hyperlink w:history="1" r:id="rId17">
        <w:r w:rsidRPr="00AA47AB" w:rsidR="00C234EF">
          <w:rPr>
            <w:rStyle w:val="Hyperlink"/>
            <w:rFonts w:ascii="Arial Narrow" w:hAnsi="Arial Narrow"/>
          </w:rPr>
          <w:t>https://www.bls.gov/oes/current/oes119033.htm</w:t>
        </w:r>
      </w:hyperlink>
      <w:r w:rsidRPr="00AA47AB" w:rsidR="00F63B73">
        <w:rPr>
          <w:rFonts w:ascii="Arial Narrow" w:hAnsi="Arial Narrow"/>
        </w:rPr>
        <w:t>)</w:t>
      </w:r>
      <w:r w:rsidRPr="00AA47AB" w:rsidR="00B37146">
        <w:rPr>
          <w:rFonts w:ascii="Arial Narrow" w:hAnsi="Arial Narrow"/>
        </w:rPr>
        <w:t>; $</w:t>
      </w:r>
      <w:r w:rsidR="0029795B">
        <w:rPr>
          <w:rFonts w:ascii="Arial Narrow" w:hAnsi="Arial Narrow"/>
        </w:rPr>
        <w:t>2</w:t>
      </w:r>
      <w:r w:rsidR="00DD3F71">
        <w:rPr>
          <w:rFonts w:ascii="Arial Narrow" w:hAnsi="Arial Narrow"/>
        </w:rPr>
        <w:t>0.17</w:t>
      </w:r>
      <w:r w:rsidR="0029795B">
        <w:rPr>
          <w:rFonts w:ascii="Arial Narrow" w:hAnsi="Arial Narrow"/>
        </w:rPr>
        <w:t xml:space="preserve"> </w:t>
      </w:r>
      <w:r w:rsidRPr="00AA47AB" w:rsidR="00B37146">
        <w:rPr>
          <w:rFonts w:ascii="Arial Narrow" w:hAnsi="Arial Narrow"/>
        </w:rPr>
        <w:t xml:space="preserve">is the May </w:t>
      </w:r>
      <w:r w:rsidRPr="00AA47AB" w:rsidR="00855090">
        <w:rPr>
          <w:rFonts w:ascii="Arial Narrow" w:hAnsi="Arial Narrow"/>
        </w:rPr>
        <w:t>20</w:t>
      </w:r>
      <w:r w:rsidR="003E02D6">
        <w:rPr>
          <w:rFonts w:ascii="Arial Narrow" w:hAnsi="Arial Narrow"/>
        </w:rPr>
        <w:t>20</w:t>
      </w:r>
      <w:r w:rsidRPr="00AA47AB" w:rsidR="00855090">
        <w:rPr>
          <w:rFonts w:ascii="Arial Narrow" w:hAnsi="Arial Narrow"/>
        </w:rPr>
        <w:t xml:space="preserve"> </w:t>
      </w:r>
      <w:r w:rsidRPr="00AA47AB" w:rsidR="00B37146">
        <w:rPr>
          <w:rFonts w:ascii="Arial Narrow" w:hAnsi="Arial Narrow"/>
        </w:rPr>
        <w:t>median wage across all occupations in the United States</w:t>
      </w:r>
      <w:r w:rsidRPr="00AA47AB" w:rsidR="00707D3E">
        <w:rPr>
          <w:rFonts w:ascii="Arial Narrow" w:hAnsi="Arial Narrow"/>
        </w:rPr>
        <w:t xml:space="preserve">  (see </w:t>
      </w:r>
      <w:hyperlink w:history="1" w:anchor="00-0000" r:id="rId18">
        <w:r w:rsidRPr="00AA47AB" w:rsidR="00707D3E">
          <w:rPr>
            <w:rStyle w:val="Hyperlink"/>
            <w:rFonts w:ascii="Arial Narrow" w:hAnsi="Arial Narrow"/>
          </w:rPr>
          <w:t>https://www.bls.gov/oes/current/oes_nat.htm#00-0000</w:t>
        </w:r>
      </w:hyperlink>
      <w:r w:rsidRPr="00AA47AB" w:rsidR="00707D3E">
        <w:rPr>
          <w:rFonts w:ascii="Arial Narrow" w:hAnsi="Arial Narrow"/>
        </w:rPr>
        <w:t xml:space="preserve">) </w:t>
      </w:r>
    </w:p>
    <w:p w:rsidRPr="001C47A2" w:rsidR="00F63B73" w:rsidP="00383149" w:rsidRDefault="00F63B73" w14:paraId="1CC858D6" w14:textId="4BDFFF05">
      <w:pPr>
        <w:pStyle w:val="TableFootnoteCaption"/>
      </w:pPr>
    </w:p>
    <w:p w:rsidRPr="0021159E" w:rsidR="00871FB8" w:rsidP="002525F8" w:rsidRDefault="006D108A" w14:paraId="3E5C78DF" w14:textId="11AF2C7B">
      <w:pPr>
        <w:pStyle w:val="H3Alpha"/>
        <w:ind w:left="0" w:firstLine="0"/>
        <w:outlineLvl w:val="1"/>
        <w:rPr>
          <w:rFonts w:ascii="Times New Roman" w:hAnsi="Times New Roman"/>
          <w:i/>
        </w:rPr>
      </w:pPr>
      <w:bookmarkStart w:name="_Toc68878654" w:id="30"/>
      <w:r w:rsidRPr="002042DF">
        <w:t xml:space="preserve">13. </w:t>
      </w:r>
      <w:r w:rsidRPr="00946B48" w:rsidR="005455E1">
        <w:rPr>
          <w:rFonts w:ascii="Times New Roman" w:hAnsi="Times New Roman"/>
          <w:i/>
        </w:rPr>
        <w:t>Provide an estimate for the total annual cost burden to respondents or record keepers resulting from the collection of information. (Do not include the cost of any hour burden already reflected on the burden worksheet).</w:t>
      </w:r>
      <w:bookmarkEnd w:id="30"/>
    </w:p>
    <w:p w:rsidRPr="00B31391" w:rsidR="00072E64" w:rsidP="006C3DB7" w:rsidRDefault="00072E64" w14:paraId="5ABCA6D7" w14:textId="77777777">
      <w:pPr>
        <w:pStyle w:val="H3Alpha"/>
        <w:ind w:firstLine="0"/>
        <w:outlineLvl w:val="9"/>
        <w:rPr>
          <w:rFonts w:ascii="Times New Roman" w:hAnsi="Times New Roman"/>
          <w:i/>
          <w:sz w:val="24"/>
        </w:rPr>
      </w:pPr>
      <w:r w:rsidRPr="00B31391">
        <w:rPr>
          <w:rFonts w:ascii="Times New Roman" w:hAnsi="Times New Roman"/>
          <w:i/>
          <w:sz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B31391">
        <w:rPr>
          <w:rFonts w:ascii="Times New Roman" w:hAnsi="Times New Roman"/>
          <w:i/>
          <w:sz w:val="24"/>
        </w:rPr>
        <w:t>take into account</w:t>
      </w:r>
      <w:proofErr w:type="gramEnd"/>
      <w:r w:rsidRPr="00B31391">
        <w:rPr>
          <w:rFonts w:ascii="Times New Roman" w:hAnsi="Times New Roman"/>
          <w:i/>
          <w:sz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B31391">
        <w:rPr>
          <w:rFonts w:ascii="Times New Roman" w:hAnsi="Times New Roman"/>
          <w:i/>
          <w:sz w:val="24"/>
        </w:rPr>
        <w:t>time period</w:t>
      </w:r>
      <w:proofErr w:type="gramEnd"/>
      <w:r w:rsidRPr="00B31391">
        <w:rPr>
          <w:rFonts w:ascii="Times New Roman" w:hAnsi="Times New Roman"/>
          <w:i/>
          <w:sz w:val="24"/>
        </w:rPr>
        <w:t xml:space="preserve"> over which costs will be incurred.  Capital and start-up costs include, among other items, preparations for collecting information such as purchasing computers and software; monitoring, sampling, </w:t>
      </w:r>
      <w:proofErr w:type="gramStart"/>
      <w:r w:rsidRPr="00B31391">
        <w:rPr>
          <w:rFonts w:ascii="Times New Roman" w:hAnsi="Times New Roman"/>
          <w:i/>
          <w:sz w:val="24"/>
        </w:rPr>
        <w:t>drilling</w:t>
      </w:r>
      <w:proofErr w:type="gramEnd"/>
      <w:r w:rsidRPr="00B31391">
        <w:rPr>
          <w:rFonts w:ascii="Times New Roman" w:hAnsi="Times New Roman"/>
          <w:i/>
          <w:sz w:val="24"/>
        </w:rPr>
        <w:t xml:space="preserve"> and testing equipment; and record storage facilities. </w:t>
      </w:r>
    </w:p>
    <w:p w:rsidRPr="00B31391" w:rsidR="00072E64" w:rsidP="006C3DB7" w:rsidRDefault="00072E64" w14:paraId="12595B3A" w14:textId="77777777">
      <w:pPr>
        <w:pStyle w:val="H3Alpha"/>
        <w:ind w:firstLine="0"/>
        <w:outlineLvl w:val="9"/>
        <w:rPr>
          <w:rFonts w:ascii="Times New Roman" w:hAnsi="Times New Roman"/>
          <w:i/>
          <w:sz w:val="24"/>
        </w:rPr>
      </w:pPr>
      <w:r w:rsidRPr="00B31391">
        <w:rPr>
          <w:rFonts w:ascii="Times New Roman" w:hAnsi="Times New Roman"/>
          <w:i/>
          <w:sz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B31391">
        <w:rPr>
          <w:rFonts w:ascii="Times New Roman" w:hAnsi="Times New Roman"/>
          <w:i/>
          <w:sz w:val="24"/>
        </w:rPr>
        <w:t>process</w:t>
      </w:r>
      <w:proofErr w:type="gramEnd"/>
      <w:r w:rsidRPr="00B31391">
        <w:rPr>
          <w:rFonts w:ascii="Times New Roman" w:hAnsi="Times New Roman"/>
          <w:i/>
          <w:sz w:val="24"/>
        </w:rPr>
        <w:t xml:space="preserve"> and use existing economic or regulatory impact analysis associated with the rulemaking containing the information collection, as appropriate.</w:t>
      </w:r>
    </w:p>
    <w:p w:rsidRPr="00072E64" w:rsidR="00072E64" w:rsidP="00072E64" w:rsidRDefault="00072E64" w14:paraId="084A2582" w14:textId="090D80BD">
      <w:pPr>
        <w:pStyle w:val="NormalSS"/>
      </w:pPr>
      <w:r w:rsidRPr="00B31391">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C45D4" w:rsidR="006D108A" w:rsidP="006C3DB7" w:rsidRDefault="006D108A" w14:paraId="161DF33A" w14:textId="6246419F">
      <w:pPr>
        <w:pStyle w:val="H3Alpha"/>
        <w:ind w:left="0" w:firstLine="450"/>
        <w:outlineLvl w:val="9"/>
        <w:rPr>
          <w:rFonts w:ascii="Times New Roman" w:hAnsi="Times New Roman"/>
          <w:sz w:val="24"/>
          <w:szCs w:val="24"/>
        </w:rPr>
      </w:pPr>
      <w:r w:rsidRPr="005C45D4">
        <w:rPr>
          <w:rFonts w:ascii="Times New Roman" w:hAnsi="Times New Roman"/>
          <w:sz w:val="24"/>
          <w:szCs w:val="24"/>
        </w:rPr>
        <w:t>There are no direct costs to respondents</w:t>
      </w:r>
      <w:r w:rsidRPr="005C45D4" w:rsidR="00037B93">
        <w:rPr>
          <w:rFonts w:ascii="Times New Roman" w:hAnsi="Times New Roman"/>
          <w:sz w:val="24"/>
          <w:szCs w:val="24"/>
        </w:rPr>
        <w:t xml:space="preserve"> other than their time. </w:t>
      </w:r>
    </w:p>
    <w:p w:rsidRPr="00B75DB5" w:rsidR="00D7273E" w:rsidP="002525F8" w:rsidRDefault="00D7273E" w14:paraId="3A6CE7C1" w14:textId="352126D1">
      <w:pPr>
        <w:pStyle w:val="H3Alpha"/>
        <w:ind w:left="0" w:firstLine="0"/>
        <w:outlineLvl w:val="1"/>
      </w:pPr>
      <w:bookmarkStart w:name="_Toc68878655" w:id="31"/>
      <w:r w:rsidRPr="00B75DB5">
        <w:t xml:space="preserve">14. </w:t>
      </w:r>
      <w:r w:rsidRPr="00946B48" w:rsidR="005455E1">
        <w:rPr>
          <w:rFonts w:ascii="Times New Roman" w:hAnsi="Times New Roman"/>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bookmarkEnd w:id="31"/>
    </w:p>
    <w:p w:rsidRPr="005C45D4" w:rsidR="00D7273E" w:rsidP="00B75DB5" w:rsidRDefault="00D7273E" w14:paraId="7F03AA81" w14:textId="574D0318">
      <w:pPr>
        <w:pStyle w:val="NormalSS"/>
        <w:rPr>
          <w:szCs w:val="24"/>
        </w:rPr>
      </w:pPr>
      <w:r w:rsidRPr="005C45D4">
        <w:rPr>
          <w:szCs w:val="24"/>
        </w:rPr>
        <w:t xml:space="preserve">The total </w:t>
      </w:r>
      <w:r w:rsidR="0021159E">
        <w:rPr>
          <w:szCs w:val="24"/>
        </w:rPr>
        <w:t>cost to the Federal government over three years is $</w:t>
      </w:r>
      <w:r w:rsidR="00DA50D4">
        <w:rPr>
          <w:szCs w:val="24"/>
        </w:rPr>
        <w:t>902,709.8</w:t>
      </w:r>
      <w:r w:rsidR="00521B47">
        <w:rPr>
          <w:szCs w:val="24"/>
        </w:rPr>
        <w:t>1</w:t>
      </w:r>
      <w:r w:rsidR="0021159E">
        <w:rPr>
          <w:szCs w:val="24"/>
        </w:rPr>
        <w:t xml:space="preserve">, and </w:t>
      </w:r>
      <w:r w:rsidRPr="005C45D4">
        <w:rPr>
          <w:szCs w:val="24"/>
        </w:rPr>
        <w:t>annualized cost to the federal government is $</w:t>
      </w:r>
      <w:r w:rsidR="00521B47">
        <w:rPr>
          <w:szCs w:val="24"/>
        </w:rPr>
        <w:t>300</w:t>
      </w:r>
      <w:r w:rsidR="00256F61">
        <w:rPr>
          <w:szCs w:val="24"/>
        </w:rPr>
        <w:t>,</w:t>
      </w:r>
      <w:r w:rsidR="00521B47">
        <w:rPr>
          <w:szCs w:val="24"/>
        </w:rPr>
        <w:t>903</w:t>
      </w:r>
      <w:r w:rsidR="00256F61">
        <w:rPr>
          <w:szCs w:val="24"/>
        </w:rPr>
        <w:t>.</w:t>
      </w:r>
      <w:r w:rsidR="00521B47">
        <w:rPr>
          <w:szCs w:val="24"/>
        </w:rPr>
        <w:t>27</w:t>
      </w:r>
      <w:r w:rsidRPr="005C45D4">
        <w:rPr>
          <w:szCs w:val="24"/>
        </w:rPr>
        <w:t xml:space="preserve">. Costs result from the following categories: </w:t>
      </w:r>
    </w:p>
    <w:p w:rsidRPr="005C45D4" w:rsidR="005445D5" w:rsidP="00B75DB5" w:rsidRDefault="00D7273E" w14:paraId="0FB5C84D" w14:textId="407C85A9">
      <w:pPr>
        <w:pStyle w:val="NormalSS"/>
        <w:rPr>
          <w:szCs w:val="24"/>
        </w:rPr>
      </w:pPr>
      <w:r w:rsidRPr="005C45D4">
        <w:rPr>
          <w:szCs w:val="24"/>
        </w:rPr>
        <w:t xml:space="preserve">The estimated cost to the federal government for the contractor to carry out the </w:t>
      </w:r>
      <w:r w:rsidR="00A264B0">
        <w:rPr>
          <w:szCs w:val="24"/>
        </w:rPr>
        <w:t xml:space="preserve">implementation data collect is </w:t>
      </w:r>
      <w:r w:rsidR="00F7533F">
        <w:rPr>
          <w:szCs w:val="24"/>
        </w:rPr>
        <w:t>$840,713</w:t>
      </w:r>
      <w:r w:rsidR="0021159E">
        <w:rPr>
          <w:rStyle w:val="FootnoteReference"/>
          <w:szCs w:val="24"/>
        </w:rPr>
        <w:footnoteReference w:id="2"/>
      </w:r>
      <w:r w:rsidRPr="005C45D4" w:rsidR="00F707EE">
        <w:rPr>
          <w:szCs w:val="24"/>
        </w:rPr>
        <w:t>.</w:t>
      </w:r>
      <w:r w:rsidRPr="005C45D4">
        <w:rPr>
          <w:szCs w:val="24"/>
        </w:rPr>
        <w:t xml:space="preserve"> Annualized, this comes to $</w:t>
      </w:r>
      <w:r w:rsidR="0043653B">
        <w:rPr>
          <w:szCs w:val="24"/>
        </w:rPr>
        <w:t>2</w:t>
      </w:r>
      <w:r w:rsidR="00521B47">
        <w:rPr>
          <w:szCs w:val="24"/>
        </w:rPr>
        <w:t>80,237.67</w:t>
      </w:r>
      <w:r w:rsidRPr="005C45D4">
        <w:rPr>
          <w:szCs w:val="24"/>
        </w:rPr>
        <w:t>:</w:t>
      </w:r>
      <w:r w:rsidRPr="005C45D4" w:rsidDel="00F16AEA" w:rsidR="00F16AEA">
        <w:rPr>
          <w:szCs w:val="24"/>
        </w:rPr>
        <w:t xml:space="preserve"> </w:t>
      </w:r>
    </w:p>
    <w:p w:rsidRPr="005C45D4" w:rsidR="00D7273E" w:rsidP="00741BEF" w:rsidRDefault="00234A99" w14:paraId="07C30DDC" w14:textId="6F8E9ED6">
      <w:pPr>
        <w:pStyle w:val="NormalSS"/>
        <w:ind w:firstLine="0"/>
        <w:rPr>
          <w:szCs w:val="24"/>
        </w:rPr>
      </w:pPr>
      <w:r w:rsidRPr="005C45D4">
        <w:rPr>
          <w:szCs w:val="24"/>
        </w:rPr>
        <w:t xml:space="preserve"> </w:t>
      </w:r>
      <m:oMath>
        <m:f>
          <m:fPr>
            <m:ctrlPr>
              <w:rPr>
                <w:rFonts w:ascii="Cambria Math" w:hAnsi="Cambria Math"/>
                <w:i/>
                <w:szCs w:val="24"/>
              </w:rPr>
            </m:ctrlPr>
          </m:fPr>
          <m:num>
            <m:r>
              <w:rPr>
                <w:rFonts w:ascii="Cambria Math" w:hAnsi="Cambria Math"/>
                <w:szCs w:val="24"/>
              </w:rPr>
              <m:t>$840,713</m:t>
            </m:r>
          </m:num>
          <m:den>
            <m:r>
              <w:rPr>
                <w:rFonts w:ascii="Cambria Math" w:hAnsi="Cambria Math"/>
                <w:szCs w:val="24"/>
              </w:rPr>
              <m:t>3</m:t>
            </m:r>
          </m:den>
        </m:f>
      </m:oMath>
      <w:r w:rsidRPr="005C45D4" w:rsidR="00F16AEA">
        <w:rPr>
          <w:szCs w:val="24"/>
        </w:rPr>
        <w:t xml:space="preserve"> =</w:t>
      </w:r>
      <w:r w:rsidRPr="005C45D4" w:rsidR="007C07F0">
        <w:rPr>
          <w:szCs w:val="24"/>
        </w:rPr>
        <w:t xml:space="preserve"> </w:t>
      </w:r>
      <w:r w:rsidRPr="005C45D4" w:rsidR="00F16AEA">
        <w:rPr>
          <w:szCs w:val="24"/>
        </w:rPr>
        <w:t>$</w:t>
      </w:r>
      <w:r w:rsidR="00DA50D4">
        <w:rPr>
          <w:szCs w:val="24"/>
        </w:rPr>
        <w:t>280,237.67</w:t>
      </w:r>
    </w:p>
    <w:p w:rsidR="00256F61" w:rsidP="00256F61" w:rsidRDefault="00256F61" w14:paraId="7E495B47" w14:textId="4D7058D9">
      <w:pPr>
        <w:pStyle w:val="NormalSS"/>
        <w:rPr>
          <w:szCs w:val="24"/>
        </w:rPr>
      </w:pPr>
      <w:r>
        <w:rPr>
          <w:szCs w:val="24"/>
        </w:rPr>
        <w:t>The annual cost borne by DOL for federal technical staff to oversee the contract is estimated to be $</w:t>
      </w:r>
      <w:r w:rsidR="000E7AA7">
        <w:rPr>
          <w:szCs w:val="24"/>
        </w:rPr>
        <w:t>20,665.60</w:t>
      </w:r>
      <w:r>
        <w:rPr>
          <w:szCs w:val="24"/>
        </w:rPr>
        <w:t xml:space="preserve">. We expect the annual level of effort to perform these duties will require 200 </w:t>
      </w:r>
      <w:r>
        <w:rPr>
          <w:szCs w:val="24"/>
        </w:rPr>
        <w:lastRenderedPageBreak/>
        <w:t>hours for one federal GS 14 step 4 employee based in Washington, D.C., earning $64.58 per hour. (See Office of Personnel Management 2</w:t>
      </w:r>
      <w:r w:rsidR="00DA50D4">
        <w:rPr>
          <w:szCs w:val="24"/>
        </w:rPr>
        <w:t>021</w:t>
      </w:r>
      <w:r>
        <w:rPr>
          <w:szCs w:val="24"/>
        </w:rPr>
        <w:t xml:space="preserve"> Hourly Salary Table at</w:t>
      </w:r>
      <w:r>
        <w:t xml:space="preserve"> </w:t>
      </w:r>
      <w:hyperlink w:history="1" r:id="rId19">
        <w:r w:rsidRPr="007A1EF5">
          <w:rPr>
            <w:rStyle w:val="Hyperlink"/>
          </w:rPr>
          <w:t>https://www.opm.gov/policy-data-oversight/pay-leave/salaries-wages/salary-tables/pdf/2021/DCB_h.pdf</w:t>
        </w:r>
      </w:hyperlink>
      <w:r>
        <w:rPr>
          <w:szCs w:val="24"/>
        </w:rPr>
        <w:t>. To account for fringe benefits and other overhead costs, the agency has applied multiplication factor of 1.6:</w:t>
      </w:r>
    </w:p>
    <w:p w:rsidR="00256F61" w:rsidP="00256F61" w:rsidRDefault="00256F61" w14:paraId="5F3FAA9A" w14:textId="77777777">
      <w:pPr>
        <w:pStyle w:val="NormalSS"/>
        <w:rPr>
          <w:szCs w:val="24"/>
        </w:rPr>
      </w:pPr>
      <w:r>
        <w:rPr>
          <w:szCs w:val="24"/>
        </w:rPr>
        <w:t>200 hours × $64.58 × 1.6 = $20,665.60.</w:t>
      </w:r>
    </w:p>
    <w:p w:rsidRPr="0073236D" w:rsidR="00D7273E" w:rsidP="00486DFC" w:rsidRDefault="00D7273E" w14:paraId="11377CF2" w14:textId="148DF0EC">
      <w:pPr>
        <w:pStyle w:val="NormalSS"/>
        <w:rPr>
          <w:b/>
        </w:rPr>
      </w:pPr>
      <w:proofErr w:type="gramStart"/>
      <w:r w:rsidRPr="00E703A0">
        <w:rPr>
          <w:b/>
        </w:rPr>
        <w:t>Thus</w:t>
      </w:r>
      <w:proofErr w:type="gramEnd"/>
      <w:r w:rsidRPr="00E703A0">
        <w:rPr>
          <w:b/>
        </w:rPr>
        <w:t xml:space="preserve"> the total annualized federal cost is $</w:t>
      </w:r>
      <w:r w:rsidR="00256F61">
        <w:rPr>
          <w:b/>
        </w:rPr>
        <w:t>2</w:t>
      </w:r>
      <w:r w:rsidR="00DA50D4">
        <w:rPr>
          <w:b/>
        </w:rPr>
        <w:t>80,237.67</w:t>
      </w:r>
      <w:r w:rsidRPr="00E703A0">
        <w:rPr>
          <w:b/>
        </w:rPr>
        <w:t>+ $</w:t>
      </w:r>
      <w:r w:rsidR="00256F61">
        <w:rPr>
          <w:b/>
        </w:rPr>
        <w:t>20,665.60</w:t>
      </w:r>
      <w:r w:rsidRPr="00E703A0">
        <w:rPr>
          <w:b/>
        </w:rPr>
        <w:t>= $</w:t>
      </w:r>
      <w:r w:rsidR="00DA50D4">
        <w:rPr>
          <w:b/>
        </w:rPr>
        <w:t>300,903.27</w:t>
      </w:r>
      <w:r w:rsidRPr="00E703A0">
        <w:rPr>
          <w:b/>
        </w:rPr>
        <w:t>.</w:t>
      </w:r>
    </w:p>
    <w:p w:rsidR="00871FB8" w:rsidP="002525F8" w:rsidRDefault="00D7273E" w14:paraId="6423D4CB" w14:textId="12C684B7">
      <w:pPr>
        <w:pStyle w:val="H3Alpha"/>
        <w:ind w:left="0" w:firstLine="0"/>
        <w:outlineLvl w:val="1"/>
        <w:rPr>
          <w:rFonts w:ascii="Times New Roman" w:hAnsi="Times New Roman"/>
          <w:i/>
        </w:rPr>
      </w:pPr>
      <w:bookmarkStart w:name="_Toc68878656" w:id="32"/>
      <w:r w:rsidRPr="00486DFC">
        <w:t xml:space="preserve">15. </w:t>
      </w:r>
      <w:r w:rsidRPr="00946B48" w:rsidR="005455E1">
        <w:rPr>
          <w:rFonts w:ascii="Times New Roman" w:hAnsi="Times New Roman"/>
          <w:i/>
        </w:rPr>
        <w:t>Explain the reasons for any program changes or adjustments reported on the burden worksheet.</w:t>
      </w:r>
      <w:bookmarkEnd w:id="32"/>
    </w:p>
    <w:p w:rsidRPr="005C45D4" w:rsidR="00D7273E" w:rsidP="006C3DB7" w:rsidRDefault="00D7273E" w14:paraId="01219357" w14:textId="6B4D33BF">
      <w:pPr>
        <w:pStyle w:val="H3Alpha"/>
        <w:ind w:left="0" w:firstLine="360"/>
        <w:outlineLvl w:val="9"/>
        <w:rPr>
          <w:rFonts w:ascii="Times New Roman" w:hAnsi="Times New Roman"/>
          <w:sz w:val="24"/>
          <w:szCs w:val="24"/>
        </w:rPr>
      </w:pPr>
      <w:r w:rsidRPr="005C45D4">
        <w:rPr>
          <w:rFonts w:ascii="Times New Roman" w:hAnsi="Times New Roman"/>
          <w:sz w:val="24"/>
          <w:szCs w:val="24"/>
        </w:rPr>
        <w:t>This is a new information collection.</w:t>
      </w:r>
      <w:r w:rsidR="00823AB7">
        <w:rPr>
          <w:rFonts w:ascii="Times New Roman" w:hAnsi="Times New Roman"/>
          <w:sz w:val="24"/>
          <w:szCs w:val="24"/>
        </w:rPr>
        <w:t xml:space="preserve"> </w:t>
      </w:r>
    </w:p>
    <w:p w:rsidR="00037B93" w:rsidP="002525F8" w:rsidRDefault="00037B93" w14:paraId="1A27FB1B" w14:textId="66BFA608">
      <w:pPr>
        <w:pStyle w:val="H3Alpha"/>
        <w:ind w:left="0" w:firstLine="0"/>
        <w:outlineLvl w:val="1"/>
      </w:pPr>
      <w:bookmarkStart w:name="_Toc68878657" w:id="33"/>
      <w:r>
        <w:t xml:space="preserve">16. </w:t>
      </w:r>
      <w:r w:rsidRPr="005C45D4" w:rsidR="005455E1">
        <w:rPr>
          <w:rFonts w:ascii="Times New Roman" w:hAnsi="Times New Roman"/>
          <w:i/>
        </w:rPr>
        <w:t>For collections of information whose results will be published, outline plans for ta</w:t>
      </w:r>
      <w:r w:rsidRPr="00946B48" w:rsidR="005455E1">
        <w:rPr>
          <w:rFonts w:ascii="Times New Roman" w:hAnsi="Times New Roman"/>
          <w:i/>
        </w:rPr>
        <w:t>bulation and publication. Address any complex analytical techniques that will be used. Provide the time schedule for the entire project, including beginning and ending dates of the collection of information, completion of report, publication dates, and other actions.</w:t>
      </w:r>
      <w:bookmarkEnd w:id="33"/>
    </w:p>
    <w:p w:rsidR="00037B93" w:rsidP="00037B93" w:rsidRDefault="00037B93" w14:paraId="0AD8F688" w14:textId="2215B97A">
      <w:pPr>
        <w:pStyle w:val="H4Number"/>
      </w:pPr>
      <w:r>
        <w:t>1.</w:t>
      </w:r>
      <w:r>
        <w:tab/>
      </w:r>
      <w:r w:rsidR="0003761A">
        <w:t>Tabulation</w:t>
      </w:r>
    </w:p>
    <w:p w:rsidR="004F3494" w:rsidP="004F3494" w:rsidRDefault="004F3494" w14:paraId="595980B3" w14:textId="33398C20">
      <w:pPr>
        <w:pStyle w:val="paragraph"/>
        <w:textAlignment w:val="baseline"/>
        <w:rPr>
          <w:rStyle w:val="normaltextrun"/>
        </w:rPr>
      </w:pPr>
      <w:r>
        <w:rPr>
          <w:rStyle w:val="normaltextrun"/>
        </w:rPr>
        <w:t xml:space="preserve">Survey responses will be reviewed for completeness and the team will follow up with respondents that have significant amounts of missing data. Occurrences of missing data that would warrant follow up </w:t>
      </w:r>
      <w:proofErr w:type="gramStart"/>
      <w:r>
        <w:rPr>
          <w:rStyle w:val="normaltextrun"/>
        </w:rPr>
        <w:t>include:</w:t>
      </w:r>
      <w:proofErr w:type="gramEnd"/>
      <w:r>
        <w:rPr>
          <w:rStyle w:val="normaltextrun"/>
        </w:rPr>
        <w:t xml:space="preserve"> missing data for a full module, missing data for later parts of the questionnaire (partial completes) and patterns of missing data that indicate the respondent systematically skipped questions.  Responses will also be reviewed for other issues that may warrant follow up, such as nonsensical answers or patterns of responses. After all responses have been received and cleaned, the team will conduct </w:t>
      </w:r>
      <w:r w:rsidR="00CB06C3">
        <w:rPr>
          <w:rStyle w:val="normaltextrun"/>
        </w:rPr>
        <w:t>descriptive</w:t>
      </w:r>
      <w:r>
        <w:rPr>
          <w:rStyle w:val="normaltextrun"/>
        </w:rPr>
        <w:t xml:space="preserve"> analyses</w:t>
      </w:r>
      <w:r w:rsidR="00CB06C3">
        <w:rPr>
          <w:rStyle w:val="normaltextrun"/>
        </w:rPr>
        <w:t xml:space="preserve"> </w:t>
      </w:r>
      <w:r w:rsidR="00097B34">
        <w:rPr>
          <w:rStyle w:val="normaltextrun"/>
        </w:rPr>
        <w:t xml:space="preserve">of responses. </w:t>
      </w:r>
    </w:p>
    <w:p w:rsidR="006063DC" w:rsidP="004F3494" w:rsidRDefault="006063DC" w14:paraId="0789DC59" w14:textId="63EB57F4">
      <w:pPr>
        <w:pStyle w:val="paragraph"/>
        <w:textAlignment w:val="baseline"/>
      </w:pPr>
      <w:r>
        <w:t xml:space="preserve">For most variables, we expect to do separate tabulation and means for the Job Scholar </w:t>
      </w:r>
      <w:r w:rsidR="006D6937">
        <w:t>sites</w:t>
      </w:r>
      <w:r>
        <w:t xml:space="preserve"> and the Idaho </w:t>
      </w:r>
      <w:r w:rsidR="006D6937">
        <w:t>sites</w:t>
      </w:r>
      <w:r>
        <w:t>.  For example, survey questions with categorical answers we would the distribution of the answers across all the Job Scholar</w:t>
      </w:r>
      <w:r w:rsidR="006D6937">
        <w:t>s</w:t>
      </w:r>
      <w:r>
        <w:t xml:space="preserve"> </w:t>
      </w:r>
      <w:r w:rsidR="006D6937">
        <w:t>sites</w:t>
      </w:r>
      <w:r>
        <w:t xml:space="preserve"> and then separately for the Idaho </w:t>
      </w:r>
      <w:r w:rsidR="006D6937">
        <w:t>sites</w:t>
      </w:r>
      <w:r>
        <w:t xml:space="preserve">.  For continuous variables, such as how many staff the program had, means would be calculated separately for the Job Scholars </w:t>
      </w:r>
      <w:r w:rsidR="006D6937">
        <w:t>sites</w:t>
      </w:r>
      <w:r>
        <w:t xml:space="preserve"> and the Idaho </w:t>
      </w:r>
      <w:r w:rsidR="006D6937">
        <w:t>sites</w:t>
      </w:r>
      <w:r>
        <w:t xml:space="preserve">. When variables had different numbers of respondents, the sample size will be noted either in the table or a table footnote.  </w:t>
      </w:r>
    </w:p>
    <w:p w:rsidRPr="009D1690" w:rsidR="00A61DCB" w:rsidP="00D86D8F" w:rsidRDefault="00A61DCB" w14:paraId="3F39B348" w14:textId="3FB67354">
      <w:pPr>
        <w:spacing w:before="100" w:beforeAutospacing="1" w:after="100" w:afterAutospacing="1" w:line="240" w:lineRule="auto"/>
        <w:ind w:firstLine="0"/>
        <w:rPr>
          <w:szCs w:val="24"/>
        </w:rPr>
      </w:pPr>
      <w:r w:rsidRPr="009D1690">
        <w:rPr>
          <w:szCs w:val="24"/>
        </w:rPr>
        <w:t xml:space="preserve">The </w:t>
      </w:r>
      <w:r w:rsidRPr="00D86D8F">
        <w:rPr>
          <w:bCs/>
          <w:szCs w:val="24"/>
        </w:rPr>
        <w:t>staff and partner interviews</w:t>
      </w:r>
      <w:r w:rsidRPr="00D86D8F" w:rsidR="00D86D8F">
        <w:rPr>
          <w:bCs/>
          <w:szCs w:val="24"/>
        </w:rPr>
        <w:t xml:space="preserve">, </w:t>
      </w:r>
      <w:r w:rsidRPr="00D86D8F">
        <w:rPr>
          <w:bCs/>
          <w:szCs w:val="24"/>
        </w:rPr>
        <w:t>participant interviews</w:t>
      </w:r>
      <w:r w:rsidR="00D86D8F">
        <w:rPr>
          <w:bCs/>
          <w:szCs w:val="24"/>
        </w:rPr>
        <w:t>, and impact feasibility interviews</w:t>
      </w:r>
      <w:r w:rsidRPr="00D86D8F">
        <w:rPr>
          <w:bCs/>
          <w:szCs w:val="24"/>
        </w:rPr>
        <w:t xml:space="preserve"> will</w:t>
      </w:r>
      <w:r w:rsidRPr="009D1690">
        <w:rPr>
          <w:szCs w:val="24"/>
        </w:rPr>
        <w:t xml:space="preserve"> </w:t>
      </w:r>
      <w:r w:rsidRPr="009D1690" w:rsidR="009D1690">
        <w:rPr>
          <w:szCs w:val="24"/>
        </w:rPr>
        <w:t>be</w:t>
      </w:r>
      <w:r w:rsidRPr="009D1690">
        <w:rPr>
          <w:szCs w:val="24"/>
        </w:rPr>
        <w:t xml:space="preserve"> </w:t>
      </w:r>
      <w:r w:rsidRPr="009D1690" w:rsidR="009D1690">
        <w:rPr>
          <w:szCs w:val="24"/>
        </w:rPr>
        <w:t>transcribed or</w:t>
      </w:r>
      <w:r w:rsidRPr="009D1690">
        <w:rPr>
          <w:szCs w:val="24"/>
        </w:rPr>
        <w:t xml:space="preserve"> written up into standardized templates that reflect the content in the interview topic guide and then coded by theme and analyzed using </w:t>
      </w:r>
      <w:proofErr w:type="spellStart"/>
      <w:r w:rsidRPr="009D1690">
        <w:rPr>
          <w:szCs w:val="24"/>
        </w:rPr>
        <w:t>Dedoose</w:t>
      </w:r>
      <w:proofErr w:type="spellEnd"/>
      <w:r w:rsidRPr="009D1690">
        <w:rPr>
          <w:szCs w:val="24"/>
        </w:rPr>
        <w:t>, specialized software used to analyze qualitative data. These interviews</w:t>
      </w:r>
      <w:r w:rsidR="00AD6881">
        <w:rPr>
          <w:szCs w:val="24"/>
        </w:rPr>
        <w:t xml:space="preserve"> </w:t>
      </w:r>
      <w:r w:rsidRPr="009D1690">
        <w:rPr>
          <w:szCs w:val="24"/>
        </w:rPr>
        <w:t xml:space="preserve">will be integrated with the </w:t>
      </w:r>
      <w:r w:rsidRPr="009D1690" w:rsidR="003E172C">
        <w:rPr>
          <w:szCs w:val="24"/>
        </w:rPr>
        <w:t>survey</w:t>
      </w:r>
      <w:r w:rsidRPr="009D1690">
        <w:rPr>
          <w:szCs w:val="24"/>
        </w:rPr>
        <w:t xml:space="preserve"> findings </w:t>
      </w:r>
      <w:proofErr w:type="gramStart"/>
      <w:r w:rsidRPr="009D1690">
        <w:rPr>
          <w:szCs w:val="24"/>
        </w:rPr>
        <w:t>in order to</w:t>
      </w:r>
      <w:proofErr w:type="gramEnd"/>
      <w:r w:rsidRPr="009D1690">
        <w:rPr>
          <w:szCs w:val="24"/>
        </w:rPr>
        <w:t xml:space="preserve"> gain a fuller understanding of </w:t>
      </w:r>
      <w:r w:rsidRPr="009D1690" w:rsidR="003E172C">
        <w:rPr>
          <w:szCs w:val="24"/>
        </w:rPr>
        <w:t>pilot</w:t>
      </w:r>
      <w:r w:rsidRPr="009D1690">
        <w:rPr>
          <w:szCs w:val="24"/>
        </w:rPr>
        <w:t xml:space="preserve"> implementation and address the key implementation-related research questions using mixed methods.</w:t>
      </w:r>
    </w:p>
    <w:p w:rsidR="00037B93" w:rsidP="0003761A" w:rsidRDefault="0003761A" w14:paraId="6FD1F618" w14:textId="3401F2E4">
      <w:pPr>
        <w:pStyle w:val="H4Number"/>
        <w:numPr>
          <w:ilvl w:val="0"/>
          <w:numId w:val="12"/>
        </w:numPr>
      </w:pPr>
      <w:r>
        <w:t>Schedule</w:t>
      </w:r>
    </w:p>
    <w:p w:rsidRPr="003C68FE" w:rsidR="0003761A" w:rsidP="008E3B75" w:rsidRDefault="0003761A" w14:paraId="530CC80D" w14:textId="351A4AFA">
      <w:pPr>
        <w:spacing w:before="100" w:beforeAutospacing="1" w:line="240" w:lineRule="auto"/>
        <w:ind w:firstLine="0"/>
        <w:rPr>
          <w:rFonts w:ascii="Arial Narrow" w:hAnsi="Arial Narrow"/>
          <w:b/>
          <w:bCs/>
          <w:sz w:val="20"/>
        </w:rPr>
      </w:pPr>
      <w:bookmarkStart w:name="_Toc256421734" w:id="34"/>
      <w:bookmarkStart w:name="_Toc260922535" w:id="35"/>
      <w:bookmarkStart w:name="_Toc286659837" w:id="36"/>
      <w:r w:rsidRPr="003C68FE">
        <w:rPr>
          <w:rFonts w:ascii="Arial Narrow" w:hAnsi="Arial Narrow"/>
          <w:b/>
          <w:bCs/>
          <w:sz w:val="20"/>
        </w:rPr>
        <w:t xml:space="preserve">Table A.4. Schedule </w:t>
      </w:r>
      <w:bookmarkEnd w:id="34"/>
      <w:bookmarkEnd w:id="35"/>
      <w:bookmarkEnd w:id="36"/>
    </w:p>
    <w:tbl>
      <w:tblPr>
        <w:tblW w:w="5000" w:type="pct"/>
        <w:tblBorders>
          <w:top w:val="single" w:color="auto" w:sz="4" w:space="0"/>
          <w:bottom w:val="single" w:color="auto" w:sz="4" w:space="0"/>
        </w:tblBorders>
        <w:tblLook w:val="04A0" w:firstRow="1" w:lastRow="0" w:firstColumn="1" w:lastColumn="0" w:noHBand="0" w:noVBand="1"/>
      </w:tblPr>
      <w:tblGrid>
        <w:gridCol w:w="4682"/>
        <w:gridCol w:w="4678"/>
      </w:tblGrid>
      <w:tr w:rsidRPr="003C68FE" w:rsidR="0003761A" w:rsidTr="0003761A" w14:paraId="328DF34F" w14:textId="77777777">
        <w:tc>
          <w:tcPr>
            <w:tcW w:w="2501" w:type="pct"/>
            <w:tcBorders>
              <w:top w:val="single" w:color="auto" w:sz="4" w:space="0"/>
              <w:left w:val="nil"/>
              <w:bottom w:val="single" w:color="auto" w:sz="4" w:space="0"/>
              <w:right w:val="nil"/>
            </w:tcBorders>
            <w:hideMark/>
          </w:tcPr>
          <w:p w:rsidRPr="003C68FE" w:rsidR="0003761A" w:rsidP="0003761A" w:rsidRDefault="0003761A" w14:paraId="2C638DAA" w14:textId="77777777">
            <w:pPr>
              <w:spacing w:before="100" w:beforeAutospacing="1" w:after="100" w:afterAutospacing="1" w:line="240" w:lineRule="auto"/>
              <w:ind w:firstLine="0"/>
              <w:rPr>
                <w:rFonts w:ascii="Arial Narrow" w:hAnsi="Arial Narrow"/>
                <w:sz w:val="20"/>
              </w:rPr>
            </w:pPr>
            <w:r w:rsidRPr="003C68FE">
              <w:rPr>
                <w:rFonts w:ascii="Arial Narrow" w:hAnsi="Arial Narrow"/>
                <w:sz w:val="20"/>
              </w:rPr>
              <w:t>Activity</w:t>
            </w:r>
          </w:p>
        </w:tc>
        <w:tc>
          <w:tcPr>
            <w:tcW w:w="2499" w:type="pct"/>
            <w:tcBorders>
              <w:top w:val="single" w:color="auto" w:sz="4" w:space="0"/>
              <w:left w:val="nil"/>
              <w:bottom w:val="single" w:color="auto" w:sz="4" w:space="0"/>
              <w:right w:val="nil"/>
            </w:tcBorders>
            <w:hideMark/>
          </w:tcPr>
          <w:p w:rsidRPr="003C68FE" w:rsidR="0003761A" w:rsidP="0003761A" w:rsidRDefault="0003761A" w14:paraId="023E7EAA" w14:textId="77777777">
            <w:pPr>
              <w:spacing w:before="100" w:beforeAutospacing="1" w:after="100" w:afterAutospacing="1" w:line="240" w:lineRule="auto"/>
              <w:ind w:firstLine="0"/>
              <w:rPr>
                <w:rFonts w:ascii="Arial Narrow" w:hAnsi="Arial Narrow"/>
                <w:sz w:val="20"/>
              </w:rPr>
            </w:pPr>
            <w:r w:rsidRPr="003C68FE">
              <w:rPr>
                <w:rFonts w:ascii="Arial Narrow" w:hAnsi="Arial Narrow"/>
                <w:sz w:val="20"/>
              </w:rPr>
              <w:t>Date</w:t>
            </w:r>
          </w:p>
        </w:tc>
      </w:tr>
      <w:tr w:rsidRPr="003C68FE" w:rsidR="0003761A" w:rsidTr="0003761A" w14:paraId="0D738FB2" w14:textId="77777777">
        <w:tc>
          <w:tcPr>
            <w:tcW w:w="2501" w:type="pct"/>
            <w:tcBorders>
              <w:top w:val="nil"/>
              <w:left w:val="nil"/>
              <w:bottom w:val="nil"/>
              <w:right w:val="nil"/>
            </w:tcBorders>
            <w:hideMark/>
          </w:tcPr>
          <w:p w:rsidRPr="00AA47AB" w:rsidR="0003761A" w:rsidP="00AA47AB" w:rsidRDefault="0003761A" w14:paraId="6DA6DA7B" w14:textId="77777777">
            <w:pPr>
              <w:spacing w:before="100" w:beforeAutospacing="1" w:after="100" w:afterAutospacing="1" w:line="276" w:lineRule="auto"/>
              <w:ind w:firstLine="0"/>
              <w:rPr>
                <w:rFonts w:ascii="Arial Narrow" w:hAnsi="Arial Narrow"/>
                <w:sz w:val="18"/>
                <w:szCs w:val="18"/>
              </w:rPr>
            </w:pPr>
            <w:r w:rsidRPr="00AA47AB">
              <w:rPr>
                <w:rFonts w:ascii="Arial Narrow" w:hAnsi="Arial Narrow"/>
                <w:sz w:val="18"/>
                <w:szCs w:val="18"/>
              </w:rPr>
              <w:t>Implementation analysis plan</w:t>
            </w:r>
          </w:p>
        </w:tc>
        <w:tc>
          <w:tcPr>
            <w:tcW w:w="2499" w:type="pct"/>
            <w:tcBorders>
              <w:top w:val="nil"/>
              <w:left w:val="nil"/>
              <w:bottom w:val="nil"/>
              <w:right w:val="nil"/>
            </w:tcBorders>
            <w:vAlign w:val="bottom"/>
            <w:hideMark/>
          </w:tcPr>
          <w:p w:rsidRPr="00AA47AB" w:rsidR="0003761A" w:rsidP="00AA47AB" w:rsidRDefault="00A00956" w14:paraId="3518A4B5" w14:textId="4BEA8BE1">
            <w:pPr>
              <w:spacing w:before="100" w:beforeAutospacing="1" w:after="100" w:afterAutospacing="1" w:line="276" w:lineRule="auto"/>
              <w:ind w:firstLine="0"/>
              <w:rPr>
                <w:rFonts w:ascii="Arial Narrow" w:hAnsi="Arial Narrow"/>
                <w:sz w:val="18"/>
                <w:szCs w:val="18"/>
              </w:rPr>
            </w:pPr>
            <w:r w:rsidRPr="00AA47AB">
              <w:rPr>
                <w:rFonts w:ascii="Arial Narrow" w:hAnsi="Arial Narrow"/>
                <w:sz w:val="18"/>
                <w:szCs w:val="18"/>
              </w:rPr>
              <w:t>May</w:t>
            </w:r>
            <w:r w:rsidRPr="00AA47AB" w:rsidR="0003761A">
              <w:rPr>
                <w:rFonts w:ascii="Arial Narrow" w:hAnsi="Arial Narrow"/>
                <w:sz w:val="18"/>
                <w:szCs w:val="18"/>
              </w:rPr>
              <w:t xml:space="preserve"> 20</w:t>
            </w:r>
            <w:r w:rsidRPr="00AA47AB">
              <w:rPr>
                <w:rFonts w:ascii="Arial Narrow" w:hAnsi="Arial Narrow"/>
                <w:sz w:val="18"/>
                <w:szCs w:val="18"/>
              </w:rPr>
              <w:t>21</w:t>
            </w:r>
          </w:p>
        </w:tc>
      </w:tr>
      <w:tr w:rsidRPr="003C68FE" w:rsidR="0003761A" w:rsidTr="0003761A" w14:paraId="10AE8540" w14:textId="77777777">
        <w:tc>
          <w:tcPr>
            <w:tcW w:w="2501" w:type="pct"/>
            <w:tcBorders>
              <w:top w:val="nil"/>
              <w:left w:val="nil"/>
              <w:bottom w:val="nil"/>
              <w:right w:val="nil"/>
            </w:tcBorders>
            <w:hideMark/>
          </w:tcPr>
          <w:p w:rsidRPr="00AA47AB" w:rsidR="0003761A" w:rsidP="00AA47AB" w:rsidRDefault="00A00956" w14:paraId="255C4E45" w14:textId="0ADE20B1">
            <w:pPr>
              <w:spacing w:before="100" w:beforeAutospacing="1" w:after="100" w:afterAutospacing="1" w:line="276" w:lineRule="auto"/>
              <w:ind w:firstLine="0"/>
              <w:rPr>
                <w:rFonts w:ascii="Arial Narrow" w:hAnsi="Arial Narrow"/>
                <w:sz w:val="18"/>
                <w:szCs w:val="18"/>
              </w:rPr>
            </w:pPr>
            <w:r w:rsidRPr="00AA47AB">
              <w:rPr>
                <w:rFonts w:ascii="Arial Narrow" w:hAnsi="Arial Narrow"/>
                <w:sz w:val="18"/>
                <w:szCs w:val="18"/>
              </w:rPr>
              <w:lastRenderedPageBreak/>
              <w:t>Pilot survey fielding</w:t>
            </w:r>
          </w:p>
        </w:tc>
        <w:tc>
          <w:tcPr>
            <w:tcW w:w="2499" w:type="pct"/>
            <w:tcBorders>
              <w:top w:val="nil"/>
              <w:left w:val="nil"/>
              <w:bottom w:val="nil"/>
              <w:right w:val="nil"/>
            </w:tcBorders>
            <w:vAlign w:val="bottom"/>
            <w:hideMark/>
          </w:tcPr>
          <w:p w:rsidRPr="00AA47AB" w:rsidR="0003761A" w:rsidP="00AA47AB" w:rsidRDefault="0097604A" w14:paraId="61338628" w14:textId="58E3A56D">
            <w:pPr>
              <w:spacing w:before="100" w:beforeAutospacing="1" w:after="100" w:afterAutospacing="1" w:line="276" w:lineRule="auto"/>
              <w:ind w:firstLine="0"/>
              <w:rPr>
                <w:rFonts w:ascii="Arial Narrow" w:hAnsi="Arial Narrow"/>
                <w:sz w:val="18"/>
                <w:szCs w:val="18"/>
              </w:rPr>
            </w:pPr>
            <w:r>
              <w:rPr>
                <w:rFonts w:ascii="Arial Narrow" w:hAnsi="Arial Narrow"/>
                <w:sz w:val="18"/>
                <w:szCs w:val="18"/>
              </w:rPr>
              <w:t>February</w:t>
            </w:r>
            <w:r w:rsidRPr="00AA47AB" w:rsidR="00A00956">
              <w:rPr>
                <w:rFonts w:ascii="Arial Narrow" w:hAnsi="Arial Narrow"/>
                <w:sz w:val="18"/>
                <w:szCs w:val="18"/>
              </w:rPr>
              <w:t xml:space="preserve"> 2022</w:t>
            </w:r>
          </w:p>
        </w:tc>
      </w:tr>
      <w:tr w:rsidRPr="003C68FE" w:rsidR="0003761A" w:rsidTr="0003761A" w14:paraId="0564606B" w14:textId="77777777">
        <w:tc>
          <w:tcPr>
            <w:tcW w:w="2501" w:type="pct"/>
            <w:tcBorders>
              <w:top w:val="nil"/>
              <w:left w:val="nil"/>
              <w:bottom w:val="nil"/>
              <w:right w:val="nil"/>
            </w:tcBorders>
            <w:hideMark/>
          </w:tcPr>
          <w:p w:rsidRPr="00AA47AB" w:rsidR="0003761A" w:rsidP="00AA47AB" w:rsidRDefault="00A00956" w14:paraId="123A9E20" w14:textId="2BA51C31">
            <w:pPr>
              <w:spacing w:before="100" w:beforeAutospacing="1" w:after="100" w:afterAutospacing="1" w:line="276" w:lineRule="auto"/>
              <w:ind w:firstLine="0"/>
              <w:rPr>
                <w:rFonts w:ascii="Arial Narrow" w:hAnsi="Arial Narrow"/>
                <w:sz w:val="18"/>
                <w:szCs w:val="18"/>
              </w:rPr>
            </w:pPr>
            <w:r w:rsidRPr="00AA47AB">
              <w:rPr>
                <w:rFonts w:ascii="Arial Narrow" w:hAnsi="Arial Narrow"/>
                <w:sz w:val="18"/>
                <w:szCs w:val="18"/>
              </w:rPr>
              <w:t>Site Visits</w:t>
            </w:r>
            <w:r w:rsidRPr="00AA47AB" w:rsidR="004F1432">
              <w:rPr>
                <w:rFonts w:ascii="Arial Narrow" w:hAnsi="Arial Narrow"/>
                <w:sz w:val="18"/>
                <w:szCs w:val="18"/>
              </w:rPr>
              <w:t xml:space="preserve"> to Pilots</w:t>
            </w:r>
          </w:p>
        </w:tc>
        <w:tc>
          <w:tcPr>
            <w:tcW w:w="2499" w:type="pct"/>
            <w:tcBorders>
              <w:top w:val="nil"/>
              <w:left w:val="nil"/>
              <w:bottom w:val="nil"/>
              <w:right w:val="nil"/>
            </w:tcBorders>
            <w:vAlign w:val="bottom"/>
            <w:hideMark/>
          </w:tcPr>
          <w:p w:rsidRPr="00AA47AB" w:rsidR="0003761A" w:rsidP="00AA47AB" w:rsidRDefault="00A00956" w14:paraId="6DD0FC1A" w14:textId="36E7E5B7">
            <w:pPr>
              <w:spacing w:before="100" w:beforeAutospacing="1" w:after="100" w:afterAutospacing="1" w:line="276" w:lineRule="auto"/>
              <w:ind w:firstLine="0"/>
              <w:rPr>
                <w:rFonts w:ascii="Arial Narrow" w:hAnsi="Arial Narrow"/>
                <w:sz w:val="18"/>
                <w:szCs w:val="18"/>
              </w:rPr>
            </w:pPr>
            <w:r w:rsidRPr="00AA47AB">
              <w:rPr>
                <w:rFonts w:ascii="Arial Narrow" w:hAnsi="Arial Narrow"/>
                <w:sz w:val="18"/>
                <w:szCs w:val="18"/>
              </w:rPr>
              <w:t>March – June 2022</w:t>
            </w:r>
          </w:p>
        </w:tc>
      </w:tr>
      <w:tr w:rsidRPr="003C68FE" w:rsidR="0003761A" w:rsidTr="00114CCD" w14:paraId="55757F19" w14:textId="77777777">
        <w:trPr>
          <w:trHeight w:val="126"/>
        </w:trPr>
        <w:tc>
          <w:tcPr>
            <w:tcW w:w="2501" w:type="pct"/>
            <w:tcBorders>
              <w:top w:val="nil"/>
              <w:left w:val="nil"/>
              <w:bottom w:val="nil"/>
              <w:right w:val="nil"/>
            </w:tcBorders>
            <w:hideMark/>
          </w:tcPr>
          <w:p w:rsidRPr="00AA47AB" w:rsidR="0003761A" w:rsidP="00AA47AB" w:rsidRDefault="004F1432" w14:paraId="76D39CCB" w14:textId="05E29DCE">
            <w:pPr>
              <w:spacing w:before="100" w:beforeAutospacing="1" w:after="100" w:afterAutospacing="1" w:line="276" w:lineRule="auto"/>
              <w:ind w:firstLine="0"/>
              <w:rPr>
                <w:rFonts w:ascii="Arial Narrow" w:hAnsi="Arial Narrow"/>
                <w:sz w:val="18"/>
                <w:szCs w:val="18"/>
              </w:rPr>
            </w:pPr>
            <w:r w:rsidRPr="00AA47AB">
              <w:rPr>
                <w:rFonts w:ascii="Arial Narrow" w:hAnsi="Arial Narrow"/>
                <w:sz w:val="18"/>
                <w:szCs w:val="18"/>
              </w:rPr>
              <w:t>Phone/Virtual interviews</w:t>
            </w:r>
          </w:p>
        </w:tc>
        <w:tc>
          <w:tcPr>
            <w:tcW w:w="2499" w:type="pct"/>
            <w:tcBorders>
              <w:top w:val="nil"/>
              <w:left w:val="nil"/>
              <w:bottom w:val="nil"/>
              <w:right w:val="nil"/>
            </w:tcBorders>
            <w:vAlign w:val="bottom"/>
            <w:hideMark/>
          </w:tcPr>
          <w:p w:rsidRPr="00AA47AB" w:rsidR="0003761A" w:rsidP="00AA47AB" w:rsidRDefault="004F1432" w14:paraId="2F33133B" w14:textId="61215202">
            <w:pPr>
              <w:spacing w:before="100" w:beforeAutospacing="1" w:after="100" w:afterAutospacing="1" w:line="276" w:lineRule="auto"/>
              <w:ind w:firstLine="0"/>
              <w:rPr>
                <w:rFonts w:ascii="Arial Narrow" w:hAnsi="Arial Narrow"/>
                <w:sz w:val="18"/>
                <w:szCs w:val="18"/>
              </w:rPr>
            </w:pPr>
            <w:r w:rsidRPr="00AA47AB">
              <w:rPr>
                <w:rFonts w:ascii="Arial Narrow" w:hAnsi="Arial Narrow"/>
                <w:sz w:val="18"/>
                <w:szCs w:val="18"/>
              </w:rPr>
              <w:t xml:space="preserve">March </w:t>
            </w:r>
            <w:r w:rsidRPr="00AA47AB" w:rsidR="009067B7">
              <w:rPr>
                <w:rFonts w:ascii="Arial Narrow" w:hAnsi="Arial Narrow"/>
                <w:sz w:val="18"/>
                <w:szCs w:val="18"/>
              </w:rPr>
              <w:t>–</w:t>
            </w:r>
            <w:r w:rsidRPr="00AA47AB">
              <w:rPr>
                <w:rFonts w:ascii="Arial Narrow" w:hAnsi="Arial Narrow"/>
                <w:sz w:val="18"/>
                <w:szCs w:val="18"/>
              </w:rPr>
              <w:t xml:space="preserve"> </w:t>
            </w:r>
            <w:r w:rsidRPr="00AA47AB" w:rsidR="009067B7">
              <w:rPr>
                <w:rFonts w:ascii="Arial Narrow" w:hAnsi="Arial Narrow"/>
                <w:sz w:val="18"/>
                <w:szCs w:val="18"/>
              </w:rPr>
              <w:t>August 2022</w:t>
            </w:r>
          </w:p>
        </w:tc>
      </w:tr>
      <w:tr w:rsidRPr="003C68FE" w:rsidR="003B678A" w:rsidTr="00114CCD" w14:paraId="7324022B" w14:textId="77777777">
        <w:trPr>
          <w:trHeight w:val="126"/>
        </w:trPr>
        <w:tc>
          <w:tcPr>
            <w:tcW w:w="2501" w:type="pct"/>
            <w:tcBorders>
              <w:top w:val="nil"/>
              <w:left w:val="nil"/>
              <w:bottom w:val="nil"/>
              <w:right w:val="nil"/>
            </w:tcBorders>
          </w:tcPr>
          <w:p w:rsidRPr="00AA47AB" w:rsidR="003B678A" w:rsidP="00AA47AB" w:rsidRDefault="003B678A" w14:paraId="1359E46E" w14:textId="393910A1">
            <w:pPr>
              <w:spacing w:before="100" w:beforeAutospacing="1" w:after="100" w:afterAutospacing="1" w:line="276" w:lineRule="auto"/>
              <w:ind w:firstLine="0"/>
              <w:rPr>
                <w:rFonts w:ascii="Arial Narrow" w:hAnsi="Arial Narrow"/>
                <w:sz w:val="18"/>
                <w:szCs w:val="18"/>
              </w:rPr>
            </w:pPr>
            <w:r w:rsidRPr="00AA47AB">
              <w:rPr>
                <w:rFonts w:ascii="Arial Narrow" w:hAnsi="Arial Narrow"/>
                <w:sz w:val="18"/>
                <w:szCs w:val="18"/>
              </w:rPr>
              <w:t>Participation data collection</w:t>
            </w:r>
          </w:p>
        </w:tc>
        <w:tc>
          <w:tcPr>
            <w:tcW w:w="2499" w:type="pct"/>
            <w:tcBorders>
              <w:top w:val="nil"/>
              <w:left w:val="nil"/>
              <w:bottom w:val="nil"/>
              <w:right w:val="nil"/>
            </w:tcBorders>
            <w:vAlign w:val="bottom"/>
          </w:tcPr>
          <w:p w:rsidRPr="00AA47AB" w:rsidR="003B678A" w:rsidP="00AA47AB" w:rsidRDefault="003B678A" w14:paraId="7A9CF9B1" w14:textId="4C85A203">
            <w:pPr>
              <w:spacing w:before="100" w:beforeAutospacing="1" w:after="100" w:afterAutospacing="1" w:line="276" w:lineRule="auto"/>
              <w:ind w:firstLine="0"/>
              <w:rPr>
                <w:rFonts w:ascii="Arial Narrow" w:hAnsi="Arial Narrow"/>
                <w:sz w:val="18"/>
                <w:szCs w:val="18"/>
              </w:rPr>
            </w:pPr>
            <w:r w:rsidRPr="00AA47AB">
              <w:rPr>
                <w:rFonts w:ascii="Arial Narrow" w:hAnsi="Arial Narrow"/>
                <w:sz w:val="18"/>
                <w:szCs w:val="18"/>
              </w:rPr>
              <w:t xml:space="preserve">June 2021 </w:t>
            </w:r>
            <w:r w:rsidRPr="00AA47AB" w:rsidR="00FC1E4E">
              <w:rPr>
                <w:rFonts w:ascii="Arial Narrow" w:hAnsi="Arial Narrow"/>
                <w:sz w:val="18"/>
                <w:szCs w:val="18"/>
              </w:rPr>
              <w:t>–</w:t>
            </w:r>
            <w:r w:rsidRPr="00AA47AB">
              <w:rPr>
                <w:rFonts w:ascii="Arial Narrow" w:hAnsi="Arial Narrow"/>
                <w:sz w:val="18"/>
                <w:szCs w:val="18"/>
              </w:rPr>
              <w:t xml:space="preserve"> </w:t>
            </w:r>
            <w:r w:rsidRPr="00AA47AB" w:rsidR="00FC1E4E">
              <w:rPr>
                <w:rFonts w:ascii="Arial Narrow" w:hAnsi="Arial Narrow"/>
                <w:sz w:val="18"/>
                <w:szCs w:val="18"/>
              </w:rPr>
              <w:t>September 2023</w:t>
            </w:r>
          </w:p>
        </w:tc>
      </w:tr>
      <w:tr w:rsidRPr="003C68FE" w:rsidR="0003761A" w:rsidTr="0003761A" w14:paraId="6929932F" w14:textId="77777777">
        <w:tc>
          <w:tcPr>
            <w:tcW w:w="2501" w:type="pct"/>
            <w:tcBorders>
              <w:top w:val="nil"/>
              <w:left w:val="nil"/>
              <w:bottom w:val="nil"/>
              <w:right w:val="nil"/>
            </w:tcBorders>
            <w:hideMark/>
          </w:tcPr>
          <w:p w:rsidRPr="00AA47AB" w:rsidR="0003761A" w:rsidP="00AA47AB" w:rsidRDefault="00114CCD" w14:paraId="3E3F1DDD" w14:textId="461487A0">
            <w:pPr>
              <w:spacing w:before="100" w:beforeAutospacing="1" w:after="100" w:afterAutospacing="1" w:line="276" w:lineRule="auto"/>
              <w:ind w:firstLine="0"/>
              <w:rPr>
                <w:rFonts w:ascii="Arial Narrow" w:hAnsi="Arial Narrow"/>
                <w:sz w:val="18"/>
                <w:szCs w:val="18"/>
              </w:rPr>
            </w:pPr>
            <w:r w:rsidRPr="00AA47AB">
              <w:rPr>
                <w:rFonts w:ascii="Arial Narrow" w:hAnsi="Arial Narrow"/>
                <w:sz w:val="18"/>
                <w:szCs w:val="18"/>
              </w:rPr>
              <w:t>Implementation Report</w:t>
            </w:r>
          </w:p>
        </w:tc>
        <w:tc>
          <w:tcPr>
            <w:tcW w:w="2499" w:type="pct"/>
            <w:tcBorders>
              <w:top w:val="nil"/>
              <w:left w:val="nil"/>
              <w:bottom w:val="nil"/>
              <w:right w:val="nil"/>
            </w:tcBorders>
            <w:vAlign w:val="bottom"/>
            <w:hideMark/>
          </w:tcPr>
          <w:p w:rsidRPr="00AA47AB" w:rsidR="0003761A" w:rsidP="00AA47AB" w:rsidRDefault="00114CCD" w14:paraId="18F2EEA7" w14:textId="77777777">
            <w:pPr>
              <w:spacing w:before="100" w:beforeAutospacing="1" w:after="100" w:afterAutospacing="1" w:line="276" w:lineRule="auto"/>
              <w:ind w:firstLine="0"/>
              <w:rPr>
                <w:rFonts w:ascii="Arial Narrow" w:hAnsi="Arial Narrow"/>
                <w:sz w:val="18"/>
                <w:szCs w:val="18"/>
              </w:rPr>
            </w:pPr>
            <w:r w:rsidRPr="00AA47AB">
              <w:rPr>
                <w:rFonts w:ascii="Arial Narrow" w:hAnsi="Arial Narrow"/>
                <w:sz w:val="18"/>
                <w:szCs w:val="18"/>
              </w:rPr>
              <w:t>September 2024</w:t>
            </w:r>
          </w:p>
          <w:p w:rsidRPr="00AA47AB" w:rsidR="00AD6881" w:rsidP="00AA47AB" w:rsidRDefault="00AD6881" w14:paraId="16698540" w14:textId="66139974">
            <w:pPr>
              <w:spacing w:before="100" w:beforeAutospacing="1" w:after="100" w:afterAutospacing="1" w:line="276" w:lineRule="auto"/>
              <w:ind w:firstLine="0"/>
              <w:rPr>
                <w:rFonts w:ascii="Arial Narrow" w:hAnsi="Arial Narrow"/>
                <w:sz w:val="18"/>
                <w:szCs w:val="18"/>
              </w:rPr>
            </w:pPr>
          </w:p>
        </w:tc>
      </w:tr>
    </w:tbl>
    <w:p w:rsidRPr="00AD6881" w:rsidR="00871FB8" w:rsidP="002525F8" w:rsidRDefault="00037B93" w14:paraId="6F5F7303" w14:textId="4E9931AD">
      <w:pPr>
        <w:pStyle w:val="H3Alpha"/>
        <w:ind w:left="0" w:firstLine="0"/>
        <w:outlineLvl w:val="1"/>
        <w:rPr>
          <w:sz w:val="24"/>
          <w:szCs w:val="24"/>
        </w:rPr>
      </w:pPr>
      <w:bookmarkStart w:name="_Toc68878658" w:id="37"/>
      <w:r w:rsidRPr="005C45D4">
        <w:rPr>
          <w:sz w:val="24"/>
          <w:szCs w:val="24"/>
        </w:rPr>
        <w:t xml:space="preserve">17. </w:t>
      </w:r>
      <w:r w:rsidRPr="005C45D4" w:rsidR="005455E1">
        <w:rPr>
          <w:rFonts w:ascii="Times New Roman" w:hAnsi="Times New Roman"/>
          <w:i/>
          <w:sz w:val="24"/>
          <w:szCs w:val="24"/>
        </w:rPr>
        <w:t>If seeking approval to not display the expiration date for OMB approval of the information collection, explain the reasons that display would be inappropriate.</w:t>
      </w:r>
      <w:bookmarkEnd w:id="37"/>
    </w:p>
    <w:p w:rsidRPr="000B0CC7" w:rsidR="000B0CC7" w:rsidP="000B0CC7" w:rsidRDefault="00037B93" w14:paraId="38DBCD2D" w14:textId="4AEBDBD4">
      <w:pPr>
        <w:pStyle w:val="H3Alpha"/>
        <w:ind w:left="0" w:firstLine="450"/>
        <w:outlineLvl w:val="9"/>
        <w:rPr>
          <w:rFonts w:ascii="Times New Roman" w:hAnsi="Times New Roman"/>
          <w:sz w:val="24"/>
          <w:szCs w:val="24"/>
        </w:rPr>
      </w:pPr>
      <w:r w:rsidRPr="005C45D4">
        <w:rPr>
          <w:rFonts w:ascii="Times New Roman" w:hAnsi="Times New Roman"/>
          <w:sz w:val="24"/>
          <w:szCs w:val="24"/>
        </w:rPr>
        <w:t>The OMB approval number and expiration date will be displayed or cited on all forms completed as part of the data collection.</w:t>
      </w:r>
    </w:p>
    <w:p w:rsidRPr="00577B5B" w:rsidR="00577B5B" w:rsidP="00577B5B" w:rsidRDefault="00037B93" w14:paraId="0C6AA8FD" w14:textId="07B615E3">
      <w:pPr>
        <w:pStyle w:val="Heading2"/>
        <w:framePr w:wrap="auto" w:vAnchor="margin" w:yAlign="inline"/>
        <w:pBdr>
          <w:bottom w:val="none" w:color="auto" w:sz="0" w:space="0"/>
        </w:pBdr>
        <w:rPr>
          <w:rFonts w:ascii="Times New Roman" w:hAnsi="Times New Roman"/>
          <w:i/>
          <w:caps w:val="0"/>
          <w:szCs w:val="24"/>
        </w:rPr>
      </w:pPr>
      <w:bookmarkStart w:name="_Toc68878659" w:id="38"/>
      <w:r w:rsidRPr="005C45D4">
        <w:rPr>
          <w:szCs w:val="24"/>
        </w:rPr>
        <w:t xml:space="preserve">18. </w:t>
      </w:r>
      <w:r w:rsidRPr="00E976C8" w:rsidR="00E976C8">
        <w:rPr>
          <w:rFonts w:ascii="Times New Roman" w:hAnsi="Times New Roman"/>
          <w:i/>
          <w:caps w:val="0"/>
          <w:szCs w:val="24"/>
        </w:rPr>
        <w:t>Explain each exception to the topics of the certification statement identified in “certification for paperwork reduction act submissions.”</w:t>
      </w:r>
      <w:bookmarkEnd w:id="38"/>
      <w:r w:rsidRPr="00E976C8" w:rsidR="00E976C8">
        <w:rPr>
          <w:rFonts w:ascii="Times New Roman" w:hAnsi="Times New Roman"/>
          <w:i/>
          <w:caps w:val="0"/>
          <w:szCs w:val="24"/>
        </w:rPr>
        <w:t xml:space="preserve"> </w:t>
      </w:r>
    </w:p>
    <w:p w:rsidRPr="005C45D4" w:rsidR="00E976C8" w:rsidP="00D87BE4" w:rsidRDefault="00E976C8" w14:paraId="69D8AA71" w14:textId="5EA195DC">
      <w:pPr>
        <w:pStyle w:val="H3Alpha"/>
        <w:ind w:firstLine="18"/>
        <w:outlineLvl w:val="9"/>
        <w:rPr>
          <w:rFonts w:ascii="Times New Roman" w:hAnsi="Times New Roman"/>
          <w:sz w:val="24"/>
          <w:szCs w:val="24"/>
        </w:rPr>
      </w:pPr>
      <w:r w:rsidRPr="005C45D4">
        <w:rPr>
          <w:rFonts w:ascii="Times New Roman" w:hAnsi="Times New Roman"/>
          <w:sz w:val="24"/>
          <w:szCs w:val="24"/>
        </w:rPr>
        <w:t>No exceptions are necessary for this information collection.</w:t>
      </w:r>
      <w:r w:rsidRPr="005C45D4" w:rsidDel="00515CCA">
        <w:rPr>
          <w:rFonts w:ascii="Times New Roman" w:hAnsi="Times New Roman"/>
          <w:sz w:val="24"/>
          <w:szCs w:val="24"/>
        </w:rPr>
        <w:t xml:space="preserve">  </w:t>
      </w:r>
    </w:p>
    <w:p w:rsidRPr="00E976C8" w:rsidR="00E976C8" w:rsidP="00E976C8" w:rsidRDefault="00E976C8" w14:paraId="7503D10C" w14:textId="77777777">
      <w:pPr>
        <w:pStyle w:val="NormalSS"/>
      </w:pPr>
    </w:p>
    <w:p w:rsidRPr="00E976C8" w:rsidR="00A43D07" w:rsidP="006C3DB7" w:rsidRDefault="00A43D07" w14:paraId="48C39E50" w14:textId="7CAAA0D9">
      <w:pPr>
        <w:pStyle w:val="H3Alpha"/>
        <w:ind w:firstLine="18"/>
        <w:outlineLvl w:val="9"/>
        <w:rPr>
          <w:rFonts w:ascii="Times New Roman" w:hAnsi="Times New Roman"/>
          <w:sz w:val="24"/>
          <w:szCs w:val="24"/>
        </w:rPr>
      </w:pPr>
    </w:p>
    <w:sectPr w:rsidRPr="00E976C8" w:rsidR="00A43D07" w:rsidSect="00577B5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EE591" w14:textId="77777777" w:rsidR="00947D99" w:rsidRDefault="00947D99" w:rsidP="002E3E35">
      <w:pPr>
        <w:spacing w:line="240" w:lineRule="auto"/>
      </w:pPr>
      <w:r>
        <w:separator/>
      </w:r>
    </w:p>
  </w:endnote>
  <w:endnote w:type="continuationSeparator" w:id="0">
    <w:p w14:paraId="74B248CC" w14:textId="77777777" w:rsidR="00947D99" w:rsidRDefault="00947D99" w:rsidP="002E3E35">
      <w:pPr>
        <w:spacing w:line="240" w:lineRule="auto"/>
      </w:pPr>
      <w:r>
        <w:continuationSeparator/>
      </w:r>
    </w:p>
  </w:endnote>
  <w:endnote w:type="continuationNotice" w:id="1">
    <w:p w14:paraId="64C4AE89" w14:textId="77777777" w:rsidR="00947D99" w:rsidRDefault="00947D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BCFC" w14:textId="77777777" w:rsidR="0019099A" w:rsidRDefault="00190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F1D4" w14:textId="3E1B9796" w:rsidR="00AD2277" w:rsidRDefault="00947D99" w:rsidP="0073236D">
    <w:pPr>
      <w:pStyle w:val="Footer"/>
      <w:jc w:val="center"/>
    </w:pPr>
    <w:sdt>
      <w:sdtPr>
        <w:id w:val="-2034487065"/>
        <w:docPartObj>
          <w:docPartGallery w:val="Page Numbers (Bottom of Page)"/>
          <w:docPartUnique/>
        </w:docPartObj>
      </w:sdtPr>
      <w:sdtEndPr>
        <w:rPr>
          <w:noProof/>
        </w:rPr>
      </w:sdtEndPr>
      <w:sdtContent>
        <w:r w:rsidR="00AD2277">
          <w:fldChar w:fldCharType="begin"/>
        </w:r>
        <w:r w:rsidR="00AD2277">
          <w:instrText xml:space="preserve"> PAGE   \* MERGEFORMAT </w:instrText>
        </w:r>
        <w:r w:rsidR="00AD2277">
          <w:fldChar w:fldCharType="separate"/>
        </w:r>
        <w:r w:rsidR="00E440CA">
          <w:rPr>
            <w:noProof/>
          </w:rPr>
          <w:t>14</w:t>
        </w:r>
        <w:r w:rsidR="00AD2277">
          <w:rPr>
            <w:noProof/>
          </w:rPr>
          <w:fldChar w:fldCharType="end"/>
        </w:r>
      </w:sdtContent>
    </w:sdt>
  </w:p>
  <w:p w14:paraId="26B3F8FB" w14:textId="77777777" w:rsidR="00AD2277" w:rsidRPr="00A43D07" w:rsidRDefault="00AD2277" w:rsidP="00A43D07">
    <w:pPr>
      <w:spacing w:line="240" w:lineRule="auto"/>
      <w:rPr>
        <w:rStyle w:val="PageNumber"/>
        <w:rFonts w:ascii="Times New Roman" w:hAnsi="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679148"/>
      <w:docPartObj>
        <w:docPartGallery w:val="Page Numbers (Bottom of Page)"/>
        <w:docPartUnique/>
      </w:docPartObj>
    </w:sdtPr>
    <w:sdtEndPr>
      <w:rPr>
        <w:noProof/>
      </w:rPr>
    </w:sdtEndPr>
    <w:sdtContent>
      <w:p w14:paraId="73CBD357" w14:textId="79367D9F" w:rsidR="00AD2277" w:rsidRDefault="00AD2277">
        <w:pPr>
          <w:pStyle w:val="Footer"/>
          <w:jc w:val="center"/>
        </w:pPr>
        <w:r>
          <w:fldChar w:fldCharType="begin"/>
        </w:r>
        <w:r>
          <w:instrText xml:space="preserve"> PAGE   \* MERGEFORMAT </w:instrText>
        </w:r>
        <w:r>
          <w:fldChar w:fldCharType="separate"/>
        </w:r>
        <w:r w:rsidR="00E440CA">
          <w:rPr>
            <w:noProof/>
          </w:rPr>
          <w:t>12</w:t>
        </w:r>
        <w:r>
          <w:rPr>
            <w:noProof/>
          </w:rPr>
          <w:fldChar w:fldCharType="end"/>
        </w:r>
      </w:p>
    </w:sdtContent>
  </w:sdt>
  <w:p w14:paraId="7E361E04" w14:textId="77777777" w:rsidR="00AD2277" w:rsidRDefault="00AD2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A951D" w14:textId="77777777" w:rsidR="00947D99" w:rsidRDefault="00947D99" w:rsidP="00203E3B">
      <w:pPr>
        <w:spacing w:line="240" w:lineRule="auto"/>
        <w:ind w:firstLine="0"/>
      </w:pPr>
      <w:r>
        <w:separator/>
      </w:r>
    </w:p>
  </w:footnote>
  <w:footnote w:type="continuationSeparator" w:id="0">
    <w:p w14:paraId="442C1709" w14:textId="77777777" w:rsidR="00947D99" w:rsidRDefault="00947D99" w:rsidP="00203E3B">
      <w:pPr>
        <w:spacing w:line="240" w:lineRule="auto"/>
        <w:ind w:firstLine="0"/>
      </w:pPr>
      <w:r>
        <w:separator/>
      </w:r>
    </w:p>
    <w:p w14:paraId="6A7C9D8B" w14:textId="77777777" w:rsidR="00947D99" w:rsidRPr="00157CA2" w:rsidRDefault="00947D99" w:rsidP="00203E3B">
      <w:pPr>
        <w:spacing w:after="120" w:line="240" w:lineRule="auto"/>
        <w:ind w:firstLine="0"/>
        <w:rPr>
          <w:sz w:val="20"/>
        </w:rPr>
      </w:pPr>
      <w:r w:rsidRPr="00157CA2">
        <w:rPr>
          <w:i/>
          <w:sz w:val="20"/>
        </w:rPr>
        <w:t>(continued)</w:t>
      </w:r>
    </w:p>
  </w:footnote>
  <w:footnote w:type="continuationNotice" w:id="1">
    <w:p w14:paraId="36180256" w14:textId="77777777" w:rsidR="00947D99" w:rsidRDefault="00947D99">
      <w:pPr>
        <w:spacing w:line="240" w:lineRule="auto"/>
      </w:pPr>
    </w:p>
  </w:footnote>
  <w:footnote w:id="2">
    <w:p w14:paraId="5D51C74F" w14:textId="62C3E80A" w:rsidR="00AD2277" w:rsidRDefault="00AD2277">
      <w:pPr>
        <w:pStyle w:val="FootnoteText"/>
      </w:pPr>
      <w:r>
        <w:rPr>
          <w:rStyle w:val="FootnoteReference"/>
        </w:rPr>
        <w:footnoteRef/>
      </w:r>
      <w:r>
        <w:t xml:space="preserve"> The total contractor cost includes the cost for </w:t>
      </w:r>
      <w:r w:rsidRPr="0021159E">
        <w:t>$25 gift card</w:t>
      </w:r>
      <w:r>
        <w:t xml:space="preserve">s paid to focus group </w:t>
      </w:r>
      <w:r w:rsidR="00A264B0">
        <w:t xml:space="preserve">and interview </w:t>
      </w:r>
      <w:r>
        <w:t>participants</w:t>
      </w:r>
      <w:r w:rsidRPr="0021159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3591" w14:textId="77777777" w:rsidR="0019099A" w:rsidRDefault="00190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872D" w14:textId="1F9C9093" w:rsidR="0029048E" w:rsidRPr="00306588" w:rsidRDefault="0029048E" w:rsidP="002319B1">
    <w:pPr>
      <w:tabs>
        <w:tab w:val="right" w:pos="9360"/>
      </w:tabs>
      <w:spacing w:line="240" w:lineRule="auto"/>
      <w:ind w:firstLine="0"/>
      <w:rPr>
        <w:rFonts w:ascii="Arial" w:hAnsi="Arial"/>
        <w:caps/>
        <w:sz w:val="16"/>
      </w:rPr>
    </w:pPr>
    <w:r w:rsidRPr="00306588">
      <w:rPr>
        <w:rFonts w:ascii="Arial" w:hAnsi="Arial"/>
        <w:caps/>
        <w:sz w:val="16"/>
      </w:rPr>
      <w:t xml:space="preserve">PART A: JUSTIFICATION for </w:t>
    </w:r>
    <w:r w:rsidRPr="0029048E">
      <w:rPr>
        <w:rFonts w:ascii="Arial" w:hAnsi="Arial"/>
        <w:caps/>
        <w:sz w:val="16"/>
      </w:rPr>
      <w:t>JOB CORPS EVIDENCE-BUILDING PORTFOLIO PROGRAM</w:t>
    </w:r>
  </w:p>
  <w:p w14:paraId="56458D3B" w14:textId="75C385C1" w:rsidR="0029048E" w:rsidRPr="002319B1" w:rsidRDefault="0029048E" w:rsidP="002319B1">
    <w:pPr>
      <w:tabs>
        <w:tab w:val="right" w:pos="9360"/>
      </w:tabs>
      <w:spacing w:line="240" w:lineRule="auto"/>
      <w:ind w:firstLine="0"/>
      <w:rPr>
        <w:caps/>
        <w:sz w:val="18"/>
        <w:szCs w:val="18"/>
      </w:rPr>
    </w:pPr>
    <w:r w:rsidRPr="00306588">
      <w:rPr>
        <w:caps/>
        <w:sz w:val="18"/>
        <w:szCs w:val="18"/>
      </w:rPr>
      <w:t xml:space="preserve">OMB No. </w:t>
    </w:r>
    <w:r w:rsidR="0097604A">
      <w:rPr>
        <w:caps/>
        <w:sz w:val="18"/>
        <w:szCs w:val="18"/>
      </w:rPr>
      <w:t>1290</w:t>
    </w:r>
    <w:r w:rsidRPr="002319B1">
      <w:rPr>
        <w:caps/>
        <w:sz w:val="18"/>
        <w:szCs w:val="18"/>
      </w:rPr>
      <w:t>-0NEW</w:t>
    </w:r>
  </w:p>
  <w:p w14:paraId="72C526D7" w14:textId="249AACB8" w:rsidR="00AD2277" w:rsidRPr="00807813" w:rsidRDefault="0019099A" w:rsidP="002319B1">
    <w:pPr>
      <w:tabs>
        <w:tab w:val="right" w:pos="9360"/>
      </w:tabs>
      <w:spacing w:line="240" w:lineRule="auto"/>
      <w:ind w:firstLine="0"/>
      <w:rPr>
        <w:sz w:val="18"/>
        <w:szCs w:val="18"/>
      </w:rPr>
    </w:pPr>
    <w:r>
      <w:rPr>
        <w:caps/>
        <w:sz w:val="18"/>
        <w:szCs w:val="18"/>
      </w:rPr>
      <w:t>FEbruary 2022</w:t>
    </w:r>
    <w:r w:rsidR="0029048E">
      <w:tab/>
    </w:r>
  </w:p>
  <w:p w14:paraId="38FD6E38" w14:textId="6D7A29C4" w:rsidR="00AD2277" w:rsidRPr="00A43D07" w:rsidRDefault="00AD2277" w:rsidP="006D108A">
    <w:pPr>
      <w:spacing w:line="240" w:lineRule="auto"/>
      <w:ind w:left="-21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D9DA" w14:textId="77777777" w:rsidR="0097604A" w:rsidRPr="00306588" w:rsidRDefault="0097604A" w:rsidP="0097604A">
    <w:pPr>
      <w:tabs>
        <w:tab w:val="right" w:pos="9360"/>
      </w:tabs>
      <w:spacing w:line="240" w:lineRule="auto"/>
      <w:ind w:firstLine="0"/>
      <w:rPr>
        <w:rFonts w:ascii="Arial" w:hAnsi="Arial"/>
        <w:caps/>
        <w:sz w:val="16"/>
      </w:rPr>
    </w:pPr>
    <w:r w:rsidRPr="00306588">
      <w:rPr>
        <w:rFonts w:ascii="Arial" w:hAnsi="Arial"/>
        <w:caps/>
        <w:sz w:val="16"/>
      </w:rPr>
      <w:t xml:space="preserve">PART A: JUSTIFICATION for </w:t>
    </w:r>
    <w:r w:rsidRPr="0029048E">
      <w:rPr>
        <w:rFonts w:ascii="Arial" w:hAnsi="Arial"/>
        <w:caps/>
        <w:sz w:val="16"/>
      </w:rPr>
      <w:t>JOB CORPS EVIDENCE-BUILDING PORTFOLIO PROGRAM</w:t>
    </w:r>
  </w:p>
  <w:p w14:paraId="4605455B" w14:textId="77777777" w:rsidR="0097604A" w:rsidRPr="00785418" w:rsidRDefault="0097604A" w:rsidP="0097604A">
    <w:pPr>
      <w:tabs>
        <w:tab w:val="right" w:pos="9360"/>
      </w:tabs>
      <w:spacing w:line="240" w:lineRule="auto"/>
      <w:ind w:firstLine="0"/>
      <w:rPr>
        <w:caps/>
        <w:sz w:val="18"/>
        <w:szCs w:val="18"/>
      </w:rPr>
    </w:pPr>
    <w:r w:rsidRPr="00306588">
      <w:rPr>
        <w:caps/>
        <w:sz w:val="18"/>
        <w:szCs w:val="18"/>
      </w:rPr>
      <w:t xml:space="preserve">OMB No. </w:t>
    </w:r>
    <w:r>
      <w:rPr>
        <w:caps/>
        <w:sz w:val="18"/>
        <w:szCs w:val="18"/>
      </w:rPr>
      <w:t>1290</w:t>
    </w:r>
    <w:r w:rsidRPr="00785418">
      <w:rPr>
        <w:caps/>
        <w:sz w:val="18"/>
        <w:szCs w:val="18"/>
      </w:rPr>
      <w:t>-0NEW</w:t>
    </w:r>
  </w:p>
  <w:p w14:paraId="153BC5D1" w14:textId="534280A2" w:rsidR="0097604A" w:rsidRDefault="0097604A" w:rsidP="002319B1">
    <w:pPr>
      <w:pStyle w:val="Header"/>
      <w:pBdr>
        <w:bottom w:val="none" w:sz="0" w:space="0" w:color="auto"/>
      </w:pBdr>
    </w:pPr>
    <w:r w:rsidRPr="00785418">
      <w:rPr>
        <w:rFonts w:ascii="Times New Roman" w:hAnsi="Times New Roman"/>
        <w:sz w:val="18"/>
        <w:szCs w:val="18"/>
      </w:rPr>
      <w:t>[insert date</w:t>
    </w:r>
    <w:r w:rsidRPr="00785418">
      <w:rPr>
        <w:caps w:val="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580E7B"/>
    <w:multiLevelType w:val="hybridMultilevel"/>
    <w:tmpl w:val="60F614CA"/>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2F910303"/>
    <w:multiLevelType w:val="hybridMultilevel"/>
    <w:tmpl w:val="39DC30BC"/>
    <w:lvl w:ilvl="0" w:tplc="0409000F">
      <w:start w:val="1"/>
      <w:numFmt w:val="decimal"/>
      <w:lvlText w:val="%1."/>
      <w:lvlJc w:val="left"/>
      <w:pPr>
        <w:ind w:left="1152" w:hanging="360"/>
      </w:pPr>
    </w:lvl>
    <w:lvl w:ilvl="1" w:tplc="EA88ED78">
      <w:numFmt w:val="bullet"/>
      <w:lvlText w:val="·"/>
      <w:lvlJc w:val="left"/>
      <w:pPr>
        <w:ind w:left="1908" w:hanging="396"/>
      </w:pPr>
      <w:rPr>
        <w:rFonts w:ascii="Times New Roman" w:eastAsia="Symbol" w:hAnsi="Times New Roman" w:cs="Times New Roman"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3BE570F6"/>
    <w:multiLevelType w:val="hybridMultilevel"/>
    <w:tmpl w:val="9EB04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D369E"/>
    <w:multiLevelType w:val="hybridMultilevel"/>
    <w:tmpl w:val="9EB04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65966541"/>
    <w:multiLevelType w:val="hybridMultilevel"/>
    <w:tmpl w:val="CDE2F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13087"/>
    <w:multiLevelType w:val="hybridMultilevel"/>
    <w:tmpl w:val="569AE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A5624E"/>
    <w:multiLevelType w:val="hybridMultilevel"/>
    <w:tmpl w:val="3188976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15:restartNumberingAfterBreak="0">
    <w:nsid w:val="7F5826FD"/>
    <w:multiLevelType w:val="hybridMultilevel"/>
    <w:tmpl w:val="61626532"/>
    <w:lvl w:ilvl="0" w:tplc="AB764DD0">
      <w:start w:val="1"/>
      <w:numFmt w:val="decimal"/>
      <w:lvlText w:val="%1."/>
      <w:lvlJc w:val="left"/>
      <w:pPr>
        <w:ind w:left="1152" w:hanging="360"/>
      </w:pPr>
      <w:rPr>
        <w:b w:val="0"/>
        <w:b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12"/>
  </w:num>
  <w:num w:numId="2">
    <w:abstractNumId w:val="7"/>
  </w:num>
  <w:num w:numId="3">
    <w:abstractNumId w:val="14"/>
  </w:num>
  <w:num w:numId="4">
    <w:abstractNumId w:val="0"/>
  </w:num>
  <w:num w:numId="5">
    <w:abstractNumId w:val="13"/>
  </w:num>
  <w:num w:numId="6">
    <w:abstractNumId w:val="9"/>
  </w:num>
  <w:num w:numId="7">
    <w:abstractNumId w:val="3"/>
  </w:num>
  <w:num w:numId="8">
    <w:abstractNumId w:val="6"/>
  </w:num>
  <w:num w:numId="9">
    <w:abstractNumId w:val="4"/>
  </w:num>
  <w:num w:numId="10">
    <w:abstractNumId w:val="2"/>
  </w:num>
  <w:num w:numId="11">
    <w:abstractNumId w:val="16"/>
  </w:num>
  <w:num w:numId="12">
    <w:abstractNumId w:val="10"/>
  </w:num>
  <w:num w:numId="13">
    <w:abstractNumId w:val="5"/>
  </w:num>
  <w:num w:numId="14">
    <w:abstractNumId w:val="11"/>
  </w:num>
  <w:num w:numId="15">
    <w:abstractNumId w:val="15"/>
  </w:num>
  <w:num w:numId="16">
    <w:abstractNumId w:val="1"/>
  </w:num>
  <w:num w:numId="1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779"/>
    <w:rsid w:val="00000161"/>
    <w:rsid w:val="000030B1"/>
    <w:rsid w:val="000103F1"/>
    <w:rsid w:val="00010CEE"/>
    <w:rsid w:val="00013720"/>
    <w:rsid w:val="00013A9F"/>
    <w:rsid w:val="00014AFD"/>
    <w:rsid w:val="00014BB0"/>
    <w:rsid w:val="0001587F"/>
    <w:rsid w:val="00016742"/>
    <w:rsid w:val="00016CC6"/>
    <w:rsid w:val="00016D34"/>
    <w:rsid w:val="0001701F"/>
    <w:rsid w:val="00017E28"/>
    <w:rsid w:val="0002103D"/>
    <w:rsid w:val="000212FC"/>
    <w:rsid w:val="000215ED"/>
    <w:rsid w:val="00021836"/>
    <w:rsid w:val="0002263D"/>
    <w:rsid w:val="00022A0A"/>
    <w:rsid w:val="0002322B"/>
    <w:rsid w:val="000235BB"/>
    <w:rsid w:val="000236AB"/>
    <w:rsid w:val="00024FB9"/>
    <w:rsid w:val="000250BC"/>
    <w:rsid w:val="00025C4A"/>
    <w:rsid w:val="0002754E"/>
    <w:rsid w:val="00030237"/>
    <w:rsid w:val="0003163D"/>
    <w:rsid w:val="00031F73"/>
    <w:rsid w:val="0003265D"/>
    <w:rsid w:val="00032E4E"/>
    <w:rsid w:val="00034667"/>
    <w:rsid w:val="000351E0"/>
    <w:rsid w:val="0003680E"/>
    <w:rsid w:val="00036E7F"/>
    <w:rsid w:val="0003761A"/>
    <w:rsid w:val="00037B93"/>
    <w:rsid w:val="00040B2C"/>
    <w:rsid w:val="00040FDF"/>
    <w:rsid w:val="000412F6"/>
    <w:rsid w:val="000423BE"/>
    <w:rsid w:val="00042419"/>
    <w:rsid w:val="00042FA8"/>
    <w:rsid w:val="00043329"/>
    <w:rsid w:val="00043B27"/>
    <w:rsid w:val="00043E9B"/>
    <w:rsid w:val="00044069"/>
    <w:rsid w:val="00044C31"/>
    <w:rsid w:val="000461B0"/>
    <w:rsid w:val="00047BDD"/>
    <w:rsid w:val="00052D42"/>
    <w:rsid w:val="00052FCA"/>
    <w:rsid w:val="000542C9"/>
    <w:rsid w:val="00054809"/>
    <w:rsid w:val="00056BC1"/>
    <w:rsid w:val="00056F18"/>
    <w:rsid w:val="000575D5"/>
    <w:rsid w:val="000577B4"/>
    <w:rsid w:val="000578BB"/>
    <w:rsid w:val="00060579"/>
    <w:rsid w:val="00060A3C"/>
    <w:rsid w:val="0006245A"/>
    <w:rsid w:val="000633AA"/>
    <w:rsid w:val="00063AE9"/>
    <w:rsid w:val="00064772"/>
    <w:rsid w:val="0007041A"/>
    <w:rsid w:val="000708E9"/>
    <w:rsid w:val="000719EE"/>
    <w:rsid w:val="00072E64"/>
    <w:rsid w:val="000777DB"/>
    <w:rsid w:val="0008151B"/>
    <w:rsid w:val="0008334B"/>
    <w:rsid w:val="000855BD"/>
    <w:rsid w:val="00086066"/>
    <w:rsid w:val="00087F52"/>
    <w:rsid w:val="00090E25"/>
    <w:rsid w:val="0009143A"/>
    <w:rsid w:val="00093207"/>
    <w:rsid w:val="00094630"/>
    <w:rsid w:val="00095543"/>
    <w:rsid w:val="00095854"/>
    <w:rsid w:val="000972E1"/>
    <w:rsid w:val="00097B34"/>
    <w:rsid w:val="000A0383"/>
    <w:rsid w:val="000A0DF1"/>
    <w:rsid w:val="000A10A1"/>
    <w:rsid w:val="000A2181"/>
    <w:rsid w:val="000A2330"/>
    <w:rsid w:val="000A23BB"/>
    <w:rsid w:val="000A484D"/>
    <w:rsid w:val="000A5A8D"/>
    <w:rsid w:val="000A6591"/>
    <w:rsid w:val="000A7240"/>
    <w:rsid w:val="000A7604"/>
    <w:rsid w:val="000A7FB4"/>
    <w:rsid w:val="000B0243"/>
    <w:rsid w:val="000B0CC7"/>
    <w:rsid w:val="000B32A3"/>
    <w:rsid w:val="000B3B74"/>
    <w:rsid w:val="000B521D"/>
    <w:rsid w:val="000B555A"/>
    <w:rsid w:val="000B6880"/>
    <w:rsid w:val="000B764C"/>
    <w:rsid w:val="000C2E3B"/>
    <w:rsid w:val="000C30FA"/>
    <w:rsid w:val="000C35E6"/>
    <w:rsid w:val="000C413E"/>
    <w:rsid w:val="000C679B"/>
    <w:rsid w:val="000C6EE4"/>
    <w:rsid w:val="000C70C2"/>
    <w:rsid w:val="000C7D4D"/>
    <w:rsid w:val="000D0779"/>
    <w:rsid w:val="000D0EAE"/>
    <w:rsid w:val="000D34DE"/>
    <w:rsid w:val="000D40B7"/>
    <w:rsid w:val="000D421B"/>
    <w:rsid w:val="000D46F0"/>
    <w:rsid w:val="000D5B34"/>
    <w:rsid w:val="000D64EE"/>
    <w:rsid w:val="000D6D88"/>
    <w:rsid w:val="000D704D"/>
    <w:rsid w:val="000D751A"/>
    <w:rsid w:val="000D7E83"/>
    <w:rsid w:val="000E0694"/>
    <w:rsid w:val="000E1132"/>
    <w:rsid w:val="000E1569"/>
    <w:rsid w:val="000E1C2B"/>
    <w:rsid w:val="000E2169"/>
    <w:rsid w:val="000E411D"/>
    <w:rsid w:val="000E4C3F"/>
    <w:rsid w:val="000E5529"/>
    <w:rsid w:val="000E6409"/>
    <w:rsid w:val="000E738A"/>
    <w:rsid w:val="000E7AA7"/>
    <w:rsid w:val="000F181B"/>
    <w:rsid w:val="000F1CD8"/>
    <w:rsid w:val="000F2B47"/>
    <w:rsid w:val="000F3948"/>
    <w:rsid w:val="000F3C9B"/>
    <w:rsid w:val="000F5B10"/>
    <w:rsid w:val="000F6253"/>
    <w:rsid w:val="000F677B"/>
    <w:rsid w:val="000F68DE"/>
    <w:rsid w:val="000F7127"/>
    <w:rsid w:val="000F7C9C"/>
    <w:rsid w:val="001004A7"/>
    <w:rsid w:val="001016E7"/>
    <w:rsid w:val="00104CE0"/>
    <w:rsid w:val="00104F68"/>
    <w:rsid w:val="00105C12"/>
    <w:rsid w:val="00106A94"/>
    <w:rsid w:val="001101A5"/>
    <w:rsid w:val="001112D9"/>
    <w:rsid w:val="0011140B"/>
    <w:rsid w:val="001119F8"/>
    <w:rsid w:val="00111BF9"/>
    <w:rsid w:val="00112A5E"/>
    <w:rsid w:val="00113C0F"/>
    <w:rsid w:val="00113CC8"/>
    <w:rsid w:val="0011467C"/>
    <w:rsid w:val="00114CCD"/>
    <w:rsid w:val="00114F0C"/>
    <w:rsid w:val="00117208"/>
    <w:rsid w:val="00120D78"/>
    <w:rsid w:val="00121BE7"/>
    <w:rsid w:val="00122C2C"/>
    <w:rsid w:val="0012506B"/>
    <w:rsid w:val="00127327"/>
    <w:rsid w:val="001273A8"/>
    <w:rsid w:val="00130C03"/>
    <w:rsid w:val="001311F7"/>
    <w:rsid w:val="0013184F"/>
    <w:rsid w:val="00131D22"/>
    <w:rsid w:val="00131E02"/>
    <w:rsid w:val="00131F00"/>
    <w:rsid w:val="0013346F"/>
    <w:rsid w:val="001345AE"/>
    <w:rsid w:val="0013488D"/>
    <w:rsid w:val="00135EB7"/>
    <w:rsid w:val="0013709C"/>
    <w:rsid w:val="00140669"/>
    <w:rsid w:val="0014473B"/>
    <w:rsid w:val="00145790"/>
    <w:rsid w:val="00146CE3"/>
    <w:rsid w:val="00146E1F"/>
    <w:rsid w:val="00147515"/>
    <w:rsid w:val="00147A74"/>
    <w:rsid w:val="00150E00"/>
    <w:rsid w:val="001517EF"/>
    <w:rsid w:val="00151D5D"/>
    <w:rsid w:val="00152286"/>
    <w:rsid w:val="00152AF7"/>
    <w:rsid w:val="00154090"/>
    <w:rsid w:val="00154659"/>
    <w:rsid w:val="00154DF1"/>
    <w:rsid w:val="0015557B"/>
    <w:rsid w:val="00155BC0"/>
    <w:rsid w:val="00155D06"/>
    <w:rsid w:val="00157CA2"/>
    <w:rsid w:val="00162688"/>
    <w:rsid w:val="001649D5"/>
    <w:rsid w:val="00164BC2"/>
    <w:rsid w:val="00166C29"/>
    <w:rsid w:val="00167994"/>
    <w:rsid w:val="00167A2A"/>
    <w:rsid w:val="00173377"/>
    <w:rsid w:val="001739F1"/>
    <w:rsid w:val="00173AAA"/>
    <w:rsid w:val="001756AB"/>
    <w:rsid w:val="001778A4"/>
    <w:rsid w:val="00181AC8"/>
    <w:rsid w:val="00181F76"/>
    <w:rsid w:val="00184421"/>
    <w:rsid w:val="001852C3"/>
    <w:rsid w:val="00185CEF"/>
    <w:rsid w:val="0019099A"/>
    <w:rsid w:val="00191D87"/>
    <w:rsid w:val="001921A4"/>
    <w:rsid w:val="00193115"/>
    <w:rsid w:val="00194A0E"/>
    <w:rsid w:val="001969F1"/>
    <w:rsid w:val="00196E5A"/>
    <w:rsid w:val="00197503"/>
    <w:rsid w:val="001A01C9"/>
    <w:rsid w:val="001A0361"/>
    <w:rsid w:val="001A1AD3"/>
    <w:rsid w:val="001A35A9"/>
    <w:rsid w:val="001A3781"/>
    <w:rsid w:val="001A395F"/>
    <w:rsid w:val="001A46AB"/>
    <w:rsid w:val="001B107D"/>
    <w:rsid w:val="001B4842"/>
    <w:rsid w:val="001B7718"/>
    <w:rsid w:val="001C0F00"/>
    <w:rsid w:val="001C47A2"/>
    <w:rsid w:val="001C499B"/>
    <w:rsid w:val="001C4A48"/>
    <w:rsid w:val="001C5EB8"/>
    <w:rsid w:val="001C7F89"/>
    <w:rsid w:val="001C7FBE"/>
    <w:rsid w:val="001D2BE6"/>
    <w:rsid w:val="001D3414"/>
    <w:rsid w:val="001D3544"/>
    <w:rsid w:val="001D39AA"/>
    <w:rsid w:val="001D39EC"/>
    <w:rsid w:val="001D418D"/>
    <w:rsid w:val="001D4D54"/>
    <w:rsid w:val="001D661F"/>
    <w:rsid w:val="001D791F"/>
    <w:rsid w:val="001D7B65"/>
    <w:rsid w:val="001E2135"/>
    <w:rsid w:val="001E3C70"/>
    <w:rsid w:val="001E5B71"/>
    <w:rsid w:val="001E5EC7"/>
    <w:rsid w:val="001E6133"/>
    <w:rsid w:val="001E6A60"/>
    <w:rsid w:val="001E6E5A"/>
    <w:rsid w:val="001F14C4"/>
    <w:rsid w:val="001F32A8"/>
    <w:rsid w:val="001F65FE"/>
    <w:rsid w:val="001F7901"/>
    <w:rsid w:val="00201E7E"/>
    <w:rsid w:val="002023A4"/>
    <w:rsid w:val="002039FA"/>
    <w:rsid w:val="00203E3B"/>
    <w:rsid w:val="002042DF"/>
    <w:rsid w:val="00204AB9"/>
    <w:rsid w:val="00204B23"/>
    <w:rsid w:val="002050B7"/>
    <w:rsid w:val="0020548A"/>
    <w:rsid w:val="0021159E"/>
    <w:rsid w:val="00211C7B"/>
    <w:rsid w:val="00213B99"/>
    <w:rsid w:val="00214E0B"/>
    <w:rsid w:val="00215B3B"/>
    <w:rsid w:val="00215C5A"/>
    <w:rsid w:val="00215E4D"/>
    <w:rsid w:val="002166BC"/>
    <w:rsid w:val="002166E5"/>
    <w:rsid w:val="00216B53"/>
    <w:rsid w:val="00217FA0"/>
    <w:rsid w:val="00225954"/>
    <w:rsid w:val="002262ED"/>
    <w:rsid w:val="0022714B"/>
    <w:rsid w:val="002272CB"/>
    <w:rsid w:val="00230A9A"/>
    <w:rsid w:val="00231607"/>
    <w:rsid w:val="002319B1"/>
    <w:rsid w:val="002328A8"/>
    <w:rsid w:val="002340AB"/>
    <w:rsid w:val="00234A99"/>
    <w:rsid w:val="00234D13"/>
    <w:rsid w:val="00234EAD"/>
    <w:rsid w:val="0023638D"/>
    <w:rsid w:val="002401DA"/>
    <w:rsid w:val="0024117D"/>
    <w:rsid w:val="00241551"/>
    <w:rsid w:val="002432D3"/>
    <w:rsid w:val="002434CA"/>
    <w:rsid w:val="00244D9E"/>
    <w:rsid w:val="0024609D"/>
    <w:rsid w:val="002469F4"/>
    <w:rsid w:val="00246F6F"/>
    <w:rsid w:val="00247945"/>
    <w:rsid w:val="00250149"/>
    <w:rsid w:val="002516F6"/>
    <w:rsid w:val="002525F8"/>
    <w:rsid w:val="002527EB"/>
    <w:rsid w:val="00254C89"/>
    <w:rsid w:val="00254E2D"/>
    <w:rsid w:val="0025551A"/>
    <w:rsid w:val="002558A0"/>
    <w:rsid w:val="00256D04"/>
    <w:rsid w:val="00256F61"/>
    <w:rsid w:val="0026025C"/>
    <w:rsid w:val="0026344E"/>
    <w:rsid w:val="0026713B"/>
    <w:rsid w:val="00270BBE"/>
    <w:rsid w:val="002710B7"/>
    <w:rsid w:val="002718DF"/>
    <w:rsid w:val="00271C83"/>
    <w:rsid w:val="00271DE4"/>
    <w:rsid w:val="00271E3C"/>
    <w:rsid w:val="0027245E"/>
    <w:rsid w:val="00272B66"/>
    <w:rsid w:val="002733A4"/>
    <w:rsid w:val="00273CB4"/>
    <w:rsid w:val="002768F8"/>
    <w:rsid w:val="002817A6"/>
    <w:rsid w:val="00283304"/>
    <w:rsid w:val="0028360E"/>
    <w:rsid w:val="00283CBE"/>
    <w:rsid w:val="002863D7"/>
    <w:rsid w:val="002869EF"/>
    <w:rsid w:val="00286FCA"/>
    <w:rsid w:val="0029011D"/>
    <w:rsid w:val="0029042C"/>
    <w:rsid w:val="0029048E"/>
    <w:rsid w:val="00291C4B"/>
    <w:rsid w:val="002922BF"/>
    <w:rsid w:val="00292A7F"/>
    <w:rsid w:val="00293AC3"/>
    <w:rsid w:val="0029407C"/>
    <w:rsid w:val="00294A61"/>
    <w:rsid w:val="00294B21"/>
    <w:rsid w:val="00295572"/>
    <w:rsid w:val="00297266"/>
    <w:rsid w:val="00297305"/>
    <w:rsid w:val="00297415"/>
    <w:rsid w:val="0029795B"/>
    <w:rsid w:val="00297F7D"/>
    <w:rsid w:val="002A00E4"/>
    <w:rsid w:val="002A171D"/>
    <w:rsid w:val="002A1D82"/>
    <w:rsid w:val="002A2526"/>
    <w:rsid w:val="002A2808"/>
    <w:rsid w:val="002A3D5D"/>
    <w:rsid w:val="002A4F27"/>
    <w:rsid w:val="002A64F9"/>
    <w:rsid w:val="002A6552"/>
    <w:rsid w:val="002A6B96"/>
    <w:rsid w:val="002A75EB"/>
    <w:rsid w:val="002B0C44"/>
    <w:rsid w:val="002B0E82"/>
    <w:rsid w:val="002B14AE"/>
    <w:rsid w:val="002B25CD"/>
    <w:rsid w:val="002B44B7"/>
    <w:rsid w:val="002B4A20"/>
    <w:rsid w:val="002B56BA"/>
    <w:rsid w:val="002B71CD"/>
    <w:rsid w:val="002B72E0"/>
    <w:rsid w:val="002B76AB"/>
    <w:rsid w:val="002B7C37"/>
    <w:rsid w:val="002C1507"/>
    <w:rsid w:val="002C2A58"/>
    <w:rsid w:val="002C3CA5"/>
    <w:rsid w:val="002C40A9"/>
    <w:rsid w:val="002C598D"/>
    <w:rsid w:val="002C68E2"/>
    <w:rsid w:val="002C71CA"/>
    <w:rsid w:val="002C7C5F"/>
    <w:rsid w:val="002D262A"/>
    <w:rsid w:val="002D6672"/>
    <w:rsid w:val="002D6763"/>
    <w:rsid w:val="002D6B5F"/>
    <w:rsid w:val="002D7000"/>
    <w:rsid w:val="002D7816"/>
    <w:rsid w:val="002D7B94"/>
    <w:rsid w:val="002D7F1C"/>
    <w:rsid w:val="002E06F1"/>
    <w:rsid w:val="002E1A05"/>
    <w:rsid w:val="002E226E"/>
    <w:rsid w:val="002E3E35"/>
    <w:rsid w:val="002E4E5A"/>
    <w:rsid w:val="002E6CC4"/>
    <w:rsid w:val="002E7BD6"/>
    <w:rsid w:val="002F02CE"/>
    <w:rsid w:val="002F297B"/>
    <w:rsid w:val="002F3061"/>
    <w:rsid w:val="002F31D9"/>
    <w:rsid w:val="002F46E0"/>
    <w:rsid w:val="002F4D0C"/>
    <w:rsid w:val="002F5E0B"/>
    <w:rsid w:val="002F6E35"/>
    <w:rsid w:val="002F7D20"/>
    <w:rsid w:val="00300B72"/>
    <w:rsid w:val="00300EA1"/>
    <w:rsid w:val="0030242C"/>
    <w:rsid w:val="00302890"/>
    <w:rsid w:val="00303108"/>
    <w:rsid w:val="00303F89"/>
    <w:rsid w:val="00304DFE"/>
    <w:rsid w:val="00306069"/>
    <w:rsid w:val="00306F1E"/>
    <w:rsid w:val="00307979"/>
    <w:rsid w:val="00310CBE"/>
    <w:rsid w:val="00312971"/>
    <w:rsid w:val="00315469"/>
    <w:rsid w:val="00315598"/>
    <w:rsid w:val="00315DEC"/>
    <w:rsid w:val="00316A9A"/>
    <w:rsid w:val="0031740A"/>
    <w:rsid w:val="00317FDB"/>
    <w:rsid w:val="003206AB"/>
    <w:rsid w:val="00321817"/>
    <w:rsid w:val="003234BF"/>
    <w:rsid w:val="003250D8"/>
    <w:rsid w:val="00325FF2"/>
    <w:rsid w:val="00326958"/>
    <w:rsid w:val="0033012A"/>
    <w:rsid w:val="003308C3"/>
    <w:rsid w:val="00330DD5"/>
    <w:rsid w:val="00331ADC"/>
    <w:rsid w:val="00336980"/>
    <w:rsid w:val="00336EA2"/>
    <w:rsid w:val="0034044F"/>
    <w:rsid w:val="00340770"/>
    <w:rsid w:val="00341682"/>
    <w:rsid w:val="003426BF"/>
    <w:rsid w:val="003441F8"/>
    <w:rsid w:val="0034499A"/>
    <w:rsid w:val="00344B4D"/>
    <w:rsid w:val="00344F9F"/>
    <w:rsid w:val="00345556"/>
    <w:rsid w:val="00346E5F"/>
    <w:rsid w:val="00350CDF"/>
    <w:rsid w:val="003512A6"/>
    <w:rsid w:val="00351EC1"/>
    <w:rsid w:val="00354380"/>
    <w:rsid w:val="0035526C"/>
    <w:rsid w:val="00355408"/>
    <w:rsid w:val="00356E67"/>
    <w:rsid w:val="00357209"/>
    <w:rsid w:val="00357B5C"/>
    <w:rsid w:val="0036189F"/>
    <w:rsid w:val="00363410"/>
    <w:rsid w:val="00363A19"/>
    <w:rsid w:val="00364006"/>
    <w:rsid w:val="003656C4"/>
    <w:rsid w:val="00366B64"/>
    <w:rsid w:val="00366F93"/>
    <w:rsid w:val="00366FB9"/>
    <w:rsid w:val="00370490"/>
    <w:rsid w:val="00370BC5"/>
    <w:rsid w:val="00370D5B"/>
    <w:rsid w:val="00372B1D"/>
    <w:rsid w:val="003743AD"/>
    <w:rsid w:val="00374608"/>
    <w:rsid w:val="003747FF"/>
    <w:rsid w:val="00376380"/>
    <w:rsid w:val="003812C1"/>
    <w:rsid w:val="00383149"/>
    <w:rsid w:val="003846D5"/>
    <w:rsid w:val="00384A00"/>
    <w:rsid w:val="00384E5E"/>
    <w:rsid w:val="003869A2"/>
    <w:rsid w:val="00387C3D"/>
    <w:rsid w:val="003900BD"/>
    <w:rsid w:val="0039014D"/>
    <w:rsid w:val="003904B7"/>
    <w:rsid w:val="00390ECC"/>
    <w:rsid w:val="003921CA"/>
    <w:rsid w:val="00392614"/>
    <w:rsid w:val="00392F7A"/>
    <w:rsid w:val="00393278"/>
    <w:rsid w:val="00394544"/>
    <w:rsid w:val="00394DAA"/>
    <w:rsid w:val="003961B5"/>
    <w:rsid w:val="003969F2"/>
    <w:rsid w:val="00396F0A"/>
    <w:rsid w:val="00396FD7"/>
    <w:rsid w:val="00397103"/>
    <w:rsid w:val="00397B93"/>
    <w:rsid w:val="003A08C3"/>
    <w:rsid w:val="003A0BC7"/>
    <w:rsid w:val="003A0C7A"/>
    <w:rsid w:val="003A16DA"/>
    <w:rsid w:val="003A3874"/>
    <w:rsid w:val="003A3ADA"/>
    <w:rsid w:val="003A4A8C"/>
    <w:rsid w:val="003A501E"/>
    <w:rsid w:val="003A5858"/>
    <w:rsid w:val="003A5CB4"/>
    <w:rsid w:val="003A63C1"/>
    <w:rsid w:val="003B12CA"/>
    <w:rsid w:val="003B143D"/>
    <w:rsid w:val="003B147F"/>
    <w:rsid w:val="003B28AD"/>
    <w:rsid w:val="003B29C9"/>
    <w:rsid w:val="003B2D4D"/>
    <w:rsid w:val="003B2E7A"/>
    <w:rsid w:val="003B3E57"/>
    <w:rsid w:val="003B5912"/>
    <w:rsid w:val="003B5DF0"/>
    <w:rsid w:val="003B678A"/>
    <w:rsid w:val="003C3464"/>
    <w:rsid w:val="003C38EC"/>
    <w:rsid w:val="003C3D79"/>
    <w:rsid w:val="003C68FE"/>
    <w:rsid w:val="003C7A09"/>
    <w:rsid w:val="003D046E"/>
    <w:rsid w:val="003D38C4"/>
    <w:rsid w:val="003E02D6"/>
    <w:rsid w:val="003E1520"/>
    <w:rsid w:val="003E172C"/>
    <w:rsid w:val="003E21DB"/>
    <w:rsid w:val="003E3505"/>
    <w:rsid w:val="003E3C7F"/>
    <w:rsid w:val="003E4000"/>
    <w:rsid w:val="003E418E"/>
    <w:rsid w:val="003E68AA"/>
    <w:rsid w:val="003E7979"/>
    <w:rsid w:val="003F224F"/>
    <w:rsid w:val="003F2EDD"/>
    <w:rsid w:val="003F3915"/>
    <w:rsid w:val="003F41BD"/>
    <w:rsid w:val="003F44C3"/>
    <w:rsid w:val="003F4ADD"/>
    <w:rsid w:val="003F4BE4"/>
    <w:rsid w:val="003F597A"/>
    <w:rsid w:val="003F5D5A"/>
    <w:rsid w:val="003F6F65"/>
    <w:rsid w:val="003F7027"/>
    <w:rsid w:val="003F71D0"/>
    <w:rsid w:val="003F782A"/>
    <w:rsid w:val="003F7D6D"/>
    <w:rsid w:val="004042F1"/>
    <w:rsid w:val="00404C29"/>
    <w:rsid w:val="00406760"/>
    <w:rsid w:val="00407DDE"/>
    <w:rsid w:val="004110F6"/>
    <w:rsid w:val="00412ACA"/>
    <w:rsid w:val="00413779"/>
    <w:rsid w:val="00415CAE"/>
    <w:rsid w:val="004161B8"/>
    <w:rsid w:val="0042484C"/>
    <w:rsid w:val="0042496E"/>
    <w:rsid w:val="00424A50"/>
    <w:rsid w:val="00430A83"/>
    <w:rsid w:val="00431084"/>
    <w:rsid w:val="0043354B"/>
    <w:rsid w:val="00435539"/>
    <w:rsid w:val="0043653B"/>
    <w:rsid w:val="00436B58"/>
    <w:rsid w:val="00436BEA"/>
    <w:rsid w:val="00437868"/>
    <w:rsid w:val="004406E3"/>
    <w:rsid w:val="00441535"/>
    <w:rsid w:val="00442E64"/>
    <w:rsid w:val="0044335E"/>
    <w:rsid w:val="00444D94"/>
    <w:rsid w:val="004456B6"/>
    <w:rsid w:val="004462CF"/>
    <w:rsid w:val="00446C1B"/>
    <w:rsid w:val="00450A57"/>
    <w:rsid w:val="004533DB"/>
    <w:rsid w:val="004551EC"/>
    <w:rsid w:val="00455267"/>
    <w:rsid w:val="0045560A"/>
    <w:rsid w:val="00455D47"/>
    <w:rsid w:val="0045638A"/>
    <w:rsid w:val="0045641E"/>
    <w:rsid w:val="0045754E"/>
    <w:rsid w:val="00457AD4"/>
    <w:rsid w:val="004620FF"/>
    <w:rsid w:val="00462140"/>
    <w:rsid w:val="00462212"/>
    <w:rsid w:val="00463469"/>
    <w:rsid w:val="00463ACE"/>
    <w:rsid w:val="00464B7F"/>
    <w:rsid w:val="004655C1"/>
    <w:rsid w:val="00465789"/>
    <w:rsid w:val="004662C5"/>
    <w:rsid w:val="00470E62"/>
    <w:rsid w:val="00472FB6"/>
    <w:rsid w:val="00476A15"/>
    <w:rsid w:val="00480779"/>
    <w:rsid w:val="00480B19"/>
    <w:rsid w:val="00481F32"/>
    <w:rsid w:val="00482EEC"/>
    <w:rsid w:val="004867C2"/>
    <w:rsid w:val="00486BB1"/>
    <w:rsid w:val="00486DFC"/>
    <w:rsid w:val="00490685"/>
    <w:rsid w:val="0049195D"/>
    <w:rsid w:val="00491AB9"/>
    <w:rsid w:val="0049347F"/>
    <w:rsid w:val="004934BE"/>
    <w:rsid w:val="00493F18"/>
    <w:rsid w:val="00495DE3"/>
    <w:rsid w:val="00497DF9"/>
    <w:rsid w:val="004A05A7"/>
    <w:rsid w:val="004A1D60"/>
    <w:rsid w:val="004A40B4"/>
    <w:rsid w:val="004A472A"/>
    <w:rsid w:val="004A4935"/>
    <w:rsid w:val="004B09F3"/>
    <w:rsid w:val="004B47D3"/>
    <w:rsid w:val="004B5E44"/>
    <w:rsid w:val="004B6CE3"/>
    <w:rsid w:val="004B7003"/>
    <w:rsid w:val="004B7054"/>
    <w:rsid w:val="004C0111"/>
    <w:rsid w:val="004C231F"/>
    <w:rsid w:val="004C2BAE"/>
    <w:rsid w:val="004C3491"/>
    <w:rsid w:val="004C498B"/>
    <w:rsid w:val="004C52A5"/>
    <w:rsid w:val="004C67B1"/>
    <w:rsid w:val="004D084D"/>
    <w:rsid w:val="004D1A82"/>
    <w:rsid w:val="004D1EAA"/>
    <w:rsid w:val="004D2C35"/>
    <w:rsid w:val="004D5EBE"/>
    <w:rsid w:val="004D6B97"/>
    <w:rsid w:val="004D7737"/>
    <w:rsid w:val="004E049B"/>
    <w:rsid w:val="004E35A8"/>
    <w:rsid w:val="004E41E8"/>
    <w:rsid w:val="004E48E1"/>
    <w:rsid w:val="004E5678"/>
    <w:rsid w:val="004E680A"/>
    <w:rsid w:val="004E69F7"/>
    <w:rsid w:val="004E7409"/>
    <w:rsid w:val="004E74D1"/>
    <w:rsid w:val="004F1432"/>
    <w:rsid w:val="004F167F"/>
    <w:rsid w:val="004F2BAC"/>
    <w:rsid w:val="004F3494"/>
    <w:rsid w:val="004F36C4"/>
    <w:rsid w:val="004F36E2"/>
    <w:rsid w:val="004F48C0"/>
    <w:rsid w:val="00500104"/>
    <w:rsid w:val="0050038C"/>
    <w:rsid w:val="00501DBD"/>
    <w:rsid w:val="005023D8"/>
    <w:rsid w:val="00502B54"/>
    <w:rsid w:val="0050309C"/>
    <w:rsid w:val="0050399F"/>
    <w:rsid w:val="00504B10"/>
    <w:rsid w:val="00504EBB"/>
    <w:rsid w:val="00505804"/>
    <w:rsid w:val="00506F79"/>
    <w:rsid w:val="00507910"/>
    <w:rsid w:val="00511D22"/>
    <w:rsid w:val="00511DC4"/>
    <w:rsid w:val="005125F9"/>
    <w:rsid w:val="005145F6"/>
    <w:rsid w:val="00515CCA"/>
    <w:rsid w:val="00521B47"/>
    <w:rsid w:val="005235AC"/>
    <w:rsid w:val="005257EC"/>
    <w:rsid w:val="00526576"/>
    <w:rsid w:val="00526D08"/>
    <w:rsid w:val="00531C14"/>
    <w:rsid w:val="00532B27"/>
    <w:rsid w:val="00535221"/>
    <w:rsid w:val="0053540D"/>
    <w:rsid w:val="00537E01"/>
    <w:rsid w:val="005400FC"/>
    <w:rsid w:val="00540352"/>
    <w:rsid w:val="005403E8"/>
    <w:rsid w:val="00540B92"/>
    <w:rsid w:val="00542944"/>
    <w:rsid w:val="0054318D"/>
    <w:rsid w:val="005445D5"/>
    <w:rsid w:val="005455E1"/>
    <w:rsid w:val="005468B0"/>
    <w:rsid w:val="00551D48"/>
    <w:rsid w:val="005535C7"/>
    <w:rsid w:val="00554648"/>
    <w:rsid w:val="005547CA"/>
    <w:rsid w:val="00555F68"/>
    <w:rsid w:val="005576F8"/>
    <w:rsid w:val="00560B10"/>
    <w:rsid w:val="00560D9D"/>
    <w:rsid w:val="00560FB7"/>
    <w:rsid w:val="0056159B"/>
    <w:rsid w:val="00561604"/>
    <w:rsid w:val="0056329B"/>
    <w:rsid w:val="00563A74"/>
    <w:rsid w:val="00564491"/>
    <w:rsid w:val="005645C7"/>
    <w:rsid w:val="005661E1"/>
    <w:rsid w:val="005720EB"/>
    <w:rsid w:val="0057537D"/>
    <w:rsid w:val="00576A13"/>
    <w:rsid w:val="0057716E"/>
    <w:rsid w:val="00577B5B"/>
    <w:rsid w:val="00580A6C"/>
    <w:rsid w:val="0058206D"/>
    <w:rsid w:val="00582131"/>
    <w:rsid w:val="005830B5"/>
    <w:rsid w:val="005837E2"/>
    <w:rsid w:val="00583CD1"/>
    <w:rsid w:val="00584173"/>
    <w:rsid w:val="00585679"/>
    <w:rsid w:val="00585F60"/>
    <w:rsid w:val="005860D2"/>
    <w:rsid w:val="005903AC"/>
    <w:rsid w:val="00590885"/>
    <w:rsid w:val="00592A4A"/>
    <w:rsid w:val="00593408"/>
    <w:rsid w:val="00595E08"/>
    <w:rsid w:val="005974CD"/>
    <w:rsid w:val="005975FE"/>
    <w:rsid w:val="005A0972"/>
    <w:rsid w:val="005A151B"/>
    <w:rsid w:val="005A1F62"/>
    <w:rsid w:val="005A33EF"/>
    <w:rsid w:val="005A3564"/>
    <w:rsid w:val="005A5943"/>
    <w:rsid w:val="005A7644"/>
    <w:rsid w:val="005A7F69"/>
    <w:rsid w:val="005B05D5"/>
    <w:rsid w:val="005B169D"/>
    <w:rsid w:val="005B2A4D"/>
    <w:rsid w:val="005B3829"/>
    <w:rsid w:val="005B3BFB"/>
    <w:rsid w:val="005B5624"/>
    <w:rsid w:val="005C2958"/>
    <w:rsid w:val="005C2E96"/>
    <w:rsid w:val="005C3024"/>
    <w:rsid w:val="005C3A85"/>
    <w:rsid w:val="005C40D5"/>
    <w:rsid w:val="005C40E0"/>
    <w:rsid w:val="005C45D4"/>
    <w:rsid w:val="005C67DA"/>
    <w:rsid w:val="005C68CA"/>
    <w:rsid w:val="005D12DD"/>
    <w:rsid w:val="005D1DEB"/>
    <w:rsid w:val="005D2774"/>
    <w:rsid w:val="005D4C65"/>
    <w:rsid w:val="005D51C5"/>
    <w:rsid w:val="005D5D21"/>
    <w:rsid w:val="005E210F"/>
    <w:rsid w:val="005E2B24"/>
    <w:rsid w:val="005E3769"/>
    <w:rsid w:val="005E38D4"/>
    <w:rsid w:val="005E454D"/>
    <w:rsid w:val="005F1B2E"/>
    <w:rsid w:val="005F28ED"/>
    <w:rsid w:val="005F2CBF"/>
    <w:rsid w:val="005F4C88"/>
    <w:rsid w:val="005F5DC1"/>
    <w:rsid w:val="005F61C9"/>
    <w:rsid w:val="005F660B"/>
    <w:rsid w:val="005F685E"/>
    <w:rsid w:val="005F6F8C"/>
    <w:rsid w:val="005F7ADD"/>
    <w:rsid w:val="005F7FEA"/>
    <w:rsid w:val="00600670"/>
    <w:rsid w:val="00602C3A"/>
    <w:rsid w:val="006040FE"/>
    <w:rsid w:val="00604BAC"/>
    <w:rsid w:val="00606182"/>
    <w:rsid w:val="006063DC"/>
    <w:rsid w:val="00606433"/>
    <w:rsid w:val="006064A8"/>
    <w:rsid w:val="00606DD0"/>
    <w:rsid w:val="006075CC"/>
    <w:rsid w:val="00612482"/>
    <w:rsid w:val="006143B4"/>
    <w:rsid w:val="00615050"/>
    <w:rsid w:val="006167C8"/>
    <w:rsid w:val="00616DE6"/>
    <w:rsid w:val="00617029"/>
    <w:rsid w:val="00621B04"/>
    <w:rsid w:val="00621C26"/>
    <w:rsid w:val="00622372"/>
    <w:rsid w:val="00623153"/>
    <w:rsid w:val="00623E13"/>
    <w:rsid w:val="0062545D"/>
    <w:rsid w:val="00626475"/>
    <w:rsid w:val="00630293"/>
    <w:rsid w:val="0063150C"/>
    <w:rsid w:val="00631E16"/>
    <w:rsid w:val="00633177"/>
    <w:rsid w:val="00633E77"/>
    <w:rsid w:val="006340F4"/>
    <w:rsid w:val="0063644E"/>
    <w:rsid w:val="00636D6D"/>
    <w:rsid w:val="006371A1"/>
    <w:rsid w:val="006404FF"/>
    <w:rsid w:val="00641221"/>
    <w:rsid w:val="00647968"/>
    <w:rsid w:val="0065031C"/>
    <w:rsid w:val="006527B6"/>
    <w:rsid w:val="00653CC7"/>
    <w:rsid w:val="00657B2C"/>
    <w:rsid w:val="0066062F"/>
    <w:rsid w:val="00660B53"/>
    <w:rsid w:val="00660EED"/>
    <w:rsid w:val="0066178D"/>
    <w:rsid w:val="00661B45"/>
    <w:rsid w:val="0066273C"/>
    <w:rsid w:val="0066311B"/>
    <w:rsid w:val="00667291"/>
    <w:rsid w:val="00667360"/>
    <w:rsid w:val="00671099"/>
    <w:rsid w:val="00673242"/>
    <w:rsid w:val="0067358F"/>
    <w:rsid w:val="0067395C"/>
    <w:rsid w:val="00673F04"/>
    <w:rsid w:val="00674894"/>
    <w:rsid w:val="00675121"/>
    <w:rsid w:val="00676A52"/>
    <w:rsid w:val="00676A56"/>
    <w:rsid w:val="00676D77"/>
    <w:rsid w:val="00676F47"/>
    <w:rsid w:val="00681763"/>
    <w:rsid w:val="0068215C"/>
    <w:rsid w:val="0068230E"/>
    <w:rsid w:val="006877AE"/>
    <w:rsid w:val="006926D4"/>
    <w:rsid w:val="00693990"/>
    <w:rsid w:val="00694502"/>
    <w:rsid w:val="0069638B"/>
    <w:rsid w:val="00696AF1"/>
    <w:rsid w:val="0069799C"/>
    <w:rsid w:val="00697BA6"/>
    <w:rsid w:val="00697E5B"/>
    <w:rsid w:val="006A05FC"/>
    <w:rsid w:val="006A08AC"/>
    <w:rsid w:val="006A2735"/>
    <w:rsid w:val="006A465C"/>
    <w:rsid w:val="006A4FFC"/>
    <w:rsid w:val="006A5019"/>
    <w:rsid w:val="006A510F"/>
    <w:rsid w:val="006A56B3"/>
    <w:rsid w:val="006A6D7D"/>
    <w:rsid w:val="006A73F8"/>
    <w:rsid w:val="006B0BAB"/>
    <w:rsid w:val="006B0FCC"/>
    <w:rsid w:val="006B1180"/>
    <w:rsid w:val="006B2425"/>
    <w:rsid w:val="006B2483"/>
    <w:rsid w:val="006B4E3F"/>
    <w:rsid w:val="006B6D4A"/>
    <w:rsid w:val="006C070E"/>
    <w:rsid w:val="006C2620"/>
    <w:rsid w:val="006C2795"/>
    <w:rsid w:val="006C280E"/>
    <w:rsid w:val="006C3304"/>
    <w:rsid w:val="006C3548"/>
    <w:rsid w:val="006C3DB7"/>
    <w:rsid w:val="006C47E9"/>
    <w:rsid w:val="006C7956"/>
    <w:rsid w:val="006D03BB"/>
    <w:rsid w:val="006D108A"/>
    <w:rsid w:val="006D1272"/>
    <w:rsid w:val="006D176B"/>
    <w:rsid w:val="006D21FF"/>
    <w:rsid w:val="006D3662"/>
    <w:rsid w:val="006D680C"/>
    <w:rsid w:val="006D6937"/>
    <w:rsid w:val="006E1604"/>
    <w:rsid w:val="006E3076"/>
    <w:rsid w:val="006E353A"/>
    <w:rsid w:val="006E3BD4"/>
    <w:rsid w:val="006E4164"/>
    <w:rsid w:val="006E5B0A"/>
    <w:rsid w:val="006E5B31"/>
    <w:rsid w:val="006E7F57"/>
    <w:rsid w:val="006F0C3A"/>
    <w:rsid w:val="006F1CA7"/>
    <w:rsid w:val="006F265F"/>
    <w:rsid w:val="006F3FEB"/>
    <w:rsid w:val="006F4AC9"/>
    <w:rsid w:val="006F4AFC"/>
    <w:rsid w:val="006F730C"/>
    <w:rsid w:val="006F73F3"/>
    <w:rsid w:val="00700DDD"/>
    <w:rsid w:val="00701324"/>
    <w:rsid w:val="00702434"/>
    <w:rsid w:val="00702EB1"/>
    <w:rsid w:val="00702F11"/>
    <w:rsid w:val="00702F3A"/>
    <w:rsid w:val="007031B1"/>
    <w:rsid w:val="007043FD"/>
    <w:rsid w:val="00706624"/>
    <w:rsid w:val="00706965"/>
    <w:rsid w:val="00707247"/>
    <w:rsid w:val="00707736"/>
    <w:rsid w:val="00707D3E"/>
    <w:rsid w:val="00707ED3"/>
    <w:rsid w:val="007100D7"/>
    <w:rsid w:val="00711B96"/>
    <w:rsid w:val="00716DB7"/>
    <w:rsid w:val="00717340"/>
    <w:rsid w:val="007176C7"/>
    <w:rsid w:val="00717D68"/>
    <w:rsid w:val="00717F2E"/>
    <w:rsid w:val="007222A0"/>
    <w:rsid w:val="00723CA0"/>
    <w:rsid w:val="0073236D"/>
    <w:rsid w:val="007339E9"/>
    <w:rsid w:val="007341DD"/>
    <w:rsid w:val="00735339"/>
    <w:rsid w:val="00736A41"/>
    <w:rsid w:val="00736C3B"/>
    <w:rsid w:val="00736E44"/>
    <w:rsid w:val="00737D0F"/>
    <w:rsid w:val="00740A5E"/>
    <w:rsid w:val="00741BEF"/>
    <w:rsid w:val="00741E06"/>
    <w:rsid w:val="00742577"/>
    <w:rsid w:val="00742EE0"/>
    <w:rsid w:val="00746BC8"/>
    <w:rsid w:val="007524E2"/>
    <w:rsid w:val="00752D7E"/>
    <w:rsid w:val="0075488B"/>
    <w:rsid w:val="0075492E"/>
    <w:rsid w:val="00754D62"/>
    <w:rsid w:val="00756044"/>
    <w:rsid w:val="0075649A"/>
    <w:rsid w:val="00756E06"/>
    <w:rsid w:val="00756F9C"/>
    <w:rsid w:val="007577AC"/>
    <w:rsid w:val="007614D4"/>
    <w:rsid w:val="007615DA"/>
    <w:rsid w:val="00761AE1"/>
    <w:rsid w:val="00761C9D"/>
    <w:rsid w:val="00761DA6"/>
    <w:rsid w:val="00762199"/>
    <w:rsid w:val="00764A14"/>
    <w:rsid w:val="00764A19"/>
    <w:rsid w:val="007700B1"/>
    <w:rsid w:val="00770B61"/>
    <w:rsid w:val="007753AB"/>
    <w:rsid w:val="00775418"/>
    <w:rsid w:val="007772A7"/>
    <w:rsid w:val="00780B38"/>
    <w:rsid w:val="00781BFC"/>
    <w:rsid w:val="00781F52"/>
    <w:rsid w:val="007825D9"/>
    <w:rsid w:val="0078317B"/>
    <w:rsid w:val="007844E3"/>
    <w:rsid w:val="00784E4A"/>
    <w:rsid w:val="0078500B"/>
    <w:rsid w:val="00785B52"/>
    <w:rsid w:val="007862CE"/>
    <w:rsid w:val="00786BFF"/>
    <w:rsid w:val="00787AAF"/>
    <w:rsid w:val="00787CE7"/>
    <w:rsid w:val="007956BD"/>
    <w:rsid w:val="007958BA"/>
    <w:rsid w:val="007963EB"/>
    <w:rsid w:val="007A1493"/>
    <w:rsid w:val="007A2208"/>
    <w:rsid w:val="007A24A3"/>
    <w:rsid w:val="007A2D95"/>
    <w:rsid w:val="007A2E39"/>
    <w:rsid w:val="007A2E57"/>
    <w:rsid w:val="007A3435"/>
    <w:rsid w:val="007A3C53"/>
    <w:rsid w:val="007A4C2A"/>
    <w:rsid w:val="007A4FD7"/>
    <w:rsid w:val="007A5809"/>
    <w:rsid w:val="007A5E2C"/>
    <w:rsid w:val="007A6226"/>
    <w:rsid w:val="007A72C6"/>
    <w:rsid w:val="007B1192"/>
    <w:rsid w:val="007B1305"/>
    <w:rsid w:val="007B1E87"/>
    <w:rsid w:val="007B1F4A"/>
    <w:rsid w:val="007B389A"/>
    <w:rsid w:val="007B4D11"/>
    <w:rsid w:val="007B588B"/>
    <w:rsid w:val="007B6A9D"/>
    <w:rsid w:val="007B7216"/>
    <w:rsid w:val="007C07F0"/>
    <w:rsid w:val="007C289F"/>
    <w:rsid w:val="007C4ABF"/>
    <w:rsid w:val="007C6B92"/>
    <w:rsid w:val="007C7719"/>
    <w:rsid w:val="007D011C"/>
    <w:rsid w:val="007D03DC"/>
    <w:rsid w:val="007D14BB"/>
    <w:rsid w:val="007D1B56"/>
    <w:rsid w:val="007D2AD5"/>
    <w:rsid w:val="007D3BC7"/>
    <w:rsid w:val="007D4908"/>
    <w:rsid w:val="007D590C"/>
    <w:rsid w:val="007D6AE7"/>
    <w:rsid w:val="007D6CFB"/>
    <w:rsid w:val="007D6DC4"/>
    <w:rsid w:val="007D733E"/>
    <w:rsid w:val="007D7385"/>
    <w:rsid w:val="007E1607"/>
    <w:rsid w:val="007E45E9"/>
    <w:rsid w:val="007E4DAC"/>
    <w:rsid w:val="007E548A"/>
    <w:rsid w:val="007E574B"/>
    <w:rsid w:val="007E5750"/>
    <w:rsid w:val="007E647A"/>
    <w:rsid w:val="007E6923"/>
    <w:rsid w:val="007E7AE3"/>
    <w:rsid w:val="007F038C"/>
    <w:rsid w:val="007F07EE"/>
    <w:rsid w:val="007F199D"/>
    <w:rsid w:val="007F29EF"/>
    <w:rsid w:val="007F4E61"/>
    <w:rsid w:val="007F53BA"/>
    <w:rsid w:val="007F6E57"/>
    <w:rsid w:val="008014C1"/>
    <w:rsid w:val="0080183F"/>
    <w:rsid w:val="008018FC"/>
    <w:rsid w:val="008022D4"/>
    <w:rsid w:val="0080236C"/>
    <w:rsid w:val="0080264C"/>
    <w:rsid w:val="008059AC"/>
    <w:rsid w:val="008065F4"/>
    <w:rsid w:val="00807813"/>
    <w:rsid w:val="00811638"/>
    <w:rsid w:val="00814AE7"/>
    <w:rsid w:val="00815382"/>
    <w:rsid w:val="00821341"/>
    <w:rsid w:val="00821CDB"/>
    <w:rsid w:val="00822350"/>
    <w:rsid w:val="0082256E"/>
    <w:rsid w:val="00823AB7"/>
    <w:rsid w:val="008247FC"/>
    <w:rsid w:val="00825DCD"/>
    <w:rsid w:val="008264E6"/>
    <w:rsid w:val="00826E31"/>
    <w:rsid w:val="00826FCA"/>
    <w:rsid w:val="00830296"/>
    <w:rsid w:val="008321D0"/>
    <w:rsid w:val="00833B51"/>
    <w:rsid w:val="00837330"/>
    <w:rsid w:val="008400A2"/>
    <w:rsid w:val="008403EE"/>
    <w:rsid w:val="008405D8"/>
    <w:rsid w:val="00841251"/>
    <w:rsid w:val="00841793"/>
    <w:rsid w:val="008453D2"/>
    <w:rsid w:val="0084558B"/>
    <w:rsid w:val="00846B77"/>
    <w:rsid w:val="00847933"/>
    <w:rsid w:val="0085028F"/>
    <w:rsid w:val="00850CB8"/>
    <w:rsid w:val="00850F24"/>
    <w:rsid w:val="00852D7A"/>
    <w:rsid w:val="008540D9"/>
    <w:rsid w:val="00854CC7"/>
    <w:rsid w:val="00854FD1"/>
    <w:rsid w:val="00855090"/>
    <w:rsid w:val="00855B09"/>
    <w:rsid w:val="008574B0"/>
    <w:rsid w:val="00857D21"/>
    <w:rsid w:val="00860930"/>
    <w:rsid w:val="00865AD4"/>
    <w:rsid w:val="00865E7D"/>
    <w:rsid w:val="00866DBB"/>
    <w:rsid w:val="00871FB8"/>
    <w:rsid w:val="00872A9C"/>
    <w:rsid w:val="00872B5D"/>
    <w:rsid w:val="0087343A"/>
    <w:rsid w:val="0087383F"/>
    <w:rsid w:val="00874B54"/>
    <w:rsid w:val="00877591"/>
    <w:rsid w:val="00877769"/>
    <w:rsid w:val="00877B02"/>
    <w:rsid w:val="0088028B"/>
    <w:rsid w:val="008813AB"/>
    <w:rsid w:val="0088174A"/>
    <w:rsid w:val="00881F7F"/>
    <w:rsid w:val="00882E5C"/>
    <w:rsid w:val="00882FF8"/>
    <w:rsid w:val="008834EC"/>
    <w:rsid w:val="00884EED"/>
    <w:rsid w:val="0088698E"/>
    <w:rsid w:val="00886DA9"/>
    <w:rsid w:val="00890C4C"/>
    <w:rsid w:val="00893763"/>
    <w:rsid w:val="0089611E"/>
    <w:rsid w:val="00896C83"/>
    <w:rsid w:val="00897391"/>
    <w:rsid w:val="008A1353"/>
    <w:rsid w:val="008A180A"/>
    <w:rsid w:val="008A1953"/>
    <w:rsid w:val="008A705A"/>
    <w:rsid w:val="008B07B5"/>
    <w:rsid w:val="008B09D6"/>
    <w:rsid w:val="008B282D"/>
    <w:rsid w:val="008B2BAC"/>
    <w:rsid w:val="008B4482"/>
    <w:rsid w:val="008B4E7B"/>
    <w:rsid w:val="008B5ADA"/>
    <w:rsid w:val="008C0044"/>
    <w:rsid w:val="008C0887"/>
    <w:rsid w:val="008C16FA"/>
    <w:rsid w:val="008C24D8"/>
    <w:rsid w:val="008C2567"/>
    <w:rsid w:val="008C283D"/>
    <w:rsid w:val="008C39E1"/>
    <w:rsid w:val="008C42DA"/>
    <w:rsid w:val="008C566A"/>
    <w:rsid w:val="008C5D23"/>
    <w:rsid w:val="008C6E88"/>
    <w:rsid w:val="008C71E9"/>
    <w:rsid w:val="008C792F"/>
    <w:rsid w:val="008C7DD8"/>
    <w:rsid w:val="008D06E6"/>
    <w:rsid w:val="008D16DD"/>
    <w:rsid w:val="008D19C5"/>
    <w:rsid w:val="008D20EB"/>
    <w:rsid w:val="008D2ED2"/>
    <w:rsid w:val="008D4334"/>
    <w:rsid w:val="008D680C"/>
    <w:rsid w:val="008D68E4"/>
    <w:rsid w:val="008D6AB9"/>
    <w:rsid w:val="008D6FAB"/>
    <w:rsid w:val="008D7CA1"/>
    <w:rsid w:val="008E0151"/>
    <w:rsid w:val="008E1653"/>
    <w:rsid w:val="008E1F00"/>
    <w:rsid w:val="008E2336"/>
    <w:rsid w:val="008E3621"/>
    <w:rsid w:val="008E3B75"/>
    <w:rsid w:val="008E3E25"/>
    <w:rsid w:val="008E53DF"/>
    <w:rsid w:val="008E5735"/>
    <w:rsid w:val="008E6240"/>
    <w:rsid w:val="008E725C"/>
    <w:rsid w:val="008E7A30"/>
    <w:rsid w:val="008F10BA"/>
    <w:rsid w:val="008F1145"/>
    <w:rsid w:val="008F20DD"/>
    <w:rsid w:val="008F2984"/>
    <w:rsid w:val="008F2F38"/>
    <w:rsid w:val="008F4CD1"/>
    <w:rsid w:val="008F697F"/>
    <w:rsid w:val="008F77F2"/>
    <w:rsid w:val="008F7DA8"/>
    <w:rsid w:val="00900ECE"/>
    <w:rsid w:val="00901CA4"/>
    <w:rsid w:val="00905287"/>
    <w:rsid w:val="009059B9"/>
    <w:rsid w:val="009067B7"/>
    <w:rsid w:val="0091059E"/>
    <w:rsid w:val="00910B00"/>
    <w:rsid w:val="00912878"/>
    <w:rsid w:val="0091313F"/>
    <w:rsid w:val="009136A0"/>
    <w:rsid w:val="00913856"/>
    <w:rsid w:val="00914549"/>
    <w:rsid w:val="009147A0"/>
    <w:rsid w:val="009157C5"/>
    <w:rsid w:val="00916365"/>
    <w:rsid w:val="0091711A"/>
    <w:rsid w:val="00917F77"/>
    <w:rsid w:val="00920813"/>
    <w:rsid w:val="0092292E"/>
    <w:rsid w:val="00922D15"/>
    <w:rsid w:val="009233DF"/>
    <w:rsid w:val="00924CD3"/>
    <w:rsid w:val="009250ED"/>
    <w:rsid w:val="009258C7"/>
    <w:rsid w:val="009259C2"/>
    <w:rsid w:val="00926765"/>
    <w:rsid w:val="00931483"/>
    <w:rsid w:val="009315B2"/>
    <w:rsid w:val="00931AB6"/>
    <w:rsid w:val="0093204A"/>
    <w:rsid w:val="00932372"/>
    <w:rsid w:val="00932E4E"/>
    <w:rsid w:val="00933ACA"/>
    <w:rsid w:val="00933B54"/>
    <w:rsid w:val="00935598"/>
    <w:rsid w:val="0093623F"/>
    <w:rsid w:val="00937C89"/>
    <w:rsid w:val="009407DB"/>
    <w:rsid w:val="00940BA2"/>
    <w:rsid w:val="00941DFA"/>
    <w:rsid w:val="00942C13"/>
    <w:rsid w:val="00944C5E"/>
    <w:rsid w:val="009450CE"/>
    <w:rsid w:val="0094542E"/>
    <w:rsid w:val="0094551C"/>
    <w:rsid w:val="00947D99"/>
    <w:rsid w:val="009555B9"/>
    <w:rsid w:val="0095642D"/>
    <w:rsid w:val="00962492"/>
    <w:rsid w:val="009625E7"/>
    <w:rsid w:val="00964824"/>
    <w:rsid w:val="00964B48"/>
    <w:rsid w:val="0096578D"/>
    <w:rsid w:val="00970460"/>
    <w:rsid w:val="00970A65"/>
    <w:rsid w:val="0097108F"/>
    <w:rsid w:val="00971A81"/>
    <w:rsid w:val="00972C11"/>
    <w:rsid w:val="00972E2D"/>
    <w:rsid w:val="00974A6C"/>
    <w:rsid w:val="0097604A"/>
    <w:rsid w:val="00976376"/>
    <w:rsid w:val="009766F4"/>
    <w:rsid w:val="00976BF5"/>
    <w:rsid w:val="00976EC6"/>
    <w:rsid w:val="00977768"/>
    <w:rsid w:val="009804AB"/>
    <w:rsid w:val="009805AA"/>
    <w:rsid w:val="00981DCA"/>
    <w:rsid w:val="00981FE2"/>
    <w:rsid w:val="00982052"/>
    <w:rsid w:val="00982410"/>
    <w:rsid w:val="009826E8"/>
    <w:rsid w:val="00982B53"/>
    <w:rsid w:val="00983E4F"/>
    <w:rsid w:val="0098437F"/>
    <w:rsid w:val="009844F8"/>
    <w:rsid w:val="00986786"/>
    <w:rsid w:val="00994A4D"/>
    <w:rsid w:val="00995D54"/>
    <w:rsid w:val="00996E6D"/>
    <w:rsid w:val="009A0F7F"/>
    <w:rsid w:val="009A5344"/>
    <w:rsid w:val="009A5B76"/>
    <w:rsid w:val="009B11C3"/>
    <w:rsid w:val="009B2CA7"/>
    <w:rsid w:val="009B69E2"/>
    <w:rsid w:val="009B6B85"/>
    <w:rsid w:val="009B6CDF"/>
    <w:rsid w:val="009B6D8C"/>
    <w:rsid w:val="009B76DA"/>
    <w:rsid w:val="009C13E5"/>
    <w:rsid w:val="009C17F5"/>
    <w:rsid w:val="009C4062"/>
    <w:rsid w:val="009C40AE"/>
    <w:rsid w:val="009C5A71"/>
    <w:rsid w:val="009C73AF"/>
    <w:rsid w:val="009C73FF"/>
    <w:rsid w:val="009D0163"/>
    <w:rsid w:val="009D0E19"/>
    <w:rsid w:val="009D0EC1"/>
    <w:rsid w:val="009D15B1"/>
    <w:rsid w:val="009D1690"/>
    <w:rsid w:val="009D1F73"/>
    <w:rsid w:val="009D2073"/>
    <w:rsid w:val="009D3FB9"/>
    <w:rsid w:val="009D523A"/>
    <w:rsid w:val="009D58E7"/>
    <w:rsid w:val="009D6CA7"/>
    <w:rsid w:val="009E1E21"/>
    <w:rsid w:val="009E2852"/>
    <w:rsid w:val="009E358B"/>
    <w:rsid w:val="009E45E7"/>
    <w:rsid w:val="009E69BF"/>
    <w:rsid w:val="009E6C29"/>
    <w:rsid w:val="009E715C"/>
    <w:rsid w:val="009E756D"/>
    <w:rsid w:val="009E7A6C"/>
    <w:rsid w:val="009E7C89"/>
    <w:rsid w:val="009F11EC"/>
    <w:rsid w:val="009F33C2"/>
    <w:rsid w:val="009F3408"/>
    <w:rsid w:val="009F37A2"/>
    <w:rsid w:val="009F406B"/>
    <w:rsid w:val="009F45A2"/>
    <w:rsid w:val="009F6DCD"/>
    <w:rsid w:val="009F779E"/>
    <w:rsid w:val="00A00956"/>
    <w:rsid w:val="00A01047"/>
    <w:rsid w:val="00A011C4"/>
    <w:rsid w:val="00A0140E"/>
    <w:rsid w:val="00A03337"/>
    <w:rsid w:val="00A064A6"/>
    <w:rsid w:val="00A075BA"/>
    <w:rsid w:val="00A113D9"/>
    <w:rsid w:val="00A1140E"/>
    <w:rsid w:val="00A16D4C"/>
    <w:rsid w:val="00A21676"/>
    <w:rsid w:val="00A219A4"/>
    <w:rsid w:val="00A2291C"/>
    <w:rsid w:val="00A23043"/>
    <w:rsid w:val="00A241F4"/>
    <w:rsid w:val="00A25844"/>
    <w:rsid w:val="00A264B0"/>
    <w:rsid w:val="00A266FE"/>
    <w:rsid w:val="00A26E0C"/>
    <w:rsid w:val="00A270F8"/>
    <w:rsid w:val="00A30C7E"/>
    <w:rsid w:val="00A311C2"/>
    <w:rsid w:val="00A3120B"/>
    <w:rsid w:val="00A32DE1"/>
    <w:rsid w:val="00A343A5"/>
    <w:rsid w:val="00A36079"/>
    <w:rsid w:val="00A3715B"/>
    <w:rsid w:val="00A40FBE"/>
    <w:rsid w:val="00A43D07"/>
    <w:rsid w:val="00A4609D"/>
    <w:rsid w:val="00A469D3"/>
    <w:rsid w:val="00A4720B"/>
    <w:rsid w:val="00A53513"/>
    <w:rsid w:val="00A53BDA"/>
    <w:rsid w:val="00A55C33"/>
    <w:rsid w:val="00A569DC"/>
    <w:rsid w:val="00A56D86"/>
    <w:rsid w:val="00A60379"/>
    <w:rsid w:val="00A606CF"/>
    <w:rsid w:val="00A60ABF"/>
    <w:rsid w:val="00A61DCB"/>
    <w:rsid w:val="00A627E2"/>
    <w:rsid w:val="00A6597B"/>
    <w:rsid w:val="00A66197"/>
    <w:rsid w:val="00A66515"/>
    <w:rsid w:val="00A66A4E"/>
    <w:rsid w:val="00A67819"/>
    <w:rsid w:val="00A70031"/>
    <w:rsid w:val="00A7074C"/>
    <w:rsid w:val="00A70EF5"/>
    <w:rsid w:val="00A710B6"/>
    <w:rsid w:val="00A737CC"/>
    <w:rsid w:val="00A74AFC"/>
    <w:rsid w:val="00A7520C"/>
    <w:rsid w:val="00A76427"/>
    <w:rsid w:val="00A76C3D"/>
    <w:rsid w:val="00A817FE"/>
    <w:rsid w:val="00A81E86"/>
    <w:rsid w:val="00A82E80"/>
    <w:rsid w:val="00A83EF6"/>
    <w:rsid w:val="00A8684E"/>
    <w:rsid w:val="00A87A24"/>
    <w:rsid w:val="00A900BC"/>
    <w:rsid w:val="00A92089"/>
    <w:rsid w:val="00A920A2"/>
    <w:rsid w:val="00A929AC"/>
    <w:rsid w:val="00A92BE2"/>
    <w:rsid w:val="00A9439E"/>
    <w:rsid w:val="00A960CD"/>
    <w:rsid w:val="00A96CD2"/>
    <w:rsid w:val="00A978E7"/>
    <w:rsid w:val="00AA1231"/>
    <w:rsid w:val="00AA174B"/>
    <w:rsid w:val="00AA47AB"/>
    <w:rsid w:val="00AA4A33"/>
    <w:rsid w:val="00AA4CDC"/>
    <w:rsid w:val="00AA508C"/>
    <w:rsid w:val="00AA542D"/>
    <w:rsid w:val="00AA74BF"/>
    <w:rsid w:val="00AA795E"/>
    <w:rsid w:val="00AB0AD8"/>
    <w:rsid w:val="00AB11A2"/>
    <w:rsid w:val="00AB1412"/>
    <w:rsid w:val="00AB34B8"/>
    <w:rsid w:val="00AB3A45"/>
    <w:rsid w:val="00AB496C"/>
    <w:rsid w:val="00AB594F"/>
    <w:rsid w:val="00AB6706"/>
    <w:rsid w:val="00AB7AB9"/>
    <w:rsid w:val="00AB7B54"/>
    <w:rsid w:val="00AB7DAD"/>
    <w:rsid w:val="00AC0600"/>
    <w:rsid w:val="00AC0CA5"/>
    <w:rsid w:val="00AC1D7D"/>
    <w:rsid w:val="00AC33C8"/>
    <w:rsid w:val="00AC3ABB"/>
    <w:rsid w:val="00AC4A73"/>
    <w:rsid w:val="00AC4FFB"/>
    <w:rsid w:val="00AC603E"/>
    <w:rsid w:val="00AC6541"/>
    <w:rsid w:val="00AD11FC"/>
    <w:rsid w:val="00AD175F"/>
    <w:rsid w:val="00AD2206"/>
    <w:rsid w:val="00AD2277"/>
    <w:rsid w:val="00AD23FE"/>
    <w:rsid w:val="00AD24F3"/>
    <w:rsid w:val="00AD2E6C"/>
    <w:rsid w:val="00AD3676"/>
    <w:rsid w:val="00AD5974"/>
    <w:rsid w:val="00AD623A"/>
    <w:rsid w:val="00AD6881"/>
    <w:rsid w:val="00AD7341"/>
    <w:rsid w:val="00AE0F25"/>
    <w:rsid w:val="00AE2270"/>
    <w:rsid w:val="00AE39D2"/>
    <w:rsid w:val="00AE3DBB"/>
    <w:rsid w:val="00AE4A04"/>
    <w:rsid w:val="00AF0545"/>
    <w:rsid w:val="00AF06CD"/>
    <w:rsid w:val="00AF0C7F"/>
    <w:rsid w:val="00AF3F7F"/>
    <w:rsid w:val="00AF5F20"/>
    <w:rsid w:val="00AF5F69"/>
    <w:rsid w:val="00AF7247"/>
    <w:rsid w:val="00B000BE"/>
    <w:rsid w:val="00B01117"/>
    <w:rsid w:val="00B01CB5"/>
    <w:rsid w:val="00B0223D"/>
    <w:rsid w:val="00B023D9"/>
    <w:rsid w:val="00B02C9E"/>
    <w:rsid w:val="00B03384"/>
    <w:rsid w:val="00B042A9"/>
    <w:rsid w:val="00B04DDB"/>
    <w:rsid w:val="00B04F80"/>
    <w:rsid w:val="00B06D91"/>
    <w:rsid w:val="00B11994"/>
    <w:rsid w:val="00B11C13"/>
    <w:rsid w:val="00B11F80"/>
    <w:rsid w:val="00B15E9D"/>
    <w:rsid w:val="00B176FD"/>
    <w:rsid w:val="00B1779B"/>
    <w:rsid w:val="00B20A04"/>
    <w:rsid w:val="00B20BB5"/>
    <w:rsid w:val="00B20C9E"/>
    <w:rsid w:val="00B21E40"/>
    <w:rsid w:val="00B22654"/>
    <w:rsid w:val="00B24080"/>
    <w:rsid w:val="00B24C5A"/>
    <w:rsid w:val="00B261C0"/>
    <w:rsid w:val="00B30099"/>
    <w:rsid w:val="00B307E7"/>
    <w:rsid w:val="00B30F06"/>
    <w:rsid w:val="00B31391"/>
    <w:rsid w:val="00B324C5"/>
    <w:rsid w:val="00B331F4"/>
    <w:rsid w:val="00B33BD4"/>
    <w:rsid w:val="00B346FB"/>
    <w:rsid w:val="00B35786"/>
    <w:rsid w:val="00B36473"/>
    <w:rsid w:val="00B37146"/>
    <w:rsid w:val="00B37460"/>
    <w:rsid w:val="00B40421"/>
    <w:rsid w:val="00B40B48"/>
    <w:rsid w:val="00B42423"/>
    <w:rsid w:val="00B4362A"/>
    <w:rsid w:val="00B45465"/>
    <w:rsid w:val="00B45B86"/>
    <w:rsid w:val="00B518EB"/>
    <w:rsid w:val="00B57DCF"/>
    <w:rsid w:val="00B6037C"/>
    <w:rsid w:val="00B60EB7"/>
    <w:rsid w:val="00B67A6B"/>
    <w:rsid w:val="00B701DB"/>
    <w:rsid w:val="00B72C2C"/>
    <w:rsid w:val="00B73453"/>
    <w:rsid w:val="00B73D4C"/>
    <w:rsid w:val="00B75DB5"/>
    <w:rsid w:val="00B764A8"/>
    <w:rsid w:val="00B769E6"/>
    <w:rsid w:val="00B777C2"/>
    <w:rsid w:val="00B80400"/>
    <w:rsid w:val="00B83B64"/>
    <w:rsid w:val="00B857F7"/>
    <w:rsid w:val="00B86797"/>
    <w:rsid w:val="00B86E7E"/>
    <w:rsid w:val="00B87C11"/>
    <w:rsid w:val="00B9069A"/>
    <w:rsid w:val="00B90E1D"/>
    <w:rsid w:val="00B91A53"/>
    <w:rsid w:val="00B9456E"/>
    <w:rsid w:val="00B949A7"/>
    <w:rsid w:val="00B96762"/>
    <w:rsid w:val="00B9707A"/>
    <w:rsid w:val="00B973C9"/>
    <w:rsid w:val="00B976B6"/>
    <w:rsid w:val="00BA0005"/>
    <w:rsid w:val="00BA0343"/>
    <w:rsid w:val="00BA0DDD"/>
    <w:rsid w:val="00BA0EA8"/>
    <w:rsid w:val="00BA36B1"/>
    <w:rsid w:val="00BA48EF"/>
    <w:rsid w:val="00BA512D"/>
    <w:rsid w:val="00BA55EE"/>
    <w:rsid w:val="00BA79D9"/>
    <w:rsid w:val="00BB000E"/>
    <w:rsid w:val="00BB076D"/>
    <w:rsid w:val="00BB20D8"/>
    <w:rsid w:val="00BB218E"/>
    <w:rsid w:val="00BB29D2"/>
    <w:rsid w:val="00BB4F8E"/>
    <w:rsid w:val="00BB5573"/>
    <w:rsid w:val="00BB5649"/>
    <w:rsid w:val="00BB74AC"/>
    <w:rsid w:val="00BB755E"/>
    <w:rsid w:val="00BC2562"/>
    <w:rsid w:val="00BC334C"/>
    <w:rsid w:val="00BC3468"/>
    <w:rsid w:val="00BC5EAE"/>
    <w:rsid w:val="00BC6FCF"/>
    <w:rsid w:val="00BD086A"/>
    <w:rsid w:val="00BD0932"/>
    <w:rsid w:val="00BD3131"/>
    <w:rsid w:val="00BD33C2"/>
    <w:rsid w:val="00BD411C"/>
    <w:rsid w:val="00BE18A5"/>
    <w:rsid w:val="00BE266D"/>
    <w:rsid w:val="00BE33C8"/>
    <w:rsid w:val="00BE3C51"/>
    <w:rsid w:val="00BE6894"/>
    <w:rsid w:val="00BF1C05"/>
    <w:rsid w:val="00BF1CE7"/>
    <w:rsid w:val="00BF39D4"/>
    <w:rsid w:val="00BF3F82"/>
    <w:rsid w:val="00BF5B09"/>
    <w:rsid w:val="00BF61B7"/>
    <w:rsid w:val="00BF7326"/>
    <w:rsid w:val="00BF743F"/>
    <w:rsid w:val="00C00AB5"/>
    <w:rsid w:val="00C01B00"/>
    <w:rsid w:val="00C02295"/>
    <w:rsid w:val="00C03960"/>
    <w:rsid w:val="00C03BFC"/>
    <w:rsid w:val="00C046EB"/>
    <w:rsid w:val="00C06296"/>
    <w:rsid w:val="00C1188F"/>
    <w:rsid w:val="00C138B9"/>
    <w:rsid w:val="00C13D89"/>
    <w:rsid w:val="00C14871"/>
    <w:rsid w:val="00C15996"/>
    <w:rsid w:val="00C20291"/>
    <w:rsid w:val="00C2151E"/>
    <w:rsid w:val="00C22C89"/>
    <w:rsid w:val="00C234EF"/>
    <w:rsid w:val="00C23DAE"/>
    <w:rsid w:val="00C247F2"/>
    <w:rsid w:val="00C258FB"/>
    <w:rsid w:val="00C277EA"/>
    <w:rsid w:val="00C2798C"/>
    <w:rsid w:val="00C27EB8"/>
    <w:rsid w:val="00C301BD"/>
    <w:rsid w:val="00C307BC"/>
    <w:rsid w:val="00C31C3F"/>
    <w:rsid w:val="00C33076"/>
    <w:rsid w:val="00C4142C"/>
    <w:rsid w:val="00C4179C"/>
    <w:rsid w:val="00C42406"/>
    <w:rsid w:val="00C42903"/>
    <w:rsid w:val="00C42F6B"/>
    <w:rsid w:val="00C4377E"/>
    <w:rsid w:val="00C44D41"/>
    <w:rsid w:val="00C453DB"/>
    <w:rsid w:val="00C45A45"/>
    <w:rsid w:val="00C45D90"/>
    <w:rsid w:val="00C46DC5"/>
    <w:rsid w:val="00C47A9D"/>
    <w:rsid w:val="00C50508"/>
    <w:rsid w:val="00C51094"/>
    <w:rsid w:val="00C536C6"/>
    <w:rsid w:val="00C55D6A"/>
    <w:rsid w:val="00C5662D"/>
    <w:rsid w:val="00C575DD"/>
    <w:rsid w:val="00C576E2"/>
    <w:rsid w:val="00C6037F"/>
    <w:rsid w:val="00C614CF"/>
    <w:rsid w:val="00C622A4"/>
    <w:rsid w:val="00C62485"/>
    <w:rsid w:val="00C62874"/>
    <w:rsid w:val="00C62A6D"/>
    <w:rsid w:val="00C63544"/>
    <w:rsid w:val="00C6450B"/>
    <w:rsid w:val="00C65EDD"/>
    <w:rsid w:val="00C70841"/>
    <w:rsid w:val="00C73AC7"/>
    <w:rsid w:val="00C7478C"/>
    <w:rsid w:val="00C7488A"/>
    <w:rsid w:val="00C749D7"/>
    <w:rsid w:val="00C75AE9"/>
    <w:rsid w:val="00C77B51"/>
    <w:rsid w:val="00C77BC7"/>
    <w:rsid w:val="00C80948"/>
    <w:rsid w:val="00C81C15"/>
    <w:rsid w:val="00C81CE4"/>
    <w:rsid w:val="00C83353"/>
    <w:rsid w:val="00C8360D"/>
    <w:rsid w:val="00C84DB0"/>
    <w:rsid w:val="00C85196"/>
    <w:rsid w:val="00C8610B"/>
    <w:rsid w:val="00C86E93"/>
    <w:rsid w:val="00C90FA2"/>
    <w:rsid w:val="00C91085"/>
    <w:rsid w:val="00C918E3"/>
    <w:rsid w:val="00C91F43"/>
    <w:rsid w:val="00C9366F"/>
    <w:rsid w:val="00C93AA6"/>
    <w:rsid w:val="00C943E4"/>
    <w:rsid w:val="00C94B60"/>
    <w:rsid w:val="00C95148"/>
    <w:rsid w:val="00C971DE"/>
    <w:rsid w:val="00C97866"/>
    <w:rsid w:val="00C979AC"/>
    <w:rsid w:val="00CA1FFC"/>
    <w:rsid w:val="00CA6471"/>
    <w:rsid w:val="00CA73BC"/>
    <w:rsid w:val="00CA7F45"/>
    <w:rsid w:val="00CB0699"/>
    <w:rsid w:val="00CB06C3"/>
    <w:rsid w:val="00CB14FC"/>
    <w:rsid w:val="00CB1511"/>
    <w:rsid w:val="00CB1CB6"/>
    <w:rsid w:val="00CB3552"/>
    <w:rsid w:val="00CB357F"/>
    <w:rsid w:val="00CB3F7D"/>
    <w:rsid w:val="00CB4AFD"/>
    <w:rsid w:val="00CB5665"/>
    <w:rsid w:val="00CB77C1"/>
    <w:rsid w:val="00CB7EB1"/>
    <w:rsid w:val="00CC0A19"/>
    <w:rsid w:val="00CC1B89"/>
    <w:rsid w:val="00CC2B56"/>
    <w:rsid w:val="00CC39E5"/>
    <w:rsid w:val="00CC43CF"/>
    <w:rsid w:val="00CC6431"/>
    <w:rsid w:val="00CC6DFD"/>
    <w:rsid w:val="00CD0D49"/>
    <w:rsid w:val="00CD148B"/>
    <w:rsid w:val="00CD30C4"/>
    <w:rsid w:val="00CD3139"/>
    <w:rsid w:val="00CD46C9"/>
    <w:rsid w:val="00CD6C12"/>
    <w:rsid w:val="00CE2B09"/>
    <w:rsid w:val="00CE347E"/>
    <w:rsid w:val="00CE55BF"/>
    <w:rsid w:val="00CE6021"/>
    <w:rsid w:val="00CE614C"/>
    <w:rsid w:val="00CF29B0"/>
    <w:rsid w:val="00CF429F"/>
    <w:rsid w:val="00CF6E72"/>
    <w:rsid w:val="00CF75EC"/>
    <w:rsid w:val="00CF773F"/>
    <w:rsid w:val="00CF7764"/>
    <w:rsid w:val="00CF7C68"/>
    <w:rsid w:val="00D01A9F"/>
    <w:rsid w:val="00D01C45"/>
    <w:rsid w:val="00D039F9"/>
    <w:rsid w:val="00D04793"/>
    <w:rsid w:val="00D04B5A"/>
    <w:rsid w:val="00D04C9B"/>
    <w:rsid w:val="00D05BD4"/>
    <w:rsid w:val="00D13007"/>
    <w:rsid w:val="00D13A18"/>
    <w:rsid w:val="00D154AE"/>
    <w:rsid w:val="00D15E8A"/>
    <w:rsid w:val="00D16EFB"/>
    <w:rsid w:val="00D170E4"/>
    <w:rsid w:val="00D17B3E"/>
    <w:rsid w:val="00D17BAD"/>
    <w:rsid w:val="00D206F1"/>
    <w:rsid w:val="00D23710"/>
    <w:rsid w:val="00D27BAA"/>
    <w:rsid w:val="00D3011C"/>
    <w:rsid w:val="00D31B85"/>
    <w:rsid w:val="00D3206B"/>
    <w:rsid w:val="00D32578"/>
    <w:rsid w:val="00D3261E"/>
    <w:rsid w:val="00D32D01"/>
    <w:rsid w:val="00D3411D"/>
    <w:rsid w:val="00D35FA2"/>
    <w:rsid w:val="00D368AB"/>
    <w:rsid w:val="00D36A2A"/>
    <w:rsid w:val="00D426AD"/>
    <w:rsid w:val="00D44594"/>
    <w:rsid w:val="00D44A26"/>
    <w:rsid w:val="00D46CC5"/>
    <w:rsid w:val="00D4714D"/>
    <w:rsid w:val="00D50DC3"/>
    <w:rsid w:val="00D52838"/>
    <w:rsid w:val="00D53EAC"/>
    <w:rsid w:val="00D541E7"/>
    <w:rsid w:val="00D542FC"/>
    <w:rsid w:val="00D56A5B"/>
    <w:rsid w:val="00D62244"/>
    <w:rsid w:val="00D65F13"/>
    <w:rsid w:val="00D67945"/>
    <w:rsid w:val="00D70AED"/>
    <w:rsid w:val="00D71B98"/>
    <w:rsid w:val="00D7273E"/>
    <w:rsid w:val="00D81553"/>
    <w:rsid w:val="00D81BF8"/>
    <w:rsid w:val="00D844CE"/>
    <w:rsid w:val="00D849EE"/>
    <w:rsid w:val="00D854D7"/>
    <w:rsid w:val="00D864BC"/>
    <w:rsid w:val="00D8659F"/>
    <w:rsid w:val="00D86D8F"/>
    <w:rsid w:val="00D87BE4"/>
    <w:rsid w:val="00D90D56"/>
    <w:rsid w:val="00D90E65"/>
    <w:rsid w:val="00D9439C"/>
    <w:rsid w:val="00D943E8"/>
    <w:rsid w:val="00D94D58"/>
    <w:rsid w:val="00D97DFF"/>
    <w:rsid w:val="00DA37FA"/>
    <w:rsid w:val="00DA4430"/>
    <w:rsid w:val="00DA4E74"/>
    <w:rsid w:val="00DA50D4"/>
    <w:rsid w:val="00DB0447"/>
    <w:rsid w:val="00DB0CFD"/>
    <w:rsid w:val="00DB2324"/>
    <w:rsid w:val="00DB5406"/>
    <w:rsid w:val="00DB7515"/>
    <w:rsid w:val="00DC02C5"/>
    <w:rsid w:val="00DC0518"/>
    <w:rsid w:val="00DC135E"/>
    <w:rsid w:val="00DC1F96"/>
    <w:rsid w:val="00DC2044"/>
    <w:rsid w:val="00DC2B60"/>
    <w:rsid w:val="00DC4A62"/>
    <w:rsid w:val="00DC5669"/>
    <w:rsid w:val="00DC57DB"/>
    <w:rsid w:val="00DC6137"/>
    <w:rsid w:val="00DC7273"/>
    <w:rsid w:val="00DD2ADB"/>
    <w:rsid w:val="00DD3F71"/>
    <w:rsid w:val="00DD41AB"/>
    <w:rsid w:val="00DD4692"/>
    <w:rsid w:val="00DD48A6"/>
    <w:rsid w:val="00DD6E6A"/>
    <w:rsid w:val="00DD7A5B"/>
    <w:rsid w:val="00DE061D"/>
    <w:rsid w:val="00DE222B"/>
    <w:rsid w:val="00DE33E4"/>
    <w:rsid w:val="00DE38D3"/>
    <w:rsid w:val="00DE3C94"/>
    <w:rsid w:val="00DE4BDB"/>
    <w:rsid w:val="00DE4E1B"/>
    <w:rsid w:val="00DE4FC5"/>
    <w:rsid w:val="00DE567D"/>
    <w:rsid w:val="00DE7D81"/>
    <w:rsid w:val="00DF3111"/>
    <w:rsid w:val="00DF427E"/>
    <w:rsid w:val="00DF4330"/>
    <w:rsid w:val="00DF4F75"/>
    <w:rsid w:val="00DF683E"/>
    <w:rsid w:val="00DF7006"/>
    <w:rsid w:val="00DF7C12"/>
    <w:rsid w:val="00E00692"/>
    <w:rsid w:val="00E019A0"/>
    <w:rsid w:val="00E03DB4"/>
    <w:rsid w:val="00E04F0C"/>
    <w:rsid w:val="00E06181"/>
    <w:rsid w:val="00E069CA"/>
    <w:rsid w:val="00E073F0"/>
    <w:rsid w:val="00E141D5"/>
    <w:rsid w:val="00E15461"/>
    <w:rsid w:val="00E154BF"/>
    <w:rsid w:val="00E15AD4"/>
    <w:rsid w:val="00E15B35"/>
    <w:rsid w:val="00E16443"/>
    <w:rsid w:val="00E175AA"/>
    <w:rsid w:val="00E202FA"/>
    <w:rsid w:val="00E218CA"/>
    <w:rsid w:val="00E229D4"/>
    <w:rsid w:val="00E23370"/>
    <w:rsid w:val="00E2454A"/>
    <w:rsid w:val="00E2458E"/>
    <w:rsid w:val="00E24E2A"/>
    <w:rsid w:val="00E253D5"/>
    <w:rsid w:val="00E25645"/>
    <w:rsid w:val="00E2586D"/>
    <w:rsid w:val="00E2688F"/>
    <w:rsid w:val="00E30181"/>
    <w:rsid w:val="00E31C5E"/>
    <w:rsid w:val="00E3272B"/>
    <w:rsid w:val="00E35B5F"/>
    <w:rsid w:val="00E373CB"/>
    <w:rsid w:val="00E37703"/>
    <w:rsid w:val="00E4054A"/>
    <w:rsid w:val="00E4096D"/>
    <w:rsid w:val="00E41FF2"/>
    <w:rsid w:val="00E42570"/>
    <w:rsid w:val="00E440CA"/>
    <w:rsid w:val="00E4482D"/>
    <w:rsid w:val="00E45507"/>
    <w:rsid w:val="00E45E37"/>
    <w:rsid w:val="00E463A9"/>
    <w:rsid w:val="00E47E05"/>
    <w:rsid w:val="00E50C9B"/>
    <w:rsid w:val="00E54502"/>
    <w:rsid w:val="00E55240"/>
    <w:rsid w:val="00E56206"/>
    <w:rsid w:val="00E568AC"/>
    <w:rsid w:val="00E57389"/>
    <w:rsid w:val="00E57A14"/>
    <w:rsid w:val="00E6044B"/>
    <w:rsid w:val="00E60CFC"/>
    <w:rsid w:val="00E60F29"/>
    <w:rsid w:val="00E6337E"/>
    <w:rsid w:val="00E64671"/>
    <w:rsid w:val="00E6553F"/>
    <w:rsid w:val="00E655FB"/>
    <w:rsid w:val="00E673F0"/>
    <w:rsid w:val="00E67AF8"/>
    <w:rsid w:val="00E67AF9"/>
    <w:rsid w:val="00E703A0"/>
    <w:rsid w:val="00E7186C"/>
    <w:rsid w:val="00E71EDC"/>
    <w:rsid w:val="00E73740"/>
    <w:rsid w:val="00E742E4"/>
    <w:rsid w:val="00E7521E"/>
    <w:rsid w:val="00E758D9"/>
    <w:rsid w:val="00E768C0"/>
    <w:rsid w:val="00E77099"/>
    <w:rsid w:val="00E77EEF"/>
    <w:rsid w:val="00E81DAA"/>
    <w:rsid w:val="00E8252B"/>
    <w:rsid w:val="00E836F5"/>
    <w:rsid w:val="00E8462E"/>
    <w:rsid w:val="00E85F06"/>
    <w:rsid w:val="00E86E56"/>
    <w:rsid w:val="00E87384"/>
    <w:rsid w:val="00E877DB"/>
    <w:rsid w:val="00E909AE"/>
    <w:rsid w:val="00E92A51"/>
    <w:rsid w:val="00E95490"/>
    <w:rsid w:val="00E96703"/>
    <w:rsid w:val="00E967FF"/>
    <w:rsid w:val="00E96B7C"/>
    <w:rsid w:val="00E96DB1"/>
    <w:rsid w:val="00E97525"/>
    <w:rsid w:val="00E97688"/>
    <w:rsid w:val="00E976C8"/>
    <w:rsid w:val="00EA01C9"/>
    <w:rsid w:val="00EA0518"/>
    <w:rsid w:val="00EA2F43"/>
    <w:rsid w:val="00EA54B3"/>
    <w:rsid w:val="00EA57F4"/>
    <w:rsid w:val="00EA6620"/>
    <w:rsid w:val="00EA6D88"/>
    <w:rsid w:val="00EA7592"/>
    <w:rsid w:val="00EA7900"/>
    <w:rsid w:val="00EB05BB"/>
    <w:rsid w:val="00EB159F"/>
    <w:rsid w:val="00EB175C"/>
    <w:rsid w:val="00EB3219"/>
    <w:rsid w:val="00EB3281"/>
    <w:rsid w:val="00EB5038"/>
    <w:rsid w:val="00EB650C"/>
    <w:rsid w:val="00EB78D9"/>
    <w:rsid w:val="00EB7A57"/>
    <w:rsid w:val="00EB7B14"/>
    <w:rsid w:val="00EC0203"/>
    <w:rsid w:val="00EC03C7"/>
    <w:rsid w:val="00EC1999"/>
    <w:rsid w:val="00EC2325"/>
    <w:rsid w:val="00EC3C5B"/>
    <w:rsid w:val="00EC4A25"/>
    <w:rsid w:val="00EC4A72"/>
    <w:rsid w:val="00ED0F98"/>
    <w:rsid w:val="00ED1069"/>
    <w:rsid w:val="00ED2759"/>
    <w:rsid w:val="00ED3D50"/>
    <w:rsid w:val="00EE11F8"/>
    <w:rsid w:val="00EE33B1"/>
    <w:rsid w:val="00EE3C1D"/>
    <w:rsid w:val="00EE500D"/>
    <w:rsid w:val="00EF003C"/>
    <w:rsid w:val="00EF14AC"/>
    <w:rsid w:val="00EF1B7C"/>
    <w:rsid w:val="00EF2082"/>
    <w:rsid w:val="00EF3159"/>
    <w:rsid w:val="00EF47A9"/>
    <w:rsid w:val="00EF68F1"/>
    <w:rsid w:val="00EF6B9D"/>
    <w:rsid w:val="00EF7305"/>
    <w:rsid w:val="00EF7927"/>
    <w:rsid w:val="00EF7CF1"/>
    <w:rsid w:val="00F01108"/>
    <w:rsid w:val="00F01C78"/>
    <w:rsid w:val="00F020B7"/>
    <w:rsid w:val="00F0244F"/>
    <w:rsid w:val="00F03584"/>
    <w:rsid w:val="00F04524"/>
    <w:rsid w:val="00F047C2"/>
    <w:rsid w:val="00F0490D"/>
    <w:rsid w:val="00F05389"/>
    <w:rsid w:val="00F061D1"/>
    <w:rsid w:val="00F06E96"/>
    <w:rsid w:val="00F07599"/>
    <w:rsid w:val="00F1029B"/>
    <w:rsid w:val="00F12333"/>
    <w:rsid w:val="00F14FDC"/>
    <w:rsid w:val="00F15D21"/>
    <w:rsid w:val="00F16715"/>
    <w:rsid w:val="00F16AEA"/>
    <w:rsid w:val="00F17FBE"/>
    <w:rsid w:val="00F20CD6"/>
    <w:rsid w:val="00F220AC"/>
    <w:rsid w:val="00F22472"/>
    <w:rsid w:val="00F22AC1"/>
    <w:rsid w:val="00F2315C"/>
    <w:rsid w:val="00F26379"/>
    <w:rsid w:val="00F2675A"/>
    <w:rsid w:val="00F26794"/>
    <w:rsid w:val="00F318E2"/>
    <w:rsid w:val="00F318F6"/>
    <w:rsid w:val="00F326A0"/>
    <w:rsid w:val="00F32E2C"/>
    <w:rsid w:val="00F34A02"/>
    <w:rsid w:val="00F3608B"/>
    <w:rsid w:val="00F36BC9"/>
    <w:rsid w:val="00F409AD"/>
    <w:rsid w:val="00F40A7A"/>
    <w:rsid w:val="00F42935"/>
    <w:rsid w:val="00F42D3E"/>
    <w:rsid w:val="00F433E1"/>
    <w:rsid w:val="00F434EB"/>
    <w:rsid w:val="00F43593"/>
    <w:rsid w:val="00F43776"/>
    <w:rsid w:val="00F44272"/>
    <w:rsid w:val="00F449A4"/>
    <w:rsid w:val="00F45463"/>
    <w:rsid w:val="00F47E15"/>
    <w:rsid w:val="00F532C1"/>
    <w:rsid w:val="00F553C3"/>
    <w:rsid w:val="00F567E2"/>
    <w:rsid w:val="00F56F65"/>
    <w:rsid w:val="00F6063A"/>
    <w:rsid w:val="00F60738"/>
    <w:rsid w:val="00F60B3E"/>
    <w:rsid w:val="00F61242"/>
    <w:rsid w:val="00F6274E"/>
    <w:rsid w:val="00F63B73"/>
    <w:rsid w:val="00F643DB"/>
    <w:rsid w:val="00F64AE8"/>
    <w:rsid w:val="00F64B49"/>
    <w:rsid w:val="00F64D77"/>
    <w:rsid w:val="00F66089"/>
    <w:rsid w:val="00F663F2"/>
    <w:rsid w:val="00F70118"/>
    <w:rsid w:val="00F707EE"/>
    <w:rsid w:val="00F746C3"/>
    <w:rsid w:val="00F7533F"/>
    <w:rsid w:val="00F756FE"/>
    <w:rsid w:val="00F7609A"/>
    <w:rsid w:val="00F770B2"/>
    <w:rsid w:val="00F80A85"/>
    <w:rsid w:val="00F81C42"/>
    <w:rsid w:val="00F81E0F"/>
    <w:rsid w:val="00F841C9"/>
    <w:rsid w:val="00F85145"/>
    <w:rsid w:val="00F85583"/>
    <w:rsid w:val="00F878AA"/>
    <w:rsid w:val="00F90357"/>
    <w:rsid w:val="00F9059A"/>
    <w:rsid w:val="00F91533"/>
    <w:rsid w:val="00F92064"/>
    <w:rsid w:val="00F9218C"/>
    <w:rsid w:val="00F93A13"/>
    <w:rsid w:val="00F93C21"/>
    <w:rsid w:val="00F957AF"/>
    <w:rsid w:val="00FA03B3"/>
    <w:rsid w:val="00FA18D4"/>
    <w:rsid w:val="00FA1BE3"/>
    <w:rsid w:val="00FA2EF3"/>
    <w:rsid w:val="00FA334E"/>
    <w:rsid w:val="00FA4E88"/>
    <w:rsid w:val="00FA4FA9"/>
    <w:rsid w:val="00FA6210"/>
    <w:rsid w:val="00FA672C"/>
    <w:rsid w:val="00FA702F"/>
    <w:rsid w:val="00FA73CD"/>
    <w:rsid w:val="00FA7514"/>
    <w:rsid w:val="00FB0194"/>
    <w:rsid w:val="00FB0524"/>
    <w:rsid w:val="00FB1E52"/>
    <w:rsid w:val="00FB25C2"/>
    <w:rsid w:val="00FB27E6"/>
    <w:rsid w:val="00FB2B88"/>
    <w:rsid w:val="00FB43C7"/>
    <w:rsid w:val="00FB57E0"/>
    <w:rsid w:val="00FB7460"/>
    <w:rsid w:val="00FC0B28"/>
    <w:rsid w:val="00FC1E4E"/>
    <w:rsid w:val="00FC50A5"/>
    <w:rsid w:val="00FC60CC"/>
    <w:rsid w:val="00FC6324"/>
    <w:rsid w:val="00FC66A8"/>
    <w:rsid w:val="00FC6E7D"/>
    <w:rsid w:val="00FC79E4"/>
    <w:rsid w:val="00FC7F31"/>
    <w:rsid w:val="00FD18CA"/>
    <w:rsid w:val="00FD327B"/>
    <w:rsid w:val="00FD35F9"/>
    <w:rsid w:val="00FD3741"/>
    <w:rsid w:val="00FD6948"/>
    <w:rsid w:val="00FD6A26"/>
    <w:rsid w:val="00FD6D60"/>
    <w:rsid w:val="00FD70FD"/>
    <w:rsid w:val="00FE0703"/>
    <w:rsid w:val="00FE08B9"/>
    <w:rsid w:val="00FE1900"/>
    <w:rsid w:val="00FE3098"/>
    <w:rsid w:val="00FE323B"/>
    <w:rsid w:val="00FE3270"/>
    <w:rsid w:val="00FE4929"/>
    <w:rsid w:val="00FE5257"/>
    <w:rsid w:val="00FE7DA9"/>
    <w:rsid w:val="00FF22DB"/>
    <w:rsid w:val="00FF374D"/>
    <w:rsid w:val="00FF3FDB"/>
    <w:rsid w:val="00FF41A8"/>
    <w:rsid w:val="00FF4446"/>
    <w:rsid w:val="00FF6858"/>
    <w:rsid w:val="00FF6E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AF94C"/>
  <w15:docId w15:val="{0B5CAC57-E0B7-4705-A68A-0E72BABE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7"/>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7"/>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3F6F65"/>
    <w:pPr>
      <w:numPr>
        <w:numId w:val="8"/>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D01A9F"/>
    <w:pPr>
      <w:tabs>
        <w:tab w:val="right" w:leader="dot" w:pos="9360"/>
      </w:tabs>
      <w:spacing w:after="180" w:line="240" w:lineRule="exact"/>
      <w:ind w:left="720" w:right="720" w:hanging="720"/>
    </w:pPr>
    <w:rPr>
      <w:rFonts w:eastAsia="Times New Roman" w:cs="Times New Roman"/>
      <w:b/>
      <w:bCs/>
      <w:caps/>
      <w:noProof/>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0B0CC7"/>
    <w:pPr>
      <w:tabs>
        <w:tab w:val="left" w:pos="1440"/>
      </w:tabs>
      <w:spacing w:after="120"/>
      <w:ind w:left="1440" w:hanging="72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F6F65"/>
    <w:rPr>
      <w:rFonts w:eastAsia="Times New Roman" w:cs="Times New Roman"/>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707247"/>
    <w:rPr>
      <w:sz w:val="16"/>
      <w:szCs w:val="16"/>
    </w:rPr>
  </w:style>
  <w:style w:type="paragraph" w:styleId="CommentText">
    <w:name w:val="annotation text"/>
    <w:basedOn w:val="Normal"/>
    <w:link w:val="CommentTextChar"/>
    <w:uiPriority w:val="99"/>
    <w:unhideWhenUsed/>
    <w:rsid w:val="00707247"/>
    <w:pPr>
      <w:spacing w:line="240" w:lineRule="auto"/>
    </w:pPr>
    <w:rPr>
      <w:sz w:val="20"/>
    </w:rPr>
  </w:style>
  <w:style w:type="character" w:customStyle="1" w:styleId="CommentTextChar">
    <w:name w:val="Comment Text Char"/>
    <w:basedOn w:val="DefaultParagraphFont"/>
    <w:link w:val="CommentText"/>
    <w:uiPriority w:val="99"/>
    <w:rsid w:val="00707247"/>
    <w:rPr>
      <w:rFonts w:eastAsia="Times New Roman" w:cs="Times New Roman"/>
      <w:sz w:val="20"/>
      <w:szCs w:val="20"/>
    </w:rPr>
  </w:style>
  <w:style w:type="character" w:customStyle="1" w:styleId="NormalSSChar">
    <w:name w:val="NormalSS Char"/>
    <w:link w:val="NormalSS"/>
    <w:locked/>
    <w:rsid w:val="00707247"/>
    <w:rPr>
      <w:rFonts w:eastAsia="Times New Roman" w:cs="Times New Roman"/>
      <w:szCs w:val="20"/>
    </w:rPr>
  </w:style>
  <w:style w:type="table" w:customStyle="1" w:styleId="MPRBaseTable1">
    <w:name w:val="MPR Base Table1"/>
    <w:basedOn w:val="TableNormal"/>
    <w:uiPriority w:val="99"/>
    <w:rsid w:val="003F44C3"/>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SMPRTableBlack">
    <w:name w:val="SMPR_Table_Black"/>
    <w:basedOn w:val="TableNormal"/>
    <w:uiPriority w:val="99"/>
    <w:rsid w:val="001C47A2"/>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1C47A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176C7"/>
    <w:rPr>
      <w:b/>
      <w:bCs/>
    </w:rPr>
  </w:style>
  <w:style w:type="character" w:customStyle="1" w:styleId="CommentSubjectChar">
    <w:name w:val="Comment Subject Char"/>
    <w:basedOn w:val="CommentTextChar"/>
    <w:link w:val="CommentSubject"/>
    <w:uiPriority w:val="99"/>
    <w:semiHidden/>
    <w:rsid w:val="007176C7"/>
    <w:rPr>
      <w:rFonts w:eastAsia="Times New Roman" w:cs="Times New Roman"/>
      <w:b/>
      <w:bCs/>
      <w:sz w:val="20"/>
      <w:szCs w:val="20"/>
    </w:rPr>
  </w:style>
  <w:style w:type="paragraph" w:customStyle="1" w:styleId="disclosure">
    <w:name w:val="disclosure"/>
    <w:basedOn w:val="Footer"/>
    <w:qFormat/>
    <w:rsid w:val="00A43D07"/>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A43D07"/>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A43D07"/>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styleId="Revision">
    <w:name w:val="Revision"/>
    <w:hidden/>
    <w:uiPriority w:val="99"/>
    <w:semiHidden/>
    <w:rsid w:val="008D20EB"/>
    <w:pPr>
      <w:spacing w:after="0"/>
    </w:pPr>
    <w:rPr>
      <w:rFonts w:eastAsia="Times New Roman" w:cs="Times New Roman"/>
      <w:szCs w:val="20"/>
    </w:rPr>
  </w:style>
  <w:style w:type="character" w:styleId="PlaceholderText">
    <w:name w:val="Placeholder Text"/>
    <w:basedOn w:val="DefaultParagraphFont"/>
    <w:uiPriority w:val="99"/>
    <w:semiHidden/>
    <w:rsid w:val="00F16AEA"/>
    <w:rPr>
      <w:color w:val="808080"/>
    </w:rPr>
  </w:style>
  <w:style w:type="character" w:styleId="FollowedHyperlink">
    <w:name w:val="FollowedHyperlink"/>
    <w:basedOn w:val="DefaultParagraphFont"/>
    <w:semiHidden/>
    <w:unhideWhenUsed/>
    <w:rsid w:val="009D0EC1"/>
    <w:rPr>
      <w:color w:val="800080" w:themeColor="followedHyperlink"/>
      <w:u w:val="single"/>
    </w:rPr>
  </w:style>
  <w:style w:type="paragraph" w:styleId="BodyText">
    <w:name w:val="Body Text"/>
    <w:basedOn w:val="Normal"/>
    <w:link w:val="BodyTextChar"/>
    <w:rsid w:val="000F1CD8"/>
    <w:pPr>
      <w:spacing w:after="180" w:line="264" w:lineRule="auto"/>
      <w:ind w:firstLine="0"/>
    </w:pPr>
    <w:rPr>
      <w:sz w:val="22"/>
    </w:rPr>
  </w:style>
  <w:style w:type="character" w:customStyle="1" w:styleId="BodyTextChar">
    <w:name w:val="Body Text Char"/>
    <w:basedOn w:val="DefaultParagraphFont"/>
    <w:link w:val="BodyText"/>
    <w:rsid w:val="000F1CD8"/>
    <w:rPr>
      <w:rFonts w:eastAsia="Times New Roman" w:cs="Times New Roman"/>
      <w:sz w:val="22"/>
      <w:szCs w:val="20"/>
    </w:rPr>
  </w:style>
  <w:style w:type="paragraph" w:customStyle="1" w:styleId="Numbers">
    <w:name w:val="Numbers"/>
    <w:basedOn w:val="BodyText"/>
    <w:rsid w:val="000F1CD8"/>
    <w:pPr>
      <w:numPr>
        <w:numId w:val="10"/>
      </w:numPr>
      <w:ind w:left="720"/>
    </w:pPr>
  </w:style>
  <w:style w:type="paragraph" w:customStyle="1" w:styleId="normalss0">
    <w:name w:val="normalss"/>
    <w:basedOn w:val="Normal"/>
    <w:rsid w:val="00DC135E"/>
    <w:pPr>
      <w:spacing w:before="100" w:beforeAutospacing="1" w:after="100" w:afterAutospacing="1" w:line="240" w:lineRule="auto"/>
      <w:ind w:firstLine="0"/>
    </w:pPr>
    <w:rPr>
      <w:szCs w:val="24"/>
    </w:rPr>
  </w:style>
  <w:style w:type="paragraph" w:customStyle="1" w:styleId="bulletblack">
    <w:name w:val="bulletblack"/>
    <w:basedOn w:val="Normal"/>
    <w:rsid w:val="00DC135E"/>
    <w:pPr>
      <w:spacing w:before="100" w:beforeAutospacing="1" w:after="100" w:afterAutospacing="1" w:line="240" w:lineRule="auto"/>
      <w:ind w:firstLine="0"/>
    </w:pPr>
    <w:rPr>
      <w:szCs w:val="24"/>
    </w:rPr>
  </w:style>
  <w:style w:type="paragraph" w:customStyle="1" w:styleId="bulletblacklastss">
    <w:name w:val="bulletblacklastss"/>
    <w:basedOn w:val="Normal"/>
    <w:rsid w:val="00DC135E"/>
    <w:pPr>
      <w:spacing w:before="100" w:beforeAutospacing="1" w:after="100" w:afterAutospacing="1" w:line="240" w:lineRule="auto"/>
      <w:ind w:firstLine="0"/>
    </w:pPr>
    <w:rPr>
      <w:szCs w:val="24"/>
    </w:rPr>
  </w:style>
  <w:style w:type="paragraph" w:customStyle="1" w:styleId="default">
    <w:name w:val="default"/>
    <w:basedOn w:val="Normal"/>
    <w:rsid w:val="00DC135E"/>
    <w:pPr>
      <w:spacing w:before="100" w:beforeAutospacing="1" w:after="100" w:afterAutospacing="1" w:line="240" w:lineRule="auto"/>
      <w:ind w:firstLine="0"/>
    </w:pPr>
    <w:rPr>
      <w:szCs w:val="24"/>
    </w:rPr>
  </w:style>
  <w:style w:type="character" w:customStyle="1" w:styleId="UnresolvedMention1">
    <w:name w:val="Unresolved Mention1"/>
    <w:basedOn w:val="DefaultParagraphFont"/>
    <w:uiPriority w:val="99"/>
    <w:semiHidden/>
    <w:unhideWhenUsed/>
    <w:rsid w:val="00C234EF"/>
    <w:rPr>
      <w:color w:val="605E5C"/>
      <w:shd w:val="clear" w:color="auto" w:fill="E1DFDD"/>
    </w:rPr>
  </w:style>
  <w:style w:type="paragraph" w:customStyle="1" w:styleId="markfortableheading">
    <w:name w:val="markfortableheading"/>
    <w:basedOn w:val="Normal"/>
    <w:rsid w:val="0003761A"/>
    <w:pPr>
      <w:spacing w:before="100" w:beforeAutospacing="1" w:after="100" w:afterAutospacing="1" w:line="240" w:lineRule="auto"/>
      <w:ind w:firstLine="0"/>
    </w:pPr>
    <w:rPr>
      <w:szCs w:val="24"/>
    </w:rPr>
  </w:style>
  <w:style w:type="paragraph" w:customStyle="1" w:styleId="tabletext0">
    <w:name w:val="tabletext"/>
    <w:basedOn w:val="Normal"/>
    <w:rsid w:val="0003761A"/>
    <w:pPr>
      <w:spacing w:before="100" w:beforeAutospacing="1" w:after="100" w:afterAutospacing="1" w:line="240" w:lineRule="auto"/>
      <w:ind w:firstLine="0"/>
    </w:pPr>
    <w:rPr>
      <w:szCs w:val="24"/>
    </w:rPr>
  </w:style>
  <w:style w:type="paragraph" w:customStyle="1" w:styleId="paragraph">
    <w:name w:val="paragraph"/>
    <w:basedOn w:val="Normal"/>
    <w:rsid w:val="004F3494"/>
    <w:pPr>
      <w:spacing w:before="100" w:beforeAutospacing="1" w:after="100" w:afterAutospacing="1" w:line="240" w:lineRule="auto"/>
      <w:ind w:firstLine="0"/>
    </w:pPr>
    <w:rPr>
      <w:szCs w:val="24"/>
    </w:rPr>
  </w:style>
  <w:style w:type="character" w:customStyle="1" w:styleId="normaltextrun">
    <w:name w:val="normaltextrun"/>
    <w:basedOn w:val="DefaultParagraphFont"/>
    <w:rsid w:val="004F3494"/>
  </w:style>
  <w:style w:type="character" w:customStyle="1" w:styleId="eop">
    <w:name w:val="eop"/>
    <w:basedOn w:val="DefaultParagraphFont"/>
    <w:rsid w:val="004F3494"/>
  </w:style>
  <w:style w:type="character" w:customStyle="1" w:styleId="UnresolvedMention2">
    <w:name w:val="Unresolved Mention2"/>
    <w:basedOn w:val="DefaultParagraphFont"/>
    <w:uiPriority w:val="99"/>
    <w:semiHidden/>
    <w:unhideWhenUsed/>
    <w:rsid w:val="001E2135"/>
    <w:rPr>
      <w:color w:val="605E5C"/>
      <w:shd w:val="clear" w:color="auto" w:fill="E1DFDD"/>
    </w:rPr>
  </w:style>
  <w:style w:type="paragraph" w:customStyle="1" w:styleId="ExhibitText">
    <w:name w:val="Exhibit Text"/>
    <w:basedOn w:val="Normal"/>
    <w:qFormat/>
    <w:rsid w:val="000351E0"/>
    <w:pPr>
      <w:spacing w:before="40" w:after="40" w:line="264" w:lineRule="auto"/>
      <w:ind w:firstLine="0"/>
    </w:pPr>
    <w:rPr>
      <w:rFonts w:ascii="Arial Narrow" w:hAnsi="Arial Narrow" w:cs="Arial"/>
      <w:bCs/>
      <w:color w:val="000000"/>
      <w:sz w:val="18"/>
    </w:rPr>
  </w:style>
  <w:style w:type="paragraph" w:styleId="TOCHeading">
    <w:name w:val="TOC Heading"/>
    <w:basedOn w:val="Heading1"/>
    <w:next w:val="Normal"/>
    <w:uiPriority w:val="39"/>
    <w:unhideWhenUsed/>
    <w:qFormat/>
    <w:rsid w:val="0097108F"/>
    <w:pPr>
      <w:keepLines/>
      <w:pBdr>
        <w:bottom w:val="none" w:sz="0" w:space="0" w:color="auto"/>
      </w:pBdr>
      <w:tabs>
        <w:tab w:val="clear" w:pos="432"/>
      </w:tabs>
      <w:spacing w:after="0" w:line="259" w:lineRule="auto"/>
      <w:outlineLvl w:val="9"/>
    </w:pPr>
    <w:rPr>
      <w:rFonts w:asciiTheme="majorHAnsi" w:eastAsiaTheme="majorEastAsia" w:hAnsiTheme="majorHAnsi" w:cstheme="majorBidi"/>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347">
      <w:bodyDiv w:val="1"/>
      <w:marLeft w:val="0"/>
      <w:marRight w:val="0"/>
      <w:marTop w:val="0"/>
      <w:marBottom w:val="0"/>
      <w:divBdr>
        <w:top w:val="none" w:sz="0" w:space="0" w:color="auto"/>
        <w:left w:val="none" w:sz="0" w:space="0" w:color="auto"/>
        <w:bottom w:val="none" w:sz="0" w:space="0" w:color="auto"/>
        <w:right w:val="none" w:sz="0" w:space="0" w:color="auto"/>
      </w:divBdr>
    </w:div>
    <w:div w:id="632176724">
      <w:bodyDiv w:val="1"/>
      <w:marLeft w:val="0"/>
      <w:marRight w:val="0"/>
      <w:marTop w:val="0"/>
      <w:marBottom w:val="0"/>
      <w:divBdr>
        <w:top w:val="none" w:sz="0" w:space="0" w:color="auto"/>
        <w:left w:val="none" w:sz="0" w:space="0" w:color="auto"/>
        <w:bottom w:val="none" w:sz="0" w:space="0" w:color="auto"/>
        <w:right w:val="none" w:sz="0" w:space="0" w:color="auto"/>
      </w:divBdr>
    </w:div>
    <w:div w:id="681931426">
      <w:bodyDiv w:val="1"/>
      <w:marLeft w:val="0"/>
      <w:marRight w:val="0"/>
      <w:marTop w:val="0"/>
      <w:marBottom w:val="0"/>
      <w:divBdr>
        <w:top w:val="none" w:sz="0" w:space="0" w:color="auto"/>
        <w:left w:val="none" w:sz="0" w:space="0" w:color="auto"/>
        <w:bottom w:val="none" w:sz="0" w:space="0" w:color="auto"/>
        <w:right w:val="none" w:sz="0" w:space="0" w:color="auto"/>
      </w:divBdr>
    </w:div>
    <w:div w:id="756902333">
      <w:bodyDiv w:val="1"/>
      <w:marLeft w:val="0"/>
      <w:marRight w:val="0"/>
      <w:marTop w:val="0"/>
      <w:marBottom w:val="0"/>
      <w:divBdr>
        <w:top w:val="none" w:sz="0" w:space="0" w:color="auto"/>
        <w:left w:val="none" w:sz="0" w:space="0" w:color="auto"/>
        <w:bottom w:val="none" w:sz="0" w:space="0" w:color="auto"/>
        <w:right w:val="none" w:sz="0" w:space="0" w:color="auto"/>
      </w:divBdr>
      <w:divsChild>
        <w:div w:id="1195268438">
          <w:marLeft w:val="0"/>
          <w:marRight w:val="0"/>
          <w:marTop w:val="0"/>
          <w:marBottom w:val="0"/>
          <w:divBdr>
            <w:top w:val="none" w:sz="0" w:space="0" w:color="auto"/>
            <w:left w:val="none" w:sz="0" w:space="0" w:color="auto"/>
            <w:bottom w:val="none" w:sz="0" w:space="0" w:color="auto"/>
            <w:right w:val="none" w:sz="0" w:space="0" w:color="auto"/>
          </w:divBdr>
        </w:div>
        <w:div w:id="1461610238">
          <w:marLeft w:val="0"/>
          <w:marRight w:val="0"/>
          <w:marTop w:val="0"/>
          <w:marBottom w:val="0"/>
          <w:divBdr>
            <w:top w:val="none" w:sz="0" w:space="0" w:color="auto"/>
            <w:left w:val="none" w:sz="0" w:space="0" w:color="auto"/>
            <w:bottom w:val="none" w:sz="0" w:space="0" w:color="auto"/>
            <w:right w:val="none" w:sz="0" w:space="0" w:color="auto"/>
          </w:divBdr>
        </w:div>
        <w:div w:id="1194684351">
          <w:marLeft w:val="0"/>
          <w:marRight w:val="0"/>
          <w:marTop w:val="0"/>
          <w:marBottom w:val="0"/>
          <w:divBdr>
            <w:top w:val="none" w:sz="0" w:space="0" w:color="auto"/>
            <w:left w:val="none" w:sz="0" w:space="0" w:color="auto"/>
            <w:bottom w:val="none" w:sz="0" w:space="0" w:color="auto"/>
            <w:right w:val="none" w:sz="0" w:space="0" w:color="auto"/>
          </w:divBdr>
        </w:div>
      </w:divsChild>
    </w:div>
    <w:div w:id="833883590">
      <w:bodyDiv w:val="1"/>
      <w:marLeft w:val="0"/>
      <w:marRight w:val="0"/>
      <w:marTop w:val="0"/>
      <w:marBottom w:val="0"/>
      <w:divBdr>
        <w:top w:val="none" w:sz="0" w:space="0" w:color="auto"/>
        <w:left w:val="none" w:sz="0" w:space="0" w:color="auto"/>
        <w:bottom w:val="none" w:sz="0" w:space="0" w:color="auto"/>
        <w:right w:val="none" w:sz="0" w:space="0" w:color="auto"/>
      </w:divBdr>
    </w:div>
    <w:div w:id="1065028617">
      <w:bodyDiv w:val="1"/>
      <w:marLeft w:val="0"/>
      <w:marRight w:val="0"/>
      <w:marTop w:val="0"/>
      <w:marBottom w:val="0"/>
      <w:divBdr>
        <w:top w:val="none" w:sz="0" w:space="0" w:color="auto"/>
        <w:left w:val="none" w:sz="0" w:space="0" w:color="auto"/>
        <w:bottom w:val="none" w:sz="0" w:space="0" w:color="auto"/>
        <w:right w:val="none" w:sz="0" w:space="0" w:color="auto"/>
      </w:divBdr>
    </w:div>
    <w:div w:id="1127118068">
      <w:bodyDiv w:val="1"/>
      <w:marLeft w:val="0"/>
      <w:marRight w:val="0"/>
      <w:marTop w:val="0"/>
      <w:marBottom w:val="0"/>
      <w:divBdr>
        <w:top w:val="none" w:sz="0" w:space="0" w:color="auto"/>
        <w:left w:val="none" w:sz="0" w:space="0" w:color="auto"/>
        <w:bottom w:val="none" w:sz="0" w:space="0" w:color="auto"/>
        <w:right w:val="none" w:sz="0" w:space="0" w:color="auto"/>
      </w:divBdr>
    </w:div>
    <w:div w:id="1344014336">
      <w:bodyDiv w:val="1"/>
      <w:marLeft w:val="0"/>
      <w:marRight w:val="0"/>
      <w:marTop w:val="0"/>
      <w:marBottom w:val="0"/>
      <w:divBdr>
        <w:top w:val="none" w:sz="0" w:space="0" w:color="auto"/>
        <w:left w:val="none" w:sz="0" w:space="0" w:color="auto"/>
        <w:bottom w:val="none" w:sz="0" w:space="0" w:color="auto"/>
        <w:right w:val="none" w:sz="0" w:space="0" w:color="auto"/>
      </w:divBdr>
    </w:div>
    <w:div w:id="1558936825">
      <w:bodyDiv w:val="1"/>
      <w:marLeft w:val="0"/>
      <w:marRight w:val="0"/>
      <w:marTop w:val="0"/>
      <w:marBottom w:val="0"/>
      <w:divBdr>
        <w:top w:val="none" w:sz="0" w:space="0" w:color="auto"/>
        <w:left w:val="none" w:sz="0" w:space="0" w:color="auto"/>
        <w:bottom w:val="none" w:sz="0" w:space="0" w:color="auto"/>
        <w:right w:val="none" w:sz="0" w:space="0" w:color="auto"/>
      </w:divBdr>
    </w:div>
    <w:div w:id="1700004970">
      <w:bodyDiv w:val="1"/>
      <w:marLeft w:val="0"/>
      <w:marRight w:val="0"/>
      <w:marTop w:val="0"/>
      <w:marBottom w:val="0"/>
      <w:divBdr>
        <w:top w:val="none" w:sz="0" w:space="0" w:color="auto"/>
        <w:left w:val="none" w:sz="0" w:space="0" w:color="auto"/>
        <w:bottom w:val="none" w:sz="0" w:space="0" w:color="auto"/>
        <w:right w:val="none" w:sz="0" w:space="0" w:color="auto"/>
      </w:divBdr>
    </w:div>
    <w:div w:id="1766028269">
      <w:bodyDiv w:val="1"/>
      <w:marLeft w:val="0"/>
      <w:marRight w:val="0"/>
      <w:marTop w:val="0"/>
      <w:marBottom w:val="0"/>
      <w:divBdr>
        <w:top w:val="none" w:sz="0" w:space="0" w:color="auto"/>
        <w:left w:val="none" w:sz="0" w:space="0" w:color="auto"/>
        <w:bottom w:val="none" w:sz="0" w:space="0" w:color="auto"/>
        <w:right w:val="none" w:sz="0" w:space="0" w:color="auto"/>
      </w:divBdr>
    </w:div>
    <w:div w:id="1802993555">
      <w:bodyDiv w:val="1"/>
      <w:marLeft w:val="0"/>
      <w:marRight w:val="0"/>
      <w:marTop w:val="0"/>
      <w:marBottom w:val="0"/>
      <w:divBdr>
        <w:top w:val="none" w:sz="0" w:space="0" w:color="auto"/>
        <w:left w:val="none" w:sz="0" w:space="0" w:color="auto"/>
        <w:bottom w:val="none" w:sz="0" w:space="0" w:color="auto"/>
        <w:right w:val="none" w:sz="0" w:space="0" w:color="auto"/>
      </w:divBdr>
    </w:div>
    <w:div w:id="1886672370">
      <w:bodyDiv w:val="1"/>
      <w:marLeft w:val="0"/>
      <w:marRight w:val="0"/>
      <w:marTop w:val="0"/>
      <w:marBottom w:val="0"/>
      <w:divBdr>
        <w:top w:val="none" w:sz="0" w:space="0" w:color="auto"/>
        <w:left w:val="none" w:sz="0" w:space="0" w:color="auto"/>
        <w:bottom w:val="none" w:sz="0" w:space="0" w:color="auto"/>
        <w:right w:val="none" w:sz="0" w:space="0" w:color="auto"/>
      </w:divBdr>
    </w:div>
    <w:div w:id="19646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bls.gov/oes/current/oes_nat.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bls.gov/oes/current/oes119033.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opm.gov/policy-data-oversight/pay-leave/salaries-wages/salary-tables/pdf/2021/DCB_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6" ma:contentTypeDescription="Create a new document." ma:contentTypeScope="" ma:versionID="a36dc405fb184264d66783027937273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6da46778d77dccfcf21340f1a2834c4d"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7C80E-30DF-4BEE-8FA1-D1D8C2A65E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48AA2A-2F9A-4BD7-993B-CC65B2FFB328}">
  <ds:schemaRefs>
    <ds:schemaRef ds:uri="http://schemas.microsoft.com/sharepoint/v3/contenttype/forms"/>
  </ds:schemaRefs>
</ds:datastoreItem>
</file>

<file path=customXml/itemProps3.xml><?xml version="1.0" encoding="utf-8"?>
<ds:datastoreItem xmlns:ds="http://schemas.openxmlformats.org/officeDocument/2006/customXml" ds:itemID="{DA14EC8D-ACE8-4FBD-9E0B-A15E53C2C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2C0E9-0606-4FD4-90AB-601537BF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2</TotalTime>
  <Pages>14</Pages>
  <Words>5648</Words>
  <Characters>32195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37768</CharactersWithSpaces>
  <SharedDoc>false</SharedDoc>
  <HLinks>
    <vt:vector size="120" baseType="variant">
      <vt:variant>
        <vt:i4>7798815</vt:i4>
      </vt:variant>
      <vt:variant>
        <vt:i4>114</vt:i4>
      </vt:variant>
      <vt:variant>
        <vt:i4>0</vt:i4>
      </vt:variant>
      <vt:variant>
        <vt:i4>5</vt:i4>
      </vt:variant>
      <vt:variant>
        <vt:lpwstr>https://www.bls.gov/oes/current/oes_nat.htm</vt:lpwstr>
      </vt:variant>
      <vt:variant>
        <vt:lpwstr>00-0000</vt:lpwstr>
      </vt:variant>
      <vt:variant>
        <vt:i4>4325402</vt:i4>
      </vt:variant>
      <vt:variant>
        <vt:i4>111</vt:i4>
      </vt:variant>
      <vt:variant>
        <vt:i4>0</vt:i4>
      </vt:variant>
      <vt:variant>
        <vt:i4>5</vt:i4>
      </vt:variant>
      <vt:variant>
        <vt:lpwstr>https://www.bls.gov/oes/current/oes119033.htm</vt:lpwstr>
      </vt:variant>
      <vt:variant>
        <vt:lpwstr/>
      </vt:variant>
      <vt:variant>
        <vt:i4>2031668</vt:i4>
      </vt:variant>
      <vt:variant>
        <vt:i4>104</vt:i4>
      </vt:variant>
      <vt:variant>
        <vt:i4>0</vt:i4>
      </vt:variant>
      <vt:variant>
        <vt:i4>5</vt:i4>
      </vt:variant>
      <vt:variant>
        <vt:lpwstr/>
      </vt:variant>
      <vt:variant>
        <vt:lpwstr>_Toc68873295</vt:lpwstr>
      </vt:variant>
      <vt:variant>
        <vt:i4>1966132</vt:i4>
      </vt:variant>
      <vt:variant>
        <vt:i4>98</vt:i4>
      </vt:variant>
      <vt:variant>
        <vt:i4>0</vt:i4>
      </vt:variant>
      <vt:variant>
        <vt:i4>5</vt:i4>
      </vt:variant>
      <vt:variant>
        <vt:lpwstr/>
      </vt:variant>
      <vt:variant>
        <vt:lpwstr>_Toc68873294</vt:lpwstr>
      </vt:variant>
      <vt:variant>
        <vt:i4>1638452</vt:i4>
      </vt:variant>
      <vt:variant>
        <vt:i4>92</vt:i4>
      </vt:variant>
      <vt:variant>
        <vt:i4>0</vt:i4>
      </vt:variant>
      <vt:variant>
        <vt:i4>5</vt:i4>
      </vt:variant>
      <vt:variant>
        <vt:lpwstr/>
      </vt:variant>
      <vt:variant>
        <vt:lpwstr>_Toc68873293</vt:lpwstr>
      </vt:variant>
      <vt:variant>
        <vt:i4>1572916</vt:i4>
      </vt:variant>
      <vt:variant>
        <vt:i4>86</vt:i4>
      </vt:variant>
      <vt:variant>
        <vt:i4>0</vt:i4>
      </vt:variant>
      <vt:variant>
        <vt:i4>5</vt:i4>
      </vt:variant>
      <vt:variant>
        <vt:lpwstr/>
      </vt:variant>
      <vt:variant>
        <vt:lpwstr>_Toc68873292</vt:lpwstr>
      </vt:variant>
      <vt:variant>
        <vt:i4>1769524</vt:i4>
      </vt:variant>
      <vt:variant>
        <vt:i4>80</vt:i4>
      </vt:variant>
      <vt:variant>
        <vt:i4>0</vt:i4>
      </vt:variant>
      <vt:variant>
        <vt:i4>5</vt:i4>
      </vt:variant>
      <vt:variant>
        <vt:lpwstr/>
      </vt:variant>
      <vt:variant>
        <vt:lpwstr>_Toc68873291</vt:lpwstr>
      </vt:variant>
      <vt:variant>
        <vt:i4>1703988</vt:i4>
      </vt:variant>
      <vt:variant>
        <vt:i4>74</vt:i4>
      </vt:variant>
      <vt:variant>
        <vt:i4>0</vt:i4>
      </vt:variant>
      <vt:variant>
        <vt:i4>5</vt:i4>
      </vt:variant>
      <vt:variant>
        <vt:lpwstr/>
      </vt:variant>
      <vt:variant>
        <vt:lpwstr>_Toc68873290</vt:lpwstr>
      </vt:variant>
      <vt:variant>
        <vt:i4>1245237</vt:i4>
      </vt:variant>
      <vt:variant>
        <vt:i4>68</vt:i4>
      </vt:variant>
      <vt:variant>
        <vt:i4>0</vt:i4>
      </vt:variant>
      <vt:variant>
        <vt:i4>5</vt:i4>
      </vt:variant>
      <vt:variant>
        <vt:lpwstr/>
      </vt:variant>
      <vt:variant>
        <vt:lpwstr>_Toc68873289</vt:lpwstr>
      </vt:variant>
      <vt:variant>
        <vt:i4>1179701</vt:i4>
      </vt:variant>
      <vt:variant>
        <vt:i4>62</vt:i4>
      </vt:variant>
      <vt:variant>
        <vt:i4>0</vt:i4>
      </vt:variant>
      <vt:variant>
        <vt:i4>5</vt:i4>
      </vt:variant>
      <vt:variant>
        <vt:lpwstr/>
      </vt:variant>
      <vt:variant>
        <vt:lpwstr>_Toc68873288</vt:lpwstr>
      </vt:variant>
      <vt:variant>
        <vt:i4>1900597</vt:i4>
      </vt:variant>
      <vt:variant>
        <vt:i4>56</vt:i4>
      </vt:variant>
      <vt:variant>
        <vt:i4>0</vt:i4>
      </vt:variant>
      <vt:variant>
        <vt:i4>5</vt:i4>
      </vt:variant>
      <vt:variant>
        <vt:lpwstr/>
      </vt:variant>
      <vt:variant>
        <vt:lpwstr>_Toc68873287</vt:lpwstr>
      </vt:variant>
      <vt:variant>
        <vt:i4>1835061</vt:i4>
      </vt:variant>
      <vt:variant>
        <vt:i4>50</vt:i4>
      </vt:variant>
      <vt:variant>
        <vt:i4>0</vt:i4>
      </vt:variant>
      <vt:variant>
        <vt:i4>5</vt:i4>
      </vt:variant>
      <vt:variant>
        <vt:lpwstr/>
      </vt:variant>
      <vt:variant>
        <vt:lpwstr>_Toc68873286</vt:lpwstr>
      </vt:variant>
      <vt:variant>
        <vt:i4>2031669</vt:i4>
      </vt:variant>
      <vt:variant>
        <vt:i4>44</vt:i4>
      </vt:variant>
      <vt:variant>
        <vt:i4>0</vt:i4>
      </vt:variant>
      <vt:variant>
        <vt:i4>5</vt:i4>
      </vt:variant>
      <vt:variant>
        <vt:lpwstr/>
      </vt:variant>
      <vt:variant>
        <vt:lpwstr>_Toc68873285</vt:lpwstr>
      </vt:variant>
      <vt:variant>
        <vt:i4>1966133</vt:i4>
      </vt:variant>
      <vt:variant>
        <vt:i4>38</vt:i4>
      </vt:variant>
      <vt:variant>
        <vt:i4>0</vt:i4>
      </vt:variant>
      <vt:variant>
        <vt:i4>5</vt:i4>
      </vt:variant>
      <vt:variant>
        <vt:lpwstr/>
      </vt:variant>
      <vt:variant>
        <vt:lpwstr>_Toc68873284</vt:lpwstr>
      </vt:variant>
      <vt:variant>
        <vt:i4>1638453</vt:i4>
      </vt:variant>
      <vt:variant>
        <vt:i4>32</vt:i4>
      </vt:variant>
      <vt:variant>
        <vt:i4>0</vt:i4>
      </vt:variant>
      <vt:variant>
        <vt:i4>5</vt:i4>
      </vt:variant>
      <vt:variant>
        <vt:lpwstr/>
      </vt:variant>
      <vt:variant>
        <vt:lpwstr>_Toc68873283</vt:lpwstr>
      </vt:variant>
      <vt:variant>
        <vt:i4>1572917</vt:i4>
      </vt:variant>
      <vt:variant>
        <vt:i4>26</vt:i4>
      </vt:variant>
      <vt:variant>
        <vt:i4>0</vt:i4>
      </vt:variant>
      <vt:variant>
        <vt:i4>5</vt:i4>
      </vt:variant>
      <vt:variant>
        <vt:lpwstr/>
      </vt:variant>
      <vt:variant>
        <vt:lpwstr>_Toc68873282</vt:lpwstr>
      </vt:variant>
      <vt:variant>
        <vt:i4>1769525</vt:i4>
      </vt:variant>
      <vt:variant>
        <vt:i4>20</vt:i4>
      </vt:variant>
      <vt:variant>
        <vt:i4>0</vt:i4>
      </vt:variant>
      <vt:variant>
        <vt:i4>5</vt:i4>
      </vt:variant>
      <vt:variant>
        <vt:lpwstr/>
      </vt:variant>
      <vt:variant>
        <vt:lpwstr>_Toc68873281</vt:lpwstr>
      </vt:variant>
      <vt:variant>
        <vt:i4>1703989</vt:i4>
      </vt:variant>
      <vt:variant>
        <vt:i4>14</vt:i4>
      </vt:variant>
      <vt:variant>
        <vt:i4>0</vt:i4>
      </vt:variant>
      <vt:variant>
        <vt:i4>5</vt:i4>
      </vt:variant>
      <vt:variant>
        <vt:lpwstr/>
      </vt:variant>
      <vt:variant>
        <vt:lpwstr>_Toc68873280</vt:lpwstr>
      </vt:variant>
      <vt:variant>
        <vt:i4>1245242</vt:i4>
      </vt:variant>
      <vt:variant>
        <vt:i4>8</vt:i4>
      </vt:variant>
      <vt:variant>
        <vt:i4>0</vt:i4>
      </vt:variant>
      <vt:variant>
        <vt:i4>5</vt:i4>
      </vt:variant>
      <vt:variant>
        <vt:lpwstr/>
      </vt:variant>
      <vt:variant>
        <vt:lpwstr>_Toc68873279</vt:lpwstr>
      </vt:variant>
      <vt:variant>
        <vt:i4>1179706</vt:i4>
      </vt:variant>
      <vt:variant>
        <vt:i4>2</vt:i4>
      </vt:variant>
      <vt:variant>
        <vt:i4>0</vt:i4>
      </vt:variant>
      <vt:variant>
        <vt:i4>5</vt:i4>
      </vt:variant>
      <vt:variant>
        <vt:lpwstr/>
      </vt:variant>
      <vt:variant>
        <vt:lpwstr>_Toc68873278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Bellotti</dc:creator>
  <cp:keywords/>
  <dc:description/>
  <cp:lastModifiedBy>Yi, Chayun - ASP</cp:lastModifiedBy>
  <cp:revision>2</cp:revision>
  <cp:lastPrinted>2018-11-26T19:24:00Z</cp:lastPrinted>
  <dcterms:created xsi:type="dcterms:W3CDTF">2022-02-08T16:47:00Z</dcterms:created>
  <dcterms:modified xsi:type="dcterms:W3CDTF">2022-02-08T16:47:00Z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