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5A52" w:rsidP="000D5A52" w:rsidRDefault="000D5A52" w14:paraId="793DF653" w14:textId="77777777">
      <w:pPr>
        <w:jc w:val="center"/>
        <w:rPr>
          <w:rFonts w:ascii="Times New Roman" w:hAnsi="Times New Roman"/>
          <w:b/>
          <w:bCs/>
        </w:rPr>
      </w:pPr>
      <w:r>
        <w:rPr>
          <w:rFonts w:ascii="Times New Roman" w:hAnsi="Times New Roman"/>
          <w:b/>
          <w:bCs/>
        </w:rPr>
        <w:t>SUPPORTING STATEMENT FOR</w:t>
      </w:r>
    </w:p>
    <w:p w:rsidR="000D5A52" w:rsidP="000D5A52" w:rsidRDefault="000D5A52" w14:paraId="591FB660" w14:textId="77777777">
      <w:pPr>
        <w:jc w:val="center"/>
        <w:rPr>
          <w:rFonts w:ascii="Times New Roman" w:hAnsi="Times New Roman"/>
          <w:b/>
          <w:bCs/>
        </w:rPr>
      </w:pPr>
      <w:r>
        <w:rPr>
          <w:rFonts w:ascii="Times New Roman" w:hAnsi="Times New Roman"/>
          <w:b/>
        </w:rPr>
        <w:t>Petition by Entrepreneur to Remove Conditions on Permanent Resident Status</w:t>
      </w:r>
    </w:p>
    <w:p w:rsidR="000D5A52" w:rsidP="000D5A52" w:rsidRDefault="000D5A52" w14:paraId="30A47431" w14:textId="77777777">
      <w:pPr>
        <w:jc w:val="center"/>
        <w:rPr>
          <w:rFonts w:ascii="Times New Roman" w:hAnsi="Times New Roman"/>
          <w:b/>
          <w:bCs/>
        </w:rPr>
      </w:pPr>
      <w:r>
        <w:rPr>
          <w:rFonts w:ascii="Times New Roman" w:hAnsi="Times New Roman"/>
          <w:b/>
          <w:bCs/>
        </w:rPr>
        <w:t>OMB Control No.: 1615-0045</w:t>
      </w:r>
    </w:p>
    <w:p w:rsidR="000D5A52" w:rsidP="000D5A52" w:rsidRDefault="000D5A52" w14:paraId="300A442F" w14:textId="77777777">
      <w:pPr>
        <w:jc w:val="center"/>
        <w:rPr>
          <w:rFonts w:ascii="Times New Roman" w:hAnsi="Times New Roman"/>
          <w:b/>
          <w:bCs/>
        </w:rPr>
      </w:pPr>
      <w:r>
        <w:rPr>
          <w:rFonts w:ascii="Times New Roman" w:hAnsi="Times New Roman"/>
          <w:b/>
          <w:bCs/>
        </w:rPr>
        <w:t>COLLECTION INSTRUMENT(S): Form I-829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0D5A52" w:rsidP="000D5A52" w:rsidRDefault="000D5A52" w14:paraId="481B357F"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Alien entrepreneurs admitted to the United States under section 203(b)(5) of the Immigration and Nationality Act (INA) are required to petition for removal of the conditional residence status imposed on them and their accompanying spouse and children, within a 90-day period before the second anniversary of their conditional residence under section 216A of the INA.  The Petition by Entrepreneur to Remove Conditions on Permanent Resident Status, Form I-829, provides a uniform petition that enables alien entrepreneurs to request the removal of the conditional basis of their lawful permanent resident status.</w:t>
      </w:r>
    </w:p>
    <w:p w:rsidR="000D5A52" w:rsidP="000D5A52" w:rsidRDefault="000D5A52" w14:paraId="56E02BD1"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D5A52" w:rsidP="000D5A52" w:rsidRDefault="000D5A52" w14:paraId="70FDD33B"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rPr>
        <w:t xml:space="preserve">The Petition by Entrepreneur to Remove Conditions on Permanent Resident Status, Form I-829 collects </w:t>
      </w:r>
      <w:r>
        <w:rPr>
          <w:rFonts w:ascii="Times New Roman" w:hAnsi="Times New Roman"/>
          <w:color w:val="000000"/>
        </w:rPr>
        <w:t xml:space="preserve">the entrepreneur’s social security number (SSN) will is used to establish the entrepreneur’s eligibility in the context of compliance with the statutory requirement of job creation for qualifying employees and to address program concerns regarding the lawful source of investment funds and the sustainment of lawful business activities.  The SSN may also be used for fraud detection and national security concerns. </w:t>
      </w:r>
    </w:p>
    <w:p w:rsidR="000D5A52" w:rsidP="000D5A52" w:rsidRDefault="000D5A52" w14:paraId="549D6443"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D5A52" w:rsidP="000D5A52" w:rsidRDefault="000D5A52" w14:paraId="351C327C" w14:textId="66E0751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General legal authority of U.S. Citizenship and Immigration Services (USCIS) to collect the SSN is under INA sections 101 et. seq. (requires background checks be conducted for immigration benefits), 103(a)(1) and (3) (generally charges the Secretary of Homeland Security [the Secretary] with the administration and enforcement of all laws relating to the immigration and naturalization of aliens and authorizes the Secretary to issue regulations, forms, and instructions and to perform such other acts as the Secretary deems necessary to exercise his authorities under the INA) and 264(f) (authorization to require any alien to provide the alien's SSN).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0D5A52" w:rsidP="000D5A52" w:rsidRDefault="000D5A52" w14:paraId="536C6EE1" w14:textId="77777777">
      <w:pPr>
        <w:ind w:left="720"/>
        <w:rPr>
          <w:rFonts w:ascii="Times New Roman" w:hAnsi="Times New Roman"/>
        </w:rPr>
      </w:pPr>
      <w:r>
        <w:rPr>
          <w:rFonts w:ascii="Times New Roman" w:hAnsi="Times New Roman"/>
        </w:rPr>
        <w:t xml:space="preserve">USCIS will use the data </w:t>
      </w:r>
      <w:r>
        <w:rPr>
          <w:rFonts w:ascii="Times New Roman" w:hAnsi="Times New Roman"/>
          <w:bCs/>
        </w:rPr>
        <w:t xml:space="preserve">collected on the </w:t>
      </w:r>
      <w:r>
        <w:rPr>
          <w:rFonts w:ascii="Times New Roman" w:hAnsi="Times New Roman"/>
        </w:rPr>
        <w:t>Petition by Entrepreneur to Remove Conditions on Permanent Resident Status,</w:t>
      </w:r>
      <w:r>
        <w:rPr>
          <w:rFonts w:ascii="Times New Roman" w:hAnsi="Times New Roman"/>
          <w:bCs/>
        </w:rPr>
        <w:t xml:space="preserve"> Form I-829, to determine eligibility for the requested immigration benefit.  The form standardizes requests for removal of conditions and </w:t>
      </w:r>
      <w:r>
        <w:rPr>
          <w:rFonts w:ascii="Times New Roman" w:hAnsi="Times New Roman"/>
          <w:bCs/>
        </w:rPr>
        <w:lastRenderedPageBreak/>
        <w:t>ensures that petitioners provide the basic information required to assess eligibility</w:t>
      </w:r>
      <w:r>
        <w:rPr>
          <w:rFonts w:ascii="Times New Roman" w:hAnsi="Times New Roman"/>
        </w:rPr>
        <w:t>.</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0D5A52" w:rsidP="000D5A52" w:rsidRDefault="000D5A52" w14:paraId="73F04C8D" w14:textId="77777777">
      <w:pPr>
        <w:tabs>
          <w:tab w:val="left" w:pos="-1440"/>
        </w:tabs>
        <w:ind w:left="720"/>
        <w:rPr>
          <w:rFonts w:ascii="Times New Roman" w:hAnsi="Times New Roman"/>
        </w:rPr>
      </w:pPr>
      <w:r>
        <w:rPr>
          <w:rFonts w:ascii="Times New Roman" w:hAnsi="Times New Roman"/>
        </w:rPr>
        <w:t>The use of this form currently provides the most efficient means for collecting and processing the required data.  USCIS provides this petition to the public via the USCIS Internet Web site at www.uscis.gov/i-829.  This form can be downloaded, completed and saved electronically but cannot be e-filed at this time, rendering this form partially compliant with the Government Paperwork Elimination Act.  USCIS is currently working to develop full electronic submission capabilities.</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0D5A52" w:rsidP="000D5A52" w:rsidRDefault="000D5A52" w14:paraId="7F544FFE" w14:textId="77777777">
      <w:pPr>
        <w:tabs>
          <w:tab w:val="left" w:pos="-1440"/>
        </w:tabs>
        <w:ind w:left="720"/>
        <w:rPr>
          <w:rFonts w:ascii="Times New Roman" w:hAnsi="Times New Roman"/>
        </w:rPr>
      </w:pPr>
      <w:r>
        <w:rPr>
          <w:rFonts w:ascii="Times New Roman" w:hAnsi="Times New Roman"/>
        </w:rPr>
        <w:t>A review of the USCIS Forms Inventory Report revealed no duplication of effort, and there is no other similar information currently available that can be used for this purpose.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0D5A52" w:rsidP="000D5A52" w:rsidRDefault="000D5A52" w14:paraId="3855581B" w14:textId="77777777">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0D5A52" w:rsidP="000D5A52" w:rsidRDefault="000D5A52" w14:paraId="6B5966D4" w14:textId="77777777">
      <w:pPr>
        <w:tabs>
          <w:tab w:val="left" w:pos="-1440"/>
        </w:tabs>
        <w:ind w:left="720"/>
        <w:rPr>
          <w:rFonts w:ascii="Times New Roman" w:hAnsi="Times New Roman"/>
          <w:color w:val="FF0000"/>
        </w:rPr>
      </w:pPr>
      <w:r>
        <w:rPr>
          <w:rFonts w:ascii="Times New Roman" w:hAnsi="Times New Roman"/>
        </w:rPr>
        <w:t>If the collection of information is not conducted, USCIS would not be able to determine if eligibility requirements to remove conditions on permanent resident status have been met.</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068FE896">
      <w:pPr>
        <w:tabs>
          <w:tab w:val="left" w:pos="-1440"/>
        </w:tabs>
        <w:ind w:left="720"/>
        <w:rPr>
          <w:rFonts w:ascii="Times New Roman" w:hAnsi="Times New Roman"/>
        </w:rPr>
      </w:pPr>
      <w:r w:rsidRPr="008A4764">
        <w:rPr>
          <w:rFonts w:ascii="Times New Roman" w:hAnsi="Times New Roman"/>
        </w:rPr>
        <w:t>O</w:t>
      </w:r>
      <w:r w:rsidRPr="00462835">
        <w:rPr>
          <w:rFonts w:ascii="Times New Roman" w:hAnsi="Times New Roman"/>
        </w:rPr>
        <w:t xml:space="preserve">n </w:t>
      </w:r>
      <w:r w:rsidRPr="00462835" w:rsidR="00222AAD">
        <w:rPr>
          <w:rFonts w:ascii="Times New Roman" w:hAnsi="Times New Roman"/>
        </w:rPr>
        <w:t>July 30, 2021</w:t>
      </w:r>
      <w:r w:rsidRPr="00462835">
        <w:rPr>
          <w:rFonts w:ascii="Times New Roman" w:hAnsi="Times New Roman"/>
        </w:rPr>
        <w:t xml:space="preserve"> USCIS published a 60-day notice in the Federal Register at </w:t>
      </w:r>
      <w:r w:rsidRPr="00462835" w:rsidR="00462835">
        <w:rPr>
          <w:rFonts w:ascii="Times New Roman" w:hAnsi="Times New Roman"/>
        </w:rPr>
        <w:t>86</w:t>
      </w:r>
      <w:r w:rsidRPr="00462835">
        <w:rPr>
          <w:rFonts w:ascii="Times New Roman" w:hAnsi="Times New Roman"/>
        </w:rPr>
        <w:t xml:space="preserve"> FR </w:t>
      </w:r>
      <w:r w:rsidRPr="00462835" w:rsidR="00462835">
        <w:rPr>
          <w:rFonts w:ascii="Times New Roman" w:hAnsi="Times New Roman"/>
        </w:rPr>
        <w:t>41080</w:t>
      </w:r>
      <w:r w:rsidRPr="00462835">
        <w:rPr>
          <w:rFonts w:ascii="Times New Roman" w:hAnsi="Times New Roman"/>
        </w:rPr>
        <w:t>. USCIS receive</w:t>
      </w:r>
      <w:r w:rsidRPr="00462835" w:rsidR="00462835">
        <w:rPr>
          <w:rFonts w:ascii="Times New Roman" w:hAnsi="Times New Roman"/>
        </w:rPr>
        <w:t>d one</w:t>
      </w:r>
      <w:r w:rsidRPr="00462835">
        <w:rPr>
          <w:rFonts w:ascii="Times New Roman" w:hAnsi="Times New Roman"/>
        </w:rPr>
        <w:t xml:space="preserve"> comment after publishing that notice</w:t>
      </w:r>
      <w:r w:rsidRPr="00462835" w:rsidR="00462835">
        <w:rPr>
          <w:rFonts w:ascii="Times New Roman" w:hAnsi="Times New Roman"/>
        </w:rPr>
        <w:t>, but it was out of scope</w:t>
      </w:r>
      <w:r w:rsidR="008A42B6">
        <w:rPr>
          <w:rFonts w:ascii="Times New Roman" w:hAnsi="Times New Roman"/>
        </w:rPr>
        <w:t xml:space="preserve">. </w:t>
      </w:r>
    </w:p>
    <w:p w:rsidR="003338D4" w:rsidP="00914A5D" w:rsidRDefault="003338D4" w14:paraId="0B736B34" w14:textId="77777777">
      <w:pPr>
        <w:tabs>
          <w:tab w:val="left" w:pos="-1440"/>
        </w:tabs>
        <w:ind w:left="720"/>
        <w:rPr>
          <w:rFonts w:ascii="Times New Roman" w:hAnsi="Times New Roman"/>
        </w:rPr>
      </w:pPr>
    </w:p>
    <w:p w:rsidR="00C424EA" w:rsidP="00C424EA" w:rsidRDefault="00C424EA" w14:paraId="05BF26E1" w14:textId="77777777">
      <w:pPr>
        <w:ind w:left="720"/>
        <w:rPr>
          <w:rFonts w:ascii="Times New Roman" w:hAnsi="Times New Roman"/>
        </w:rPr>
      </w:pPr>
      <w:r>
        <w:rPr>
          <w:rFonts w:ascii="Times New Roman" w:hAnsi="Times New Roman"/>
        </w:rPr>
        <w:lastRenderedPageBreak/>
        <w:t>On October 15, 2021, USCIS published a 30-day notice in the Federal Register at 86 FR 57440. USCIS received one comment.  The commenter noted that applicants outside the United States cannot provide a mailing address that is outside the United States to receive a receipt notice and subsequently the permanent resident card, if approved, and suggested allowing a foreign mailing address.  USCIS requires a U.S. mailing address on Form I-829 because if the petition is approved, USCIS will issue a lawful permanent resident card. USCIS will only mail a lawful permanent resident card to a U.S. mailing address. Therefore, USCIS will not make the suggested changes to this form at this time.</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0D5A52" w:rsidP="000D5A52" w:rsidRDefault="000D5A52" w14:paraId="47020477" w14:textId="77777777">
      <w:pPr>
        <w:tabs>
          <w:tab w:val="left" w:pos="-1440"/>
        </w:tabs>
        <w:ind w:left="720"/>
        <w:rPr>
          <w:rFonts w:ascii="Times New Roman" w:hAnsi="Times New Roman"/>
        </w:rPr>
      </w:pPr>
      <w:r>
        <w:rPr>
          <w:rFonts w:ascii="Times New Roman" w:hAnsi="Times New Roman"/>
        </w:rPr>
        <w:t>There is no assurance of confidentiality.</w:t>
      </w:r>
    </w:p>
    <w:p w:rsidR="000D5A52" w:rsidP="000D5A52" w:rsidRDefault="000D5A52" w14:paraId="33721AFA" w14:textId="77777777">
      <w:pPr>
        <w:tabs>
          <w:tab w:val="left" w:pos="-1440"/>
        </w:tabs>
        <w:ind w:left="720"/>
        <w:rPr>
          <w:rFonts w:ascii="Times New Roman" w:hAnsi="Times New Roman"/>
        </w:rPr>
      </w:pPr>
    </w:p>
    <w:p w:rsidR="000D5A52" w:rsidP="000D5A52" w:rsidRDefault="000D5A52" w14:paraId="3B81C92E" w14:textId="77777777">
      <w:pPr>
        <w:tabs>
          <w:tab w:val="left" w:pos="-1440"/>
        </w:tabs>
        <w:ind w:left="720"/>
        <w:rPr>
          <w:rFonts w:ascii="Times New Roman" w:hAnsi="Times New Roman"/>
        </w:rPr>
      </w:pPr>
      <w:r>
        <w:rPr>
          <w:rFonts w:ascii="Times New Roman" w:hAnsi="Times New Roman"/>
        </w:rPr>
        <w:t>PIA:</w:t>
      </w:r>
    </w:p>
    <w:p w:rsidR="000D5A52" w:rsidP="000D5A52" w:rsidRDefault="000D5A52" w14:paraId="7D0FB3D0" w14:textId="77777777">
      <w:pPr>
        <w:pStyle w:val="Default"/>
        <w:numPr>
          <w:ilvl w:val="0"/>
          <w:numId w:val="9"/>
        </w:numPr>
        <w:rPr>
          <w:color w:val="auto"/>
          <w:sz w:val="23"/>
          <w:szCs w:val="23"/>
        </w:rPr>
      </w:pPr>
      <w:r>
        <w:rPr>
          <w:color w:val="auto"/>
          <w:sz w:val="23"/>
          <w:szCs w:val="23"/>
        </w:rPr>
        <w:t xml:space="preserve">DHS/USCIS/PIA-016 Computer Linked Application Information Management System (CLAIMS 3) and Associated Systems </w:t>
      </w:r>
    </w:p>
    <w:p w:rsidR="000D5A52" w:rsidP="000D5A52" w:rsidRDefault="000D5A52" w14:paraId="5E72250D" w14:textId="77777777">
      <w:pPr>
        <w:tabs>
          <w:tab w:val="left" w:pos="-1440"/>
        </w:tabs>
        <w:ind w:left="720"/>
        <w:rPr>
          <w:rFonts w:ascii="Times New Roman" w:hAnsi="Times New Roman"/>
        </w:rPr>
      </w:pPr>
    </w:p>
    <w:p w:rsidR="000D5A52" w:rsidP="000D5A52" w:rsidRDefault="000D5A52" w14:paraId="5C04528A" w14:textId="77777777">
      <w:pPr>
        <w:tabs>
          <w:tab w:val="left" w:pos="-1440"/>
        </w:tabs>
        <w:ind w:left="720"/>
        <w:rPr>
          <w:rFonts w:ascii="Times New Roman" w:hAnsi="Times New Roman"/>
        </w:rPr>
      </w:pPr>
      <w:r>
        <w:rPr>
          <w:rFonts w:ascii="Times New Roman" w:hAnsi="Times New Roman"/>
        </w:rPr>
        <w:t>SORN:</w:t>
      </w:r>
    </w:p>
    <w:p w:rsidR="000D5A52" w:rsidP="000D5A52" w:rsidRDefault="000D5A52" w14:paraId="2CDF6AC6" w14:textId="77777777">
      <w:pPr>
        <w:pStyle w:val="Default"/>
        <w:numPr>
          <w:ilvl w:val="0"/>
          <w:numId w:val="9"/>
        </w:numPr>
        <w:rPr>
          <w:color w:val="auto"/>
          <w:sz w:val="23"/>
          <w:szCs w:val="23"/>
        </w:rPr>
      </w:pPr>
      <w:r>
        <w:rPr>
          <w:color w:val="auto"/>
          <w:sz w:val="23"/>
          <w:szCs w:val="23"/>
        </w:rPr>
        <w:t xml:space="preserve">DHS/USCIS/ICE/CBP-001 – Alien File, Index, and National File Tracking System of Records </w:t>
      </w:r>
    </w:p>
    <w:p w:rsidR="000D5A52" w:rsidP="000D5A52" w:rsidRDefault="000D5A52" w14:paraId="12100453" w14:textId="77777777">
      <w:pPr>
        <w:pStyle w:val="Default"/>
        <w:numPr>
          <w:ilvl w:val="0"/>
          <w:numId w:val="9"/>
        </w:numPr>
        <w:rPr>
          <w:color w:val="auto"/>
          <w:sz w:val="23"/>
          <w:szCs w:val="23"/>
        </w:rPr>
      </w:pPr>
      <w:r>
        <w:rPr>
          <w:color w:val="auto"/>
          <w:sz w:val="23"/>
          <w:szCs w:val="23"/>
        </w:rPr>
        <w:t xml:space="preserve">DHS/USCIS-007 - Benefits Information System </w:t>
      </w:r>
    </w:p>
    <w:p w:rsidRPr="000D5A52" w:rsidR="00EC5F60" w:rsidP="000D5A52" w:rsidRDefault="000D5A52" w14:paraId="5E3A935B" w14:textId="0AC13C6F">
      <w:pPr>
        <w:pStyle w:val="Default"/>
        <w:numPr>
          <w:ilvl w:val="0"/>
          <w:numId w:val="9"/>
        </w:numPr>
        <w:rPr>
          <w:sz w:val="23"/>
          <w:szCs w:val="23"/>
        </w:rPr>
      </w:pPr>
      <w:r>
        <w:rPr>
          <w:color w:val="auto"/>
          <w:sz w:val="23"/>
          <w:szCs w:val="23"/>
        </w:rPr>
        <w:t xml:space="preserve">DHS/USCIS-018 </w:t>
      </w:r>
      <w:r>
        <w:rPr>
          <w:sz w:val="23"/>
          <w:szCs w:val="23"/>
        </w:rPr>
        <w:t xml:space="preserve">Immigration Biometric and Background Check (IBBC) </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0D5A52" w:rsidP="000D5A52" w:rsidRDefault="000D5A52" w14:paraId="58BE43EA" w14:textId="77777777">
      <w:pPr>
        <w:keepNext/>
        <w:tabs>
          <w:tab w:val="left" w:pos="-1440"/>
        </w:tabs>
        <w:ind w:left="720"/>
        <w:rPr>
          <w:rFonts w:ascii="Times New Roman" w:hAnsi="Times New Roman"/>
        </w:rPr>
      </w:pPr>
      <w:r>
        <w:rPr>
          <w:rFonts w:ascii="Times New Roman" w:hAnsi="Times New Roman"/>
        </w:rPr>
        <w:t>There are questions of a sensitive nature regarding past behavior and activity.  For example, the form requests information regarding whether there have been civil or criminal proceedings involving fraud or unlawful activity against the new commercial enterprise, job creating entity, or those in outlined positions of authority.  However, without this information, provided for in 8 CFR 216.6(a)(4), USCIS cannot make a determination on a petitioner’s request to remove conditional residence status.</w:t>
      </w:r>
    </w:p>
    <w:p w:rsidR="000D5A52" w:rsidP="000D5A52" w:rsidRDefault="000D5A52" w14:paraId="16403A82" w14:textId="77777777">
      <w:pPr>
        <w:tabs>
          <w:tab w:val="left" w:pos="-1440"/>
        </w:tabs>
        <w:ind w:left="720"/>
        <w:rPr>
          <w:rFonts w:ascii="Times New Roman" w:hAnsi="Times New Roman"/>
        </w:rPr>
      </w:pPr>
    </w:p>
    <w:p w:rsidR="000D5A52" w:rsidP="000D5A52" w:rsidRDefault="000D5A52" w14:paraId="3911402E"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t xml:space="preserve">Petitioners must also provide his/her SSN.  The SSN is essential to process and adjudicate the </w:t>
      </w:r>
      <w:r>
        <w:rPr>
          <w:rFonts w:ascii="Times New Roman" w:hAnsi="Times New Roman"/>
        </w:rPr>
        <w:t xml:space="preserve">Petition by Entrepreneur to Remove Conditions on Permanent Resident </w:t>
      </w:r>
      <w:r>
        <w:rPr>
          <w:rFonts w:ascii="Times New Roman" w:hAnsi="Times New Roman"/>
        </w:rPr>
        <w:lastRenderedPageBreak/>
        <w:t>Status, Form I-829</w:t>
      </w:r>
      <w:r>
        <w:rPr>
          <w:rFonts w:ascii="Times New Roman" w:hAnsi="Times New Roman"/>
          <w:color w:val="000000"/>
        </w:rPr>
        <w:t>.  The SSN is used to determine whether or not the alien entrepreneur has maintained his or her status in the United States.  While removing the conditions on the status of an alien entrepreneur, financial issues are at the forefront of the adjudication and most of the evidence USCIS relies on to make a determination contain the SSN and it is used to verify the information provided.</w:t>
      </w:r>
    </w:p>
    <w:p w:rsidR="000D5A52" w:rsidP="000D5A52" w:rsidRDefault="000D5A52" w14:paraId="65D7EBF7"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0D5A52" w:rsidP="000D5A52" w:rsidRDefault="000D5A52" w14:paraId="278458F8"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t>USCIS officers must determine whether at least ten jobs have been created through the alien entrepreneur's capital investment for qualifying employees.  INA section 203(b)(5)(A)(ii) states that the jobs cannot be created for the alien entrepreneur, and/or members of his or her family and 8 CFR 204.6(e) defines the term “qualifying employee,” and excludes the alien entrepreneur, the alien entrepreneur's spouse, sons, or daughters, or any nonimmigrant alien.</w:t>
      </w:r>
    </w:p>
    <w:p w:rsidR="000D5A52" w:rsidP="000D5A52" w:rsidRDefault="000D5A52" w14:paraId="1B55EDB3"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0D5A52" w:rsidP="000D5A52" w:rsidRDefault="000D5A52" w14:paraId="4A8CAA11" w14:textId="77777777">
      <w:pPr>
        <w:tabs>
          <w:tab w:val="left" w:pos="-1440"/>
        </w:tabs>
        <w:ind w:left="720"/>
        <w:rPr>
          <w:rFonts w:ascii="Times New Roman" w:hAnsi="Times New Roman"/>
          <w:color w:val="000000"/>
        </w:rPr>
      </w:pPr>
      <w:r>
        <w:rPr>
          <w:rFonts w:ascii="Times New Roman" w:hAnsi="Times New Roman"/>
          <w:color w:val="000000"/>
        </w:rPr>
        <w:t>Based on the statutory and regulatory requirements, USCIS officers must disallow jobs created for the alien entrepreneur and his family; therefore, collecting the SSNs of alien entrepreneurs is critical to identify such individuals on payroll documentation and the Internal Revenue Service Form W-2 to make sure that the alien entrepreneur is not being credited with creating jobs for persons that do not meet the statutory and regulatory requirements.</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A3889" w:rsidRDefault="00E77B24" w14:paraId="14B9BB00" w14:textId="54308113">
      <w:pPr>
        <w:tabs>
          <w:tab w:val="left" w:pos="-1440"/>
          <w:tab w:val="left" w:pos="1080"/>
        </w:tabs>
        <w:rPr>
          <w:rFonts w:ascii="Times New Roman" w:hAnsi="Times New Roman"/>
          <w:b/>
        </w:rPr>
      </w:pPr>
    </w:p>
    <w:p w:rsidRPr="00914A5D" w:rsidR="009A3889" w:rsidP="009A3889" w:rsidRDefault="009A3889" w14:paraId="63D49210" w14:textId="0F08CBB3">
      <w:pPr>
        <w:tabs>
          <w:tab w:val="left" w:pos="-1440"/>
          <w:tab w:val="left" w:pos="1080"/>
        </w:tabs>
        <w:rPr>
          <w:rFonts w:ascii="Times New Roman" w:hAnsi="Times New Roman"/>
          <w:b/>
        </w:rPr>
      </w:pPr>
      <w:r w:rsidRPr="009A3889">
        <w:rPr>
          <w:noProof/>
        </w:rPr>
        <w:lastRenderedPageBreak/>
        <w:drawing>
          <wp:inline distT="0" distB="0" distL="0" distR="0" wp14:anchorId="0BEF5A19" wp14:editId="67601FA8">
            <wp:extent cx="5943600" cy="25857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585720"/>
                    </a:xfrm>
                    <a:prstGeom prst="rect">
                      <a:avLst/>
                    </a:prstGeom>
                    <a:noFill/>
                    <a:ln>
                      <a:noFill/>
                    </a:ln>
                  </pic:spPr>
                </pic:pic>
              </a:graphicData>
            </a:graphic>
          </wp:inline>
        </w:drawing>
      </w:r>
    </w:p>
    <w:p w:rsidR="009556EE" w:rsidP="00B635A9" w:rsidRDefault="009556EE" w14:paraId="3447BB81" w14:textId="77777777">
      <w:pPr>
        <w:ind w:left="720"/>
        <w:jc w:val="both"/>
        <w:rPr>
          <w:i/>
          <w:iCs/>
          <w:sz w:val="20"/>
          <w:szCs w:val="20"/>
        </w:rPr>
      </w:pP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lastRenderedPageBreak/>
        <w:t>(3)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9A3889" w:rsidRDefault="00B31EBB" w14:paraId="18A82B0E" w14:textId="77777777">
      <w:pPr>
        <w:tabs>
          <w:tab w:val="left" w:pos="-1440"/>
        </w:tabs>
        <w:rPr>
          <w:rFonts w:ascii="Times New Roman" w:hAnsi="Times New Roman"/>
        </w:rPr>
      </w:pPr>
    </w:p>
    <w:p w:rsidR="00B27061" w:rsidP="00914A5D" w:rsidRDefault="009A3889" w14:paraId="183BDF63" w14:textId="47F7D8D2">
      <w:pPr>
        <w:ind w:left="1440" w:hanging="720"/>
        <w:rPr>
          <w:rFonts w:ascii="Times New Roman" w:hAnsi="Times New Roman"/>
        </w:rPr>
      </w:pPr>
      <w:r w:rsidRPr="009A3889">
        <w:rPr>
          <w:noProof/>
        </w:rPr>
        <w:drawing>
          <wp:inline distT="0" distB="0" distL="0" distR="0" wp14:anchorId="51563E34" wp14:editId="1E1614BD">
            <wp:extent cx="3002280" cy="80518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2280" cy="805180"/>
                    </a:xfrm>
                    <a:prstGeom prst="rect">
                      <a:avLst/>
                    </a:prstGeom>
                    <a:noFill/>
                    <a:ln>
                      <a:noFill/>
                    </a:ln>
                  </pic:spPr>
                </pic:pic>
              </a:graphicData>
            </a:graphic>
          </wp:inline>
        </w:drawing>
      </w:r>
    </w:p>
    <w:p w:rsidR="009A3889" w:rsidP="00914A5D" w:rsidRDefault="009A3889" w14:paraId="0A45C0D7" w14:textId="3103B5B3">
      <w:pPr>
        <w:ind w:left="1440" w:hanging="720"/>
        <w:rPr>
          <w:rFonts w:ascii="Times New Roman" w:hAnsi="Times New Roman"/>
        </w:rPr>
      </w:pPr>
    </w:p>
    <w:p w:rsidR="009A3889" w:rsidP="00914A5D" w:rsidRDefault="00237F7E" w14:paraId="765E5357" w14:textId="1B95C770">
      <w:pPr>
        <w:ind w:left="1440" w:hanging="720"/>
        <w:rPr>
          <w:rFonts w:ascii="Times New Roman" w:hAnsi="Times New Roman"/>
        </w:rPr>
      </w:pPr>
      <w:r w:rsidRPr="00237F7E">
        <w:rPr>
          <w:noProof/>
        </w:rPr>
        <w:drawing>
          <wp:inline distT="0" distB="0" distL="0" distR="0" wp14:anchorId="15102346" wp14:editId="00AA2D3A">
            <wp:extent cx="5063490" cy="200152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3490" cy="2001520"/>
                    </a:xfrm>
                    <a:prstGeom prst="rect">
                      <a:avLst/>
                    </a:prstGeom>
                    <a:noFill/>
                    <a:ln>
                      <a:noFill/>
                    </a:ln>
                  </pic:spPr>
                </pic:pic>
              </a:graphicData>
            </a:graphic>
          </wp:inline>
        </w:drawing>
      </w:r>
    </w:p>
    <w:p w:rsidRPr="00AF45F2" w:rsidR="009A3889" w:rsidP="00914A5D" w:rsidRDefault="009A3889" w14:paraId="4E5948E2"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9A3889" w:rsidP="00914A5D" w:rsidRDefault="009A3889" w14:paraId="16153E9B" w14:textId="5DD892A4">
      <w:pPr>
        <w:tabs>
          <w:tab w:val="left" w:pos="-1440"/>
        </w:tabs>
        <w:ind w:left="720"/>
        <w:rPr>
          <w:rFonts w:ascii="Times New Roman" w:hAnsi="Times New Roman"/>
          <w:color w:val="FF0000"/>
        </w:rPr>
      </w:pPr>
      <w:r w:rsidRPr="009A3889">
        <w:rPr>
          <w:noProof/>
        </w:rPr>
        <w:drawing>
          <wp:inline distT="0" distB="0" distL="0" distR="0" wp14:anchorId="4F96B882" wp14:editId="4B5FB79B">
            <wp:extent cx="5943600" cy="1330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330960"/>
                    </a:xfrm>
                    <a:prstGeom prst="rect">
                      <a:avLst/>
                    </a:prstGeom>
                    <a:noFill/>
                    <a:ln>
                      <a:noFill/>
                    </a:ln>
                  </pic:spPr>
                </pic:pic>
              </a:graphicData>
            </a:graphic>
          </wp:inline>
        </w:drawing>
      </w: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5BE35965" w14:textId="0C964DD3">
      <w:pPr>
        <w:tabs>
          <w:tab w:val="left" w:pos="-1440"/>
        </w:tabs>
        <w:ind w:left="720"/>
        <w:rPr>
          <w:rFonts w:ascii="Times New Roman" w:hAnsi="Times New Roman"/>
        </w:rPr>
      </w:pPr>
    </w:p>
    <w:p w:rsidRPr="00914A5D" w:rsidR="009A3889" w:rsidP="00914A5D" w:rsidRDefault="009A3889" w14:paraId="7D345D8F" w14:textId="7D4DA52E">
      <w:pPr>
        <w:tabs>
          <w:tab w:val="left" w:pos="-1440"/>
        </w:tabs>
        <w:ind w:left="720"/>
        <w:rPr>
          <w:rFonts w:ascii="Times New Roman" w:hAnsi="Times New Roman"/>
        </w:rPr>
      </w:pPr>
      <w:r w:rsidRPr="009A3889">
        <w:rPr>
          <w:noProof/>
        </w:rPr>
        <w:lastRenderedPageBreak/>
        <w:drawing>
          <wp:inline distT="0" distB="0" distL="0" distR="0" wp14:anchorId="5B5F5693" wp14:editId="379F5901">
            <wp:extent cx="5943600" cy="163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638300"/>
                    </a:xfrm>
                    <a:prstGeom prst="rect">
                      <a:avLst/>
                    </a:prstGeom>
                    <a:noFill/>
                    <a:ln>
                      <a:noFill/>
                    </a:ln>
                  </pic:spPr>
                </pic:pic>
              </a:graphicData>
            </a:graphic>
          </wp:inline>
        </w:drawing>
      </w:r>
    </w:p>
    <w:p w:rsidR="008A4764" w:rsidP="003338D4" w:rsidRDefault="008A4764" w14:paraId="6DDC9360" w14:textId="35D417E0">
      <w:pPr>
        <w:tabs>
          <w:tab w:val="left" w:pos="-1440"/>
        </w:tabs>
        <w:rPr>
          <w:rFonts w:ascii="Times New Roman" w:hAnsi="Times New Roman"/>
          <w:color w:val="FF0000"/>
        </w:rPr>
      </w:pPr>
    </w:p>
    <w:p w:rsidRPr="009A3889" w:rsidR="009A3889" w:rsidP="009A3889" w:rsidRDefault="009A3889" w14:paraId="636A919F" w14:textId="77777777">
      <w:pPr>
        <w:widowControl/>
        <w:autoSpaceDE/>
        <w:autoSpaceDN/>
        <w:adjustRightInd/>
        <w:ind w:left="720"/>
        <w:rPr>
          <w:rFonts w:ascii="Times New Roman" w:hAnsi="Times New Roman"/>
          <w:color w:val="000000"/>
          <w:sz w:val="20"/>
          <w:szCs w:val="20"/>
        </w:rPr>
      </w:pPr>
      <w:r w:rsidRPr="009A3889">
        <w:rPr>
          <w:rFonts w:ascii="Times New Roman" w:hAnsi="Times New Roman"/>
          <w:color w:val="000000"/>
          <w:sz w:val="20"/>
          <w:szCs w:val="20"/>
        </w:rPr>
        <w:t>With this Extension action, there was a decrease in the total estimated annual hour burden. This result stems from no change in hours due to a change in the Agency Estimate and a decrease in hours due to Program Change reported in the above table.  There are no other program changes.</w:t>
      </w:r>
    </w:p>
    <w:p w:rsidR="00B27061" w:rsidP="00914A5D" w:rsidRDefault="00B27061" w14:paraId="4BE9D8E8" w14:textId="3F2CDBD2">
      <w:pPr>
        <w:ind w:left="720"/>
        <w:rPr>
          <w:rFonts w:ascii="Times New Roman" w:hAnsi="Times New Roman"/>
        </w:rPr>
      </w:pPr>
    </w:p>
    <w:p w:rsidR="009A3889" w:rsidP="00914A5D" w:rsidRDefault="009A3889" w14:paraId="36F9D7D6" w14:textId="7E6C6AB4">
      <w:pPr>
        <w:ind w:left="720"/>
        <w:rPr>
          <w:rFonts w:ascii="Times New Roman" w:hAnsi="Times New Roman"/>
        </w:rPr>
      </w:pPr>
      <w:r w:rsidRPr="009A3889">
        <w:rPr>
          <w:noProof/>
        </w:rPr>
        <w:drawing>
          <wp:inline distT="0" distB="0" distL="0" distR="0" wp14:anchorId="6380CEE9" wp14:editId="1E6BCB15">
            <wp:extent cx="5943600" cy="1701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701800"/>
                    </a:xfrm>
                    <a:prstGeom prst="rect">
                      <a:avLst/>
                    </a:prstGeom>
                    <a:noFill/>
                    <a:ln>
                      <a:noFill/>
                    </a:ln>
                  </pic:spPr>
                </pic:pic>
              </a:graphicData>
            </a:graphic>
          </wp:inline>
        </w:drawing>
      </w:r>
    </w:p>
    <w:p w:rsidRPr="0081460B" w:rsidR="0081460B" w:rsidP="005B6129" w:rsidRDefault="0081460B" w14:paraId="4112589A" w14:textId="77777777">
      <w:pPr>
        <w:tabs>
          <w:tab w:val="left" w:pos="-1440"/>
        </w:tabs>
        <w:ind w:left="720"/>
        <w:rPr>
          <w:rFonts w:ascii="Times New Roman" w:hAnsi="Times New Roman"/>
        </w:rPr>
      </w:pPr>
    </w:p>
    <w:p w:rsidRPr="009A3889" w:rsidR="009A3889" w:rsidP="009A3889" w:rsidRDefault="009A3889" w14:paraId="09C9F291" w14:textId="1B09483E">
      <w:pPr>
        <w:widowControl/>
        <w:autoSpaceDE/>
        <w:autoSpaceDN/>
        <w:adjustRightInd/>
        <w:ind w:left="720"/>
        <w:rPr>
          <w:rFonts w:ascii="Times New Roman" w:hAnsi="Times New Roman"/>
          <w:color w:val="000000"/>
          <w:sz w:val="20"/>
          <w:szCs w:val="20"/>
        </w:rPr>
      </w:pPr>
      <w:r w:rsidRPr="009A3889">
        <w:rPr>
          <w:rFonts w:ascii="Times New Roman" w:hAnsi="Times New Roman"/>
          <w:color w:val="000000"/>
          <w:sz w:val="20"/>
          <w:szCs w:val="20"/>
        </w:rPr>
        <w:t>With this Extension action, there was an increase in the total estimated annual out-of-pocket cost burden. This result stems from no change in costs due to a change in the Agency Estimate and an increase in costs due to</w:t>
      </w:r>
      <w:r w:rsidR="00237F7E">
        <w:rPr>
          <w:rFonts w:ascii="Times New Roman" w:hAnsi="Times New Roman"/>
          <w:color w:val="000000"/>
          <w:sz w:val="20"/>
          <w:szCs w:val="20"/>
        </w:rPr>
        <w:t xml:space="preserve"> a change in how USCIS is calculating costs.  There are no other </w:t>
      </w:r>
      <w:r w:rsidRPr="009A3889">
        <w:rPr>
          <w:rFonts w:ascii="Times New Roman" w:hAnsi="Times New Roman"/>
          <w:color w:val="000000"/>
          <w:sz w:val="20"/>
          <w:szCs w:val="20"/>
        </w:rPr>
        <w:t>Program Change</w:t>
      </w:r>
      <w:r w:rsidR="00237F7E">
        <w:rPr>
          <w:rFonts w:ascii="Times New Roman" w:hAnsi="Times New Roman"/>
          <w:color w:val="000000"/>
          <w:sz w:val="20"/>
          <w:szCs w:val="20"/>
        </w:rPr>
        <w:t>s</w:t>
      </w:r>
      <w:r w:rsidRPr="009A3889">
        <w:rPr>
          <w:rFonts w:ascii="Times New Roman" w:hAnsi="Times New Roman"/>
          <w:color w:val="000000"/>
          <w:sz w:val="20"/>
          <w:szCs w:val="20"/>
        </w:rPr>
        <w:t xml:space="preserve">.  </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6"/>
      <w:footerReference w:type="default" r:id="rId1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253F72"/>
    <w:multiLevelType w:val="hybridMultilevel"/>
    <w:tmpl w:val="4E9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5A52"/>
    <w:rsid w:val="000D6A0C"/>
    <w:rsid w:val="000F1A9A"/>
    <w:rsid w:val="0010769F"/>
    <w:rsid w:val="001415B0"/>
    <w:rsid w:val="0019320E"/>
    <w:rsid w:val="001A595D"/>
    <w:rsid w:val="001A6D21"/>
    <w:rsid w:val="001F67BB"/>
    <w:rsid w:val="0020110E"/>
    <w:rsid w:val="00215244"/>
    <w:rsid w:val="00222AAD"/>
    <w:rsid w:val="00237F7E"/>
    <w:rsid w:val="0029577A"/>
    <w:rsid w:val="002A4A73"/>
    <w:rsid w:val="002B6812"/>
    <w:rsid w:val="002C3934"/>
    <w:rsid w:val="002E199D"/>
    <w:rsid w:val="002E7594"/>
    <w:rsid w:val="003338D4"/>
    <w:rsid w:val="0039393D"/>
    <w:rsid w:val="0039427E"/>
    <w:rsid w:val="003A0F52"/>
    <w:rsid w:val="00462835"/>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5664"/>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A3889"/>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424EA"/>
    <w:rsid w:val="00C425C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0D5A52"/>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54227">
      <w:bodyDiv w:val="1"/>
      <w:marLeft w:val="0"/>
      <w:marRight w:val="0"/>
      <w:marTop w:val="0"/>
      <w:marBottom w:val="0"/>
      <w:divBdr>
        <w:top w:val="none" w:sz="0" w:space="0" w:color="auto"/>
        <w:left w:val="none" w:sz="0" w:space="0" w:color="auto"/>
        <w:bottom w:val="none" w:sz="0" w:space="0" w:color="auto"/>
        <w:right w:val="none" w:sz="0" w:space="0" w:color="auto"/>
      </w:divBdr>
    </w:div>
    <w:div w:id="385226480">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16894571">
      <w:bodyDiv w:val="1"/>
      <w:marLeft w:val="0"/>
      <w:marRight w:val="0"/>
      <w:marTop w:val="0"/>
      <w:marBottom w:val="0"/>
      <w:divBdr>
        <w:top w:val="none" w:sz="0" w:space="0" w:color="auto"/>
        <w:left w:val="none" w:sz="0" w:space="0" w:color="auto"/>
        <w:bottom w:val="none" w:sz="0" w:space="0" w:color="auto"/>
        <w:right w:val="none" w:sz="0" w:space="0" w:color="auto"/>
      </w:divBdr>
    </w:div>
    <w:div w:id="549343044">
      <w:bodyDiv w:val="1"/>
      <w:marLeft w:val="0"/>
      <w:marRight w:val="0"/>
      <w:marTop w:val="0"/>
      <w:marBottom w:val="0"/>
      <w:divBdr>
        <w:top w:val="none" w:sz="0" w:space="0" w:color="auto"/>
        <w:left w:val="none" w:sz="0" w:space="0" w:color="auto"/>
        <w:bottom w:val="none" w:sz="0" w:space="0" w:color="auto"/>
        <w:right w:val="none" w:sz="0" w:space="0" w:color="auto"/>
      </w:divBdr>
    </w:div>
    <w:div w:id="638153165">
      <w:bodyDiv w:val="1"/>
      <w:marLeft w:val="0"/>
      <w:marRight w:val="0"/>
      <w:marTop w:val="0"/>
      <w:marBottom w:val="0"/>
      <w:divBdr>
        <w:top w:val="none" w:sz="0" w:space="0" w:color="auto"/>
        <w:left w:val="none" w:sz="0" w:space="0" w:color="auto"/>
        <w:bottom w:val="none" w:sz="0" w:space="0" w:color="auto"/>
        <w:right w:val="none" w:sz="0" w:space="0" w:color="auto"/>
      </w:divBdr>
    </w:div>
    <w:div w:id="642081438">
      <w:bodyDiv w:val="1"/>
      <w:marLeft w:val="0"/>
      <w:marRight w:val="0"/>
      <w:marTop w:val="0"/>
      <w:marBottom w:val="0"/>
      <w:divBdr>
        <w:top w:val="none" w:sz="0" w:space="0" w:color="auto"/>
        <w:left w:val="none" w:sz="0" w:space="0" w:color="auto"/>
        <w:bottom w:val="none" w:sz="0" w:space="0" w:color="auto"/>
        <w:right w:val="none" w:sz="0" w:space="0" w:color="auto"/>
      </w:divBdr>
    </w:div>
    <w:div w:id="719785993">
      <w:bodyDiv w:val="1"/>
      <w:marLeft w:val="0"/>
      <w:marRight w:val="0"/>
      <w:marTop w:val="0"/>
      <w:marBottom w:val="0"/>
      <w:divBdr>
        <w:top w:val="none" w:sz="0" w:space="0" w:color="auto"/>
        <w:left w:val="none" w:sz="0" w:space="0" w:color="auto"/>
        <w:bottom w:val="none" w:sz="0" w:space="0" w:color="auto"/>
        <w:right w:val="none" w:sz="0" w:space="0" w:color="auto"/>
      </w:divBdr>
    </w:div>
    <w:div w:id="775635335">
      <w:bodyDiv w:val="1"/>
      <w:marLeft w:val="0"/>
      <w:marRight w:val="0"/>
      <w:marTop w:val="0"/>
      <w:marBottom w:val="0"/>
      <w:divBdr>
        <w:top w:val="none" w:sz="0" w:space="0" w:color="auto"/>
        <w:left w:val="none" w:sz="0" w:space="0" w:color="auto"/>
        <w:bottom w:val="none" w:sz="0" w:space="0" w:color="auto"/>
        <w:right w:val="none" w:sz="0" w:space="0" w:color="auto"/>
      </w:divBdr>
    </w:div>
    <w:div w:id="8097122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83347269">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47733435">
      <w:bodyDiv w:val="1"/>
      <w:marLeft w:val="0"/>
      <w:marRight w:val="0"/>
      <w:marTop w:val="0"/>
      <w:marBottom w:val="0"/>
      <w:divBdr>
        <w:top w:val="none" w:sz="0" w:space="0" w:color="auto"/>
        <w:left w:val="none" w:sz="0" w:space="0" w:color="auto"/>
        <w:bottom w:val="none" w:sz="0" w:space="0" w:color="auto"/>
        <w:right w:val="none" w:sz="0" w:space="0" w:color="auto"/>
      </w:divBdr>
    </w:div>
    <w:div w:id="187623519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11bdf90ed8e6652a45bdfcf69aef5cc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2d6f4a4607025e09f841233503864deb"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2F230-6EE9-43F5-93AA-9A1959617DB7}">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www.w3.org/XML/1998/namespace"/>
    <ds:schemaRef ds:uri="http://purl.org/dc/dcmitype/"/>
    <ds:schemaRef ds:uri="http://purl.org/dc/terms/"/>
    <ds:schemaRef ds:uri="2589310c-5316-40b3-b68d-4735ac72f265"/>
    <ds:schemaRef ds:uri="bf094c2b-8036-49e0-a2b2-a973ea273ca5"/>
    <ds:schemaRef ds:uri="http://schemas.microsoft.com/office/2006/metadata/properties"/>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8739A4F9-A093-4387-BEFE-7B557C79D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9</Pages>
  <Words>2523</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16755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Barker, Megan M</cp:lastModifiedBy>
  <cp:revision>6</cp:revision>
  <cp:lastPrinted>2010-05-14T16:20:00Z</cp:lastPrinted>
  <dcterms:created xsi:type="dcterms:W3CDTF">2021-04-15T20:09:00Z</dcterms:created>
  <dcterms:modified xsi:type="dcterms:W3CDTF">2021-11-16T18:00:00Z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