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633" w:rsidP="00BB78AB" w:rsidRDefault="009F2633" w14:paraId="1095F2E5" w14:textId="77777777">
      <w:pPr>
        <w:pStyle w:val="Title"/>
        <w:keepNext w:val="0"/>
        <w:keepLines w:val="0"/>
        <w:pBdr>
          <w:top w:val="none" w:color="auto" w:sz="0" w:space="0"/>
        </w:pBdr>
        <w:spacing w:before="0" w:after="0" w:line="240" w:lineRule="auto"/>
        <w:rPr>
          <w:rFonts w:ascii="Times New Roman" w:hAnsi="Times New Roman"/>
          <w:spacing w:val="0"/>
          <w:sz w:val="24"/>
        </w:rPr>
      </w:pPr>
    </w:p>
    <w:p w:rsidR="009F2633" w:rsidP="009F2633" w:rsidRDefault="009F2633" w14:paraId="1095F2E6" w14:textId="77777777">
      <w:pPr>
        <w:keepNext/>
        <w:numPr>
          <w:ilvl w:val="0"/>
          <w:numId w:val="1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(Annotate the CFR parts/sections affected).</w:t>
      </w:r>
    </w:p>
    <w:p w:rsidR="009F2633" w:rsidP="00BB78AB" w:rsidRDefault="009F2633" w14:paraId="1095F2E7" w14:textId="77777777">
      <w:pPr>
        <w:keepNext/>
        <w:numPr>
          <w:ilvl w:val="12"/>
          <w:numId w:val="0"/>
        </w:numPr>
        <w:ind w:left="360"/>
      </w:pPr>
    </w:p>
    <w:p w:rsidR="0035320A" w:rsidP="00127439" w:rsidRDefault="00C9671D" w14:paraId="658B2C02" w14:textId="4A2BCCD7">
      <w:pPr>
        <w:ind w:left="360"/>
      </w:pPr>
      <w:r>
        <w:rPr>
          <w:szCs w:val="24"/>
        </w:rPr>
        <w:t>Section 110(b) of the Aviation and Transportation Security Act</w:t>
      </w:r>
      <w:r w:rsidR="008B58E5">
        <w:rPr>
          <w:szCs w:val="24"/>
        </w:rPr>
        <w:t xml:space="preserve"> (ATSA)</w:t>
      </w:r>
      <w:r>
        <w:rPr>
          <w:szCs w:val="24"/>
        </w:rPr>
        <w:t xml:space="preserve"> amended 49 U.S.C. 44901 to add a requirement for </w:t>
      </w:r>
      <w:r w:rsidR="00BF007C">
        <w:rPr>
          <w:szCs w:val="24"/>
        </w:rPr>
        <w:t xml:space="preserve">TSA </w:t>
      </w:r>
      <w:r w:rsidR="00310D8B">
        <w:rPr>
          <w:szCs w:val="24"/>
        </w:rPr>
        <w:t>to order</w:t>
      </w:r>
      <w:r>
        <w:rPr>
          <w:szCs w:val="24"/>
        </w:rPr>
        <w:t>, at a minimum,</w:t>
      </w:r>
      <w:r w:rsidR="00310D8B">
        <w:rPr>
          <w:szCs w:val="24"/>
        </w:rPr>
        <w:t xml:space="preserve"> the deployment of</w:t>
      </w:r>
      <w:r w:rsidR="00BF007C">
        <w:rPr>
          <w:szCs w:val="24"/>
        </w:rPr>
        <w:t xml:space="preserve"> at least one law enforcement officer (LEO) at each airport screening checkpoint </w:t>
      </w:r>
      <w:r>
        <w:rPr>
          <w:szCs w:val="24"/>
        </w:rPr>
        <w:t xml:space="preserve">and </w:t>
      </w:r>
      <w:r w:rsidR="00BF007C">
        <w:rPr>
          <w:szCs w:val="24"/>
        </w:rPr>
        <w:t xml:space="preserve">more must be provided based upon passenger volume.  </w:t>
      </w:r>
      <w:r>
        <w:rPr>
          <w:szCs w:val="24"/>
        </w:rPr>
        <w:t xml:space="preserve">Pub. L. 107-71 (115 Stat. 597; Nov. 19, 2001), as codified at 49 U.S.C. 44901.  </w:t>
      </w:r>
      <w:r w:rsidR="008B58E5">
        <w:rPr>
          <w:szCs w:val="24"/>
        </w:rPr>
        <w:t xml:space="preserve">ATSA also transferred the authority in 49 U.S.C. 44903(c) granted to the Federal Aviation Administration (FAA) to TSA.  </w:t>
      </w:r>
      <w:r w:rsidR="008B58E5">
        <w:rPr>
          <w:i/>
          <w:szCs w:val="24"/>
        </w:rPr>
        <w:t>See</w:t>
      </w:r>
      <w:r>
        <w:rPr>
          <w:szCs w:val="24"/>
        </w:rPr>
        <w:t xml:space="preserve"> </w:t>
      </w:r>
      <w:r w:rsidR="008B58E5">
        <w:rPr>
          <w:szCs w:val="24"/>
        </w:rPr>
        <w:t>section 101(f) of</w:t>
      </w:r>
      <w:r w:rsidR="00BF007C">
        <w:rPr>
          <w:szCs w:val="24"/>
        </w:rPr>
        <w:t xml:space="preserve">.  </w:t>
      </w:r>
      <w:r w:rsidR="0035320A">
        <w:rPr>
          <w:szCs w:val="24"/>
        </w:rPr>
        <w:t xml:space="preserve">The Consolidated Appropriations Resolution, 2003, included authorization for TSA to deputize a State or local law enforcement officer to carry out Federal airport security duties.  </w:t>
      </w:r>
      <w:r w:rsidR="0035320A">
        <w:rPr>
          <w:i/>
          <w:szCs w:val="24"/>
        </w:rPr>
        <w:t xml:space="preserve">See </w:t>
      </w:r>
      <w:r w:rsidR="0035320A">
        <w:rPr>
          <w:szCs w:val="24"/>
        </w:rPr>
        <w:t xml:space="preserve">section 351 of Pub. L. 108-7 (117 Stat. 11; Feb. 20, 2003) as codified at 49 U.S.C. 44922.  Subsection (f) of this provision includes authority for TSA to permit officers operating under any of these provisions </w:t>
      </w:r>
      <w:r w:rsidR="00320868">
        <w:rPr>
          <w:szCs w:val="24"/>
        </w:rPr>
        <w:t xml:space="preserve">to be stationed at locations other than at the airport screening checkpoint if it </w:t>
      </w:r>
      <w:r w:rsidR="0035320A">
        <w:rPr>
          <w:szCs w:val="24"/>
        </w:rPr>
        <w:t xml:space="preserve">is </w:t>
      </w:r>
      <w:r w:rsidR="00320868">
        <w:rPr>
          <w:szCs w:val="24"/>
        </w:rPr>
        <w:t xml:space="preserve">preferable </w:t>
      </w:r>
      <w:r w:rsidR="0035320A">
        <w:rPr>
          <w:szCs w:val="24"/>
        </w:rPr>
        <w:t xml:space="preserve">for law enforcement purposes </w:t>
      </w:r>
      <w:r w:rsidR="00320868">
        <w:rPr>
          <w:szCs w:val="24"/>
        </w:rPr>
        <w:t>if</w:t>
      </w:r>
      <w:r w:rsidR="0035320A">
        <w:rPr>
          <w:szCs w:val="24"/>
        </w:rPr>
        <w:t xml:space="preserve"> the</w:t>
      </w:r>
      <w:r w:rsidR="00320868">
        <w:rPr>
          <w:szCs w:val="24"/>
        </w:rPr>
        <w:t xml:space="preserve"> LEOs would still be able to provide prompt response to problems occurring at the screening checkpoint</w:t>
      </w:r>
      <w:r w:rsidR="00264752">
        <w:rPr>
          <w:szCs w:val="24"/>
        </w:rPr>
        <w:t xml:space="preserve">.  </w:t>
      </w:r>
      <w:r w:rsidR="0035320A">
        <w:t xml:space="preserve">ATSA also granted </w:t>
      </w:r>
      <w:r w:rsidRPr="00611D7B" w:rsidR="00320868">
        <w:t xml:space="preserve">TSA </w:t>
      </w:r>
      <w:r w:rsidRPr="00320868" w:rsidR="00320868">
        <w:t>authority to</w:t>
      </w:r>
      <w:r w:rsidRPr="00320868" w:rsidR="00320868">
        <w:rPr>
          <w:rStyle w:val="Strong"/>
          <w:b w:val="0"/>
        </w:rPr>
        <w:t xml:space="preserve"> enter into agreements with airport </w:t>
      </w:r>
      <w:r w:rsidR="0075705B">
        <w:rPr>
          <w:rStyle w:val="Strong"/>
          <w:b w:val="0"/>
        </w:rPr>
        <w:t>owner/</w:t>
      </w:r>
      <w:r w:rsidRPr="00320868" w:rsidR="00320868">
        <w:rPr>
          <w:rStyle w:val="Strong"/>
          <w:b w:val="0"/>
        </w:rPr>
        <w:t>operators to reimburse expenses they</w:t>
      </w:r>
      <w:r w:rsidR="00320868">
        <w:rPr>
          <w:rStyle w:val="Strong"/>
          <w:b w:val="0"/>
        </w:rPr>
        <w:t xml:space="preserve"> incur for the provision of law enforcement resources to support operations at </w:t>
      </w:r>
      <w:r w:rsidRPr="00320868" w:rsidR="00320868">
        <w:rPr>
          <w:rStyle w:val="Strong"/>
          <w:b w:val="0"/>
        </w:rPr>
        <w:t xml:space="preserve">airport security checkpoints. </w:t>
      </w:r>
      <w:r w:rsidRPr="00264752" w:rsidR="00320868">
        <w:rPr>
          <w:rStyle w:val="Strong"/>
          <w:b w:val="0"/>
          <w:i/>
        </w:rPr>
        <w:t xml:space="preserve"> </w:t>
      </w:r>
      <w:r w:rsidRPr="00264752" w:rsidR="00264752">
        <w:rPr>
          <w:rStyle w:val="Strong"/>
          <w:b w:val="0"/>
          <w:i/>
        </w:rPr>
        <w:t>See</w:t>
      </w:r>
      <w:r w:rsidR="00264752">
        <w:rPr>
          <w:rStyle w:val="Strong"/>
          <w:b w:val="0"/>
        </w:rPr>
        <w:t xml:space="preserve"> </w:t>
      </w:r>
      <w:r w:rsidRPr="00320868" w:rsidR="00320868">
        <w:t>49 U.S.C. 114(m)</w:t>
      </w:r>
      <w:r w:rsidR="00264752">
        <w:t>.  It also</w:t>
      </w:r>
      <w:r w:rsidR="0035320A">
        <w:t xml:space="preserve"> granted the TSA Administrator the same authority as the FAA Administrator under 49 U.S.C. 106(</w:t>
      </w:r>
      <w:r w:rsidRPr="00264752" w:rsidR="0035320A">
        <w:rPr>
          <w:i/>
        </w:rPr>
        <w:t>l</w:t>
      </w:r>
      <w:r w:rsidR="0035320A">
        <w:t>) and (m)</w:t>
      </w:r>
      <w:r w:rsidRPr="00320868" w:rsidR="00320868">
        <w:t>.</w:t>
      </w:r>
    </w:p>
    <w:p w:rsidR="0035320A" w:rsidP="00127439" w:rsidRDefault="0035320A" w14:paraId="7559D1AA" w14:textId="77777777">
      <w:pPr>
        <w:ind w:left="360"/>
      </w:pPr>
    </w:p>
    <w:p w:rsidR="00127439" w:rsidP="00127439" w:rsidRDefault="006947F2" w14:paraId="1095F2E8" w14:textId="29ACED22">
      <w:pPr>
        <w:ind w:left="360"/>
      </w:pPr>
      <w:r>
        <w:t xml:space="preserve">Consistent with </w:t>
      </w:r>
      <w:r w:rsidR="00BF007C">
        <w:t>th</w:t>
      </w:r>
      <w:r w:rsidR="0035320A">
        <w:t>e</w:t>
      </w:r>
      <w:r w:rsidR="00BF007C">
        <w:t>s</w:t>
      </w:r>
      <w:r w:rsidR="0035320A">
        <w:t>e</w:t>
      </w:r>
      <w:r w:rsidR="00BF007C">
        <w:t xml:space="preserve"> </w:t>
      </w:r>
      <w:r w:rsidRPr="00320868" w:rsidR="00320868">
        <w:rPr>
          <w:rStyle w:val="Strong"/>
          <w:b w:val="0"/>
        </w:rPr>
        <w:t>authorit</w:t>
      </w:r>
      <w:r w:rsidR="0035320A">
        <w:rPr>
          <w:rStyle w:val="Strong"/>
          <w:b w:val="0"/>
        </w:rPr>
        <w:t>ies</w:t>
      </w:r>
      <w:r w:rsidRPr="00320868" w:rsidR="00320868">
        <w:rPr>
          <w:rStyle w:val="Strong"/>
          <w:b w:val="0"/>
        </w:rPr>
        <w:t xml:space="preserve">, </w:t>
      </w:r>
      <w:r>
        <w:rPr>
          <w:rStyle w:val="Strong"/>
          <w:b w:val="0"/>
        </w:rPr>
        <w:t xml:space="preserve">TSA created the LEO Reimbursement Program. </w:t>
      </w:r>
      <w:r w:rsidR="00E45257">
        <w:rPr>
          <w:rStyle w:val="Strong"/>
          <w:b w:val="0"/>
        </w:rPr>
        <w:t xml:space="preserve"> </w:t>
      </w:r>
      <w:r w:rsidR="0035320A">
        <w:rPr>
          <w:rStyle w:val="Strong"/>
          <w:b w:val="0"/>
        </w:rPr>
        <w:t xml:space="preserve">Under this program, </w:t>
      </w:r>
      <w:r w:rsidR="00320868">
        <w:rPr>
          <w:rStyle w:val="Strong"/>
          <w:b w:val="0"/>
        </w:rPr>
        <w:t xml:space="preserve">TSA enters into </w:t>
      </w:r>
      <w:r w:rsidR="00F52302">
        <w:rPr>
          <w:rStyle w:val="Strong"/>
          <w:b w:val="0"/>
        </w:rPr>
        <w:t>Other Transaction Agreements (OTA</w:t>
      </w:r>
      <w:r w:rsidR="0044058B">
        <w:rPr>
          <w:rStyle w:val="Strong"/>
          <w:b w:val="0"/>
        </w:rPr>
        <w:t>s</w:t>
      </w:r>
      <w:r w:rsidR="00F52302">
        <w:rPr>
          <w:rStyle w:val="Strong"/>
          <w:b w:val="0"/>
        </w:rPr>
        <w:t xml:space="preserve">) with </w:t>
      </w:r>
      <w:r w:rsidR="00BF007C">
        <w:rPr>
          <w:rStyle w:val="Strong"/>
          <w:b w:val="0"/>
        </w:rPr>
        <w:t xml:space="preserve">U.S. commercial airport </w:t>
      </w:r>
      <w:r w:rsidR="0075705B">
        <w:rPr>
          <w:rStyle w:val="Strong"/>
          <w:b w:val="0"/>
        </w:rPr>
        <w:t>owner/</w:t>
      </w:r>
      <w:r w:rsidR="00F52302">
        <w:rPr>
          <w:rStyle w:val="Strong"/>
          <w:b w:val="0"/>
        </w:rPr>
        <w:t xml:space="preserve">operators </w:t>
      </w:r>
      <w:r w:rsidR="00320868">
        <w:rPr>
          <w:rStyle w:val="Strong"/>
          <w:b w:val="0"/>
        </w:rPr>
        <w:t xml:space="preserve">to provide </w:t>
      </w:r>
      <w:r w:rsidR="00BF007C">
        <w:rPr>
          <w:rStyle w:val="Strong"/>
          <w:b w:val="0"/>
        </w:rPr>
        <w:t xml:space="preserve">LEO resources.  </w:t>
      </w:r>
      <w:r w:rsidR="0035320A">
        <w:t>T</w:t>
      </w:r>
      <w:r w:rsidR="00C9256A">
        <w:t xml:space="preserve">hese airports may request </w:t>
      </w:r>
      <w:r w:rsidR="0084271F">
        <w:t xml:space="preserve">partial reimbursement of </w:t>
      </w:r>
      <w:r w:rsidR="00356B9E">
        <w:t xml:space="preserve">the costs associated with providing </w:t>
      </w:r>
      <w:r w:rsidR="00CE1392">
        <w:t>l</w:t>
      </w:r>
      <w:r w:rsidR="00EE4E94">
        <w:t xml:space="preserve">aw </w:t>
      </w:r>
      <w:r w:rsidR="00CE1392">
        <w:t>e</w:t>
      </w:r>
      <w:r w:rsidR="00EE4E94">
        <w:t xml:space="preserve">nforcement support of </w:t>
      </w:r>
      <w:r w:rsidR="00356B9E">
        <w:t xml:space="preserve">TSA </w:t>
      </w:r>
      <w:r w:rsidR="00EE4E94">
        <w:t>screening</w:t>
      </w:r>
      <w:r w:rsidR="00356B9E">
        <w:t xml:space="preserve"> activities</w:t>
      </w:r>
      <w:r w:rsidR="00EE4E94">
        <w:t>.  Participation in the LEO Reimbursement pr</w:t>
      </w:r>
      <w:r w:rsidR="00356B9E">
        <w:t xml:space="preserve">ogram is voluntary. </w:t>
      </w:r>
      <w:r w:rsidR="004751CE">
        <w:t xml:space="preserve"> </w:t>
      </w:r>
      <w:r w:rsidR="0035320A">
        <w:t>To participate, however,</w:t>
      </w:r>
      <w:r w:rsidR="00CE1392">
        <w:t xml:space="preserve"> airports must provide </w:t>
      </w:r>
      <w:r w:rsidR="0035320A">
        <w:t>information sufficient for TSA to develop the OTA and provide effective oversight of the program.</w:t>
      </w:r>
      <w:r w:rsidR="00CE1392">
        <w:t xml:space="preserve"> </w:t>
      </w:r>
      <w:r w:rsidR="006E2B90">
        <w:t xml:space="preserve"> </w:t>
      </w:r>
      <w:r w:rsidR="00356B9E">
        <w:t>Airport owners/operators must apply for funding by respon</w:t>
      </w:r>
      <w:r w:rsidR="004751CE">
        <w:t>ding</w:t>
      </w:r>
      <w:r w:rsidR="00356B9E">
        <w:t xml:space="preserve"> to a combined synopsis/solicitation.</w:t>
      </w:r>
    </w:p>
    <w:p w:rsidR="009F2633" w:rsidP="00BB78AB" w:rsidRDefault="009F2633" w14:paraId="1095F2E9" w14:textId="77777777">
      <w:pPr>
        <w:numPr>
          <w:ilvl w:val="12"/>
          <w:numId w:val="0"/>
        </w:numPr>
        <w:ind w:left="360"/>
      </w:pPr>
    </w:p>
    <w:p w:rsidR="00127439" w:rsidP="00BB78AB" w:rsidRDefault="00127439" w14:paraId="1095F2EA" w14:textId="05380B8F">
      <w:pPr>
        <w:numPr>
          <w:ilvl w:val="12"/>
          <w:numId w:val="0"/>
        </w:numPr>
        <w:ind w:left="360"/>
      </w:pPr>
      <w:r>
        <w:t>As part of their request for</w:t>
      </w:r>
      <w:r w:rsidR="00504E16">
        <w:t xml:space="preserve"> partial</w:t>
      </w:r>
      <w:r>
        <w:t xml:space="preserve"> reimbursement, </w:t>
      </w:r>
      <w:r w:rsidR="0035320A">
        <w:t xml:space="preserve">TSA requires </w:t>
      </w:r>
      <w:r w:rsidR="007B271F">
        <w:t xml:space="preserve">airport </w:t>
      </w:r>
      <w:r w:rsidR="00293E8A">
        <w:t>owner/</w:t>
      </w:r>
      <w:r w:rsidR="007B271F">
        <w:t>operators</w:t>
      </w:r>
      <w:r w:rsidR="003B7338">
        <w:t xml:space="preserve"> </w:t>
      </w:r>
      <w:r>
        <w:t>to submit</w:t>
      </w:r>
      <w:r w:rsidR="006210D1">
        <w:t xml:space="preserve">, via </w:t>
      </w:r>
      <w:r w:rsidR="00727D8B">
        <w:t>TSA Form 3503, LEO Reimbursement Request</w:t>
      </w:r>
      <w:r w:rsidR="00731643">
        <w:t xml:space="preserve"> Invoice</w:t>
      </w:r>
      <w:r w:rsidR="00727D8B">
        <w:t xml:space="preserve">, </w:t>
      </w:r>
      <w:r>
        <w:t>their personal contact information, the number of hours spent in law enforcement</w:t>
      </w:r>
      <w:r w:rsidR="006210D1">
        <w:t>-</w:t>
      </w:r>
      <w:r>
        <w:t xml:space="preserve">related support of </w:t>
      </w:r>
      <w:r w:rsidR="005B2C72">
        <w:t>TSA screening activities</w:t>
      </w:r>
      <w:r w:rsidDel="005B2C72" w:rsidR="005B2C72">
        <w:t xml:space="preserve"> </w:t>
      </w:r>
      <w:r>
        <w:t>requested for reimbursement</w:t>
      </w:r>
      <w:r w:rsidR="00786F57">
        <w:t>,</w:t>
      </w:r>
      <w:r>
        <w:t xml:space="preserve"> and </w:t>
      </w:r>
      <w:r w:rsidR="005D4944">
        <w:t>certification</w:t>
      </w:r>
      <w:r>
        <w:t xml:space="preserve"> that the number of hours </w:t>
      </w:r>
      <w:r w:rsidR="004751CE">
        <w:t xml:space="preserve">for which reimbursement is </w:t>
      </w:r>
      <w:r>
        <w:t xml:space="preserve">requested </w:t>
      </w:r>
      <w:r w:rsidR="004751CE">
        <w:t>is</w:t>
      </w:r>
      <w:r>
        <w:t xml:space="preserve"> truthfully and </w:t>
      </w:r>
      <w:r w:rsidR="0097331B">
        <w:t>accurately</w:t>
      </w:r>
      <w:r>
        <w:t xml:space="preserve"> reported.</w:t>
      </w:r>
    </w:p>
    <w:p w:rsidR="009F2633" w:rsidP="00BB78AB" w:rsidRDefault="009F2633" w14:paraId="1095F2EB" w14:textId="77777777">
      <w:pPr>
        <w:pStyle w:val="IndexHeading"/>
        <w:keepNext w:val="0"/>
        <w:tabs>
          <w:tab w:val="left" w:pos="360"/>
        </w:tabs>
        <w:spacing w:line="240" w:lineRule="auto"/>
        <w:rPr>
          <w:rFonts w:ascii="Times New Roman" w:hAnsi="Times New Roman"/>
          <w:spacing w:val="0"/>
        </w:rPr>
      </w:pPr>
    </w:p>
    <w:p w:rsidR="009F2633" w:rsidP="009F2633" w:rsidRDefault="009F2633" w14:paraId="1095F2EC" w14:textId="77777777">
      <w:pPr>
        <w:keepNext/>
        <w:numPr>
          <w:ilvl w:val="0"/>
          <w:numId w:val="1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rsidR="009F2633" w:rsidP="00BB78AB" w:rsidRDefault="009F2633" w14:paraId="1095F2ED" w14:textId="77777777">
      <w:pPr>
        <w:keepNext/>
        <w:numPr>
          <w:ilvl w:val="12"/>
          <w:numId w:val="0"/>
        </w:numPr>
        <w:ind w:left="360"/>
      </w:pPr>
    </w:p>
    <w:p w:rsidRPr="002E4273" w:rsidR="009F2633" w:rsidP="00BB78AB" w:rsidRDefault="00B12D1A" w14:paraId="1095F2EE" w14:textId="19FC675F">
      <w:pPr>
        <w:numPr>
          <w:ilvl w:val="12"/>
          <w:numId w:val="0"/>
        </w:numPr>
        <w:ind w:left="360"/>
        <w:rPr>
          <w:szCs w:val="24"/>
        </w:rPr>
      </w:pPr>
      <w:r w:rsidRPr="002E4273">
        <w:rPr>
          <w:szCs w:val="24"/>
        </w:rPr>
        <w:t>T</w:t>
      </w:r>
      <w:r w:rsidR="006210D1">
        <w:rPr>
          <w:szCs w:val="24"/>
        </w:rPr>
        <w:t>SA use</w:t>
      </w:r>
      <w:r w:rsidR="00427316">
        <w:rPr>
          <w:szCs w:val="24"/>
        </w:rPr>
        <w:t>s</w:t>
      </w:r>
      <w:r w:rsidR="006210D1">
        <w:rPr>
          <w:szCs w:val="24"/>
        </w:rPr>
        <w:t xml:space="preserve"> the information collected</w:t>
      </w:r>
      <w:r w:rsidRPr="002E4273">
        <w:rPr>
          <w:szCs w:val="24"/>
        </w:rPr>
        <w:t xml:space="preserve"> to </w:t>
      </w:r>
      <w:r w:rsidRPr="002E4273" w:rsidR="00574D54">
        <w:rPr>
          <w:szCs w:val="24"/>
        </w:rPr>
        <w:t xml:space="preserve">provide partial reimbursement </w:t>
      </w:r>
      <w:r w:rsidR="004751CE">
        <w:rPr>
          <w:szCs w:val="24"/>
        </w:rPr>
        <w:t xml:space="preserve">of costs </w:t>
      </w:r>
      <w:r w:rsidR="00A640FE">
        <w:rPr>
          <w:szCs w:val="24"/>
        </w:rPr>
        <w:t xml:space="preserve">to </w:t>
      </w:r>
      <w:r w:rsidRPr="00A640FE" w:rsidR="00A640FE">
        <w:rPr>
          <w:bCs/>
          <w:szCs w:val="24"/>
        </w:rPr>
        <w:t>airport owner/operators</w:t>
      </w:r>
      <w:r w:rsidRPr="00A640FE" w:rsidR="00A640FE">
        <w:rPr>
          <w:szCs w:val="24"/>
        </w:rPr>
        <w:t xml:space="preserve"> </w:t>
      </w:r>
      <w:r w:rsidR="004751CE">
        <w:rPr>
          <w:szCs w:val="24"/>
        </w:rPr>
        <w:t xml:space="preserve">incurred to provide </w:t>
      </w:r>
      <w:r w:rsidRPr="002E4273" w:rsidR="00574D54">
        <w:rPr>
          <w:szCs w:val="24"/>
        </w:rPr>
        <w:t>law enforcement</w:t>
      </w:r>
      <w:r w:rsidR="009A1326">
        <w:rPr>
          <w:szCs w:val="24"/>
        </w:rPr>
        <w:t xml:space="preserve"> </w:t>
      </w:r>
      <w:r w:rsidRPr="002E4273" w:rsidR="00574D54">
        <w:rPr>
          <w:szCs w:val="24"/>
        </w:rPr>
        <w:t xml:space="preserve">support of </w:t>
      </w:r>
      <w:r w:rsidR="005B2C72">
        <w:t>TSA screening activities</w:t>
      </w:r>
      <w:r w:rsidR="0035320A">
        <w:t xml:space="preserve"> and oversight of the LEO Reimbursement Program</w:t>
      </w:r>
      <w:r w:rsidRPr="002E4273" w:rsidR="00574D54">
        <w:rPr>
          <w:szCs w:val="24"/>
        </w:rPr>
        <w:t>.</w:t>
      </w:r>
    </w:p>
    <w:p w:rsidR="009F2633" w:rsidP="00BB78AB" w:rsidRDefault="009F2633" w14:paraId="1095F2EF" w14:textId="77777777">
      <w:pPr>
        <w:numPr>
          <w:ilvl w:val="12"/>
          <w:numId w:val="0"/>
        </w:numPr>
      </w:pPr>
    </w:p>
    <w:p w:rsidR="009F2633" w:rsidP="009F2633" w:rsidRDefault="009F2633" w14:paraId="1095F2F0" w14:textId="77777777">
      <w:pPr>
        <w:keepNext/>
        <w:numPr>
          <w:ilvl w:val="0"/>
          <w:numId w:val="1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9F35BA" w:rsidP="009F35BA" w:rsidRDefault="009F35BA" w14:paraId="524F7AF0" w14:textId="5DC59001">
      <w:pPr>
        <w:keepNext/>
        <w:numPr>
          <w:ilvl w:val="12"/>
          <w:numId w:val="0"/>
        </w:numPr>
        <w:ind w:left="360"/>
      </w:pPr>
    </w:p>
    <w:p w:rsidR="009F35BA" w:rsidP="0044058B" w:rsidRDefault="009F35BA" w14:paraId="7E0C63CA" w14:textId="5B532D18">
      <w:pPr>
        <w:keepNext/>
        <w:numPr>
          <w:ilvl w:val="12"/>
          <w:numId w:val="0"/>
        </w:numPr>
        <w:ind w:left="360"/>
      </w:pPr>
      <w:r w:rsidDel="00A54E5B">
        <w:t xml:space="preserve">TSA provides the </w:t>
      </w:r>
      <w:r w:rsidR="00A54E5B">
        <w:t xml:space="preserve">LEO </w:t>
      </w:r>
      <w:r w:rsidDel="00A54E5B">
        <w:t>Reimbursement Request</w:t>
      </w:r>
      <w:r w:rsidR="005947D1">
        <w:t>-Invoice</w:t>
      </w:r>
      <w:r>
        <w:t xml:space="preserve"> f</w:t>
      </w:r>
      <w:r w:rsidDel="00A54E5B">
        <w:t xml:space="preserve">orm along with the OTA via email to participating airport owners/operators. </w:t>
      </w:r>
      <w:r w:rsidR="005947D1">
        <w:t xml:space="preserve"> </w:t>
      </w:r>
      <w:r w:rsidR="00A54E5B">
        <w:t xml:space="preserve">The form </w:t>
      </w:r>
      <w:r w:rsidR="00581216">
        <w:t xml:space="preserve">is also available at </w:t>
      </w:r>
      <w:hyperlink w:history="1" r:id="rId12">
        <w:r w:rsidRPr="0044058B" w:rsidR="00581216">
          <w:rPr>
            <w:rStyle w:val="Hyperlink"/>
          </w:rPr>
          <w:t>www.tsa.gov</w:t>
        </w:r>
      </w:hyperlink>
      <w:r w:rsidR="00581216">
        <w:t xml:space="preserve"> and </w:t>
      </w:r>
      <w:r w:rsidR="00C9256A">
        <w:t>can be entirely completed online.</w:t>
      </w:r>
      <w:r w:rsidDel="00A54E5B">
        <w:t xml:space="preserve">  </w:t>
      </w:r>
      <w:r>
        <w:t xml:space="preserve">In compliance with </w:t>
      </w:r>
      <w:r w:rsidRPr="00264752" w:rsidR="00E45257">
        <w:rPr>
          <w:snapToGrid w:val="0"/>
        </w:rPr>
        <w:t>Government Paperwork Elimination Act</w:t>
      </w:r>
      <w:r>
        <w:t>, participating airport owners/operators have the option to complete the form and submit</w:t>
      </w:r>
      <w:r w:rsidR="00581216">
        <w:t xml:space="preserve"> directly to the OLE/FAMS LEO Reimbursement Program via fax, electronic upload (via scanning the document), mail</w:t>
      </w:r>
      <w:r w:rsidR="005947D1">
        <w:t>,</w:t>
      </w:r>
      <w:r w:rsidR="00581216">
        <w:t xml:space="preserve"> or in person.</w:t>
      </w:r>
    </w:p>
    <w:p w:rsidR="009F2633" w:rsidP="00BB78AB" w:rsidRDefault="009F2633" w14:paraId="1095F2F3" w14:textId="77777777">
      <w:pPr>
        <w:numPr>
          <w:ilvl w:val="12"/>
          <w:numId w:val="0"/>
        </w:numPr>
      </w:pPr>
    </w:p>
    <w:p w:rsidR="009F2633" w:rsidP="009F2633" w:rsidRDefault="009F2633" w14:paraId="1095F2F4" w14:textId="77777777">
      <w:pPr>
        <w:keepNext/>
        <w:numPr>
          <w:ilvl w:val="0"/>
          <w:numId w:val="1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9F2633" w:rsidP="00BB78AB" w:rsidRDefault="009F2633" w14:paraId="1095F2F5" w14:textId="77777777">
      <w:pPr>
        <w:keepNext/>
        <w:numPr>
          <w:ilvl w:val="12"/>
          <w:numId w:val="0"/>
        </w:numPr>
        <w:ind w:left="360"/>
      </w:pPr>
    </w:p>
    <w:p w:rsidR="009F2633" w:rsidP="00BB78AB" w:rsidRDefault="00AC464B" w14:paraId="1095F2F6" w14:textId="1E3AC23F">
      <w:pPr>
        <w:numPr>
          <w:ilvl w:val="12"/>
          <w:numId w:val="0"/>
        </w:numPr>
        <w:ind w:left="360"/>
      </w:pPr>
      <w:r>
        <w:t xml:space="preserve">TSA cannot obtain the </w:t>
      </w:r>
      <w:r w:rsidR="006F7570">
        <w:t xml:space="preserve">information needed to complete a </w:t>
      </w:r>
      <w:r>
        <w:t xml:space="preserve">request for reimbursement from any </w:t>
      </w:r>
      <w:r w:rsidR="0097331B">
        <w:t>other</w:t>
      </w:r>
      <w:r>
        <w:t xml:space="preserve"> source.</w:t>
      </w:r>
      <w:r w:rsidR="009B66B4">
        <w:t xml:space="preserve"> </w:t>
      </w:r>
      <w:r>
        <w:t xml:space="preserve"> </w:t>
      </w:r>
      <w:r>
        <w:rPr>
          <w:rFonts w:cs="Times New Roman"/>
          <w:color w:val="auto"/>
          <w:szCs w:val="24"/>
        </w:rPr>
        <w:t>There is no similar information already available that TSA can use for the purpose described in Item 2 above.</w:t>
      </w:r>
    </w:p>
    <w:p w:rsidR="009F2633" w:rsidP="00BB78AB" w:rsidRDefault="009F2633" w14:paraId="1095F2F7" w14:textId="77777777">
      <w:pPr>
        <w:numPr>
          <w:ilvl w:val="12"/>
          <w:numId w:val="0"/>
        </w:numPr>
      </w:pPr>
    </w:p>
    <w:p w:rsidR="009F2633" w:rsidP="009F2633" w:rsidRDefault="009F2633" w14:paraId="1095F2F8" w14:textId="77777777">
      <w:pPr>
        <w:keepNext/>
        <w:numPr>
          <w:ilvl w:val="0"/>
          <w:numId w:val="1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9F2633" w:rsidP="00BB78AB" w:rsidRDefault="009F2633" w14:paraId="1095F2F9" w14:textId="77777777">
      <w:pPr>
        <w:keepNext/>
        <w:numPr>
          <w:ilvl w:val="12"/>
          <w:numId w:val="0"/>
        </w:numPr>
        <w:ind w:left="360"/>
      </w:pPr>
    </w:p>
    <w:p w:rsidR="00AC464B" w:rsidP="00AC464B" w:rsidRDefault="00AC464B" w14:paraId="1095F2FA" w14:textId="259D2D25">
      <w:pPr>
        <w:numPr>
          <w:ilvl w:val="12"/>
          <w:numId w:val="0"/>
        </w:numPr>
        <w:ind w:left="360"/>
        <w:rPr>
          <w:color w:val="auto"/>
          <w:szCs w:val="24"/>
        </w:rPr>
      </w:pPr>
      <w:r>
        <w:rPr>
          <w:color w:val="auto"/>
          <w:szCs w:val="24"/>
        </w:rPr>
        <w:t>This collection does not have a significant impact on a substantial number of small businesses.</w:t>
      </w:r>
      <w:r w:rsidR="00C7180D">
        <w:rPr>
          <w:color w:val="auto"/>
          <w:szCs w:val="24"/>
        </w:rPr>
        <w:t xml:space="preserve">  Eligibility to participate in the program is limited to U.S. commercial airport owners/operators and/or State, local, or other public institutions/organizations responsible for commercial airport operations.</w:t>
      </w:r>
    </w:p>
    <w:p w:rsidR="009F2633" w:rsidP="00BB78AB" w:rsidRDefault="009F2633" w14:paraId="1095F2FB" w14:textId="77777777">
      <w:pPr>
        <w:numPr>
          <w:ilvl w:val="12"/>
          <w:numId w:val="0"/>
        </w:numPr>
      </w:pPr>
    </w:p>
    <w:p w:rsidR="009F2633" w:rsidP="009F2633" w:rsidRDefault="009F2633" w14:paraId="1095F2FC" w14:textId="77777777">
      <w:pPr>
        <w:keepNext/>
        <w:numPr>
          <w:ilvl w:val="0"/>
          <w:numId w:val="1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rsidR="009F2633" w:rsidP="00BB78AB" w:rsidRDefault="009F2633" w14:paraId="1095F2FD" w14:textId="77777777">
      <w:pPr>
        <w:keepNext/>
        <w:numPr>
          <w:ilvl w:val="12"/>
          <w:numId w:val="0"/>
        </w:numPr>
        <w:ind w:left="360"/>
      </w:pPr>
    </w:p>
    <w:p w:rsidR="009F2633" w:rsidP="00BB78AB" w:rsidRDefault="002E4273" w14:paraId="1095F2FE" w14:textId="514507E3">
      <w:pPr>
        <w:numPr>
          <w:ilvl w:val="12"/>
          <w:numId w:val="0"/>
        </w:numPr>
        <w:ind w:left="360"/>
      </w:pPr>
      <w:r>
        <w:t>If this collection</w:t>
      </w:r>
      <w:r w:rsidR="00574D54">
        <w:t xml:space="preserve"> is not conducted, TSA will not</w:t>
      </w:r>
      <w:r>
        <w:t xml:space="preserve"> be able to</w:t>
      </w:r>
      <w:r w:rsidR="00AC464B">
        <w:t xml:space="preserve"> </w:t>
      </w:r>
      <w:r w:rsidR="0097331B">
        <w:t>adequately</w:t>
      </w:r>
      <w:r>
        <w:t xml:space="preserve"> reimburse entities </w:t>
      </w:r>
      <w:r w:rsidR="00574D54">
        <w:t xml:space="preserve">for </w:t>
      </w:r>
      <w:r w:rsidR="004751CE">
        <w:t>costs incurred</w:t>
      </w:r>
      <w:r w:rsidR="00AE21FE">
        <w:t xml:space="preserve"> in providing</w:t>
      </w:r>
      <w:r w:rsidR="000536D1">
        <w:t xml:space="preserve"> </w:t>
      </w:r>
      <w:r w:rsidR="00574D54">
        <w:t xml:space="preserve">law enforcement support </w:t>
      </w:r>
      <w:r w:rsidR="003B7338">
        <w:t>of TSA</w:t>
      </w:r>
      <w:r w:rsidR="005B2C72">
        <w:t xml:space="preserve"> screening activities</w:t>
      </w:r>
      <w:r w:rsidR="00AC464B">
        <w:t>, or provide for the appropriate release of federal funds</w:t>
      </w:r>
      <w:r w:rsidR="00574D54">
        <w:t>.</w:t>
      </w:r>
    </w:p>
    <w:p w:rsidR="009F2633" w:rsidP="00BB78AB" w:rsidRDefault="009F2633" w14:paraId="1095F2FF" w14:textId="77777777">
      <w:pPr>
        <w:numPr>
          <w:ilvl w:val="12"/>
          <w:numId w:val="0"/>
        </w:numPr>
      </w:pPr>
    </w:p>
    <w:p w:rsidR="009F2633" w:rsidP="009F2633" w:rsidRDefault="009F2633" w14:paraId="1095F300" w14:textId="77777777">
      <w:pPr>
        <w:keepNext/>
        <w:numPr>
          <w:ilvl w:val="0"/>
          <w:numId w:val="11"/>
        </w:numPr>
        <w:tabs>
          <w:tab w:val="left" w:pos="360"/>
        </w:tabs>
        <w:rPr>
          <w:b/>
          <w:i/>
        </w:rPr>
      </w:pPr>
      <w:r>
        <w:rPr>
          <w:b/>
          <w:i/>
        </w:rPr>
        <w:t>Explain any special circumstances that require the collection to be conducted in a manner inconsistent with the general information collection guidelines in 5 CFR 1320.5(d)(2).</w:t>
      </w:r>
    </w:p>
    <w:p w:rsidR="009F2633" w:rsidP="00BB78AB" w:rsidRDefault="009F2633" w14:paraId="1095F301" w14:textId="77777777">
      <w:pPr>
        <w:keepNext/>
        <w:numPr>
          <w:ilvl w:val="12"/>
          <w:numId w:val="0"/>
        </w:numPr>
        <w:ind w:left="360"/>
      </w:pPr>
    </w:p>
    <w:p w:rsidR="009F2633" w:rsidP="00BB78AB" w:rsidRDefault="00AC464B" w14:paraId="1095F302" w14:textId="70CF27EC">
      <w:pPr>
        <w:numPr>
          <w:ilvl w:val="12"/>
          <w:numId w:val="0"/>
        </w:numPr>
        <w:ind w:left="360"/>
      </w:pPr>
      <w:r>
        <w:t xml:space="preserve">This collection </w:t>
      </w:r>
      <w:r w:rsidR="00427316">
        <w:t>is</w:t>
      </w:r>
      <w:r>
        <w:t xml:space="preserve"> conducted in accordance with collection guidelines in 5 CFR 1320.5(d)(2).</w:t>
      </w:r>
    </w:p>
    <w:p w:rsidR="009F2633" w:rsidP="00BB78AB" w:rsidRDefault="009F2633" w14:paraId="1095F303" w14:textId="77777777">
      <w:pPr>
        <w:numPr>
          <w:ilvl w:val="12"/>
          <w:numId w:val="0"/>
        </w:numPr>
      </w:pPr>
    </w:p>
    <w:p w:rsidR="009F2633" w:rsidP="009F2633" w:rsidRDefault="009F2633" w14:paraId="1095F304" w14:textId="77777777">
      <w:pPr>
        <w:keepNext/>
        <w:numPr>
          <w:ilvl w:val="0"/>
          <w:numId w:val="1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C464B" w:rsidP="00AC464B" w:rsidRDefault="00AC464B" w14:paraId="1095F305" w14:textId="77777777">
      <w:pPr>
        <w:keepNext/>
        <w:tabs>
          <w:tab w:val="left" w:pos="360"/>
        </w:tabs>
        <w:rPr>
          <w:b/>
          <w:i/>
        </w:rPr>
      </w:pPr>
    </w:p>
    <w:p w:rsidRPr="00A84016" w:rsidR="00AC464B" w:rsidP="00731643" w:rsidRDefault="00AC464B" w14:paraId="1095F306" w14:textId="72705068">
      <w:pPr>
        <w:tabs>
          <w:tab w:val="left" w:pos="360"/>
        </w:tabs>
        <w:ind w:left="360"/>
        <w:rPr>
          <w:rFonts w:ascii="Georgia" w:hAnsi="Georgia"/>
          <w:b/>
        </w:rPr>
      </w:pPr>
      <w:r>
        <w:rPr>
          <w:szCs w:val="24"/>
        </w:rPr>
        <w:t xml:space="preserve">TSA published a </w:t>
      </w:r>
      <w:r w:rsidR="005A42E0">
        <w:rPr>
          <w:szCs w:val="24"/>
        </w:rPr>
        <w:t xml:space="preserve">60-day </w:t>
      </w:r>
      <w:r>
        <w:rPr>
          <w:szCs w:val="24"/>
        </w:rPr>
        <w:t xml:space="preserve">notice in the </w:t>
      </w:r>
      <w:r w:rsidRPr="005E7D6E">
        <w:rPr>
          <w:i/>
          <w:szCs w:val="24"/>
        </w:rPr>
        <w:t>Federal Register</w:t>
      </w:r>
      <w:r>
        <w:rPr>
          <w:szCs w:val="24"/>
        </w:rPr>
        <w:t xml:space="preserve"> on</w:t>
      </w:r>
      <w:r w:rsidR="003D3E61">
        <w:rPr>
          <w:szCs w:val="24"/>
        </w:rPr>
        <w:t xml:space="preserve"> May 10, 2021</w:t>
      </w:r>
      <w:r w:rsidR="005A42E0">
        <w:rPr>
          <w:szCs w:val="24"/>
        </w:rPr>
        <w:t>,</w:t>
      </w:r>
      <w:r w:rsidRPr="009F3962">
        <w:rPr>
          <w:szCs w:val="24"/>
        </w:rPr>
        <w:t xml:space="preserve"> </w:t>
      </w:r>
      <w:r w:rsidR="005A42E0">
        <w:rPr>
          <w:szCs w:val="24"/>
        </w:rPr>
        <w:t>(</w:t>
      </w:r>
      <w:r w:rsidR="00220853">
        <w:rPr>
          <w:szCs w:val="24"/>
        </w:rPr>
        <w:t>8</w:t>
      </w:r>
      <w:r w:rsidR="009210CF">
        <w:rPr>
          <w:szCs w:val="24"/>
        </w:rPr>
        <w:t>6</w:t>
      </w:r>
      <w:r w:rsidR="005E7D6E">
        <w:rPr>
          <w:szCs w:val="24"/>
        </w:rPr>
        <w:t xml:space="preserve"> FR</w:t>
      </w:r>
      <w:r>
        <w:rPr>
          <w:szCs w:val="24"/>
        </w:rPr>
        <w:t xml:space="preserve"> </w:t>
      </w:r>
      <w:r w:rsidR="008479A7">
        <w:rPr>
          <w:szCs w:val="24"/>
        </w:rPr>
        <w:t>24880</w:t>
      </w:r>
      <w:r>
        <w:rPr>
          <w:szCs w:val="24"/>
        </w:rPr>
        <w:t>)</w:t>
      </w:r>
      <w:r w:rsidR="00751B26">
        <w:rPr>
          <w:szCs w:val="24"/>
        </w:rPr>
        <w:t xml:space="preserve">, and a 30-day notice on </w:t>
      </w:r>
      <w:r w:rsidRPr="005A0A98" w:rsidR="005A0A98">
        <w:rPr>
          <w:szCs w:val="24"/>
        </w:rPr>
        <w:t>September 30</w:t>
      </w:r>
      <w:r w:rsidRPr="005A0A98" w:rsidR="00731643">
        <w:rPr>
          <w:szCs w:val="24"/>
        </w:rPr>
        <w:t>, 20</w:t>
      </w:r>
      <w:r w:rsidRPr="005A0A98" w:rsidR="008479A7">
        <w:rPr>
          <w:szCs w:val="24"/>
        </w:rPr>
        <w:t>21</w:t>
      </w:r>
      <w:bookmarkStart w:name="_GoBack" w:id="0"/>
      <w:bookmarkEnd w:id="0"/>
      <w:r w:rsidRPr="005A0A98" w:rsidR="00751B26">
        <w:rPr>
          <w:szCs w:val="24"/>
        </w:rPr>
        <w:t>, (8</w:t>
      </w:r>
      <w:r w:rsidRPr="005A0A98" w:rsidR="008479A7">
        <w:rPr>
          <w:szCs w:val="24"/>
        </w:rPr>
        <w:t>6</w:t>
      </w:r>
      <w:r w:rsidRPr="005A0A98" w:rsidR="00751B26">
        <w:rPr>
          <w:szCs w:val="24"/>
        </w:rPr>
        <w:t xml:space="preserve"> FR </w:t>
      </w:r>
      <w:r w:rsidRPr="005A0A98" w:rsidR="005A0A98">
        <w:rPr>
          <w:szCs w:val="24"/>
        </w:rPr>
        <w:t>54227</w:t>
      </w:r>
      <w:r w:rsidRPr="005A0A98" w:rsidR="00751B26">
        <w:rPr>
          <w:szCs w:val="24"/>
        </w:rPr>
        <w:t>)</w:t>
      </w:r>
      <w:r w:rsidRPr="005A0A98" w:rsidR="00317762">
        <w:rPr>
          <w:szCs w:val="24"/>
        </w:rPr>
        <w:t>.</w:t>
      </w:r>
      <w:r w:rsidRPr="005A0A98" w:rsidR="00966A16">
        <w:rPr>
          <w:szCs w:val="24"/>
        </w:rPr>
        <w:t xml:space="preserve">  TSA received no comments</w:t>
      </w:r>
      <w:r w:rsidRPr="005A0A98" w:rsidR="00220853">
        <w:rPr>
          <w:szCs w:val="24"/>
        </w:rPr>
        <w:t>.</w:t>
      </w:r>
    </w:p>
    <w:p w:rsidR="009F2633" w:rsidP="00731643" w:rsidRDefault="009F2633" w14:paraId="1095F307" w14:textId="77777777">
      <w:pPr>
        <w:numPr>
          <w:ilvl w:val="12"/>
          <w:numId w:val="0"/>
        </w:numPr>
        <w:ind w:left="360"/>
      </w:pPr>
    </w:p>
    <w:p w:rsidR="009F2633" w:rsidP="009F2633" w:rsidRDefault="009F2633" w14:paraId="1095F308" w14:textId="77777777">
      <w:pPr>
        <w:keepNext/>
        <w:numPr>
          <w:ilvl w:val="0"/>
          <w:numId w:val="11"/>
        </w:numPr>
        <w:tabs>
          <w:tab w:val="left" w:pos="360"/>
        </w:tabs>
        <w:rPr>
          <w:b/>
          <w:i/>
        </w:rPr>
      </w:pPr>
      <w:r>
        <w:rPr>
          <w:b/>
          <w:i/>
        </w:rPr>
        <w:t>Explain any decision to provide any payment or gift to respondents, other than remuneration of contractors or grantees.</w:t>
      </w:r>
    </w:p>
    <w:p w:rsidR="009F2633" w:rsidP="00BB78AB" w:rsidRDefault="009F2633" w14:paraId="1095F309" w14:textId="77777777">
      <w:pPr>
        <w:keepNext/>
        <w:numPr>
          <w:ilvl w:val="12"/>
          <w:numId w:val="0"/>
        </w:numPr>
        <w:ind w:left="360"/>
      </w:pPr>
    </w:p>
    <w:p w:rsidRPr="00AC464B" w:rsidR="00AC464B" w:rsidP="00AC464B" w:rsidRDefault="00AC464B" w14:paraId="1095F30A" w14:textId="77777777">
      <w:pPr>
        <w:numPr>
          <w:ilvl w:val="12"/>
          <w:numId w:val="0"/>
        </w:numPr>
        <w:ind w:left="360"/>
        <w:rPr>
          <w:b/>
        </w:rPr>
      </w:pPr>
      <w:r w:rsidRPr="00AC464B">
        <w:t>TSA does not provide any payment or gift to respondents.</w:t>
      </w:r>
    </w:p>
    <w:p w:rsidR="009F2633" w:rsidP="00BB78AB" w:rsidRDefault="009F2633" w14:paraId="1095F30B" w14:textId="77777777">
      <w:pPr>
        <w:numPr>
          <w:ilvl w:val="12"/>
          <w:numId w:val="0"/>
        </w:numPr>
      </w:pPr>
    </w:p>
    <w:p w:rsidR="009F2633" w:rsidP="009F2633" w:rsidRDefault="009F2633" w14:paraId="1095F30C" w14:textId="77777777">
      <w:pPr>
        <w:keepNext/>
        <w:numPr>
          <w:ilvl w:val="0"/>
          <w:numId w:val="11"/>
        </w:numPr>
        <w:tabs>
          <w:tab w:val="left" w:pos="360"/>
        </w:tabs>
        <w:rPr>
          <w:b/>
          <w:i/>
        </w:rPr>
      </w:pPr>
      <w:r>
        <w:rPr>
          <w:b/>
          <w:i/>
        </w:rPr>
        <w:t>Describe any assurance of confidentiality provided to respondents and the basis for the assurance in statute, regulation, or agency policy.</w:t>
      </w:r>
    </w:p>
    <w:p w:rsidR="009F2633" w:rsidP="00BB78AB" w:rsidRDefault="009F2633" w14:paraId="1095F30D" w14:textId="77777777">
      <w:pPr>
        <w:keepNext/>
        <w:numPr>
          <w:ilvl w:val="12"/>
          <w:numId w:val="0"/>
        </w:numPr>
        <w:ind w:left="360"/>
      </w:pPr>
    </w:p>
    <w:p w:rsidRPr="00347826" w:rsidR="0038362B" w:rsidP="00D356FF" w:rsidRDefault="0038362B" w14:paraId="1095F30E" w14:textId="51602369">
      <w:pPr>
        <w:numPr>
          <w:ilvl w:val="12"/>
          <w:numId w:val="0"/>
        </w:numPr>
        <w:ind w:left="360"/>
        <w:rPr>
          <w:i/>
          <w:color w:val="auto"/>
        </w:rPr>
      </w:pPr>
      <w:r w:rsidRPr="00347826">
        <w:rPr>
          <w:color w:val="auto"/>
        </w:rPr>
        <w:t xml:space="preserve">No assurance of confidentiality is provided to respondents.  </w:t>
      </w:r>
      <w:r w:rsidR="00966A16">
        <w:rPr>
          <w:color w:val="auto"/>
        </w:rPr>
        <w:t>The</w:t>
      </w:r>
      <w:r w:rsidRPr="00347826">
        <w:rPr>
          <w:color w:val="auto"/>
        </w:rPr>
        <w:t xml:space="preserve"> Privacy Act of 1974, 5 U.S.C.</w:t>
      </w:r>
      <w:r w:rsidR="00AE21FE">
        <w:rPr>
          <w:color w:val="auto"/>
        </w:rPr>
        <w:t xml:space="preserve"> </w:t>
      </w:r>
      <w:r w:rsidRPr="00347826">
        <w:rPr>
          <w:color w:val="auto"/>
        </w:rPr>
        <w:t>§</w:t>
      </w:r>
      <w:r w:rsidR="00CE1392">
        <w:rPr>
          <w:color w:val="auto"/>
        </w:rPr>
        <w:t xml:space="preserve"> </w:t>
      </w:r>
      <w:r w:rsidRPr="00347826">
        <w:rPr>
          <w:color w:val="auto"/>
        </w:rPr>
        <w:t>552a</w:t>
      </w:r>
      <w:r w:rsidR="000F4945">
        <w:rPr>
          <w:color w:val="auto"/>
        </w:rPr>
        <w:t>,</w:t>
      </w:r>
      <w:r w:rsidR="00966A16">
        <w:rPr>
          <w:color w:val="auto"/>
        </w:rPr>
        <w:t xml:space="preserve"> does not </w:t>
      </w:r>
      <w:r w:rsidR="00E20B38">
        <w:rPr>
          <w:color w:val="auto"/>
        </w:rPr>
        <w:t xml:space="preserve">apply </w:t>
      </w:r>
      <w:r w:rsidR="00966A16">
        <w:rPr>
          <w:color w:val="auto"/>
        </w:rPr>
        <w:t>to this collection</w:t>
      </w:r>
      <w:r w:rsidR="00D356FF">
        <w:rPr>
          <w:color w:val="auto"/>
        </w:rPr>
        <w:t xml:space="preserve"> as information is not</w:t>
      </w:r>
      <w:r w:rsidR="000F4945">
        <w:rPr>
          <w:color w:val="auto"/>
        </w:rPr>
        <w:t xml:space="preserve"> filed and</w:t>
      </w:r>
      <w:r w:rsidR="00D356FF">
        <w:rPr>
          <w:color w:val="auto"/>
        </w:rPr>
        <w:t xml:space="preserve"> retrieved by personal identifier</w:t>
      </w:r>
      <w:r w:rsidR="00347826">
        <w:rPr>
          <w:bCs/>
          <w:iCs/>
          <w:color w:val="auto"/>
        </w:rPr>
        <w:t>.</w:t>
      </w:r>
      <w:r w:rsidR="00DF1649">
        <w:rPr>
          <w:bCs/>
          <w:iCs/>
          <w:color w:val="auto"/>
        </w:rPr>
        <w:t xml:space="preserve">  </w:t>
      </w:r>
      <w:r w:rsidR="00D356FF">
        <w:rPr>
          <w:bCs/>
          <w:iCs/>
          <w:color w:val="auto"/>
        </w:rPr>
        <w:t>However,</w:t>
      </w:r>
      <w:r w:rsidR="00DF1649">
        <w:rPr>
          <w:bCs/>
          <w:iCs/>
          <w:color w:val="auto"/>
        </w:rPr>
        <w:t xml:space="preserve"> </w:t>
      </w:r>
      <w:r w:rsidR="00D356FF">
        <w:rPr>
          <w:bCs/>
          <w:iCs/>
          <w:color w:val="auto"/>
        </w:rPr>
        <w:t xml:space="preserve">the collection is covered under a Privacy Impact Assessment (PIA), </w:t>
      </w:r>
      <w:r w:rsidRPr="00D356FF" w:rsidR="00D356FF">
        <w:rPr>
          <w:bCs/>
          <w:iCs/>
          <w:color w:val="auto"/>
        </w:rPr>
        <w:t>DHS/ALL/PIA-053</w:t>
      </w:r>
      <w:r w:rsidR="00D356FF">
        <w:rPr>
          <w:bCs/>
          <w:iCs/>
          <w:color w:val="auto"/>
        </w:rPr>
        <w:t xml:space="preserve"> </w:t>
      </w:r>
      <w:r w:rsidRPr="00D356FF" w:rsidR="00D356FF">
        <w:rPr>
          <w:bCs/>
          <w:iCs/>
          <w:color w:val="auto"/>
        </w:rPr>
        <w:t>DHS Financial Management Systems</w:t>
      </w:r>
      <w:r w:rsidR="00D356FF">
        <w:rPr>
          <w:bCs/>
          <w:iCs/>
          <w:color w:val="auto"/>
        </w:rPr>
        <w:t xml:space="preserve"> (</w:t>
      </w:r>
      <w:r w:rsidRPr="00D356FF" w:rsidR="00D356FF">
        <w:rPr>
          <w:bCs/>
          <w:iCs/>
          <w:color w:val="auto"/>
        </w:rPr>
        <w:t>July 30, 2015</w:t>
      </w:r>
      <w:r w:rsidR="00DF1649">
        <w:rPr>
          <w:bCs/>
          <w:iCs/>
          <w:color w:val="auto"/>
        </w:rPr>
        <w:t>)</w:t>
      </w:r>
      <w:r w:rsidR="0075705B">
        <w:rPr>
          <w:bCs/>
          <w:iCs/>
          <w:color w:val="auto"/>
        </w:rPr>
        <w:t>, and a System of Record Notice, DHS/ALL-007 Accounts</w:t>
      </w:r>
      <w:r w:rsidR="008251F5">
        <w:rPr>
          <w:bCs/>
          <w:iCs/>
          <w:color w:val="auto"/>
        </w:rPr>
        <w:t xml:space="preserve"> </w:t>
      </w:r>
      <w:r w:rsidR="0075705B">
        <w:rPr>
          <w:bCs/>
          <w:iCs/>
          <w:color w:val="auto"/>
        </w:rPr>
        <w:t>Payable System of Record</w:t>
      </w:r>
      <w:r w:rsidR="008251F5">
        <w:rPr>
          <w:bCs/>
          <w:iCs/>
          <w:color w:val="auto"/>
        </w:rPr>
        <w:t xml:space="preserve">.  </w:t>
      </w:r>
      <w:r w:rsidRPr="008251F5" w:rsidR="008251F5">
        <w:rPr>
          <w:bCs/>
          <w:i/>
          <w:iCs/>
          <w:color w:val="auto"/>
        </w:rPr>
        <w:t>See</w:t>
      </w:r>
      <w:r w:rsidR="008251F5">
        <w:rPr>
          <w:bCs/>
          <w:iCs/>
          <w:color w:val="auto"/>
        </w:rPr>
        <w:t xml:space="preserve"> 83 </w:t>
      </w:r>
      <w:r w:rsidR="0075705B">
        <w:rPr>
          <w:bCs/>
          <w:iCs/>
          <w:color w:val="auto"/>
        </w:rPr>
        <w:t xml:space="preserve">FR </w:t>
      </w:r>
      <w:r w:rsidR="0001753F">
        <w:rPr>
          <w:bCs/>
          <w:iCs/>
          <w:color w:val="auto"/>
        </w:rPr>
        <w:t xml:space="preserve">65705 </w:t>
      </w:r>
      <w:r w:rsidR="0075705B">
        <w:rPr>
          <w:bCs/>
          <w:iCs/>
          <w:color w:val="auto"/>
        </w:rPr>
        <w:t>(</w:t>
      </w:r>
      <w:r w:rsidR="008251F5">
        <w:rPr>
          <w:bCs/>
          <w:iCs/>
          <w:color w:val="auto"/>
        </w:rPr>
        <w:t>December 21, 2018</w:t>
      </w:r>
      <w:r w:rsidR="0075705B">
        <w:rPr>
          <w:bCs/>
          <w:iCs/>
          <w:color w:val="auto"/>
        </w:rPr>
        <w:t>)</w:t>
      </w:r>
      <w:r w:rsidR="008251F5">
        <w:rPr>
          <w:bCs/>
          <w:iCs/>
          <w:color w:val="auto"/>
        </w:rPr>
        <w:t>.</w:t>
      </w:r>
      <w:r w:rsidR="0075705B">
        <w:rPr>
          <w:bCs/>
          <w:iCs/>
          <w:color w:val="auto"/>
        </w:rPr>
        <w:t xml:space="preserve"> </w:t>
      </w:r>
    </w:p>
    <w:p w:rsidR="00AC464B" w:rsidP="00AC464B" w:rsidRDefault="00AC464B" w14:paraId="1095F30F" w14:textId="77777777">
      <w:pPr>
        <w:numPr>
          <w:ilvl w:val="12"/>
          <w:numId w:val="0"/>
        </w:numPr>
        <w:ind w:left="360"/>
      </w:pPr>
    </w:p>
    <w:p w:rsidR="009F2633" w:rsidP="009F2633" w:rsidRDefault="009F2633" w14:paraId="1095F310" w14:textId="77777777">
      <w:pPr>
        <w:keepNext/>
        <w:numPr>
          <w:ilvl w:val="0"/>
          <w:numId w:val="1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9F2633" w:rsidP="001F0623" w:rsidRDefault="009F2633" w14:paraId="1095F311" w14:textId="77777777">
      <w:pPr>
        <w:keepNext/>
        <w:numPr>
          <w:ilvl w:val="12"/>
          <w:numId w:val="0"/>
        </w:numPr>
        <w:ind w:left="360"/>
      </w:pPr>
    </w:p>
    <w:p w:rsidR="009F2633" w:rsidP="002E4273" w:rsidRDefault="000857A1" w14:paraId="1095F312" w14:textId="5A637F86">
      <w:pPr>
        <w:numPr>
          <w:ilvl w:val="12"/>
          <w:numId w:val="0"/>
        </w:numPr>
        <w:ind w:firstLine="360"/>
      </w:pPr>
      <w:r>
        <w:t xml:space="preserve">TSA </w:t>
      </w:r>
      <w:r w:rsidR="00427316">
        <w:t>does</w:t>
      </w:r>
      <w:r>
        <w:t xml:space="preserve"> not collect i</w:t>
      </w:r>
      <w:r w:rsidR="00AC464B">
        <w:t>nformation of a sen</w:t>
      </w:r>
      <w:r w:rsidR="005A42E0">
        <w:t>sitive nature i</w:t>
      </w:r>
      <w:r w:rsidR="00AC464B">
        <w:t>n this collection.</w:t>
      </w:r>
    </w:p>
    <w:p w:rsidR="00AC464B" w:rsidP="002E4273" w:rsidRDefault="00AC464B" w14:paraId="1095F313" w14:textId="77777777">
      <w:pPr>
        <w:numPr>
          <w:ilvl w:val="12"/>
          <w:numId w:val="0"/>
        </w:numPr>
        <w:ind w:firstLine="360"/>
      </w:pPr>
    </w:p>
    <w:p w:rsidR="009F2633" w:rsidP="009F2633" w:rsidRDefault="009F2633" w14:paraId="1095F314" w14:textId="1DB6320D">
      <w:pPr>
        <w:keepNext/>
        <w:numPr>
          <w:ilvl w:val="0"/>
          <w:numId w:val="11"/>
        </w:numPr>
        <w:tabs>
          <w:tab w:val="left" w:pos="360"/>
        </w:tabs>
        <w:rPr>
          <w:b/>
          <w:i/>
        </w:rPr>
      </w:pPr>
      <w:r>
        <w:rPr>
          <w:b/>
          <w:i/>
        </w:rPr>
        <w:t xml:space="preserve">Provide estimates of hour </w:t>
      </w:r>
      <w:r w:rsidR="008A13C5">
        <w:rPr>
          <w:b/>
          <w:i/>
        </w:rPr>
        <w:t xml:space="preserve">and cost </w:t>
      </w:r>
      <w:r>
        <w:rPr>
          <w:b/>
          <w:i/>
        </w:rPr>
        <w:t>burden of the collection of information.</w:t>
      </w:r>
    </w:p>
    <w:p w:rsidR="00BC5A08" w:rsidP="00DF1649" w:rsidRDefault="00BC5A08" w14:paraId="31AC07F6" w14:textId="77777777">
      <w:pPr>
        <w:keepNext/>
      </w:pPr>
    </w:p>
    <w:p w:rsidR="008247DA" w:rsidP="008247DA" w:rsidRDefault="008247DA" w14:paraId="375C7C22" w14:textId="77777777">
      <w:pPr>
        <w:numPr>
          <w:ilvl w:val="12"/>
          <w:numId w:val="0"/>
        </w:numPr>
        <w:ind w:left="360"/>
        <w:rPr>
          <w:color w:val="auto"/>
          <w:szCs w:val="24"/>
        </w:rPr>
      </w:pPr>
      <w:r>
        <w:rPr>
          <w:color w:val="auto"/>
          <w:szCs w:val="24"/>
        </w:rPr>
        <w:t>TSA estimates the total annual hour burden for this collection is approximately 3,528 hours.  TSA estimates that there are 294 respondent airports annually, each of which submits monthly requests for reimbursements (3,528 total annual responses = 294 x 12 months).</w:t>
      </w:r>
      <w:r>
        <w:rPr>
          <w:rStyle w:val="FootnoteReference"/>
          <w:color w:val="auto"/>
          <w:szCs w:val="24"/>
        </w:rPr>
        <w:footnoteReference w:id="1"/>
      </w:r>
      <w:r>
        <w:rPr>
          <w:color w:val="auto"/>
          <w:szCs w:val="24"/>
        </w:rPr>
        <w:t xml:space="preserve">  TSA estimates that respondent airports will take 60 minutes (1 hour) to complete their response.</w:t>
      </w:r>
      <w:r>
        <w:rPr>
          <w:rStyle w:val="FootnoteReference"/>
          <w:color w:val="auto"/>
          <w:szCs w:val="24"/>
        </w:rPr>
        <w:footnoteReference w:id="2"/>
      </w:r>
      <w:r>
        <w:rPr>
          <w:color w:val="auto"/>
          <w:szCs w:val="24"/>
        </w:rPr>
        <w:t xml:space="preserve">  TSA assumes that the response to the collection will be completed by a clerk.</w:t>
      </w:r>
      <w:r>
        <w:rPr>
          <w:rStyle w:val="FootnoteReference"/>
          <w:color w:val="auto"/>
          <w:szCs w:val="24"/>
        </w:rPr>
        <w:footnoteReference w:id="3"/>
      </w:r>
      <w:r>
        <w:rPr>
          <w:color w:val="auto"/>
          <w:szCs w:val="24"/>
        </w:rPr>
        <w:t xml:space="preserve">  TSA estimates that the fully-loaded</w:t>
      </w:r>
      <w:r>
        <w:rPr>
          <w:rStyle w:val="FootnoteReference"/>
          <w:color w:val="auto"/>
          <w:szCs w:val="24"/>
        </w:rPr>
        <w:footnoteReference w:id="4"/>
      </w:r>
      <w:r>
        <w:rPr>
          <w:color w:val="auto"/>
          <w:szCs w:val="24"/>
        </w:rPr>
        <w:t xml:space="preserve"> hourly wage rate for a clerk is $38.71.</w:t>
      </w:r>
      <w:r>
        <w:rPr>
          <w:rStyle w:val="FootnoteReference"/>
          <w:color w:val="auto"/>
          <w:szCs w:val="24"/>
        </w:rPr>
        <w:footnoteReference w:id="5"/>
      </w:r>
      <w:r>
        <w:rPr>
          <w:color w:val="auto"/>
          <w:szCs w:val="24"/>
        </w:rPr>
        <w:t xml:space="preserve">  TSA multiplies the annual hours of 3,528 by $38.71 to estimate an annual hour burden cost of $136,586.  TSA estimates a three-year hour cost burden of $409,757.  </w:t>
      </w:r>
    </w:p>
    <w:p w:rsidR="008247DA" w:rsidP="008247DA" w:rsidRDefault="008247DA" w14:paraId="7212FECA" w14:textId="77777777">
      <w:pPr>
        <w:numPr>
          <w:ilvl w:val="12"/>
          <w:numId w:val="0"/>
        </w:numPr>
        <w:ind w:left="360"/>
        <w:jc w:val="center"/>
        <w:rPr>
          <w:rFonts w:cs="Times New Roman"/>
          <w:b/>
          <w:color w:val="auto"/>
          <w:szCs w:val="24"/>
        </w:rPr>
      </w:pPr>
    </w:p>
    <w:p w:rsidR="00AC464B" w:rsidP="00AC464B" w:rsidRDefault="00AC464B" w14:paraId="1095F317" w14:textId="5844F926">
      <w:pPr>
        <w:numPr>
          <w:ilvl w:val="12"/>
          <w:numId w:val="0"/>
        </w:numPr>
        <w:ind w:left="360"/>
        <w:rPr>
          <w:rFonts w:ascii="Georgia" w:hAnsi="Georgia"/>
          <w:b/>
          <w:color w:val="auto"/>
          <w:sz w:val="20"/>
        </w:rPr>
      </w:pPr>
    </w:p>
    <w:p w:rsidRPr="00DF1649" w:rsidR="00A36334" w:rsidP="00DF1649" w:rsidRDefault="00A36334" w14:paraId="69171D0A" w14:textId="1F3E1758">
      <w:pPr>
        <w:numPr>
          <w:ilvl w:val="12"/>
          <w:numId w:val="0"/>
        </w:numPr>
        <w:ind w:left="360"/>
        <w:jc w:val="center"/>
        <w:rPr>
          <w:rFonts w:cs="Times New Roman"/>
          <w:b/>
          <w:color w:val="auto"/>
          <w:szCs w:val="24"/>
        </w:rPr>
      </w:pPr>
      <w:r w:rsidRPr="00DF1649">
        <w:rPr>
          <w:rFonts w:cs="Times New Roman"/>
          <w:b/>
          <w:color w:val="auto"/>
          <w:szCs w:val="24"/>
        </w:rPr>
        <w:t>Table 1. Public Hour Burden Cost</w:t>
      </w:r>
    </w:p>
    <w:tbl>
      <w:tblPr>
        <w:tblW w:w="10048" w:type="dxa"/>
        <w:tblInd w:w="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620"/>
        <w:gridCol w:w="1440"/>
        <w:gridCol w:w="1350"/>
        <w:gridCol w:w="990"/>
        <w:gridCol w:w="1350"/>
        <w:gridCol w:w="1710"/>
        <w:gridCol w:w="1588"/>
      </w:tblGrid>
      <w:tr w:rsidRPr="00BC5A08" w:rsidR="00BC5A08" w:rsidTr="00DF1649" w14:paraId="1095F31C" w14:textId="1EF3A44A">
        <w:tc>
          <w:tcPr>
            <w:tcW w:w="1620" w:type="dxa"/>
            <w:vAlign w:val="bottom"/>
          </w:tcPr>
          <w:p w:rsidRPr="00DB3F9A" w:rsidR="00954B1F" w:rsidP="00DF1649" w:rsidRDefault="00954B1F" w14:paraId="1095F318" w14:textId="1C5D970B">
            <w:pPr>
              <w:keepLines/>
              <w:numPr>
                <w:ilvl w:val="12"/>
                <w:numId w:val="0"/>
              </w:numPr>
              <w:jc w:val="center"/>
              <w:rPr>
                <w:rFonts w:cs="Times New Roman"/>
                <w:b/>
                <w:szCs w:val="24"/>
              </w:rPr>
            </w:pPr>
            <w:r w:rsidRPr="00DB3F9A">
              <w:rPr>
                <w:rFonts w:cs="Times New Roman"/>
                <w:b/>
                <w:szCs w:val="24"/>
              </w:rPr>
              <w:t>Number of Respondents</w:t>
            </w:r>
          </w:p>
        </w:tc>
        <w:tc>
          <w:tcPr>
            <w:tcW w:w="1440" w:type="dxa"/>
            <w:vAlign w:val="bottom"/>
          </w:tcPr>
          <w:p w:rsidRPr="00DB3F9A" w:rsidR="00954B1F" w:rsidP="00DF1649" w:rsidRDefault="00954B1F" w14:paraId="1095F319" w14:textId="7EE6BE56">
            <w:pPr>
              <w:keepLines/>
              <w:numPr>
                <w:ilvl w:val="12"/>
                <w:numId w:val="0"/>
              </w:numPr>
              <w:jc w:val="center"/>
              <w:rPr>
                <w:rFonts w:cs="Times New Roman"/>
                <w:b/>
                <w:szCs w:val="24"/>
              </w:rPr>
            </w:pPr>
            <w:r w:rsidRPr="00DB3F9A">
              <w:rPr>
                <w:rFonts w:cs="Times New Roman"/>
                <w:b/>
                <w:szCs w:val="24"/>
              </w:rPr>
              <w:t xml:space="preserve">Number of </w:t>
            </w:r>
            <w:r w:rsidRPr="00DB3F9A" w:rsidR="000A58C6">
              <w:rPr>
                <w:rFonts w:cs="Times New Roman"/>
                <w:b/>
                <w:szCs w:val="24"/>
              </w:rPr>
              <w:t xml:space="preserve">Annual </w:t>
            </w:r>
            <w:r w:rsidRPr="00DB3F9A">
              <w:rPr>
                <w:rFonts w:cs="Times New Roman"/>
                <w:b/>
                <w:szCs w:val="24"/>
              </w:rPr>
              <w:t>Responses per Respondent</w:t>
            </w:r>
          </w:p>
        </w:tc>
        <w:tc>
          <w:tcPr>
            <w:tcW w:w="1350" w:type="dxa"/>
            <w:vAlign w:val="bottom"/>
          </w:tcPr>
          <w:p w:rsidRPr="00DB3F9A" w:rsidR="00954B1F" w:rsidDel="00954B1F" w:rsidP="00DF1649" w:rsidRDefault="00954B1F" w14:paraId="2633CB3E" w14:textId="775B5E30">
            <w:pPr>
              <w:keepLines/>
              <w:numPr>
                <w:ilvl w:val="12"/>
                <w:numId w:val="0"/>
              </w:numPr>
              <w:jc w:val="center"/>
              <w:rPr>
                <w:rFonts w:cs="Times New Roman"/>
                <w:b/>
                <w:szCs w:val="24"/>
              </w:rPr>
            </w:pPr>
            <w:r w:rsidRPr="00DB3F9A">
              <w:rPr>
                <w:rFonts w:cs="Times New Roman"/>
                <w:b/>
                <w:szCs w:val="24"/>
              </w:rPr>
              <w:t>Number of Annual Responses</w:t>
            </w:r>
          </w:p>
        </w:tc>
        <w:tc>
          <w:tcPr>
            <w:tcW w:w="990" w:type="dxa"/>
            <w:vAlign w:val="bottom"/>
          </w:tcPr>
          <w:p w:rsidRPr="00DB3F9A" w:rsidR="00954B1F" w:rsidP="00DF1649" w:rsidRDefault="00954B1F" w14:paraId="1095F31A" w14:textId="0B22E677">
            <w:pPr>
              <w:keepLines/>
              <w:numPr>
                <w:ilvl w:val="12"/>
                <w:numId w:val="0"/>
              </w:numPr>
              <w:jc w:val="center"/>
              <w:rPr>
                <w:rFonts w:cs="Times New Roman"/>
                <w:b/>
                <w:szCs w:val="24"/>
              </w:rPr>
            </w:pPr>
            <w:r w:rsidRPr="00DB3F9A">
              <w:rPr>
                <w:rFonts w:cs="Times New Roman"/>
                <w:b/>
                <w:szCs w:val="24"/>
              </w:rPr>
              <w:t>Time per Response (hours)</w:t>
            </w:r>
          </w:p>
        </w:tc>
        <w:tc>
          <w:tcPr>
            <w:tcW w:w="1350" w:type="dxa"/>
            <w:vAlign w:val="bottom"/>
          </w:tcPr>
          <w:p w:rsidRPr="00DB3F9A" w:rsidR="00954B1F" w:rsidP="00DF1649" w:rsidRDefault="00954B1F" w14:paraId="34466FB7" w14:textId="72C03A84">
            <w:pPr>
              <w:keepLines/>
              <w:numPr>
                <w:ilvl w:val="12"/>
                <w:numId w:val="0"/>
              </w:numPr>
              <w:jc w:val="center"/>
              <w:rPr>
                <w:rFonts w:cs="Times New Roman"/>
                <w:b/>
                <w:szCs w:val="24"/>
              </w:rPr>
            </w:pPr>
            <w:r w:rsidRPr="00DB3F9A">
              <w:rPr>
                <w:rFonts w:cs="Times New Roman"/>
                <w:b/>
                <w:szCs w:val="24"/>
              </w:rPr>
              <w:t>Total Annual Burden</w:t>
            </w:r>
          </w:p>
          <w:p w:rsidRPr="00DB3F9A" w:rsidR="00954B1F" w:rsidP="00DF1649" w:rsidRDefault="00954B1F" w14:paraId="1095F31B" w14:textId="57074F11">
            <w:pPr>
              <w:keepLines/>
              <w:numPr>
                <w:ilvl w:val="12"/>
                <w:numId w:val="0"/>
              </w:numPr>
              <w:jc w:val="center"/>
              <w:rPr>
                <w:rFonts w:cs="Times New Roman"/>
                <w:b/>
                <w:szCs w:val="24"/>
              </w:rPr>
            </w:pPr>
            <w:r w:rsidRPr="00DB3F9A">
              <w:rPr>
                <w:rFonts w:cs="Times New Roman"/>
                <w:b/>
                <w:szCs w:val="24"/>
              </w:rPr>
              <w:t>(hours)</w:t>
            </w:r>
          </w:p>
        </w:tc>
        <w:tc>
          <w:tcPr>
            <w:tcW w:w="1710" w:type="dxa"/>
            <w:vAlign w:val="bottom"/>
          </w:tcPr>
          <w:p w:rsidRPr="00DB3F9A" w:rsidR="00954B1F" w:rsidP="00DF1649" w:rsidRDefault="00954B1F" w14:paraId="03F26A0D" w14:textId="6B5A74B0">
            <w:pPr>
              <w:keepLines/>
              <w:numPr>
                <w:ilvl w:val="12"/>
                <w:numId w:val="0"/>
              </w:numPr>
              <w:jc w:val="center"/>
              <w:rPr>
                <w:rFonts w:cs="Times New Roman"/>
                <w:b/>
                <w:szCs w:val="24"/>
              </w:rPr>
            </w:pPr>
            <w:r w:rsidRPr="00DB3F9A">
              <w:rPr>
                <w:rFonts w:cs="Times New Roman"/>
                <w:b/>
                <w:szCs w:val="24"/>
              </w:rPr>
              <w:t>Annual Hour Burden Cost</w:t>
            </w:r>
          </w:p>
        </w:tc>
        <w:tc>
          <w:tcPr>
            <w:tcW w:w="1588" w:type="dxa"/>
            <w:vAlign w:val="bottom"/>
          </w:tcPr>
          <w:p w:rsidRPr="00DB3F9A" w:rsidR="00954B1F" w:rsidP="00DF1649" w:rsidRDefault="00954B1F" w14:paraId="05DB2CEC" w14:textId="65AF7E73">
            <w:pPr>
              <w:keepLines/>
              <w:numPr>
                <w:ilvl w:val="12"/>
                <w:numId w:val="0"/>
              </w:numPr>
              <w:jc w:val="center"/>
              <w:rPr>
                <w:rFonts w:cs="Times New Roman"/>
                <w:b/>
                <w:szCs w:val="24"/>
              </w:rPr>
            </w:pPr>
            <w:r w:rsidRPr="00DB3F9A">
              <w:rPr>
                <w:rFonts w:cs="Times New Roman"/>
                <w:b/>
                <w:szCs w:val="24"/>
              </w:rPr>
              <w:t>Total Three Year Public Hour Burden Cost</w:t>
            </w:r>
          </w:p>
        </w:tc>
      </w:tr>
      <w:tr w:rsidRPr="00BC5A08" w:rsidR="00BC5A08" w:rsidTr="00DF1649" w14:paraId="1095F321" w14:textId="00AD9960">
        <w:tc>
          <w:tcPr>
            <w:tcW w:w="1620" w:type="dxa"/>
          </w:tcPr>
          <w:p w:rsidRPr="00DB3F9A" w:rsidR="00954B1F" w:rsidP="00DF1649" w:rsidRDefault="00954B1F" w14:paraId="1095F31D" w14:textId="766FF181">
            <w:pPr>
              <w:keepLines/>
              <w:numPr>
                <w:ilvl w:val="12"/>
                <w:numId w:val="0"/>
              </w:numPr>
              <w:jc w:val="center"/>
              <w:rPr>
                <w:rFonts w:cs="Times New Roman"/>
                <w:b/>
                <w:szCs w:val="24"/>
              </w:rPr>
            </w:pPr>
            <w:r w:rsidRPr="00DB3F9A">
              <w:rPr>
                <w:rFonts w:cs="Times New Roman"/>
                <w:b/>
                <w:szCs w:val="24"/>
              </w:rPr>
              <w:t>A</w:t>
            </w:r>
          </w:p>
        </w:tc>
        <w:tc>
          <w:tcPr>
            <w:tcW w:w="1440" w:type="dxa"/>
          </w:tcPr>
          <w:p w:rsidRPr="00DB3F9A" w:rsidR="00954B1F" w:rsidP="00DF1649" w:rsidRDefault="00954B1F" w14:paraId="1095F31E" w14:textId="5B5ACBDB">
            <w:pPr>
              <w:keepLines/>
              <w:numPr>
                <w:ilvl w:val="12"/>
                <w:numId w:val="0"/>
              </w:numPr>
              <w:jc w:val="center"/>
              <w:rPr>
                <w:rFonts w:cs="Times New Roman"/>
                <w:b/>
                <w:szCs w:val="24"/>
              </w:rPr>
            </w:pPr>
            <w:r w:rsidRPr="00DB3F9A">
              <w:rPr>
                <w:rFonts w:cs="Times New Roman"/>
                <w:b/>
                <w:szCs w:val="24"/>
              </w:rPr>
              <w:t>B</w:t>
            </w:r>
          </w:p>
        </w:tc>
        <w:tc>
          <w:tcPr>
            <w:tcW w:w="1350" w:type="dxa"/>
          </w:tcPr>
          <w:p w:rsidRPr="00DB3F9A" w:rsidR="00954B1F" w:rsidP="00DF1649" w:rsidRDefault="00954B1F" w14:paraId="005A475F" w14:textId="113D8B4D">
            <w:pPr>
              <w:keepLines/>
              <w:numPr>
                <w:ilvl w:val="12"/>
                <w:numId w:val="0"/>
              </w:numPr>
              <w:jc w:val="center"/>
              <w:rPr>
                <w:rFonts w:cs="Times New Roman"/>
                <w:b/>
                <w:szCs w:val="24"/>
              </w:rPr>
            </w:pPr>
            <w:r w:rsidRPr="00DB3F9A">
              <w:rPr>
                <w:rFonts w:cs="Times New Roman"/>
                <w:b/>
                <w:szCs w:val="24"/>
              </w:rPr>
              <w:t>C</w:t>
            </w:r>
          </w:p>
        </w:tc>
        <w:tc>
          <w:tcPr>
            <w:tcW w:w="990" w:type="dxa"/>
          </w:tcPr>
          <w:p w:rsidRPr="00DB3F9A" w:rsidR="00954B1F" w:rsidP="00DF1649" w:rsidRDefault="00954B1F" w14:paraId="1095F31F" w14:textId="43E45695">
            <w:pPr>
              <w:keepLines/>
              <w:numPr>
                <w:ilvl w:val="12"/>
                <w:numId w:val="0"/>
              </w:numPr>
              <w:jc w:val="center"/>
              <w:rPr>
                <w:rFonts w:cs="Times New Roman"/>
                <w:b/>
                <w:szCs w:val="24"/>
              </w:rPr>
            </w:pPr>
            <w:r w:rsidRPr="00DB3F9A">
              <w:rPr>
                <w:rFonts w:cs="Times New Roman"/>
                <w:b/>
                <w:szCs w:val="24"/>
              </w:rPr>
              <w:t>D</w:t>
            </w:r>
          </w:p>
        </w:tc>
        <w:tc>
          <w:tcPr>
            <w:tcW w:w="1350" w:type="dxa"/>
          </w:tcPr>
          <w:p w:rsidRPr="00DB3F9A" w:rsidR="00954B1F" w:rsidP="00DF1649" w:rsidRDefault="00954B1F" w14:paraId="1095F320" w14:textId="65DE31DE">
            <w:pPr>
              <w:keepLines/>
              <w:numPr>
                <w:ilvl w:val="12"/>
                <w:numId w:val="0"/>
              </w:numPr>
              <w:jc w:val="center"/>
              <w:rPr>
                <w:rFonts w:cs="Times New Roman"/>
                <w:b/>
                <w:szCs w:val="24"/>
              </w:rPr>
            </w:pPr>
            <w:r w:rsidRPr="00DB3F9A">
              <w:rPr>
                <w:rFonts w:cs="Times New Roman"/>
                <w:b/>
                <w:szCs w:val="24"/>
              </w:rPr>
              <w:t>E =  C x D</w:t>
            </w:r>
          </w:p>
        </w:tc>
        <w:tc>
          <w:tcPr>
            <w:tcW w:w="1710" w:type="dxa"/>
            <w:vAlign w:val="bottom"/>
          </w:tcPr>
          <w:p w:rsidRPr="00DB3F9A" w:rsidR="00954B1F" w:rsidDel="007B5F6D" w:rsidP="008247DA" w:rsidRDefault="00AE4764" w14:paraId="1EE1A595" w14:textId="5E7F8120">
            <w:pPr>
              <w:keepLines/>
              <w:numPr>
                <w:ilvl w:val="12"/>
                <w:numId w:val="0"/>
              </w:numPr>
              <w:jc w:val="center"/>
              <w:rPr>
                <w:rFonts w:cs="Times New Roman"/>
                <w:b/>
                <w:szCs w:val="24"/>
              </w:rPr>
            </w:pPr>
            <w:r w:rsidRPr="00DB3F9A">
              <w:rPr>
                <w:rFonts w:cs="Times New Roman"/>
                <w:b/>
                <w:bCs/>
                <w:szCs w:val="24"/>
              </w:rPr>
              <w:t>F</w:t>
            </w:r>
            <w:r w:rsidRPr="00DB3F9A" w:rsidR="00954B1F">
              <w:rPr>
                <w:rFonts w:cs="Times New Roman"/>
                <w:b/>
                <w:bCs/>
                <w:szCs w:val="24"/>
              </w:rPr>
              <w:t xml:space="preserve"> = </w:t>
            </w:r>
            <w:r w:rsidRPr="00DB3F9A">
              <w:rPr>
                <w:rFonts w:cs="Times New Roman"/>
                <w:b/>
                <w:bCs/>
                <w:szCs w:val="24"/>
              </w:rPr>
              <w:t>E</w:t>
            </w:r>
            <w:r w:rsidRPr="00DB3F9A" w:rsidR="00954B1F">
              <w:rPr>
                <w:rFonts w:cs="Times New Roman"/>
                <w:b/>
                <w:bCs/>
                <w:szCs w:val="24"/>
              </w:rPr>
              <w:t xml:space="preserve"> x $3</w:t>
            </w:r>
            <w:r w:rsidR="008247DA">
              <w:rPr>
                <w:rFonts w:cs="Times New Roman"/>
                <w:b/>
                <w:bCs/>
                <w:szCs w:val="24"/>
              </w:rPr>
              <w:t>8</w:t>
            </w:r>
            <w:r w:rsidRPr="00DB3F9A" w:rsidR="00954B1F">
              <w:rPr>
                <w:rFonts w:cs="Times New Roman"/>
                <w:b/>
                <w:bCs/>
                <w:szCs w:val="24"/>
              </w:rPr>
              <w:t>.</w:t>
            </w:r>
            <w:r w:rsidR="008247DA">
              <w:rPr>
                <w:rFonts w:cs="Times New Roman"/>
                <w:b/>
                <w:bCs/>
                <w:szCs w:val="24"/>
              </w:rPr>
              <w:t>7</w:t>
            </w:r>
            <w:r w:rsidRPr="00DB3F9A" w:rsidR="00954B1F">
              <w:rPr>
                <w:rFonts w:cs="Times New Roman"/>
                <w:b/>
                <w:bCs/>
                <w:szCs w:val="24"/>
              </w:rPr>
              <w:t>1</w:t>
            </w:r>
          </w:p>
        </w:tc>
        <w:tc>
          <w:tcPr>
            <w:tcW w:w="1588" w:type="dxa"/>
            <w:vAlign w:val="bottom"/>
          </w:tcPr>
          <w:p w:rsidRPr="00DB3F9A" w:rsidR="00954B1F" w:rsidDel="007B5F6D" w:rsidP="00DF1649" w:rsidRDefault="00AE4764" w14:paraId="519A1753" w14:textId="3BF6E028">
            <w:pPr>
              <w:keepLines/>
              <w:numPr>
                <w:ilvl w:val="12"/>
                <w:numId w:val="0"/>
              </w:numPr>
              <w:jc w:val="center"/>
              <w:rPr>
                <w:rFonts w:cs="Times New Roman"/>
                <w:b/>
                <w:szCs w:val="24"/>
              </w:rPr>
            </w:pPr>
            <w:r w:rsidRPr="00DB3F9A">
              <w:rPr>
                <w:rFonts w:cs="Times New Roman"/>
                <w:b/>
                <w:bCs/>
                <w:szCs w:val="24"/>
              </w:rPr>
              <w:t>G</w:t>
            </w:r>
            <w:r w:rsidRPr="00DB3F9A" w:rsidR="00954B1F">
              <w:rPr>
                <w:rFonts w:cs="Times New Roman"/>
                <w:b/>
                <w:bCs/>
                <w:szCs w:val="24"/>
              </w:rPr>
              <w:t xml:space="preserve"> = </w:t>
            </w:r>
            <w:r w:rsidRPr="00DB3F9A">
              <w:rPr>
                <w:rFonts w:cs="Times New Roman"/>
                <w:b/>
                <w:bCs/>
                <w:szCs w:val="24"/>
              </w:rPr>
              <w:t>F</w:t>
            </w:r>
            <w:r w:rsidRPr="00DB3F9A" w:rsidR="00954B1F">
              <w:rPr>
                <w:rFonts w:cs="Times New Roman"/>
                <w:b/>
                <w:bCs/>
                <w:szCs w:val="24"/>
              </w:rPr>
              <w:t xml:space="preserve"> x 3</w:t>
            </w:r>
          </w:p>
        </w:tc>
      </w:tr>
      <w:tr w:rsidRPr="00BC5A08" w:rsidR="00BC5A08" w:rsidTr="00DF1649" w14:paraId="4A8CE457" w14:textId="77777777">
        <w:tc>
          <w:tcPr>
            <w:tcW w:w="1620" w:type="dxa"/>
          </w:tcPr>
          <w:p w:rsidRPr="00DB3F9A" w:rsidR="00954B1F" w:rsidP="008247DA" w:rsidRDefault="008247DA" w14:paraId="70A7E264" w14:textId="3C7927AD">
            <w:pPr>
              <w:keepLines/>
              <w:numPr>
                <w:ilvl w:val="12"/>
                <w:numId w:val="0"/>
              </w:numPr>
              <w:jc w:val="center"/>
              <w:rPr>
                <w:rFonts w:cs="Times New Roman"/>
                <w:szCs w:val="24"/>
              </w:rPr>
            </w:pPr>
            <w:r w:rsidRPr="00DB3F9A">
              <w:rPr>
                <w:rFonts w:cs="Times New Roman"/>
                <w:szCs w:val="24"/>
              </w:rPr>
              <w:t>29</w:t>
            </w:r>
            <w:r>
              <w:rPr>
                <w:rFonts w:cs="Times New Roman"/>
                <w:szCs w:val="24"/>
              </w:rPr>
              <w:t>4</w:t>
            </w:r>
          </w:p>
        </w:tc>
        <w:tc>
          <w:tcPr>
            <w:tcW w:w="1440" w:type="dxa"/>
          </w:tcPr>
          <w:p w:rsidRPr="00DB3F9A" w:rsidR="00954B1F" w:rsidP="00DF1649" w:rsidRDefault="00954B1F" w14:paraId="73A5103C" w14:textId="13C36D84">
            <w:pPr>
              <w:keepLines/>
              <w:numPr>
                <w:ilvl w:val="12"/>
                <w:numId w:val="0"/>
              </w:numPr>
              <w:jc w:val="center"/>
              <w:rPr>
                <w:rFonts w:cs="Times New Roman"/>
                <w:szCs w:val="24"/>
              </w:rPr>
            </w:pPr>
            <w:r w:rsidRPr="00DB3F9A">
              <w:rPr>
                <w:rFonts w:cs="Times New Roman"/>
                <w:szCs w:val="24"/>
              </w:rPr>
              <w:t>12</w:t>
            </w:r>
          </w:p>
        </w:tc>
        <w:tc>
          <w:tcPr>
            <w:tcW w:w="1350" w:type="dxa"/>
          </w:tcPr>
          <w:p w:rsidRPr="00DB3F9A" w:rsidR="00954B1F" w:rsidP="008247DA" w:rsidRDefault="00954B1F" w14:paraId="5F37BF6C" w14:textId="0CB4A4C9">
            <w:pPr>
              <w:keepLines/>
              <w:numPr>
                <w:ilvl w:val="12"/>
                <w:numId w:val="0"/>
              </w:numPr>
              <w:jc w:val="center"/>
              <w:rPr>
                <w:rFonts w:cs="Times New Roman"/>
                <w:szCs w:val="24"/>
              </w:rPr>
            </w:pPr>
            <w:r w:rsidRPr="00DB3F9A">
              <w:rPr>
                <w:rFonts w:cs="Times New Roman"/>
                <w:szCs w:val="24"/>
              </w:rPr>
              <w:t>3,</w:t>
            </w:r>
            <w:r w:rsidRPr="00DB3F9A" w:rsidR="008247DA">
              <w:rPr>
                <w:rFonts w:cs="Times New Roman"/>
                <w:szCs w:val="24"/>
              </w:rPr>
              <w:t>5</w:t>
            </w:r>
            <w:r w:rsidR="008247DA">
              <w:rPr>
                <w:rFonts w:cs="Times New Roman"/>
                <w:szCs w:val="24"/>
              </w:rPr>
              <w:t>28</w:t>
            </w:r>
          </w:p>
        </w:tc>
        <w:tc>
          <w:tcPr>
            <w:tcW w:w="990" w:type="dxa"/>
          </w:tcPr>
          <w:p w:rsidRPr="00DB3F9A" w:rsidR="00954B1F" w:rsidP="00DF1649" w:rsidRDefault="00954B1F" w14:paraId="1E6CBC05" w14:textId="39F0A005">
            <w:pPr>
              <w:keepLines/>
              <w:numPr>
                <w:ilvl w:val="12"/>
                <w:numId w:val="0"/>
              </w:numPr>
              <w:jc w:val="center"/>
              <w:rPr>
                <w:rFonts w:cs="Times New Roman"/>
                <w:szCs w:val="24"/>
              </w:rPr>
            </w:pPr>
            <w:r w:rsidRPr="00DB3F9A">
              <w:rPr>
                <w:rFonts w:cs="Times New Roman"/>
                <w:szCs w:val="24"/>
              </w:rPr>
              <w:t>1</w:t>
            </w:r>
          </w:p>
        </w:tc>
        <w:tc>
          <w:tcPr>
            <w:tcW w:w="1350" w:type="dxa"/>
          </w:tcPr>
          <w:p w:rsidRPr="00DB3F9A" w:rsidR="00954B1F" w:rsidDel="007B5F6D" w:rsidP="008247DA" w:rsidRDefault="00954B1F" w14:paraId="4C75C6C9" w14:textId="2986294A">
            <w:pPr>
              <w:keepLines/>
              <w:numPr>
                <w:ilvl w:val="12"/>
                <w:numId w:val="0"/>
              </w:numPr>
              <w:jc w:val="center"/>
              <w:rPr>
                <w:rFonts w:cs="Times New Roman"/>
                <w:szCs w:val="24"/>
              </w:rPr>
            </w:pPr>
            <w:r w:rsidRPr="00DB3F9A">
              <w:rPr>
                <w:rFonts w:cs="Times New Roman"/>
                <w:szCs w:val="24"/>
              </w:rPr>
              <w:t>3,5</w:t>
            </w:r>
            <w:r w:rsidR="008247DA">
              <w:rPr>
                <w:rFonts w:cs="Times New Roman"/>
                <w:szCs w:val="24"/>
              </w:rPr>
              <w:t>28</w:t>
            </w:r>
          </w:p>
        </w:tc>
        <w:tc>
          <w:tcPr>
            <w:tcW w:w="1710" w:type="dxa"/>
            <w:vAlign w:val="bottom"/>
          </w:tcPr>
          <w:p w:rsidRPr="00DB3F9A" w:rsidR="00954B1F" w:rsidP="008247DA" w:rsidRDefault="00954B1F" w14:paraId="5D57E4FC" w14:textId="4A2F5117">
            <w:pPr>
              <w:keepLines/>
              <w:numPr>
                <w:ilvl w:val="12"/>
                <w:numId w:val="0"/>
              </w:numPr>
              <w:jc w:val="center"/>
              <w:rPr>
                <w:rFonts w:cs="Times New Roman"/>
                <w:b/>
                <w:bCs/>
                <w:szCs w:val="24"/>
              </w:rPr>
            </w:pPr>
            <w:r w:rsidRPr="00DB3F9A">
              <w:rPr>
                <w:rFonts w:cs="Times New Roman"/>
                <w:szCs w:val="24"/>
              </w:rPr>
              <w:t>$</w:t>
            </w:r>
            <w:r w:rsidRPr="008247DA" w:rsidR="008247DA">
              <w:rPr>
                <w:rFonts w:cs="Times New Roman"/>
                <w:szCs w:val="24"/>
              </w:rPr>
              <w:t xml:space="preserve">136,586  </w:t>
            </w:r>
          </w:p>
        </w:tc>
        <w:tc>
          <w:tcPr>
            <w:tcW w:w="1588" w:type="dxa"/>
            <w:vAlign w:val="bottom"/>
          </w:tcPr>
          <w:p w:rsidRPr="00DB3F9A" w:rsidR="00954B1F" w:rsidP="008247DA" w:rsidRDefault="00954B1F" w14:paraId="0FF87AD5" w14:textId="63B5E353">
            <w:pPr>
              <w:keepLines/>
              <w:numPr>
                <w:ilvl w:val="12"/>
                <w:numId w:val="0"/>
              </w:numPr>
              <w:jc w:val="center"/>
              <w:rPr>
                <w:rFonts w:cs="Times New Roman"/>
                <w:b/>
                <w:bCs/>
                <w:szCs w:val="24"/>
              </w:rPr>
            </w:pPr>
            <w:r w:rsidRPr="00DB3F9A">
              <w:rPr>
                <w:rFonts w:cs="Times New Roman"/>
                <w:szCs w:val="24"/>
              </w:rPr>
              <w:t>$</w:t>
            </w:r>
            <w:r w:rsidR="008247DA">
              <w:rPr>
                <w:rFonts w:cs="Times New Roman"/>
                <w:szCs w:val="24"/>
              </w:rPr>
              <w:t>409,758</w:t>
            </w:r>
          </w:p>
        </w:tc>
      </w:tr>
    </w:tbl>
    <w:p w:rsidR="007B5F6D" w:rsidP="00AC464B" w:rsidRDefault="007B5F6D" w14:paraId="32C480DA" w14:textId="77777777">
      <w:pPr>
        <w:numPr>
          <w:ilvl w:val="12"/>
          <w:numId w:val="0"/>
        </w:numPr>
        <w:ind w:left="360"/>
      </w:pPr>
    </w:p>
    <w:p w:rsidR="009F2633" w:rsidP="009F2633" w:rsidRDefault="009F2633" w14:paraId="1095F323" w14:textId="77777777">
      <w:pPr>
        <w:keepNext/>
        <w:numPr>
          <w:ilvl w:val="0"/>
          <w:numId w:val="11"/>
        </w:numPr>
        <w:tabs>
          <w:tab w:val="left" w:pos="360"/>
        </w:tabs>
        <w:rPr>
          <w:b/>
          <w:i/>
        </w:rPr>
      </w:pPr>
      <w:r>
        <w:rPr>
          <w:b/>
          <w:i/>
        </w:rPr>
        <w:t>Provide an estimate of the total annual cost burden to respondents or recordkeepers resulting from the collection of information.</w:t>
      </w:r>
      <w:r w:rsidR="005623A8">
        <w:rPr>
          <w:b/>
          <w:i/>
        </w:rPr>
        <w:t xml:space="preserve">  </w:t>
      </w:r>
      <w:r w:rsidRPr="005623A8" w:rsidR="005623A8">
        <w:rPr>
          <w:b/>
          <w:i/>
        </w:rPr>
        <w:t>(Do not include the cost of any hour burden shown in Items 12 and 14).</w:t>
      </w:r>
    </w:p>
    <w:p w:rsidR="009F2633" w:rsidP="00BB78AB" w:rsidRDefault="009F2633" w14:paraId="1095F324" w14:textId="77777777">
      <w:pPr>
        <w:keepNext/>
        <w:numPr>
          <w:ilvl w:val="12"/>
          <w:numId w:val="0"/>
        </w:numPr>
        <w:ind w:left="360"/>
      </w:pPr>
    </w:p>
    <w:p w:rsidRPr="00A84016" w:rsidR="00AC464B" w:rsidP="00AC464B" w:rsidRDefault="00C7180D" w14:paraId="1095F325" w14:textId="77777777">
      <w:pPr>
        <w:numPr>
          <w:ilvl w:val="12"/>
          <w:numId w:val="0"/>
        </w:numPr>
        <w:ind w:left="360"/>
        <w:rPr>
          <w:rFonts w:ascii="Georgia" w:hAnsi="Georgia"/>
          <w:b/>
          <w:color w:val="auto"/>
          <w:sz w:val="20"/>
        </w:rPr>
      </w:pPr>
      <w:r>
        <w:rPr>
          <w:rFonts w:cs="Times New Roman"/>
          <w:color w:val="auto"/>
          <w:szCs w:val="24"/>
        </w:rPr>
        <w:t>There is no cost associated with this collection as the information may be submitted electronically.</w:t>
      </w:r>
    </w:p>
    <w:p w:rsidR="009F2633" w:rsidP="00BB78AB" w:rsidRDefault="009F2633" w14:paraId="1095F327"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1095F328" w14:textId="77777777">
      <w:pPr>
        <w:keepNext/>
        <w:numPr>
          <w:ilvl w:val="0"/>
          <w:numId w:val="11"/>
        </w:numPr>
        <w:tabs>
          <w:tab w:val="left" w:pos="360"/>
        </w:tabs>
        <w:rPr>
          <w:b/>
          <w:i/>
        </w:rPr>
      </w:pPr>
      <w:r>
        <w:rPr>
          <w:b/>
          <w:i/>
        </w:rPr>
        <w:lastRenderedPageBreak/>
        <w:t>Provide estimates of annualized cost to the Federal Government.  Also, provide a description of the method used to estimate cost, and other expenses that would not have been incurred without this collection of information.</w:t>
      </w:r>
    </w:p>
    <w:p w:rsidR="009F2633" w:rsidP="00BB78AB" w:rsidRDefault="009F2633" w14:paraId="1095F329" w14:textId="77777777">
      <w:pPr>
        <w:keepNext/>
        <w:numPr>
          <w:ilvl w:val="12"/>
          <w:numId w:val="0"/>
        </w:numPr>
        <w:ind w:left="360"/>
      </w:pPr>
    </w:p>
    <w:p w:rsidR="008247DA" w:rsidP="008247DA" w:rsidRDefault="008247DA" w14:paraId="2223B5A0" w14:textId="7FB9C1A3">
      <w:pPr>
        <w:numPr>
          <w:ilvl w:val="12"/>
          <w:numId w:val="0"/>
        </w:numPr>
        <w:ind w:left="360"/>
      </w:pPr>
      <w:r>
        <w:t>For each of the 12 monthly responses from the 294 respondents (3,528 total annual responses), TSA estimates that a TSA F-H Band employee will spend 15 minutes (0.25 hours) processing a request for reimbursement.</w:t>
      </w:r>
      <w:r>
        <w:rPr>
          <w:rStyle w:val="FootnoteReference"/>
        </w:rPr>
        <w:footnoteReference w:id="6"/>
      </w:r>
      <w:r>
        <w:t xml:space="preserve">  TSA estimates an annual hour burden of 882 hours. </w:t>
      </w:r>
      <w:r w:rsidR="00C347D3">
        <w:t xml:space="preserve"> </w:t>
      </w:r>
      <w:r>
        <w:t>TSA estimates a fully-loaded annual wage for an F-H Band employee to be $33.59.</w:t>
      </w:r>
      <w:r>
        <w:rPr>
          <w:rStyle w:val="FootnoteReference"/>
        </w:rPr>
        <w:footnoteReference w:id="7"/>
      </w:r>
      <w:r>
        <w:t xml:space="preserve">  TSA estimates an annual hour burden cost $29,626, and a total three-year hour burden cost of $88,879.  </w:t>
      </w:r>
    </w:p>
    <w:p w:rsidR="00A36334" w:rsidP="00A36334" w:rsidRDefault="00A36334" w14:paraId="7CB01AC6" w14:textId="77777777">
      <w:pPr>
        <w:numPr>
          <w:ilvl w:val="12"/>
          <w:numId w:val="0"/>
        </w:numPr>
        <w:ind w:left="360"/>
      </w:pPr>
    </w:p>
    <w:tbl>
      <w:tblPr>
        <w:tblW w:w="5000" w:type="pct"/>
        <w:tblLook w:val="04A0" w:firstRow="1" w:lastRow="0" w:firstColumn="1" w:lastColumn="0" w:noHBand="0" w:noVBand="1"/>
      </w:tblPr>
      <w:tblGrid>
        <w:gridCol w:w="2150"/>
        <w:gridCol w:w="1701"/>
        <w:gridCol w:w="1635"/>
        <w:gridCol w:w="1720"/>
        <w:gridCol w:w="2154"/>
      </w:tblGrid>
      <w:tr w:rsidRPr="00653726" w:rsidR="00DB3F9A" w:rsidTr="00DB3F9A" w14:paraId="7762EF21" w14:textId="77777777">
        <w:trPr>
          <w:trHeight w:val="315"/>
        </w:trPr>
        <w:tc>
          <w:tcPr>
            <w:tcW w:w="5000" w:type="pct"/>
            <w:gridSpan w:val="5"/>
            <w:tcBorders>
              <w:top w:val="nil"/>
              <w:left w:val="nil"/>
              <w:bottom w:val="nil"/>
              <w:right w:val="nil"/>
            </w:tcBorders>
            <w:shd w:val="clear" w:color="auto" w:fill="auto"/>
            <w:noWrap/>
            <w:vAlign w:val="bottom"/>
            <w:hideMark/>
          </w:tcPr>
          <w:p w:rsidRPr="00DB3F9A" w:rsidR="00DB3F9A" w:rsidP="00DB3F9A" w:rsidRDefault="00DB3F9A" w14:paraId="23405E00" w14:textId="1BF2E3B0">
            <w:pPr>
              <w:keepLines/>
              <w:jc w:val="center"/>
              <w:rPr>
                <w:rFonts w:cs="Times New Roman"/>
                <w:color w:val="auto"/>
                <w:szCs w:val="24"/>
              </w:rPr>
            </w:pPr>
            <w:r w:rsidRPr="00DB3F9A">
              <w:rPr>
                <w:rFonts w:cs="Times New Roman"/>
                <w:b/>
                <w:bCs/>
                <w:szCs w:val="24"/>
              </w:rPr>
              <w:t>Table 2. TSA Hour Burden Cost</w:t>
            </w:r>
          </w:p>
        </w:tc>
      </w:tr>
      <w:tr w:rsidRPr="00653726" w:rsidR="00A36334" w:rsidTr="009C4307" w14:paraId="529D292A" w14:textId="77777777">
        <w:trPr>
          <w:trHeight w:val="900"/>
        </w:trPr>
        <w:tc>
          <w:tcPr>
            <w:tcW w:w="1155" w:type="pct"/>
            <w:tcBorders>
              <w:top w:val="single" w:color="auto" w:sz="8" w:space="0"/>
              <w:left w:val="single" w:color="auto" w:sz="8" w:space="0"/>
              <w:bottom w:val="single" w:color="auto" w:sz="4" w:space="0"/>
              <w:right w:val="single" w:color="auto" w:sz="4" w:space="0"/>
            </w:tcBorders>
            <w:shd w:val="clear" w:color="000000" w:fill="AEAAAA"/>
            <w:vAlign w:val="bottom"/>
            <w:hideMark/>
          </w:tcPr>
          <w:p w:rsidRPr="00DB3F9A" w:rsidR="00A36334" w:rsidP="00DF1649" w:rsidRDefault="00A36334" w14:paraId="297CA99E" w14:textId="77777777">
            <w:pPr>
              <w:keepLines/>
              <w:jc w:val="center"/>
              <w:rPr>
                <w:rFonts w:cs="Times New Roman"/>
                <w:b/>
                <w:bCs/>
                <w:szCs w:val="24"/>
              </w:rPr>
            </w:pPr>
            <w:r w:rsidRPr="00DB3F9A">
              <w:rPr>
                <w:rFonts w:cs="Times New Roman"/>
                <w:b/>
                <w:bCs/>
                <w:szCs w:val="24"/>
              </w:rPr>
              <w:t>Number of Respondents</w:t>
            </w:r>
          </w:p>
        </w:tc>
        <w:tc>
          <w:tcPr>
            <w:tcW w:w="915" w:type="pct"/>
            <w:tcBorders>
              <w:top w:val="single" w:color="auto" w:sz="8" w:space="0"/>
              <w:left w:val="nil"/>
              <w:bottom w:val="single" w:color="auto" w:sz="4" w:space="0"/>
              <w:right w:val="single" w:color="auto" w:sz="4" w:space="0"/>
            </w:tcBorders>
            <w:shd w:val="clear" w:color="000000" w:fill="AEAAAA"/>
            <w:vAlign w:val="bottom"/>
            <w:hideMark/>
          </w:tcPr>
          <w:p w:rsidRPr="00DB3F9A" w:rsidR="00A36334" w:rsidP="00DF1649" w:rsidRDefault="00A36334" w14:paraId="2E83EA24" w14:textId="77777777">
            <w:pPr>
              <w:keepLines/>
              <w:jc w:val="center"/>
              <w:rPr>
                <w:rFonts w:cs="Times New Roman"/>
                <w:b/>
                <w:bCs/>
                <w:szCs w:val="24"/>
              </w:rPr>
            </w:pPr>
            <w:r w:rsidRPr="00DB3F9A">
              <w:rPr>
                <w:rFonts w:cs="Times New Roman"/>
                <w:b/>
                <w:bCs/>
                <w:szCs w:val="24"/>
              </w:rPr>
              <w:t>Number of Annual Responses</w:t>
            </w:r>
          </w:p>
        </w:tc>
        <w:tc>
          <w:tcPr>
            <w:tcW w:w="880" w:type="pct"/>
            <w:tcBorders>
              <w:top w:val="single" w:color="auto" w:sz="8" w:space="0"/>
              <w:left w:val="nil"/>
              <w:bottom w:val="single" w:color="auto" w:sz="4" w:space="0"/>
              <w:right w:val="single" w:color="auto" w:sz="4" w:space="0"/>
            </w:tcBorders>
            <w:shd w:val="clear" w:color="000000" w:fill="AEAAAA"/>
            <w:vAlign w:val="bottom"/>
            <w:hideMark/>
          </w:tcPr>
          <w:p w:rsidRPr="00DB3F9A" w:rsidR="00A36334" w:rsidP="00DF1649" w:rsidRDefault="00A36334" w14:paraId="15BA3575" w14:textId="77777777">
            <w:pPr>
              <w:keepLines/>
              <w:jc w:val="center"/>
              <w:rPr>
                <w:rFonts w:cs="Times New Roman"/>
                <w:b/>
                <w:bCs/>
                <w:szCs w:val="24"/>
              </w:rPr>
            </w:pPr>
            <w:r w:rsidRPr="00DB3F9A">
              <w:rPr>
                <w:rFonts w:cs="Times New Roman"/>
                <w:b/>
                <w:bCs/>
                <w:szCs w:val="24"/>
              </w:rPr>
              <w:t>Annual Hour Burden</w:t>
            </w:r>
          </w:p>
        </w:tc>
        <w:tc>
          <w:tcPr>
            <w:tcW w:w="893" w:type="pct"/>
            <w:tcBorders>
              <w:top w:val="single" w:color="auto" w:sz="8" w:space="0"/>
              <w:left w:val="nil"/>
              <w:bottom w:val="single" w:color="auto" w:sz="4" w:space="0"/>
              <w:right w:val="single" w:color="auto" w:sz="4" w:space="0"/>
            </w:tcBorders>
            <w:shd w:val="clear" w:color="000000" w:fill="AEAAAA"/>
            <w:vAlign w:val="bottom"/>
            <w:hideMark/>
          </w:tcPr>
          <w:p w:rsidRPr="00DB3F9A" w:rsidR="00A36334" w:rsidP="00DF1649" w:rsidRDefault="00A36334" w14:paraId="23A17CD5" w14:textId="77777777">
            <w:pPr>
              <w:keepLines/>
              <w:jc w:val="center"/>
              <w:rPr>
                <w:rFonts w:cs="Times New Roman"/>
                <w:b/>
                <w:bCs/>
                <w:szCs w:val="24"/>
              </w:rPr>
            </w:pPr>
            <w:r w:rsidRPr="00DB3F9A">
              <w:rPr>
                <w:rFonts w:cs="Times New Roman"/>
                <w:b/>
                <w:bCs/>
                <w:szCs w:val="24"/>
              </w:rPr>
              <w:t>Annual TSA Hour Burden Cost</w:t>
            </w:r>
          </w:p>
        </w:tc>
        <w:tc>
          <w:tcPr>
            <w:tcW w:w="1157" w:type="pct"/>
            <w:tcBorders>
              <w:top w:val="single" w:color="auto" w:sz="8" w:space="0"/>
              <w:left w:val="nil"/>
              <w:bottom w:val="single" w:color="auto" w:sz="4" w:space="0"/>
              <w:right w:val="single" w:color="auto" w:sz="8" w:space="0"/>
            </w:tcBorders>
            <w:shd w:val="clear" w:color="000000" w:fill="AEAAAA"/>
            <w:vAlign w:val="bottom"/>
            <w:hideMark/>
          </w:tcPr>
          <w:p w:rsidRPr="00DB3F9A" w:rsidR="00A36334" w:rsidP="00DF1649" w:rsidRDefault="00A36334" w14:paraId="053EBB1E" w14:textId="77777777">
            <w:pPr>
              <w:keepLines/>
              <w:jc w:val="center"/>
              <w:rPr>
                <w:rFonts w:cs="Times New Roman"/>
                <w:b/>
                <w:bCs/>
                <w:szCs w:val="24"/>
              </w:rPr>
            </w:pPr>
            <w:r w:rsidRPr="00DB3F9A">
              <w:rPr>
                <w:rFonts w:cs="Times New Roman"/>
                <w:b/>
                <w:bCs/>
                <w:szCs w:val="24"/>
              </w:rPr>
              <w:t>Total Three Year TSA Hour Burden Cost</w:t>
            </w:r>
          </w:p>
        </w:tc>
      </w:tr>
      <w:tr w:rsidRPr="00653726" w:rsidR="00A36334" w:rsidTr="009C4307" w14:paraId="42E3AAE3" w14:textId="77777777">
        <w:trPr>
          <w:trHeight w:val="315"/>
        </w:trPr>
        <w:tc>
          <w:tcPr>
            <w:tcW w:w="1155" w:type="pct"/>
            <w:tcBorders>
              <w:top w:val="nil"/>
              <w:left w:val="single" w:color="auto" w:sz="8" w:space="0"/>
              <w:bottom w:val="single" w:color="auto" w:sz="8" w:space="0"/>
              <w:right w:val="single" w:color="auto" w:sz="4" w:space="0"/>
            </w:tcBorders>
            <w:shd w:val="clear" w:color="000000" w:fill="AEAAAA"/>
            <w:noWrap/>
            <w:vAlign w:val="bottom"/>
            <w:hideMark/>
          </w:tcPr>
          <w:p w:rsidRPr="00DB3F9A" w:rsidR="00A36334" w:rsidP="00DF1649" w:rsidRDefault="00A36334" w14:paraId="72412418" w14:textId="77777777">
            <w:pPr>
              <w:keepLines/>
              <w:jc w:val="center"/>
              <w:rPr>
                <w:rFonts w:cs="Times New Roman"/>
                <w:b/>
                <w:bCs/>
                <w:szCs w:val="24"/>
              </w:rPr>
            </w:pPr>
            <w:r w:rsidRPr="00DB3F9A">
              <w:rPr>
                <w:rFonts w:cs="Times New Roman"/>
                <w:b/>
                <w:bCs/>
                <w:szCs w:val="24"/>
              </w:rPr>
              <w:t>A</w:t>
            </w:r>
          </w:p>
        </w:tc>
        <w:tc>
          <w:tcPr>
            <w:tcW w:w="915" w:type="pct"/>
            <w:tcBorders>
              <w:top w:val="nil"/>
              <w:left w:val="nil"/>
              <w:bottom w:val="single" w:color="auto" w:sz="8" w:space="0"/>
              <w:right w:val="single" w:color="auto" w:sz="4" w:space="0"/>
            </w:tcBorders>
            <w:shd w:val="clear" w:color="000000" w:fill="AEAAAA"/>
            <w:noWrap/>
            <w:vAlign w:val="bottom"/>
            <w:hideMark/>
          </w:tcPr>
          <w:p w:rsidRPr="00DB3F9A" w:rsidR="00A36334" w:rsidP="00DF1649" w:rsidRDefault="00A36334" w14:paraId="4812A5E1" w14:textId="77777777">
            <w:pPr>
              <w:keepLines/>
              <w:jc w:val="center"/>
              <w:rPr>
                <w:rFonts w:cs="Times New Roman"/>
                <w:b/>
                <w:bCs/>
                <w:szCs w:val="24"/>
              </w:rPr>
            </w:pPr>
            <w:r w:rsidRPr="00DB3F9A">
              <w:rPr>
                <w:rFonts w:cs="Times New Roman"/>
                <w:b/>
                <w:bCs/>
                <w:szCs w:val="24"/>
              </w:rPr>
              <w:t>B = A x 12</w:t>
            </w:r>
          </w:p>
        </w:tc>
        <w:tc>
          <w:tcPr>
            <w:tcW w:w="880" w:type="pct"/>
            <w:tcBorders>
              <w:top w:val="nil"/>
              <w:left w:val="nil"/>
              <w:bottom w:val="single" w:color="auto" w:sz="8" w:space="0"/>
              <w:right w:val="single" w:color="auto" w:sz="4" w:space="0"/>
            </w:tcBorders>
            <w:shd w:val="clear" w:color="000000" w:fill="AEAAAA"/>
            <w:noWrap/>
            <w:vAlign w:val="bottom"/>
            <w:hideMark/>
          </w:tcPr>
          <w:p w:rsidRPr="00DB3F9A" w:rsidR="00A36334" w:rsidP="00DF1649" w:rsidRDefault="00A36334" w14:paraId="0E7277A4" w14:textId="77777777">
            <w:pPr>
              <w:keepLines/>
              <w:jc w:val="center"/>
              <w:rPr>
                <w:rFonts w:cs="Times New Roman"/>
                <w:b/>
                <w:bCs/>
                <w:szCs w:val="24"/>
              </w:rPr>
            </w:pPr>
            <w:r w:rsidRPr="00DB3F9A">
              <w:rPr>
                <w:rFonts w:cs="Times New Roman"/>
                <w:b/>
                <w:bCs/>
                <w:szCs w:val="24"/>
              </w:rPr>
              <w:t>C = B x 0.25</w:t>
            </w:r>
          </w:p>
        </w:tc>
        <w:tc>
          <w:tcPr>
            <w:tcW w:w="893" w:type="pct"/>
            <w:tcBorders>
              <w:top w:val="nil"/>
              <w:left w:val="nil"/>
              <w:bottom w:val="single" w:color="auto" w:sz="8" w:space="0"/>
              <w:right w:val="single" w:color="auto" w:sz="4" w:space="0"/>
            </w:tcBorders>
            <w:shd w:val="clear" w:color="000000" w:fill="AEAAAA"/>
            <w:noWrap/>
            <w:vAlign w:val="bottom"/>
            <w:hideMark/>
          </w:tcPr>
          <w:p w:rsidRPr="00DB3F9A" w:rsidR="00A36334" w:rsidP="008247DA" w:rsidRDefault="00A36334" w14:paraId="58648C51" w14:textId="6A346638">
            <w:pPr>
              <w:keepLines/>
              <w:jc w:val="center"/>
              <w:rPr>
                <w:rFonts w:cs="Times New Roman"/>
                <w:b/>
                <w:bCs/>
                <w:szCs w:val="24"/>
              </w:rPr>
            </w:pPr>
            <w:r w:rsidRPr="00DB3F9A">
              <w:rPr>
                <w:rFonts w:cs="Times New Roman"/>
                <w:b/>
                <w:bCs/>
                <w:szCs w:val="24"/>
              </w:rPr>
              <w:t>D = C x $3</w:t>
            </w:r>
            <w:r w:rsidR="008247DA">
              <w:rPr>
                <w:rFonts w:cs="Times New Roman"/>
                <w:b/>
                <w:bCs/>
                <w:szCs w:val="24"/>
              </w:rPr>
              <w:t>3</w:t>
            </w:r>
            <w:r w:rsidRPr="00DB3F9A">
              <w:rPr>
                <w:rFonts w:cs="Times New Roman"/>
                <w:b/>
                <w:bCs/>
                <w:szCs w:val="24"/>
              </w:rPr>
              <w:t>.</w:t>
            </w:r>
            <w:r w:rsidR="008247DA">
              <w:rPr>
                <w:rFonts w:cs="Times New Roman"/>
                <w:b/>
                <w:bCs/>
                <w:szCs w:val="24"/>
              </w:rPr>
              <w:t>59</w:t>
            </w:r>
          </w:p>
        </w:tc>
        <w:tc>
          <w:tcPr>
            <w:tcW w:w="1157" w:type="pct"/>
            <w:tcBorders>
              <w:top w:val="nil"/>
              <w:left w:val="nil"/>
              <w:bottom w:val="single" w:color="auto" w:sz="8" w:space="0"/>
              <w:right w:val="single" w:color="auto" w:sz="8" w:space="0"/>
            </w:tcBorders>
            <w:shd w:val="clear" w:color="000000" w:fill="AEAAAA"/>
            <w:noWrap/>
            <w:vAlign w:val="bottom"/>
            <w:hideMark/>
          </w:tcPr>
          <w:p w:rsidRPr="00DB3F9A" w:rsidR="00A36334" w:rsidP="00DF1649" w:rsidRDefault="00A36334" w14:paraId="2467F30B" w14:textId="77777777">
            <w:pPr>
              <w:keepLines/>
              <w:jc w:val="center"/>
              <w:rPr>
                <w:rFonts w:cs="Times New Roman"/>
                <w:b/>
                <w:bCs/>
                <w:szCs w:val="24"/>
              </w:rPr>
            </w:pPr>
            <w:r w:rsidRPr="00DB3F9A">
              <w:rPr>
                <w:rFonts w:cs="Times New Roman"/>
                <w:b/>
                <w:bCs/>
                <w:szCs w:val="24"/>
              </w:rPr>
              <w:t>E = D x 3</w:t>
            </w:r>
          </w:p>
        </w:tc>
      </w:tr>
      <w:tr w:rsidRPr="00653726" w:rsidR="00A36334" w:rsidTr="009C4307" w14:paraId="45915988" w14:textId="77777777">
        <w:trPr>
          <w:trHeight w:val="300"/>
        </w:trPr>
        <w:tc>
          <w:tcPr>
            <w:tcW w:w="1155" w:type="pct"/>
            <w:tcBorders>
              <w:top w:val="nil"/>
              <w:left w:val="single" w:color="auto" w:sz="4" w:space="0"/>
              <w:bottom w:val="single" w:color="auto" w:sz="4" w:space="0"/>
              <w:right w:val="single" w:color="auto" w:sz="4" w:space="0"/>
            </w:tcBorders>
            <w:shd w:val="clear" w:color="auto" w:fill="auto"/>
            <w:noWrap/>
            <w:vAlign w:val="bottom"/>
            <w:hideMark/>
          </w:tcPr>
          <w:p w:rsidRPr="00DB3F9A" w:rsidR="00A36334" w:rsidP="008247DA" w:rsidRDefault="008247DA" w14:paraId="331FA1A7" w14:textId="56594FA8">
            <w:pPr>
              <w:keepLines/>
              <w:jc w:val="right"/>
              <w:rPr>
                <w:rFonts w:cs="Times New Roman"/>
                <w:szCs w:val="24"/>
              </w:rPr>
            </w:pPr>
            <w:r w:rsidRPr="00DB3F9A">
              <w:rPr>
                <w:rFonts w:cs="Times New Roman"/>
                <w:szCs w:val="24"/>
              </w:rPr>
              <w:t>29</w:t>
            </w:r>
            <w:r>
              <w:rPr>
                <w:rFonts w:cs="Times New Roman"/>
                <w:szCs w:val="24"/>
              </w:rPr>
              <w:t>4</w:t>
            </w:r>
          </w:p>
        </w:tc>
        <w:tc>
          <w:tcPr>
            <w:tcW w:w="915" w:type="pct"/>
            <w:tcBorders>
              <w:top w:val="nil"/>
              <w:left w:val="nil"/>
              <w:bottom w:val="single" w:color="auto" w:sz="4" w:space="0"/>
              <w:right w:val="single" w:color="auto" w:sz="4" w:space="0"/>
            </w:tcBorders>
            <w:shd w:val="clear" w:color="auto" w:fill="auto"/>
            <w:noWrap/>
            <w:vAlign w:val="bottom"/>
            <w:hideMark/>
          </w:tcPr>
          <w:p w:rsidRPr="00DB3F9A" w:rsidR="00A36334" w:rsidP="008247DA" w:rsidRDefault="00A36334" w14:paraId="5F895FAE" w14:textId="59A5AB4D">
            <w:pPr>
              <w:keepLines/>
              <w:jc w:val="right"/>
              <w:rPr>
                <w:rFonts w:cs="Times New Roman"/>
                <w:szCs w:val="24"/>
              </w:rPr>
            </w:pPr>
            <w:r w:rsidRPr="00DB3F9A">
              <w:rPr>
                <w:rFonts w:cs="Times New Roman"/>
                <w:szCs w:val="24"/>
              </w:rPr>
              <w:t>3,5</w:t>
            </w:r>
            <w:r w:rsidR="008247DA">
              <w:rPr>
                <w:rFonts w:cs="Times New Roman"/>
                <w:szCs w:val="24"/>
              </w:rPr>
              <w:t>28</w:t>
            </w:r>
          </w:p>
        </w:tc>
        <w:tc>
          <w:tcPr>
            <w:tcW w:w="880" w:type="pct"/>
            <w:tcBorders>
              <w:top w:val="nil"/>
              <w:left w:val="nil"/>
              <w:bottom w:val="single" w:color="auto" w:sz="4" w:space="0"/>
              <w:right w:val="single" w:color="auto" w:sz="4" w:space="0"/>
            </w:tcBorders>
            <w:shd w:val="clear" w:color="auto" w:fill="auto"/>
            <w:noWrap/>
            <w:vAlign w:val="bottom"/>
            <w:hideMark/>
          </w:tcPr>
          <w:p w:rsidRPr="00DB3F9A" w:rsidR="00A36334" w:rsidP="008247DA" w:rsidRDefault="008247DA" w14:paraId="34287226" w14:textId="6FCA4700">
            <w:pPr>
              <w:keepLines/>
              <w:jc w:val="right"/>
              <w:rPr>
                <w:rFonts w:cs="Times New Roman"/>
                <w:szCs w:val="24"/>
              </w:rPr>
            </w:pPr>
            <w:r w:rsidRPr="00DB3F9A">
              <w:rPr>
                <w:rFonts w:cs="Times New Roman"/>
                <w:szCs w:val="24"/>
              </w:rPr>
              <w:t>8</w:t>
            </w:r>
            <w:r>
              <w:rPr>
                <w:rFonts w:cs="Times New Roman"/>
                <w:szCs w:val="24"/>
              </w:rPr>
              <w:t>82</w:t>
            </w:r>
          </w:p>
        </w:tc>
        <w:tc>
          <w:tcPr>
            <w:tcW w:w="893" w:type="pct"/>
            <w:tcBorders>
              <w:top w:val="nil"/>
              <w:left w:val="nil"/>
              <w:bottom w:val="single" w:color="auto" w:sz="4" w:space="0"/>
              <w:right w:val="single" w:color="auto" w:sz="4" w:space="0"/>
            </w:tcBorders>
            <w:shd w:val="clear" w:color="auto" w:fill="auto"/>
            <w:noWrap/>
            <w:vAlign w:val="bottom"/>
            <w:hideMark/>
          </w:tcPr>
          <w:p w:rsidRPr="00DB3F9A" w:rsidR="00A36334" w:rsidP="00DF1649" w:rsidRDefault="00A36334" w14:paraId="0EAFF0C7" w14:textId="6C8EFFF7">
            <w:pPr>
              <w:keepLines/>
              <w:jc w:val="right"/>
              <w:rPr>
                <w:rFonts w:cs="Times New Roman"/>
                <w:szCs w:val="24"/>
              </w:rPr>
            </w:pPr>
            <w:r w:rsidRPr="00DB3F9A">
              <w:rPr>
                <w:rFonts w:cs="Times New Roman"/>
                <w:szCs w:val="24"/>
              </w:rPr>
              <w:t>$</w:t>
            </w:r>
            <w:r w:rsidR="008247DA">
              <w:t>29,626</w:t>
            </w:r>
          </w:p>
        </w:tc>
        <w:tc>
          <w:tcPr>
            <w:tcW w:w="1157" w:type="pct"/>
            <w:tcBorders>
              <w:top w:val="nil"/>
              <w:left w:val="nil"/>
              <w:bottom w:val="single" w:color="auto" w:sz="4" w:space="0"/>
              <w:right w:val="single" w:color="auto" w:sz="4" w:space="0"/>
            </w:tcBorders>
            <w:shd w:val="clear" w:color="auto" w:fill="auto"/>
            <w:noWrap/>
            <w:vAlign w:val="bottom"/>
            <w:hideMark/>
          </w:tcPr>
          <w:p w:rsidRPr="00DB3F9A" w:rsidR="00A36334" w:rsidP="00DF1649" w:rsidRDefault="00A36334" w14:paraId="0EB4B506" w14:textId="4AA549CF">
            <w:pPr>
              <w:keepLines/>
              <w:jc w:val="right"/>
              <w:rPr>
                <w:rFonts w:cs="Times New Roman"/>
                <w:szCs w:val="24"/>
              </w:rPr>
            </w:pPr>
            <w:r w:rsidRPr="00DB3F9A">
              <w:rPr>
                <w:rFonts w:cs="Times New Roman"/>
                <w:szCs w:val="24"/>
              </w:rPr>
              <w:t>$</w:t>
            </w:r>
            <w:r w:rsidR="008247DA">
              <w:t>88,879</w:t>
            </w:r>
          </w:p>
        </w:tc>
      </w:tr>
    </w:tbl>
    <w:p w:rsidR="009F2633" w:rsidP="00BB78AB" w:rsidRDefault="009F2633" w14:paraId="1095F32B"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1095F32C" w14:textId="77777777">
      <w:pPr>
        <w:keepNext/>
        <w:numPr>
          <w:ilvl w:val="0"/>
          <w:numId w:val="11"/>
        </w:numPr>
        <w:tabs>
          <w:tab w:val="left" w:pos="360"/>
        </w:tabs>
        <w:rPr>
          <w:b/>
          <w:i/>
        </w:rPr>
      </w:pPr>
      <w:r>
        <w:rPr>
          <w:b/>
          <w:i/>
        </w:rPr>
        <w:t>Explain the reasons for any program changes or adjustments reported in Items 13 or 14 of the OMB Form 83-I.</w:t>
      </w:r>
    </w:p>
    <w:p w:rsidR="009F2633" w:rsidP="00BB78AB" w:rsidRDefault="009F2633" w14:paraId="1095F32D" w14:textId="77777777">
      <w:pPr>
        <w:keepNext/>
        <w:numPr>
          <w:ilvl w:val="12"/>
          <w:numId w:val="0"/>
        </w:numPr>
        <w:ind w:left="360"/>
      </w:pPr>
    </w:p>
    <w:p w:rsidR="009F2633" w:rsidP="00BB78AB" w:rsidRDefault="00867B1B" w14:paraId="1095F32E" w14:textId="2FD9CAF5">
      <w:pPr>
        <w:numPr>
          <w:ilvl w:val="12"/>
          <w:numId w:val="0"/>
        </w:numPr>
        <w:ind w:left="360"/>
      </w:pPr>
      <w:r>
        <w:t>There are no program changes or adjustments reported</w:t>
      </w:r>
      <w:r w:rsidR="00AB2601">
        <w:t>.</w:t>
      </w:r>
    </w:p>
    <w:p w:rsidR="009F2633" w:rsidP="00BB78AB" w:rsidRDefault="009F2633" w14:paraId="1095F32F"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1095F330" w14:textId="77777777">
      <w:pPr>
        <w:keepNext/>
        <w:numPr>
          <w:ilvl w:val="0"/>
          <w:numId w:val="11"/>
        </w:numPr>
        <w:tabs>
          <w:tab w:val="left" w:pos="360"/>
        </w:tabs>
        <w:rPr>
          <w:b/>
          <w:i/>
        </w:rPr>
      </w:pPr>
      <w:r>
        <w:rPr>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F2633" w:rsidP="00BB78AB" w:rsidRDefault="009F2633" w14:paraId="1095F331" w14:textId="77777777">
      <w:pPr>
        <w:keepNext/>
        <w:numPr>
          <w:ilvl w:val="12"/>
          <w:numId w:val="0"/>
        </w:numPr>
        <w:ind w:left="360"/>
      </w:pPr>
    </w:p>
    <w:p w:rsidR="009F2633" w:rsidP="00BB78AB" w:rsidRDefault="002E4273" w14:paraId="1095F332" w14:textId="50D9E3DA">
      <w:pPr>
        <w:numPr>
          <w:ilvl w:val="12"/>
          <w:numId w:val="0"/>
        </w:numPr>
        <w:ind w:left="360"/>
      </w:pPr>
      <w:r>
        <w:t xml:space="preserve">The results of this collection </w:t>
      </w:r>
      <w:r w:rsidR="00427316">
        <w:t xml:space="preserve">is </w:t>
      </w:r>
      <w:r>
        <w:t>not be published.</w:t>
      </w:r>
    </w:p>
    <w:p w:rsidR="009F2633" w:rsidP="00BB78AB" w:rsidRDefault="009F2633" w14:paraId="1095F333" w14:textId="77777777">
      <w:pPr>
        <w:pStyle w:val="IndexHeading"/>
        <w:keepNext w:val="0"/>
        <w:numPr>
          <w:ilvl w:val="12"/>
          <w:numId w:val="0"/>
        </w:numPr>
        <w:spacing w:line="240" w:lineRule="auto"/>
        <w:rPr>
          <w:rFonts w:ascii="Times New Roman" w:hAnsi="Times New Roman"/>
          <w:spacing w:val="0"/>
        </w:rPr>
      </w:pPr>
    </w:p>
    <w:p w:rsidR="009F2633" w:rsidP="009F2633" w:rsidRDefault="009F2633" w14:paraId="1095F334" w14:textId="77777777">
      <w:pPr>
        <w:keepNext/>
        <w:numPr>
          <w:ilvl w:val="0"/>
          <w:numId w:val="11"/>
        </w:numPr>
        <w:tabs>
          <w:tab w:val="left" w:pos="360"/>
        </w:tabs>
        <w:rPr>
          <w:b/>
          <w:i/>
        </w:rPr>
      </w:pPr>
      <w:r>
        <w:rPr>
          <w:b/>
          <w:i/>
        </w:rPr>
        <w:t>If seeking approval to not display the expiration date for OMB approval of the information collection, explain the reasons that display would be inappropriate.</w:t>
      </w:r>
    </w:p>
    <w:p w:rsidR="009F2633" w:rsidP="00BB78AB" w:rsidRDefault="009F2633" w14:paraId="1095F335" w14:textId="77777777">
      <w:pPr>
        <w:keepNext/>
        <w:numPr>
          <w:ilvl w:val="12"/>
          <w:numId w:val="0"/>
        </w:numPr>
        <w:ind w:left="360"/>
      </w:pPr>
    </w:p>
    <w:p w:rsidR="009F2633" w:rsidP="002E4273" w:rsidRDefault="009B6311" w14:paraId="1095F336" w14:textId="50C9568B">
      <w:pPr>
        <w:numPr>
          <w:ilvl w:val="12"/>
          <w:numId w:val="0"/>
        </w:numPr>
        <w:ind w:left="360"/>
      </w:pPr>
      <w:r>
        <w:t>TSA displays</w:t>
      </w:r>
      <w:r w:rsidR="00AC464B">
        <w:t xml:space="preserve"> the expiration date.</w:t>
      </w:r>
    </w:p>
    <w:p w:rsidR="009F2633" w:rsidP="00BB78AB" w:rsidRDefault="009F2633" w14:paraId="1095F337" w14:textId="77777777">
      <w:pPr>
        <w:numPr>
          <w:ilvl w:val="12"/>
          <w:numId w:val="0"/>
        </w:numPr>
        <w:tabs>
          <w:tab w:val="left" w:pos="360"/>
        </w:tabs>
      </w:pPr>
    </w:p>
    <w:p w:rsidR="009F2633" w:rsidP="009F2633" w:rsidRDefault="009F2633" w14:paraId="1095F338" w14:textId="77777777">
      <w:pPr>
        <w:keepNext/>
        <w:numPr>
          <w:ilvl w:val="0"/>
          <w:numId w:val="11"/>
        </w:numPr>
        <w:tabs>
          <w:tab w:val="left" w:pos="360"/>
        </w:tabs>
        <w:rPr>
          <w:b/>
          <w:i/>
        </w:rPr>
      </w:pPr>
      <w:r>
        <w:rPr>
          <w:b/>
          <w:i/>
        </w:rPr>
        <w:lastRenderedPageBreak/>
        <w:t>Explain each exception to the certification statement identified in Item 19, “Certification for Paperwork Reduction Act Submissions,” of OMB Form 83-I.</w:t>
      </w:r>
    </w:p>
    <w:p w:rsidR="009F2633" w:rsidP="00BB78AB" w:rsidRDefault="009F2633" w14:paraId="1095F339" w14:textId="77777777">
      <w:pPr>
        <w:keepNext/>
        <w:numPr>
          <w:ilvl w:val="12"/>
          <w:numId w:val="0"/>
        </w:numPr>
        <w:ind w:left="360"/>
      </w:pPr>
    </w:p>
    <w:p w:rsidRPr="008167AF" w:rsidR="009F2633" w:rsidP="002E4273" w:rsidRDefault="00AC464B" w14:paraId="1095F33A" w14:textId="77777777">
      <w:pPr>
        <w:ind w:firstLine="360"/>
      </w:pPr>
      <w:r>
        <w:t>TSA is not seeking any such exception.</w:t>
      </w:r>
    </w:p>
    <w:sectPr w:rsidRPr="008167AF" w:rsidR="009F2633" w:rsidSect="009F2633">
      <w:head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CE92A3" w14:textId="77777777" w:rsidR="008E41D1" w:rsidRDefault="008E41D1">
      <w:r>
        <w:separator/>
      </w:r>
    </w:p>
  </w:endnote>
  <w:endnote w:type="continuationSeparator" w:id="0">
    <w:p w14:paraId="73B2F77B" w14:textId="77777777" w:rsidR="008E41D1" w:rsidRDefault="008E4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F346" w14:textId="77777777" w:rsidR="00293E8A" w:rsidRPr="00B55414" w:rsidRDefault="00293E8A">
    <w:pPr>
      <w:tabs>
        <w:tab w:val="left" w:pos="0"/>
        <w:tab w:val="right" w:pos="6984"/>
        <w:tab w:val="left" w:pos="703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5C16" w14:textId="77777777" w:rsidR="008E41D1" w:rsidRDefault="008E41D1">
      <w:r>
        <w:separator/>
      </w:r>
    </w:p>
  </w:footnote>
  <w:footnote w:type="continuationSeparator" w:id="0">
    <w:p w14:paraId="31D6C64D" w14:textId="77777777" w:rsidR="008E41D1" w:rsidRDefault="008E41D1">
      <w:r>
        <w:continuationSeparator/>
      </w:r>
    </w:p>
  </w:footnote>
  <w:footnote w:id="1">
    <w:p w14:paraId="5DC56E70" w14:textId="6A067CE5" w:rsidR="008247DA" w:rsidRDefault="008247DA" w:rsidP="008247DA">
      <w:pPr>
        <w:pStyle w:val="FootnoteText"/>
      </w:pPr>
      <w:r>
        <w:rPr>
          <w:rStyle w:val="FootnoteReference"/>
        </w:rPr>
        <w:footnoteRef/>
      </w:r>
      <w:r>
        <w:t xml:space="preserve"> </w:t>
      </w:r>
      <w:r w:rsidR="0035320A">
        <w:t xml:space="preserve">Personnel within </w:t>
      </w:r>
      <w:r>
        <w:t>TSA, Law Enforcement (LE)/Federal Air Marshal Service (FAMS).</w:t>
      </w:r>
    </w:p>
  </w:footnote>
  <w:footnote w:id="2">
    <w:p w14:paraId="7A2A9D9E" w14:textId="77777777" w:rsidR="008247DA" w:rsidRDefault="008247DA" w:rsidP="008247DA">
      <w:pPr>
        <w:pStyle w:val="FootnoteText"/>
      </w:pPr>
      <w:r>
        <w:rPr>
          <w:rStyle w:val="FootnoteReference"/>
        </w:rPr>
        <w:footnoteRef/>
      </w:r>
      <w:r>
        <w:t xml:space="preserve"> The one hour accounts for the section of the form that asks respondents to provide an explanation for items on the form that respondents are unable to certify and the completion of the section which details the daily activities performed.  This is an average response time as airport size, and therefore the complexity of the response, varies.</w:t>
      </w:r>
    </w:p>
  </w:footnote>
  <w:footnote w:id="3">
    <w:p w14:paraId="4FEDBBEC" w14:textId="5012498A" w:rsidR="008247DA" w:rsidRDefault="008247DA" w:rsidP="008247DA">
      <w:pPr>
        <w:pStyle w:val="FootnoteText"/>
      </w:pPr>
      <w:r>
        <w:rPr>
          <w:rStyle w:val="FootnoteReference"/>
        </w:rPr>
        <w:footnoteRef/>
      </w:r>
      <w:r>
        <w:t xml:space="preserve"> </w:t>
      </w:r>
      <w:r w:rsidR="0035320A">
        <w:t xml:space="preserve">Personnel within </w:t>
      </w:r>
      <w:r>
        <w:t>TSA, LE</w:t>
      </w:r>
      <w:r w:rsidR="0035320A">
        <w:t>/</w:t>
      </w:r>
      <w:r>
        <w:t>FAMS.</w:t>
      </w:r>
    </w:p>
  </w:footnote>
  <w:footnote w:id="4">
    <w:p w14:paraId="6E4F1A95" w14:textId="77777777" w:rsidR="008247DA" w:rsidRDefault="008247DA" w:rsidP="008247DA">
      <w:pPr>
        <w:pStyle w:val="FootnoteText"/>
      </w:pPr>
      <w:r>
        <w:rPr>
          <w:rStyle w:val="FootnoteReference"/>
        </w:rPr>
        <w:footnoteRef/>
      </w:r>
      <w:r>
        <w:t xml:space="preserve"> This accounts for non-salary employer costs of compensation, such as retirement and health benefits.</w:t>
      </w:r>
    </w:p>
  </w:footnote>
  <w:footnote w:id="5">
    <w:p w14:paraId="6BBBBBC4" w14:textId="25D273AD" w:rsidR="008247DA" w:rsidRDefault="008247DA" w:rsidP="008247DA">
      <w:pPr>
        <w:pStyle w:val="FootnoteText"/>
      </w:pPr>
      <w:r>
        <w:rPr>
          <w:rStyle w:val="FootnoteReference"/>
        </w:rPr>
        <w:footnoteRef/>
      </w:r>
      <w:r>
        <w:t xml:space="preserve"> Payroll and Timekeeping Clerk mean hourly wage is $25.61. BLS. May 2020 National Industry-Specific Occupational Employment and Wage Estimates. NAICS 481100 - Scheduled Air Transportation. Occupation Code 43-3051, Payroll and Timekeeping Clerks.  Last Modified March 31, 2020.  Accessed 6/3/2021.  https://www.bls.gov/oes/2020/May/naics4_481100.htm#43-0000.  TSA calculates a compensation factor in order to load the wage to account for benefits and other non-salary compensation costs.  TSA calculates the compensation factor by dividing total compensation by wages and salaries (1.5117041 = $32.29 ÷ $21.36).  BLS. Employer Costs for Employee Compensation News Release.  Table 5: Employer costs per hour worked for employee compensation and costs as a percent of total compensation: private industry workers, by major occupational group and bargaining unit </w:t>
      </w:r>
      <w:r w:rsidR="009B6311">
        <w:t>status, December</w:t>
      </w:r>
      <w:r>
        <w:t xml:space="preserve"> 2020.  Production, transportation, and material moving. Last </w:t>
      </w:r>
      <w:r w:rsidR="009B6311">
        <w:t>modified March</w:t>
      </w:r>
      <w:r>
        <w:t xml:space="preserve"> 18, 2021. </w:t>
      </w:r>
      <w:r w:rsidR="009B6311">
        <w:t>Accessed June</w:t>
      </w:r>
      <w:r>
        <w:t xml:space="preserve"> 3, 2021.  https://www.bls.gov/news.release/archives/ecec_03182021.htm. TSA estimates the fully loaded wage rate by multiplying the mean hourly wage for clerks by the compensation factor ($38.71= $25.61 x 1.511704).</w:t>
      </w:r>
    </w:p>
  </w:footnote>
  <w:footnote w:id="6">
    <w:p w14:paraId="4EFB8C46" w14:textId="77777777" w:rsidR="008247DA" w:rsidRDefault="008247DA" w:rsidP="008247DA">
      <w:pPr>
        <w:pStyle w:val="FootnoteText"/>
      </w:pPr>
      <w:r>
        <w:rPr>
          <w:rStyle w:val="FootnoteReference"/>
        </w:rPr>
        <w:footnoteRef/>
      </w:r>
      <w:r>
        <w:t xml:space="preserve"> TSA, Law Enforcement (LE)/Federal Air Marshal Service (FAMS).</w:t>
      </w:r>
    </w:p>
  </w:footnote>
  <w:footnote w:id="7">
    <w:p w14:paraId="23412868" w14:textId="494116A1" w:rsidR="008247DA" w:rsidRDefault="008247DA" w:rsidP="008247DA">
      <w:pPr>
        <w:rPr>
          <w:rFonts w:ascii="Calibri" w:hAnsi="Calibri" w:cs="Times New Roman"/>
          <w:color w:val="1F497D"/>
          <w:sz w:val="22"/>
          <w:szCs w:val="22"/>
        </w:rPr>
      </w:pPr>
      <w:r>
        <w:rPr>
          <w:rStyle w:val="FootnoteReference"/>
        </w:rPr>
        <w:footnoteRef/>
      </w:r>
      <w:r>
        <w:t xml:space="preserve"> </w:t>
      </w:r>
      <w:r>
        <w:rPr>
          <w:rFonts w:cs="Times New Roman"/>
          <w:color w:val="auto"/>
          <w:sz w:val="20"/>
        </w:rPr>
        <w:t xml:space="preserve">TSA, Office of Finance, Modular Cost Data. The fully-loaded annual salary for both an F-Band and a G-Band employee is $60,070, and the fully-loaded annual salary for an H-Band employee is </w:t>
      </w:r>
      <w:r w:rsidR="009B6311">
        <w:rPr>
          <w:rFonts w:cs="Times New Roman"/>
          <w:color w:val="auto"/>
          <w:sz w:val="20"/>
        </w:rPr>
        <w:t>90,186.</w:t>
      </w:r>
      <w:r>
        <w:rPr>
          <w:rFonts w:cs="Times New Roman"/>
          <w:color w:val="auto"/>
          <w:sz w:val="20"/>
        </w:rPr>
        <w:t xml:space="preserve"> TSA adds the salaries and divides by 3 to get a blended, fully-loaded annual salary of $70,108.67. TSA then divides the annual salary by 2,087 to estimate a fully-loaded, hourly wage ($33.59 = $70,108.67 ÷ 2,087). OPM changed the 2080 work hours to 2087 by amending 5 U.S.C. 5504(b), the latter is assumed to capture year-to-year fluctuations in work hours. Source: Consolidated Omnibus Budget Reconciliation Act of 1985 (Pub. Law 99-272, April 7, 1986).</w:t>
      </w:r>
    </w:p>
    <w:p w14:paraId="15B7E27E" w14:textId="77777777" w:rsidR="008247DA" w:rsidRDefault="008247DA" w:rsidP="008247DA">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F33F" w14:textId="7C2C6019" w:rsidR="00293E8A" w:rsidRDefault="00293E8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E1609F">
      <w:rPr>
        <w:rStyle w:val="PageNumber"/>
        <w:rFonts w:ascii="Times New Roman" w:hAnsi="Times New Roman"/>
        <w:noProof/>
        <w:sz w:val="24"/>
      </w:rPr>
      <w:t>4</w:t>
    </w:r>
    <w:r>
      <w:rPr>
        <w:rStyle w:val="PageNumber"/>
        <w:rFonts w:ascii="Times New Roman" w:hAnsi="Times New Roman"/>
        <w:sz w:val="24"/>
      </w:rPr>
      <w:fldChar w:fldCharType="end"/>
    </w:r>
  </w:p>
  <w:p w14:paraId="1095F340" w14:textId="77777777" w:rsidR="00293E8A" w:rsidRPr="00320387" w:rsidRDefault="00293E8A">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95F341" w14:textId="77777777" w:rsidR="00293E8A" w:rsidRDefault="00293E8A">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14:paraId="1095F342" w14:textId="62075107" w:rsidR="00293E8A" w:rsidRDefault="00293E8A">
    <w:pPr>
      <w:jc w:val="center"/>
      <w:rPr>
        <w:rFonts w:cs="Times New Roman"/>
        <w:b/>
        <w:sz w:val="28"/>
      </w:rPr>
    </w:pPr>
  </w:p>
  <w:p w14:paraId="1095F343" w14:textId="77777777" w:rsidR="00293E8A" w:rsidRDefault="00293E8A">
    <w:pPr>
      <w:jc w:val="center"/>
      <w:rPr>
        <w:rFonts w:cs="Times New Roman"/>
        <w:b/>
        <w:sz w:val="28"/>
      </w:rPr>
    </w:pPr>
    <w:r>
      <w:rPr>
        <w:rFonts w:cs="Times New Roman"/>
        <w:b/>
        <w:sz w:val="28"/>
      </w:rPr>
      <w:t>Law Enforcement Officer (LEO) Reimbursement Request</w:t>
    </w:r>
  </w:p>
  <w:p w14:paraId="1095F344" w14:textId="77777777" w:rsidR="00293E8A" w:rsidRDefault="00293E8A">
    <w:pPr>
      <w:jc w:val="center"/>
      <w:rPr>
        <w:rFonts w:cs="Times New Roman"/>
        <w:b/>
        <w:sz w:val="28"/>
      </w:rPr>
    </w:pPr>
    <w:r>
      <w:rPr>
        <w:rFonts w:cs="Times New Roman"/>
        <w:b/>
        <w:sz w:val="28"/>
      </w:rPr>
      <w:t>1652-0063</w:t>
    </w:r>
  </w:p>
  <w:p w14:paraId="1095F345" w14:textId="77777777" w:rsidR="00293E8A" w:rsidRDefault="00293E8A" w:rsidP="009A4D32">
    <w:pPr>
      <w:pStyle w:val="Header"/>
      <w:keepLines w:val="0"/>
      <w:ind w:left="0"/>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64897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482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E3A18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1C2C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46A3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5F0DC4"/>
    <w:multiLevelType w:val="singleLevel"/>
    <w:tmpl w:val="768E828A"/>
    <w:lvl w:ilvl="0">
      <w:start w:val="1"/>
      <w:numFmt w:val="decimal"/>
      <w:lvlText w:val="%1."/>
      <w:legacy w:legacy="1" w:legacySpace="0" w:legacyIndent="360"/>
      <w:lvlJc w:val="left"/>
      <w:pPr>
        <w:ind w:left="360" w:hanging="360"/>
      </w:pPr>
    </w:lvl>
  </w:abstractNum>
  <w:abstractNum w:abstractNumId="11" w15:restartNumberingAfterBreak="0">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2" w15:restartNumberingAfterBreak="0">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3" w15:restartNumberingAfterBreak="0">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4" w15:restartNumberingAfterBreak="0">
    <w:nsid w:val="4D5620B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4F9B37B6"/>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17" w15:restartNumberingAfterBreak="0">
    <w:nsid w:val="7A5C6986"/>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7AA85F46"/>
    <w:multiLevelType w:val="singleLevel"/>
    <w:tmpl w:val="0409001B"/>
    <w:lvl w:ilvl="0">
      <w:start w:val="1"/>
      <w:numFmt w:val="lowerRoman"/>
      <w:lvlText w:val="%1."/>
      <w:lvlJc w:val="right"/>
      <w:pPr>
        <w:tabs>
          <w:tab w:val="num" w:pos="504"/>
        </w:tabs>
        <w:ind w:left="504" w:hanging="216"/>
      </w:pPr>
    </w:lvl>
  </w:abstractNum>
  <w:abstractNum w:abstractNumId="19" w15:restartNumberingAfterBreak="0">
    <w:nsid w:val="7BBB0034"/>
    <w:multiLevelType w:val="singleLevel"/>
    <w:tmpl w:val="01AA2A8A"/>
    <w:lvl w:ilvl="0">
      <w:numFmt w:val="decimal"/>
      <w:lvlText w:val="%1"/>
      <w:legacy w:legacy="1" w:legacySpace="0" w:legacyIndent="0"/>
      <w:lvlJc w:val="left"/>
    </w:lvl>
  </w:abstractNum>
  <w:abstractNum w:abstractNumId="20" w15:restartNumberingAfterBreak="0">
    <w:nsid w:val="7C981C35"/>
    <w:multiLevelType w:val="singleLevel"/>
    <w:tmpl w:val="5874AF34"/>
    <w:lvl w:ilvl="0">
      <w:start w:val="1"/>
      <w:numFmt w:val="decimal"/>
      <w:lvlText w:val="%1."/>
      <w:lvlJc w:val="left"/>
      <w:pPr>
        <w:tabs>
          <w:tab w:val="num" w:pos="360"/>
        </w:tabs>
        <w:ind w:left="360" w:hanging="360"/>
      </w:pPr>
      <w:rPr>
        <w:b/>
        <w:i w:val="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9"/>
  </w:num>
  <w:num w:numId="13">
    <w:abstractNumId w:val="18"/>
  </w:num>
  <w:num w:numId="14">
    <w:abstractNumId w:val="11"/>
  </w:num>
  <w:num w:numId="15">
    <w:abstractNumId w:val="12"/>
  </w:num>
  <w:num w:numId="16">
    <w:abstractNumId w:val="13"/>
  </w:num>
  <w:num w:numId="17">
    <w:abstractNumId w:val="16"/>
  </w:num>
  <w:num w:numId="18">
    <w:abstractNumId w:val="14"/>
  </w:num>
  <w:num w:numId="19">
    <w:abstractNumId w:val="20"/>
  </w:num>
  <w:num w:numId="20">
    <w:abstractNumId w:val="1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D4"/>
    <w:rsid w:val="000058D0"/>
    <w:rsid w:val="00011B5C"/>
    <w:rsid w:val="0001753F"/>
    <w:rsid w:val="000242EE"/>
    <w:rsid w:val="00030FAF"/>
    <w:rsid w:val="000524A7"/>
    <w:rsid w:val="000536D1"/>
    <w:rsid w:val="00062FDE"/>
    <w:rsid w:val="00073C39"/>
    <w:rsid w:val="000857A1"/>
    <w:rsid w:val="000A58C6"/>
    <w:rsid w:val="000B0E24"/>
    <w:rsid w:val="000F4945"/>
    <w:rsid w:val="00112274"/>
    <w:rsid w:val="001217C1"/>
    <w:rsid w:val="00127439"/>
    <w:rsid w:val="0014567B"/>
    <w:rsid w:val="0017334A"/>
    <w:rsid w:val="00176F44"/>
    <w:rsid w:val="00181396"/>
    <w:rsid w:val="00181F09"/>
    <w:rsid w:val="0018422B"/>
    <w:rsid w:val="00185610"/>
    <w:rsid w:val="001862F6"/>
    <w:rsid w:val="001A62C2"/>
    <w:rsid w:val="001B0BF6"/>
    <w:rsid w:val="001F0623"/>
    <w:rsid w:val="001F4A23"/>
    <w:rsid w:val="002160E5"/>
    <w:rsid w:val="002167A3"/>
    <w:rsid w:val="002173A4"/>
    <w:rsid w:val="00220853"/>
    <w:rsid w:val="00223616"/>
    <w:rsid w:val="00226DB2"/>
    <w:rsid w:val="00242FEB"/>
    <w:rsid w:val="00257C9A"/>
    <w:rsid w:val="00264752"/>
    <w:rsid w:val="002714A9"/>
    <w:rsid w:val="00290983"/>
    <w:rsid w:val="00293E8A"/>
    <w:rsid w:val="002A7EA8"/>
    <w:rsid w:val="002B4936"/>
    <w:rsid w:val="002C4432"/>
    <w:rsid w:val="002E1AF5"/>
    <w:rsid w:val="002E4273"/>
    <w:rsid w:val="002E7AF3"/>
    <w:rsid w:val="00310D8B"/>
    <w:rsid w:val="00314CD1"/>
    <w:rsid w:val="00317762"/>
    <w:rsid w:val="00320868"/>
    <w:rsid w:val="003453F5"/>
    <w:rsid w:val="00347826"/>
    <w:rsid w:val="0035320A"/>
    <w:rsid w:val="00354F39"/>
    <w:rsid w:val="003558ED"/>
    <w:rsid w:val="00356B9E"/>
    <w:rsid w:val="0038362B"/>
    <w:rsid w:val="003949A3"/>
    <w:rsid w:val="003B7338"/>
    <w:rsid w:val="003D3115"/>
    <w:rsid w:val="003D3E61"/>
    <w:rsid w:val="003D7320"/>
    <w:rsid w:val="003F493E"/>
    <w:rsid w:val="003F7E27"/>
    <w:rsid w:val="00403EB6"/>
    <w:rsid w:val="00406238"/>
    <w:rsid w:val="00415BDF"/>
    <w:rsid w:val="0042187C"/>
    <w:rsid w:val="00427316"/>
    <w:rsid w:val="0044058B"/>
    <w:rsid w:val="0046000F"/>
    <w:rsid w:val="00471E43"/>
    <w:rsid w:val="00475130"/>
    <w:rsid w:val="004751CE"/>
    <w:rsid w:val="00484B81"/>
    <w:rsid w:val="00496DF1"/>
    <w:rsid w:val="004A2391"/>
    <w:rsid w:val="004B0F6D"/>
    <w:rsid w:val="004C0BC7"/>
    <w:rsid w:val="004C0C65"/>
    <w:rsid w:val="004E60D8"/>
    <w:rsid w:val="0050052F"/>
    <w:rsid w:val="00504E16"/>
    <w:rsid w:val="00515651"/>
    <w:rsid w:val="005240C4"/>
    <w:rsid w:val="005319DB"/>
    <w:rsid w:val="00531A19"/>
    <w:rsid w:val="00544673"/>
    <w:rsid w:val="00552C70"/>
    <w:rsid w:val="005605E5"/>
    <w:rsid w:val="005623A8"/>
    <w:rsid w:val="00574D54"/>
    <w:rsid w:val="00581216"/>
    <w:rsid w:val="00591CBA"/>
    <w:rsid w:val="005947D1"/>
    <w:rsid w:val="005A0A98"/>
    <w:rsid w:val="005A42E0"/>
    <w:rsid w:val="005B2C72"/>
    <w:rsid w:val="005C2A5C"/>
    <w:rsid w:val="005D4944"/>
    <w:rsid w:val="005E2CC7"/>
    <w:rsid w:val="005E7D6E"/>
    <w:rsid w:val="0060337C"/>
    <w:rsid w:val="006210D1"/>
    <w:rsid w:val="006300D3"/>
    <w:rsid w:val="0063294D"/>
    <w:rsid w:val="00650AF8"/>
    <w:rsid w:val="00675797"/>
    <w:rsid w:val="00681525"/>
    <w:rsid w:val="006835A3"/>
    <w:rsid w:val="006947F2"/>
    <w:rsid w:val="006A6B27"/>
    <w:rsid w:val="006B7274"/>
    <w:rsid w:val="006C7650"/>
    <w:rsid w:val="006D3EBB"/>
    <w:rsid w:val="006E2B90"/>
    <w:rsid w:val="006E6166"/>
    <w:rsid w:val="006F3296"/>
    <w:rsid w:val="006F7570"/>
    <w:rsid w:val="00701331"/>
    <w:rsid w:val="00727D8B"/>
    <w:rsid w:val="00731643"/>
    <w:rsid w:val="00751B26"/>
    <w:rsid w:val="0075705B"/>
    <w:rsid w:val="007579B5"/>
    <w:rsid w:val="00777C42"/>
    <w:rsid w:val="00780D1E"/>
    <w:rsid w:val="007836FF"/>
    <w:rsid w:val="00786F57"/>
    <w:rsid w:val="007B1BD6"/>
    <w:rsid w:val="007B271F"/>
    <w:rsid w:val="007B5F6D"/>
    <w:rsid w:val="007C231F"/>
    <w:rsid w:val="007E7433"/>
    <w:rsid w:val="008167AF"/>
    <w:rsid w:val="0082068A"/>
    <w:rsid w:val="00823557"/>
    <w:rsid w:val="008247DA"/>
    <w:rsid w:val="008251F5"/>
    <w:rsid w:val="0084271F"/>
    <w:rsid w:val="008479A7"/>
    <w:rsid w:val="00861AA6"/>
    <w:rsid w:val="00867B1B"/>
    <w:rsid w:val="00895700"/>
    <w:rsid w:val="008A0F79"/>
    <w:rsid w:val="008A13C5"/>
    <w:rsid w:val="008A1F2A"/>
    <w:rsid w:val="008B58E5"/>
    <w:rsid w:val="008B711A"/>
    <w:rsid w:val="008C46C0"/>
    <w:rsid w:val="008E22B1"/>
    <w:rsid w:val="008E3650"/>
    <w:rsid w:val="008E41D1"/>
    <w:rsid w:val="008F3DD3"/>
    <w:rsid w:val="008F526A"/>
    <w:rsid w:val="00904302"/>
    <w:rsid w:val="009107A4"/>
    <w:rsid w:val="009210CF"/>
    <w:rsid w:val="009260ED"/>
    <w:rsid w:val="00936F3E"/>
    <w:rsid w:val="009439B5"/>
    <w:rsid w:val="00954B1F"/>
    <w:rsid w:val="00957488"/>
    <w:rsid w:val="0096573C"/>
    <w:rsid w:val="00966A16"/>
    <w:rsid w:val="0097331B"/>
    <w:rsid w:val="009A1326"/>
    <w:rsid w:val="009A2814"/>
    <w:rsid w:val="009A4D32"/>
    <w:rsid w:val="009B39C4"/>
    <w:rsid w:val="009B6311"/>
    <w:rsid w:val="009B66B4"/>
    <w:rsid w:val="009C1CA4"/>
    <w:rsid w:val="009D1D22"/>
    <w:rsid w:val="009E52C0"/>
    <w:rsid w:val="009F2633"/>
    <w:rsid w:val="009F35BA"/>
    <w:rsid w:val="00A22ED4"/>
    <w:rsid w:val="00A36334"/>
    <w:rsid w:val="00A54E5B"/>
    <w:rsid w:val="00A55681"/>
    <w:rsid w:val="00A640FE"/>
    <w:rsid w:val="00A679E4"/>
    <w:rsid w:val="00A82C8C"/>
    <w:rsid w:val="00A84B69"/>
    <w:rsid w:val="00A94103"/>
    <w:rsid w:val="00AA13F5"/>
    <w:rsid w:val="00AA39DC"/>
    <w:rsid w:val="00AB2601"/>
    <w:rsid w:val="00AB2E53"/>
    <w:rsid w:val="00AB3B61"/>
    <w:rsid w:val="00AC464B"/>
    <w:rsid w:val="00AD020D"/>
    <w:rsid w:val="00AE21FE"/>
    <w:rsid w:val="00AE4764"/>
    <w:rsid w:val="00AE500D"/>
    <w:rsid w:val="00B122DC"/>
    <w:rsid w:val="00B12D1A"/>
    <w:rsid w:val="00B25EA0"/>
    <w:rsid w:val="00B471A4"/>
    <w:rsid w:val="00B50FE7"/>
    <w:rsid w:val="00B55414"/>
    <w:rsid w:val="00B95BA5"/>
    <w:rsid w:val="00BA532F"/>
    <w:rsid w:val="00BB05D8"/>
    <w:rsid w:val="00BB3727"/>
    <w:rsid w:val="00BB78AB"/>
    <w:rsid w:val="00BC5A08"/>
    <w:rsid w:val="00BD43D9"/>
    <w:rsid w:val="00BF007C"/>
    <w:rsid w:val="00BF14A1"/>
    <w:rsid w:val="00BF1B64"/>
    <w:rsid w:val="00BF72E3"/>
    <w:rsid w:val="00C034A0"/>
    <w:rsid w:val="00C0732E"/>
    <w:rsid w:val="00C15262"/>
    <w:rsid w:val="00C347D3"/>
    <w:rsid w:val="00C364BE"/>
    <w:rsid w:val="00C56D05"/>
    <w:rsid w:val="00C609AE"/>
    <w:rsid w:val="00C65654"/>
    <w:rsid w:val="00C67E43"/>
    <w:rsid w:val="00C7180D"/>
    <w:rsid w:val="00C86889"/>
    <w:rsid w:val="00C91D53"/>
    <w:rsid w:val="00C9256A"/>
    <w:rsid w:val="00C9671D"/>
    <w:rsid w:val="00CA7ED2"/>
    <w:rsid w:val="00CE1392"/>
    <w:rsid w:val="00CE5493"/>
    <w:rsid w:val="00CE6812"/>
    <w:rsid w:val="00CF49D6"/>
    <w:rsid w:val="00CF4B5A"/>
    <w:rsid w:val="00D211FE"/>
    <w:rsid w:val="00D356FF"/>
    <w:rsid w:val="00D42FF7"/>
    <w:rsid w:val="00D5260E"/>
    <w:rsid w:val="00D52BB1"/>
    <w:rsid w:val="00D60E67"/>
    <w:rsid w:val="00D6589B"/>
    <w:rsid w:val="00D74525"/>
    <w:rsid w:val="00DB3810"/>
    <w:rsid w:val="00DB3F9A"/>
    <w:rsid w:val="00DD25C1"/>
    <w:rsid w:val="00DD6E7F"/>
    <w:rsid w:val="00DE2105"/>
    <w:rsid w:val="00DF1649"/>
    <w:rsid w:val="00DF37EC"/>
    <w:rsid w:val="00E1609F"/>
    <w:rsid w:val="00E20B38"/>
    <w:rsid w:val="00E45257"/>
    <w:rsid w:val="00E54150"/>
    <w:rsid w:val="00E725C5"/>
    <w:rsid w:val="00E9221D"/>
    <w:rsid w:val="00E9606B"/>
    <w:rsid w:val="00EA6B42"/>
    <w:rsid w:val="00EB2C74"/>
    <w:rsid w:val="00EC3BCD"/>
    <w:rsid w:val="00EE4E94"/>
    <w:rsid w:val="00EE55AB"/>
    <w:rsid w:val="00EF0D1A"/>
    <w:rsid w:val="00F07A9F"/>
    <w:rsid w:val="00F10220"/>
    <w:rsid w:val="00F27567"/>
    <w:rsid w:val="00F34103"/>
    <w:rsid w:val="00F43A86"/>
    <w:rsid w:val="00F521F7"/>
    <w:rsid w:val="00F52302"/>
    <w:rsid w:val="00F7466A"/>
    <w:rsid w:val="00F775B2"/>
    <w:rsid w:val="00F9439D"/>
    <w:rsid w:val="00FA31DC"/>
    <w:rsid w:val="00FA6B7A"/>
    <w:rsid w:val="00FA77BF"/>
    <w:rsid w:val="00FB27E9"/>
    <w:rsid w:val="00FB3E19"/>
    <w:rsid w:val="00FC7AF4"/>
    <w:rsid w:val="00FE53A8"/>
    <w:rsid w:val="00FE7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95F2E5"/>
  <w15:docId w15:val="{BB04CB07-E225-4CF0-8217-532F7594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C9A"/>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257C9A"/>
    <w:pPr>
      <w:spacing w:after="240"/>
    </w:pPr>
    <w:rPr>
      <w:szCs w:val="24"/>
    </w:rPr>
  </w:style>
  <w:style w:type="paragraph" w:customStyle="1" w:styleId="Address">
    <w:name w:val="Address"/>
    <w:basedOn w:val="Normal"/>
    <w:next w:val="Normal"/>
    <w:rsid w:val="00257C9A"/>
    <w:pPr>
      <w:keepLines/>
      <w:tabs>
        <w:tab w:val="left" w:pos="2160"/>
      </w:tabs>
    </w:pPr>
  </w:style>
  <w:style w:type="paragraph" w:styleId="Salutation">
    <w:name w:val="Salutation"/>
    <w:basedOn w:val="Normal"/>
    <w:next w:val="Normal"/>
    <w:rsid w:val="00257C9A"/>
    <w:pPr>
      <w:spacing w:after="240" w:line="240" w:lineRule="atLeast"/>
    </w:pPr>
  </w:style>
  <w:style w:type="paragraph" w:styleId="Footer">
    <w:name w:val="footer"/>
    <w:basedOn w:val="Normal"/>
    <w:rsid w:val="00257C9A"/>
    <w:pPr>
      <w:tabs>
        <w:tab w:val="center" w:pos="4320"/>
        <w:tab w:val="right" w:pos="8640"/>
      </w:tabs>
    </w:pPr>
  </w:style>
  <w:style w:type="paragraph" w:customStyle="1" w:styleId="TOCBase">
    <w:name w:val="TOC Base"/>
    <w:basedOn w:val="Normal"/>
    <w:rsid w:val="00257C9A"/>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rsid w:val="00257C9A"/>
    <w:pPr>
      <w:spacing w:before="60"/>
    </w:pPr>
    <w:rPr>
      <w:rFonts w:ascii="Arial" w:hAnsi="Arial" w:cs="Times New Roman"/>
      <w:color w:val="auto"/>
      <w:spacing w:val="-5"/>
      <w:sz w:val="16"/>
    </w:rPr>
  </w:style>
  <w:style w:type="paragraph" w:styleId="BodyText">
    <w:name w:val="Body Text"/>
    <w:basedOn w:val="Normal"/>
    <w:rsid w:val="00257C9A"/>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rsid w:val="00257C9A"/>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rsid w:val="00257C9A"/>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rsid w:val="00257C9A"/>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rsid w:val="00257C9A"/>
    <w:pPr>
      <w:keepLines w:val="0"/>
      <w:spacing w:before="0" w:line="480" w:lineRule="atLeast"/>
      <w:ind w:left="0"/>
    </w:pPr>
    <w:rPr>
      <w:rFonts w:ascii="Arial Black" w:hAnsi="Arial Black"/>
      <w:spacing w:val="-5"/>
      <w:kern w:val="0"/>
      <w:sz w:val="24"/>
    </w:rPr>
  </w:style>
  <w:style w:type="paragraph" w:styleId="Index1">
    <w:name w:val="index 1"/>
    <w:basedOn w:val="IndexBase"/>
    <w:semiHidden/>
    <w:rsid w:val="00257C9A"/>
  </w:style>
  <w:style w:type="paragraph" w:customStyle="1" w:styleId="IndexBase">
    <w:name w:val="Index Base"/>
    <w:basedOn w:val="Normal"/>
    <w:rsid w:val="00257C9A"/>
    <w:pPr>
      <w:spacing w:line="240" w:lineRule="atLeast"/>
      <w:ind w:left="360" w:hanging="360"/>
    </w:pPr>
    <w:rPr>
      <w:rFonts w:ascii="Arial" w:hAnsi="Arial" w:cs="Times New Roman"/>
      <w:color w:val="auto"/>
      <w:spacing w:val="-5"/>
      <w:sz w:val="18"/>
    </w:rPr>
  </w:style>
  <w:style w:type="character" w:styleId="PageNumber">
    <w:name w:val="page number"/>
    <w:basedOn w:val="DefaultParagraphFont"/>
    <w:rsid w:val="00257C9A"/>
    <w:rPr>
      <w:rFonts w:ascii="Arial Black" w:hAnsi="Arial Black"/>
      <w:spacing w:val="-10"/>
      <w:sz w:val="18"/>
    </w:rPr>
  </w:style>
  <w:style w:type="paragraph" w:styleId="Header">
    <w:name w:val="header"/>
    <w:basedOn w:val="HeaderBase"/>
    <w:rsid w:val="00257C9A"/>
  </w:style>
  <w:style w:type="paragraph" w:customStyle="1" w:styleId="HeaderBase">
    <w:name w:val="Header Base"/>
    <w:basedOn w:val="Normal"/>
    <w:rsid w:val="00257C9A"/>
    <w:pPr>
      <w:keepLines/>
      <w:tabs>
        <w:tab w:val="center" w:pos="4320"/>
        <w:tab w:val="right" w:pos="8640"/>
      </w:tabs>
      <w:spacing w:line="190" w:lineRule="atLeast"/>
      <w:ind w:left="1080"/>
    </w:pPr>
    <w:rPr>
      <w:rFonts w:ascii="Arial" w:hAnsi="Arial" w:cs="Times New Roman"/>
      <w:caps/>
      <w:color w:val="auto"/>
      <w:spacing w:val="-5"/>
      <w:sz w:val="15"/>
    </w:rPr>
  </w:style>
  <w:style w:type="character" w:styleId="Strong">
    <w:name w:val="Strong"/>
    <w:basedOn w:val="DefaultParagraphFont"/>
    <w:qFormat/>
    <w:rsid w:val="00127439"/>
    <w:rPr>
      <w:b/>
      <w:bCs/>
    </w:rPr>
  </w:style>
  <w:style w:type="paragraph" w:styleId="BalloonText">
    <w:name w:val="Balloon Text"/>
    <w:basedOn w:val="Normal"/>
    <w:link w:val="BalloonTextChar"/>
    <w:rsid w:val="00EB2C74"/>
    <w:rPr>
      <w:rFonts w:ascii="Tahoma" w:hAnsi="Tahoma" w:cs="Tahoma"/>
      <w:sz w:val="16"/>
      <w:szCs w:val="16"/>
    </w:rPr>
  </w:style>
  <w:style w:type="character" w:customStyle="1" w:styleId="BalloonTextChar">
    <w:name w:val="Balloon Text Char"/>
    <w:basedOn w:val="DefaultParagraphFont"/>
    <w:link w:val="BalloonText"/>
    <w:rsid w:val="00EB2C74"/>
    <w:rPr>
      <w:rFonts w:ascii="Tahoma" w:hAnsi="Tahoma" w:cs="Tahoma"/>
      <w:color w:val="000000"/>
      <w:sz w:val="16"/>
      <w:szCs w:val="16"/>
    </w:rPr>
  </w:style>
  <w:style w:type="character" w:styleId="CommentReference">
    <w:name w:val="annotation reference"/>
    <w:basedOn w:val="DefaultParagraphFont"/>
    <w:rsid w:val="006210D1"/>
    <w:rPr>
      <w:sz w:val="16"/>
      <w:szCs w:val="16"/>
    </w:rPr>
  </w:style>
  <w:style w:type="paragraph" w:styleId="CommentText">
    <w:name w:val="annotation text"/>
    <w:basedOn w:val="Normal"/>
    <w:link w:val="CommentTextChar"/>
    <w:rsid w:val="006210D1"/>
    <w:rPr>
      <w:sz w:val="20"/>
    </w:rPr>
  </w:style>
  <w:style w:type="character" w:customStyle="1" w:styleId="CommentTextChar">
    <w:name w:val="Comment Text Char"/>
    <w:basedOn w:val="DefaultParagraphFont"/>
    <w:link w:val="CommentText"/>
    <w:rsid w:val="006210D1"/>
    <w:rPr>
      <w:rFonts w:cs="Arial"/>
      <w:color w:val="000000"/>
    </w:rPr>
  </w:style>
  <w:style w:type="paragraph" w:styleId="CommentSubject">
    <w:name w:val="annotation subject"/>
    <w:basedOn w:val="CommentText"/>
    <w:next w:val="CommentText"/>
    <w:link w:val="CommentSubjectChar"/>
    <w:rsid w:val="006210D1"/>
    <w:rPr>
      <w:b/>
      <w:bCs/>
    </w:rPr>
  </w:style>
  <w:style w:type="character" w:customStyle="1" w:styleId="CommentSubjectChar">
    <w:name w:val="Comment Subject Char"/>
    <w:basedOn w:val="CommentTextChar"/>
    <w:link w:val="CommentSubject"/>
    <w:rsid w:val="006210D1"/>
    <w:rPr>
      <w:rFonts w:cs="Arial"/>
      <w:b/>
      <w:bCs/>
      <w:color w:val="000000"/>
    </w:rPr>
  </w:style>
  <w:style w:type="paragraph" w:styleId="Revision">
    <w:name w:val="Revision"/>
    <w:hidden/>
    <w:uiPriority w:val="99"/>
    <w:semiHidden/>
    <w:rsid w:val="00777C42"/>
    <w:rPr>
      <w:rFonts w:cs="Arial"/>
      <w:color w:val="000000"/>
      <w:sz w:val="24"/>
    </w:rPr>
  </w:style>
  <w:style w:type="paragraph" w:styleId="FootnoteText">
    <w:name w:val="footnote text"/>
    <w:basedOn w:val="Normal"/>
    <w:link w:val="FootnoteTextChar"/>
    <w:semiHidden/>
    <w:unhideWhenUsed/>
    <w:rsid w:val="002173A4"/>
    <w:rPr>
      <w:sz w:val="20"/>
    </w:rPr>
  </w:style>
  <w:style w:type="character" w:customStyle="1" w:styleId="FootnoteTextChar">
    <w:name w:val="Footnote Text Char"/>
    <w:basedOn w:val="DefaultParagraphFont"/>
    <w:link w:val="FootnoteText"/>
    <w:semiHidden/>
    <w:rsid w:val="002173A4"/>
    <w:rPr>
      <w:rFonts w:cs="Arial"/>
      <w:color w:val="000000"/>
    </w:rPr>
  </w:style>
  <w:style w:type="character" w:styleId="FootnoteReference">
    <w:name w:val="footnote reference"/>
    <w:basedOn w:val="DefaultParagraphFont"/>
    <w:semiHidden/>
    <w:unhideWhenUsed/>
    <w:rsid w:val="002173A4"/>
    <w:rPr>
      <w:vertAlign w:val="superscript"/>
    </w:rPr>
  </w:style>
  <w:style w:type="character" w:styleId="Hyperlink">
    <w:name w:val="Hyperlink"/>
    <w:basedOn w:val="DefaultParagraphFont"/>
    <w:unhideWhenUsed/>
    <w:rsid w:val="00A55681"/>
    <w:rPr>
      <w:color w:val="0000FF" w:themeColor="hyperlink"/>
      <w:u w:val="single"/>
    </w:rPr>
  </w:style>
  <w:style w:type="paragraph" w:styleId="ListParagraph">
    <w:name w:val="List Paragraph"/>
    <w:basedOn w:val="Normal"/>
    <w:uiPriority w:val="34"/>
    <w:qFormat/>
    <w:rsid w:val="00BC5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6152">
      <w:bodyDiv w:val="1"/>
      <w:marLeft w:val="0"/>
      <w:marRight w:val="0"/>
      <w:marTop w:val="0"/>
      <w:marBottom w:val="0"/>
      <w:divBdr>
        <w:top w:val="none" w:sz="0" w:space="0" w:color="auto"/>
        <w:left w:val="none" w:sz="0" w:space="0" w:color="auto"/>
        <w:bottom w:val="none" w:sz="0" w:space="0" w:color="auto"/>
        <w:right w:val="none" w:sz="0" w:space="0" w:color="auto"/>
      </w:divBdr>
    </w:div>
    <w:div w:id="182406832">
      <w:bodyDiv w:val="1"/>
      <w:marLeft w:val="0"/>
      <w:marRight w:val="0"/>
      <w:marTop w:val="0"/>
      <w:marBottom w:val="0"/>
      <w:divBdr>
        <w:top w:val="none" w:sz="0" w:space="0" w:color="auto"/>
        <w:left w:val="none" w:sz="0" w:space="0" w:color="auto"/>
        <w:bottom w:val="none" w:sz="0" w:space="0" w:color="auto"/>
        <w:right w:val="none" w:sz="0" w:space="0" w:color="auto"/>
      </w:divBdr>
    </w:div>
    <w:div w:id="451826463">
      <w:bodyDiv w:val="1"/>
      <w:marLeft w:val="0"/>
      <w:marRight w:val="0"/>
      <w:marTop w:val="0"/>
      <w:marBottom w:val="0"/>
      <w:divBdr>
        <w:top w:val="none" w:sz="0" w:space="0" w:color="auto"/>
        <w:left w:val="none" w:sz="0" w:space="0" w:color="auto"/>
        <w:bottom w:val="none" w:sz="0" w:space="0" w:color="auto"/>
        <w:right w:val="none" w:sz="0" w:space="0" w:color="auto"/>
      </w:divBdr>
    </w:div>
    <w:div w:id="467238358">
      <w:bodyDiv w:val="1"/>
      <w:marLeft w:val="0"/>
      <w:marRight w:val="0"/>
      <w:marTop w:val="0"/>
      <w:marBottom w:val="0"/>
      <w:divBdr>
        <w:top w:val="none" w:sz="0" w:space="0" w:color="auto"/>
        <w:left w:val="none" w:sz="0" w:space="0" w:color="auto"/>
        <w:bottom w:val="none" w:sz="0" w:space="0" w:color="auto"/>
        <w:right w:val="none" w:sz="0" w:space="0" w:color="auto"/>
      </w:divBdr>
    </w:div>
    <w:div w:id="961307632">
      <w:bodyDiv w:val="1"/>
      <w:marLeft w:val="0"/>
      <w:marRight w:val="0"/>
      <w:marTop w:val="0"/>
      <w:marBottom w:val="0"/>
      <w:divBdr>
        <w:top w:val="none" w:sz="0" w:space="0" w:color="auto"/>
        <w:left w:val="none" w:sz="0" w:space="0" w:color="auto"/>
        <w:bottom w:val="none" w:sz="0" w:space="0" w:color="auto"/>
        <w:right w:val="none" w:sz="0" w:space="0" w:color="auto"/>
      </w:divBdr>
    </w:div>
    <w:div w:id="1054280266">
      <w:bodyDiv w:val="1"/>
      <w:marLeft w:val="0"/>
      <w:marRight w:val="0"/>
      <w:marTop w:val="0"/>
      <w:marBottom w:val="0"/>
      <w:divBdr>
        <w:top w:val="none" w:sz="0" w:space="0" w:color="auto"/>
        <w:left w:val="none" w:sz="0" w:space="0" w:color="auto"/>
        <w:bottom w:val="none" w:sz="0" w:space="0" w:color="auto"/>
        <w:right w:val="none" w:sz="0" w:space="0" w:color="auto"/>
      </w:divBdr>
    </w:div>
    <w:div w:id="1389691382">
      <w:bodyDiv w:val="1"/>
      <w:marLeft w:val="0"/>
      <w:marRight w:val="0"/>
      <w:marTop w:val="0"/>
      <w:marBottom w:val="0"/>
      <w:divBdr>
        <w:top w:val="none" w:sz="0" w:space="0" w:color="auto"/>
        <w:left w:val="none" w:sz="0" w:space="0" w:color="auto"/>
        <w:bottom w:val="none" w:sz="0" w:space="0" w:color="auto"/>
        <w:right w:val="none" w:sz="0" w:space="0" w:color="auto"/>
      </w:divBdr>
    </w:div>
    <w:div w:id="1472093738">
      <w:bodyDiv w:val="1"/>
      <w:marLeft w:val="0"/>
      <w:marRight w:val="0"/>
      <w:marTop w:val="0"/>
      <w:marBottom w:val="0"/>
      <w:divBdr>
        <w:top w:val="none" w:sz="0" w:space="0" w:color="auto"/>
        <w:left w:val="none" w:sz="0" w:space="0" w:color="auto"/>
        <w:bottom w:val="none" w:sz="0" w:space="0" w:color="auto"/>
        <w:right w:val="none" w:sz="0" w:space="0" w:color="auto"/>
      </w:divBdr>
    </w:div>
    <w:div w:id="1956322499">
      <w:bodyDiv w:val="1"/>
      <w:marLeft w:val="0"/>
      <w:marRight w:val="0"/>
      <w:marTop w:val="0"/>
      <w:marBottom w:val="0"/>
      <w:divBdr>
        <w:top w:val="none" w:sz="0" w:space="0" w:color="auto"/>
        <w:left w:val="none" w:sz="0" w:space="0" w:color="auto"/>
        <w:bottom w:val="none" w:sz="0" w:space="0" w:color="auto"/>
        <w:right w:val="none" w:sz="0" w:space="0" w:color="auto"/>
      </w:divBdr>
    </w:div>
    <w:div w:id="1973631292">
      <w:bodyDiv w:val="1"/>
      <w:marLeft w:val="0"/>
      <w:marRight w:val="0"/>
      <w:marTop w:val="0"/>
      <w:marBottom w:val="0"/>
      <w:divBdr>
        <w:top w:val="none" w:sz="0" w:space="0" w:color="auto"/>
        <w:left w:val="none" w:sz="0" w:space="0" w:color="auto"/>
        <w:bottom w:val="none" w:sz="0" w:space="0" w:color="auto"/>
        <w:right w:val="none" w:sz="0" w:space="0" w:color="auto"/>
      </w:divBdr>
    </w:div>
    <w:div w:id="20463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tsa.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fa24db8-b43c-4576-b9f3-d527095e9577">TSADT-783092807-55039</_dlc_DocId>
    <_dlc_DocIdUrl xmlns="dfa24db8-b43c-4576-b9f3-d527095e9577">
      <Url>https://apps2013.ishare.tsa.dhs.gov/sites/gel/OIT/_layouts/15/DocIdRedir.aspx?ID=TSADT-783092807-55039</Url>
      <Description>TSADT-783092807-55039</Description>
    </_dlc_DocIdUrl>
    <IconOverlay xmlns="http://schemas.microsoft.com/sharepoint/v4" xsi:nil="true"/>
    <Originator_x0020_Division xmlns="dfa24db8-b43c-4576-b9f3-d527095e9577">Mission Support Division</Originator_x0020_Division>
    <Folder_x0020_Title xmlns="dfa24db8-b43c-4576-b9f3-d527095e9577" xsi:nil="true"/>
    <Originator xmlns="dfa24db8-b43c-4576-b9f3-d527095e9577">
      <UserInfo>
        <DisplayName>Walsh, Christina</DisplayName>
        <AccountId>226</AccountId>
        <AccountType/>
      </UserInfo>
    </Originator>
    <WorkFolder_x0020_Type xmlns="dfa24db8-b43c-4576-b9f3-d527095e9577">25 - Other</WorkFolder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56F361A932546F4590D5DC141682ABDA" ma:contentTypeVersion="9" ma:contentTypeDescription="Create a new document." ma:contentTypeScope="" ma:versionID="16dc3e3ea04c011fffec4828b11e4b6b">
  <xsd:schema xmlns:xsd="http://www.w3.org/2001/XMLSchema" xmlns:xs="http://www.w3.org/2001/XMLSchema" xmlns:p="http://schemas.microsoft.com/office/2006/metadata/properties" xmlns:ns2="dfa24db8-b43c-4576-b9f3-d527095e9577" xmlns:ns4="http://schemas.microsoft.com/sharepoint/v4" targetNamespace="http://schemas.microsoft.com/office/2006/metadata/properties" ma:root="true" ma:fieldsID="99b7bc3a942e1f72f4598bb4c312dad1" ns2:_="" ns4:_="">
    <xsd:import namespace="dfa24db8-b43c-4576-b9f3-d527095e957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Originator_x0020_Division"/>
                <xsd:element ref="ns2:WorkFolder_x0020_Type"/>
                <xsd:element ref="ns2:Folder_x0020_Title" minOccurs="0"/>
                <xsd:element ref="ns2:Originator"/>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24db8-b43c-4576-b9f3-d527095e9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riginator_x0020_Division" ma:index="11" ma:displayName="Originator Division" ma:format="Dropdown" ma:indexed="true" ma:internalName="Originator_x0020_Division" ma:readOnly="false">
      <xsd:simpleType>
        <xsd:restriction base="dms:Choice">
          <xsd:enumeration value="IT Government and Industry Liaison"/>
          <xsd:enumeration value="Information Assurance Division"/>
          <xsd:enumeration value="Application Development Division"/>
          <xsd:enumeration value="Operations &amp; Engineering"/>
          <xsd:enumeration value="End User Services Division"/>
          <xsd:enumeration value="Enterprise Architecture Division"/>
          <xsd:enumeration value="Mission Support Division"/>
          <xsd:enumeration value="IT Operations"/>
          <xsd:enumeration value="Mission Operations"/>
          <xsd:enumeration value="Classified Technology Division"/>
          <xsd:enumeration value="Technology Solutions Division"/>
        </xsd:restriction>
      </xsd:simpleType>
    </xsd:element>
    <xsd:element name="WorkFolder_x0020_Type" ma:index="12" ma:displayName="WorkFolder Type" ma:format="Dropdown" ma:indexed="true" ma:internalName="WorkFolder_x0020_Type" ma:readOnly="false">
      <xsd:simpleType>
        <xsd:restriction base="dms:Choice">
          <xsd:enumeration value="01 - Letter"/>
          <xsd:enumeration value="02 - IT Waiver/Exception"/>
          <xsd:enumeration value="03 - Memo"/>
          <xsd:enumeration value="04 - PR"/>
          <xsd:enumeration value="05 - Training"/>
          <xsd:enumeration value="06 - CIO COUNCIL"/>
          <xsd:enumeration value="07 - Misc"/>
          <xsd:enumeration value="08 - Broadcast"/>
          <xsd:enumeration value="09 - Flyer"/>
          <xsd:enumeration value="10 - PAR Forms"/>
          <xsd:enumeration value="11 - SOP"/>
          <xsd:enumeration value="12 - MD"/>
          <xsd:enumeration value="13 - Security Policy"/>
          <xsd:enumeration value="14 - Action/Decision Memo"/>
          <xsd:enumeration value="15 - Airport Amendment"/>
          <xsd:enumeration value="16 - Briefing Book"/>
          <xsd:enumeration value="17 - Enforcement Investigation Report"/>
          <xsd:enumeration value="18 - Official Correspondence"/>
          <xsd:enumeration value="19 - Standard Operating Procedure (SOP)"/>
          <xsd:enumeration value="20 - Information Memo"/>
          <xsd:enumeration value="21 - HR Action"/>
          <xsd:enumeration value="22 - Finance Action"/>
          <xsd:enumeration value="23 - Read Ahead"/>
          <xsd:enumeration value="24 - Stakeholder Letter"/>
          <xsd:enumeration value="25 - Other"/>
        </xsd:restriction>
      </xsd:simpleType>
    </xsd:element>
    <xsd:element name="Folder_x0020_Title" ma:index="13" nillable="true" ma:displayName="Folder Title" ma:indexed="true" ma:internalName="Folder_x0020_Title" ma:readOnly="false">
      <xsd:simpleType>
        <xsd:restriction base="dms:Text">
          <xsd:maxLength value="255"/>
        </xsd:restriction>
      </xsd:simpleType>
    </xsd:element>
    <xsd:element name="Originator" ma:index="14" ma:displayName="Originator" ma:indexed="true" ma:list="UserInfo" ma:SharePointGroup="0" ma:internalName="Origin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BF72-21B6-46F2-A8B9-18FC9466A75E}">
  <ds:schemaRefs>
    <ds:schemaRef ds:uri="http://schemas.microsoft.com/sharepoint/v3/contenttype/forms"/>
  </ds:schemaRefs>
</ds:datastoreItem>
</file>

<file path=customXml/itemProps2.xml><?xml version="1.0" encoding="utf-8"?>
<ds:datastoreItem xmlns:ds="http://schemas.openxmlformats.org/officeDocument/2006/customXml" ds:itemID="{4174F024-1E60-4337-BFED-735A4228DF23}">
  <ds:schemaRefs>
    <ds:schemaRef ds:uri="http://schemas.microsoft.com/office/2006/metadata/properties"/>
    <ds:schemaRef ds:uri="dfa24db8-b43c-4576-b9f3-d527095e9577"/>
    <ds:schemaRef ds:uri="http://schemas.microsoft.com/sharepoint/v4"/>
  </ds:schemaRefs>
</ds:datastoreItem>
</file>

<file path=customXml/itemProps3.xml><?xml version="1.0" encoding="utf-8"?>
<ds:datastoreItem xmlns:ds="http://schemas.openxmlformats.org/officeDocument/2006/customXml" ds:itemID="{2A4B6531-47D5-460B-9BBB-F4441858692F}">
  <ds:schemaRefs>
    <ds:schemaRef ds:uri="http://schemas.microsoft.com/sharepoint/events"/>
  </ds:schemaRefs>
</ds:datastoreItem>
</file>

<file path=customXml/itemProps4.xml><?xml version="1.0" encoding="utf-8"?>
<ds:datastoreItem xmlns:ds="http://schemas.openxmlformats.org/officeDocument/2006/customXml" ds:itemID="{56F9762C-20DA-4650-95FB-EFB21A70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24db8-b43c-4576-b9f3-d527095e957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B07C1C-9A9D-4C92-8355-E4D325812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1652-0063 LEO Reimbursement Supporting Statement</vt:lpstr>
    </vt:vector>
  </TitlesOfParts>
  <Company>TSA</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1652-0063 LEO Reimbursement Supporting Statement</dc:title>
  <dc:creator>Marisa.Mullen</dc:creator>
  <cp:keywords>5000.22</cp:keywords>
  <cp:lastModifiedBy>Walsh, Christina</cp:lastModifiedBy>
  <cp:revision>3</cp:revision>
  <dcterms:created xsi:type="dcterms:W3CDTF">2021-09-30T14:51:00Z</dcterms:created>
  <dcterms:modified xsi:type="dcterms:W3CDTF">2021-09-30T14:52:00Z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0x01010056F361A932546F4590D5DC141682ABDA</vt:lpwstr>
  </property>
  <property fmtid="{D5CDD505-2E9C-101B-9397-08002B2CF9AE}" pid="4" name="_dlc_DocIdItemGuid">
    <vt:lpwstr>a670a955-d2be-4884-bd70-c4c39b0517d8</vt:lpwstr>
  </property>
  <property fmtid="{D5CDD505-2E9C-101B-9397-08002B2CF9AE}" pid="5" name="Day Notice">
    <vt:lpwstr>N/A</vt:lpwstr>
  </property>
  <property fmtid="{D5CDD505-2E9C-101B-9397-08002B2CF9AE}" pid="6" name="Type of Request">
    <vt:lpwstr>N/A</vt:lpwstr>
  </property>
  <property fmtid="{D5CDD505-2E9C-101B-9397-08002B2CF9AE}" pid="7" name="_dlc_DocId">
    <vt:lpwstr>2MNXFYDWMX7Y-461-2395</vt:lpwstr>
  </property>
  <property fmtid="{D5CDD505-2E9C-101B-9397-08002B2CF9AE}" pid="8" name="Supplementary Document">
    <vt:lpwstr>N/A</vt:lpwstr>
  </property>
  <property fmtid="{D5CDD505-2E9C-101B-9397-08002B2CF9AE}" pid="9" name="_dlc_DocIdUrl">
    <vt:lpwstr>https://team.ishare.tsa.dhs.gov/sites/oit/bmo/PRA/_layouts/DocIdRedir.aspx?ID=2MNXFYDWMX7Y-461-23952MNXFYDWMX7Y-461-2395</vt:lpwstr>
  </property>
  <property fmtid="{D5CDD505-2E9C-101B-9397-08002B2CF9AE}" pid="10" name="Legacy">
    <vt:lpwstr>N/A</vt:lpwstr>
  </property>
  <property fmtid="{D5CDD505-2E9C-101B-9397-08002B2CF9AE}" pid="11" name="Renewal Year">
    <vt:lpwstr>N/A</vt:lpwstr>
  </property>
  <property fmtid="{D5CDD505-2E9C-101B-9397-08002B2CF9AE}" pid="12" name="Office">
    <vt:lpwstr>OLE/FAMS</vt:lpwstr>
  </property>
  <property fmtid="{D5CDD505-2E9C-101B-9397-08002B2CF9AE}" pid="13" name="RequestType">
    <vt:lpwstr>Extension</vt:lpwstr>
  </property>
  <property fmtid="{D5CDD505-2E9C-101B-9397-08002B2CF9AE}" pid="14" name="Comment">
    <vt:lpwstr>Need to accept edits from DocTracker.</vt:lpwstr>
  </property>
  <property fmtid="{D5CDD505-2E9C-101B-9397-08002B2CF9AE}" pid="15" name="OtherAction">
    <vt:lpwstr>ROCIS</vt:lpwstr>
  </property>
  <property fmtid="{D5CDD505-2E9C-101B-9397-08002B2CF9AE}" pid="16" name="CollectionYear">
    <vt:lpwstr>FY18</vt:lpwstr>
  </property>
  <property fmtid="{D5CDD505-2E9C-101B-9397-08002B2CF9AE}" pid="17" name="DayNotice">
    <vt:lpwstr>N/A</vt:lpwstr>
  </property>
  <property fmtid="{D5CDD505-2E9C-101B-9397-08002B2CF9AE}" pid="18" name="DocumentType">
    <vt:lpwstr>Supporting Statement</vt:lpwstr>
  </property>
  <property fmtid="{D5CDD505-2E9C-101B-9397-08002B2CF9AE}" pid="19" name="_docset_NoMedatataSyncRequired">
    <vt:lpwstr>False</vt:lpwstr>
  </property>
</Properties>
</file>