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0C03" w:rsidRDefault="00DD0C03" w14:paraId="2F7C2F6D" w14:textId="77777777">
      <w:pPr>
        <w:pStyle w:val="Heading2"/>
        <w:tabs>
          <w:tab w:val="left" w:pos="900"/>
        </w:tabs>
        <w:ind w:right="-180"/>
        <w:rPr>
          <w:sz w:val="28"/>
        </w:rPr>
      </w:pPr>
      <w:bookmarkStart w:name="_Hlk42082993" w:id="0"/>
      <w:r>
        <w:rPr>
          <w:sz w:val="28"/>
        </w:rPr>
        <w:t>DOCUMENTATION FOR THE GENERIC CLEARANCE</w:t>
      </w:r>
    </w:p>
    <w:p w:rsidR="00DD0C03" w:rsidRDefault="00DD0C03" w14:paraId="4A343879" w14:textId="77777777">
      <w:pPr>
        <w:jc w:val="center"/>
      </w:pPr>
      <w:r>
        <w:rPr>
          <w:b/>
          <w:sz w:val="28"/>
        </w:rPr>
        <w:t xml:space="preserve">OF CUSTOMER SERVICE SATISFACTION COLLECTIONS </w:t>
      </w:r>
    </w:p>
    <w:bookmarkEnd w:id="0"/>
    <w:p w:rsidR="00DD0C03" w:rsidRDefault="00DD0C03" w14:paraId="5067458F" w14:textId="77777777"/>
    <w:p w:rsidR="00DD0C03" w:rsidRDefault="00D374D2" w14:paraId="24E4635B" w14:textId="2E013961">
      <w:r>
        <w:rPr>
          <w:noProof/>
        </w:rPr>
        <mc:AlternateContent>
          <mc:Choice Requires="wps">
            <w:drawing>
              <wp:anchor distT="0" distB="0" distL="114300" distR="114300" simplePos="0" relativeHeight="251657728" behindDoc="0" locked="0" layoutInCell="0" allowOverlap="1" wp14:editId="76E0ED6C" wp14:anchorId="71B2B2AF">
                <wp:simplePos x="0" y="0"/>
                <wp:positionH relativeFrom="column">
                  <wp:posOffset>0</wp:posOffset>
                </wp:positionH>
                <wp:positionV relativeFrom="paragraph">
                  <wp:posOffset>0</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94C4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p>
    <w:p w:rsidRPr="00697CE2" w:rsidR="00DD0C03" w:rsidRDefault="00DD0C03" w14:paraId="68C45CD1" w14:textId="3EA50BAE">
      <w:pPr>
        <w:pStyle w:val="Heading1"/>
        <w:rPr>
          <w:color w:val="FF0000"/>
        </w:rPr>
      </w:pPr>
      <w:r>
        <w:t xml:space="preserve">TITLE OF INFORMATION COLLECTION:  </w:t>
      </w:r>
      <w:r w:rsidR="00697CE2">
        <w:rPr>
          <w:color w:val="FF0000"/>
        </w:rPr>
        <w:t>Not an A-11 collection</w:t>
      </w:r>
    </w:p>
    <w:p w:rsidRPr="00E25760" w:rsidR="00DD0C03" w:rsidRDefault="007C276F" w14:paraId="5029B80F" w14:textId="63BC2AC8">
      <w:pPr>
        <w:rPr>
          <w:i/>
        </w:rPr>
      </w:pPr>
      <w:r>
        <w:t>Ease of doing business with Federal Student Aid (FSA) – School Partners Survey</w:t>
      </w:r>
    </w:p>
    <w:p w:rsidR="00DD0C03" w:rsidRDefault="00DD0C03" w14:paraId="6B86F422" w14:textId="77777777"/>
    <w:p w:rsidR="00DD0C03" w:rsidRDefault="00DD0C03" w14:paraId="3350B0A4" w14:textId="00E083E0">
      <w:pPr>
        <w:pStyle w:val="BodyTextIndent"/>
        <w:tabs>
          <w:tab w:val="left" w:pos="360"/>
        </w:tabs>
        <w:ind w:left="0"/>
        <w:rPr>
          <w:b/>
          <w:bCs/>
          <w:sz w:val="24"/>
          <w:u w:val="single"/>
        </w:rPr>
      </w:pPr>
      <w:r>
        <w:rPr>
          <w:b/>
          <w:bCs/>
          <w:sz w:val="24"/>
        </w:rPr>
        <w:t>[</w:t>
      </w:r>
      <w:r w:rsidR="00BD6C10">
        <w:rPr>
          <w:b/>
          <w:bCs/>
          <w:sz w:val="24"/>
        </w:rPr>
        <w:t>X</w:t>
      </w:r>
      <w:r>
        <w:rPr>
          <w:b/>
          <w:bCs/>
          <w:sz w:val="24"/>
        </w:rPr>
        <w:t xml:space="preserve">] </w:t>
      </w:r>
      <w:r>
        <w:rPr>
          <w:b/>
          <w:bCs/>
          <w:sz w:val="24"/>
          <w:u w:val="single"/>
        </w:rPr>
        <w:t>SURVEY</w:t>
      </w:r>
      <w:r>
        <w:rPr>
          <w:b/>
          <w:bCs/>
          <w:sz w:val="24"/>
        </w:rPr>
        <w:t xml:space="preserve"> </w:t>
      </w:r>
      <w:r>
        <w:rPr>
          <w:b/>
          <w:bCs/>
          <w:sz w:val="24"/>
        </w:rPr>
        <w:tab/>
        <w:t xml:space="preserve">  [ ] </w:t>
      </w:r>
      <w:r>
        <w:rPr>
          <w:b/>
          <w:bCs/>
          <w:sz w:val="24"/>
          <w:u w:val="single"/>
        </w:rPr>
        <w:t>FOCUS GROUP</w:t>
      </w:r>
      <w:r>
        <w:rPr>
          <w:b/>
          <w:bCs/>
          <w:sz w:val="24"/>
        </w:rPr>
        <w:t xml:space="preserve">      [ ] </w:t>
      </w:r>
      <w:r>
        <w:rPr>
          <w:b/>
          <w:bCs/>
          <w:sz w:val="24"/>
          <w:u w:val="single"/>
        </w:rPr>
        <w:t>SOFTWARE USABILITY TESTING</w:t>
      </w:r>
      <w:r>
        <w:rPr>
          <w:b/>
          <w:bCs/>
          <w:sz w:val="24"/>
        </w:rPr>
        <w:t xml:space="preserve">   </w:t>
      </w:r>
    </w:p>
    <w:p w:rsidR="00DD0C03" w:rsidRDefault="00DD0C03" w14:paraId="399559D2" w14:textId="77777777">
      <w:pPr>
        <w:rPr>
          <w:b/>
        </w:rPr>
      </w:pPr>
    </w:p>
    <w:p w:rsidR="00DD0C03" w:rsidRDefault="00DD0C03" w14:paraId="31A3A9C0" w14:textId="77777777">
      <w:r>
        <w:rPr>
          <w:b/>
        </w:rPr>
        <w:t>DESCRIPTION OF THIS SPECIFIC COLLECTION</w:t>
      </w:r>
      <w:r>
        <w:t xml:space="preserve"> </w:t>
      </w:r>
    </w:p>
    <w:p w:rsidR="00DD0C03" w:rsidRDefault="00DD0C03" w14:paraId="6EB40A22" w14:textId="77777777">
      <w:r>
        <w:t xml:space="preserve">Specify all relevant information, including </w:t>
      </w:r>
    </w:p>
    <w:p w:rsidR="00DD0C03" w:rsidRDefault="00DD0C03" w14:paraId="0BF59CF6" w14:textId="4E7D4670">
      <w:pPr>
        <w:numPr>
          <w:ilvl w:val="0"/>
          <w:numId w:val="13"/>
        </w:numPr>
      </w:pPr>
      <w:r>
        <w:t>intended purpose</w:t>
      </w:r>
      <w:r w:rsidR="00946ADD">
        <w:t>:</w:t>
      </w:r>
      <w:r w:rsidR="00FA2D3D">
        <w:t xml:space="preserve">  The purpose of this</w:t>
      </w:r>
      <w:r w:rsidR="00BE7D12">
        <w:t xml:space="preserve"> </w:t>
      </w:r>
      <w:r w:rsidR="00FA2D3D">
        <w:t xml:space="preserve">survey is </w:t>
      </w:r>
      <w:r w:rsidR="00632B41">
        <w:t xml:space="preserve">(on an annual basis) </w:t>
      </w:r>
      <w:r w:rsidR="00FA2D3D">
        <w:t xml:space="preserve">to provide information to assess FSA’s “ease of doing business” with its school partners.  The purpose of the measurement is to ensure that FSA is providing the best services possible to its school partners, so that in turn, our school partners can provide the best possible services to students.   </w:t>
      </w:r>
    </w:p>
    <w:p w:rsidR="00946ADD" w:rsidP="00946ADD" w:rsidRDefault="00946ADD" w14:paraId="68933E57" w14:textId="77777777">
      <w:pPr>
        <w:ind w:left="720"/>
      </w:pPr>
    </w:p>
    <w:p w:rsidR="00DD0C03" w:rsidRDefault="00DD0C03" w14:paraId="73CB798D" w14:textId="51995BC6">
      <w:pPr>
        <w:numPr>
          <w:ilvl w:val="0"/>
          <w:numId w:val="13"/>
        </w:numPr>
      </w:pPr>
      <w:r>
        <w:t>need for the collection</w:t>
      </w:r>
      <w:r w:rsidR="00946ADD">
        <w:t>:</w:t>
      </w:r>
      <w:r w:rsidR="00FA2D3D">
        <w:t xml:space="preserve"> “Ease of doing business” is a key performance measure of FSA strategic goal, “To ensure that all participants in the system of postsecondary education funding serve the interest of students from policy to delivery.”</w:t>
      </w:r>
    </w:p>
    <w:p w:rsidR="00946ADD" w:rsidP="00946ADD" w:rsidRDefault="00946ADD" w14:paraId="60031047" w14:textId="77777777">
      <w:pPr>
        <w:ind w:firstLine="720"/>
      </w:pPr>
    </w:p>
    <w:p w:rsidR="00DD0C03" w:rsidRDefault="00946ADD" w14:paraId="70946FF2" w14:textId="2E5B89F3">
      <w:pPr>
        <w:numPr>
          <w:ilvl w:val="0"/>
          <w:numId w:val="13"/>
        </w:numPr>
      </w:pPr>
      <w:r>
        <w:t>planned use of the data:</w:t>
      </w:r>
      <w:r w:rsidR="001E18E7">
        <w:t xml:space="preserve">  The survey will not only measure “ease of doing business” at an aggregate level</w:t>
      </w:r>
      <w:r w:rsidR="005E0C88">
        <w:t xml:space="preserve"> which will be reported out on FSA’s fiscal-year-end, annual report to the United States Congress</w:t>
      </w:r>
      <w:r w:rsidR="001E18E7">
        <w:t>, but will also measure ease of use and/or satisfaction of key delivery products and services, like systems that support aid delivery, training, and technical assistance.</w:t>
      </w:r>
    </w:p>
    <w:p w:rsidR="00946ADD" w:rsidP="00946ADD" w:rsidRDefault="00946ADD" w14:paraId="0997964C" w14:textId="77777777">
      <w:pPr>
        <w:pStyle w:val="ListParagraph"/>
      </w:pPr>
    </w:p>
    <w:p w:rsidR="00DD0C03" w:rsidRDefault="00946ADD" w14:paraId="176D8CFF" w14:textId="54E64E33">
      <w:pPr>
        <w:numPr>
          <w:ilvl w:val="0"/>
          <w:numId w:val="13"/>
        </w:numPr>
      </w:pPr>
      <w:r>
        <w:t>date(s) and location(s):</w:t>
      </w:r>
      <w:r w:rsidR="00110DC3">
        <w:t xml:space="preserve">  June 202</w:t>
      </w:r>
      <w:r w:rsidR="000415F5">
        <w:t>1</w:t>
      </w:r>
      <w:r w:rsidR="00BE7D12">
        <w:t xml:space="preserve"> via website.</w:t>
      </w:r>
    </w:p>
    <w:p w:rsidR="00946ADD" w:rsidP="00946ADD" w:rsidRDefault="00946ADD" w14:paraId="60C6CCA1" w14:textId="77777777">
      <w:pPr>
        <w:pStyle w:val="ListParagraph"/>
      </w:pPr>
    </w:p>
    <w:p w:rsidR="00DD0C03" w:rsidRDefault="00946ADD" w14:paraId="45A52CF5" w14:textId="709245F9">
      <w:pPr>
        <w:numPr>
          <w:ilvl w:val="0"/>
          <w:numId w:val="13"/>
        </w:numPr>
      </w:pPr>
      <w:r>
        <w:t>collection procedures:</w:t>
      </w:r>
      <w:r w:rsidR="00C925E9">
        <w:t xml:space="preserve">  Potential respondents are pulled from the PEPS system.  This list will be sent an email requesting feedback.  A link within the email will direct them to the survey that is housed on a website.</w:t>
      </w:r>
    </w:p>
    <w:p w:rsidR="00946ADD" w:rsidP="00946ADD" w:rsidRDefault="00946ADD" w14:paraId="6CBA7F21" w14:textId="77777777">
      <w:pPr>
        <w:pStyle w:val="ListParagraph"/>
      </w:pPr>
    </w:p>
    <w:p w:rsidR="00295ADA" w:rsidP="00295ADA" w:rsidRDefault="00DD0C03" w14:paraId="4AF5D48F" w14:textId="4F936F27">
      <w:pPr>
        <w:numPr>
          <w:ilvl w:val="0"/>
          <w:numId w:val="13"/>
        </w:numPr>
      </w:pPr>
      <w:r>
        <w:t>number of focus groups, surveys, usability testing sessions</w:t>
      </w:r>
      <w:r w:rsidR="00946ADD">
        <w:t>:</w:t>
      </w:r>
      <w:r w:rsidR="00AC11AC">
        <w:t xml:space="preserve">  The current version of this study involves one (1) survey.</w:t>
      </w:r>
    </w:p>
    <w:p w:rsidR="00295ADA" w:rsidP="00295ADA" w:rsidRDefault="00295ADA" w14:paraId="231174FA" w14:textId="77777777"/>
    <w:p w:rsidR="00DD0C03" w:rsidRDefault="00DD0C03" w14:paraId="0E584696" w14:textId="52491788">
      <w:pPr>
        <w:numPr>
          <w:ilvl w:val="0"/>
          <w:numId w:val="13"/>
        </w:numPr>
      </w:pPr>
      <w:r>
        <w:t>description of respondents/participants.</w:t>
      </w:r>
      <w:r w:rsidR="005857A7">
        <w:t xml:space="preserve">  The respondents/participants are post-secondary educational institution f</w:t>
      </w:r>
      <w:r w:rsidR="00295ADA">
        <w:t>inancial aid administrators</w:t>
      </w:r>
      <w:r w:rsidR="005857A7">
        <w:t>.</w:t>
      </w:r>
    </w:p>
    <w:p w:rsidR="00946ADD" w:rsidRDefault="00946ADD" w14:paraId="5A81754C" w14:textId="77777777">
      <w:pPr>
        <w:ind w:left="360"/>
      </w:pPr>
    </w:p>
    <w:p w:rsidR="00DD0C03" w:rsidRDefault="00DD0C03" w14:paraId="790DDC24" w14:textId="77777777">
      <w:pPr>
        <w:pStyle w:val="Header"/>
        <w:tabs>
          <w:tab w:val="clear" w:pos="4320"/>
          <w:tab w:val="clear" w:pos="8640"/>
        </w:tabs>
      </w:pPr>
    </w:p>
    <w:p w:rsidR="00DD0C03" w:rsidRDefault="00DD0C03" w14:paraId="23C33CFA" w14:textId="77777777">
      <w:pPr>
        <w:rPr>
          <w:b/>
        </w:rPr>
      </w:pPr>
      <w:r>
        <w:rPr>
          <w:b/>
        </w:rPr>
        <w:t>AMOUNT OF ANY PROPOSED STIPEND OR INCENTIVE</w:t>
      </w:r>
    </w:p>
    <w:p w:rsidR="006C19EE" w:rsidP="006C19EE" w:rsidRDefault="006C19EE" w14:paraId="7FB27D42" w14:textId="77777777">
      <w:pPr>
        <w:ind w:left="720"/>
        <w:rPr>
          <w:bCs/>
        </w:rPr>
      </w:pPr>
      <w:r>
        <w:rPr>
          <w:bCs/>
        </w:rPr>
        <w:t>N/A</w:t>
      </w:r>
    </w:p>
    <w:p w:rsidR="00DD0C03" w:rsidRDefault="00DD0C03" w14:paraId="6D5F6E08" w14:textId="77777777"/>
    <w:p w:rsidR="00DD0C03" w:rsidRDefault="00BF612B" w14:paraId="7139A58E" w14:textId="658D6DDB">
      <w:pPr>
        <w:rPr>
          <w:i/>
        </w:rPr>
      </w:pPr>
      <w:r>
        <w:rPr>
          <w:b/>
        </w:rPr>
        <w:br w:type="page"/>
      </w:r>
      <w:r w:rsidR="00DD0C03">
        <w:rPr>
          <w:b/>
        </w:rPr>
        <w:lastRenderedPageBreak/>
        <w:t>BURDEN HOUR COMPUTATION</w:t>
      </w:r>
      <w:r w:rsidR="00DD0C03">
        <w:t xml:space="preserve"> </w:t>
      </w:r>
      <w:r w:rsidR="00DD0C03">
        <w:rPr>
          <w:i/>
        </w:rPr>
        <w:t>(Number of responses (X) estimated response or participation time in minutes (/60) = annual burden hours):</w:t>
      </w:r>
    </w:p>
    <w:p w:rsidR="00DD0C03" w:rsidRDefault="00DD0C03" w14:paraId="4B9120E3"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9"/>
        <w:gridCol w:w="2513"/>
        <w:gridCol w:w="2466"/>
        <w:gridCol w:w="1133"/>
      </w:tblGrid>
      <w:tr w:rsidR="00DD0C03" w14:paraId="21220FAF" w14:textId="77777777">
        <w:trPr>
          <w:trHeight w:val="274"/>
        </w:trPr>
        <w:tc>
          <w:tcPr>
            <w:tcW w:w="0" w:type="auto"/>
          </w:tcPr>
          <w:p w:rsidR="00DD0C03" w:rsidRDefault="00DD0C03" w14:paraId="19A783DA" w14:textId="77777777">
            <w:pPr>
              <w:rPr>
                <w:b/>
              </w:rPr>
            </w:pPr>
            <w:r>
              <w:rPr>
                <w:b/>
              </w:rPr>
              <w:t xml:space="preserve">Category of Respondent </w:t>
            </w:r>
          </w:p>
        </w:tc>
        <w:tc>
          <w:tcPr>
            <w:tcW w:w="0" w:type="auto"/>
          </w:tcPr>
          <w:p w:rsidR="00DD0C03" w:rsidRDefault="00DD0C03" w14:paraId="4A79FE70" w14:textId="77777777">
            <w:pPr>
              <w:rPr>
                <w:b/>
              </w:rPr>
            </w:pPr>
            <w:r>
              <w:rPr>
                <w:b/>
              </w:rPr>
              <w:t>No. of Respondents</w:t>
            </w:r>
          </w:p>
        </w:tc>
        <w:tc>
          <w:tcPr>
            <w:tcW w:w="0" w:type="auto"/>
          </w:tcPr>
          <w:p w:rsidR="00DD0C03" w:rsidRDefault="00DD0C03" w14:paraId="4522EA06" w14:textId="77777777">
            <w:pPr>
              <w:rPr>
                <w:b/>
              </w:rPr>
            </w:pPr>
            <w:r>
              <w:rPr>
                <w:b/>
              </w:rPr>
              <w:t>Participation Time</w:t>
            </w:r>
          </w:p>
        </w:tc>
        <w:tc>
          <w:tcPr>
            <w:tcW w:w="0" w:type="auto"/>
          </w:tcPr>
          <w:p w:rsidR="00DD0C03" w:rsidRDefault="00DD0C03" w14:paraId="6778D220" w14:textId="77777777">
            <w:pPr>
              <w:rPr>
                <w:b/>
              </w:rPr>
            </w:pPr>
            <w:r>
              <w:rPr>
                <w:b/>
              </w:rPr>
              <w:t>Burden</w:t>
            </w:r>
          </w:p>
        </w:tc>
      </w:tr>
      <w:tr w:rsidR="00085DE5" w14:paraId="0B486C05" w14:textId="77777777">
        <w:trPr>
          <w:trHeight w:val="274"/>
        </w:trPr>
        <w:tc>
          <w:tcPr>
            <w:tcW w:w="0" w:type="auto"/>
          </w:tcPr>
          <w:p w:rsidR="00085DE5" w:rsidP="00085DE5" w:rsidRDefault="00085DE5" w14:paraId="32C0824B" w14:textId="029940CF">
            <w:r>
              <w:t>School Financial Aid Officers</w:t>
            </w:r>
          </w:p>
        </w:tc>
        <w:tc>
          <w:tcPr>
            <w:tcW w:w="0" w:type="auto"/>
          </w:tcPr>
          <w:p w:rsidR="00085DE5" w:rsidP="00085DE5" w:rsidRDefault="00B111F6" w14:paraId="1E53494C" w14:textId="3B3ADDEA">
            <w:r>
              <w:t>1 respondent</w:t>
            </w:r>
          </w:p>
        </w:tc>
        <w:tc>
          <w:tcPr>
            <w:tcW w:w="0" w:type="auto"/>
          </w:tcPr>
          <w:p w:rsidR="00085DE5" w:rsidP="00085DE5" w:rsidRDefault="00085DE5" w14:paraId="7C2F981C" w14:textId="6875794B">
            <w:r>
              <w:t>5 minutes</w:t>
            </w:r>
          </w:p>
        </w:tc>
        <w:tc>
          <w:tcPr>
            <w:tcW w:w="0" w:type="auto"/>
          </w:tcPr>
          <w:p w:rsidR="00085DE5" w:rsidP="00085DE5" w:rsidRDefault="00B111F6" w14:paraId="48EB7085" w14:textId="590238ED">
            <w:r>
              <w:t>1 hour</w:t>
            </w:r>
          </w:p>
        </w:tc>
      </w:tr>
      <w:tr w:rsidR="00085DE5" w14:paraId="4B212264" w14:textId="77777777">
        <w:trPr>
          <w:trHeight w:val="289"/>
        </w:trPr>
        <w:tc>
          <w:tcPr>
            <w:tcW w:w="0" w:type="auto"/>
          </w:tcPr>
          <w:p w:rsidR="00085DE5" w:rsidP="00085DE5" w:rsidRDefault="00085DE5" w14:paraId="147FBB14" w14:textId="15C30CD7">
            <w:pPr>
              <w:rPr>
                <w:b/>
              </w:rPr>
            </w:pPr>
            <w:r>
              <w:rPr>
                <w:b/>
              </w:rPr>
              <w:t>Totals</w:t>
            </w:r>
          </w:p>
        </w:tc>
        <w:tc>
          <w:tcPr>
            <w:tcW w:w="0" w:type="auto"/>
          </w:tcPr>
          <w:p w:rsidR="00085DE5" w:rsidP="00085DE5" w:rsidRDefault="00B111F6" w14:paraId="03389E73" w14:textId="02CE5FEC">
            <w:pPr>
              <w:rPr>
                <w:b/>
              </w:rPr>
            </w:pPr>
            <w:r>
              <w:rPr>
                <w:b/>
              </w:rPr>
              <w:t>1 respondent</w:t>
            </w:r>
          </w:p>
        </w:tc>
        <w:tc>
          <w:tcPr>
            <w:tcW w:w="0" w:type="auto"/>
          </w:tcPr>
          <w:p w:rsidR="00085DE5" w:rsidP="00085DE5" w:rsidRDefault="00085DE5" w14:paraId="2E234D63" w14:textId="31D23439">
            <w:r>
              <w:rPr>
                <w:b/>
                <w:bCs/>
              </w:rPr>
              <w:t>5 minutes</w:t>
            </w:r>
          </w:p>
        </w:tc>
        <w:tc>
          <w:tcPr>
            <w:tcW w:w="0" w:type="auto"/>
          </w:tcPr>
          <w:p w:rsidR="00085DE5" w:rsidP="00085DE5" w:rsidRDefault="00B111F6" w14:paraId="1B5C9DDF" w14:textId="5080A021">
            <w:pPr>
              <w:rPr>
                <w:b/>
              </w:rPr>
            </w:pPr>
            <w:r>
              <w:rPr>
                <w:b/>
              </w:rPr>
              <w:t>1</w:t>
            </w:r>
            <w:r w:rsidR="00085DE5">
              <w:rPr>
                <w:b/>
              </w:rPr>
              <w:t xml:space="preserve"> </w:t>
            </w:r>
            <w:r>
              <w:rPr>
                <w:b/>
              </w:rPr>
              <w:t>hour</w:t>
            </w:r>
          </w:p>
        </w:tc>
      </w:tr>
    </w:tbl>
    <w:p w:rsidR="00B111F6" w:rsidP="00B111F6" w:rsidRDefault="00B111F6" w14:paraId="7A09944A" w14:textId="77777777">
      <w:pPr>
        <w:pStyle w:val="BodyTextIndent"/>
        <w:tabs>
          <w:tab w:val="left" w:pos="360"/>
        </w:tabs>
        <w:ind w:left="0"/>
        <w:rPr>
          <w:bCs/>
          <w:sz w:val="24"/>
        </w:rPr>
      </w:pPr>
      <w:r>
        <w:rPr>
          <w:bCs/>
          <w:sz w:val="24"/>
        </w:rPr>
        <w:t>* The 1 hour and 1 respondent was added to the submission as the hours and respondent numbers so as not to duplicate of the hours previously approved under 1845-0045.</w:t>
      </w:r>
    </w:p>
    <w:p w:rsidR="00DD0C03" w:rsidRDefault="00DD0C03" w14:paraId="513140E0" w14:textId="77777777"/>
    <w:p w:rsidRPr="004D1B54" w:rsidR="00DD0C03" w:rsidRDefault="00DD0C03" w14:paraId="6992B673" w14:textId="77777777">
      <w:pPr>
        <w:rPr>
          <w:i/>
        </w:rPr>
      </w:pPr>
      <w:r>
        <w:rPr>
          <w:b/>
        </w:rPr>
        <w:t>BURDEN COST COMPUTATION</w:t>
      </w:r>
      <w:r w:rsidR="004D1B54">
        <w:rPr>
          <w:b/>
        </w:rPr>
        <w:t xml:space="preserve"> </w:t>
      </w:r>
      <w:r w:rsidR="004D1B54">
        <w:rPr>
          <w:i/>
        </w:rPr>
        <w:t>(this is only required when a stipend is being offered)</w:t>
      </w:r>
    </w:p>
    <w:tbl>
      <w:tblPr>
        <w:tblW w:w="9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8"/>
        <w:gridCol w:w="2667"/>
        <w:gridCol w:w="1716"/>
        <w:gridCol w:w="1197"/>
        <w:gridCol w:w="925"/>
      </w:tblGrid>
      <w:tr w:rsidR="00DD0C03" w14:paraId="321624CA" w14:textId="77777777">
        <w:trPr>
          <w:trHeight w:val="274"/>
        </w:trPr>
        <w:tc>
          <w:tcPr>
            <w:tcW w:w="3168" w:type="dxa"/>
          </w:tcPr>
          <w:p w:rsidR="00DD0C03" w:rsidRDefault="00DD0C03" w14:paraId="3C6E5B41" w14:textId="77777777">
            <w:pPr>
              <w:rPr>
                <w:b/>
              </w:rPr>
            </w:pPr>
            <w:r>
              <w:rPr>
                <w:b/>
              </w:rPr>
              <w:t xml:space="preserve">Category of Respondent </w:t>
            </w:r>
          </w:p>
        </w:tc>
        <w:tc>
          <w:tcPr>
            <w:tcW w:w="2667" w:type="dxa"/>
          </w:tcPr>
          <w:p w:rsidR="00DD0C03" w:rsidRDefault="00DD0C03" w14:paraId="70AFA1A7" w14:textId="77777777">
            <w:pPr>
              <w:rPr>
                <w:b/>
              </w:rPr>
            </w:pPr>
            <w:r>
              <w:rPr>
                <w:b/>
              </w:rPr>
              <w:t>No. of Respondents</w:t>
            </w:r>
          </w:p>
        </w:tc>
        <w:tc>
          <w:tcPr>
            <w:tcW w:w="1716" w:type="dxa"/>
          </w:tcPr>
          <w:p w:rsidR="00DD0C03" w:rsidRDefault="00DD0C03" w14:paraId="1CD98A18" w14:textId="77777777">
            <w:pPr>
              <w:rPr>
                <w:b/>
              </w:rPr>
            </w:pPr>
            <w:r>
              <w:rPr>
                <w:b/>
              </w:rPr>
              <w:t xml:space="preserve">Hourly </w:t>
            </w:r>
          </w:p>
          <w:p w:rsidR="00DD0C03" w:rsidRDefault="00DD0C03" w14:paraId="60936919" w14:textId="77777777">
            <w:pPr>
              <w:rPr>
                <w:b/>
              </w:rPr>
            </w:pPr>
            <w:r>
              <w:rPr>
                <w:b/>
              </w:rPr>
              <w:t>Rate</w:t>
            </w:r>
          </w:p>
        </w:tc>
        <w:tc>
          <w:tcPr>
            <w:tcW w:w="1197" w:type="dxa"/>
          </w:tcPr>
          <w:p w:rsidR="00DD0C03" w:rsidRDefault="00DD0C03" w14:paraId="1233CEA2" w14:textId="77777777">
            <w:pPr>
              <w:rPr>
                <w:b/>
              </w:rPr>
            </w:pPr>
            <w:r>
              <w:rPr>
                <w:b/>
              </w:rPr>
              <w:t>Response Time</w:t>
            </w:r>
          </w:p>
        </w:tc>
        <w:tc>
          <w:tcPr>
            <w:tcW w:w="925" w:type="dxa"/>
          </w:tcPr>
          <w:p w:rsidR="00DD0C03" w:rsidRDefault="00DD0C03" w14:paraId="688ADB90" w14:textId="77777777">
            <w:pPr>
              <w:rPr>
                <w:b/>
              </w:rPr>
            </w:pPr>
            <w:r>
              <w:rPr>
                <w:b/>
              </w:rPr>
              <w:t>Total</w:t>
            </w:r>
          </w:p>
        </w:tc>
      </w:tr>
      <w:tr w:rsidR="00DD0C03" w14:paraId="5CCC82D6" w14:textId="77777777">
        <w:trPr>
          <w:trHeight w:val="274"/>
        </w:trPr>
        <w:tc>
          <w:tcPr>
            <w:tcW w:w="3168" w:type="dxa"/>
          </w:tcPr>
          <w:p w:rsidR="00DD0C03" w:rsidRDefault="00085DE5" w14:paraId="168E2E6E" w14:textId="714D6B54">
            <w:r>
              <w:t>Not Applicable</w:t>
            </w:r>
          </w:p>
        </w:tc>
        <w:tc>
          <w:tcPr>
            <w:tcW w:w="2667" w:type="dxa"/>
          </w:tcPr>
          <w:p w:rsidR="00DD0C03" w:rsidRDefault="00DD0C03" w14:paraId="6797EBA7" w14:textId="77777777"/>
        </w:tc>
        <w:tc>
          <w:tcPr>
            <w:tcW w:w="1716" w:type="dxa"/>
          </w:tcPr>
          <w:p w:rsidR="00DD0C03" w:rsidRDefault="00DD0C03" w14:paraId="4A3860A0" w14:textId="77777777"/>
        </w:tc>
        <w:tc>
          <w:tcPr>
            <w:tcW w:w="1197" w:type="dxa"/>
          </w:tcPr>
          <w:p w:rsidR="00DD0C03" w:rsidRDefault="00DD0C03" w14:paraId="6FDFB6BC" w14:textId="77777777"/>
        </w:tc>
        <w:tc>
          <w:tcPr>
            <w:tcW w:w="925" w:type="dxa"/>
          </w:tcPr>
          <w:p w:rsidR="00DD0C03" w:rsidRDefault="00DD0C03" w14:paraId="7472379D" w14:textId="77777777"/>
        </w:tc>
      </w:tr>
      <w:tr w:rsidR="00DD0C03" w14:paraId="2A30864E" w14:textId="77777777">
        <w:trPr>
          <w:trHeight w:val="289"/>
        </w:trPr>
        <w:tc>
          <w:tcPr>
            <w:tcW w:w="3168" w:type="dxa"/>
          </w:tcPr>
          <w:p w:rsidR="00DD0C03" w:rsidRDefault="00DD0C03" w14:paraId="4D463E27" w14:textId="77777777">
            <w:pPr>
              <w:rPr>
                <w:b/>
              </w:rPr>
            </w:pPr>
            <w:r>
              <w:rPr>
                <w:b/>
              </w:rPr>
              <w:t>Totals</w:t>
            </w:r>
          </w:p>
        </w:tc>
        <w:tc>
          <w:tcPr>
            <w:tcW w:w="2667" w:type="dxa"/>
          </w:tcPr>
          <w:p w:rsidR="00DD0C03" w:rsidRDefault="00DD0C03" w14:paraId="1ACB4FC3" w14:textId="77777777">
            <w:pPr>
              <w:rPr>
                <w:b/>
              </w:rPr>
            </w:pPr>
          </w:p>
        </w:tc>
        <w:tc>
          <w:tcPr>
            <w:tcW w:w="1716" w:type="dxa"/>
          </w:tcPr>
          <w:p w:rsidR="00DD0C03" w:rsidRDefault="00DD0C03" w14:paraId="04BFAD68" w14:textId="77777777"/>
        </w:tc>
        <w:tc>
          <w:tcPr>
            <w:tcW w:w="1197" w:type="dxa"/>
          </w:tcPr>
          <w:p w:rsidR="00DD0C03" w:rsidRDefault="00DD0C03" w14:paraId="486C1FC9" w14:textId="77777777">
            <w:pPr>
              <w:rPr>
                <w:b/>
              </w:rPr>
            </w:pPr>
          </w:p>
        </w:tc>
        <w:tc>
          <w:tcPr>
            <w:tcW w:w="925" w:type="dxa"/>
          </w:tcPr>
          <w:p w:rsidR="00DD0C03" w:rsidRDefault="00DD0C03" w14:paraId="770C33EA" w14:textId="77777777">
            <w:pPr>
              <w:rPr>
                <w:b/>
              </w:rPr>
            </w:pPr>
          </w:p>
        </w:tc>
      </w:tr>
    </w:tbl>
    <w:p w:rsidR="00DD0C03" w:rsidRDefault="00DD0C03" w14:paraId="229D2033" w14:textId="77777777">
      <w:pPr>
        <w:rPr>
          <w:b/>
        </w:rPr>
      </w:pPr>
    </w:p>
    <w:p w:rsidR="00DD0C03" w:rsidRDefault="00DD0C03" w14:paraId="00E91168" w14:textId="77777777">
      <w:pPr>
        <w:pStyle w:val="BodyTextIndent"/>
        <w:tabs>
          <w:tab w:val="left" w:pos="360"/>
        </w:tabs>
        <w:ind w:left="0"/>
        <w:rPr>
          <w:b/>
          <w:bCs/>
          <w:sz w:val="24"/>
        </w:rPr>
      </w:pPr>
      <w:r>
        <w:rPr>
          <w:b/>
          <w:bCs/>
          <w:sz w:val="24"/>
          <w:u w:val="single"/>
        </w:rPr>
        <w:t>STATISTICAL INFORMATION</w:t>
      </w:r>
      <w:r>
        <w:rPr>
          <w:b/>
          <w:bCs/>
          <w:sz w:val="24"/>
        </w:rPr>
        <w:t xml:space="preserve"> </w:t>
      </w:r>
    </w:p>
    <w:p w:rsidRPr="004D1B54" w:rsidR="00DD0C03" w:rsidRDefault="00DD0C03" w14:paraId="084D8433" w14:textId="77777777">
      <w:pPr>
        <w:pStyle w:val="BodyTextIndent"/>
        <w:tabs>
          <w:tab w:val="left" w:pos="360"/>
        </w:tabs>
        <w:ind w:left="0"/>
        <w:rPr>
          <w:rFonts w:ascii="Arial" w:hAnsi="Arial" w:cs="Arial"/>
          <w:i/>
          <w:color w:val="000080"/>
          <w:lang w:eastAsia="en-US"/>
        </w:rPr>
      </w:pPr>
      <w:r w:rsidRPr="004D1B54">
        <w:rPr>
          <w:b/>
          <w:bCs/>
          <w:i/>
          <w:sz w:val="24"/>
        </w:rPr>
        <w:t>If statistical methods are to be used, fully describe the methodology, sample selection, expected response rates, and any other concepts needed to provide a full understanding of those methods.</w:t>
      </w:r>
    </w:p>
    <w:p w:rsidR="00DD0C03" w:rsidRDefault="00DD0C03" w14:paraId="20D53B99" w14:textId="77777777"/>
    <w:p w:rsidR="00722F00" w:rsidRDefault="00722F00" w14:paraId="2F5C1BDC" w14:textId="77777777"/>
    <w:p w:rsidR="00722F00" w:rsidRDefault="00722F00" w14:paraId="7BA59CC0" w14:textId="77777777"/>
    <w:p w:rsidR="00DD0C03" w:rsidRDefault="00DD0C03" w14:paraId="1B7B616F" w14:textId="1D9FE5B7">
      <w:pPr>
        <w:rPr>
          <w:b/>
        </w:rPr>
      </w:pPr>
      <w:r w:rsidRPr="00BF3AB2">
        <w:rPr>
          <w:b/>
          <w:u w:val="single"/>
        </w:rPr>
        <w:t>REQUESTED APPROVAL DATE</w:t>
      </w:r>
      <w:r>
        <w:rPr>
          <w:b/>
        </w:rPr>
        <w:t>:</w:t>
      </w:r>
      <w:r>
        <w:rPr>
          <w:b/>
        </w:rPr>
        <w:tab/>
      </w:r>
      <w:r w:rsidR="00DC2E66">
        <w:rPr>
          <w:bCs/>
        </w:rPr>
        <w:t>May 1</w:t>
      </w:r>
      <w:r w:rsidR="004B1C2F">
        <w:rPr>
          <w:bCs/>
        </w:rPr>
        <w:t>4</w:t>
      </w:r>
      <w:r w:rsidRPr="00097FD2" w:rsidR="00097FD2">
        <w:rPr>
          <w:bCs/>
        </w:rPr>
        <w:t>, 202</w:t>
      </w:r>
      <w:r w:rsidR="00DC2E66">
        <w:rPr>
          <w:bCs/>
        </w:rPr>
        <w:t>1</w:t>
      </w:r>
    </w:p>
    <w:p w:rsidR="00DD0C03" w:rsidRDefault="00DD0C03" w14:paraId="67559BF0" w14:textId="77777777">
      <w:pPr>
        <w:rPr>
          <w:b/>
        </w:rPr>
      </w:pPr>
    </w:p>
    <w:p w:rsidR="00BF3AB2" w:rsidP="00BF3AB2" w:rsidRDefault="00BF3AB2" w14:paraId="026C67EF" w14:textId="77777777">
      <w:pPr>
        <w:rPr>
          <w:bCs/>
        </w:rPr>
      </w:pPr>
      <w:r>
        <w:rPr>
          <w:b/>
          <w:u w:val="single"/>
        </w:rPr>
        <w:t>NAME OF CONTACT PERSON:</w:t>
      </w:r>
      <w:r>
        <w:rPr>
          <w:b/>
        </w:rPr>
        <w:t xml:space="preserve">  </w:t>
      </w:r>
      <w:r>
        <w:rPr>
          <w:bCs/>
        </w:rPr>
        <w:t>John McDade</w:t>
      </w:r>
    </w:p>
    <w:p w:rsidR="00BF3AB2" w:rsidP="00BF3AB2" w:rsidRDefault="00BF3AB2" w14:paraId="13DBDD05" w14:textId="77777777">
      <w:pPr>
        <w:pStyle w:val="Header"/>
        <w:widowControl/>
        <w:tabs>
          <w:tab w:val="left" w:pos="720"/>
        </w:tabs>
      </w:pPr>
    </w:p>
    <w:p w:rsidR="00BF3AB2" w:rsidP="00BF3AB2" w:rsidRDefault="00BF3AB2" w14:paraId="74BACE33" w14:textId="77777777">
      <w:pPr>
        <w:rPr>
          <w:bCs/>
        </w:rPr>
      </w:pPr>
      <w:r>
        <w:rPr>
          <w:b/>
          <w:u w:val="single"/>
        </w:rPr>
        <w:t>TELEPHONE NUMBER</w:t>
      </w:r>
      <w:r w:rsidRPr="00BF3AB2">
        <w:rPr>
          <w:b/>
        </w:rPr>
        <w:t>:</w:t>
      </w:r>
      <w:r>
        <w:rPr>
          <w:b/>
        </w:rPr>
        <w:tab/>
      </w:r>
      <w:r>
        <w:rPr>
          <w:bCs/>
        </w:rPr>
        <w:t>202-379-6075</w:t>
      </w:r>
    </w:p>
    <w:p w:rsidR="00BF3AB2" w:rsidP="00BF3AB2" w:rsidRDefault="00BF3AB2" w14:paraId="3D857303" w14:textId="77777777"/>
    <w:p w:rsidR="00BF3AB2" w:rsidP="00BF3AB2" w:rsidRDefault="00BF3AB2" w14:paraId="439A16ED" w14:textId="77777777">
      <w:pPr>
        <w:rPr>
          <w:bCs/>
        </w:rPr>
      </w:pPr>
      <w:r>
        <w:rPr>
          <w:b/>
          <w:u w:val="single"/>
        </w:rPr>
        <w:t>MAILING LOCATION</w:t>
      </w:r>
      <w:r>
        <w:rPr>
          <w:b/>
        </w:rPr>
        <w:t>:</w:t>
      </w:r>
      <w:r>
        <w:rPr>
          <w:b/>
        </w:rPr>
        <w:tab/>
      </w:r>
      <w:r>
        <w:rPr>
          <w:bCs/>
        </w:rPr>
        <w:t>Office of Federal Student Aid; The Wanamaker Building; Suite 511; 100 Penn Square East; Philadelphia, PA  19107-3326</w:t>
      </w:r>
    </w:p>
    <w:p w:rsidR="00BF3AB2" w:rsidP="00BF3AB2" w:rsidRDefault="00BF3AB2" w14:paraId="096E5DF7" w14:textId="77777777">
      <w:pPr>
        <w:ind w:left="2160" w:firstLine="720"/>
        <w:rPr>
          <w:u w:val="single"/>
        </w:rPr>
      </w:pPr>
    </w:p>
    <w:p w:rsidR="00BF3AB2" w:rsidP="00BF3AB2" w:rsidRDefault="00BF3AB2" w14:paraId="6A17745E" w14:textId="77777777">
      <w:pPr>
        <w:tabs>
          <w:tab w:val="left" w:pos="5670"/>
        </w:tabs>
        <w:suppressAutoHyphens/>
      </w:pPr>
      <w:r>
        <w:rPr>
          <w:b/>
          <w:u w:val="single"/>
        </w:rPr>
        <w:t>ED DEPARTMENT, OFFICE, DIVISION, BRANCH</w:t>
      </w:r>
      <w:r>
        <w:rPr>
          <w:b/>
        </w:rPr>
        <w:t>:</w:t>
      </w:r>
      <w:r>
        <w:rPr>
          <w:b/>
        </w:rPr>
        <w:tab/>
      </w:r>
      <w:r>
        <w:rPr>
          <w:bCs/>
        </w:rPr>
        <w:t>Federal Student Aid, Customer Experience, Office of Customer Analytics</w:t>
      </w:r>
      <w:r>
        <w:rPr>
          <w:b/>
        </w:rPr>
        <w:tab/>
      </w:r>
      <w:r>
        <w:rPr>
          <w:b/>
        </w:rPr>
        <w:tab/>
      </w:r>
      <w:r>
        <w:t xml:space="preserve"> </w:t>
      </w:r>
    </w:p>
    <w:p w:rsidR="00DD0C03" w:rsidRDefault="00DD0C03" w14:paraId="174392B0" w14:textId="77777777">
      <w:pPr>
        <w:tabs>
          <w:tab w:val="left" w:pos="5670"/>
        </w:tabs>
        <w:suppressAutoHyphens/>
        <w:rPr>
          <w:b/>
        </w:rPr>
      </w:pPr>
    </w:p>
    <w:p w:rsidR="00DD0C03" w:rsidRDefault="00DD0C03" w14:paraId="165F2CC7" w14:textId="77777777">
      <w:pPr>
        <w:tabs>
          <w:tab w:val="left" w:pos="5670"/>
        </w:tabs>
        <w:suppressAutoHyphens/>
        <w:rPr>
          <w:b/>
        </w:rPr>
      </w:pPr>
    </w:p>
    <w:p w:rsidR="00DD0C03" w:rsidRDefault="00DD0C03" w14:paraId="5C4582AB" w14:textId="77777777">
      <w:pPr>
        <w:tabs>
          <w:tab w:val="left" w:pos="5670"/>
        </w:tabs>
        <w:suppressAutoHyphens/>
      </w:pPr>
      <w:r>
        <w:rPr>
          <w:b/>
        </w:rPr>
        <w:tab/>
      </w:r>
      <w:r>
        <w:t xml:space="preserve"> </w:t>
      </w:r>
    </w:p>
    <w:sectPr w:rsidR="00DD0C03">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1806E" w14:textId="77777777" w:rsidR="000A4DD4" w:rsidRDefault="000A4DD4">
      <w:r>
        <w:separator/>
      </w:r>
    </w:p>
  </w:endnote>
  <w:endnote w:type="continuationSeparator" w:id="0">
    <w:p w14:paraId="071E792C" w14:textId="77777777" w:rsidR="000A4DD4" w:rsidRDefault="000A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81CCA" w14:textId="77777777" w:rsidR="00DD0C03" w:rsidRDefault="00DD0C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660B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DD83C" w14:textId="77777777" w:rsidR="000A4DD4" w:rsidRDefault="000A4DD4">
      <w:r>
        <w:separator/>
      </w:r>
    </w:p>
  </w:footnote>
  <w:footnote w:type="continuationSeparator" w:id="0">
    <w:p w14:paraId="4EF67BE7" w14:textId="77777777" w:rsidR="000A4DD4" w:rsidRDefault="000A4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0"/>
  </w:num>
  <w:num w:numId="4">
    <w:abstractNumId w:val="12"/>
  </w:num>
  <w:num w:numId="5">
    <w:abstractNumId w:val="3"/>
  </w:num>
  <w:num w:numId="6">
    <w:abstractNumId w:val="1"/>
  </w:num>
  <w:num w:numId="7">
    <w:abstractNumId w:val="6"/>
  </w:num>
  <w:num w:numId="8">
    <w:abstractNumId w:val="9"/>
  </w:num>
  <w:num w:numId="9">
    <w:abstractNumId w:val="7"/>
  </w:num>
  <w:num w:numId="10">
    <w:abstractNumId w:val="2"/>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F5"/>
    <w:rsid w:val="00030003"/>
    <w:rsid w:val="00036CF8"/>
    <w:rsid w:val="0003747F"/>
    <w:rsid w:val="000415F5"/>
    <w:rsid w:val="00085DE5"/>
    <w:rsid w:val="00097FD2"/>
    <w:rsid w:val="000A4DD4"/>
    <w:rsid w:val="000B1841"/>
    <w:rsid w:val="000C6475"/>
    <w:rsid w:val="00110DC3"/>
    <w:rsid w:val="00155CB4"/>
    <w:rsid w:val="001E18E7"/>
    <w:rsid w:val="00295ADA"/>
    <w:rsid w:val="00366BC6"/>
    <w:rsid w:val="004B1C2F"/>
    <w:rsid w:val="004D1B54"/>
    <w:rsid w:val="005857A7"/>
    <w:rsid w:val="005E0C88"/>
    <w:rsid w:val="00632B41"/>
    <w:rsid w:val="00697CE2"/>
    <w:rsid w:val="006C19EE"/>
    <w:rsid w:val="007124F5"/>
    <w:rsid w:val="00722F00"/>
    <w:rsid w:val="007C276F"/>
    <w:rsid w:val="0090483C"/>
    <w:rsid w:val="00946ADD"/>
    <w:rsid w:val="00AC11AC"/>
    <w:rsid w:val="00B06DCE"/>
    <w:rsid w:val="00B111F6"/>
    <w:rsid w:val="00BD6C10"/>
    <w:rsid w:val="00BE7D12"/>
    <w:rsid w:val="00BF3AB2"/>
    <w:rsid w:val="00BF612B"/>
    <w:rsid w:val="00C925E9"/>
    <w:rsid w:val="00CC4A1A"/>
    <w:rsid w:val="00D374D2"/>
    <w:rsid w:val="00DC2E66"/>
    <w:rsid w:val="00DD0C03"/>
    <w:rsid w:val="00E15500"/>
    <w:rsid w:val="00E25760"/>
    <w:rsid w:val="00E660BF"/>
    <w:rsid w:val="00FA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EB6DE88"/>
  <w15:chartTrackingRefBased/>
  <w15:docId w15:val="{D9DB4A6F-EE64-45F6-BBD1-E255311C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link w:val="BodyTextIndentChar"/>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46ADD"/>
    <w:pPr>
      <w:ind w:left="720"/>
    </w:pPr>
  </w:style>
  <w:style w:type="character" w:customStyle="1" w:styleId="HeaderChar">
    <w:name w:val="Header Char"/>
    <w:link w:val="Header"/>
    <w:semiHidden/>
    <w:rsid w:val="00BF3AB2"/>
    <w:rPr>
      <w:snapToGrid w:val="0"/>
      <w:sz w:val="24"/>
      <w:szCs w:val="24"/>
    </w:rPr>
  </w:style>
  <w:style w:type="character" w:customStyle="1" w:styleId="BodyTextIndentChar">
    <w:name w:val="Body Text Indent Char"/>
    <w:link w:val="BodyTextIndent"/>
    <w:semiHidden/>
    <w:rsid w:val="00B111F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30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83a0e1ffccdcb27acc5029dc0503e2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a9d69778df3ab43c927c9d501c2c0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F27A7-45EE-4352-98F9-8A15D418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C8945-DEEF-4F19-9741-64A3D5484C48}">
  <ds:schemaRefs>
    <ds:schemaRef ds:uri="http://schemas.microsoft.com/sharepoint/v3/contenttype/forms"/>
  </ds:schemaRefs>
</ds:datastoreItem>
</file>

<file path=customXml/itemProps3.xml><?xml version="1.0" encoding="utf-8"?>
<ds:datastoreItem xmlns:ds="http://schemas.openxmlformats.org/officeDocument/2006/customXml" ds:itemID="{28C99A37-2FD2-46B1-8CD0-72EBB9F64DF9}">
  <ds:schemaRefs>
    <ds:schemaRef ds:uri="http://purl.org/dc/dcmitype/"/>
    <ds:schemaRef ds:uri="http://purl.org/dc/elements/1.1/"/>
    <ds:schemaRef ds:uri="http://schemas.microsoft.com/office/2006/metadata/properties"/>
    <ds:schemaRef ds:uri="f87c7b8b-c0e7-4b77-a067-2c707fd1239f"/>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2e41e38-1731-4866-b09a-6257d8bc047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Mullan, Kate</cp:lastModifiedBy>
  <cp:revision>2</cp:revision>
  <cp:lastPrinted>2006-12-19T20:41:00Z</cp:lastPrinted>
  <dcterms:created xsi:type="dcterms:W3CDTF">2021-04-15T18:31:00Z</dcterms:created>
  <dcterms:modified xsi:type="dcterms:W3CDTF">2021-04-15T18:31:00Z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