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0FE" w:rsidP="005D40FE" w:rsidRDefault="003E703C" w14:paraId="1337368C" w14:textId="67009572">
      <w:pPr>
        <w:pStyle w:val="CoverTextRed16pt"/>
        <w:rPr>
          <w:noProof/>
        </w:rPr>
      </w:pPr>
      <w:r w:rsidRPr="003E703C">
        <w:rPr>
          <w:noProof/>
        </w:rPr>
        <w:drawing>
          <wp:anchor distT="0" distB="0" distL="114300" distR="114300" simplePos="0" relativeHeight="251662336" behindDoc="0" locked="1" layoutInCell="1" allowOverlap="1" wp14:editId="2FB7BD90" wp14:anchorId="2CD62E37">
            <wp:simplePos x="0" y="0"/>
            <wp:positionH relativeFrom="column">
              <wp:posOffset>0</wp:posOffset>
            </wp:positionH>
            <wp:positionV relativeFrom="page">
              <wp:posOffset>975995</wp:posOffset>
            </wp:positionV>
            <wp:extent cx="1226820" cy="1226820"/>
            <wp:effectExtent l="0" t="0" r="0" b="0"/>
            <wp:wrapNone/>
            <wp:docPr id="2" name="Picture 2"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03C" w:rsidR="005D40FE">
        <w:t>Part</w:t>
      </w:r>
      <w:r w:rsidR="005D40FE">
        <w:rPr>
          <w:noProof/>
        </w:rPr>
        <w:t xml:space="preserve"> A</w:t>
      </w:r>
      <w:r w:rsidR="00E33BCA">
        <w:rPr>
          <w:noProof/>
        </w:rPr>
        <w:t>:</w:t>
      </w:r>
      <w:r w:rsidRPr="00E33BCA" w:rsidR="00E33BCA">
        <w:t xml:space="preserve"> </w:t>
      </w:r>
      <w:r w:rsidRPr="009C765B" w:rsidR="00E33BCA">
        <w:t>Supporting</w:t>
      </w:r>
      <w:r>
        <w:br/>
      </w:r>
      <w:r w:rsidRPr="009C765B" w:rsidR="00E33BCA">
        <w:t>Statement for</w:t>
      </w:r>
      <w:r>
        <w:br/>
      </w:r>
      <w:r w:rsidRPr="009C765B" w:rsidR="00E33BCA">
        <w:t>Paperwork Reduction</w:t>
      </w:r>
      <w:r>
        <w:br/>
      </w:r>
      <w:r w:rsidRPr="009C765B" w:rsidR="00E33BCA">
        <w:t>Act Submission</w:t>
      </w:r>
    </w:p>
    <w:p w:rsidR="005D40FE" w:rsidP="005D40FE" w:rsidRDefault="005D40FE" w14:paraId="48345759" w14:textId="77777777">
      <w:pPr>
        <w:pStyle w:val="CoverTextRed16pt"/>
        <w:rPr>
          <w:noProof/>
        </w:rPr>
      </w:pPr>
    </w:p>
    <w:p w:rsidR="005D40FE" w:rsidP="005D40FE" w:rsidRDefault="005D40FE" w14:paraId="1B07DDE8" w14:textId="2F6417AB">
      <w:pPr>
        <w:pStyle w:val="CoverTextRed16pt"/>
        <w:rPr>
          <w:noProof/>
        </w:rPr>
      </w:pPr>
      <w:r>
        <w:t>Implementation</w:t>
      </w:r>
      <w:r w:rsidR="00F17194">
        <w:t xml:space="preserve"> </w:t>
      </w:r>
      <w:r>
        <w:t>Evaluation of the</w:t>
      </w:r>
      <w:r w:rsidR="00F17194">
        <w:t xml:space="preserve"> </w:t>
      </w:r>
      <w:r>
        <w:t>Comprehensive</w:t>
      </w:r>
      <w:r w:rsidR="00F17194">
        <w:t xml:space="preserve"> </w:t>
      </w:r>
      <w:r>
        <w:t>Centers</w:t>
      </w:r>
    </w:p>
    <w:p w:rsidRPr="003E703C" w:rsidR="005D40FE" w:rsidP="005D40FE" w:rsidRDefault="005D40FE" w14:paraId="7289F715" w14:textId="77777777">
      <w:pPr>
        <w:pStyle w:val="CoverText-Address"/>
      </w:pPr>
    </w:p>
    <w:p w:rsidR="005D40FE" w:rsidP="005D40FE" w:rsidRDefault="005D40FE" w14:paraId="69023404" w14:textId="77777777">
      <w:pPr>
        <w:pStyle w:val="CoverText-Address"/>
      </w:pPr>
    </w:p>
    <w:p w:rsidR="005D40FE" w:rsidP="005D40FE" w:rsidRDefault="005D40FE" w14:paraId="14927318" w14:textId="77777777">
      <w:pPr>
        <w:pStyle w:val="CoverText-Address"/>
      </w:pPr>
    </w:p>
    <w:p w:rsidRPr="001E2CF1" w:rsidR="005D40FE" w:rsidP="005D40FE" w:rsidRDefault="00984884" w14:paraId="515619F0" w14:textId="58A87656">
      <w:pPr>
        <w:pStyle w:val="CoverText-Address"/>
      </w:pPr>
      <w:r>
        <w:t>January 2022</w:t>
      </w:r>
    </w:p>
    <w:p w:rsidRPr="001E2CF1" w:rsidR="005D40FE" w:rsidP="005D40FE" w:rsidRDefault="005D40FE" w14:paraId="6F2DEB32" w14:textId="77777777">
      <w:pPr>
        <w:pStyle w:val="CoverText-Address"/>
      </w:pPr>
    </w:p>
    <w:p w:rsidRPr="001E2CF1" w:rsidR="005D40FE" w:rsidP="005D40FE" w:rsidRDefault="005D40FE" w14:paraId="4FA4C34A" w14:textId="77777777">
      <w:pPr>
        <w:tabs>
          <w:tab w:val="left" w:pos="720"/>
          <w:tab w:val="left" w:pos="1080"/>
          <w:tab w:val="left" w:pos="1440"/>
          <w:tab w:val="left" w:pos="1800"/>
          <w:tab w:val="left" w:pos="6660"/>
        </w:tabs>
        <w:spacing w:after="0"/>
        <w:ind w:left="6490" w:right="-540"/>
        <w:jc w:val="right"/>
        <w:rPr>
          <w:rFonts w:ascii="Arial" w:hAnsi="Arial"/>
        </w:rPr>
      </w:pPr>
    </w:p>
    <w:p w:rsidR="001B41E7" w:rsidP="001B41E7" w:rsidRDefault="001B41E7" w14:paraId="7FA33383" w14:textId="3C42399F">
      <w:pPr>
        <w:pStyle w:val="CoverText11pt"/>
      </w:pPr>
      <w:r w:rsidRPr="0034497C">
        <w:t>Prepared for:</w:t>
      </w:r>
    </w:p>
    <w:p w:rsidRPr="00F23878" w:rsidR="00254D35" w:rsidP="001B41E7" w:rsidRDefault="00254D35" w14:paraId="53A96C1E" w14:textId="193E6CB6">
      <w:pPr>
        <w:pStyle w:val="CoverText11pt"/>
        <w:rPr>
          <w:i w:val="0"/>
          <w:iCs/>
        </w:rPr>
      </w:pPr>
      <w:r w:rsidRPr="00F23878">
        <w:rPr>
          <w:i w:val="0"/>
          <w:iCs/>
        </w:rPr>
        <w:t>Andrew Abrams</w:t>
      </w:r>
    </w:p>
    <w:p w:rsidRPr="003E703C" w:rsidR="007C5D32" w:rsidP="003E703C" w:rsidRDefault="007C5D32" w14:paraId="70C89A97" w14:textId="77777777">
      <w:pPr>
        <w:pStyle w:val="CoverTextRed16pt"/>
        <w:rPr>
          <w:sz w:val="22"/>
          <w:szCs w:val="22"/>
        </w:rPr>
      </w:pPr>
      <w:r w:rsidRPr="003E703C">
        <w:rPr>
          <w:sz w:val="22"/>
          <w:szCs w:val="22"/>
        </w:rPr>
        <w:t>U.S. Department of Education</w:t>
      </w:r>
    </w:p>
    <w:p w:rsidRPr="00BF3C45" w:rsidR="007C5D32" w:rsidP="007C5D32" w:rsidRDefault="007C5D32" w14:paraId="5ADF80C6" w14:textId="77777777">
      <w:pPr>
        <w:pStyle w:val="CoverText11pt"/>
        <w:rPr>
          <w:i w:val="0"/>
          <w:iCs/>
        </w:rPr>
      </w:pPr>
      <w:r w:rsidRPr="00BF3C45">
        <w:rPr>
          <w:i w:val="0"/>
          <w:iCs/>
        </w:rPr>
        <w:t>Institute of Education Sciences</w:t>
      </w:r>
    </w:p>
    <w:p w:rsidRPr="00F23878" w:rsidR="00254D35" w:rsidP="00EF5A21" w:rsidRDefault="00254D35" w14:paraId="6F4DEF15" w14:textId="77777777">
      <w:pPr>
        <w:pStyle w:val="CoverText11pt"/>
        <w:rPr>
          <w:i w:val="0"/>
          <w:iCs/>
        </w:rPr>
      </w:pPr>
      <w:r w:rsidRPr="00F23878">
        <w:rPr>
          <w:i w:val="0"/>
          <w:iCs/>
        </w:rPr>
        <w:t>550 12</w:t>
      </w:r>
      <w:r w:rsidRPr="00F23878">
        <w:rPr>
          <w:i w:val="0"/>
          <w:iCs/>
          <w:vertAlign w:val="superscript"/>
        </w:rPr>
        <w:t>th</w:t>
      </w:r>
      <w:r w:rsidRPr="00F23878">
        <w:rPr>
          <w:i w:val="0"/>
          <w:iCs/>
        </w:rPr>
        <w:t xml:space="preserve"> Street, SW</w:t>
      </w:r>
    </w:p>
    <w:p w:rsidRPr="006B7868" w:rsidR="003E703C" w:rsidP="007C5D32" w:rsidRDefault="00254D35" w14:paraId="279169BD" w14:textId="68061EBC">
      <w:pPr>
        <w:pStyle w:val="CoverText11pt"/>
        <w:rPr>
          <w:i w:val="0"/>
          <w:iCs/>
        </w:rPr>
      </w:pPr>
      <w:r w:rsidRPr="00F23878">
        <w:rPr>
          <w:i w:val="0"/>
          <w:iCs/>
        </w:rPr>
        <w:t>Washington, DC 20202</w:t>
      </w:r>
    </w:p>
    <w:p w:rsidR="00254D35" w:rsidP="00254D35" w:rsidRDefault="00254D35" w14:paraId="72120175" w14:textId="77777777">
      <w:pPr>
        <w:pStyle w:val="CoverText11pt"/>
        <w:rPr>
          <w:i w:val="0"/>
          <w:iCs/>
        </w:rPr>
      </w:pPr>
      <w:r w:rsidRPr="00BF3C45">
        <w:rPr>
          <w:i w:val="0"/>
          <w:iCs/>
        </w:rPr>
        <w:t xml:space="preserve">Contract No. </w:t>
      </w:r>
      <w:r>
        <w:rPr>
          <w:i w:val="0"/>
          <w:iCs/>
        </w:rPr>
        <w:t>91990019C0077</w:t>
      </w:r>
    </w:p>
    <w:p w:rsidRPr="0034497C" w:rsidR="001B41E7" w:rsidP="001B41E7" w:rsidRDefault="001B41E7" w14:paraId="0B68AB85" w14:textId="77777777">
      <w:pPr>
        <w:pStyle w:val="CoverText11pt"/>
      </w:pPr>
    </w:p>
    <w:p w:rsidRPr="0034497C" w:rsidR="001B41E7" w:rsidP="001B41E7" w:rsidRDefault="001B41E7" w14:paraId="4988B747" w14:textId="77777777">
      <w:pPr>
        <w:pStyle w:val="CoverText11pt"/>
      </w:pPr>
    </w:p>
    <w:p w:rsidRPr="0034497C" w:rsidR="001B41E7" w:rsidP="001B41E7" w:rsidRDefault="001B41E7" w14:paraId="1CEBEDD8" w14:textId="77777777">
      <w:pPr>
        <w:pStyle w:val="CoverText11pt"/>
      </w:pPr>
      <w:r w:rsidRPr="0034497C">
        <w:t>Submitted by:</w:t>
      </w:r>
    </w:p>
    <w:p w:rsidRPr="0034497C" w:rsidR="001B41E7" w:rsidP="001B41E7" w:rsidRDefault="001B41E7" w14:paraId="22104326" w14:textId="77777777">
      <w:pPr>
        <w:pStyle w:val="CoverTextRed16pt"/>
        <w:rPr>
          <w:sz w:val="22"/>
          <w:szCs w:val="22"/>
        </w:rPr>
      </w:pPr>
      <w:r w:rsidRPr="0034497C">
        <w:rPr>
          <w:sz w:val="22"/>
          <w:szCs w:val="22"/>
        </w:rPr>
        <w:t>Abt Associates Inc.</w:t>
      </w:r>
    </w:p>
    <w:p w:rsidRPr="0034497C" w:rsidR="001B41E7" w:rsidP="001B41E7" w:rsidRDefault="001B41E7" w14:paraId="64ECCDD0" w14:textId="77777777">
      <w:pPr>
        <w:pStyle w:val="CoverText11pt"/>
        <w:rPr>
          <w:i w:val="0"/>
        </w:rPr>
      </w:pPr>
      <w:r w:rsidRPr="0034497C">
        <w:rPr>
          <w:i w:val="0"/>
        </w:rPr>
        <w:t>10 Fawcett Street</w:t>
      </w:r>
    </w:p>
    <w:p w:rsidR="001B41E7" w:rsidP="001B41E7" w:rsidRDefault="001B41E7" w14:paraId="6BA08990" w14:textId="026CFD00">
      <w:pPr>
        <w:pStyle w:val="CoverText11pt"/>
        <w:rPr>
          <w:i w:val="0"/>
        </w:rPr>
      </w:pPr>
      <w:r w:rsidRPr="0034497C">
        <w:rPr>
          <w:i w:val="0"/>
        </w:rPr>
        <w:t>Cambridge, MA 02138</w:t>
      </w:r>
    </w:p>
    <w:p w:rsidR="006B7868" w:rsidP="001B41E7" w:rsidRDefault="006B7868" w14:paraId="2A32AD43" w14:textId="4A303FB3">
      <w:pPr>
        <w:pStyle w:val="CoverText11pt"/>
        <w:rPr>
          <w:i w:val="0"/>
        </w:rPr>
      </w:pPr>
    </w:p>
    <w:p w:rsidR="005D40FE" w:rsidP="005D40FE" w:rsidRDefault="005D40FE" w14:paraId="32F200B3" w14:textId="77777777">
      <w:pPr>
        <w:pStyle w:val="CoverText-Address"/>
        <w:ind w:left="0"/>
        <w:jc w:val="left"/>
      </w:pPr>
    </w:p>
    <w:p w:rsidR="006B7868" w:rsidP="005D40FE" w:rsidRDefault="006B7868" w14:paraId="266B25FA" w14:textId="51011E3E">
      <w:pPr>
        <w:pStyle w:val="CoverText-Address"/>
        <w:ind w:left="0"/>
        <w:jc w:val="left"/>
        <w:sectPr w:rsidR="006B7868" w:rsidSect="00A87EC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080" w:footer="720" w:gutter="0"/>
          <w:pgNumType w:fmt="lowerRoman" w:start="1"/>
          <w:cols w:space="720"/>
          <w:docGrid w:linePitch="299"/>
        </w:sectPr>
      </w:pPr>
    </w:p>
    <w:p w:rsidRPr="009C765B" w:rsidR="00E33BCA" w:rsidP="00E33BCA" w:rsidRDefault="00E33BCA" w14:paraId="35D7FC58" w14:textId="77777777">
      <w:pPr>
        <w:pStyle w:val="Heading1"/>
      </w:pPr>
      <w:bookmarkStart w:name="_Toc61538945" w:id="0"/>
      <w:bookmarkStart w:name="_Toc79418613" w:id="1"/>
      <w:r w:rsidRPr="009C765B">
        <w:lastRenderedPageBreak/>
        <w:t>Part A: Supporting Statement for Paperwork Reduction Act Submission</w:t>
      </w:r>
      <w:bookmarkEnd w:id="0"/>
      <w:bookmarkEnd w:id="1"/>
    </w:p>
    <w:p w:rsidR="005D40FE" w:rsidP="005D40FE" w:rsidRDefault="005D40FE" w14:paraId="779CA4BC" w14:textId="697F44DC">
      <w:pPr>
        <w:pStyle w:val="TOCHeader"/>
      </w:pPr>
      <w:r w:rsidRPr="00A178FC">
        <w:t>Table of Contents</w:t>
      </w:r>
    </w:p>
    <w:p w:rsidRPr="003E4F6A" w:rsidR="00D201DF" w:rsidRDefault="005D40FE" w14:paraId="40281E90" w14:textId="55419F35">
      <w:pPr>
        <w:pStyle w:val="TOC1"/>
        <w:rPr>
          <w:rFonts w:asciiTheme="majorBidi" w:hAnsiTheme="majorBidi" w:eastAsiaTheme="minorEastAsia" w:cstheme="majorBidi"/>
          <w:b w:val="0"/>
          <w:szCs w:val="22"/>
        </w:rPr>
      </w:pPr>
      <w:r>
        <w:fldChar w:fldCharType="begin"/>
      </w:r>
      <w:r>
        <w:instrText xml:space="preserve"> TOC \o "1-3" \h \z \u </w:instrText>
      </w:r>
      <w:r>
        <w:fldChar w:fldCharType="separate"/>
      </w:r>
      <w:hyperlink w:history="1" w:anchor="_Toc79418613">
        <w:r w:rsidRPr="003E4F6A" w:rsidR="00D201DF">
          <w:rPr>
            <w:rStyle w:val="Hyperlink"/>
            <w:rFonts w:asciiTheme="majorBidi" w:hAnsiTheme="majorBidi" w:cstheme="majorBidi"/>
          </w:rPr>
          <w:t>Part A: Supporting Statement for Paperwork Reduction Act Submission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_Toc79418613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i</w:t>
        </w:r>
        <w:r w:rsidRPr="003E4F6A" w:rsidR="00D201DF">
          <w:rPr>
            <w:rFonts w:asciiTheme="majorBidi" w:hAnsiTheme="majorBidi" w:cstheme="majorBidi"/>
            <w:webHidden/>
          </w:rPr>
          <w:fldChar w:fldCharType="end"/>
        </w:r>
      </w:hyperlink>
    </w:p>
    <w:p w:rsidRPr="003E4F6A" w:rsidR="00D201DF" w:rsidRDefault="00236C6C" w14:paraId="5E29532D" w14:textId="4384E7B5">
      <w:pPr>
        <w:pStyle w:val="TOC1"/>
        <w:tabs>
          <w:tab w:val="left" w:pos="576"/>
        </w:tabs>
        <w:rPr>
          <w:rFonts w:asciiTheme="majorBidi" w:hAnsiTheme="majorBidi" w:eastAsiaTheme="minorEastAsia" w:cstheme="majorBidi"/>
          <w:b w:val="0"/>
          <w:szCs w:val="22"/>
        </w:rPr>
      </w:pPr>
      <w:hyperlink w:history="1" w:anchor="_Toc79418614">
        <w:r w:rsidRPr="003E4F6A" w:rsidR="00D201DF">
          <w:rPr>
            <w:rStyle w:val="Hyperlink"/>
            <w:rFonts w:asciiTheme="majorBidi" w:hAnsiTheme="majorBidi" w:cstheme="majorBidi"/>
          </w:rPr>
          <w:t>A.</w:t>
        </w:r>
        <w:r w:rsidRPr="003E4F6A" w:rsidR="00D201DF">
          <w:rPr>
            <w:rFonts w:asciiTheme="majorBidi" w:hAnsiTheme="majorBidi" w:eastAsiaTheme="minorEastAsia" w:cstheme="majorBidi"/>
            <w:b w:val="0"/>
            <w:szCs w:val="22"/>
          </w:rPr>
          <w:tab/>
        </w:r>
        <w:r w:rsidRPr="003E4F6A" w:rsidR="00D201DF">
          <w:rPr>
            <w:rStyle w:val="Hyperlink"/>
            <w:rFonts w:asciiTheme="majorBidi" w:hAnsiTheme="majorBidi" w:cstheme="majorBidi"/>
          </w:rPr>
          <w:t>Justification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_Toc79418614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2</w:t>
        </w:r>
        <w:r w:rsidRPr="003E4F6A" w:rsidR="00D201DF">
          <w:rPr>
            <w:rFonts w:asciiTheme="majorBidi" w:hAnsiTheme="majorBidi" w:cstheme="majorBidi"/>
            <w:webHidden/>
          </w:rPr>
          <w:fldChar w:fldCharType="end"/>
        </w:r>
      </w:hyperlink>
    </w:p>
    <w:p w:rsidRPr="003E4F6A" w:rsidR="00D201DF" w:rsidRDefault="00236C6C" w14:paraId="7268CF85" w14:textId="5CB9D754">
      <w:pPr>
        <w:pStyle w:val="TOC2"/>
        <w:rPr>
          <w:rFonts w:asciiTheme="majorBidi" w:hAnsiTheme="majorBidi" w:cstheme="majorBidi"/>
        </w:rPr>
      </w:pPr>
      <w:hyperlink w:history="1" w:anchor="_Toc79418615">
        <w:r w:rsidRPr="003E4F6A" w:rsidR="00D201DF">
          <w:rPr>
            <w:rStyle w:val="Hyperlink"/>
            <w:rFonts w:asciiTheme="majorBidi" w:hAnsiTheme="majorBidi" w:cstheme="majorBidi"/>
          </w:rPr>
          <w:t>Introduction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_Toc79418615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2</w:t>
        </w:r>
        <w:r w:rsidRPr="003E4F6A" w:rsidR="00D201DF">
          <w:rPr>
            <w:rFonts w:asciiTheme="majorBidi" w:hAnsiTheme="majorBidi" w:cstheme="majorBidi"/>
            <w:webHidden/>
          </w:rPr>
          <w:fldChar w:fldCharType="end"/>
        </w:r>
      </w:hyperlink>
    </w:p>
    <w:p w:rsidRPr="003E4F6A" w:rsidR="00D201DF" w:rsidRDefault="00236C6C" w14:paraId="39EE09EB" w14:textId="6086A3C8">
      <w:pPr>
        <w:pStyle w:val="TOC2"/>
        <w:rPr>
          <w:rFonts w:asciiTheme="majorBidi" w:hAnsiTheme="majorBidi" w:cstheme="majorBidi"/>
        </w:rPr>
      </w:pPr>
      <w:hyperlink w:history="1" w:anchor="_Toc79418616">
        <w:r w:rsidRPr="003E4F6A" w:rsidR="00D201DF">
          <w:rPr>
            <w:rStyle w:val="Hyperlink"/>
            <w:rFonts w:asciiTheme="majorBidi" w:hAnsiTheme="majorBidi" w:cstheme="majorBidi"/>
          </w:rPr>
          <w:t>A.1</w:t>
        </w:r>
        <w:r w:rsidRPr="003E4F6A" w:rsidR="00D201DF">
          <w:rPr>
            <w:rFonts w:asciiTheme="majorBidi" w:hAnsiTheme="majorBidi" w:cstheme="majorBidi"/>
          </w:rPr>
          <w:tab/>
        </w:r>
        <w:r w:rsidRPr="003E4F6A" w:rsidR="00D201DF">
          <w:rPr>
            <w:rStyle w:val="Hyperlink"/>
            <w:rFonts w:asciiTheme="majorBidi" w:hAnsiTheme="majorBidi" w:cstheme="majorBidi"/>
          </w:rPr>
          <w:t>Circumstances Making the Collection of Information Necessary</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_Toc79418616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2</w:t>
        </w:r>
        <w:r w:rsidRPr="003E4F6A" w:rsidR="00D201DF">
          <w:rPr>
            <w:rFonts w:asciiTheme="majorBidi" w:hAnsiTheme="majorBidi" w:cstheme="majorBidi"/>
            <w:webHidden/>
          </w:rPr>
          <w:fldChar w:fldCharType="end"/>
        </w:r>
      </w:hyperlink>
    </w:p>
    <w:p w:rsidRPr="003E4F6A" w:rsidR="00D201DF" w:rsidRDefault="00236C6C" w14:paraId="7BFF45B9" w14:textId="02102EE9">
      <w:pPr>
        <w:pStyle w:val="TOC2"/>
        <w:rPr>
          <w:rFonts w:asciiTheme="majorBidi" w:hAnsiTheme="majorBidi" w:cstheme="majorBidi"/>
        </w:rPr>
      </w:pPr>
      <w:hyperlink w:history="1" w:anchor="_Toc79418617">
        <w:r w:rsidRPr="003E4F6A" w:rsidR="00D201DF">
          <w:rPr>
            <w:rStyle w:val="Hyperlink"/>
            <w:rFonts w:asciiTheme="majorBidi" w:hAnsiTheme="majorBidi" w:cstheme="majorBidi"/>
          </w:rPr>
          <w:t>A.2</w:t>
        </w:r>
        <w:r w:rsidRPr="003E4F6A" w:rsidR="00D201DF">
          <w:rPr>
            <w:rFonts w:asciiTheme="majorBidi" w:hAnsiTheme="majorBidi" w:cstheme="majorBidi"/>
          </w:rPr>
          <w:tab/>
        </w:r>
        <w:r w:rsidRPr="003E4F6A" w:rsidR="00D201DF">
          <w:rPr>
            <w:rStyle w:val="Hyperlink"/>
            <w:rFonts w:asciiTheme="majorBidi" w:hAnsiTheme="majorBidi" w:cstheme="majorBidi"/>
          </w:rPr>
          <w:t>Purposes and Use of the Information Collection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_Toc79418617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2</w:t>
        </w:r>
        <w:r w:rsidRPr="003E4F6A" w:rsidR="00D201DF">
          <w:rPr>
            <w:rFonts w:asciiTheme="majorBidi" w:hAnsiTheme="majorBidi" w:cstheme="majorBidi"/>
            <w:webHidden/>
          </w:rPr>
          <w:fldChar w:fldCharType="end"/>
        </w:r>
      </w:hyperlink>
    </w:p>
    <w:p w:rsidRPr="003E4F6A" w:rsidR="00D201DF" w:rsidRDefault="00236C6C" w14:paraId="0B22C3BF" w14:textId="70FA546D">
      <w:pPr>
        <w:pStyle w:val="TOC2"/>
        <w:rPr>
          <w:rFonts w:asciiTheme="majorBidi" w:hAnsiTheme="majorBidi" w:cstheme="majorBidi"/>
        </w:rPr>
      </w:pPr>
      <w:hyperlink w:history="1" w:anchor="_Toc79418618">
        <w:r w:rsidRPr="003E4F6A" w:rsidR="00D201DF">
          <w:rPr>
            <w:rStyle w:val="Hyperlink"/>
            <w:rFonts w:asciiTheme="majorBidi" w:hAnsiTheme="majorBidi" w:cstheme="majorBidi"/>
          </w:rPr>
          <w:t>A.3</w:t>
        </w:r>
        <w:r w:rsidRPr="003E4F6A" w:rsidR="00D201DF">
          <w:rPr>
            <w:rFonts w:asciiTheme="majorBidi" w:hAnsiTheme="majorBidi" w:cstheme="majorBidi"/>
          </w:rPr>
          <w:tab/>
        </w:r>
        <w:r w:rsidRPr="003E4F6A" w:rsidR="00D201DF">
          <w:rPr>
            <w:rStyle w:val="Hyperlink"/>
            <w:rFonts w:asciiTheme="majorBidi" w:hAnsiTheme="majorBidi" w:cstheme="majorBidi"/>
          </w:rPr>
          <w:t>Use of Information Technology and Burden Reduction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_Toc79418618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7</w:t>
        </w:r>
        <w:r w:rsidRPr="003E4F6A" w:rsidR="00D201DF">
          <w:rPr>
            <w:rFonts w:asciiTheme="majorBidi" w:hAnsiTheme="majorBidi" w:cstheme="majorBidi"/>
            <w:webHidden/>
          </w:rPr>
          <w:fldChar w:fldCharType="end"/>
        </w:r>
      </w:hyperlink>
    </w:p>
    <w:p w:rsidRPr="003E4F6A" w:rsidR="00D201DF" w:rsidRDefault="00236C6C" w14:paraId="4FBC1B7A" w14:textId="0B2BC7C2">
      <w:pPr>
        <w:pStyle w:val="TOC3"/>
        <w:tabs>
          <w:tab w:val="left" w:pos="1920"/>
        </w:tabs>
        <w:rPr>
          <w:rFonts w:asciiTheme="majorBidi" w:hAnsiTheme="majorBidi" w:eastAsiaTheme="minorEastAsia" w:cstheme="majorBidi"/>
          <w:szCs w:val="22"/>
        </w:rPr>
      </w:pPr>
      <w:hyperlink w:history="1" w:anchor="_Toc79418619">
        <w:r w:rsidRPr="003E4F6A" w:rsidR="00D201DF">
          <w:rPr>
            <w:rStyle w:val="Hyperlink"/>
            <w:rFonts w:asciiTheme="majorBidi" w:hAnsiTheme="majorBidi" w:cstheme="majorBidi"/>
          </w:rPr>
          <w:t>A.3.1</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Administrative Data</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_Toc79418619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7</w:t>
        </w:r>
        <w:r w:rsidRPr="003E4F6A" w:rsidR="00D201DF">
          <w:rPr>
            <w:rFonts w:asciiTheme="majorBidi" w:hAnsiTheme="majorBidi" w:cstheme="majorBidi"/>
            <w:webHidden/>
          </w:rPr>
          <w:fldChar w:fldCharType="end"/>
        </w:r>
      </w:hyperlink>
    </w:p>
    <w:p w:rsidRPr="003E4F6A" w:rsidR="00D201DF" w:rsidRDefault="00236C6C" w14:paraId="7E76EDC9" w14:textId="1CDB4F87">
      <w:pPr>
        <w:pStyle w:val="TOC3"/>
        <w:tabs>
          <w:tab w:val="left" w:pos="1920"/>
        </w:tabs>
        <w:rPr>
          <w:rFonts w:asciiTheme="majorBidi" w:hAnsiTheme="majorBidi" w:eastAsiaTheme="minorEastAsia" w:cstheme="majorBidi"/>
          <w:szCs w:val="22"/>
        </w:rPr>
      </w:pPr>
      <w:hyperlink w:history="1" w:anchor="_Toc79418620">
        <w:r w:rsidRPr="003E4F6A" w:rsidR="00D201DF">
          <w:rPr>
            <w:rStyle w:val="Hyperlink"/>
            <w:rFonts w:asciiTheme="majorBidi" w:hAnsiTheme="majorBidi" w:cstheme="majorBidi"/>
          </w:rPr>
          <w:t>A.3.2</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TA Recipient Survey</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_Toc79418620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7</w:t>
        </w:r>
        <w:r w:rsidRPr="003E4F6A" w:rsidR="00D201DF">
          <w:rPr>
            <w:rFonts w:asciiTheme="majorBidi" w:hAnsiTheme="majorBidi" w:cstheme="majorBidi"/>
            <w:webHidden/>
          </w:rPr>
          <w:fldChar w:fldCharType="end"/>
        </w:r>
      </w:hyperlink>
    </w:p>
    <w:p w:rsidRPr="003E4F6A" w:rsidR="00D201DF" w:rsidRDefault="00236C6C" w14:paraId="338D2963" w14:textId="28460992">
      <w:pPr>
        <w:pStyle w:val="TOC3"/>
        <w:tabs>
          <w:tab w:val="left" w:pos="1920"/>
        </w:tabs>
        <w:rPr>
          <w:rFonts w:asciiTheme="majorBidi" w:hAnsiTheme="majorBidi" w:eastAsiaTheme="minorEastAsia" w:cstheme="majorBidi"/>
          <w:szCs w:val="22"/>
        </w:rPr>
      </w:pPr>
      <w:hyperlink w:history="1" w:anchor="_Toc79418621">
        <w:r w:rsidRPr="003E4F6A" w:rsidR="00D201DF">
          <w:rPr>
            <w:rStyle w:val="Hyperlink"/>
            <w:rFonts w:asciiTheme="majorBidi" w:hAnsiTheme="majorBidi" w:cstheme="majorBidi"/>
          </w:rPr>
          <w:t>A.3.3</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Interviews</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_Toc79418621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8</w:t>
        </w:r>
        <w:r w:rsidRPr="003E4F6A" w:rsidR="00D201DF">
          <w:rPr>
            <w:rFonts w:asciiTheme="majorBidi" w:hAnsiTheme="majorBidi" w:cstheme="majorBidi"/>
            <w:webHidden/>
          </w:rPr>
          <w:fldChar w:fldCharType="end"/>
        </w:r>
      </w:hyperlink>
    </w:p>
    <w:p w:rsidRPr="003E4F6A" w:rsidR="00D201DF" w:rsidRDefault="00236C6C" w14:paraId="49798E0F" w14:textId="05D9DFE5">
      <w:pPr>
        <w:pStyle w:val="TOC2"/>
        <w:rPr>
          <w:rFonts w:asciiTheme="majorBidi" w:hAnsiTheme="majorBidi" w:cstheme="majorBidi"/>
        </w:rPr>
      </w:pPr>
      <w:hyperlink w:history="1" w:anchor="_Toc79418622">
        <w:r w:rsidRPr="003E4F6A" w:rsidR="00D201DF">
          <w:rPr>
            <w:rStyle w:val="Hyperlink"/>
            <w:rFonts w:asciiTheme="majorBidi" w:hAnsiTheme="majorBidi" w:cstheme="majorBidi"/>
          </w:rPr>
          <w:t>A.4</w:t>
        </w:r>
        <w:r w:rsidRPr="003E4F6A" w:rsidR="00D201DF">
          <w:rPr>
            <w:rFonts w:asciiTheme="majorBidi" w:hAnsiTheme="majorBidi" w:cstheme="majorBidi"/>
          </w:rPr>
          <w:tab/>
        </w:r>
        <w:r w:rsidRPr="003E4F6A" w:rsidR="00D201DF">
          <w:rPr>
            <w:rStyle w:val="Hyperlink"/>
            <w:rFonts w:asciiTheme="majorBidi" w:hAnsiTheme="majorBidi" w:cstheme="majorBidi"/>
          </w:rPr>
          <w:t>Efforts to Identify Duplication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_Toc79418622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8</w:t>
        </w:r>
        <w:r w:rsidRPr="003E4F6A" w:rsidR="00D201DF">
          <w:rPr>
            <w:rFonts w:asciiTheme="majorBidi" w:hAnsiTheme="majorBidi" w:cstheme="majorBidi"/>
            <w:webHidden/>
          </w:rPr>
          <w:fldChar w:fldCharType="end"/>
        </w:r>
      </w:hyperlink>
    </w:p>
    <w:p w:rsidRPr="003E4F6A" w:rsidR="00D201DF" w:rsidRDefault="00236C6C" w14:paraId="574BC025" w14:textId="04F02052">
      <w:pPr>
        <w:pStyle w:val="TOC3"/>
        <w:tabs>
          <w:tab w:val="left" w:pos="1920"/>
        </w:tabs>
        <w:rPr>
          <w:rFonts w:asciiTheme="majorBidi" w:hAnsiTheme="majorBidi" w:eastAsiaTheme="minorEastAsia" w:cstheme="majorBidi"/>
          <w:szCs w:val="22"/>
        </w:rPr>
      </w:pPr>
      <w:hyperlink w:history="1" w:anchor="_Toc79418623">
        <w:r w:rsidRPr="003E4F6A" w:rsidR="00D201DF">
          <w:rPr>
            <w:rStyle w:val="Hyperlink"/>
            <w:rFonts w:asciiTheme="majorBidi" w:hAnsiTheme="majorBidi" w:cstheme="majorBidi"/>
          </w:rPr>
          <w:t>A.4.1</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Administrative Data</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_Toc79418623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8</w:t>
        </w:r>
        <w:r w:rsidRPr="003E4F6A" w:rsidR="00D201DF">
          <w:rPr>
            <w:rFonts w:asciiTheme="majorBidi" w:hAnsiTheme="majorBidi" w:cstheme="majorBidi"/>
            <w:webHidden/>
          </w:rPr>
          <w:fldChar w:fldCharType="end"/>
        </w:r>
      </w:hyperlink>
    </w:p>
    <w:p w:rsidRPr="003E4F6A" w:rsidR="00D201DF" w:rsidRDefault="00236C6C" w14:paraId="10173E76" w14:textId="21E9FEAE">
      <w:pPr>
        <w:pStyle w:val="TOC3"/>
        <w:tabs>
          <w:tab w:val="left" w:pos="1920"/>
        </w:tabs>
        <w:rPr>
          <w:rFonts w:asciiTheme="majorBidi" w:hAnsiTheme="majorBidi" w:eastAsiaTheme="minorEastAsia" w:cstheme="majorBidi"/>
          <w:szCs w:val="22"/>
        </w:rPr>
      </w:pPr>
      <w:hyperlink w:history="1" w:anchor="_Toc79418624">
        <w:r w:rsidRPr="003E4F6A" w:rsidR="00D201DF">
          <w:rPr>
            <w:rStyle w:val="Hyperlink"/>
            <w:rFonts w:asciiTheme="majorBidi" w:hAnsiTheme="majorBidi" w:cstheme="majorBidi"/>
          </w:rPr>
          <w:t>A.4.2</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TA Recipient Survey</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_Toc79418624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9</w:t>
        </w:r>
        <w:r w:rsidRPr="003E4F6A" w:rsidR="00D201DF">
          <w:rPr>
            <w:rFonts w:asciiTheme="majorBidi" w:hAnsiTheme="majorBidi" w:cstheme="majorBidi"/>
            <w:webHidden/>
          </w:rPr>
          <w:fldChar w:fldCharType="end"/>
        </w:r>
      </w:hyperlink>
    </w:p>
    <w:p w:rsidRPr="003E4F6A" w:rsidR="00D201DF" w:rsidRDefault="00236C6C" w14:paraId="66C3E15F" w14:textId="28DC2E7B">
      <w:pPr>
        <w:pStyle w:val="TOC3"/>
        <w:tabs>
          <w:tab w:val="left" w:pos="1920"/>
        </w:tabs>
        <w:rPr>
          <w:rFonts w:asciiTheme="majorBidi" w:hAnsiTheme="majorBidi" w:eastAsiaTheme="minorEastAsia" w:cstheme="majorBidi"/>
          <w:szCs w:val="22"/>
        </w:rPr>
      </w:pPr>
      <w:hyperlink w:history="1" w:anchor="_Toc79418625">
        <w:r w:rsidRPr="003E4F6A" w:rsidR="00D201DF">
          <w:rPr>
            <w:rStyle w:val="Hyperlink"/>
            <w:rFonts w:asciiTheme="majorBidi" w:hAnsiTheme="majorBidi" w:cstheme="majorBidi"/>
          </w:rPr>
          <w:t>A.4.3</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Interviews</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_Toc79418625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9</w:t>
        </w:r>
        <w:r w:rsidRPr="003E4F6A" w:rsidR="00D201DF">
          <w:rPr>
            <w:rFonts w:asciiTheme="majorBidi" w:hAnsiTheme="majorBidi" w:cstheme="majorBidi"/>
            <w:webHidden/>
          </w:rPr>
          <w:fldChar w:fldCharType="end"/>
        </w:r>
      </w:hyperlink>
    </w:p>
    <w:p w:rsidRPr="003E4F6A" w:rsidR="00D201DF" w:rsidRDefault="00236C6C" w14:paraId="03A9F5AC" w14:textId="107651E4">
      <w:pPr>
        <w:pStyle w:val="TOC2"/>
        <w:rPr>
          <w:rFonts w:asciiTheme="majorBidi" w:hAnsiTheme="majorBidi" w:cstheme="majorBidi"/>
        </w:rPr>
      </w:pPr>
      <w:hyperlink w:history="1" w:anchor="_Toc79418626">
        <w:r w:rsidRPr="003E4F6A" w:rsidR="00D201DF">
          <w:rPr>
            <w:rStyle w:val="Hyperlink"/>
            <w:rFonts w:asciiTheme="majorBidi" w:hAnsiTheme="majorBidi" w:cstheme="majorBidi"/>
          </w:rPr>
          <w:t>A.5</w:t>
        </w:r>
        <w:r w:rsidRPr="003E4F6A" w:rsidR="00D201DF">
          <w:rPr>
            <w:rFonts w:asciiTheme="majorBidi" w:hAnsiTheme="majorBidi" w:cstheme="majorBidi"/>
          </w:rPr>
          <w:tab/>
        </w:r>
        <w:r w:rsidRPr="003E4F6A" w:rsidR="00D201DF">
          <w:rPr>
            <w:rStyle w:val="Hyperlink"/>
            <w:rFonts w:asciiTheme="majorBidi" w:hAnsiTheme="majorBidi" w:cstheme="majorBidi"/>
          </w:rPr>
          <w:t>Efforts to Minimize Burden in Small Businesses and Other Small Entities</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_Toc79418626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9</w:t>
        </w:r>
        <w:r w:rsidRPr="003E4F6A" w:rsidR="00D201DF">
          <w:rPr>
            <w:rFonts w:asciiTheme="majorBidi" w:hAnsiTheme="majorBidi" w:cstheme="majorBidi"/>
            <w:webHidden/>
          </w:rPr>
          <w:fldChar w:fldCharType="end"/>
        </w:r>
      </w:hyperlink>
    </w:p>
    <w:p w:rsidRPr="003E4F6A" w:rsidR="00D201DF" w:rsidRDefault="00236C6C" w14:paraId="2A427A23" w14:textId="6F9CD241">
      <w:pPr>
        <w:pStyle w:val="TOC2"/>
        <w:rPr>
          <w:rFonts w:asciiTheme="majorBidi" w:hAnsiTheme="majorBidi" w:cstheme="majorBidi"/>
        </w:rPr>
      </w:pPr>
      <w:hyperlink w:history="1" w:anchor="_Toc79418627">
        <w:r w:rsidRPr="003E4F6A" w:rsidR="00D201DF">
          <w:rPr>
            <w:rStyle w:val="Hyperlink"/>
            <w:rFonts w:asciiTheme="majorBidi" w:hAnsiTheme="majorBidi" w:cstheme="majorBidi"/>
          </w:rPr>
          <w:t>A.6</w:t>
        </w:r>
        <w:r w:rsidRPr="003E4F6A" w:rsidR="00D201DF">
          <w:rPr>
            <w:rFonts w:asciiTheme="majorBidi" w:hAnsiTheme="majorBidi" w:cstheme="majorBidi"/>
          </w:rPr>
          <w:tab/>
        </w:r>
        <w:r w:rsidRPr="003E4F6A" w:rsidR="00D201DF">
          <w:rPr>
            <w:rStyle w:val="Hyperlink"/>
            <w:rFonts w:asciiTheme="majorBidi" w:hAnsiTheme="majorBidi" w:cstheme="majorBidi"/>
          </w:rPr>
          <w:t>Consequences of Not Collecting the Information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_Toc79418627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9</w:t>
        </w:r>
        <w:r w:rsidRPr="003E4F6A" w:rsidR="00D201DF">
          <w:rPr>
            <w:rFonts w:asciiTheme="majorBidi" w:hAnsiTheme="majorBidi" w:cstheme="majorBidi"/>
            <w:webHidden/>
          </w:rPr>
          <w:fldChar w:fldCharType="end"/>
        </w:r>
      </w:hyperlink>
    </w:p>
    <w:p w:rsidRPr="003E4F6A" w:rsidR="00D201DF" w:rsidRDefault="00236C6C" w14:paraId="53546276" w14:textId="21EFF349">
      <w:pPr>
        <w:pStyle w:val="TOC2"/>
        <w:rPr>
          <w:rFonts w:asciiTheme="majorBidi" w:hAnsiTheme="majorBidi" w:cstheme="majorBidi"/>
        </w:rPr>
      </w:pPr>
      <w:hyperlink w:history="1" w:anchor="_Toc79418628">
        <w:r w:rsidRPr="003E4F6A" w:rsidR="00D201DF">
          <w:rPr>
            <w:rStyle w:val="Hyperlink"/>
            <w:rFonts w:asciiTheme="majorBidi" w:hAnsiTheme="majorBidi" w:cstheme="majorBidi"/>
          </w:rPr>
          <w:t>A.7</w:t>
        </w:r>
        <w:r w:rsidRPr="003E4F6A" w:rsidR="00D201DF">
          <w:rPr>
            <w:rFonts w:asciiTheme="majorBidi" w:hAnsiTheme="majorBidi" w:cstheme="majorBidi"/>
          </w:rPr>
          <w:tab/>
        </w:r>
        <w:r w:rsidRPr="003E4F6A" w:rsidR="00D201DF">
          <w:rPr>
            <w:rStyle w:val="Hyperlink"/>
            <w:rFonts w:asciiTheme="majorBidi" w:hAnsiTheme="majorBidi" w:cstheme="majorBidi"/>
          </w:rPr>
          <w:t>Special Circumstances Justifying Inconsistencies with Guidelines in 5 CFR 1320.6</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_Toc79418628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10</w:t>
        </w:r>
        <w:r w:rsidRPr="003E4F6A" w:rsidR="00D201DF">
          <w:rPr>
            <w:rFonts w:asciiTheme="majorBidi" w:hAnsiTheme="majorBidi" w:cstheme="majorBidi"/>
            <w:webHidden/>
          </w:rPr>
          <w:fldChar w:fldCharType="end"/>
        </w:r>
      </w:hyperlink>
    </w:p>
    <w:p w:rsidRPr="003E4F6A" w:rsidR="00D201DF" w:rsidRDefault="00236C6C" w14:paraId="67522939" w14:textId="0D54FFC1">
      <w:pPr>
        <w:pStyle w:val="TOC2"/>
        <w:rPr>
          <w:rFonts w:asciiTheme="majorBidi" w:hAnsiTheme="majorBidi" w:cstheme="majorBidi"/>
        </w:rPr>
      </w:pPr>
      <w:hyperlink w:history="1" w:anchor="_Toc79418629">
        <w:r w:rsidRPr="003E4F6A" w:rsidR="00D201DF">
          <w:rPr>
            <w:rStyle w:val="Hyperlink"/>
            <w:rFonts w:asciiTheme="majorBidi" w:hAnsiTheme="majorBidi" w:cstheme="majorBidi"/>
          </w:rPr>
          <w:t>A.8</w:t>
        </w:r>
        <w:r w:rsidRPr="003E4F6A" w:rsidR="00D201DF">
          <w:rPr>
            <w:rFonts w:asciiTheme="majorBidi" w:hAnsiTheme="majorBidi" w:cstheme="majorBidi"/>
          </w:rPr>
          <w:tab/>
        </w:r>
        <w:r w:rsidRPr="003E4F6A" w:rsidR="00D201DF">
          <w:rPr>
            <w:rStyle w:val="Hyperlink"/>
            <w:rFonts w:asciiTheme="majorBidi" w:hAnsiTheme="majorBidi" w:cstheme="majorBidi"/>
          </w:rPr>
          <w:t>Consultation Outside the Agency</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_Toc79418629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10</w:t>
        </w:r>
        <w:r w:rsidRPr="003E4F6A" w:rsidR="00D201DF">
          <w:rPr>
            <w:rFonts w:asciiTheme="majorBidi" w:hAnsiTheme="majorBidi" w:cstheme="majorBidi"/>
            <w:webHidden/>
          </w:rPr>
          <w:fldChar w:fldCharType="end"/>
        </w:r>
      </w:hyperlink>
    </w:p>
    <w:p w:rsidRPr="003E4F6A" w:rsidR="00D201DF" w:rsidRDefault="00236C6C" w14:paraId="5604602C" w14:textId="10E4467D">
      <w:pPr>
        <w:pStyle w:val="TOC3"/>
        <w:tabs>
          <w:tab w:val="left" w:pos="1920"/>
        </w:tabs>
        <w:rPr>
          <w:rFonts w:asciiTheme="majorBidi" w:hAnsiTheme="majorBidi" w:eastAsiaTheme="minorEastAsia" w:cstheme="majorBidi"/>
          <w:szCs w:val="22"/>
        </w:rPr>
      </w:pPr>
      <w:hyperlink w:history="1" w:anchor="_Toc79418630">
        <w:r w:rsidRPr="003E4F6A" w:rsidR="00D201DF">
          <w:rPr>
            <w:rStyle w:val="Hyperlink"/>
            <w:rFonts w:asciiTheme="majorBidi" w:hAnsiTheme="majorBidi" w:cstheme="majorBidi"/>
          </w:rPr>
          <w:t>A.8.1</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Federal Registrar Announcement</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_Toc79418630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10</w:t>
        </w:r>
        <w:r w:rsidRPr="003E4F6A" w:rsidR="00D201DF">
          <w:rPr>
            <w:rFonts w:asciiTheme="majorBidi" w:hAnsiTheme="majorBidi" w:cstheme="majorBidi"/>
            <w:webHidden/>
          </w:rPr>
          <w:fldChar w:fldCharType="end"/>
        </w:r>
      </w:hyperlink>
    </w:p>
    <w:p w:rsidRPr="003E4F6A" w:rsidR="00D201DF" w:rsidRDefault="00236C6C" w14:paraId="00EA6A7B" w14:textId="2070E5CE">
      <w:pPr>
        <w:pStyle w:val="TOC3"/>
        <w:tabs>
          <w:tab w:val="left" w:pos="1920"/>
        </w:tabs>
        <w:rPr>
          <w:rFonts w:asciiTheme="majorBidi" w:hAnsiTheme="majorBidi" w:eastAsiaTheme="minorEastAsia" w:cstheme="majorBidi"/>
          <w:szCs w:val="22"/>
        </w:rPr>
      </w:pPr>
      <w:hyperlink w:history="1" w:anchor="_Toc79418631">
        <w:r w:rsidRPr="003E4F6A" w:rsidR="00D201DF">
          <w:rPr>
            <w:rStyle w:val="Hyperlink"/>
            <w:rFonts w:asciiTheme="majorBidi" w:hAnsiTheme="majorBidi" w:cstheme="majorBidi"/>
          </w:rPr>
          <w:t>A.8.2</w:t>
        </w:r>
        <w:r w:rsidRPr="003E4F6A" w:rsidR="00D201DF">
          <w:rPr>
            <w:rFonts w:asciiTheme="majorBidi" w:hAnsiTheme="majorBidi" w:eastAsiaTheme="minorEastAsia" w:cstheme="majorBidi"/>
            <w:szCs w:val="22"/>
          </w:rPr>
          <w:tab/>
        </w:r>
        <w:r w:rsidRPr="003E4F6A" w:rsidR="00D201DF">
          <w:rPr>
            <w:rStyle w:val="Hyperlink"/>
            <w:rFonts w:asciiTheme="majorBidi" w:hAnsiTheme="majorBidi" w:cstheme="majorBidi"/>
          </w:rPr>
          <w:t>Consultations Outside the Agency</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_Toc79418631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10</w:t>
        </w:r>
        <w:r w:rsidRPr="003E4F6A" w:rsidR="00D201DF">
          <w:rPr>
            <w:rFonts w:asciiTheme="majorBidi" w:hAnsiTheme="majorBidi" w:cstheme="majorBidi"/>
            <w:webHidden/>
          </w:rPr>
          <w:fldChar w:fldCharType="end"/>
        </w:r>
      </w:hyperlink>
    </w:p>
    <w:p w:rsidRPr="003E4F6A" w:rsidR="00D201DF" w:rsidRDefault="00236C6C" w14:paraId="3C0392C7" w14:textId="2A5BFC70">
      <w:pPr>
        <w:pStyle w:val="TOC2"/>
        <w:rPr>
          <w:rFonts w:asciiTheme="majorBidi" w:hAnsiTheme="majorBidi" w:cstheme="majorBidi"/>
        </w:rPr>
      </w:pPr>
      <w:hyperlink w:history="1" w:anchor="_Toc79418632">
        <w:r w:rsidRPr="003E4F6A" w:rsidR="00D201DF">
          <w:rPr>
            <w:rStyle w:val="Hyperlink"/>
            <w:rFonts w:asciiTheme="majorBidi" w:hAnsiTheme="majorBidi" w:cstheme="majorBidi"/>
          </w:rPr>
          <w:t>A.9</w:t>
        </w:r>
        <w:r w:rsidRPr="003E4F6A" w:rsidR="00D201DF">
          <w:rPr>
            <w:rFonts w:asciiTheme="majorBidi" w:hAnsiTheme="majorBidi" w:cstheme="majorBidi"/>
          </w:rPr>
          <w:tab/>
        </w:r>
        <w:r w:rsidRPr="003E4F6A" w:rsidR="00D201DF">
          <w:rPr>
            <w:rStyle w:val="Hyperlink"/>
            <w:rFonts w:asciiTheme="majorBidi" w:hAnsiTheme="majorBidi" w:cstheme="majorBidi"/>
          </w:rPr>
          <w:t>Payments or Gifts to Respondents</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_Toc79418632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10</w:t>
        </w:r>
        <w:r w:rsidRPr="003E4F6A" w:rsidR="00D201DF">
          <w:rPr>
            <w:rFonts w:asciiTheme="majorBidi" w:hAnsiTheme="majorBidi" w:cstheme="majorBidi"/>
            <w:webHidden/>
          </w:rPr>
          <w:fldChar w:fldCharType="end"/>
        </w:r>
      </w:hyperlink>
    </w:p>
    <w:p w:rsidRPr="003E4F6A" w:rsidR="00D201DF" w:rsidRDefault="00236C6C" w14:paraId="7022A892" w14:textId="45A7F692">
      <w:pPr>
        <w:pStyle w:val="TOC2"/>
        <w:rPr>
          <w:rFonts w:asciiTheme="majorBidi" w:hAnsiTheme="majorBidi" w:cstheme="majorBidi"/>
        </w:rPr>
      </w:pPr>
      <w:hyperlink w:history="1" w:anchor="_Toc79418633">
        <w:r w:rsidRPr="003E4F6A" w:rsidR="00D201DF">
          <w:rPr>
            <w:rStyle w:val="Hyperlink"/>
            <w:rFonts w:asciiTheme="majorBidi" w:hAnsiTheme="majorBidi" w:cstheme="majorBidi"/>
          </w:rPr>
          <w:t>A.10</w:t>
        </w:r>
        <w:r w:rsidRPr="003E4F6A" w:rsidR="00D201DF">
          <w:rPr>
            <w:rFonts w:asciiTheme="majorBidi" w:hAnsiTheme="majorBidi" w:cstheme="majorBidi"/>
          </w:rPr>
          <w:tab/>
        </w:r>
        <w:r w:rsidRPr="003E4F6A" w:rsidR="00D201DF">
          <w:rPr>
            <w:rStyle w:val="Hyperlink"/>
            <w:rFonts w:asciiTheme="majorBidi" w:hAnsiTheme="majorBidi" w:cstheme="majorBidi"/>
          </w:rPr>
          <w:t>Assurance of Confidentiality</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_Toc79418633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10</w:t>
        </w:r>
        <w:r w:rsidRPr="003E4F6A" w:rsidR="00D201DF">
          <w:rPr>
            <w:rFonts w:asciiTheme="majorBidi" w:hAnsiTheme="majorBidi" w:cstheme="majorBidi"/>
            <w:webHidden/>
          </w:rPr>
          <w:fldChar w:fldCharType="end"/>
        </w:r>
      </w:hyperlink>
    </w:p>
    <w:p w:rsidRPr="003E4F6A" w:rsidR="00D201DF" w:rsidRDefault="00236C6C" w14:paraId="7CA9CAE4" w14:textId="1C76EF03">
      <w:pPr>
        <w:pStyle w:val="TOC2"/>
        <w:rPr>
          <w:rFonts w:asciiTheme="majorBidi" w:hAnsiTheme="majorBidi" w:cstheme="majorBidi"/>
        </w:rPr>
      </w:pPr>
      <w:hyperlink w:history="1" w:anchor="_Toc79418634">
        <w:r w:rsidRPr="003E4F6A" w:rsidR="00D201DF">
          <w:rPr>
            <w:rStyle w:val="Hyperlink"/>
            <w:rFonts w:asciiTheme="majorBidi" w:hAnsiTheme="majorBidi" w:cstheme="majorBidi"/>
          </w:rPr>
          <w:t>A.11</w:t>
        </w:r>
        <w:r w:rsidRPr="003E4F6A" w:rsidR="00D201DF">
          <w:rPr>
            <w:rFonts w:asciiTheme="majorBidi" w:hAnsiTheme="majorBidi" w:cstheme="majorBidi"/>
          </w:rPr>
          <w:tab/>
        </w:r>
        <w:r w:rsidRPr="003E4F6A" w:rsidR="00D201DF">
          <w:rPr>
            <w:rStyle w:val="Hyperlink"/>
            <w:rFonts w:asciiTheme="majorBidi" w:hAnsiTheme="majorBidi" w:cstheme="majorBidi"/>
          </w:rPr>
          <w:t>Sensitive Questions</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_Toc79418634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11</w:t>
        </w:r>
        <w:r w:rsidRPr="003E4F6A" w:rsidR="00D201DF">
          <w:rPr>
            <w:rFonts w:asciiTheme="majorBidi" w:hAnsiTheme="majorBidi" w:cstheme="majorBidi"/>
            <w:webHidden/>
          </w:rPr>
          <w:fldChar w:fldCharType="end"/>
        </w:r>
      </w:hyperlink>
    </w:p>
    <w:p w:rsidRPr="003E4F6A" w:rsidR="00D201DF" w:rsidRDefault="00236C6C" w14:paraId="18D995BA" w14:textId="262CD2C0">
      <w:pPr>
        <w:pStyle w:val="TOC2"/>
        <w:rPr>
          <w:rFonts w:asciiTheme="majorBidi" w:hAnsiTheme="majorBidi" w:cstheme="majorBidi"/>
        </w:rPr>
      </w:pPr>
      <w:hyperlink w:history="1" w:anchor="_Toc79418635">
        <w:r w:rsidRPr="003E4F6A" w:rsidR="00D201DF">
          <w:rPr>
            <w:rStyle w:val="Hyperlink"/>
            <w:rFonts w:asciiTheme="majorBidi" w:hAnsiTheme="majorBidi" w:cstheme="majorBidi"/>
          </w:rPr>
          <w:t>A.12</w:t>
        </w:r>
        <w:r w:rsidRPr="003E4F6A" w:rsidR="00D201DF">
          <w:rPr>
            <w:rFonts w:asciiTheme="majorBidi" w:hAnsiTheme="majorBidi" w:cstheme="majorBidi"/>
          </w:rPr>
          <w:tab/>
        </w:r>
        <w:r w:rsidRPr="003E4F6A" w:rsidR="00D201DF">
          <w:rPr>
            <w:rStyle w:val="Hyperlink"/>
            <w:rFonts w:asciiTheme="majorBidi" w:hAnsiTheme="majorBidi" w:cstheme="majorBidi"/>
          </w:rPr>
          <w:t>Estimate of Response Burden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_Toc79418635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12</w:t>
        </w:r>
        <w:r w:rsidRPr="003E4F6A" w:rsidR="00D201DF">
          <w:rPr>
            <w:rFonts w:asciiTheme="majorBidi" w:hAnsiTheme="majorBidi" w:cstheme="majorBidi"/>
            <w:webHidden/>
          </w:rPr>
          <w:fldChar w:fldCharType="end"/>
        </w:r>
      </w:hyperlink>
    </w:p>
    <w:p w:rsidRPr="003E4F6A" w:rsidR="00D201DF" w:rsidP="005D173E" w:rsidRDefault="00236C6C" w14:paraId="6E51AEA6" w14:textId="73D891F1">
      <w:pPr>
        <w:pStyle w:val="TOC2"/>
        <w:ind w:left="1170" w:hanging="594"/>
        <w:rPr>
          <w:rFonts w:asciiTheme="majorBidi" w:hAnsiTheme="majorBidi" w:cstheme="majorBidi"/>
        </w:rPr>
      </w:pPr>
      <w:hyperlink w:history="1" w:anchor="_Toc79418636">
        <w:r w:rsidRPr="003E4F6A" w:rsidR="00D201DF">
          <w:rPr>
            <w:rStyle w:val="Hyperlink"/>
            <w:rFonts w:asciiTheme="majorBidi" w:hAnsiTheme="majorBidi" w:cstheme="majorBidi"/>
          </w:rPr>
          <w:t>A.13</w:t>
        </w:r>
        <w:r w:rsidRPr="003E4F6A" w:rsidR="00D201DF">
          <w:rPr>
            <w:rFonts w:asciiTheme="majorBidi" w:hAnsiTheme="majorBidi" w:cstheme="majorBidi"/>
          </w:rPr>
          <w:tab/>
        </w:r>
        <w:r w:rsidRPr="003E4F6A" w:rsidR="00D201DF">
          <w:rPr>
            <w:rStyle w:val="Hyperlink"/>
            <w:rFonts w:asciiTheme="majorBidi" w:hAnsiTheme="majorBidi" w:cstheme="majorBidi"/>
          </w:rPr>
          <w:t>Estimate of Total Capital and Startup Costs/Operation and Maintenance Costs to</w:t>
        </w:r>
        <w:r w:rsidRPr="003E4F6A" w:rsidR="005D173E">
          <w:rPr>
            <w:rStyle w:val="Hyperlink"/>
            <w:rFonts w:asciiTheme="majorBidi" w:hAnsiTheme="majorBidi" w:cstheme="majorBidi"/>
          </w:rPr>
          <w:t xml:space="preserve"> </w:t>
        </w:r>
        <w:r w:rsidRPr="003E4F6A" w:rsidR="00D201DF">
          <w:rPr>
            <w:rStyle w:val="Hyperlink"/>
            <w:rFonts w:asciiTheme="majorBidi" w:hAnsiTheme="majorBidi" w:cstheme="majorBidi"/>
          </w:rPr>
          <w:t>Respondents or Record-Keepers</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_Toc79418636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14</w:t>
        </w:r>
        <w:r w:rsidRPr="003E4F6A" w:rsidR="00D201DF">
          <w:rPr>
            <w:rFonts w:asciiTheme="majorBidi" w:hAnsiTheme="majorBidi" w:cstheme="majorBidi"/>
            <w:webHidden/>
          </w:rPr>
          <w:fldChar w:fldCharType="end"/>
        </w:r>
      </w:hyperlink>
    </w:p>
    <w:p w:rsidRPr="003E4F6A" w:rsidR="00D201DF" w:rsidRDefault="00236C6C" w14:paraId="4EA60B58" w14:textId="209DCB18">
      <w:pPr>
        <w:pStyle w:val="TOC2"/>
        <w:rPr>
          <w:rFonts w:asciiTheme="majorBidi" w:hAnsiTheme="majorBidi" w:cstheme="majorBidi"/>
        </w:rPr>
      </w:pPr>
      <w:hyperlink w:history="1" w:anchor="_Toc79418637">
        <w:r w:rsidRPr="003E4F6A" w:rsidR="00D201DF">
          <w:rPr>
            <w:rStyle w:val="Hyperlink"/>
            <w:rFonts w:asciiTheme="majorBidi" w:hAnsiTheme="majorBidi" w:cstheme="majorBidi"/>
          </w:rPr>
          <w:t>A.14</w:t>
        </w:r>
        <w:r w:rsidRPr="003E4F6A" w:rsidR="00D201DF">
          <w:rPr>
            <w:rFonts w:asciiTheme="majorBidi" w:hAnsiTheme="majorBidi" w:cstheme="majorBidi"/>
          </w:rPr>
          <w:tab/>
        </w:r>
        <w:r w:rsidRPr="003E4F6A" w:rsidR="00D201DF">
          <w:rPr>
            <w:rStyle w:val="Hyperlink"/>
            <w:rFonts w:asciiTheme="majorBidi" w:hAnsiTheme="majorBidi" w:cstheme="majorBidi"/>
          </w:rPr>
          <w:t>Estimate of Cost to the Federal Government</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_Toc79418637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15</w:t>
        </w:r>
        <w:r w:rsidRPr="003E4F6A" w:rsidR="00D201DF">
          <w:rPr>
            <w:rFonts w:asciiTheme="majorBidi" w:hAnsiTheme="majorBidi" w:cstheme="majorBidi"/>
            <w:webHidden/>
          </w:rPr>
          <w:fldChar w:fldCharType="end"/>
        </w:r>
      </w:hyperlink>
    </w:p>
    <w:p w:rsidRPr="003E4F6A" w:rsidR="00D201DF" w:rsidRDefault="00236C6C" w14:paraId="530DFE51" w14:textId="60852C29">
      <w:pPr>
        <w:pStyle w:val="TOC2"/>
        <w:rPr>
          <w:rFonts w:asciiTheme="majorBidi" w:hAnsiTheme="majorBidi" w:cstheme="majorBidi"/>
        </w:rPr>
      </w:pPr>
      <w:hyperlink w:history="1" w:anchor="_Toc79418638">
        <w:r w:rsidRPr="003E4F6A" w:rsidR="00D201DF">
          <w:rPr>
            <w:rStyle w:val="Hyperlink"/>
            <w:rFonts w:asciiTheme="majorBidi" w:hAnsiTheme="majorBidi" w:cstheme="majorBidi"/>
          </w:rPr>
          <w:t>A.15</w:t>
        </w:r>
        <w:r w:rsidRPr="003E4F6A" w:rsidR="00D201DF">
          <w:rPr>
            <w:rFonts w:asciiTheme="majorBidi" w:hAnsiTheme="majorBidi" w:cstheme="majorBidi"/>
          </w:rPr>
          <w:tab/>
        </w:r>
        <w:r w:rsidRPr="003E4F6A" w:rsidR="00D201DF">
          <w:rPr>
            <w:rStyle w:val="Hyperlink"/>
            <w:rFonts w:asciiTheme="majorBidi" w:hAnsiTheme="majorBidi" w:cstheme="majorBidi"/>
          </w:rPr>
          <w:t>Change in Burden</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_Toc79418638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15</w:t>
        </w:r>
        <w:r w:rsidRPr="003E4F6A" w:rsidR="00D201DF">
          <w:rPr>
            <w:rFonts w:asciiTheme="majorBidi" w:hAnsiTheme="majorBidi" w:cstheme="majorBidi"/>
            <w:webHidden/>
          </w:rPr>
          <w:fldChar w:fldCharType="end"/>
        </w:r>
      </w:hyperlink>
    </w:p>
    <w:p w:rsidRPr="003E4F6A" w:rsidR="00D201DF" w:rsidRDefault="00236C6C" w14:paraId="5AE250FA" w14:textId="6FFC15EE">
      <w:pPr>
        <w:pStyle w:val="TOC2"/>
        <w:rPr>
          <w:rFonts w:asciiTheme="majorBidi" w:hAnsiTheme="majorBidi" w:cstheme="majorBidi"/>
        </w:rPr>
      </w:pPr>
      <w:hyperlink w:history="1" w:anchor="_Toc79418639">
        <w:r w:rsidRPr="003E4F6A" w:rsidR="00D201DF">
          <w:rPr>
            <w:rStyle w:val="Hyperlink"/>
            <w:rFonts w:asciiTheme="majorBidi" w:hAnsiTheme="majorBidi" w:cstheme="majorBidi"/>
          </w:rPr>
          <w:t>A.16</w:t>
        </w:r>
        <w:r w:rsidRPr="003E4F6A" w:rsidR="00D201DF">
          <w:rPr>
            <w:rFonts w:asciiTheme="majorBidi" w:hAnsiTheme="majorBidi" w:cstheme="majorBidi"/>
          </w:rPr>
          <w:tab/>
        </w:r>
        <w:r w:rsidRPr="003E4F6A" w:rsidR="00D201DF">
          <w:rPr>
            <w:rStyle w:val="Hyperlink"/>
            <w:rFonts w:asciiTheme="majorBidi" w:hAnsiTheme="majorBidi" w:cstheme="majorBidi"/>
          </w:rPr>
          <w:t>Plans for Analysis, Publication, and Schedule</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_Toc79418639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15</w:t>
        </w:r>
        <w:r w:rsidRPr="003E4F6A" w:rsidR="00D201DF">
          <w:rPr>
            <w:rFonts w:asciiTheme="majorBidi" w:hAnsiTheme="majorBidi" w:cstheme="majorBidi"/>
            <w:webHidden/>
          </w:rPr>
          <w:fldChar w:fldCharType="end"/>
        </w:r>
      </w:hyperlink>
    </w:p>
    <w:p w:rsidRPr="003E4F6A" w:rsidR="00D201DF" w:rsidRDefault="00236C6C" w14:paraId="374961B6" w14:textId="581EC009">
      <w:pPr>
        <w:pStyle w:val="TOC2"/>
        <w:rPr>
          <w:rFonts w:asciiTheme="majorBidi" w:hAnsiTheme="majorBidi" w:cstheme="majorBidi"/>
        </w:rPr>
      </w:pPr>
      <w:hyperlink w:history="1" w:anchor="_Toc79418640">
        <w:r w:rsidRPr="003E4F6A" w:rsidR="00D201DF">
          <w:rPr>
            <w:rStyle w:val="Hyperlink"/>
            <w:rFonts w:asciiTheme="majorBidi" w:hAnsiTheme="majorBidi" w:cstheme="majorBidi"/>
          </w:rPr>
          <w:t>A.17</w:t>
        </w:r>
        <w:r w:rsidRPr="003E4F6A" w:rsidR="00D201DF">
          <w:rPr>
            <w:rFonts w:asciiTheme="majorBidi" w:hAnsiTheme="majorBidi" w:cstheme="majorBidi"/>
          </w:rPr>
          <w:tab/>
        </w:r>
        <w:r w:rsidRPr="003E4F6A" w:rsidR="00D201DF">
          <w:rPr>
            <w:rStyle w:val="Hyperlink"/>
            <w:rFonts w:asciiTheme="majorBidi" w:hAnsiTheme="majorBidi" w:cstheme="majorBidi"/>
          </w:rPr>
          <w:t>Approval to Not Display Expiration Date</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_Toc79418640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16</w:t>
        </w:r>
        <w:r w:rsidRPr="003E4F6A" w:rsidR="00D201DF">
          <w:rPr>
            <w:rFonts w:asciiTheme="majorBidi" w:hAnsiTheme="majorBidi" w:cstheme="majorBidi"/>
            <w:webHidden/>
          </w:rPr>
          <w:fldChar w:fldCharType="end"/>
        </w:r>
      </w:hyperlink>
    </w:p>
    <w:p w:rsidR="00D201DF" w:rsidRDefault="00236C6C" w14:paraId="15364342" w14:textId="4C25E903">
      <w:pPr>
        <w:pStyle w:val="TOC2"/>
      </w:pPr>
      <w:hyperlink w:history="1" w:anchor="_Toc79418641">
        <w:r w:rsidRPr="003E4F6A" w:rsidR="00D201DF">
          <w:rPr>
            <w:rStyle w:val="Hyperlink"/>
            <w:rFonts w:asciiTheme="majorBidi" w:hAnsiTheme="majorBidi" w:cstheme="majorBidi"/>
          </w:rPr>
          <w:t>A.18</w:t>
        </w:r>
        <w:r w:rsidRPr="003E4F6A" w:rsidR="00D201DF">
          <w:rPr>
            <w:rFonts w:asciiTheme="majorBidi" w:hAnsiTheme="majorBidi" w:cstheme="majorBidi"/>
          </w:rPr>
          <w:tab/>
        </w:r>
        <w:r w:rsidRPr="003E4F6A" w:rsidR="00D201DF">
          <w:rPr>
            <w:rStyle w:val="Hyperlink"/>
            <w:rFonts w:asciiTheme="majorBidi" w:hAnsiTheme="majorBidi" w:cstheme="majorBidi"/>
          </w:rPr>
          <w:t>Exceptions to Item 19 of OMB Form 83-1</w:t>
        </w:r>
        <w:r w:rsidRPr="003E4F6A" w:rsidR="00D201DF">
          <w:rPr>
            <w:rFonts w:asciiTheme="majorBidi" w:hAnsiTheme="majorBidi" w:cstheme="majorBidi"/>
            <w:webHidden/>
          </w:rPr>
          <w:tab/>
        </w:r>
        <w:r w:rsidRPr="003E4F6A" w:rsidR="00D201DF">
          <w:rPr>
            <w:rFonts w:asciiTheme="majorBidi" w:hAnsiTheme="majorBidi" w:cstheme="majorBidi"/>
            <w:webHidden/>
          </w:rPr>
          <w:fldChar w:fldCharType="begin"/>
        </w:r>
        <w:r w:rsidRPr="003E4F6A" w:rsidR="00D201DF">
          <w:rPr>
            <w:rFonts w:asciiTheme="majorBidi" w:hAnsiTheme="majorBidi" w:cstheme="majorBidi"/>
            <w:webHidden/>
          </w:rPr>
          <w:instrText xml:space="preserve"> PAGEREF _Toc79418641 \h </w:instrText>
        </w:r>
        <w:r w:rsidRPr="003E4F6A" w:rsidR="00D201DF">
          <w:rPr>
            <w:rFonts w:asciiTheme="majorBidi" w:hAnsiTheme="majorBidi" w:cstheme="majorBidi"/>
            <w:webHidden/>
          </w:rPr>
        </w:r>
        <w:r w:rsidRPr="003E4F6A" w:rsidR="00D201DF">
          <w:rPr>
            <w:rFonts w:asciiTheme="majorBidi" w:hAnsiTheme="majorBidi" w:cstheme="majorBidi"/>
            <w:webHidden/>
          </w:rPr>
          <w:fldChar w:fldCharType="separate"/>
        </w:r>
        <w:r w:rsidR="001D0AD2">
          <w:rPr>
            <w:rFonts w:asciiTheme="majorBidi" w:hAnsiTheme="majorBidi" w:cstheme="majorBidi"/>
            <w:webHidden/>
          </w:rPr>
          <w:t>16</w:t>
        </w:r>
        <w:r w:rsidRPr="003E4F6A" w:rsidR="00D201DF">
          <w:rPr>
            <w:rFonts w:asciiTheme="majorBidi" w:hAnsiTheme="majorBidi" w:cstheme="majorBidi"/>
            <w:webHidden/>
          </w:rPr>
          <w:fldChar w:fldCharType="end"/>
        </w:r>
      </w:hyperlink>
    </w:p>
    <w:p w:rsidR="005D40FE" w:rsidP="005D173E" w:rsidRDefault="005D40FE" w14:paraId="5BB1ECE3" w14:textId="7616DCB6">
      <w:pPr>
        <w:pStyle w:val="BodyText"/>
      </w:pPr>
      <w:r>
        <w:fldChar w:fldCharType="end"/>
      </w:r>
    </w:p>
    <w:p w:rsidR="005D40FE" w:rsidP="004E6593" w:rsidRDefault="005D40FE" w14:paraId="53D9A0E6" w14:textId="7055C09A">
      <w:pPr>
        <w:pStyle w:val="BodyText"/>
        <w:sectPr w:rsidR="005D40FE" w:rsidSect="00A87EC6">
          <w:headerReference w:type="default" r:id="rId15"/>
          <w:footerReference w:type="default" r:id="rId16"/>
          <w:pgSz w:w="12240" w:h="15840" w:code="1"/>
          <w:pgMar w:top="1440" w:right="1440" w:bottom="1440" w:left="1440" w:header="1080" w:footer="720" w:gutter="0"/>
          <w:pgNumType w:fmt="lowerRoman" w:start="1"/>
          <w:cols w:space="720"/>
          <w:docGrid w:linePitch="299"/>
        </w:sectPr>
      </w:pPr>
    </w:p>
    <w:p w:rsidR="005D40FE" w:rsidP="00232567" w:rsidRDefault="005D40FE" w14:paraId="5EFE68A0" w14:textId="13BCFA37">
      <w:pPr>
        <w:pStyle w:val="Heading1"/>
        <w:numPr>
          <w:ilvl w:val="0"/>
          <w:numId w:val="5"/>
        </w:numPr>
        <w:pBdr>
          <w:top w:val="none" w:color="auto" w:sz="0" w:space="0"/>
          <w:bottom w:val="none" w:color="auto" w:sz="0" w:space="0"/>
        </w:pBdr>
        <w:shd w:val="clear" w:color="auto" w:fill="C00000"/>
        <w:ind w:hanging="720"/>
      </w:pPr>
      <w:bookmarkStart w:name="_Toc462741641" w:id="2"/>
      <w:bookmarkStart w:name="_Toc480465669" w:id="3"/>
      <w:bookmarkStart w:name="_Toc503254121" w:id="4"/>
      <w:bookmarkStart w:name="_Toc79418614" w:id="5"/>
      <w:r w:rsidRPr="00AA2AC7">
        <w:rPr>
          <w:szCs w:val="24"/>
        </w:rPr>
        <w:lastRenderedPageBreak/>
        <w:t>Justification</w:t>
      </w:r>
      <w:bookmarkEnd w:id="2"/>
      <w:bookmarkEnd w:id="3"/>
      <w:bookmarkEnd w:id="4"/>
      <w:bookmarkEnd w:id="5"/>
    </w:p>
    <w:p w:rsidRPr="009C765B" w:rsidR="009A6300" w:rsidP="009A6300" w:rsidRDefault="009A6300" w14:paraId="69A46586" w14:textId="77777777">
      <w:pPr>
        <w:pStyle w:val="Heading2"/>
        <w:ind w:left="720" w:hanging="720"/>
      </w:pPr>
      <w:bookmarkStart w:name="_Toc54897887" w:id="6"/>
      <w:bookmarkStart w:name="_Toc79418615" w:id="7"/>
      <w:r w:rsidRPr="00AA2AC7">
        <w:rPr>
          <w:color w:val="000000" w:themeColor="text1"/>
        </w:rPr>
        <w:t>Introduction</w:t>
      </w:r>
      <w:bookmarkEnd w:id="6"/>
      <w:bookmarkEnd w:id="7"/>
    </w:p>
    <w:p w:rsidR="005D40FE" w:rsidP="004E6593" w:rsidRDefault="00724683" w14:paraId="6100B07E" w14:textId="23ADF613">
      <w:pPr>
        <w:pStyle w:val="BodyText"/>
      </w:pPr>
      <w:r w:rsidRPr="009C765B">
        <w:t xml:space="preserve">The U.S. Department of Education </w:t>
      </w:r>
      <w:r w:rsidR="00DB11D9">
        <w:t>(the Department)</w:t>
      </w:r>
      <w:r w:rsidRPr="009C765B">
        <w:t xml:space="preserve">’s Institute of Education Sciences (IES) requests clearance for </w:t>
      </w:r>
      <w:r w:rsidR="00A125AC">
        <w:t xml:space="preserve">new </w:t>
      </w:r>
      <w:r w:rsidRPr="009C765B">
        <w:t>data col</w:t>
      </w:r>
      <w:r>
        <w:t>lection activities to support a national evaluation of the Com</w:t>
      </w:r>
      <w:r w:rsidR="008761F8">
        <w:t>prehensive Center</w:t>
      </w:r>
      <w:r w:rsidR="003B5C96">
        <w:t>s</w:t>
      </w:r>
      <w:r w:rsidR="008761F8">
        <w:t xml:space="preserve"> (CC</w:t>
      </w:r>
      <w:r w:rsidR="00EF0082">
        <w:t>s</w:t>
      </w:r>
      <w:r w:rsidR="008761F8">
        <w:t xml:space="preserve">) program. </w:t>
      </w:r>
      <w:r w:rsidRPr="00C86A0D">
        <w:t>Specifically, this request covers surveys of</w:t>
      </w:r>
      <w:r w:rsidR="000D75A0">
        <w:t xml:space="preserve"> state </w:t>
      </w:r>
      <w:r w:rsidR="00CE50C4">
        <w:t xml:space="preserve">and local education </w:t>
      </w:r>
      <w:r w:rsidR="000D75A0">
        <w:t>agency staff who are recipients of CC</w:t>
      </w:r>
      <w:r w:rsidRPr="00C86A0D">
        <w:t xml:space="preserve"> </w:t>
      </w:r>
      <w:r w:rsidR="00DB11D9">
        <w:t xml:space="preserve">technical assistance (TA) </w:t>
      </w:r>
      <w:r w:rsidRPr="00C86A0D" w:rsidR="00DE355D">
        <w:t>and</w:t>
      </w:r>
      <w:r w:rsidRPr="00C86A0D">
        <w:t xml:space="preserve"> interviews with </w:t>
      </w:r>
      <w:r w:rsidR="000D75A0">
        <w:t xml:space="preserve">the directors of the </w:t>
      </w:r>
      <w:r w:rsidRPr="00C86A0D">
        <w:t>CC</w:t>
      </w:r>
      <w:r w:rsidR="000D75A0">
        <w:t>s</w:t>
      </w:r>
      <w:r w:rsidRPr="00C86A0D" w:rsidR="00C86A0D">
        <w:t xml:space="preserve"> </w:t>
      </w:r>
      <w:r w:rsidRPr="00C86A0D">
        <w:t xml:space="preserve">and </w:t>
      </w:r>
      <w:r w:rsidR="000D75A0">
        <w:t>another federal technical assistance network with whom the CCs are intended to collaborate</w:t>
      </w:r>
      <w:r w:rsidR="0031302F">
        <w:t xml:space="preserve">—the </w:t>
      </w:r>
      <w:r w:rsidRPr="00C86A0D">
        <w:t>Regional Education</w:t>
      </w:r>
      <w:r w:rsidR="00956D29">
        <w:t>al</w:t>
      </w:r>
      <w:r w:rsidRPr="00C86A0D">
        <w:t xml:space="preserve"> Laborator</w:t>
      </w:r>
      <w:r w:rsidR="000D75A0">
        <w:t>ies</w:t>
      </w:r>
      <w:r w:rsidRPr="00C86A0D">
        <w:t xml:space="preserve"> (REL</w:t>
      </w:r>
      <w:r w:rsidR="000D75A0">
        <w:t>s</w:t>
      </w:r>
      <w:r w:rsidRPr="00C86A0D">
        <w:t>)</w:t>
      </w:r>
      <w:r w:rsidR="000D75A0">
        <w:t>.</w:t>
      </w:r>
    </w:p>
    <w:p w:rsidR="00EF5A21" w:rsidP="004E6593" w:rsidRDefault="0031302F" w14:paraId="54CEACB3" w14:textId="79F8205D">
      <w:pPr>
        <w:pStyle w:val="BodyText"/>
      </w:pPr>
      <w:r w:rsidRPr="00724683" w:rsidDel="00EF0082">
        <w:t>The</w:t>
      </w:r>
      <w:r w:rsidRPr="003E4F6A" w:rsidR="00EF5A21">
        <w:t xml:space="preserve"> </w:t>
      </w:r>
      <w:r w:rsidR="007715C2">
        <w:t>CC</w:t>
      </w:r>
      <w:r w:rsidRPr="003E4F6A" w:rsidR="00EF5A21">
        <w:t xml:space="preserve"> program, funded by the Department at over $50 million per year, provides training, tools, and other supports to help </w:t>
      </w:r>
      <w:r>
        <w:t>state education agencies and local education</w:t>
      </w:r>
      <w:r w:rsidRPr="003E4F6A" w:rsidR="00EF5A21">
        <w:t xml:space="preserve"> agencies</w:t>
      </w:r>
      <w:r>
        <w:t xml:space="preserve"> </w:t>
      </w:r>
      <w:r w:rsidRPr="003E4F6A" w:rsidR="00EF5A21">
        <w:t xml:space="preserve">carry out their education plans and take steps to close achievement gaps. The </w:t>
      </w:r>
      <w:r>
        <w:t>CCs’</w:t>
      </w:r>
      <w:r w:rsidRPr="003E4F6A" w:rsidR="00EF5A21">
        <w:t xml:space="preserve"> services aim to build individual and organizational capacity to help identify and solve key problems. This evaluation will examine the delivery and usefulness of the Centers</w:t>
      </w:r>
      <w:r w:rsidR="003E4F6A">
        <w:t>’</w:t>
      </w:r>
      <w:r w:rsidRPr="003E4F6A" w:rsidR="00EF5A21">
        <w:t xml:space="preserve"> technical assistance, given potential new stakeholder needs and changes in the Center program that took effect with the 20 new grants awarded in 2019.</w:t>
      </w:r>
    </w:p>
    <w:p w:rsidR="005D40FE" w:rsidP="00AA2AC7" w:rsidRDefault="005D40FE" w14:paraId="727FC0F7" w14:textId="66915701">
      <w:pPr>
        <w:pStyle w:val="Heading2"/>
        <w:tabs>
          <w:tab w:val="num" w:pos="720"/>
        </w:tabs>
        <w:ind w:left="720" w:hanging="720"/>
      </w:pPr>
      <w:bookmarkStart w:name="_Toc462741642" w:id="8"/>
      <w:bookmarkStart w:name="_Toc480465670" w:id="9"/>
      <w:bookmarkStart w:name="_Toc503254122" w:id="10"/>
      <w:bookmarkStart w:name="_Toc79418616" w:id="11"/>
      <w:r w:rsidRPr="00220515">
        <w:t>A</w:t>
      </w:r>
      <w:r w:rsidR="00780D78">
        <w:t>.</w:t>
      </w:r>
      <w:r w:rsidRPr="00220515">
        <w:t>1</w:t>
      </w:r>
      <w:bookmarkEnd w:id="8"/>
      <w:bookmarkEnd w:id="9"/>
      <w:bookmarkEnd w:id="10"/>
      <w:r w:rsidR="00AA2AC7">
        <w:tab/>
      </w:r>
      <w:r w:rsidRPr="00AA2AC7" w:rsidR="009A6300">
        <w:rPr>
          <w:color w:val="000000" w:themeColor="text1"/>
        </w:rPr>
        <w:t>Circumstances</w:t>
      </w:r>
      <w:r w:rsidRPr="009A6300" w:rsidR="009A6300">
        <w:t xml:space="preserve"> Making the Collection of Information Necessary</w:t>
      </w:r>
      <w:bookmarkEnd w:id="11"/>
    </w:p>
    <w:p w:rsidR="005A290F" w:rsidP="00244518" w:rsidRDefault="005C20D9" w14:paraId="7773FB4F" w14:textId="22BD1BCE">
      <w:pPr>
        <w:pStyle w:val="BodyText"/>
        <w:rPr>
          <w:szCs w:val="22"/>
        </w:rPr>
      </w:pPr>
      <w:r>
        <w:rPr>
          <w:szCs w:val="22"/>
        </w:rPr>
        <w:t>The</w:t>
      </w:r>
      <w:r w:rsidR="00974664">
        <w:rPr>
          <w:szCs w:val="22"/>
        </w:rPr>
        <w:t xml:space="preserve"> Education Technical Assistance Act (ETAA) of 2003 mandates that </w:t>
      </w:r>
      <w:r w:rsidRPr="00521DF4" w:rsidR="00974664">
        <w:rPr>
          <w:szCs w:val="22"/>
        </w:rPr>
        <w:t xml:space="preserve">results of </w:t>
      </w:r>
      <w:r w:rsidR="00974664">
        <w:rPr>
          <w:szCs w:val="22"/>
        </w:rPr>
        <w:t>a</w:t>
      </w:r>
      <w:r w:rsidRPr="00521DF4" w:rsidR="00974664">
        <w:rPr>
          <w:szCs w:val="22"/>
        </w:rPr>
        <w:t xml:space="preserve"> national evaluation of the CC</w:t>
      </w:r>
      <w:r w:rsidR="0003341D">
        <w:rPr>
          <w:szCs w:val="22"/>
        </w:rPr>
        <w:t xml:space="preserve"> program</w:t>
      </w:r>
      <w:r w:rsidRPr="00521DF4" w:rsidR="00974664">
        <w:rPr>
          <w:szCs w:val="22"/>
        </w:rPr>
        <w:t xml:space="preserve"> be reported to Congress</w:t>
      </w:r>
      <w:r w:rsidR="00974664">
        <w:rPr>
          <w:szCs w:val="22"/>
        </w:rPr>
        <w:t>.</w:t>
      </w:r>
      <w:r w:rsidR="00974664">
        <w:rPr>
          <w:rStyle w:val="FootnoteReference"/>
          <w:szCs w:val="22"/>
        </w:rPr>
        <w:footnoteReference w:id="1"/>
      </w:r>
      <w:r w:rsidRPr="00521DF4" w:rsidR="00974664">
        <w:rPr>
          <w:szCs w:val="22"/>
        </w:rPr>
        <w:t xml:space="preserve"> </w:t>
      </w:r>
      <w:r w:rsidR="00066921">
        <w:rPr>
          <w:szCs w:val="22"/>
        </w:rPr>
        <w:t>This data collection on</w:t>
      </w:r>
      <w:r w:rsidRPr="00521DF4" w:rsidR="00E93DB6">
        <w:rPr>
          <w:szCs w:val="22"/>
        </w:rPr>
        <w:t xml:space="preserve"> the CCs is critical </w:t>
      </w:r>
      <w:r w:rsidR="00066921">
        <w:rPr>
          <w:szCs w:val="22"/>
        </w:rPr>
        <w:t>because it will</w:t>
      </w:r>
      <w:r w:rsidRPr="00521DF4" w:rsidR="00E93DB6">
        <w:rPr>
          <w:szCs w:val="22"/>
        </w:rPr>
        <w:t xml:space="preserve"> help </w:t>
      </w:r>
      <w:r w:rsidR="00DB11D9">
        <w:rPr>
          <w:szCs w:val="22"/>
        </w:rPr>
        <w:t xml:space="preserve">the Department </w:t>
      </w:r>
      <w:r>
        <w:rPr>
          <w:szCs w:val="22"/>
        </w:rPr>
        <w:t>identify</w:t>
      </w:r>
      <w:r w:rsidRPr="00521DF4">
        <w:rPr>
          <w:szCs w:val="22"/>
        </w:rPr>
        <w:t xml:space="preserve"> program improvement</w:t>
      </w:r>
      <w:r>
        <w:rPr>
          <w:szCs w:val="22"/>
        </w:rPr>
        <w:t>s</w:t>
      </w:r>
      <w:r w:rsidRPr="00521DF4">
        <w:rPr>
          <w:szCs w:val="22"/>
        </w:rPr>
        <w:t xml:space="preserve"> for the next cohort of CC grantees</w:t>
      </w:r>
      <w:r>
        <w:rPr>
          <w:szCs w:val="22"/>
        </w:rPr>
        <w:t>, and it may have implications for the evaluation of federal technical assistance efforts more broadly. Results of this evaluation are intended to</w:t>
      </w:r>
      <w:r w:rsidR="005A290F">
        <w:rPr>
          <w:szCs w:val="22"/>
        </w:rPr>
        <w:t>:</w:t>
      </w:r>
      <w:r>
        <w:rPr>
          <w:szCs w:val="22"/>
        </w:rPr>
        <w:t xml:space="preserve"> </w:t>
      </w:r>
    </w:p>
    <w:p w:rsidR="005A290F" w:rsidP="00D266AB" w:rsidRDefault="005C20D9" w14:paraId="5322E782" w14:textId="4BE07431">
      <w:pPr>
        <w:pStyle w:val="BodyText"/>
        <w:ind w:left="630" w:hanging="360"/>
        <w:rPr>
          <w:szCs w:val="22"/>
        </w:rPr>
      </w:pPr>
      <w:r>
        <w:rPr>
          <w:szCs w:val="22"/>
        </w:rPr>
        <w:t xml:space="preserve">(a) help better align CC services to </w:t>
      </w:r>
      <w:r w:rsidR="007715C2">
        <w:t>state education agencies</w:t>
      </w:r>
      <w:r w:rsidR="0086549B">
        <w:t>’</w:t>
      </w:r>
      <w:r>
        <w:rPr>
          <w:szCs w:val="22"/>
        </w:rPr>
        <w:t xml:space="preserve"> needs, </w:t>
      </w:r>
    </w:p>
    <w:p w:rsidR="005A290F" w:rsidP="00D266AB" w:rsidRDefault="005C20D9" w14:paraId="29471C5B" w14:textId="179B0218">
      <w:pPr>
        <w:pStyle w:val="BodyText"/>
        <w:ind w:left="630" w:hanging="360"/>
        <w:rPr>
          <w:szCs w:val="22"/>
        </w:rPr>
      </w:pPr>
      <w:r>
        <w:rPr>
          <w:szCs w:val="22"/>
        </w:rPr>
        <w:t xml:space="preserve">(b) identify how CC services can be more </w:t>
      </w:r>
      <w:r w:rsidR="001B0F98">
        <w:rPr>
          <w:szCs w:val="22"/>
        </w:rPr>
        <w:t>effectively</w:t>
      </w:r>
      <w:r>
        <w:rPr>
          <w:szCs w:val="22"/>
        </w:rPr>
        <w:t xml:space="preserve"> delivered, </w:t>
      </w:r>
    </w:p>
    <w:p w:rsidR="005A290F" w:rsidP="00D266AB" w:rsidRDefault="005C20D9" w14:paraId="29EEC852" w14:textId="77777777">
      <w:pPr>
        <w:pStyle w:val="BodyText"/>
        <w:ind w:left="630" w:hanging="360"/>
        <w:rPr>
          <w:szCs w:val="22"/>
        </w:rPr>
      </w:pPr>
      <w:r>
        <w:rPr>
          <w:szCs w:val="22"/>
        </w:rPr>
        <w:t xml:space="preserve">(c) identify how CCs can better support the development of </w:t>
      </w:r>
      <w:r w:rsidR="00FF50D8">
        <w:rPr>
          <w:szCs w:val="22"/>
        </w:rPr>
        <w:t>state and local education agencies’</w:t>
      </w:r>
      <w:r>
        <w:rPr>
          <w:szCs w:val="22"/>
        </w:rPr>
        <w:t xml:space="preserve"> capacity, and </w:t>
      </w:r>
    </w:p>
    <w:p w:rsidR="00C43200" w:rsidP="00D266AB" w:rsidRDefault="005C20D9" w14:paraId="11F6DA69" w14:textId="3BE4C4F5">
      <w:pPr>
        <w:pStyle w:val="BodyText"/>
        <w:ind w:left="630" w:hanging="360"/>
      </w:pPr>
      <w:r>
        <w:rPr>
          <w:szCs w:val="22"/>
        </w:rPr>
        <w:t>(d) provide lesson</w:t>
      </w:r>
      <w:r w:rsidRPr="00521DF4" w:rsidR="00244518">
        <w:rPr>
          <w:szCs w:val="22"/>
        </w:rPr>
        <w:t xml:space="preserve">s </w:t>
      </w:r>
      <w:r w:rsidR="00B17768">
        <w:rPr>
          <w:szCs w:val="22"/>
        </w:rPr>
        <w:t xml:space="preserve">learned from </w:t>
      </w:r>
      <w:r>
        <w:rPr>
          <w:szCs w:val="22"/>
        </w:rPr>
        <w:t xml:space="preserve">the new structure of the CCs </w:t>
      </w:r>
      <w:r w:rsidR="005A290F">
        <w:rPr>
          <w:szCs w:val="22"/>
        </w:rPr>
        <w:t>introduced in</w:t>
      </w:r>
      <w:r>
        <w:rPr>
          <w:szCs w:val="22"/>
        </w:rPr>
        <w:t xml:space="preserve"> the 2019 cycle</w:t>
      </w:r>
      <w:r w:rsidR="00244518">
        <w:rPr>
          <w:szCs w:val="22"/>
        </w:rPr>
        <w:t xml:space="preserve">. </w:t>
      </w:r>
      <w:r w:rsidRPr="00521DF4">
        <w:rPr>
          <w:szCs w:val="22"/>
        </w:rPr>
        <w:t xml:space="preserve"> </w:t>
      </w:r>
      <w:bookmarkStart w:name="_Toc462741643" w:id="12"/>
      <w:bookmarkStart w:name="_Toc480465671" w:id="13"/>
      <w:bookmarkStart w:name="_Toc503254123" w:id="14"/>
    </w:p>
    <w:p w:rsidR="00AA2AC7" w:rsidP="003E4F6A" w:rsidRDefault="005D40FE" w14:paraId="69E134B8" w14:textId="506728C5">
      <w:pPr>
        <w:pStyle w:val="Heading2"/>
        <w:tabs>
          <w:tab w:val="num" w:pos="720"/>
        </w:tabs>
        <w:ind w:left="720" w:hanging="720"/>
      </w:pPr>
      <w:bookmarkStart w:name="_Toc79418617" w:id="15"/>
      <w:r w:rsidRPr="00AA2AC7">
        <w:rPr>
          <w:color w:val="000000" w:themeColor="text1"/>
        </w:rPr>
        <w:t>A</w:t>
      </w:r>
      <w:r w:rsidRPr="00AA2AC7" w:rsidR="00780D78">
        <w:rPr>
          <w:color w:val="000000" w:themeColor="text1"/>
        </w:rPr>
        <w:t>.</w:t>
      </w:r>
      <w:r w:rsidRPr="00AA2AC7">
        <w:rPr>
          <w:color w:val="000000" w:themeColor="text1"/>
        </w:rPr>
        <w:t>2</w:t>
      </w:r>
      <w:bookmarkStart w:name="_Toc54897889" w:id="16"/>
      <w:bookmarkEnd w:id="12"/>
      <w:bookmarkEnd w:id="13"/>
      <w:bookmarkEnd w:id="14"/>
      <w:r w:rsidR="00AA2AC7">
        <w:rPr>
          <w:color w:val="000000" w:themeColor="text1"/>
        </w:rPr>
        <w:tab/>
      </w:r>
      <w:r w:rsidRPr="00AA2AC7" w:rsidR="009A6300">
        <w:rPr>
          <w:color w:val="000000" w:themeColor="text1"/>
        </w:rPr>
        <w:t>Purposes and Use of the Information Collection</w:t>
      </w:r>
      <w:bookmarkEnd w:id="15"/>
      <w:bookmarkEnd w:id="16"/>
    </w:p>
    <w:p w:rsidR="00B50F51" w:rsidP="00B50F51" w:rsidRDefault="00B50F51" w14:paraId="3D63CA54" w14:textId="55FCD2B4">
      <w:pPr>
        <w:pStyle w:val="BodyText"/>
      </w:pPr>
      <w:r>
        <w:rPr>
          <w:rFonts w:eastAsia="Calibri"/>
        </w:rPr>
        <w:t xml:space="preserve">IES has contracted with Abt Associates and its partners AnLar, Educational Testing Service (ETS), and the Center for Research in Education &amp; Social Policy (CRESP) at the University of Delaware to conduct this evaluation. </w:t>
      </w:r>
      <w:r w:rsidRPr="00A64FA7">
        <w:t>The evaluation will</w:t>
      </w:r>
      <w:r>
        <w:t xml:space="preserve"> collect data in order to</w:t>
      </w:r>
      <w:r w:rsidRPr="00A64FA7">
        <w:t xml:space="preserve"> address the research questions and sub-questions</w:t>
      </w:r>
      <w:r>
        <w:t xml:space="preserve"> presented in Exhibit A1.</w:t>
      </w:r>
    </w:p>
    <w:p w:rsidRPr="00D266AB" w:rsidR="0086549B" w:rsidP="00D266AB" w:rsidRDefault="00B50F51" w14:paraId="7166568F" w14:textId="55ED3532">
      <w:pPr>
        <w:pStyle w:val="BodyText"/>
        <w:rPr>
          <w:rFonts w:eastAsia="Calibri"/>
        </w:rPr>
      </w:pPr>
      <w:r>
        <w:rPr>
          <w:rFonts w:eastAsia="Calibri"/>
        </w:rPr>
        <w:t>The stud</w:t>
      </w:r>
      <w:r w:rsidRPr="004E6593" w:rsidR="00020AE0">
        <w:rPr>
          <w:rFonts w:eastAsia="Calibri"/>
        </w:rPr>
        <w:t xml:space="preserve">y </w:t>
      </w:r>
      <w:r>
        <w:rPr>
          <w:rFonts w:eastAsia="Calibri"/>
        </w:rPr>
        <w:t>will result in a report on the implementation of the CCs.</w:t>
      </w:r>
      <w:r w:rsidR="0086549B">
        <w:rPr>
          <w:rFonts w:eastAsia="Calibri"/>
        </w:rPr>
        <w:t xml:space="preserve"> </w:t>
      </w:r>
      <w:r w:rsidRPr="00D266AB" w:rsidR="0086549B">
        <w:rPr>
          <w:rFonts w:eastAsia="Calibri"/>
        </w:rPr>
        <w:t>The report will describe:</w:t>
      </w:r>
    </w:p>
    <w:p w:rsidRPr="00D266AB" w:rsidR="0086549B" w:rsidP="00D266AB" w:rsidRDefault="004B4E74" w14:paraId="7E13AE2C" w14:textId="187ED16F">
      <w:pPr>
        <w:pStyle w:val="CommentText"/>
        <w:numPr>
          <w:ilvl w:val="0"/>
          <w:numId w:val="16"/>
        </w:numPr>
        <w:rPr>
          <w:rFonts w:eastAsia="Calibri"/>
          <w:sz w:val="22"/>
        </w:rPr>
      </w:pPr>
      <w:r>
        <w:rPr>
          <w:rFonts w:eastAsia="Calibri"/>
          <w:sz w:val="22"/>
        </w:rPr>
        <w:t>The t</w:t>
      </w:r>
      <w:r w:rsidRPr="00D266AB" w:rsidR="0086549B">
        <w:rPr>
          <w:rFonts w:eastAsia="Calibri"/>
          <w:sz w:val="22"/>
        </w:rPr>
        <w:t>ypes of project</w:t>
      </w:r>
      <w:r w:rsidR="0086549B">
        <w:rPr>
          <w:rFonts w:eastAsia="Calibri"/>
          <w:sz w:val="22"/>
        </w:rPr>
        <w:t>s</w:t>
      </w:r>
      <w:r w:rsidR="00A27130">
        <w:rPr>
          <w:rFonts w:eastAsia="Calibri"/>
          <w:sz w:val="22"/>
        </w:rPr>
        <w:t xml:space="preserve"> and services</w:t>
      </w:r>
      <w:r w:rsidR="0086549B">
        <w:rPr>
          <w:rFonts w:eastAsia="Calibri"/>
          <w:sz w:val="22"/>
        </w:rPr>
        <w:t xml:space="preserve"> undertaken by the CCs</w:t>
      </w:r>
      <w:r>
        <w:rPr>
          <w:rFonts w:eastAsia="Calibri"/>
          <w:sz w:val="22"/>
        </w:rPr>
        <w:t xml:space="preserve">, and the extent to which the CCs addressed </w:t>
      </w:r>
      <w:r w:rsidR="00A81743">
        <w:rPr>
          <w:rFonts w:eastAsia="Calibri"/>
          <w:sz w:val="22"/>
        </w:rPr>
        <w:t xml:space="preserve">the needs of </w:t>
      </w:r>
      <w:r w:rsidR="00806D32">
        <w:rPr>
          <w:rFonts w:eastAsia="Calibri"/>
          <w:sz w:val="22"/>
        </w:rPr>
        <w:t>TA recipients</w:t>
      </w:r>
      <w:r w:rsidR="00721DA5">
        <w:rPr>
          <w:rFonts w:eastAsia="Calibri"/>
          <w:sz w:val="22"/>
        </w:rPr>
        <w:t>;</w:t>
      </w:r>
    </w:p>
    <w:p w:rsidR="00721DA5" w:rsidP="00721DA5" w:rsidRDefault="0086549B" w14:paraId="5415E25D" w14:textId="7DEDC36A">
      <w:pPr>
        <w:pStyle w:val="CommentText"/>
        <w:numPr>
          <w:ilvl w:val="0"/>
          <w:numId w:val="16"/>
        </w:numPr>
        <w:rPr>
          <w:rFonts w:eastAsia="Calibri"/>
          <w:sz w:val="22"/>
          <w:szCs w:val="22"/>
        </w:rPr>
      </w:pPr>
      <w:r w:rsidRPr="00D266AB">
        <w:rPr>
          <w:rFonts w:eastAsia="Calibri"/>
          <w:sz w:val="22"/>
          <w:szCs w:val="22"/>
        </w:rPr>
        <w:lastRenderedPageBreak/>
        <w:t xml:space="preserve">The </w:t>
      </w:r>
      <w:r w:rsidRPr="00D266AB" w:rsidR="00721DA5">
        <w:rPr>
          <w:rFonts w:eastAsia="Calibri"/>
          <w:sz w:val="22"/>
          <w:szCs w:val="22"/>
        </w:rPr>
        <w:t xml:space="preserve">capacities that CCs aimed to address, the extent to which CCs were successful in building </w:t>
      </w:r>
      <w:r w:rsidR="00806D32">
        <w:rPr>
          <w:sz w:val="22"/>
          <w:szCs w:val="22"/>
        </w:rPr>
        <w:t>TA recipients’</w:t>
      </w:r>
      <w:r w:rsidRPr="00D266AB" w:rsidR="00721DA5">
        <w:rPr>
          <w:rFonts w:eastAsia="Calibri"/>
          <w:sz w:val="22"/>
          <w:szCs w:val="22"/>
        </w:rPr>
        <w:t xml:space="preserve"> capacity, and how capacity building services changed between the 2012 and 2019 cycles</w:t>
      </w:r>
      <w:r w:rsidR="00721DA5">
        <w:rPr>
          <w:rFonts w:eastAsia="Calibri"/>
          <w:sz w:val="22"/>
          <w:szCs w:val="22"/>
        </w:rPr>
        <w:t>; and</w:t>
      </w:r>
    </w:p>
    <w:p w:rsidRPr="00D266AB" w:rsidR="0086549B" w:rsidP="00D266AB" w:rsidRDefault="0086549B" w14:paraId="2EEB6D5C" w14:textId="692C7C02">
      <w:pPr>
        <w:pStyle w:val="CommentText"/>
        <w:numPr>
          <w:ilvl w:val="0"/>
          <w:numId w:val="16"/>
        </w:numPr>
        <w:rPr>
          <w:rFonts w:eastAsia="Calibri"/>
          <w:sz w:val="22"/>
          <w:szCs w:val="22"/>
        </w:rPr>
      </w:pPr>
      <w:r w:rsidRPr="00D266AB">
        <w:rPr>
          <w:rFonts w:eastAsia="Calibri"/>
          <w:sz w:val="22"/>
          <w:szCs w:val="22"/>
        </w:rPr>
        <w:t>Lessons learned about changes introduced in the 2019 cycle</w:t>
      </w:r>
      <w:r w:rsidR="00721DA5">
        <w:rPr>
          <w:rFonts w:eastAsia="Calibri"/>
          <w:sz w:val="22"/>
          <w:szCs w:val="22"/>
        </w:rPr>
        <w:t xml:space="preserve">, which </w:t>
      </w:r>
      <w:r w:rsidRPr="00D266AB" w:rsidR="00721DA5">
        <w:rPr>
          <w:rFonts w:eastAsia="Calibri"/>
          <w:sz w:val="22"/>
          <w:szCs w:val="22"/>
        </w:rPr>
        <w:t xml:space="preserve">include the elimination of Content Centers, the addition of a National Center, and new requirements to collaborate in needs sensing activities with RELs. </w:t>
      </w:r>
    </w:p>
    <w:p w:rsidR="0086549B" w:rsidP="0086549B" w:rsidRDefault="0086549B" w14:paraId="18CF397E" w14:textId="039B8343">
      <w:pPr>
        <w:pStyle w:val="CommentText"/>
        <w:rPr>
          <w:rFonts w:eastAsia="Calibri"/>
          <w:sz w:val="22"/>
        </w:rPr>
      </w:pPr>
      <w:r w:rsidRPr="00D266AB">
        <w:rPr>
          <w:rFonts w:eastAsia="Calibri"/>
          <w:sz w:val="22"/>
        </w:rPr>
        <w:t xml:space="preserve">The report will include information about the CCs from the first </w:t>
      </w:r>
      <w:r w:rsidR="00190FF0">
        <w:rPr>
          <w:rFonts w:eastAsia="Calibri"/>
          <w:sz w:val="22"/>
        </w:rPr>
        <w:t>two</w:t>
      </w:r>
      <w:r w:rsidRPr="00D266AB">
        <w:rPr>
          <w:rFonts w:eastAsia="Calibri"/>
          <w:sz w:val="22"/>
        </w:rPr>
        <w:t xml:space="preserve"> years of the 2019 cycle, which include </w:t>
      </w:r>
      <w:r w:rsidR="00190FF0">
        <w:rPr>
          <w:rFonts w:eastAsia="Calibri"/>
          <w:sz w:val="22"/>
        </w:rPr>
        <w:t xml:space="preserve">the </w:t>
      </w:r>
      <w:r w:rsidRPr="00D266AB">
        <w:rPr>
          <w:rFonts w:eastAsia="Calibri"/>
          <w:sz w:val="22"/>
        </w:rPr>
        <w:t>2019-2020</w:t>
      </w:r>
      <w:r w:rsidR="00190FF0">
        <w:rPr>
          <w:rFonts w:eastAsia="Calibri"/>
          <w:sz w:val="22"/>
        </w:rPr>
        <w:t xml:space="preserve"> and</w:t>
      </w:r>
      <w:r w:rsidRPr="00D266AB">
        <w:rPr>
          <w:rFonts w:eastAsia="Calibri"/>
          <w:sz w:val="22"/>
        </w:rPr>
        <w:t xml:space="preserve"> 2020-2021</w:t>
      </w:r>
      <w:r w:rsidR="00190FF0">
        <w:rPr>
          <w:rFonts w:eastAsia="Calibri"/>
          <w:sz w:val="22"/>
        </w:rPr>
        <w:t xml:space="preserve"> school years. The report will also include details about planned activities for the third year of the cycle, which includes the </w:t>
      </w:r>
      <w:r w:rsidRPr="00D266AB">
        <w:rPr>
          <w:rFonts w:eastAsia="Calibri"/>
          <w:sz w:val="22"/>
        </w:rPr>
        <w:t>2021-202</w:t>
      </w:r>
      <w:r w:rsidR="00190FF0">
        <w:rPr>
          <w:rFonts w:eastAsia="Calibri"/>
          <w:sz w:val="22"/>
        </w:rPr>
        <w:t>2 school year</w:t>
      </w:r>
      <w:r w:rsidRPr="00D266AB">
        <w:rPr>
          <w:rFonts w:eastAsia="Calibri"/>
          <w:sz w:val="22"/>
        </w:rPr>
        <w:t>.</w:t>
      </w:r>
    </w:p>
    <w:p w:rsidRPr="003F21A6" w:rsidR="00023E9D" w:rsidP="00023E9D" w:rsidRDefault="00023E9D" w14:paraId="75DBED1D" w14:textId="77777777">
      <w:pPr>
        <w:pStyle w:val="BodyText"/>
        <w:spacing w:before="120"/>
      </w:pPr>
      <w:r w:rsidRPr="003F21A6">
        <w:t>Exhibit A</w:t>
      </w:r>
      <w:r>
        <w:t>2</w:t>
      </w:r>
      <w:r w:rsidRPr="003F21A6">
        <w:t xml:space="preserve"> lists the types of primary and administrative data to be collected</w:t>
      </w:r>
      <w:r>
        <w:t>. F</w:t>
      </w:r>
      <w:r w:rsidRPr="003F21A6">
        <w:t>or each type of data, the exhibit lists the</w:t>
      </w:r>
      <w:r>
        <w:t xml:space="preserve"> respondent</w:t>
      </w:r>
      <w:r w:rsidRPr="003F21A6">
        <w:t xml:space="preserve"> sample, timeframe for data collection, and uses in the evaluation. </w:t>
      </w:r>
    </w:p>
    <w:p w:rsidR="00023E9D" w:rsidRDefault="00023E9D" w14:paraId="54FF2A91" w14:textId="77777777">
      <w:pPr>
        <w:spacing w:after="160" w:line="259" w:lineRule="auto"/>
        <w:rPr>
          <w:rFonts w:ascii="Arial" w:hAnsi="Arial" w:eastAsia="Calibri"/>
          <w:b/>
          <w:bCs/>
        </w:rPr>
      </w:pPr>
      <w:r>
        <w:rPr>
          <w:rFonts w:eastAsia="Calibri"/>
        </w:rPr>
        <w:br w:type="page"/>
      </w:r>
    </w:p>
    <w:p w:rsidR="00C022A2" w:rsidP="00AA2AC7" w:rsidRDefault="00D83822" w14:paraId="6AF1E3DE" w14:textId="06CD843C">
      <w:pPr>
        <w:pStyle w:val="Caption"/>
        <w:keepNext w:val="0"/>
        <w:keepLines w:val="0"/>
        <w:widowControl/>
        <w:tabs>
          <w:tab w:val="clear" w:pos="1440"/>
        </w:tabs>
        <w:spacing w:line="240" w:lineRule="auto"/>
        <w:ind w:left="0" w:firstLine="0"/>
        <w:rPr>
          <w:rFonts w:cs="Arial"/>
          <w:bCs w:val="0"/>
          <w:szCs w:val="24"/>
        </w:rPr>
      </w:pPr>
      <w:r w:rsidRPr="00AA2AC7">
        <w:rPr>
          <w:rFonts w:cs="Arial"/>
          <w:bCs w:val="0"/>
          <w:szCs w:val="24"/>
        </w:rPr>
        <w:lastRenderedPageBreak/>
        <w:t xml:space="preserve">Exhibit </w:t>
      </w:r>
      <w:r w:rsidRPr="00AA2AC7" w:rsidR="00780D78">
        <w:rPr>
          <w:rFonts w:cs="Arial"/>
          <w:bCs w:val="0"/>
          <w:szCs w:val="24"/>
        </w:rPr>
        <w:t>A</w:t>
      </w:r>
      <w:r w:rsidR="00A3710C">
        <w:rPr>
          <w:rFonts w:cs="Arial"/>
          <w:bCs w:val="0"/>
          <w:szCs w:val="24"/>
        </w:rPr>
        <w:t>1</w:t>
      </w:r>
      <w:r w:rsidR="00AA2AC7">
        <w:rPr>
          <w:rFonts w:cs="Arial"/>
          <w:bCs w:val="0"/>
          <w:szCs w:val="24"/>
        </w:rPr>
        <w:t xml:space="preserve">: </w:t>
      </w:r>
      <w:r w:rsidRPr="00AA2AC7">
        <w:rPr>
          <w:rFonts w:cs="Arial"/>
          <w:bCs w:val="0"/>
          <w:szCs w:val="24"/>
        </w:rPr>
        <w:t>CC Evaluation Research Questions</w:t>
      </w:r>
    </w:p>
    <w:tbl>
      <w:tblPr>
        <w:tblStyle w:val="TableGrid"/>
        <w:tblW w:w="9537" w:type="dxa"/>
        <w:tblBorders>
          <w:top w:val="single" w:color="44546A" w:themeColor="text2" w:sz="12" w:space="0"/>
          <w:left w:val="single" w:color="44546A" w:themeColor="text2" w:sz="12" w:space="0"/>
          <w:bottom w:val="single" w:color="44546A" w:themeColor="text2" w:sz="12" w:space="0"/>
          <w:right w:val="single" w:color="44546A" w:themeColor="text2" w:sz="12" w:space="0"/>
          <w:insideH w:val="single" w:color="44546A" w:themeColor="text2" w:sz="12" w:space="0"/>
          <w:insideV w:val="single" w:color="44546A" w:themeColor="text2" w:sz="12" w:space="0"/>
        </w:tblBorders>
        <w:shd w:val="clear" w:color="auto" w:fill="9CC2E5" w:themeFill="accent1" w:themeFillTint="99"/>
        <w:tblLook w:val="04A0" w:firstRow="1" w:lastRow="0" w:firstColumn="1" w:lastColumn="0" w:noHBand="0" w:noVBand="1"/>
      </w:tblPr>
      <w:tblGrid>
        <w:gridCol w:w="9537"/>
      </w:tblGrid>
      <w:tr w:rsidRPr="00D266AB" w:rsidR="00AA2AC7" w:rsidTr="00263E58" w14:paraId="1F1831D3" w14:textId="77777777">
        <w:tc>
          <w:tcPr>
            <w:tcW w:w="9537" w:type="dxa"/>
            <w:shd w:val="clear" w:color="auto" w:fill="DEEAF6" w:themeFill="accent1" w:themeFillTint="33"/>
          </w:tcPr>
          <w:p w:rsidRPr="00D266AB" w:rsidR="003F21A6" w:rsidP="003F21A6" w:rsidRDefault="003F21A6" w14:paraId="55C8CFCC" w14:textId="1556AD98">
            <w:pPr>
              <w:autoSpaceDE w:val="0"/>
              <w:autoSpaceDN w:val="0"/>
              <w:adjustRightInd w:val="0"/>
              <w:spacing w:after="120" w:line="240" w:lineRule="auto"/>
              <w:rPr>
                <w:rFonts w:ascii="Arial Narrow" w:hAnsi="Arial Narrow"/>
                <w:b/>
                <w:bCs/>
                <w:sz w:val="22"/>
                <w:szCs w:val="22"/>
              </w:rPr>
            </w:pPr>
            <w:r w:rsidRPr="00D266AB">
              <w:rPr>
                <w:rFonts w:ascii="Arial Narrow" w:hAnsi="Arial Narrow"/>
                <w:b/>
                <w:bCs/>
                <w:sz w:val="22"/>
                <w:szCs w:val="22"/>
              </w:rPr>
              <w:t xml:space="preserve">RQ1: What types of educational problems are addressed by Comprehensive Centers, and does the Comprehensive Centers’ focus align with the priorities identified by </w:t>
            </w:r>
            <w:r w:rsidRPr="00D266AB" w:rsidR="00806D32">
              <w:rPr>
                <w:rFonts w:ascii="Arial Narrow" w:hAnsi="Arial Narrow"/>
                <w:b/>
                <w:bCs/>
                <w:sz w:val="22"/>
                <w:szCs w:val="22"/>
              </w:rPr>
              <w:t>TA recipients</w:t>
            </w:r>
            <w:r w:rsidRPr="00D266AB">
              <w:rPr>
                <w:rFonts w:ascii="Arial Narrow" w:hAnsi="Arial Narrow"/>
                <w:b/>
                <w:bCs/>
                <w:sz w:val="22"/>
                <w:szCs w:val="22"/>
              </w:rPr>
              <w:t>? To what extent did Comprehensive Centers shift the focus of their work in response to COVID-19, and how?</w:t>
            </w:r>
          </w:p>
          <w:p w:rsidRPr="00D266AB" w:rsidR="003F21A6" w:rsidP="003F21A6" w:rsidRDefault="003F21A6" w14:paraId="13D89A61"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1.1</w:t>
            </w:r>
            <w:r w:rsidRPr="00D266AB">
              <w:rPr>
                <w:rFonts w:ascii="Arial Narrow" w:hAnsi="Arial Narrow"/>
                <w:sz w:val="22"/>
                <w:szCs w:val="22"/>
              </w:rPr>
              <w:tab/>
              <w:t>What are the most common educational problems that Comprehensive Centers’ projects focus on, and to what extent do they vary across Centers?</w:t>
            </w:r>
          </w:p>
          <w:p w:rsidRPr="00D266AB" w:rsidR="003F21A6" w:rsidP="003F21A6" w:rsidRDefault="003F21A6" w14:paraId="77A749D6" w14:textId="394E51BF">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1.2</w:t>
            </w:r>
            <w:r w:rsidRPr="00D266AB">
              <w:rPr>
                <w:rFonts w:ascii="Arial Narrow" w:hAnsi="Arial Narrow"/>
                <w:sz w:val="22"/>
                <w:szCs w:val="22"/>
              </w:rPr>
              <w:tab/>
              <w:t xml:space="preserve">To what extent do the problems that Comprehensive Centers focus on align with the priorities of </w:t>
            </w:r>
            <w:r w:rsidRPr="00D266AB" w:rsidR="00806D32">
              <w:rPr>
                <w:rFonts w:ascii="Arial Narrow" w:hAnsi="Arial Narrow"/>
                <w:sz w:val="22"/>
                <w:szCs w:val="22"/>
              </w:rPr>
              <w:t>TA recipients</w:t>
            </w:r>
            <w:r w:rsidRPr="00D266AB">
              <w:rPr>
                <w:rFonts w:ascii="Arial Narrow" w:hAnsi="Arial Narrow"/>
                <w:sz w:val="22"/>
                <w:szCs w:val="22"/>
              </w:rPr>
              <w:t>?</w:t>
            </w:r>
          </w:p>
          <w:p w:rsidRPr="00D266AB" w:rsidR="003F21A6" w:rsidP="003F21A6" w:rsidRDefault="003F21A6" w14:paraId="67C88556" w14:textId="0CA2E8B4">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1.3</w:t>
            </w:r>
            <w:r w:rsidRPr="00D266AB">
              <w:rPr>
                <w:rFonts w:ascii="Arial Narrow" w:hAnsi="Arial Narrow"/>
                <w:sz w:val="22"/>
                <w:szCs w:val="22"/>
              </w:rPr>
              <w:tab/>
              <w:t xml:space="preserve">Which </w:t>
            </w:r>
            <w:r w:rsidR="005E2479">
              <w:rPr>
                <w:rFonts w:ascii="Arial Narrow" w:hAnsi="Arial Narrow"/>
                <w:sz w:val="22"/>
                <w:szCs w:val="22"/>
              </w:rPr>
              <w:t>TA recipient</w:t>
            </w:r>
            <w:r w:rsidRPr="00D266AB">
              <w:rPr>
                <w:rFonts w:ascii="Arial Narrow" w:hAnsi="Arial Narrow"/>
                <w:sz w:val="22"/>
                <w:szCs w:val="22"/>
              </w:rPr>
              <w:t xml:space="preserve"> priorities are not addressed by Comprehensive Center projects, and why?</w:t>
            </w:r>
          </w:p>
          <w:p w:rsidRPr="00D266AB" w:rsidR="003F21A6" w:rsidP="003F21A6" w:rsidRDefault="003F21A6" w14:paraId="12B011FB"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1.4</w:t>
            </w:r>
            <w:r w:rsidRPr="00D266AB">
              <w:rPr>
                <w:rFonts w:ascii="Arial Narrow" w:hAnsi="Arial Narrow"/>
                <w:sz w:val="22"/>
                <w:szCs w:val="22"/>
              </w:rPr>
              <w:tab/>
              <w:t>To what extent did Comprehensive Centers shift the focus of their work in response to COVID-19? What are the most common COVID-19-related issues that Comprehensive Centers addressed?</w:t>
            </w:r>
          </w:p>
          <w:p w:rsidRPr="00D266AB" w:rsidR="003F21A6" w:rsidP="003F21A6" w:rsidRDefault="003F21A6" w14:paraId="07AE8694"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1.5</w:t>
            </w:r>
            <w:r w:rsidRPr="00D266AB">
              <w:rPr>
                <w:rFonts w:ascii="Arial Narrow" w:hAnsi="Arial Narrow"/>
                <w:sz w:val="22"/>
                <w:szCs w:val="22"/>
              </w:rPr>
              <w:tab/>
              <w:t>To what extent were the services and activities provided by Comprehensive Centers responsive to TA recipients’ COVID-19 needs?</w:t>
            </w:r>
          </w:p>
          <w:p w:rsidRPr="00D266AB" w:rsidR="003F21A6" w:rsidP="003F21A6" w:rsidRDefault="003F21A6" w14:paraId="4D6D9EAD" w14:textId="77777777">
            <w:pPr>
              <w:autoSpaceDE w:val="0"/>
              <w:autoSpaceDN w:val="0"/>
              <w:adjustRightInd w:val="0"/>
              <w:spacing w:after="120" w:line="240" w:lineRule="auto"/>
              <w:rPr>
                <w:rFonts w:ascii="Arial Narrow" w:hAnsi="Arial Narrow"/>
                <w:b/>
                <w:bCs/>
                <w:sz w:val="22"/>
                <w:szCs w:val="22"/>
              </w:rPr>
            </w:pPr>
            <w:r w:rsidRPr="00D266AB">
              <w:rPr>
                <w:rFonts w:ascii="Arial Narrow" w:hAnsi="Arial Narrow"/>
                <w:b/>
                <w:bCs/>
                <w:sz w:val="22"/>
                <w:szCs w:val="22"/>
              </w:rPr>
              <w:t xml:space="preserve">RQ2: What services are Comprehensive Centers providing to TA recipients, and to what extent do the services vary in type and intensity? </w:t>
            </w:r>
          </w:p>
          <w:p w:rsidRPr="00D266AB" w:rsidR="003F21A6" w:rsidP="003F21A6" w:rsidRDefault="003F21A6" w14:paraId="016D348F" w14:textId="60C5EC79">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 xml:space="preserve">2.1 </w:t>
            </w:r>
            <w:r w:rsidRPr="00D266AB">
              <w:rPr>
                <w:rFonts w:ascii="Arial Narrow" w:hAnsi="Arial Narrow"/>
                <w:sz w:val="22"/>
                <w:szCs w:val="22"/>
              </w:rPr>
              <w:tab/>
              <w:t xml:space="preserve">What are the most common services that Comprehensive Centers provide to </w:t>
            </w:r>
            <w:r w:rsidRPr="00D266AB" w:rsidR="00150702">
              <w:rPr>
                <w:rFonts w:ascii="Arial Narrow" w:hAnsi="Arial Narrow"/>
                <w:sz w:val="22"/>
                <w:szCs w:val="22"/>
              </w:rPr>
              <w:t>TA recipients</w:t>
            </w:r>
            <w:r w:rsidRPr="00D266AB">
              <w:rPr>
                <w:rFonts w:ascii="Arial Narrow" w:hAnsi="Arial Narrow"/>
                <w:sz w:val="22"/>
                <w:szCs w:val="22"/>
              </w:rPr>
              <w:t xml:space="preserve">? </w:t>
            </w:r>
          </w:p>
          <w:p w:rsidRPr="00D266AB" w:rsidR="003F21A6" w:rsidP="003F21A6" w:rsidRDefault="003F21A6" w14:paraId="55860007"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 xml:space="preserve">2.2 </w:t>
            </w:r>
            <w:r w:rsidRPr="00D266AB">
              <w:rPr>
                <w:rFonts w:ascii="Arial Narrow" w:hAnsi="Arial Narrow"/>
                <w:sz w:val="22"/>
                <w:szCs w:val="22"/>
              </w:rPr>
              <w:tab/>
              <w:t>To what extent is there variation in the types and intensity of services provided by Comprehensive Centers?</w:t>
            </w:r>
          </w:p>
          <w:p w:rsidRPr="00D266AB" w:rsidR="003F21A6" w:rsidP="003F21A6" w:rsidRDefault="003F21A6" w14:paraId="10BC0196" w14:textId="015BE7D5">
            <w:pPr>
              <w:autoSpaceDE w:val="0"/>
              <w:autoSpaceDN w:val="0"/>
              <w:adjustRightInd w:val="0"/>
              <w:spacing w:after="120" w:line="240" w:lineRule="auto"/>
              <w:rPr>
                <w:rFonts w:ascii="Arial Narrow" w:hAnsi="Arial Narrow"/>
                <w:b/>
                <w:bCs/>
                <w:sz w:val="22"/>
                <w:szCs w:val="22"/>
              </w:rPr>
            </w:pPr>
            <w:r w:rsidRPr="00D266AB">
              <w:rPr>
                <w:rFonts w:ascii="Arial Narrow" w:hAnsi="Arial Narrow"/>
                <w:b/>
                <w:bCs/>
                <w:sz w:val="22"/>
                <w:szCs w:val="22"/>
              </w:rPr>
              <w:t>RQ3: What dimensions of capacity are Comprehensive Center projects designed to increase, and to what extent do TA recipients report</w:t>
            </w:r>
            <w:r w:rsidRPr="00D266AB" w:rsidR="00504552">
              <w:rPr>
                <w:rFonts w:ascii="Arial Narrow" w:hAnsi="Arial Narrow"/>
                <w:b/>
                <w:bCs/>
                <w:sz w:val="22"/>
                <w:szCs w:val="22"/>
              </w:rPr>
              <w:t xml:space="preserve"> </w:t>
            </w:r>
            <w:r w:rsidRPr="00D266AB">
              <w:rPr>
                <w:rFonts w:ascii="Arial Narrow" w:hAnsi="Arial Narrow"/>
                <w:b/>
                <w:bCs/>
                <w:sz w:val="22"/>
                <w:szCs w:val="22"/>
              </w:rPr>
              <w:t>that the Centers improve their capacities? To what extent do the Comprehensive Centers build sustainable capacity?</w:t>
            </w:r>
          </w:p>
          <w:p w:rsidRPr="00D266AB" w:rsidR="003F21A6" w:rsidP="003F21A6" w:rsidRDefault="003F21A6" w14:paraId="17958BCC"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3.1</w:t>
            </w:r>
            <w:r w:rsidRPr="00D266AB">
              <w:rPr>
                <w:rFonts w:ascii="Arial Narrow" w:hAnsi="Arial Narrow"/>
                <w:sz w:val="22"/>
                <w:szCs w:val="22"/>
              </w:rPr>
              <w:tab/>
              <w:t>What dimensions of capacity (human, organizational, policy, and resource) are Comprehensive Center projects designed to increase?</w:t>
            </w:r>
          </w:p>
          <w:p w:rsidRPr="00D266AB" w:rsidR="003F21A6" w:rsidP="003F21A6" w:rsidRDefault="003F21A6" w14:paraId="5F20BC57"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 xml:space="preserve">3.2 </w:t>
            </w:r>
            <w:r w:rsidRPr="00D266AB">
              <w:rPr>
                <w:rFonts w:ascii="Arial Narrow" w:hAnsi="Arial Narrow"/>
                <w:sz w:val="22"/>
                <w:szCs w:val="22"/>
              </w:rPr>
              <w:tab/>
              <w:t>To what extent do TA recipients report that Comprehensive Centers improve their capacity and in what dimensions?</w:t>
            </w:r>
          </w:p>
          <w:p w:rsidRPr="00D266AB" w:rsidR="003F21A6" w:rsidP="003F21A6" w:rsidRDefault="003F21A6" w14:paraId="05E64E65"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3.3</w:t>
            </w:r>
            <w:r w:rsidRPr="00D266AB">
              <w:rPr>
                <w:rFonts w:ascii="Arial Narrow" w:hAnsi="Arial Narrow"/>
                <w:sz w:val="22"/>
                <w:szCs w:val="22"/>
              </w:rPr>
              <w:tab/>
              <w:t>To what extent do TA recipients agree that Comprehensive Center support builds sustainable capacity?</w:t>
            </w:r>
          </w:p>
          <w:p w:rsidRPr="00D266AB" w:rsidR="003F21A6" w:rsidP="003F21A6" w:rsidRDefault="003F21A6" w14:paraId="6F5A24AC" w14:textId="77777777">
            <w:pPr>
              <w:autoSpaceDE w:val="0"/>
              <w:autoSpaceDN w:val="0"/>
              <w:adjustRightInd w:val="0"/>
              <w:spacing w:after="120" w:line="240" w:lineRule="auto"/>
              <w:rPr>
                <w:rFonts w:ascii="Arial Narrow" w:hAnsi="Arial Narrow"/>
                <w:b/>
                <w:bCs/>
                <w:sz w:val="22"/>
                <w:szCs w:val="22"/>
              </w:rPr>
            </w:pPr>
            <w:r w:rsidRPr="00D266AB">
              <w:rPr>
                <w:rFonts w:ascii="Arial Narrow" w:hAnsi="Arial Narrow"/>
                <w:b/>
                <w:bCs/>
                <w:sz w:val="22"/>
                <w:szCs w:val="22"/>
              </w:rPr>
              <w:t>RQ4: What are the perceived successes and challenges of changes to the Comprehensive Center program, including the shift in the number and geographic reach of the Regional Centers and expectations to increase collaboration with the Department's Regional Educational Laboratories?</w:t>
            </w:r>
          </w:p>
          <w:p w:rsidRPr="00D266AB" w:rsidR="003F21A6" w:rsidP="003F21A6" w:rsidRDefault="003F21A6" w14:paraId="703DCC39"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4.1</w:t>
            </w:r>
            <w:r w:rsidRPr="00D266AB">
              <w:rPr>
                <w:rFonts w:ascii="Arial Narrow" w:hAnsi="Arial Narrow"/>
                <w:sz w:val="22"/>
                <w:szCs w:val="22"/>
              </w:rPr>
              <w:tab/>
              <w:t>What are the perceived benefits and challenges of changes to the structure of the Comprehensive Center program?</w:t>
            </w:r>
          </w:p>
          <w:p w:rsidRPr="00D266AB" w:rsidR="003F21A6" w:rsidP="003F21A6" w:rsidRDefault="003F21A6" w14:paraId="0DD09CB9"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4.2</w:t>
            </w:r>
            <w:r w:rsidRPr="00D266AB">
              <w:rPr>
                <w:rFonts w:ascii="Arial Narrow" w:hAnsi="Arial Narrow"/>
                <w:sz w:val="22"/>
                <w:szCs w:val="22"/>
              </w:rPr>
              <w:tab/>
              <w:t xml:space="preserve">To what extent, and in what ways, do Regional Comprehensive Centers collaborate with each other and with the National Comprehensive Center? </w:t>
            </w:r>
          </w:p>
          <w:p w:rsidRPr="00D266AB" w:rsidR="003F21A6" w:rsidP="003F21A6" w:rsidRDefault="003F21A6" w14:paraId="17191BFC" w14:textId="77777777">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4.3</w:t>
            </w:r>
            <w:r w:rsidRPr="00D266AB">
              <w:rPr>
                <w:rFonts w:ascii="Arial Narrow" w:hAnsi="Arial Narrow"/>
                <w:sz w:val="22"/>
                <w:szCs w:val="22"/>
              </w:rPr>
              <w:tab/>
              <w:t>To what extent, and in what ways, do Comprehensive Centers collaborate with the RELs? In what areas do Comprehensive Center and REL activities overlap with each other, if at all?</w:t>
            </w:r>
          </w:p>
          <w:p w:rsidRPr="00D266AB" w:rsidR="003F21A6" w:rsidP="003F21A6" w:rsidRDefault="003F21A6" w14:paraId="07172CA4" w14:textId="240DC8CF">
            <w:pPr>
              <w:autoSpaceDE w:val="0"/>
              <w:autoSpaceDN w:val="0"/>
              <w:adjustRightInd w:val="0"/>
              <w:spacing w:after="120" w:line="240" w:lineRule="auto"/>
              <w:ind w:left="505" w:hanging="505"/>
              <w:rPr>
                <w:rFonts w:ascii="Arial Narrow" w:hAnsi="Arial Narrow"/>
                <w:sz w:val="22"/>
                <w:szCs w:val="22"/>
              </w:rPr>
            </w:pPr>
            <w:r w:rsidRPr="00D266AB">
              <w:rPr>
                <w:rFonts w:ascii="Arial Narrow" w:hAnsi="Arial Narrow"/>
                <w:sz w:val="22"/>
                <w:szCs w:val="22"/>
              </w:rPr>
              <w:t>4.4</w:t>
            </w:r>
            <w:r w:rsidRPr="00D266AB">
              <w:rPr>
                <w:rFonts w:ascii="Arial Narrow" w:hAnsi="Arial Narrow"/>
                <w:sz w:val="22"/>
                <w:szCs w:val="22"/>
              </w:rPr>
              <w:tab/>
              <w:t xml:space="preserve">To what extent do Comprehensive Centers refer </w:t>
            </w:r>
            <w:r w:rsidRPr="00D266AB" w:rsidR="00150702">
              <w:rPr>
                <w:rFonts w:ascii="Arial Narrow" w:hAnsi="Arial Narrow"/>
                <w:sz w:val="22"/>
                <w:szCs w:val="22"/>
              </w:rPr>
              <w:t>TA recipients</w:t>
            </w:r>
            <w:r w:rsidRPr="00D266AB">
              <w:rPr>
                <w:rFonts w:ascii="Arial Narrow" w:hAnsi="Arial Narrow"/>
                <w:sz w:val="22"/>
                <w:szCs w:val="22"/>
              </w:rPr>
              <w:t xml:space="preserve"> to other Department-funded TA Centers?</w:t>
            </w:r>
          </w:p>
        </w:tc>
      </w:tr>
    </w:tbl>
    <w:p w:rsidR="004E6593" w:rsidP="004E6593" w:rsidRDefault="004E6593" w14:paraId="59FD06D7" w14:textId="467C2DB4">
      <w:pPr>
        <w:pStyle w:val="BodyText"/>
        <w:rPr>
          <w:rFonts w:cstheme="minorHAnsi"/>
          <w:b/>
          <w:szCs w:val="22"/>
        </w:rPr>
        <w:sectPr w:rsidR="004E6593" w:rsidSect="00A87EC6">
          <w:headerReference w:type="default" r:id="rId17"/>
          <w:footerReference w:type="default" r:id="rId18"/>
          <w:pgSz w:w="12240" w:h="15840" w:code="1"/>
          <w:pgMar w:top="1440" w:right="1440" w:bottom="1440" w:left="1440" w:header="1080" w:footer="720" w:gutter="0"/>
          <w:cols w:space="720"/>
          <w:docGrid w:linePitch="299"/>
        </w:sectPr>
      </w:pPr>
    </w:p>
    <w:p w:rsidR="00AB41C1" w:rsidP="003F21A6" w:rsidRDefault="00AB41C1" w14:paraId="34C5371F" w14:textId="4B662364">
      <w:pPr>
        <w:pStyle w:val="Caption"/>
        <w:keepNext w:val="0"/>
        <w:keepLines w:val="0"/>
        <w:widowControl/>
        <w:tabs>
          <w:tab w:val="clear" w:pos="1440"/>
        </w:tabs>
        <w:spacing w:line="240" w:lineRule="auto"/>
        <w:ind w:left="0" w:firstLine="0"/>
        <w:rPr>
          <w:rFonts w:cs="Arial"/>
          <w:bCs w:val="0"/>
          <w:szCs w:val="24"/>
        </w:rPr>
      </w:pPr>
      <w:r w:rsidRPr="003F21A6">
        <w:rPr>
          <w:rFonts w:cs="Arial"/>
          <w:bCs w:val="0"/>
          <w:szCs w:val="24"/>
        </w:rPr>
        <w:lastRenderedPageBreak/>
        <w:t xml:space="preserve">Exhibit </w:t>
      </w:r>
      <w:r w:rsidRPr="003F21A6" w:rsidR="00780D78">
        <w:rPr>
          <w:rFonts w:cs="Arial"/>
          <w:bCs w:val="0"/>
          <w:szCs w:val="24"/>
        </w:rPr>
        <w:t>A</w:t>
      </w:r>
      <w:r w:rsidR="008F44B5">
        <w:rPr>
          <w:rFonts w:cs="Arial"/>
          <w:bCs w:val="0"/>
          <w:szCs w:val="24"/>
        </w:rPr>
        <w:t>2</w:t>
      </w:r>
      <w:r w:rsidR="00D27B5B">
        <w:rPr>
          <w:rFonts w:cs="Arial"/>
          <w:bCs w:val="0"/>
          <w:szCs w:val="24"/>
        </w:rPr>
        <w:t xml:space="preserve">: </w:t>
      </w:r>
      <w:r w:rsidRPr="003F21A6">
        <w:rPr>
          <w:rFonts w:cs="Arial"/>
          <w:bCs w:val="0"/>
          <w:szCs w:val="24"/>
        </w:rPr>
        <w:t xml:space="preserve">Data Sources, </w:t>
      </w:r>
      <w:r w:rsidR="00CD2379">
        <w:rPr>
          <w:rFonts w:cs="Arial"/>
          <w:bCs w:val="0"/>
          <w:szCs w:val="24"/>
        </w:rPr>
        <w:t>Respondent</w:t>
      </w:r>
      <w:r w:rsidR="000D51F8">
        <w:rPr>
          <w:rFonts w:cs="Arial"/>
          <w:bCs w:val="0"/>
          <w:szCs w:val="24"/>
        </w:rPr>
        <w:t xml:space="preserve"> Sample</w:t>
      </w:r>
      <w:r w:rsidRPr="003F21A6">
        <w:rPr>
          <w:rFonts w:cs="Arial"/>
          <w:bCs w:val="0"/>
          <w:szCs w:val="24"/>
        </w:rPr>
        <w:t>, and Timeframe, including Overview of Content and Use(s) in Evaluation</w:t>
      </w:r>
    </w:p>
    <w:tbl>
      <w:tblPr>
        <w:tblW w:w="5003"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431"/>
        <w:gridCol w:w="2255"/>
        <w:gridCol w:w="1438"/>
        <w:gridCol w:w="7834"/>
      </w:tblGrid>
      <w:tr w:rsidRPr="003F21A6" w:rsidR="00D3279E" w:rsidTr="0094394F" w14:paraId="37663459" w14:textId="77777777">
        <w:trPr>
          <w:tblHeader/>
        </w:trPr>
        <w:tc>
          <w:tcPr>
            <w:tcW w:w="552" w:type="pct"/>
            <w:shd w:val="clear" w:color="auto" w:fill="4F81BD"/>
            <w:vAlign w:val="bottom"/>
          </w:tcPr>
          <w:p w:rsidRPr="003F21A6" w:rsidR="00D3279E" w:rsidP="003F21A6" w:rsidRDefault="00D3279E" w14:paraId="08434203" w14:textId="77777777">
            <w:pPr>
              <w:pStyle w:val="TableColumnHeader"/>
              <w:spacing w:before="0" w:after="0"/>
              <w:rPr>
                <w:spacing w:val="-4"/>
              </w:rPr>
            </w:pPr>
            <w:bookmarkStart w:name="_Toc462741644" w:id="17"/>
            <w:bookmarkStart w:name="_Toc480465672" w:id="18"/>
            <w:bookmarkStart w:name="_Toc503254124" w:id="19"/>
            <w:r w:rsidRPr="009F21DC">
              <w:rPr>
                <w:spacing w:val="-4"/>
              </w:rPr>
              <w:t>Data Source</w:t>
            </w:r>
          </w:p>
        </w:tc>
        <w:tc>
          <w:tcPr>
            <w:tcW w:w="870" w:type="pct"/>
            <w:shd w:val="clear" w:color="auto" w:fill="4F81BD"/>
            <w:vAlign w:val="bottom"/>
          </w:tcPr>
          <w:p w:rsidRPr="003F21A6" w:rsidR="00D3279E" w:rsidP="003F21A6" w:rsidRDefault="00806D32" w14:paraId="17482823" w14:textId="5EC1ADBD">
            <w:pPr>
              <w:pStyle w:val="TableColumnHeader"/>
              <w:spacing w:before="0" w:after="0"/>
              <w:rPr>
                <w:spacing w:val="-4"/>
              </w:rPr>
            </w:pPr>
            <w:r>
              <w:rPr>
                <w:spacing w:val="-4"/>
              </w:rPr>
              <w:t xml:space="preserve"> Respondent </w:t>
            </w:r>
            <w:r w:rsidRPr="009F21DC" w:rsidR="00D3279E">
              <w:rPr>
                <w:spacing w:val="-4"/>
              </w:rPr>
              <w:t>Sample</w:t>
            </w:r>
          </w:p>
        </w:tc>
        <w:tc>
          <w:tcPr>
            <w:tcW w:w="555" w:type="pct"/>
            <w:shd w:val="clear" w:color="auto" w:fill="4F81BD"/>
          </w:tcPr>
          <w:p w:rsidRPr="003F21A6" w:rsidR="00D3279E" w:rsidP="003F21A6" w:rsidRDefault="0011529A" w14:paraId="46387F49" w14:textId="28689663">
            <w:pPr>
              <w:pStyle w:val="TableColumnHeader"/>
              <w:spacing w:before="0" w:after="0"/>
              <w:rPr>
                <w:spacing w:val="-4"/>
              </w:rPr>
            </w:pPr>
            <w:r>
              <w:rPr>
                <w:spacing w:val="-4"/>
              </w:rPr>
              <w:t>Mode and Timing of Data Collection</w:t>
            </w:r>
          </w:p>
        </w:tc>
        <w:tc>
          <w:tcPr>
            <w:tcW w:w="3023" w:type="pct"/>
            <w:shd w:val="clear" w:color="auto" w:fill="4F81BD"/>
            <w:vAlign w:val="bottom"/>
          </w:tcPr>
          <w:p w:rsidRPr="003F21A6" w:rsidR="00D3279E" w:rsidP="003F21A6" w:rsidRDefault="00D3279E" w14:paraId="14A5CAEA" w14:textId="77777777">
            <w:pPr>
              <w:pStyle w:val="TableColumnHeader"/>
              <w:spacing w:before="0" w:after="0"/>
              <w:rPr>
                <w:spacing w:val="-4"/>
              </w:rPr>
            </w:pPr>
            <w:r w:rsidRPr="009F21DC">
              <w:rPr>
                <w:spacing w:val="-4"/>
              </w:rPr>
              <w:t xml:space="preserve">Use(s) in </w:t>
            </w:r>
            <w:r>
              <w:rPr>
                <w:spacing w:val="-4"/>
              </w:rPr>
              <w:t>Evaluation</w:t>
            </w:r>
          </w:p>
        </w:tc>
      </w:tr>
      <w:tr w:rsidRPr="009F21DC" w:rsidR="00C022A2" w:rsidTr="0094394F" w14:paraId="14921232" w14:textId="77777777">
        <w:tc>
          <w:tcPr>
            <w:tcW w:w="5000" w:type="pct"/>
            <w:gridSpan w:val="4"/>
            <w:shd w:val="clear" w:color="auto" w:fill="95B3D7"/>
            <w:vAlign w:val="bottom"/>
          </w:tcPr>
          <w:p w:rsidRPr="009F21DC" w:rsidR="00C022A2" w:rsidP="003F21A6" w:rsidRDefault="00C022A2" w14:paraId="66F3084B" w14:textId="77777777">
            <w:pPr>
              <w:pStyle w:val="TableColumnHeader"/>
              <w:spacing w:before="0" w:after="0"/>
              <w:jc w:val="left"/>
              <w:rPr>
                <w:b w:val="0"/>
                <w:spacing w:val="-4"/>
              </w:rPr>
            </w:pPr>
            <w:r>
              <w:rPr>
                <w:spacing w:val="-4"/>
              </w:rPr>
              <w:t xml:space="preserve">Primary Data </w:t>
            </w:r>
          </w:p>
        </w:tc>
      </w:tr>
      <w:tr w:rsidRPr="00F55DA7" w:rsidR="00D3279E" w:rsidTr="00102EA9" w14:paraId="2D7DBA2B" w14:textId="77777777">
        <w:trPr>
          <w:trHeight w:val="1889"/>
        </w:trPr>
        <w:tc>
          <w:tcPr>
            <w:tcW w:w="552" w:type="pct"/>
            <w:shd w:val="clear" w:color="auto" w:fill="E8E8E8"/>
          </w:tcPr>
          <w:p w:rsidRPr="00A64FA7" w:rsidR="00D3279E" w:rsidP="00585D6F" w:rsidRDefault="00D16235" w14:paraId="42D0BFB0" w14:textId="4E570B15">
            <w:pPr>
              <w:pStyle w:val="TableText"/>
              <w:spacing w:after="0"/>
              <w:rPr>
                <w:bCs w:val="0"/>
                <w:spacing w:val="-4"/>
                <w:sz w:val="18"/>
                <w:szCs w:val="18"/>
              </w:rPr>
            </w:pPr>
            <w:r>
              <w:rPr>
                <w:spacing w:val="-4"/>
                <w:sz w:val="18"/>
                <w:szCs w:val="18"/>
              </w:rPr>
              <w:t xml:space="preserve">TA Recipient </w:t>
            </w:r>
            <w:r w:rsidRPr="00A64FA7" w:rsidR="00D3279E">
              <w:rPr>
                <w:spacing w:val="-4"/>
                <w:sz w:val="18"/>
                <w:szCs w:val="18"/>
              </w:rPr>
              <w:t>Survey</w:t>
            </w:r>
          </w:p>
        </w:tc>
        <w:tc>
          <w:tcPr>
            <w:tcW w:w="870" w:type="pct"/>
            <w:shd w:val="clear" w:color="auto" w:fill="E8E8E8"/>
          </w:tcPr>
          <w:p w:rsidR="00D3279E" w:rsidP="00585D6F" w:rsidRDefault="00440AE1" w14:paraId="4E351F2B" w14:textId="1F2FEBFF">
            <w:pPr>
              <w:pStyle w:val="TableText"/>
              <w:spacing w:after="0"/>
              <w:rPr>
                <w:spacing w:val="-4"/>
                <w:sz w:val="18"/>
                <w:szCs w:val="18"/>
              </w:rPr>
            </w:pPr>
            <w:r>
              <w:rPr>
                <w:spacing w:val="-4"/>
                <w:sz w:val="18"/>
                <w:szCs w:val="18"/>
              </w:rPr>
              <w:t>Key contact</w:t>
            </w:r>
            <w:r w:rsidR="004E0BDB">
              <w:rPr>
                <w:spacing w:val="-4"/>
                <w:sz w:val="18"/>
                <w:szCs w:val="18"/>
              </w:rPr>
              <w:t xml:space="preserve"> (TA recipient)</w:t>
            </w:r>
            <w:r>
              <w:rPr>
                <w:spacing w:val="-4"/>
                <w:sz w:val="18"/>
                <w:szCs w:val="18"/>
              </w:rPr>
              <w:t xml:space="preserve"> for every active Year 2 CC project (</w:t>
            </w:r>
            <w:r w:rsidR="001B0F98">
              <w:rPr>
                <w:spacing w:val="-4"/>
                <w:sz w:val="18"/>
                <w:szCs w:val="18"/>
              </w:rPr>
              <w:t>233</w:t>
            </w:r>
            <w:r w:rsidR="00D3279E">
              <w:rPr>
                <w:spacing w:val="-4"/>
                <w:sz w:val="18"/>
                <w:szCs w:val="18"/>
              </w:rPr>
              <w:t>)</w:t>
            </w:r>
          </w:p>
          <w:p w:rsidR="00F95A90" w:rsidP="00585D6F" w:rsidRDefault="00F95A90" w14:paraId="1081A388" w14:textId="0199191B">
            <w:pPr>
              <w:pStyle w:val="TableText"/>
              <w:spacing w:after="0"/>
              <w:rPr>
                <w:spacing w:val="-4"/>
                <w:sz w:val="18"/>
                <w:szCs w:val="18"/>
              </w:rPr>
            </w:pPr>
          </w:p>
          <w:p w:rsidRPr="00A64FA7" w:rsidR="00F95A90" w:rsidP="00585D6F" w:rsidRDefault="00F95A90" w14:paraId="5C764ABC" w14:textId="5504B414">
            <w:pPr>
              <w:pStyle w:val="TableText"/>
              <w:spacing w:after="0"/>
              <w:rPr>
                <w:spacing w:val="-4"/>
                <w:sz w:val="18"/>
                <w:szCs w:val="18"/>
              </w:rPr>
            </w:pPr>
          </w:p>
        </w:tc>
        <w:tc>
          <w:tcPr>
            <w:tcW w:w="555" w:type="pct"/>
            <w:shd w:val="clear" w:color="auto" w:fill="E8E8E8"/>
          </w:tcPr>
          <w:p w:rsidR="0011529A" w:rsidP="00585D6F" w:rsidRDefault="0011529A" w14:paraId="558614F2" w14:textId="77777777">
            <w:pPr>
              <w:pStyle w:val="TableText"/>
              <w:spacing w:after="0"/>
              <w:rPr>
                <w:sz w:val="18"/>
                <w:szCs w:val="18"/>
              </w:rPr>
            </w:pPr>
            <w:r>
              <w:rPr>
                <w:sz w:val="18"/>
                <w:szCs w:val="18"/>
              </w:rPr>
              <w:t>Web Survey</w:t>
            </w:r>
          </w:p>
          <w:p w:rsidRPr="00EC5BA5" w:rsidR="00D3279E" w:rsidP="00585D6F" w:rsidRDefault="00984884" w14:paraId="411DF0C1" w14:textId="3CBFF129">
            <w:pPr>
              <w:pStyle w:val="TableText"/>
              <w:spacing w:after="0"/>
              <w:rPr>
                <w:spacing w:val="-4"/>
                <w:sz w:val="18"/>
                <w:szCs w:val="18"/>
              </w:rPr>
            </w:pPr>
            <w:r>
              <w:rPr>
                <w:sz w:val="18"/>
                <w:szCs w:val="18"/>
              </w:rPr>
              <w:t>May</w:t>
            </w:r>
            <w:r w:rsidRPr="00EC5BA5" w:rsidR="00D3279E">
              <w:rPr>
                <w:sz w:val="18"/>
                <w:szCs w:val="18"/>
              </w:rPr>
              <w:t xml:space="preserve"> 2022</w:t>
            </w:r>
          </w:p>
        </w:tc>
        <w:tc>
          <w:tcPr>
            <w:tcW w:w="3023" w:type="pct"/>
            <w:shd w:val="clear" w:color="auto" w:fill="E8E8E8"/>
          </w:tcPr>
          <w:p w:rsidRPr="003D5388" w:rsidR="00D3279E" w:rsidP="00232567" w:rsidRDefault="0011529A" w14:paraId="3D06F47C" w14:textId="530E9489">
            <w:pPr>
              <w:pStyle w:val="TableText"/>
              <w:numPr>
                <w:ilvl w:val="0"/>
                <w:numId w:val="4"/>
              </w:numPr>
              <w:spacing w:after="0" w:line="240" w:lineRule="auto"/>
              <w:rPr>
                <w:spacing w:val="-4"/>
                <w:sz w:val="18"/>
                <w:szCs w:val="18"/>
              </w:rPr>
            </w:pPr>
            <w:r>
              <w:rPr>
                <w:spacing w:val="-4"/>
                <w:sz w:val="18"/>
                <w:szCs w:val="18"/>
              </w:rPr>
              <w:t>Identify</w:t>
            </w:r>
            <w:r w:rsidRPr="003D5388">
              <w:rPr>
                <w:spacing w:val="-4"/>
                <w:sz w:val="18"/>
                <w:szCs w:val="18"/>
              </w:rPr>
              <w:t xml:space="preserve"> </w:t>
            </w:r>
            <w:r w:rsidRPr="003D5388" w:rsidR="00D3279E">
              <w:rPr>
                <w:spacing w:val="-4"/>
                <w:sz w:val="18"/>
                <w:szCs w:val="18"/>
              </w:rPr>
              <w:t>educational problems</w:t>
            </w:r>
            <w:r w:rsidR="004E0BDB">
              <w:rPr>
                <w:spacing w:val="-4"/>
                <w:sz w:val="18"/>
                <w:szCs w:val="18"/>
              </w:rPr>
              <w:t>, such as instructional issues or inequity,</w:t>
            </w:r>
            <w:r w:rsidRPr="003D5388" w:rsidR="00D3279E">
              <w:rPr>
                <w:spacing w:val="-4"/>
                <w:sz w:val="18"/>
                <w:szCs w:val="18"/>
              </w:rPr>
              <w:t xml:space="preserve"> that CCs address</w:t>
            </w:r>
            <w:r w:rsidR="008A1623">
              <w:rPr>
                <w:spacing w:val="-4"/>
                <w:sz w:val="18"/>
                <w:szCs w:val="18"/>
              </w:rPr>
              <w:t xml:space="preserve"> (RQ 1.1)</w:t>
            </w:r>
          </w:p>
          <w:p w:rsidRPr="003D5388" w:rsidR="00D3279E" w:rsidP="00232567" w:rsidRDefault="00D3279E" w14:paraId="4EDE16EE" w14:textId="71653E68">
            <w:pPr>
              <w:pStyle w:val="TableText"/>
              <w:numPr>
                <w:ilvl w:val="0"/>
                <w:numId w:val="4"/>
              </w:numPr>
              <w:spacing w:after="0" w:line="240" w:lineRule="auto"/>
              <w:rPr>
                <w:spacing w:val="-4"/>
                <w:sz w:val="18"/>
                <w:szCs w:val="18"/>
              </w:rPr>
            </w:pPr>
            <w:r w:rsidRPr="003D5388">
              <w:rPr>
                <w:spacing w:val="-4"/>
                <w:sz w:val="18"/>
                <w:szCs w:val="18"/>
              </w:rPr>
              <w:t xml:space="preserve">Document adaptation of </w:t>
            </w:r>
            <w:r w:rsidR="0011529A">
              <w:rPr>
                <w:spacing w:val="-4"/>
                <w:sz w:val="18"/>
                <w:szCs w:val="18"/>
              </w:rPr>
              <w:t>CC projects</w:t>
            </w:r>
            <w:r w:rsidRPr="003D5388">
              <w:rPr>
                <w:spacing w:val="-4"/>
                <w:sz w:val="18"/>
                <w:szCs w:val="18"/>
              </w:rPr>
              <w:t xml:space="preserve"> in response to the COVID</w:t>
            </w:r>
            <w:r w:rsidR="00023E9D">
              <w:rPr>
                <w:spacing w:val="-4"/>
                <w:sz w:val="18"/>
                <w:szCs w:val="18"/>
              </w:rPr>
              <w:t>-19</w:t>
            </w:r>
            <w:r w:rsidRPr="003D5388">
              <w:rPr>
                <w:spacing w:val="-4"/>
                <w:sz w:val="18"/>
                <w:szCs w:val="18"/>
              </w:rPr>
              <w:t xml:space="preserve"> pandemic</w:t>
            </w:r>
            <w:r w:rsidR="008A1623">
              <w:rPr>
                <w:spacing w:val="-4"/>
                <w:sz w:val="18"/>
                <w:szCs w:val="18"/>
              </w:rPr>
              <w:t xml:space="preserve"> (RQ</w:t>
            </w:r>
            <w:r w:rsidR="00187CB5">
              <w:rPr>
                <w:spacing w:val="-4"/>
                <w:sz w:val="18"/>
                <w:szCs w:val="18"/>
              </w:rPr>
              <w:t xml:space="preserve"> </w:t>
            </w:r>
            <w:r w:rsidR="008A1623">
              <w:rPr>
                <w:spacing w:val="-4"/>
                <w:sz w:val="18"/>
                <w:szCs w:val="18"/>
              </w:rPr>
              <w:t>1.4)</w:t>
            </w:r>
          </w:p>
          <w:p w:rsidRPr="003D5388" w:rsidR="00D3279E" w:rsidP="00232567" w:rsidRDefault="00D3279E" w14:paraId="2799D6BD" w14:textId="73C9609D">
            <w:pPr>
              <w:pStyle w:val="TableText"/>
              <w:numPr>
                <w:ilvl w:val="0"/>
                <w:numId w:val="4"/>
              </w:numPr>
              <w:spacing w:after="0" w:line="240" w:lineRule="auto"/>
              <w:rPr>
                <w:spacing w:val="-4"/>
                <w:sz w:val="18"/>
                <w:szCs w:val="18"/>
              </w:rPr>
            </w:pPr>
            <w:r w:rsidRPr="003D5388">
              <w:rPr>
                <w:spacing w:val="-4"/>
                <w:sz w:val="18"/>
                <w:szCs w:val="18"/>
              </w:rPr>
              <w:t>Measure the types of capacity</w:t>
            </w:r>
            <w:r w:rsidR="00023E9D">
              <w:rPr>
                <w:spacing w:val="-4"/>
                <w:sz w:val="18"/>
                <w:szCs w:val="18"/>
              </w:rPr>
              <w:t xml:space="preserve">—human, </w:t>
            </w:r>
            <w:r w:rsidR="00B21F8D">
              <w:rPr>
                <w:spacing w:val="-4"/>
                <w:sz w:val="18"/>
                <w:szCs w:val="18"/>
              </w:rPr>
              <w:t>organizational, policy, or resource</w:t>
            </w:r>
            <w:r w:rsidR="00023E9D">
              <w:rPr>
                <w:spacing w:val="-4"/>
                <w:sz w:val="18"/>
                <w:szCs w:val="18"/>
              </w:rPr>
              <w:t xml:space="preserve">—addressed </w:t>
            </w:r>
            <w:r w:rsidR="0048513C">
              <w:rPr>
                <w:spacing w:val="-4"/>
                <w:sz w:val="18"/>
                <w:szCs w:val="18"/>
              </w:rPr>
              <w:t xml:space="preserve">by CCs </w:t>
            </w:r>
            <w:r w:rsidR="008A1623">
              <w:rPr>
                <w:spacing w:val="-4"/>
                <w:sz w:val="18"/>
                <w:szCs w:val="18"/>
              </w:rPr>
              <w:t>(RQ 3.1)</w:t>
            </w:r>
            <w:r w:rsidRPr="003D5388">
              <w:rPr>
                <w:spacing w:val="-4"/>
                <w:sz w:val="18"/>
                <w:szCs w:val="18"/>
              </w:rPr>
              <w:t xml:space="preserve">  </w:t>
            </w:r>
          </w:p>
          <w:p w:rsidRPr="003D5388" w:rsidR="00D3279E" w:rsidP="00232567" w:rsidRDefault="00D3279E" w14:paraId="39229927" w14:textId="0F8C58DB">
            <w:pPr>
              <w:pStyle w:val="TableText"/>
              <w:numPr>
                <w:ilvl w:val="0"/>
                <w:numId w:val="4"/>
              </w:numPr>
              <w:spacing w:after="0" w:line="240" w:lineRule="auto"/>
              <w:rPr>
                <w:spacing w:val="-4"/>
                <w:sz w:val="18"/>
                <w:szCs w:val="18"/>
              </w:rPr>
            </w:pPr>
            <w:r w:rsidRPr="003D5388">
              <w:rPr>
                <w:spacing w:val="-4"/>
                <w:sz w:val="18"/>
                <w:szCs w:val="18"/>
              </w:rPr>
              <w:t>Measure TA recipient perceptions of the extent to which CCs increase capacity</w:t>
            </w:r>
            <w:r w:rsidR="008A1623">
              <w:rPr>
                <w:spacing w:val="-4"/>
                <w:sz w:val="18"/>
                <w:szCs w:val="18"/>
              </w:rPr>
              <w:t xml:space="preserve"> (RQ 3.2)</w:t>
            </w:r>
          </w:p>
          <w:p w:rsidRPr="003D5388" w:rsidR="00D3279E" w:rsidP="00232567" w:rsidRDefault="00D3279E" w14:paraId="7F5A4E32" w14:textId="54E5A7AA">
            <w:pPr>
              <w:pStyle w:val="TableText"/>
              <w:numPr>
                <w:ilvl w:val="0"/>
                <w:numId w:val="4"/>
              </w:numPr>
              <w:spacing w:after="0" w:line="240" w:lineRule="auto"/>
              <w:rPr>
                <w:spacing w:val="-4"/>
                <w:sz w:val="18"/>
                <w:szCs w:val="18"/>
              </w:rPr>
            </w:pPr>
            <w:r w:rsidRPr="003D5388">
              <w:rPr>
                <w:spacing w:val="-4"/>
                <w:sz w:val="18"/>
                <w:szCs w:val="18"/>
              </w:rPr>
              <w:t>Measure TA recipient perceptions of usefulness of CC tools provided</w:t>
            </w:r>
            <w:r w:rsidR="008A1623">
              <w:rPr>
                <w:spacing w:val="-4"/>
                <w:sz w:val="18"/>
                <w:szCs w:val="18"/>
              </w:rPr>
              <w:t xml:space="preserve"> (RQ</w:t>
            </w:r>
            <w:r w:rsidR="00187CB5">
              <w:rPr>
                <w:spacing w:val="-4"/>
                <w:sz w:val="18"/>
                <w:szCs w:val="18"/>
              </w:rPr>
              <w:t xml:space="preserve"> </w:t>
            </w:r>
            <w:r w:rsidR="008A1623">
              <w:rPr>
                <w:spacing w:val="-4"/>
                <w:sz w:val="18"/>
                <w:szCs w:val="18"/>
              </w:rPr>
              <w:t>3.2)</w:t>
            </w:r>
          </w:p>
          <w:p w:rsidRPr="003D5388" w:rsidR="00D3279E" w:rsidP="00232567" w:rsidRDefault="00D3279E" w14:paraId="4676DCFC" w14:textId="25D50498">
            <w:pPr>
              <w:pStyle w:val="TableText"/>
              <w:numPr>
                <w:ilvl w:val="0"/>
                <w:numId w:val="4"/>
              </w:numPr>
              <w:spacing w:after="0" w:line="240" w:lineRule="auto"/>
              <w:rPr>
                <w:spacing w:val="-4"/>
                <w:sz w:val="18"/>
                <w:szCs w:val="18"/>
              </w:rPr>
            </w:pPr>
            <w:r w:rsidRPr="003D5388">
              <w:rPr>
                <w:spacing w:val="-4"/>
                <w:sz w:val="18"/>
                <w:szCs w:val="18"/>
              </w:rPr>
              <w:t xml:space="preserve">Measure perceptions of extent to which </w:t>
            </w:r>
            <w:r w:rsidRPr="003D5388" w:rsidR="005C29E8">
              <w:rPr>
                <w:spacing w:val="-4"/>
                <w:sz w:val="18"/>
                <w:szCs w:val="18"/>
              </w:rPr>
              <w:t>TA recipient</w:t>
            </w:r>
            <w:r w:rsidRPr="003D5388">
              <w:rPr>
                <w:spacing w:val="-4"/>
                <w:sz w:val="18"/>
                <w:szCs w:val="18"/>
              </w:rPr>
              <w:t>s have tools to address needs on their own</w:t>
            </w:r>
            <w:r w:rsidR="008A1623">
              <w:rPr>
                <w:spacing w:val="-4"/>
                <w:sz w:val="18"/>
                <w:szCs w:val="18"/>
              </w:rPr>
              <w:t xml:space="preserve"> (RQ 3.3)</w:t>
            </w:r>
          </w:p>
          <w:p w:rsidRPr="003D5388" w:rsidR="00D3279E" w:rsidP="00232567" w:rsidRDefault="00D3279E" w14:paraId="77D124CD" w14:textId="360019A2">
            <w:pPr>
              <w:pStyle w:val="TableText"/>
              <w:numPr>
                <w:ilvl w:val="0"/>
                <w:numId w:val="4"/>
              </w:numPr>
              <w:spacing w:after="0" w:line="240" w:lineRule="auto"/>
              <w:rPr>
                <w:spacing w:val="-4"/>
                <w:sz w:val="18"/>
                <w:szCs w:val="18"/>
              </w:rPr>
            </w:pPr>
            <w:r w:rsidRPr="003D5388">
              <w:rPr>
                <w:spacing w:val="-4"/>
                <w:sz w:val="18"/>
                <w:szCs w:val="18"/>
              </w:rPr>
              <w:t xml:space="preserve">Compare </w:t>
            </w:r>
            <w:r w:rsidR="00023E9D">
              <w:rPr>
                <w:spacing w:val="-4"/>
                <w:sz w:val="18"/>
                <w:szCs w:val="18"/>
              </w:rPr>
              <w:t xml:space="preserve">differences in </w:t>
            </w:r>
            <w:r w:rsidRPr="003D5388" w:rsidR="008B77A7">
              <w:rPr>
                <w:spacing w:val="-4"/>
                <w:sz w:val="18"/>
                <w:szCs w:val="18"/>
              </w:rPr>
              <w:t>services delivered and TA recipient experiences between the</w:t>
            </w:r>
            <w:r w:rsidRPr="003D5388">
              <w:rPr>
                <w:spacing w:val="-4"/>
                <w:sz w:val="18"/>
                <w:szCs w:val="18"/>
              </w:rPr>
              <w:t xml:space="preserve"> 2012 </w:t>
            </w:r>
            <w:r w:rsidRPr="003D5388" w:rsidR="008B77A7">
              <w:rPr>
                <w:spacing w:val="-4"/>
                <w:sz w:val="18"/>
                <w:szCs w:val="18"/>
              </w:rPr>
              <w:t xml:space="preserve">and 2019 </w:t>
            </w:r>
            <w:r w:rsidRPr="003D5388">
              <w:rPr>
                <w:spacing w:val="-4"/>
                <w:sz w:val="18"/>
                <w:szCs w:val="18"/>
              </w:rPr>
              <w:t>cohort</w:t>
            </w:r>
            <w:r w:rsidRPr="003D5388" w:rsidR="008B77A7">
              <w:rPr>
                <w:spacing w:val="-4"/>
                <w:sz w:val="18"/>
                <w:szCs w:val="18"/>
              </w:rPr>
              <w:t>s</w:t>
            </w:r>
            <w:r w:rsidR="008A1623">
              <w:rPr>
                <w:spacing w:val="-4"/>
                <w:sz w:val="18"/>
                <w:szCs w:val="18"/>
              </w:rPr>
              <w:t xml:space="preserve"> (RQ</w:t>
            </w:r>
            <w:r w:rsidR="00187CB5">
              <w:rPr>
                <w:spacing w:val="-4"/>
                <w:sz w:val="18"/>
                <w:szCs w:val="18"/>
              </w:rPr>
              <w:t xml:space="preserve"> </w:t>
            </w:r>
            <w:r w:rsidR="008A1623">
              <w:rPr>
                <w:spacing w:val="-4"/>
                <w:sz w:val="18"/>
                <w:szCs w:val="18"/>
              </w:rPr>
              <w:t>4)</w:t>
            </w:r>
          </w:p>
        </w:tc>
      </w:tr>
      <w:tr w:rsidRPr="00F55DA7" w:rsidR="00D3279E" w:rsidTr="00102EA9" w14:paraId="31512231" w14:textId="77777777">
        <w:trPr>
          <w:trHeight w:val="674"/>
        </w:trPr>
        <w:tc>
          <w:tcPr>
            <w:tcW w:w="552" w:type="pct"/>
            <w:shd w:val="clear" w:color="auto" w:fill="auto"/>
          </w:tcPr>
          <w:p w:rsidRPr="00F55DA7" w:rsidR="00D3279E" w:rsidP="00585D6F" w:rsidRDefault="00D3279E" w14:paraId="4B5BDA76" w14:textId="77777777">
            <w:pPr>
              <w:pStyle w:val="TableText"/>
              <w:spacing w:after="0"/>
              <w:rPr>
                <w:bCs w:val="0"/>
                <w:spacing w:val="-4"/>
                <w:sz w:val="18"/>
                <w:szCs w:val="18"/>
              </w:rPr>
            </w:pPr>
            <w:r w:rsidRPr="00F55DA7">
              <w:rPr>
                <w:spacing w:val="-4"/>
                <w:sz w:val="18"/>
                <w:szCs w:val="18"/>
              </w:rPr>
              <w:t>Interviews with CC Directors</w:t>
            </w:r>
          </w:p>
        </w:tc>
        <w:tc>
          <w:tcPr>
            <w:tcW w:w="870" w:type="pct"/>
            <w:shd w:val="clear" w:color="auto" w:fill="auto"/>
          </w:tcPr>
          <w:p w:rsidR="00440AE1" w:rsidP="00585D6F" w:rsidRDefault="00D3279E" w14:paraId="37DF0F97" w14:textId="7BF1D273">
            <w:pPr>
              <w:pStyle w:val="TableText"/>
              <w:spacing w:after="0"/>
              <w:rPr>
                <w:spacing w:val="-4"/>
                <w:sz w:val="18"/>
                <w:szCs w:val="18"/>
              </w:rPr>
            </w:pPr>
            <w:r w:rsidRPr="00F55DA7">
              <w:rPr>
                <w:spacing w:val="-4"/>
                <w:sz w:val="18"/>
                <w:szCs w:val="18"/>
              </w:rPr>
              <w:t>Regional Center Directors</w:t>
            </w:r>
            <w:r w:rsidR="00440AE1">
              <w:rPr>
                <w:spacing w:val="-4"/>
                <w:sz w:val="18"/>
                <w:szCs w:val="18"/>
              </w:rPr>
              <w:t xml:space="preserve"> (19)</w:t>
            </w:r>
          </w:p>
          <w:p w:rsidR="00440AE1" w:rsidP="00585D6F" w:rsidRDefault="00440AE1" w14:paraId="79006FF6" w14:textId="77777777">
            <w:pPr>
              <w:pStyle w:val="TableText"/>
              <w:spacing w:after="0"/>
              <w:rPr>
                <w:spacing w:val="-4"/>
                <w:sz w:val="18"/>
                <w:szCs w:val="18"/>
              </w:rPr>
            </w:pPr>
          </w:p>
          <w:p w:rsidRPr="00F55DA7" w:rsidR="00D3279E" w:rsidP="00585D6F" w:rsidRDefault="00D3279E" w14:paraId="217F00E6" w14:textId="790B7D99">
            <w:pPr>
              <w:pStyle w:val="TableText"/>
              <w:spacing w:after="0"/>
              <w:rPr>
                <w:spacing w:val="-4"/>
                <w:sz w:val="18"/>
                <w:szCs w:val="18"/>
              </w:rPr>
            </w:pPr>
            <w:r w:rsidRPr="00F55DA7">
              <w:rPr>
                <w:spacing w:val="-4"/>
                <w:sz w:val="18"/>
                <w:szCs w:val="18"/>
              </w:rPr>
              <w:t>National Center Director</w:t>
            </w:r>
            <w:r w:rsidR="00440AE1">
              <w:rPr>
                <w:spacing w:val="-4"/>
                <w:sz w:val="18"/>
                <w:szCs w:val="18"/>
              </w:rPr>
              <w:t xml:space="preserve"> (1)</w:t>
            </w:r>
          </w:p>
        </w:tc>
        <w:tc>
          <w:tcPr>
            <w:tcW w:w="555" w:type="pct"/>
            <w:shd w:val="clear" w:color="auto" w:fill="auto"/>
          </w:tcPr>
          <w:p w:rsidRPr="00EC5BA5" w:rsidR="00D3279E" w:rsidP="00585D6F" w:rsidRDefault="00984884" w14:paraId="205236CC" w14:textId="792B2A52">
            <w:pPr>
              <w:pStyle w:val="TableText"/>
              <w:spacing w:after="0"/>
              <w:rPr>
                <w:spacing w:val="-4"/>
                <w:sz w:val="18"/>
                <w:szCs w:val="18"/>
              </w:rPr>
            </w:pPr>
            <w:r>
              <w:rPr>
                <w:sz w:val="18"/>
                <w:szCs w:val="18"/>
              </w:rPr>
              <w:t xml:space="preserve">Jun-Jul </w:t>
            </w:r>
            <w:r w:rsidRPr="00EC5BA5" w:rsidR="00D3279E">
              <w:rPr>
                <w:sz w:val="18"/>
                <w:szCs w:val="18"/>
              </w:rPr>
              <w:t>2022</w:t>
            </w:r>
          </w:p>
        </w:tc>
        <w:tc>
          <w:tcPr>
            <w:tcW w:w="3023" w:type="pct"/>
            <w:shd w:val="clear" w:color="auto" w:fill="auto"/>
          </w:tcPr>
          <w:p w:rsidRPr="003D5388" w:rsidR="00D3279E" w:rsidP="00232567" w:rsidRDefault="00D3279E" w14:paraId="1E7AC0DE" w14:textId="3CFB1C67">
            <w:pPr>
              <w:pStyle w:val="TableText"/>
              <w:numPr>
                <w:ilvl w:val="0"/>
                <w:numId w:val="4"/>
              </w:numPr>
              <w:spacing w:after="0" w:line="240" w:lineRule="auto"/>
              <w:rPr>
                <w:spacing w:val="-4"/>
                <w:sz w:val="18"/>
                <w:szCs w:val="18"/>
              </w:rPr>
            </w:pPr>
            <w:r w:rsidRPr="003D5388">
              <w:rPr>
                <w:spacing w:val="-4"/>
                <w:sz w:val="18"/>
                <w:szCs w:val="18"/>
              </w:rPr>
              <w:t>Document adaptations to CC projects in response to COVID</w:t>
            </w:r>
            <w:r w:rsidR="00023E9D">
              <w:rPr>
                <w:spacing w:val="-4"/>
                <w:sz w:val="18"/>
                <w:szCs w:val="18"/>
              </w:rPr>
              <w:t>-19</w:t>
            </w:r>
            <w:r w:rsidRPr="003D5388">
              <w:rPr>
                <w:spacing w:val="-4"/>
                <w:sz w:val="18"/>
                <w:szCs w:val="18"/>
              </w:rPr>
              <w:t xml:space="preserve"> pandemic </w:t>
            </w:r>
            <w:r w:rsidR="008A1623">
              <w:rPr>
                <w:spacing w:val="-4"/>
                <w:sz w:val="18"/>
                <w:szCs w:val="18"/>
              </w:rPr>
              <w:t>(RQ 1.4)</w:t>
            </w:r>
          </w:p>
          <w:p w:rsidRPr="003D5388" w:rsidR="00D3279E" w:rsidP="00232567" w:rsidRDefault="00D3279E" w14:paraId="77FF5A0B" w14:textId="11E9B8B8">
            <w:pPr>
              <w:pStyle w:val="TableText"/>
              <w:numPr>
                <w:ilvl w:val="0"/>
                <w:numId w:val="4"/>
              </w:numPr>
              <w:spacing w:after="0" w:line="240" w:lineRule="auto"/>
              <w:rPr>
                <w:spacing w:val="-4"/>
                <w:sz w:val="18"/>
                <w:szCs w:val="18"/>
              </w:rPr>
            </w:pPr>
            <w:r w:rsidRPr="003D5388">
              <w:rPr>
                <w:spacing w:val="-4"/>
                <w:sz w:val="18"/>
                <w:szCs w:val="18"/>
              </w:rPr>
              <w:t>Document intensity of projects (</w:t>
            </w:r>
            <w:r w:rsidR="0039632D">
              <w:rPr>
                <w:spacing w:val="-4"/>
                <w:sz w:val="18"/>
                <w:szCs w:val="18"/>
              </w:rPr>
              <w:t>staffing requirements</w:t>
            </w:r>
            <w:r w:rsidRPr="003D5388">
              <w:rPr>
                <w:spacing w:val="-4"/>
                <w:sz w:val="18"/>
                <w:szCs w:val="18"/>
              </w:rPr>
              <w:t>/duration)</w:t>
            </w:r>
            <w:r w:rsidR="008A1623">
              <w:rPr>
                <w:spacing w:val="-4"/>
                <w:sz w:val="18"/>
                <w:szCs w:val="18"/>
              </w:rPr>
              <w:t xml:space="preserve"> (RQ</w:t>
            </w:r>
            <w:r w:rsidR="00187CB5">
              <w:rPr>
                <w:spacing w:val="-4"/>
                <w:sz w:val="18"/>
                <w:szCs w:val="18"/>
              </w:rPr>
              <w:t xml:space="preserve"> </w:t>
            </w:r>
            <w:r w:rsidR="008A1623">
              <w:rPr>
                <w:spacing w:val="-4"/>
                <w:sz w:val="18"/>
                <w:szCs w:val="18"/>
              </w:rPr>
              <w:t>2.2)</w:t>
            </w:r>
          </w:p>
          <w:p w:rsidRPr="003D5388" w:rsidR="00D3279E" w:rsidP="00232567" w:rsidRDefault="00D3279E" w14:paraId="30F0FDD4" w14:textId="52D87135">
            <w:pPr>
              <w:pStyle w:val="TableText"/>
              <w:numPr>
                <w:ilvl w:val="0"/>
                <w:numId w:val="4"/>
              </w:numPr>
              <w:spacing w:after="0" w:line="240" w:lineRule="auto"/>
              <w:rPr>
                <w:spacing w:val="-4"/>
                <w:sz w:val="18"/>
                <w:szCs w:val="18"/>
              </w:rPr>
            </w:pPr>
            <w:r w:rsidRPr="003D5388">
              <w:rPr>
                <w:spacing w:val="-4"/>
                <w:sz w:val="18"/>
                <w:szCs w:val="18"/>
              </w:rPr>
              <w:t>Document approaches to building sustainable capacity</w:t>
            </w:r>
            <w:r w:rsidR="008A1623">
              <w:rPr>
                <w:spacing w:val="-4"/>
                <w:sz w:val="18"/>
                <w:szCs w:val="18"/>
              </w:rPr>
              <w:t xml:space="preserve"> (RQ 3.3)</w:t>
            </w:r>
          </w:p>
          <w:p w:rsidRPr="003D5388" w:rsidR="00D3279E" w:rsidP="00232567" w:rsidRDefault="00D3279E" w14:paraId="28467C51" w14:textId="790EDE0F">
            <w:pPr>
              <w:pStyle w:val="TableText"/>
              <w:numPr>
                <w:ilvl w:val="0"/>
                <w:numId w:val="4"/>
              </w:numPr>
              <w:spacing w:after="0" w:line="240" w:lineRule="auto"/>
              <w:rPr>
                <w:spacing w:val="-4"/>
                <w:sz w:val="18"/>
                <w:szCs w:val="18"/>
              </w:rPr>
            </w:pPr>
            <w:r w:rsidRPr="003D5388">
              <w:rPr>
                <w:spacing w:val="-4"/>
                <w:sz w:val="18"/>
                <w:szCs w:val="18"/>
              </w:rPr>
              <w:t xml:space="preserve">Document nature and frequency of supports that </w:t>
            </w:r>
            <w:r w:rsidR="00023E9D">
              <w:rPr>
                <w:spacing w:val="-4"/>
                <w:sz w:val="18"/>
                <w:szCs w:val="18"/>
              </w:rPr>
              <w:t>the National Center</w:t>
            </w:r>
            <w:r w:rsidRPr="003D5388">
              <w:rPr>
                <w:spacing w:val="-4"/>
                <w:sz w:val="18"/>
                <w:szCs w:val="18"/>
              </w:rPr>
              <w:t xml:space="preserve"> provides to R</w:t>
            </w:r>
            <w:r w:rsidR="00023E9D">
              <w:rPr>
                <w:spacing w:val="-4"/>
                <w:sz w:val="18"/>
                <w:szCs w:val="18"/>
              </w:rPr>
              <w:t xml:space="preserve">egional Centers </w:t>
            </w:r>
            <w:r w:rsidR="008A1623">
              <w:rPr>
                <w:spacing w:val="-4"/>
                <w:sz w:val="18"/>
                <w:szCs w:val="18"/>
              </w:rPr>
              <w:t>(RQ 4.2)</w:t>
            </w:r>
          </w:p>
          <w:p w:rsidRPr="003D5388" w:rsidR="00D3279E" w:rsidP="00232567" w:rsidRDefault="00D3279E" w14:paraId="331C0226" w14:textId="58E468B6">
            <w:pPr>
              <w:pStyle w:val="TableText"/>
              <w:numPr>
                <w:ilvl w:val="0"/>
                <w:numId w:val="4"/>
              </w:numPr>
              <w:spacing w:after="0" w:line="240" w:lineRule="auto"/>
              <w:rPr>
                <w:spacing w:val="-4"/>
                <w:sz w:val="18"/>
                <w:szCs w:val="18"/>
              </w:rPr>
            </w:pPr>
            <w:r w:rsidRPr="003D5388">
              <w:rPr>
                <w:spacing w:val="-4"/>
                <w:sz w:val="18"/>
                <w:szCs w:val="18"/>
              </w:rPr>
              <w:t xml:space="preserve">Identify successes and challenges of collaboration between </w:t>
            </w:r>
            <w:r w:rsidR="00023E9D">
              <w:rPr>
                <w:spacing w:val="-4"/>
                <w:sz w:val="18"/>
                <w:szCs w:val="18"/>
              </w:rPr>
              <w:t>the National Center an</w:t>
            </w:r>
            <w:r w:rsidRPr="003D5388">
              <w:rPr>
                <w:spacing w:val="-4"/>
                <w:sz w:val="18"/>
                <w:szCs w:val="18"/>
              </w:rPr>
              <w:t>d R</w:t>
            </w:r>
            <w:r w:rsidR="00023E9D">
              <w:rPr>
                <w:spacing w:val="-4"/>
                <w:sz w:val="18"/>
                <w:szCs w:val="18"/>
              </w:rPr>
              <w:t>egional Centers</w:t>
            </w:r>
            <w:r w:rsidR="008A1623">
              <w:rPr>
                <w:spacing w:val="-4"/>
                <w:sz w:val="18"/>
                <w:szCs w:val="18"/>
              </w:rPr>
              <w:t xml:space="preserve"> (RQ 4.2)</w:t>
            </w:r>
          </w:p>
          <w:p w:rsidRPr="003D5388" w:rsidR="00D3279E" w:rsidP="00232567" w:rsidRDefault="00D3279E" w14:paraId="6C6D1F28" w14:textId="4D91EE53">
            <w:pPr>
              <w:pStyle w:val="TableText"/>
              <w:numPr>
                <w:ilvl w:val="0"/>
                <w:numId w:val="4"/>
              </w:numPr>
              <w:spacing w:after="0" w:line="240" w:lineRule="auto"/>
              <w:rPr>
                <w:spacing w:val="-4"/>
                <w:sz w:val="18"/>
                <w:szCs w:val="18"/>
              </w:rPr>
            </w:pPr>
            <w:r w:rsidRPr="003D5388">
              <w:rPr>
                <w:spacing w:val="-4"/>
                <w:sz w:val="18"/>
                <w:szCs w:val="18"/>
              </w:rPr>
              <w:t>Identify how collaboration between RELs and CCs can be improved and avoid duplication of effort and/or gaps in services</w:t>
            </w:r>
            <w:r w:rsidR="008A1623">
              <w:rPr>
                <w:spacing w:val="-4"/>
                <w:sz w:val="18"/>
                <w:szCs w:val="18"/>
              </w:rPr>
              <w:t xml:space="preserve"> (RQ 4.3, 4.4)</w:t>
            </w:r>
          </w:p>
        </w:tc>
      </w:tr>
      <w:tr w:rsidRPr="00F55DA7" w:rsidR="00D3279E" w:rsidTr="00102EA9" w14:paraId="46BD3EF7" w14:textId="77777777">
        <w:trPr>
          <w:trHeight w:val="674"/>
        </w:trPr>
        <w:tc>
          <w:tcPr>
            <w:tcW w:w="552" w:type="pct"/>
            <w:shd w:val="clear" w:color="auto" w:fill="E8E8E8"/>
          </w:tcPr>
          <w:p w:rsidRPr="00F55DA7" w:rsidR="00D3279E" w:rsidP="00585D6F" w:rsidRDefault="00D3279E" w14:paraId="10997191" w14:textId="77777777">
            <w:pPr>
              <w:pStyle w:val="TableText"/>
              <w:spacing w:after="0"/>
              <w:rPr>
                <w:bCs w:val="0"/>
                <w:spacing w:val="-4"/>
                <w:sz w:val="18"/>
                <w:szCs w:val="18"/>
              </w:rPr>
            </w:pPr>
            <w:r w:rsidRPr="00F55DA7">
              <w:rPr>
                <w:spacing w:val="-4"/>
                <w:sz w:val="18"/>
                <w:szCs w:val="18"/>
              </w:rPr>
              <w:t>Interviews with REL Directors</w:t>
            </w:r>
          </w:p>
        </w:tc>
        <w:tc>
          <w:tcPr>
            <w:tcW w:w="870" w:type="pct"/>
            <w:shd w:val="clear" w:color="auto" w:fill="E8E8E8"/>
          </w:tcPr>
          <w:p w:rsidRPr="00F55DA7" w:rsidR="00D3279E" w:rsidP="00585D6F" w:rsidRDefault="00D3279E" w14:paraId="69A69141" w14:textId="7270C8AE">
            <w:pPr>
              <w:pStyle w:val="TableText"/>
              <w:spacing w:after="0"/>
              <w:rPr>
                <w:spacing w:val="-4"/>
                <w:sz w:val="18"/>
                <w:szCs w:val="18"/>
              </w:rPr>
            </w:pPr>
            <w:r w:rsidRPr="00F55DA7">
              <w:rPr>
                <w:spacing w:val="-4"/>
                <w:sz w:val="18"/>
                <w:szCs w:val="18"/>
              </w:rPr>
              <w:t>REL Directors</w:t>
            </w:r>
            <w:r w:rsidR="00440AE1">
              <w:rPr>
                <w:spacing w:val="-4"/>
                <w:sz w:val="18"/>
                <w:szCs w:val="18"/>
              </w:rPr>
              <w:t xml:space="preserve"> (10)</w:t>
            </w:r>
          </w:p>
        </w:tc>
        <w:tc>
          <w:tcPr>
            <w:tcW w:w="555" w:type="pct"/>
            <w:shd w:val="clear" w:color="auto" w:fill="E8E8E8"/>
          </w:tcPr>
          <w:p w:rsidRPr="00EC5BA5" w:rsidR="00D3279E" w:rsidP="00585D6F" w:rsidRDefault="00984884" w14:paraId="361F52B1" w14:textId="6799A172">
            <w:pPr>
              <w:pStyle w:val="TableText"/>
              <w:spacing w:after="0"/>
              <w:rPr>
                <w:spacing w:val="-4"/>
                <w:sz w:val="18"/>
                <w:szCs w:val="18"/>
              </w:rPr>
            </w:pPr>
            <w:r>
              <w:rPr>
                <w:sz w:val="18"/>
                <w:szCs w:val="18"/>
              </w:rPr>
              <w:t xml:space="preserve">Jun-Jul </w:t>
            </w:r>
            <w:r w:rsidRPr="00EC5BA5" w:rsidR="00D3279E">
              <w:rPr>
                <w:sz w:val="18"/>
                <w:szCs w:val="18"/>
              </w:rPr>
              <w:t>2022</w:t>
            </w:r>
          </w:p>
        </w:tc>
        <w:tc>
          <w:tcPr>
            <w:tcW w:w="3023" w:type="pct"/>
            <w:shd w:val="clear" w:color="auto" w:fill="E8E8E8"/>
          </w:tcPr>
          <w:p w:rsidRPr="003D5388" w:rsidR="00D3279E" w:rsidP="00232567" w:rsidRDefault="00D3279E" w14:paraId="323755DA" w14:textId="21FB9AEE">
            <w:pPr>
              <w:pStyle w:val="TableText"/>
              <w:numPr>
                <w:ilvl w:val="0"/>
                <w:numId w:val="4"/>
              </w:numPr>
              <w:spacing w:after="0" w:line="240" w:lineRule="auto"/>
              <w:rPr>
                <w:spacing w:val="-4"/>
                <w:sz w:val="18"/>
                <w:szCs w:val="18"/>
              </w:rPr>
            </w:pPr>
            <w:r w:rsidRPr="003D5388">
              <w:rPr>
                <w:spacing w:val="-4"/>
                <w:sz w:val="18"/>
                <w:szCs w:val="18"/>
              </w:rPr>
              <w:t>Document nature and frequency of collaboration between CCs and RELs</w:t>
            </w:r>
            <w:r w:rsidR="008A1623">
              <w:rPr>
                <w:spacing w:val="-4"/>
                <w:sz w:val="18"/>
                <w:szCs w:val="18"/>
              </w:rPr>
              <w:t xml:space="preserve"> (RQ 4.3)</w:t>
            </w:r>
          </w:p>
          <w:p w:rsidRPr="003D5388" w:rsidR="00D3279E" w:rsidP="00232567" w:rsidRDefault="00D3279E" w14:paraId="0FE56AD5" w14:textId="02B8BEC5">
            <w:pPr>
              <w:pStyle w:val="TableText"/>
              <w:numPr>
                <w:ilvl w:val="0"/>
                <w:numId w:val="4"/>
              </w:numPr>
              <w:spacing w:after="0" w:line="240" w:lineRule="auto"/>
              <w:rPr>
                <w:spacing w:val="-4"/>
                <w:sz w:val="18"/>
                <w:szCs w:val="18"/>
              </w:rPr>
            </w:pPr>
            <w:r w:rsidRPr="003D5388">
              <w:rPr>
                <w:spacing w:val="-4"/>
                <w:sz w:val="18"/>
                <w:szCs w:val="18"/>
              </w:rPr>
              <w:t>Document successes and challenges related to REL and CC collaboration</w:t>
            </w:r>
            <w:r w:rsidR="008A1623">
              <w:rPr>
                <w:spacing w:val="-4"/>
                <w:sz w:val="18"/>
                <w:szCs w:val="18"/>
              </w:rPr>
              <w:t xml:space="preserve"> (RQ 4.3)</w:t>
            </w:r>
          </w:p>
          <w:p w:rsidRPr="003D5388" w:rsidR="00D3279E" w:rsidP="00232567" w:rsidRDefault="00D3279E" w14:paraId="7442EE4F" w14:textId="60DE1AED">
            <w:pPr>
              <w:pStyle w:val="TableText"/>
              <w:numPr>
                <w:ilvl w:val="0"/>
                <w:numId w:val="4"/>
              </w:numPr>
              <w:spacing w:after="0" w:line="240" w:lineRule="auto"/>
              <w:rPr>
                <w:spacing w:val="-4"/>
                <w:sz w:val="18"/>
                <w:szCs w:val="18"/>
              </w:rPr>
            </w:pPr>
            <w:r w:rsidRPr="003D5388">
              <w:rPr>
                <w:spacing w:val="-4"/>
                <w:sz w:val="18"/>
                <w:szCs w:val="18"/>
              </w:rPr>
              <w:t>Identify opportunities for CCs and RELs to improve collaboration and avoid duplication of effort and/or gaps in services</w:t>
            </w:r>
            <w:r w:rsidR="008A1623">
              <w:rPr>
                <w:spacing w:val="-4"/>
                <w:sz w:val="18"/>
                <w:szCs w:val="18"/>
              </w:rPr>
              <w:t xml:space="preserve"> (RQ 4.3)</w:t>
            </w:r>
          </w:p>
        </w:tc>
      </w:tr>
      <w:tr w:rsidRPr="00102EA9" w:rsidR="00C022A2" w:rsidTr="0094394F" w14:paraId="666F6973" w14:textId="77777777">
        <w:trPr>
          <w:trHeight w:val="58"/>
        </w:trPr>
        <w:tc>
          <w:tcPr>
            <w:tcW w:w="5000" w:type="pct"/>
            <w:gridSpan w:val="4"/>
            <w:shd w:val="clear" w:color="auto" w:fill="95B3D7"/>
            <w:vAlign w:val="bottom"/>
          </w:tcPr>
          <w:p w:rsidRPr="00102EA9" w:rsidR="00C022A2" w:rsidP="00102EA9" w:rsidRDefault="00404169" w14:paraId="652563B8" w14:textId="448A4CBB">
            <w:pPr>
              <w:pStyle w:val="TableColumnHeader"/>
              <w:spacing w:before="0" w:after="0"/>
              <w:jc w:val="left"/>
              <w:rPr>
                <w:spacing w:val="-4"/>
              </w:rPr>
            </w:pPr>
            <w:r>
              <w:rPr>
                <w:spacing w:val="-4"/>
              </w:rPr>
              <w:t>Administrative</w:t>
            </w:r>
            <w:r w:rsidRPr="002C10B3">
              <w:rPr>
                <w:spacing w:val="-4"/>
              </w:rPr>
              <w:t xml:space="preserve"> </w:t>
            </w:r>
            <w:r w:rsidRPr="002C10B3" w:rsidR="00C022A2">
              <w:rPr>
                <w:spacing w:val="-4"/>
              </w:rPr>
              <w:t>Data</w:t>
            </w:r>
            <w:r w:rsidRPr="00F17194" w:rsidR="005A1022">
              <w:rPr>
                <w:vertAlign w:val="superscript"/>
              </w:rPr>
              <w:footnoteReference w:id="2"/>
            </w:r>
          </w:p>
        </w:tc>
      </w:tr>
      <w:tr w:rsidRPr="002C10B3" w:rsidR="00D3279E" w:rsidTr="00102EA9" w14:paraId="2860963F" w14:textId="77777777">
        <w:trPr>
          <w:trHeight w:val="54"/>
        </w:trPr>
        <w:tc>
          <w:tcPr>
            <w:tcW w:w="552" w:type="pct"/>
            <w:shd w:val="clear" w:color="auto" w:fill="auto"/>
          </w:tcPr>
          <w:p w:rsidRPr="00F55DA7" w:rsidR="00D3279E" w:rsidP="00585D6F" w:rsidRDefault="000D51F8" w14:paraId="5B2D5849" w14:textId="0BD37DA4">
            <w:pPr>
              <w:pStyle w:val="TableText"/>
              <w:spacing w:after="0"/>
              <w:rPr>
                <w:bCs w:val="0"/>
                <w:spacing w:val="-4"/>
                <w:sz w:val="18"/>
                <w:szCs w:val="18"/>
              </w:rPr>
            </w:pPr>
            <w:r>
              <w:rPr>
                <w:spacing w:val="-4"/>
                <w:sz w:val="18"/>
                <w:szCs w:val="18"/>
              </w:rPr>
              <w:t xml:space="preserve">Annual Service Plans, Annual Evaluation </w:t>
            </w:r>
            <w:r>
              <w:rPr>
                <w:spacing w:val="-4"/>
                <w:sz w:val="18"/>
                <w:szCs w:val="18"/>
              </w:rPr>
              <w:lastRenderedPageBreak/>
              <w:t>Reports, and Joint Needs Sensing Memos</w:t>
            </w:r>
          </w:p>
        </w:tc>
        <w:tc>
          <w:tcPr>
            <w:tcW w:w="870" w:type="pct"/>
            <w:shd w:val="clear" w:color="auto" w:fill="auto"/>
          </w:tcPr>
          <w:p w:rsidR="00D3279E" w:rsidP="00585D6F" w:rsidRDefault="008A27F3" w14:paraId="7887118D" w14:textId="0A5A2075">
            <w:pPr>
              <w:pStyle w:val="TableText"/>
              <w:spacing w:after="0"/>
              <w:rPr>
                <w:spacing w:val="-4"/>
                <w:sz w:val="18"/>
                <w:szCs w:val="18"/>
              </w:rPr>
            </w:pPr>
            <w:r>
              <w:rPr>
                <w:spacing w:val="-4"/>
                <w:sz w:val="18"/>
                <w:szCs w:val="18"/>
              </w:rPr>
              <w:lastRenderedPageBreak/>
              <w:t>Non</w:t>
            </w:r>
            <w:r w:rsidR="009F2B85">
              <w:rPr>
                <w:spacing w:val="-4"/>
                <w:sz w:val="18"/>
                <w:szCs w:val="18"/>
              </w:rPr>
              <w:t>e</w:t>
            </w:r>
            <w:r>
              <w:rPr>
                <w:spacing w:val="-4"/>
                <w:sz w:val="18"/>
                <w:szCs w:val="18"/>
              </w:rPr>
              <w:t xml:space="preserve"> (administrative data from </w:t>
            </w:r>
            <w:r w:rsidRPr="00B03A29" w:rsidR="00B03A29">
              <w:rPr>
                <w:spacing w:val="-4"/>
                <w:sz w:val="18"/>
                <w:szCs w:val="18"/>
              </w:rPr>
              <w:t>U.S. Department of Education, IES</w:t>
            </w:r>
            <w:r>
              <w:rPr>
                <w:spacing w:val="-4"/>
                <w:sz w:val="18"/>
                <w:szCs w:val="18"/>
              </w:rPr>
              <w:t>)</w:t>
            </w:r>
            <w:r w:rsidRPr="000D51F8" w:rsidR="000D51F8">
              <w:rPr>
                <w:spacing w:val="-4"/>
                <w:sz w:val="18"/>
                <w:szCs w:val="18"/>
              </w:rPr>
              <w:t xml:space="preserve"> </w:t>
            </w:r>
          </w:p>
          <w:p w:rsidRPr="00F55DA7" w:rsidR="00D3279E" w:rsidP="00585D6F" w:rsidRDefault="00D3279E" w14:paraId="7666C1AE" w14:textId="6FAEE26F">
            <w:pPr>
              <w:pStyle w:val="TableText"/>
              <w:spacing w:after="0"/>
              <w:rPr>
                <w:spacing w:val="-4"/>
                <w:sz w:val="18"/>
                <w:szCs w:val="18"/>
              </w:rPr>
            </w:pPr>
          </w:p>
        </w:tc>
        <w:tc>
          <w:tcPr>
            <w:tcW w:w="555" w:type="pct"/>
            <w:shd w:val="clear" w:color="auto" w:fill="auto"/>
          </w:tcPr>
          <w:p w:rsidR="0011529A" w:rsidP="00585D6F" w:rsidRDefault="0011529A" w14:paraId="736425F2" w14:textId="6410BB8F">
            <w:pPr>
              <w:pStyle w:val="TableText"/>
              <w:spacing w:after="0"/>
              <w:rPr>
                <w:spacing w:val="-4"/>
                <w:sz w:val="18"/>
                <w:szCs w:val="18"/>
              </w:rPr>
            </w:pPr>
            <w:r>
              <w:rPr>
                <w:spacing w:val="-4"/>
                <w:sz w:val="18"/>
                <w:szCs w:val="18"/>
              </w:rPr>
              <w:lastRenderedPageBreak/>
              <w:t>Administrative Data</w:t>
            </w:r>
          </w:p>
          <w:p w:rsidR="00D3279E" w:rsidP="00585D6F" w:rsidRDefault="00D3279E" w14:paraId="4C07A387" w14:textId="29CE88D5">
            <w:pPr>
              <w:pStyle w:val="TableText"/>
              <w:spacing w:after="0"/>
              <w:rPr>
                <w:spacing w:val="-4"/>
                <w:sz w:val="18"/>
                <w:szCs w:val="18"/>
              </w:rPr>
            </w:pPr>
            <w:r>
              <w:rPr>
                <w:spacing w:val="-4"/>
                <w:sz w:val="18"/>
                <w:szCs w:val="18"/>
              </w:rPr>
              <w:lastRenderedPageBreak/>
              <w:t xml:space="preserve">Years 1 &amp; 2: </w:t>
            </w:r>
            <w:r w:rsidRPr="00F55DA7">
              <w:rPr>
                <w:spacing w:val="-4"/>
                <w:sz w:val="18"/>
                <w:szCs w:val="18"/>
              </w:rPr>
              <w:t>Spring</w:t>
            </w:r>
            <w:r>
              <w:rPr>
                <w:spacing w:val="-4"/>
                <w:sz w:val="18"/>
                <w:szCs w:val="18"/>
              </w:rPr>
              <w:t>/Fall</w:t>
            </w:r>
            <w:r w:rsidRPr="00F55DA7">
              <w:rPr>
                <w:spacing w:val="-4"/>
                <w:sz w:val="18"/>
                <w:szCs w:val="18"/>
              </w:rPr>
              <w:t xml:space="preserve"> 2021</w:t>
            </w:r>
          </w:p>
          <w:p w:rsidR="00D3279E" w:rsidP="00585D6F" w:rsidRDefault="00D3279E" w14:paraId="4FF160C0" w14:textId="77777777">
            <w:pPr>
              <w:pStyle w:val="TableText"/>
              <w:spacing w:after="0"/>
              <w:rPr>
                <w:spacing w:val="-4"/>
                <w:sz w:val="18"/>
                <w:szCs w:val="18"/>
              </w:rPr>
            </w:pPr>
          </w:p>
          <w:p w:rsidRPr="00F55DA7" w:rsidR="00D3279E" w:rsidP="00585D6F" w:rsidRDefault="00D3279E" w14:paraId="5F212A1E" w14:textId="5EE4C2B6">
            <w:pPr>
              <w:pStyle w:val="TableText"/>
              <w:spacing w:after="0"/>
              <w:rPr>
                <w:spacing w:val="-4"/>
                <w:sz w:val="18"/>
                <w:szCs w:val="18"/>
              </w:rPr>
            </w:pPr>
            <w:r>
              <w:rPr>
                <w:spacing w:val="-4"/>
                <w:sz w:val="18"/>
                <w:szCs w:val="18"/>
              </w:rPr>
              <w:t xml:space="preserve">Year 3: </w:t>
            </w:r>
            <w:r w:rsidRPr="00F55DA7">
              <w:rPr>
                <w:spacing w:val="-4"/>
                <w:sz w:val="18"/>
                <w:szCs w:val="18"/>
              </w:rPr>
              <w:t>Spring</w:t>
            </w:r>
            <w:r>
              <w:rPr>
                <w:spacing w:val="-4"/>
                <w:sz w:val="18"/>
                <w:szCs w:val="18"/>
              </w:rPr>
              <w:t>/Fall</w:t>
            </w:r>
            <w:r w:rsidRPr="00F55DA7">
              <w:rPr>
                <w:spacing w:val="-4"/>
                <w:sz w:val="18"/>
                <w:szCs w:val="18"/>
              </w:rPr>
              <w:t xml:space="preserve"> 202</w:t>
            </w:r>
            <w:r>
              <w:rPr>
                <w:spacing w:val="-4"/>
                <w:sz w:val="18"/>
                <w:szCs w:val="18"/>
              </w:rPr>
              <w:t>2</w:t>
            </w:r>
          </w:p>
        </w:tc>
        <w:tc>
          <w:tcPr>
            <w:tcW w:w="3023" w:type="pct"/>
            <w:shd w:val="clear" w:color="auto" w:fill="auto"/>
          </w:tcPr>
          <w:p w:rsidRPr="003D5388" w:rsidR="00D3279E" w:rsidP="00232567" w:rsidRDefault="00D3279E" w14:paraId="14506EF6" w14:textId="3AB173B1">
            <w:pPr>
              <w:pStyle w:val="TableText"/>
              <w:numPr>
                <w:ilvl w:val="0"/>
                <w:numId w:val="4"/>
              </w:numPr>
              <w:spacing w:after="0" w:line="240" w:lineRule="auto"/>
              <w:rPr>
                <w:spacing w:val="-4"/>
                <w:sz w:val="18"/>
                <w:szCs w:val="18"/>
              </w:rPr>
            </w:pPr>
            <w:r w:rsidRPr="003D5388">
              <w:rPr>
                <w:spacing w:val="-4"/>
                <w:sz w:val="18"/>
                <w:szCs w:val="18"/>
              </w:rPr>
              <w:lastRenderedPageBreak/>
              <w:t>Document type of problems that CC projects are addressing</w:t>
            </w:r>
            <w:r w:rsidR="008A1623">
              <w:rPr>
                <w:spacing w:val="-4"/>
                <w:sz w:val="18"/>
                <w:szCs w:val="18"/>
              </w:rPr>
              <w:t xml:space="preserve"> (RQ 1.1)</w:t>
            </w:r>
          </w:p>
          <w:p w:rsidRPr="003D5388" w:rsidR="00D3279E" w:rsidP="00232567" w:rsidRDefault="00D3279E" w14:paraId="6CBD9CDF" w14:textId="4B2FFB83">
            <w:pPr>
              <w:pStyle w:val="TableText"/>
              <w:numPr>
                <w:ilvl w:val="0"/>
                <w:numId w:val="4"/>
              </w:numPr>
              <w:spacing w:after="0" w:line="240" w:lineRule="auto"/>
              <w:rPr>
                <w:spacing w:val="-4"/>
                <w:sz w:val="18"/>
                <w:szCs w:val="18"/>
              </w:rPr>
            </w:pPr>
            <w:r w:rsidRPr="003D5388">
              <w:rPr>
                <w:spacing w:val="-4"/>
                <w:sz w:val="18"/>
                <w:szCs w:val="18"/>
              </w:rPr>
              <w:t>Document types and focus of services that CCs are delivering</w:t>
            </w:r>
            <w:r w:rsidR="008A1623">
              <w:rPr>
                <w:spacing w:val="-4"/>
                <w:sz w:val="18"/>
                <w:szCs w:val="18"/>
              </w:rPr>
              <w:t xml:space="preserve"> (RQ 2.1)</w:t>
            </w:r>
          </w:p>
          <w:p w:rsidRPr="003D5388" w:rsidR="00D3279E" w:rsidP="00232567" w:rsidRDefault="00D3279E" w14:paraId="4137F81E" w14:textId="4B422B0E">
            <w:pPr>
              <w:pStyle w:val="TableText"/>
              <w:numPr>
                <w:ilvl w:val="0"/>
                <w:numId w:val="4"/>
              </w:numPr>
              <w:spacing w:after="0" w:line="240" w:lineRule="auto"/>
              <w:rPr>
                <w:spacing w:val="-4"/>
                <w:sz w:val="18"/>
                <w:szCs w:val="18"/>
              </w:rPr>
            </w:pPr>
            <w:r w:rsidRPr="003D5388">
              <w:rPr>
                <w:spacing w:val="-4"/>
                <w:sz w:val="18"/>
                <w:szCs w:val="18"/>
              </w:rPr>
              <w:t xml:space="preserve">Document process and focus of collaboration between RELs and CCs </w:t>
            </w:r>
            <w:r w:rsidR="008A1623">
              <w:rPr>
                <w:spacing w:val="-4"/>
                <w:sz w:val="18"/>
                <w:szCs w:val="18"/>
              </w:rPr>
              <w:t>(RQ 4.3)</w:t>
            </w:r>
          </w:p>
          <w:p w:rsidRPr="005D173E" w:rsidR="00D3279E" w:rsidP="00232567" w:rsidRDefault="00DD0C1A" w14:paraId="3A31ED12" w14:textId="2331B6D6">
            <w:pPr>
              <w:pStyle w:val="TableText"/>
              <w:numPr>
                <w:ilvl w:val="0"/>
                <w:numId w:val="4"/>
              </w:numPr>
              <w:spacing w:after="0" w:line="240" w:lineRule="auto"/>
              <w:rPr>
                <w:spacing w:val="-4"/>
              </w:rPr>
            </w:pPr>
            <w:r>
              <w:rPr>
                <w:spacing w:val="-4"/>
                <w:sz w:val="18"/>
                <w:szCs w:val="18"/>
              </w:rPr>
              <w:lastRenderedPageBreak/>
              <w:t xml:space="preserve">Pre-populate </w:t>
            </w:r>
            <w:r w:rsidRPr="003D5388" w:rsidR="00D3279E">
              <w:rPr>
                <w:spacing w:val="-4"/>
                <w:sz w:val="18"/>
                <w:szCs w:val="18"/>
              </w:rPr>
              <w:t>interview protocols</w:t>
            </w:r>
            <w:r w:rsidRPr="005D173E" w:rsidR="00D3279E">
              <w:rPr>
                <w:spacing w:val="-4"/>
              </w:rPr>
              <w:t xml:space="preserve"> </w:t>
            </w:r>
            <w:r w:rsidR="008A1623">
              <w:rPr>
                <w:spacing w:val="-4"/>
              </w:rPr>
              <w:t>(RQ 1, 2, 3, 4)</w:t>
            </w:r>
          </w:p>
        </w:tc>
      </w:tr>
      <w:tr w:rsidRPr="00F45027" w:rsidR="00D3279E" w:rsidTr="00102EA9" w14:paraId="2384D501" w14:textId="77777777">
        <w:trPr>
          <w:trHeight w:val="674"/>
        </w:trPr>
        <w:tc>
          <w:tcPr>
            <w:tcW w:w="552" w:type="pct"/>
            <w:shd w:val="clear" w:color="auto" w:fill="E8E8E8"/>
          </w:tcPr>
          <w:p w:rsidRPr="00F55DA7" w:rsidR="00D3279E" w:rsidP="00585D6F" w:rsidRDefault="00D3279E" w14:paraId="1C70A609" w14:textId="5E228AD9">
            <w:pPr>
              <w:pStyle w:val="TableText"/>
              <w:spacing w:after="0"/>
              <w:rPr>
                <w:bCs w:val="0"/>
                <w:spacing w:val="-4"/>
                <w:sz w:val="18"/>
                <w:szCs w:val="18"/>
              </w:rPr>
            </w:pPr>
            <w:r w:rsidRPr="00F55DA7">
              <w:rPr>
                <w:spacing w:val="-4"/>
                <w:sz w:val="18"/>
                <w:szCs w:val="18"/>
              </w:rPr>
              <w:lastRenderedPageBreak/>
              <w:t>Restricted Use Data from 2012 Cycle CC Evaluation</w:t>
            </w:r>
          </w:p>
        </w:tc>
        <w:tc>
          <w:tcPr>
            <w:tcW w:w="870" w:type="pct"/>
            <w:shd w:val="clear" w:color="auto" w:fill="E8E8E8"/>
          </w:tcPr>
          <w:p w:rsidRPr="00F55DA7" w:rsidR="00D3279E" w:rsidP="00585D6F" w:rsidRDefault="00440AE1" w14:paraId="289E751F" w14:textId="3EE5AE0D">
            <w:pPr>
              <w:pStyle w:val="TableText"/>
              <w:spacing w:after="0"/>
              <w:rPr>
                <w:spacing w:val="-4"/>
                <w:sz w:val="18"/>
                <w:szCs w:val="18"/>
              </w:rPr>
            </w:pPr>
            <w:r>
              <w:rPr>
                <w:spacing w:val="-4"/>
                <w:sz w:val="18"/>
                <w:szCs w:val="18"/>
              </w:rPr>
              <w:t xml:space="preserve">None (administrative data from </w:t>
            </w:r>
            <w:r w:rsidRPr="00B03A29" w:rsidR="00B03A29">
              <w:rPr>
                <w:spacing w:val="-4"/>
                <w:sz w:val="18"/>
                <w:szCs w:val="18"/>
              </w:rPr>
              <w:t>U.S. Department of Education, IES</w:t>
            </w:r>
            <w:r>
              <w:rPr>
                <w:spacing w:val="-4"/>
                <w:sz w:val="18"/>
                <w:szCs w:val="18"/>
              </w:rPr>
              <w:t>)</w:t>
            </w:r>
            <w:r w:rsidRPr="00F55DA7">
              <w:rPr>
                <w:spacing w:val="-4"/>
                <w:sz w:val="18"/>
                <w:szCs w:val="18"/>
              </w:rPr>
              <w:t xml:space="preserve"> </w:t>
            </w:r>
          </w:p>
        </w:tc>
        <w:tc>
          <w:tcPr>
            <w:tcW w:w="555" w:type="pct"/>
            <w:shd w:val="clear" w:color="auto" w:fill="E8E8E8"/>
          </w:tcPr>
          <w:p w:rsidRPr="00F55DA7" w:rsidR="00D3279E" w:rsidP="00585D6F" w:rsidRDefault="00EC18B1" w14:paraId="208580B5" w14:textId="15447234">
            <w:pPr>
              <w:pStyle w:val="TableText"/>
              <w:spacing w:after="0"/>
              <w:rPr>
                <w:spacing w:val="-4"/>
                <w:sz w:val="18"/>
                <w:szCs w:val="18"/>
              </w:rPr>
            </w:pPr>
            <w:r>
              <w:rPr>
                <w:spacing w:val="-4"/>
                <w:sz w:val="18"/>
                <w:szCs w:val="18"/>
              </w:rPr>
              <w:t>Spring 2022</w:t>
            </w:r>
          </w:p>
        </w:tc>
        <w:tc>
          <w:tcPr>
            <w:tcW w:w="3023" w:type="pct"/>
            <w:shd w:val="clear" w:color="auto" w:fill="E8E8E8"/>
          </w:tcPr>
          <w:p w:rsidRPr="003D5388" w:rsidR="00D3279E" w:rsidP="00232567" w:rsidRDefault="00D3279E" w14:paraId="6636D561" w14:textId="1A112953">
            <w:pPr>
              <w:pStyle w:val="TableText"/>
              <w:numPr>
                <w:ilvl w:val="0"/>
                <w:numId w:val="4"/>
              </w:numPr>
              <w:spacing w:after="0" w:line="240" w:lineRule="auto"/>
              <w:rPr>
                <w:spacing w:val="-4"/>
                <w:sz w:val="18"/>
                <w:szCs w:val="18"/>
              </w:rPr>
            </w:pPr>
            <w:r w:rsidRPr="003D5388">
              <w:rPr>
                <w:spacing w:val="-4"/>
                <w:sz w:val="18"/>
                <w:szCs w:val="18"/>
              </w:rPr>
              <w:t>Document dimensions of capacity addressed by CC projects</w:t>
            </w:r>
            <w:r w:rsidR="008A1623">
              <w:rPr>
                <w:spacing w:val="-4"/>
                <w:sz w:val="18"/>
                <w:szCs w:val="18"/>
              </w:rPr>
              <w:t xml:space="preserve"> (RQ 3.1)</w:t>
            </w:r>
          </w:p>
          <w:p w:rsidRPr="003D5388" w:rsidR="00D3279E" w:rsidP="00232567" w:rsidRDefault="008B77A7" w14:paraId="277A8DCA" w14:textId="691C2E7A">
            <w:pPr>
              <w:pStyle w:val="TableText"/>
              <w:numPr>
                <w:ilvl w:val="0"/>
                <w:numId w:val="4"/>
              </w:numPr>
              <w:spacing w:after="0" w:line="240" w:lineRule="auto"/>
              <w:rPr>
                <w:spacing w:val="-4"/>
                <w:sz w:val="18"/>
                <w:szCs w:val="18"/>
              </w:rPr>
            </w:pPr>
            <w:r w:rsidRPr="003D5388">
              <w:rPr>
                <w:spacing w:val="-4"/>
                <w:sz w:val="18"/>
                <w:szCs w:val="18"/>
              </w:rPr>
              <w:t>Compare perceptions of the</w:t>
            </w:r>
            <w:r w:rsidRPr="003D5388" w:rsidR="00D3279E">
              <w:rPr>
                <w:spacing w:val="-4"/>
                <w:sz w:val="18"/>
                <w:szCs w:val="18"/>
              </w:rPr>
              <w:t xml:space="preserve"> extent to which CCs improve</w:t>
            </w:r>
            <w:r w:rsidRPr="003D5388">
              <w:rPr>
                <w:spacing w:val="-4"/>
                <w:sz w:val="18"/>
                <w:szCs w:val="18"/>
              </w:rPr>
              <w:t>d</w:t>
            </w:r>
            <w:r w:rsidRPr="003D5388" w:rsidR="00D3279E">
              <w:rPr>
                <w:spacing w:val="-4"/>
                <w:sz w:val="18"/>
                <w:szCs w:val="18"/>
              </w:rPr>
              <w:t xml:space="preserve"> capacity </w:t>
            </w:r>
            <w:r w:rsidRPr="003D5388">
              <w:rPr>
                <w:spacing w:val="-4"/>
                <w:sz w:val="18"/>
                <w:szCs w:val="18"/>
              </w:rPr>
              <w:t xml:space="preserve">between the </w:t>
            </w:r>
            <w:r w:rsidRPr="003D5388" w:rsidR="00D3279E">
              <w:rPr>
                <w:spacing w:val="-4"/>
                <w:sz w:val="18"/>
                <w:szCs w:val="18"/>
              </w:rPr>
              <w:t xml:space="preserve">2012 </w:t>
            </w:r>
            <w:r w:rsidRPr="003D5388">
              <w:rPr>
                <w:spacing w:val="-4"/>
                <w:sz w:val="18"/>
                <w:szCs w:val="18"/>
              </w:rPr>
              <w:t xml:space="preserve">and 2019 </w:t>
            </w:r>
            <w:r w:rsidRPr="003D5388" w:rsidR="00D3279E">
              <w:rPr>
                <w:spacing w:val="-4"/>
                <w:sz w:val="18"/>
                <w:szCs w:val="18"/>
              </w:rPr>
              <w:t>cohort</w:t>
            </w:r>
            <w:r w:rsidRPr="003D5388">
              <w:rPr>
                <w:spacing w:val="-4"/>
                <w:sz w:val="18"/>
                <w:szCs w:val="18"/>
              </w:rPr>
              <w:t>s</w:t>
            </w:r>
            <w:r w:rsidR="008A1623">
              <w:rPr>
                <w:spacing w:val="-4"/>
                <w:sz w:val="18"/>
                <w:szCs w:val="18"/>
              </w:rPr>
              <w:t xml:space="preserve"> (RQ 4.1)</w:t>
            </w:r>
          </w:p>
          <w:p w:rsidRPr="0094394F" w:rsidR="00D3279E" w:rsidP="00232567" w:rsidRDefault="008B77A7" w14:paraId="2A08828B" w14:textId="0E41CF7F">
            <w:pPr>
              <w:pStyle w:val="TableText"/>
              <w:numPr>
                <w:ilvl w:val="0"/>
                <w:numId w:val="4"/>
              </w:numPr>
              <w:spacing w:after="0" w:line="240" w:lineRule="auto"/>
              <w:rPr>
                <w:spacing w:val="-4"/>
              </w:rPr>
            </w:pPr>
            <w:r w:rsidRPr="003D5388">
              <w:rPr>
                <w:spacing w:val="-4"/>
                <w:sz w:val="18"/>
                <w:szCs w:val="18"/>
              </w:rPr>
              <w:t xml:space="preserve">Compare perceived </w:t>
            </w:r>
            <w:r w:rsidRPr="003D5388" w:rsidR="00D3279E">
              <w:rPr>
                <w:spacing w:val="-4"/>
                <w:sz w:val="18"/>
                <w:szCs w:val="18"/>
              </w:rPr>
              <w:t xml:space="preserve">successes and challenges in addressing capacity needs </w:t>
            </w:r>
            <w:r w:rsidRPr="003D5388">
              <w:rPr>
                <w:spacing w:val="-4"/>
                <w:sz w:val="18"/>
                <w:szCs w:val="18"/>
              </w:rPr>
              <w:t>between the</w:t>
            </w:r>
            <w:r w:rsidRPr="003D5388" w:rsidR="00D3279E">
              <w:rPr>
                <w:spacing w:val="-4"/>
                <w:sz w:val="18"/>
                <w:szCs w:val="18"/>
              </w:rPr>
              <w:t xml:space="preserve"> 2012 </w:t>
            </w:r>
            <w:r w:rsidRPr="003D5388">
              <w:rPr>
                <w:spacing w:val="-4"/>
                <w:sz w:val="18"/>
                <w:szCs w:val="18"/>
              </w:rPr>
              <w:t xml:space="preserve">and 2019 </w:t>
            </w:r>
            <w:r w:rsidRPr="003D5388" w:rsidR="00D3279E">
              <w:rPr>
                <w:spacing w:val="-4"/>
                <w:sz w:val="18"/>
                <w:szCs w:val="18"/>
              </w:rPr>
              <w:t>cohort</w:t>
            </w:r>
            <w:r w:rsidRPr="003D5388">
              <w:rPr>
                <w:spacing w:val="-4"/>
                <w:sz w:val="18"/>
                <w:szCs w:val="18"/>
              </w:rPr>
              <w:t>s</w:t>
            </w:r>
            <w:r w:rsidR="008A1623">
              <w:rPr>
                <w:spacing w:val="-4"/>
                <w:sz w:val="18"/>
                <w:szCs w:val="18"/>
              </w:rPr>
              <w:t xml:space="preserve"> (RQ 4.1)</w:t>
            </w:r>
          </w:p>
        </w:tc>
      </w:tr>
    </w:tbl>
    <w:p w:rsidR="0039262C" w:rsidP="00FC6E48" w:rsidRDefault="0039262C" w14:paraId="7CE7DBFE" w14:textId="70D9DC99">
      <w:pPr>
        <w:pStyle w:val="BodyText"/>
      </w:pPr>
    </w:p>
    <w:p w:rsidR="00FC6E48" w:rsidP="00FC6E48" w:rsidRDefault="00FC6E48" w14:paraId="155D94DE" w14:textId="77777777">
      <w:pPr>
        <w:pStyle w:val="BodyText"/>
      </w:pPr>
    </w:p>
    <w:bookmarkEnd w:id="17"/>
    <w:bookmarkEnd w:id="18"/>
    <w:bookmarkEnd w:id="19"/>
    <w:p w:rsidR="00893DCD" w:rsidP="004E6593" w:rsidRDefault="00893DCD" w14:paraId="6F15C48D" w14:textId="77777777">
      <w:pPr>
        <w:pStyle w:val="BodyText"/>
        <w:sectPr w:rsidR="00893DCD" w:rsidSect="00A87EC6">
          <w:headerReference w:type="default" r:id="rId19"/>
          <w:footerReference w:type="default" r:id="rId20"/>
          <w:pgSz w:w="15840" w:h="12240" w:orient="landscape" w:code="1"/>
          <w:pgMar w:top="1440" w:right="1440" w:bottom="1440" w:left="1440" w:header="1080" w:footer="720" w:gutter="0"/>
          <w:cols w:space="720"/>
          <w:docGrid w:linePitch="299"/>
        </w:sectPr>
      </w:pPr>
    </w:p>
    <w:p w:rsidRPr="009C765B" w:rsidR="0049371C" w:rsidP="0049371C" w:rsidRDefault="0049371C" w14:paraId="4AAF8A53" w14:textId="26964295">
      <w:pPr>
        <w:pStyle w:val="Heading2"/>
        <w:pBdr>
          <w:top w:val="single" w:color="D0D3D4" w:sz="6" w:space="0"/>
        </w:pBdr>
      </w:pPr>
      <w:bookmarkStart w:name="_Toc79418618" w:id="20"/>
      <w:r w:rsidRPr="001034D3">
        <w:lastRenderedPageBreak/>
        <w:t>A</w:t>
      </w:r>
      <w:r>
        <w:t>.</w:t>
      </w:r>
      <w:r w:rsidRPr="001034D3">
        <w:t>3</w:t>
      </w:r>
      <w:bookmarkStart w:name="_Toc54897890" w:id="21"/>
      <w:r w:rsidR="00D27B5B">
        <w:tab/>
      </w:r>
      <w:r w:rsidRPr="009C765B">
        <w:t>Use of Information Technology and Burden Reduction</w:t>
      </w:r>
      <w:bookmarkEnd w:id="20"/>
      <w:bookmarkEnd w:id="21"/>
    </w:p>
    <w:p w:rsidRPr="00322F10" w:rsidR="0049371C" w:rsidP="00322F10" w:rsidRDefault="001E000A" w14:paraId="4B5A7F79" w14:textId="1180BD18">
      <w:pPr>
        <w:pStyle w:val="BodyText"/>
      </w:pPr>
      <w:r w:rsidRPr="009C765B">
        <w:t xml:space="preserve">To minimize burden on study participants, the </w:t>
      </w:r>
      <w:r w:rsidRPr="00322F10">
        <w:t>study team will</w:t>
      </w:r>
      <w:r>
        <w:t xml:space="preserve"> </w:t>
      </w:r>
      <w:r w:rsidRPr="009C765B">
        <w:t>use strategies that have proven successful in past studies the team has conducted</w:t>
      </w:r>
      <w:r w:rsidRPr="00322F10" w:rsidR="0049371C">
        <w:t>. General strategies to minimize burden using technology are described below. Other strategies for minimizing burden are discussed in section A.4.</w:t>
      </w:r>
    </w:p>
    <w:p w:rsidRPr="00237DB7" w:rsidR="00893DCD" w:rsidP="00237DB7" w:rsidRDefault="00893DCD" w14:paraId="508304DE" w14:textId="49EE1B34">
      <w:pPr>
        <w:pStyle w:val="Heading3"/>
        <w:tabs>
          <w:tab w:val="num" w:pos="720"/>
        </w:tabs>
        <w:rPr>
          <w:i w:val="0"/>
          <w:szCs w:val="24"/>
        </w:rPr>
      </w:pPr>
      <w:bookmarkStart w:name="_Toc79418619" w:id="22"/>
      <w:r w:rsidRPr="00237DB7">
        <w:rPr>
          <w:i w:val="0"/>
          <w:szCs w:val="24"/>
        </w:rPr>
        <w:t>A.3.1</w:t>
      </w:r>
      <w:r w:rsidR="00237DB7">
        <w:rPr>
          <w:i w:val="0"/>
          <w:szCs w:val="24"/>
        </w:rPr>
        <w:tab/>
      </w:r>
      <w:r w:rsidRPr="00237DB7">
        <w:rPr>
          <w:i w:val="0"/>
          <w:szCs w:val="24"/>
        </w:rPr>
        <w:t>Administrative Data</w:t>
      </w:r>
      <w:bookmarkEnd w:id="22"/>
    </w:p>
    <w:p w:rsidR="004906FB" w:rsidP="00322F10" w:rsidRDefault="00DB11D9" w14:paraId="496C1A68" w14:textId="0412EE5E">
      <w:pPr>
        <w:pStyle w:val="BodyText"/>
      </w:pPr>
      <w:r w:rsidRPr="00322F10">
        <w:t xml:space="preserve">The </w:t>
      </w:r>
      <w:r w:rsidR="0096215D">
        <w:t>study is limiting the scope of the surveys</w:t>
      </w:r>
      <w:r w:rsidR="00B17768">
        <w:t xml:space="preserve"> and interviews</w:t>
      </w:r>
      <w:r w:rsidR="0096215D">
        <w:t xml:space="preserve"> by drawing on </w:t>
      </w:r>
      <w:r w:rsidRPr="00322F10" w:rsidR="00893DCD">
        <w:t xml:space="preserve">administrative data </w:t>
      </w:r>
      <w:r w:rsidR="0096215D">
        <w:t xml:space="preserve">collected by the Department. </w:t>
      </w:r>
      <w:r w:rsidR="006B1F9E">
        <w:t>This administrative data includes</w:t>
      </w:r>
      <w:r w:rsidR="004906FB">
        <w:t>:</w:t>
      </w:r>
    </w:p>
    <w:p w:rsidR="004906FB" w:rsidP="00232567" w:rsidRDefault="004906FB" w14:paraId="5C0CDEE1" w14:textId="654F2D0A">
      <w:pPr>
        <w:pStyle w:val="BodyText"/>
        <w:numPr>
          <w:ilvl w:val="0"/>
          <w:numId w:val="9"/>
        </w:numPr>
      </w:pPr>
      <w:r w:rsidRPr="00D266AB">
        <w:rPr>
          <w:b/>
          <w:bCs/>
        </w:rPr>
        <w:t>Annual Service Plans</w:t>
      </w:r>
      <w:r>
        <w:t>, which are collected at the beginning of each fiscal year and provide information about projects planned for the coming year. The CC program office provides Annual Service Plan templates to each CC to ensure these data are structured consistently across Centers.</w:t>
      </w:r>
    </w:p>
    <w:p w:rsidR="004906FB" w:rsidP="00232567" w:rsidRDefault="004906FB" w14:paraId="6ED91B3E" w14:textId="03A57E89">
      <w:pPr>
        <w:pStyle w:val="BodyText"/>
        <w:numPr>
          <w:ilvl w:val="0"/>
          <w:numId w:val="9"/>
        </w:numPr>
      </w:pPr>
      <w:r w:rsidRPr="00D266AB">
        <w:rPr>
          <w:b/>
          <w:bCs/>
        </w:rPr>
        <w:t>Annual Evaluation Reports</w:t>
      </w:r>
      <w:r>
        <w:t>, which are collected at the end of each fiscal year and provide internal CC evaluation findings. These reports are in narrative format.</w:t>
      </w:r>
    </w:p>
    <w:p w:rsidR="004906FB" w:rsidP="00232567" w:rsidRDefault="004906FB" w14:paraId="7EF402BE" w14:textId="6A2A59F2">
      <w:pPr>
        <w:pStyle w:val="BodyText"/>
        <w:numPr>
          <w:ilvl w:val="0"/>
          <w:numId w:val="9"/>
        </w:numPr>
      </w:pPr>
      <w:r w:rsidRPr="00D266AB">
        <w:rPr>
          <w:b/>
          <w:bCs/>
        </w:rPr>
        <w:t>Joint Needs Sensing Memos</w:t>
      </w:r>
      <w:r>
        <w:t>, which present the results of discussions between the CCs and the RELs to identify key needs in each region.</w:t>
      </w:r>
    </w:p>
    <w:p w:rsidRPr="00322F10" w:rsidR="00CC0292" w:rsidP="004906FB" w:rsidRDefault="006B1F9E" w14:paraId="0F59B48F" w14:textId="69FB4460">
      <w:pPr>
        <w:pStyle w:val="BodyText"/>
      </w:pPr>
      <w:r>
        <w:t>In addition, to allow for some comparison</w:t>
      </w:r>
      <w:r w:rsidR="001A4CA7">
        <w:t>s</w:t>
      </w:r>
      <w:r>
        <w:t xml:space="preserve"> of the CC program over time, the study will draw on t</w:t>
      </w:r>
      <w:r w:rsidRPr="00322F10" w:rsidR="00CC0292">
        <w:t xml:space="preserve">he restricted use data from </w:t>
      </w:r>
      <w:r>
        <w:t xml:space="preserve">an evaluation of </w:t>
      </w:r>
      <w:r w:rsidRPr="00322F10" w:rsidR="00CC0292">
        <w:t xml:space="preserve">the 2012 cycle </w:t>
      </w:r>
      <w:r>
        <w:t xml:space="preserve">of </w:t>
      </w:r>
      <w:r w:rsidRPr="00322F10" w:rsidR="00CC0292">
        <w:t>CC</w:t>
      </w:r>
      <w:r>
        <w:t xml:space="preserve"> grants.</w:t>
      </w:r>
      <w:r w:rsidRPr="00322F10" w:rsidDel="006B1F9E">
        <w:t xml:space="preserve"> </w:t>
      </w:r>
    </w:p>
    <w:p w:rsidRPr="00AC69C7" w:rsidR="0002673C" w:rsidP="00AC69C7" w:rsidRDefault="0002673C" w14:paraId="7771D737" w14:textId="08CC14FC">
      <w:pPr>
        <w:pStyle w:val="Heading3"/>
        <w:tabs>
          <w:tab w:val="num" w:pos="720"/>
        </w:tabs>
        <w:rPr>
          <w:i w:val="0"/>
          <w:szCs w:val="24"/>
        </w:rPr>
      </w:pPr>
      <w:bookmarkStart w:name="_Toc79418620" w:id="23"/>
      <w:bookmarkStart w:name="_Hlk79414613" w:id="24"/>
      <w:r w:rsidRPr="00AC69C7">
        <w:rPr>
          <w:i w:val="0"/>
          <w:szCs w:val="24"/>
        </w:rPr>
        <w:t>A.3.</w:t>
      </w:r>
      <w:r w:rsidRPr="00AC69C7" w:rsidR="00893DCD">
        <w:rPr>
          <w:i w:val="0"/>
          <w:szCs w:val="24"/>
        </w:rPr>
        <w:t>2</w:t>
      </w:r>
      <w:r w:rsidR="00AC69C7">
        <w:rPr>
          <w:i w:val="0"/>
          <w:szCs w:val="24"/>
        </w:rPr>
        <w:tab/>
      </w:r>
      <w:r w:rsidRPr="00AC69C7" w:rsidR="00DB11D9">
        <w:rPr>
          <w:i w:val="0"/>
          <w:szCs w:val="24"/>
        </w:rPr>
        <w:t>T</w:t>
      </w:r>
      <w:r w:rsidRPr="00AC69C7">
        <w:rPr>
          <w:i w:val="0"/>
          <w:szCs w:val="24"/>
        </w:rPr>
        <w:t xml:space="preserve">A </w:t>
      </w:r>
      <w:r w:rsidRPr="00AC69C7" w:rsidR="00DB11D9">
        <w:rPr>
          <w:i w:val="0"/>
          <w:szCs w:val="24"/>
        </w:rPr>
        <w:t xml:space="preserve">Recipient </w:t>
      </w:r>
      <w:r w:rsidRPr="00AC69C7">
        <w:rPr>
          <w:i w:val="0"/>
          <w:szCs w:val="24"/>
        </w:rPr>
        <w:t>Survey</w:t>
      </w:r>
      <w:bookmarkEnd w:id="23"/>
    </w:p>
    <w:bookmarkEnd w:id="24"/>
    <w:p w:rsidR="0002673C" w:rsidP="004E6593" w:rsidRDefault="0002673C" w14:paraId="655A4972" w14:textId="77814B9B">
      <w:pPr>
        <w:pStyle w:val="BodyText"/>
      </w:pPr>
      <w:r>
        <w:t xml:space="preserve">The study team will use the </w:t>
      </w:r>
      <w:r w:rsidR="00234730">
        <w:t xml:space="preserve">Confirmit </w:t>
      </w:r>
      <w:r>
        <w:t xml:space="preserve">Horizons </w:t>
      </w:r>
      <w:r w:rsidRPr="00593A74">
        <w:t xml:space="preserve">platform </w:t>
      </w:r>
      <w:r w:rsidR="00234730">
        <w:t>which will allow TA recipients to respond to the survey at the most convenient time within the survey window, ensuring that survey response is as low-burden as possible. The study team chose this platform for th</w:t>
      </w:r>
      <w:r w:rsidRPr="004A3FFE">
        <w:t>e</w:t>
      </w:r>
      <w:r>
        <w:t xml:space="preserve"> </w:t>
      </w:r>
      <w:r w:rsidR="00DB11D9">
        <w:t>T</w:t>
      </w:r>
      <w:r w:rsidR="004E0BA7">
        <w:t xml:space="preserve">A </w:t>
      </w:r>
      <w:r w:rsidR="00DB11D9">
        <w:t xml:space="preserve">Recipient </w:t>
      </w:r>
      <w:r w:rsidR="004E0BA7">
        <w:t>Survey</w:t>
      </w:r>
      <w:r>
        <w:t xml:space="preserve">, given its </w:t>
      </w:r>
      <w:r w:rsidRPr="004A3FFE">
        <w:t xml:space="preserve">compatibility with desktop, laptop, tablet, and </w:t>
      </w:r>
      <w:r>
        <w:t xml:space="preserve">mobile survey completion. Features of the survey include: </w:t>
      </w:r>
    </w:p>
    <w:p w:rsidRPr="00D329AE" w:rsidR="0002673C" w:rsidP="0094394F" w:rsidRDefault="00893DCD" w14:paraId="53C08CFB" w14:textId="08B91BE0">
      <w:pPr>
        <w:pStyle w:val="Bullets"/>
      </w:pPr>
      <w:r>
        <w:rPr>
          <w:b/>
        </w:rPr>
        <w:t>P</w:t>
      </w:r>
      <w:r w:rsidR="0002673C">
        <w:rPr>
          <w:b/>
        </w:rPr>
        <w:t xml:space="preserve">ersonalized Access. </w:t>
      </w:r>
      <w:r w:rsidR="0002673C">
        <w:t xml:space="preserve">A </w:t>
      </w:r>
      <w:r w:rsidRPr="004A3FFE" w:rsidR="0002673C">
        <w:t>custom</w:t>
      </w:r>
      <w:r w:rsidR="0002673C">
        <w:t>ized survey link</w:t>
      </w:r>
      <w:r w:rsidRPr="004A3FFE" w:rsidR="0002673C">
        <w:t xml:space="preserve"> </w:t>
      </w:r>
      <w:r w:rsidR="0002673C">
        <w:t xml:space="preserve">will be created </w:t>
      </w:r>
      <w:r w:rsidRPr="004A3FFE" w:rsidR="0002673C">
        <w:t>for eac</w:t>
      </w:r>
      <w:r w:rsidR="0002673C">
        <w:t xml:space="preserve">h potential respondent. Respondents can exit the survey and return to finish their response at any time. </w:t>
      </w:r>
    </w:p>
    <w:p w:rsidRPr="00D329AE" w:rsidR="0002673C" w:rsidP="0094394F" w:rsidRDefault="0002673C" w14:paraId="2DD58144" w14:textId="551E0F40">
      <w:pPr>
        <w:pStyle w:val="Bullets"/>
      </w:pPr>
      <w:r>
        <w:rPr>
          <w:b/>
        </w:rPr>
        <w:t xml:space="preserve">Closed-ended Questions. </w:t>
      </w:r>
      <w:r>
        <w:t xml:space="preserve">The survey questions are closed-ended, which reduces burden on participants. </w:t>
      </w:r>
      <w:r w:rsidRPr="009502B4">
        <w:t>For a small number of items, respondents will be able to select “other” and provide an additional option, if applicable.</w:t>
      </w:r>
    </w:p>
    <w:p w:rsidRPr="00D329AE" w:rsidR="00D329AE" w:rsidP="0094394F" w:rsidRDefault="00375C7C" w14:paraId="2752E41D" w14:textId="41AA39F2">
      <w:pPr>
        <w:pStyle w:val="Bullets"/>
      </w:pPr>
      <w:r>
        <w:rPr>
          <w:b/>
        </w:rPr>
        <w:t>Automated</w:t>
      </w:r>
      <w:r w:rsidR="00D329AE">
        <w:rPr>
          <w:b/>
        </w:rPr>
        <w:t xml:space="preserve"> Skip Patterns. </w:t>
      </w:r>
      <w:r w:rsidR="00B95CA2">
        <w:t xml:space="preserve">Skip logic will be programmed into the survey to reduce burden on participants by omitting questions that are not applicable based on previous responses. </w:t>
      </w:r>
      <w:r w:rsidR="00EA5E07">
        <w:t>This programming helps to eliminate the need for respondent follow-up about missing data and/or responses</w:t>
      </w:r>
      <w:r w:rsidR="00C41588">
        <w:t xml:space="preserve"> that would not be feasible in any circumstance</w:t>
      </w:r>
      <w:r w:rsidR="00EA5E07">
        <w:t>.</w:t>
      </w:r>
    </w:p>
    <w:p w:rsidR="00D329AE" w:rsidP="0094394F" w:rsidRDefault="00D329AE" w14:paraId="3895E82A" w14:textId="5DA4309D">
      <w:pPr>
        <w:pStyle w:val="Bullets"/>
      </w:pPr>
      <w:r>
        <w:rPr>
          <w:b/>
        </w:rPr>
        <w:t>Automated Validation Checks.</w:t>
      </w:r>
      <w:r w:rsidR="00B95CA2">
        <w:rPr>
          <w:b/>
        </w:rPr>
        <w:t xml:space="preserve"> </w:t>
      </w:r>
      <w:r w:rsidRPr="00B95CA2" w:rsidR="00B95CA2">
        <w:t>Th</w:t>
      </w:r>
      <w:r w:rsidR="00B95CA2">
        <w:t xml:space="preserve">e </w:t>
      </w:r>
      <w:r w:rsidR="001115B3">
        <w:t>study</w:t>
      </w:r>
      <w:r w:rsidR="00B95CA2">
        <w:t xml:space="preserve"> team</w:t>
      </w:r>
      <w:r w:rsidRPr="004A3FFE" w:rsidR="00B95CA2">
        <w:t xml:space="preserve"> will program the survey to limit inaccurate data entries </w:t>
      </w:r>
      <w:r w:rsidRPr="004A3FFE" w:rsidR="00905360">
        <w:t>by validating any numerical entries to ensure they are wit</w:t>
      </w:r>
      <w:r w:rsidR="00905360">
        <w:t>hin an acceptable range. The survey will limit the potential for missing item-level data by</w:t>
      </w:r>
      <w:r w:rsidR="00B95CA2">
        <w:t xml:space="preserve"> </w:t>
      </w:r>
      <w:r w:rsidRPr="004A3FFE" w:rsidR="00B95CA2">
        <w:t>prompt</w:t>
      </w:r>
      <w:r w:rsidR="00B95CA2">
        <w:t>ing</w:t>
      </w:r>
      <w:r w:rsidRPr="004A3FFE" w:rsidR="00B95CA2">
        <w:t xml:space="preserve"> respondents for responses when </w:t>
      </w:r>
      <w:r w:rsidR="00905360">
        <w:t>they skip a question</w:t>
      </w:r>
      <w:r w:rsidRPr="004A3FFE" w:rsidR="00B95CA2">
        <w:t>.</w:t>
      </w:r>
      <w:r w:rsidR="00B95CA2">
        <w:t xml:space="preserve"> These checks help ensure accuracy and </w:t>
      </w:r>
      <w:r w:rsidR="00AA0E18">
        <w:t>eliminate</w:t>
      </w:r>
      <w:r w:rsidR="00B95CA2">
        <w:t xml:space="preserve"> the need for respondent follow-up. </w:t>
      </w:r>
    </w:p>
    <w:p w:rsidR="00B92D07" w:rsidP="00D266AB" w:rsidRDefault="00B92D07" w14:paraId="77393468" w14:textId="4950BE5A">
      <w:pPr>
        <w:pStyle w:val="Bullets"/>
        <w:numPr>
          <w:ilvl w:val="0"/>
          <w:numId w:val="0"/>
        </w:numPr>
        <w:spacing w:line="264" w:lineRule="auto"/>
      </w:pPr>
      <w:r>
        <w:t>Before finalizing the TA recipient survey, the study team pilot</w:t>
      </w:r>
      <w:r w:rsidR="009662DD">
        <w:t xml:space="preserve"> tested</w:t>
      </w:r>
      <w:r>
        <w:t xml:space="preserve"> the survey, embedding cognitive interviews in the process, with three TA recipients from different regions who </w:t>
      </w:r>
      <w:r w:rsidR="009662DD">
        <w:t>we</w:t>
      </w:r>
      <w:r>
        <w:t xml:space="preserve">re nominated by CC Directors. This piloting process </w:t>
      </w:r>
      <w:r w:rsidRPr="00BA213F">
        <w:t>collect</w:t>
      </w:r>
      <w:r w:rsidR="009662DD">
        <w:t>ed</w:t>
      </w:r>
      <w:r w:rsidRPr="00BA213F">
        <w:t xml:space="preserve"> feedback </w:t>
      </w:r>
      <w:r>
        <w:t xml:space="preserve">about survey length, clarity, and relevance, and </w:t>
      </w:r>
      <w:r w:rsidRPr="00BA213F">
        <w:t>identif</w:t>
      </w:r>
      <w:r w:rsidR="009662DD">
        <w:t xml:space="preserve">ied </w:t>
      </w:r>
      <w:r w:rsidRPr="00BA213F">
        <w:t>areas of confusion, misunderstanding, o</w:t>
      </w:r>
      <w:r>
        <w:t>r gaps in the survey instrument</w:t>
      </w:r>
      <w:r w:rsidRPr="00BA213F">
        <w:t>.</w:t>
      </w:r>
      <w:r>
        <w:t xml:space="preserve"> </w:t>
      </w:r>
      <w:r w:rsidRPr="005327C4">
        <w:t xml:space="preserve">Based on feedback </w:t>
      </w:r>
      <w:r w:rsidRPr="005327C4">
        <w:lastRenderedPageBreak/>
        <w:t xml:space="preserve">from the piloting process, </w:t>
      </w:r>
      <w:r>
        <w:t xml:space="preserve">the study team </w:t>
      </w:r>
      <w:r w:rsidR="009662DD">
        <w:t>made</w:t>
      </w:r>
      <w:r w:rsidRPr="005327C4">
        <w:t xml:space="preserve"> adjustments to the </w:t>
      </w:r>
      <w:r>
        <w:t xml:space="preserve">survey in order to ensure the questions are clear, relevant, and will elicit useful data, thus reducing burden on respondents. </w:t>
      </w:r>
      <w:r w:rsidR="00DD4D0C">
        <w:t>R</w:t>
      </w:r>
      <w:r>
        <w:t xml:space="preserve">espondents </w:t>
      </w:r>
      <w:r w:rsidR="00DD4D0C">
        <w:t>who</w:t>
      </w:r>
      <w:r>
        <w:t xml:space="preserve"> pilot the survey will not be asked to complete the survey again during the data collection window. </w:t>
      </w:r>
    </w:p>
    <w:p w:rsidRPr="00AC69C7" w:rsidR="0002673C" w:rsidP="00AC69C7" w:rsidRDefault="0002673C" w14:paraId="499C26FE" w14:textId="2326284E">
      <w:pPr>
        <w:pStyle w:val="Heading3"/>
        <w:tabs>
          <w:tab w:val="num" w:pos="720"/>
        </w:tabs>
        <w:rPr>
          <w:i w:val="0"/>
          <w:szCs w:val="24"/>
        </w:rPr>
      </w:pPr>
      <w:bookmarkStart w:name="_Toc79418621" w:id="25"/>
      <w:r w:rsidRPr="00AC69C7">
        <w:rPr>
          <w:i w:val="0"/>
          <w:szCs w:val="24"/>
        </w:rPr>
        <w:t>A.3.</w:t>
      </w:r>
      <w:r w:rsidRPr="00AC69C7" w:rsidR="00CC0292">
        <w:rPr>
          <w:i w:val="0"/>
          <w:szCs w:val="24"/>
        </w:rPr>
        <w:t>3</w:t>
      </w:r>
      <w:r w:rsidR="00AC69C7">
        <w:rPr>
          <w:i w:val="0"/>
          <w:szCs w:val="24"/>
        </w:rPr>
        <w:tab/>
      </w:r>
      <w:r w:rsidRPr="00AC69C7">
        <w:rPr>
          <w:i w:val="0"/>
          <w:szCs w:val="24"/>
        </w:rPr>
        <w:t>Interviews</w:t>
      </w:r>
      <w:bookmarkEnd w:id="25"/>
    </w:p>
    <w:p w:rsidR="00F04DA2" w:rsidP="00576BA9" w:rsidRDefault="004E0BA7" w14:paraId="03B952BB" w14:textId="2D6FD071">
      <w:pPr>
        <w:pStyle w:val="BodyText"/>
      </w:pPr>
      <w:r>
        <w:t>All i</w:t>
      </w:r>
      <w:r w:rsidR="00384D9B">
        <w:t>nterviews will be conducted over</w:t>
      </w:r>
      <w:r w:rsidR="00EA5E07">
        <w:t xml:space="preserve"> video conferencing platforms</w:t>
      </w:r>
      <w:r w:rsidR="00384D9B">
        <w:t xml:space="preserve">, which </w:t>
      </w:r>
      <w:r w:rsidR="00EA5E07">
        <w:t xml:space="preserve">are </w:t>
      </w:r>
      <w:r w:rsidR="00384D9B">
        <w:t>easily accessible on multiple devices</w:t>
      </w:r>
      <w:r>
        <w:t xml:space="preserve"> such as computers, laptops, tablets, and smartphones,</w:t>
      </w:r>
      <w:r w:rsidR="00384D9B">
        <w:t xml:space="preserve"> and thus will reduce burden on the interviewee.</w:t>
      </w:r>
      <w:r w:rsidR="00F04DA2">
        <w:t xml:space="preserve"> </w:t>
      </w:r>
      <w:r w:rsidR="00384D9B">
        <w:t>I</w:t>
      </w:r>
      <w:r w:rsidR="00F04DA2">
        <w:t>nterviewers and note takers may use laptops to record responses throughout the interview. In addition, the interviews will be audio-recorded</w:t>
      </w:r>
      <w:r w:rsidR="00B92D07">
        <w:t xml:space="preserve">—so </w:t>
      </w:r>
      <w:r w:rsidR="00C41588">
        <w:t>long as the interviewees provide consent</w:t>
      </w:r>
      <w:r w:rsidR="00B92D07">
        <w:t xml:space="preserve">. This will ensure that notes are accurate and ready </w:t>
      </w:r>
      <w:r w:rsidR="00F04DA2">
        <w:t xml:space="preserve">for analysis </w:t>
      </w:r>
      <w:r w:rsidR="00564A3E">
        <w:t xml:space="preserve">and </w:t>
      </w:r>
      <w:r w:rsidR="00B92D07">
        <w:t>will</w:t>
      </w:r>
      <w:r w:rsidR="00564A3E">
        <w:t xml:space="preserve"> </w:t>
      </w:r>
      <w:r w:rsidR="00B92D07">
        <w:t>reduce</w:t>
      </w:r>
      <w:r w:rsidR="00564A3E">
        <w:t xml:space="preserve"> the likelihood </w:t>
      </w:r>
      <w:r w:rsidR="00B92D07">
        <w:t>that the study team will need</w:t>
      </w:r>
      <w:r w:rsidR="00564A3E">
        <w:t xml:space="preserve"> to follow</w:t>
      </w:r>
      <w:r w:rsidR="00B92D07">
        <w:t xml:space="preserve"> </w:t>
      </w:r>
      <w:r w:rsidR="00564A3E">
        <w:t>up with respondents</w:t>
      </w:r>
      <w:r w:rsidR="00F04DA2">
        <w:t xml:space="preserve">. </w:t>
      </w:r>
    </w:p>
    <w:p w:rsidR="0086126C" w:rsidP="00576BA9" w:rsidRDefault="008D1086" w14:paraId="593D0DD4" w14:textId="0751966E">
      <w:pPr>
        <w:pStyle w:val="BodyText"/>
      </w:pPr>
      <w:r w:rsidRPr="00D266AB">
        <w:rPr>
          <w:b/>
          <w:bCs/>
        </w:rPr>
        <w:t>Interview Procedures.</w:t>
      </w:r>
      <w:r>
        <w:t xml:space="preserve"> </w:t>
      </w:r>
      <w:r w:rsidR="0086126C">
        <w:t xml:space="preserve">The CC Director interview and REL Director interview will be conducted by a </w:t>
      </w:r>
      <w:r w:rsidRPr="003362D8" w:rsidR="0086126C">
        <w:t>senior researcher</w:t>
      </w:r>
      <w:r w:rsidR="0086126C">
        <w:t xml:space="preserve"> as the lead interviewer and</w:t>
      </w:r>
      <w:r w:rsidRPr="003362D8" w:rsidR="0086126C">
        <w:t xml:space="preserve"> junior researcher as the not</w:t>
      </w:r>
      <w:r w:rsidR="0086126C">
        <w:t>e taker. Ahead of the CC interviews, t</w:t>
      </w:r>
      <w:r w:rsidRPr="003362D8" w:rsidR="0086126C">
        <w:t xml:space="preserve">he interview team will review </w:t>
      </w:r>
      <w:r w:rsidR="0086126C">
        <w:t xml:space="preserve">preliminary survey data from the TA recipients in the CC’s region, information from the pre-interview survey template, and the applicable Annual Service Plans, Annual Evaluation Reports, and </w:t>
      </w:r>
      <w:r w:rsidRPr="003362D8" w:rsidR="0086126C">
        <w:t>Joint Needs Sensing Memos</w:t>
      </w:r>
      <w:r w:rsidR="0086126C">
        <w:t xml:space="preserve">. This review will provide the study team with </w:t>
      </w:r>
      <w:r w:rsidRPr="003362D8" w:rsidR="0086126C">
        <w:t>insight</w:t>
      </w:r>
      <w:r w:rsidR="0086126C">
        <w:t>s</w:t>
      </w:r>
      <w:r w:rsidRPr="003362D8" w:rsidR="0086126C">
        <w:t xml:space="preserve"> into the </w:t>
      </w:r>
      <w:r w:rsidR="0086126C">
        <w:t xml:space="preserve">CC’s work with TA recipients and their collaboration with the REL and National Center. The study team will </w:t>
      </w:r>
      <w:r w:rsidRPr="003362D8" w:rsidR="0086126C">
        <w:t xml:space="preserve">pre-populate the </w:t>
      </w:r>
      <w:r w:rsidR="0086126C">
        <w:t xml:space="preserve">interview </w:t>
      </w:r>
      <w:r w:rsidRPr="003362D8" w:rsidR="0086126C">
        <w:t>protocol with relevant information</w:t>
      </w:r>
      <w:r w:rsidR="0086126C">
        <w:t xml:space="preserve"> to reduce the burden on the respondent and to ensure interviews address information that is not already available</w:t>
      </w:r>
    </w:p>
    <w:p w:rsidR="004739A7" w:rsidP="00D266AB" w:rsidRDefault="008D1086" w14:paraId="4EC4102B" w14:textId="56EA19D3">
      <w:pPr>
        <w:pStyle w:val="Bullets"/>
        <w:numPr>
          <w:ilvl w:val="0"/>
          <w:numId w:val="0"/>
        </w:numPr>
        <w:spacing w:after="180" w:line="264" w:lineRule="auto"/>
      </w:pPr>
      <w:r w:rsidRPr="00D266AB">
        <w:rPr>
          <w:b/>
          <w:bCs/>
        </w:rPr>
        <w:t>Pre-Interview Survey.</w:t>
      </w:r>
      <w:r>
        <w:t xml:space="preserve"> </w:t>
      </w:r>
      <w:r w:rsidR="004739A7">
        <w:t>The study team will administer a pre-interview survey to CC Directors to gather project-specific details that may be difficult for CC Directors to recall during the interview. Prior to the interview, each Center Director will receive the survey pre-populated with the name of projects that were listed as active in Year 2</w:t>
      </w:r>
      <w:r w:rsidR="001A41C8">
        <w:t xml:space="preserve"> </w:t>
      </w:r>
      <w:r w:rsidR="004739A7">
        <w:t xml:space="preserve">in the Annual Service Plans. CC Directors will be asked to respond to a series of questions about each project. This interview preparation process will minimize the need for follow-up about project details after the interviews are complete. </w:t>
      </w:r>
    </w:p>
    <w:p w:rsidR="00AB7179" w:rsidP="00576BA9" w:rsidRDefault="008D1086" w14:paraId="26A8673A" w14:textId="4B87AD48">
      <w:pPr>
        <w:pStyle w:val="BodyText"/>
      </w:pPr>
      <w:r w:rsidRPr="00D266AB">
        <w:rPr>
          <w:b/>
          <w:bCs/>
        </w:rPr>
        <w:t xml:space="preserve">Piloting the Interview. </w:t>
      </w:r>
      <w:r w:rsidR="00AB7179">
        <w:t>The study team</w:t>
      </w:r>
      <w:r w:rsidRPr="00940831" w:rsidR="00AB7179">
        <w:t xml:space="preserve"> pilot</w:t>
      </w:r>
      <w:r w:rsidR="009662DD">
        <w:t xml:space="preserve"> tested</w:t>
      </w:r>
      <w:r w:rsidRPr="00940831" w:rsidR="00AB7179">
        <w:t xml:space="preserve"> the interview protocol with one </w:t>
      </w:r>
      <w:r w:rsidR="00AB7179">
        <w:t xml:space="preserve">CC Director </w:t>
      </w:r>
      <w:r w:rsidRPr="00940831" w:rsidR="00AB7179">
        <w:t>and include</w:t>
      </w:r>
      <w:r w:rsidR="009662DD">
        <w:t>d</w:t>
      </w:r>
      <w:r w:rsidRPr="00940831" w:rsidR="00AB7179">
        <w:t xml:space="preserve"> additional questions at the end to collect feedback about interview length, clarity, and relevance. Based on feedback from the piloting process, </w:t>
      </w:r>
      <w:r w:rsidR="00AB7179">
        <w:t>the study team</w:t>
      </w:r>
      <w:r w:rsidRPr="00940831" w:rsidR="00AB7179">
        <w:t xml:space="preserve"> ma</w:t>
      </w:r>
      <w:r w:rsidR="009662DD">
        <w:t>de</w:t>
      </w:r>
      <w:r w:rsidRPr="00940831" w:rsidR="00AB7179">
        <w:t xml:space="preserve"> adjustments to the instruments to ensure</w:t>
      </w:r>
      <w:r w:rsidR="00AB7179">
        <w:t xml:space="preserve"> questions are</w:t>
      </w:r>
      <w:r w:rsidRPr="00940831" w:rsidR="00AB7179">
        <w:t xml:space="preserve"> </w:t>
      </w:r>
      <w:r w:rsidR="00AB7179">
        <w:t>clear, relevant, and non-duplicative, thus reducing burden on respondents. The respondent that pilot</w:t>
      </w:r>
      <w:r w:rsidR="008807EB">
        <w:t>s</w:t>
      </w:r>
      <w:r w:rsidR="00AB7179">
        <w:t xml:space="preserve"> the interview protocol will </w:t>
      </w:r>
      <w:r w:rsidR="008807EB">
        <w:t xml:space="preserve">only be asked questions added to the </w:t>
      </w:r>
      <w:r w:rsidR="00AB7179">
        <w:t>interview</w:t>
      </w:r>
      <w:r w:rsidR="008807EB">
        <w:t xml:space="preserve"> protocol</w:t>
      </w:r>
      <w:r w:rsidR="00AB7179">
        <w:t xml:space="preserve"> during the interview window.</w:t>
      </w:r>
    </w:p>
    <w:p w:rsidR="005D40FE" w:rsidP="005D40FE" w:rsidRDefault="005D40FE" w14:paraId="29C89814" w14:textId="7C825A38">
      <w:pPr>
        <w:pStyle w:val="Heading2"/>
      </w:pPr>
      <w:bookmarkStart w:name="_Toc462741645" w:id="26"/>
      <w:bookmarkStart w:name="_Toc480465673" w:id="27"/>
      <w:bookmarkStart w:name="_Toc503254125" w:id="28"/>
      <w:bookmarkStart w:name="_Toc79418622" w:id="29"/>
      <w:r w:rsidRPr="006236E7">
        <w:t>A</w:t>
      </w:r>
      <w:r w:rsidR="00780D78">
        <w:t>.</w:t>
      </w:r>
      <w:r w:rsidRPr="006236E7">
        <w:t>4</w:t>
      </w:r>
      <w:r w:rsidR="00D27B5B">
        <w:tab/>
      </w:r>
      <w:r w:rsidRPr="006236E7">
        <w:t>Efforts to Identify Duplication</w:t>
      </w:r>
      <w:bookmarkEnd w:id="26"/>
      <w:bookmarkEnd w:id="27"/>
      <w:bookmarkEnd w:id="28"/>
      <w:bookmarkEnd w:id="29"/>
    </w:p>
    <w:p w:rsidR="0002673C" w:rsidP="004E6593" w:rsidRDefault="00D329AE" w14:paraId="71901214" w14:textId="6DB2040C">
      <w:pPr>
        <w:pStyle w:val="BodyText"/>
      </w:pPr>
      <w:r>
        <w:t xml:space="preserve">Whenever possible, the study team will use </w:t>
      </w:r>
      <w:r w:rsidR="00893DCD">
        <w:t>administrative</w:t>
      </w:r>
      <w:r>
        <w:t xml:space="preserve"> data</w:t>
      </w:r>
      <w:r w:rsidR="00727644">
        <w:t xml:space="preserve"> </w:t>
      </w:r>
      <w:r w:rsidR="00EA5E07">
        <w:t xml:space="preserve">and restricted use data from the evaluation of the 2012 cohort </w:t>
      </w:r>
      <w:r>
        <w:t xml:space="preserve">to answer the evaluation’s research questions (see </w:t>
      </w:r>
      <w:r w:rsidR="0069594D">
        <w:t xml:space="preserve">Exhibit </w:t>
      </w:r>
      <w:r w:rsidR="002456E3">
        <w:t>A</w:t>
      </w:r>
      <w:r w:rsidR="00456D97">
        <w:t>1</w:t>
      </w:r>
      <w:r>
        <w:t xml:space="preserve"> for a list of research questions).</w:t>
      </w:r>
      <w:r w:rsidR="00414512">
        <w:t xml:space="preserve"> </w:t>
      </w:r>
      <w:r w:rsidR="0002673C">
        <w:t>Detailed plans for avoiding duplication</w:t>
      </w:r>
      <w:r w:rsidR="00554B80">
        <w:t xml:space="preserve"> of information included in these documents and information collected in the </w:t>
      </w:r>
      <w:r w:rsidR="00DB11D9">
        <w:t>T</w:t>
      </w:r>
      <w:r w:rsidR="00554B80">
        <w:t xml:space="preserve">A </w:t>
      </w:r>
      <w:r w:rsidR="00450179">
        <w:t>r</w:t>
      </w:r>
      <w:r w:rsidR="00DB11D9">
        <w:t xml:space="preserve">ecipient </w:t>
      </w:r>
      <w:r w:rsidR="00450179">
        <w:t>s</w:t>
      </w:r>
      <w:r w:rsidR="00554B80">
        <w:t>urvey and interviews</w:t>
      </w:r>
      <w:r w:rsidR="0002673C">
        <w:t xml:space="preserve"> are explained below.</w:t>
      </w:r>
      <w:r w:rsidR="00554B80">
        <w:t xml:space="preserve"> </w:t>
      </w:r>
    </w:p>
    <w:p w:rsidRPr="00AC69C7" w:rsidR="0002673C" w:rsidP="00AC69C7" w:rsidRDefault="0002673C" w14:paraId="5E818E50" w14:textId="79C2343C">
      <w:pPr>
        <w:pStyle w:val="Heading3"/>
        <w:tabs>
          <w:tab w:val="num" w:pos="720"/>
        </w:tabs>
        <w:rPr>
          <w:i w:val="0"/>
          <w:szCs w:val="24"/>
        </w:rPr>
      </w:pPr>
      <w:bookmarkStart w:name="_Toc79418623" w:id="30"/>
      <w:r w:rsidRPr="00AC69C7">
        <w:rPr>
          <w:i w:val="0"/>
          <w:szCs w:val="24"/>
        </w:rPr>
        <w:t>A.4.1</w:t>
      </w:r>
      <w:r w:rsidR="00AC69C7">
        <w:rPr>
          <w:i w:val="0"/>
          <w:szCs w:val="24"/>
        </w:rPr>
        <w:tab/>
      </w:r>
      <w:r w:rsidRPr="00AC69C7" w:rsidR="00893DCD">
        <w:rPr>
          <w:i w:val="0"/>
          <w:szCs w:val="24"/>
        </w:rPr>
        <w:t>Administrative</w:t>
      </w:r>
      <w:r w:rsidRPr="00AC69C7">
        <w:rPr>
          <w:i w:val="0"/>
          <w:szCs w:val="24"/>
        </w:rPr>
        <w:t xml:space="preserve"> Data</w:t>
      </w:r>
      <w:bookmarkEnd w:id="30"/>
    </w:p>
    <w:p w:rsidR="0002673C" w:rsidP="00576BA9" w:rsidRDefault="00B92D07" w14:paraId="2B3D82C8" w14:textId="3AA4AA14">
      <w:pPr>
        <w:pStyle w:val="BodyText"/>
      </w:pPr>
      <w:r>
        <w:t>T</w:t>
      </w:r>
      <w:r w:rsidRPr="00B427E8">
        <w:t xml:space="preserve">he </w:t>
      </w:r>
      <w:r>
        <w:t>study</w:t>
      </w:r>
      <w:r w:rsidRPr="00B427E8">
        <w:t xml:space="preserve"> team conduct</w:t>
      </w:r>
      <w:r>
        <w:t>ed</w:t>
      </w:r>
      <w:r w:rsidRPr="00B427E8">
        <w:t xml:space="preserve"> a systematic review of </w:t>
      </w:r>
      <w:r>
        <w:t xml:space="preserve">administrative documents available to date from the Department, and will update its review as new documents become available. </w:t>
      </w:r>
      <w:r w:rsidR="0002673C">
        <w:t>These documents</w:t>
      </w:r>
      <w:r>
        <w:t>—which include</w:t>
      </w:r>
      <w:r w:rsidRPr="00B92D07">
        <w:t xml:space="preserve"> </w:t>
      </w:r>
      <w:r>
        <w:t xml:space="preserve">Annual Service Plans, Annual Evaluation Reports, and CC-REL Joint Needs Sensing Memos—will </w:t>
      </w:r>
      <w:r w:rsidR="0002673C">
        <w:t>provide important descriptive information about CC services and activities and guide the preparation of the interviews and survey</w:t>
      </w:r>
      <w:r w:rsidRPr="00B427E8" w:rsidR="0002673C">
        <w:t>.</w:t>
      </w:r>
      <w:r w:rsidR="0002673C">
        <w:t xml:space="preserve"> </w:t>
      </w:r>
      <w:r w:rsidRPr="003362D8" w:rsidR="0002673C">
        <w:t>The</w:t>
      </w:r>
      <w:r w:rsidR="0002673C">
        <w:t xml:space="preserve"> study team will also access</w:t>
      </w:r>
      <w:r w:rsidRPr="003362D8" w:rsidR="0002673C">
        <w:t xml:space="preserve"> </w:t>
      </w:r>
      <w:r w:rsidR="0002673C">
        <w:t>restricted use data from the evaluation of</w:t>
      </w:r>
      <w:r w:rsidRPr="003362D8" w:rsidR="0002673C">
        <w:t xml:space="preserve"> </w:t>
      </w:r>
      <w:r w:rsidRPr="003362D8" w:rsidR="0002673C">
        <w:lastRenderedPageBreak/>
        <w:t>the</w:t>
      </w:r>
      <w:r w:rsidR="0002673C">
        <w:t xml:space="preserve"> 2012 CC cohort</w:t>
      </w:r>
      <w:r w:rsidRPr="003362D8" w:rsidR="0002673C">
        <w:t xml:space="preserve"> </w:t>
      </w:r>
      <w:r w:rsidR="0002673C">
        <w:t xml:space="preserve">to </w:t>
      </w:r>
      <w:r w:rsidR="007A119F">
        <w:t xml:space="preserve">compare the services provided and experiences of TA recipients between the previous and current cycles. </w:t>
      </w:r>
    </w:p>
    <w:p w:rsidRPr="00AC69C7" w:rsidR="0002673C" w:rsidP="00AC69C7" w:rsidRDefault="00554B80" w14:paraId="72AEAB0A" w14:textId="3F590F7C">
      <w:pPr>
        <w:pStyle w:val="Heading3"/>
        <w:tabs>
          <w:tab w:val="num" w:pos="720"/>
        </w:tabs>
        <w:rPr>
          <w:i w:val="0"/>
          <w:szCs w:val="24"/>
        </w:rPr>
      </w:pPr>
      <w:bookmarkStart w:name="_Toc79418624" w:id="31"/>
      <w:r w:rsidRPr="00AC69C7">
        <w:rPr>
          <w:i w:val="0"/>
          <w:szCs w:val="24"/>
        </w:rPr>
        <w:t>A.4.2</w:t>
      </w:r>
      <w:r w:rsidR="00AC69C7">
        <w:rPr>
          <w:i w:val="0"/>
          <w:szCs w:val="24"/>
        </w:rPr>
        <w:tab/>
      </w:r>
      <w:r w:rsidRPr="00AC69C7" w:rsidR="00DB11D9">
        <w:rPr>
          <w:i w:val="0"/>
          <w:szCs w:val="24"/>
        </w:rPr>
        <w:t xml:space="preserve">TA Recipient </w:t>
      </w:r>
      <w:r w:rsidRPr="00AC69C7">
        <w:rPr>
          <w:i w:val="0"/>
          <w:szCs w:val="24"/>
        </w:rPr>
        <w:t>Survey</w:t>
      </w:r>
      <w:bookmarkEnd w:id="31"/>
    </w:p>
    <w:p w:rsidRPr="00554B80" w:rsidR="00554B80" w:rsidP="005F0611" w:rsidRDefault="005F0611" w14:paraId="59D508E4" w14:textId="42C00A48">
      <w:pPr>
        <w:pStyle w:val="BodyText"/>
      </w:pPr>
      <w:r>
        <w:t xml:space="preserve">The study team will minimize duplication in data collection by </w:t>
      </w:r>
      <w:r w:rsidR="007F406D">
        <w:t xml:space="preserve">identifying and </w:t>
      </w:r>
      <w:r>
        <w:t xml:space="preserve">surveying </w:t>
      </w:r>
      <w:r w:rsidR="007F406D">
        <w:t>a single</w:t>
      </w:r>
      <w:r>
        <w:t xml:space="preserve"> TA recipient per project. Prior to the fielding of the TA Recipient Survey</w:t>
      </w:r>
      <w:r w:rsidR="007F406D">
        <w:t xml:space="preserve"> </w:t>
      </w:r>
      <w:r>
        <w:t xml:space="preserve">the study team will ask each CC Director to provide the name of the key contact person for each of the projects that were active in Year 2. If a project spans across multiple states, then </w:t>
      </w:r>
      <w:r w:rsidR="00890F5E">
        <w:t xml:space="preserve">Directors will be asked to identify </w:t>
      </w:r>
      <w:r>
        <w:t>one key contact in each</w:t>
      </w:r>
      <w:r w:rsidR="00890F5E">
        <w:t xml:space="preserve"> of the</w:t>
      </w:r>
      <w:r>
        <w:t xml:space="preserve"> participating state</w:t>
      </w:r>
      <w:r w:rsidR="00890F5E">
        <w:t>s</w:t>
      </w:r>
      <w:r>
        <w:t>.</w:t>
      </w:r>
      <w:r w:rsidR="00554B80">
        <w:t xml:space="preserve"> </w:t>
      </w:r>
      <w:r w:rsidR="006C1FAE">
        <w:t>If a TA recipient serves as the key point of contact for multiple projects, they will receive one survey that will cycle through a series of project-specific questions for each project they oversee.</w:t>
      </w:r>
    </w:p>
    <w:p w:rsidRPr="00AC69C7" w:rsidR="0002673C" w:rsidP="00AC69C7" w:rsidRDefault="0002673C" w14:paraId="643535C9" w14:textId="7B3E3437">
      <w:pPr>
        <w:pStyle w:val="Heading3"/>
        <w:tabs>
          <w:tab w:val="num" w:pos="720"/>
        </w:tabs>
        <w:rPr>
          <w:i w:val="0"/>
          <w:szCs w:val="24"/>
        </w:rPr>
      </w:pPr>
      <w:bookmarkStart w:name="_Toc79418625" w:id="32"/>
      <w:r w:rsidRPr="00AC69C7">
        <w:rPr>
          <w:i w:val="0"/>
          <w:szCs w:val="24"/>
        </w:rPr>
        <w:t>A.</w:t>
      </w:r>
      <w:r w:rsidRPr="00AC69C7" w:rsidR="00940831">
        <w:rPr>
          <w:i w:val="0"/>
          <w:szCs w:val="24"/>
        </w:rPr>
        <w:t>4</w:t>
      </w:r>
      <w:r w:rsidRPr="00AC69C7">
        <w:rPr>
          <w:i w:val="0"/>
          <w:szCs w:val="24"/>
        </w:rPr>
        <w:t>.</w:t>
      </w:r>
      <w:r w:rsidRPr="00AC69C7" w:rsidR="00940831">
        <w:rPr>
          <w:i w:val="0"/>
          <w:szCs w:val="24"/>
        </w:rPr>
        <w:t>3</w:t>
      </w:r>
      <w:r w:rsidR="00AC69C7">
        <w:rPr>
          <w:i w:val="0"/>
          <w:szCs w:val="24"/>
        </w:rPr>
        <w:tab/>
      </w:r>
      <w:r w:rsidRPr="00AC69C7">
        <w:rPr>
          <w:i w:val="0"/>
          <w:szCs w:val="24"/>
        </w:rPr>
        <w:t>Interviews</w:t>
      </w:r>
      <w:bookmarkEnd w:id="32"/>
    </w:p>
    <w:p w:rsidR="0002673C" w:rsidRDefault="00096840" w14:paraId="274A308C" w14:textId="35D2FA22">
      <w:pPr>
        <w:pStyle w:val="BodyText"/>
      </w:pPr>
      <w:r>
        <w:t xml:space="preserve">The study team will minimize duplication in </w:t>
      </w:r>
      <w:r w:rsidR="00555124">
        <w:t xml:space="preserve">interview data collection by reviewing all administrative data prior to the start of the interview. </w:t>
      </w:r>
      <w:r w:rsidR="0002673C">
        <w:t xml:space="preserve"> </w:t>
      </w:r>
    </w:p>
    <w:p w:rsidRPr="009C765B" w:rsidR="009A6300" w:rsidP="00940831" w:rsidRDefault="0002673C" w14:paraId="099E9344" w14:textId="79F31593">
      <w:pPr>
        <w:pStyle w:val="Heading2"/>
      </w:pPr>
      <w:r>
        <w:t xml:space="preserve"> </w:t>
      </w:r>
      <w:bookmarkStart w:name="_Toc323908713" w:id="33"/>
      <w:bookmarkStart w:name="_Toc462741646" w:id="34"/>
      <w:bookmarkStart w:name="_Toc480465674" w:id="35"/>
      <w:bookmarkStart w:name="_Toc503254126" w:id="36"/>
      <w:bookmarkStart w:name="_Toc79418626" w:id="37"/>
      <w:r w:rsidRPr="00B85F5D" w:rsidR="005D40FE">
        <w:t>A</w:t>
      </w:r>
      <w:r w:rsidR="00780D78">
        <w:t>.</w:t>
      </w:r>
      <w:r w:rsidRPr="00B85F5D" w:rsidR="005D40FE">
        <w:t>5</w:t>
      </w:r>
      <w:bookmarkStart w:name="_Toc54897896" w:id="38"/>
      <w:bookmarkEnd w:id="33"/>
      <w:bookmarkEnd w:id="34"/>
      <w:bookmarkEnd w:id="35"/>
      <w:bookmarkEnd w:id="36"/>
      <w:r w:rsidR="00AC69C7">
        <w:tab/>
      </w:r>
      <w:r w:rsidRPr="009C765B" w:rsidR="009A6300">
        <w:t>Efforts to Minimize Burden in Small Businesses</w:t>
      </w:r>
      <w:bookmarkEnd w:id="38"/>
      <w:r w:rsidR="00727644">
        <w:t xml:space="preserve"> and Other Small Entities</w:t>
      </w:r>
      <w:bookmarkEnd w:id="37"/>
    </w:p>
    <w:p w:rsidR="00434C2D" w:rsidP="004E6593" w:rsidRDefault="00860497" w14:paraId="0CA94EE3" w14:textId="79D2AC0F">
      <w:pPr>
        <w:pStyle w:val="BodyText"/>
      </w:pPr>
      <w:r>
        <w:t xml:space="preserve">No information </w:t>
      </w:r>
      <w:r w:rsidR="00CA7863">
        <w:t>in</w:t>
      </w:r>
      <w:r>
        <w:t xml:space="preserve"> this study will be collected from small businesses</w:t>
      </w:r>
      <w:r w:rsidR="00CF2AE2">
        <w:t xml:space="preserve"> or other</w:t>
      </w:r>
      <w:r>
        <w:t xml:space="preserve"> small entities</w:t>
      </w:r>
      <w:r w:rsidR="00CF2AE2">
        <w:t xml:space="preserve">. </w:t>
      </w:r>
    </w:p>
    <w:p w:rsidRPr="009C765B" w:rsidR="009A6300" w:rsidP="009A6300" w:rsidRDefault="005D40FE" w14:paraId="0AAE6268" w14:textId="0AD6D8F9">
      <w:pPr>
        <w:pStyle w:val="Heading2"/>
      </w:pPr>
      <w:bookmarkStart w:name="_Toc462741647" w:id="39"/>
      <w:bookmarkStart w:name="_Toc480465675" w:id="40"/>
      <w:bookmarkStart w:name="_Toc503254127" w:id="41"/>
      <w:bookmarkStart w:name="_Toc79418627" w:id="42"/>
      <w:r w:rsidRPr="0087138F">
        <w:t>A</w:t>
      </w:r>
      <w:r w:rsidR="00780D78">
        <w:t>.</w:t>
      </w:r>
      <w:r w:rsidRPr="0087138F">
        <w:t>6</w:t>
      </w:r>
      <w:bookmarkStart w:name="_Toc54897897" w:id="43"/>
      <w:bookmarkEnd w:id="39"/>
      <w:bookmarkEnd w:id="40"/>
      <w:bookmarkEnd w:id="41"/>
      <w:r w:rsidR="00AC69C7">
        <w:tab/>
      </w:r>
      <w:r w:rsidRPr="009C765B" w:rsidR="009A6300">
        <w:t>Consequences of Not Collecting the Information</w:t>
      </w:r>
      <w:bookmarkEnd w:id="42"/>
      <w:bookmarkEnd w:id="43"/>
    </w:p>
    <w:p w:rsidRPr="005D40FE" w:rsidR="005D40FE" w:rsidP="004E6593" w:rsidRDefault="00D107F8" w14:paraId="47036E89" w14:textId="4BE84077">
      <w:pPr>
        <w:pStyle w:val="BodyText"/>
      </w:pPr>
      <w:r>
        <w:t xml:space="preserve">An independent evaluation of the </w:t>
      </w:r>
      <w:r w:rsidRPr="00724683">
        <w:t xml:space="preserve">CC program is </w:t>
      </w:r>
      <w:r>
        <w:t>mandated by</w:t>
      </w:r>
      <w:r w:rsidRPr="00724683">
        <w:t xml:space="preserve"> Title II, Sec. 203, of the Educational Technical Assistance Act (ETAA) of 2002</w:t>
      </w:r>
      <w:r>
        <w:t xml:space="preserve">. The evaluation is intended to </w:t>
      </w:r>
      <w:r w:rsidRPr="00233EF9">
        <w:t>inform program improvement for the next cohort of grantees</w:t>
      </w:r>
      <w:r>
        <w:t xml:space="preserve"> and report findings about </w:t>
      </w:r>
      <w:r w:rsidRPr="00233EF9">
        <w:t>the problems that the CCs are addressing, the services that they are providing</w:t>
      </w:r>
      <w:r>
        <w:t xml:space="preserve"> to </w:t>
      </w:r>
      <w:r w:rsidR="00B27B22">
        <w:t xml:space="preserve">try to </w:t>
      </w:r>
      <w:r>
        <w:t>address these problems</w:t>
      </w:r>
      <w:r w:rsidRPr="00233EF9">
        <w:t xml:space="preserve">, and </w:t>
      </w:r>
      <w:r>
        <w:t xml:space="preserve">successes and challenges related to the new program structure to Congress. Without the data collection effort, the </w:t>
      </w:r>
      <w:r w:rsidR="0086126C">
        <w:t>Department</w:t>
      </w:r>
      <w:r w:rsidR="00FB4A8A">
        <w:t xml:space="preserve"> </w:t>
      </w:r>
      <w:r>
        <w:t>could not meet its obligations to Congress</w:t>
      </w:r>
      <w:r w:rsidR="00212B1A">
        <w:t xml:space="preserve"> </w:t>
      </w:r>
      <w:r w:rsidR="00FB4A8A">
        <w:t xml:space="preserve">and the study team could not </w:t>
      </w:r>
      <w:r w:rsidR="00212B1A">
        <w:t>inform program improvements for the next CC cohort</w:t>
      </w:r>
      <w:r>
        <w:t>.</w:t>
      </w:r>
    </w:p>
    <w:p w:rsidR="005D40FE" w:rsidP="00D27B5B" w:rsidRDefault="005D40FE" w14:paraId="69B445C6" w14:textId="326B00AF">
      <w:pPr>
        <w:pStyle w:val="Heading2"/>
        <w:ind w:left="630" w:hanging="720"/>
      </w:pPr>
      <w:bookmarkStart w:name="_Toc462741648" w:id="44"/>
      <w:bookmarkStart w:name="_Toc480465676" w:id="45"/>
      <w:bookmarkStart w:name="_Toc503254128" w:id="46"/>
      <w:bookmarkStart w:name="_Toc79418628" w:id="47"/>
      <w:r w:rsidRPr="001034D3">
        <w:t>A</w:t>
      </w:r>
      <w:r w:rsidR="00780D78">
        <w:t>.</w:t>
      </w:r>
      <w:r w:rsidRPr="001034D3">
        <w:t>7</w:t>
      </w:r>
      <w:bookmarkStart w:name="_Toc61538958" w:id="48"/>
      <w:bookmarkEnd w:id="44"/>
      <w:bookmarkEnd w:id="45"/>
      <w:bookmarkEnd w:id="46"/>
      <w:r w:rsidR="00AC69C7">
        <w:tab/>
      </w:r>
      <w:r w:rsidRPr="009C765B" w:rsidR="00EA1746">
        <w:t>Special Circumstances Justifying Inconsistencies with Guidelines in 5 CFR 1320.6</w:t>
      </w:r>
      <w:bookmarkEnd w:id="47"/>
      <w:bookmarkEnd w:id="48"/>
    </w:p>
    <w:p w:rsidRPr="00293260" w:rsidR="005D40FE" w:rsidP="00AC69C7" w:rsidRDefault="005D40FE" w14:paraId="43E5AC20" w14:textId="004034B4">
      <w:pPr>
        <w:pStyle w:val="BodyText"/>
      </w:pPr>
      <w:r w:rsidRPr="00293260">
        <w:t xml:space="preserve">There are no special circumstances for the proposed data collection. </w:t>
      </w:r>
      <w:r w:rsidR="00C43200">
        <w:t xml:space="preserve">While CC Director interview participants will be asked to complete pre-interview questions, they will be given more than 30 days to respond to the request. </w:t>
      </w:r>
    </w:p>
    <w:p w:rsidRPr="009C765B" w:rsidR="009A6300" w:rsidP="009A6300" w:rsidRDefault="005D40FE" w14:paraId="27A70AAD" w14:textId="198D57B6">
      <w:pPr>
        <w:pStyle w:val="Heading2"/>
      </w:pPr>
      <w:bookmarkStart w:name="_Toc462741649" w:id="49"/>
      <w:bookmarkStart w:name="_Toc480465677" w:id="50"/>
      <w:bookmarkStart w:name="_Toc503254129" w:id="51"/>
      <w:bookmarkStart w:name="_Toc79418629" w:id="52"/>
      <w:r w:rsidRPr="001034D3">
        <w:t>A</w:t>
      </w:r>
      <w:r w:rsidR="00780D78">
        <w:t>.</w:t>
      </w:r>
      <w:r w:rsidRPr="001034D3">
        <w:t>8</w:t>
      </w:r>
      <w:bookmarkStart w:name="_Ref306611014" w:id="53"/>
      <w:bookmarkStart w:name="_Ref306698355" w:id="54"/>
      <w:bookmarkStart w:name="_Toc54897899" w:id="55"/>
      <w:bookmarkEnd w:id="49"/>
      <w:bookmarkEnd w:id="50"/>
      <w:bookmarkEnd w:id="51"/>
      <w:r w:rsidR="00AC69C7">
        <w:tab/>
      </w:r>
      <w:r w:rsidRPr="009C765B" w:rsidR="009A6300">
        <w:t>Consultation Outside the Agency</w:t>
      </w:r>
      <w:bookmarkEnd w:id="52"/>
      <w:bookmarkEnd w:id="53"/>
      <w:bookmarkEnd w:id="54"/>
      <w:bookmarkEnd w:id="55"/>
    </w:p>
    <w:p w:rsidRPr="00AC69C7" w:rsidR="00D107F8" w:rsidP="00AC69C7" w:rsidRDefault="00D107F8" w14:paraId="3C80D4A6" w14:textId="6BF7D18D">
      <w:pPr>
        <w:pStyle w:val="Heading3"/>
        <w:tabs>
          <w:tab w:val="num" w:pos="720"/>
        </w:tabs>
        <w:rPr>
          <w:i w:val="0"/>
          <w:szCs w:val="24"/>
        </w:rPr>
      </w:pPr>
      <w:bookmarkStart w:name="_Toc54897900" w:id="56"/>
      <w:bookmarkStart w:name="_Toc79418630" w:id="57"/>
      <w:r w:rsidRPr="00AC69C7">
        <w:rPr>
          <w:i w:val="0"/>
          <w:szCs w:val="24"/>
        </w:rPr>
        <w:t>A.8.1</w:t>
      </w:r>
      <w:r w:rsidR="00AC69C7">
        <w:rPr>
          <w:i w:val="0"/>
          <w:szCs w:val="24"/>
        </w:rPr>
        <w:tab/>
      </w:r>
      <w:r w:rsidRPr="00AC69C7">
        <w:rPr>
          <w:i w:val="0"/>
          <w:szCs w:val="24"/>
        </w:rPr>
        <w:t>Federal Registrar Announcement</w:t>
      </w:r>
      <w:bookmarkEnd w:id="56"/>
      <w:bookmarkEnd w:id="57"/>
    </w:p>
    <w:p w:rsidRPr="008807EB" w:rsidR="008807EB" w:rsidP="008807EB" w:rsidRDefault="008807EB" w14:paraId="4A057F31" w14:textId="4616D865">
      <w:pPr>
        <w:pStyle w:val="BodyText"/>
        <w:rPr>
          <w:rFonts w:cstheme="minorHAnsi"/>
        </w:rPr>
      </w:pPr>
      <w:bookmarkStart w:name="_Hlk94450087" w:id="58"/>
      <w:bookmarkStart w:name="_Toc54897901" w:id="59"/>
      <w:bookmarkStart w:name="_Toc79418631" w:id="60"/>
      <w:r w:rsidRPr="00216718">
        <w:t xml:space="preserve">On September 17, 2021, a 60-day </w:t>
      </w:r>
      <w:r w:rsidRPr="00216718">
        <w:rPr>
          <w:i/>
        </w:rPr>
        <w:t>Federal Register</w:t>
      </w:r>
      <w:r w:rsidRPr="00216718">
        <w:t xml:space="preserve"> Notice was published at 86 FR 51878</w:t>
      </w:r>
      <w:r>
        <w:t>.</w:t>
      </w:r>
      <w:r>
        <w:rPr>
          <w:rFonts w:cstheme="minorHAnsi"/>
        </w:rPr>
        <w:t xml:space="preserve"> </w:t>
      </w:r>
      <w:r w:rsidR="007D0708">
        <w:rPr>
          <w:rFonts w:cstheme="minorHAnsi"/>
        </w:rPr>
        <w:t xml:space="preserve">There was one comment received during the 60-day period. A 30-day Notice will be published. </w:t>
      </w:r>
    </w:p>
    <w:bookmarkEnd w:id="58"/>
    <w:p w:rsidRPr="00AC69C7" w:rsidR="00D107F8" w:rsidP="00AC69C7" w:rsidRDefault="00D107F8" w14:paraId="317675BF" w14:textId="713CF164">
      <w:pPr>
        <w:pStyle w:val="Heading3"/>
        <w:tabs>
          <w:tab w:val="num" w:pos="720"/>
        </w:tabs>
        <w:rPr>
          <w:i w:val="0"/>
          <w:szCs w:val="24"/>
        </w:rPr>
      </w:pPr>
      <w:r w:rsidRPr="00AC69C7">
        <w:rPr>
          <w:i w:val="0"/>
          <w:szCs w:val="24"/>
        </w:rPr>
        <w:t>A.8.2</w:t>
      </w:r>
      <w:r w:rsidR="00AC69C7">
        <w:rPr>
          <w:i w:val="0"/>
          <w:szCs w:val="24"/>
        </w:rPr>
        <w:tab/>
      </w:r>
      <w:r w:rsidRPr="00AC69C7">
        <w:rPr>
          <w:i w:val="0"/>
          <w:szCs w:val="24"/>
        </w:rPr>
        <w:t>Consultations Outside the Agency</w:t>
      </w:r>
      <w:bookmarkEnd w:id="59"/>
      <w:bookmarkEnd w:id="60"/>
    </w:p>
    <w:p w:rsidRPr="00D0206C" w:rsidR="00D0206C" w:rsidP="004E6593" w:rsidRDefault="001115B3" w14:paraId="7F48AFBB" w14:textId="5A19828B">
      <w:pPr>
        <w:pStyle w:val="BodyText"/>
      </w:pPr>
      <w:r>
        <w:t>The study team</w:t>
      </w:r>
      <w:r w:rsidR="00D0206C">
        <w:t xml:space="preserve"> will consult with </w:t>
      </w:r>
      <w:r w:rsidR="009824FE">
        <w:t xml:space="preserve">a Technical Working Group (TWG) in the summer of 2022 to review study findings and discuss their implications for the </w:t>
      </w:r>
      <w:r w:rsidR="00D0206C">
        <w:t xml:space="preserve">CC </w:t>
      </w:r>
      <w:r w:rsidR="009824FE">
        <w:t xml:space="preserve">program. The TWG will consist of practitioners and researchers with experience in capacity building related to the implementation of evidence-based practices. </w:t>
      </w:r>
      <w:r w:rsidR="00D0206C">
        <w:t xml:space="preserve"> </w:t>
      </w:r>
    </w:p>
    <w:p w:rsidRPr="009C765B" w:rsidR="009A6300" w:rsidP="009A6300" w:rsidRDefault="005D40FE" w14:paraId="2F2202ED" w14:textId="4A5DF87D">
      <w:pPr>
        <w:pStyle w:val="Heading2"/>
      </w:pPr>
      <w:bookmarkStart w:name="_Toc503254130" w:id="61"/>
      <w:bookmarkStart w:name="_Toc462741650" w:id="62"/>
      <w:bookmarkStart w:name="_Toc480465678" w:id="63"/>
      <w:bookmarkStart w:name="_Toc79418632" w:id="64"/>
      <w:r>
        <w:lastRenderedPageBreak/>
        <w:t>A</w:t>
      </w:r>
      <w:r w:rsidR="00780D78">
        <w:t>.</w:t>
      </w:r>
      <w:r w:rsidRPr="001034D3">
        <w:t>9</w:t>
      </w:r>
      <w:bookmarkStart w:name="_Toc54897903" w:id="65"/>
      <w:bookmarkEnd w:id="61"/>
      <w:bookmarkEnd w:id="62"/>
      <w:bookmarkEnd w:id="63"/>
      <w:r w:rsidR="00D27B5B">
        <w:tab/>
      </w:r>
      <w:r w:rsidRPr="009C765B" w:rsidR="009A6300">
        <w:t>Payments or Gifts to Respondents</w:t>
      </w:r>
      <w:bookmarkEnd w:id="64"/>
      <w:bookmarkEnd w:id="65"/>
    </w:p>
    <w:p w:rsidR="005D40FE" w:rsidP="004E6593" w:rsidRDefault="005D40FE" w14:paraId="453FF0BA" w14:textId="795D7D27">
      <w:pPr>
        <w:pStyle w:val="BodyText"/>
      </w:pPr>
      <w:r>
        <w:t>Data collection for this study does not involve</w:t>
      </w:r>
      <w:r w:rsidRPr="00A1459C">
        <w:t xml:space="preserve"> payments or gifts to respondents.</w:t>
      </w:r>
      <w:r>
        <w:t xml:space="preserve"> </w:t>
      </w:r>
    </w:p>
    <w:p w:rsidR="00D201DF" w:rsidP="00D201DF" w:rsidRDefault="00D201DF" w14:paraId="12972FD8" w14:textId="3EE3CFC0">
      <w:pPr>
        <w:pStyle w:val="Heading2"/>
      </w:pPr>
      <w:bookmarkStart w:name="_Toc79418633" w:id="66"/>
      <w:r>
        <w:t>A.10</w:t>
      </w:r>
      <w:r>
        <w:tab/>
        <w:t>Assurance of Confidentiality</w:t>
      </w:r>
      <w:bookmarkEnd w:id="66"/>
    </w:p>
    <w:p w:rsidR="009502B4" w:rsidP="00AC69C7" w:rsidRDefault="001115B3" w14:paraId="2460A6F1" w14:textId="0160366A">
      <w:pPr>
        <w:pStyle w:val="BodyText"/>
      </w:pPr>
      <w:r>
        <w:t>The study team</w:t>
      </w:r>
      <w:r w:rsidRPr="009C765B" w:rsidR="009502B4">
        <w:t xml:space="preserve"> will conduct all data collection activities for this study in accordance with relevant regulations and requirements</w:t>
      </w:r>
      <w:r w:rsidR="009502B4">
        <w:t xml:space="preserve"> mandated by </w:t>
      </w:r>
      <w:r w:rsidR="00FC26CB">
        <w:t xml:space="preserve">the </w:t>
      </w:r>
      <w:r w:rsidRPr="009C765B" w:rsidR="00FC26CB">
        <w:t>Privacy</w:t>
      </w:r>
      <w:r w:rsidRPr="009502B4" w:rsidR="009502B4">
        <w:t xml:space="preserve"> Act of 1974 (5 U.S.C. 552a)</w:t>
      </w:r>
      <w:r w:rsidR="009502B4">
        <w:t xml:space="preserve"> and</w:t>
      </w:r>
      <w:r w:rsidRPr="009502B4" w:rsidR="009502B4">
        <w:t xml:space="preserve"> The Education Sciences Institute Reform Act of 200</w:t>
      </w:r>
      <w:r w:rsidR="009502B4">
        <w:t>2, Title I, Part E, Section 183.</w:t>
      </w:r>
      <w:r w:rsidR="007A23AC">
        <w:t xml:space="preserve"> </w:t>
      </w:r>
    </w:p>
    <w:p w:rsidR="00EA1746" w:rsidP="00AC69C7" w:rsidRDefault="00893DCD" w14:paraId="41B1BB85" w14:textId="462AD822">
      <w:pPr>
        <w:pStyle w:val="BodyText"/>
      </w:pPr>
      <w:r>
        <w:t>Administrative</w:t>
      </w:r>
      <w:r w:rsidR="00784DB9">
        <w:t xml:space="preserve"> data were emailed to Abt Associates</w:t>
      </w:r>
      <w:r w:rsidR="00F36744">
        <w:t xml:space="preserve"> by </w:t>
      </w:r>
      <w:r w:rsidR="00DB11D9">
        <w:t>the Department</w:t>
      </w:r>
      <w:r w:rsidR="00784DB9">
        <w:t xml:space="preserve"> in a secure zip file. No personally identifiable information (PII) was included in these files. </w:t>
      </w:r>
    </w:p>
    <w:p w:rsidRPr="009C765B" w:rsidR="009502B4" w:rsidP="00AC69C7" w:rsidRDefault="001115B3" w14:paraId="2BB994AC" w14:textId="676C4138">
      <w:pPr>
        <w:pStyle w:val="BodyText"/>
      </w:pPr>
      <w:r>
        <w:t>The study team</w:t>
      </w:r>
      <w:r w:rsidR="00727AA4">
        <w:t xml:space="preserve"> and </w:t>
      </w:r>
      <w:r w:rsidR="00DB11D9">
        <w:t>the Department</w:t>
      </w:r>
      <w:r w:rsidR="00727AA4">
        <w:t xml:space="preserve"> will use the </w:t>
      </w:r>
      <w:r w:rsidR="00784DB9">
        <w:t xml:space="preserve">primary </w:t>
      </w:r>
      <w:r w:rsidR="00727AA4">
        <w:t>data collected in this study for research purposes only and will protect the confidentiality of all study participants. All electronic data will be stored on Abt</w:t>
      </w:r>
      <w:r>
        <w:t xml:space="preserve"> Associates</w:t>
      </w:r>
      <w:r w:rsidR="00727AA4">
        <w:t>’</w:t>
      </w:r>
      <w:r w:rsidR="00933BA2">
        <w:t xml:space="preserve"> </w:t>
      </w:r>
      <w:r w:rsidRPr="00727AA4" w:rsidR="00727AA4">
        <w:t>Secure Analytics Enclave</w:t>
      </w:r>
      <w:r w:rsidR="00727AA4">
        <w:t xml:space="preserve">. Survey data will originally be stored on the Confirmit </w:t>
      </w:r>
      <w:r w:rsidR="00D3565D">
        <w:t>platform and</w:t>
      </w:r>
      <w:r w:rsidR="00727AA4">
        <w:t xml:space="preserve"> will be transferred to Abt’s Secure Analytics Enclave for analysis. </w:t>
      </w:r>
      <w:r w:rsidR="00032B87">
        <w:t xml:space="preserve">The only </w:t>
      </w:r>
      <w:r w:rsidR="009212AD">
        <w:t>PII</w:t>
      </w:r>
      <w:r w:rsidR="00032B87">
        <w:t xml:space="preserve"> </w:t>
      </w:r>
      <w:r w:rsidR="00AD3E16">
        <w:t xml:space="preserve">available to the study team </w:t>
      </w:r>
      <w:r w:rsidR="00032B87">
        <w:t>will be the names</w:t>
      </w:r>
      <w:r w:rsidR="00784DB9">
        <w:t xml:space="preserve"> </w:t>
      </w:r>
      <w:r w:rsidR="00AD3E16">
        <w:t xml:space="preserve">and email addresses </w:t>
      </w:r>
      <w:r w:rsidR="005C7DCA">
        <w:t xml:space="preserve">of </w:t>
      </w:r>
      <w:r w:rsidR="00032B87">
        <w:t>survey and interview respondents</w:t>
      </w:r>
      <w:r w:rsidR="00AD3E16">
        <w:t>, which will be used to contact potential respondents; the surveys will not ask for this information</w:t>
      </w:r>
      <w:r w:rsidR="00032B87">
        <w:t xml:space="preserve">. For data analysis, names </w:t>
      </w:r>
      <w:r w:rsidR="009212AD">
        <w:t xml:space="preserve">will be replaced with study-specific identifiers after the data are </w:t>
      </w:r>
      <w:r w:rsidR="00D3565D">
        <w:t>collected and</w:t>
      </w:r>
      <w:r w:rsidR="009212AD">
        <w:t xml:space="preserve"> will be destroyed once </w:t>
      </w:r>
      <w:r w:rsidR="00AD3E16">
        <w:t>they are</w:t>
      </w:r>
      <w:r w:rsidR="009212AD">
        <w:t xml:space="preserve"> no longer required for the study. All study team members with access to the data will be trained in confidentiality and data security procedures. Reports will present data in aggregate form, and will not identify specific </w:t>
      </w:r>
      <w:r w:rsidR="00DB11D9">
        <w:t>TA recipients</w:t>
      </w:r>
      <w:r w:rsidR="009212AD">
        <w:t xml:space="preserve">, CC </w:t>
      </w:r>
      <w:r w:rsidR="003B10D8">
        <w:t>D</w:t>
      </w:r>
      <w:r w:rsidR="009212AD">
        <w:t xml:space="preserve">irectors, or REL </w:t>
      </w:r>
      <w:r w:rsidR="003B10D8">
        <w:t>D</w:t>
      </w:r>
      <w:r w:rsidR="009212AD">
        <w:t>irectors.</w:t>
      </w:r>
      <w:r w:rsidR="00032B87">
        <w:t xml:space="preserve"> The survey</w:t>
      </w:r>
      <w:r w:rsidR="005C29E8">
        <w:t>, pre-interview template, and interviews</w:t>
      </w:r>
      <w:r w:rsidR="00032B87">
        <w:t xml:space="preserve"> will include a notice of confidentiality. </w:t>
      </w:r>
      <w:r w:rsidR="009212AD">
        <w:t xml:space="preserve"> </w:t>
      </w:r>
    </w:p>
    <w:p w:rsidR="007744B4" w:rsidP="004E6593" w:rsidRDefault="009212AD" w14:paraId="09240A63" w14:textId="37017500">
      <w:pPr>
        <w:pStyle w:val="BodyText"/>
      </w:pPr>
      <w:r>
        <w:t>The following is an example of a type of statement that will be included on a request for data:</w:t>
      </w:r>
    </w:p>
    <w:p w:rsidRPr="00310FCF" w:rsidR="005B2A42" w:rsidP="00310FCF" w:rsidRDefault="00893DCD" w14:paraId="2FD933C3" w14:textId="18143682">
      <w:pPr>
        <w:pStyle w:val="BodyText"/>
        <w:ind w:left="720"/>
        <w:rPr>
          <w:i/>
          <w:iCs/>
        </w:rPr>
      </w:pPr>
      <w:r w:rsidRPr="00310FCF">
        <w:rPr>
          <w:i/>
          <w:iCs/>
        </w:rPr>
        <w:t>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the study will summarize findings across the sample and will not associate responses with a specific individual. Any willful disclosure of such information for non-statistical purposes, except as required by law, is a class E felony.</w:t>
      </w:r>
    </w:p>
    <w:p w:rsidRPr="009C765B" w:rsidR="00CA0F01" w:rsidP="00AC69C7" w:rsidRDefault="00CA0F01" w14:paraId="1A5AD8E9" w14:textId="73E3C234">
      <w:pPr>
        <w:pStyle w:val="BodyText"/>
      </w:pPr>
      <w:r w:rsidRPr="009C765B">
        <w:t xml:space="preserve">The following safeguards are routinely employed by Abt Associates to ensure confidentiality, and they </w:t>
      </w:r>
      <w:r w:rsidR="001F285A">
        <w:t>w</w:t>
      </w:r>
      <w:r w:rsidRPr="009C765B">
        <w:t xml:space="preserve">ill be consistently applied to this study: </w:t>
      </w:r>
    </w:p>
    <w:p w:rsidRPr="009C765B" w:rsidR="00CA0F01" w:rsidP="0094394F" w:rsidRDefault="00CA0F01" w14:paraId="788EEA11" w14:textId="1174C854">
      <w:pPr>
        <w:pStyle w:val="Bullets"/>
      </w:pPr>
      <w:r w:rsidRPr="009C765B">
        <w:t xml:space="preserve">All employees sign a confidentiality pledge that emphasizes the importance of confidentiality and describes employees’ obligations to maintain it. </w:t>
      </w:r>
    </w:p>
    <w:p w:rsidRPr="009C765B" w:rsidR="00CA0F01" w:rsidP="0094394F" w:rsidRDefault="00857C65" w14:paraId="1DB68D08" w14:textId="70FF97FD">
      <w:pPr>
        <w:pStyle w:val="Bullets"/>
      </w:pPr>
      <w:r>
        <w:t>PII</w:t>
      </w:r>
      <w:r w:rsidRPr="009C765B" w:rsidR="00CA0F01">
        <w:t xml:space="preserve"> is maintained </w:t>
      </w:r>
      <w:r w:rsidR="00212B1A">
        <w:t>in</w:t>
      </w:r>
      <w:r w:rsidRPr="009C765B" w:rsidR="00CA0F01">
        <w:t xml:space="preserve"> separate forms and files, which are linked only by sample identification numbers. </w:t>
      </w:r>
    </w:p>
    <w:p w:rsidR="00522021" w:rsidP="004E6593" w:rsidRDefault="00522021" w14:paraId="1714A256" w14:textId="332C39B9">
      <w:pPr>
        <w:pStyle w:val="BodyText"/>
      </w:pPr>
      <w:r w:rsidRPr="009C765B">
        <w:t xml:space="preserve">The study will take several steps to safeguard respondent information: </w:t>
      </w:r>
    </w:p>
    <w:p w:rsidR="00EA1746" w:rsidP="0094394F" w:rsidRDefault="00EA1746" w14:paraId="7EFAB6E4" w14:textId="1A54B551">
      <w:pPr>
        <w:pStyle w:val="BulletNumbering"/>
      </w:pPr>
      <w:r>
        <w:t xml:space="preserve">All contractor staff will comply with the security investigation requirements governed by their risk/sensitivity level as detailed in the </w:t>
      </w:r>
      <w:r w:rsidR="00DB11D9">
        <w:t>Department</w:t>
      </w:r>
      <w:r>
        <w:t xml:space="preserve"> Contractor Vetting Security Requirements (11-1-2019).</w:t>
      </w:r>
    </w:p>
    <w:p w:rsidR="00EA1746" w:rsidP="0094394F" w:rsidRDefault="00EA1746" w14:paraId="734747D4" w14:textId="77777777">
      <w:pPr>
        <w:pStyle w:val="BulletNumbering"/>
      </w:pPr>
      <w:r>
        <w:t>All contractor staff will receive instruction in the privacy requirements of the study.</w:t>
      </w:r>
    </w:p>
    <w:p w:rsidR="00EA1746" w:rsidP="0094394F" w:rsidRDefault="00EA1746" w14:paraId="109B8BBA" w14:textId="77777777">
      <w:pPr>
        <w:pStyle w:val="BulletNumbering"/>
      </w:pPr>
      <w:r>
        <w:lastRenderedPageBreak/>
        <w:t>Access to any data with identifying information will be limited to contractor staff directly working on the study. Access to electronic data will require individual usernames and passwords.</w:t>
      </w:r>
    </w:p>
    <w:p w:rsidR="00522021" w:rsidP="0094394F" w:rsidRDefault="00522021" w14:paraId="77FCEAED" w14:textId="5072E282">
      <w:pPr>
        <w:pStyle w:val="BulletNumbering"/>
      </w:pPr>
      <w:r>
        <w:t>Names and other identifying information for survey and interview respondents will be replaced with numerical identifiers after the data are collected and prior to analysis. A key linking the names to the identifiers will be kept in a separate location, with access for Abt staff on a need-only basis.</w:t>
      </w:r>
    </w:p>
    <w:p w:rsidRPr="009C765B" w:rsidR="00522021" w:rsidP="0094394F" w:rsidRDefault="00522021" w14:paraId="0DA47285" w14:textId="641D06EB">
      <w:pPr>
        <w:pStyle w:val="BulletNumbering"/>
      </w:pPr>
      <w:r>
        <w:t>Any quotations from responses used in public reporting will be edited to ensure that the identity of the respondent cannot be ascertained.</w:t>
      </w:r>
    </w:p>
    <w:p w:rsidRPr="009C765B" w:rsidR="00EA1746" w:rsidP="004E6593" w:rsidRDefault="00134D55" w14:paraId="586E6A6B" w14:textId="1CAA8ADA">
      <w:pPr>
        <w:pStyle w:val="BodyText"/>
        <w:rPr>
          <w:spacing w:val="-4"/>
        </w:rPr>
      </w:pPr>
      <w:r w:rsidRPr="009C765B">
        <w:t xml:space="preserve">The study team will house survey data on the Confirmit platform, which is FISMA Moderate compliant. </w:t>
      </w:r>
      <w:r w:rsidRPr="00760727" w:rsidR="00760727">
        <w:t xml:space="preserve">For analyses, the study team will store data on </w:t>
      </w:r>
      <w:r w:rsidR="00EA1746">
        <w:t xml:space="preserve">Abt’s </w:t>
      </w:r>
      <w:r w:rsidRPr="009C765B" w:rsidR="00EA1746">
        <w:rPr>
          <w:spacing w:val="-4"/>
        </w:rPr>
        <w:t>Analytic Computing Environment (ACE), which complies with HIPAA, FERPA, and FISMA Moderate standards implemented in FedRAMP-certified Amazon Web Services (AWS) environments. Additional security features include encrypted storage, intrusion detection, and audit log aggregation. ACE is monitored seven days a week, 24 hours a day using advanced monitoring and alerting tools. Expert security and IT staff continuously review audit logs, conduct regular scans, and apply patches. Redundant backups are stored both on AWS and at a remote data center.</w:t>
      </w:r>
    </w:p>
    <w:p w:rsidRPr="009C765B" w:rsidR="00134D55" w:rsidP="004E6593" w:rsidRDefault="00134D55" w14:paraId="3696BF6B" w14:textId="2A89D756">
      <w:pPr>
        <w:pStyle w:val="BodyText"/>
      </w:pPr>
      <w:bookmarkStart w:name="_Toc462741652" w:id="67"/>
      <w:bookmarkStart w:name="_Toc480465680" w:id="68"/>
      <w:bookmarkStart w:name="_Toc503254132" w:id="69"/>
      <w:r w:rsidRPr="009C765B">
        <w:t>Abt</w:t>
      </w:r>
      <w:r w:rsidR="00AD3E16">
        <w:t>’s</w:t>
      </w:r>
      <w:r w:rsidRPr="009C765B">
        <w:t xml:space="preserve"> Institutional Review Board (IRB) will review the study design protocols</w:t>
      </w:r>
      <w:r w:rsidR="00AA0E18">
        <w:t xml:space="preserve"> and data collection plan in order to determine whether the study needs to undergo a full review or </w:t>
      </w:r>
      <w:r w:rsidR="00AD3E16">
        <w:t xml:space="preserve">whether it </w:t>
      </w:r>
      <w:r w:rsidR="00AA0E18">
        <w:t>is exempt from full review. If the Abt IRB determines that a full review is necessary, the IRB will review the</w:t>
      </w:r>
      <w:r w:rsidRPr="009C765B">
        <w:t xml:space="preserve"> informed consent process, data security plan, and all data collection instruments and procedures</w:t>
      </w:r>
      <w:r>
        <w:t xml:space="preserve"> to ensure that study participants are protected</w:t>
      </w:r>
      <w:r w:rsidRPr="009C765B">
        <w:t xml:space="preserve">. </w:t>
      </w:r>
    </w:p>
    <w:p w:rsidR="005D40FE" w:rsidP="005D40FE" w:rsidRDefault="005D40FE" w14:paraId="17DDB5D8" w14:textId="57B1F6AB">
      <w:pPr>
        <w:pStyle w:val="Heading2"/>
      </w:pPr>
      <w:bookmarkStart w:name="_Toc79418634" w:id="70"/>
      <w:r w:rsidRPr="004205E1">
        <w:t>A</w:t>
      </w:r>
      <w:r w:rsidR="00780D78">
        <w:t>.</w:t>
      </w:r>
      <w:r w:rsidRPr="004205E1">
        <w:t>11</w:t>
      </w:r>
      <w:r w:rsidR="007E6F9E">
        <w:tab/>
      </w:r>
      <w:r w:rsidRPr="004205E1">
        <w:t xml:space="preserve">Sensitive </w:t>
      </w:r>
      <w:r>
        <w:t>Q</w:t>
      </w:r>
      <w:r w:rsidRPr="004205E1">
        <w:t>uestions</w:t>
      </w:r>
      <w:bookmarkEnd w:id="67"/>
      <w:bookmarkEnd w:id="68"/>
      <w:bookmarkEnd w:id="69"/>
      <w:bookmarkEnd w:id="70"/>
    </w:p>
    <w:p w:rsidR="005D40FE" w:rsidP="004E6593" w:rsidRDefault="005D40FE" w14:paraId="2F95D1E6" w14:textId="77777777">
      <w:pPr>
        <w:pStyle w:val="BodyText"/>
      </w:pPr>
      <w:r>
        <w:t>The data collection for this study does not</w:t>
      </w:r>
      <w:r w:rsidRPr="00204D13">
        <w:t xml:space="preserve"> include any questions of a sensitive nature. </w:t>
      </w:r>
    </w:p>
    <w:p w:rsidRPr="009C765B" w:rsidR="009A6300" w:rsidP="009A6300" w:rsidRDefault="005D40FE" w14:paraId="5DBBAD6C" w14:textId="744917BF">
      <w:pPr>
        <w:pStyle w:val="Heading2"/>
      </w:pPr>
      <w:bookmarkStart w:name="_Toc462741653" w:id="71"/>
      <w:bookmarkStart w:name="_Toc480465681" w:id="72"/>
      <w:bookmarkStart w:name="_Toc503254133" w:id="73"/>
      <w:bookmarkStart w:name="_Toc79418635" w:id="74"/>
      <w:r w:rsidRPr="001034D3">
        <w:t>A</w:t>
      </w:r>
      <w:r w:rsidR="00780D78">
        <w:t>.</w:t>
      </w:r>
      <w:r w:rsidRPr="001034D3">
        <w:t>12</w:t>
      </w:r>
      <w:bookmarkStart w:name="_Toc54897906" w:id="75"/>
      <w:bookmarkEnd w:id="71"/>
      <w:bookmarkEnd w:id="72"/>
      <w:bookmarkEnd w:id="73"/>
      <w:r w:rsidR="007E6F9E">
        <w:tab/>
      </w:r>
      <w:r w:rsidRPr="009C765B" w:rsidR="009A6300">
        <w:t>Estimate of Response Burden</w:t>
      </w:r>
      <w:bookmarkEnd w:id="74"/>
      <w:bookmarkEnd w:id="75"/>
    </w:p>
    <w:p w:rsidR="005D40FE" w:rsidP="005D40FE" w:rsidRDefault="00A734A7" w14:paraId="63E80C69" w14:textId="7DE71A50">
      <w:r w:rsidRPr="009C765B">
        <w:t xml:space="preserve">The total annual respondent burden for the data collection effort covered by this clearance request is </w:t>
      </w:r>
      <w:r w:rsidRPr="00E2778B" w:rsidR="00E2778B">
        <w:t>10</w:t>
      </w:r>
      <w:r w:rsidR="005E7FF3">
        <w:t>5</w:t>
      </w:r>
      <w:r w:rsidRPr="00E2778B" w:rsidR="00C57690">
        <w:t>.</w:t>
      </w:r>
      <w:r w:rsidR="005E7FF3">
        <w:t>9</w:t>
      </w:r>
      <w:r w:rsidR="001B0F98">
        <w:t>8</w:t>
      </w:r>
      <w:r w:rsidRPr="00E2778B" w:rsidR="001B0F98">
        <w:t xml:space="preserve"> </w:t>
      </w:r>
      <w:r w:rsidRPr="00E2778B">
        <w:t>hours</w:t>
      </w:r>
      <w:r w:rsidRPr="00E2778B" w:rsidR="002D7CA2">
        <w:t xml:space="preserve"> for a total cost burden of </w:t>
      </w:r>
      <w:r w:rsidRPr="0086748F" w:rsidR="0086748F">
        <w:t>$</w:t>
      </w:r>
      <w:r w:rsidR="005E7FF3">
        <w:t>6,113.62</w:t>
      </w:r>
      <w:r w:rsidRPr="00E2778B">
        <w:rPr>
          <w:szCs w:val="22"/>
        </w:rPr>
        <w:t>.</w:t>
      </w:r>
      <w:r w:rsidRPr="00275AC5">
        <w:t xml:space="preserve"> Exhibit</w:t>
      </w:r>
      <w:r w:rsidRPr="009C765B">
        <w:t xml:space="preserve"> </w:t>
      </w:r>
      <w:r w:rsidR="00857C65">
        <w:t>A3</w:t>
      </w:r>
      <w:r w:rsidRPr="009C765B" w:rsidR="00857C65">
        <w:t xml:space="preserve"> </w:t>
      </w:r>
      <w:r w:rsidRPr="009C765B">
        <w:t xml:space="preserve">presents the estimated time burden to </w:t>
      </w:r>
      <w:r>
        <w:t xml:space="preserve">respondents, and </w:t>
      </w:r>
      <w:r w:rsidR="00E860F1">
        <w:t>E</w:t>
      </w:r>
      <w:r w:rsidRPr="009C765B">
        <w:t xml:space="preserve">xhibit </w:t>
      </w:r>
      <w:r w:rsidR="00857C65">
        <w:t>A4</w:t>
      </w:r>
      <w:r w:rsidRPr="009C765B" w:rsidR="00857C65">
        <w:t xml:space="preserve"> </w:t>
      </w:r>
      <w:r w:rsidRPr="009C765B">
        <w:t>presents the estimated cost burden to respondents. The following assumptions informed these burden estimates:</w:t>
      </w:r>
    </w:p>
    <w:p w:rsidRPr="00D266AB" w:rsidR="00A734A7" w:rsidP="0094394F" w:rsidRDefault="00DB11D9" w14:paraId="75B40541" w14:textId="1D699C76">
      <w:pPr>
        <w:pStyle w:val="Bullets"/>
        <w:rPr>
          <w:b/>
          <w:bCs/>
        </w:rPr>
      </w:pPr>
      <w:r w:rsidRPr="00D266AB">
        <w:rPr>
          <w:b/>
          <w:bCs/>
        </w:rPr>
        <w:t>T</w:t>
      </w:r>
      <w:r w:rsidRPr="00D266AB" w:rsidR="00AF2CE4">
        <w:rPr>
          <w:b/>
          <w:bCs/>
        </w:rPr>
        <w:t xml:space="preserve">A </w:t>
      </w:r>
      <w:r w:rsidRPr="00D266AB">
        <w:rPr>
          <w:b/>
          <w:bCs/>
        </w:rPr>
        <w:t xml:space="preserve">Recipient </w:t>
      </w:r>
      <w:r w:rsidRPr="00D266AB" w:rsidR="00E860F1">
        <w:rPr>
          <w:b/>
          <w:bCs/>
        </w:rPr>
        <w:t>Represent</w:t>
      </w:r>
      <w:r w:rsidRPr="00D266AB" w:rsidR="00100C47">
        <w:rPr>
          <w:b/>
          <w:bCs/>
        </w:rPr>
        <w:t>a</w:t>
      </w:r>
      <w:r w:rsidRPr="00D266AB" w:rsidR="00E860F1">
        <w:rPr>
          <w:b/>
          <w:bCs/>
        </w:rPr>
        <w:t>tives</w:t>
      </w:r>
      <w:r w:rsidRPr="00D266AB" w:rsidR="00AF2CE4">
        <w:rPr>
          <w:b/>
          <w:bCs/>
        </w:rPr>
        <w:t>:</w:t>
      </w:r>
    </w:p>
    <w:p w:rsidR="00F00F6C" w:rsidP="0094394F" w:rsidRDefault="00F00F6C" w14:paraId="4070FA62" w14:textId="4C6DFF24">
      <w:pPr>
        <w:pStyle w:val="Bullet2"/>
      </w:pPr>
      <w:r>
        <w:t xml:space="preserve">Three </w:t>
      </w:r>
      <w:r w:rsidR="00DB11D9">
        <w:t>TA recipients</w:t>
      </w:r>
      <w:r>
        <w:t xml:space="preserve"> will complete the </w:t>
      </w:r>
      <w:r w:rsidR="00DB11D9">
        <w:t>TA recipient survey</w:t>
      </w:r>
      <w:r>
        <w:t xml:space="preserve"> pilot and cognitive interview. Completing both these tasks will take approximately 1 </w:t>
      </w:r>
      <w:r w:rsidRPr="00F00F6C">
        <w:t xml:space="preserve">hour per respondent. The cost to the </w:t>
      </w:r>
      <w:r w:rsidR="00DB11D9">
        <w:t>T</w:t>
      </w:r>
      <w:r w:rsidRPr="00F00F6C">
        <w:t xml:space="preserve">A </w:t>
      </w:r>
      <w:r w:rsidR="00DB11D9">
        <w:t>recipients</w:t>
      </w:r>
      <w:r w:rsidRPr="00F00F6C">
        <w:t xml:space="preserve"> is based on a national average hourly wage of $45.11</w:t>
      </w:r>
      <w:r>
        <w:t xml:space="preserve"> for education administrators in </w:t>
      </w:r>
      <w:r w:rsidRPr="00E2778B">
        <w:t>2020</w:t>
      </w:r>
      <w:r w:rsidRPr="00F00F6C">
        <w:t xml:space="preserve"> (BLS).</w:t>
      </w:r>
    </w:p>
    <w:p w:rsidR="00E66C31" w:rsidP="0094394F" w:rsidRDefault="00DB11D9" w14:paraId="4201FE17" w14:textId="15DC32BF">
      <w:pPr>
        <w:pStyle w:val="Bullet2"/>
      </w:pPr>
      <w:r>
        <w:t>TA recipient</w:t>
      </w:r>
      <w:r w:rsidR="006321FB">
        <w:t>s identified as key contacts</w:t>
      </w:r>
      <w:r w:rsidR="00E860F1">
        <w:t xml:space="preserve"> </w:t>
      </w:r>
      <w:r w:rsidR="00662C35">
        <w:t xml:space="preserve">will complete </w:t>
      </w:r>
      <w:r w:rsidR="00707C25">
        <w:t>on</w:t>
      </w:r>
      <w:r>
        <w:t>e TA Recipient</w:t>
      </w:r>
      <w:r w:rsidR="00E66C31">
        <w:t xml:space="preserve"> Survey </w:t>
      </w:r>
      <w:r w:rsidR="006321FB">
        <w:t>per project</w:t>
      </w:r>
      <w:r w:rsidR="00724CE1">
        <w:t xml:space="preserve">. </w:t>
      </w:r>
      <w:r w:rsidR="00857C65">
        <w:t>If</w:t>
      </w:r>
      <w:r w:rsidR="00724CE1">
        <w:t xml:space="preserve"> TA recipients lead more than one project within their agencies, the survey will cycle through </w:t>
      </w:r>
      <w:r w:rsidR="006321FB">
        <w:t xml:space="preserve">the </w:t>
      </w:r>
      <w:r w:rsidR="00724CE1">
        <w:t xml:space="preserve">series of project-specific questions. There are </w:t>
      </w:r>
      <w:r w:rsidR="001B0F98">
        <w:t>233</w:t>
      </w:r>
      <w:r w:rsidR="00707C25">
        <w:t xml:space="preserve"> </w:t>
      </w:r>
      <w:r w:rsidR="00724CE1">
        <w:t>CC project</w:t>
      </w:r>
      <w:r w:rsidR="001B45AC">
        <w:t>s</w:t>
      </w:r>
      <w:r w:rsidR="00724CE1">
        <w:t>, and t</w:t>
      </w:r>
      <w:r w:rsidR="00C57690">
        <w:t>he study team assumes an 80% completion rate for the survey</w:t>
      </w:r>
      <w:r w:rsidR="00724CE1">
        <w:t xml:space="preserve">—which will result in responses </w:t>
      </w:r>
      <w:r w:rsidR="006321FB">
        <w:t xml:space="preserve">about </w:t>
      </w:r>
      <w:r w:rsidR="00C57690">
        <w:t xml:space="preserve">approximately </w:t>
      </w:r>
      <w:r w:rsidR="001B0F98">
        <w:t xml:space="preserve">186 </w:t>
      </w:r>
      <w:r w:rsidR="00724CE1">
        <w:t>projects</w:t>
      </w:r>
      <w:r w:rsidR="00C57690">
        <w:t>.</w:t>
      </w:r>
      <w:r w:rsidR="00E66C31">
        <w:t xml:space="preserve"> </w:t>
      </w:r>
      <w:r w:rsidR="00662C35">
        <w:t xml:space="preserve">The cost to the </w:t>
      </w:r>
      <w:r>
        <w:t>TA recipients</w:t>
      </w:r>
      <w:r w:rsidR="00021599">
        <w:t xml:space="preserve"> is based on a national </w:t>
      </w:r>
      <w:r w:rsidR="00E66C31">
        <w:t xml:space="preserve">average hourly </w:t>
      </w:r>
      <w:r w:rsidRPr="00F00F6C" w:rsidR="00E66C31">
        <w:t xml:space="preserve">wage of </w:t>
      </w:r>
      <w:r w:rsidRPr="00F00F6C" w:rsidR="00021599">
        <w:t>$</w:t>
      </w:r>
      <w:r w:rsidRPr="00F00F6C" w:rsidR="00567E64">
        <w:t>4</w:t>
      </w:r>
      <w:r w:rsidRPr="00F00F6C" w:rsidR="00A27372">
        <w:t>5</w:t>
      </w:r>
      <w:r w:rsidRPr="00F00F6C" w:rsidR="00567E64">
        <w:t>.</w:t>
      </w:r>
      <w:r w:rsidRPr="00F00F6C" w:rsidR="00A27372">
        <w:t>11</w:t>
      </w:r>
      <w:r w:rsidRPr="00F00F6C" w:rsidR="00567E64">
        <w:t xml:space="preserve"> </w:t>
      </w:r>
      <w:r w:rsidRPr="00F00F6C" w:rsidR="00E66C31">
        <w:t>for</w:t>
      </w:r>
      <w:r w:rsidR="00E66C31">
        <w:t xml:space="preserve"> </w:t>
      </w:r>
      <w:r w:rsidR="00021599">
        <w:t xml:space="preserve">education administrators </w:t>
      </w:r>
      <w:r w:rsidR="00E66C31">
        <w:t xml:space="preserve">in </w:t>
      </w:r>
      <w:r w:rsidRPr="00F00F6C" w:rsidR="00021599">
        <w:t>20</w:t>
      </w:r>
      <w:r w:rsidRPr="00F00F6C" w:rsidR="00567E64">
        <w:t>20</w:t>
      </w:r>
      <w:r w:rsidRPr="00F00F6C" w:rsidR="00021599">
        <w:t xml:space="preserve"> </w:t>
      </w:r>
      <w:r w:rsidRPr="00F00F6C" w:rsidR="00E66C31">
        <w:t>(</w:t>
      </w:r>
      <w:r w:rsidRPr="00F00F6C" w:rsidR="00021599">
        <w:t>BLS</w:t>
      </w:r>
      <w:r w:rsidRPr="00F00F6C" w:rsidR="00E66C31">
        <w:t>).</w:t>
      </w:r>
      <w:r w:rsidR="00E66C31">
        <w:t xml:space="preserve"> </w:t>
      </w:r>
    </w:p>
    <w:p w:rsidRPr="00D266AB" w:rsidR="00AF2CE4" w:rsidP="0094394F" w:rsidRDefault="00AF2CE4" w14:paraId="469CBC8C" w14:textId="55150B7E">
      <w:pPr>
        <w:pStyle w:val="Bullets"/>
        <w:rPr>
          <w:b/>
          <w:bCs/>
        </w:rPr>
      </w:pPr>
      <w:r w:rsidRPr="00D266AB">
        <w:rPr>
          <w:b/>
          <w:bCs/>
        </w:rPr>
        <w:t>CC Director:</w:t>
      </w:r>
    </w:p>
    <w:p w:rsidR="00E64D28" w:rsidRDefault="00F00F6C" w14:paraId="218D9E1E" w14:textId="0FB0B2DB">
      <w:pPr>
        <w:pStyle w:val="Bullet2"/>
      </w:pPr>
      <w:r>
        <w:lastRenderedPageBreak/>
        <w:t xml:space="preserve">The </w:t>
      </w:r>
      <w:r w:rsidR="000222E0">
        <w:t>1</w:t>
      </w:r>
      <w:r w:rsidR="008807EB">
        <w:t>9</w:t>
      </w:r>
      <w:r w:rsidR="000222E0">
        <w:t xml:space="preserve"> Regional Center Directors and 1 National Center D</w:t>
      </w:r>
      <w:r w:rsidR="00E64D28">
        <w:t xml:space="preserve">irector will participate in the CC </w:t>
      </w:r>
      <w:r>
        <w:t>D</w:t>
      </w:r>
      <w:r w:rsidR="00E64D28">
        <w:t xml:space="preserve">irector </w:t>
      </w:r>
      <w:r>
        <w:t>I</w:t>
      </w:r>
      <w:r w:rsidR="00E64D28">
        <w:t>nterview.</w:t>
      </w:r>
      <w:r w:rsidR="00C57690">
        <w:t xml:space="preserve"> The study team assumes a 100% completion rate for CC Director interviews. </w:t>
      </w:r>
      <w:r w:rsidR="00E64D28">
        <w:t>Interview participation will take approximately 60 minutes per participant</w:t>
      </w:r>
      <w:r w:rsidR="00E2778B">
        <w:t>, plus 20 minutes to fill in the pre-interview template</w:t>
      </w:r>
      <w:r w:rsidR="00E64D28">
        <w:t xml:space="preserve">. The cost to the CC </w:t>
      </w:r>
      <w:r w:rsidR="00707C25">
        <w:t>D</w:t>
      </w:r>
      <w:r w:rsidR="00E64D28">
        <w:t xml:space="preserve">irector is based on an average hourly wage of </w:t>
      </w:r>
      <w:r w:rsidR="002F1C48">
        <w:t>$7</w:t>
      </w:r>
      <w:r w:rsidR="00A27372">
        <w:t>7</w:t>
      </w:r>
      <w:r w:rsidR="002F1C48">
        <w:t>.</w:t>
      </w:r>
      <w:r w:rsidR="00A27372">
        <w:t>15</w:t>
      </w:r>
      <w:r w:rsidR="002F1C48">
        <w:t xml:space="preserve"> for General and Operations Managers within Management, Scientific, and Technical Consulting Services in 20</w:t>
      </w:r>
      <w:r w:rsidR="00A27372">
        <w:t>20</w:t>
      </w:r>
      <w:r w:rsidR="002F1C48">
        <w:t xml:space="preserve"> (BLS)</w:t>
      </w:r>
      <w:r w:rsidR="00E64D28">
        <w:t>.</w:t>
      </w:r>
    </w:p>
    <w:p w:rsidR="002F1C48" w:rsidP="0094394F" w:rsidRDefault="00021599" w14:paraId="39B89B51" w14:textId="3C571F45">
      <w:pPr>
        <w:pStyle w:val="Bullet2"/>
      </w:pPr>
      <w:r>
        <w:t xml:space="preserve">All 20 CC </w:t>
      </w:r>
      <w:r w:rsidR="00707C25">
        <w:t>D</w:t>
      </w:r>
      <w:r>
        <w:t xml:space="preserve">irectors will help identify the </w:t>
      </w:r>
      <w:r w:rsidR="00AE3F02">
        <w:t xml:space="preserve">name and contact </w:t>
      </w:r>
      <w:r w:rsidR="006363D3">
        <w:t xml:space="preserve">information </w:t>
      </w:r>
      <w:r w:rsidR="00AE3F02">
        <w:t xml:space="preserve">for </w:t>
      </w:r>
      <w:r w:rsidR="003B6F3A">
        <w:t xml:space="preserve">the </w:t>
      </w:r>
      <w:r w:rsidR="008D2673">
        <w:t xml:space="preserve">key contact for every project </w:t>
      </w:r>
      <w:r w:rsidR="003B6F3A">
        <w:t xml:space="preserve">active in </w:t>
      </w:r>
      <w:r w:rsidR="00310FCF">
        <w:t>Year 2</w:t>
      </w:r>
      <w:r w:rsidR="000D5357">
        <w:t xml:space="preserve"> </w:t>
      </w:r>
      <w:r w:rsidR="006363D3">
        <w:t xml:space="preserve">in his or her region </w:t>
      </w:r>
      <w:r>
        <w:t xml:space="preserve">and will send a </w:t>
      </w:r>
      <w:r w:rsidR="006321FB">
        <w:t>notification</w:t>
      </w:r>
      <w:r>
        <w:t xml:space="preserve"> email about the data collection activities to </w:t>
      </w:r>
      <w:r w:rsidR="006321FB">
        <w:t>the key contacts</w:t>
      </w:r>
      <w:r w:rsidR="00933BA2">
        <w:t>, as well as a reminder email to those who have not responded</w:t>
      </w:r>
      <w:r>
        <w:t xml:space="preserve">. These tasks will take approximately 30 minutes combined. The cost to the CC </w:t>
      </w:r>
      <w:r w:rsidR="00707C25">
        <w:t>D</w:t>
      </w:r>
      <w:r>
        <w:t xml:space="preserve">irector is based on an average hourly wage of </w:t>
      </w:r>
      <w:r w:rsidR="002F1C48">
        <w:t>$7</w:t>
      </w:r>
      <w:r w:rsidR="00A27372">
        <w:t>7.15</w:t>
      </w:r>
      <w:r w:rsidR="00707C25">
        <w:t xml:space="preserve"> </w:t>
      </w:r>
      <w:r w:rsidR="002F1C48">
        <w:t>for General and Operations Managers within Management, Scientific, and Technical Consulting Services in 20</w:t>
      </w:r>
      <w:r w:rsidR="00A27372">
        <w:t>20</w:t>
      </w:r>
      <w:r w:rsidR="002F1C48">
        <w:t xml:space="preserve"> (BLS).</w:t>
      </w:r>
    </w:p>
    <w:p w:rsidRPr="00D266AB" w:rsidR="00AF2CE4" w:rsidP="0094394F" w:rsidRDefault="00AF2CE4" w14:paraId="66D6AF6E" w14:textId="2366B645">
      <w:pPr>
        <w:pStyle w:val="Bullets"/>
        <w:rPr>
          <w:b/>
          <w:bCs/>
        </w:rPr>
      </w:pPr>
      <w:r w:rsidRPr="00D266AB">
        <w:rPr>
          <w:b/>
          <w:bCs/>
        </w:rPr>
        <w:t>REL Director:</w:t>
      </w:r>
    </w:p>
    <w:p w:rsidR="002F1C48" w:rsidP="0094394F" w:rsidRDefault="000A622D" w14:paraId="557B3BE7" w14:textId="0160BF6F">
      <w:pPr>
        <w:pStyle w:val="Bullet2"/>
      </w:pPr>
      <w:r>
        <w:t xml:space="preserve">The </w:t>
      </w:r>
      <w:r w:rsidR="0086748F">
        <w:t>10</w:t>
      </w:r>
      <w:r w:rsidR="00E64D28">
        <w:t xml:space="preserve"> REL </w:t>
      </w:r>
      <w:r w:rsidR="00707C25">
        <w:t>D</w:t>
      </w:r>
      <w:r w:rsidR="00E64D28">
        <w:t xml:space="preserve">irectors will </w:t>
      </w:r>
      <w:r w:rsidR="002D7CA2">
        <w:t>participate</w:t>
      </w:r>
      <w:r w:rsidR="00E64D28">
        <w:t xml:space="preserve"> in the REL </w:t>
      </w:r>
      <w:r w:rsidR="001460F5">
        <w:t>D</w:t>
      </w:r>
      <w:r w:rsidR="00E64D28">
        <w:t>irector interview.</w:t>
      </w:r>
      <w:r w:rsidRPr="00C57690" w:rsidR="00C57690">
        <w:t xml:space="preserve"> </w:t>
      </w:r>
      <w:r w:rsidR="00C57690">
        <w:t xml:space="preserve">The study team assumes a 100% completion rate for REL Director interviews. </w:t>
      </w:r>
      <w:r w:rsidR="00E64D28">
        <w:t xml:space="preserve"> Interview participation will take approximately 30 minutes per respondent. The cost to the REL </w:t>
      </w:r>
      <w:r w:rsidR="001460F5">
        <w:t>D</w:t>
      </w:r>
      <w:r w:rsidR="00E64D28">
        <w:t xml:space="preserve">irector is based on an average hourly wage of </w:t>
      </w:r>
      <w:r w:rsidR="002F1C48">
        <w:t>$7</w:t>
      </w:r>
      <w:r w:rsidR="00A27372">
        <w:t>7</w:t>
      </w:r>
      <w:r w:rsidR="002F1C48">
        <w:t>.</w:t>
      </w:r>
      <w:r w:rsidR="00A27372">
        <w:t xml:space="preserve">15 </w:t>
      </w:r>
      <w:r w:rsidR="002F1C48">
        <w:t>for General and Operations Managers within Management, Scientific, and Technical Consulting Services in 20</w:t>
      </w:r>
      <w:r w:rsidR="00A27372">
        <w:t xml:space="preserve">20 </w:t>
      </w:r>
      <w:r w:rsidR="002F1C48">
        <w:t>(BLS).</w:t>
      </w:r>
    </w:p>
    <w:p w:rsidR="007E6F9E" w:rsidP="007E6F9E" w:rsidRDefault="007E6F9E" w14:paraId="0321A878" w14:textId="77777777">
      <w:pPr>
        <w:pStyle w:val="BodyText"/>
      </w:pPr>
    </w:p>
    <w:p w:rsidRPr="007E6F9E" w:rsidR="00523F67" w:rsidP="007E6F9E" w:rsidRDefault="00523F67" w14:paraId="12536593" w14:textId="184DFE4E">
      <w:pPr>
        <w:pStyle w:val="BodyText"/>
      </w:pPr>
      <w:r w:rsidRPr="007E6F9E">
        <w:br w:type="page"/>
      </w:r>
    </w:p>
    <w:p w:rsidR="00832660" w:rsidP="00832660" w:rsidRDefault="00832660" w14:paraId="3D936699" w14:textId="027C2D85">
      <w:pPr>
        <w:pStyle w:val="Caption"/>
      </w:pPr>
      <w:r>
        <w:lastRenderedPageBreak/>
        <w:t xml:space="preserve">Exhibit </w:t>
      </w:r>
      <w:r w:rsidR="00780D78">
        <w:t>A</w:t>
      </w:r>
      <w:r w:rsidR="00CB4407">
        <w:t>3</w:t>
      </w:r>
      <w:r w:rsidR="00D27B5B">
        <w:t xml:space="preserve">: </w:t>
      </w:r>
      <w:r w:rsidRPr="008E159B">
        <w:t>Estimate of Respondent Time</w:t>
      </w:r>
      <w:r w:rsidR="00236C6C">
        <w:t xml:space="preserve"> </w:t>
      </w:r>
      <w:r w:rsidRPr="008E159B">
        <w:t>Burden</w:t>
      </w:r>
    </w:p>
    <w:tbl>
      <w:tblPr>
        <w:tblW w:w="9512" w:type="dxa"/>
        <w:tblBorders>
          <w:top w:val="single" w:color="0D0D0D" w:themeColor="text1" w:themeTint="F2" w:sz="2" w:space="0"/>
          <w:left w:val="single" w:color="0D0D0D" w:themeColor="text1" w:themeTint="F2" w:sz="2" w:space="0"/>
          <w:bottom w:val="single" w:color="0D0D0D" w:themeColor="text1" w:themeTint="F2" w:sz="2" w:space="0"/>
          <w:right w:val="single" w:color="0D0D0D" w:themeColor="text1" w:themeTint="F2" w:sz="2" w:space="0"/>
          <w:insideH w:val="single" w:color="0D0D0D" w:themeColor="text1" w:themeTint="F2" w:sz="2" w:space="0"/>
          <w:insideV w:val="single" w:color="0D0D0D" w:themeColor="text1" w:themeTint="F2" w:sz="2" w:space="0"/>
        </w:tblBorders>
        <w:tblLayout w:type="fixed"/>
        <w:tblLook w:val="04A0" w:firstRow="1" w:lastRow="0" w:firstColumn="1" w:lastColumn="0" w:noHBand="0" w:noVBand="1"/>
      </w:tblPr>
      <w:tblGrid>
        <w:gridCol w:w="2404"/>
        <w:gridCol w:w="1777"/>
        <w:gridCol w:w="1777"/>
        <w:gridCol w:w="1777"/>
        <w:gridCol w:w="1777"/>
      </w:tblGrid>
      <w:tr w:rsidRPr="009C765B" w:rsidR="00832660" w:rsidTr="0094394F" w14:paraId="56B65F56" w14:textId="77777777">
        <w:trPr>
          <w:trHeight w:val="433"/>
          <w:tblHeader/>
        </w:trPr>
        <w:tc>
          <w:tcPr>
            <w:tcW w:w="2404" w:type="dxa"/>
            <w:shd w:val="clear" w:color="auto" w:fill="4F81BD"/>
            <w:vAlign w:val="bottom"/>
            <w:hideMark/>
          </w:tcPr>
          <w:p w:rsidRPr="009C765B" w:rsidR="00832660" w:rsidP="00760727" w:rsidRDefault="00832660" w14:paraId="5AD3E2C2" w14:textId="77777777">
            <w:pPr>
              <w:spacing w:after="0" w:line="240" w:lineRule="auto"/>
              <w:jc w:val="center"/>
              <w:rPr>
                <w:rFonts w:ascii="Arial Narrow" w:hAnsi="Arial Narrow" w:cs="Calibri"/>
                <w:b/>
                <w:bCs/>
                <w:color w:val="FFFFFF" w:themeColor="background1"/>
                <w:sz w:val="20"/>
              </w:rPr>
            </w:pPr>
            <w:r w:rsidRPr="009C765B">
              <w:rPr>
                <w:rFonts w:ascii="Arial Narrow" w:hAnsi="Arial Narrow" w:cs="Calibri"/>
                <w:b/>
                <w:bCs/>
                <w:color w:val="FFFFFF" w:themeColor="background1"/>
                <w:sz w:val="20"/>
              </w:rPr>
              <w:t>Respondent Type</w:t>
            </w:r>
          </w:p>
        </w:tc>
        <w:tc>
          <w:tcPr>
            <w:tcW w:w="1777" w:type="dxa"/>
            <w:shd w:val="clear" w:color="auto" w:fill="4F81BD"/>
            <w:vAlign w:val="bottom"/>
            <w:hideMark/>
          </w:tcPr>
          <w:p w:rsidRPr="009C765B" w:rsidR="00832660" w:rsidP="00760727" w:rsidRDefault="00832660" w14:paraId="0DAF0AE4" w14:textId="77777777">
            <w:pPr>
              <w:spacing w:after="0" w:line="240" w:lineRule="auto"/>
              <w:jc w:val="center"/>
              <w:rPr>
                <w:rFonts w:ascii="Arial Narrow" w:hAnsi="Arial Narrow" w:cs="Calibri"/>
                <w:b/>
                <w:bCs/>
                <w:color w:val="FFFFFF" w:themeColor="background1"/>
                <w:sz w:val="20"/>
              </w:rPr>
            </w:pPr>
            <w:r w:rsidRPr="009C765B">
              <w:rPr>
                <w:rFonts w:ascii="Arial Narrow" w:hAnsi="Arial Narrow" w:cs="Calibri"/>
                <w:b/>
                <w:bCs/>
                <w:color w:val="FFFFFF" w:themeColor="background1"/>
                <w:sz w:val="20"/>
              </w:rPr>
              <w:t>Time per Response (Hours)</w:t>
            </w:r>
          </w:p>
        </w:tc>
        <w:tc>
          <w:tcPr>
            <w:tcW w:w="1777" w:type="dxa"/>
            <w:shd w:val="clear" w:color="auto" w:fill="4F81BD"/>
            <w:vAlign w:val="bottom"/>
            <w:hideMark/>
          </w:tcPr>
          <w:p w:rsidRPr="009C765B" w:rsidR="00832660" w:rsidP="00760727" w:rsidRDefault="00832660" w14:paraId="0F417B36" w14:textId="77777777">
            <w:pPr>
              <w:spacing w:after="0" w:line="240" w:lineRule="auto"/>
              <w:jc w:val="center"/>
              <w:rPr>
                <w:rFonts w:ascii="Arial Narrow" w:hAnsi="Arial Narrow" w:cs="Calibri"/>
                <w:b/>
                <w:bCs/>
                <w:color w:val="FFFFFF" w:themeColor="background1"/>
                <w:sz w:val="20"/>
              </w:rPr>
            </w:pPr>
            <w:r w:rsidRPr="009C765B">
              <w:rPr>
                <w:rFonts w:ascii="Arial Narrow" w:hAnsi="Arial Narrow" w:cs="Calibri"/>
                <w:b/>
                <w:bCs/>
                <w:color w:val="FFFFFF" w:themeColor="background1"/>
                <w:sz w:val="20"/>
              </w:rPr>
              <w:t>Maximum Number of Responses</w:t>
            </w:r>
          </w:p>
        </w:tc>
        <w:tc>
          <w:tcPr>
            <w:tcW w:w="1777" w:type="dxa"/>
            <w:shd w:val="clear" w:color="auto" w:fill="4F81BD"/>
            <w:vAlign w:val="bottom"/>
            <w:hideMark/>
          </w:tcPr>
          <w:p w:rsidRPr="009C765B" w:rsidR="00832660" w:rsidP="00760727" w:rsidRDefault="00832660" w14:paraId="5E208ACD" w14:textId="77777777">
            <w:pPr>
              <w:spacing w:after="0" w:line="240" w:lineRule="auto"/>
              <w:jc w:val="center"/>
              <w:rPr>
                <w:rFonts w:ascii="Arial Narrow" w:hAnsi="Arial Narrow" w:cs="Calibri"/>
                <w:b/>
                <w:bCs/>
                <w:color w:val="FFFFFF" w:themeColor="background1"/>
                <w:sz w:val="20"/>
              </w:rPr>
            </w:pPr>
            <w:r w:rsidRPr="009C765B">
              <w:rPr>
                <w:rFonts w:ascii="Arial Narrow" w:hAnsi="Arial Narrow" w:cs="Calibri"/>
                <w:b/>
                <w:bCs/>
                <w:color w:val="FFFFFF" w:themeColor="background1"/>
                <w:sz w:val="20"/>
              </w:rPr>
              <w:t>Number of Respondents</w:t>
            </w:r>
          </w:p>
        </w:tc>
        <w:tc>
          <w:tcPr>
            <w:tcW w:w="1777" w:type="dxa"/>
            <w:shd w:val="clear" w:color="auto" w:fill="4F81BD"/>
            <w:vAlign w:val="bottom"/>
            <w:hideMark/>
          </w:tcPr>
          <w:p w:rsidRPr="009C765B" w:rsidR="00832660" w:rsidP="00760727" w:rsidRDefault="00832660" w14:paraId="2179BF8E" w14:textId="77777777">
            <w:pPr>
              <w:spacing w:after="0" w:line="240" w:lineRule="auto"/>
              <w:jc w:val="center"/>
              <w:rPr>
                <w:rFonts w:ascii="Arial Narrow" w:hAnsi="Arial Narrow" w:cs="Calibri"/>
                <w:b/>
                <w:bCs/>
                <w:color w:val="FFFFFF" w:themeColor="background1"/>
                <w:sz w:val="20"/>
              </w:rPr>
            </w:pPr>
            <w:r w:rsidRPr="009C765B">
              <w:rPr>
                <w:rFonts w:ascii="Arial Narrow" w:hAnsi="Arial Narrow" w:cs="Calibri"/>
                <w:b/>
                <w:bCs/>
                <w:color w:val="FFFFFF" w:themeColor="background1"/>
                <w:sz w:val="20"/>
              </w:rPr>
              <w:t>Total Time Burden (hours)</w:t>
            </w:r>
          </w:p>
        </w:tc>
      </w:tr>
      <w:tr w:rsidRPr="009C765B" w:rsidR="00832660" w:rsidTr="00A87EC6" w14:paraId="3029AC9C" w14:textId="77777777">
        <w:trPr>
          <w:trHeight w:val="226"/>
        </w:trPr>
        <w:tc>
          <w:tcPr>
            <w:tcW w:w="2404" w:type="dxa"/>
            <w:shd w:val="clear" w:color="000000" w:fill="E7E6E6"/>
            <w:noWrap/>
            <w:vAlign w:val="bottom"/>
            <w:hideMark/>
          </w:tcPr>
          <w:p w:rsidRPr="007E6F9E" w:rsidR="00832660" w:rsidP="007E6F9E" w:rsidRDefault="00DB11D9" w14:paraId="007AE55D" w14:textId="19D58014">
            <w:pPr>
              <w:pStyle w:val="TableText"/>
              <w:spacing w:before="0" w:after="0" w:line="240" w:lineRule="auto"/>
              <w:rPr>
                <w:b/>
                <w:bCs w:val="0"/>
              </w:rPr>
            </w:pPr>
            <w:r w:rsidRPr="007E6F9E">
              <w:rPr>
                <w:b/>
                <w:bCs w:val="0"/>
              </w:rPr>
              <w:t>T</w:t>
            </w:r>
            <w:r w:rsidRPr="007E6F9E" w:rsidR="00832660">
              <w:rPr>
                <w:b/>
                <w:bCs w:val="0"/>
              </w:rPr>
              <w:t xml:space="preserve">A </w:t>
            </w:r>
            <w:r w:rsidRPr="007E6F9E">
              <w:rPr>
                <w:b/>
                <w:bCs w:val="0"/>
              </w:rPr>
              <w:t xml:space="preserve">Recipient </w:t>
            </w:r>
            <w:r w:rsidRPr="007E6F9E" w:rsidR="00E860F1">
              <w:rPr>
                <w:b/>
                <w:bCs w:val="0"/>
              </w:rPr>
              <w:t>Representatives</w:t>
            </w:r>
          </w:p>
        </w:tc>
        <w:tc>
          <w:tcPr>
            <w:tcW w:w="1777" w:type="dxa"/>
            <w:shd w:val="clear" w:color="000000" w:fill="E7E6E6"/>
            <w:noWrap/>
            <w:vAlign w:val="bottom"/>
          </w:tcPr>
          <w:p w:rsidRPr="009C765B" w:rsidR="00832660" w:rsidP="007E6F9E" w:rsidRDefault="00832660" w14:paraId="05BDD70A" w14:textId="0D448042">
            <w:pPr>
              <w:pStyle w:val="TableText"/>
              <w:spacing w:before="0" w:after="0" w:line="240" w:lineRule="auto"/>
            </w:pPr>
          </w:p>
        </w:tc>
        <w:tc>
          <w:tcPr>
            <w:tcW w:w="1777" w:type="dxa"/>
            <w:shd w:val="clear" w:color="000000" w:fill="E7E6E6"/>
            <w:noWrap/>
            <w:vAlign w:val="bottom"/>
          </w:tcPr>
          <w:p w:rsidRPr="009C765B" w:rsidR="00832660" w:rsidP="007E6F9E" w:rsidRDefault="00832660" w14:paraId="5EEF3B3A" w14:textId="644D8718">
            <w:pPr>
              <w:pStyle w:val="TableText"/>
              <w:spacing w:before="0" w:after="0" w:line="240" w:lineRule="auto"/>
            </w:pPr>
          </w:p>
        </w:tc>
        <w:tc>
          <w:tcPr>
            <w:tcW w:w="1777" w:type="dxa"/>
            <w:shd w:val="clear" w:color="000000" w:fill="E7E6E6"/>
            <w:noWrap/>
            <w:vAlign w:val="bottom"/>
          </w:tcPr>
          <w:p w:rsidRPr="009C765B" w:rsidR="00832660" w:rsidP="007E6F9E" w:rsidRDefault="00832660" w14:paraId="1AC005EF" w14:textId="7F9A7A2A">
            <w:pPr>
              <w:pStyle w:val="TableText"/>
              <w:spacing w:before="0" w:after="0" w:line="240" w:lineRule="auto"/>
            </w:pPr>
          </w:p>
        </w:tc>
        <w:tc>
          <w:tcPr>
            <w:tcW w:w="1777" w:type="dxa"/>
            <w:shd w:val="clear" w:color="000000" w:fill="E7E6E6"/>
            <w:noWrap/>
            <w:vAlign w:val="bottom"/>
          </w:tcPr>
          <w:p w:rsidRPr="009C765B" w:rsidR="00832660" w:rsidP="007E6F9E" w:rsidRDefault="00832660" w14:paraId="53B05E97" w14:textId="1D3B1B7E">
            <w:pPr>
              <w:pStyle w:val="TableText"/>
              <w:spacing w:before="0" w:after="0" w:line="240" w:lineRule="auto"/>
            </w:pPr>
          </w:p>
        </w:tc>
      </w:tr>
      <w:tr w:rsidRPr="009C765B" w:rsidR="004E0BA7" w:rsidTr="00A87EC6" w14:paraId="24CFBABB" w14:textId="77777777">
        <w:trPr>
          <w:trHeight w:val="226"/>
        </w:trPr>
        <w:tc>
          <w:tcPr>
            <w:tcW w:w="2404" w:type="dxa"/>
            <w:shd w:val="clear" w:color="auto" w:fill="auto"/>
            <w:noWrap/>
            <w:vAlign w:val="bottom"/>
          </w:tcPr>
          <w:p w:rsidRPr="006D51C7" w:rsidR="004E0BA7" w:rsidP="007E6F9E" w:rsidRDefault="00DB11D9" w14:paraId="21309B34" w14:textId="0EF2777B">
            <w:pPr>
              <w:pStyle w:val="TableText"/>
              <w:spacing w:before="0" w:after="0" w:line="240" w:lineRule="auto"/>
              <w:rPr>
                <w:sz w:val="18"/>
                <w:szCs w:val="18"/>
              </w:rPr>
            </w:pPr>
            <w:r w:rsidRPr="006D51C7">
              <w:rPr>
                <w:sz w:val="18"/>
                <w:szCs w:val="18"/>
              </w:rPr>
              <w:t>T</w:t>
            </w:r>
            <w:r w:rsidRPr="006D51C7" w:rsidR="004E0BA7">
              <w:rPr>
                <w:sz w:val="18"/>
                <w:szCs w:val="18"/>
              </w:rPr>
              <w:t xml:space="preserve">A </w:t>
            </w:r>
            <w:r w:rsidRPr="006D51C7">
              <w:rPr>
                <w:sz w:val="18"/>
                <w:szCs w:val="18"/>
              </w:rPr>
              <w:t xml:space="preserve">Recipient </w:t>
            </w:r>
            <w:r w:rsidRPr="006D51C7" w:rsidR="004E0BA7">
              <w:rPr>
                <w:sz w:val="18"/>
                <w:szCs w:val="18"/>
              </w:rPr>
              <w:t>Survey Pilot</w:t>
            </w:r>
          </w:p>
        </w:tc>
        <w:tc>
          <w:tcPr>
            <w:tcW w:w="1777" w:type="dxa"/>
            <w:shd w:val="clear" w:color="auto" w:fill="auto"/>
            <w:noWrap/>
            <w:vAlign w:val="bottom"/>
          </w:tcPr>
          <w:p w:rsidRPr="006D51C7" w:rsidR="004E0BA7" w:rsidP="007E6F9E" w:rsidRDefault="004E0BA7" w14:paraId="60BED7C8" w14:textId="08ADD318">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tcPr>
          <w:p w:rsidRPr="006D51C7" w:rsidR="004E0BA7" w:rsidP="007E6F9E" w:rsidRDefault="004E0BA7" w14:paraId="1468EED9" w14:textId="281044A9">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tcPr>
          <w:p w:rsidRPr="006D51C7" w:rsidR="004E0BA7" w:rsidP="007E6F9E" w:rsidRDefault="004E0BA7" w14:paraId="189FB07C" w14:textId="1326D878">
            <w:pPr>
              <w:pStyle w:val="TableText"/>
              <w:spacing w:before="0" w:after="0" w:line="240" w:lineRule="auto"/>
              <w:jc w:val="right"/>
              <w:rPr>
                <w:sz w:val="18"/>
                <w:szCs w:val="18"/>
              </w:rPr>
            </w:pPr>
            <w:r w:rsidRPr="006D51C7">
              <w:rPr>
                <w:sz w:val="18"/>
                <w:szCs w:val="18"/>
              </w:rPr>
              <w:t>3</w:t>
            </w:r>
          </w:p>
        </w:tc>
        <w:tc>
          <w:tcPr>
            <w:tcW w:w="1777" w:type="dxa"/>
            <w:shd w:val="clear" w:color="auto" w:fill="auto"/>
            <w:noWrap/>
            <w:vAlign w:val="bottom"/>
          </w:tcPr>
          <w:p w:rsidRPr="006D51C7" w:rsidR="004E0BA7" w:rsidP="007E6F9E" w:rsidRDefault="004E0BA7" w14:paraId="41423A9F" w14:textId="544B3B99">
            <w:pPr>
              <w:pStyle w:val="TableText"/>
              <w:spacing w:before="0" w:after="0" w:line="240" w:lineRule="auto"/>
              <w:jc w:val="right"/>
              <w:rPr>
                <w:sz w:val="18"/>
                <w:szCs w:val="18"/>
              </w:rPr>
            </w:pPr>
            <w:r w:rsidRPr="006D51C7">
              <w:rPr>
                <w:sz w:val="18"/>
                <w:szCs w:val="18"/>
              </w:rPr>
              <w:t>3</w:t>
            </w:r>
          </w:p>
        </w:tc>
      </w:tr>
      <w:tr w:rsidRPr="009C765B" w:rsidR="00832660" w:rsidTr="00A87EC6" w14:paraId="78D1B242" w14:textId="77777777">
        <w:trPr>
          <w:trHeight w:val="226"/>
        </w:trPr>
        <w:tc>
          <w:tcPr>
            <w:tcW w:w="2404" w:type="dxa"/>
            <w:shd w:val="clear" w:color="auto" w:fill="auto"/>
            <w:noWrap/>
            <w:vAlign w:val="bottom"/>
            <w:hideMark/>
          </w:tcPr>
          <w:p w:rsidRPr="006D51C7" w:rsidR="00832660" w:rsidP="007E6F9E" w:rsidRDefault="00DB11D9" w14:paraId="49CFA9C6" w14:textId="16115858">
            <w:pPr>
              <w:pStyle w:val="TableText"/>
              <w:spacing w:before="0" w:after="0" w:line="240" w:lineRule="auto"/>
              <w:rPr>
                <w:sz w:val="18"/>
                <w:szCs w:val="18"/>
              </w:rPr>
            </w:pPr>
            <w:r w:rsidRPr="006D51C7">
              <w:rPr>
                <w:sz w:val="18"/>
                <w:szCs w:val="18"/>
              </w:rPr>
              <w:t xml:space="preserve">TA Recipient </w:t>
            </w:r>
            <w:r w:rsidRPr="006D51C7" w:rsidR="00832660">
              <w:rPr>
                <w:sz w:val="18"/>
                <w:szCs w:val="18"/>
              </w:rPr>
              <w:t>Survey</w:t>
            </w:r>
          </w:p>
        </w:tc>
        <w:tc>
          <w:tcPr>
            <w:tcW w:w="1777" w:type="dxa"/>
            <w:shd w:val="clear" w:color="auto" w:fill="auto"/>
            <w:noWrap/>
            <w:vAlign w:val="bottom"/>
            <w:hideMark/>
          </w:tcPr>
          <w:p w:rsidRPr="006D51C7" w:rsidR="00832660" w:rsidP="007E6F9E" w:rsidRDefault="00760727" w14:paraId="3EB0E73F" w14:textId="533C26F3">
            <w:pPr>
              <w:pStyle w:val="TableText"/>
              <w:spacing w:before="0" w:after="0" w:line="240" w:lineRule="auto"/>
              <w:jc w:val="right"/>
              <w:rPr>
                <w:sz w:val="18"/>
                <w:szCs w:val="18"/>
              </w:rPr>
            </w:pPr>
            <w:r w:rsidRPr="006D51C7">
              <w:rPr>
                <w:sz w:val="18"/>
                <w:szCs w:val="18"/>
              </w:rPr>
              <w:t>.33</w:t>
            </w:r>
          </w:p>
        </w:tc>
        <w:tc>
          <w:tcPr>
            <w:tcW w:w="1777" w:type="dxa"/>
            <w:shd w:val="clear" w:color="auto" w:fill="auto"/>
            <w:noWrap/>
            <w:vAlign w:val="bottom"/>
            <w:hideMark/>
          </w:tcPr>
          <w:p w:rsidRPr="006D51C7" w:rsidR="00832660" w:rsidP="007E6F9E" w:rsidRDefault="00832660" w14:paraId="23A43F52" w14:textId="62D73B16">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hideMark/>
          </w:tcPr>
          <w:p w:rsidRPr="006D51C7" w:rsidR="00832660" w:rsidP="007E6F9E" w:rsidRDefault="001B0F98" w14:paraId="6F1DE1B0" w14:textId="15EDA8C6">
            <w:pPr>
              <w:pStyle w:val="TableText"/>
              <w:spacing w:before="0" w:after="0" w:line="240" w:lineRule="auto"/>
              <w:jc w:val="right"/>
              <w:rPr>
                <w:sz w:val="18"/>
                <w:szCs w:val="18"/>
              </w:rPr>
            </w:pPr>
            <w:r w:rsidRPr="006D51C7">
              <w:rPr>
                <w:sz w:val="18"/>
                <w:szCs w:val="18"/>
              </w:rPr>
              <w:t>18</w:t>
            </w:r>
            <w:r>
              <w:rPr>
                <w:sz w:val="18"/>
                <w:szCs w:val="18"/>
              </w:rPr>
              <w:t>6</w:t>
            </w:r>
          </w:p>
        </w:tc>
        <w:tc>
          <w:tcPr>
            <w:tcW w:w="1777" w:type="dxa"/>
            <w:shd w:val="clear" w:color="auto" w:fill="auto"/>
            <w:noWrap/>
            <w:vAlign w:val="bottom"/>
            <w:hideMark/>
          </w:tcPr>
          <w:p w:rsidRPr="006D51C7" w:rsidR="00832660" w:rsidP="007E6F9E" w:rsidRDefault="001B0F98" w14:paraId="6867FFEA" w14:textId="59706A54">
            <w:pPr>
              <w:pStyle w:val="TableText"/>
              <w:spacing w:before="0" w:after="0" w:line="240" w:lineRule="auto"/>
              <w:jc w:val="right"/>
              <w:rPr>
                <w:sz w:val="18"/>
                <w:szCs w:val="18"/>
              </w:rPr>
            </w:pPr>
            <w:r>
              <w:rPr>
                <w:sz w:val="18"/>
                <w:szCs w:val="18"/>
              </w:rPr>
              <w:t>61.38</w:t>
            </w:r>
          </w:p>
        </w:tc>
      </w:tr>
      <w:tr w:rsidRPr="009C765B" w:rsidR="00832660" w:rsidTr="00A87EC6" w14:paraId="1C671E11" w14:textId="77777777">
        <w:trPr>
          <w:trHeight w:val="226"/>
        </w:trPr>
        <w:tc>
          <w:tcPr>
            <w:tcW w:w="2404" w:type="dxa"/>
            <w:shd w:val="clear" w:color="000000" w:fill="E7E6E6"/>
            <w:noWrap/>
            <w:vAlign w:val="bottom"/>
            <w:hideMark/>
          </w:tcPr>
          <w:p w:rsidRPr="006D51C7" w:rsidR="00832660" w:rsidP="007E6F9E" w:rsidRDefault="00832660" w14:paraId="4A88E2AB" w14:textId="24BB96F7">
            <w:pPr>
              <w:pStyle w:val="TableText"/>
              <w:spacing w:before="0" w:after="0" w:line="240" w:lineRule="auto"/>
              <w:rPr>
                <w:sz w:val="18"/>
                <w:szCs w:val="18"/>
              </w:rPr>
            </w:pPr>
            <w:r w:rsidRPr="00D266AB">
              <w:rPr>
                <w:b/>
                <w:bCs w:val="0"/>
              </w:rPr>
              <w:t>CC Director</w:t>
            </w:r>
          </w:p>
        </w:tc>
        <w:tc>
          <w:tcPr>
            <w:tcW w:w="1777" w:type="dxa"/>
            <w:shd w:val="clear" w:color="000000" w:fill="E7E6E6"/>
            <w:noWrap/>
            <w:vAlign w:val="bottom"/>
            <w:hideMark/>
          </w:tcPr>
          <w:p w:rsidRPr="006D51C7" w:rsidR="00832660" w:rsidP="007E6F9E" w:rsidRDefault="00832660" w14:paraId="006C9AEF" w14:textId="17F923F8">
            <w:pPr>
              <w:pStyle w:val="TableText"/>
              <w:spacing w:before="0" w:after="0" w:line="240" w:lineRule="auto"/>
              <w:rPr>
                <w:sz w:val="18"/>
                <w:szCs w:val="18"/>
              </w:rPr>
            </w:pPr>
          </w:p>
        </w:tc>
        <w:tc>
          <w:tcPr>
            <w:tcW w:w="1777" w:type="dxa"/>
            <w:shd w:val="clear" w:color="000000" w:fill="E7E6E6"/>
            <w:noWrap/>
            <w:vAlign w:val="bottom"/>
            <w:hideMark/>
          </w:tcPr>
          <w:p w:rsidRPr="006D51C7" w:rsidR="00832660" w:rsidP="007E6F9E" w:rsidRDefault="00832660" w14:paraId="61806A03" w14:textId="4233AEB1">
            <w:pPr>
              <w:pStyle w:val="TableText"/>
              <w:spacing w:before="0" w:after="0" w:line="240" w:lineRule="auto"/>
              <w:rPr>
                <w:sz w:val="18"/>
                <w:szCs w:val="18"/>
              </w:rPr>
            </w:pPr>
          </w:p>
        </w:tc>
        <w:tc>
          <w:tcPr>
            <w:tcW w:w="1777" w:type="dxa"/>
            <w:shd w:val="clear" w:color="000000" w:fill="E7E6E6"/>
            <w:noWrap/>
            <w:vAlign w:val="bottom"/>
          </w:tcPr>
          <w:p w:rsidRPr="006D51C7" w:rsidR="00832660" w:rsidP="007E6F9E" w:rsidRDefault="00832660" w14:paraId="166FCEDC" w14:textId="468C9F06">
            <w:pPr>
              <w:pStyle w:val="TableText"/>
              <w:spacing w:before="0" w:after="0" w:line="240" w:lineRule="auto"/>
              <w:rPr>
                <w:sz w:val="18"/>
                <w:szCs w:val="18"/>
              </w:rPr>
            </w:pPr>
          </w:p>
        </w:tc>
        <w:tc>
          <w:tcPr>
            <w:tcW w:w="1777" w:type="dxa"/>
            <w:shd w:val="clear" w:color="000000" w:fill="E7E6E6"/>
            <w:noWrap/>
            <w:vAlign w:val="bottom"/>
          </w:tcPr>
          <w:p w:rsidRPr="006D51C7" w:rsidR="00832660" w:rsidP="007E6F9E" w:rsidRDefault="00832660" w14:paraId="5A5F7DBA" w14:textId="53C1A2BA">
            <w:pPr>
              <w:pStyle w:val="TableText"/>
              <w:spacing w:before="0" w:after="0" w:line="240" w:lineRule="auto"/>
              <w:rPr>
                <w:sz w:val="18"/>
                <w:szCs w:val="18"/>
              </w:rPr>
            </w:pPr>
          </w:p>
        </w:tc>
      </w:tr>
      <w:tr w:rsidRPr="009C765B" w:rsidR="00E2778B" w:rsidTr="00A87EC6" w14:paraId="1A89C22C" w14:textId="77777777">
        <w:trPr>
          <w:trHeight w:val="226"/>
        </w:trPr>
        <w:tc>
          <w:tcPr>
            <w:tcW w:w="2404" w:type="dxa"/>
            <w:shd w:val="clear" w:color="auto" w:fill="auto"/>
            <w:vAlign w:val="bottom"/>
          </w:tcPr>
          <w:p w:rsidRPr="006D51C7" w:rsidR="00E2778B" w:rsidP="007E6F9E" w:rsidRDefault="00E2778B" w14:paraId="69B1F2D2" w14:textId="7FBE80D6">
            <w:pPr>
              <w:pStyle w:val="TableText"/>
              <w:spacing w:before="0" w:after="0" w:line="240" w:lineRule="auto"/>
              <w:rPr>
                <w:sz w:val="18"/>
                <w:szCs w:val="18"/>
              </w:rPr>
            </w:pPr>
            <w:r w:rsidRPr="006D51C7">
              <w:rPr>
                <w:sz w:val="18"/>
                <w:szCs w:val="18"/>
              </w:rPr>
              <w:t>CC Director Pre-Interview Template</w:t>
            </w:r>
          </w:p>
        </w:tc>
        <w:tc>
          <w:tcPr>
            <w:tcW w:w="1777" w:type="dxa"/>
            <w:shd w:val="clear" w:color="auto" w:fill="auto"/>
            <w:noWrap/>
            <w:vAlign w:val="bottom"/>
          </w:tcPr>
          <w:p w:rsidRPr="006D51C7" w:rsidR="00E2778B" w:rsidP="007E6F9E" w:rsidRDefault="00E2778B" w14:paraId="6ABD4AA9" w14:textId="6D473781">
            <w:pPr>
              <w:pStyle w:val="TableText"/>
              <w:spacing w:before="0" w:after="0" w:line="240" w:lineRule="auto"/>
              <w:jc w:val="right"/>
              <w:rPr>
                <w:sz w:val="18"/>
                <w:szCs w:val="18"/>
              </w:rPr>
            </w:pPr>
            <w:r w:rsidRPr="006D51C7">
              <w:rPr>
                <w:sz w:val="18"/>
                <w:szCs w:val="18"/>
              </w:rPr>
              <w:t>.33</w:t>
            </w:r>
          </w:p>
        </w:tc>
        <w:tc>
          <w:tcPr>
            <w:tcW w:w="1777" w:type="dxa"/>
            <w:shd w:val="clear" w:color="auto" w:fill="auto"/>
            <w:noWrap/>
            <w:vAlign w:val="bottom"/>
          </w:tcPr>
          <w:p w:rsidRPr="006D51C7" w:rsidR="00E2778B" w:rsidP="007E6F9E" w:rsidRDefault="00E2778B" w14:paraId="7AE63691" w14:textId="2F4C7B2F">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tcPr>
          <w:p w:rsidRPr="006D51C7" w:rsidR="00E2778B" w:rsidP="007E6F9E" w:rsidRDefault="00E2778B" w14:paraId="6CC85E92" w14:textId="04100434">
            <w:pPr>
              <w:pStyle w:val="TableText"/>
              <w:spacing w:before="0" w:after="0" w:line="240" w:lineRule="auto"/>
              <w:jc w:val="right"/>
              <w:rPr>
                <w:sz w:val="18"/>
                <w:szCs w:val="18"/>
              </w:rPr>
            </w:pPr>
            <w:r w:rsidRPr="006D51C7">
              <w:rPr>
                <w:sz w:val="18"/>
                <w:szCs w:val="18"/>
              </w:rPr>
              <w:t>20</w:t>
            </w:r>
          </w:p>
        </w:tc>
        <w:tc>
          <w:tcPr>
            <w:tcW w:w="1777" w:type="dxa"/>
            <w:shd w:val="clear" w:color="auto" w:fill="auto"/>
            <w:noWrap/>
            <w:vAlign w:val="bottom"/>
          </w:tcPr>
          <w:p w:rsidRPr="006D51C7" w:rsidR="00E2778B" w:rsidP="007E6F9E" w:rsidRDefault="00C10FD9" w14:paraId="5DE0F7A8" w14:textId="5F0E2751">
            <w:pPr>
              <w:pStyle w:val="TableText"/>
              <w:spacing w:before="0" w:after="0" w:line="240" w:lineRule="auto"/>
              <w:jc w:val="right"/>
              <w:rPr>
                <w:sz w:val="18"/>
                <w:szCs w:val="18"/>
              </w:rPr>
            </w:pPr>
            <w:r w:rsidRPr="006D51C7">
              <w:rPr>
                <w:sz w:val="18"/>
                <w:szCs w:val="18"/>
              </w:rPr>
              <w:t>6.6</w:t>
            </w:r>
          </w:p>
        </w:tc>
      </w:tr>
      <w:tr w:rsidRPr="009C765B" w:rsidR="00E2778B" w:rsidTr="00A87EC6" w14:paraId="67B439ED" w14:textId="77777777">
        <w:trPr>
          <w:trHeight w:val="226"/>
        </w:trPr>
        <w:tc>
          <w:tcPr>
            <w:tcW w:w="2404" w:type="dxa"/>
            <w:shd w:val="clear" w:color="auto" w:fill="auto"/>
            <w:vAlign w:val="bottom"/>
            <w:hideMark/>
          </w:tcPr>
          <w:p w:rsidRPr="006D51C7" w:rsidR="00E2778B" w:rsidP="007E6F9E" w:rsidRDefault="00E2778B" w14:paraId="3AF92F51" w14:textId="386F5A6E">
            <w:pPr>
              <w:pStyle w:val="TableText"/>
              <w:spacing w:before="0" w:after="0" w:line="240" w:lineRule="auto"/>
              <w:rPr>
                <w:sz w:val="18"/>
                <w:szCs w:val="18"/>
              </w:rPr>
            </w:pPr>
            <w:r w:rsidRPr="006D51C7">
              <w:rPr>
                <w:sz w:val="18"/>
                <w:szCs w:val="18"/>
              </w:rPr>
              <w:t>CC Director Interview</w:t>
            </w:r>
          </w:p>
        </w:tc>
        <w:tc>
          <w:tcPr>
            <w:tcW w:w="1777" w:type="dxa"/>
            <w:shd w:val="clear" w:color="auto" w:fill="auto"/>
            <w:noWrap/>
            <w:vAlign w:val="bottom"/>
            <w:hideMark/>
          </w:tcPr>
          <w:p w:rsidRPr="006D51C7" w:rsidR="00E2778B" w:rsidP="007E6F9E" w:rsidRDefault="00E2778B" w14:paraId="049918A9" w14:textId="7EE9285E">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hideMark/>
          </w:tcPr>
          <w:p w:rsidRPr="006D51C7" w:rsidR="00E2778B" w:rsidP="007E6F9E" w:rsidRDefault="00E2778B" w14:paraId="0053C3E5" w14:textId="21047289">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hideMark/>
          </w:tcPr>
          <w:p w:rsidRPr="006D51C7" w:rsidR="00E2778B" w:rsidP="007E6F9E" w:rsidRDefault="00F26FF8" w14:paraId="288EDA05" w14:textId="08CA3914">
            <w:pPr>
              <w:pStyle w:val="TableText"/>
              <w:spacing w:before="0" w:after="0" w:line="240" w:lineRule="auto"/>
              <w:jc w:val="right"/>
              <w:rPr>
                <w:sz w:val="18"/>
                <w:szCs w:val="18"/>
              </w:rPr>
            </w:pPr>
            <w:r>
              <w:rPr>
                <w:sz w:val="18"/>
                <w:szCs w:val="18"/>
              </w:rPr>
              <w:t>20</w:t>
            </w:r>
          </w:p>
        </w:tc>
        <w:tc>
          <w:tcPr>
            <w:tcW w:w="1777" w:type="dxa"/>
            <w:shd w:val="clear" w:color="auto" w:fill="auto"/>
            <w:noWrap/>
            <w:vAlign w:val="bottom"/>
          </w:tcPr>
          <w:p w:rsidRPr="006D51C7" w:rsidR="00E2778B" w:rsidP="007E6F9E" w:rsidRDefault="00F26FF8" w14:paraId="0B4EC3A5" w14:textId="50FC6C9C">
            <w:pPr>
              <w:pStyle w:val="TableText"/>
              <w:spacing w:before="0" w:after="0" w:line="240" w:lineRule="auto"/>
              <w:jc w:val="right"/>
              <w:rPr>
                <w:sz w:val="18"/>
                <w:szCs w:val="18"/>
              </w:rPr>
            </w:pPr>
            <w:r>
              <w:rPr>
                <w:sz w:val="18"/>
                <w:szCs w:val="18"/>
              </w:rPr>
              <w:t>20</w:t>
            </w:r>
          </w:p>
        </w:tc>
      </w:tr>
      <w:tr w:rsidRPr="009C765B" w:rsidR="00E2778B" w:rsidTr="00A87EC6" w14:paraId="09698D14" w14:textId="77777777">
        <w:trPr>
          <w:trHeight w:val="226"/>
        </w:trPr>
        <w:tc>
          <w:tcPr>
            <w:tcW w:w="2404" w:type="dxa"/>
            <w:shd w:val="clear" w:color="auto" w:fill="auto"/>
            <w:vAlign w:val="bottom"/>
          </w:tcPr>
          <w:p w:rsidRPr="006D51C7" w:rsidR="00E2778B" w:rsidP="007E6F9E" w:rsidRDefault="00E2778B" w14:paraId="23E04936" w14:textId="423461FF">
            <w:pPr>
              <w:pStyle w:val="TableText"/>
              <w:spacing w:before="0" w:after="0" w:line="240" w:lineRule="auto"/>
              <w:rPr>
                <w:sz w:val="18"/>
                <w:szCs w:val="18"/>
              </w:rPr>
            </w:pPr>
            <w:r w:rsidRPr="006D51C7">
              <w:rPr>
                <w:sz w:val="18"/>
                <w:szCs w:val="18"/>
              </w:rPr>
              <w:t xml:space="preserve">Identify </w:t>
            </w:r>
            <w:r w:rsidR="00C31242">
              <w:rPr>
                <w:sz w:val="18"/>
                <w:szCs w:val="18"/>
              </w:rPr>
              <w:t xml:space="preserve">contacts </w:t>
            </w:r>
            <w:r w:rsidRPr="006D51C7">
              <w:rPr>
                <w:sz w:val="18"/>
                <w:szCs w:val="18"/>
              </w:rPr>
              <w:t>for survey and send email</w:t>
            </w:r>
            <w:r w:rsidR="009627F3">
              <w:rPr>
                <w:sz w:val="18"/>
                <w:szCs w:val="18"/>
              </w:rPr>
              <w:t>s</w:t>
            </w:r>
          </w:p>
        </w:tc>
        <w:tc>
          <w:tcPr>
            <w:tcW w:w="1777" w:type="dxa"/>
            <w:shd w:val="clear" w:color="auto" w:fill="auto"/>
            <w:noWrap/>
            <w:vAlign w:val="bottom"/>
          </w:tcPr>
          <w:p w:rsidRPr="006D51C7" w:rsidR="00E2778B" w:rsidP="007E6F9E" w:rsidRDefault="00E2778B" w14:paraId="6E65722F" w14:textId="4A180446">
            <w:pPr>
              <w:pStyle w:val="TableText"/>
              <w:spacing w:before="0" w:after="0" w:line="240" w:lineRule="auto"/>
              <w:jc w:val="right"/>
              <w:rPr>
                <w:sz w:val="18"/>
                <w:szCs w:val="18"/>
              </w:rPr>
            </w:pPr>
            <w:r w:rsidRPr="006D51C7">
              <w:rPr>
                <w:sz w:val="18"/>
                <w:szCs w:val="18"/>
              </w:rPr>
              <w:t>.5</w:t>
            </w:r>
          </w:p>
        </w:tc>
        <w:tc>
          <w:tcPr>
            <w:tcW w:w="1777" w:type="dxa"/>
            <w:shd w:val="clear" w:color="auto" w:fill="auto"/>
            <w:noWrap/>
            <w:vAlign w:val="bottom"/>
          </w:tcPr>
          <w:p w:rsidRPr="006D51C7" w:rsidR="00E2778B" w:rsidP="007E6F9E" w:rsidRDefault="00E2778B" w14:paraId="44DA5F8C" w14:textId="1668C2A8">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tcPr>
          <w:p w:rsidRPr="006D51C7" w:rsidR="00E2778B" w:rsidP="007E6F9E" w:rsidRDefault="00E2778B" w14:paraId="08905C0C" w14:textId="4C00569C">
            <w:pPr>
              <w:pStyle w:val="TableText"/>
              <w:spacing w:before="0" w:after="0" w:line="240" w:lineRule="auto"/>
              <w:jc w:val="right"/>
              <w:rPr>
                <w:sz w:val="18"/>
                <w:szCs w:val="18"/>
              </w:rPr>
            </w:pPr>
            <w:r w:rsidRPr="006D51C7">
              <w:rPr>
                <w:sz w:val="18"/>
                <w:szCs w:val="18"/>
              </w:rPr>
              <w:t>20</w:t>
            </w:r>
          </w:p>
        </w:tc>
        <w:tc>
          <w:tcPr>
            <w:tcW w:w="1777" w:type="dxa"/>
            <w:shd w:val="clear" w:color="auto" w:fill="auto"/>
            <w:noWrap/>
            <w:vAlign w:val="bottom"/>
          </w:tcPr>
          <w:p w:rsidRPr="006D51C7" w:rsidR="00E2778B" w:rsidP="007E6F9E" w:rsidRDefault="00E2778B" w14:paraId="2527F833" w14:textId="440785A0">
            <w:pPr>
              <w:pStyle w:val="TableText"/>
              <w:spacing w:before="0" w:after="0" w:line="240" w:lineRule="auto"/>
              <w:jc w:val="right"/>
              <w:rPr>
                <w:sz w:val="18"/>
                <w:szCs w:val="18"/>
              </w:rPr>
            </w:pPr>
            <w:r w:rsidRPr="006D51C7">
              <w:rPr>
                <w:sz w:val="18"/>
                <w:szCs w:val="18"/>
              </w:rPr>
              <w:t>10</w:t>
            </w:r>
          </w:p>
        </w:tc>
      </w:tr>
      <w:tr w:rsidRPr="009C765B" w:rsidR="00E2778B" w:rsidTr="00A87EC6" w14:paraId="3CE09382" w14:textId="77777777">
        <w:trPr>
          <w:trHeight w:val="226"/>
        </w:trPr>
        <w:tc>
          <w:tcPr>
            <w:tcW w:w="2404" w:type="dxa"/>
            <w:shd w:val="clear" w:color="000000" w:fill="E7E6E6"/>
            <w:noWrap/>
            <w:vAlign w:val="bottom"/>
            <w:hideMark/>
          </w:tcPr>
          <w:p w:rsidRPr="006D51C7" w:rsidR="00E2778B" w:rsidP="007E6F9E" w:rsidRDefault="00E2778B" w14:paraId="3B1195FD" w14:textId="7DF5FC8B">
            <w:pPr>
              <w:pStyle w:val="TableText"/>
              <w:spacing w:before="0" w:after="0" w:line="240" w:lineRule="auto"/>
              <w:rPr>
                <w:sz w:val="18"/>
                <w:szCs w:val="18"/>
              </w:rPr>
            </w:pPr>
            <w:r w:rsidRPr="00D266AB">
              <w:rPr>
                <w:b/>
                <w:bCs w:val="0"/>
              </w:rPr>
              <w:t>REL Director</w:t>
            </w:r>
          </w:p>
        </w:tc>
        <w:tc>
          <w:tcPr>
            <w:tcW w:w="1777" w:type="dxa"/>
            <w:shd w:val="clear" w:color="000000" w:fill="E7E6E6"/>
            <w:noWrap/>
            <w:vAlign w:val="bottom"/>
            <w:hideMark/>
          </w:tcPr>
          <w:p w:rsidRPr="006D51C7" w:rsidR="00E2778B" w:rsidP="007E6F9E" w:rsidRDefault="00E2778B" w14:paraId="2CB3D145" w14:textId="4BE59937">
            <w:pPr>
              <w:pStyle w:val="TableText"/>
              <w:spacing w:before="0" w:after="0" w:line="240" w:lineRule="auto"/>
              <w:rPr>
                <w:sz w:val="18"/>
                <w:szCs w:val="18"/>
              </w:rPr>
            </w:pPr>
          </w:p>
        </w:tc>
        <w:tc>
          <w:tcPr>
            <w:tcW w:w="1777" w:type="dxa"/>
            <w:shd w:val="clear" w:color="000000" w:fill="E7E6E6"/>
            <w:noWrap/>
            <w:vAlign w:val="bottom"/>
          </w:tcPr>
          <w:p w:rsidRPr="006D51C7" w:rsidR="00E2778B" w:rsidP="007E6F9E" w:rsidRDefault="00E2778B" w14:paraId="09700D0D" w14:textId="74D5B414">
            <w:pPr>
              <w:pStyle w:val="TableText"/>
              <w:spacing w:before="0" w:after="0" w:line="240" w:lineRule="auto"/>
              <w:rPr>
                <w:sz w:val="18"/>
                <w:szCs w:val="18"/>
              </w:rPr>
            </w:pPr>
          </w:p>
        </w:tc>
        <w:tc>
          <w:tcPr>
            <w:tcW w:w="1777" w:type="dxa"/>
            <w:shd w:val="clear" w:color="000000" w:fill="E7E6E6"/>
            <w:noWrap/>
            <w:vAlign w:val="bottom"/>
          </w:tcPr>
          <w:p w:rsidRPr="006D51C7" w:rsidR="00E2778B" w:rsidP="007E6F9E" w:rsidRDefault="00E2778B" w14:paraId="2AB15C0E" w14:textId="5001EC5E">
            <w:pPr>
              <w:pStyle w:val="TableText"/>
              <w:spacing w:before="0" w:after="0" w:line="240" w:lineRule="auto"/>
              <w:rPr>
                <w:sz w:val="18"/>
                <w:szCs w:val="18"/>
              </w:rPr>
            </w:pPr>
          </w:p>
        </w:tc>
        <w:tc>
          <w:tcPr>
            <w:tcW w:w="1777" w:type="dxa"/>
            <w:shd w:val="clear" w:color="000000" w:fill="E7E6E6"/>
            <w:noWrap/>
            <w:vAlign w:val="bottom"/>
          </w:tcPr>
          <w:p w:rsidRPr="006D51C7" w:rsidR="00E2778B" w:rsidP="007E6F9E" w:rsidRDefault="00E2778B" w14:paraId="71253EA1" w14:textId="1BBD80C6">
            <w:pPr>
              <w:pStyle w:val="TableText"/>
              <w:spacing w:before="0" w:after="0" w:line="240" w:lineRule="auto"/>
              <w:rPr>
                <w:sz w:val="18"/>
                <w:szCs w:val="18"/>
              </w:rPr>
            </w:pPr>
          </w:p>
        </w:tc>
      </w:tr>
      <w:tr w:rsidRPr="009C765B" w:rsidR="00E2778B" w:rsidTr="00A87EC6" w14:paraId="7ECE3AE5" w14:textId="77777777">
        <w:trPr>
          <w:trHeight w:val="226"/>
        </w:trPr>
        <w:tc>
          <w:tcPr>
            <w:tcW w:w="2404" w:type="dxa"/>
            <w:shd w:val="clear" w:color="auto" w:fill="auto"/>
            <w:noWrap/>
            <w:vAlign w:val="bottom"/>
          </w:tcPr>
          <w:p w:rsidRPr="006D51C7" w:rsidR="00E2778B" w:rsidP="007E6F9E" w:rsidRDefault="00E2778B" w14:paraId="0E87C729" w14:textId="41938F39">
            <w:pPr>
              <w:pStyle w:val="TableText"/>
              <w:spacing w:before="0" w:after="0" w:line="240" w:lineRule="auto"/>
              <w:rPr>
                <w:sz w:val="18"/>
                <w:szCs w:val="18"/>
              </w:rPr>
            </w:pPr>
            <w:r w:rsidRPr="006D51C7">
              <w:rPr>
                <w:sz w:val="18"/>
                <w:szCs w:val="18"/>
              </w:rPr>
              <w:t>REL Director Interview</w:t>
            </w:r>
          </w:p>
        </w:tc>
        <w:tc>
          <w:tcPr>
            <w:tcW w:w="1777" w:type="dxa"/>
            <w:shd w:val="clear" w:color="auto" w:fill="auto"/>
            <w:noWrap/>
            <w:vAlign w:val="bottom"/>
          </w:tcPr>
          <w:p w:rsidRPr="006D51C7" w:rsidR="00E2778B" w:rsidP="007E6F9E" w:rsidRDefault="00E2778B" w14:paraId="09F016B6" w14:textId="16C84BB9">
            <w:pPr>
              <w:pStyle w:val="TableText"/>
              <w:spacing w:before="0" w:after="0" w:line="240" w:lineRule="auto"/>
              <w:jc w:val="right"/>
              <w:rPr>
                <w:sz w:val="18"/>
                <w:szCs w:val="18"/>
              </w:rPr>
            </w:pPr>
            <w:r w:rsidRPr="006D51C7">
              <w:rPr>
                <w:sz w:val="18"/>
                <w:szCs w:val="18"/>
              </w:rPr>
              <w:t>.5</w:t>
            </w:r>
          </w:p>
        </w:tc>
        <w:tc>
          <w:tcPr>
            <w:tcW w:w="1777" w:type="dxa"/>
            <w:shd w:val="clear" w:color="auto" w:fill="auto"/>
            <w:noWrap/>
            <w:vAlign w:val="bottom"/>
          </w:tcPr>
          <w:p w:rsidRPr="006D51C7" w:rsidR="00E2778B" w:rsidP="007E6F9E" w:rsidRDefault="00E2778B" w14:paraId="5AA3FB0A" w14:textId="77777777">
            <w:pPr>
              <w:pStyle w:val="TableText"/>
              <w:spacing w:before="0" w:after="0" w:line="240" w:lineRule="auto"/>
              <w:jc w:val="right"/>
              <w:rPr>
                <w:sz w:val="18"/>
                <w:szCs w:val="18"/>
              </w:rPr>
            </w:pPr>
            <w:r w:rsidRPr="006D51C7">
              <w:rPr>
                <w:sz w:val="18"/>
                <w:szCs w:val="18"/>
              </w:rPr>
              <w:t>1</w:t>
            </w:r>
          </w:p>
        </w:tc>
        <w:tc>
          <w:tcPr>
            <w:tcW w:w="1777" w:type="dxa"/>
            <w:shd w:val="clear" w:color="auto" w:fill="auto"/>
            <w:noWrap/>
            <w:vAlign w:val="bottom"/>
          </w:tcPr>
          <w:p w:rsidRPr="006D51C7" w:rsidR="00E2778B" w:rsidP="007E6F9E" w:rsidRDefault="0086748F" w14:paraId="5FE28DF1" w14:textId="496DEB3F">
            <w:pPr>
              <w:pStyle w:val="TableText"/>
              <w:spacing w:before="0" w:after="0" w:line="240" w:lineRule="auto"/>
              <w:jc w:val="right"/>
              <w:rPr>
                <w:sz w:val="18"/>
                <w:szCs w:val="18"/>
              </w:rPr>
            </w:pPr>
            <w:r>
              <w:rPr>
                <w:sz w:val="18"/>
                <w:szCs w:val="18"/>
              </w:rPr>
              <w:t>10</w:t>
            </w:r>
          </w:p>
        </w:tc>
        <w:tc>
          <w:tcPr>
            <w:tcW w:w="1777" w:type="dxa"/>
            <w:shd w:val="clear" w:color="auto" w:fill="auto"/>
            <w:noWrap/>
            <w:vAlign w:val="bottom"/>
          </w:tcPr>
          <w:p w:rsidRPr="006D51C7" w:rsidR="00E2778B" w:rsidP="007E6F9E" w:rsidRDefault="0086748F" w14:paraId="116C3231" w14:textId="7151B89E">
            <w:pPr>
              <w:pStyle w:val="TableText"/>
              <w:spacing w:before="0" w:after="0" w:line="240" w:lineRule="auto"/>
              <w:jc w:val="right"/>
              <w:rPr>
                <w:sz w:val="18"/>
                <w:szCs w:val="18"/>
              </w:rPr>
            </w:pPr>
            <w:r>
              <w:rPr>
                <w:sz w:val="18"/>
                <w:szCs w:val="18"/>
              </w:rPr>
              <w:t>5</w:t>
            </w:r>
          </w:p>
        </w:tc>
      </w:tr>
      <w:tr w:rsidRPr="007E6F9E" w:rsidR="00E2778B" w:rsidTr="00A87EC6" w14:paraId="70D80F48" w14:textId="77777777">
        <w:trPr>
          <w:trHeight w:val="226"/>
        </w:trPr>
        <w:tc>
          <w:tcPr>
            <w:tcW w:w="2404" w:type="dxa"/>
            <w:shd w:val="clear" w:color="auto" w:fill="A6A6A6" w:themeFill="background1" w:themeFillShade="A6"/>
            <w:noWrap/>
            <w:vAlign w:val="bottom"/>
            <w:hideMark/>
          </w:tcPr>
          <w:p w:rsidRPr="007E6F9E" w:rsidR="00E2778B" w:rsidP="007E6F9E" w:rsidRDefault="00E2778B" w14:paraId="48B64CC4" w14:textId="18C4B37B">
            <w:pPr>
              <w:pStyle w:val="TableText"/>
              <w:spacing w:before="0" w:after="0" w:line="240" w:lineRule="auto"/>
              <w:rPr>
                <w:b/>
                <w:bCs w:val="0"/>
              </w:rPr>
            </w:pPr>
            <w:r w:rsidRPr="007E6F9E">
              <w:rPr>
                <w:b/>
                <w:bCs w:val="0"/>
                <w:szCs w:val="22"/>
              </w:rPr>
              <w:t>Total Hours</w:t>
            </w:r>
          </w:p>
        </w:tc>
        <w:tc>
          <w:tcPr>
            <w:tcW w:w="1777" w:type="dxa"/>
            <w:shd w:val="clear" w:color="auto" w:fill="A6A6A6" w:themeFill="background1" w:themeFillShade="A6"/>
            <w:noWrap/>
            <w:vAlign w:val="bottom"/>
            <w:hideMark/>
          </w:tcPr>
          <w:p w:rsidRPr="007E6F9E" w:rsidR="00E2778B" w:rsidP="007E6F9E" w:rsidRDefault="00E2778B" w14:paraId="14ABD27F" w14:textId="77777777">
            <w:pPr>
              <w:pStyle w:val="TableText"/>
              <w:spacing w:before="0" w:after="0" w:line="240" w:lineRule="auto"/>
              <w:jc w:val="right"/>
              <w:rPr>
                <w:b/>
                <w:bCs w:val="0"/>
              </w:rPr>
            </w:pPr>
          </w:p>
        </w:tc>
        <w:tc>
          <w:tcPr>
            <w:tcW w:w="1777" w:type="dxa"/>
            <w:shd w:val="clear" w:color="auto" w:fill="A6A6A6" w:themeFill="background1" w:themeFillShade="A6"/>
            <w:noWrap/>
            <w:vAlign w:val="bottom"/>
            <w:hideMark/>
          </w:tcPr>
          <w:p w:rsidRPr="007E6F9E" w:rsidR="00E2778B" w:rsidP="007E6F9E" w:rsidRDefault="00E2778B" w14:paraId="1EB71D11" w14:textId="77777777">
            <w:pPr>
              <w:pStyle w:val="TableText"/>
              <w:spacing w:before="0" w:after="0" w:line="240" w:lineRule="auto"/>
              <w:jc w:val="right"/>
              <w:rPr>
                <w:b/>
                <w:bCs w:val="0"/>
              </w:rPr>
            </w:pPr>
          </w:p>
        </w:tc>
        <w:tc>
          <w:tcPr>
            <w:tcW w:w="1777" w:type="dxa"/>
            <w:shd w:val="clear" w:color="auto" w:fill="A6A6A6" w:themeFill="background1" w:themeFillShade="A6"/>
            <w:noWrap/>
            <w:vAlign w:val="bottom"/>
          </w:tcPr>
          <w:p w:rsidRPr="007E6F9E" w:rsidR="00E2778B" w:rsidP="007E6F9E" w:rsidRDefault="00E2778B" w14:paraId="71E2E13A" w14:textId="77777777">
            <w:pPr>
              <w:pStyle w:val="TableText"/>
              <w:spacing w:before="0" w:after="0" w:line="240" w:lineRule="auto"/>
              <w:jc w:val="right"/>
              <w:rPr>
                <w:b/>
                <w:bCs w:val="0"/>
                <w:szCs w:val="22"/>
              </w:rPr>
            </w:pPr>
          </w:p>
        </w:tc>
        <w:tc>
          <w:tcPr>
            <w:tcW w:w="1777" w:type="dxa"/>
            <w:shd w:val="clear" w:color="auto" w:fill="A6A6A6" w:themeFill="background1" w:themeFillShade="A6"/>
            <w:noWrap/>
            <w:vAlign w:val="bottom"/>
            <w:hideMark/>
          </w:tcPr>
          <w:p w:rsidRPr="007E6F9E" w:rsidR="00E2778B" w:rsidP="007E6F9E" w:rsidRDefault="00E2778B" w14:paraId="27E755EC" w14:textId="613C29F2">
            <w:pPr>
              <w:pStyle w:val="TableText"/>
              <w:spacing w:before="0" w:after="0" w:line="240" w:lineRule="auto"/>
              <w:jc w:val="right"/>
              <w:rPr>
                <w:b/>
                <w:bCs w:val="0"/>
                <w:szCs w:val="22"/>
                <w:highlight w:val="yellow"/>
              </w:rPr>
            </w:pPr>
            <w:r w:rsidRPr="007E6F9E">
              <w:rPr>
                <w:b/>
                <w:bCs w:val="0"/>
                <w:szCs w:val="22"/>
              </w:rPr>
              <w:t>10</w:t>
            </w:r>
            <w:r w:rsidR="00561366">
              <w:rPr>
                <w:b/>
                <w:bCs w:val="0"/>
                <w:szCs w:val="22"/>
              </w:rPr>
              <w:t>5</w:t>
            </w:r>
            <w:r w:rsidRPr="007E6F9E">
              <w:rPr>
                <w:b/>
                <w:bCs w:val="0"/>
                <w:szCs w:val="22"/>
              </w:rPr>
              <w:t>.</w:t>
            </w:r>
            <w:r w:rsidR="00561366">
              <w:rPr>
                <w:b/>
                <w:bCs w:val="0"/>
                <w:szCs w:val="22"/>
              </w:rPr>
              <w:t>9</w:t>
            </w:r>
            <w:r w:rsidR="001B0F98">
              <w:rPr>
                <w:b/>
                <w:bCs w:val="0"/>
                <w:szCs w:val="22"/>
              </w:rPr>
              <w:t>8</w:t>
            </w:r>
          </w:p>
        </w:tc>
      </w:tr>
    </w:tbl>
    <w:p w:rsidRPr="005F5922" w:rsidR="00832660" w:rsidP="005F5922" w:rsidRDefault="00832660" w14:paraId="23CE8FFD" w14:textId="77777777">
      <w:pPr>
        <w:pStyle w:val="TableSource"/>
      </w:pPr>
    </w:p>
    <w:p w:rsidRPr="009C765B" w:rsidR="00832660" w:rsidP="00832660" w:rsidRDefault="00832660" w14:paraId="72626904" w14:textId="2D2CE53A">
      <w:pPr>
        <w:pStyle w:val="Caption"/>
      </w:pPr>
      <w:r>
        <w:t xml:space="preserve">Exhibit </w:t>
      </w:r>
      <w:r w:rsidR="00780D78">
        <w:t>A</w:t>
      </w:r>
      <w:r w:rsidR="00CB4407">
        <w:t>4</w:t>
      </w:r>
      <w:r w:rsidR="00D27B5B">
        <w:t xml:space="preserve">: </w:t>
      </w:r>
      <w:r w:rsidRPr="00345A8E">
        <w:t>Estimate of Respondent Cost Burden by Year</w:t>
      </w:r>
    </w:p>
    <w:tbl>
      <w:tblPr>
        <w:tblW w:w="9540" w:type="dxa"/>
        <w:tblBorders>
          <w:top w:val="single" w:color="0D0D0D" w:themeColor="text1" w:themeTint="F2" w:sz="2" w:space="0"/>
          <w:left w:val="single" w:color="0D0D0D" w:themeColor="text1" w:themeTint="F2" w:sz="2" w:space="0"/>
          <w:bottom w:val="single" w:color="0D0D0D" w:themeColor="text1" w:themeTint="F2" w:sz="2" w:space="0"/>
          <w:right w:val="single" w:color="0D0D0D" w:themeColor="text1" w:themeTint="F2" w:sz="2" w:space="0"/>
          <w:insideH w:val="single" w:color="0D0D0D" w:themeColor="text1" w:themeTint="F2" w:sz="2" w:space="0"/>
          <w:insideV w:val="single" w:color="0D0D0D" w:themeColor="text1" w:themeTint="F2" w:sz="2" w:space="0"/>
        </w:tblBorders>
        <w:tblLayout w:type="fixed"/>
        <w:tblLook w:val="04A0" w:firstRow="1" w:lastRow="0" w:firstColumn="1" w:lastColumn="0" w:noHBand="0" w:noVBand="1"/>
      </w:tblPr>
      <w:tblGrid>
        <w:gridCol w:w="2017"/>
        <w:gridCol w:w="800"/>
        <w:gridCol w:w="1164"/>
        <w:gridCol w:w="1329"/>
        <w:gridCol w:w="1000"/>
        <w:gridCol w:w="944"/>
        <w:gridCol w:w="1197"/>
        <w:gridCol w:w="1089"/>
      </w:tblGrid>
      <w:tr w:rsidRPr="009C765B" w:rsidR="00A87EC6" w:rsidTr="0094394F" w14:paraId="748D5F99" w14:textId="77777777">
        <w:trPr>
          <w:trHeight w:val="738"/>
          <w:tblHeader/>
        </w:trPr>
        <w:tc>
          <w:tcPr>
            <w:tcW w:w="2017" w:type="dxa"/>
            <w:shd w:val="clear" w:color="auto" w:fill="4F81BD"/>
            <w:vAlign w:val="center"/>
            <w:hideMark/>
          </w:tcPr>
          <w:p w:rsidRPr="009C765B" w:rsidR="00032B87" w:rsidP="00D27B5B" w:rsidRDefault="00032B87" w14:paraId="7489D791" w14:textId="57424A31">
            <w:pPr>
              <w:spacing w:after="0" w:line="240" w:lineRule="auto"/>
              <w:jc w:val="center"/>
              <w:rPr>
                <w:rFonts w:ascii="Arial Narrow" w:hAnsi="Arial Narrow" w:cs="Calibri"/>
                <w:b/>
                <w:bCs/>
                <w:color w:val="FFFFFF" w:themeColor="background1"/>
                <w:sz w:val="20"/>
              </w:rPr>
            </w:pPr>
            <w:r>
              <w:rPr>
                <w:rFonts w:ascii="Arial Narrow" w:hAnsi="Arial Narrow" w:cs="Calibri"/>
                <w:b/>
                <w:bCs/>
                <w:color w:val="FFFFFF" w:themeColor="background1"/>
                <w:sz w:val="20"/>
              </w:rPr>
              <w:t>Information</w:t>
            </w:r>
            <w:r w:rsidR="00D27B5B">
              <w:rPr>
                <w:rFonts w:ascii="Arial Narrow" w:hAnsi="Arial Narrow" w:cs="Calibri"/>
                <w:b/>
                <w:bCs/>
                <w:color w:val="FFFFFF" w:themeColor="background1"/>
                <w:sz w:val="20"/>
              </w:rPr>
              <w:br/>
              <w:t>A</w:t>
            </w:r>
            <w:r>
              <w:rPr>
                <w:rFonts w:ascii="Arial Narrow" w:hAnsi="Arial Narrow" w:cs="Calibri"/>
                <w:b/>
                <w:bCs/>
                <w:color w:val="FFFFFF" w:themeColor="background1"/>
                <w:sz w:val="20"/>
              </w:rPr>
              <w:t>ctivity</w:t>
            </w:r>
            <w:r w:rsidR="00D27B5B">
              <w:rPr>
                <w:rFonts w:ascii="Arial Narrow" w:hAnsi="Arial Narrow" w:cs="Calibri"/>
                <w:b/>
                <w:bCs/>
                <w:color w:val="FFFFFF" w:themeColor="background1"/>
                <w:sz w:val="20"/>
              </w:rPr>
              <w:t xml:space="preserve"> </w:t>
            </w:r>
            <w:r>
              <w:rPr>
                <w:rFonts w:ascii="Arial Narrow" w:hAnsi="Arial Narrow" w:cs="Calibri"/>
                <w:b/>
                <w:bCs/>
                <w:color w:val="FFFFFF" w:themeColor="background1"/>
                <w:sz w:val="20"/>
              </w:rPr>
              <w:t>or IC</w:t>
            </w:r>
          </w:p>
        </w:tc>
        <w:tc>
          <w:tcPr>
            <w:tcW w:w="800" w:type="dxa"/>
            <w:shd w:val="clear" w:color="auto" w:fill="4F81BD"/>
            <w:vAlign w:val="center"/>
            <w:hideMark/>
          </w:tcPr>
          <w:p w:rsidRPr="009C765B" w:rsidR="00032B87" w:rsidP="00D27B5B" w:rsidRDefault="00032B87" w14:paraId="671FCEAF" w14:textId="5A0B20C6">
            <w:pPr>
              <w:spacing w:after="0" w:line="240" w:lineRule="auto"/>
              <w:jc w:val="center"/>
              <w:rPr>
                <w:rFonts w:ascii="Arial Narrow" w:hAnsi="Arial Narrow" w:cs="Calibri"/>
                <w:b/>
                <w:bCs/>
                <w:color w:val="FFFFFF" w:themeColor="background1"/>
                <w:sz w:val="20"/>
              </w:rPr>
            </w:pPr>
            <w:r>
              <w:rPr>
                <w:rFonts w:ascii="Arial Narrow" w:hAnsi="Arial Narrow" w:cs="Calibri"/>
                <w:b/>
                <w:bCs/>
                <w:color w:val="FFFFFF" w:themeColor="background1"/>
                <w:sz w:val="20"/>
              </w:rPr>
              <w:t>Sample Size</w:t>
            </w:r>
          </w:p>
        </w:tc>
        <w:tc>
          <w:tcPr>
            <w:tcW w:w="1164" w:type="dxa"/>
            <w:shd w:val="clear" w:color="auto" w:fill="4F81BD"/>
            <w:vAlign w:val="center"/>
            <w:hideMark/>
          </w:tcPr>
          <w:p w:rsidRPr="009C765B" w:rsidR="00032B87" w:rsidP="00D27B5B" w:rsidRDefault="00032B87" w14:paraId="4A48F6E6" w14:textId="05C9D1E8">
            <w:pPr>
              <w:spacing w:after="0" w:line="240" w:lineRule="auto"/>
              <w:jc w:val="center"/>
              <w:rPr>
                <w:rFonts w:ascii="Arial Narrow" w:hAnsi="Arial Narrow" w:cs="Calibri"/>
                <w:b/>
                <w:bCs/>
                <w:color w:val="FFFFFF" w:themeColor="background1"/>
                <w:sz w:val="20"/>
              </w:rPr>
            </w:pPr>
            <w:r>
              <w:rPr>
                <w:rFonts w:ascii="Arial Narrow" w:hAnsi="Arial Narrow" w:cs="Calibri"/>
                <w:b/>
                <w:bCs/>
                <w:color w:val="FFFFFF" w:themeColor="background1"/>
                <w:sz w:val="20"/>
              </w:rPr>
              <w:t>Respondent</w:t>
            </w:r>
            <w:r w:rsidR="00D27B5B">
              <w:rPr>
                <w:rFonts w:ascii="Arial Narrow" w:hAnsi="Arial Narrow" w:cs="Calibri"/>
                <w:b/>
                <w:bCs/>
                <w:color w:val="FFFFFF" w:themeColor="background1"/>
                <w:sz w:val="20"/>
              </w:rPr>
              <w:br/>
            </w:r>
            <w:r>
              <w:rPr>
                <w:rFonts w:ascii="Arial Narrow" w:hAnsi="Arial Narrow" w:cs="Calibri"/>
                <w:b/>
                <w:bCs/>
                <w:color w:val="FFFFFF" w:themeColor="background1"/>
                <w:sz w:val="20"/>
              </w:rPr>
              <w:t>Response</w:t>
            </w:r>
            <w:r w:rsidR="00D27B5B">
              <w:rPr>
                <w:rFonts w:ascii="Arial Narrow" w:hAnsi="Arial Narrow" w:cs="Calibri"/>
                <w:b/>
                <w:bCs/>
                <w:color w:val="FFFFFF" w:themeColor="background1"/>
                <w:sz w:val="20"/>
              </w:rPr>
              <w:br/>
            </w:r>
            <w:r>
              <w:rPr>
                <w:rFonts w:ascii="Arial Narrow" w:hAnsi="Arial Narrow" w:cs="Calibri"/>
                <w:b/>
                <w:bCs/>
                <w:color w:val="FFFFFF" w:themeColor="background1"/>
                <w:sz w:val="20"/>
              </w:rPr>
              <w:t>Rate</w:t>
            </w:r>
          </w:p>
        </w:tc>
        <w:tc>
          <w:tcPr>
            <w:tcW w:w="1329" w:type="dxa"/>
            <w:shd w:val="clear" w:color="auto" w:fill="4F81BD"/>
            <w:vAlign w:val="center"/>
            <w:hideMark/>
          </w:tcPr>
          <w:p w:rsidRPr="009C765B" w:rsidR="00032B87" w:rsidP="00D27B5B" w:rsidRDefault="00032B87" w14:paraId="6C34C1E6" w14:textId="52CB87D8">
            <w:pPr>
              <w:spacing w:after="0" w:line="240" w:lineRule="auto"/>
              <w:jc w:val="center"/>
              <w:rPr>
                <w:rFonts w:ascii="Arial Narrow" w:hAnsi="Arial Narrow" w:cs="Calibri"/>
                <w:b/>
                <w:bCs/>
                <w:color w:val="FFFFFF" w:themeColor="background1"/>
                <w:sz w:val="20"/>
              </w:rPr>
            </w:pPr>
            <w:r>
              <w:rPr>
                <w:rFonts w:ascii="Arial Narrow" w:hAnsi="Arial Narrow" w:cs="Calibri"/>
                <w:b/>
                <w:bCs/>
                <w:color w:val="FFFFFF" w:themeColor="background1"/>
                <w:sz w:val="20"/>
              </w:rPr>
              <w:t>Number</w:t>
            </w:r>
            <w:r w:rsidR="00D27B5B">
              <w:rPr>
                <w:rFonts w:ascii="Arial Narrow" w:hAnsi="Arial Narrow" w:cs="Calibri"/>
                <w:b/>
                <w:bCs/>
                <w:color w:val="FFFFFF" w:themeColor="background1"/>
                <w:sz w:val="20"/>
              </w:rPr>
              <w:br/>
            </w:r>
            <w:r>
              <w:rPr>
                <w:rFonts w:ascii="Arial Narrow" w:hAnsi="Arial Narrow" w:cs="Calibri"/>
                <w:b/>
                <w:bCs/>
                <w:color w:val="FFFFFF" w:themeColor="background1"/>
                <w:sz w:val="20"/>
              </w:rPr>
              <w:t>of Respondents</w:t>
            </w:r>
          </w:p>
        </w:tc>
        <w:tc>
          <w:tcPr>
            <w:tcW w:w="1000" w:type="dxa"/>
            <w:shd w:val="clear" w:color="auto" w:fill="4F81BD"/>
            <w:vAlign w:val="center"/>
            <w:hideMark/>
          </w:tcPr>
          <w:p w:rsidRPr="009C765B" w:rsidR="00032B87" w:rsidP="00D27B5B" w:rsidRDefault="00032B87" w14:paraId="3EFF876C" w14:textId="77777777">
            <w:pPr>
              <w:spacing w:after="0" w:line="240" w:lineRule="auto"/>
              <w:jc w:val="center"/>
              <w:rPr>
                <w:rFonts w:ascii="Arial Narrow" w:hAnsi="Arial Narrow" w:cs="Calibri"/>
                <w:b/>
                <w:bCs/>
                <w:color w:val="FFFFFF" w:themeColor="background1"/>
                <w:sz w:val="20"/>
              </w:rPr>
            </w:pPr>
            <w:r>
              <w:rPr>
                <w:rFonts w:ascii="Arial Narrow" w:hAnsi="Arial Narrow" w:cs="Calibri"/>
                <w:b/>
                <w:bCs/>
                <w:color w:val="FFFFFF" w:themeColor="background1"/>
                <w:sz w:val="20"/>
              </w:rPr>
              <w:t>Average Burden Hours Per Response</w:t>
            </w:r>
          </w:p>
        </w:tc>
        <w:tc>
          <w:tcPr>
            <w:tcW w:w="944" w:type="dxa"/>
            <w:shd w:val="clear" w:color="auto" w:fill="4F81BD"/>
            <w:vAlign w:val="center"/>
            <w:hideMark/>
          </w:tcPr>
          <w:p w:rsidRPr="009C765B" w:rsidR="00032B87" w:rsidP="00D27B5B" w:rsidRDefault="00032B87" w14:paraId="6BFAFF3E" w14:textId="77F51F79">
            <w:pPr>
              <w:spacing w:after="0" w:line="240" w:lineRule="auto"/>
              <w:jc w:val="center"/>
              <w:rPr>
                <w:rFonts w:ascii="Arial Narrow" w:hAnsi="Arial Narrow" w:cs="Calibri"/>
                <w:b/>
                <w:bCs/>
                <w:color w:val="FFFFFF" w:themeColor="background1"/>
                <w:sz w:val="20"/>
              </w:rPr>
            </w:pPr>
            <w:r>
              <w:rPr>
                <w:rFonts w:ascii="Arial Narrow" w:hAnsi="Arial Narrow" w:cs="Calibri"/>
                <w:b/>
                <w:bCs/>
                <w:color w:val="FFFFFF" w:themeColor="background1"/>
                <w:sz w:val="20"/>
              </w:rPr>
              <w:t>Total Annual Burden Hours</w:t>
            </w:r>
          </w:p>
        </w:tc>
        <w:tc>
          <w:tcPr>
            <w:tcW w:w="1197" w:type="dxa"/>
            <w:shd w:val="clear" w:color="auto" w:fill="4F81BD"/>
            <w:vAlign w:val="center"/>
            <w:hideMark/>
          </w:tcPr>
          <w:p w:rsidRPr="009C765B" w:rsidR="00032B87" w:rsidP="00D27B5B" w:rsidRDefault="00032B87" w14:paraId="171ED288" w14:textId="11C5531B">
            <w:pPr>
              <w:spacing w:after="0" w:line="240" w:lineRule="auto"/>
              <w:jc w:val="center"/>
              <w:rPr>
                <w:rFonts w:ascii="Arial Narrow" w:hAnsi="Arial Narrow" w:cs="Calibri"/>
                <w:b/>
                <w:bCs/>
                <w:color w:val="FFFFFF" w:themeColor="background1"/>
                <w:sz w:val="20"/>
              </w:rPr>
            </w:pPr>
            <w:r>
              <w:rPr>
                <w:rFonts w:ascii="Arial Narrow" w:hAnsi="Arial Narrow" w:cs="Calibri"/>
                <w:b/>
                <w:bCs/>
                <w:color w:val="FFFFFF" w:themeColor="background1"/>
                <w:sz w:val="20"/>
              </w:rPr>
              <w:t>Estimated Respondent Average Hourly</w:t>
            </w:r>
            <w:r w:rsidR="00D27B5B">
              <w:rPr>
                <w:rFonts w:ascii="Arial Narrow" w:hAnsi="Arial Narrow" w:cs="Calibri"/>
                <w:b/>
                <w:bCs/>
                <w:color w:val="FFFFFF" w:themeColor="background1"/>
                <w:sz w:val="20"/>
              </w:rPr>
              <w:br/>
            </w:r>
            <w:r>
              <w:rPr>
                <w:rFonts w:ascii="Arial Narrow" w:hAnsi="Arial Narrow" w:cs="Calibri"/>
                <w:b/>
                <w:bCs/>
                <w:color w:val="FFFFFF" w:themeColor="background1"/>
                <w:sz w:val="20"/>
              </w:rPr>
              <w:t>Wage</w:t>
            </w:r>
          </w:p>
        </w:tc>
        <w:tc>
          <w:tcPr>
            <w:tcW w:w="1089" w:type="dxa"/>
            <w:shd w:val="clear" w:color="auto" w:fill="4F81BD"/>
            <w:vAlign w:val="center"/>
            <w:hideMark/>
          </w:tcPr>
          <w:p w:rsidRPr="009C765B" w:rsidR="00032B87" w:rsidP="00D27B5B" w:rsidRDefault="00032B87" w14:paraId="147F5931" w14:textId="5A11E6E2">
            <w:pPr>
              <w:spacing w:after="0" w:line="240" w:lineRule="auto"/>
              <w:jc w:val="center"/>
              <w:rPr>
                <w:rFonts w:ascii="Arial Narrow" w:hAnsi="Arial Narrow" w:cs="Calibri"/>
                <w:b/>
                <w:bCs/>
                <w:color w:val="FFFFFF" w:themeColor="background1"/>
                <w:sz w:val="20"/>
              </w:rPr>
            </w:pPr>
            <w:r w:rsidRPr="009C765B">
              <w:rPr>
                <w:rFonts w:ascii="Arial Narrow" w:hAnsi="Arial Narrow" w:cs="Calibri"/>
                <w:b/>
                <w:bCs/>
                <w:color w:val="FFFFFF" w:themeColor="background1"/>
                <w:sz w:val="20"/>
              </w:rPr>
              <w:t>Total</w:t>
            </w:r>
            <w:r w:rsidR="00D27B5B">
              <w:rPr>
                <w:rFonts w:ascii="Arial Narrow" w:hAnsi="Arial Narrow" w:cs="Calibri"/>
                <w:b/>
                <w:bCs/>
                <w:color w:val="FFFFFF" w:themeColor="background1"/>
                <w:sz w:val="20"/>
              </w:rPr>
              <w:br/>
              <w:t>A</w:t>
            </w:r>
            <w:r>
              <w:rPr>
                <w:rFonts w:ascii="Arial Narrow" w:hAnsi="Arial Narrow" w:cs="Calibri"/>
                <w:b/>
                <w:bCs/>
                <w:color w:val="FFFFFF" w:themeColor="background1"/>
                <w:sz w:val="20"/>
              </w:rPr>
              <w:t>nnual</w:t>
            </w:r>
            <w:r w:rsidR="00D27B5B">
              <w:rPr>
                <w:rFonts w:ascii="Arial Narrow" w:hAnsi="Arial Narrow" w:cs="Calibri"/>
                <w:b/>
                <w:bCs/>
                <w:color w:val="FFFFFF" w:themeColor="background1"/>
                <w:sz w:val="20"/>
              </w:rPr>
              <w:br/>
            </w:r>
            <w:r>
              <w:rPr>
                <w:rFonts w:ascii="Arial Narrow" w:hAnsi="Arial Narrow" w:cs="Calibri"/>
                <w:b/>
                <w:bCs/>
                <w:color w:val="FFFFFF" w:themeColor="background1"/>
                <w:sz w:val="20"/>
              </w:rPr>
              <w:t>Cost</w:t>
            </w:r>
          </w:p>
        </w:tc>
      </w:tr>
      <w:tr w:rsidRPr="009C765B" w:rsidR="00A87EC6" w:rsidTr="00A87EC6" w14:paraId="0F948FED" w14:textId="77777777">
        <w:trPr>
          <w:trHeight w:val="256"/>
        </w:trPr>
        <w:tc>
          <w:tcPr>
            <w:tcW w:w="2017" w:type="dxa"/>
            <w:shd w:val="clear" w:color="auto" w:fill="E7E8E8"/>
            <w:vAlign w:val="bottom"/>
            <w:hideMark/>
          </w:tcPr>
          <w:p w:rsidRPr="009C765B" w:rsidR="00032B87" w:rsidP="00D27B5B" w:rsidRDefault="00032B87" w14:paraId="6E9976A0" w14:textId="77777777">
            <w:pPr>
              <w:spacing w:after="0" w:line="240" w:lineRule="auto"/>
              <w:rPr>
                <w:rFonts w:ascii="Arial Narrow" w:hAnsi="Arial Narrow" w:cs="Calibri"/>
                <w:b/>
                <w:bCs/>
                <w:color w:val="000000"/>
                <w:sz w:val="20"/>
              </w:rPr>
            </w:pPr>
            <w:r>
              <w:rPr>
                <w:rFonts w:ascii="Arial Narrow" w:hAnsi="Arial Narrow" w:cs="Calibri"/>
                <w:b/>
                <w:bCs/>
                <w:color w:val="000000"/>
                <w:sz w:val="20"/>
              </w:rPr>
              <w:t>TA Recipients</w:t>
            </w:r>
            <w:r w:rsidRPr="009C765B">
              <w:rPr>
                <w:rFonts w:ascii="Arial Narrow" w:hAnsi="Arial Narrow" w:cs="Calibri"/>
                <w:b/>
                <w:bCs/>
                <w:color w:val="000000"/>
                <w:sz w:val="20"/>
              </w:rPr>
              <w:t xml:space="preserve"> </w:t>
            </w:r>
          </w:p>
        </w:tc>
        <w:tc>
          <w:tcPr>
            <w:tcW w:w="800" w:type="dxa"/>
            <w:shd w:val="clear" w:color="auto" w:fill="E7E8E8"/>
            <w:noWrap/>
            <w:vAlign w:val="bottom"/>
          </w:tcPr>
          <w:p w:rsidRPr="00D27B5B" w:rsidR="00032B87" w:rsidP="00D27B5B" w:rsidRDefault="00032B87" w14:paraId="1068D6AF" w14:textId="63248396">
            <w:pPr>
              <w:pStyle w:val="TableText"/>
              <w:spacing w:before="0" w:after="0" w:line="240" w:lineRule="auto"/>
              <w:jc w:val="right"/>
            </w:pPr>
          </w:p>
        </w:tc>
        <w:tc>
          <w:tcPr>
            <w:tcW w:w="1164" w:type="dxa"/>
            <w:shd w:val="clear" w:color="auto" w:fill="E7E8E8"/>
            <w:noWrap/>
            <w:vAlign w:val="bottom"/>
          </w:tcPr>
          <w:p w:rsidRPr="00D27B5B" w:rsidR="00032B87" w:rsidP="00D27B5B" w:rsidRDefault="00032B87" w14:paraId="2100A31C" w14:textId="3246D9F6">
            <w:pPr>
              <w:pStyle w:val="TableText"/>
              <w:spacing w:before="0" w:after="0" w:line="240" w:lineRule="auto"/>
              <w:jc w:val="right"/>
            </w:pPr>
          </w:p>
        </w:tc>
        <w:tc>
          <w:tcPr>
            <w:tcW w:w="1329" w:type="dxa"/>
            <w:shd w:val="clear" w:color="auto" w:fill="E7E8E8"/>
            <w:noWrap/>
            <w:vAlign w:val="bottom"/>
          </w:tcPr>
          <w:p w:rsidRPr="00D27B5B" w:rsidR="00032B87" w:rsidP="00D27B5B" w:rsidRDefault="00032B87" w14:paraId="307E311B" w14:textId="21E03B12">
            <w:pPr>
              <w:pStyle w:val="TableText"/>
              <w:spacing w:before="0" w:after="0" w:line="240" w:lineRule="auto"/>
              <w:jc w:val="right"/>
            </w:pPr>
          </w:p>
        </w:tc>
        <w:tc>
          <w:tcPr>
            <w:tcW w:w="1000" w:type="dxa"/>
            <w:shd w:val="clear" w:color="auto" w:fill="E7E8E8"/>
            <w:noWrap/>
            <w:vAlign w:val="bottom"/>
          </w:tcPr>
          <w:p w:rsidRPr="00D27B5B" w:rsidR="00032B87" w:rsidP="00D27B5B" w:rsidRDefault="00032B87" w14:paraId="742E9AAB" w14:textId="4EE0D1DF">
            <w:pPr>
              <w:pStyle w:val="TableText"/>
              <w:spacing w:before="0" w:after="0" w:line="240" w:lineRule="auto"/>
              <w:jc w:val="right"/>
            </w:pPr>
          </w:p>
        </w:tc>
        <w:tc>
          <w:tcPr>
            <w:tcW w:w="944" w:type="dxa"/>
            <w:shd w:val="clear" w:color="auto" w:fill="E7E8E8"/>
            <w:noWrap/>
            <w:vAlign w:val="bottom"/>
          </w:tcPr>
          <w:p w:rsidRPr="00D27B5B" w:rsidR="00032B87" w:rsidP="00D27B5B" w:rsidRDefault="00032B87" w14:paraId="3AF0855D" w14:textId="0C05A03C">
            <w:pPr>
              <w:pStyle w:val="TableText"/>
              <w:spacing w:before="0" w:after="0" w:line="240" w:lineRule="auto"/>
              <w:jc w:val="right"/>
            </w:pPr>
          </w:p>
        </w:tc>
        <w:tc>
          <w:tcPr>
            <w:tcW w:w="1197" w:type="dxa"/>
            <w:shd w:val="clear" w:color="auto" w:fill="E7E8E8"/>
            <w:noWrap/>
            <w:vAlign w:val="bottom"/>
          </w:tcPr>
          <w:p w:rsidRPr="00D27B5B" w:rsidR="00032B87" w:rsidP="00D27B5B" w:rsidRDefault="00032B87" w14:paraId="38390259" w14:textId="3D694EED">
            <w:pPr>
              <w:pStyle w:val="TableText"/>
              <w:spacing w:before="0" w:after="0" w:line="240" w:lineRule="auto"/>
              <w:jc w:val="right"/>
            </w:pPr>
          </w:p>
        </w:tc>
        <w:tc>
          <w:tcPr>
            <w:tcW w:w="1089" w:type="dxa"/>
            <w:shd w:val="clear" w:color="auto" w:fill="E7E8E8"/>
            <w:noWrap/>
            <w:vAlign w:val="bottom"/>
          </w:tcPr>
          <w:p w:rsidRPr="00D27B5B" w:rsidR="00032B87" w:rsidP="00D27B5B" w:rsidRDefault="00032B87" w14:paraId="7E1BE7B2" w14:textId="16AB1C4C">
            <w:pPr>
              <w:pStyle w:val="TableText"/>
              <w:spacing w:before="0" w:after="0" w:line="240" w:lineRule="auto"/>
              <w:jc w:val="right"/>
            </w:pPr>
          </w:p>
        </w:tc>
      </w:tr>
      <w:tr w:rsidRPr="009C765B" w:rsidR="00032B87" w:rsidTr="00A87EC6" w14:paraId="1E3C877B" w14:textId="77777777">
        <w:trPr>
          <w:trHeight w:val="256"/>
        </w:trPr>
        <w:tc>
          <w:tcPr>
            <w:tcW w:w="2017" w:type="dxa"/>
            <w:shd w:val="clear" w:color="auto" w:fill="auto"/>
            <w:vAlign w:val="bottom"/>
          </w:tcPr>
          <w:p w:rsidRPr="006D51C7" w:rsidR="00032B87" w:rsidP="00D27B5B" w:rsidRDefault="00032B87" w14:paraId="51623F1A" w14:textId="77777777">
            <w:pPr>
              <w:spacing w:after="0" w:line="240" w:lineRule="auto"/>
              <w:rPr>
                <w:rFonts w:asciiTheme="minorBidi" w:hAnsiTheme="minorBidi" w:cstheme="minorBidi"/>
                <w:color w:val="000000"/>
                <w:sz w:val="18"/>
                <w:szCs w:val="18"/>
              </w:rPr>
            </w:pPr>
            <w:r w:rsidRPr="006D51C7">
              <w:rPr>
                <w:rFonts w:asciiTheme="minorBidi" w:hAnsiTheme="minorBidi" w:cstheme="minorBidi"/>
                <w:color w:val="000000"/>
                <w:sz w:val="18"/>
                <w:szCs w:val="18"/>
              </w:rPr>
              <w:t>TA Recipient Survey Pilot</w:t>
            </w:r>
          </w:p>
        </w:tc>
        <w:tc>
          <w:tcPr>
            <w:tcW w:w="800" w:type="dxa"/>
            <w:shd w:val="clear" w:color="auto" w:fill="auto"/>
            <w:noWrap/>
            <w:vAlign w:val="bottom"/>
          </w:tcPr>
          <w:p w:rsidRPr="006D51C7" w:rsidR="00032B87" w:rsidP="00D27B5B" w:rsidRDefault="00032B87" w14:paraId="411BB7A4"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3</w:t>
            </w:r>
          </w:p>
        </w:tc>
        <w:tc>
          <w:tcPr>
            <w:tcW w:w="1164" w:type="dxa"/>
            <w:shd w:val="clear" w:color="auto" w:fill="auto"/>
            <w:noWrap/>
            <w:vAlign w:val="bottom"/>
          </w:tcPr>
          <w:p w:rsidRPr="006D51C7" w:rsidR="00032B87" w:rsidP="00D27B5B" w:rsidRDefault="00032B87" w14:paraId="5F60D755"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100%</w:t>
            </w:r>
          </w:p>
        </w:tc>
        <w:tc>
          <w:tcPr>
            <w:tcW w:w="1329" w:type="dxa"/>
            <w:shd w:val="clear" w:color="auto" w:fill="auto"/>
            <w:noWrap/>
            <w:vAlign w:val="bottom"/>
          </w:tcPr>
          <w:p w:rsidRPr="006D51C7" w:rsidR="00032B87" w:rsidP="00D27B5B" w:rsidRDefault="00032B87" w14:paraId="2131C008"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3</w:t>
            </w:r>
          </w:p>
        </w:tc>
        <w:tc>
          <w:tcPr>
            <w:tcW w:w="1000" w:type="dxa"/>
            <w:shd w:val="clear" w:color="auto" w:fill="auto"/>
            <w:noWrap/>
            <w:vAlign w:val="bottom"/>
          </w:tcPr>
          <w:p w:rsidRPr="006D51C7" w:rsidR="00032B87" w:rsidP="00D27B5B" w:rsidRDefault="00032B87" w14:paraId="0CA0B8D1"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w:t>
            </w:r>
          </w:p>
        </w:tc>
        <w:tc>
          <w:tcPr>
            <w:tcW w:w="944" w:type="dxa"/>
            <w:shd w:val="clear" w:color="auto" w:fill="auto"/>
            <w:noWrap/>
            <w:vAlign w:val="bottom"/>
          </w:tcPr>
          <w:p w:rsidRPr="006D51C7" w:rsidR="00032B87" w:rsidP="00D27B5B" w:rsidRDefault="00032B87" w14:paraId="0CDEEF76"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3</w:t>
            </w:r>
          </w:p>
        </w:tc>
        <w:tc>
          <w:tcPr>
            <w:tcW w:w="1197" w:type="dxa"/>
            <w:shd w:val="clear" w:color="auto" w:fill="auto"/>
            <w:noWrap/>
            <w:vAlign w:val="bottom"/>
          </w:tcPr>
          <w:p w:rsidRPr="006D51C7" w:rsidR="00032B87" w:rsidP="00D27B5B" w:rsidRDefault="00032B87" w14:paraId="5F954AEC"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$45.11</w:t>
            </w:r>
            <w:r w:rsidRPr="006D51C7">
              <w:rPr>
                <w:rFonts w:asciiTheme="minorBidi" w:hAnsiTheme="minorBidi" w:cstheme="minorBidi"/>
                <w:sz w:val="18"/>
                <w:szCs w:val="18"/>
                <w:vertAlign w:val="superscript"/>
              </w:rPr>
              <w:t>a</w:t>
            </w:r>
          </w:p>
        </w:tc>
        <w:tc>
          <w:tcPr>
            <w:tcW w:w="1089" w:type="dxa"/>
            <w:shd w:val="clear" w:color="auto" w:fill="auto"/>
            <w:noWrap/>
            <w:vAlign w:val="bottom"/>
          </w:tcPr>
          <w:p w:rsidRPr="006D51C7" w:rsidR="00032B87" w:rsidP="00D27B5B" w:rsidRDefault="00032B87" w14:paraId="7D681D64"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$135.33</w:t>
            </w:r>
          </w:p>
        </w:tc>
      </w:tr>
      <w:tr w:rsidRPr="009C765B" w:rsidR="00032B87" w:rsidTr="00A87EC6" w14:paraId="487BF23E" w14:textId="77777777">
        <w:trPr>
          <w:trHeight w:val="256"/>
        </w:trPr>
        <w:tc>
          <w:tcPr>
            <w:tcW w:w="2017" w:type="dxa"/>
            <w:shd w:val="clear" w:color="auto" w:fill="auto"/>
            <w:vAlign w:val="bottom"/>
            <w:hideMark/>
          </w:tcPr>
          <w:p w:rsidRPr="006D51C7" w:rsidR="00032B87" w:rsidP="00D27B5B" w:rsidRDefault="00032B87" w14:paraId="132640CB" w14:textId="77777777">
            <w:pPr>
              <w:spacing w:after="0" w:line="240" w:lineRule="auto"/>
              <w:rPr>
                <w:rFonts w:asciiTheme="minorBidi" w:hAnsiTheme="minorBidi" w:cstheme="minorBidi"/>
                <w:color w:val="000000"/>
                <w:sz w:val="18"/>
                <w:szCs w:val="18"/>
              </w:rPr>
            </w:pPr>
            <w:r w:rsidRPr="006D51C7">
              <w:rPr>
                <w:rFonts w:asciiTheme="minorBidi" w:hAnsiTheme="minorBidi" w:cstheme="minorBidi"/>
                <w:color w:val="000000"/>
                <w:sz w:val="18"/>
                <w:szCs w:val="18"/>
              </w:rPr>
              <w:t>TA Recipient Survey</w:t>
            </w:r>
          </w:p>
        </w:tc>
        <w:tc>
          <w:tcPr>
            <w:tcW w:w="800" w:type="dxa"/>
            <w:shd w:val="clear" w:color="auto" w:fill="auto"/>
            <w:noWrap/>
            <w:vAlign w:val="bottom"/>
          </w:tcPr>
          <w:p w:rsidRPr="006D51C7" w:rsidR="00032B87" w:rsidP="00D27B5B" w:rsidRDefault="00100C47" w14:paraId="3D906DAF" w14:textId="2E62B81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23</w:t>
            </w:r>
            <w:r>
              <w:rPr>
                <w:rFonts w:asciiTheme="minorBidi" w:hAnsiTheme="minorBidi" w:cstheme="minorBidi"/>
                <w:sz w:val="18"/>
                <w:szCs w:val="18"/>
              </w:rPr>
              <w:t>3</w:t>
            </w:r>
          </w:p>
        </w:tc>
        <w:tc>
          <w:tcPr>
            <w:tcW w:w="1164" w:type="dxa"/>
            <w:shd w:val="clear" w:color="auto" w:fill="auto"/>
            <w:noWrap/>
            <w:vAlign w:val="bottom"/>
          </w:tcPr>
          <w:p w:rsidRPr="006D51C7" w:rsidR="00032B87" w:rsidP="00D27B5B" w:rsidRDefault="00032B87" w14:paraId="68CCA66B"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80%</w:t>
            </w:r>
          </w:p>
        </w:tc>
        <w:tc>
          <w:tcPr>
            <w:tcW w:w="1329" w:type="dxa"/>
            <w:shd w:val="clear" w:color="auto" w:fill="auto"/>
            <w:noWrap/>
            <w:vAlign w:val="bottom"/>
          </w:tcPr>
          <w:p w:rsidRPr="006D51C7" w:rsidR="00032B87" w:rsidP="00D27B5B" w:rsidRDefault="001B0F98" w14:paraId="0E193A87" w14:textId="1C3D11EA">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18</w:t>
            </w:r>
            <w:r>
              <w:rPr>
                <w:rFonts w:asciiTheme="minorBidi" w:hAnsiTheme="minorBidi" w:cstheme="minorBidi"/>
                <w:sz w:val="18"/>
                <w:szCs w:val="18"/>
              </w:rPr>
              <w:t>6</w:t>
            </w:r>
          </w:p>
        </w:tc>
        <w:tc>
          <w:tcPr>
            <w:tcW w:w="1000" w:type="dxa"/>
            <w:shd w:val="clear" w:color="auto" w:fill="auto"/>
            <w:noWrap/>
            <w:vAlign w:val="bottom"/>
          </w:tcPr>
          <w:p w:rsidRPr="006D51C7" w:rsidR="00032B87" w:rsidP="00D27B5B" w:rsidRDefault="00032B87" w14:paraId="78E716D8"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.33</w:t>
            </w:r>
          </w:p>
        </w:tc>
        <w:tc>
          <w:tcPr>
            <w:tcW w:w="944" w:type="dxa"/>
            <w:shd w:val="clear" w:color="auto" w:fill="auto"/>
            <w:noWrap/>
            <w:vAlign w:val="bottom"/>
          </w:tcPr>
          <w:p w:rsidRPr="006D51C7" w:rsidR="00032B87" w:rsidP="00D27B5B" w:rsidRDefault="001B0F98" w14:paraId="54645973" w14:textId="6DE50364">
            <w:pPr>
              <w:pStyle w:val="TableText"/>
              <w:spacing w:before="0" w:after="0" w:line="240" w:lineRule="auto"/>
              <w:jc w:val="right"/>
              <w:rPr>
                <w:rFonts w:asciiTheme="minorBidi" w:hAnsiTheme="minorBidi" w:cstheme="minorBidi"/>
                <w:sz w:val="18"/>
                <w:szCs w:val="18"/>
              </w:rPr>
            </w:pPr>
            <w:r>
              <w:rPr>
                <w:rFonts w:asciiTheme="minorBidi" w:hAnsiTheme="minorBidi" w:cstheme="minorBidi"/>
                <w:sz w:val="18"/>
                <w:szCs w:val="18"/>
              </w:rPr>
              <w:t>61.38</w:t>
            </w:r>
          </w:p>
        </w:tc>
        <w:tc>
          <w:tcPr>
            <w:tcW w:w="1197" w:type="dxa"/>
            <w:shd w:val="clear" w:color="auto" w:fill="auto"/>
            <w:noWrap/>
            <w:vAlign w:val="bottom"/>
          </w:tcPr>
          <w:p w:rsidRPr="006D51C7" w:rsidR="00032B87" w:rsidP="00D27B5B" w:rsidRDefault="00032B87" w14:paraId="28C869B8"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$45.11</w:t>
            </w:r>
            <w:r w:rsidRPr="006D51C7">
              <w:rPr>
                <w:rFonts w:asciiTheme="minorBidi" w:hAnsiTheme="minorBidi" w:cstheme="minorBidi"/>
                <w:sz w:val="18"/>
                <w:szCs w:val="18"/>
                <w:vertAlign w:val="superscript"/>
              </w:rPr>
              <w:t>a</w:t>
            </w:r>
          </w:p>
        </w:tc>
        <w:tc>
          <w:tcPr>
            <w:tcW w:w="1089" w:type="dxa"/>
            <w:shd w:val="clear" w:color="auto" w:fill="auto"/>
            <w:noWrap/>
            <w:vAlign w:val="bottom"/>
          </w:tcPr>
          <w:p w:rsidRPr="006D51C7" w:rsidR="00032B87" w:rsidP="00D27B5B" w:rsidRDefault="00032B87" w14:paraId="2B8C82A0" w14:textId="301F8F2E">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w:t>
            </w:r>
            <w:r w:rsidR="001B0F98">
              <w:rPr>
                <w:rFonts w:asciiTheme="minorBidi" w:hAnsiTheme="minorBidi" w:cstheme="minorBidi"/>
                <w:sz w:val="18"/>
                <w:szCs w:val="18"/>
              </w:rPr>
              <w:t>2768.85</w:t>
            </w:r>
          </w:p>
        </w:tc>
      </w:tr>
      <w:tr w:rsidRPr="009C765B" w:rsidR="00A87EC6" w:rsidTr="00A87EC6" w14:paraId="7FCC1DBF" w14:textId="77777777">
        <w:trPr>
          <w:trHeight w:val="256"/>
        </w:trPr>
        <w:tc>
          <w:tcPr>
            <w:tcW w:w="2017" w:type="dxa"/>
            <w:shd w:val="clear" w:color="auto" w:fill="E7E8E8"/>
            <w:vAlign w:val="bottom"/>
            <w:hideMark/>
          </w:tcPr>
          <w:p w:rsidRPr="006D51C7" w:rsidR="00032B87" w:rsidP="00D27B5B" w:rsidRDefault="00032B87" w14:paraId="5608FE40" w14:textId="77777777">
            <w:pPr>
              <w:spacing w:after="0" w:line="240" w:lineRule="auto"/>
              <w:rPr>
                <w:rFonts w:asciiTheme="minorBidi" w:hAnsiTheme="minorBidi" w:cstheme="minorBidi"/>
                <w:b/>
                <w:bCs/>
                <w:color w:val="000000"/>
                <w:sz w:val="18"/>
                <w:szCs w:val="18"/>
              </w:rPr>
            </w:pPr>
            <w:r w:rsidRPr="006D51C7">
              <w:rPr>
                <w:rFonts w:asciiTheme="minorBidi" w:hAnsiTheme="minorBidi" w:cstheme="minorBidi"/>
                <w:b/>
                <w:bCs/>
                <w:color w:val="000000"/>
                <w:sz w:val="18"/>
                <w:szCs w:val="18"/>
              </w:rPr>
              <w:t>CC Director</w:t>
            </w:r>
          </w:p>
        </w:tc>
        <w:tc>
          <w:tcPr>
            <w:tcW w:w="800" w:type="dxa"/>
            <w:shd w:val="clear" w:color="auto" w:fill="E7E8E8"/>
            <w:noWrap/>
            <w:vAlign w:val="bottom"/>
          </w:tcPr>
          <w:p w:rsidRPr="006D51C7" w:rsidR="00032B87" w:rsidP="00D27B5B" w:rsidRDefault="00032B87" w14:paraId="320ED343" w14:textId="77777777">
            <w:pPr>
              <w:pStyle w:val="TableText"/>
              <w:spacing w:before="0" w:after="0" w:line="240" w:lineRule="auto"/>
              <w:jc w:val="right"/>
              <w:rPr>
                <w:rFonts w:asciiTheme="minorBidi" w:hAnsiTheme="minorBidi" w:cstheme="minorBidi"/>
                <w:sz w:val="18"/>
                <w:szCs w:val="18"/>
              </w:rPr>
            </w:pPr>
          </w:p>
        </w:tc>
        <w:tc>
          <w:tcPr>
            <w:tcW w:w="1164" w:type="dxa"/>
            <w:shd w:val="clear" w:color="auto" w:fill="E7E8E8"/>
            <w:noWrap/>
            <w:vAlign w:val="bottom"/>
          </w:tcPr>
          <w:p w:rsidRPr="006D51C7" w:rsidR="00032B87" w:rsidP="00D27B5B" w:rsidRDefault="00032B87" w14:paraId="7DCB8E66" w14:textId="77777777">
            <w:pPr>
              <w:pStyle w:val="TableText"/>
              <w:spacing w:before="0" w:after="0" w:line="240" w:lineRule="auto"/>
              <w:jc w:val="right"/>
              <w:rPr>
                <w:rFonts w:asciiTheme="minorBidi" w:hAnsiTheme="minorBidi" w:cstheme="minorBidi"/>
                <w:sz w:val="18"/>
                <w:szCs w:val="18"/>
              </w:rPr>
            </w:pPr>
          </w:p>
        </w:tc>
        <w:tc>
          <w:tcPr>
            <w:tcW w:w="1329" w:type="dxa"/>
            <w:shd w:val="clear" w:color="auto" w:fill="E7E8E8"/>
            <w:noWrap/>
            <w:vAlign w:val="bottom"/>
          </w:tcPr>
          <w:p w:rsidRPr="006D51C7" w:rsidR="00032B87" w:rsidP="00D27B5B" w:rsidRDefault="00032B87" w14:paraId="0522CFD3" w14:textId="77777777">
            <w:pPr>
              <w:pStyle w:val="TableText"/>
              <w:spacing w:before="0" w:after="0" w:line="240" w:lineRule="auto"/>
              <w:jc w:val="right"/>
              <w:rPr>
                <w:rFonts w:asciiTheme="minorBidi" w:hAnsiTheme="minorBidi" w:cstheme="minorBidi"/>
                <w:sz w:val="18"/>
                <w:szCs w:val="18"/>
              </w:rPr>
            </w:pPr>
          </w:p>
        </w:tc>
        <w:tc>
          <w:tcPr>
            <w:tcW w:w="1000" w:type="dxa"/>
            <w:shd w:val="clear" w:color="auto" w:fill="E7E8E8"/>
            <w:noWrap/>
            <w:vAlign w:val="bottom"/>
          </w:tcPr>
          <w:p w:rsidRPr="006D51C7" w:rsidR="00032B87" w:rsidP="00D27B5B" w:rsidRDefault="00032B87" w14:paraId="238B935E" w14:textId="77777777">
            <w:pPr>
              <w:pStyle w:val="TableText"/>
              <w:spacing w:before="0" w:after="0" w:line="240" w:lineRule="auto"/>
              <w:jc w:val="right"/>
              <w:rPr>
                <w:rFonts w:asciiTheme="minorBidi" w:hAnsiTheme="minorBidi" w:cstheme="minorBidi"/>
                <w:sz w:val="18"/>
                <w:szCs w:val="18"/>
              </w:rPr>
            </w:pPr>
          </w:p>
        </w:tc>
        <w:tc>
          <w:tcPr>
            <w:tcW w:w="944" w:type="dxa"/>
            <w:shd w:val="clear" w:color="auto" w:fill="E7E8E8"/>
            <w:noWrap/>
            <w:vAlign w:val="bottom"/>
          </w:tcPr>
          <w:p w:rsidRPr="006D51C7" w:rsidR="00032B87" w:rsidP="00D27B5B" w:rsidRDefault="00032B87" w14:paraId="3CA13C17" w14:textId="77777777">
            <w:pPr>
              <w:pStyle w:val="TableText"/>
              <w:spacing w:before="0" w:after="0" w:line="240" w:lineRule="auto"/>
              <w:jc w:val="right"/>
              <w:rPr>
                <w:rFonts w:asciiTheme="minorBidi" w:hAnsiTheme="minorBidi" w:cstheme="minorBidi"/>
                <w:sz w:val="18"/>
                <w:szCs w:val="18"/>
              </w:rPr>
            </w:pPr>
          </w:p>
        </w:tc>
        <w:tc>
          <w:tcPr>
            <w:tcW w:w="1197" w:type="dxa"/>
            <w:shd w:val="clear" w:color="auto" w:fill="E7E8E8"/>
            <w:noWrap/>
            <w:vAlign w:val="bottom"/>
          </w:tcPr>
          <w:p w:rsidRPr="006D51C7" w:rsidR="00032B87" w:rsidP="00D27B5B" w:rsidRDefault="00032B87" w14:paraId="108B0803" w14:textId="77777777">
            <w:pPr>
              <w:pStyle w:val="TableText"/>
              <w:spacing w:before="0" w:after="0" w:line="240" w:lineRule="auto"/>
              <w:jc w:val="right"/>
              <w:rPr>
                <w:rFonts w:asciiTheme="minorBidi" w:hAnsiTheme="minorBidi" w:cstheme="minorBidi"/>
                <w:sz w:val="18"/>
                <w:szCs w:val="18"/>
              </w:rPr>
            </w:pPr>
          </w:p>
        </w:tc>
        <w:tc>
          <w:tcPr>
            <w:tcW w:w="1089" w:type="dxa"/>
            <w:shd w:val="clear" w:color="auto" w:fill="E7E8E8"/>
            <w:noWrap/>
            <w:vAlign w:val="bottom"/>
          </w:tcPr>
          <w:p w:rsidRPr="006D51C7" w:rsidR="00032B87" w:rsidP="00D27B5B" w:rsidRDefault="00032B87" w14:paraId="40BF23C5" w14:textId="77777777">
            <w:pPr>
              <w:pStyle w:val="TableText"/>
              <w:spacing w:before="0" w:after="0" w:line="240" w:lineRule="auto"/>
              <w:jc w:val="right"/>
              <w:rPr>
                <w:rFonts w:asciiTheme="minorBidi" w:hAnsiTheme="minorBidi" w:cstheme="minorBidi"/>
                <w:sz w:val="18"/>
                <w:szCs w:val="18"/>
              </w:rPr>
            </w:pPr>
          </w:p>
        </w:tc>
      </w:tr>
      <w:tr w:rsidRPr="009C765B" w:rsidR="00032B87" w:rsidTr="00A87EC6" w14:paraId="7BD53642" w14:textId="77777777">
        <w:trPr>
          <w:trHeight w:val="256"/>
        </w:trPr>
        <w:tc>
          <w:tcPr>
            <w:tcW w:w="2017" w:type="dxa"/>
            <w:shd w:val="clear" w:color="auto" w:fill="auto"/>
            <w:vAlign w:val="bottom"/>
          </w:tcPr>
          <w:p w:rsidRPr="006D51C7" w:rsidR="00032B87" w:rsidP="00D27B5B" w:rsidRDefault="00032B87" w14:paraId="28054619" w14:textId="77777777">
            <w:pPr>
              <w:spacing w:after="0" w:line="240" w:lineRule="auto"/>
              <w:rPr>
                <w:rFonts w:asciiTheme="minorBidi" w:hAnsiTheme="minorBidi" w:cstheme="minorBidi"/>
                <w:color w:val="000000"/>
                <w:sz w:val="18"/>
                <w:szCs w:val="18"/>
              </w:rPr>
            </w:pPr>
            <w:r w:rsidRPr="006D51C7">
              <w:rPr>
                <w:rFonts w:asciiTheme="minorBidi" w:hAnsiTheme="minorBidi" w:cstheme="minorBidi"/>
                <w:color w:val="000000"/>
                <w:sz w:val="18"/>
                <w:szCs w:val="18"/>
              </w:rPr>
              <w:t>CC Director Pre-Interview Template</w:t>
            </w:r>
          </w:p>
        </w:tc>
        <w:tc>
          <w:tcPr>
            <w:tcW w:w="800" w:type="dxa"/>
            <w:shd w:val="clear" w:color="auto" w:fill="auto"/>
            <w:noWrap/>
            <w:vAlign w:val="bottom"/>
          </w:tcPr>
          <w:p w:rsidRPr="006D51C7" w:rsidR="00032B87" w:rsidP="00D27B5B" w:rsidRDefault="00032B87" w14:paraId="6D5EE979"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20</w:t>
            </w:r>
          </w:p>
        </w:tc>
        <w:tc>
          <w:tcPr>
            <w:tcW w:w="1164" w:type="dxa"/>
            <w:shd w:val="clear" w:color="auto" w:fill="auto"/>
            <w:noWrap/>
            <w:vAlign w:val="bottom"/>
          </w:tcPr>
          <w:p w:rsidRPr="006D51C7" w:rsidR="00032B87" w:rsidP="00D27B5B" w:rsidRDefault="00032B87" w14:paraId="6D2FB03B"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100%</w:t>
            </w:r>
          </w:p>
        </w:tc>
        <w:tc>
          <w:tcPr>
            <w:tcW w:w="1329" w:type="dxa"/>
            <w:shd w:val="clear" w:color="auto" w:fill="auto"/>
            <w:noWrap/>
            <w:vAlign w:val="bottom"/>
          </w:tcPr>
          <w:p w:rsidRPr="006D51C7" w:rsidR="00032B87" w:rsidP="00D27B5B" w:rsidRDefault="00032B87" w14:paraId="5988A937"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20</w:t>
            </w:r>
          </w:p>
        </w:tc>
        <w:tc>
          <w:tcPr>
            <w:tcW w:w="1000" w:type="dxa"/>
            <w:shd w:val="clear" w:color="auto" w:fill="auto"/>
            <w:noWrap/>
            <w:vAlign w:val="bottom"/>
          </w:tcPr>
          <w:p w:rsidRPr="006D51C7" w:rsidR="00032B87" w:rsidP="00D27B5B" w:rsidRDefault="00032B87" w14:paraId="6AD07E77"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.33</w:t>
            </w:r>
          </w:p>
        </w:tc>
        <w:tc>
          <w:tcPr>
            <w:tcW w:w="944" w:type="dxa"/>
            <w:shd w:val="clear" w:color="auto" w:fill="auto"/>
            <w:noWrap/>
            <w:vAlign w:val="bottom"/>
          </w:tcPr>
          <w:p w:rsidRPr="006D51C7" w:rsidR="00032B87" w:rsidP="00D27B5B" w:rsidRDefault="00032B87" w14:paraId="5B90931D"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6.6</w:t>
            </w:r>
          </w:p>
        </w:tc>
        <w:tc>
          <w:tcPr>
            <w:tcW w:w="1197" w:type="dxa"/>
            <w:shd w:val="clear" w:color="auto" w:fill="auto"/>
            <w:noWrap/>
            <w:vAlign w:val="bottom"/>
          </w:tcPr>
          <w:p w:rsidRPr="006D51C7" w:rsidR="00032B87" w:rsidP="00D27B5B" w:rsidRDefault="00032B87" w14:paraId="5468B15A"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$77.15</w:t>
            </w:r>
            <w:r w:rsidRPr="006D51C7">
              <w:rPr>
                <w:rFonts w:asciiTheme="minorBidi" w:hAnsiTheme="minorBidi" w:cstheme="minorBidi"/>
                <w:sz w:val="18"/>
                <w:szCs w:val="18"/>
                <w:vertAlign w:val="superscript"/>
              </w:rPr>
              <w:t>b</w:t>
            </w:r>
          </w:p>
        </w:tc>
        <w:tc>
          <w:tcPr>
            <w:tcW w:w="1089" w:type="dxa"/>
            <w:shd w:val="clear" w:color="auto" w:fill="auto"/>
            <w:noWrap/>
            <w:vAlign w:val="bottom"/>
          </w:tcPr>
          <w:p w:rsidRPr="006D51C7" w:rsidR="00032B87" w:rsidP="00D27B5B" w:rsidRDefault="00032B87" w14:paraId="4F68A029"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$509.19</w:t>
            </w:r>
          </w:p>
        </w:tc>
      </w:tr>
      <w:tr w:rsidRPr="009C765B" w:rsidR="00032B87" w:rsidTr="00A87EC6" w14:paraId="5E4E5536" w14:textId="77777777">
        <w:trPr>
          <w:trHeight w:val="256"/>
        </w:trPr>
        <w:tc>
          <w:tcPr>
            <w:tcW w:w="2017" w:type="dxa"/>
            <w:shd w:val="clear" w:color="auto" w:fill="auto"/>
            <w:vAlign w:val="bottom"/>
            <w:hideMark/>
          </w:tcPr>
          <w:p w:rsidRPr="006D51C7" w:rsidR="00032B87" w:rsidP="00D27B5B" w:rsidRDefault="00032B87" w14:paraId="3D8F7B5C" w14:textId="77777777">
            <w:pPr>
              <w:spacing w:after="0" w:line="240" w:lineRule="auto"/>
              <w:rPr>
                <w:rFonts w:asciiTheme="minorBidi" w:hAnsiTheme="minorBidi" w:cstheme="minorBidi"/>
                <w:color w:val="000000"/>
                <w:sz w:val="18"/>
                <w:szCs w:val="18"/>
              </w:rPr>
            </w:pPr>
            <w:r w:rsidRPr="006D51C7">
              <w:rPr>
                <w:rFonts w:asciiTheme="minorBidi" w:hAnsiTheme="minorBidi" w:cstheme="minorBidi"/>
                <w:color w:val="000000"/>
                <w:sz w:val="18"/>
                <w:szCs w:val="18"/>
              </w:rPr>
              <w:t>CC Director Interview</w:t>
            </w:r>
          </w:p>
        </w:tc>
        <w:tc>
          <w:tcPr>
            <w:tcW w:w="800" w:type="dxa"/>
            <w:shd w:val="clear" w:color="auto" w:fill="auto"/>
            <w:noWrap/>
            <w:vAlign w:val="bottom"/>
          </w:tcPr>
          <w:p w:rsidRPr="006D51C7" w:rsidR="00032B87" w:rsidP="00D27B5B" w:rsidRDefault="00561366" w14:paraId="447C5C27" w14:textId="2D736F8A">
            <w:pPr>
              <w:pStyle w:val="TableText"/>
              <w:spacing w:before="0" w:after="0" w:line="240" w:lineRule="auto"/>
              <w:jc w:val="right"/>
              <w:rPr>
                <w:rFonts w:asciiTheme="minorBidi" w:hAnsiTheme="minorBidi" w:cstheme="minorBidi"/>
                <w:sz w:val="18"/>
                <w:szCs w:val="18"/>
              </w:rPr>
            </w:pPr>
            <w:r>
              <w:rPr>
                <w:rFonts w:asciiTheme="minorBidi" w:hAnsiTheme="minorBidi" w:cstheme="minorBidi"/>
                <w:sz w:val="18"/>
                <w:szCs w:val="18"/>
              </w:rPr>
              <w:t>20</w:t>
            </w:r>
          </w:p>
        </w:tc>
        <w:tc>
          <w:tcPr>
            <w:tcW w:w="1164" w:type="dxa"/>
            <w:shd w:val="clear" w:color="auto" w:fill="auto"/>
            <w:noWrap/>
            <w:vAlign w:val="bottom"/>
          </w:tcPr>
          <w:p w:rsidRPr="006D51C7" w:rsidR="00032B87" w:rsidP="00D27B5B" w:rsidRDefault="00032B87" w14:paraId="71E814F0"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100%</w:t>
            </w:r>
          </w:p>
        </w:tc>
        <w:tc>
          <w:tcPr>
            <w:tcW w:w="1329" w:type="dxa"/>
            <w:shd w:val="clear" w:color="auto" w:fill="auto"/>
            <w:noWrap/>
            <w:vAlign w:val="bottom"/>
          </w:tcPr>
          <w:p w:rsidRPr="006D51C7" w:rsidR="00032B87" w:rsidP="00D27B5B" w:rsidRDefault="00561366" w14:paraId="6F78340B" w14:textId="3A140793">
            <w:pPr>
              <w:pStyle w:val="TableText"/>
              <w:spacing w:before="0" w:after="0" w:line="240" w:lineRule="auto"/>
              <w:jc w:val="right"/>
              <w:rPr>
                <w:rFonts w:asciiTheme="minorBidi" w:hAnsiTheme="minorBidi" w:cstheme="minorBidi"/>
                <w:sz w:val="18"/>
                <w:szCs w:val="18"/>
              </w:rPr>
            </w:pPr>
            <w:r>
              <w:rPr>
                <w:rFonts w:asciiTheme="minorBidi" w:hAnsiTheme="minorBidi" w:cstheme="minorBidi"/>
                <w:sz w:val="18"/>
                <w:szCs w:val="18"/>
              </w:rPr>
              <w:t>20</w:t>
            </w:r>
          </w:p>
        </w:tc>
        <w:tc>
          <w:tcPr>
            <w:tcW w:w="1000" w:type="dxa"/>
            <w:shd w:val="clear" w:color="auto" w:fill="auto"/>
            <w:noWrap/>
            <w:vAlign w:val="bottom"/>
          </w:tcPr>
          <w:p w:rsidRPr="006D51C7" w:rsidR="00032B87" w:rsidP="00D27B5B" w:rsidRDefault="00032B87" w14:paraId="717189BF"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w:t>
            </w:r>
          </w:p>
        </w:tc>
        <w:tc>
          <w:tcPr>
            <w:tcW w:w="944" w:type="dxa"/>
            <w:shd w:val="clear" w:color="auto" w:fill="auto"/>
            <w:noWrap/>
            <w:vAlign w:val="bottom"/>
          </w:tcPr>
          <w:p w:rsidRPr="006D51C7" w:rsidR="00032B87" w:rsidP="00D27B5B" w:rsidRDefault="00561366" w14:paraId="2BBE590D" w14:textId="5F4B6C0D">
            <w:pPr>
              <w:pStyle w:val="TableText"/>
              <w:spacing w:before="0" w:after="0" w:line="240" w:lineRule="auto"/>
              <w:jc w:val="right"/>
              <w:rPr>
                <w:rFonts w:asciiTheme="minorBidi" w:hAnsiTheme="minorBidi" w:cstheme="minorBidi"/>
                <w:sz w:val="18"/>
                <w:szCs w:val="18"/>
              </w:rPr>
            </w:pPr>
            <w:r>
              <w:rPr>
                <w:rFonts w:asciiTheme="minorBidi" w:hAnsiTheme="minorBidi" w:cstheme="minorBidi"/>
                <w:sz w:val="18"/>
                <w:szCs w:val="18"/>
              </w:rPr>
              <w:t>20</w:t>
            </w:r>
          </w:p>
        </w:tc>
        <w:tc>
          <w:tcPr>
            <w:tcW w:w="1197" w:type="dxa"/>
            <w:shd w:val="clear" w:color="auto" w:fill="auto"/>
            <w:noWrap/>
            <w:vAlign w:val="bottom"/>
          </w:tcPr>
          <w:p w:rsidRPr="006D51C7" w:rsidR="00032B87" w:rsidP="00D27B5B" w:rsidRDefault="00032B87" w14:paraId="406B1A85"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$77.15</w:t>
            </w:r>
            <w:r w:rsidRPr="006D51C7">
              <w:rPr>
                <w:rFonts w:asciiTheme="minorBidi" w:hAnsiTheme="minorBidi" w:cstheme="minorBidi"/>
                <w:sz w:val="18"/>
                <w:szCs w:val="18"/>
                <w:vertAlign w:val="superscript"/>
              </w:rPr>
              <w:t>b</w:t>
            </w:r>
          </w:p>
        </w:tc>
        <w:tc>
          <w:tcPr>
            <w:tcW w:w="1089" w:type="dxa"/>
            <w:shd w:val="clear" w:color="auto" w:fill="auto"/>
            <w:noWrap/>
            <w:vAlign w:val="bottom"/>
          </w:tcPr>
          <w:p w:rsidRPr="006D51C7" w:rsidR="00032B87" w:rsidP="00D27B5B" w:rsidRDefault="00032B87" w14:paraId="67E52F24" w14:textId="1C14A6B0">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w:t>
            </w:r>
            <w:r w:rsidR="00561366">
              <w:rPr>
                <w:rFonts w:asciiTheme="minorBidi" w:hAnsiTheme="minorBidi" w:cstheme="minorBidi"/>
                <w:sz w:val="18"/>
                <w:szCs w:val="18"/>
              </w:rPr>
              <w:t>543.00</w:t>
            </w:r>
          </w:p>
        </w:tc>
      </w:tr>
      <w:tr w:rsidRPr="009C765B" w:rsidR="00032B87" w:rsidTr="00A87EC6" w14:paraId="2B8128B4" w14:textId="77777777">
        <w:trPr>
          <w:trHeight w:val="256"/>
        </w:trPr>
        <w:tc>
          <w:tcPr>
            <w:tcW w:w="2017" w:type="dxa"/>
            <w:shd w:val="clear" w:color="auto" w:fill="auto"/>
            <w:vAlign w:val="bottom"/>
          </w:tcPr>
          <w:p w:rsidRPr="006D51C7" w:rsidR="00032B87" w:rsidP="00D27B5B" w:rsidRDefault="00032B87" w14:paraId="7E27F059" w14:textId="2155D404">
            <w:pPr>
              <w:spacing w:after="0" w:line="240" w:lineRule="auto"/>
              <w:rPr>
                <w:rFonts w:asciiTheme="minorBidi" w:hAnsiTheme="minorBidi" w:cstheme="minorBidi"/>
                <w:color w:val="000000"/>
                <w:sz w:val="18"/>
                <w:szCs w:val="18"/>
              </w:rPr>
            </w:pPr>
            <w:r w:rsidRPr="006D51C7">
              <w:rPr>
                <w:rFonts w:asciiTheme="minorBidi" w:hAnsiTheme="minorBidi" w:cstheme="minorBidi"/>
                <w:color w:val="000000"/>
                <w:sz w:val="18"/>
                <w:szCs w:val="18"/>
              </w:rPr>
              <w:t xml:space="preserve">Identify </w:t>
            </w:r>
            <w:r w:rsidR="00670E6B">
              <w:rPr>
                <w:rFonts w:asciiTheme="minorBidi" w:hAnsiTheme="minorBidi" w:cstheme="minorBidi"/>
                <w:color w:val="000000"/>
                <w:sz w:val="18"/>
                <w:szCs w:val="18"/>
              </w:rPr>
              <w:t xml:space="preserve">contacts </w:t>
            </w:r>
            <w:r w:rsidRPr="006D51C7">
              <w:rPr>
                <w:rFonts w:asciiTheme="minorBidi" w:hAnsiTheme="minorBidi" w:cstheme="minorBidi"/>
                <w:color w:val="000000"/>
                <w:sz w:val="18"/>
                <w:szCs w:val="18"/>
              </w:rPr>
              <w:t>for survey and send email</w:t>
            </w:r>
            <w:r w:rsidR="009627F3">
              <w:rPr>
                <w:rFonts w:asciiTheme="minorBidi" w:hAnsiTheme="minorBidi" w:cstheme="minorBidi"/>
                <w:color w:val="000000"/>
                <w:sz w:val="18"/>
                <w:szCs w:val="18"/>
              </w:rPr>
              <w:t>s</w:t>
            </w:r>
          </w:p>
        </w:tc>
        <w:tc>
          <w:tcPr>
            <w:tcW w:w="800" w:type="dxa"/>
            <w:shd w:val="clear" w:color="auto" w:fill="auto"/>
            <w:noWrap/>
            <w:vAlign w:val="bottom"/>
          </w:tcPr>
          <w:p w:rsidRPr="006D51C7" w:rsidR="00032B87" w:rsidP="00D27B5B" w:rsidRDefault="00032B87" w14:paraId="5D3C9093"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20</w:t>
            </w:r>
          </w:p>
        </w:tc>
        <w:tc>
          <w:tcPr>
            <w:tcW w:w="1164" w:type="dxa"/>
            <w:shd w:val="clear" w:color="auto" w:fill="auto"/>
            <w:noWrap/>
            <w:vAlign w:val="bottom"/>
          </w:tcPr>
          <w:p w:rsidRPr="006D51C7" w:rsidR="00032B87" w:rsidP="00D27B5B" w:rsidRDefault="00032B87" w14:paraId="7783362F"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100%</w:t>
            </w:r>
          </w:p>
        </w:tc>
        <w:tc>
          <w:tcPr>
            <w:tcW w:w="1329" w:type="dxa"/>
            <w:shd w:val="clear" w:color="auto" w:fill="auto"/>
            <w:noWrap/>
            <w:vAlign w:val="bottom"/>
          </w:tcPr>
          <w:p w:rsidRPr="006D51C7" w:rsidR="00032B87" w:rsidP="00D27B5B" w:rsidRDefault="00032B87" w14:paraId="7FC2A0A8"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20</w:t>
            </w:r>
          </w:p>
        </w:tc>
        <w:tc>
          <w:tcPr>
            <w:tcW w:w="1000" w:type="dxa"/>
            <w:shd w:val="clear" w:color="auto" w:fill="auto"/>
            <w:noWrap/>
            <w:vAlign w:val="bottom"/>
          </w:tcPr>
          <w:p w:rsidRPr="006D51C7" w:rsidR="00032B87" w:rsidP="00D27B5B" w:rsidRDefault="00032B87" w14:paraId="689A4956"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.5</w:t>
            </w:r>
          </w:p>
        </w:tc>
        <w:tc>
          <w:tcPr>
            <w:tcW w:w="944" w:type="dxa"/>
            <w:shd w:val="clear" w:color="auto" w:fill="auto"/>
            <w:noWrap/>
            <w:vAlign w:val="bottom"/>
          </w:tcPr>
          <w:p w:rsidRPr="006D51C7" w:rsidR="00032B87" w:rsidP="00D27B5B" w:rsidRDefault="00032B87" w14:paraId="01FC4F46"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10</w:t>
            </w:r>
          </w:p>
        </w:tc>
        <w:tc>
          <w:tcPr>
            <w:tcW w:w="1197" w:type="dxa"/>
            <w:shd w:val="clear" w:color="auto" w:fill="auto"/>
            <w:noWrap/>
            <w:vAlign w:val="bottom"/>
          </w:tcPr>
          <w:p w:rsidRPr="006D51C7" w:rsidR="00032B87" w:rsidP="00D27B5B" w:rsidRDefault="00032B87" w14:paraId="4779DA8A"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$77.15</w:t>
            </w:r>
            <w:r w:rsidRPr="006D51C7">
              <w:rPr>
                <w:rFonts w:asciiTheme="minorBidi" w:hAnsiTheme="minorBidi" w:cstheme="minorBidi"/>
                <w:sz w:val="18"/>
                <w:szCs w:val="18"/>
                <w:vertAlign w:val="superscript"/>
              </w:rPr>
              <w:t>b</w:t>
            </w:r>
          </w:p>
        </w:tc>
        <w:tc>
          <w:tcPr>
            <w:tcW w:w="1089" w:type="dxa"/>
            <w:shd w:val="clear" w:color="auto" w:fill="auto"/>
            <w:noWrap/>
            <w:vAlign w:val="bottom"/>
          </w:tcPr>
          <w:p w:rsidRPr="006D51C7" w:rsidR="00032B87" w:rsidP="00D27B5B" w:rsidRDefault="00032B87" w14:paraId="28C1BD1F"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$771.50</w:t>
            </w:r>
          </w:p>
        </w:tc>
      </w:tr>
      <w:tr w:rsidRPr="009C765B" w:rsidR="00A87EC6" w:rsidTr="00A87EC6" w14:paraId="581B948B" w14:textId="77777777">
        <w:trPr>
          <w:trHeight w:val="256"/>
        </w:trPr>
        <w:tc>
          <w:tcPr>
            <w:tcW w:w="2017" w:type="dxa"/>
            <w:shd w:val="clear" w:color="auto" w:fill="E7E8E8"/>
            <w:vAlign w:val="bottom"/>
            <w:hideMark/>
          </w:tcPr>
          <w:p w:rsidRPr="006D51C7" w:rsidR="00032B87" w:rsidP="00D27B5B" w:rsidRDefault="00032B87" w14:paraId="15033E16" w14:textId="77777777">
            <w:pPr>
              <w:spacing w:after="0" w:line="240" w:lineRule="auto"/>
              <w:rPr>
                <w:rFonts w:asciiTheme="minorBidi" w:hAnsiTheme="minorBidi" w:cstheme="minorBidi"/>
                <w:b/>
                <w:bCs/>
                <w:color w:val="000000"/>
                <w:sz w:val="18"/>
                <w:szCs w:val="18"/>
              </w:rPr>
            </w:pPr>
            <w:r w:rsidRPr="006D51C7">
              <w:rPr>
                <w:rFonts w:asciiTheme="minorBidi" w:hAnsiTheme="minorBidi" w:cstheme="minorBidi"/>
                <w:b/>
                <w:bCs/>
                <w:color w:val="000000"/>
                <w:sz w:val="18"/>
                <w:szCs w:val="18"/>
              </w:rPr>
              <w:t>REL Director</w:t>
            </w:r>
          </w:p>
        </w:tc>
        <w:tc>
          <w:tcPr>
            <w:tcW w:w="800" w:type="dxa"/>
            <w:shd w:val="clear" w:color="auto" w:fill="E7E8E8"/>
            <w:noWrap/>
            <w:vAlign w:val="bottom"/>
          </w:tcPr>
          <w:p w:rsidRPr="006D51C7" w:rsidR="00032B87" w:rsidP="00D27B5B" w:rsidRDefault="00032B87" w14:paraId="38718A6A" w14:textId="77777777">
            <w:pPr>
              <w:pStyle w:val="TableText"/>
              <w:spacing w:before="0" w:after="0" w:line="240" w:lineRule="auto"/>
              <w:jc w:val="right"/>
              <w:rPr>
                <w:rFonts w:asciiTheme="minorBidi" w:hAnsiTheme="minorBidi" w:cstheme="minorBidi"/>
                <w:sz w:val="18"/>
                <w:szCs w:val="18"/>
              </w:rPr>
            </w:pPr>
          </w:p>
        </w:tc>
        <w:tc>
          <w:tcPr>
            <w:tcW w:w="1164" w:type="dxa"/>
            <w:shd w:val="clear" w:color="auto" w:fill="E7E8E8"/>
            <w:noWrap/>
            <w:vAlign w:val="bottom"/>
          </w:tcPr>
          <w:p w:rsidRPr="006D51C7" w:rsidR="00032B87" w:rsidP="00D27B5B" w:rsidRDefault="00032B87" w14:paraId="76D7D5BA" w14:textId="77777777">
            <w:pPr>
              <w:pStyle w:val="TableText"/>
              <w:spacing w:before="0" w:after="0" w:line="240" w:lineRule="auto"/>
              <w:jc w:val="right"/>
              <w:rPr>
                <w:rFonts w:asciiTheme="minorBidi" w:hAnsiTheme="minorBidi" w:cstheme="minorBidi"/>
                <w:sz w:val="18"/>
                <w:szCs w:val="18"/>
              </w:rPr>
            </w:pPr>
          </w:p>
        </w:tc>
        <w:tc>
          <w:tcPr>
            <w:tcW w:w="1329" w:type="dxa"/>
            <w:shd w:val="clear" w:color="auto" w:fill="E7E8E8"/>
            <w:noWrap/>
            <w:vAlign w:val="bottom"/>
          </w:tcPr>
          <w:p w:rsidRPr="006D51C7" w:rsidR="00032B87" w:rsidP="00D27B5B" w:rsidRDefault="00032B87" w14:paraId="512F3CE0" w14:textId="77777777">
            <w:pPr>
              <w:pStyle w:val="TableText"/>
              <w:spacing w:before="0" w:after="0" w:line="240" w:lineRule="auto"/>
              <w:jc w:val="right"/>
              <w:rPr>
                <w:rFonts w:asciiTheme="minorBidi" w:hAnsiTheme="minorBidi" w:cstheme="minorBidi"/>
                <w:sz w:val="18"/>
                <w:szCs w:val="18"/>
              </w:rPr>
            </w:pPr>
          </w:p>
        </w:tc>
        <w:tc>
          <w:tcPr>
            <w:tcW w:w="1000" w:type="dxa"/>
            <w:shd w:val="clear" w:color="auto" w:fill="E7E8E8"/>
            <w:noWrap/>
            <w:vAlign w:val="bottom"/>
          </w:tcPr>
          <w:p w:rsidRPr="006D51C7" w:rsidR="00032B87" w:rsidP="00D27B5B" w:rsidRDefault="00032B87" w14:paraId="1C3F4467" w14:textId="77777777">
            <w:pPr>
              <w:pStyle w:val="TableText"/>
              <w:spacing w:before="0" w:after="0" w:line="240" w:lineRule="auto"/>
              <w:jc w:val="right"/>
              <w:rPr>
                <w:rFonts w:asciiTheme="minorBidi" w:hAnsiTheme="minorBidi" w:cstheme="minorBidi"/>
                <w:sz w:val="18"/>
                <w:szCs w:val="18"/>
              </w:rPr>
            </w:pPr>
          </w:p>
        </w:tc>
        <w:tc>
          <w:tcPr>
            <w:tcW w:w="944" w:type="dxa"/>
            <w:shd w:val="clear" w:color="auto" w:fill="E7E8E8"/>
            <w:noWrap/>
            <w:vAlign w:val="bottom"/>
          </w:tcPr>
          <w:p w:rsidRPr="006D51C7" w:rsidR="00032B87" w:rsidP="00D27B5B" w:rsidRDefault="00032B87" w14:paraId="422FF3E4" w14:textId="77777777">
            <w:pPr>
              <w:pStyle w:val="TableText"/>
              <w:spacing w:before="0" w:after="0" w:line="240" w:lineRule="auto"/>
              <w:jc w:val="right"/>
              <w:rPr>
                <w:rFonts w:asciiTheme="minorBidi" w:hAnsiTheme="minorBidi" w:cstheme="minorBidi"/>
                <w:sz w:val="18"/>
                <w:szCs w:val="18"/>
              </w:rPr>
            </w:pPr>
          </w:p>
        </w:tc>
        <w:tc>
          <w:tcPr>
            <w:tcW w:w="1197" w:type="dxa"/>
            <w:shd w:val="clear" w:color="auto" w:fill="E7E8E8"/>
            <w:noWrap/>
            <w:vAlign w:val="bottom"/>
          </w:tcPr>
          <w:p w:rsidRPr="006D51C7" w:rsidR="00032B87" w:rsidP="00D27B5B" w:rsidRDefault="00032B87" w14:paraId="44AC4ED0" w14:textId="77777777">
            <w:pPr>
              <w:pStyle w:val="TableText"/>
              <w:spacing w:before="0" w:after="0" w:line="240" w:lineRule="auto"/>
              <w:jc w:val="right"/>
              <w:rPr>
                <w:rFonts w:asciiTheme="minorBidi" w:hAnsiTheme="minorBidi" w:cstheme="minorBidi"/>
                <w:sz w:val="18"/>
                <w:szCs w:val="18"/>
              </w:rPr>
            </w:pPr>
          </w:p>
        </w:tc>
        <w:tc>
          <w:tcPr>
            <w:tcW w:w="1089" w:type="dxa"/>
            <w:shd w:val="clear" w:color="auto" w:fill="E7E8E8"/>
            <w:noWrap/>
            <w:vAlign w:val="bottom"/>
          </w:tcPr>
          <w:p w:rsidRPr="006D51C7" w:rsidR="00032B87" w:rsidP="00D27B5B" w:rsidRDefault="00032B87" w14:paraId="21586B5D" w14:textId="77777777">
            <w:pPr>
              <w:pStyle w:val="TableText"/>
              <w:spacing w:before="0" w:after="0" w:line="240" w:lineRule="auto"/>
              <w:jc w:val="right"/>
              <w:rPr>
                <w:rFonts w:asciiTheme="minorBidi" w:hAnsiTheme="minorBidi" w:cstheme="minorBidi"/>
                <w:sz w:val="18"/>
                <w:szCs w:val="18"/>
              </w:rPr>
            </w:pPr>
          </w:p>
        </w:tc>
      </w:tr>
      <w:tr w:rsidRPr="009C765B" w:rsidR="00032B87" w:rsidTr="00A87EC6" w14:paraId="7F554377" w14:textId="77777777">
        <w:trPr>
          <w:trHeight w:val="256"/>
        </w:trPr>
        <w:tc>
          <w:tcPr>
            <w:tcW w:w="2017" w:type="dxa"/>
            <w:shd w:val="clear" w:color="auto" w:fill="auto"/>
            <w:vAlign w:val="bottom"/>
          </w:tcPr>
          <w:p w:rsidRPr="006D51C7" w:rsidR="00032B87" w:rsidP="00D27B5B" w:rsidRDefault="00032B87" w14:paraId="3807B2C5" w14:textId="77777777">
            <w:pPr>
              <w:spacing w:after="0" w:line="240" w:lineRule="auto"/>
              <w:rPr>
                <w:rFonts w:asciiTheme="minorBidi" w:hAnsiTheme="minorBidi" w:cstheme="minorBidi"/>
                <w:color w:val="000000"/>
                <w:sz w:val="18"/>
                <w:szCs w:val="18"/>
              </w:rPr>
            </w:pPr>
            <w:r w:rsidRPr="006D51C7">
              <w:rPr>
                <w:rFonts w:asciiTheme="minorBidi" w:hAnsiTheme="minorBidi" w:cstheme="minorBidi"/>
                <w:color w:val="000000"/>
                <w:sz w:val="18"/>
                <w:szCs w:val="18"/>
              </w:rPr>
              <w:t>REL Director Interview</w:t>
            </w:r>
          </w:p>
        </w:tc>
        <w:tc>
          <w:tcPr>
            <w:tcW w:w="800" w:type="dxa"/>
            <w:shd w:val="clear" w:color="auto" w:fill="auto"/>
            <w:noWrap/>
            <w:vAlign w:val="bottom"/>
          </w:tcPr>
          <w:p w:rsidRPr="006D51C7" w:rsidR="00032B87" w:rsidP="00D27B5B" w:rsidRDefault="00032B87" w14:paraId="1A620E81" w14:textId="59BD4C49">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w:t>
            </w:r>
            <w:r w:rsidR="00987469">
              <w:rPr>
                <w:rFonts w:asciiTheme="minorBidi" w:hAnsiTheme="minorBidi" w:cstheme="minorBidi"/>
                <w:sz w:val="18"/>
                <w:szCs w:val="18"/>
              </w:rPr>
              <w:t>0</w:t>
            </w:r>
          </w:p>
        </w:tc>
        <w:tc>
          <w:tcPr>
            <w:tcW w:w="1164" w:type="dxa"/>
            <w:shd w:val="clear" w:color="auto" w:fill="auto"/>
            <w:noWrap/>
            <w:vAlign w:val="bottom"/>
          </w:tcPr>
          <w:p w:rsidRPr="006D51C7" w:rsidR="00032B87" w:rsidP="00D27B5B" w:rsidRDefault="00032B87" w14:paraId="3ED323A9"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100%</w:t>
            </w:r>
          </w:p>
        </w:tc>
        <w:tc>
          <w:tcPr>
            <w:tcW w:w="1329" w:type="dxa"/>
            <w:shd w:val="clear" w:color="auto" w:fill="auto"/>
            <w:noWrap/>
            <w:vAlign w:val="bottom"/>
          </w:tcPr>
          <w:p w:rsidRPr="006D51C7" w:rsidR="00032B87" w:rsidP="00D27B5B" w:rsidRDefault="00987469" w14:paraId="450BD818" w14:textId="2B0A5F47">
            <w:pPr>
              <w:pStyle w:val="TableText"/>
              <w:spacing w:before="0" w:after="0" w:line="240" w:lineRule="auto"/>
              <w:jc w:val="right"/>
              <w:rPr>
                <w:rFonts w:asciiTheme="minorBidi" w:hAnsiTheme="minorBidi" w:cstheme="minorBidi"/>
                <w:sz w:val="18"/>
                <w:szCs w:val="18"/>
              </w:rPr>
            </w:pPr>
            <w:r>
              <w:rPr>
                <w:rFonts w:asciiTheme="minorBidi" w:hAnsiTheme="minorBidi" w:cstheme="minorBidi"/>
                <w:sz w:val="18"/>
                <w:szCs w:val="18"/>
              </w:rPr>
              <w:t>10</w:t>
            </w:r>
          </w:p>
        </w:tc>
        <w:tc>
          <w:tcPr>
            <w:tcW w:w="1000" w:type="dxa"/>
            <w:shd w:val="clear" w:color="auto" w:fill="auto"/>
            <w:noWrap/>
            <w:vAlign w:val="bottom"/>
          </w:tcPr>
          <w:p w:rsidRPr="006D51C7" w:rsidR="00032B87" w:rsidP="00D27B5B" w:rsidRDefault="00032B87" w14:paraId="726DF86B"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.5</w:t>
            </w:r>
          </w:p>
        </w:tc>
        <w:tc>
          <w:tcPr>
            <w:tcW w:w="944" w:type="dxa"/>
            <w:shd w:val="clear" w:color="auto" w:fill="auto"/>
            <w:noWrap/>
            <w:vAlign w:val="bottom"/>
          </w:tcPr>
          <w:p w:rsidRPr="006D51C7" w:rsidR="00032B87" w:rsidP="00D27B5B" w:rsidRDefault="00032B87" w14:paraId="7FE009B1" w14:textId="29894916">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5</w:t>
            </w:r>
          </w:p>
        </w:tc>
        <w:tc>
          <w:tcPr>
            <w:tcW w:w="1197" w:type="dxa"/>
            <w:shd w:val="clear" w:color="auto" w:fill="auto"/>
            <w:noWrap/>
            <w:vAlign w:val="bottom"/>
          </w:tcPr>
          <w:p w:rsidRPr="006D51C7" w:rsidR="00032B87" w:rsidP="00D27B5B" w:rsidRDefault="00032B87" w14:paraId="50E0D000" w14:textId="77777777">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$77.15</w:t>
            </w:r>
            <w:r w:rsidRPr="006D51C7">
              <w:rPr>
                <w:rFonts w:asciiTheme="minorBidi" w:hAnsiTheme="minorBidi" w:cstheme="minorBidi"/>
                <w:sz w:val="18"/>
                <w:szCs w:val="18"/>
                <w:vertAlign w:val="superscript"/>
              </w:rPr>
              <w:t>b</w:t>
            </w:r>
          </w:p>
        </w:tc>
        <w:tc>
          <w:tcPr>
            <w:tcW w:w="1089" w:type="dxa"/>
            <w:shd w:val="clear" w:color="auto" w:fill="auto"/>
            <w:noWrap/>
            <w:vAlign w:val="bottom"/>
          </w:tcPr>
          <w:p w:rsidRPr="006D51C7" w:rsidR="00032B87" w:rsidP="00D27B5B" w:rsidRDefault="00032B87" w14:paraId="5B985DD9" w14:textId="287F38A1">
            <w:pPr>
              <w:pStyle w:val="TableText"/>
              <w:spacing w:before="0" w:after="0" w:line="240" w:lineRule="auto"/>
              <w:jc w:val="right"/>
              <w:rPr>
                <w:rFonts w:asciiTheme="minorBidi" w:hAnsiTheme="minorBidi" w:cstheme="minorBidi"/>
                <w:sz w:val="18"/>
                <w:szCs w:val="18"/>
              </w:rPr>
            </w:pPr>
            <w:r w:rsidRPr="006D51C7">
              <w:rPr>
                <w:rFonts w:asciiTheme="minorBidi" w:hAnsiTheme="minorBidi" w:cstheme="minorBidi"/>
                <w:sz w:val="18"/>
                <w:szCs w:val="18"/>
              </w:rPr>
              <w:t>$3</w:t>
            </w:r>
            <w:r w:rsidR="00987469">
              <w:rPr>
                <w:rFonts w:asciiTheme="minorBidi" w:hAnsiTheme="minorBidi" w:cstheme="minorBidi"/>
                <w:sz w:val="18"/>
                <w:szCs w:val="18"/>
              </w:rPr>
              <w:t>85.75</w:t>
            </w:r>
          </w:p>
        </w:tc>
      </w:tr>
      <w:tr w:rsidRPr="00987469" w:rsidR="00A87EC6" w:rsidTr="00A87EC6" w14:paraId="6E3DD4F5" w14:textId="77777777">
        <w:trPr>
          <w:trHeight w:val="243"/>
        </w:trPr>
        <w:tc>
          <w:tcPr>
            <w:tcW w:w="2017" w:type="dxa"/>
            <w:shd w:val="clear" w:color="auto" w:fill="A6A6A6" w:themeFill="background1" w:themeFillShade="A6"/>
            <w:vAlign w:val="bottom"/>
          </w:tcPr>
          <w:p w:rsidRPr="00987469" w:rsidR="00032B87" w:rsidP="00D27B5B" w:rsidRDefault="00032B87" w14:paraId="050A332E" w14:textId="77777777">
            <w:pPr>
              <w:spacing w:after="0" w:line="240" w:lineRule="auto"/>
              <w:rPr>
                <w:rFonts w:ascii="Arial Narrow" w:hAnsi="Arial Narrow" w:cs="Calibri"/>
                <w:color w:val="000000"/>
                <w:szCs w:val="22"/>
              </w:rPr>
            </w:pPr>
            <w:r w:rsidRPr="00987469">
              <w:rPr>
                <w:rFonts w:ascii="Arial Narrow" w:hAnsi="Arial Narrow" w:cs="Calibri"/>
                <w:b/>
                <w:bCs/>
                <w:color w:val="000000"/>
                <w:szCs w:val="22"/>
              </w:rPr>
              <w:t>Annualized Totals</w:t>
            </w:r>
          </w:p>
        </w:tc>
        <w:tc>
          <w:tcPr>
            <w:tcW w:w="800" w:type="dxa"/>
            <w:shd w:val="clear" w:color="auto" w:fill="A6A6A6" w:themeFill="background1" w:themeFillShade="A6"/>
            <w:noWrap/>
            <w:vAlign w:val="bottom"/>
          </w:tcPr>
          <w:p w:rsidRPr="00987469" w:rsidR="00032B87" w:rsidP="00D27B5B" w:rsidRDefault="00032B87" w14:paraId="735A246E" w14:textId="77777777">
            <w:pPr>
              <w:pStyle w:val="TableText"/>
              <w:spacing w:before="0" w:after="0" w:line="240" w:lineRule="auto"/>
              <w:jc w:val="right"/>
              <w:rPr>
                <w:rFonts w:ascii="Arial Narrow" w:hAnsi="Arial Narrow"/>
                <w:sz w:val="22"/>
                <w:szCs w:val="22"/>
              </w:rPr>
            </w:pPr>
          </w:p>
        </w:tc>
        <w:tc>
          <w:tcPr>
            <w:tcW w:w="1164" w:type="dxa"/>
            <w:shd w:val="clear" w:color="auto" w:fill="A6A6A6" w:themeFill="background1" w:themeFillShade="A6"/>
            <w:noWrap/>
            <w:vAlign w:val="bottom"/>
          </w:tcPr>
          <w:p w:rsidRPr="00987469" w:rsidR="00032B87" w:rsidP="00D27B5B" w:rsidRDefault="00032B87" w14:paraId="64347D0E" w14:textId="77777777">
            <w:pPr>
              <w:pStyle w:val="TableText"/>
              <w:spacing w:before="0" w:after="0" w:line="240" w:lineRule="auto"/>
              <w:jc w:val="right"/>
              <w:rPr>
                <w:rFonts w:ascii="Arial Narrow" w:hAnsi="Arial Narrow"/>
                <w:sz w:val="22"/>
                <w:szCs w:val="22"/>
              </w:rPr>
            </w:pPr>
          </w:p>
        </w:tc>
        <w:tc>
          <w:tcPr>
            <w:tcW w:w="1329" w:type="dxa"/>
            <w:shd w:val="clear" w:color="auto" w:fill="A6A6A6" w:themeFill="background1" w:themeFillShade="A6"/>
            <w:noWrap/>
            <w:vAlign w:val="bottom"/>
          </w:tcPr>
          <w:p w:rsidRPr="00987469" w:rsidR="00032B87" w:rsidP="00D27B5B" w:rsidRDefault="00032B87" w14:paraId="4CAE6DE8" w14:textId="77777777">
            <w:pPr>
              <w:pStyle w:val="TableText"/>
              <w:spacing w:before="0" w:after="0" w:line="240" w:lineRule="auto"/>
              <w:jc w:val="right"/>
              <w:rPr>
                <w:rFonts w:ascii="Arial Narrow" w:hAnsi="Arial Narrow"/>
                <w:sz w:val="22"/>
                <w:szCs w:val="22"/>
              </w:rPr>
            </w:pPr>
          </w:p>
        </w:tc>
        <w:tc>
          <w:tcPr>
            <w:tcW w:w="1000" w:type="dxa"/>
            <w:shd w:val="clear" w:color="auto" w:fill="A6A6A6" w:themeFill="background1" w:themeFillShade="A6"/>
            <w:noWrap/>
            <w:vAlign w:val="bottom"/>
          </w:tcPr>
          <w:p w:rsidRPr="00987469" w:rsidR="00032B87" w:rsidP="00D27B5B" w:rsidRDefault="00032B87" w14:paraId="5ABB45BB" w14:textId="77777777">
            <w:pPr>
              <w:pStyle w:val="TableText"/>
              <w:spacing w:before="0" w:after="0" w:line="240" w:lineRule="auto"/>
              <w:jc w:val="right"/>
              <w:rPr>
                <w:rFonts w:ascii="Arial Narrow" w:hAnsi="Arial Narrow"/>
                <w:sz w:val="22"/>
                <w:szCs w:val="22"/>
              </w:rPr>
            </w:pPr>
          </w:p>
        </w:tc>
        <w:tc>
          <w:tcPr>
            <w:tcW w:w="944" w:type="dxa"/>
            <w:shd w:val="clear" w:color="auto" w:fill="A6A6A6" w:themeFill="background1" w:themeFillShade="A6"/>
            <w:noWrap/>
            <w:vAlign w:val="bottom"/>
          </w:tcPr>
          <w:p w:rsidRPr="00987469" w:rsidR="00032B87" w:rsidP="00D27B5B" w:rsidRDefault="00032B87" w14:paraId="5D6EF8B7" w14:textId="77777777">
            <w:pPr>
              <w:pStyle w:val="TableText"/>
              <w:spacing w:before="0" w:after="0" w:line="240" w:lineRule="auto"/>
              <w:jc w:val="right"/>
              <w:rPr>
                <w:rFonts w:ascii="Arial Narrow" w:hAnsi="Arial Narrow"/>
                <w:sz w:val="22"/>
                <w:szCs w:val="22"/>
              </w:rPr>
            </w:pPr>
          </w:p>
        </w:tc>
        <w:tc>
          <w:tcPr>
            <w:tcW w:w="1197" w:type="dxa"/>
            <w:shd w:val="clear" w:color="auto" w:fill="A6A6A6" w:themeFill="background1" w:themeFillShade="A6"/>
            <w:noWrap/>
            <w:vAlign w:val="bottom"/>
          </w:tcPr>
          <w:p w:rsidRPr="00987469" w:rsidR="00032B87" w:rsidP="00D27B5B" w:rsidRDefault="00032B87" w14:paraId="05485FE6" w14:textId="77777777">
            <w:pPr>
              <w:pStyle w:val="TableText"/>
              <w:spacing w:before="0" w:after="0" w:line="240" w:lineRule="auto"/>
              <w:jc w:val="right"/>
              <w:rPr>
                <w:rFonts w:ascii="Arial Narrow" w:hAnsi="Arial Narrow"/>
                <w:sz w:val="22"/>
                <w:szCs w:val="22"/>
              </w:rPr>
            </w:pPr>
          </w:p>
        </w:tc>
        <w:tc>
          <w:tcPr>
            <w:tcW w:w="1089" w:type="dxa"/>
            <w:shd w:val="clear" w:color="auto" w:fill="A6A6A6" w:themeFill="background1" w:themeFillShade="A6"/>
            <w:noWrap/>
            <w:vAlign w:val="bottom"/>
          </w:tcPr>
          <w:p w:rsidRPr="00987469" w:rsidR="00032B87" w:rsidP="00D27B5B" w:rsidRDefault="00987469" w14:paraId="44939EBF" w14:textId="408AD281">
            <w:pPr>
              <w:pStyle w:val="TableText"/>
              <w:spacing w:before="0" w:after="0" w:line="240" w:lineRule="auto"/>
              <w:jc w:val="right"/>
              <w:rPr>
                <w:rFonts w:ascii="Arial Narrow" w:hAnsi="Arial Narrow"/>
                <w:b/>
                <w:bCs w:val="0"/>
                <w:sz w:val="22"/>
                <w:szCs w:val="22"/>
              </w:rPr>
            </w:pPr>
            <w:r w:rsidRPr="00987469">
              <w:rPr>
                <w:rFonts w:ascii="Arial Narrow" w:hAnsi="Arial Narrow"/>
                <w:b/>
                <w:bCs w:val="0"/>
                <w:sz w:val="22"/>
                <w:szCs w:val="22"/>
              </w:rPr>
              <w:t>$6,1</w:t>
            </w:r>
            <w:r w:rsidR="00561366">
              <w:rPr>
                <w:rFonts w:ascii="Arial Narrow" w:hAnsi="Arial Narrow"/>
                <w:b/>
                <w:bCs w:val="0"/>
                <w:sz w:val="22"/>
                <w:szCs w:val="22"/>
              </w:rPr>
              <w:t>13.62</w:t>
            </w:r>
          </w:p>
        </w:tc>
      </w:tr>
    </w:tbl>
    <w:p w:rsidR="00205888" w:rsidP="00D27B5B" w:rsidRDefault="00205888" w14:paraId="0BF1FB51" w14:textId="55A9C9C1">
      <w:pPr>
        <w:spacing w:after="0"/>
        <w:ind w:left="180" w:hanging="180"/>
        <w:rPr>
          <w:rFonts w:ascii="Arial Narrow" w:hAnsi="Arial Narrow"/>
          <w:sz w:val="20"/>
        </w:rPr>
      </w:pPr>
      <w:r w:rsidRPr="004800F1">
        <w:rPr>
          <w:rFonts w:ascii="Arial Narrow" w:hAnsi="Arial Narrow"/>
          <w:vertAlign w:val="superscript"/>
        </w:rPr>
        <w:t>a</w:t>
      </w:r>
      <w:r>
        <w:t xml:space="preserve"> </w:t>
      </w:r>
      <w:r w:rsidRPr="004800F1">
        <w:rPr>
          <w:rFonts w:ascii="Arial Narrow" w:hAnsi="Arial Narrow"/>
          <w:sz w:val="20"/>
        </w:rPr>
        <w:t xml:space="preserve">The cost to </w:t>
      </w:r>
      <w:r>
        <w:rPr>
          <w:rFonts w:ascii="Arial Narrow" w:hAnsi="Arial Narrow"/>
          <w:sz w:val="20"/>
        </w:rPr>
        <w:t>TA recipients</w:t>
      </w:r>
      <w:r w:rsidRPr="004800F1">
        <w:rPr>
          <w:rFonts w:ascii="Arial Narrow" w:hAnsi="Arial Narrow"/>
          <w:sz w:val="20"/>
        </w:rPr>
        <w:t xml:space="preserve"> is based on a 20</w:t>
      </w:r>
      <w:r>
        <w:rPr>
          <w:rFonts w:ascii="Arial Narrow" w:hAnsi="Arial Narrow"/>
          <w:sz w:val="20"/>
        </w:rPr>
        <w:t>20</w:t>
      </w:r>
      <w:r w:rsidRPr="004800F1">
        <w:rPr>
          <w:rFonts w:ascii="Arial Narrow" w:hAnsi="Arial Narrow"/>
          <w:sz w:val="20"/>
        </w:rPr>
        <w:t xml:space="preserve"> national average hourly wage of $4</w:t>
      </w:r>
      <w:r>
        <w:rPr>
          <w:rFonts w:ascii="Arial Narrow" w:hAnsi="Arial Narrow"/>
          <w:sz w:val="20"/>
        </w:rPr>
        <w:t>5.11</w:t>
      </w:r>
      <w:r w:rsidRPr="004800F1">
        <w:rPr>
          <w:rFonts w:ascii="Arial Narrow" w:hAnsi="Arial Narrow"/>
          <w:sz w:val="20"/>
        </w:rPr>
        <w:t xml:space="preserve"> for education administrators (BLS).</w:t>
      </w:r>
    </w:p>
    <w:p w:rsidRPr="004800F1" w:rsidR="002F1C48" w:rsidP="00D27B5B" w:rsidRDefault="00205888" w14:paraId="6015786F" w14:textId="103B3B4F">
      <w:pPr>
        <w:spacing w:after="0"/>
        <w:ind w:left="126" w:hanging="126"/>
      </w:pPr>
      <w:r>
        <w:rPr>
          <w:rFonts w:ascii="Arial Narrow" w:hAnsi="Arial Narrow"/>
          <w:sz w:val="20"/>
          <w:vertAlign w:val="superscript"/>
        </w:rPr>
        <w:t>b</w:t>
      </w:r>
      <w:r>
        <w:rPr>
          <w:rFonts w:ascii="Arial Narrow" w:hAnsi="Arial Narrow"/>
          <w:sz w:val="20"/>
        </w:rPr>
        <w:t xml:space="preserve"> The cost to CC Directors and REL Directors is based on a 2020 national average hourly wage of $77.15 for general and</w:t>
      </w:r>
      <w:r w:rsidR="00D27B5B">
        <w:rPr>
          <w:rFonts w:ascii="Arial Narrow" w:hAnsi="Arial Narrow"/>
          <w:sz w:val="20"/>
        </w:rPr>
        <w:br/>
      </w:r>
      <w:r>
        <w:rPr>
          <w:rFonts w:ascii="Arial Narrow" w:hAnsi="Arial Narrow"/>
          <w:sz w:val="20"/>
        </w:rPr>
        <w:t>operations managers (BLS).</w:t>
      </w:r>
    </w:p>
    <w:p w:rsidRPr="009C765B" w:rsidR="0031215E" w:rsidP="00786F38" w:rsidRDefault="005D40FE" w14:paraId="614F4538" w14:textId="565B758C">
      <w:pPr>
        <w:pStyle w:val="Heading2"/>
        <w:ind w:left="720" w:hanging="720"/>
      </w:pPr>
      <w:bookmarkStart w:name="_Toc462741654" w:id="76"/>
      <w:bookmarkStart w:name="_Toc480465682" w:id="77"/>
      <w:bookmarkStart w:name="_Toc503254134" w:id="78"/>
      <w:bookmarkStart w:name="_Toc79418636" w:id="79"/>
      <w:r w:rsidRPr="001034D3">
        <w:t>A</w:t>
      </w:r>
      <w:r w:rsidR="00780D78">
        <w:t>.</w:t>
      </w:r>
      <w:r w:rsidRPr="001034D3">
        <w:t>13</w:t>
      </w:r>
      <w:bookmarkStart w:name="_Toc54897907" w:id="80"/>
      <w:bookmarkEnd w:id="76"/>
      <w:bookmarkEnd w:id="77"/>
      <w:bookmarkEnd w:id="78"/>
      <w:r w:rsidR="00786F38">
        <w:tab/>
      </w:r>
      <w:r w:rsidRPr="009C765B" w:rsidR="0031215E">
        <w:t>Estimate of Total Capital and Startup Costs/Operation and Maintenance Costs to Respondents or Record-Keepers</w:t>
      </w:r>
      <w:bookmarkEnd w:id="79"/>
      <w:bookmarkEnd w:id="80"/>
    </w:p>
    <w:p w:rsidRPr="009C765B" w:rsidR="00FB1368" w:rsidP="00FB1368" w:rsidRDefault="00FB1368" w14:paraId="01FA5159" w14:textId="77777777">
      <w:r w:rsidRPr="009C765B">
        <w:t>There are no annualized capital/startup or ongoing operation and maintenance costs involved in the collection of the proposed data.</w:t>
      </w:r>
    </w:p>
    <w:p w:rsidRPr="001034D3" w:rsidR="005D40FE" w:rsidP="005D40FE" w:rsidRDefault="005D40FE" w14:paraId="4EDE4E5A" w14:textId="19EB87C5">
      <w:pPr>
        <w:pStyle w:val="Heading2"/>
      </w:pPr>
      <w:bookmarkStart w:name="_Toc462741655" w:id="81"/>
      <w:bookmarkStart w:name="_Toc480465683" w:id="82"/>
      <w:bookmarkStart w:name="_Toc503254135" w:id="83"/>
      <w:bookmarkStart w:name="_Toc79418637" w:id="84"/>
      <w:r w:rsidRPr="001034D3">
        <w:t>A</w:t>
      </w:r>
      <w:r w:rsidR="00780D78">
        <w:t>.</w:t>
      </w:r>
      <w:r w:rsidRPr="001034D3">
        <w:t>14</w:t>
      </w:r>
      <w:r w:rsidR="00786F38">
        <w:tab/>
      </w:r>
      <w:r w:rsidRPr="001034D3">
        <w:t xml:space="preserve">Estimate of </w:t>
      </w:r>
      <w:r>
        <w:t>C</w:t>
      </w:r>
      <w:r w:rsidRPr="001034D3">
        <w:t xml:space="preserve">ost to the Federal </w:t>
      </w:r>
      <w:r>
        <w:t>G</w:t>
      </w:r>
      <w:r w:rsidRPr="001034D3">
        <w:t>overnment</w:t>
      </w:r>
      <w:bookmarkEnd w:id="81"/>
      <w:bookmarkEnd w:id="82"/>
      <w:bookmarkEnd w:id="83"/>
      <w:bookmarkEnd w:id="84"/>
    </w:p>
    <w:p w:rsidRPr="00F36744" w:rsidR="005D40FE" w:rsidP="005D40FE" w:rsidRDefault="00FB1368" w14:paraId="4170BFB7" w14:textId="3E01757E">
      <w:pPr>
        <w:rPr>
          <w:szCs w:val="22"/>
        </w:rPr>
      </w:pPr>
      <w:bookmarkStart w:name="_Hlk74055891" w:id="85"/>
      <w:r w:rsidRPr="00F36744">
        <w:rPr>
          <w:szCs w:val="22"/>
        </w:rPr>
        <w:t xml:space="preserve">The </w:t>
      </w:r>
      <w:r w:rsidRPr="00F36744" w:rsidR="00C05C29">
        <w:rPr>
          <w:szCs w:val="22"/>
        </w:rPr>
        <w:t xml:space="preserve">total </w:t>
      </w:r>
      <w:r w:rsidRPr="00F36744">
        <w:rPr>
          <w:szCs w:val="22"/>
        </w:rPr>
        <w:t xml:space="preserve">estimated cost </w:t>
      </w:r>
      <w:r w:rsidRPr="00F36744" w:rsidR="007A23AC">
        <w:rPr>
          <w:szCs w:val="22"/>
        </w:rPr>
        <w:t>of the evaluation to the federal government</w:t>
      </w:r>
      <w:r w:rsidRPr="00F36744">
        <w:rPr>
          <w:szCs w:val="22"/>
        </w:rPr>
        <w:t>, including the data collection activities described above</w:t>
      </w:r>
      <w:r w:rsidRPr="00F36744" w:rsidR="00C05C29">
        <w:rPr>
          <w:szCs w:val="22"/>
        </w:rPr>
        <w:t>,</w:t>
      </w:r>
      <w:r w:rsidRPr="00F36744" w:rsidR="007A23AC">
        <w:rPr>
          <w:szCs w:val="22"/>
        </w:rPr>
        <w:t xml:space="preserve"> protocol development, </w:t>
      </w:r>
      <w:r w:rsidRPr="006D44D9" w:rsidR="007A23AC">
        <w:rPr>
          <w:szCs w:val="22"/>
        </w:rPr>
        <w:t>analysis, and reporting</w:t>
      </w:r>
      <w:r w:rsidRPr="006D44D9">
        <w:rPr>
          <w:szCs w:val="22"/>
        </w:rPr>
        <w:t xml:space="preserve">, is </w:t>
      </w:r>
      <w:r w:rsidRPr="006D44D9" w:rsidR="000F403A">
        <w:rPr>
          <w:szCs w:val="22"/>
        </w:rPr>
        <w:t>$</w:t>
      </w:r>
      <w:r w:rsidR="00B12C97">
        <w:rPr>
          <w:szCs w:val="22"/>
        </w:rPr>
        <w:t>1,939,</w:t>
      </w:r>
      <w:r w:rsidR="00335E8E">
        <w:rPr>
          <w:szCs w:val="22"/>
        </w:rPr>
        <w:t>185</w:t>
      </w:r>
      <w:r w:rsidRPr="006D44D9">
        <w:rPr>
          <w:szCs w:val="22"/>
        </w:rPr>
        <w:t>.</w:t>
      </w:r>
      <w:r w:rsidRPr="006D44D9" w:rsidR="009E6366">
        <w:rPr>
          <w:szCs w:val="22"/>
        </w:rPr>
        <w:t xml:space="preserve"> </w:t>
      </w:r>
      <w:r w:rsidRPr="006D44D9" w:rsidR="00503288">
        <w:rPr>
          <w:szCs w:val="22"/>
        </w:rPr>
        <w:t xml:space="preserve">The average annual cost, spread across </w:t>
      </w:r>
      <w:r w:rsidRPr="00310FCF" w:rsidR="006D44D9">
        <w:rPr>
          <w:szCs w:val="22"/>
        </w:rPr>
        <w:t>3</w:t>
      </w:r>
      <w:r w:rsidRPr="006D44D9" w:rsidR="00503288">
        <w:rPr>
          <w:szCs w:val="22"/>
        </w:rPr>
        <w:t xml:space="preserve"> years, is $</w:t>
      </w:r>
      <w:r w:rsidR="00217B41">
        <w:rPr>
          <w:szCs w:val="22"/>
        </w:rPr>
        <w:t>646,</w:t>
      </w:r>
      <w:r w:rsidR="00335E8E">
        <w:rPr>
          <w:szCs w:val="22"/>
        </w:rPr>
        <w:t>395</w:t>
      </w:r>
      <w:r w:rsidRPr="006D44D9" w:rsidR="00503288">
        <w:rPr>
          <w:szCs w:val="22"/>
        </w:rPr>
        <w:t>.</w:t>
      </w:r>
    </w:p>
    <w:p w:rsidR="005D40FE" w:rsidP="005D40FE" w:rsidRDefault="005D40FE" w14:paraId="1D77B456" w14:textId="3783BCDA">
      <w:pPr>
        <w:pStyle w:val="Heading2"/>
      </w:pPr>
      <w:bookmarkStart w:name="_Toc462741656" w:id="86"/>
      <w:bookmarkStart w:name="_Toc480465684" w:id="87"/>
      <w:bookmarkStart w:name="_Toc503254136" w:id="88"/>
      <w:bookmarkStart w:name="_Toc79418638" w:id="89"/>
      <w:bookmarkEnd w:id="85"/>
      <w:r w:rsidRPr="00297B36">
        <w:lastRenderedPageBreak/>
        <w:t>A</w:t>
      </w:r>
      <w:r w:rsidR="00780D78">
        <w:t>.</w:t>
      </w:r>
      <w:r w:rsidRPr="00297B36">
        <w:t>15</w:t>
      </w:r>
      <w:r w:rsidR="00786F38">
        <w:tab/>
      </w:r>
      <w:r w:rsidRPr="00297B36">
        <w:t xml:space="preserve">Change in </w:t>
      </w:r>
      <w:r>
        <w:t>B</w:t>
      </w:r>
      <w:r w:rsidRPr="001034D3">
        <w:t>urden</w:t>
      </w:r>
      <w:bookmarkEnd w:id="86"/>
      <w:bookmarkEnd w:id="87"/>
      <w:bookmarkEnd w:id="88"/>
      <w:bookmarkEnd w:id="89"/>
    </w:p>
    <w:p w:rsidR="005D40FE" w:rsidP="004E6593" w:rsidRDefault="005D40FE" w14:paraId="144E0D74" w14:textId="77777777">
      <w:pPr>
        <w:pStyle w:val="BodyText"/>
      </w:pPr>
      <w:r>
        <w:t>This is a request for a new collection of information</w:t>
      </w:r>
      <w:r w:rsidRPr="00204D13">
        <w:t>.</w:t>
      </w:r>
      <w:r>
        <w:t xml:space="preserve"> </w:t>
      </w:r>
    </w:p>
    <w:p w:rsidRPr="009C765B" w:rsidR="009A6300" w:rsidP="009A6300" w:rsidRDefault="005D40FE" w14:paraId="62081587" w14:textId="1C8E65C5">
      <w:pPr>
        <w:pStyle w:val="Heading2"/>
      </w:pPr>
      <w:bookmarkStart w:name="_Toc462741657" w:id="90"/>
      <w:bookmarkStart w:name="_Toc480465685" w:id="91"/>
      <w:bookmarkStart w:name="_Toc503254137" w:id="92"/>
      <w:bookmarkStart w:name="_Toc79418639" w:id="93"/>
      <w:r w:rsidRPr="00B34B48">
        <w:t>A</w:t>
      </w:r>
      <w:r w:rsidR="00780D78">
        <w:t>.</w:t>
      </w:r>
      <w:r w:rsidRPr="00B34B48">
        <w:t>16</w:t>
      </w:r>
      <w:bookmarkStart w:name="_Toc54897910" w:id="94"/>
      <w:bookmarkEnd w:id="90"/>
      <w:bookmarkEnd w:id="91"/>
      <w:bookmarkEnd w:id="92"/>
      <w:r w:rsidR="00786F38">
        <w:tab/>
      </w:r>
      <w:r w:rsidRPr="009C765B" w:rsidR="009A6300">
        <w:t>Plans for Analysis, Publication, and Schedule</w:t>
      </w:r>
      <w:bookmarkEnd w:id="93"/>
      <w:bookmarkEnd w:id="94"/>
    </w:p>
    <w:p w:rsidRPr="00780D78" w:rsidR="005D40FE" w:rsidP="005D40FE" w:rsidRDefault="00780D78" w14:paraId="3133A802" w14:textId="2BDD8556">
      <w:pPr>
        <w:pStyle w:val="Heading4"/>
        <w:rPr>
          <w:color w:val="000000" w:themeColor="text1"/>
        </w:rPr>
      </w:pPr>
      <w:r>
        <w:rPr>
          <w:color w:val="000000" w:themeColor="text1"/>
        </w:rPr>
        <w:t>A.</w:t>
      </w:r>
      <w:r w:rsidRPr="00780D78" w:rsidR="005D40FE">
        <w:rPr>
          <w:color w:val="000000" w:themeColor="text1"/>
        </w:rPr>
        <w:t>16.1 Analysis Plan</w:t>
      </w:r>
    </w:p>
    <w:p w:rsidRPr="00B856FC" w:rsidR="000B6BDB" w:rsidP="000B6BDB" w:rsidRDefault="000B6BDB" w14:paraId="1F865FF8" w14:textId="77777777">
      <w:pPr>
        <w:pStyle w:val="BodyText"/>
      </w:pPr>
      <w:r>
        <w:t>To address the research questions, the study team will use two types of analytic methods</w:t>
      </w:r>
      <w:r w:rsidRPr="00B856FC">
        <w:t xml:space="preserve">. </w:t>
      </w:r>
    </w:p>
    <w:p w:rsidR="000B6BDB" w:rsidP="000B6BDB" w:rsidRDefault="000B6BDB" w14:paraId="011C6EA9" w14:textId="77777777">
      <w:pPr>
        <w:pStyle w:val="Bullets"/>
        <w:numPr>
          <w:ilvl w:val="0"/>
          <w:numId w:val="19"/>
        </w:numPr>
        <w:spacing w:line="264" w:lineRule="auto"/>
        <w:ind w:left="360"/>
        <w:rPr>
          <w:bCs/>
          <w:iCs/>
        </w:rPr>
      </w:pPr>
      <w:r>
        <w:rPr>
          <w:b/>
          <w:bCs/>
        </w:rPr>
        <w:t>Descriptive analyses</w:t>
      </w:r>
      <w:r w:rsidRPr="00B856FC">
        <w:rPr>
          <w:b/>
          <w:bCs/>
        </w:rPr>
        <w:t xml:space="preserve"> </w:t>
      </w:r>
      <w:r w:rsidRPr="00B856FC">
        <w:t xml:space="preserve">– </w:t>
      </w:r>
      <w:r>
        <w:t xml:space="preserve">The study team will produce summary statistics such as means and standard deviations for continuous variables and tabulations such as frequency distributions and percentages for categorical variables. </w:t>
      </w:r>
      <w:r>
        <w:rPr>
          <w:bCs/>
          <w:iCs/>
        </w:rPr>
        <w:t xml:space="preserve"> </w:t>
      </w:r>
    </w:p>
    <w:p w:rsidRPr="00373F83" w:rsidR="000B6BDB" w:rsidP="000B6BDB" w:rsidRDefault="000B6BDB" w14:paraId="3ACDFA66" w14:textId="77777777">
      <w:pPr>
        <w:pStyle w:val="Bullets"/>
        <w:numPr>
          <w:ilvl w:val="0"/>
          <w:numId w:val="19"/>
        </w:numPr>
        <w:spacing w:line="264" w:lineRule="auto"/>
        <w:ind w:left="360"/>
        <w:rPr>
          <w:bCs/>
          <w:iCs/>
        </w:rPr>
      </w:pPr>
      <w:r>
        <w:rPr>
          <w:b/>
          <w:bCs/>
        </w:rPr>
        <w:t xml:space="preserve">Comparative analyses </w:t>
      </w:r>
      <w:r>
        <w:rPr>
          <w:bCs/>
          <w:iCs/>
        </w:rPr>
        <w:t xml:space="preserve">– To compare groups, such as administrative challenges by the type of capacity that CCs aimed to develop, the study team will conduct cross-tabulations and use common statistical tests, such as an F-test, to determine whether differences are statistically significant or likely due to chance. </w:t>
      </w:r>
      <w:r w:rsidRPr="00B856FC">
        <w:t xml:space="preserve"> </w:t>
      </w:r>
    </w:p>
    <w:p w:rsidRPr="00A54954" w:rsidR="00A54954" w:rsidP="00576BA9" w:rsidRDefault="000B6BDB" w14:paraId="73E29576" w14:textId="7B12F40A">
      <w:pPr>
        <w:pStyle w:val="BodyText"/>
      </w:pPr>
      <w:r>
        <w:rPr>
          <w:bCs/>
          <w:iCs/>
          <w:lang w:val="en"/>
        </w:rPr>
        <w:t>The study team will summarize findings and present them in tables and exhibits in the final report. All text describing findings will be presented in plain language</w:t>
      </w:r>
      <w:r w:rsidRPr="00373F83">
        <w:t>.</w:t>
      </w:r>
      <w:r>
        <w:t xml:space="preserve"> </w:t>
      </w:r>
    </w:p>
    <w:p w:rsidRPr="00780D78" w:rsidR="005D40FE" w:rsidP="005D40FE" w:rsidRDefault="00780D78" w14:paraId="7FF05929" w14:textId="42D4B574">
      <w:pPr>
        <w:pStyle w:val="Heading4"/>
        <w:rPr>
          <w:color w:val="000000" w:themeColor="text1"/>
        </w:rPr>
      </w:pPr>
      <w:r>
        <w:rPr>
          <w:color w:val="000000" w:themeColor="text1"/>
        </w:rPr>
        <w:t>A.</w:t>
      </w:r>
      <w:r w:rsidRPr="00780D78" w:rsidR="005D40FE">
        <w:rPr>
          <w:color w:val="000000" w:themeColor="text1"/>
        </w:rPr>
        <w:t>16.2</w:t>
      </w:r>
      <w:r w:rsidR="00D27B5B">
        <w:rPr>
          <w:color w:val="000000" w:themeColor="text1"/>
        </w:rPr>
        <w:tab/>
      </w:r>
      <w:r w:rsidRPr="00780D78" w:rsidR="005D40FE">
        <w:rPr>
          <w:color w:val="000000" w:themeColor="text1"/>
        </w:rPr>
        <w:t>Time Schedule and Publications</w:t>
      </w:r>
    </w:p>
    <w:p w:rsidR="00217B41" w:rsidP="00217B41" w:rsidRDefault="00217B41" w14:paraId="60CEAF21" w14:textId="4F5D9B90">
      <w:pPr>
        <w:pStyle w:val="BodyText"/>
      </w:pPr>
      <w:r w:rsidRPr="00933BA2">
        <w:t xml:space="preserve">The evaluation requires publishing a final report and delivering a </w:t>
      </w:r>
      <w:r w:rsidR="00D948FC">
        <w:t xml:space="preserve">restricted </w:t>
      </w:r>
      <w:r w:rsidRPr="00933BA2">
        <w:t xml:space="preserve">use data file. </w:t>
      </w:r>
    </w:p>
    <w:p w:rsidR="00217B41" w:rsidP="00217B41" w:rsidRDefault="00217B41" w14:paraId="6B2965F0" w14:textId="0D413722">
      <w:pPr>
        <w:pStyle w:val="BodyText"/>
        <w:numPr>
          <w:ilvl w:val="0"/>
          <w:numId w:val="18"/>
        </w:numPr>
      </w:pPr>
      <w:r w:rsidRPr="00D266AB">
        <w:rPr>
          <w:b/>
          <w:bCs/>
        </w:rPr>
        <w:t>Final Report:</w:t>
      </w:r>
      <w:r>
        <w:t xml:space="preserve"> </w:t>
      </w:r>
      <w:r w:rsidRPr="00933BA2">
        <w:t xml:space="preserve">After incorporating feedback from </w:t>
      </w:r>
      <w:r>
        <w:t>the Department</w:t>
      </w:r>
      <w:r w:rsidRPr="00933BA2">
        <w:t xml:space="preserve">, </w:t>
      </w:r>
      <w:r>
        <w:t xml:space="preserve">the study team will provide </w:t>
      </w:r>
      <w:r w:rsidRPr="00933BA2">
        <w:t xml:space="preserve">the final report </w:t>
      </w:r>
      <w:r>
        <w:t xml:space="preserve">expected in May </w:t>
      </w:r>
      <w:r w:rsidRPr="00933BA2">
        <w:t>202</w:t>
      </w:r>
      <w:r>
        <w:t>3</w:t>
      </w:r>
      <w:r w:rsidRPr="00933BA2">
        <w:t xml:space="preserve">. </w:t>
      </w:r>
    </w:p>
    <w:p w:rsidR="00217B41" w:rsidP="00217B41" w:rsidRDefault="00217B41" w14:paraId="3212578F" w14:textId="5517B6AE">
      <w:pPr>
        <w:pStyle w:val="BodyText"/>
        <w:numPr>
          <w:ilvl w:val="0"/>
          <w:numId w:val="18"/>
        </w:numPr>
      </w:pPr>
      <w:r w:rsidRPr="00D266AB">
        <w:rPr>
          <w:b/>
          <w:bCs/>
        </w:rPr>
        <w:t>Restricted Use Data File:</w:t>
      </w:r>
      <w:r>
        <w:t xml:space="preserve"> The study team will produce a restricted use data file that contains all data collected for the evaluation, subject to any applicable privacy laws, with all direct personal identifiers removed. This file and documentation accompanying the file are</w:t>
      </w:r>
      <w:r w:rsidRPr="00933BA2">
        <w:t xml:space="preserve"> </w:t>
      </w:r>
      <w:r>
        <w:t xml:space="preserve">expected </w:t>
      </w:r>
      <w:r w:rsidRPr="00933BA2">
        <w:t xml:space="preserve">in </w:t>
      </w:r>
      <w:r>
        <w:t>September 2023.</w:t>
      </w:r>
    </w:p>
    <w:p w:rsidRPr="009C765B" w:rsidR="009A6300" w:rsidP="009A6300" w:rsidRDefault="005D40FE" w14:paraId="0ED2BC5D" w14:textId="3600B032">
      <w:pPr>
        <w:pStyle w:val="Heading2"/>
      </w:pPr>
      <w:bookmarkStart w:name="_Toc462741658" w:id="95"/>
      <w:bookmarkStart w:name="_Toc480465686" w:id="96"/>
      <w:bookmarkStart w:name="_Toc503254138" w:id="97"/>
      <w:bookmarkStart w:name="_Toc79418640" w:id="98"/>
      <w:r w:rsidRPr="004F1FB4">
        <w:t>A</w:t>
      </w:r>
      <w:r w:rsidR="00780D78">
        <w:t>.</w:t>
      </w:r>
      <w:r w:rsidRPr="004F1FB4">
        <w:t>17</w:t>
      </w:r>
      <w:bookmarkStart w:name="_Toc54897913" w:id="99"/>
      <w:bookmarkEnd w:id="95"/>
      <w:bookmarkEnd w:id="96"/>
      <w:bookmarkEnd w:id="97"/>
      <w:r w:rsidR="008C50B5">
        <w:tab/>
      </w:r>
      <w:r w:rsidRPr="009C765B" w:rsidR="009A6300">
        <w:t>Approval to Not Display Expiration Date</w:t>
      </w:r>
      <w:bookmarkEnd w:id="98"/>
      <w:bookmarkEnd w:id="99"/>
    </w:p>
    <w:p w:rsidRPr="00204D13" w:rsidR="005D40FE" w:rsidP="00801B0F" w:rsidRDefault="005D40FE" w14:paraId="1701AAD5" w14:textId="77777777">
      <w:pPr>
        <w:pStyle w:val="BodyText"/>
        <w:spacing w:after="120"/>
      </w:pPr>
      <w:bookmarkStart w:name="_Toc462741659" w:id="100"/>
      <w:bookmarkStart w:name="_Toc480465687" w:id="101"/>
      <w:bookmarkStart w:name="_Toc503254139" w:id="102"/>
      <w:r w:rsidRPr="007651A9">
        <w:t>No exemption is requested. The</w:t>
      </w:r>
      <w:r w:rsidRPr="00204D13">
        <w:t xml:space="preserve"> data collection instruments will display the expiration date. </w:t>
      </w:r>
    </w:p>
    <w:p w:rsidRPr="009C765B" w:rsidR="009A6300" w:rsidP="009A6300" w:rsidRDefault="005D40FE" w14:paraId="60751EC1" w14:textId="59259137">
      <w:pPr>
        <w:pStyle w:val="Heading2"/>
      </w:pPr>
      <w:bookmarkStart w:name="_Toc79418641" w:id="103"/>
      <w:r w:rsidRPr="004F1FB4">
        <w:t>A</w:t>
      </w:r>
      <w:r w:rsidR="00780D78">
        <w:t>.</w:t>
      </w:r>
      <w:r w:rsidRPr="004F1FB4">
        <w:t>18</w:t>
      </w:r>
      <w:bookmarkStart w:name="_Toc54897914" w:id="104"/>
      <w:bookmarkEnd w:id="100"/>
      <w:bookmarkEnd w:id="101"/>
      <w:bookmarkEnd w:id="102"/>
      <w:r w:rsidR="00786F38">
        <w:tab/>
      </w:r>
      <w:r w:rsidRPr="009C765B" w:rsidR="009A6300">
        <w:t>Exceptions to Item 19 of OMB Form 83-1</w:t>
      </w:r>
      <w:bookmarkEnd w:id="103"/>
      <w:bookmarkEnd w:id="104"/>
    </w:p>
    <w:p w:rsidRPr="00FD626B" w:rsidR="00012B47" w:rsidP="00801B0F" w:rsidRDefault="005D40FE" w14:paraId="319CAF60" w14:textId="176D6884">
      <w:pPr>
        <w:pStyle w:val="BodyText"/>
        <w:spacing w:after="0"/>
        <w:rPr>
          <w:rFonts w:ascii="Arial" w:hAnsi="Arial"/>
          <w:b/>
          <w:color w:val="FFFFFF"/>
          <w:kern w:val="28"/>
          <w:sz w:val="24"/>
          <w:szCs w:val="24"/>
        </w:rPr>
      </w:pPr>
      <w:r w:rsidRPr="00AF1012">
        <w:t>No exceptions are necessary for this information collection.</w:t>
      </w:r>
      <w:r w:rsidR="008D7E8C">
        <w:t xml:space="preserve"> </w:t>
      </w:r>
    </w:p>
    <w:sectPr w:rsidRPr="00FD626B" w:rsidR="00012B47" w:rsidSect="00A87EC6">
      <w:headerReference w:type="default" r:id="rId21"/>
      <w:footerReference w:type="default" r:id="rId22"/>
      <w:pgSz w:w="12240" w:h="15840" w:code="1"/>
      <w:pgMar w:top="1440" w:right="1440" w:bottom="1440" w:left="144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C948" w14:textId="77777777" w:rsidR="0057499F" w:rsidRDefault="0057499F" w:rsidP="005D40FE">
      <w:pPr>
        <w:spacing w:after="0" w:line="240" w:lineRule="auto"/>
      </w:pPr>
      <w:r>
        <w:separator/>
      </w:r>
    </w:p>
  </w:endnote>
  <w:endnote w:type="continuationSeparator" w:id="0">
    <w:p w14:paraId="440AEDFF" w14:textId="77777777" w:rsidR="0057499F" w:rsidRDefault="0057499F" w:rsidP="005D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C0B0" w14:textId="77777777" w:rsidR="00867D90" w:rsidRDefault="00867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C74" w14:textId="77777777" w:rsidR="00867D90" w:rsidRDefault="00867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1B8B" w14:textId="77777777" w:rsidR="00867D90" w:rsidRDefault="00867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A318" w14:textId="09333B4F" w:rsidR="000A137B" w:rsidRPr="00F17194" w:rsidRDefault="00F17194" w:rsidP="00A40622">
    <w:pPr>
      <w:pStyle w:val="Footer"/>
    </w:pPr>
    <w:r w:rsidRPr="00A40622">
      <w:t>Abt Associates Inc.</w:t>
    </w:r>
    <w:r w:rsidRPr="0066134E">
      <w:rPr>
        <w:rStyle w:val="PageNumber"/>
        <w:b/>
      </w:rPr>
      <w:tab/>
    </w:r>
    <w:r>
      <w:rPr>
        <w:rStyle w:val="PageNumber"/>
        <w:b/>
      </w:rPr>
      <w:t>Table of Contents</w:t>
    </w:r>
    <w:r>
      <w:rPr>
        <w:rStyle w:val="PageNumber"/>
        <w:b/>
      </w:rPr>
      <w:t> </w:t>
    </w:r>
    <w:r>
      <w:rPr>
        <w:rStyle w:val="PageNumber"/>
        <w:rFonts w:cs="Arial"/>
        <w:b/>
      </w:rPr>
      <w:t>▌</w:t>
    </w:r>
    <w:r>
      <w:rPr>
        <w:rStyle w:val="PageNumber"/>
        <w:b/>
      </w:rPr>
      <w:t>pg</w:t>
    </w:r>
    <w:r w:rsidRPr="00A63B6C">
      <w:rPr>
        <w:rStyle w:val="PageNumber"/>
        <w:b/>
        <w:color w:val="000000" w:themeColor="text1"/>
      </w:rPr>
      <w:t>.</w:t>
    </w:r>
    <w:r w:rsidRPr="007C6DF0">
      <w:rPr>
        <w:rStyle w:val="PageNumber"/>
        <w:b/>
        <w:color w:val="ED7D31" w:themeColor="accent2"/>
      </w:rPr>
      <w:t xml:space="preserve"> </w:t>
    </w:r>
    <w:r w:rsidRPr="00A40622">
      <w:fldChar w:fldCharType="begin"/>
    </w:r>
    <w:r w:rsidRPr="00A40622">
      <w:instrText xml:space="preserve"> PAGE   \* MERGEFORMAT </w:instrText>
    </w:r>
    <w:r w:rsidRPr="00A40622">
      <w:fldChar w:fldCharType="separate"/>
    </w:r>
    <w:r w:rsidRPr="00A40622">
      <w:t>i</w:t>
    </w:r>
    <w:r w:rsidRPr="00A40622">
      <w:rPr>
        <w:rStyle w:val="PageNumber"/>
        <w:b/>
        <w:noProof/>
        <w:color w:val="DA291C"/>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895A" w14:textId="17A411A6" w:rsidR="00F17194" w:rsidRPr="00AE2143" w:rsidRDefault="00AE2143" w:rsidP="00AE2143">
    <w:pPr>
      <w:pStyle w:val="Footer"/>
    </w:pPr>
    <w:r w:rsidRPr="00967D7C">
      <w:t>Abt Associates Inc.</w:t>
    </w:r>
    <w:r w:rsidRPr="0066134E">
      <w:tab/>
    </w:r>
    <w:r w:rsidRPr="00AF5EEE">
      <w:rPr>
        <w:rStyle w:val="PageNumber"/>
        <w:b/>
      </w:rP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7C6DF0">
      <w:rPr>
        <w:rStyle w:val="PageNumber"/>
        <w:b/>
        <w:color w:val="ED7D31" w:themeColor="accent2"/>
      </w:rPr>
      <w:fldChar w:fldCharType="begin"/>
    </w:r>
    <w:r w:rsidRPr="007C6DF0">
      <w:rPr>
        <w:rStyle w:val="PageNumber"/>
        <w:b/>
        <w:color w:val="ED7D31" w:themeColor="accent2"/>
      </w:rPr>
      <w:instrText xml:space="preserve"> PAGE   \* MERGEFORMAT </w:instrText>
    </w:r>
    <w:r w:rsidRPr="007C6DF0">
      <w:rPr>
        <w:rStyle w:val="PageNumber"/>
        <w:b/>
        <w:color w:val="ED7D31" w:themeColor="accent2"/>
      </w:rPr>
      <w:fldChar w:fldCharType="separate"/>
    </w:r>
    <w:r>
      <w:rPr>
        <w:rStyle w:val="PageNumber"/>
        <w:b/>
        <w:color w:val="ED7D31" w:themeColor="accent2"/>
      </w:rPr>
      <w:t>1</w:t>
    </w:r>
    <w:r w:rsidRPr="007C6DF0">
      <w:rPr>
        <w:rStyle w:val="PageNumber"/>
        <w:b/>
        <w:noProof/>
        <w:color w:val="ED7D31" w:themeColor="accen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C62" w14:textId="51D93A79" w:rsidR="00F17194" w:rsidRPr="00AE2143" w:rsidRDefault="00AE2143" w:rsidP="00AE2143">
    <w:pPr>
      <w:pStyle w:val="Footer"/>
      <w:tabs>
        <w:tab w:val="clear" w:pos="9360"/>
        <w:tab w:val="right" w:pos="12960"/>
      </w:tabs>
    </w:pPr>
    <w:r w:rsidRPr="00967D7C">
      <w:t>Abt Associates Inc.</w:t>
    </w:r>
    <w:r w:rsidRPr="0066134E">
      <w:tab/>
    </w:r>
    <w:r w:rsidRPr="00AF5EEE">
      <w:rPr>
        <w:rStyle w:val="PageNumber"/>
        <w:b/>
      </w:rP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7C6DF0">
      <w:rPr>
        <w:rStyle w:val="PageNumber"/>
        <w:b/>
        <w:color w:val="ED7D31" w:themeColor="accent2"/>
      </w:rPr>
      <w:fldChar w:fldCharType="begin"/>
    </w:r>
    <w:r w:rsidRPr="007C6DF0">
      <w:rPr>
        <w:rStyle w:val="PageNumber"/>
        <w:b/>
        <w:color w:val="ED7D31" w:themeColor="accent2"/>
      </w:rPr>
      <w:instrText xml:space="preserve"> PAGE   \* MERGEFORMAT </w:instrText>
    </w:r>
    <w:r w:rsidRPr="007C6DF0">
      <w:rPr>
        <w:rStyle w:val="PageNumber"/>
        <w:b/>
        <w:color w:val="ED7D31" w:themeColor="accent2"/>
      </w:rPr>
      <w:fldChar w:fldCharType="separate"/>
    </w:r>
    <w:r>
      <w:rPr>
        <w:rStyle w:val="PageNumber"/>
        <w:b/>
        <w:color w:val="ED7D31" w:themeColor="accent2"/>
      </w:rPr>
      <w:t>2</w:t>
    </w:r>
    <w:r w:rsidRPr="007C6DF0">
      <w:rPr>
        <w:rStyle w:val="PageNumber"/>
        <w:b/>
        <w:noProof/>
        <w:color w:val="ED7D31" w:themeColor="accen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93FC" w14:textId="6F250A01" w:rsidR="00F17194" w:rsidRPr="00AE2143" w:rsidRDefault="00AE2143" w:rsidP="00AE2143">
    <w:pPr>
      <w:pStyle w:val="Footer"/>
    </w:pPr>
    <w:r w:rsidRPr="00967D7C">
      <w:t>Abt Associates Inc.</w:t>
    </w:r>
    <w:r w:rsidRPr="0066134E">
      <w:tab/>
    </w:r>
    <w:r w:rsidRPr="00AF5EEE">
      <w:rPr>
        <w:rStyle w:val="PageNumber"/>
        <w:b/>
      </w:rP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7C6DF0">
      <w:rPr>
        <w:rStyle w:val="PageNumber"/>
        <w:b/>
        <w:color w:val="ED7D31" w:themeColor="accent2"/>
      </w:rPr>
      <w:fldChar w:fldCharType="begin"/>
    </w:r>
    <w:r w:rsidRPr="007C6DF0">
      <w:rPr>
        <w:rStyle w:val="PageNumber"/>
        <w:b/>
        <w:color w:val="ED7D31" w:themeColor="accent2"/>
      </w:rPr>
      <w:instrText xml:space="preserve"> PAGE   \* MERGEFORMAT </w:instrText>
    </w:r>
    <w:r w:rsidRPr="007C6DF0">
      <w:rPr>
        <w:rStyle w:val="PageNumber"/>
        <w:b/>
        <w:color w:val="ED7D31" w:themeColor="accent2"/>
      </w:rPr>
      <w:fldChar w:fldCharType="separate"/>
    </w:r>
    <w:r>
      <w:rPr>
        <w:rStyle w:val="PageNumber"/>
        <w:b/>
        <w:color w:val="ED7D31" w:themeColor="accent2"/>
      </w:rPr>
      <w:t>3</w:t>
    </w:r>
    <w:r w:rsidRPr="007C6DF0">
      <w:rPr>
        <w:rStyle w:val="PageNumber"/>
        <w:b/>
        <w:noProof/>
        <w:color w:val="ED7D31" w:themeColor="accen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B737" w14:textId="77777777" w:rsidR="0057499F" w:rsidRDefault="0057499F" w:rsidP="00801B0F">
      <w:pPr>
        <w:spacing w:after="0" w:line="240" w:lineRule="auto"/>
      </w:pPr>
      <w:r>
        <w:separator/>
      </w:r>
    </w:p>
  </w:footnote>
  <w:footnote w:type="continuationSeparator" w:id="0">
    <w:p w14:paraId="47D87E70" w14:textId="77777777" w:rsidR="0057499F" w:rsidRDefault="0057499F" w:rsidP="005D40FE">
      <w:pPr>
        <w:spacing w:after="0" w:line="240" w:lineRule="auto"/>
      </w:pPr>
      <w:r>
        <w:continuationSeparator/>
      </w:r>
    </w:p>
  </w:footnote>
  <w:footnote w:id="1">
    <w:p w14:paraId="3E16F2A4" w14:textId="3929A87C" w:rsidR="00974664" w:rsidRDefault="00974664" w:rsidP="00974664">
      <w:pPr>
        <w:pStyle w:val="FootnoteText"/>
      </w:pPr>
      <w:r>
        <w:rPr>
          <w:rStyle w:val="FootnoteReference"/>
        </w:rPr>
        <w:footnoteRef/>
      </w:r>
      <w:r>
        <w:t xml:space="preserve"> Title II, Sec. 203: </w:t>
      </w:r>
      <w:hyperlink r:id="rId1" w:history="1">
        <w:r>
          <w:rPr>
            <w:rStyle w:val="Hyperlink"/>
          </w:rPr>
          <w:t>Legislation, Regulations and Guidance -- Comprehensive Centers Program (ed.gov)</w:t>
        </w:r>
      </w:hyperlink>
    </w:p>
  </w:footnote>
  <w:footnote w:id="2">
    <w:p w14:paraId="334E3350" w14:textId="4BF46448" w:rsidR="000A137B" w:rsidRDefault="000A137B">
      <w:pPr>
        <w:pStyle w:val="FootnoteText"/>
      </w:pPr>
      <w:r>
        <w:rPr>
          <w:rStyle w:val="FootnoteReference"/>
        </w:rPr>
        <w:footnoteRef/>
      </w:r>
      <w:r>
        <w:t xml:space="preserve"> Because </w:t>
      </w:r>
      <w:r w:rsidR="00893DCD">
        <w:t>administrative</w:t>
      </w:r>
      <w:r>
        <w:t xml:space="preserve"> data are provided directly by ED to the study team, they are not included in this clearance request.</w:t>
      </w:r>
      <w:r w:rsidR="0048513C">
        <w:t xml:space="preserve"> By the time data collection will take place, Annual Service Plans will be available for Years 1-3, Annual Evaluation Reports will be available for Years 1-2, and Joint Needs Sensing Memos will be available for Years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F86F" w14:textId="77777777" w:rsidR="00867D90" w:rsidRDefault="00867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F23A" w14:textId="77777777" w:rsidR="004B7BB5" w:rsidRDefault="004B7BB5" w:rsidP="005F12F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1F2A" w14:textId="77777777" w:rsidR="00867D90" w:rsidRDefault="00867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A1A0" w14:textId="189D3A48" w:rsidR="00F17194" w:rsidRPr="00F17194" w:rsidRDefault="00F17194" w:rsidP="00F17194">
    <w:pPr>
      <w:pStyle w:val="Header"/>
      <w:tabs>
        <w:tab w:val="clear" w:pos="4507"/>
        <w:tab w:val="clear" w:pos="9000"/>
        <w:tab w:val="right" w:pos="9360"/>
      </w:tabs>
    </w:pPr>
    <w:r>
      <w:t>OMB Supporting Statement</w:t>
    </w:r>
    <w:r>
      <w:tab/>
    </w:r>
    <w:r w:rsidRPr="00F17194">
      <w:t>Implementation Evaluation of the Comprehensive Centers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36FC" w14:textId="77777777" w:rsidR="00F17194" w:rsidRPr="00F17194" w:rsidRDefault="00F17194" w:rsidP="00F17194">
    <w:pPr>
      <w:pStyle w:val="Header"/>
      <w:tabs>
        <w:tab w:val="clear" w:pos="4507"/>
        <w:tab w:val="clear" w:pos="9000"/>
        <w:tab w:val="right" w:pos="9360"/>
      </w:tabs>
    </w:pPr>
    <w:r>
      <w:t>OMB Supporting Statement</w:t>
    </w:r>
    <w:r>
      <w:tab/>
    </w:r>
    <w:r w:rsidRPr="00F17194">
      <w:t>Implementation Evaluation of the Comprehensive Centers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8590" w14:textId="48B756A4" w:rsidR="00F17194" w:rsidRPr="00AE2143" w:rsidRDefault="00AE2143" w:rsidP="00AE2143">
    <w:pPr>
      <w:pStyle w:val="Header"/>
      <w:tabs>
        <w:tab w:val="clear" w:pos="4507"/>
        <w:tab w:val="clear" w:pos="9000"/>
        <w:tab w:val="right" w:pos="12960"/>
      </w:tabs>
    </w:pPr>
    <w:r>
      <w:t>OMB Supporting Statement</w:t>
    </w:r>
    <w:r>
      <w:tab/>
    </w:r>
    <w:r w:rsidRPr="00F17194">
      <w:t>Implementation Evaluation of the Comprehensive Centers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8BF9" w14:textId="77777777" w:rsidR="00F17194" w:rsidRPr="00F17194" w:rsidRDefault="00F17194" w:rsidP="00F17194">
    <w:pPr>
      <w:pStyle w:val="Header"/>
      <w:tabs>
        <w:tab w:val="clear" w:pos="4507"/>
        <w:tab w:val="clear" w:pos="9000"/>
        <w:tab w:val="right" w:pos="9360"/>
      </w:tabs>
    </w:pPr>
    <w:r>
      <w:t>OMB Supporting Statement</w:t>
    </w:r>
    <w:r>
      <w:tab/>
    </w:r>
    <w:r w:rsidRPr="00F17194">
      <w:t>Implementation Evaluation of the Comprehensive Centers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C5"/>
    <w:multiLevelType w:val="hybridMultilevel"/>
    <w:tmpl w:val="F1283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F42D8C"/>
    <w:multiLevelType w:val="hybridMultilevel"/>
    <w:tmpl w:val="0C46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5EA0"/>
    <w:multiLevelType w:val="hybridMultilevel"/>
    <w:tmpl w:val="46EA11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19C67A3F"/>
    <w:multiLevelType w:val="hybridMultilevel"/>
    <w:tmpl w:val="540244A8"/>
    <w:lvl w:ilvl="0" w:tplc="503EBD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B5470"/>
    <w:multiLevelType w:val="hybridMultilevel"/>
    <w:tmpl w:val="03088EC8"/>
    <w:lvl w:ilvl="0" w:tplc="C52EEFB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15:restartNumberingAfterBreak="0">
    <w:nsid w:val="2679194B"/>
    <w:multiLevelType w:val="hybridMultilevel"/>
    <w:tmpl w:val="C69E44A6"/>
    <w:lvl w:ilvl="0" w:tplc="0EC4C876">
      <w:start w:val="1"/>
      <w:numFmt w:val="decimal"/>
      <w:pStyle w:val="BulletNumber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C817AE"/>
    <w:multiLevelType w:val="hybridMultilevel"/>
    <w:tmpl w:val="280E1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843231"/>
    <w:multiLevelType w:val="hybridMultilevel"/>
    <w:tmpl w:val="CDC6A2D6"/>
    <w:lvl w:ilvl="0" w:tplc="92EC165E">
      <w:start w:val="1"/>
      <w:numFmt w:val="bullet"/>
      <w:pStyle w:val="TableBullets"/>
      <w:lvlText w:val=""/>
      <w:lvlJc w:val="left"/>
      <w:pPr>
        <w:ind w:left="360" w:hanging="360"/>
      </w:pPr>
      <w:rPr>
        <w:rFonts w:ascii="Symbol" w:hAnsi="Symbol" w:cs="Symbol" w:hint="default"/>
        <w:color w:val="0D0D0D" w:themeColor="text1" w:themeTint="F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A16267"/>
    <w:multiLevelType w:val="hybridMultilevel"/>
    <w:tmpl w:val="10EE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71A5A"/>
    <w:multiLevelType w:val="hybridMultilevel"/>
    <w:tmpl w:val="71F07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82E91"/>
    <w:multiLevelType w:val="hybridMultilevel"/>
    <w:tmpl w:val="AEF8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153770"/>
    <w:multiLevelType w:val="multilevel"/>
    <w:tmpl w:val="A1A25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245E82"/>
    <w:multiLevelType w:val="hybridMultilevel"/>
    <w:tmpl w:val="AB9AA6BC"/>
    <w:lvl w:ilvl="0" w:tplc="0EC4D408">
      <w:start w:val="1"/>
      <w:numFmt w:val="bullet"/>
      <w:lvlText w:val=""/>
      <w:lvlJc w:val="left"/>
      <w:pPr>
        <w:ind w:left="720" w:hanging="360"/>
      </w:pPr>
      <w:rPr>
        <w:rFonts w:ascii="Symbol" w:hAnsi="Symbol" w:cs="Symbol" w:hint="default"/>
        <w:color w:val="0D0D0D" w:themeColor="text1" w:themeTint="F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E0445"/>
    <w:multiLevelType w:val="hybridMultilevel"/>
    <w:tmpl w:val="10EE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B25EE"/>
    <w:multiLevelType w:val="hybridMultilevel"/>
    <w:tmpl w:val="F5D48A54"/>
    <w:lvl w:ilvl="0" w:tplc="A524EB28">
      <w:start w:val="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15:restartNumberingAfterBreak="0">
    <w:nsid w:val="74B76AA4"/>
    <w:multiLevelType w:val="hybridMultilevel"/>
    <w:tmpl w:val="35600F2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63DA6"/>
    <w:multiLevelType w:val="singleLevel"/>
    <w:tmpl w:val="702240F4"/>
    <w:lvl w:ilvl="0">
      <w:start w:val="1"/>
      <w:numFmt w:val="bullet"/>
      <w:pStyle w:val="Bullets"/>
      <w:lvlText w:val=""/>
      <w:lvlJc w:val="left"/>
      <w:pPr>
        <w:ind w:left="360" w:hanging="360"/>
      </w:pPr>
      <w:rPr>
        <w:rFonts w:ascii="Symbol" w:hAnsi="Symbol" w:cs="Symbol" w:hint="default"/>
        <w:color w:val="0D0D0D" w:themeColor="text1" w:themeTint="F2"/>
        <w:sz w:val="22"/>
      </w:rPr>
    </w:lvl>
  </w:abstractNum>
  <w:abstractNum w:abstractNumId="19" w15:restartNumberingAfterBreak="0">
    <w:nsid w:val="7FCF753D"/>
    <w:multiLevelType w:val="hybridMultilevel"/>
    <w:tmpl w:val="A8CC1DF4"/>
    <w:lvl w:ilvl="0" w:tplc="7A70A8DA">
      <w:start w:val="1"/>
      <w:numFmt w:val="bullet"/>
      <w:pStyle w:val="Bullet2"/>
      <w:lvlText w:val=""/>
      <w:lvlJc w:val="left"/>
      <w:pPr>
        <w:ind w:left="720" w:hanging="360"/>
      </w:pPr>
      <w:rPr>
        <w:rFonts w:ascii="Symbol" w:hAnsi="Symbol" w:cs="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9"/>
  </w:num>
  <w:num w:numId="4">
    <w:abstractNumId w:val="8"/>
  </w:num>
  <w:num w:numId="5">
    <w:abstractNumId w:val="10"/>
  </w:num>
  <w:num w:numId="6">
    <w:abstractNumId w:val="6"/>
  </w:num>
  <w:num w:numId="7">
    <w:abstractNumId w:val="18"/>
  </w:num>
  <w:num w:numId="8">
    <w:abstractNumId w:val="4"/>
  </w:num>
  <w:num w:numId="9">
    <w:abstractNumId w:val="9"/>
  </w:num>
  <w:num w:numId="10">
    <w:abstractNumId w:val="7"/>
  </w:num>
  <w:num w:numId="11">
    <w:abstractNumId w:val="3"/>
  </w:num>
  <w:num w:numId="12">
    <w:abstractNumId w:val="14"/>
  </w:num>
  <w:num w:numId="13">
    <w:abstractNumId w:val="11"/>
  </w:num>
  <w:num w:numId="14">
    <w:abstractNumId w:val="0"/>
  </w:num>
  <w:num w:numId="15">
    <w:abstractNumId w:val="2"/>
  </w:num>
  <w:num w:numId="16">
    <w:abstractNumId w:val="1"/>
  </w:num>
  <w:num w:numId="17">
    <w:abstractNumId w:val="15"/>
  </w:num>
  <w:num w:numId="18">
    <w:abstractNumId w:val="17"/>
  </w:num>
  <w:num w:numId="19">
    <w:abstractNumId w:val="13"/>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FE"/>
    <w:rsid w:val="0000772B"/>
    <w:rsid w:val="00012B47"/>
    <w:rsid w:val="00014E3A"/>
    <w:rsid w:val="00020A75"/>
    <w:rsid w:val="00020AE0"/>
    <w:rsid w:val="00021599"/>
    <w:rsid w:val="000222E0"/>
    <w:rsid w:val="00023E9D"/>
    <w:rsid w:val="0002673C"/>
    <w:rsid w:val="00032B87"/>
    <w:rsid w:val="00033303"/>
    <w:rsid w:val="0003341D"/>
    <w:rsid w:val="00033DC0"/>
    <w:rsid w:val="0003448E"/>
    <w:rsid w:val="00035DE1"/>
    <w:rsid w:val="00041CD0"/>
    <w:rsid w:val="000461FD"/>
    <w:rsid w:val="00052A97"/>
    <w:rsid w:val="00066921"/>
    <w:rsid w:val="000841CD"/>
    <w:rsid w:val="00087FEB"/>
    <w:rsid w:val="00093970"/>
    <w:rsid w:val="0009508B"/>
    <w:rsid w:val="00096840"/>
    <w:rsid w:val="00096AF0"/>
    <w:rsid w:val="000A0F36"/>
    <w:rsid w:val="000A137B"/>
    <w:rsid w:val="000A58C7"/>
    <w:rsid w:val="000A622D"/>
    <w:rsid w:val="000A6396"/>
    <w:rsid w:val="000B1A3D"/>
    <w:rsid w:val="000B1AB9"/>
    <w:rsid w:val="000B1E68"/>
    <w:rsid w:val="000B3873"/>
    <w:rsid w:val="000B622B"/>
    <w:rsid w:val="000B6BDB"/>
    <w:rsid w:val="000C0427"/>
    <w:rsid w:val="000D3321"/>
    <w:rsid w:val="000D41BC"/>
    <w:rsid w:val="000D4C56"/>
    <w:rsid w:val="000D51F8"/>
    <w:rsid w:val="000D5357"/>
    <w:rsid w:val="000D75A0"/>
    <w:rsid w:val="000E0400"/>
    <w:rsid w:val="000E247C"/>
    <w:rsid w:val="000E29B4"/>
    <w:rsid w:val="000E4E6F"/>
    <w:rsid w:val="000F403A"/>
    <w:rsid w:val="000F5341"/>
    <w:rsid w:val="000F7B91"/>
    <w:rsid w:val="00100C47"/>
    <w:rsid w:val="00100D01"/>
    <w:rsid w:val="00102534"/>
    <w:rsid w:val="00102EA9"/>
    <w:rsid w:val="001115B3"/>
    <w:rsid w:val="00111781"/>
    <w:rsid w:val="00112667"/>
    <w:rsid w:val="0011529A"/>
    <w:rsid w:val="001157ED"/>
    <w:rsid w:val="00117EF7"/>
    <w:rsid w:val="00124C8D"/>
    <w:rsid w:val="00131223"/>
    <w:rsid w:val="00133000"/>
    <w:rsid w:val="00134D55"/>
    <w:rsid w:val="001460F5"/>
    <w:rsid w:val="00150702"/>
    <w:rsid w:val="00154A5E"/>
    <w:rsid w:val="00160320"/>
    <w:rsid w:val="00161752"/>
    <w:rsid w:val="0018030D"/>
    <w:rsid w:val="001860BF"/>
    <w:rsid w:val="00186990"/>
    <w:rsid w:val="0018706B"/>
    <w:rsid w:val="00187CB5"/>
    <w:rsid w:val="00190FF0"/>
    <w:rsid w:val="001A373C"/>
    <w:rsid w:val="001A41C8"/>
    <w:rsid w:val="001A4CA7"/>
    <w:rsid w:val="001A531F"/>
    <w:rsid w:val="001A79DB"/>
    <w:rsid w:val="001B0A0F"/>
    <w:rsid w:val="001B0F98"/>
    <w:rsid w:val="001B364E"/>
    <w:rsid w:val="001B3F12"/>
    <w:rsid w:val="001B41E7"/>
    <w:rsid w:val="001B45AC"/>
    <w:rsid w:val="001C1E34"/>
    <w:rsid w:val="001C791A"/>
    <w:rsid w:val="001D0AD2"/>
    <w:rsid w:val="001D1F89"/>
    <w:rsid w:val="001D2BC3"/>
    <w:rsid w:val="001E000A"/>
    <w:rsid w:val="001E0B97"/>
    <w:rsid w:val="001E6381"/>
    <w:rsid w:val="001E7DC6"/>
    <w:rsid w:val="001F0A86"/>
    <w:rsid w:val="001F285A"/>
    <w:rsid w:val="001F2E44"/>
    <w:rsid w:val="002032E5"/>
    <w:rsid w:val="00205888"/>
    <w:rsid w:val="0021031E"/>
    <w:rsid w:val="00212542"/>
    <w:rsid w:val="00212B1A"/>
    <w:rsid w:val="00213844"/>
    <w:rsid w:val="00216718"/>
    <w:rsid w:val="00217B41"/>
    <w:rsid w:val="002213CB"/>
    <w:rsid w:val="0022221F"/>
    <w:rsid w:val="00224AB5"/>
    <w:rsid w:val="00225403"/>
    <w:rsid w:val="00226A8F"/>
    <w:rsid w:val="00232567"/>
    <w:rsid w:val="00234730"/>
    <w:rsid w:val="00236C6C"/>
    <w:rsid w:val="002378F1"/>
    <w:rsid w:val="00237DB7"/>
    <w:rsid w:val="0024367C"/>
    <w:rsid w:val="00244518"/>
    <w:rsid w:val="002445C8"/>
    <w:rsid w:val="002456E3"/>
    <w:rsid w:val="00254D35"/>
    <w:rsid w:val="00257B41"/>
    <w:rsid w:val="002606FA"/>
    <w:rsid w:val="00263E58"/>
    <w:rsid w:val="0026637E"/>
    <w:rsid w:val="00267DCB"/>
    <w:rsid w:val="00272112"/>
    <w:rsid w:val="00273076"/>
    <w:rsid w:val="002755F8"/>
    <w:rsid w:val="002762C7"/>
    <w:rsid w:val="0028162D"/>
    <w:rsid w:val="002876FB"/>
    <w:rsid w:val="00292A02"/>
    <w:rsid w:val="00292CE7"/>
    <w:rsid w:val="002A1FC6"/>
    <w:rsid w:val="002A3945"/>
    <w:rsid w:val="002A5EED"/>
    <w:rsid w:val="002B0214"/>
    <w:rsid w:val="002B261C"/>
    <w:rsid w:val="002C40EA"/>
    <w:rsid w:val="002D7BCE"/>
    <w:rsid w:val="002D7CA2"/>
    <w:rsid w:val="002E4F8B"/>
    <w:rsid w:val="002E5463"/>
    <w:rsid w:val="002F0C59"/>
    <w:rsid w:val="002F1C48"/>
    <w:rsid w:val="00303B3F"/>
    <w:rsid w:val="00310FCF"/>
    <w:rsid w:val="0031215E"/>
    <w:rsid w:val="0031302F"/>
    <w:rsid w:val="00313B52"/>
    <w:rsid w:val="003145F8"/>
    <w:rsid w:val="0032043A"/>
    <w:rsid w:val="003214CC"/>
    <w:rsid w:val="00322F10"/>
    <w:rsid w:val="00327EFC"/>
    <w:rsid w:val="00331834"/>
    <w:rsid w:val="00331D52"/>
    <w:rsid w:val="0033325B"/>
    <w:rsid w:val="003335A4"/>
    <w:rsid w:val="00333F0E"/>
    <w:rsid w:val="00335E8E"/>
    <w:rsid w:val="003428B2"/>
    <w:rsid w:val="00345818"/>
    <w:rsid w:val="00350F33"/>
    <w:rsid w:val="00352AF0"/>
    <w:rsid w:val="00355F07"/>
    <w:rsid w:val="003606E2"/>
    <w:rsid w:val="00370E39"/>
    <w:rsid w:val="0037453D"/>
    <w:rsid w:val="00375443"/>
    <w:rsid w:val="00375C7C"/>
    <w:rsid w:val="003773DD"/>
    <w:rsid w:val="00381387"/>
    <w:rsid w:val="00383FD4"/>
    <w:rsid w:val="00384D9B"/>
    <w:rsid w:val="0038515C"/>
    <w:rsid w:val="0039262C"/>
    <w:rsid w:val="0039632D"/>
    <w:rsid w:val="003A467A"/>
    <w:rsid w:val="003A71A9"/>
    <w:rsid w:val="003A7220"/>
    <w:rsid w:val="003B10D8"/>
    <w:rsid w:val="003B5C96"/>
    <w:rsid w:val="003B6F3A"/>
    <w:rsid w:val="003B7122"/>
    <w:rsid w:val="003D457B"/>
    <w:rsid w:val="003D5388"/>
    <w:rsid w:val="003E00D6"/>
    <w:rsid w:val="003E4F6A"/>
    <w:rsid w:val="003E703C"/>
    <w:rsid w:val="003F21A6"/>
    <w:rsid w:val="003F25DA"/>
    <w:rsid w:val="0040049E"/>
    <w:rsid w:val="00404169"/>
    <w:rsid w:val="0040541B"/>
    <w:rsid w:val="00410402"/>
    <w:rsid w:val="00412DD5"/>
    <w:rsid w:val="00413237"/>
    <w:rsid w:val="00414512"/>
    <w:rsid w:val="00415104"/>
    <w:rsid w:val="0042581F"/>
    <w:rsid w:val="004276C2"/>
    <w:rsid w:val="00434BEB"/>
    <w:rsid w:val="00434C2D"/>
    <w:rsid w:val="00440AE1"/>
    <w:rsid w:val="00446681"/>
    <w:rsid w:val="00446B8A"/>
    <w:rsid w:val="00450179"/>
    <w:rsid w:val="00456D97"/>
    <w:rsid w:val="00457C7E"/>
    <w:rsid w:val="004656CB"/>
    <w:rsid w:val="004667E4"/>
    <w:rsid w:val="004717CA"/>
    <w:rsid w:val="004739A7"/>
    <w:rsid w:val="004800F1"/>
    <w:rsid w:val="0048513C"/>
    <w:rsid w:val="00486735"/>
    <w:rsid w:val="004906FB"/>
    <w:rsid w:val="00490D76"/>
    <w:rsid w:val="0049371C"/>
    <w:rsid w:val="00493C35"/>
    <w:rsid w:val="00494455"/>
    <w:rsid w:val="004A2037"/>
    <w:rsid w:val="004A4BC3"/>
    <w:rsid w:val="004B13DA"/>
    <w:rsid w:val="004B4E74"/>
    <w:rsid w:val="004B7BB5"/>
    <w:rsid w:val="004C466A"/>
    <w:rsid w:val="004D4EEB"/>
    <w:rsid w:val="004E0BA7"/>
    <w:rsid w:val="004E0BDB"/>
    <w:rsid w:val="004E3E95"/>
    <w:rsid w:val="004E543E"/>
    <w:rsid w:val="004E5EC5"/>
    <w:rsid w:val="004E6593"/>
    <w:rsid w:val="004E7FE4"/>
    <w:rsid w:val="004F17D5"/>
    <w:rsid w:val="004F3AAB"/>
    <w:rsid w:val="004F49FD"/>
    <w:rsid w:val="004F6C97"/>
    <w:rsid w:val="00501C43"/>
    <w:rsid w:val="00503288"/>
    <w:rsid w:val="00504552"/>
    <w:rsid w:val="005118D5"/>
    <w:rsid w:val="0051532E"/>
    <w:rsid w:val="00516D68"/>
    <w:rsid w:val="00521DF4"/>
    <w:rsid w:val="00522021"/>
    <w:rsid w:val="00523F67"/>
    <w:rsid w:val="005249D6"/>
    <w:rsid w:val="00532118"/>
    <w:rsid w:val="00532FA2"/>
    <w:rsid w:val="0054177F"/>
    <w:rsid w:val="00545304"/>
    <w:rsid w:val="00545C0F"/>
    <w:rsid w:val="005518F5"/>
    <w:rsid w:val="00554B31"/>
    <w:rsid w:val="00554B80"/>
    <w:rsid w:val="00555124"/>
    <w:rsid w:val="00556479"/>
    <w:rsid w:val="005566C0"/>
    <w:rsid w:val="00560228"/>
    <w:rsid w:val="00560ED6"/>
    <w:rsid w:val="00561366"/>
    <w:rsid w:val="005616FD"/>
    <w:rsid w:val="00561E20"/>
    <w:rsid w:val="0056391D"/>
    <w:rsid w:val="00564A3E"/>
    <w:rsid w:val="00567334"/>
    <w:rsid w:val="00567E64"/>
    <w:rsid w:val="00573CE7"/>
    <w:rsid w:val="0057499F"/>
    <w:rsid w:val="00576745"/>
    <w:rsid w:val="00576BA9"/>
    <w:rsid w:val="00582632"/>
    <w:rsid w:val="00585D6F"/>
    <w:rsid w:val="00594909"/>
    <w:rsid w:val="005A08DA"/>
    <w:rsid w:val="005A1022"/>
    <w:rsid w:val="005A290F"/>
    <w:rsid w:val="005B25C2"/>
    <w:rsid w:val="005B2A42"/>
    <w:rsid w:val="005B5613"/>
    <w:rsid w:val="005B5878"/>
    <w:rsid w:val="005B79F4"/>
    <w:rsid w:val="005C20D9"/>
    <w:rsid w:val="005C29E8"/>
    <w:rsid w:val="005C7DCA"/>
    <w:rsid w:val="005D173E"/>
    <w:rsid w:val="005D40FE"/>
    <w:rsid w:val="005E2479"/>
    <w:rsid w:val="005E270D"/>
    <w:rsid w:val="005E5195"/>
    <w:rsid w:val="005E7FF3"/>
    <w:rsid w:val="005F0611"/>
    <w:rsid w:val="005F12F1"/>
    <w:rsid w:val="005F5922"/>
    <w:rsid w:val="005F6F7C"/>
    <w:rsid w:val="006073C8"/>
    <w:rsid w:val="00613286"/>
    <w:rsid w:val="00617058"/>
    <w:rsid w:val="00622EE0"/>
    <w:rsid w:val="00624835"/>
    <w:rsid w:val="0062773C"/>
    <w:rsid w:val="006321FB"/>
    <w:rsid w:val="00634747"/>
    <w:rsid w:val="006363D3"/>
    <w:rsid w:val="006377E7"/>
    <w:rsid w:val="00645BA8"/>
    <w:rsid w:val="00650EA2"/>
    <w:rsid w:val="0066066A"/>
    <w:rsid w:val="00661BFC"/>
    <w:rsid w:val="00662C35"/>
    <w:rsid w:val="00663C2A"/>
    <w:rsid w:val="00663FB7"/>
    <w:rsid w:val="00665455"/>
    <w:rsid w:val="00670E6B"/>
    <w:rsid w:val="00673EA2"/>
    <w:rsid w:val="006812BD"/>
    <w:rsid w:val="006821C8"/>
    <w:rsid w:val="00686E49"/>
    <w:rsid w:val="0069319B"/>
    <w:rsid w:val="0069594D"/>
    <w:rsid w:val="006A5290"/>
    <w:rsid w:val="006B011A"/>
    <w:rsid w:val="006B1F9E"/>
    <w:rsid w:val="006B2709"/>
    <w:rsid w:val="006B7868"/>
    <w:rsid w:val="006C1FAE"/>
    <w:rsid w:val="006C2910"/>
    <w:rsid w:val="006C3456"/>
    <w:rsid w:val="006C6BBA"/>
    <w:rsid w:val="006D1902"/>
    <w:rsid w:val="006D43D0"/>
    <w:rsid w:val="006D44D9"/>
    <w:rsid w:val="006D51C7"/>
    <w:rsid w:val="006D7AA4"/>
    <w:rsid w:val="006E1B29"/>
    <w:rsid w:val="006E3221"/>
    <w:rsid w:val="006F48B0"/>
    <w:rsid w:val="006F78E7"/>
    <w:rsid w:val="00703446"/>
    <w:rsid w:val="00705ADC"/>
    <w:rsid w:val="00707C25"/>
    <w:rsid w:val="007118EC"/>
    <w:rsid w:val="007152C8"/>
    <w:rsid w:val="007172C1"/>
    <w:rsid w:val="00721DA5"/>
    <w:rsid w:val="00722CFD"/>
    <w:rsid w:val="00723186"/>
    <w:rsid w:val="00724683"/>
    <w:rsid w:val="00724CA9"/>
    <w:rsid w:val="00724CE1"/>
    <w:rsid w:val="00727644"/>
    <w:rsid w:val="00727AA4"/>
    <w:rsid w:val="00733679"/>
    <w:rsid w:val="00742ED7"/>
    <w:rsid w:val="007444EA"/>
    <w:rsid w:val="00746E97"/>
    <w:rsid w:val="007479B2"/>
    <w:rsid w:val="00750537"/>
    <w:rsid w:val="007602DA"/>
    <w:rsid w:val="00760727"/>
    <w:rsid w:val="007715C2"/>
    <w:rsid w:val="007738D6"/>
    <w:rsid w:val="007744B4"/>
    <w:rsid w:val="00780307"/>
    <w:rsid w:val="00780D78"/>
    <w:rsid w:val="007835D8"/>
    <w:rsid w:val="00784DB9"/>
    <w:rsid w:val="00786338"/>
    <w:rsid w:val="00786F38"/>
    <w:rsid w:val="007917F1"/>
    <w:rsid w:val="00793BA8"/>
    <w:rsid w:val="0079402A"/>
    <w:rsid w:val="007A119F"/>
    <w:rsid w:val="007A23AC"/>
    <w:rsid w:val="007A2DA6"/>
    <w:rsid w:val="007A37F2"/>
    <w:rsid w:val="007A7EFC"/>
    <w:rsid w:val="007C5D32"/>
    <w:rsid w:val="007C70BF"/>
    <w:rsid w:val="007D0708"/>
    <w:rsid w:val="007D3230"/>
    <w:rsid w:val="007D6EC4"/>
    <w:rsid w:val="007D702C"/>
    <w:rsid w:val="007E0002"/>
    <w:rsid w:val="007E09BF"/>
    <w:rsid w:val="007E1F9E"/>
    <w:rsid w:val="007E209E"/>
    <w:rsid w:val="007E6F9E"/>
    <w:rsid w:val="007F3CAE"/>
    <w:rsid w:val="007F406D"/>
    <w:rsid w:val="007F623E"/>
    <w:rsid w:val="00801B0F"/>
    <w:rsid w:val="00806D32"/>
    <w:rsid w:val="00816A75"/>
    <w:rsid w:val="00821A7B"/>
    <w:rsid w:val="00824362"/>
    <w:rsid w:val="00824FA8"/>
    <w:rsid w:val="00830BB7"/>
    <w:rsid w:val="008315F4"/>
    <w:rsid w:val="00832660"/>
    <w:rsid w:val="0083634B"/>
    <w:rsid w:val="00842F65"/>
    <w:rsid w:val="008525AF"/>
    <w:rsid w:val="00857C65"/>
    <w:rsid w:val="00860497"/>
    <w:rsid w:val="0086126C"/>
    <w:rsid w:val="00864C3C"/>
    <w:rsid w:val="0086549B"/>
    <w:rsid w:val="008656D6"/>
    <w:rsid w:val="0086748F"/>
    <w:rsid w:val="00867A48"/>
    <w:rsid w:val="00867D90"/>
    <w:rsid w:val="008713A1"/>
    <w:rsid w:val="00874F96"/>
    <w:rsid w:val="0087560B"/>
    <w:rsid w:val="00875EEB"/>
    <w:rsid w:val="008761F8"/>
    <w:rsid w:val="008807EB"/>
    <w:rsid w:val="00882967"/>
    <w:rsid w:val="00882B2E"/>
    <w:rsid w:val="00890F5E"/>
    <w:rsid w:val="00893DCD"/>
    <w:rsid w:val="00894021"/>
    <w:rsid w:val="0089639A"/>
    <w:rsid w:val="008A114E"/>
    <w:rsid w:val="008A1623"/>
    <w:rsid w:val="008A27F3"/>
    <w:rsid w:val="008A5444"/>
    <w:rsid w:val="008B21BB"/>
    <w:rsid w:val="008B433E"/>
    <w:rsid w:val="008B77A7"/>
    <w:rsid w:val="008B7B1A"/>
    <w:rsid w:val="008C17BB"/>
    <w:rsid w:val="008C1A1A"/>
    <w:rsid w:val="008C4CA2"/>
    <w:rsid w:val="008C50B5"/>
    <w:rsid w:val="008C5E36"/>
    <w:rsid w:val="008C6F64"/>
    <w:rsid w:val="008D1086"/>
    <w:rsid w:val="008D2673"/>
    <w:rsid w:val="008D2A37"/>
    <w:rsid w:val="008D7E8C"/>
    <w:rsid w:val="008E0348"/>
    <w:rsid w:val="008E2541"/>
    <w:rsid w:val="008E4AEF"/>
    <w:rsid w:val="008E7C11"/>
    <w:rsid w:val="008F2D4F"/>
    <w:rsid w:val="008F44B5"/>
    <w:rsid w:val="00905360"/>
    <w:rsid w:val="00905A8A"/>
    <w:rsid w:val="0091031B"/>
    <w:rsid w:val="009118B5"/>
    <w:rsid w:val="00914817"/>
    <w:rsid w:val="009148B3"/>
    <w:rsid w:val="009212AD"/>
    <w:rsid w:val="009220C4"/>
    <w:rsid w:val="00926EB8"/>
    <w:rsid w:val="00927060"/>
    <w:rsid w:val="0093017E"/>
    <w:rsid w:val="009331E5"/>
    <w:rsid w:val="00933AC7"/>
    <w:rsid w:val="00933BA2"/>
    <w:rsid w:val="00940831"/>
    <w:rsid w:val="00942404"/>
    <w:rsid w:val="0094394F"/>
    <w:rsid w:val="00946DEB"/>
    <w:rsid w:val="00947FD0"/>
    <w:rsid w:val="009502B4"/>
    <w:rsid w:val="009541BD"/>
    <w:rsid w:val="00956D29"/>
    <w:rsid w:val="0096215D"/>
    <w:rsid w:val="009627F3"/>
    <w:rsid w:val="009662DD"/>
    <w:rsid w:val="00967DEB"/>
    <w:rsid w:val="00972586"/>
    <w:rsid w:val="00972E85"/>
    <w:rsid w:val="00974310"/>
    <w:rsid w:val="00974664"/>
    <w:rsid w:val="009767F7"/>
    <w:rsid w:val="0097696B"/>
    <w:rsid w:val="00977D2C"/>
    <w:rsid w:val="009824FE"/>
    <w:rsid w:val="0098268A"/>
    <w:rsid w:val="009840CA"/>
    <w:rsid w:val="00984884"/>
    <w:rsid w:val="00987469"/>
    <w:rsid w:val="00992763"/>
    <w:rsid w:val="00993394"/>
    <w:rsid w:val="009A6300"/>
    <w:rsid w:val="009A732B"/>
    <w:rsid w:val="009A7DF5"/>
    <w:rsid w:val="009B11EE"/>
    <w:rsid w:val="009B1548"/>
    <w:rsid w:val="009B474D"/>
    <w:rsid w:val="009B57BF"/>
    <w:rsid w:val="009B6943"/>
    <w:rsid w:val="009B7019"/>
    <w:rsid w:val="009C4D08"/>
    <w:rsid w:val="009C526C"/>
    <w:rsid w:val="009C5C6C"/>
    <w:rsid w:val="009C5EAE"/>
    <w:rsid w:val="009E2195"/>
    <w:rsid w:val="009E34A9"/>
    <w:rsid w:val="009E6366"/>
    <w:rsid w:val="009F2B85"/>
    <w:rsid w:val="009F3CBA"/>
    <w:rsid w:val="009F77A8"/>
    <w:rsid w:val="00A06EF7"/>
    <w:rsid w:val="00A125AC"/>
    <w:rsid w:val="00A14432"/>
    <w:rsid w:val="00A27130"/>
    <w:rsid w:val="00A27372"/>
    <w:rsid w:val="00A303D2"/>
    <w:rsid w:val="00A3710C"/>
    <w:rsid w:val="00A40622"/>
    <w:rsid w:val="00A43B0C"/>
    <w:rsid w:val="00A46DD4"/>
    <w:rsid w:val="00A54298"/>
    <w:rsid w:val="00A54954"/>
    <w:rsid w:val="00A65619"/>
    <w:rsid w:val="00A7111B"/>
    <w:rsid w:val="00A734A7"/>
    <w:rsid w:val="00A74B5A"/>
    <w:rsid w:val="00A76AC2"/>
    <w:rsid w:val="00A776F8"/>
    <w:rsid w:val="00A81743"/>
    <w:rsid w:val="00A84704"/>
    <w:rsid w:val="00A87EC6"/>
    <w:rsid w:val="00A95912"/>
    <w:rsid w:val="00AA0E18"/>
    <w:rsid w:val="00AA2034"/>
    <w:rsid w:val="00AA2AC7"/>
    <w:rsid w:val="00AA4388"/>
    <w:rsid w:val="00AB41C1"/>
    <w:rsid w:val="00AB7179"/>
    <w:rsid w:val="00AC2142"/>
    <w:rsid w:val="00AC69C7"/>
    <w:rsid w:val="00AD2B3B"/>
    <w:rsid w:val="00AD3E16"/>
    <w:rsid w:val="00AD6B07"/>
    <w:rsid w:val="00AD6B6F"/>
    <w:rsid w:val="00AE2143"/>
    <w:rsid w:val="00AE344F"/>
    <w:rsid w:val="00AE3F02"/>
    <w:rsid w:val="00AF0B17"/>
    <w:rsid w:val="00AF2CE4"/>
    <w:rsid w:val="00AF3F88"/>
    <w:rsid w:val="00AF5EEE"/>
    <w:rsid w:val="00AF661C"/>
    <w:rsid w:val="00AF6DCD"/>
    <w:rsid w:val="00B03A29"/>
    <w:rsid w:val="00B07DC3"/>
    <w:rsid w:val="00B113F8"/>
    <w:rsid w:val="00B12401"/>
    <w:rsid w:val="00B126A2"/>
    <w:rsid w:val="00B12C97"/>
    <w:rsid w:val="00B17404"/>
    <w:rsid w:val="00B17768"/>
    <w:rsid w:val="00B21F8D"/>
    <w:rsid w:val="00B22030"/>
    <w:rsid w:val="00B240AC"/>
    <w:rsid w:val="00B2584C"/>
    <w:rsid w:val="00B271B4"/>
    <w:rsid w:val="00B271FB"/>
    <w:rsid w:val="00B27B22"/>
    <w:rsid w:val="00B328DD"/>
    <w:rsid w:val="00B331B9"/>
    <w:rsid w:val="00B33663"/>
    <w:rsid w:val="00B50F51"/>
    <w:rsid w:val="00B52727"/>
    <w:rsid w:val="00B55355"/>
    <w:rsid w:val="00B63BAA"/>
    <w:rsid w:val="00B70666"/>
    <w:rsid w:val="00B72828"/>
    <w:rsid w:val="00B75D0A"/>
    <w:rsid w:val="00B829B8"/>
    <w:rsid w:val="00B92D07"/>
    <w:rsid w:val="00B95CA2"/>
    <w:rsid w:val="00BA6ECC"/>
    <w:rsid w:val="00BB1510"/>
    <w:rsid w:val="00BB1A02"/>
    <w:rsid w:val="00BB4BD7"/>
    <w:rsid w:val="00BC02CB"/>
    <w:rsid w:val="00BC164D"/>
    <w:rsid w:val="00BC35E7"/>
    <w:rsid w:val="00BC54DD"/>
    <w:rsid w:val="00BD0240"/>
    <w:rsid w:val="00BD5785"/>
    <w:rsid w:val="00BD62EE"/>
    <w:rsid w:val="00BE7088"/>
    <w:rsid w:val="00BF0891"/>
    <w:rsid w:val="00BF2F1E"/>
    <w:rsid w:val="00C022A2"/>
    <w:rsid w:val="00C05C29"/>
    <w:rsid w:val="00C07247"/>
    <w:rsid w:val="00C10FD9"/>
    <w:rsid w:val="00C131D0"/>
    <w:rsid w:val="00C1326B"/>
    <w:rsid w:val="00C17675"/>
    <w:rsid w:val="00C214CD"/>
    <w:rsid w:val="00C22176"/>
    <w:rsid w:val="00C25D8A"/>
    <w:rsid w:val="00C30954"/>
    <w:rsid w:val="00C31242"/>
    <w:rsid w:val="00C3158A"/>
    <w:rsid w:val="00C35A67"/>
    <w:rsid w:val="00C41588"/>
    <w:rsid w:val="00C43200"/>
    <w:rsid w:val="00C463A1"/>
    <w:rsid w:val="00C47A88"/>
    <w:rsid w:val="00C54A89"/>
    <w:rsid w:val="00C558C8"/>
    <w:rsid w:val="00C57690"/>
    <w:rsid w:val="00C73289"/>
    <w:rsid w:val="00C733BF"/>
    <w:rsid w:val="00C737B2"/>
    <w:rsid w:val="00C740C1"/>
    <w:rsid w:val="00C86A0D"/>
    <w:rsid w:val="00C97310"/>
    <w:rsid w:val="00CA04E6"/>
    <w:rsid w:val="00CA0F01"/>
    <w:rsid w:val="00CA1683"/>
    <w:rsid w:val="00CA4367"/>
    <w:rsid w:val="00CA7784"/>
    <w:rsid w:val="00CA7863"/>
    <w:rsid w:val="00CB13AA"/>
    <w:rsid w:val="00CB1676"/>
    <w:rsid w:val="00CB276A"/>
    <w:rsid w:val="00CB4407"/>
    <w:rsid w:val="00CB459B"/>
    <w:rsid w:val="00CB6B97"/>
    <w:rsid w:val="00CC0292"/>
    <w:rsid w:val="00CC1B49"/>
    <w:rsid w:val="00CC4185"/>
    <w:rsid w:val="00CD0CFB"/>
    <w:rsid w:val="00CD2379"/>
    <w:rsid w:val="00CE13CE"/>
    <w:rsid w:val="00CE50C4"/>
    <w:rsid w:val="00CF2AE2"/>
    <w:rsid w:val="00D01895"/>
    <w:rsid w:val="00D0206C"/>
    <w:rsid w:val="00D054B4"/>
    <w:rsid w:val="00D06195"/>
    <w:rsid w:val="00D06EEB"/>
    <w:rsid w:val="00D073CA"/>
    <w:rsid w:val="00D107F8"/>
    <w:rsid w:val="00D12FBB"/>
    <w:rsid w:val="00D14835"/>
    <w:rsid w:val="00D16235"/>
    <w:rsid w:val="00D201DF"/>
    <w:rsid w:val="00D266AB"/>
    <w:rsid w:val="00D27B5B"/>
    <w:rsid w:val="00D3279E"/>
    <w:rsid w:val="00D329AE"/>
    <w:rsid w:val="00D32BCD"/>
    <w:rsid w:val="00D3565D"/>
    <w:rsid w:val="00D50F70"/>
    <w:rsid w:val="00D6199B"/>
    <w:rsid w:val="00D70035"/>
    <w:rsid w:val="00D74118"/>
    <w:rsid w:val="00D75964"/>
    <w:rsid w:val="00D83822"/>
    <w:rsid w:val="00D85B58"/>
    <w:rsid w:val="00D948FC"/>
    <w:rsid w:val="00D9620D"/>
    <w:rsid w:val="00DB11D9"/>
    <w:rsid w:val="00DD0C1A"/>
    <w:rsid w:val="00DD4D0C"/>
    <w:rsid w:val="00DE355D"/>
    <w:rsid w:val="00DE6D83"/>
    <w:rsid w:val="00DF13F7"/>
    <w:rsid w:val="00DF4626"/>
    <w:rsid w:val="00DF6DF6"/>
    <w:rsid w:val="00E17C75"/>
    <w:rsid w:val="00E25D21"/>
    <w:rsid w:val="00E26021"/>
    <w:rsid w:val="00E269C8"/>
    <w:rsid w:val="00E2778B"/>
    <w:rsid w:val="00E32AB6"/>
    <w:rsid w:val="00E33BCA"/>
    <w:rsid w:val="00E41124"/>
    <w:rsid w:val="00E432CC"/>
    <w:rsid w:val="00E46E30"/>
    <w:rsid w:val="00E500F9"/>
    <w:rsid w:val="00E529C1"/>
    <w:rsid w:val="00E634BE"/>
    <w:rsid w:val="00E63CBB"/>
    <w:rsid w:val="00E64B33"/>
    <w:rsid w:val="00E64D28"/>
    <w:rsid w:val="00E66C31"/>
    <w:rsid w:val="00E66FA1"/>
    <w:rsid w:val="00E753D5"/>
    <w:rsid w:val="00E82143"/>
    <w:rsid w:val="00E860F1"/>
    <w:rsid w:val="00E86F5C"/>
    <w:rsid w:val="00E87EA8"/>
    <w:rsid w:val="00E93DB6"/>
    <w:rsid w:val="00E94875"/>
    <w:rsid w:val="00EA1746"/>
    <w:rsid w:val="00EA5E07"/>
    <w:rsid w:val="00EA75D1"/>
    <w:rsid w:val="00EB1D0F"/>
    <w:rsid w:val="00EB5470"/>
    <w:rsid w:val="00EC18B1"/>
    <w:rsid w:val="00EC5BA5"/>
    <w:rsid w:val="00ED0677"/>
    <w:rsid w:val="00ED1A3D"/>
    <w:rsid w:val="00ED3BD1"/>
    <w:rsid w:val="00EE031F"/>
    <w:rsid w:val="00EE2131"/>
    <w:rsid w:val="00EE7301"/>
    <w:rsid w:val="00EF0082"/>
    <w:rsid w:val="00EF5A21"/>
    <w:rsid w:val="00F00F6C"/>
    <w:rsid w:val="00F04DA2"/>
    <w:rsid w:val="00F066E8"/>
    <w:rsid w:val="00F17194"/>
    <w:rsid w:val="00F216B4"/>
    <w:rsid w:val="00F23878"/>
    <w:rsid w:val="00F248C9"/>
    <w:rsid w:val="00F24E53"/>
    <w:rsid w:val="00F26FF8"/>
    <w:rsid w:val="00F30DD9"/>
    <w:rsid w:val="00F32C54"/>
    <w:rsid w:val="00F33266"/>
    <w:rsid w:val="00F335E3"/>
    <w:rsid w:val="00F36744"/>
    <w:rsid w:val="00F40EC9"/>
    <w:rsid w:val="00F417DF"/>
    <w:rsid w:val="00F43CED"/>
    <w:rsid w:val="00F46A37"/>
    <w:rsid w:val="00F5501B"/>
    <w:rsid w:val="00F557F1"/>
    <w:rsid w:val="00F60204"/>
    <w:rsid w:val="00F619BC"/>
    <w:rsid w:val="00F61B16"/>
    <w:rsid w:val="00F65136"/>
    <w:rsid w:val="00F67277"/>
    <w:rsid w:val="00F72277"/>
    <w:rsid w:val="00F84119"/>
    <w:rsid w:val="00F84221"/>
    <w:rsid w:val="00F858C3"/>
    <w:rsid w:val="00F86711"/>
    <w:rsid w:val="00F87357"/>
    <w:rsid w:val="00F93A6D"/>
    <w:rsid w:val="00F9461E"/>
    <w:rsid w:val="00F95A90"/>
    <w:rsid w:val="00FA1E1E"/>
    <w:rsid w:val="00FA3F38"/>
    <w:rsid w:val="00FA56F9"/>
    <w:rsid w:val="00FB1368"/>
    <w:rsid w:val="00FB4A8A"/>
    <w:rsid w:val="00FB633A"/>
    <w:rsid w:val="00FC26CB"/>
    <w:rsid w:val="00FC4413"/>
    <w:rsid w:val="00FC6E48"/>
    <w:rsid w:val="00FC7E22"/>
    <w:rsid w:val="00FD0369"/>
    <w:rsid w:val="00FD626B"/>
    <w:rsid w:val="00FE2CB9"/>
    <w:rsid w:val="00FE42CC"/>
    <w:rsid w:val="00FE7465"/>
    <w:rsid w:val="00FF50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F8985F6"/>
  <w15:chartTrackingRefBased/>
  <w15:docId w15:val="{91683EAF-B957-4774-9E93-A583AE6B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B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5D40FE"/>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D40FE"/>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322F10"/>
    <w:pPr>
      <w:keepNext/>
      <w:spacing w:before="60" w:after="120"/>
      <w:ind w:left="720" w:hanging="720"/>
      <w:outlineLvl w:val="2"/>
    </w:pPr>
    <w:rPr>
      <w:rFonts w:ascii="Arial" w:hAnsi="Arial"/>
      <w:b/>
      <w:i/>
      <w:color w:val="000000" w:themeColor="text1"/>
      <w:sz w:val="20"/>
    </w:rPr>
  </w:style>
  <w:style w:type="paragraph" w:styleId="Heading4">
    <w:name w:val="heading 4"/>
    <w:basedOn w:val="Normal"/>
    <w:next w:val="BodyText"/>
    <w:link w:val="Heading4Char"/>
    <w:qFormat/>
    <w:rsid w:val="005D40FE"/>
    <w:pPr>
      <w:keepNext/>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5D40FE"/>
    <w:pPr>
      <w:keepNext/>
      <w:keepLines/>
      <w:spacing w:before="60" w:after="120"/>
      <w:outlineLvl w:val="4"/>
    </w:pPr>
    <w:rPr>
      <w:b/>
      <w:i/>
      <w:color w:val="DA291C"/>
    </w:rPr>
  </w:style>
  <w:style w:type="paragraph" w:styleId="Heading6">
    <w:name w:val="heading 6"/>
    <w:basedOn w:val="Normal"/>
    <w:next w:val="Normal"/>
    <w:link w:val="Heading6Char"/>
    <w:uiPriority w:val="99"/>
    <w:qFormat/>
    <w:rsid w:val="005D40FE"/>
    <w:pPr>
      <w:spacing w:before="60" w:after="60"/>
      <w:outlineLvl w:val="5"/>
    </w:pPr>
    <w:rPr>
      <w:b/>
      <w:bCs/>
      <w:szCs w:val="22"/>
    </w:rPr>
  </w:style>
  <w:style w:type="paragraph" w:styleId="Heading7">
    <w:name w:val="heading 7"/>
    <w:basedOn w:val="Normal"/>
    <w:next w:val="Normal"/>
    <w:link w:val="Heading7Char"/>
    <w:uiPriority w:val="99"/>
    <w:qFormat/>
    <w:rsid w:val="005D40FE"/>
    <w:pPr>
      <w:spacing w:before="240" w:after="60"/>
      <w:outlineLvl w:val="6"/>
    </w:pPr>
    <w:rPr>
      <w:sz w:val="24"/>
      <w:szCs w:val="24"/>
    </w:rPr>
  </w:style>
  <w:style w:type="paragraph" w:styleId="Heading8">
    <w:name w:val="heading 8"/>
    <w:basedOn w:val="Normal"/>
    <w:next w:val="Normal"/>
    <w:link w:val="Heading8Char"/>
    <w:uiPriority w:val="99"/>
    <w:qFormat/>
    <w:rsid w:val="005D40FE"/>
    <w:pPr>
      <w:spacing w:before="240" w:after="60"/>
      <w:outlineLvl w:val="7"/>
    </w:pPr>
    <w:rPr>
      <w:i/>
      <w:iCs/>
      <w:sz w:val="24"/>
      <w:szCs w:val="24"/>
    </w:rPr>
  </w:style>
  <w:style w:type="paragraph" w:styleId="Heading9">
    <w:name w:val="heading 9"/>
    <w:basedOn w:val="Normal"/>
    <w:next w:val="Normal"/>
    <w:link w:val="Heading9Char"/>
    <w:uiPriority w:val="99"/>
    <w:qFormat/>
    <w:rsid w:val="005D40FE"/>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0FE"/>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D40FE"/>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322F10"/>
    <w:rPr>
      <w:rFonts w:ascii="Arial" w:eastAsia="Times New Roman" w:hAnsi="Arial" w:cs="Times New Roman"/>
      <w:b/>
      <w:i/>
      <w:color w:val="000000" w:themeColor="text1"/>
      <w:sz w:val="20"/>
      <w:szCs w:val="20"/>
    </w:rPr>
  </w:style>
  <w:style w:type="character" w:customStyle="1" w:styleId="Heading4Char">
    <w:name w:val="Heading 4 Char"/>
    <w:basedOn w:val="DefaultParagraphFont"/>
    <w:link w:val="Heading4"/>
    <w:rsid w:val="005D40FE"/>
    <w:rPr>
      <w:rFonts w:ascii="Arial" w:eastAsia="Times New Roman" w:hAnsi="Arial" w:cs="Times New Roman"/>
      <w:b/>
      <w:color w:val="DA291C"/>
      <w:sz w:val="20"/>
      <w:szCs w:val="20"/>
    </w:rPr>
  </w:style>
  <w:style w:type="character" w:customStyle="1" w:styleId="Heading5Char">
    <w:name w:val="Heading 5 Char"/>
    <w:basedOn w:val="DefaultParagraphFont"/>
    <w:link w:val="Heading5"/>
    <w:uiPriority w:val="99"/>
    <w:rsid w:val="005D40FE"/>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9"/>
    <w:rsid w:val="005D40F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5D40F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D40F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40FE"/>
    <w:rPr>
      <w:rFonts w:ascii="Arial" w:eastAsia="Times New Roman" w:hAnsi="Arial" w:cs="Arial"/>
    </w:rPr>
  </w:style>
  <w:style w:type="paragraph" w:styleId="Footer">
    <w:name w:val="footer"/>
    <w:basedOn w:val="Normal"/>
    <w:link w:val="FooterChar"/>
    <w:rsid w:val="00A40622"/>
    <w:pPr>
      <w:pBdr>
        <w:top w:val="single" w:sz="12" w:space="1" w:color="898D8D"/>
      </w:pBdr>
      <w:tabs>
        <w:tab w:val="right" w:pos="9360"/>
      </w:tabs>
      <w:spacing w:after="0" w:line="240" w:lineRule="auto"/>
    </w:pPr>
    <w:rPr>
      <w:rFonts w:ascii="Arial Bold" w:hAnsi="Arial Bold"/>
      <w:b/>
      <w:color w:val="DA291C"/>
      <w:sz w:val="18"/>
      <w:szCs w:val="24"/>
    </w:rPr>
  </w:style>
  <w:style w:type="character" w:customStyle="1" w:styleId="FooterChar">
    <w:name w:val="Footer Char"/>
    <w:basedOn w:val="DefaultParagraphFont"/>
    <w:link w:val="Footer"/>
    <w:rsid w:val="00A40622"/>
    <w:rPr>
      <w:rFonts w:ascii="Arial Bold" w:eastAsia="Times New Roman" w:hAnsi="Arial Bold" w:cs="Times New Roman"/>
      <w:b/>
      <w:color w:val="DA291C"/>
      <w:sz w:val="18"/>
      <w:szCs w:val="24"/>
    </w:rPr>
  </w:style>
  <w:style w:type="paragraph" w:customStyle="1" w:styleId="ExhibitRowHeader">
    <w:name w:val="Exhibit Row Header"/>
    <w:basedOn w:val="BodyText"/>
    <w:uiPriority w:val="99"/>
    <w:rsid w:val="005D40FE"/>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4E6593"/>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4E6593"/>
    <w:rPr>
      <w:rFonts w:ascii="Times New Roman" w:eastAsia="Times New Roman" w:hAnsi="Times New Roman" w:cs="Times New Roman"/>
      <w:szCs w:val="20"/>
    </w:rPr>
  </w:style>
  <w:style w:type="character" w:styleId="PageNumber">
    <w:name w:val="page number"/>
    <w:rsid w:val="005D40FE"/>
    <w:rPr>
      <w:rFonts w:ascii="Arial" w:hAnsi="Arial" w:cs="Times New Roman"/>
      <w:b/>
      <w:color w:val="595959"/>
      <w:sz w:val="18"/>
      <w:vertAlign w:val="baseline"/>
    </w:rPr>
  </w:style>
  <w:style w:type="paragraph" w:customStyle="1" w:styleId="BulletsLast">
    <w:name w:val="BulletsLast"/>
    <w:basedOn w:val="Bullets"/>
    <w:uiPriority w:val="99"/>
    <w:rsid w:val="005D40FE"/>
    <w:pPr>
      <w:spacing w:after="180"/>
    </w:pPr>
  </w:style>
  <w:style w:type="paragraph" w:customStyle="1" w:styleId="Bullets">
    <w:name w:val="Bullets"/>
    <w:basedOn w:val="BodyText"/>
    <w:link w:val="BulletsChar"/>
    <w:rsid w:val="0094394F"/>
    <w:pPr>
      <w:numPr>
        <w:numId w:val="7"/>
      </w:numPr>
      <w:spacing w:after="120" w:line="240" w:lineRule="auto"/>
      <w:ind w:left="720"/>
    </w:pPr>
    <w:rPr>
      <w:color w:val="000000" w:themeColor="text1"/>
      <w:lang w:val="en"/>
    </w:rPr>
  </w:style>
  <w:style w:type="paragraph" w:customStyle="1" w:styleId="RefNumbers">
    <w:name w:val="Ref Numbers"/>
    <w:basedOn w:val="BodyText"/>
    <w:uiPriority w:val="99"/>
    <w:rsid w:val="005D40FE"/>
    <w:pPr>
      <w:numPr>
        <w:numId w:val="2"/>
      </w:numPr>
      <w:spacing w:after="240"/>
    </w:pPr>
  </w:style>
  <w:style w:type="paragraph" w:styleId="Header">
    <w:name w:val="header"/>
    <w:basedOn w:val="Normal"/>
    <w:link w:val="HeaderChar"/>
    <w:uiPriority w:val="99"/>
    <w:rsid w:val="005D40FE"/>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D40FE"/>
    <w:rPr>
      <w:rFonts w:ascii="Arial" w:eastAsia="Times New Roman" w:hAnsi="Arial" w:cs="Times New Roman"/>
      <w:b/>
      <w:color w:val="595959"/>
      <w:sz w:val="18"/>
      <w:szCs w:val="20"/>
    </w:rPr>
  </w:style>
  <w:style w:type="paragraph" w:styleId="TOC1">
    <w:name w:val="toc 1"/>
    <w:basedOn w:val="BodyText"/>
    <w:next w:val="BodyText"/>
    <w:uiPriority w:val="39"/>
    <w:rsid w:val="00D201DF"/>
    <w:pPr>
      <w:tabs>
        <w:tab w:val="right" w:leader="dot" w:pos="9000"/>
      </w:tabs>
      <w:spacing w:before="240"/>
    </w:pPr>
    <w:rPr>
      <w:b/>
      <w:noProof/>
    </w:rPr>
  </w:style>
  <w:style w:type="character" w:styleId="CommentReference">
    <w:name w:val="annotation reference"/>
    <w:uiPriority w:val="99"/>
    <w:rsid w:val="005D40FE"/>
    <w:rPr>
      <w:rFonts w:cs="Times New Roman"/>
      <w:sz w:val="16"/>
    </w:rPr>
  </w:style>
  <w:style w:type="paragraph" w:styleId="TOC2">
    <w:name w:val="toc 2"/>
    <w:basedOn w:val="BodyText"/>
    <w:next w:val="BodyText"/>
    <w:uiPriority w:val="39"/>
    <w:rsid w:val="00D201DF"/>
    <w:pPr>
      <w:tabs>
        <w:tab w:val="left" w:pos="1170"/>
        <w:tab w:val="right" w:leader="dot" w:pos="8990"/>
      </w:tabs>
      <w:spacing w:after="40"/>
      <w:ind w:left="576"/>
    </w:pPr>
    <w:rPr>
      <w:rFonts w:asciiTheme="minorHAnsi" w:eastAsiaTheme="minorEastAsia" w:hAnsiTheme="minorHAnsi" w:cstheme="minorBidi"/>
      <w:noProof/>
      <w:szCs w:val="22"/>
    </w:rPr>
  </w:style>
  <w:style w:type="paragraph" w:styleId="TOC3">
    <w:name w:val="toc 3"/>
    <w:basedOn w:val="BodyText"/>
    <w:next w:val="BodyText"/>
    <w:uiPriority w:val="39"/>
    <w:rsid w:val="00786F38"/>
    <w:pPr>
      <w:tabs>
        <w:tab w:val="right" w:leader="dot" w:pos="9000"/>
      </w:tabs>
      <w:spacing w:after="0"/>
      <w:ind w:left="1152"/>
    </w:pPr>
    <w:rPr>
      <w:noProof/>
    </w:rPr>
  </w:style>
  <w:style w:type="paragraph" w:styleId="TOC4">
    <w:name w:val="toc 4"/>
    <w:basedOn w:val="BodyText"/>
    <w:next w:val="BodyText"/>
    <w:uiPriority w:val="99"/>
    <w:semiHidden/>
    <w:rsid w:val="005D40FE"/>
    <w:pPr>
      <w:ind w:left="1728"/>
    </w:pPr>
  </w:style>
  <w:style w:type="paragraph" w:styleId="TOC5">
    <w:name w:val="toc 5"/>
    <w:basedOn w:val="Normal"/>
    <w:next w:val="Normal"/>
    <w:autoRedefine/>
    <w:uiPriority w:val="99"/>
    <w:semiHidden/>
    <w:rsid w:val="005D40FE"/>
    <w:pPr>
      <w:ind w:left="960"/>
    </w:pPr>
  </w:style>
  <w:style w:type="paragraph" w:styleId="TOC6">
    <w:name w:val="toc 6"/>
    <w:basedOn w:val="Normal"/>
    <w:next w:val="Normal"/>
    <w:autoRedefine/>
    <w:uiPriority w:val="99"/>
    <w:semiHidden/>
    <w:rsid w:val="005D40FE"/>
    <w:pPr>
      <w:ind w:left="1200"/>
    </w:pPr>
  </w:style>
  <w:style w:type="paragraph" w:styleId="TOC7">
    <w:name w:val="toc 7"/>
    <w:basedOn w:val="Normal"/>
    <w:next w:val="Normal"/>
    <w:autoRedefine/>
    <w:uiPriority w:val="99"/>
    <w:semiHidden/>
    <w:rsid w:val="005D40FE"/>
    <w:pPr>
      <w:ind w:left="1440"/>
    </w:pPr>
  </w:style>
  <w:style w:type="paragraph" w:styleId="TOC8">
    <w:name w:val="toc 8"/>
    <w:basedOn w:val="Normal"/>
    <w:next w:val="Normal"/>
    <w:autoRedefine/>
    <w:uiPriority w:val="99"/>
    <w:semiHidden/>
    <w:rsid w:val="005D40FE"/>
    <w:pPr>
      <w:ind w:left="1680"/>
    </w:pPr>
  </w:style>
  <w:style w:type="paragraph" w:styleId="TOC9">
    <w:name w:val="toc 9"/>
    <w:basedOn w:val="Normal"/>
    <w:next w:val="Normal"/>
    <w:autoRedefine/>
    <w:uiPriority w:val="99"/>
    <w:semiHidden/>
    <w:rsid w:val="005D40FE"/>
    <w:pPr>
      <w:ind w:left="1920"/>
    </w:pPr>
  </w:style>
  <w:style w:type="character" w:styleId="FootnoteReference">
    <w:name w:val="footnote reference"/>
    <w:aliases w:val="*Footnote Reference,*Footnote Reference ALT-R,fr,footnote reference,Diss. Footnote Reference"/>
    <w:uiPriority w:val="99"/>
    <w:qFormat/>
    <w:rsid w:val="005D40FE"/>
    <w:rPr>
      <w:rFonts w:cs="Times New Roman"/>
      <w:vertAlign w:val="superscript"/>
    </w:rPr>
  </w:style>
  <w:style w:type="paragraph" w:customStyle="1" w:styleId="Exhibit">
    <w:name w:val="Exhibit"/>
    <w:basedOn w:val="Normal"/>
    <w:uiPriority w:val="99"/>
    <w:rsid w:val="005D40FE"/>
    <w:pPr>
      <w:spacing w:after="60"/>
    </w:pPr>
    <w:rPr>
      <w:rFonts w:ascii="Arial" w:hAnsi="Arial"/>
      <w:b/>
      <w:sz w:val="20"/>
    </w:rPr>
  </w:style>
  <w:style w:type="paragraph" w:styleId="FootnoteText">
    <w:name w:val="footnote text"/>
    <w:aliases w:val="F1,*Footnote Text,Footnote Text Char Char,fn,ft,figure or table,Footnote Text r,footnote text,Footnote Text2,F"/>
    <w:basedOn w:val="Normal"/>
    <w:link w:val="FootnoteTextChar"/>
    <w:uiPriority w:val="99"/>
    <w:qFormat/>
    <w:rsid w:val="005D40FE"/>
    <w:pPr>
      <w:spacing w:after="120" w:line="240" w:lineRule="auto"/>
      <w:ind w:left="180" w:hanging="180"/>
    </w:pPr>
    <w:rPr>
      <w:sz w:val="20"/>
    </w:rPr>
  </w:style>
  <w:style w:type="character" w:customStyle="1" w:styleId="FootnoteTextChar">
    <w:name w:val="Footnote Text Char"/>
    <w:aliases w:val="F1 Char,*Footnote Text Char,Footnote Text Char Char Char,fn Char,ft Char,figure or table Char,Footnote Text r Char,footnote text Char,Footnote Text2 Char,F Char"/>
    <w:basedOn w:val="DefaultParagraphFont"/>
    <w:link w:val="FootnoteText"/>
    <w:uiPriority w:val="99"/>
    <w:rsid w:val="005D40FE"/>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5D40FE"/>
    <w:pPr>
      <w:ind w:left="220" w:hanging="220"/>
    </w:pPr>
    <w:rPr>
      <w:sz w:val="20"/>
    </w:rPr>
  </w:style>
  <w:style w:type="paragraph" w:styleId="Index2">
    <w:name w:val="index 2"/>
    <w:basedOn w:val="Normal"/>
    <w:next w:val="Normal"/>
    <w:autoRedefine/>
    <w:uiPriority w:val="99"/>
    <w:semiHidden/>
    <w:rsid w:val="005D40FE"/>
    <w:pPr>
      <w:ind w:left="440" w:hanging="220"/>
    </w:pPr>
    <w:rPr>
      <w:sz w:val="20"/>
    </w:rPr>
  </w:style>
  <w:style w:type="paragraph" w:styleId="Index3">
    <w:name w:val="index 3"/>
    <w:basedOn w:val="Normal"/>
    <w:next w:val="Normal"/>
    <w:autoRedefine/>
    <w:uiPriority w:val="99"/>
    <w:semiHidden/>
    <w:rsid w:val="005D40FE"/>
    <w:pPr>
      <w:ind w:left="660" w:hanging="220"/>
    </w:pPr>
    <w:rPr>
      <w:sz w:val="20"/>
    </w:rPr>
  </w:style>
  <w:style w:type="paragraph" w:customStyle="1" w:styleId="Numbers">
    <w:name w:val="Numbers"/>
    <w:basedOn w:val="BodyText"/>
    <w:rsid w:val="005D40FE"/>
    <w:pPr>
      <w:numPr>
        <w:numId w:val="1"/>
      </w:numPr>
    </w:pPr>
  </w:style>
  <w:style w:type="paragraph" w:customStyle="1" w:styleId="BoxText">
    <w:name w:val="Box Text"/>
    <w:basedOn w:val="BodyText"/>
    <w:uiPriority w:val="99"/>
    <w:rsid w:val="005D40FE"/>
    <w:rPr>
      <w:rFonts w:ascii="Arial" w:hAnsi="Arial" w:cs="Arial"/>
      <w:sz w:val="18"/>
    </w:rPr>
  </w:style>
  <w:style w:type="paragraph" w:styleId="CommentText">
    <w:name w:val="annotation text"/>
    <w:basedOn w:val="Normal"/>
    <w:link w:val="CommentTextChar"/>
    <w:uiPriority w:val="99"/>
    <w:rsid w:val="005D40FE"/>
    <w:rPr>
      <w:sz w:val="20"/>
    </w:rPr>
  </w:style>
  <w:style w:type="character" w:customStyle="1" w:styleId="CommentTextChar">
    <w:name w:val="Comment Text Char"/>
    <w:basedOn w:val="DefaultParagraphFont"/>
    <w:link w:val="CommentText"/>
    <w:uiPriority w:val="99"/>
    <w:rsid w:val="005D40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D40FE"/>
    <w:rPr>
      <w:b/>
      <w:bCs/>
    </w:rPr>
  </w:style>
  <w:style w:type="character" w:customStyle="1" w:styleId="CommentSubjectChar">
    <w:name w:val="Comment Subject Char"/>
    <w:basedOn w:val="CommentTextChar"/>
    <w:link w:val="CommentSubject"/>
    <w:uiPriority w:val="99"/>
    <w:semiHidden/>
    <w:rsid w:val="005D40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5D40FE"/>
    <w:rPr>
      <w:rFonts w:ascii="Tahoma" w:hAnsi="Tahoma" w:cs="Tahoma"/>
      <w:sz w:val="16"/>
      <w:szCs w:val="16"/>
    </w:rPr>
  </w:style>
  <w:style w:type="character" w:customStyle="1" w:styleId="BalloonTextChar">
    <w:name w:val="Balloon Text Char"/>
    <w:basedOn w:val="DefaultParagraphFont"/>
    <w:link w:val="BalloonText"/>
    <w:uiPriority w:val="99"/>
    <w:semiHidden/>
    <w:rsid w:val="005D40FE"/>
    <w:rPr>
      <w:rFonts w:ascii="Tahoma" w:eastAsia="Times New Roman" w:hAnsi="Tahoma" w:cs="Tahoma"/>
      <w:sz w:val="16"/>
      <w:szCs w:val="16"/>
    </w:rPr>
  </w:style>
  <w:style w:type="table" w:styleId="TableGrid">
    <w:name w:val="Table Grid"/>
    <w:basedOn w:val="TableNormal"/>
    <w:uiPriority w:val="59"/>
    <w:rsid w:val="005D40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201DF"/>
    <w:rPr>
      <w:rFonts w:ascii="Times New Roman" w:hAnsi="Times New Roman"/>
      <w:color w:val="0000FF"/>
      <w:u w:val="single"/>
    </w:rPr>
  </w:style>
  <w:style w:type="paragraph" w:customStyle="1" w:styleId="TOCHeader">
    <w:name w:val="TOC Header"/>
    <w:basedOn w:val="Normal"/>
    <w:next w:val="BodyText"/>
    <w:uiPriority w:val="99"/>
    <w:rsid w:val="005D40FE"/>
    <w:rPr>
      <w:rFonts w:ascii="Arial" w:hAnsi="Arial"/>
      <w:b/>
      <w:color w:val="898D8D"/>
      <w:sz w:val="24"/>
    </w:rPr>
  </w:style>
  <w:style w:type="paragraph" w:customStyle="1" w:styleId="ReportTitle-TOCPage">
    <w:name w:val="Report Title - TOC Page"/>
    <w:basedOn w:val="Normal"/>
    <w:next w:val="BodyText"/>
    <w:uiPriority w:val="99"/>
    <w:rsid w:val="005D40FE"/>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qFormat/>
    <w:rsid w:val="005D40FE"/>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5D40FE"/>
    <w:pPr>
      <w:tabs>
        <w:tab w:val="center" w:pos="6480"/>
        <w:tab w:val="right" w:pos="12960"/>
      </w:tabs>
    </w:pPr>
  </w:style>
  <w:style w:type="paragraph" w:customStyle="1" w:styleId="CoverTechorBusiness">
    <w:name w:val="Cover Tech or Business"/>
    <w:basedOn w:val="Normal"/>
    <w:uiPriority w:val="99"/>
    <w:rsid w:val="005D40FE"/>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94394F"/>
    <w:pPr>
      <w:numPr>
        <w:numId w:val="3"/>
      </w:numPr>
      <w:spacing w:after="120"/>
      <w:ind w:left="1080"/>
    </w:pPr>
  </w:style>
  <w:style w:type="paragraph" w:customStyle="1" w:styleId="ProposalTitle">
    <w:name w:val="Proposal Title"/>
    <w:basedOn w:val="Normal"/>
    <w:uiPriority w:val="99"/>
    <w:rsid w:val="005D40FE"/>
    <w:pPr>
      <w:autoSpaceDE w:val="0"/>
      <w:autoSpaceDN w:val="0"/>
      <w:adjustRightInd w:val="0"/>
      <w:ind w:left="6696" w:right="-792"/>
    </w:pPr>
    <w:rPr>
      <w:b/>
      <w:sz w:val="32"/>
      <w:szCs w:val="32"/>
    </w:rPr>
  </w:style>
  <w:style w:type="paragraph" w:customStyle="1" w:styleId="RFPNumber">
    <w:name w:val="RFP Number"/>
    <w:basedOn w:val="Normal"/>
    <w:uiPriority w:val="99"/>
    <w:rsid w:val="005D40FE"/>
    <w:pPr>
      <w:autoSpaceDE w:val="0"/>
      <w:autoSpaceDN w:val="0"/>
      <w:adjustRightInd w:val="0"/>
      <w:ind w:left="6696" w:right="-792"/>
    </w:pPr>
    <w:rPr>
      <w:sz w:val="32"/>
      <w:szCs w:val="32"/>
    </w:rPr>
  </w:style>
  <w:style w:type="paragraph" w:customStyle="1" w:styleId="CoverTextRed16pt">
    <w:name w:val="Cover Text  Red 16pt"/>
    <w:basedOn w:val="Normal"/>
    <w:qFormat/>
    <w:rsid w:val="005D40FE"/>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5D40F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5D40FE"/>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D40FE"/>
    <w:rPr>
      <w:sz w:val="18"/>
      <w:szCs w:val="18"/>
    </w:rPr>
  </w:style>
  <w:style w:type="paragraph" w:customStyle="1" w:styleId="TableText">
    <w:name w:val="Table Text"/>
    <w:basedOn w:val="Normal"/>
    <w:qFormat/>
    <w:rsid w:val="005D40FE"/>
    <w:pPr>
      <w:spacing w:before="40" w:after="40"/>
    </w:pPr>
    <w:rPr>
      <w:rFonts w:ascii="Arial" w:hAnsi="Arial" w:cs="Arial"/>
      <w:bCs/>
      <w:color w:val="000000"/>
      <w:sz w:val="20"/>
    </w:rPr>
  </w:style>
  <w:style w:type="paragraph" w:customStyle="1" w:styleId="ExhibitSource">
    <w:name w:val="Exhibit Source"/>
    <w:basedOn w:val="Normal"/>
    <w:uiPriority w:val="99"/>
    <w:rsid w:val="005D40FE"/>
    <w:pPr>
      <w:spacing w:before="120"/>
    </w:pPr>
    <w:rPr>
      <w:rFonts w:ascii="Arial" w:hAnsi="Arial" w:cs="Arial"/>
      <w:sz w:val="18"/>
    </w:rPr>
  </w:style>
  <w:style w:type="paragraph" w:customStyle="1" w:styleId="ExhibitText">
    <w:name w:val="Exhibit Text"/>
    <w:basedOn w:val="TableText"/>
    <w:qFormat/>
    <w:rsid w:val="005D40FE"/>
  </w:style>
  <w:style w:type="paragraph" w:customStyle="1" w:styleId="ExhibitColumnHeader">
    <w:name w:val="Exhibit Column Header"/>
    <w:basedOn w:val="ExhibitRowHeader"/>
    <w:qFormat/>
    <w:rsid w:val="005D40FE"/>
    <w:rPr>
      <w:color w:val="000000"/>
    </w:rPr>
  </w:style>
  <w:style w:type="paragraph" w:customStyle="1" w:styleId="CoverTextGreyBold">
    <w:name w:val="Cover Text Grey Bold"/>
    <w:basedOn w:val="Normal"/>
    <w:uiPriority w:val="99"/>
    <w:rsid w:val="005D40FE"/>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5D40FE"/>
    <w:pPr>
      <w:shd w:val="solid" w:color="FFFFFF" w:fill="FFFFFF"/>
      <w:spacing w:line="240" w:lineRule="auto"/>
      <w:jc w:val="both"/>
    </w:pPr>
    <w:rPr>
      <w:rFonts w:ascii="Arial" w:hAnsi="Arial"/>
      <w:color w:val="000000"/>
      <w:sz w:val="18"/>
    </w:rPr>
  </w:style>
  <w:style w:type="paragraph" w:styleId="NoSpacing">
    <w:name w:val="No Spacing"/>
    <w:uiPriority w:val="1"/>
    <w:qFormat/>
    <w:rsid w:val="005D40FE"/>
    <w:pPr>
      <w:spacing w:after="0" w:line="240" w:lineRule="auto"/>
    </w:pPr>
    <w:rPr>
      <w:rFonts w:ascii="Times New Roman" w:eastAsia="Times New Roman" w:hAnsi="Times New Roman" w:cs="Times New Roman"/>
      <w:szCs w:val="20"/>
    </w:rPr>
  </w:style>
  <w:style w:type="paragraph" w:styleId="ListParagraph">
    <w:name w:val="List Paragraph"/>
    <w:aliases w:val="Primary Bullet List,Bullets 3 pt"/>
    <w:basedOn w:val="Normal"/>
    <w:link w:val="ListParagraphChar"/>
    <w:uiPriority w:val="34"/>
    <w:qFormat/>
    <w:rsid w:val="005D40FE"/>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D40F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D40FE"/>
    <w:rPr>
      <w:rFonts w:ascii="Calibri" w:eastAsia="Times New Roman" w:hAnsi="Calibri" w:cs="Times New Roman"/>
      <w:szCs w:val="21"/>
    </w:rPr>
  </w:style>
  <w:style w:type="character" w:customStyle="1" w:styleId="FootnoteTextChar1">
    <w:name w:val="Footnote Text Char1"/>
    <w:uiPriority w:val="99"/>
    <w:rsid w:val="005D40FE"/>
    <w:rPr>
      <w:rFonts w:cs="Times New Roman"/>
      <w:sz w:val="20"/>
    </w:rPr>
  </w:style>
  <w:style w:type="paragraph" w:customStyle="1" w:styleId="AbtHeadC">
    <w:name w:val="AbtHead C"/>
    <w:basedOn w:val="Normal"/>
    <w:next w:val="BodyText"/>
    <w:uiPriority w:val="99"/>
    <w:rsid w:val="005D40FE"/>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D40FE"/>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D40FE"/>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D40FE"/>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D40FE"/>
    <w:rPr>
      <w:rFonts w:ascii="Calibri" w:eastAsia="Times New Roman" w:hAnsi="Calibri" w:cs="Times New Roman"/>
      <w:sz w:val="16"/>
      <w:szCs w:val="16"/>
    </w:rPr>
  </w:style>
  <w:style w:type="paragraph" w:styleId="Title">
    <w:name w:val="Title"/>
    <w:basedOn w:val="Normal"/>
    <w:link w:val="TitleChar"/>
    <w:uiPriority w:val="99"/>
    <w:qFormat/>
    <w:rsid w:val="005D40FE"/>
    <w:pPr>
      <w:spacing w:after="0" w:line="240" w:lineRule="auto"/>
      <w:jc w:val="center"/>
    </w:pPr>
    <w:rPr>
      <w:b/>
      <w:bCs/>
      <w:sz w:val="24"/>
    </w:rPr>
  </w:style>
  <w:style w:type="character" w:customStyle="1" w:styleId="TitleChar">
    <w:name w:val="Title Char"/>
    <w:basedOn w:val="DefaultParagraphFont"/>
    <w:link w:val="Title"/>
    <w:uiPriority w:val="99"/>
    <w:rsid w:val="005D40FE"/>
    <w:rPr>
      <w:rFonts w:ascii="Times New Roman" w:eastAsia="Times New Roman" w:hAnsi="Times New Roman" w:cs="Times New Roman"/>
      <w:b/>
      <w:bCs/>
      <w:sz w:val="24"/>
      <w:szCs w:val="20"/>
    </w:rPr>
  </w:style>
  <w:style w:type="paragraph" w:customStyle="1" w:styleId="Default">
    <w:name w:val="Default"/>
    <w:rsid w:val="005D40FE"/>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rsid w:val="005D40FE"/>
    <w:pPr>
      <w:spacing w:before="100" w:beforeAutospacing="1" w:after="100" w:afterAutospacing="1" w:line="240" w:lineRule="auto"/>
    </w:pPr>
    <w:rPr>
      <w:sz w:val="24"/>
      <w:szCs w:val="24"/>
    </w:rPr>
  </w:style>
  <w:style w:type="paragraph" w:styleId="Revision">
    <w:name w:val="Revision"/>
    <w:hidden/>
    <w:uiPriority w:val="99"/>
    <w:semiHidden/>
    <w:rsid w:val="005D40FE"/>
    <w:pPr>
      <w:spacing w:after="0" w:line="240" w:lineRule="auto"/>
    </w:pPr>
    <w:rPr>
      <w:rFonts w:ascii="Times New Roman" w:eastAsia="Times New Roman" w:hAnsi="Times New Roman" w:cs="Times New Roman"/>
      <w:szCs w:val="20"/>
    </w:rPr>
  </w:style>
  <w:style w:type="paragraph" w:customStyle="1" w:styleId="BodyCalibri12">
    <w:name w:val="BodyCalibri12"/>
    <w:basedOn w:val="Normal"/>
    <w:link w:val="BodyCalibri12Char"/>
    <w:qFormat/>
    <w:rsid w:val="005D40FE"/>
    <w:pPr>
      <w:spacing w:after="0" w:line="240" w:lineRule="auto"/>
    </w:pPr>
    <w:rPr>
      <w:rFonts w:eastAsia="Calibri"/>
      <w:szCs w:val="24"/>
    </w:rPr>
  </w:style>
  <w:style w:type="character" w:customStyle="1" w:styleId="BodyCalibri12Char">
    <w:name w:val="BodyCalibri12 Char"/>
    <w:link w:val="BodyCalibri12"/>
    <w:rsid w:val="005D40FE"/>
    <w:rPr>
      <w:rFonts w:ascii="Times New Roman" w:eastAsia="Calibri" w:hAnsi="Times New Roman" w:cs="Times New Roman"/>
      <w:szCs w:val="24"/>
    </w:rPr>
  </w:style>
  <w:style w:type="character" w:styleId="FollowedHyperlink">
    <w:name w:val="FollowedHyperlink"/>
    <w:basedOn w:val="DefaultParagraphFont"/>
    <w:uiPriority w:val="99"/>
    <w:semiHidden/>
    <w:unhideWhenUsed/>
    <w:rsid w:val="005D40FE"/>
    <w:rPr>
      <w:color w:val="954F72" w:themeColor="followedHyperlink"/>
      <w:u w:val="single"/>
    </w:rPr>
  </w:style>
  <w:style w:type="character" w:customStyle="1" w:styleId="BulletsChar">
    <w:name w:val="Bullets Char"/>
    <w:link w:val="Bullets"/>
    <w:locked/>
    <w:rsid w:val="0094394F"/>
    <w:rPr>
      <w:rFonts w:ascii="Times New Roman" w:eastAsia="Times New Roman" w:hAnsi="Times New Roman" w:cs="Times New Roman"/>
      <w:color w:val="000000" w:themeColor="text1"/>
      <w:szCs w:val="20"/>
      <w:lang w:val="en"/>
    </w:rPr>
  </w:style>
  <w:style w:type="paragraph" w:customStyle="1" w:styleId="BulletLast">
    <w:name w:val="Bullet Last"/>
    <w:basedOn w:val="Bullets"/>
    <w:qFormat/>
    <w:rsid w:val="005D40FE"/>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5D40FE"/>
    <w:rPr>
      <w:rFonts w:ascii="Arial" w:eastAsia="Times New Roman" w:hAnsi="Arial" w:cs="Times New Roman"/>
      <w:b/>
      <w:bCs/>
      <w:szCs w:val="20"/>
    </w:rPr>
  </w:style>
  <w:style w:type="character" w:customStyle="1" w:styleId="st1">
    <w:name w:val="st1"/>
    <w:basedOn w:val="DefaultParagraphFont"/>
    <w:rsid w:val="005D40FE"/>
  </w:style>
  <w:style w:type="paragraph" w:styleId="TOCHeading">
    <w:name w:val="TOC Heading"/>
    <w:basedOn w:val="Heading1"/>
    <w:next w:val="Normal"/>
    <w:uiPriority w:val="39"/>
    <w:semiHidden/>
    <w:unhideWhenUsed/>
    <w:qFormat/>
    <w:rsid w:val="005D40F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2E74B5" w:themeColor="accent1" w:themeShade="BF"/>
      <w:kern w:val="0"/>
      <w:szCs w:val="28"/>
      <w:lang w:eastAsia="ja-JP"/>
    </w:rPr>
  </w:style>
  <w:style w:type="character" w:customStyle="1" w:styleId="ListParagraphChar">
    <w:name w:val="List Paragraph Char"/>
    <w:aliases w:val="Primary Bullet List Char,Bullets 3 pt Char"/>
    <w:link w:val="ListParagraph"/>
    <w:uiPriority w:val="34"/>
    <w:locked/>
    <w:rsid w:val="005D40FE"/>
    <w:rPr>
      <w:rFonts w:ascii="Calibri" w:eastAsia="Times New Roman" w:hAnsi="Calibri" w:cs="Times New Roman"/>
    </w:rPr>
  </w:style>
  <w:style w:type="paragraph" w:styleId="BodyText2">
    <w:name w:val="Body Text 2"/>
    <w:basedOn w:val="Normal"/>
    <w:link w:val="BodyText2Char"/>
    <w:uiPriority w:val="99"/>
    <w:semiHidden/>
    <w:unhideWhenUsed/>
    <w:rsid w:val="00EE031F"/>
    <w:pPr>
      <w:spacing w:after="120" w:line="480" w:lineRule="auto"/>
    </w:pPr>
  </w:style>
  <w:style w:type="character" w:customStyle="1" w:styleId="BodyText2Char">
    <w:name w:val="Body Text 2 Char"/>
    <w:basedOn w:val="DefaultParagraphFont"/>
    <w:link w:val="BodyText2"/>
    <w:uiPriority w:val="99"/>
    <w:semiHidden/>
    <w:rsid w:val="00EE031F"/>
    <w:rPr>
      <w:rFonts w:ascii="Times New Roman" w:eastAsia="Times New Roman" w:hAnsi="Times New Roman" w:cs="Times New Roman"/>
      <w:szCs w:val="20"/>
    </w:rPr>
  </w:style>
  <w:style w:type="character" w:customStyle="1" w:styleId="cf01">
    <w:name w:val="cf01"/>
    <w:basedOn w:val="DefaultParagraphFont"/>
    <w:rsid w:val="007E209E"/>
    <w:rPr>
      <w:rFonts w:ascii="Segoe UI" w:hAnsi="Segoe UI" w:cs="Segoe UI" w:hint="default"/>
      <w:sz w:val="18"/>
      <w:szCs w:val="18"/>
    </w:rPr>
  </w:style>
  <w:style w:type="paragraph" w:customStyle="1" w:styleId="TableColumnHeader">
    <w:name w:val="Table Column Header"/>
    <w:basedOn w:val="Normal"/>
    <w:qFormat/>
    <w:rsid w:val="00375C7C"/>
    <w:pPr>
      <w:spacing w:before="20" w:after="20" w:line="240" w:lineRule="auto"/>
      <w:jc w:val="center"/>
    </w:pPr>
    <w:rPr>
      <w:rFonts w:ascii="Arial Narrow" w:hAnsi="Arial Narrow"/>
      <w:b/>
      <w:color w:val="FFFFFF" w:themeColor="background1"/>
      <w:sz w:val="20"/>
    </w:rPr>
  </w:style>
  <w:style w:type="character" w:customStyle="1" w:styleId="a">
    <w:name w:val="À"/>
    <w:uiPriority w:val="99"/>
    <w:rsid w:val="00C17675"/>
    <w:rPr>
      <w:rFonts w:cs="Times New Roman"/>
    </w:rPr>
  </w:style>
  <w:style w:type="paragraph" w:customStyle="1" w:styleId="pf0">
    <w:name w:val="pf0"/>
    <w:basedOn w:val="Normal"/>
    <w:rsid w:val="001E7DC6"/>
    <w:pPr>
      <w:spacing w:before="100" w:beforeAutospacing="1" w:after="100" w:afterAutospacing="1" w:line="240" w:lineRule="auto"/>
    </w:pPr>
    <w:rPr>
      <w:rFonts w:ascii="Calibri" w:eastAsiaTheme="minorHAnsi" w:hAnsi="Calibri" w:cs="Calibri"/>
      <w:szCs w:val="22"/>
    </w:rPr>
  </w:style>
  <w:style w:type="character" w:customStyle="1" w:styleId="cf11">
    <w:name w:val="cf11"/>
    <w:basedOn w:val="DefaultParagraphFont"/>
    <w:rsid w:val="001E7DC6"/>
    <w:rPr>
      <w:rFonts w:ascii="Segoe UI" w:hAnsi="Segoe UI" w:cs="Segoe UI" w:hint="default"/>
      <w:b/>
      <w:bCs/>
    </w:rPr>
  </w:style>
  <w:style w:type="paragraph" w:customStyle="1" w:styleId="TableSource">
    <w:name w:val="Table Source"/>
    <w:basedOn w:val="Normal"/>
    <w:next w:val="BodyText"/>
    <w:qFormat/>
    <w:rsid w:val="005F5922"/>
    <w:pPr>
      <w:spacing w:before="20" w:after="120" w:line="240" w:lineRule="auto"/>
    </w:pPr>
    <w:rPr>
      <w:rFonts w:ascii="Arial Narrow" w:hAnsi="Arial Narrow" w:cs="Arial"/>
      <w:sz w:val="18"/>
    </w:rPr>
  </w:style>
  <w:style w:type="paragraph" w:customStyle="1" w:styleId="GraphicSource">
    <w:name w:val="Graphic Source"/>
    <w:basedOn w:val="TableSource"/>
    <w:qFormat/>
    <w:rsid w:val="00AA2AC7"/>
    <w:rPr>
      <w:rFonts w:ascii="Times New Roman" w:hAnsi="Times New Roman"/>
    </w:rPr>
  </w:style>
  <w:style w:type="paragraph" w:customStyle="1" w:styleId="BulletNumbering">
    <w:name w:val="Bullet Numbering"/>
    <w:basedOn w:val="Bullets"/>
    <w:qFormat/>
    <w:rsid w:val="007E6F9E"/>
    <w:pPr>
      <w:numPr>
        <w:numId w:val="6"/>
      </w:numPr>
      <w:ind w:left="720"/>
    </w:pPr>
  </w:style>
  <w:style w:type="paragraph" w:customStyle="1" w:styleId="TableBullets">
    <w:name w:val="Table Bullets"/>
    <w:basedOn w:val="ListParagraph"/>
    <w:qFormat/>
    <w:rsid w:val="005D173E"/>
    <w:pPr>
      <w:numPr>
        <w:numId w:val="4"/>
      </w:numPr>
      <w:spacing w:after="0" w:line="240" w:lineRule="auto"/>
      <w:contextualSpacing w:val="0"/>
    </w:pPr>
    <w:rPr>
      <w:rFonts w:ascii="Arial Narrow" w:eastAsiaTheme="minorHAnsi" w:hAnsi="Arial Narrow" w:cstheme="minorBidi"/>
      <w:spacing w:val="-4"/>
      <w:sz w:val="18"/>
      <w:szCs w:val="18"/>
    </w:rPr>
  </w:style>
  <w:style w:type="character" w:styleId="UnresolvedMention">
    <w:name w:val="Unresolved Mention"/>
    <w:basedOn w:val="DefaultParagraphFont"/>
    <w:uiPriority w:val="99"/>
    <w:semiHidden/>
    <w:unhideWhenUsed/>
    <w:rsid w:val="00CA1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7469">
      <w:bodyDiv w:val="1"/>
      <w:marLeft w:val="0"/>
      <w:marRight w:val="0"/>
      <w:marTop w:val="0"/>
      <w:marBottom w:val="0"/>
      <w:divBdr>
        <w:top w:val="none" w:sz="0" w:space="0" w:color="auto"/>
        <w:left w:val="none" w:sz="0" w:space="0" w:color="auto"/>
        <w:bottom w:val="none" w:sz="0" w:space="0" w:color="auto"/>
        <w:right w:val="none" w:sz="0" w:space="0" w:color="auto"/>
      </w:divBdr>
    </w:div>
    <w:div w:id="348483803">
      <w:bodyDiv w:val="1"/>
      <w:marLeft w:val="0"/>
      <w:marRight w:val="0"/>
      <w:marTop w:val="0"/>
      <w:marBottom w:val="0"/>
      <w:divBdr>
        <w:top w:val="none" w:sz="0" w:space="0" w:color="auto"/>
        <w:left w:val="none" w:sz="0" w:space="0" w:color="auto"/>
        <w:bottom w:val="none" w:sz="0" w:space="0" w:color="auto"/>
        <w:right w:val="none" w:sz="0" w:space="0" w:color="auto"/>
      </w:divBdr>
    </w:div>
    <w:div w:id="692150038">
      <w:bodyDiv w:val="1"/>
      <w:marLeft w:val="0"/>
      <w:marRight w:val="0"/>
      <w:marTop w:val="0"/>
      <w:marBottom w:val="0"/>
      <w:divBdr>
        <w:top w:val="none" w:sz="0" w:space="0" w:color="auto"/>
        <w:left w:val="none" w:sz="0" w:space="0" w:color="auto"/>
        <w:bottom w:val="none" w:sz="0" w:space="0" w:color="auto"/>
        <w:right w:val="none" w:sz="0" w:space="0" w:color="auto"/>
      </w:divBdr>
    </w:div>
    <w:div w:id="754471668">
      <w:bodyDiv w:val="1"/>
      <w:marLeft w:val="0"/>
      <w:marRight w:val="0"/>
      <w:marTop w:val="0"/>
      <w:marBottom w:val="0"/>
      <w:divBdr>
        <w:top w:val="none" w:sz="0" w:space="0" w:color="auto"/>
        <w:left w:val="none" w:sz="0" w:space="0" w:color="auto"/>
        <w:bottom w:val="none" w:sz="0" w:space="0" w:color="auto"/>
        <w:right w:val="none" w:sz="0" w:space="0" w:color="auto"/>
      </w:divBdr>
    </w:div>
    <w:div w:id="1205363998">
      <w:bodyDiv w:val="1"/>
      <w:marLeft w:val="0"/>
      <w:marRight w:val="0"/>
      <w:marTop w:val="0"/>
      <w:marBottom w:val="0"/>
      <w:divBdr>
        <w:top w:val="none" w:sz="0" w:space="0" w:color="auto"/>
        <w:left w:val="none" w:sz="0" w:space="0" w:color="auto"/>
        <w:bottom w:val="none" w:sz="0" w:space="0" w:color="auto"/>
        <w:right w:val="none" w:sz="0" w:space="0" w:color="auto"/>
      </w:divBdr>
    </w:div>
    <w:div w:id="1318878201">
      <w:bodyDiv w:val="1"/>
      <w:marLeft w:val="0"/>
      <w:marRight w:val="0"/>
      <w:marTop w:val="0"/>
      <w:marBottom w:val="0"/>
      <w:divBdr>
        <w:top w:val="none" w:sz="0" w:space="0" w:color="auto"/>
        <w:left w:val="none" w:sz="0" w:space="0" w:color="auto"/>
        <w:bottom w:val="none" w:sz="0" w:space="0" w:color="auto"/>
        <w:right w:val="none" w:sz="0" w:space="0" w:color="auto"/>
      </w:divBdr>
    </w:div>
    <w:div w:id="1869103022">
      <w:bodyDiv w:val="1"/>
      <w:marLeft w:val="0"/>
      <w:marRight w:val="0"/>
      <w:marTop w:val="0"/>
      <w:marBottom w:val="0"/>
      <w:divBdr>
        <w:top w:val="none" w:sz="0" w:space="0" w:color="auto"/>
        <w:left w:val="none" w:sz="0" w:space="0" w:color="auto"/>
        <w:bottom w:val="none" w:sz="0" w:space="0" w:color="auto"/>
        <w:right w:val="none" w:sz="0" w:space="0" w:color="auto"/>
      </w:divBdr>
    </w:div>
    <w:div w:id="20388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programs/newcc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91DD-837A-45B4-A0BA-E7B52D06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5101</Words>
  <Characters>29081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Brown</dc:creator>
  <cp:keywords/>
  <dc:description/>
  <cp:lastModifiedBy>Juliana Pearson</cp:lastModifiedBy>
  <cp:revision>23</cp:revision>
  <dcterms:created xsi:type="dcterms:W3CDTF">2022-01-31T16:22:00Z</dcterms:created>
  <dcterms:modified xsi:type="dcterms:W3CDTF">2022-01-31T19:47:00Z</dcterms:modified>
</cp:coreProperties>
</file>