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4497C" w:rsidR="004E19B2" w:rsidP="004E19B2" w:rsidRDefault="004E19B2" w14:paraId="4162B9B2" w14:textId="71F868C1">
      <w:pPr>
        <w:pStyle w:val="CoverTextRed16pt"/>
      </w:pPr>
      <w:r w:rsidRPr="0034497C">
        <w:rPr>
          <w:noProof/>
        </w:rPr>
        <w:drawing>
          <wp:anchor distT="0" distB="0" distL="114300" distR="114300" simplePos="0" relativeHeight="251659264" behindDoc="0" locked="1" layoutInCell="1" allowOverlap="1" wp14:editId="0ABF89F8" wp14:anchorId="055AE2E8">
            <wp:simplePos x="0" y="0"/>
            <wp:positionH relativeFrom="column">
              <wp:posOffset>0</wp:posOffset>
            </wp:positionH>
            <wp:positionV relativeFrom="page">
              <wp:posOffset>658495</wp:posOffset>
            </wp:positionV>
            <wp:extent cx="1226820" cy="1226820"/>
            <wp:effectExtent l="0" t="0" r="0" b="0"/>
            <wp:wrapNone/>
            <wp:docPr id="4" name="Picture 4"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6820" cy="1226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97C">
        <w:t>Part B: Supporting Statement for Paperwork Reduction Act Submission</w:t>
      </w:r>
    </w:p>
    <w:p w:rsidRPr="0034497C" w:rsidR="004E19B2" w:rsidP="004E19B2" w:rsidRDefault="004E19B2" w14:paraId="037AB5AA" w14:textId="77777777">
      <w:pPr>
        <w:pStyle w:val="CoverText-Address"/>
        <w:rPr>
          <w:color w:val="000000" w:themeColor="text1"/>
        </w:rPr>
      </w:pPr>
    </w:p>
    <w:p w:rsidRPr="0034497C" w:rsidR="004E19B2" w:rsidP="004E19B2" w:rsidRDefault="004E19B2" w14:paraId="1597DFA0" w14:textId="77777777">
      <w:pPr>
        <w:pStyle w:val="CoverText-Address"/>
        <w:rPr>
          <w:color w:val="000000" w:themeColor="text1"/>
        </w:rPr>
      </w:pPr>
    </w:p>
    <w:p w:rsidRPr="0034497C" w:rsidR="004E19B2" w:rsidP="004E19B2" w:rsidRDefault="004E19B2" w14:paraId="7E6ABEAF" w14:textId="77777777">
      <w:pPr>
        <w:pStyle w:val="CoverText-Address"/>
        <w:rPr>
          <w:color w:val="000000" w:themeColor="text1"/>
        </w:rPr>
      </w:pPr>
    </w:p>
    <w:p w:rsidR="004E19B2" w:rsidP="004E19B2" w:rsidRDefault="004E19B2" w14:paraId="60223D4D" w14:textId="77777777">
      <w:pPr>
        <w:pStyle w:val="CoverTextRed16pt"/>
        <w:rPr>
          <w:noProof/>
        </w:rPr>
      </w:pPr>
      <w:bookmarkStart w:name="_Hlk75443445" w:id="0"/>
      <w:r>
        <w:t>Implementation Evaluation of the Comprehensive Centers</w:t>
      </w:r>
    </w:p>
    <w:bookmarkEnd w:id="0"/>
    <w:p w:rsidRPr="0034497C" w:rsidR="004E19B2" w:rsidP="004E19B2" w:rsidRDefault="004E19B2" w14:paraId="1C96AB63" w14:textId="77777777">
      <w:pPr>
        <w:pStyle w:val="CoverText-Address"/>
        <w:rPr>
          <w:color w:val="000000" w:themeColor="text1"/>
        </w:rPr>
      </w:pPr>
    </w:p>
    <w:p w:rsidRPr="0034497C" w:rsidR="004E19B2" w:rsidP="007F7835" w:rsidRDefault="004E19B2" w14:paraId="5B39A478" w14:textId="77777777">
      <w:pPr>
        <w:pStyle w:val="CoverText-Address"/>
        <w:ind w:left="0"/>
        <w:rPr>
          <w:color w:val="000000" w:themeColor="text1"/>
        </w:rPr>
      </w:pPr>
    </w:p>
    <w:p w:rsidRPr="0034497C" w:rsidR="004E19B2" w:rsidP="004E19B2" w:rsidRDefault="004E19B2" w14:paraId="4D676F94" w14:textId="77777777">
      <w:pPr>
        <w:pStyle w:val="CoverText-Address"/>
        <w:rPr>
          <w:color w:val="000000" w:themeColor="text1"/>
        </w:rPr>
      </w:pPr>
    </w:p>
    <w:p w:rsidRPr="0034497C" w:rsidR="004E19B2" w:rsidP="004E19B2" w:rsidRDefault="004E19B2" w14:paraId="14304E65" w14:textId="4DA51F76">
      <w:pPr>
        <w:pStyle w:val="CoverText-Address"/>
      </w:pPr>
      <w:r w:rsidRPr="0034497C">
        <w:t xml:space="preserve"> </w:t>
      </w:r>
      <w:r w:rsidR="00FC4510">
        <w:t>January 2022</w:t>
      </w:r>
    </w:p>
    <w:p w:rsidRPr="0034497C" w:rsidR="004E19B2" w:rsidP="004E19B2" w:rsidRDefault="004E19B2" w14:paraId="1C3C3310" w14:textId="77777777">
      <w:pPr>
        <w:pStyle w:val="CoverText-Address"/>
      </w:pPr>
    </w:p>
    <w:p w:rsidRPr="0034497C" w:rsidR="004E19B2" w:rsidP="004E19B2" w:rsidRDefault="004E19B2" w14:paraId="4C7FB365" w14:textId="77777777">
      <w:pPr>
        <w:pStyle w:val="CoverText-Address"/>
      </w:pPr>
    </w:p>
    <w:p w:rsidRPr="0034497C" w:rsidR="004E19B2" w:rsidP="004E19B2" w:rsidRDefault="004E19B2" w14:paraId="5A120793" w14:textId="77777777">
      <w:pPr>
        <w:tabs>
          <w:tab w:val="left" w:pos="720"/>
          <w:tab w:val="left" w:pos="1080"/>
          <w:tab w:val="left" w:pos="1440"/>
          <w:tab w:val="left" w:pos="1800"/>
          <w:tab w:val="left" w:pos="6660"/>
        </w:tabs>
        <w:spacing w:after="0"/>
        <w:ind w:left="6490" w:right="-540"/>
        <w:jc w:val="right"/>
        <w:rPr>
          <w:rFonts w:ascii="Arial" w:hAnsi="Arial"/>
        </w:rPr>
      </w:pPr>
    </w:p>
    <w:p w:rsidRPr="0034497C" w:rsidR="004E19B2" w:rsidP="004E19B2" w:rsidRDefault="004E19B2" w14:paraId="00B98319" w14:textId="77777777">
      <w:pPr>
        <w:pStyle w:val="CoverText11pt"/>
      </w:pPr>
      <w:r w:rsidRPr="0034497C">
        <w:t>Prepared for:</w:t>
      </w:r>
    </w:p>
    <w:p w:rsidR="002C3D50" w:rsidP="004E19B2" w:rsidRDefault="002C3D50" w14:paraId="0FD26771" w14:textId="1E31274B">
      <w:pPr>
        <w:pStyle w:val="CoverText11pt"/>
        <w:rPr>
          <w:i w:val="0"/>
          <w:iCs/>
        </w:rPr>
      </w:pPr>
      <w:r>
        <w:rPr>
          <w:i w:val="0"/>
          <w:iCs/>
        </w:rPr>
        <w:t>Andrew Abrams</w:t>
      </w:r>
    </w:p>
    <w:p w:rsidRPr="002259AD" w:rsidR="004E19B2" w:rsidP="002259AD" w:rsidRDefault="00BF3C45" w14:paraId="67E710C0" w14:textId="7559C473">
      <w:pPr>
        <w:pStyle w:val="CoverText11pt"/>
        <w:tabs>
          <w:tab w:val="clear" w:pos="6660"/>
          <w:tab w:val="left" w:pos="6490"/>
        </w:tabs>
        <w:ind w:hanging="190"/>
        <w:rPr>
          <w:b/>
          <w:i w:val="0"/>
          <w:color w:val="DA291C"/>
          <w:szCs w:val="22"/>
        </w:rPr>
      </w:pPr>
      <w:r w:rsidRPr="002259AD">
        <w:rPr>
          <w:b/>
          <w:i w:val="0"/>
          <w:color w:val="DA291C"/>
          <w:szCs w:val="22"/>
        </w:rPr>
        <w:t>U.S. Department of Education</w:t>
      </w:r>
    </w:p>
    <w:p w:rsidR="00BF3C45" w:rsidP="004E19B2" w:rsidRDefault="00BF3C45" w14:paraId="3A66BE6D" w14:textId="7EA4D106">
      <w:pPr>
        <w:pStyle w:val="CoverText11pt"/>
        <w:rPr>
          <w:i w:val="0"/>
          <w:iCs/>
        </w:rPr>
      </w:pPr>
      <w:r w:rsidRPr="00BF3C45">
        <w:rPr>
          <w:i w:val="0"/>
          <w:iCs/>
        </w:rPr>
        <w:t>Institute of Education Sciences</w:t>
      </w:r>
    </w:p>
    <w:p w:rsidR="002C3D50" w:rsidP="004E19B2" w:rsidRDefault="002C3D50" w14:paraId="13F3DF26" w14:textId="4912EB8C">
      <w:pPr>
        <w:pStyle w:val="CoverText11pt"/>
        <w:rPr>
          <w:i w:val="0"/>
          <w:iCs/>
        </w:rPr>
      </w:pPr>
      <w:r>
        <w:rPr>
          <w:i w:val="0"/>
          <w:iCs/>
        </w:rPr>
        <w:t>550 12</w:t>
      </w:r>
      <w:r w:rsidRPr="002259AD">
        <w:rPr>
          <w:i w:val="0"/>
          <w:iCs/>
          <w:vertAlign w:val="superscript"/>
        </w:rPr>
        <w:t>th</w:t>
      </w:r>
      <w:r>
        <w:rPr>
          <w:i w:val="0"/>
          <w:iCs/>
        </w:rPr>
        <w:t xml:space="preserve"> Street, SW</w:t>
      </w:r>
    </w:p>
    <w:p w:rsidRPr="00BF3C45" w:rsidR="002C3D50" w:rsidP="004E19B2" w:rsidRDefault="002C3D50" w14:paraId="75E3374B" w14:textId="0E3388C9">
      <w:pPr>
        <w:pStyle w:val="CoverText11pt"/>
        <w:rPr>
          <w:i w:val="0"/>
          <w:iCs/>
        </w:rPr>
      </w:pPr>
      <w:r>
        <w:rPr>
          <w:i w:val="0"/>
          <w:iCs/>
        </w:rPr>
        <w:t>Washington, DC 20202</w:t>
      </w:r>
    </w:p>
    <w:p w:rsidR="002C3D50" w:rsidP="004E19B2" w:rsidRDefault="002C3D50" w14:paraId="7267A2BE" w14:textId="77777777">
      <w:pPr>
        <w:pStyle w:val="CoverText11pt"/>
        <w:rPr>
          <w:i w:val="0"/>
          <w:iCs/>
        </w:rPr>
      </w:pPr>
    </w:p>
    <w:p w:rsidR="00BF3C45" w:rsidP="004E19B2" w:rsidRDefault="00BF3C45" w14:paraId="769E7D3C" w14:textId="3DFEC8BC">
      <w:pPr>
        <w:pStyle w:val="CoverText11pt"/>
        <w:rPr>
          <w:i w:val="0"/>
          <w:iCs/>
        </w:rPr>
      </w:pPr>
      <w:r w:rsidRPr="00BF3C45">
        <w:rPr>
          <w:i w:val="0"/>
          <w:iCs/>
        </w:rPr>
        <w:t xml:space="preserve">Contract No. </w:t>
      </w:r>
      <w:r>
        <w:rPr>
          <w:i w:val="0"/>
          <w:iCs/>
        </w:rPr>
        <w:t>91990019C0077</w:t>
      </w:r>
    </w:p>
    <w:p w:rsidRPr="00BF3C45" w:rsidR="007F7835" w:rsidP="004E19B2" w:rsidRDefault="007F7835" w14:paraId="6F8F9D55" w14:textId="77777777">
      <w:pPr>
        <w:pStyle w:val="CoverText11pt"/>
        <w:rPr>
          <w:i w:val="0"/>
          <w:iCs/>
        </w:rPr>
      </w:pPr>
    </w:p>
    <w:p w:rsidRPr="0034497C" w:rsidR="004E19B2" w:rsidP="004E19B2" w:rsidRDefault="004E19B2" w14:paraId="267A7835" w14:textId="77777777">
      <w:pPr>
        <w:pStyle w:val="CoverText11pt"/>
      </w:pPr>
    </w:p>
    <w:p w:rsidRPr="0034497C" w:rsidR="004E19B2" w:rsidP="004E19B2" w:rsidRDefault="004E19B2" w14:paraId="4362621E" w14:textId="77777777">
      <w:pPr>
        <w:pStyle w:val="CoverText11pt"/>
      </w:pPr>
    </w:p>
    <w:p w:rsidRPr="0034497C" w:rsidR="004E19B2" w:rsidP="004E19B2" w:rsidRDefault="004E19B2" w14:paraId="305B0313" w14:textId="77777777">
      <w:pPr>
        <w:pStyle w:val="CoverText11pt"/>
      </w:pPr>
      <w:r w:rsidRPr="0034497C">
        <w:t>Submitted by:</w:t>
      </w:r>
    </w:p>
    <w:p w:rsidRPr="0034497C" w:rsidR="004E19B2" w:rsidP="004E19B2" w:rsidRDefault="004E19B2" w14:paraId="2E91B224" w14:textId="77777777">
      <w:pPr>
        <w:pStyle w:val="CoverTextRed16pt"/>
        <w:rPr>
          <w:sz w:val="22"/>
          <w:szCs w:val="22"/>
        </w:rPr>
      </w:pPr>
      <w:r w:rsidRPr="0034497C">
        <w:rPr>
          <w:sz w:val="22"/>
          <w:szCs w:val="22"/>
        </w:rPr>
        <w:t>Abt Associates Inc.</w:t>
      </w:r>
    </w:p>
    <w:p w:rsidRPr="0034497C" w:rsidR="004E19B2" w:rsidP="004E19B2" w:rsidRDefault="004E19B2" w14:paraId="266BD86F" w14:textId="77777777">
      <w:pPr>
        <w:pStyle w:val="CoverText11pt"/>
        <w:rPr>
          <w:i w:val="0"/>
        </w:rPr>
      </w:pPr>
      <w:r w:rsidRPr="0034497C">
        <w:rPr>
          <w:i w:val="0"/>
        </w:rPr>
        <w:t>10 Fawcett Street</w:t>
      </w:r>
    </w:p>
    <w:p w:rsidRPr="0034497C" w:rsidR="004E19B2" w:rsidP="004E19B2" w:rsidRDefault="004E19B2" w14:paraId="125AED7F" w14:textId="77777777">
      <w:pPr>
        <w:pStyle w:val="CoverText11pt"/>
        <w:rPr>
          <w:i w:val="0"/>
        </w:rPr>
      </w:pPr>
      <w:r w:rsidRPr="0034497C">
        <w:rPr>
          <w:i w:val="0"/>
        </w:rPr>
        <w:t>Cambridge, MA 02138</w:t>
      </w:r>
    </w:p>
    <w:p w:rsidRPr="0034497C" w:rsidR="004E19B2" w:rsidP="004E19B2" w:rsidRDefault="004E19B2" w14:paraId="4555EC71" w14:textId="77777777">
      <w:pPr>
        <w:pStyle w:val="CoverText-Address"/>
      </w:pPr>
    </w:p>
    <w:p w:rsidR="004E19B2" w:rsidP="004E19B2" w:rsidRDefault="004E19B2" w14:paraId="0C5C7396" w14:textId="51F748C9">
      <w:pPr>
        <w:pStyle w:val="CoverText-Address"/>
      </w:pPr>
    </w:p>
    <w:p w:rsidRPr="00826523" w:rsidR="00826523" w:rsidP="00826523" w:rsidRDefault="00826523" w14:paraId="16B02A3A" w14:textId="77777777">
      <w:pPr>
        <w:pStyle w:val="BodyText"/>
      </w:pPr>
    </w:p>
    <w:p w:rsidRPr="0034497C" w:rsidR="004E19B2" w:rsidP="00826523" w:rsidRDefault="004E19B2" w14:paraId="51CAEE60" w14:textId="77777777">
      <w:pPr>
        <w:pStyle w:val="BodyText"/>
        <w:sectPr w:rsidRPr="0034497C" w:rsidR="004E19B2" w:rsidSect="00C0002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1080" w:footer="720" w:gutter="0"/>
          <w:pgNumType w:fmt="lowerRoman" w:start="1"/>
          <w:cols w:space="720"/>
          <w:docGrid w:linePitch="299"/>
        </w:sectPr>
      </w:pPr>
    </w:p>
    <w:p w:rsidRPr="0034497C" w:rsidR="004E19B2" w:rsidP="004E19B2" w:rsidRDefault="004E19B2" w14:paraId="7127AB25" w14:textId="77777777">
      <w:pPr>
        <w:pStyle w:val="TOCHeader"/>
      </w:pPr>
      <w:r w:rsidRPr="0034497C">
        <w:lastRenderedPageBreak/>
        <w:t>Table of Contents</w:t>
      </w:r>
    </w:p>
    <w:p w:rsidR="00826480" w:rsidRDefault="004E19B2" w14:paraId="06FD0A74" w14:textId="224E2A79">
      <w:pPr>
        <w:pStyle w:val="TOC1"/>
        <w:tabs>
          <w:tab w:val="left" w:pos="576"/>
          <w:tab w:val="right" w:leader="dot" w:pos="8990"/>
        </w:tabs>
        <w:rPr>
          <w:rFonts w:asciiTheme="minorHAnsi" w:hAnsiTheme="minorHAnsi" w:eastAsiaTheme="minorEastAsia" w:cstheme="minorBidi"/>
          <w:b w:val="0"/>
          <w:noProof/>
          <w:szCs w:val="22"/>
        </w:rPr>
      </w:pPr>
      <w:r w:rsidRPr="0034497C">
        <w:fldChar w:fldCharType="begin"/>
      </w:r>
      <w:r w:rsidRPr="0034497C">
        <w:instrText xml:space="preserve"> TOC \o "1-3" \h \z \u </w:instrText>
      </w:r>
      <w:r w:rsidRPr="0034497C">
        <w:fldChar w:fldCharType="separate"/>
      </w:r>
      <w:hyperlink w:history="1" w:anchor="_Toc79423671">
        <w:r w:rsidRPr="00CB1979" w:rsidR="00826480">
          <w:rPr>
            <w:rStyle w:val="Hyperlink"/>
            <w:noProof/>
          </w:rPr>
          <w:t>B.</w:t>
        </w:r>
        <w:r w:rsidR="00826480">
          <w:rPr>
            <w:rFonts w:asciiTheme="minorHAnsi" w:hAnsiTheme="minorHAnsi" w:eastAsiaTheme="minorEastAsia" w:cstheme="minorBidi"/>
            <w:b w:val="0"/>
            <w:noProof/>
            <w:szCs w:val="22"/>
          </w:rPr>
          <w:tab/>
        </w:r>
        <w:r w:rsidRPr="00CB1979" w:rsidR="00826480">
          <w:rPr>
            <w:rStyle w:val="Hyperlink"/>
            <w:noProof/>
          </w:rPr>
          <w:t>Collection of Information Employing Statistical Methods</w:t>
        </w:r>
        <w:r w:rsidR="00826480">
          <w:rPr>
            <w:noProof/>
            <w:webHidden/>
          </w:rPr>
          <w:tab/>
        </w:r>
        <w:r w:rsidR="00826480">
          <w:rPr>
            <w:noProof/>
            <w:webHidden/>
          </w:rPr>
          <w:fldChar w:fldCharType="begin"/>
        </w:r>
        <w:r w:rsidR="00826480">
          <w:rPr>
            <w:noProof/>
            <w:webHidden/>
          </w:rPr>
          <w:instrText xml:space="preserve"> PAGEREF _Toc79423671 \h </w:instrText>
        </w:r>
        <w:r w:rsidR="00826480">
          <w:rPr>
            <w:noProof/>
            <w:webHidden/>
          </w:rPr>
        </w:r>
        <w:r w:rsidR="00826480">
          <w:rPr>
            <w:noProof/>
            <w:webHidden/>
          </w:rPr>
          <w:fldChar w:fldCharType="separate"/>
        </w:r>
        <w:r w:rsidR="00D97489">
          <w:rPr>
            <w:noProof/>
            <w:webHidden/>
          </w:rPr>
          <w:t>1</w:t>
        </w:r>
        <w:r w:rsidR="00826480">
          <w:rPr>
            <w:noProof/>
            <w:webHidden/>
          </w:rPr>
          <w:fldChar w:fldCharType="end"/>
        </w:r>
      </w:hyperlink>
    </w:p>
    <w:p w:rsidR="00826480" w:rsidRDefault="00BE102F" w14:paraId="3486AE67" w14:textId="62681A55">
      <w:pPr>
        <w:pStyle w:val="TOC2"/>
        <w:tabs>
          <w:tab w:val="right" w:leader="dot" w:pos="8990"/>
        </w:tabs>
        <w:rPr>
          <w:rFonts w:asciiTheme="minorHAnsi" w:hAnsiTheme="minorHAnsi" w:eastAsiaTheme="minorEastAsia" w:cstheme="minorBidi"/>
          <w:noProof/>
          <w:szCs w:val="22"/>
        </w:rPr>
      </w:pPr>
      <w:hyperlink w:history="1" w:anchor="_Toc79423672">
        <w:r w:rsidRPr="00CB1979" w:rsidR="00826480">
          <w:rPr>
            <w:rStyle w:val="Hyperlink"/>
            <w:noProof/>
          </w:rPr>
          <w:t>Introduction</w:t>
        </w:r>
        <w:r w:rsidR="00826480">
          <w:rPr>
            <w:noProof/>
            <w:webHidden/>
          </w:rPr>
          <w:tab/>
        </w:r>
        <w:r w:rsidR="00826480">
          <w:rPr>
            <w:noProof/>
            <w:webHidden/>
          </w:rPr>
          <w:fldChar w:fldCharType="begin"/>
        </w:r>
        <w:r w:rsidR="00826480">
          <w:rPr>
            <w:noProof/>
            <w:webHidden/>
          </w:rPr>
          <w:instrText xml:space="preserve"> PAGEREF _Toc79423672 \h </w:instrText>
        </w:r>
        <w:r w:rsidR="00826480">
          <w:rPr>
            <w:noProof/>
            <w:webHidden/>
          </w:rPr>
        </w:r>
        <w:r w:rsidR="00826480">
          <w:rPr>
            <w:noProof/>
            <w:webHidden/>
          </w:rPr>
          <w:fldChar w:fldCharType="separate"/>
        </w:r>
        <w:r w:rsidR="00D97489">
          <w:rPr>
            <w:noProof/>
            <w:webHidden/>
          </w:rPr>
          <w:t>1</w:t>
        </w:r>
        <w:r w:rsidR="00826480">
          <w:rPr>
            <w:noProof/>
            <w:webHidden/>
          </w:rPr>
          <w:fldChar w:fldCharType="end"/>
        </w:r>
      </w:hyperlink>
    </w:p>
    <w:p w:rsidR="00826480" w:rsidRDefault="00BE102F" w14:paraId="2DDD69FB" w14:textId="01B895C9">
      <w:pPr>
        <w:pStyle w:val="TOC2"/>
        <w:tabs>
          <w:tab w:val="left" w:pos="1152"/>
          <w:tab w:val="right" w:leader="dot" w:pos="8990"/>
        </w:tabs>
        <w:rPr>
          <w:rFonts w:asciiTheme="minorHAnsi" w:hAnsiTheme="minorHAnsi" w:eastAsiaTheme="minorEastAsia" w:cstheme="minorBidi"/>
          <w:noProof/>
          <w:szCs w:val="22"/>
        </w:rPr>
      </w:pPr>
      <w:hyperlink w:history="1" w:anchor="_Toc79423673">
        <w:r w:rsidRPr="00CB1979" w:rsidR="00826480">
          <w:rPr>
            <w:rStyle w:val="Hyperlink"/>
            <w:noProof/>
          </w:rPr>
          <w:t>B.1</w:t>
        </w:r>
        <w:r w:rsidR="00826480">
          <w:rPr>
            <w:rFonts w:asciiTheme="minorHAnsi" w:hAnsiTheme="minorHAnsi" w:eastAsiaTheme="minorEastAsia" w:cstheme="minorBidi"/>
            <w:noProof/>
            <w:szCs w:val="22"/>
          </w:rPr>
          <w:tab/>
        </w:r>
        <w:r w:rsidRPr="00CB1979" w:rsidR="00826480">
          <w:rPr>
            <w:rStyle w:val="Hyperlink"/>
            <w:noProof/>
          </w:rPr>
          <w:t>Respondent Universe and Sampling Methods</w:t>
        </w:r>
        <w:r w:rsidR="00826480">
          <w:rPr>
            <w:noProof/>
            <w:webHidden/>
          </w:rPr>
          <w:tab/>
        </w:r>
        <w:r w:rsidR="00826480">
          <w:rPr>
            <w:noProof/>
            <w:webHidden/>
          </w:rPr>
          <w:fldChar w:fldCharType="begin"/>
        </w:r>
        <w:r w:rsidR="00826480">
          <w:rPr>
            <w:noProof/>
            <w:webHidden/>
          </w:rPr>
          <w:instrText xml:space="preserve"> PAGEREF _Toc79423673 \h </w:instrText>
        </w:r>
        <w:r w:rsidR="00826480">
          <w:rPr>
            <w:noProof/>
            <w:webHidden/>
          </w:rPr>
        </w:r>
        <w:r w:rsidR="00826480">
          <w:rPr>
            <w:noProof/>
            <w:webHidden/>
          </w:rPr>
          <w:fldChar w:fldCharType="separate"/>
        </w:r>
        <w:r w:rsidR="00D97489">
          <w:rPr>
            <w:noProof/>
            <w:webHidden/>
          </w:rPr>
          <w:t>3</w:t>
        </w:r>
        <w:r w:rsidR="00826480">
          <w:rPr>
            <w:noProof/>
            <w:webHidden/>
          </w:rPr>
          <w:fldChar w:fldCharType="end"/>
        </w:r>
      </w:hyperlink>
    </w:p>
    <w:p w:rsidR="00826480" w:rsidRDefault="00BE102F" w14:paraId="22377D61" w14:textId="797D32B9">
      <w:pPr>
        <w:pStyle w:val="TOC3"/>
        <w:tabs>
          <w:tab w:val="left" w:pos="1920"/>
          <w:tab w:val="right" w:leader="dot" w:pos="8990"/>
        </w:tabs>
        <w:rPr>
          <w:rFonts w:asciiTheme="minorHAnsi" w:hAnsiTheme="minorHAnsi" w:eastAsiaTheme="minorEastAsia" w:cstheme="minorBidi"/>
          <w:noProof/>
          <w:szCs w:val="22"/>
        </w:rPr>
      </w:pPr>
      <w:hyperlink w:history="1" w:anchor="_Toc79423674">
        <w:r w:rsidRPr="00CB1979" w:rsidR="00826480">
          <w:rPr>
            <w:rStyle w:val="Hyperlink"/>
            <w:noProof/>
          </w:rPr>
          <w:t>B.1.1</w:t>
        </w:r>
        <w:r w:rsidR="00826480">
          <w:rPr>
            <w:rFonts w:asciiTheme="minorHAnsi" w:hAnsiTheme="minorHAnsi" w:eastAsiaTheme="minorEastAsia" w:cstheme="minorBidi"/>
            <w:noProof/>
            <w:szCs w:val="22"/>
          </w:rPr>
          <w:tab/>
        </w:r>
        <w:r w:rsidRPr="00CB1979" w:rsidR="00826480">
          <w:rPr>
            <w:rStyle w:val="Hyperlink"/>
            <w:noProof/>
          </w:rPr>
          <w:t>Respondent Universe</w:t>
        </w:r>
        <w:r w:rsidR="00826480">
          <w:rPr>
            <w:noProof/>
            <w:webHidden/>
          </w:rPr>
          <w:tab/>
        </w:r>
        <w:r w:rsidR="00826480">
          <w:rPr>
            <w:noProof/>
            <w:webHidden/>
          </w:rPr>
          <w:fldChar w:fldCharType="begin"/>
        </w:r>
        <w:r w:rsidR="00826480">
          <w:rPr>
            <w:noProof/>
            <w:webHidden/>
          </w:rPr>
          <w:instrText xml:space="preserve"> PAGEREF _Toc79423674 \h </w:instrText>
        </w:r>
        <w:r w:rsidR="00826480">
          <w:rPr>
            <w:noProof/>
            <w:webHidden/>
          </w:rPr>
        </w:r>
        <w:r w:rsidR="00826480">
          <w:rPr>
            <w:noProof/>
            <w:webHidden/>
          </w:rPr>
          <w:fldChar w:fldCharType="separate"/>
        </w:r>
        <w:r w:rsidR="00D97489">
          <w:rPr>
            <w:noProof/>
            <w:webHidden/>
          </w:rPr>
          <w:t>3</w:t>
        </w:r>
        <w:r w:rsidR="00826480">
          <w:rPr>
            <w:noProof/>
            <w:webHidden/>
          </w:rPr>
          <w:fldChar w:fldCharType="end"/>
        </w:r>
      </w:hyperlink>
    </w:p>
    <w:p w:rsidR="00826480" w:rsidRDefault="00BE102F" w14:paraId="45D1B8BF" w14:textId="4B9B1733">
      <w:pPr>
        <w:pStyle w:val="TOC3"/>
        <w:tabs>
          <w:tab w:val="left" w:pos="1920"/>
          <w:tab w:val="right" w:leader="dot" w:pos="8990"/>
        </w:tabs>
        <w:rPr>
          <w:rFonts w:asciiTheme="minorHAnsi" w:hAnsiTheme="minorHAnsi" w:eastAsiaTheme="minorEastAsia" w:cstheme="minorBidi"/>
          <w:noProof/>
          <w:szCs w:val="22"/>
        </w:rPr>
      </w:pPr>
      <w:hyperlink w:history="1" w:anchor="_Toc79423675">
        <w:r w:rsidRPr="00CB1979" w:rsidR="00826480">
          <w:rPr>
            <w:rStyle w:val="Hyperlink"/>
            <w:noProof/>
          </w:rPr>
          <w:t>B.1.2</w:t>
        </w:r>
        <w:r w:rsidR="00826480">
          <w:rPr>
            <w:rFonts w:asciiTheme="minorHAnsi" w:hAnsiTheme="minorHAnsi" w:eastAsiaTheme="minorEastAsia" w:cstheme="minorBidi"/>
            <w:noProof/>
            <w:szCs w:val="22"/>
          </w:rPr>
          <w:tab/>
        </w:r>
        <w:r w:rsidRPr="00CB1979" w:rsidR="00826480">
          <w:rPr>
            <w:rStyle w:val="Hyperlink"/>
            <w:noProof/>
          </w:rPr>
          <w:t>Sampling Methods</w:t>
        </w:r>
        <w:r w:rsidR="00826480">
          <w:rPr>
            <w:noProof/>
            <w:webHidden/>
          </w:rPr>
          <w:tab/>
        </w:r>
        <w:r w:rsidR="00826480">
          <w:rPr>
            <w:noProof/>
            <w:webHidden/>
          </w:rPr>
          <w:fldChar w:fldCharType="begin"/>
        </w:r>
        <w:r w:rsidR="00826480">
          <w:rPr>
            <w:noProof/>
            <w:webHidden/>
          </w:rPr>
          <w:instrText xml:space="preserve"> PAGEREF _Toc79423675 \h </w:instrText>
        </w:r>
        <w:r w:rsidR="00826480">
          <w:rPr>
            <w:noProof/>
            <w:webHidden/>
          </w:rPr>
        </w:r>
        <w:r w:rsidR="00826480">
          <w:rPr>
            <w:noProof/>
            <w:webHidden/>
          </w:rPr>
          <w:fldChar w:fldCharType="separate"/>
        </w:r>
        <w:r w:rsidR="00D97489">
          <w:rPr>
            <w:noProof/>
            <w:webHidden/>
          </w:rPr>
          <w:t>4</w:t>
        </w:r>
        <w:r w:rsidR="00826480">
          <w:rPr>
            <w:noProof/>
            <w:webHidden/>
          </w:rPr>
          <w:fldChar w:fldCharType="end"/>
        </w:r>
      </w:hyperlink>
    </w:p>
    <w:p w:rsidR="00826480" w:rsidRDefault="00BE102F" w14:paraId="19A94E4E" w14:textId="3DB56818">
      <w:pPr>
        <w:pStyle w:val="TOC3"/>
        <w:tabs>
          <w:tab w:val="left" w:pos="1920"/>
          <w:tab w:val="right" w:leader="dot" w:pos="8990"/>
        </w:tabs>
        <w:rPr>
          <w:rFonts w:asciiTheme="minorHAnsi" w:hAnsiTheme="minorHAnsi" w:eastAsiaTheme="minorEastAsia" w:cstheme="minorBidi"/>
          <w:noProof/>
          <w:szCs w:val="22"/>
        </w:rPr>
      </w:pPr>
      <w:hyperlink w:history="1" w:anchor="_Toc79423676">
        <w:r w:rsidRPr="00CB1979" w:rsidR="00826480">
          <w:rPr>
            <w:rStyle w:val="Hyperlink"/>
            <w:noProof/>
          </w:rPr>
          <w:t>B.1.3</w:t>
        </w:r>
        <w:r w:rsidR="00826480">
          <w:rPr>
            <w:rFonts w:asciiTheme="minorHAnsi" w:hAnsiTheme="minorHAnsi" w:eastAsiaTheme="minorEastAsia" w:cstheme="minorBidi"/>
            <w:noProof/>
            <w:szCs w:val="22"/>
          </w:rPr>
          <w:tab/>
        </w:r>
        <w:r w:rsidRPr="00CB1979" w:rsidR="00826480">
          <w:rPr>
            <w:rStyle w:val="Hyperlink"/>
            <w:noProof/>
          </w:rPr>
          <w:t>Expected Response Rates</w:t>
        </w:r>
        <w:r w:rsidR="00826480">
          <w:rPr>
            <w:noProof/>
            <w:webHidden/>
          </w:rPr>
          <w:tab/>
        </w:r>
        <w:r w:rsidR="00826480">
          <w:rPr>
            <w:noProof/>
            <w:webHidden/>
          </w:rPr>
          <w:fldChar w:fldCharType="begin"/>
        </w:r>
        <w:r w:rsidR="00826480">
          <w:rPr>
            <w:noProof/>
            <w:webHidden/>
          </w:rPr>
          <w:instrText xml:space="preserve"> PAGEREF _Toc79423676 \h </w:instrText>
        </w:r>
        <w:r w:rsidR="00826480">
          <w:rPr>
            <w:noProof/>
            <w:webHidden/>
          </w:rPr>
        </w:r>
        <w:r w:rsidR="00826480">
          <w:rPr>
            <w:noProof/>
            <w:webHidden/>
          </w:rPr>
          <w:fldChar w:fldCharType="separate"/>
        </w:r>
        <w:r w:rsidR="00D97489">
          <w:rPr>
            <w:noProof/>
            <w:webHidden/>
          </w:rPr>
          <w:t>4</w:t>
        </w:r>
        <w:r w:rsidR="00826480">
          <w:rPr>
            <w:noProof/>
            <w:webHidden/>
          </w:rPr>
          <w:fldChar w:fldCharType="end"/>
        </w:r>
      </w:hyperlink>
    </w:p>
    <w:p w:rsidR="00826480" w:rsidRDefault="00BE102F" w14:paraId="0F2DD4CA" w14:textId="753BA095">
      <w:pPr>
        <w:pStyle w:val="TOC2"/>
        <w:tabs>
          <w:tab w:val="left" w:pos="1152"/>
          <w:tab w:val="right" w:leader="dot" w:pos="8990"/>
        </w:tabs>
        <w:rPr>
          <w:rFonts w:asciiTheme="minorHAnsi" w:hAnsiTheme="minorHAnsi" w:eastAsiaTheme="minorEastAsia" w:cstheme="minorBidi"/>
          <w:noProof/>
          <w:szCs w:val="22"/>
        </w:rPr>
      </w:pPr>
      <w:hyperlink w:history="1" w:anchor="_Toc79423677">
        <w:r w:rsidRPr="00CB1979" w:rsidR="00826480">
          <w:rPr>
            <w:rStyle w:val="Hyperlink"/>
            <w:noProof/>
          </w:rPr>
          <w:t>B.2</w:t>
        </w:r>
        <w:r w:rsidR="00826480">
          <w:rPr>
            <w:rFonts w:asciiTheme="minorHAnsi" w:hAnsiTheme="minorHAnsi" w:eastAsiaTheme="minorEastAsia" w:cstheme="minorBidi"/>
            <w:noProof/>
            <w:szCs w:val="22"/>
          </w:rPr>
          <w:tab/>
        </w:r>
        <w:r w:rsidRPr="00CB1979" w:rsidR="00826480">
          <w:rPr>
            <w:rStyle w:val="Hyperlink"/>
            <w:noProof/>
          </w:rPr>
          <w:t>Statistical Methods for Sample Selection and Degree of Accuracy Needed</w:t>
        </w:r>
        <w:r w:rsidR="00826480">
          <w:rPr>
            <w:noProof/>
            <w:webHidden/>
          </w:rPr>
          <w:tab/>
        </w:r>
        <w:r w:rsidR="00826480">
          <w:rPr>
            <w:noProof/>
            <w:webHidden/>
          </w:rPr>
          <w:fldChar w:fldCharType="begin"/>
        </w:r>
        <w:r w:rsidR="00826480">
          <w:rPr>
            <w:noProof/>
            <w:webHidden/>
          </w:rPr>
          <w:instrText xml:space="preserve"> PAGEREF _Toc79423677 \h </w:instrText>
        </w:r>
        <w:r w:rsidR="00826480">
          <w:rPr>
            <w:noProof/>
            <w:webHidden/>
          </w:rPr>
        </w:r>
        <w:r w:rsidR="00826480">
          <w:rPr>
            <w:noProof/>
            <w:webHidden/>
          </w:rPr>
          <w:fldChar w:fldCharType="separate"/>
        </w:r>
        <w:r w:rsidR="00D97489">
          <w:rPr>
            <w:noProof/>
            <w:webHidden/>
          </w:rPr>
          <w:t>5</w:t>
        </w:r>
        <w:r w:rsidR="00826480">
          <w:rPr>
            <w:noProof/>
            <w:webHidden/>
          </w:rPr>
          <w:fldChar w:fldCharType="end"/>
        </w:r>
      </w:hyperlink>
    </w:p>
    <w:p w:rsidR="00826480" w:rsidRDefault="00BE102F" w14:paraId="6C4903AD" w14:textId="0B8C7250">
      <w:pPr>
        <w:pStyle w:val="TOC3"/>
        <w:tabs>
          <w:tab w:val="left" w:pos="1920"/>
          <w:tab w:val="right" w:leader="dot" w:pos="8990"/>
        </w:tabs>
        <w:rPr>
          <w:rFonts w:asciiTheme="minorHAnsi" w:hAnsiTheme="minorHAnsi" w:eastAsiaTheme="minorEastAsia" w:cstheme="minorBidi"/>
          <w:noProof/>
          <w:szCs w:val="22"/>
        </w:rPr>
      </w:pPr>
      <w:hyperlink w:history="1" w:anchor="_Toc79423678">
        <w:r w:rsidRPr="00CB1979" w:rsidR="00826480">
          <w:rPr>
            <w:rStyle w:val="Hyperlink"/>
            <w:noProof/>
          </w:rPr>
          <w:t>B.2.1</w:t>
        </w:r>
        <w:r w:rsidR="00826480">
          <w:rPr>
            <w:rFonts w:asciiTheme="minorHAnsi" w:hAnsiTheme="minorHAnsi" w:eastAsiaTheme="minorEastAsia" w:cstheme="minorBidi"/>
            <w:noProof/>
            <w:szCs w:val="22"/>
          </w:rPr>
          <w:tab/>
        </w:r>
        <w:r w:rsidRPr="00CB1979" w:rsidR="00826480">
          <w:rPr>
            <w:rStyle w:val="Hyperlink"/>
            <w:noProof/>
          </w:rPr>
          <w:t>Sample Selection</w:t>
        </w:r>
        <w:r w:rsidR="00826480">
          <w:rPr>
            <w:noProof/>
            <w:webHidden/>
          </w:rPr>
          <w:tab/>
        </w:r>
        <w:r w:rsidR="00826480">
          <w:rPr>
            <w:noProof/>
            <w:webHidden/>
          </w:rPr>
          <w:fldChar w:fldCharType="begin"/>
        </w:r>
        <w:r w:rsidR="00826480">
          <w:rPr>
            <w:noProof/>
            <w:webHidden/>
          </w:rPr>
          <w:instrText xml:space="preserve"> PAGEREF _Toc79423678 \h </w:instrText>
        </w:r>
        <w:r w:rsidR="00826480">
          <w:rPr>
            <w:noProof/>
            <w:webHidden/>
          </w:rPr>
        </w:r>
        <w:r w:rsidR="00826480">
          <w:rPr>
            <w:noProof/>
            <w:webHidden/>
          </w:rPr>
          <w:fldChar w:fldCharType="separate"/>
        </w:r>
        <w:r w:rsidR="00D97489">
          <w:rPr>
            <w:noProof/>
            <w:webHidden/>
          </w:rPr>
          <w:t>5</w:t>
        </w:r>
        <w:r w:rsidR="00826480">
          <w:rPr>
            <w:noProof/>
            <w:webHidden/>
          </w:rPr>
          <w:fldChar w:fldCharType="end"/>
        </w:r>
      </w:hyperlink>
    </w:p>
    <w:p w:rsidR="00826480" w:rsidRDefault="00BE102F" w14:paraId="481EE9D3" w14:textId="260A160B">
      <w:pPr>
        <w:pStyle w:val="TOC3"/>
        <w:tabs>
          <w:tab w:val="left" w:pos="1920"/>
          <w:tab w:val="right" w:leader="dot" w:pos="8990"/>
        </w:tabs>
        <w:rPr>
          <w:rFonts w:asciiTheme="minorHAnsi" w:hAnsiTheme="minorHAnsi" w:eastAsiaTheme="minorEastAsia" w:cstheme="minorBidi"/>
          <w:noProof/>
          <w:szCs w:val="22"/>
        </w:rPr>
      </w:pPr>
      <w:hyperlink w:history="1" w:anchor="_Toc79423679">
        <w:r w:rsidRPr="00CB1979" w:rsidR="00826480">
          <w:rPr>
            <w:rStyle w:val="Hyperlink"/>
            <w:noProof/>
          </w:rPr>
          <w:t>B.2.2</w:t>
        </w:r>
        <w:r w:rsidR="00826480">
          <w:rPr>
            <w:rFonts w:asciiTheme="minorHAnsi" w:hAnsiTheme="minorHAnsi" w:eastAsiaTheme="minorEastAsia" w:cstheme="minorBidi"/>
            <w:noProof/>
            <w:szCs w:val="22"/>
          </w:rPr>
          <w:tab/>
        </w:r>
        <w:r w:rsidRPr="00CB1979" w:rsidR="00826480">
          <w:rPr>
            <w:rStyle w:val="Hyperlink"/>
            <w:noProof/>
          </w:rPr>
          <w:t>Estimation Procedures</w:t>
        </w:r>
        <w:r w:rsidR="00826480">
          <w:rPr>
            <w:noProof/>
            <w:webHidden/>
          </w:rPr>
          <w:tab/>
        </w:r>
        <w:r w:rsidR="00826480">
          <w:rPr>
            <w:noProof/>
            <w:webHidden/>
          </w:rPr>
          <w:fldChar w:fldCharType="begin"/>
        </w:r>
        <w:r w:rsidR="00826480">
          <w:rPr>
            <w:noProof/>
            <w:webHidden/>
          </w:rPr>
          <w:instrText xml:space="preserve"> PAGEREF _Toc79423679 \h </w:instrText>
        </w:r>
        <w:r w:rsidR="00826480">
          <w:rPr>
            <w:noProof/>
            <w:webHidden/>
          </w:rPr>
        </w:r>
        <w:r w:rsidR="00826480">
          <w:rPr>
            <w:noProof/>
            <w:webHidden/>
          </w:rPr>
          <w:fldChar w:fldCharType="separate"/>
        </w:r>
        <w:r w:rsidR="00D97489">
          <w:rPr>
            <w:noProof/>
            <w:webHidden/>
          </w:rPr>
          <w:t>5</w:t>
        </w:r>
        <w:r w:rsidR="00826480">
          <w:rPr>
            <w:noProof/>
            <w:webHidden/>
          </w:rPr>
          <w:fldChar w:fldCharType="end"/>
        </w:r>
      </w:hyperlink>
    </w:p>
    <w:p w:rsidR="00826480" w:rsidRDefault="00BE102F" w14:paraId="64FD25BB" w14:textId="6BFC7990">
      <w:pPr>
        <w:pStyle w:val="TOC3"/>
        <w:tabs>
          <w:tab w:val="left" w:pos="1920"/>
          <w:tab w:val="right" w:leader="dot" w:pos="8990"/>
        </w:tabs>
        <w:rPr>
          <w:rFonts w:asciiTheme="minorHAnsi" w:hAnsiTheme="minorHAnsi" w:eastAsiaTheme="minorEastAsia" w:cstheme="minorBidi"/>
          <w:noProof/>
          <w:szCs w:val="22"/>
        </w:rPr>
      </w:pPr>
      <w:hyperlink w:history="1" w:anchor="_Toc79423680">
        <w:r w:rsidRPr="00CB1979" w:rsidR="00826480">
          <w:rPr>
            <w:rStyle w:val="Hyperlink"/>
            <w:noProof/>
          </w:rPr>
          <w:t>B.2.3</w:t>
        </w:r>
        <w:r w:rsidR="00826480">
          <w:rPr>
            <w:rFonts w:asciiTheme="minorHAnsi" w:hAnsiTheme="minorHAnsi" w:eastAsiaTheme="minorEastAsia" w:cstheme="minorBidi"/>
            <w:noProof/>
            <w:szCs w:val="22"/>
          </w:rPr>
          <w:tab/>
        </w:r>
        <w:r w:rsidRPr="00CB1979" w:rsidR="00826480">
          <w:rPr>
            <w:rStyle w:val="Hyperlink"/>
            <w:noProof/>
          </w:rPr>
          <w:t>Degree of Accuracy Needed for the Purpose Described</w:t>
        </w:r>
        <w:r w:rsidR="00826480">
          <w:rPr>
            <w:noProof/>
            <w:webHidden/>
          </w:rPr>
          <w:tab/>
        </w:r>
        <w:r w:rsidR="00826480">
          <w:rPr>
            <w:noProof/>
            <w:webHidden/>
          </w:rPr>
          <w:fldChar w:fldCharType="begin"/>
        </w:r>
        <w:r w:rsidR="00826480">
          <w:rPr>
            <w:noProof/>
            <w:webHidden/>
          </w:rPr>
          <w:instrText xml:space="preserve"> PAGEREF _Toc79423680 \h </w:instrText>
        </w:r>
        <w:r w:rsidR="00826480">
          <w:rPr>
            <w:noProof/>
            <w:webHidden/>
          </w:rPr>
        </w:r>
        <w:r w:rsidR="00826480">
          <w:rPr>
            <w:noProof/>
            <w:webHidden/>
          </w:rPr>
          <w:fldChar w:fldCharType="separate"/>
        </w:r>
        <w:r w:rsidR="00D97489">
          <w:rPr>
            <w:noProof/>
            <w:webHidden/>
          </w:rPr>
          <w:t>6</w:t>
        </w:r>
        <w:r w:rsidR="00826480">
          <w:rPr>
            <w:noProof/>
            <w:webHidden/>
          </w:rPr>
          <w:fldChar w:fldCharType="end"/>
        </w:r>
      </w:hyperlink>
    </w:p>
    <w:p w:rsidR="00826480" w:rsidRDefault="00BE102F" w14:paraId="5E9D6E38" w14:textId="4FD073C9">
      <w:pPr>
        <w:pStyle w:val="TOC3"/>
        <w:tabs>
          <w:tab w:val="left" w:pos="1920"/>
          <w:tab w:val="right" w:leader="dot" w:pos="8990"/>
        </w:tabs>
        <w:rPr>
          <w:rFonts w:asciiTheme="minorHAnsi" w:hAnsiTheme="minorHAnsi" w:eastAsiaTheme="minorEastAsia" w:cstheme="minorBidi"/>
          <w:noProof/>
          <w:szCs w:val="22"/>
        </w:rPr>
      </w:pPr>
      <w:hyperlink w:history="1" w:anchor="_Toc79423681">
        <w:r w:rsidRPr="00CB1979" w:rsidR="00826480">
          <w:rPr>
            <w:rStyle w:val="Hyperlink"/>
            <w:noProof/>
          </w:rPr>
          <w:t>B.2.4</w:t>
        </w:r>
        <w:r w:rsidR="00826480">
          <w:rPr>
            <w:rFonts w:asciiTheme="minorHAnsi" w:hAnsiTheme="minorHAnsi" w:eastAsiaTheme="minorEastAsia" w:cstheme="minorBidi"/>
            <w:noProof/>
            <w:szCs w:val="22"/>
          </w:rPr>
          <w:tab/>
        </w:r>
        <w:r w:rsidRPr="00CB1979" w:rsidR="00826480">
          <w:rPr>
            <w:rStyle w:val="Hyperlink"/>
            <w:noProof/>
          </w:rPr>
          <w:t>Unusual Problems Requiring Specialized Sampling Procedures</w:t>
        </w:r>
        <w:r w:rsidR="00826480">
          <w:rPr>
            <w:noProof/>
            <w:webHidden/>
          </w:rPr>
          <w:tab/>
        </w:r>
        <w:r w:rsidR="00826480">
          <w:rPr>
            <w:noProof/>
            <w:webHidden/>
          </w:rPr>
          <w:fldChar w:fldCharType="begin"/>
        </w:r>
        <w:r w:rsidR="00826480">
          <w:rPr>
            <w:noProof/>
            <w:webHidden/>
          </w:rPr>
          <w:instrText xml:space="preserve"> PAGEREF _Toc79423681 \h </w:instrText>
        </w:r>
        <w:r w:rsidR="00826480">
          <w:rPr>
            <w:noProof/>
            <w:webHidden/>
          </w:rPr>
        </w:r>
        <w:r w:rsidR="00826480">
          <w:rPr>
            <w:noProof/>
            <w:webHidden/>
          </w:rPr>
          <w:fldChar w:fldCharType="separate"/>
        </w:r>
        <w:r w:rsidR="00D97489">
          <w:rPr>
            <w:noProof/>
            <w:webHidden/>
          </w:rPr>
          <w:t>6</w:t>
        </w:r>
        <w:r w:rsidR="00826480">
          <w:rPr>
            <w:noProof/>
            <w:webHidden/>
          </w:rPr>
          <w:fldChar w:fldCharType="end"/>
        </w:r>
      </w:hyperlink>
    </w:p>
    <w:p w:rsidR="00826480" w:rsidRDefault="00BE102F" w14:paraId="589A3AC6" w14:textId="0AF6C435">
      <w:pPr>
        <w:pStyle w:val="TOC3"/>
        <w:tabs>
          <w:tab w:val="left" w:pos="1920"/>
          <w:tab w:val="right" w:leader="dot" w:pos="8990"/>
        </w:tabs>
        <w:rPr>
          <w:rFonts w:asciiTheme="minorHAnsi" w:hAnsiTheme="minorHAnsi" w:eastAsiaTheme="minorEastAsia" w:cstheme="minorBidi"/>
          <w:noProof/>
          <w:szCs w:val="22"/>
        </w:rPr>
      </w:pPr>
      <w:hyperlink w:history="1" w:anchor="_Toc79423682">
        <w:r w:rsidRPr="00CB1979" w:rsidR="00826480">
          <w:rPr>
            <w:rStyle w:val="Hyperlink"/>
            <w:noProof/>
          </w:rPr>
          <w:t>B.2.5</w:t>
        </w:r>
        <w:r w:rsidR="00826480">
          <w:rPr>
            <w:rFonts w:asciiTheme="minorHAnsi" w:hAnsiTheme="minorHAnsi" w:eastAsiaTheme="minorEastAsia" w:cstheme="minorBidi"/>
            <w:noProof/>
            <w:szCs w:val="22"/>
          </w:rPr>
          <w:tab/>
        </w:r>
        <w:r w:rsidRPr="00CB1979" w:rsidR="00826480">
          <w:rPr>
            <w:rStyle w:val="Hyperlink"/>
            <w:noProof/>
          </w:rPr>
          <w:t>Use of Periodic Data Collection Cycles to Reduce Burden</w:t>
        </w:r>
        <w:r w:rsidR="00826480">
          <w:rPr>
            <w:noProof/>
            <w:webHidden/>
          </w:rPr>
          <w:tab/>
        </w:r>
        <w:r w:rsidR="00826480">
          <w:rPr>
            <w:noProof/>
            <w:webHidden/>
          </w:rPr>
          <w:fldChar w:fldCharType="begin"/>
        </w:r>
        <w:r w:rsidR="00826480">
          <w:rPr>
            <w:noProof/>
            <w:webHidden/>
          </w:rPr>
          <w:instrText xml:space="preserve"> PAGEREF _Toc79423682 \h </w:instrText>
        </w:r>
        <w:r w:rsidR="00826480">
          <w:rPr>
            <w:noProof/>
            <w:webHidden/>
          </w:rPr>
        </w:r>
        <w:r w:rsidR="00826480">
          <w:rPr>
            <w:noProof/>
            <w:webHidden/>
          </w:rPr>
          <w:fldChar w:fldCharType="separate"/>
        </w:r>
        <w:r w:rsidR="00D97489">
          <w:rPr>
            <w:noProof/>
            <w:webHidden/>
          </w:rPr>
          <w:t>6</w:t>
        </w:r>
        <w:r w:rsidR="00826480">
          <w:rPr>
            <w:noProof/>
            <w:webHidden/>
          </w:rPr>
          <w:fldChar w:fldCharType="end"/>
        </w:r>
      </w:hyperlink>
    </w:p>
    <w:p w:rsidR="00826480" w:rsidRDefault="00BE102F" w14:paraId="2FCDB55E" w14:textId="37D1E518">
      <w:pPr>
        <w:pStyle w:val="TOC2"/>
        <w:tabs>
          <w:tab w:val="left" w:pos="1152"/>
          <w:tab w:val="right" w:leader="dot" w:pos="8990"/>
        </w:tabs>
        <w:rPr>
          <w:rFonts w:asciiTheme="minorHAnsi" w:hAnsiTheme="minorHAnsi" w:eastAsiaTheme="minorEastAsia" w:cstheme="minorBidi"/>
          <w:noProof/>
          <w:szCs w:val="22"/>
        </w:rPr>
      </w:pPr>
      <w:hyperlink w:history="1" w:anchor="_Toc79423683">
        <w:r w:rsidRPr="00CB1979" w:rsidR="00826480">
          <w:rPr>
            <w:rStyle w:val="Hyperlink"/>
            <w:noProof/>
          </w:rPr>
          <w:t>B.3</w:t>
        </w:r>
        <w:r w:rsidR="00826480">
          <w:rPr>
            <w:rFonts w:asciiTheme="minorHAnsi" w:hAnsiTheme="minorHAnsi" w:eastAsiaTheme="minorEastAsia" w:cstheme="minorBidi"/>
            <w:noProof/>
            <w:szCs w:val="22"/>
          </w:rPr>
          <w:tab/>
        </w:r>
        <w:r w:rsidRPr="00CB1979" w:rsidR="00826480">
          <w:rPr>
            <w:rStyle w:val="Hyperlink"/>
            <w:noProof/>
          </w:rPr>
          <w:t>Methods to Maximize Response Rates and Deal with Nonresponse</w:t>
        </w:r>
        <w:r w:rsidR="00826480">
          <w:rPr>
            <w:noProof/>
            <w:webHidden/>
          </w:rPr>
          <w:tab/>
        </w:r>
        <w:r w:rsidR="00826480">
          <w:rPr>
            <w:noProof/>
            <w:webHidden/>
          </w:rPr>
          <w:fldChar w:fldCharType="begin"/>
        </w:r>
        <w:r w:rsidR="00826480">
          <w:rPr>
            <w:noProof/>
            <w:webHidden/>
          </w:rPr>
          <w:instrText xml:space="preserve"> PAGEREF _Toc79423683 \h </w:instrText>
        </w:r>
        <w:r w:rsidR="00826480">
          <w:rPr>
            <w:noProof/>
            <w:webHidden/>
          </w:rPr>
        </w:r>
        <w:r w:rsidR="00826480">
          <w:rPr>
            <w:noProof/>
            <w:webHidden/>
          </w:rPr>
          <w:fldChar w:fldCharType="separate"/>
        </w:r>
        <w:r w:rsidR="00D97489">
          <w:rPr>
            <w:noProof/>
            <w:webHidden/>
          </w:rPr>
          <w:t>6</w:t>
        </w:r>
        <w:r w:rsidR="00826480">
          <w:rPr>
            <w:noProof/>
            <w:webHidden/>
          </w:rPr>
          <w:fldChar w:fldCharType="end"/>
        </w:r>
      </w:hyperlink>
    </w:p>
    <w:p w:rsidR="00826480" w:rsidRDefault="00BE102F" w14:paraId="01B39F29" w14:textId="0A4E9A45">
      <w:pPr>
        <w:pStyle w:val="TOC3"/>
        <w:tabs>
          <w:tab w:val="left" w:pos="1920"/>
          <w:tab w:val="right" w:leader="dot" w:pos="8990"/>
        </w:tabs>
        <w:rPr>
          <w:rFonts w:asciiTheme="minorHAnsi" w:hAnsiTheme="minorHAnsi" w:eastAsiaTheme="minorEastAsia" w:cstheme="minorBidi"/>
          <w:noProof/>
          <w:szCs w:val="22"/>
        </w:rPr>
      </w:pPr>
      <w:hyperlink w:history="1" w:anchor="_Toc79423684">
        <w:r w:rsidRPr="00CB1979" w:rsidR="00826480">
          <w:rPr>
            <w:rStyle w:val="Hyperlink"/>
            <w:noProof/>
          </w:rPr>
          <w:t>B.3.1</w:t>
        </w:r>
        <w:r w:rsidR="00826480">
          <w:rPr>
            <w:rFonts w:asciiTheme="minorHAnsi" w:hAnsiTheme="minorHAnsi" w:eastAsiaTheme="minorEastAsia" w:cstheme="minorBidi"/>
            <w:noProof/>
            <w:szCs w:val="22"/>
          </w:rPr>
          <w:tab/>
        </w:r>
        <w:r w:rsidRPr="00CB1979" w:rsidR="00826480">
          <w:rPr>
            <w:rStyle w:val="Hyperlink"/>
            <w:noProof/>
          </w:rPr>
          <w:t>Maximize Response Rates</w:t>
        </w:r>
        <w:r w:rsidR="00826480">
          <w:rPr>
            <w:noProof/>
            <w:webHidden/>
          </w:rPr>
          <w:tab/>
        </w:r>
        <w:r w:rsidR="00826480">
          <w:rPr>
            <w:noProof/>
            <w:webHidden/>
          </w:rPr>
          <w:fldChar w:fldCharType="begin"/>
        </w:r>
        <w:r w:rsidR="00826480">
          <w:rPr>
            <w:noProof/>
            <w:webHidden/>
          </w:rPr>
          <w:instrText xml:space="preserve"> PAGEREF _Toc79423684 \h </w:instrText>
        </w:r>
        <w:r w:rsidR="00826480">
          <w:rPr>
            <w:noProof/>
            <w:webHidden/>
          </w:rPr>
        </w:r>
        <w:r w:rsidR="00826480">
          <w:rPr>
            <w:noProof/>
            <w:webHidden/>
          </w:rPr>
          <w:fldChar w:fldCharType="separate"/>
        </w:r>
        <w:r w:rsidR="00D97489">
          <w:rPr>
            <w:noProof/>
            <w:webHidden/>
          </w:rPr>
          <w:t>6</w:t>
        </w:r>
        <w:r w:rsidR="00826480">
          <w:rPr>
            <w:noProof/>
            <w:webHidden/>
          </w:rPr>
          <w:fldChar w:fldCharType="end"/>
        </w:r>
      </w:hyperlink>
    </w:p>
    <w:p w:rsidR="00826480" w:rsidRDefault="00BE102F" w14:paraId="62ED8A5C" w14:textId="048106A9">
      <w:pPr>
        <w:pStyle w:val="TOC3"/>
        <w:tabs>
          <w:tab w:val="left" w:pos="1920"/>
          <w:tab w:val="right" w:leader="dot" w:pos="8990"/>
        </w:tabs>
        <w:rPr>
          <w:rFonts w:asciiTheme="minorHAnsi" w:hAnsiTheme="minorHAnsi" w:eastAsiaTheme="minorEastAsia" w:cstheme="minorBidi"/>
          <w:noProof/>
          <w:szCs w:val="22"/>
        </w:rPr>
      </w:pPr>
      <w:hyperlink w:history="1" w:anchor="_Toc79423685">
        <w:r w:rsidRPr="00CB1979" w:rsidR="00826480">
          <w:rPr>
            <w:rStyle w:val="Hyperlink"/>
            <w:noProof/>
          </w:rPr>
          <w:t>B.3.2</w:t>
        </w:r>
        <w:r w:rsidR="00826480">
          <w:rPr>
            <w:rFonts w:asciiTheme="minorHAnsi" w:hAnsiTheme="minorHAnsi" w:eastAsiaTheme="minorEastAsia" w:cstheme="minorBidi"/>
            <w:noProof/>
            <w:szCs w:val="22"/>
          </w:rPr>
          <w:tab/>
        </w:r>
        <w:r w:rsidRPr="00CB1979" w:rsidR="00826480">
          <w:rPr>
            <w:rStyle w:val="Hyperlink"/>
            <w:noProof/>
          </w:rPr>
          <w:t>Dealing with Non-Response</w:t>
        </w:r>
        <w:r w:rsidR="00826480">
          <w:rPr>
            <w:noProof/>
            <w:webHidden/>
          </w:rPr>
          <w:tab/>
        </w:r>
        <w:r w:rsidR="00826480">
          <w:rPr>
            <w:noProof/>
            <w:webHidden/>
          </w:rPr>
          <w:fldChar w:fldCharType="begin"/>
        </w:r>
        <w:r w:rsidR="00826480">
          <w:rPr>
            <w:noProof/>
            <w:webHidden/>
          </w:rPr>
          <w:instrText xml:space="preserve"> PAGEREF _Toc79423685 \h </w:instrText>
        </w:r>
        <w:r w:rsidR="00826480">
          <w:rPr>
            <w:noProof/>
            <w:webHidden/>
          </w:rPr>
        </w:r>
        <w:r w:rsidR="00826480">
          <w:rPr>
            <w:noProof/>
            <w:webHidden/>
          </w:rPr>
          <w:fldChar w:fldCharType="separate"/>
        </w:r>
        <w:r w:rsidR="00D97489">
          <w:rPr>
            <w:noProof/>
            <w:webHidden/>
          </w:rPr>
          <w:t>8</w:t>
        </w:r>
        <w:r w:rsidR="00826480">
          <w:rPr>
            <w:noProof/>
            <w:webHidden/>
          </w:rPr>
          <w:fldChar w:fldCharType="end"/>
        </w:r>
      </w:hyperlink>
    </w:p>
    <w:p w:rsidR="00826480" w:rsidRDefault="00BE102F" w14:paraId="4DE1DA8B" w14:textId="64E940B5">
      <w:pPr>
        <w:pStyle w:val="TOC2"/>
        <w:tabs>
          <w:tab w:val="left" w:pos="1152"/>
          <w:tab w:val="right" w:leader="dot" w:pos="8990"/>
        </w:tabs>
        <w:rPr>
          <w:rFonts w:asciiTheme="minorHAnsi" w:hAnsiTheme="minorHAnsi" w:eastAsiaTheme="minorEastAsia" w:cstheme="minorBidi"/>
          <w:noProof/>
          <w:szCs w:val="22"/>
        </w:rPr>
      </w:pPr>
      <w:hyperlink w:history="1" w:anchor="_Toc79423686">
        <w:r w:rsidRPr="00CB1979" w:rsidR="00826480">
          <w:rPr>
            <w:rStyle w:val="Hyperlink"/>
            <w:noProof/>
          </w:rPr>
          <w:t>B.4</w:t>
        </w:r>
        <w:r w:rsidR="00826480">
          <w:rPr>
            <w:rFonts w:asciiTheme="minorHAnsi" w:hAnsiTheme="minorHAnsi" w:eastAsiaTheme="minorEastAsia" w:cstheme="minorBidi"/>
            <w:noProof/>
            <w:szCs w:val="22"/>
          </w:rPr>
          <w:tab/>
        </w:r>
        <w:r w:rsidRPr="00CB1979" w:rsidR="00826480">
          <w:rPr>
            <w:rStyle w:val="Hyperlink"/>
            <w:noProof/>
          </w:rPr>
          <w:t>Test of Procedures and Methods to Be Undertaken</w:t>
        </w:r>
        <w:r w:rsidR="00826480">
          <w:rPr>
            <w:noProof/>
            <w:webHidden/>
          </w:rPr>
          <w:tab/>
        </w:r>
        <w:r w:rsidR="00826480">
          <w:rPr>
            <w:noProof/>
            <w:webHidden/>
          </w:rPr>
          <w:fldChar w:fldCharType="begin"/>
        </w:r>
        <w:r w:rsidR="00826480">
          <w:rPr>
            <w:noProof/>
            <w:webHidden/>
          </w:rPr>
          <w:instrText xml:space="preserve"> PAGEREF _Toc79423686 \h </w:instrText>
        </w:r>
        <w:r w:rsidR="00826480">
          <w:rPr>
            <w:noProof/>
            <w:webHidden/>
          </w:rPr>
        </w:r>
        <w:r w:rsidR="00826480">
          <w:rPr>
            <w:noProof/>
            <w:webHidden/>
          </w:rPr>
          <w:fldChar w:fldCharType="separate"/>
        </w:r>
        <w:r w:rsidR="00D97489">
          <w:rPr>
            <w:noProof/>
            <w:webHidden/>
          </w:rPr>
          <w:t>8</w:t>
        </w:r>
        <w:r w:rsidR="00826480">
          <w:rPr>
            <w:noProof/>
            <w:webHidden/>
          </w:rPr>
          <w:fldChar w:fldCharType="end"/>
        </w:r>
      </w:hyperlink>
    </w:p>
    <w:p w:rsidR="00826480" w:rsidRDefault="00BE102F" w14:paraId="6C89DF49" w14:textId="63644C40">
      <w:pPr>
        <w:pStyle w:val="TOC2"/>
        <w:tabs>
          <w:tab w:val="left" w:pos="1152"/>
          <w:tab w:val="right" w:leader="dot" w:pos="8990"/>
        </w:tabs>
        <w:rPr>
          <w:rFonts w:asciiTheme="minorHAnsi" w:hAnsiTheme="minorHAnsi" w:eastAsiaTheme="minorEastAsia" w:cstheme="minorBidi"/>
          <w:noProof/>
          <w:szCs w:val="22"/>
        </w:rPr>
      </w:pPr>
      <w:hyperlink w:history="1" w:anchor="_Toc79423687">
        <w:r w:rsidRPr="00CB1979" w:rsidR="00826480">
          <w:rPr>
            <w:rStyle w:val="Hyperlink"/>
            <w:noProof/>
          </w:rPr>
          <w:t>B.5</w:t>
        </w:r>
        <w:r w:rsidR="00826480">
          <w:rPr>
            <w:rFonts w:asciiTheme="minorHAnsi" w:hAnsiTheme="minorHAnsi" w:eastAsiaTheme="minorEastAsia" w:cstheme="minorBidi"/>
            <w:noProof/>
            <w:szCs w:val="22"/>
          </w:rPr>
          <w:tab/>
        </w:r>
        <w:r w:rsidRPr="00CB1979" w:rsidR="00826480">
          <w:rPr>
            <w:rStyle w:val="Hyperlink"/>
            <w:noProof/>
          </w:rPr>
          <w:t>Individuals Consulted on Statistical Aspects of the Design</w:t>
        </w:r>
        <w:r w:rsidR="00826480">
          <w:rPr>
            <w:noProof/>
            <w:webHidden/>
          </w:rPr>
          <w:tab/>
        </w:r>
        <w:r w:rsidR="00826480">
          <w:rPr>
            <w:noProof/>
            <w:webHidden/>
          </w:rPr>
          <w:fldChar w:fldCharType="begin"/>
        </w:r>
        <w:r w:rsidR="00826480">
          <w:rPr>
            <w:noProof/>
            <w:webHidden/>
          </w:rPr>
          <w:instrText xml:space="preserve"> PAGEREF _Toc79423687 \h </w:instrText>
        </w:r>
        <w:r w:rsidR="00826480">
          <w:rPr>
            <w:noProof/>
            <w:webHidden/>
          </w:rPr>
        </w:r>
        <w:r w:rsidR="00826480">
          <w:rPr>
            <w:noProof/>
            <w:webHidden/>
          </w:rPr>
          <w:fldChar w:fldCharType="separate"/>
        </w:r>
        <w:r w:rsidR="00D97489">
          <w:rPr>
            <w:noProof/>
            <w:webHidden/>
          </w:rPr>
          <w:t>9</w:t>
        </w:r>
        <w:r w:rsidR="00826480">
          <w:rPr>
            <w:noProof/>
            <w:webHidden/>
          </w:rPr>
          <w:fldChar w:fldCharType="end"/>
        </w:r>
      </w:hyperlink>
    </w:p>
    <w:p w:rsidR="00826480" w:rsidRDefault="00BE102F" w14:paraId="0047D6BB" w14:textId="19CE0DB1">
      <w:pPr>
        <w:pStyle w:val="TOC2"/>
        <w:tabs>
          <w:tab w:val="right" w:leader="dot" w:pos="8990"/>
        </w:tabs>
        <w:rPr>
          <w:rFonts w:asciiTheme="minorHAnsi" w:hAnsiTheme="minorHAnsi" w:eastAsiaTheme="minorEastAsia" w:cstheme="minorBidi"/>
          <w:noProof/>
          <w:szCs w:val="22"/>
        </w:rPr>
      </w:pPr>
      <w:hyperlink w:history="1" w:anchor="_Toc79423688">
        <w:r w:rsidRPr="00CB1979" w:rsidR="00826480">
          <w:rPr>
            <w:rStyle w:val="Hyperlink"/>
            <w:noProof/>
          </w:rPr>
          <w:t>References</w:t>
        </w:r>
        <w:r w:rsidR="00826480">
          <w:rPr>
            <w:noProof/>
            <w:webHidden/>
          </w:rPr>
          <w:tab/>
        </w:r>
        <w:r w:rsidR="00826480">
          <w:rPr>
            <w:noProof/>
            <w:webHidden/>
          </w:rPr>
          <w:fldChar w:fldCharType="begin"/>
        </w:r>
        <w:r w:rsidR="00826480">
          <w:rPr>
            <w:noProof/>
            <w:webHidden/>
          </w:rPr>
          <w:instrText xml:space="preserve"> PAGEREF _Toc79423688 \h </w:instrText>
        </w:r>
        <w:r w:rsidR="00826480">
          <w:rPr>
            <w:noProof/>
            <w:webHidden/>
          </w:rPr>
        </w:r>
        <w:r w:rsidR="00826480">
          <w:rPr>
            <w:noProof/>
            <w:webHidden/>
          </w:rPr>
          <w:fldChar w:fldCharType="separate"/>
        </w:r>
        <w:r w:rsidR="00D97489">
          <w:rPr>
            <w:noProof/>
            <w:webHidden/>
          </w:rPr>
          <w:t>11</w:t>
        </w:r>
        <w:r w:rsidR="00826480">
          <w:rPr>
            <w:noProof/>
            <w:webHidden/>
          </w:rPr>
          <w:fldChar w:fldCharType="end"/>
        </w:r>
      </w:hyperlink>
    </w:p>
    <w:p w:rsidRPr="0034497C" w:rsidR="004E19B2" w:rsidP="004E19B2" w:rsidRDefault="004E19B2" w14:paraId="5D9D7C1C" w14:textId="5F0563ED">
      <w:pPr>
        <w:pStyle w:val="BodyText"/>
        <w:rPr>
          <w:b/>
        </w:rPr>
      </w:pPr>
      <w:r w:rsidRPr="0034497C">
        <w:fldChar w:fldCharType="end"/>
      </w:r>
    </w:p>
    <w:p w:rsidRPr="0034497C" w:rsidR="004E19B2" w:rsidP="004E19B2" w:rsidRDefault="004E19B2" w14:paraId="7DAF172F" w14:textId="77777777">
      <w:pPr>
        <w:spacing w:after="0" w:line="240" w:lineRule="auto"/>
      </w:pPr>
    </w:p>
    <w:p w:rsidRPr="0034497C" w:rsidR="004E19B2" w:rsidP="004E19B2" w:rsidRDefault="004E19B2" w14:paraId="41195E2F" w14:textId="77777777">
      <w:pPr>
        <w:pStyle w:val="BodyText"/>
        <w:sectPr w:rsidRPr="0034497C" w:rsidR="004E19B2" w:rsidSect="00C00028">
          <w:headerReference w:type="default" r:id="rId15"/>
          <w:footerReference w:type="default" r:id="rId16"/>
          <w:pgSz w:w="12240" w:h="15840" w:code="1"/>
          <w:pgMar w:top="1440" w:right="1440" w:bottom="1440" w:left="1800" w:header="864" w:footer="720" w:gutter="0"/>
          <w:pgNumType w:fmt="lowerRoman" w:start="1"/>
          <w:cols w:space="720"/>
          <w:docGrid w:linePitch="299"/>
        </w:sectPr>
      </w:pPr>
    </w:p>
    <w:p w:rsidRPr="0034497C" w:rsidR="004E19B2" w:rsidP="004E19B2" w:rsidRDefault="004E19B2" w14:paraId="053F1183" w14:textId="1165A2A3">
      <w:pPr>
        <w:pStyle w:val="Heading1"/>
      </w:pPr>
      <w:bookmarkStart w:name="_Toc79423671" w:id="1"/>
      <w:r w:rsidRPr="0034497C">
        <w:lastRenderedPageBreak/>
        <w:t>Collection of Information Employing Statistical Methods</w:t>
      </w:r>
      <w:bookmarkEnd w:id="1"/>
    </w:p>
    <w:p w:rsidR="004E19B2" w:rsidP="004E19B2" w:rsidRDefault="004E19B2" w14:paraId="5F8F794C" w14:textId="047C3211">
      <w:pPr>
        <w:pStyle w:val="Heading2"/>
        <w:numPr>
          <w:ilvl w:val="0"/>
          <w:numId w:val="0"/>
        </w:numPr>
      </w:pPr>
      <w:bookmarkStart w:name="_Toc79423672" w:id="2"/>
      <w:r w:rsidRPr="0034497C">
        <w:t>Introduction</w:t>
      </w:r>
      <w:bookmarkEnd w:id="2"/>
    </w:p>
    <w:p w:rsidR="00CD48F5" w:rsidP="00CD48F5" w:rsidRDefault="00CD48F5" w14:paraId="06C6EB77" w14:textId="0CD77F02">
      <w:pPr>
        <w:pStyle w:val="BodyText"/>
      </w:pPr>
      <w:r w:rsidRPr="009C765B">
        <w:t xml:space="preserve">The U.S. Department of Education </w:t>
      </w:r>
      <w:r>
        <w:t>(the Department)</w:t>
      </w:r>
      <w:r w:rsidRPr="009C765B">
        <w:t xml:space="preserve">’s Institute of Education Sciences (IES) requests clearance for </w:t>
      </w:r>
      <w:r>
        <w:t xml:space="preserve">new </w:t>
      </w:r>
      <w:r w:rsidRPr="009C765B">
        <w:t>data col</w:t>
      </w:r>
      <w:r>
        <w:t xml:space="preserve">lection activities to support a national evaluation of the Comprehensive Centers (CCs) program. </w:t>
      </w:r>
      <w:r w:rsidRPr="00C86A0D">
        <w:t>Specifically, this request covers surveys of</w:t>
      </w:r>
      <w:r>
        <w:t xml:space="preserve"> state and local education agency staff who are recipients of CC</w:t>
      </w:r>
      <w:r w:rsidRPr="00C86A0D">
        <w:t xml:space="preserve"> </w:t>
      </w:r>
      <w:r>
        <w:t xml:space="preserve">technical assistance (TA) </w:t>
      </w:r>
      <w:r w:rsidRPr="00C86A0D">
        <w:t xml:space="preserve">and interviews with </w:t>
      </w:r>
      <w:r>
        <w:t xml:space="preserve">the directors of the </w:t>
      </w:r>
      <w:r w:rsidRPr="00C86A0D">
        <w:t>CC</w:t>
      </w:r>
      <w:r>
        <w:t>s</w:t>
      </w:r>
      <w:r w:rsidRPr="00C86A0D">
        <w:t xml:space="preserve"> and </w:t>
      </w:r>
      <w:r>
        <w:t xml:space="preserve">another federal technical assistance network with whom the CCs are intended to collaborate—the </w:t>
      </w:r>
      <w:r w:rsidRPr="00C86A0D">
        <w:t>Regional Education</w:t>
      </w:r>
      <w:r>
        <w:t>al</w:t>
      </w:r>
      <w:r w:rsidRPr="00C86A0D">
        <w:t xml:space="preserve"> Laborator</w:t>
      </w:r>
      <w:r>
        <w:t>ies</w:t>
      </w:r>
      <w:r w:rsidRPr="00C86A0D">
        <w:t xml:space="preserve"> (REL</w:t>
      </w:r>
      <w:r>
        <w:t>s</w:t>
      </w:r>
      <w:r w:rsidRPr="00C86A0D">
        <w:t>)</w:t>
      </w:r>
      <w:r>
        <w:t>.</w:t>
      </w:r>
    </w:p>
    <w:p w:rsidR="0061467B" w:rsidP="00CD48F5" w:rsidRDefault="00CD48F5" w14:paraId="136FD7C6" w14:textId="61A31E0E">
      <w:pPr>
        <w:pStyle w:val="BodyText"/>
      </w:pPr>
      <w:r w:rsidRPr="00724683" w:rsidDel="00EF0082">
        <w:t>The</w:t>
      </w:r>
      <w:r w:rsidRPr="003E4F6A">
        <w:t xml:space="preserve"> </w:t>
      </w:r>
      <w:r w:rsidR="0061467B">
        <w:t>CC</w:t>
      </w:r>
      <w:r w:rsidRPr="003E4F6A">
        <w:t xml:space="preserve"> program, funded by the Department at over $50 million per year, provides training, tools, and other supports to help </w:t>
      </w:r>
      <w:r>
        <w:t>state education agencies and local education</w:t>
      </w:r>
      <w:r w:rsidRPr="003E4F6A">
        <w:t xml:space="preserve"> agencies carry out their education plans and take steps to close achievement gaps. The </w:t>
      </w:r>
      <w:r>
        <w:t>CCs’</w:t>
      </w:r>
      <w:r w:rsidRPr="003E4F6A">
        <w:t xml:space="preserve"> services aim to build individual and organizational capacity to help identify and solve key problems. This evaluation will examine the delivery and usefulness of the C</w:t>
      </w:r>
      <w:r w:rsidR="008479DF">
        <w:t>C</w:t>
      </w:r>
      <w:r w:rsidRPr="003E4F6A">
        <w:t>s</w:t>
      </w:r>
      <w:r>
        <w:t>’</w:t>
      </w:r>
      <w:r w:rsidRPr="003E4F6A">
        <w:t xml:space="preserve"> technical assistance, given potential new stakeholder needs and changes in the C</w:t>
      </w:r>
      <w:r w:rsidR="008479DF">
        <w:t>C</w:t>
      </w:r>
      <w:r w:rsidRPr="003E4F6A">
        <w:t xml:space="preserve"> program that took effect with the 20 new grants awarded in in 2019. </w:t>
      </w:r>
    </w:p>
    <w:p w:rsidR="00D13D09" w:rsidP="00BD2270" w:rsidRDefault="00CD48F5" w14:paraId="2180AF60" w14:textId="71B48CCA">
      <w:pPr>
        <w:pStyle w:val="BodyText"/>
        <w:rPr>
          <w:rFonts w:eastAsia="Calibri"/>
        </w:rPr>
      </w:pPr>
      <w:r w:rsidRPr="003E4F6A">
        <w:t>Congress requires a</w:t>
      </w:r>
      <w:r w:rsidR="00FD3453">
        <w:t>n</w:t>
      </w:r>
      <w:r w:rsidRPr="003E4F6A">
        <w:t xml:space="preserve"> </w:t>
      </w:r>
      <w:r w:rsidR="00FD3453">
        <w:t xml:space="preserve">ongoing </w:t>
      </w:r>
      <w:r w:rsidRPr="003E4F6A">
        <w:t>evaluation of the Comprehensive Centers program, with the results intended to inform ongoing program improvements.</w:t>
      </w:r>
      <w:r w:rsidR="008D4774">
        <w:t xml:space="preserve"> </w:t>
      </w:r>
      <w:bookmarkStart w:name="_Hlk73902328" w:id="3"/>
      <w:bookmarkStart w:name="_Toc60756785" w:id="4"/>
      <w:r w:rsidR="00BD2270">
        <w:rPr>
          <w:rFonts w:eastAsia="Calibri"/>
        </w:rPr>
        <w:t xml:space="preserve">IES has contracted with Abt Associates and its partners </w:t>
      </w:r>
      <w:proofErr w:type="spellStart"/>
      <w:r w:rsidR="00BD2270">
        <w:rPr>
          <w:rFonts w:eastAsia="Calibri"/>
        </w:rPr>
        <w:t>AnLar</w:t>
      </w:r>
      <w:proofErr w:type="spellEnd"/>
      <w:r w:rsidR="00BD2270">
        <w:rPr>
          <w:rFonts w:eastAsia="Calibri"/>
        </w:rPr>
        <w:t>, Educational Testing Service (ETS), and the Center for Research in Education &amp; Social Policy (CRESP) at the University of Delaware to conduct this evaluation</w:t>
      </w:r>
      <w:r w:rsidRPr="007E5940" w:rsidR="003D4751">
        <w:t xml:space="preserve">. </w:t>
      </w:r>
    </w:p>
    <w:p w:rsidRPr="0034497C" w:rsidR="003D4751" w:rsidP="00826523" w:rsidRDefault="00776583" w14:paraId="06D921E2" w14:textId="41058392">
      <w:pPr>
        <w:pStyle w:val="BodyText"/>
      </w:pPr>
      <w:r>
        <w:rPr>
          <w:rFonts w:eastAsia="Calibri"/>
        </w:rPr>
        <w:t>T</w:t>
      </w:r>
      <w:r w:rsidRPr="00C84AF8" w:rsidR="003D4751">
        <w:t>he evaluation will collect data to answer</w:t>
      </w:r>
      <w:r w:rsidRPr="0034497C" w:rsidR="003D4751">
        <w:t xml:space="preserve"> and report on the </w:t>
      </w:r>
      <w:r w:rsidR="00F35ED4">
        <w:t xml:space="preserve">research </w:t>
      </w:r>
      <w:r w:rsidRPr="0034497C" w:rsidR="003D4751">
        <w:t xml:space="preserve">questions shown in </w:t>
      </w:r>
      <w:r w:rsidRPr="00A03363" w:rsidR="003D4751">
        <w:t>Exhibit B1</w:t>
      </w:r>
      <w:r w:rsidRPr="0034497C" w:rsidR="003D4751">
        <w:t xml:space="preserve"> below.</w:t>
      </w:r>
    </w:p>
    <w:bookmarkEnd w:id="3"/>
    <w:p w:rsidR="00D153A6" w:rsidP="00826523" w:rsidRDefault="00D153A6" w14:paraId="1B9821B5" w14:textId="77777777">
      <w:pPr>
        <w:pStyle w:val="BodyText"/>
        <w:rPr>
          <w:rFonts w:ascii="Arial" w:hAnsi="Arial" w:cs="Arial"/>
          <w:szCs w:val="24"/>
        </w:rPr>
      </w:pPr>
      <w:r>
        <w:br w:type="page"/>
      </w:r>
    </w:p>
    <w:p w:rsidR="003D1C1C" w:rsidP="003D1C1C" w:rsidRDefault="003D1C1C" w14:paraId="749BB510" w14:textId="0B9554F4">
      <w:pPr>
        <w:pStyle w:val="Caption"/>
        <w:rPr>
          <w:sz w:val="20"/>
        </w:rPr>
      </w:pPr>
      <w:r w:rsidRPr="0034497C">
        <w:lastRenderedPageBreak/>
        <w:t xml:space="preserve">Exhibit B1: </w:t>
      </w:r>
      <w:r w:rsidR="00667FCC">
        <w:t>CC Evaluation</w:t>
      </w:r>
      <w:r w:rsidRPr="0034497C" w:rsidR="00667FCC">
        <w:t xml:space="preserve"> </w:t>
      </w:r>
      <w:r w:rsidRPr="0034497C">
        <w:t>Research Questions</w:t>
      </w:r>
    </w:p>
    <w:tbl>
      <w:tblPr>
        <w:tblStyle w:val="TableGrid"/>
        <w:tblW w:w="9345" w:type="dxa"/>
        <w:tblBorders>
          <w:top w:val="single" w:color="44546A" w:themeColor="text2" w:sz="12" w:space="0"/>
          <w:left w:val="single" w:color="44546A" w:themeColor="text2" w:sz="12" w:space="0"/>
          <w:bottom w:val="single" w:color="44546A" w:themeColor="text2" w:sz="12" w:space="0"/>
          <w:right w:val="single" w:color="44546A" w:themeColor="text2" w:sz="12" w:space="0"/>
          <w:insideH w:val="single" w:color="44546A" w:themeColor="text2" w:sz="12" w:space="0"/>
          <w:insideV w:val="single" w:color="44546A" w:themeColor="text2" w:sz="12" w:space="0"/>
        </w:tblBorders>
        <w:shd w:val="clear" w:color="auto" w:fill="9CC2E5" w:themeFill="accent1" w:themeFillTint="99"/>
        <w:tblLook w:val="04A0" w:firstRow="1" w:lastRow="0" w:firstColumn="1" w:lastColumn="0" w:noHBand="0" w:noVBand="1"/>
      </w:tblPr>
      <w:tblGrid>
        <w:gridCol w:w="9345"/>
      </w:tblGrid>
      <w:tr w:rsidRPr="002259AD" w:rsidR="003D1C1C" w:rsidTr="00310C94" w14:paraId="76C1D82B" w14:textId="77777777">
        <w:tc>
          <w:tcPr>
            <w:tcW w:w="9345" w:type="dxa"/>
            <w:shd w:val="clear" w:color="auto" w:fill="DEEAF6" w:themeFill="accent1" w:themeFillTint="33"/>
          </w:tcPr>
          <w:p w:rsidRPr="002259AD" w:rsidR="00250268" w:rsidP="00D153A6" w:rsidRDefault="00250268" w14:paraId="28D613DF" w14:textId="7AE8D11B">
            <w:pPr>
              <w:pStyle w:val="BodyText"/>
              <w:spacing w:after="120"/>
              <w:rPr>
                <w:rFonts w:ascii="Arial Narrow" w:hAnsi="Arial Narrow" w:cstheme="minorBidi"/>
                <w:b/>
                <w:sz w:val="22"/>
                <w:szCs w:val="22"/>
              </w:rPr>
            </w:pPr>
            <w:r w:rsidRPr="002259AD">
              <w:rPr>
                <w:rFonts w:ascii="Arial Narrow" w:hAnsi="Arial Narrow" w:cstheme="minorBidi"/>
                <w:b/>
                <w:sz w:val="22"/>
                <w:szCs w:val="22"/>
              </w:rPr>
              <w:t xml:space="preserve">RQ1: What types of educational problems are addressed by Comprehensive Centers, and does the Comprehensive Centers’ focus align with the priorities identified by </w:t>
            </w:r>
            <w:r w:rsidRPr="002259AD" w:rsidR="00667FCC">
              <w:rPr>
                <w:rFonts w:ascii="Arial Narrow" w:hAnsi="Arial Narrow" w:cstheme="minorBidi"/>
                <w:b/>
                <w:sz w:val="22"/>
                <w:szCs w:val="22"/>
              </w:rPr>
              <w:t>TA recipients</w:t>
            </w:r>
            <w:r w:rsidRPr="002259AD">
              <w:rPr>
                <w:rFonts w:ascii="Arial Narrow" w:hAnsi="Arial Narrow" w:cstheme="minorBidi"/>
                <w:b/>
                <w:sz w:val="22"/>
                <w:szCs w:val="22"/>
              </w:rPr>
              <w:t>? To what extent did Comprehensive Centers shift the focus of their work in response to COVID-19, and how?</w:t>
            </w:r>
          </w:p>
          <w:p w:rsidRPr="002259AD" w:rsidR="00250268" w:rsidP="00D153A6" w:rsidRDefault="00250268" w14:paraId="37C51812" w14:textId="31B90115">
            <w:pPr>
              <w:pStyle w:val="BodyText"/>
              <w:spacing w:after="120"/>
              <w:ind w:left="420" w:hanging="420"/>
              <w:rPr>
                <w:rFonts w:ascii="Arial Narrow" w:hAnsi="Arial Narrow" w:cstheme="minorBidi"/>
                <w:bCs/>
                <w:sz w:val="22"/>
                <w:szCs w:val="22"/>
              </w:rPr>
            </w:pPr>
            <w:r w:rsidRPr="002259AD">
              <w:rPr>
                <w:rFonts w:ascii="Arial Narrow" w:hAnsi="Arial Narrow" w:cstheme="minorBidi"/>
                <w:bCs/>
                <w:sz w:val="22"/>
                <w:szCs w:val="22"/>
              </w:rPr>
              <w:t>1.1</w:t>
            </w:r>
            <w:r w:rsidRPr="002259AD">
              <w:rPr>
                <w:rFonts w:ascii="Arial Narrow" w:hAnsi="Arial Narrow" w:cstheme="minorBidi"/>
                <w:bCs/>
                <w:sz w:val="22"/>
                <w:szCs w:val="22"/>
              </w:rPr>
              <w:tab/>
              <w:t>What are the most common educational problems that Comprehensive Centers’ project</w:t>
            </w:r>
            <w:r w:rsidRPr="002259AD" w:rsidR="00667FCC">
              <w:rPr>
                <w:rFonts w:ascii="Arial Narrow" w:hAnsi="Arial Narrow" w:cstheme="minorBidi"/>
                <w:bCs/>
                <w:sz w:val="22"/>
                <w:szCs w:val="22"/>
              </w:rPr>
              <w:t>s</w:t>
            </w:r>
            <w:r w:rsidRPr="002259AD">
              <w:rPr>
                <w:rFonts w:ascii="Arial Narrow" w:hAnsi="Arial Narrow" w:cstheme="minorBidi"/>
                <w:bCs/>
                <w:sz w:val="22"/>
                <w:szCs w:val="22"/>
              </w:rPr>
              <w:t xml:space="preserve"> focus on, and to what extent do they vary across Centers?</w:t>
            </w:r>
          </w:p>
          <w:p w:rsidRPr="002259AD" w:rsidR="00250268" w:rsidP="00D153A6" w:rsidRDefault="00250268" w14:paraId="1F393E03" w14:textId="50AAE90D">
            <w:pPr>
              <w:pStyle w:val="BodyText"/>
              <w:spacing w:after="120"/>
              <w:ind w:left="420" w:hanging="420"/>
              <w:rPr>
                <w:rFonts w:ascii="Arial Narrow" w:hAnsi="Arial Narrow" w:cstheme="minorBidi"/>
                <w:bCs/>
                <w:sz w:val="22"/>
                <w:szCs w:val="22"/>
              </w:rPr>
            </w:pPr>
            <w:r w:rsidRPr="002259AD">
              <w:rPr>
                <w:rFonts w:ascii="Arial Narrow" w:hAnsi="Arial Narrow" w:cstheme="minorBidi"/>
                <w:bCs/>
                <w:sz w:val="22"/>
                <w:szCs w:val="22"/>
              </w:rPr>
              <w:t>1.2</w:t>
            </w:r>
            <w:r w:rsidRPr="002259AD">
              <w:rPr>
                <w:rFonts w:ascii="Arial Narrow" w:hAnsi="Arial Narrow" w:cstheme="minorBidi"/>
                <w:bCs/>
                <w:sz w:val="22"/>
                <w:szCs w:val="22"/>
              </w:rPr>
              <w:tab/>
              <w:t xml:space="preserve">To what extent do the problems that Comprehensive Centers focus on align with the priorities of </w:t>
            </w:r>
            <w:r w:rsidRPr="002259AD" w:rsidR="00667FCC">
              <w:rPr>
                <w:rFonts w:ascii="Arial Narrow" w:hAnsi="Arial Narrow" w:cstheme="minorBidi"/>
                <w:bCs/>
                <w:sz w:val="22"/>
                <w:szCs w:val="22"/>
              </w:rPr>
              <w:t>TA recipients</w:t>
            </w:r>
            <w:r w:rsidRPr="002259AD">
              <w:rPr>
                <w:rFonts w:ascii="Arial Narrow" w:hAnsi="Arial Narrow" w:cstheme="minorBidi"/>
                <w:bCs/>
                <w:sz w:val="22"/>
                <w:szCs w:val="22"/>
              </w:rPr>
              <w:t>?</w:t>
            </w:r>
          </w:p>
          <w:p w:rsidRPr="002259AD" w:rsidR="00250268" w:rsidP="00D153A6" w:rsidRDefault="00250268" w14:paraId="720CB9E6" w14:textId="47BB7575">
            <w:pPr>
              <w:pStyle w:val="BodyText"/>
              <w:spacing w:after="120"/>
              <w:ind w:left="420" w:hanging="420"/>
              <w:rPr>
                <w:rFonts w:ascii="Arial Narrow" w:hAnsi="Arial Narrow" w:cstheme="minorBidi"/>
                <w:bCs/>
                <w:sz w:val="22"/>
                <w:szCs w:val="22"/>
              </w:rPr>
            </w:pPr>
            <w:r w:rsidRPr="002259AD">
              <w:rPr>
                <w:rFonts w:ascii="Arial Narrow" w:hAnsi="Arial Narrow" w:cstheme="minorBidi"/>
                <w:bCs/>
                <w:sz w:val="22"/>
                <w:szCs w:val="22"/>
              </w:rPr>
              <w:t>1.3</w:t>
            </w:r>
            <w:r w:rsidRPr="002259AD">
              <w:rPr>
                <w:rFonts w:ascii="Arial Narrow" w:hAnsi="Arial Narrow" w:cstheme="minorBidi"/>
                <w:bCs/>
                <w:sz w:val="22"/>
                <w:szCs w:val="22"/>
              </w:rPr>
              <w:tab/>
              <w:t xml:space="preserve">Which </w:t>
            </w:r>
            <w:r w:rsidR="00BD2270">
              <w:rPr>
                <w:rFonts w:ascii="Arial Narrow" w:hAnsi="Arial Narrow" w:cstheme="minorBidi"/>
                <w:bCs/>
                <w:sz w:val="22"/>
                <w:szCs w:val="22"/>
              </w:rPr>
              <w:t>TA recipient</w:t>
            </w:r>
            <w:r w:rsidRPr="002259AD">
              <w:rPr>
                <w:rFonts w:ascii="Arial Narrow" w:hAnsi="Arial Narrow" w:cstheme="minorBidi"/>
                <w:bCs/>
                <w:sz w:val="22"/>
                <w:szCs w:val="22"/>
              </w:rPr>
              <w:t xml:space="preserve"> priorities are not addressed by Comprehensive Center projects, and why?</w:t>
            </w:r>
          </w:p>
          <w:p w:rsidRPr="002259AD" w:rsidR="00250268" w:rsidP="00D153A6" w:rsidRDefault="00250268" w14:paraId="6D44B153" w14:textId="563FB539">
            <w:pPr>
              <w:pStyle w:val="BodyText"/>
              <w:spacing w:after="120"/>
              <w:ind w:left="420" w:hanging="420"/>
              <w:rPr>
                <w:rFonts w:ascii="Arial Narrow" w:hAnsi="Arial Narrow" w:cstheme="minorBidi"/>
                <w:bCs/>
                <w:sz w:val="22"/>
                <w:szCs w:val="22"/>
              </w:rPr>
            </w:pPr>
            <w:r w:rsidRPr="002259AD">
              <w:rPr>
                <w:rFonts w:ascii="Arial Narrow" w:hAnsi="Arial Narrow" w:cstheme="minorBidi"/>
                <w:bCs/>
                <w:sz w:val="22"/>
                <w:szCs w:val="22"/>
              </w:rPr>
              <w:t xml:space="preserve">1.4 </w:t>
            </w:r>
            <w:r w:rsidRPr="002259AD">
              <w:rPr>
                <w:rFonts w:ascii="Arial Narrow" w:hAnsi="Arial Narrow" w:cstheme="minorBidi"/>
                <w:bCs/>
                <w:sz w:val="22"/>
                <w:szCs w:val="22"/>
              </w:rPr>
              <w:tab/>
              <w:t>To what extent did Comprehensive Centers shift the focus of their work in response to COVID-19? What are the most common COVID-19-related issues that Comprehensive Centers addressed?</w:t>
            </w:r>
          </w:p>
          <w:p w:rsidRPr="002259AD" w:rsidR="00250268" w:rsidP="00D153A6" w:rsidRDefault="00250268" w14:paraId="7F53B842" w14:textId="2E53EFE5">
            <w:pPr>
              <w:pStyle w:val="BodyText"/>
              <w:spacing w:after="120"/>
              <w:ind w:left="420" w:hanging="420"/>
              <w:rPr>
                <w:rFonts w:ascii="Arial Narrow" w:hAnsi="Arial Narrow" w:cstheme="minorBidi"/>
                <w:bCs/>
                <w:sz w:val="22"/>
                <w:szCs w:val="22"/>
              </w:rPr>
            </w:pPr>
            <w:r w:rsidRPr="002259AD">
              <w:rPr>
                <w:rFonts w:ascii="Arial Narrow" w:hAnsi="Arial Narrow" w:cstheme="minorBidi"/>
                <w:bCs/>
                <w:sz w:val="22"/>
                <w:szCs w:val="22"/>
              </w:rPr>
              <w:t>1.5</w:t>
            </w:r>
            <w:r w:rsidRPr="002259AD">
              <w:rPr>
                <w:rFonts w:ascii="Arial Narrow" w:hAnsi="Arial Narrow" w:cstheme="minorBidi"/>
                <w:bCs/>
                <w:sz w:val="22"/>
                <w:szCs w:val="22"/>
              </w:rPr>
              <w:tab/>
              <w:t xml:space="preserve">To what extent were the services and activities provided by Comprehensive Centers responsive to </w:t>
            </w:r>
            <w:r w:rsidRPr="002259AD" w:rsidR="0039632D">
              <w:rPr>
                <w:rFonts w:ascii="Arial Narrow" w:hAnsi="Arial Narrow" w:cstheme="minorBidi"/>
                <w:bCs/>
                <w:sz w:val="22"/>
                <w:szCs w:val="22"/>
              </w:rPr>
              <w:t xml:space="preserve">TA recipients’ </w:t>
            </w:r>
            <w:r w:rsidRPr="002259AD">
              <w:rPr>
                <w:rFonts w:ascii="Arial Narrow" w:hAnsi="Arial Narrow" w:cstheme="minorBidi"/>
                <w:bCs/>
                <w:sz w:val="22"/>
                <w:szCs w:val="22"/>
              </w:rPr>
              <w:t>COVID-19 needs?</w:t>
            </w:r>
          </w:p>
          <w:p w:rsidRPr="002259AD" w:rsidR="00250268" w:rsidP="00D153A6" w:rsidRDefault="00250268" w14:paraId="49D0A699" w14:textId="7D95EC42">
            <w:pPr>
              <w:pStyle w:val="BodyText"/>
              <w:spacing w:after="120"/>
              <w:rPr>
                <w:rFonts w:ascii="Arial Narrow" w:hAnsi="Arial Narrow" w:cstheme="minorBidi"/>
                <w:b/>
                <w:sz w:val="22"/>
                <w:szCs w:val="22"/>
              </w:rPr>
            </w:pPr>
            <w:r w:rsidRPr="002259AD">
              <w:rPr>
                <w:rFonts w:ascii="Arial Narrow" w:hAnsi="Arial Narrow" w:cstheme="minorBidi"/>
                <w:b/>
                <w:sz w:val="22"/>
                <w:szCs w:val="22"/>
              </w:rPr>
              <w:t xml:space="preserve">RQ2: What services are Comprehensive Centers providing to </w:t>
            </w:r>
            <w:r w:rsidRPr="002259AD" w:rsidR="00667FCC">
              <w:rPr>
                <w:rFonts w:ascii="Arial Narrow" w:hAnsi="Arial Narrow" w:cstheme="minorBidi"/>
                <w:b/>
                <w:sz w:val="22"/>
                <w:szCs w:val="22"/>
              </w:rPr>
              <w:t>TA recipients</w:t>
            </w:r>
            <w:r w:rsidRPr="002259AD">
              <w:rPr>
                <w:rFonts w:ascii="Arial Narrow" w:hAnsi="Arial Narrow" w:cstheme="minorBidi"/>
                <w:b/>
                <w:sz w:val="22"/>
                <w:szCs w:val="22"/>
              </w:rPr>
              <w:t xml:space="preserve">, and to what extent do the services vary in type and intensity? </w:t>
            </w:r>
          </w:p>
          <w:p w:rsidRPr="002259AD" w:rsidR="00250268" w:rsidP="00D153A6" w:rsidRDefault="00250268" w14:paraId="649427B4" w14:textId="758282E3">
            <w:pPr>
              <w:pStyle w:val="BodyText"/>
              <w:spacing w:after="120"/>
              <w:ind w:left="420" w:hanging="420"/>
              <w:rPr>
                <w:rFonts w:ascii="Arial Narrow" w:hAnsi="Arial Narrow" w:cstheme="minorBidi"/>
                <w:bCs/>
                <w:sz w:val="22"/>
                <w:szCs w:val="22"/>
              </w:rPr>
            </w:pPr>
            <w:r w:rsidRPr="002259AD">
              <w:rPr>
                <w:rFonts w:ascii="Arial Narrow" w:hAnsi="Arial Narrow" w:cstheme="minorBidi"/>
                <w:bCs/>
                <w:sz w:val="22"/>
                <w:szCs w:val="22"/>
              </w:rPr>
              <w:t>2.1</w:t>
            </w:r>
            <w:r w:rsidRPr="002259AD">
              <w:rPr>
                <w:rFonts w:ascii="Arial Narrow" w:hAnsi="Arial Narrow" w:cstheme="minorBidi"/>
                <w:bCs/>
                <w:sz w:val="22"/>
                <w:szCs w:val="22"/>
              </w:rPr>
              <w:tab/>
              <w:t xml:space="preserve">What are the most common services that Comprehensive Centers provide to </w:t>
            </w:r>
            <w:r w:rsidRPr="002259AD" w:rsidR="0014526A">
              <w:rPr>
                <w:rFonts w:ascii="Arial Narrow" w:hAnsi="Arial Narrow" w:cstheme="minorBidi"/>
                <w:bCs/>
                <w:sz w:val="22"/>
                <w:szCs w:val="22"/>
              </w:rPr>
              <w:t>TA recipients</w:t>
            </w:r>
            <w:r w:rsidRPr="002259AD">
              <w:rPr>
                <w:rFonts w:ascii="Arial Narrow" w:hAnsi="Arial Narrow" w:cstheme="minorBidi"/>
                <w:bCs/>
                <w:sz w:val="22"/>
                <w:szCs w:val="22"/>
              </w:rPr>
              <w:t xml:space="preserve">? </w:t>
            </w:r>
          </w:p>
          <w:p w:rsidRPr="002259AD" w:rsidR="00250268" w:rsidP="00D153A6" w:rsidRDefault="00250268" w14:paraId="22C4025A" w14:textId="77777777">
            <w:pPr>
              <w:pStyle w:val="BodyText"/>
              <w:spacing w:after="120"/>
              <w:ind w:left="420" w:hanging="420"/>
              <w:rPr>
                <w:rFonts w:ascii="Arial Narrow" w:hAnsi="Arial Narrow" w:cstheme="minorBidi"/>
                <w:bCs/>
                <w:sz w:val="22"/>
                <w:szCs w:val="22"/>
              </w:rPr>
            </w:pPr>
            <w:r w:rsidRPr="002259AD">
              <w:rPr>
                <w:rFonts w:ascii="Arial Narrow" w:hAnsi="Arial Narrow" w:cstheme="minorBidi"/>
                <w:bCs/>
                <w:sz w:val="22"/>
                <w:szCs w:val="22"/>
              </w:rPr>
              <w:t xml:space="preserve">2.2 </w:t>
            </w:r>
            <w:r w:rsidRPr="002259AD">
              <w:rPr>
                <w:rFonts w:ascii="Arial Narrow" w:hAnsi="Arial Narrow" w:cstheme="minorBidi"/>
                <w:bCs/>
                <w:sz w:val="22"/>
                <w:szCs w:val="22"/>
              </w:rPr>
              <w:tab/>
              <w:t>To what extent is there variation in the types and intensity of services provided by Comprehensive Centers?</w:t>
            </w:r>
          </w:p>
          <w:p w:rsidRPr="002259AD" w:rsidR="00250268" w:rsidP="00D153A6" w:rsidRDefault="00250268" w14:paraId="549B07FE" w14:textId="74F12A89">
            <w:pPr>
              <w:pStyle w:val="BodyText"/>
              <w:spacing w:after="120"/>
              <w:rPr>
                <w:rFonts w:ascii="Arial Narrow" w:hAnsi="Arial Narrow" w:cstheme="minorBidi"/>
                <w:b/>
                <w:sz w:val="22"/>
                <w:szCs w:val="22"/>
              </w:rPr>
            </w:pPr>
            <w:r w:rsidRPr="002259AD">
              <w:rPr>
                <w:rFonts w:ascii="Arial Narrow" w:hAnsi="Arial Narrow" w:cstheme="minorBidi"/>
                <w:b/>
                <w:sz w:val="22"/>
                <w:szCs w:val="22"/>
              </w:rPr>
              <w:t xml:space="preserve">RQ3: What dimensions of capacity are Comprehensive Center projects designed to increase, and to what extent do </w:t>
            </w:r>
            <w:r w:rsidRPr="002259AD" w:rsidR="0039632D">
              <w:rPr>
                <w:rFonts w:ascii="Arial Narrow" w:hAnsi="Arial Narrow" w:cstheme="minorBidi"/>
                <w:b/>
                <w:sz w:val="22"/>
                <w:szCs w:val="22"/>
              </w:rPr>
              <w:t>TA recipients</w:t>
            </w:r>
            <w:r w:rsidRPr="002259AD">
              <w:rPr>
                <w:rFonts w:ascii="Arial Narrow" w:hAnsi="Arial Narrow" w:cstheme="minorBidi"/>
                <w:b/>
                <w:sz w:val="22"/>
                <w:szCs w:val="22"/>
              </w:rPr>
              <w:t xml:space="preserve"> report that the Centers improve their capacities? To what extent do the Comprehensive Centers build sustainable capacity?</w:t>
            </w:r>
          </w:p>
          <w:p w:rsidRPr="002259AD" w:rsidR="00250268" w:rsidP="00D153A6" w:rsidRDefault="00250268" w14:paraId="5A8E782F" w14:textId="77777777">
            <w:pPr>
              <w:pStyle w:val="BodyText"/>
              <w:spacing w:after="120"/>
              <w:ind w:left="420" w:hanging="420"/>
              <w:rPr>
                <w:rFonts w:ascii="Arial Narrow" w:hAnsi="Arial Narrow" w:cstheme="minorBidi"/>
                <w:bCs/>
                <w:sz w:val="22"/>
                <w:szCs w:val="22"/>
              </w:rPr>
            </w:pPr>
            <w:r w:rsidRPr="002259AD">
              <w:rPr>
                <w:rFonts w:ascii="Arial Narrow" w:hAnsi="Arial Narrow" w:cstheme="minorBidi"/>
                <w:bCs/>
                <w:sz w:val="22"/>
                <w:szCs w:val="22"/>
              </w:rPr>
              <w:t>3.1</w:t>
            </w:r>
            <w:r w:rsidRPr="002259AD">
              <w:rPr>
                <w:rFonts w:ascii="Arial Narrow" w:hAnsi="Arial Narrow" w:cstheme="minorBidi"/>
                <w:bCs/>
                <w:sz w:val="22"/>
                <w:szCs w:val="22"/>
              </w:rPr>
              <w:tab/>
              <w:t>What dimensions of capacity (human, organizational, policy, and resource) are Comprehensive Center projects designed to increase?</w:t>
            </w:r>
          </w:p>
          <w:p w:rsidRPr="002259AD" w:rsidR="00250268" w:rsidP="00D153A6" w:rsidRDefault="00250268" w14:paraId="26A585E8" w14:textId="2BF6B299">
            <w:pPr>
              <w:pStyle w:val="BodyText"/>
              <w:spacing w:after="120"/>
              <w:ind w:left="420" w:hanging="420"/>
              <w:rPr>
                <w:rFonts w:ascii="Arial Narrow" w:hAnsi="Arial Narrow" w:cstheme="minorBidi"/>
                <w:bCs/>
                <w:sz w:val="22"/>
                <w:szCs w:val="22"/>
              </w:rPr>
            </w:pPr>
            <w:r w:rsidRPr="002259AD">
              <w:rPr>
                <w:rFonts w:ascii="Arial Narrow" w:hAnsi="Arial Narrow" w:cstheme="minorBidi"/>
                <w:bCs/>
                <w:sz w:val="22"/>
                <w:szCs w:val="22"/>
              </w:rPr>
              <w:t xml:space="preserve">3.2 </w:t>
            </w:r>
            <w:r w:rsidRPr="002259AD">
              <w:rPr>
                <w:rFonts w:ascii="Arial Narrow" w:hAnsi="Arial Narrow" w:cstheme="minorBidi"/>
                <w:bCs/>
                <w:sz w:val="22"/>
                <w:szCs w:val="22"/>
              </w:rPr>
              <w:tab/>
              <w:t xml:space="preserve">To what extent do </w:t>
            </w:r>
            <w:r w:rsidRPr="002259AD" w:rsidR="0014526A">
              <w:rPr>
                <w:rFonts w:ascii="Arial Narrow" w:hAnsi="Arial Narrow" w:cstheme="minorBidi"/>
                <w:bCs/>
                <w:sz w:val="22"/>
                <w:szCs w:val="22"/>
              </w:rPr>
              <w:t xml:space="preserve">TA recipients </w:t>
            </w:r>
            <w:r w:rsidRPr="002259AD">
              <w:rPr>
                <w:rFonts w:ascii="Arial Narrow" w:hAnsi="Arial Narrow" w:cstheme="minorBidi"/>
                <w:bCs/>
                <w:sz w:val="22"/>
                <w:szCs w:val="22"/>
              </w:rPr>
              <w:t>report that Comprehensive Centers improve their capacity and in what dimensions?</w:t>
            </w:r>
          </w:p>
          <w:p w:rsidRPr="002259AD" w:rsidR="00250268" w:rsidP="00D153A6" w:rsidRDefault="00250268" w14:paraId="370EDF29" w14:textId="1B31B318">
            <w:pPr>
              <w:pStyle w:val="BodyText"/>
              <w:spacing w:after="120"/>
              <w:ind w:left="420" w:hanging="420"/>
              <w:rPr>
                <w:rFonts w:ascii="Arial Narrow" w:hAnsi="Arial Narrow" w:cstheme="minorBidi"/>
                <w:bCs/>
                <w:sz w:val="22"/>
                <w:szCs w:val="22"/>
              </w:rPr>
            </w:pPr>
            <w:r w:rsidRPr="002259AD">
              <w:rPr>
                <w:rFonts w:ascii="Arial Narrow" w:hAnsi="Arial Narrow" w:cstheme="minorBidi"/>
                <w:bCs/>
                <w:sz w:val="22"/>
                <w:szCs w:val="22"/>
              </w:rPr>
              <w:t xml:space="preserve">3.3  </w:t>
            </w:r>
            <w:r w:rsidRPr="002259AD" w:rsidR="00C84AF8">
              <w:rPr>
                <w:rFonts w:ascii="Arial Narrow" w:hAnsi="Arial Narrow" w:cstheme="minorBidi"/>
                <w:bCs/>
                <w:sz w:val="22"/>
                <w:szCs w:val="22"/>
              </w:rPr>
              <w:tab/>
            </w:r>
            <w:r w:rsidRPr="002259AD">
              <w:rPr>
                <w:rFonts w:ascii="Arial Narrow" w:hAnsi="Arial Narrow" w:cstheme="minorBidi"/>
                <w:bCs/>
                <w:sz w:val="22"/>
                <w:szCs w:val="22"/>
              </w:rPr>
              <w:t xml:space="preserve">To what extent do </w:t>
            </w:r>
            <w:r w:rsidRPr="002259AD" w:rsidR="0014526A">
              <w:rPr>
                <w:rFonts w:ascii="Arial Narrow" w:hAnsi="Arial Narrow" w:cstheme="minorBidi"/>
                <w:bCs/>
                <w:sz w:val="22"/>
                <w:szCs w:val="22"/>
              </w:rPr>
              <w:t xml:space="preserve">TA recipients </w:t>
            </w:r>
            <w:r w:rsidRPr="002259AD">
              <w:rPr>
                <w:rFonts w:ascii="Arial Narrow" w:hAnsi="Arial Narrow" w:cstheme="minorBidi"/>
                <w:bCs/>
                <w:sz w:val="22"/>
                <w:szCs w:val="22"/>
              </w:rPr>
              <w:t>agree that Comprehensive Center support builds sustainable capacity?</w:t>
            </w:r>
          </w:p>
          <w:p w:rsidRPr="002259AD" w:rsidR="00250268" w:rsidP="00D153A6" w:rsidRDefault="00250268" w14:paraId="5094057B" w14:textId="77777777">
            <w:pPr>
              <w:pStyle w:val="BodyText"/>
              <w:spacing w:after="120"/>
              <w:rPr>
                <w:rFonts w:ascii="Arial Narrow" w:hAnsi="Arial Narrow" w:cstheme="minorBidi"/>
                <w:b/>
                <w:sz w:val="22"/>
                <w:szCs w:val="22"/>
              </w:rPr>
            </w:pPr>
            <w:r w:rsidRPr="002259AD">
              <w:rPr>
                <w:rFonts w:ascii="Arial Narrow" w:hAnsi="Arial Narrow" w:cstheme="minorBidi"/>
                <w:b/>
                <w:sz w:val="22"/>
                <w:szCs w:val="22"/>
              </w:rPr>
              <w:t>RQ4: What are the perceived successes and challenges of changes to the Comprehensive Center program, including the shift in the number and geographic reach of the Regional Centers and expectations to increase collaboration with the Department's Regional Educational Laboratories?</w:t>
            </w:r>
          </w:p>
          <w:p w:rsidRPr="002259AD" w:rsidR="00250268" w:rsidP="00D153A6" w:rsidRDefault="00250268" w14:paraId="59A31480" w14:textId="5EB6C119">
            <w:pPr>
              <w:pStyle w:val="BodyText"/>
              <w:spacing w:after="120"/>
              <w:ind w:left="420" w:hanging="420"/>
              <w:rPr>
                <w:rFonts w:ascii="Arial Narrow" w:hAnsi="Arial Narrow" w:cstheme="minorBidi"/>
                <w:bCs/>
                <w:sz w:val="22"/>
                <w:szCs w:val="22"/>
              </w:rPr>
            </w:pPr>
            <w:r w:rsidRPr="002259AD">
              <w:rPr>
                <w:rFonts w:ascii="Arial Narrow" w:hAnsi="Arial Narrow" w:cstheme="minorBidi"/>
                <w:bCs/>
                <w:sz w:val="22"/>
                <w:szCs w:val="22"/>
              </w:rPr>
              <w:t>4.1</w:t>
            </w:r>
            <w:r w:rsidRPr="002259AD">
              <w:rPr>
                <w:rFonts w:ascii="Arial Narrow" w:hAnsi="Arial Narrow" w:cstheme="minorBidi"/>
                <w:bCs/>
                <w:sz w:val="22"/>
                <w:szCs w:val="22"/>
              </w:rPr>
              <w:tab/>
              <w:t>What are the perceived benefits and challenges of changes to the structure of the Comprehensive Center program?</w:t>
            </w:r>
          </w:p>
          <w:p w:rsidRPr="002259AD" w:rsidR="00250268" w:rsidP="00D153A6" w:rsidRDefault="00250268" w14:paraId="60566404" w14:textId="6F0EDAFA">
            <w:pPr>
              <w:pStyle w:val="BodyText"/>
              <w:spacing w:after="120"/>
              <w:ind w:left="420" w:hanging="420"/>
              <w:rPr>
                <w:rFonts w:ascii="Arial Narrow" w:hAnsi="Arial Narrow" w:cstheme="minorBidi"/>
                <w:bCs/>
                <w:sz w:val="22"/>
                <w:szCs w:val="22"/>
              </w:rPr>
            </w:pPr>
            <w:r w:rsidRPr="002259AD">
              <w:rPr>
                <w:rFonts w:ascii="Arial Narrow" w:hAnsi="Arial Narrow" w:cstheme="minorBidi"/>
                <w:bCs/>
                <w:sz w:val="22"/>
                <w:szCs w:val="22"/>
              </w:rPr>
              <w:t>4.2</w:t>
            </w:r>
            <w:r w:rsidRPr="002259AD">
              <w:rPr>
                <w:rFonts w:ascii="Arial Narrow" w:hAnsi="Arial Narrow" w:cstheme="minorBidi"/>
                <w:bCs/>
                <w:sz w:val="22"/>
                <w:szCs w:val="22"/>
              </w:rPr>
              <w:tab/>
              <w:t xml:space="preserve">To what extent, and in what ways, do Regional Comprehensive Centers collaborate with each other and with the National Comprehensive Center? </w:t>
            </w:r>
          </w:p>
          <w:p w:rsidRPr="002259AD" w:rsidR="00250268" w:rsidP="00D153A6" w:rsidRDefault="00250268" w14:paraId="6D47CE68" w14:textId="7CA2F68A">
            <w:pPr>
              <w:pStyle w:val="BodyText"/>
              <w:spacing w:after="120"/>
              <w:ind w:left="420" w:hanging="420"/>
              <w:rPr>
                <w:rFonts w:ascii="Arial Narrow" w:hAnsi="Arial Narrow" w:cstheme="minorBidi"/>
                <w:bCs/>
                <w:sz w:val="22"/>
                <w:szCs w:val="22"/>
              </w:rPr>
            </w:pPr>
            <w:r w:rsidRPr="002259AD">
              <w:rPr>
                <w:rFonts w:ascii="Arial Narrow" w:hAnsi="Arial Narrow" w:cstheme="minorBidi"/>
                <w:bCs/>
                <w:sz w:val="22"/>
                <w:szCs w:val="22"/>
              </w:rPr>
              <w:t>4.3</w:t>
            </w:r>
            <w:r w:rsidRPr="002259AD">
              <w:rPr>
                <w:rFonts w:ascii="Arial Narrow" w:hAnsi="Arial Narrow" w:cstheme="minorBidi"/>
                <w:bCs/>
                <w:sz w:val="22"/>
                <w:szCs w:val="22"/>
              </w:rPr>
              <w:tab/>
              <w:t>To what extent, and in what ways, do Comprehensive Centers collaborate with the RELs? In what areas do Comprehensive Center and REL activities overlap with each other, if at all?</w:t>
            </w:r>
          </w:p>
          <w:p w:rsidRPr="002259AD" w:rsidR="003D1C1C" w:rsidP="00D153A6" w:rsidRDefault="00250268" w14:paraId="4E1AD749" w14:textId="077AFDED">
            <w:pPr>
              <w:pStyle w:val="BodyText"/>
              <w:spacing w:after="120"/>
              <w:ind w:left="420" w:hanging="420"/>
              <w:rPr>
                <w:rFonts w:ascii="Arial Narrow" w:hAnsi="Arial Narrow"/>
                <w:sz w:val="22"/>
                <w:szCs w:val="22"/>
              </w:rPr>
            </w:pPr>
            <w:r w:rsidRPr="002259AD">
              <w:rPr>
                <w:rFonts w:ascii="Arial Narrow" w:hAnsi="Arial Narrow" w:cstheme="minorBidi"/>
                <w:bCs/>
                <w:sz w:val="22"/>
                <w:szCs w:val="22"/>
              </w:rPr>
              <w:t>4.4</w:t>
            </w:r>
            <w:r w:rsidRPr="002259AD">
              <w:rPr>
                <w:rFonts w:ascii="Arial Narrow" w:hAnsi="Arial Narrow" w:cstheme="minorBidi"/>
                <w:bCs/>
                <w:sz w:val="22"/>
                <w:szCs w:val="22"/>
              </w:rPr>
              <w:tab/>
              <w:t xml:space="preserve">To what extent do Comprehensive Centers refer </w:t>
            </w:r>
            <w:r w:rsidRPr="002259AD" w:rsidR="0014526A">
              <w:rPr>
                <w:rFonts w:ascii="Arial Narrow" w:hAnsi="Arial Narrow" w:cstheme="minorBidi"/>
                <w:bCs/>
                <w:sz w:val="22"/>
                <w:szCs w:val="22"/>
              </w:rPr>
              <w:t xml:space="preserve">TA recipients </w:t>
            </w:r>
            <w:r w:rsidRPr="002259AD">
              <w:rPr>
                <w:rFonts w:ascii="Arial Narrow" w:hAnsi="Arial Narrow" w:cstheme="minorBidi"/>
                <w:bCs/>
                <w:sz w:val="22"/>
                <w:szCs w:val="22"/>
              </w:rPr>
              <w:t>to other D</w:t>
            </w:r>
            <w:r w:rsidRPr="002259AD" w:rsidR="00895431">
              <w:rPr>
                <w:rFonts w:ascii="Arial Narrow" w:hAnsi="Arial Narrow" w:cstheme="minorBidi"/>
                <w:bCs/>
                <w:sz w:val="22"/>
                <w:szCs w:val="22"/>
              </w:rPr>
              <w:t>epartment</w:t>
            </w:r>
            <w:r w:rsidRPr="002259AD">
              <w:rPr>
                <w:rFonts w:ascii="Arial Narrow" w:hAnsi="Arial Narrow" w:cstheme="minorBidi"/>
                <w:bCs/>
                <w:sz w:val="22"/>
                <w:szCs w:val="22"/>
              </w:rPr>
              <w:t>-funded TA Centers?</w:t>
            </w:r>
          </w:p>
        </w:tc>
      </w:tr>
      <w:bookmarkEnd w:id="4"/>
    </w:tbl>
    <w:p w:rsidR="00BD2270" w:rsidP="00826523" w:rsidRDefault="00BD2270" w14:paraId="4F20EF59" w14:textId="77777777">
      <w:pPr>
        <w:pStyle w:val="BodyText"/>
      </w:pPr>
    </w:p>
    <w:p w:rsidR="00A03363" w:rsidP="00826523" w:rsidRDefault="00D02A97" w14:paraId="1831A2B8" w14:textId="73FF91E1">
      <w:pPr>
        <w:pStyle w:val="BodyText"/>
      </w:pPr>
      <w:r>
        <w:lastRenderedPageBreak/>
        <w:t xml:space="preserve">The study will collect information from TA recipients; all Regional Center </w:t>
      </w:r>
      <w:r w:rsidR="008D3E07">
        <w:t>D</w:t>
      </w:r>
      <w:r>
        <w:t xml:space="preserve">irectors; the National Center </w:t>
      </w:r>
      <w:r w:rsidR="008D3E07">
        <w:t>D</w:t>
      </w:r>
      <w:r>
        <w:t xml:space="preserve">irector; </w:t>
      </w:r>
      <w:r w:rsidR="008C1CB9">
        <w:t xml:space="preserve">and </w:t>
      </w:r>
      <w:r>
        <w:t xml:space="preserve">all Regional Educational Laboratory </w:t>
      </w:r>
      <w:r w:rsidR="008D3E07">
        <w:t>D</w:t>
      </w:r>
      <w:r>
        <w:t xml:space="preserve">irectors. The study will also collect administrative data relevant to answering the research questions. </w:t>
      </w:r>
      <w:r w:rsidRPr="0034497C" w:rsidR="00A03363">
        <w:t xml:space="preserve">Exhibit B2 shows the timing and frequency of data collection activities through </w:t>
      </w:r>
      <w:r w:rsidR="003E3574">
        <w:t>spring of 2022.</w:t>
      </w:r>
    </w:p>
    <w:p w:rsidR="00B25F77" w:rsidP="00B25F77" w:rsidRDefault="00B25F77" w14:paraId="6A782912" w14:textId="482769BE">
      <w:pPr>
        <w:pStyle w:val="Caption"/>
      </w:pPr>
      <w:r w:rsidRPr="0034497C">
        <w:t>Exhibit B2</w:t>
      </w:r>
      <w:r w:rsidR="00385A09">
        <w:t xml:space="preserve">: </w:t>
      </w:r>
      <w:r w:rsidRPr="0034497C">
        <w:t>Timing of Data Collection Activities</w:t>
      </w: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540"/>
        <w:gridCol w:w="3835"/>
        <w:gridCol w:w="1975"/>
      </w:tblGrid>
      <w:tr w:rsidRPr="009C765B" w:rsidR="00A03363" w:rsidTr="006901E0" w14:paraId="5B9301BD" w14:textId="77777777">
        <w:tc>
          <w:tcPr>
            <w:tcW w:w="0" w:type="auto"/>
            <w:shd w:val="clear" w:color="auto" w:fill="4F81BD"/>
            <w:vAlign w:val="center"/>
          </w:tcPr>
          <w:p w:rsidRPr="009C765B" w:rsidR="00A03363" w:rsidP="006901E0" w:rsidRDefault="00A03363" w14:paraId="58158ABF" w14:textId="77777777">
            <w:pPr>
              <w:pStyle w:val="TableColumnHeader"/>
            </w:pPr>
            <w:r>
              <w:t>Data Source</w:t>
            </w:r>
          </w:p>
        </w:tc>
        <w:tc>
          <w:tcPr>
            <w:tcW w:w="3835" w:type="dxa"/>
            <w:shd w:val="clear" w:color="auto" w:fill="4F81BD"/>
            <w:vAlign w:val="center"/>
          </w:tcPr>
          <w:p w:rsidRPr="009C765B" w:rsidR="00A03363" w:rsidP="006901E0" w:rsidRDefault="00A03363" w14:paraId="4D789B00" w14:textId="77777777">
            <w:pPr>
              <w:pStyle w:val="TableColumnHeader"/>
            </w:pPr>
            <w:r>
              <w:t>Respondent</w:t>
            </w:r>
          </w:p>
        </w:tc>
        <w:tc>
          <w:tcPr>
            <w:tcW w:w="1975" w:type="dxa"/>
            <w:shd w:val="clear" w:color="auto" w:fill="4F81BD"/>
            <w:vAlign w:val="center"/>
          </w:tcPr>
          <w:p w:rsidRPr="009C765B" w:rsidR="00A03363" w:rsidP="006901E0" w:rsidRDefault="00A03363" w14:paraId="26DF3222" w14:textId="77777777">
            <w:pPr>
              <w:pStyle w:val="TableColumnHeader"/>
            </w:pPr>
            <w:r>
              <w:t>Data Source Type</w:t>
            </w:r>
          </w:p>
        </w:tc>
      </w:tr>
      <w:tr w:rsidRPr="006901E0" w:rsidR="00A03363" w:rsidTr="006901E0" w14:paraId="469CD8F1" w14:textId="77777777">
        <w:tc>
          <w:tcPr>
            <w:tcW w:w="0" w:type="auto"/>
            <w:gridSpan w:val="3"/>
            <w:shd w:val="clear" w:color="auto" w:fill="95B3D7"/>
            <w:vAlign w:val="center"/>
          </w:tcPr>
          <w:p w:rsidRPr="006901E0" w:rsidR="00A03363" w:rsidP="006901E0" w:rsidRDefault="0068756D" w14:paraId="31B6A320" w14:textId="357835CB">
            <w:pPr>
              <w:pStyle w:val="TableText"/>
              <w:spacing w:before="0" w:after="0"/>
              <w:jc w:val="center"/>
              <w:rPr>
                <w:b/>
                <w:bCs w:val="0"/>
                <w:color w:val="auto"/>
              </w:rPr>
            </w:pPr>
            <w:r w:rsidRPr="006901E0">
              <w:rPr>
                <w:b/>
                <w:bCs w:val="0"/>
                <w:color w:val="auto"/>
              </w:rPr>
              <w:t>Spring/</w:t>
            </w:r>
            <w:r w:rsidRPr="006901E0" w:rsidR="005D087D">
              <w:rPr>
                <w:b/>
                <w:bCs w:val="0"/>
                <w:color w:val="auto"/>
              </w:rPr>
              <w:t>Fall</w:t>
            </w:r>
            <w:r w:rsidRPr="006901E0" w:rsidR="00A03363">
              <w:rPr>
                <w:b/>
                <w:bCs w:val="0"/>
                <w:color w:val="auto"/>
              </w:rPr>
              <w:t xml:space="preserve"> 2021</w:t>
            </w:r>
          </w:p>
        </w:tc>
      </w:tr>
      <w:tr w:rsidRPr="009C765B" w:rsidR="005D087D" w:rsidTr="006901E0" w14:paraId="1DF0A283" w14:textId="77777777">
        <w:tc>
          <w:tcPr>
            <w:tcW w:w="0" w:type="auto"/>
            <w:shd w:val="clear" w:color="auto" w:fill="auto"/>
          </w:tcPr>
          <w:p w:rsidRPr="00C94D7F" w:rsidR="005D087D" w:rsidP="006901E0" w:rsidRDefault="002E172E" w14:paraId="0A3B78FC" w14:textId="2962D3C6">
            <w:pPr>
              <w:pStyle w:val="TableText"/>
              <w:spacing w:before="0" w:after="0"/>
              <w:rPr>
                <w:rFonts w:ascii="Arial Narrow" w:hAnsi="Arial Narrow"/>
              </w:rPr>
            </w:pPr>
            <w:r>
              <w:rPr>
                <w:rFonts w:ascii="Arial Narrow" w:hAnsi="Arial Narrow"/>
              </w:rPr>
              <w:t>CC Administrative Documents, including Ann</w:t>
            </w:r>
            <w:r w:rsidR="008A387E">
              <w:rPr>
                <w:rFonts w:ascii="Arial Narrow" w:hAnsi="Arial Narrow"/>
              </w:rPr>
              <w:t>ual Service Plans (spring), Annual Evaluation Reports (</w:t>
            </w:r>
            <w:r w:rsidR="008479DF">
              <w:rPr>
                <w:rFonts w:ascii="Arial Narrow" w:hAnsi="Arial Narrow"/>
              </w:rPr>
              <w:t>fall</w:t>
            </w:r>
            <w:r w:rsidR="008A387E">
              <w:rPr>
                <w:rFonts w:ascii="Arial Narrow" w:hAnsi="Arial Narrow"/>
              </w:rPr>
              <w:t>), and Joint Needs Sensing Memos (fall)</w:t>
            </w:r>
          </w:p>
        </w:tc>
        <w:tc>
          <w:tcPr>
            <w:tcW w:w="3835" w:type="dxa"/>
            <w:shd w:val="clear" w:color="auto" w:fill="auto"/>
          </w:tcPr>
          <w:p w:rsidRPr="00C94D7F" w:rsidR="005D087D" w:rsidP="006901E0" w:rsidRDefault="008C1CB9" w14:paraId="269D1073" w14:textId="336CF2ED">
            <w:pPr>
              <w:pStyle w:val="TableText"/>
              <w:spacing w:before="0" w:after="0"/>
              <w:rPr>
                <w:rFonts w:ascii="Arial Narrow" w:hAnsi="Arial Narrow"/>
              </w:rPr>
            </w:pPr>
            <w:r>
              <w:rPr>
                <w:rFonts w:ascii="Arial Narrow" w:hAnsi="Arial Narrow"/>
              </w:rPr>
              <w:t>The Department (</w:t>
            </w:r>
            <w:r w:rsidRPr="00C94D7F" w:rsidR="005D087D">
              <w:rPr>
                <w:rFonts w:ascii="Arial Narrow" w:hAnsi="Arial Narrow"/>
              </w:rPr>
              <w:t>U.S. Department of Education, IES</w:t>
            </w:r>
            <w:r>
              <w:rPr>
                <w:rFonts w:ascii="Arial Narrow" w:hAnsi="Arial Narrow"/>
              </w:rPr>
              <w:t>)</w:t>
            </w:r>
          </w:p>
        </w:tc>
        <w:tc>
          <w:tcPr>
            <w:tcW w:w="1975" w:type="dxa"/>
            <w:shd w:val="clear" w:color="auto" w:fill="auto"/>
          </w:tcPr>
          <w:p w:rsidRPr="00C94D7F" w:rsidR="005D087D" w:rsidP="006901E0" w:rsidRDefault="005D087D" w14:paraId="728CC864" w14:textId="77777777">
            <w:pPr>
              <w:pStyle w:val="TableText"/>
              <w:spacing w:before="0" w:after="0"/>
              <w:rPr>
                <w:rFonts w:ascii="Arial Narrow" w:hAnsi="Arial Narrow"/>
                <w:b/>
                <w:color w:val="auto"/>
              </w:rPr>
            </w:pPr>
            <w:r w:rsidRPr="00C94D7F">
              <w:rPr>
                <w:rFonts w:ascii="Arial Narrow" w:hAnsi="Arial Narrow"/>
                <w:color w:val="auto"/>
              </w:rPr>
              <w:t>Administrative data</w:t>
            </w:r>
          </w:p>
        </w:tc>
      </w:tr>
      <w:tr w:rsidRPr="009C765B" w:rsidR="00A03363" w:rsidTr="006901E0" w14:paraId="66B0C17D" w14:textId="77777777">
        <w:tc>
          <w:tcPr>
            <w:tcW w:w="0" w:type="auto"/>
            <w:shd w:val="clear" w:color="auto" w:fill="E7E6E6" w:themeFill="background2"/>
          </w:tcPr>
          <w:p w:rsidRPr="00C94D7F" w:rsidR="00A03363" w:rsidP="006901E0" w:rsidRDefault="00A03363" w14:paraId="079F1871" w14:textId="4F63104C">
            <w:pPr>
              <w:pStyle w:val="TableText"/>
              <w:spacing w:before="0" w:after="0"/>
              <w:rPr>
                <w:rFonts w:ascii="Arial Narrow" w:hAnsi="Arial Narrow"/>
              </w:rPr>
            </w:pPr>
            <w:r w:rsidRPr="00C94D7F">
              <w:rPr>
                <w:rFonts w:ascii="Arial Narrow" w:hAnsi="Arial Narrow"/>
              </w:rPr>
              <w:t>Restricted Use Data from 2012 Cycle CC Evaluation</w:t>
            </w:r>
          </w:p>
        </w:tc>
        <w:tc>
          <w:tcPr>
            <w:tcW w:w="3835" w:type="dxa"/>
            <w:shd w:val="clear" w:color="auto" w:fill="E7E6E6" w:themeFill="background2"/>
          </w:tcPr>
          <w:p w:rsidRPr="00C94D7F" w:rsidR="00A03363" w:rsidP="006901E0" w:rsidRDefault="008C1CB9" w14:paraId="7D79555A" w14:textId="7235F618">
            <w:pPr>
              <w:pStyle w:val="TableText"/>
              <w:spacing w:before="0" w:after="0"/>
              <w:rPr>
                <w:rFonts w:ascii="Arial Narrow" w:hAnsi="Arial Narrow"/>
              </w:rPr>
            </w:pPr>
            <w:r>
              <w:rPr>
                <w:rFonts w:ascii="Arial Narrow" w:hAnsi="Arial Narrow" w:cs="Times New Roman"/>
                <w:color w:val="auto"/>
              </w:rPr>
              <w:t>The Department</w:t>
            </w:r>
          </w:p>
        </w:tc>
        <w:tc>
          <w:tcPr>
            <w:tcW w:w="1975" w:type="dxa"/>
            <w:shd w:val="clear" w:color="auto" w:fill="E7E6E6" w:themeFill="background2"/>
          </w:tcPr>
          <w:p w:rsidRPr="00C94D7F" w:rsidR="00A03363" w:rsidP="006901E0" w:rsidRDefault="00A03363" w14:paraId="32CC67A4" w14:textId="77777777">
            <w:pPr>
              <w:pStyle w:val="TableText"/>
              <w:spacing w:before="0" w:after="0"/>
              <w:rPr>
                <w:rFonts w:ascii="Arial Narrow" w:hAnsi="Arial Narrow"/>
              </w:rPr>
            </w:pPr>
            <w:r w:rsidRPr="00C94D7F">
              <w:rPr>
                <w:rFonts w:ascii="Arial Narrow" w:hAnsi="Arial Narrow"/>
                <w:color w:val="auto"/>
              </w:rPr>
              <w:t>Administrative data</w:t>
            </w:r>
          </w:p>
        </w:tc>
      </w:tr>
      <w:tr w:rsidRPr="006901E0" w:rsidR="0068756D" w:rsidTr="006901E0" w14:paraId="621E522E" w14:textId="77777777">
        <w:tc>
          <w:tcPr>
            <w:tcW w:w="0" w:type="auto"/>
            <w:gridSpan w:val="3"/>
            <w:shd w:val="clear" w:color="auto" w:fill="95B3D7"/>
            <w:vAlign w:val="center"/>
          </w:tcPr>
          <w:p w:rsidRPr="00C94D7F" w:rsidR="0068756D" w:rsidP="006901E0" w:rsidRDefault="0043007D" w14:paraId="1CD2E816" w14:textId="14A6EEDD">
            <w:pPr>
              <w:pStyle w:val="TableText"/>
              <w:spacing w:before="0" w:after="0"/>
              <w:jc w:val="center"/>
              <w:rPr>
                <w:rFonts w:asciiTheme="minorBidi" w:hAnsiTheme="minorBidi" w:cstheme="minorBidi"/>
                <w:b/>
                <w:bCs w:val="0"/>
                <w:color w:val="auto"/>
              </w:rPr>
            </w:pPr>
            <w:r w:rsidRPr="00C94D7F">
              <w:rPr>
                <w:rFonts w:asciiTheme="minorBidi" w:hAnsiTheme="minorBidi" w:cstheme="minorBidi"/>
                <w:b/>
                <w:bCs w:val="0"/>
                <w:color w:val="auto"/>
              </w:rPr>
              <w:t>January</w:t>
            </w:r>
            <w:r w:rsidRPr="00C94D7F" w:rsidR="0068756D">
              <w:rPr>
                <w:rFonts w:asciiTheme="minorBidi" w:hAnsiTheme="minorBidi" w:cstheme="minorBidi"/>
                <w:b/>
                <w:bCs w:val="0"/>
                <w:color w:val="auto"/>
              </w:rPr>
              <w:t xml:space="preserve"> </w:t>
            </w:r>
            <w:r w:rsidRPr="00C94D7F">
              <w:rPr>
                <w:rFonts w:asciiTheme="minorBidi" w:hAnsiTheme="minorBidi" w:cstheme="minorBidi"/>
                <w:b/>
                <w:bCs w:val="0"/>
                <w:color w:val="auto"/>
              </w:rPr>
              <w:t>2022</w:t>
            </w:r>
          </w:p>
        </w:tc>
      </w:tr>
      <w:tr w:rsidRPr="009C765B" w:rsidR="0068756D" w:rsidTr="006901E0" w14:paraId="239F258D" w14:textId="77777777">
        <w:tc>
          <w:tcPr>
            <w:tcW w:w="0" w:type="auto"/>
            <w:shd w:val="clear" w:color="auto" w:fill="auto"/>
          </w:tcPr>
          <w:p w:rsidRPr="00C94D7F" w:rsidR="0068756D" w:rsidP="006901E0" w:rsidRDefault="0014526A" w14:paraId="57953186" w14:textId="47267683">
            <w:pPr>
              <w:pStyle w:val="TableText"/>
              <w:spacing w:before="0" w:after="0"/>
              <w:rPr>
                <w:rFonts w:ascii="Arial Narrow" w:hAnsi="Arial Narrow"/>
              </w:rPr>
            </w:pPr>
            <w:r w:rsidRPr="00C94D7F">
              <w:rPr>
                <w:rFonts w:ascii="Arial Narrow" w:hAnsi="Arial Narrow"/>
              </w:rPr>
              <w:t>TA recipient</w:t>
            </w:r>
            <w:r w:rsidRPr="00C94D7F" w:rsidR="0068756D">
              <w:rPr>
                <w:rFonts w:ascii="Arial Narrow" w:hAnsi="Arial Narrow"/>
              </w:rPr>
              <w:t xml:space="preserve"> contact information</w:t>
            </w:r>
          </w:p>
        </w:tc>
        <w:tc>
          <w:tcPr>
            <w:tcW w:w="3835" w:type="dxa"/>
            <w:shd w:val="clear" w:color="auto" w:fill="auto"/>
          </w:tcPr>
          <w:p w:rsidRPr="00C94D7F" w:rsidR="0068756D" w:rsidP="00B33788" w:rsidRDefault="0068756D" w14:paraId="53F7B540" w14:textId="7C24B586">
            <w:pPr>
              <w:pStyle w:val="TableText"/>
              <w:spacing w:before="0" w:after="0"/>
              <w:rPr>
                <w:rFonts w:ascii="Arial Narrow" w:hAnsi="Arial Narrow" w:cs="Times New Roman"/>
                <w:color w:val="auto"/>
              </w:rPr>
            </w:pPr>
            <w:r w:rsidRPr="00C94D7F">
              <w:rPr>
                <w:rFonts w:ascii="Arial Narrow" w:hAnsi="Arial Narrow"/>
                <w:color w:val="auto"/>
              </w:rPr>
              <w:t xml:space="preserve">Regional Center Directors </w:t>
            </w:r>
            <w:r w:rsidR="008C1CB9">
              <w:rPr>
                <w:rFonts w:ascii="Arial Narrow" w:hAnsi="Arial Narrow"/>
                <w:color w:val="auto"/>
              </w:rPr>
              <w:t>and National Center Director</w:t>
            </w:r>
          </w:p>
        </w:tc>
        <w:tc>
          <w:tcPr>
            <w:tcW w:w="1975" w:type="dxa"/>
            <w:shd w:val="clear" w:color="auto" w:fill="auto"/>
          </w:tcPr>
          <w:p w:rsidRPr="00C94D7F" w:rsidR="0068756D" w:rsidP="006901E0" w:rsidRDefault="0068756D" w14:paraId="60F1498A" w14:textId="77777777">
            <w:pPr>
              <w:pStyle w:val="TableText"/>
              <w:spacing w:before="0" w:after="0"/>
              <w:rPr>
                <w:rFonts w:ascii="Arial Narrow" w:hAnsi="Arial Narrow"/>
                <w:b/>
                <w:color w:val="auto"/>
              </w:rPr>
            </w:pPr>
            <w:r w:rsidRPr="00C94D7F">
              <w:rPr>
                <w:rFonts w:ascii="Arial Narrow" w:hAnsi="Arial Narrow"/>
                <w:color w:val="auto"/>
              </w:rPr>
              <w:t>Administrative data</w:t>
            </w:r>
          </w:p>
        </w:tc>
      </w:tr>
      <w:tr w:rsidRPr="006901E0" w:rsidR="00672E98" w:rsidTr="006901E0" w14:paraId="77BB4B60" w14:textId="77777777">
        <w:tc>
          <w:tcPr>
            <w:tcW w:w="0" w:type="auto"/>
            <w:gridSpan w:val="3"/>
            <w:shd w:val="clear" w:color="auto" w:fill="95B3D7"/>
          </w:tcPr>
          <w:p w:rsidRPr="006901E0" w:rsidR="00672E98" w:rsidP="006901E0" w:rsidRDefault="00FC4510" w14:paraId="0780EAC5" w14:textId="000B4CFF">
            <w:pPr>
              <w:pStyle w:val="TableText"/>
              <w:spacing w:before="0" w:after="0"/>
              <w:jc w:val="center"/>
              <w:rPr>
                <w:b/>
                <w:bCs w:val="0"/>
                <w:color w:val="auto"/>
              </w:rPr>
            </w:pPr>
            <w:r>
              <w:rPr>
                <w:b/>
                <w:bCs w:val="0"/>
                <w:color w:val="auto"/>
              </w:rPr>
              <w:t>May</w:t>
            </w:r>
            <w:r w:rsidRPr="006901E0" w:rsidR="00672E98">
              <w:rPr>
                <w:b/>
                <w:bCs w:val="0"/>
                <w:color w:val="auto"/>
              </w:rPr>
              <w:t xml:space="preserve"> 2022</w:t>
            </w:r>
          </w:p>
        </w:tc>
      </w:tr>
      <w:tr w:rsidRPr="009C765B" w:rsidR="00672E98" w:rsidTr="006901E0" w14:paraId="48C8561E" w14:textId="77777777">
        <w:tc>
          <w:tcPr>
            <w:tcW w:w="0" w:type="auto"/>
            <w:shd w:val="clear" w:color="auto" w:fill="E7E6E6"/>
          </w:tcPr>
          <w:p w:rsidRPr="00C94D7F" w:rsidR="00672E98" w:rsidP="006901E0" w:rsidRDefault="0014526A" w14:paraId="67478A79" w14:textId="4610FAC8">
            <w:pPr>
              <w:pStyle w:val="TableText"/>
              <w:spacing w:before="0" w:after="0"/>
              <w:rPr>
                <w:rFonts w:ascii="Arial Narrow" w:hAnsi="Arial Narrow"/>
              </w:rPr>
            </w:pPr>
            <w:r w:rsidRPr="00C94D7F">
              <w:rPr>
                <w:rFonts w:ascii="Arial Narrow" w:hAnsi="Arial Narrow"/>
              </w:rPr>
              <w:t>TA Recipient</w:t>
            </w:r>
            <w:r w:rsidRPr="00C94D7F" w:rsidR="00672E98">
              <w:rPr>
                <w:rFonts w:ascii="Arial Narrow" w:hAnsi="Arial Narrow"/>
              </w:rPr>
              <w:t xml:space="preserve"> Survey</w:t>
            </w:r>
          </w:p>
        </w:tc>
        <w:tc>
          <w:tcPr>
            <w:tcW w:w="3835" w:type="dxa"/>
            <w:shd w:val="clear" w:color="auto" w:fill="E7E6E6"/>
          </w:tcPr>
          <w:p w:rsidRPr="00C94D7F" w:rsidR="00672E98" w:rsidP="006901E0" w:rsidRDefault="008A387E" w14:paraId="3E9833AD" w14:textId="7DAC44B0">
            <w:pPr>
              <w:pStyle w:val="TableText"/>
              <w:spacing w:before="0" w:after="0"/>
              <w:rPr>
                <w:rFonts w:ascii="Arial Narrow" w:hAnsi="Arial Narrow"/>
                <w:color w:val="auto"/>
              </w:rPr>
            </w:pPr>
            <w:r>
              <w:rPr>
                <w:rFonts w:ascii="Arial Narrow" w:hAnsi="Arial Narrow"/>
              </w:rPr>
              <w:t xml:space="preserve">Key contact for every active Year 2 CC project </w:t>
            </w:r>
            <w:r w:rsidRPr="00C94D7F" w:rsidR="00672E98">
              <w:rPr>
                <w:rFonts w:ascii="Arial Narrow" w:hAnsi="Arial Narrow"/>
              </w:rPr>
              <w:t xml:space="preserve"> </w:t>
            </w:r>
          </w:p>
        </w:tc>
        <w:tc>
          <w:tcPr>
            <w:tcW w:w="1975" w:type="dxa"/>
            <w:shd w:val="clear" w:color="auto" w:fill="E7E6E6"/>
          </w:tcPr>
          <w:p w:rsidRPr="00C94D7F" w:rsidR="00672E98" w:rsidP="006901E0" w:rsidRDefault="00672E98" w14:paraId="70034704" w14:textId="2B5D20E1">
            <w:pPr>
              <w:pStyle w:val="TableText"/>
              <w:spacing w:before="0" w:after="0"/>
              <w:rPr>
                <w:rFonts w:ascii="Arial Narrow" w:hAnsi="Arial Narrow"/>
                <w:b/>
                <w:color w:val="auto"/>
              </w:rPr>
            </w:pPr>
            <w:r w:rsidRPr="00C94D7F">
              <w:rPr>
                <w:rFonts w:ascii="Arial Narrow" w:hAnsi="Arial Narrow"/>
                <w:color w:val="auto"/>
              </w:rPr>
              <w:t>Primary data</w:t>
            </w:r>
          </w:p>
        </w:tc>
      </w:tr>
      <w:tr w:rsidRPr="006901E0" w:rsidR="00672E98" w:rsidTr="006901E0" w14:paraId="0ABC8083" w14:textId="77777777">
        <w:tc>
          <w:tcPr>
            <w:tcW w:w="0" w:type="auto"/>
            <w:gridSpan w:val="3"/>
            <w:shd w:val="clear" w:color="auto" w:fill="95B3D7"/>
          </w:tcPr>
          <w:p w:rsidRPr="006901E0" w:rsidR="00672E98" w:rsidP="006901E0" w:rsidRDefault="00FC4510" w14:paraId="2884D3C2" w14:textId="4C957507">
            <w:pPr>
              <w:pStyle w:val="TableText"/>
              <w:spacing w:before="0" w:after="0"/>
              <w:jc w:val="center"/>
              <w:rPr>
                <w:b/>
                <w:bCs w:val="0"/>
                <w:color w:val="auto"/>
              </w:rPr>
            </w:pPr>
            <w:r>
              <w:rPr>
                <w:b/>
                <w:bCs w:val="0"/>
                <w:color w:val="auto"/>
              </w:rPr>
              <w:t>June/July</w:t>
            </w:r>
            <w:r w:rsidRPr="006901E0" w:rsidR="00672E98">
              <w:rPr>
                <w:b/>
                <w:bCs w:val="0"/>
                <w:color w:val="auto"/>
              </w:rPr>
              <w:t xml:space="preserve"> 2022</w:t>
            </w:r>
          </w:p>
        </w:tc>
      </w:tr>
      <w:tr w:rsidRPr="009C765B" w:rsidR="00672E98" w:rsidTr="006901E0" w14:paraId="6E80C0F3" w14:textId="77777777">
        <w:tc>
          <w:tcPr>
            <w:tcW w:w="0" w:type="auto"/>
            <w:shd w:val="clear" w:color="auto" w:fill="FFFFFF" w:themeFill="background1"/>
          </w:tcPr>
          <w:p w:rsidRPr="00C94D7F" w:rsidR="00672E98" w:rsidP="006901E0" w:rsidRDefault="00672E98" w14:paraId="7C9ADC8E" w14:textId="7EF04812">
            <w:pPr>
              <w:pStyle w:val="TableText"/>
              <w:spacing w:before="0" w:after="0"/>
              <w:rPr>
                <w:rFonts w:ascii="Arial Narrow" w:hAnsi="Arial Narrow"/>
                <w:b/>
                <w:color w:val="auto"/>
              </w:rPr>
            </w:pPr>
            <w:r w:rsidRPr="00C94D7F">
              <w:rPr>
                <w:rFonts w:ascii="Arial Narrow" w:hAnsi="Arial Narrow"/>
                <w:color w:val="auto"/>
              </w:rPr>
              <w:t>Interviews with CC Directors</w:t>
            </w:r>
          </w:p>
        </w:tc>
        <w:tc>
          <w:tcPr>
            <w:tcW w:w="3835" w:type="dxa"/>
            <w:shd w:val="clear" w:color="auto" w:fill="FFFFFF" w:themeFill="background1"/>
          </w:tcPr>
          <w:p w:rsidRPr="00C94D7F" w:rsidR="00672E98" w:rsidP="006901E0" w:rsidRDefault="00672E98" w14:paraId="099B597C" w14:textId="54D416E9">
            <w:pPr>
              <w:pStyle w:val="TableText"/>
              <w:spacing w:before="0" w:after="0"/>
              <w:rPr>
                <w:rFonts w:ascii="Arial Narrow" w:hAnsi="Arial Narrow"/>
                <w:b/>
                <w:color w:val="auto"/>
              </w:rPr>
            </w:pPr>
            <w:r w:rsidRPr="00C94D7F">
              <w:rPr>
                <w:rFonts w:ascii="Arial Narrow" w:hAnsi="Arial Narrow"/>
                <w:color w:val="auto"/>
              </w:rPr>
              <w:t>Regional Center Directors and</w:t>
            </w:r>
          </w:p>
          <w:p w:rsidRPr="00C94D7F" w:rsidR="00672E98" w:rsidP="006901E0" w:rsidRDefault="00672E98" w14:paraId="5C0C31EA" w14:textId="677FD5F6">
            <w:pPr>
              <w:pStyle w:val="TableText"/>
              <w:spacing w:before="0" w:after="0"/>
              <w:rPr>
                <w:rFonts w:ascii="Arial Narrow" w:hAnsi="Arial Narrow"/>
                <w:b/>
                <w:color w:val="auto"/>
              </w:rPr>
            </w:pPr>
            <w:r w:rsidRPr="00C94D7F">
              <w:rPr>
                <w:rFonts w:ascii="Arial Narrow" w:hAnsi="Arial Narrow"/>
                <w:color w:val="auto"/>
              </w:rPr>
              <w:t>National Center Director</w:t>
            </w:r>
          </w:p>
        </w:tc>
        <w:tc>
          <w:tcPr>
            <w:tcW w:w="1975" w:type="dxa"/>
            <w:shd w:val="clear" w:color="auto" w:fill="FFFFFF" w:themeFill="background1"/>
          </w:tcPr>
          <w:p w:rsidRPr="00C94D7F" w:rsidR="00672E98" w:rsidP="006901E0" w:rsidRDefault="00672E98" w14:paraId="5AE3C170" w14:textId="0EFE32A7">
            <w:pPr>
              <w:pStyle w:val="TableText"/>
              <w:spacing w:before="0" w:after="0"/>
              <w:rPr>
                <w:rFonts w:ascii="Arial Narrow" w:hAnsi="Arial Narrow"/>
                <w:b/>
                <w:color w:val="auto"/>
              </w:rPr>
            </w:pPr>
            <w:r w:rsidRPr="00C94D7F">
              <w:rPr>
                <w:rFonts w:ascii="Arial Narrow" w:hAnsi="Arial Narrow"/>
                <w:color w:val="auto"/>
              </w:rPr>
              <w:t>Primary data</w:t>
            </w:r>
          </w:p>
        </w:tc>
      </w:tr>
      <w:tr w:rsidRPr="009C765B" w:rsidR="00672E98" w:rsidTr="006901E0" w14:paraId="6D1662D0" w14:textId="77777777">
        <w:tc>
          <w:tcPr>
            <w:tcW w:w="0" w:type="auto"/>
            <w:shd w:val="clear" w:color="auto" w:fill="E7E6E6" w:themeFill="background2"/>
          </w:tcPr>
          <w:p w:rsidRPr="00C94D7F" w:rsidR="00672E98" w:rsidP="006901E0" w:rsidRDefault="00672E98" w14:paraId="5C770D42" w14:textId="3CF3E21A">
            <w:pPr>
              <w:pStyle w:val="TableText"/>
              <w:spacing w:before="0" w:after="0"/>
              <w:rPr>
                <w:rFonts w:ascii="Arial Narrow" w:hAnsi="Arial Narrow"/>
                <w:b/>
                <w:color w:val="auto"/>
              </w:rPr>
            </w:pPr>
            <w:r w:rsidRPr="00C94D7F">
              <w:rPr>
                <w:rFonts w:ascii="Arial Narrow" w:hAnsi="Arial Narrow"/>
                <w:color w:val="auto"/>
              </w:rPr>
              <w:t>Interviews with REL Directors</w:t>
            </w:r>
          </w:p>
        </w:tc>
        <w:tc>
          <w:tcPr>
            <w:tcW w:w="3835" w:type="dxa"/>
            <w:shd w:val="clear" w:color="auto" w:fill="E7E6E6" w:themeFill="background2"/>
          </w:tcPr>
          <w:p w:rsidRPr="00C94D7F" w:rsidR="00672E98" w:rsidP="006901E0" w:rsidRDefault="00672E98" w14:paraId="5E4474DE" w14:textId="45815A1C">
            <w:pPr>
              <w:pStyle w:val="TableText"/>
              <w:spacing w:before="0" w:after="0"/>
              <w:rPr>
                <w:rFonts w:ascii="Arial Narrow" w:hAnsi="Arial Narrow"/>
                <w:b/>
                <w:color w:val="auto"/>
              </w:rPr>
            </w:pPr>
            <w:r w:rsidRPr="00C94D7F">
              <w:rPr>
                <w:rFonts w:ascii="Arial Narrow" w:hAnsi="Arial Narrow"/>
                <w:color w:val="auto"/>
              </w:rPr>
              <w:t>R</w:t>
            </w:r>
            <w:r w:rsidRPr="00C94D7F" w:rsidR="005E5FAA">
              <w:rPr>
                <w:rFonts w:ascii="Arial Narrow" w:hAnsi="Arial Narrow"/>
                <w:color w:val="auto"/>
              </w:rPr>
              <w:t xml:space="preserve">egional </w:t>
            </w:r>
            <w:r w:rsidRPr="00C94D7F">
              <w:rPr>
                <w:rFonts w:ascii="Arial Narrow" w:hAnsi="Arial Narrow"/>
                <w:color w:val="auto"/>
              </w:rPr>
              <w:t>E</w:t>
            </w:r>
            <w:r w:rsidRPr="00C94D7F" w:rsidR="005E5FAA">
              <w:rPr>
                <w:rFonts w:ascii="Arial Narrow" w:hAnsi="Arial Narrow"/>
                <w:color w:val="auto"/>
              </w:rPr>
              <w:t xml:space="preserve">ducational </w:t>
            </w:r>
            <w:r w:rsidRPr="00C94D7F">
              <w:rPr>
                <w:rFonts w:ascii="Arial Narrow" w:hAnsi="Arial Narrow"/>
                <w:color w:val="auto"/>
              </w:rPr>
              <w:t>L</w:t>
            </w:r>
            <w:r w:rsidRPr="00C94D7F" w:rsidR="005E5FAA">
              <w:rPr>
                <w:rFonts w:ascii="Arial Narrow" w:hAnsi="Arial Narrow"/>
                <w:color w:val="auto"/>
              </w:rPr>
              <w:t>aboratory (REL)</w:t>
            </w:r>
            <w:r w:rsidRPr="00C94D7F">
              <w:rPr>
                <w:rFonts w:ascii="Arial Narrow" w:hAnsi="Arial Narrow"/>
                <w:color w:val="auto"/>
              </w:rPr>
              <w:t xml:space="preserve"> Directors</w:t>
            </w:r>
          </w:p>
        </w:tc>
        <w:tc>
          <w:tcPr>
            <w:tcW w:w="1975" w:type="dxa"/>
            <w:shd w:val="clear" w:color="auto" w:fill="E7E6E6" w:themeFill="background2"/>
          </w:tcPr>
          <w:p w:rsidRPr="00C94D7F" w:rsidR="00672E98" w:rsidP="006901E0" w:rsidRDefault="00672E98" w14:paraId="034444F7" w14:textId="27DB6C54">
            <w:pPr>
              <w:pStyle w:val="TableText"/>
              <w:spacing w:before="0" w:after="0"/>
              <w:rPr>
                <w:rFonts w:ascii="Arial Narrow" w:hAnsi="Arial Narrow"/>
                <w:b/>
                <w:color w:val="auto"/>
              </w:rPr>
            </w:pPr>
            <w:r w:rsidRPr="00C94D7F">
              <w:rPr>
                <w:rFonts w:ascii="Arial Narrow" w:hAnsi="Arial Narrow"/>
                <w:color w:val="auto"/>
              </w:rPr>
              <w:t>Primary data</w:t>
            </w:r>
          </w:p>
        </w:tc>
      </w:tr>
      <w:tr w:rsidRPr="009C765B" w:rsidR="002E172E" w:rsidTr="00DE2BD3" w14:paraId="2D75A9C5" w14:textId="77777777">
        <w:tc>
          <w:tcPr>
            <w:tcW w:w="9350" w:type="dxa"/>
            <w:gridSpan w:val="3"/>
            <w:shd w:val="clear" w:color="auto" w:fill="95B3D7"/>
          </w:tcPr>
          <w:p w:rsidRPr="00C94D7F" w:rsidR="002E172E" w:rsidP="002259AD" w:rsidRDefault="00FC4510" w14:paraId="3ADC38A3" w14:textId="1CB775B2">
            <w:pPr>
              <w:pStyle w:val="TableText"/>
              <w:spacing w:before="0" w:after="0"/>
              <w:jc w:val="center"/>
              <w:rPr>
                <w:rFonts w:ascii="Arial Narrow" w:hAnsi="Arial Narrow"/>
                <w:color w:val="auto"/>
              </w:rPr>
            </w:pPr>
            <w:r>
              <w:rPr>
                <w:b/>
                <w:bCs w:val="0"/>
                <w:color w:val="auto"/>
              </w:rPr>
              <w:t>Winter/Spring</w:t>
            </w:r>
            <w:r w:rsidRPr="002259AD" w:rsidR="002E172E">
              <w:rPr>
                <w:b/>
                <w:bCs w:val="0"/>
                <w:color w:val="auto"/>
              </w:rPr>
              <w:t xml:space="preserve"> 2022</w:t>
            </w:r>
          </w:p>
        </w:tc>
      </w:tr>
      <w:tr w:rsidRPr="009C765B" w:rsidR="008A387E" w:rsidTr="006901E0" w14:paraId="13FE3302" w14:textId="77777777">
        <w:tc>
          <w:tcPr>
            <w:tcW w:w="0" w:type="auto"/>
            <w:shd w:val="clear" w:color="auto" w:fill="E7E6E6" w:themeFill="background2"/>
          </w:tcPr>
          <w:p w:rsidRPr="00C94D7F" w:rsidR="008A387E" w:rsidP="008A387E" w:rsidRDefault="008A387E" w14:paraId="37713ABE" w14:textId="584BEF58">
            <w:pPr>
              <w:pStyle w:val="TableText"/>
              <w:spacing w:before="0" w:after="0"/>
              <w:rPr>
                <w:rFonts w:ascii="Arial Narrow" w:hAnsi="Arial Narrow"/>
                <w:color w:val="auto"/>
              </w:rPr>
            </w:pPr>
            <w:r>
              <w:rPr>
                <w:rFonts w:ascii="Arial Narrow" w:hAnsi="Arial Narrow"/>
                <w:color w:val="auto"/>
              </w:rPr>
              <w:t>CC Administrative Documents, including Annual Service Plans (</w:t>
            </w:r>
            <w:r w:rsidR="00FC4510">
              <w:rPr>
                <w:rFonts w:ascii="Arial Narrow" w:hAnsi="Arial Narrow"/>
                <w:color w:val="auto"/>
              </w:rPr>
              <w:t>winter</w:t>
            </w:r>
            <w:r>
              <w:rPr>
                <w:rFonts w:ascii="Arial Narrow" w:hAnsi="Arial Narrow"/>
                <w:color w:val="auto"/>
              </w:rPr>
              <w:t>)</w:t>
            </w:r>
            <w:r w:rsidR="00973882">
              <w:rPr>
                <w:rFonts w:ascii="Arial Narrow" w:hAnsi="Arial Narrow"/>
                <w:color w:val="auto"/>
              </w:rPr>
              <w:t>,</w:t>
            </w:r>
            <w:r w:rsidR="00973882">
              <w:rPr>
                <w:rFonts w:ascii="Arial Narrow" w:hAnsi="Arial Narrow"/>
              </w:rPr>
              <w:t xml:space="preserve"> Annual Evaluation Reports (</w:t>
            </w:r>
            <w:r w:rsidR="00FC4510">
              <w:rPr>
                <w:rFonts w:ascii="Arial Narrow" w:hAnsi="Arial Narrow"/>
              </w:rPr>
              <w:t>winter/spring</w:t>
            </w:r>
            <w:r w:rsidR="00973882">
              <w:rPr>
                <w:rFonts w:ascii="Arial Narrow" w:hAnsi="Arial Narrow"/>
              </w:rPr>
              <w:t>),</w:t>
            </w:r>
            <w:r>
              <w:rPr>
                <w:rFonts w:ascii="Arial Narrow" w:hAnsi="Arial Narrow"/>
                <w:color w:val="auto"/>
              </w:rPr>
              <w:t xml:space="preserve"> and Joint Needs Sensing Memos (</w:t>
            </w:r>
            <w:r w:rsidR="00FC4510">
              <w:rPr>
                <w:rFonts w:ascii="Arial Narrow" w:hAnsi="Arial Narrow"/>
                <w:color w:val="auto"/>
              </w:rPr>
              <w:t>winter</w:t>
            </w:r>
            <w:r>
              <w:rPr>
                <w:rFonts w:ascii="Arial Narrow" w:hAnsi="Arial Narrow"/>
                <w:color w:val="auto"/>
              </w:rPr>
              <w:t>)</w:t>
            </w:r>
          </w:p>
        </w:tc>
        <w:tc>
          <w:tcPr>
            <w:tcW w:w="3835" w:type="dxa"/>
            <w:shd w:val="clear" w:color="auto" w:fill="E7E6E6" w:themeFill="background2"/>
          </w:tcPr>
          <w:p w:rsidRPr="00C94D7F" w:rsidR="008A387E" w:rsidP="008A387E" w:rsidRDefault="00C8181A" w14:paraId="0DE76BFC" w14:textId="65DD91EA">
            <w:pPr>
              <w:pStyle w:val="TableText"/>
              <w:spacing w:before="0" w:after="0"/>
              <w:rPr>
                <w:rFonts w:ascii="Arial Narrow" w:hAnsi="Arial Narrow"/>
                <w:color w:val="auto"/>
              </w:rPr>
            </w:pPr>
            <w:r>
              <w:rPr>
                <w:rFonts w:ascii="Arial Narrow" w:hAnsi="Arial Narrow"/>
              </w:rPr>
              <w:t xml:space="preserve">The </w:t>
            </w:r>
            <w:r w:rsidRPr="00C94D7F" w:rsidR="008A387E">
              <w:rPr>
                <w:rFonts w:ascii="Arial Narrow" w:hAnsi="Arial Narrow"/>
              </w:rPr>
              <w:t>Department</w:t>
            </w:r>
          </w:p>
        </w:tc>
        <w:tc>
          <w:tcPr>
            <w:tcW w:w="1975" w:type="dxa"/>
            <w:shd w:val="clear" w:color="auto" w:fill="E7E6E6" w:themeFill="background2"/>
          </w:tcPr>
          <w:p w:rsidRPr="00C94D7F" w:rsidR="008A387E" w:rsidP="008A387E" w:rsidRDefault="008A387E" w14:paraId="022657AD" w14:textId="3E4552AA">
            <w:pPr>
              <w:pStyle w:val="TableText"/>
              <w:spacing w:before="0" w:after="0"/>
              <w:rPr>
                <w:rFonts w:ascii="Arial Narrow" w:hAnsi="Arial Narrow"/>
                <w:color w:val="auto"/>
              </w:rPr>
            </w:pPr>
            <w:r w:rsidRPr="00C94D7F">
              <w:rPr>
                <w:rFonts w:ascii="Arial Narrow" w:hAnsi="Arial Narrow"/>
                <w:color w:val="auto"/>
              </w:rPr>
              <w:t>Administrative data</w:t>
            </w:r>
          </w:p>
        </w:tc>
      </w:tr>
    </w:tbl>
    <w:p w:rsidR="00A03363" w:rsidP="00385A09" w:rsidRDefault="00A03363" w14:paraId="5ECCF320" w14:textId="77777777">
      <w:pPr>
        <w:pStyle w:val="TableSource"/>
      </w:pPr>
    </w:p>
    <w:p w:rsidRPr="0034497C" w:rsidR="004C1707" w:rsidP="004C1707" w:rsidRDefault="004C1707" w14:paraId="1E11559F" w14:textId="14AB4766">
      <w:pPr>
        <w:pStyle w:val="Heading2"/>
      </w:pPr>
      <w:bookmarkStart w:name="_Toc79423673" w:id="5"/>
      <w:r>
        <w:t>Respondent Universe and Sampling Methods</w:t>
      </w:r>
      <w:bookmarkEnd w:id="5"/>
    </w:p>
    <w:p w:rsidR="00820DC1" w:rsidP="00FD113A" w:rsidRDefault="009A6196" w14:paraId="4E77014D" w14:textId="21525CBE">
      <w:pPr>
        <w:pStyle w:val="BodyText"/>
      </w:pPr>
      <w:r w:rsidRPr="0034497C">
        <w:t xml:space="preserve">For each administrative and primary data source proposed, </w:t>
      </w:r>
      <w:r w:rsidRPr="0034497C" w:rsidR="002F72BB">
        <w:t>Exhibit B3 summarize</w:t>
      </w:r>
      <w:r w:rsidR="002F72BB">
        <w:t>s</w:t>
      </w:r>
      <w:r w:rsidRPr="0034497C" w:rsidR="002F72BB">
        <w:t xml:space="preserve"> the respondent universe, sampling methods, </w:t>
      </w:r>
      <w:r w:rsidR="005A7AF6">
        <w:t xml:space="preserve">and the </w:t>
      </w:r>
      <w:r w:rsidR="002F72BB">
        <w:t>expected</w:t>
      </w:r>
      <w:r w:rsidRPr="0034497C" w:rsidR="002F72BB">
        <w:t xml:space="preserve"> response rates</w:t>
      </w:r>
      <w:r w:rsidR="00FE7E30">
        <w:t>.</w:t>
      </w:r>
      <w:r w:rsidR="00820DC1">
        <w:t xml:space="preserve"> For primary data</w:t>
      </w:r>
      <w:r w:rsidR="008C1CB9">
        <w:t xml:space="preserve"> sources</w:t>
      </w:r>
      <w:r w:rsidR="00820DC1">
        <w:t>, Exhibit B3 a</w:t>
      </w:r>
      <w:r w:rsidRPr="0034497C" w:rsidR="00820DC1">
        <w:t xml:space="preserve">lso provides </w:t>
      </w:r>
      <w:r w:rsidR="00820DC1">
        <w:t>the</w:t>
      </w:r>
      <w:r w:rsidRPr="0034497C" w:rsidR="00820DC1">
        <w:t xml:space="preserve"> response rates</w:t>
      </w:r>
      <w:r w:rsidR="00820DC1">
        <w:t xml:space="preserve">, where available, </w:t>
      </w:r>
      <w:r w:rsidRPr="0034497C" w:rsidR="00820DC1">
        <w:t xml:space="preserve">from </w:t>
      </w:r>
      <w:r w:rsidR="00820DC1">
        <w:t xml:space="preserve">the corresponding activities in </w:t>
      </w:r>
      <w:r w:rsidRPr="0034497C" w:rsidR="00820DC1">
        <w:t xml:space="preserve">the most recent prior evaluation of the </w:t>
      </w:r>
      <w:r w:rsidR="00820DC1">
        <w:t>CCs</w:t>
      </w:r>
      <w:r w:rsidR="00097917">
        <w:t>:</w:t>
      </w:r>
      <w:r w:rsidR="00820DC1">
        <w:t xml:space="preserve"> the 2012 cohort evaluation conducted by IMPAQ International (</w:t>
      </w:r>
      <w:r w:rsidRPr="00AF0FF1" w:rsidR="00820DC1">
        <w:t>Weinstock et al.</w:t>
      </w:r>
      <w:r w:rsidR="009851B3">
        <w:t>,</w:t>
      </w:r>
      <w:r w:rsidR="00820DC1">
        <w:t xml:space="preserve"> 2019). </w:t>
      </w:r>
    </w:p>
    <w:p w:rsidR="004E19B2" w:rsidP="004E19B2" w:rsidRDefault="004E19B2" w14:paraId="1E2D46FB" w14:textId="7A97FA4C">
      <w:pPr>
        <w:pStyle w:val="Heading3"/>
      </w:pPr>
      <w:bookmarkStart w:name="_Toc79423674" w:id="6"/>
      <w:r w:rsidRPr="0034497C">
        <w:t>Respondent Universe</w:t>
      </w:r>
      <w:bookmarkEnd w:id="6"/>
    </w:p>
    <w:p w:rsidR="00C540F9" w:rsidP="002F72BB" w:rsidRDefault="00C540F9" w14:paraId="26B9D61A" w14:textId="0E1E87E3">
      <w:pPr>
        <w:pStyle w:val="BodyText"/>
      </w:pPr>
      <w:r>
        <w:t xml:space="preserve">Respondents include technical assistance recipients </w:t>
      </w:r>
      <w:r w:rsidR="008D3E07">
        <w:t>identified by CC Directors as the key point of c</w:t>
      </w:r>
      <w:r>
        <w:t xml:space="preserve">ontact </w:t>
      </w:r>
      <w:r w:rsidR="001F79E9">
        <w:t>for each</w:t>
      </w:r>
      <w:r>
        <w:t xml:space="preserve"> Year 2 CC project; all CC Directors; all REL Directors</w:t>
      </w:r>
      <w:r w:rsidR="00A52D0E">
        <w:t xml:space="preserve">; and the </w:t>
      </w:r>
      <w:r w:rsidR="008C1CB9">
        <w:t>Department</w:t>
      </w:r>
      <w:r>
        <w:t xml:space="preserve">. </w:t>
      </w:r>
      <w:r w:rsidR="008D3E07">
        <w:t>Year 2 of the CC cycle started in October 2020 and corresponds to the 2020-2021 school year.</w:t>
      </w:r>
      <w:r>
        <w:t xml:space="preserve"> </w:t>
      </w:r>
    </w:p>
    <w:p w:rsidRPr="00837B2F" w:rsidR="00B95E0E" w:rsidP="00B95E0E" w:rsidRDefault="00B95E0E" w14:paraId="388FECA1" w14:textId="2ADBFE08">
      <w:pPr>
        <w:pStyle w:val="BodyText"/>
        <w:numPr>
          <w:ilvl w:val="0"/>
          <w:numId w:val="21"/>
        </w:numPr>
      </w:pPr>
      <w:r>
        <w:rPr>
          <w:b/>
        </w:rPr>
        <w:t>CC administrative documents and restricted use data from the 2012 cycle CC cohort</w:t>
      </w:r>
      <w:r>
        <w:t xml:space="preserve"> </w:t>
      </w:r>
      <w:r w:rsidRPr="00837B2F">
        <w:rPr>
          <w:b/>
          <w:bCs/>
        </w:rPr>
        <w:t>(</w:t>
      </w:r>
      <w:r w:rsidRPr="001803C2">
        <w:rPr>
          <w:b/>
          <w:bCs/>
        </w:rPr>
        <w:t xml:space="preserve">population: </w:t>
      </w:r>
      <w:r>
        <w:rPr>
          <w:b/>
          <w:bCs/>
        </w:rPr>
        <w:t>1 respondent</w:t>
      </w:r>
      <w:r w:rsidRPr="00837B2F">
        <w:rPr>
          <w:b/>
          <w:bCs/>
        </w:rPr>
        <w:t>):</w:t>
      </w:r>
      <w:r w:rsidRPr="001803C2">
        <w:t xml:space="preserve"> </w:t>
      </w:r>
      <w:r w:rsidR="00C62A42">
        <w:t>The respondent universe consists o</w:t>
      </w:r>
      <w:r w:rsidR="0051532E">
        <w:t>f</w:t>
      </w:r>
      <w:r w:rsidR="00C62A42">
        <w:t xml:space="preserve"> one respondent: </w:t>
      </w:r>
      <w:r w:rsidR="00A52D0E">
        <w:t xml:space="preserve">the </w:t>
      </w:r>
      <w:r w:rsidR="002C0157">
        <w:t>Department</w:t>
      </w:r>
      <w:r w:rsidR="00C62A42">
        <w:t xml:space="preserve">. </w:t>
      </w:r>
      <w:r>
        <w:t xml:space="preserve">The study team will request from the Department administrative documents and </w:t>
      </w:r>
      <w:r w:rsidRPr="001803C2">
        <w:t xml:space="preserve">restricted use data from the 2012 National Evaluation of CCs. </w:t>
      </w:r>
      <w:r>
        <w:t xml:space="preserve">Administrative documents include </w:t>
      </w:r>
      <w:r w:rsidRPr="002259AD">
        <w:rPr>
          <w:bCs/>
        </w:rPr>
        <w:t xml:space="preserve">Annual Service Plans, Joint Needs Sensing Memos, </w:t>
      </w:r>
      <w:r>
        <w:rPr>
          <w:bCs/>
        </w:rPr>
        <w:t xml:space="preserve">and </w:t>
      </w:r>
      <w:r w:rsidRPr="002259AD">
        <w:rPr>
          <w:bCs/>
        </w:rPr>
        <w:t xml:space="preserve">Annual Evaluation Reports </w:t>
      </w:r>
      <w:r>
        <w:rPr>
          <w:bCs/>
        </w:rPr>
        <w:t xml:space="preserve">for all 20 CCs. Restricted use data from the 2012 cycle </w:t>
      </w:r>
      <w:r w:rsidRPr="002259AD">
        <w:rPr>
          <w:bCs/>
        </w:rPr>
        <w:t>i</w:t>
      </w:r>
      <w:r w:rsidRPr="001803C2">
        <w:t>nclude surveys of CC staff and TA recipient</w:t>
      </w:r>
      <w:r>
        <w:t>s</w:t>
      </w:r>
      <w:r w:rsidRPr="001803C2">
        <w:t xml:space="preserve"> </w:t>
      </w:r>
      <w:r w:rsidRPr="001803C2">
        <w:lastRenderedPageBreak/>
        <w:t>administered in the spring of 2015, 2016, and 2017. Final samples</w:t>
      </w:r>
      <w:r w:rsidR="008C1CB9">
        <w:t xml:space="preserve"> from the 2012 cohort evaluation</w:t>
      </w:r>
      <w:r w:rsidRPr="001803C2">
        <w:t xml:space="preserve"> </w:t>
      </w:r>
      <w:r>
        <w:t xml:space="preserve">included 232 to 246 </w:t>
      </w:r>
      <w:r w:rsidRPr="001803C2">
        <w:t>TA recipient</w:t>
      </w:r>
      <w:r>
        <w:t>s per year</w:t>
      </w:r>
      <w:r w:rsidRPr="001803C2">
        <w:t xml:space="preserve"> (response rates: 67% to 68%)</w:t>
      </w:r>
      <w:r>
        <w:t xml:space="preserve">, and </w:t>
      </w:r>
      <w:r w:rsidRPr="001803C2">
        <w:t xml:space="preserve">166 to 194 </w:t>
      </w:r>
      <w:r>
        <w:t xml:space="preserve">CC staff </w:t>
      </w:r>
      <w:r w:rsidRPr="001803C2">
        <w:t>per year (response rates: 79% to 86%)</w:t>
      </w:r>
      <w:r>
        <w:t>.</w:t>
      </w:r>
      <w:r w:rsidRPr="001803C2">
        <w:t xml:space="preserve"> </w:t>
      </w:r>
    </w:p>
    <w:p w:rsidRPr="00805512" w:rsidR="007258F4" w:rsidP="007258F4" w:rsidRDefault="00C540F9" w14:paraId="16545A11" w14:textId="3DD03F79">
      <w:pPr>
        <w:pStyle w:val="BodyText"/>
        <w:numPr>
          <w:ilvl w:val="0"/>
          <w:numId w:val="21"/>
        </w:numPr>
      </w:pPr>
      <w:r w:rsidRPr="00805512">
        <w:rPr>
          <w:b/>
        </w:rPr>
        <w:t>TA Recipient Survey (population: 23</w:t>
      </w:r>
      <w:r w:rsidR="002C0157">
        <w:rPr>
          <w:b/>
        </w:rPr>
        <w:t>3</w:t>
      </w:r>
      <w:r w:rsidRPr="00805512">
        <w:rPr>
          <w:b/>
        </w:rPr>
        <w:t xml:space="preserve"> respondents </w:t>
      </w:r>
      <w:r w:rsidR="00554DB5">
        <w:rPr>
          <w:b/>
        </w:rPr>
        <w:t>who received</w:t>
      </w:r>
      <w:r w:rsidR="000036DE">
        <w:rPr>
          <w:b/>
        </w:rPr>
        <w:t xml:space="preserve"> technical assistance</w:t>
      </w:r>
      <w:r w:rsidRPr="00805512">
        <w:rPr>
          <w:b/>
        </w:rPr>
        <w:t>):</w:t>
      </w:r>
      <w:r w:rsidRPr="00805512" w:rsidR="007258F4">
        <w:rPr>
          <w:b/>
        </w:rPr>
        <w:t xml:space="preserve"> </w:t>
      </w:r>
      <w:r w:rsidRPr="002259AD" w:rsidR="00C62A42">
        <w:rPr>
          <w:bCs/>
        </w:rPr>
        <w:t>The respondent</w:t>
      </w:r>
      <w:r w:rsidR="00C62A42">
        <w:rPr>
          <w:bCs/>
        </w:rPr>
        <w:t xml:space="preserve"> universe consists of one key contact per active project. </w:t>
      </w:r>
      <w:r w:rsidRPr="00805512" w:rsidR="007258F4">
        <w:rPr>
          <w:bCs/>
        </w:rPr>
        <w:t xml:space="preserve">The study team extracted the full list of all 233 projects that were reported as being active in the Year 2 Annual Service Plans. </w:t>
      </w:r>
      <w:r w:rsidR="00745207">
        <w:t>T</w:t>
      </w:r>
      <w:r w:rsidRPr="00805512" w:rsidR="00745207">
        <w:t xml:space="preserve">he study team will email CC Directors to request names, titles, and email addresses for the </w:t>
      </w:r>
      <w:r w:rsidR="00745207">
        <w:t xml:space="preserve">key contact </w:t>
      </w:r>
      <w:r w:rsidR="007601A1">
        <w:t>of</w:t>
      </w:r>
      <w:r w:rsidR="00745207">
        <w:t xml:space="preserve"> each project. </w:t>
      </w:r>
      <w:r w:rsidR="002C0157">
        <w:t>If</w:t>
      </w:r>
      <w:r w:rsidR="007601A1">
        <w:t xml:space="preserve"> the same TA recipient oversees more than one CC project</w:t>
      </w:r>
      <w:r w:rsidRPr="00805512">
        <w:t xml:space="preserve">, the study team will send a single survey with both general questions and questions specific to each project for which that staff member is the </w:t>
      </w:r>
      <w:r w:rsidR="00874204">
        <w:t>key</w:t>
      </w:r>
      <w:r w:rsidRPr="00805512">
        <w:t xml:space="preserve"> contact.</w:t>
      </w:r>
    </w:p>
    <w:p w:rsidRPr="00805512" w:rsidR="007258F4" w:rsidP="007258F4" w:rsidRDefault="007258F4" w14:paraId="36C66414" w14:textId="2E1EB78C">
      <w:pPr>
        <w:pStyle w:val="BodyText"/>
        <w:numPr>
          <w:ilvl w:val="0"/>
          <w:numId w:val="21"/>
        </w:numPr>
      </w:pPr>
      <w:r w:rsidRPr="002259AD">
        <w:rPr>
          <w:b/>
          <w:bCs/>
        </w:rPr>
        <w:t>CC Director Interview (population: 20 CC Directors):</w:t>
      </w:r>
      <w:r w:rsidRPr="00805512">
        <w:t xml:space="preserve"> </w:t>
      </w:r>
      <w:r w:rsidR="00C62A42">
        <w:t>The respondent universe consists of directors from the 1</w:t>
      </w:r>
      <w:r w:rsidRPr="00805512" w:rsidR="007232E1">
        <w:t>9 Regional Centers and one National Center</w:t>
      </w:r>
      <w:r w:rsidR="00C62A42">
        <w:t xml:space="preserve"> active in Year 2</w:t>
      </w:r>
      <w:r w:rsidRPr="00805512" w:rsidR="007232E1">
        <w:t xml:space="preserve">. </w:t>
      </w:r>
    </w:p>
    <w:p w:rsidRPr="00805512" w:rsidR="007258F4" w:rsidP="007258F4" w:rsidRDefault="007258F4" w14:paraId="55AD6687" w14:textId="285F0E23">
      <w:pPr>
        <w:pStyle w:val="BodyText"/>
        <w:numPr>
          <w:ilvl w:val="0"/>
          <w:numId w:val="21"/>
        </w:numPr>
      </w:pPr>
      <w:r w:rsidRPr="002259AD">
        <w:rPr>
          <w:b/>
          <w:bCs/>
        </w:rPr>
        <w:t>REL Director Interview (population: 10 REL Directors):</w:t>
      </w:r>
      <w:r w:rsidR="0051532E">
        <w:rPr>
          <w:b/>
          <w:bCs/>
        </w:rPr>
        <w:t xml:space="preserve"> </w:t>
      </w:r>
      <w:r w:rsidR="0051532E">
        <w:t xml:space="preserve">The respondent universe consists of the </w:t>
      </w:r>
      <w:r w:rsidRPr="00805512" w:rsidR="007232E1">
        <w:t xml:space="preserve">10 REL Directors for the 2017-2022 cycle. </w:t>
      </w:r>
    </w:p>
    <w:p w:rsidRPr="0034497C" w:rsidR="005D5B0E" w:rsidP="005D5B0E" w:rsidRDefault="005D5B0E" w14:paraId="7BFB01FD" w14:textId="77777777">
      <w:pPr>
        <w:pStyle w:val="Heading3"/>
      </w:pPr>
      <w:bookmarkStart w:name="_Toc79423675" w:id="7"/>
      <w:r w:rsidRPr="0034497C">
        <w:t>Sampling Methods</w:t>
      </w:r>
      <w:bookmarkEnd w:id="7"/>
    </w:p>
    <w:p w:rsidRPr="0034497C" w:rsidR="00CD60FE" w:rsidP="00CD60FE" w:rsidRDefault="00652D7D" w14:paraId="0AF72D4A" w14:textId="190AFF71">
      <w:pPr>
        <w:pStyle w:val="BodyText"/>
      </w:pPr>
      <w:r>
        <w:t xml:space="preserve">For </w:t>
      </w:r>
      <w:r w:rsidR="00A17264">
        <w:t>all</w:t>
      </w:r>
      <w:r>
        <w:t xml:space="preserve"> data collection activities, </w:t>
      </w:r>
      <w:r w:rsidR="00D2650D">
        <w:t>the study team</w:t>
      </w:r>
      <w:r w:rsidRPr="0034497C" w:rsidR="00D2650D">
        <w:t xml:space="preserve"> </w:t>
      </w:r>
      <w:r w:rsidRPr="0034497C" w:rsidR="00CD60FE">
        <w:t>will collect data from the census of respondents in each group</w:t>
      </w:r>
      <w:r w:rsidR="00887611">
        <w:t xml:space="preserve"> and thus will not need to</w:t>
      </w:r>
      <w:r w:rsidR="00A44AF7">
        <w:t xml:space="preserve"> select a</w:t>
      </w:r>
      <w:r w:rsidR="00887611">
        <w:t xml:space="preserve"> sample.</w:t>
      </w:r>
    </w:p>
    <w:p w:rsidRPr="00BE29DC" w:rsidR="00915534" w:rsidP="00915534" w:rsidRDefault="00915534" w14:paraId="367F52BD" w14:textId="77777777">
      <w:pPr>
        <w:pStyle w:val="Heading3"/>
      </w:pPr>
      <w:bookmarkStart w:name="_Toc79423676" w:id="8"/>
      <w:r w:rsidRPr="00BE29DC">
        <w:t>Expected Response Rates</w:t>
      </w:r>
      <w:bookmarkEnd w:id="8"/>
    </w:p>
    <w:p w:rsidR="00561D36" w:rsidP="00915534" w:rsidRDefault="00915534" w14:paraId="21456159" w14:textId="4BFAE70C">
      <w:pPr>
        <w:pStyle w:val="BodyText"/>
      </w:pPr>
      <w:r w:rsidRPr="0034497C">
        <w:t xml:space="preserve">The study team </w:t>
      </w:r>
      <w:r w:rsidR="00535507">
        <w:t>anticipates</w:t>
      </w:r>
      <w:r w:rsidRPr="0034497C" w:rsidR="00535507">
        <w:t xml:space="preserve"> </w:t>
      </w:r>
      <w:r w:rsidRPr="0034497C">
        <w:t>a 100% response rate for information collected from administrative data sources</w:t>
      </w:r>
      <w:r>
        <w:t>, as well as from the CC Director Interviews and the REL</w:t>
      </w:r>
      <w:r w:rsidR="00A17264">
        <w:t xml:space="preserve"> Director</w:t>
      </w:r>
      <w:r>
        <w:t xml:space="preserve"> Interviews</w:t>
      </w:r>
      <w:r w:rsidRPr="00915534">
        <w:t xml:space="preserve"> </w:t>
      </w:r>
      <w:r w:rsidRPr="0034497C">
        <w:t>(see Exhibit B3)</w:t>
      </w:r>
      <w:r>
        <w:t>. We anticipate an</w:t>
      </w:r>
      <w:r w:rsidRPr="0034497C">
        <w:t xml:space="preserve"> 80% response rate </w:t>
      </w:r>
      <w:r>
        <w:t xml:space="preserve">for the </w:t>
      </w:r>
      <w:r w:rsidR="00895431">
        <w:t>T</w:t>
      </w:r>
      <w:r w:rsidR="00137C61">
        <w:t xml:space="preserve">A </w:t>
      </w:r>
      <w:r w:rsidR="00895431">
        <w:t xml:space="preserve">Recipient </w:t>
      </w:r>
      <w:r w:rsidR="00AE2608">
        <w:t>S</w:t>
      </w:r>
      <w:r w:rsidR="00137C61">
        <w:t xml:space="preserve">urvey. </w:t>
      </w:r>
      <w:r w:rsidR="00535507">
        <w:t>Details about how the study will achieve these response rates is included</w:t>
      </w:r>
      <w:r w:rsidRPr="0034497C">
        <w:t xml:space="preserve"> below.</w:t>
      </w:r>
    </w:p>
    <w:p w:rsidR="004E4802" w:rsidP="004E4802" w:rsidRDefault="00535507" w14:paraId="1C5C85BD" w14:textId="270A6A31">
      <w:pPr>
        <w:pStyle w:val="BodyText"/>
      </w:pPr>
      <w:r>
        <w:rPr>
          <w:b/>
        </w:rPr>
        <w:t>CC administrative documents and r</w:t>
      </w:r>
      <w:r w:rsidR="00F959C7">
        <w:rPr>
          <w:b/>
        </w:rPr>
        <w:t xml:space="preserve">estricted use data from the 2012 </w:t>
      </w:r>
      <w:r w:rsidR="005E0DA1">
        <w:rPr>
          <w:b/>
        </w:rPr>
        <w:t xml:space="preserve">cycle </w:t>
      </w:r>
      <w:r w:rsidR="00F959C7">
        <w:rPr>
          <w:b/>
        </w:rPr>
        <w:t>CC cohort</w:t>
      </w:r>
      <w:r w:rsidRPr="0043702A" w:rsidR="00561D36">
        <w:t xml:space="preserve">: </w:t>
      </w:r>
      <w:r>
        <w:t xml:space="preserve">For administrative data sources, the study team will coordinate closely with the Department to ensure that the team’s data requests clearly specify the documents requested, the data security methods that the study team will use to protect the privacy of individuals included in the files, and the frequency and timing of data requests. </w:t>
      </w:r>
      <w:r w:rsidRPr="0043702A" w:rsidR="00561D36">
        <w:t>The study team</w:t>
      </w:r>
      <w:r w:rsidRPr="0034497C" w:rsidR="00561D36">
        <w:t xml:space="preserve"> </w:t>
      </w:r>
      <w:r w:rsidR="009B59EF">
        <w:t xml:space="preserve">expects a 100% response rate in its administrative data request. </w:t>
      </w:r>
      <w:r w:rsidR="00895431">
        <w:t>The Department</w:t>
      </w:r>
      <w:r w:rsidR="009B59EF">
        <w:t xml:space="preserve"> is sponsoring </w:t>
      </w:r>
      <w:r>
        <w:t xml:space="preserve">this study, </w:t>
      </w:r>
      <w:r w:rsidR="009B59EF">
        <w:t xml:space="preserve">recognizes the importance of the administrative data to </w:t>
      </w:r>
      <w:r>
        <w:t xml:space="preserve">answering the study research questions, </w:t>
      </w:r>
      <w:r w:rsidR="009B59EF">
        <w:t>and has significant interest in the study findings.</w:t>
      </w:r>
      <w:r w:rsidRPr="0034497C" w:rsidR="00561D36">
        <w:t xml:space="preserve"> </w:t>
      </w:r>
    </w:p>
    <w:p w:rsidRPr="0043702A" w:rsidR="0043702A" w:rsidRDefault="0043702A" w14:paraId="6820D5C8" w14:textId="2345C041">
      <w:pPr>
        <w:pStyle w:val="BodyText"/>
      </w:pPr>
      <w:r w:rsidRPr="005E7372">
        <w:rPr>
          <w:b/>
          <w:bCs/>
        </w:rPr>
        <w:t xml:space="preserve">Contact Information for Primary </w:t>
      </w:r>
      <w:r w:rsidRPr="0014526A" w:rsidR="0014526A">
        <w:rPr>
          <w:b/>
          <w:bCs/>
        </w:rPr>
        <w:t xml:space="preserve">TA </w:t>
      </w:r>
      <w:r w:rsidR="0014526A">
        <w:rPr>
          <w:b/>
          <w:bCs/>
        </w:rPr>
        <w:t>R</w:t>
      </w:r>
      <w:r w:rsidRPr="0014526A" w:rsidR="0014526A">
        <w:rPr>
          <w:b/>
          <w:bCs/>
        </w:rPr>
        <w:t>ecipient</w:t>
      </w:r>
      <w:r w:rsidRPr="005E7372">
        <w:rPr>
          <w:b/>
          <w:bCs/>
        </w:rPr>
        <w:t xml:space="preserve"> Contacts</w:t>
      </w:r>
      <w:r>
        <w:rPr>
          <w:b/>
          <w:bCs/>
        </w:rPr>
        <w:t xml:space="preserve">: </w:t>
      </w:r>
      <w:r>
        <w:t>T</w:t>
      </w:r>
      <w:r w:rsidR="00535507">
        <w:t xml:space="preserve">he study team </w:t>
      </w:r>
      <w:r>
        <w:t xml:space="preserve">anticipates full participation for this administrative </w:t>
      </w:r>
      <w:r w:rsidR="00830E35">
        <w:t xml:space="preserve">data </w:t>
      </w:r>
      <w:r>
        <w:t xml:space="preserve">request from </w:t>
      </w:r>
      <w:r w:rsidR="002B009E">
        <w:t>CC</w:t>
      </w:r>
      <w:r>
        <w:t xml:space="preserve"> Directors</w:t>
      </w:r>
      <w:r w:rsidR="002B009E">
        <w:t xml:space="preserve"> because p</w:t>
      </w:r>
      <w:r>
        <w:t xml:space="preserve">roviding </w:t>
      </w:r>
      <w:r w:rsidR="00895431">
        <w:t>TA recipients’</w:t>
      </w:r>
      <w:r w:rsidR="00830E35">
        <w:t xml:space="preserve"> contact</w:t>
      </w:r>
      <w:r>
        <w:t xml:space="preserve"> information will involve minimal burden for </w:t>
      </w:r>
      <w:r w:rsidR="00830E35">
        <w:t>CC</w:t>
      </w:r>
      <w:r>
        <w:t xml:space="preserve"> Directors</w:t>
      </w:r>
      <w:r w:rsidR="00830E35">
        <w:t>. T</w:t>
      </w:r>
      <w:r>
        <w:t xml:space="preserve">his information is likely to be readily available to CC Directors and their </w:t>
      </w:r>
      <w:r w:rsidR="00830E35">
        <w:t xml:space="preserve">project </w:t>
      </w:r>
      <w:r>
        <w:t xml:space="preserve">teams </w:t>
      </w:r>
      <w:r w:rsidR="00122995">
        <w:t>because they will already be</w:t>
      </w:r>
      <w:r w:rsidR="00830E35">
        <w:t xml:space="preserve"> providing similar information to the</w:t>
      </w:r>
      <w:r w:rsidR="008C1CB9">
        <w:t>ir</w:t>
      </w:r>
      <w:r w:rsidR="00830E35">
        <w:t xml:space="preserve"> evaluators</w:t>
      </w:r>
      <w:r w:rsidR="00854A05">
        <w:t xml:space="preserve">; these evaluators </w:t>
      </w:r>
      <w:r w:rsidR="00122995">
        <w:t xml:space="preserve">typically survey </w:t>
      </w:r>
      <w:r w:rsidRPr="0014526A" w:rsidR="0014526A">
        <w:t>TA recipient</w:t>
      </w:r>
      <w:r w:rsidR="0014526A">
        <w:t xml:space="preserve">s </w:t>
      </w:r>
      <w:r w:rsidR="00122995">
        <w:t xml:space="preserve">to collect information on </w:t>
      </w:r>
      <w:r w:rsidRPr="00122995" w:rsidR="00122995">
        <w:t xml:space="preserve">Government Performance and Results Act (GPRA) </w:t>
      </w:r>
      <w:r w:rsidR="00122995">
        <w:t xml:space="preserve">indicators needed for the </w:t>
      </w:r>
      <w:r w:rsidR="007D1B2F">
        <w:t>Annual Evaluation Reports.</w:t>
      </w:r>
      <w:r w:rsidR="00DC2815">
        <w:t xml:space="preserve"> The study team will ensure that the fielding periods of the TA Recipient Survey and local evaluation surveys do not overlap in order to minimize respondent burden and maximize response rates.</w:t>
      </w:r>
      <w:r w:rsidR="00122995">
        <w:t xml:space="preserve"> </w:t>
      </w:r>
    </w:p>
    <w:p w:rsidRPr="004C1707" w:rsidR="00535507" w:rsidP="00535507" w:rsidRDefault="00535507" w14:paraId="6D869719" w14:textId="3772B1AD">
      <w:pPr>
        <w:pStyle w:val="BodyText"/>
      </w:pPr>
      <w:r>
        <w:rPr>
          <w:b/>
          <w:bCs/>
        </w:rPr>
        <w:t>T</w:t>
      </w:r>
      <w:r w:rsidRPr="00AE2608">
        <w:rPr>
          <w:b/>
          <w:bCs/>
        </w:rPr>
        <w:t xml:space="preserve">A </w:t>
      </w:r>
      <w:r>
        <w:rPr>
          <w:b/>
          <w:bCs/>
        </w:rPr>
        <w:t xml:space="preserve">Recipient </w:t>
      </w:r>
      <w:r w:rsidRPr="00AE2608">
        <w:rPr>
          <w:b/>
          <w:bCs/>
        </w:rPr>
        <w:t xml:space="preserve">Survey: </w:t>
      </w:r>
      <w:r w:rsidRPr="00AE2608">
        <w:t>The target response rate for the survey is 80%</w:t>
      </w:r>
      <w:r>
        <w:t xml:space="preserve"> (responses for 18</w:t>
      </w:r>
      <w:r w:rsidR="003176C1">
        <w:t>6</w:t>
      </w:r>
      <w:r>
        <w:t xml:space="preserve"> projects)</w:t>
      </w:r>
      <w:r w:rsidRPr="00AE2608">
        <w:t>.</w:t>
      </w:r>
      <w:r w:rsidR="00DC2815">
        <w:t xml:space="preserve"> </w:t>
      </w:r>
      <w:r w:rsidRPr="00AE2608">
        <w:t xml:space="preserve">Section B3 </w:t>
      </w:r>
      <w:r>
        <w:t>describes the</w:t>
      </w:r>
      <w:r w:rsidRPr="00AE2608">
        <w:t xml:space="preserve"> strategies that </w:t>
      </w:r>
      <w:r>
        <w:t xml:space="preserve">the team </w:t>
      </w:r>
      <w:r w:rsidRPr="00AE2608">
        <w:t xml:space="preserve">will </w:t>
      </w:r>
      <w:r>
        <w:t xml:space="preserve">use </w:t>
      </w:r>
      <w:r w:rsidRPr="00AE2608">
        <w:t>to maximize participation</w:t>
      </w:r>
      <w:r>
        <w:t xml:space="preserve"> and achieve the target response rate.</w:t>
      </w:r>
    </w:p>
    <w:p w:rsidRPr="00826523" w:rsidR="009851B3" w:rsidP="007F26AD" w:rsidRDefault="004E4802" w14:paraId="1D5C94FE" w14:textId="41DFC82B">
      <w:pPr>
        <w:pStyle w:val="BodyText"/>
      </w:pPr>
      <w:r>
        <w:rPr>
          <w:b/>
        </w:rPr>
        <w:lastRenderedPageBreak/>
        <w:t xml:space="preserve">CC Director </w:t>
      </w:r>
      <w:r w:rsidR="00887611">
        <w:rPr>
          <w:b/>
        </w:rPr>
        <w:t>I</w:t>
      </w:r>
      <w:r>
        <w:rPr>
          <w:b/>
        </w:rPr>
        <w:t>nterviews and REL Director</w:t>
      </w:r>
      <w:r w:rsidRPr="0034497C">
        <w:rPr>
          <w:b/>
        </w:rPr>
        <w:t xml:space="preserve"> </w:t>
      </w:r>
      <w:r w:rsidR="00887611">
        <w:rPr>
          <w:b/>
        </w:rPr>
        <w:t>I</w:t>
      </w:r>
      <w:r w:rsidRPr="0034497C">
        <w:rPr>
          <w:b/>
        </w:rPr>
        <w:t>nterview</w:t>
      </w:r>
      <w:r>
        <w:rPr>
          <w:b/>
        </w:rPr>
        <w:t>s</w:t>
      </w:r>
      <w:r w:rsidRPr="0034497C">
        <w:t xml:space="preserve">: </w:t>
      </w:r>
      <w:r w:rsidRPr="004948AB">
        <w:t xml:space="preserve">The study team </w:t>
      </w:r>
      <w:r w:rsidR="00535507">
        <w:t xml:space="preserve">will work with all CC Directors and REL Directors to schedule the interview at a convenient time when they are available. The study team anticipates that all directors will participate in this interview given </w:t>
      </w:r>
      <w:r w:rsidR="002C0157">
        <w:t>their interest in learning from this study about promising practices and areas for program improvement</w:t>
      </w:r>
      <w:r w:rsidR="00535507">
        <w:t>,</w:t>
      </w:r>
      <w:r w:rsidR="00DC2815">
        <w:t xml:space="preserve"> and t</w:t>
      </w:r>
      <w:r w:rsidR="00F95940">
        <w:t>h</w:t>
      </w:r>
      <w:r w:rsidR="004948AB">
        <w:t xml:space="preserve">e 100% </w:t>
      </w:r>
      <w:r w:rsidR="00AE2608">
        <w:t xml:space="preserve">CC staff </w:t>
      </w:r>
      <w:r w:rsidR="004948AB">
        <w:t xml:space="preserve">response rates achieved in the study for the 2012 </w:t>
      </w:r>
      <w:r w:rsidR="00BE6393">
        <w:t xml:space="preserve">CC </w:t>
      </w:r>
      <w:r w:rsidR="004948AB">
        <w:t>cohort</w:t>
      </w:r>
      <w:r w:rsidR="00AE2608">
        <w:t xml:space="preserve"> (</w:t>
      </w:r>
      <w:r w:rsidR="001A4779">
        <w:t>E</w:t>
      </w:r>
      <w:r w:rsidR="00AE2608">
        <w:t>xhibit B3)</w:t>
      </w:r>
      <w:r w:rsidRPr="0034497C">
        <w:t>.</w:t>
      </w:r>
      <w:r w:rsidRPr="004948AB" w:rsidR="004948AB">
        <w:t xml:space="preserve"> </w:t>
      </w:r>
      <w:r w:rsidR="00887611">
        <w:t>Section B3 describes the strategies that will be used to maximize participation in the interviews to achieve the target response rates.</w:t>
      </w:r>
    </w:p>
    <w:p w:rsidRPr="0034497C" w:rsidR="00FE7E30" w:rsidP="00FE7E30" w:rsidRDefault="00FE7E30" w14:paraId="377E14F8" w14:textId="0A435D93">
      <w:pPr>
        <w:pStyle w:val="Caption"/>
      </w:pPr>
      <w:r w:rsidRPr="0034497C">
        <w:t>Exhibit B</w:t>
      </w:r>
      <w:r>
        <w:t>3</w:t>
      </w:r>
      <w:r w:rsidR="006901E0">
        <w:t xml:space="preserve">: </w:t>
      </w:r>
      <w:r>
        <w:t>Data Sources, Respondents, Sample, and Response Rates</w:t>
      </w:r>
    </w:p>
    <w:tbl>
      <w:tblPr>
        <w:tblW w:w="94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605"/>
        <w:gridCol w:w="2070"/>
        <w:gridCol w:w="1124"/>
        <w:gridCol w:w="844"/>
        <w:gridCol w:w="968"/>
        <w:gridCol w:w="1841"/>
      </w:tblGrid>
      <w:tr w:rsidRPr="00FD113A" w:rsidR="003C26A7" w:rsidTr="002259AD" w14:paraId="0E870CB9" w14:textId="15E2109D">
        <w:trPr>
          <w:trHeight w:val="271"/>
          <w:tblHeader/>
        </w:trPr>
        <w:tc>
          <w:tcPr>
            <w:tcW w:w="2605" w:type="dxa"/>
            <w:shd w:val="clear" w:color="auto" w:fill="4F81BD"/>
            <w:vAlign w:val="center"/>
          </w:tcPr>
          <w:p w:rsidRPr="00FD113A" w:rsidR="003C26A7" w:rsidP="00D357BA" w:rsidRDefault="003C26A7" w14:paraId="7AF73041" w14:textId="77777777">
            <w:pPr>
              <w:spacing w:after="0" w:line="240" w:lineRule="auto"/>
              <w:jc w:val="center"/>
              <w:rPr>
                <w:rFonts w:ascii="Arial Narrow" w:hAnsi="Arial Narrow"/>
                <w:b/>
                <w:color w:val="FFFFFF"/>
                <w:spacing w:val="-4"/>
                <w:sz w:val="20"/>
              </w:rPr>
            </w:pPr>
            <w:r w:rsidRPr="00FD113A">
              <w:rPr>
                <w:rFonts w:ascii="Arial Narrow" w:hAnsi="Arial Narrow"/>
                <w:b/>
                <w:color w:val="FFFFFF"/>
                <w:spacing w:val="-4"/>
                <w:sz w:val="20"/>
              </w:rPr>
              <w:t>Data Source</w:t>
            </w:r>
          </w:p>
        </w:tc>
        <w:tc>
          <w:tcPr>
            <w:tcW w:w="2070" w:type="dxa"/>
            <w:shd w:val="clear" w:color="auto" w:fill="4F81BD"/>
            <w:vAlign w:val="center"/>
          </w:tcPr>
          <w:p w:rsidRPr="00FD113A" w:rsidR="003C26A7" w:rsidP="00D357BA" w:rsidRDefault="003C26A7" w14:paraId="7803165C" w14:textId="77777777">
            <w:pPr>
              <w:spacing w:after="0" w:line="240" w:lineRule="auto"/>
              <w:jc w:val="center"/>
              <w:rPr>
                <w:rFonts w:ascii="Arial Narrow" w:hAnsi="Arial Narrow"/>
                <w:b/>
                <w:color w:val="FFFFFF"/>
                <w:spacing w:val="-4"/>
                <w:sz w:val="20"/>
              </w:rPr>
            </w:pPr>
            <w:r w:rsidRPr="00FD113A">
              <w:rPr>
                <w:rFonts w:ascii="Arial Narrow" w:hAnsi="Arial Narrow"/>
                <w:b/>
                <w:color w:val="FFFFFF"/>
                <w:spacing w:val="-4"/>
                <w:sz w:val="20"/>
              </w:rPr>
              <w:t>Respondent</w:t>
            </w:r>
          </w:p>
        </w:tc>
        <w:tc>
          <w:tcPr>
            <w:tcW w:w="1124" w:type="dxa"/>
            <w:shd w:val="clear" w:color="auto" w:fill="4F81BD"/>
            <w:vAlign w:val="center"/>
          </w:tcPr>
          <w:p w:rsidRPr="00FD113A" w:rsidR="003C26A7" w:rsidP="00D357BA" w:rsidRDefault="003C26A7" w14:paraId="297DC53A" w14:textId="77777777">
            <w:pPr>
              <w:spacing w:after="0" w:line="240" w:lineRule="auto"/>
              <w:jc w:val="center"/>
              <w:rPr>
                <w:rFonts w:ascii="Arial Narrow" w:hAnsi="Arial Narrow"/>
                <w:b/>
                <w:color w:val="FFFFFF"/>
                <w:spacing w:val="-4"/>
                <w:sz w:val="20"/>
              </w:rPr>
            </w:pPr>
            <w:r w:rsidRPr="00FD113A">
              <w:rPr>
                <w:rFonts w:ascii="Arial Narrow" w:hAnsi="Arial Narrow"/>
                <w:b/>
                <w:color w:val="FFFFFF"/>
                <w:spacing w:val="-4"/>
                <w:sz w:val="20"/>
              </w:rPr>
              <w:t>Respondent Universe</w:t>
            </w:r>
          </w:p>
        </w:tc>
        <w:tc>
          <w:tcPr>
            <w:tcW w:w="844" w:type="dxa"/>
            <w:tcBorders>
              <w:right w:val="single" w:color="auto" w:sz="4" w:space="0"/>
            </w:tcBorders>
            <w:shd w:val="clear" w:color="auto" w:fill="4F81BD"/>
            <w:vAlign w:val="center"/>
          </w:tcPr>
          <w:p w:rsidRPr="00FD113A" w:rsidR="003C26A7" w:rsidP="00D357BA" w:rsidRDefault="003C26A7" w14:paraId="59041B02" w14:textId="77777777">
            <w:pPr>
              <w:spacing w:after="0" w:line="240" w:lineRule="auto"/>
              <w:jc w:val="center"/>
              <w:rPr>
                <w:rFonts w:ascii="Arial Narrow" w:hAnsi="Arial Narrow"/>
                <w:b/>
                <w:color w:val="FFFFFF"/>
                <w:spacing w:val="-4"/>
                <w:sz w:val="20"/>
              </w:rPr>
            </w:pPr>
            <w:r w:rsidRPr="00FD113A">
              <w:rPr>
                <w:rFonts w:ascii="Arial Narrow" w:hAnsi="Arial Narrow"/>
                <w:b/>
                <w:color w:val="FFFFFF"/>
                <w:spacing w:val="-4"/>
                <w:sz w:val="20"/>
              </w:rPr>
              <w:t>Sample</w:t>
            </w:r>
          </w:p>
        </w:tc>
        <w:tc>
          <w:tcPr>
            <w:tcW w:w="968" w:type="dxa"/>
            <w:tcBorders>
              <w:left w:val="single" w:color="auto" w:sz="4" w:space="0"/>
            </w:tcBorders>
            <w:shd w:val="clear" w:color="auto" w:fill="4F81BD"/>
            <w:vAlign w:val="center"/>
          </w:tcPr>
          <w:p w:rsidRPr="00FD113A" w:rsidR="003C26A7" w:rsidP="00D357BA" w:rsidRDefault="003C26A7" w14:paraId="0D8D0CDF" w14:textId="77777777">
            <w:pPr>
              <w:spacing w:after="0" w:line="240" w:lineRule="auto"/>
              <w:jc w:val="center"/>
              <w:rPr>
                <w:rFonts w:ascii="Arial Narrow" w:hAnsi="Arial Narrow"/>
                <w:b/>
                <w:color w:val="FFFFFF"/>
                <w:spacing w:val="-4"/>
                <w:sz w:val="20"/>
              </w:rPr>
            </w:pPr>
            <w:r w:rsidRPr="00FD113A">
              <w:rPr>
                <w:rFonts w:ascii="Arial Narrow" w:hAnsi="Arial Narrow"/>
                <w:b/>
                <w:color w:val="FFFFFF"/>
                <w:spacing w:val="-4"/>
                <w:sz w:val="20"/>
              </w:rPr>
              <w:t>Response Rate Expected</w:t>
            </w:r>
          </w:p>
        </w:tc>
        <w:tc>
          <w:tcPr>
            <w:tcW w:w="1841" w:type="dxa"/>
            <w:tcBorders>
              <w:left w:val="single" w:color="auto" w:sz="4" w:space="0"/>
            </w:tcBorders>
            <w:shd w:val="clear" w:color="auto" w:fill="4F81BD"/>
            <w:vAlign w:val="center"/>
          </w:tcPr>
          <w:p w:rsidRPr="00FD113A" w:rsidR="003C26A7" w:rsidP="00D357BA" w:rsidRDefault="003C26A7" w14:paraId="77338520" w14:textId="410EE779">
            <w:pPr>
              <w:spacing w:after="0" w:line="240" w:lineRule="auto"/>
              <w:jc w:val="center"/>
              <w:rPr>
                <w:rFonts w:ascii="Arial Narrow" w:hAnsi="Arial Narrow"/>
                <w:b/>
                <w:color w:val="FFFFFF"/>
                <w:spacing w:val="-4"/>
                <w:sz w:val="20"/>
              </w:rPr>
            </w:pPr>
            <w:r w:rsidRPr="00FD113A">
              <w:rPr>
                <w:rFonts w:ascii="Arial Narrow" w:hAnsi="Arial Narrow"/>
                <w:b/>
                <w:color w:val="FFFFFF"/>
                <w:spacing w:val="-4"/>
                <w:sz w:val="20"/>
              </w:rPr>
              <w:t>Prior Response Rate</w:t>
            </w:r>
          </w:p>
        </w:tc>
      </w:tr>
      <w:tr w:rsidRPr="006901E0" w:rsidR="006901E0" w:rsidTr="002259AD" w14:paraId="073BC4D7" w14:textId="5BF7B7FA">
        <w:trPr>
          <w:trHeight w:val="271"/>
          <w:tblHeader/>
        </w:trPr>
        <w:tc>
          <w:tcPr>
            <w:tcW w:w="9452" w:type="dxa"/>
            <w:gridSpan w:val="6"/>
            <w:shd w:val="clear" w:color="auto" w:fill="95B3D7"/>
            <w:vAlign w:val="bottom"/>
          </w:tcPr>
          <w:p w:rsidRPr="006901E0" w:rsidR="006901E0" w:rsidP="006901E0" w:rsidRDefault="006901E0" w14:paraId="4959D506" w14:textId="7FC53D75">
            <w:pPr>
              <w:pStyle w:val="TableText"/>
              <w:spacing w:before="0" w:after="0"/>
              <w:jc w:val="center"/>
              <w:rPr>
                <w:b/>
                <w:bCs w:val="0"/>
                <w:color w:val="auto"/>
              </w:rPr>
            </w:pPr>
            <w:r w:rsidRPr="006901E0">
              <w:rPr>
                <w:b/>
                <w:bCs w:val="0"/>
                <w:color w:val="auto"/>
              </w:rPr>
              <w:t>Administrative Data</w:t>
            </w:r>
          </w:p>
        </w:tc>
      </w:tr>
      <w:tr w:rsidRPr="00FD113A" w:rsidR="003C26A7" w:rsidTr="002259AD" w14:paraId="54915D35" w14:textId="164E33E7">
        <w:trPr>
          <w:trHeight w:val="407"/>
        </w:trPr>
        <w:tc>
          <w:tcPr>
            <w:tcW w:w="2605" w:type="dxa"/>
            <w:shd w:val="clear" w:color="auto" w:fill="FFFFFF" w:themeFill="background1"/>
          </w:tcPr>
          <w:p w:rsidRPr="00DD3A14" w:rsidR="003C26A7" w:rsidP="00D357BA" w:rsidRDefault="003C26A7" w14:paraId="2CAD032F" w14:textId="44510929">
            <w:pPr>
              <w:spacing w:after="0" w:line="240" w:lineRule="auto"/>
              <w:rPr>
                <w:rFonts w:ascii="Arial Narrow" w:hAnsi="Arial Narrow"/>
                <w:spacing w:val="-4"/>
                <w:sz w:val="20"/>
              </w:rPr>
            </w:pPr>
            <w:bookmarkStart w:name="_Hlk62476130" w:id="9"/>
            <w:r>
              <w:rPr>
                <w:rFonts w:ascii="Arial Narrow" w:hAnsi="Arial Narrow"/>
                <w:b/>
                <w:bCs/>
                <w:spacing w:val="-4"/>
                <w:sz w:val="20"/>
              </w:rPr>
              <w:t xml:space="preserve">Annual Service Plans, </w:t>
            </w:r>
            <w:r w:rsidR="00533AE8">
              <w:rPr>
                <w:rFonts w:ascii="Arial Narrow" w:hAnsi="Arial Narrow"/>
                <w:b/>
                <w:bCs/>
                <w:spacing w:val="-4"/>
                <w:sz w:val="20"/>
              </w:rPr>
              <w:t xml:space="preserve">Annual Evaluation Reports, </w:t>
            </w:r>
            <w:r w:rsidR="00202D7C">
              <w:rPr>
                <w:rFonts w:ascii="Arial Narrow" w:hAnsi="Arial Narrow"/>
                <w:b/>
                <w:bCs/>
                <w:spacing w:val="-4"/>
                <w:sz w:val="20"/>
              </w:rPr>
              <w:t xml:space="preserve">and </w:t>
            </w:r>
            <w:r>
              <w:rPr>
                <w:rFonts w:ascii="Arial Narrow" w:hAnsi="Arial Narrow"/>
                <w:b/>
                <w:bCs/>
                <w:spacing w:val="-4"/>
                <w:sz w:val="20"/>
              </w:rPr>
              <w:t>Joint Needs Sensing Memos</w:t>
            </w:r>
          </w:p>
        </w:tc>
        <w:tc>
          <w:tcPr>
            <w:tcW w:w="2070" w:type="dxa"/>
            <w:shd w:val="clear" w:color="auto" w:fill="FFFFFF" w:themeFill="background1"/>
          </w:tcPr>
          <w:p w:rsidRPr="00FD113A" w:rsidR="003C26A7" w:rsidP="00D357BA" w:rsidRDefault="002C0157" w14:paraId="045FF82C" w14:textId="16580F34">
            <w:pPr>
              <w:spacing w:after="0" w:line="240" w:lineRule="auto"/>
              <w:rPr>
                <w:rFonts w:ascii="Arial Narrow" w:hAnsi="Arial Narrow"/>
                <w:spacing w:val="-4"/>
                <w:sz w:val="20"/>
              </w:rPr>
            </w:pPr>
            <w:r>
              <w:rPr>
                <w:rFonts w:ascii="Arial Narrow" w:hAnsi="Arial Narrow"/>
                <w:spacing w:val="-4"/>
                <w:sz w:val="20"/>
              </w:rPr>
              <w:t>The Department (</w:t>
            </w:r>
            <w:r w:rsidRPr="00FD113A" w:rsidR="003C26A7">
              <w:rPr>
                <w:rFonts w:ascii="Arial Narrow" w:hAnsi="Arial Narrow"/>
                <w:spacing w:val="-4"/>
                <w:sz w:val="20"/>
              </w:rPr>
              <w:t>U.S. Department of Education,</w:t>
            </w:r>
            <w:r w:rsidR="003C26A7">
              <w:t xml:space="preserve"> </w:t>
            </w:r>
            <w:r w:rsidRPr="00FD113A" w:rsidR="003C26A7">
              <w:rPr>
                <w:rFonts w:ascii="Arial Narrow" w:hAnsi="Arial Narrow"/>
                <w:spacing w:val="-4"/>
                <w:sz w:val="20"/>
              </w:rPr>
              <w:t>IES</w:t>
            </w:r>
            <w:r>
              <w:rPr>
                <w:rFonts w:ascii="Arial Narrow" w:hAnsi="Arial Narrow"/>
                <w:spacing w:val="-4"/>
                <w:sz w:val="20"/>
              </w:rPr>
              <w:t>)</w:t>
            </w:r>
          </w:p>
        </w:tc>
        <w:tc>
          <w:tcPr>
            <w:tcW w:w="1124" w:type="dxa"/>
            <w:shd w:val="clear" w:color="auto" w:fill="FFFFFF" w:themeFill="background1"/>
          </w:tcPr>
          <w:p w:rsidRPr="00FD113A" w:rsidR="003C26A7" w:rsidP="00D357BA" w:rsidRDefault="003C26A7" w14:paraId="70C05825" w14:textId="77777777">
            <w:pPr>
              <w:spacing w:after="0" w:line="240" w:lineRule="auto"/>
              <w:jc w:val="center"/>
              <w:rPr>
                <w:rFonts w:ascii="Arial Narrow" w:hAnsi="Arial Narrow"/>
                <w:spacing w:val="-4"/>
                <w:sz w:val="20"/>
              </w:rPr>
            </w:pPr>
            <w:r w:rsidRPr="00FD113A">
              <w:rPr>
                <w:rFonts w:ascii="Arial Narrow" w:hAnsi="Arial Narrow"/>
                <w:spacing w:val="-4"/>
                <w:sz w:val="20"/>
              </w:rPr>
              <w:t>1</w:t>
            </w:r>
          </w:p>
        </w:tc>
        <w:tc>
          <w:tcPr>
            <w:tcW w:w="844" w:type="dxa"/>
            <w:tcBorders>
              <w:right w:val="single" w:color="auto" w:sz="4" w:space="0"/>
            </w:tcBorders>
            <w:shd w:val="clear" w:color="auto" w:fill="FFFFFF" w:themeFill="background1"/>
          </w:tcPr>
          <w:p w:rsidRPr="00FD113A" w:rsidR="003C26A7" w:rsidP="00D357BA" w:rsidRDefault="003C26A7" w14:paraId="1E026B12" w14:textId="77777777">
            <w:pPr>
              <w:spacing w:after="0" w:line="240" w:lineRule="auto"/>
              <w:jc w:val="center"/>
              <w:rPr>
                <w:rFonts w:ascii="Arial Narrow" w:hAnsi="Arial Narrow"/>
                <w:spacing w:val="-4"/>
                <w:sz w:val="20"/>
              </w:rPr>
            </w:pPr>
            <w:r w:rsidRPr="00FD113A">
              <w:rPr>
                <w:rFonts w:ascii="Arial Narrow" w:hAnsi="Arial Narrow"/>
                <w:spacing w:val="-4"/>
                <w:sz w:val="20"/>
              </w:rPr>
              <w:t xml:space="preserve">census </w:t>
            </w:r>
          </w:p>
        </w:tc>
        <w:tc>
          <w:tcPr>
            <w:tcW w:w="968" w:type="dxa"/>
            <w:tcBorders>
              <w:left w:val="single" w:color="auto" w:sz="4" w:space="0"/>
            </w:tcBorders>
            <w:shd w:val="clear" w:color="auto" w:fill="FFFFFF" w:themeFill="background1"/>
          </w:tcPr>
          <w:p w:rsidRPr="00FD113A" w:rsidR="003C26A7" w:rsidP="00D357BA" w:rsidRDefault="003C26A7" w14:paraId="5DD24D1B" w14:textId="77777777">
            <w:pPr>
              <w:spacing w:after="0" w:line="240" w:lineRule="auto"/>
              <w:jc w:val="center"/>
              <w:rPr>
                <w:rFonts w:ascii="Arial Narrow" w:hAnsi="Arial Narrow"/>
                <w:spacing w:val="-4"/>
                <w:sz w:val="20"/>
              </w:rPr>
            </w:pPr>
            <w:r w:rsidRPr="00FD113A">
              <w:rPr>
                <w:rFonts w:ascii="Arial Narrow" w:hAnsi="Arial Narrow"/>
                <w:spacing w:val="-4"/>
                <w:sz w:val="20"/>
              </w:rPr>
              <w:t>100%</w:t>
            </w:r>
          </w:p>
        </w:tc>
        <w:tc>
          <w:tcPr>
            <w:tcW w:w="1841" w:type="dxa"/>
            <w:tcBorders>
              <w:left w:val="single" w:color="auto" w:sz="4" w:space="0"/>
            </w:tcBorders>
            <w:shd w:val="clear" w:color="auto" w:fill="FFFFFF" w:themeFill="background1"/>
          </w:tcPr>
          <w:p w:rsidRPr="00FD113A" w:rsidR="003C26A7" w:rsidP="00D357BA" w:rsidRDefault="003C26A7" w14:paraId="67E4EE28" w14:textId="77777777">
            <w:pPr>
              <w:spacing w:after="0" w:line="240" w:lineRule="auto"/>
              <w:jc w:val="center"/>
              <w:rPr>
                <w:rFonts w:ascii="Arial Narrow" w:hAnsi="Arial Narrow"/>
                <w:spacing w:val="-4"/>
                <w:sz w:val="20"/>
              </w:rPr>
            </w:pPr>
            <w:r>
              <w:rPr>
                <w:rFonts w:ascii="Arial Narrow" w:hAnsi="Arial Narrow"/>
                <w:spacing w:val="-4"/>
                <w:sz w:val="20"/>
              </w:rPr>
              <w:t>Not applicable</w:t>
            </w:r>
          </w:p>
        </w:tc>
      </w:tr>
      <w:tr w:rsidRPr="00FD113A" w:rsidR="003C26A7" w:rsidTr="002259AD" w14:paraId="13445F18" w14:textId="30A9F20E">
        <w:trPr>
          <w:trHeight w:val="135"/>
        </w:trPr>
        <w:tc>
          <w:tcPr>
            <w:tcW w:w="2605" w:type="dxa"/>
            <w:shd w:val="clear" w:color="auto" w:fill="auto"/>
          </w:tcPr>
          <w:p w:rsidR="003C26A7" w:rsidP="00D357BA" w:rsidRDefault="003C26A7" w14:paraId="79C85322" w14:textId="68B4E053">
            <w:pPr>
              <w:spacing w:after="0" w:line="240" w:lineRule="auto"/>
              <w:rPr>
                <w:rFonts w:ascii="Arial Narrow" w:hAnsi="Arial Narrow"/>
                <w:spacing w:val="-4"/>
                <w:sz w:val="20"/>
              </w:rPr>
            </w:pPr>
            <w:r w:rsidRPr="00762126">
              <w:rPr>
                <w:rFonts w:ascii="Arial Narrow" w:hAnsi="Arial Narrow"/>
                <w:b/>
                <w:bCs/>
                <w:spacing w:val="-4"/>
                <w:sz w:val="20"/>
              </w:rPr>
              <w:t xml:space="preserve">Contact information for </w:t>
            </w:r>
            <w:r w:rsidR="00DC2815">
              <w:rPr>
                <w:rFonts w:ascii="Arial Narrow" w:hAnsi="Arial Narrow"/>
                <w:b/>
                <w:bCs/>
                <w:spacing w:val="-4"/>
                <w:sz w:val="20"/>
              </w:rPr>
              <w:t xml:space="preserve">Year 2 </w:t>
            </w:r>
            <w:r w:rsidRPr="0014526A">
              <w:rPr>
                <w:rFonts w:ascii="Arial Narrow" w:hAnsi="Arial Narrow"/>
                <w:b/>
                <w:bCs/>
                <w:spacing w:val="-4"/>
                <w:sz w:val="20"/>
              </w:rPr>
              <w:t>TA recipient</w:t>
            </w:r>
            <w:r w:rsidR="00DC2815">
              <w:rPr>
                <w:rFonts w:ascii="Arial Narrow" w:hAnsi="Arial Narrow"/>
                <w:b/>
                <w:bCs/>
                <w:spacing w:val="-4"/>
                <w:sz w:val="20"/>
              </w:rPr>
              <w:t>s</w:t>
            </w:r>
            <w:r>
              <w:rPr>
                <w:rFonts w:ascii="Arial Narrow" w:hAnsi="Arial Narrow"/>
                <w:spacing w:val="-4"/>
                <w:sz w:val="20"/>
              </w:rPr>
              <w:t xml:space="preserve"> </w:t>
            </w:r>
          </w:p>
        </w:tc>
        <w:tc>
          <w:tcPr>
            <w:tcW w:w="2070" w:type="dxa"/>
            <w:shd w:val="clear" w:color="auto" w:fill="auto"/>
          </w:tcPr>
          <w:p w:rsidRPr="002259AD" w:rsidR="00F95940" w:rsidP="00D357BA" w:rsidRDefault="00F95940" w14:paraId="48DDED48" w14:textId="012EE9FF">
            <w:pPr>
              <w:spacing w:after="0" w:line="240" w:lineRule="auto"/>
              <w:rPr>
                <w:rFonts w:ascii="Arial Narrow" w:hAnsi="Arial Narrow"/>
                <w:spacing w:val="-4"/>
                <w:sz w:val="20"/>
                <w:lang w:val="pt-PT"/>
              </w:rPr>
            </w:pPr>
            <w:r w:rsidRPr="002259AD">
              <w:rPr>
                <w:rFonts w:ascii="Arial Narrow" w:hAnsi="Arial Narrow"/>
                <w:spacing w:val="-4"/>
                <w:sz w:val="20"/>
                <w:lang w:val="pt-PT"/>
              </w:rPr>
              <w:t>Regional Center Directors (19)</w:t>
            </w:r>
          </w:p>
          <w:p w:rsidRPr="002259AD" w:rsidR="003C26A7" w:rsidP="00D357BA" w:rsidRDefault="00F95940" w14:paraId="152A428E" w14:textId="2C7C75F6">
            <w:pPr>
              <w:spacing w:after="0" w:line="240" w:lineRule="auto"/>
              <w:rPr>
                <w:rFonts w:ascii="Arial Narrow" w:hAnsi="Arial Narrow"/>
                <w:spacing w:val="-4"/>
                <w:sz w:val="20"/>
                <w:lang w:val="pt-PT"/>
              </w:rPr>
            </w:pPr>
            <w:r w:rsidRPr="002259AD">
              <w:rPr>
                <w:rFonts w:ascii="Arial Narrow" w:hAnsi="Arial Narrow"/>
                <w:spacing w:val="-4"/>
                <w:sz w:val="20"/>
                <w:lang w:val="pt-PT"/>
              </w:rPr>
              <w:t>National Center Directo</w:t>
            </w:r>
            <w:r w:rsidRPr="002259AD" w:rsidR="003C26A7">
              <w:rPr>
                <w:rFonts w:ascii="Arial Narrow" w:hAnsi="Arial Narrow"/>
                <w:spacing w:val="-4"/>
                <w:sz w:val="20"/>
                <w:lang w:val="pt-PT"/>
              </w:rPr>
              <w:t>r</w:t>
            </w:r>
            <w:r>
              <w:rPr>
                <w:rFonts w:ascii="Arial Narrow" w:hAnsi="Arial Narrow"/>
                <w:spacing w:val="-4"/>
                <w:sz w:val="20"/>
                <w:lang w:val="pt-PT"/>
              </w:rPr>
              <w:t xml:space="preserve"> (1</w:t>
            </w:r>
            <w:r w:rsidRPr="002259AD" w:rsidR="003C26A7">
              <w:rPr>
                <w:rFonts w:ascii="Arial Narrow" w:hAnsi="Arial Narrow"/>
                <w:spacing w:val="-4"/>
                <w:sz w:val="20"/>
                <w:lang w:val="pt-PT"/>
              </w:rPr>
              <w:t>)</w:t>
            </w:r>
          </w:p>
        </w:tc>
        <w:tc>
          <w:tcPr>
            <w:tcW w:w="1124" w:type="dxa"/>
            <w:shd w:val="clear" w:color="auto" w:fill="auto"/>
          </w:tcPr>
          <w:p w:rsidR="003C26A7" w:rsidDel="00A17264" w:rsidP="00D357BA" w:rsidRDefault="003C26A7" w14:paraId="1147F72A" w14:textId="77777777">
            <w:pPr>
              <w:spacing w:after="0" w:line="240" w:lineRule="auto"/>
              <w:jc w:val="center"/>
              <w:rPr>
                <w:rFonts w:ascii="Arial Narrow" w:hAnsi="Arial Narrow"/>
                <w:spacing w:val="-4"/>
                <w:sz w:val="20"/>
              </w:rPr>
            </w:pPr>
            <w:r>
              <w:rPr>
                <w:rFonts w:ascii="Arial Narrow" w:hAnsi="Arial Narrow"/>
                <w:spacing w:val="-4"/>
                <w:sz w:val="20"/>
              </w:rPr>
              <w:t>20</w:t>
            </w:r>
          </w:p>
        </w:tc>
        <w:tc>
          <w:tcPr>
            <w:tcW w:w="844" w:type="dxa"/>
            <w:tcBorders>
              <w:right w:val="single" w:color="auto" w:sz="4" w:space="0"/>
            </w:tcBorders>
            <w:shd w:val="clear" w:color="auto" w:fill="auto"/>
          </w:tcPr>
          <w:p w:rsidRPr="00FD113A" w:rsidR="003C26A7" w:rsidP="00D357BA" w:rsidRDefault="003C26A7" w14:paraId="10E1B4DE" w14:textId="77777777">
            <w:pPr>
              <w:spacing w:after="0" w:line="240" w:lineRule="auto"/>
              <w:jc w:val="center"/>
              <w:rPr>
                <w:rFonts w:ascii="Arial Narrow" w:hAnsi="Arial Narrow"/>
                <w:spacing w:val="-4"/>
                <w:sz w:val="20"/>
              </w:rPr>
            </w:pPr>
            <w:r w:rsidRPr="00FD113A">
              <w:rPr>
                <w:rFonts w:ascii="Arial Narrow" w:hAnsi="Arial Narrow"/>
                <w:spacing w:val="-4"/>
                <w:sz w:val="20"/>
              </w:rPr>
              <w:t xml:space="preserve">census </w:t>
            </w:r>
          </w:p>
        </w:tc>
        <w:tc>
          <w:tcPr>
            <w:tcW w:w="968" w:type="dxa"/>
            <w:tcBorders>
              <w:left w:val="single" w:color="auto" w:sz="4" w:space="0"/>
            </w:tcBorders>
            <w:shd w:val="clear" w:color="auto" w:fill="auto"/>
          </w:tcPr>
          <w:p w:rsidRPr="00FD113A" w:rsidR="003C26A7" w:rsidP="00D357BA" w:rsidRDefault="003C26A7" w14:paraId="3DE45B60" w14:textId="77777777">
            <w:pPr>
              <w:spacing w:after="0" w:line="240" w:lineRule="auto"/>
              <w:jc w:val="center"/>
              <w:rPr>
                <w:rFonts w:ascii="Arial Narrow" w:hAnsi="Arial Narrow"/>
                <w:spacing w:val="-4"/>
                <w:sz w:val="20"/>
              </w:rPr>
            </w:pPr>
            <w:r w:rsidRPr="00FD113A">
              <w:rPr>
                <w:rFonts w:ascii="Arial Narrow" w:hAnsi="Arial Narrow"/>
                <w:spacing w:val="-4"/>
                <w:sz w:val="20"/>
              </w:rPr>
              <w:t>100%</w:t>
            </w:r>
          </w:p>
        </w:tc>
        <w:tc>
          <w:tcPr>
            <w:tcW w:w="1841" w:type="dxa"/>
            <w:tcBorders>
              <w:left w:val="single" w:color="auto" w:sz="4" w:space="0"/>
            </w:tcBorders>
          </w:tcPr>
          <w:p w:rsidRPr="00FD113A" w:rsidR="003C26A7" w:rsidP="00D357BA" w:rsidRDefault="003C26A7" w14:paraId="7C924A96" w14:textId="77777777">
            <w:pPr>
              <w:spacing w:after="0" w:line="240" w:lineRule="auto"/>
              <w:jc w:val="center"/>
              <w:rPr>
                <w:rFonts w:ascii="Arial Narrow" w:hAnsi="Arial Narrow"/>
                <w:sz w:val="20"/>
              </w:rPr>
            </w:pPr>
            <w:r w:rsidRPr="002F20FC">
              <w:rPr>
                <w:rFonts w:ascii="Arial Narrow" w:hAnsi="Arial Narrow"/>
                <w:spacing w:val="-4"/>
                <w:sz w:val="20"/>
              </w:rPr>
              <w:t>Not applicable</w:t>
            </w:r>
          </w:p>
        </w:tc>
      </w:tr>
      <w:tr w:rsidRPr="006901E0" w:rsidR="006901E0" w:rsidTr="002259AD" w14:paraId="5A8EDB01" w14:textId="636C8437">
        <w:trPr>
          <w:trHeight w:val="135"/>
        </w:trPr>
        <w:tc>
          <w:tcPr>
            <w:tcW w:w="9452" w:type="dxa"/>
            <w:gridSpan w:val="6"/>
            <w:shd w:val="clear" w:color="auto" w:fill="95B3D7"/>
            <w:vAlign w:val="bottom"/>
          </w:tcPr>
          <w:p w:rsidRPr="006901E0" w:rsidR="006901E0" w:rsidP="006901E0" w:rsidRDefault="006901E0" w14:paraId="55192C74" w14:textId="5AD9D2B5">
            <w:pPr>
              <w:pStyle w:val="TableText"/>
              <w:spacing w:before="0" w:after="0"/>
              <w:jc w:val="center"/>
              <w:rPr>
                <w:b/>
                <w:bCs w:val="0"/>
                <w:color w:val="auto"/>
              </w:rPr>
            </w:pPr>
            <w:r w:rsidRPr="006901E0">
              <w:rPr>
                <w:b/>
                <w:bCs w:val="0"/>
                <w:color w:val="auto"/>
              </w:rPr>
              <w:t>Primary Data</w:t>
            </w:r>
          </w:p>
        </w:tc>
      </w:tr>
      <w:tr w:rsidRPr="002D716A" w:rsidR="003C26A7" w:rsidTr="002259AD" w14:paraId="6485BC99" w14:textId="41CB379B">
        <w:trPr>
          <w:trHeight w:val="135"/>
        </w:trPr>
        <w:tc>
          <w:tcPr>
            <w:tcW w:w="2605" w:type="dxa"/>
            <w:shd w:val="clear" w:color="auto" w:fill="E7E6E6" w:themeFill="background2"/>
          </w:tcPr>
          <w:p w:rsidRPr="002259AD" w:rsidR="003C26A7" w:rsidP="00D357BA" w:rsidRDefault="003C26A7" w14:paraId="35748B75" w14:textId="234C3695">
            <w:pPr>
              <w:spacing w:after="0" w:line="240" w:lineRule="auto"/>
              <w:rPr>
                <w:rFonts w:ascii="Arial Narrow" w:hAnsi="Arial Narrow"/>
                <w:b/>
                <w:bCs/>
                <w:spacing w:val="-4"/>
                <w:sz w:val="20"/>
              </w:rPr>
            </w:pPr>
            <w:r w:rsidRPr="002259AD">
              <w:rPr>
                <w:rFonts w:ascii="Arial Narrow" w:hAnsi="Arial Narrow"/>
                <w:b/>
                <w:bCs/>
                <w:spacing w:val="-4"/>
                <w:sz w:val="20"/>
              </w:rPr>
              <w:t xml:space="preserve">TA Recipient Survey </w:t>
            </w:r>
          </w:p>
        </w:tc>
        <w:tc>
          <w:tcPr>
            <w:tcW w:w="2070" w:type="dxa"/>
            <w:shd w:val="clear" w:color="auto" w:fill="E7E6E6" w:themeFill="background2"/>
          </w:tcPr>
          <w:p w:rsidRPr="00FD113A" w:rsidR="003C26A7" w:rsidP="00D357BA" w:rsidRDefault="00F95940" w14:paraId="5316D607" w14:textId="63023C25">
            <w:pPr>
              <w:spacing w:after="0" w:line="240" w:lineRule="auto"/>
              <w:rPr>
                <w:rFonts w:ascii="Arial Narrow" w:hAnsi="Arial Narrow"/>
                <w:spacing w:val="-4"/>
                <w:sz w:val="20"/>
              </w:rPr>
            </w:pPr>
            <w:r>
              <w:rPr>
                <w:rFonts w:ascii="Arial Narrow" w:hAnsi="Arial Narrow"/>
                <w:spacing w:val="-4"/>
                <w:sz w:val="20"/>
              </w:rPr>
              <w:t xml:space="preserve">Key contact for every active Year 2 CC project </w:t>
            </w:r>
            <w:r w:rsidR="003C26A7">
              <w:rPr>
                <w:rFonts w:ascii="Arial Narrow" w:hAnsi="Arial Narrow"/>
                <w:spacing w:val="-4"/>
                <w:sz w:val="20"/>
              </w:rPr>
              <w:t xml:space="preserve"> </w:t>
            </w:r>
          </w:p>
        </w:tc>
        <w:tc>
          <w:tcPr>
            <w:tcW w:w="1124" w:type="dxa"/>
            <w:shd w:val="clear" w:color="auto" w:fill="E7E6E6" w:themeFill="background2"/>
          </w:tcPr>
          <w:p w:rsidRPr="00FD113A" w:rsidR="003C26A7" w:rsidP="00D357BA" w:rsidRDefault="003C26A7" w14:paraId="2E1DB22C" w14:textId="58911269">
            <w:pPr>
              <w:spacing w:after="0" w:line="240" w:lineRule="auto"/>
              <w:jc w:val="center"/>
              <w:rPr>
                <w:rFonts w:ascii="Arial Narrow" w:hAnsi="Arial Narrow"/>
                <w:spacing w:val="-4"/>
                <w:sz w:val="20"/>
              </w:rPr>
            </w:pPr>
            <w:r>
              <w:rPr>
                <w:rFonts w:ascii="Arial Narrow" w:hAnsi="Arial Narrow"/>
                <w:spacing w:val="-4"/>
                <w:sz w:val="20"/>
              </w:rPr>
              <w:t>23</w:t>
            </w:r>
            <w:r w:rsidR="002C0157">
              <w:rPr>
                <w:rFonts w:ascii="Arial Narrow" w:hAnsi="Arial Narrow"/>
                <w:spacing w:val="-4"/>
                <w:sz w:val="20"/>
              </w:rPr>
              <w:t>3</w:t>
            </w:r>
          </w:p>
        </w:tc>
        <w:tc>
          <w:tcPr>
            <w:tcW w:w="844" w:type="dxa"/>
            <w:tcBorders>
              <w:right w:val="single" w:color="auto" w:sz="4" w:space="0"/>
            </w:tcBorders>
            <w:shd w:val="clear" w:color="auto" w:fill="E7E6E6" w:themeFill="background2"/>
          </w:tcPr>
          <w:p w:rsidRPr="00FD113A" w:rsidR="003C26A7" w:rsidP="00D357BA" w:rsidRDefault="003C26A7" w14:paraId="4448FD7A" w14:textId="77777777">
            <w:pPr>
              <w:spacing w:after="0" w:line="240" w:lineRule="auto"/>
              <w:jc w:val="center"/>
              <w:rPr>
                <w:rFonts w:ascii="Arial Narrow" w:hAnsi="Arial Narrow"/>
                <w:spacing w:val="-4"/>
                <w:sz w:val="20"/>
              </w:rPr>
            </w:pPr>
            <w:r w:rsidRPr="00FD113A">
              <w:rPr>
                <w:rFonts w:ascii="Arial Narrow" w:hAnsi="Arial Narrow"/>
                <w:spacing w:val="-4"/>
                <w:sz w:val="20"/>
              </w:rPr>
              <w:t>census</w:t>
            </w:r>
          </w:p>
        </w:tc>
        <w:tc>
          <w:tcPr>
            <w:tcW w:w="968" w:type="dxa"/>
            <w:tcBorders>
              <w:left w:val="single" w:color="auto" w:sz="4" w:space="0"/>
            </w:tcBorders>
            <w:shd w:val="clear" w:color="auto" w:fill="E7E6E6" w:themeFill="background2"/>
          </w:tcPr>
          <w:p w:rsidRPr="00FD113A" w:rsidR="003C26A7" w:rsidP="00D357BA" w:rsidRDefault="003C26A7" w14:paraId="3F3113B4" w14:textId="77777777">
            <w:pPr>
              <w:spacing w:after="0" w:line="240" w:lineRule="auto"/>
              <w:jc w:val="center"/>
              <w:rPr>
                <w:rFonts w:ascii="Arial Narrow" w:hAnsi="Arial Narrow"/>
                <w:spacing w:val="-4"/>
                <w:sz w:val="20"/>
              </w:rPr>
            </w:pPr>
            <w:r w:rsidRPr="00FD113A">
              <w:rPr>
                <w:rFonts w:ascii="Arial Narrow" w:hAnsi="Arial Narrow"/>
                <w:spacing w:val="-4"/>
                <w:sz w:val="20"/>
              </w:rPr>
              <w:t>80%</w:t>
            </w:r>
          </w:p>
        </w:tc>
        <w:tc>
          <w:tcPr>
            <w:tcW w:w="1841" w:type="dxa"/>
            <w:tcBorders>
              <w:left w:val="single" w:color="auto" w:sz="4" w:space="0"/>
            </w:tcBorders>
            <w:shd w:val="clear" w:color="auto" w:fill="E7E6E6" w:themeFill="background2"/>
          </w:tcPr>
          <w:p w:rsidRPr="00FD113A" w:rsidR="003C26A7" w:rsidP="00D357BA" w:rsidRDefault="003C26A7" w14:paraId="58CDA6D2" w14:textId="70D9BA48">
            <w:pPr>
              <w:spacing w:after="0" w:line="240" w:lineRule="auto"/>
              <w:jc w:val="center"/>
              <w:rPr>
                <w:rFonts w:ascii="Arial Narrow" w:hAnsi="Arial Narrow"/>
                <w:spacing w:val="-4"/>
                <w:sz w:val="20"/>
              </w:rPr>
            </w:pPr>
            <w:r w:rsidRPr="00FD113A">
              <w:rPr>
                <w:rFonts w:ascii="Arial Narrow" w:hAnsi="Arial Narrow"/>
                <w:sz w:val="20"/>
              </w:rPr>
              <w:t>67-68%</w:t>
            </w:r>
            <w:r w:rsidR="00544BB2">
              <w:rPr>
                <w:rFonts w:ascii="Arial Narrow" w:hAnsi="Arial Narrow"/>
                <w:sz w:val="20"/>
                <w:vertAlign w:val="superscript"/>
              </w:rPr>
              <w:t>a</w:t>
            </w:r>
          </w:p>
        </w:tc>
      </w:tr>
      <w:tr w:rsidRPr="002D716A" w:rsidR="003C26A7" w:rsidTr="002259AD" w14:paraId="20B8E522" w14:textId="0A9CBE80">
        <w:trPr>
          <w:trHeight w:val="135"/>
        </w:trPr>
        <w:tc>
          <w:tcPr>
            <w:tcW w:w="2605" w:type="dxa"/>
            <w:shd w:val="clear" w:color="auto" w:fill="auto"/>
          </w:tcPr>
          <w:p w:rsidRPr="002259AD" w:rsidR="003C26A7" w:rsidP="00D357BA" w:rsidRDefault="00F95940" w14:paraId="79A13283" w14:textId="507C3137">
            <w:pPr>
              <w:spacing w:after="0" w:line="240" w:lineRule="auto"/>
              <w:rPr>
                <w:rFonts w:ascii="Arial Narrow" w:hAnsi="Arial Narrow"/>
                <w:b/>
                <w:bCs/>
                <w:spacing w:val="-4"/>
                <w:sz w:val="20"/>
              </w:rPr>
            </w:pPr>
            <w:r w:rsidRPr="002259AD">
              <w:rPr>
                <w:rFonts w:ascii="Arial Narrow" w:hAnsi="Arial Narrow"/>
                <w:b/>
                <w:bCs/>
                <w:spacing w:val="-4"/>
                <w:sz w:val="20"/>
              </w:rPr>
              <w:t>Interviews with CC Directors</w:t>
            </w:r>
          </w:p>
        </w:tc>
        <w:tc>
          <w:tcPr>
            <w:tcW w:w="2070" w:type="dxa"/>
            <w:shd w:val="clear" w:color="auto" w:fill="auto"/>
          </w:tcPr>
          <w:p w:rsidR="00F95940" w:rsidP="00D357BA" w:rsidRDefault="00F95940" w14:paraId="52E61F4C" w14:textId="5E4BC19D">
            <w:pPr>
              <w:spacing w:after="0" w:line="240" w:lineRule="auto"/>
              <w:rPr>
                <w:rFonts w:ascii="Arial Narrow" w:hAnsi="Arial Narrow"/>
                <w:spacing w:val="-4"/>
                <w:sz w:val="20"/>
              </w:rPr>
            </w:pPr>
            <w:r>
              <w:rPr>
                <w:rFonts w:ascii="Arial Narrow" w:hAnsi="Arial Narrow"/>
                <w:spacing w:val="-4"/>
                <w:sz w:val="20"/>
              </w:rPr>
              <w:t>Regional Center Directors (19)</w:t>
            </w:r>
          </w:p>
          <w:p w:rsidRPr="00FD113A" w:rsidR="003C26A7" w:rsidP="00D357BA" w:rsidRDefault="00F95940" w14:paraId="381BD23D" w14:textId="04DACA2A">
            <w:pPr>
              <w:spacing w:after="0" w:line="240" w:lineRule="auto"/>
              <w:rPr>
                <w:rFonts w:ascii="Arial Narrow" w:hAnsi="Arial Narrow"/>
                <w:spacing w:val="-4"/>
                <w:sz w:val="20"/>
              </w:rPr>
            </w:pPr>
            <w:r>
              <w:rPr>
                <w:rFonts w:ascii="Arial Narrow" w:hAnsi="Arial Narrow"/>
                <w:spacing w:val="-4"/>
                <w:sz w:val="20"/>
              </w:rPr>
              <w:t>National Center Director (1)</w:t>
            </w:r>
          </w:p>
        </w:tc>
        <w:tc>
          <w:tcPr>
            <w:tcW w:w="1124" w:type="dxa"/>
            <w:shd w:val="clear" w:color="auto" w:fill="auto"/>
          </w:tcPr>
          <w:p w:rsidRPr="00FD113A" w:rsidR="003C26A7" w:rsidP="00D357BA" w:rsidRDefault="003C26A7" w14:paraId="1E5D3160" w14:textId="77777777">
            <w:pPr>
              <w:spacing w:after="0" w:line="240" w:lineRule="auto"/>
              <w:jc w:val="center"/>
              <w:rPr>
                <w:rFonts w:ascii="Arial Narrow" w:hAnsi="Arial Narrow"/>
                <w:spacing w:val="-4"/>
                <w:sz w:val="20"/>
              </w:rPr>
            </w:pPr>
            <w:r w:rsidRPr="00FD113A">
              <w:rPr>
                <w:rFonts w:ascii="Arial Narrow" w:hAnsi="Arial Narrow"/>
                <w:spacing w:val="-4"/>
                <w:sz w:val="20"/>
              </w:rPr>
              <w:t>20</w:t>
            </w:r>
          </w:p>
        </w:tc>
        <w:tc>
          <w:tcPr>
            <w:tcW w:w="844" w:type="dxa"/>
            <w:tcBorders>
              <w:right w:val="single" w:color="auto" w:sz="4" w:space="0"/>
            </w:tcBorders>
            <w:shd w:val="clear" w:color="auto" w:fill="auto"/>
          </w:tcPr>
          <w:p w:rsidRPr="00FD113A" w:rsidR="003C26A7" w:rsidP="00D357BA" w:rsidRDefault="003C26A7" w14:paraId="783BE0BA" w14:textId="77777777">
            <w:pPr>
              <w:spacing w:after="0" w:line="240" w:lineRule="auto"/>
              <w:jc w:val="center"/>
              <w:rPr>
                <w:rFonts w:ascii="Arial Narrow" w:hAnsi="Arial Narrow"/>
                <w:spacing w:val="-4"/>
                <w:sz w:val="20"/>
              </w:rPr>
            </w:pPr>
            <w:r w:rsidRPr="00FD113A">
              <w:rPr>
                <w:rFonts w:ascii="Arial Narrow" w:hAnsi="Arial Narrow"/>
                <w:spacing w:val="-4"/>
                <w:sz w:val="20"/>
              </w:rPr>
              <w:t>census</w:t>
            </w:r>
          </w:p>
        </w:tc>
        <w:tc>
          <w:tcPr>
            <w:tcW w:w="968" w:type="dxa"/>
            <w:tcBorders>
              <w:left w:val="single" w:color="auto" w:sz="4" w:space="0"/>
            </w:tcBorders>
            <w:shd w:val="clear" w:color="auto" w:fill="auto"/>
          </w:tcPr>
          <w:p w:rsidRPr="00FD113A" w:rsidR="003C26A7" w:rsidP="00D357BA" w:rsidRDefault="003C26A7" w14:paraId="2C2929E5" w14:textId="77777777">
            <w:pPr>
              <w:spacing w:after="0" w:line="240" w:lineRule="auto"/>
              <w:jc w:val="center"/>
              <w:rPr>
                <w:rFonts w:ascii="Arial Narrow" w:hAnsi="Arial Narrow"/>
                <w:spacing w:val="-4"/>
                <w:sz w:val="20"/>
              </w:rPr>
            </w:pPr>
            <w:r w:rsidRPr="00FD113A">
              <w:rPr>
                <w:rFonts w:ascii="Arial Narrow" w:hAnsi="Arial Narrow"/>
                <w:spacing w:val="-4"/>
                <w:sz w:val="20"/>
              </w:rPr>
              <w:t>100%</w:t>
            </w:r>
          </w:p>
        </w:tc>
        <w:tc>
          <w:tcPr>
            <w:tcW w:w="1841" w:type="dxa"/>
            <w:tcBorders>
              <w:left w:val="single" w:color="auto" w:sz="4" w:space="0"/>
            </w:tcBorders>
          </w:tcPr>
          <w:p w:rsidRPr="00FD113A" w:rsidR="003C26A7" w:rsidP="00D357BA" w:rsidRDefault="003C26A7" w14:paraId="42390671" w14:textId="00339B5F">
            <w:pPr>
              <w:spacing w:after="0" w:line="240" w:lineRule="auto"/>
              <w:jc w:val="center"/>
              <w:rPr>
                <w:rFonts w:ascii="Arial Narrow" w:hAnsi="Arial Narrow"/>
                <w:spacing w:val="-4"/>
                <w:sz w:val="20"/>
              </w:rPr>
            </w:pPr>
            <w:r w:rsidRPr="00FD113A">
              <w:rPr>
                <w:rFonts w:ascii="Arial Narrow" w:hAnsi="Arial Narrow"/>
                <w:spacing w:val="-4"/>
                <w:sz w:val="20"/>
              </w:rPr>
              <w:t>100%</w:t>
            </w:r>
          </w:p>
        </w:tc>
      </w:tr>
      <w:tr w:rsidRPr="00FD113A" w:rsidR="003C26A7" w:rsidTr="002259AD" w14:paraId="15C9B356" w14:textId="7E7ECAC4">
        <w:trPr>
          <w:trHeight w:val="129"/>
        </w:trPr>
        <w:tc>
          <w:tcPr>
            <w:tcW w:w="2605" w:type="dxa"/>
            <w:shd w:val="clear" w:color="auto" w:fill="E7E8E8"/>
          </w:tcPr>
          <w:p w:rsidRPr="002259AD" w:rsidR="003C26A7" w:rsidP="00D357BA" w:rsidRDefault="00F95940" w14:paraId="703B1926" w14:textId="588A4E4D">
            <w:pPr>
              <w:spacing w:after="0" w:line="240" w:lineRule="auto"/>
              <w:rPr>
                <w:rFonts w:ascii="Arial Narrow" w:hAnsi="Arial Narrow"/>
                <w:b/>
                <w:bCs/>
                <w:spacing w:val="-4"/>
                <w:sz w:val="20"/>
              </w:rPr>
            </w:pPr>
            <w:r w:rsidRPr="002259AD">
              <w:rPr>
                <w:rFonts w:ascii="Arial Narrow" w:hAnsi="Arial Narrow"/>
                <w:b/>
                <w:bCs/>
                <w:spacing w:val="-4"/>
                <w:sz w:val="20"/>
              </w:rPr>
              <w:t>Interviews with REL Directors</w:t>
            </w:r>
          </w:p>
        </w:tc>
        <w:tc>
          <w:tcPr>
            <w:tcW w:w="2070" w:type="dxa"/>
            <w:shd w:val="clear" w:color="auto" w:fill="E7E8E8"/>
          </w:tcPr>
          <w:p w:rsidRPr="00FD113A" w:rsidR="003C26A7" w:rsidP="00D357BA" w:rsidRDefault="003C26A7" w14:paraId="2640B1CE" w14:textId="0C12ED65">
            <w:pPr>
              <w:spacing w:after="0" w:line="240" w:lineRule="auto"/>
              <w:rPr>
                <w:rFonts w:ascii="Arial Narrow" w:hAnsi="Arial Narrow"/>
                <w:spacing w:val="-4"/>
                <w:sz w:val="20"/>
              </w:rPr>
            </w:pPr>
            <w:r w:rsidRPr="00FD113A">
              <w:rPr>
                <w:rFonts w:ascii="Arial Narrow" w:hAnsi="Arial Narrow"/>
                <w:spacing w:val="-4"/>
                <w:sz w:val="20"/>
              </w:rPr>
              <w:t>REL Director</w:t>
            </w:r>
            <w:r>
              <w:rPr>
                <w:rFonts w:ascii="Arial Narrow" w:hAnsi="Arial Narrow"/>
                <w:spacing w:val="-4"/>
                <w:sz w:val="20"/>
              </w:rPr>
              <w:t>s</w:t>
            </w:r>
          </w:p>
        </w:tc>
        <w:tc>
          <w:tcPr>
            <w:tcW w:w="1124" w:type="dxa"/>
            <w:shd w:val="clear" w:color="auto" w:fill="E7E8E8"/>
          </w:tcPr>
          <w:p w:rsidRPr="00FD113A" w:rsidR="003C26A7" w:rsidP="00D357BA" w:rsidRDefault="003C26A7" w14:paraId="1AF1EE00" w14:textId="77777777">
            <w:pPr>
              <w:spacing w:after="0" w:line="240" w:lineRule="auto"/>
              <w:jc w:val="center"/>
              <w:rPr>
                <w:rFonts w:ascii="Arial Narrow" w:hAnsi="Arial Narrow"/>
                <w:spacing w:val="-4"/>
                <w:sz w:val="20"/>
              </w:rPr>
            </w:pPr>
            <w:r w:rsidRPr="00FD113A">
              <w:rPr>
                <w:rFonts w:ascii="Arial Narrow" w:hAnsi="Arial Narrow"/>
                <w:spacing w:val="-4"/>
                <w:sz w:val="20"/>
              </w:rPr>
              <w:t>10</w:t>
            </w:r>
          </w:p>
        </w:tc>
        <w:tc>
          <w:tcPr>
            <w:tcW w:w="844" w:type="dxa"/>
            <w:tcBorders>
              <w:right w:val="single" w:color="auto" w:sz="4" w:space="0"/>
            </w:tcBorders>
            <w:shd w:val="clear" w:color="auto" w:fill="E7E8E8"/>
          </w:tcPr>
          <w:p w:rsidRPr="00FD113A" w:rsidR="003C26A7" w:rsidP="00D357BA" w:rsidRDefault="003C26A7" w14:paraId="4E443863" w14:textId="77777777">
            <w:pPr>
              <w:spacing w:after="0" w:line="240" w:lineRule="auto"/>
              <w:jc w:val="center"/>
              <w:rPr>
                <w:rFonts w:ascii="Arial Narrow" w:hAnsi="Arial Narrow"/>
                <w:spacing w:val="-4"/>
                <w:sz w:val="20"/>
              </w:rPr>
            </w:pPr>
            <w:r w:rsidRPr="00FD113A">
              <w:rPr>
                <w:rFonts w:ascii="Arial Narrow" w:hAnsi="Arial Narrow"/>
                <w:spacing w:val="-4"/>
                <w:sz w:val="20"/>
              </w:rPr>
              <w:t>census</w:t>
            </w:r>
          </w:p>
        </w:tc>
        <w:tc>
          <w:tcPr>
            <w:tcW w:w="968" w:type="dxa"/>
            <w:tcBorders>
              <w:left w:val="single" w:color="auto" w:sz="4" w:space="0"/>
            </w:tcBorders>
            <w:shd w:val="clear" w:color="auto" w:fill="E7E8E8"/>
          </w:tcPr>
          <w:p w:rsidRPr="00FD113A" w:rsidR="003C26A7" w:rsidP="00D357BA" w:rsidRDefault="003C26A7" w14:paraId="2A340542" w14:textId="77777777">
            <w:pPr>
              <w:spacing w:after="0" w:line="240" w:lineRule="auto"/>
              <w:jc w:val="center"/>
              <w:rPr>
                <w:rFonts w:ascii="Arial Narrow" w:hAnsi="Arial Narrow"/>
                <w:spacing w:val="-4"/>
                <w:sz w:val="20"/>
              </w:rPr>
            </w:pPr>
            <w:r w:rsidRPr="00FD113A">
              <w:rPr>
                <w:rFonts w:ascii="Arial Narrow" w:hAnsi="Arial Narrow"/>
                <w:spacing w:val="-4"/>
                <w:sz w:val="20"/>
              </w:rPr>
              <w:t>100%</w:t>
            </w:r>
          </w:p>
        </w:tc>
        <w:tc>
          <w:tcPr>
            <w:tcW w:w="1841" w:type="dxa"/>
            <w:tcBorders>
              <w:left w:val="single" w:color="auto" w:sz="4" w:space="0"/>
            </w:tcBorders>
            <w:shd w:val="clear" w:color="auto" w:fill="E7E8E8"/>
          </w:tcPr>
          <w:p w:rsidRPr="00FD113A" w:rsidR="003C26A7" w:rsidP="00D357BA" w:rsidRDefault="003C26A7" w14:paraId="28BA7FE8" w14:textId="77777777">
            <w:pPr>
              <w:spacing w:after="0" w:line="240" w:lineRule="auto"/>
              <w:jc w:val="center"/>
              <w:rPr>
                <w:rFonts w:ascii="Arial Narrow" w:hAnsi="Arial Narrow"/>
                <w:spacing w:val="-4"/>
                <w:sz w:val="20"/>
              </w:rPr>
            </w:pPr>
            <w:r w:rsidRPr="00FD113A">
              <w:rPr>
                <w:rFonts w:ascii="Arial Narrow" w:hAnsi="Arial Narrow"/>
                <w:spacing w:val="-4"/>
                <w:sz w:val="20"/>
              </w:rPr>
              <w:t>N</w:t>
            </w:r>
            <w:r>
              <w:rPr>
                <w:rFonts w:ascii="Arial Narrow" w:hAnsi="Arial Narrow"/>
                <w:spacing w:val="-4"/>
                <w:sz w:val="20"/>
              </w:rPr>
              <w:t>ot applicable</w:t>
            </w:r>
          </w:p>
        </w:tc>
      </w:tr>
    </w:tbl>
    <w:bookmarkEnd w:id="9"/>
    <w:p w:rsidRPr="00684DAC" w:rsidR="00FE7E30" w:rsidP="00635797" w:rsidRDefault="00E55D9B" w14:paraId="23B193F9" w14:textId="11B3106A">
      <w:pPr>
        <w:pStyle w:val="BodyText"/>
        <w:spacing w:after="60"/>
        <w:ind w:left="126" w:hanging="126"/>
        <w:rPr>
          <w:rFonts w:ascii="Arial Narrow" w:hAnsi="Arial Narrow"/>
          <w:sz w:val="20"/>
        </w:rPr>
      </w:pPr>
      <w:proofErr w:type="spellStart"/>
      <w:r>
        <w:rPr>
          <w:rFonts w:ascii="Arial Narrow" w:hAnsi="Arial Narrow"/>
          <w:sz w:val="20"/>
          <w:vertAlign w:val="superscript"/>
        </w:rPr>
        <w:t>a</w:t>
      </w:r>
      <w:proofErr w:type="spellEnd"/>
      <w:r w:rsidRPr="00FD113A" w:rsidR="00FE7E30">
        <w:rPr>
          <w:rFonts w:ascii="Arial Narrow" w:hAnsi="Arial Narrow"/>
          <w:sz w:val="20"/>
        </w:rPr>
        <w:t xml:space="preserve"> </w:t>
      </w:r>
      <w:proofErr w:type="gramStart"/>
      <w:r w:rsidR="00FE7E30">
        <w:rPr>
          <w:rFonts w:ascii="Arial Narrow" w:hAnsi="Arial Narrow"/>
          <w:sz w:val="20"/>
        </w:rPr>
        <w:t>The</w:t>
      </w:r>
      <w:proofErr w:type="gramEnd"/>
      <w:r w:rsidR="00FE7E30">
        <w:rPr>
          <w:rFonts w:ascii="Arial Narrow" w:hAnsi="Arial Narrow"/>
          <w:sz w:val="20"/>
        </w:rPr>
        <w:t xml:space="preserve"> restricted use data includes various types of data from the 2012 cohort evaluation, including</w:t>
      </w:r>
      <w:r w:rsidR="004121BE">
        <w:rPr>
          <w:rFonts w:ascii="Arial Narrow" w:hAnsi="Arial Narrow"/>
          <w:sz w:val="20"/>
        </w:rPr>
        <w:t xml:space="preserve"> </w:t>
      </w:r>
      <w:r w:rsidR="00FE7E30">
        <w:rPr>
          <w:rFonts w:ascii="Arial Narrow" w:hAnsi="Arial Narrow"/>
          <w:sz w:val="20"/>
        </w:rPr>
        <w:t>activity reports and other CC documents</w:t>
      </w:r>
      <w:r w:rsidR="004121BE">
        <w:rPr>
          <w:rFonts w:ascii="Arial Narrow" w:hAnsi="Arial Narrow"/>
          <w:sz w:val="20"/>
        </w:rPr>
        <w:t>, such as</w:t>
      </w:r>
      <w:r w:rsidRPr="004121BE" w:rsidR="004121BE">
        <w:rPr>
          <w:rFonts w:ascii="Arial Narrow" w:hAnsi="Arial Narrow"/>
          <w:sz w:val="20"/>
        </w:rPr>
        <w:t xml:space="preserve"> theories of action or logic models</w:t>
      </w:r>
      <w:r w:rsidR="004121BE">
        <w:rPr>
          <w:rFonts w:ascii="Arial Narrow" w:hAnsi="Arial Narrow"/>
          <w:sz w:val="20"/>
        </w:rPr>
        <w:t>, annual management plans, and project documents, and</w:t>
      </w:r>
      <w:r w:rsidR="00FE7E30">
        <w:rPr>
          <w:rFonts w:ascii="Arial Narrow" w:hAnsi="Arial Narrow"/>
          <w:sz w:val="20"/>
        </w:rPr>
        <w:t xml:space="preserve"> </w:t>
      </w:r>
      <w:r w:rsidR="004121BE">
        <w:rPr>
          <w:rFonts w:ascii="Arial Narrow" w:hAnsi="Arial Narrow"/>
          <w:sz w:val="20"/>
        </w:rPr>
        <w:t xml:space="preserve">data from </w:t>
      </w:r>
      <w:r w:rsidR="00FE7E30">
        <w:rPr>
          <w:rFonts w:ascii="Arial Narrow" w:hAnsi="Arial Narrow"/>
          <w:sz w:val="20"/>
        </w:rPr>
        <w:t>survey</w:t>
      </w:r>
      <w:r w:rsidR="004121BE">
        <w:rPr>
          <w:rFonts w:ascii="Arial Narrow" w:hAnsi="Arial Narrow"/>
          <w:sz w:val="20"/>
        </w:rPr>
        <w:t>s and interviews of CC staff and recipients of technical assistance collected in the spring of 2015, 2016, and 2017.</w:t>
      </w:r>
    </w:p>
    <w:p w:rsidRPr="00FD113A" w:rsidR="00FE7E30" w:rsidP="00635797" w:rsidRDefault="00FE7E30" w14:paraId="39CED5CF" w14:textId="2802D17F">
      <w:pPr>
        <w:pStyle w:val="BodyText"/>
        <w:ind w:left="126" w:hanging="126"/>
        <w:rPr>
          <w:rFonts w:ascii="Arial Narrow" w:hAnsi="Arial Narrow"/>
          <w:sz w:val="20"/>
        </w:rPr>
      </w:pPr>
    </w:p>
    <w:p w:rsidRPr="0034497C" w:rsidR="004E19B2" w:rsidP="004E19B2" w:rsidRDefault="004E19B2" w14:paraId="3CEFE768" w14:textId="59D0922F">
      <w:pPr>
        <w:pStyle w:val="Heading2"/>
      </w:pPr>
      <w:bookmarkStart w:name="_Toc79423677" w:id="10"/>
      <w:r w:rsidRPr="0034497C">
        <w:t>Statistical Methods for Sample Selection and Degree of Accuracy Needed</w:t>
      </w:r>
      <w:bookmarkEnd w:id="10"/>
    </w:p>
    <w:p w:rsidRPr="0053030A" w:rsidR="004E19B2" w:rsidP="004E19B2" w:rsidRDefault="004E19B2" w14:paraId="5A8D46B0" w14:textId="36BDDFE1">
      <w:pPr>
        <w:pStyle w:val="Heading3"/>
        <w:rPr>
          <w:sz w:val="22"/>
          <w:szCs w:val="22"/>
        </w:rPr>
      </w:pPr>
      <w:bookmarkStart w:name="_Toc79423678" w:id="11"/>
      <w:r w:rsidRPr="0053030A">
        <w:rPr>
          <w:sz w:val="22"/>
          <w:szCs w:val="22"/>
        </w:rPr>
        <w:t>Sample Selection</w:t>
      </w:r>
      <w:bookmarkEnd w:id="11"/>
    </w:p>
    <w:p w:rsidR="00754D55" w:rsidP="00826523" w:rsidRDefault="00F24203" w14:paraId="172645DA" w14:textId="0F2BBD39">
      <w:pPr>
        <w:pStyle w:val="BodyText"/>
      </w:pPr>
      <w:r>
        <w:t xml:space="preserve">As noted in </w:t>
      </w:r>
      <w:r w:rsidRPr="00E70427" w:rsidR="00E70427">
        <w:t>Section B.1.2 Sam</w:t>
      </w:r>
      <w:r w:rsidRPr="008A77C2" w:rsidR="004C761D">
        <w:t>p</w:t>
      </w:r>
      <w:r w:rsidRPr="00E70427" w:rsidR="00E70427">
        <w:t>ling Methods</w:t>
      </w:r>
      <w:r>
        <w:t xml:space="preserve">, </w:t>
      </w:r>
      <w:r w:rsidR="007D3122">
        <w:t xml:space="preserve">the </w:t>
      </w:r>
      <w:r w:rsidRPr="0034497C">
        <w:t xml:space="preserve">study team will </w:t>
      </w:r>
      <w:r w:rsidR="00666299">
        <w:t xml:space="preserve">not use sampling methods for any data collection. </w:t>
      </w:r>
      <w:r w:rsidR="00D12BB9">
        <w:t xml:space="preserve">The </w:t>
      </w:r>
      <w:r w:rsidR="00754D55">
        <w:t xml:space="preserve">data collection from </w:t>
      </w:r>
      <w:r w:rsidR="00666299">
        <w:t>each source</w:t>
      </w:r>
      <w:r w:rsidR="00754D55">
        <w:t xml:space="preserve"> will involve </w:t>
      </w:r>
      <w:r w:rsidR="00666299">
        <w:t xml:space="preserve">the </w:t>
      </w:r>
      <w:r w:rsidR="00754D55">
        <w:t xml:space="preserve">census </w:t>
      </w:r>
      <w:r w:rsidRPr="0034497C" w:rsidR="00754D55">
        <w:t xml:space="preserve">of respondents in each </w:t>
      </w:r>
      <w:r w:rsidR="00666299">
        <w:t>universe</w:t>
      </w:r>
      <w:r w:rsidR="00754D55">
        <w:t xml:space="preserve">. </w:t>
      </w:r>
    </w:p>
    <w:p w:rsidRPr="0053030A" w:rsidR="004E19B2" w:rsidP="004E19B2" w:rsidRDefault="004E19B2" w14:paraId="78DDB9D5" w14:textId="72735159">
      <w:pPr>
        <w:pStyle w:val="Heading3"/>
        <w:rPr>
          <w:sz w:val="22"/>
          <w:szCs w:val="22"/>
        </w:rPr>
      </w:pPr>
      <w:bookmarkStart w:name="_Toc79423679" w:id="12"/>
      <w:r w:rsidRPr="0053030A">
        <w:rPr>
          <w:sz w:val="22"/>
          <w:szCs w:val="22"/>
        </w:rPr>
        <w:t>Estimation Procedures</w:t>
      </w:r>
      <w:bookmarkEnd w:id="12"/>
    </w:p>
    <w:p w:rsidRPr="00B856FC" w:rsidR="00DE3A64" w:rsidP="00B856FC" w:rsidRDefault="00E91B6D" w14:paraId="3E6BC923" w14:textId="4E5E9913">
      <w:pPr>
        <w:pStyle w:val="BodyText"/>
      </w:pPr>
      <w:r>
        <w:t>To address the research questions, the study team will use two types of analytic methods</w:t>
      </w:r>
      <w:r w:rsidRPr="00B856FC" w:rsidR="00B856FC">
        <w:t xml:space="preserve">. </w:t>
      </w:r>
    </w:p>
    <w:p w:rsidR="000D0C5A" w:rsidP="00ED143D" w:rsidRDefault="00E91B6D" w14:paraId="7E0E6DD5" w14:textId="7AF916EB">
      <w:pPr>
        <w:pStyle w:val="Bullets"/>
        <w:rPr>
          <w:bCs/>
          <w:iCs/>
          <w:lang w:val="en"/>
        </w:rPr>
      </w:pPr>
      <w:r>
        <w:rPr>
          <w:b/>
          <w:bCs/>
        </w:rPr>
        <w:t>Descriptive analyses</w:t>
      </w:r>
      <w:r w:rsidRPr="00B856FC" w:rsidR="00B856FC">
        <w:rPr>
          <w:b/>
          <w:bCs/>
        </w:rPr>
        <w:t xml:space="preserve"> </w:t>
      </w:r>
      <w:r w:rsidRPr="00B856FC" w:rsidR="00B856FC">
        <w:t xml:space="preserve">– </w:t>
      </w:r>
      <w:r>
        <w:t>The study team will produce summary statistics such as means and standard deviations for continuous variables and tabulations such as frequency distributions and percentages for categorical variables.</w:t>
      </w:r>
      <w:r w:rsidR="009F5DB4">
        <w:t xml:space="preserve"> </w:t>
      </w:r>
      <w:r w:rsidR="000D0C5A">
        <w:rPr>
          <w:bCs/>
          <w:iCs/>
          <w:lang w:val="en"/>
        </w:rPr>
        <w:t xml:space="preserve"> </w:t>
      </w:r>
    </w:p>
    <w:p w:rsidRPr="002259AD" w:rsidR="00E91B6D" w:rsidP="002259AD" w:rsidRDefault="00E91B6D" w14:paraId="2D4D5D32" w14:textId="5ABFEB8F">
      <w:pPr>
        <w:pStyle w:val="Bullets"/>
        <w:rPr>
          <w:bCs/>
          <w:iCs/>
          <w:lang w:val="en"/>
        </w:rPr>
      </w:pPr>
      <w:r>
        <w:rPr>
          <w:b/>
          <w:bCs/>
        </w:rPr>
        <w:t>Comparative analyses</w:t>
      </w:r>
      <w:r w:rsidR="000D0C5A">
        <w:rPr>
          <w:b/>
          <w:bCs/>
        </w:rPr>
        <w:t xml:space="preserve"> </w:t>
      </w:r>
      <w:r w:rsidR="000D0C5A">
        <w:rPr>
          <w:bCs/>
          <w:iCs/>
          <w:lang w:val="en"/>
        </w:rPr>
        <w:t xml:space="preserve">– </w:t>
      </w:r>
      <w:r>
        <w:rPr>
          <w:bCs/>
          <w:iCs/>
          <w:lang w:val="en"/>
        </w:rPr>
        <w:t xml:space="preserve">To compare groups, such as administrative challenges by the type of capacity that CCs aimed to develop, the study team will conduct cross-tabulations and use common statistical tests, such as an F-test, to determine whether differences are statistically significant or likely due to chance. </w:t>
      </w:r>
      <w:r w:rsidRPr="00B856FC" w:rsidR="004C761D">
        <w:t xml:space="preserve"> </w:t>
      </w:r>
    </w:p>
    <w:p w:rsidR="009203C5" w:rsidP="002259AD" w:rsidRDefault="00E91B6D" w14:paraId="61BD44E2" w14:textId="136FA88F">
      <w:pPr>
        <w:pStyle w:val="BodyText"/>
        <w:rPr>
          <w:lang w:val="en"/>
        </w:rPr>
      </w:pPr>
      <w:r>
        <w:rPr>
          <w:bCs/>
          <w:iCs/>
          <w:lang w:val="en"/>
        </w:rPr>
        <w:lastRenderedPageBreak/>
        <w:t>The study team will summarize findings and present them in tables and exhibits in the final report. All text describing findings will be presented in plain language</w:t>
      </w:r>
      <w:r w:rsidRPr="002259AD">
        <w:t>.</w:t>
      </w:r>
    </w:p>
    <w:p w:rsidRPr="007B4BB6" w:rsidR="007B4BB6" w:rsidP="007B4BB6" w:rsidRDefault="007B4BB6" w14:paraId="6D76016F" w14:textId="04C0D41A">
      <w:pPr>
        <w:pStyle w:val="Heading3"/>
        <w:rPr>
          <w:sz w:val="22"/>
          <w:szCs w:val="22"/>
        </w:rPr>
      </w:pPr>
      <w:bookmarkStart w:name="_Toc79423680" w:id="13"/>
      <w:bookmarkStart w:name="_Hlk78460679" w:id="14"/>
      <w:r>
        <w:rPr>
          <w:sz w:val="22"/>
          <w:szCs w:val="22"/>
        </w:rPr>
        <w:t>Degree of Accuracy Needed for the Purpose Described</w:t>
      </w:r>
      <w:bookmarkEnd w:id="13"/>
      <w:r>
        <w:rPr>
          <w:sz w:val="22"/>
          <w:szCs w:val="22"/>
        </w:rPr>
        <w:t xml:space="preserve"> </w:t>
      </w:r>
    </w:p>
    <w:bookmarkEnd w:id="14"/>
    <w:p w:rsidR="00636525" w:rsidP="00826523" w:rsidRDefault="00215FC4" w14:paraId="27372456" w14:textId="77777777">
      <w:pPr>
        <w:pStyle w:val="BodyText"/>
        <w:rPr>
          <w:lang w:val="en"/>
        </w:rPr>
      </w:pPr>
      <w:r w:rsidRPr="00215FC4">
        <w:rPr>
          <w:lang w:val="en"/>
        </w:rPr>
        <w:t xml:space="preserve">The analysis of </w:t>
      </w:r>
      <w:r>
        <w:rPr>
          <w:lang w:val="en"/>
        </w:rPr>
        <w:t>CC</w:t>
      </w:r>
      <w:r w:rsidRPr="00215FC4">
        <w:rPr>
          <w:lang w:val="en"/>
        </w:rPr>
        <w:t xml:space="preserve"> implementation will be based on interviews with all </w:t>
      </w:r>
      <w:r>
        <w:rPr>
          <w:lang w:val="en"/>
        </w:rPr>
        <w:t xml:space="preserve">CC and REL Directors and </w:t>
      </w:r>
      <w:r w:rsidRPr="00215FC4">
        <w:rPr>
          <w:lang w:val="en"/>
        </w:rPr>
        <w:t xml:space="preserve">a survey of the universe of </w:t>
      </w:r>
      <w:r>
        <w:rPr>
          <w:lang w:val="en"/>
        </w:rPr>
        <w:t>TA recipients for Year 2 projects</w:t>
      </w:r>
      <w:r w:rsidRPr="00215FC4">
        <w:rPr>
          <w:lang w:val="en"/>
        </w:rPr>
        <w:t xml:space="preserve">. Because the data are based on the universe, descriptive statistics will not be subject to sampling error. </w:t>
      </w:r>
    </w:p>
    <w:p w:rsidR="007148B4" w:rsidRDefault="00215FC4" w14:paraId="062F984D" w14:textId="14AE82C2">
      <w:pPr>
        <w:pStyle w:val="BodyText"/>
        <w:rPr>
          <w:lang w:val="en"/>
        </w:rPr>
      </w:pPr>
      <w:r w:rsidRPr="00215FC4">
        <w:rPr>
          <w:lang w:val="en"/>
        </w:rPr>
        <w:t xml:space="preserve">Although </w:t>
      </w:r>
      <w:r w:rsidR="0017300A">
        <w:rPr>
          <w:lang w:val="en"/>
        </w:rPr>
        <w:t>the study team</w:t>
      </w:r>
      <w:r w:rsidRPr="00215FC4" w:rsidR="0017300A">
        <w:rPr>
          <w:lang w:val="en"/>
        </w:rPr>
        <w:t xml:space="preserve"> </w:t>
      </w:r>
      <w:r w:rsidRPr="00215FC4">
        <w:rPr>
          <w:lang w:val="en"/>
        </w:rPr>
        <w:t xml:space="preserve">will survey the universe of </w:t>
      </w:r>
      <w:r>
        <w:rPr>
          <w:lang w:val="en"/>
        </w:rPr>
        <w:t>TA recipients</w:t>
      </w:r>
      <w:r w:rsidRPr="00215FC4">
        <w:rPr>
          <w:lang w:val="en"/>
        </w:rPr>
        <w:t xml:space="preserve">, we anticipate some non-response. </w:t>
      </w:r>
      <w:r w:rsidR="0017300A">
        <w:t>If</w:t>
      </w:r>
      <w:r w:rsidRPr="0034497C" w:rsidR="00636525">
        <w:t xml:space="preserve"> response rates fall below 80%, the study team will conduct non-response analyses. First, the study team will compare administrative data on the characteristics of individuals who completed the surveys to the characteristics of those who did not. Second, these baseline characteristics will</w:t>
      </w:r>
      <w:r w:rsidR="00781EE7">
        <w:t xml:space="preserve"> be</w:t>
      </w:r>
      <w:r w:rsidRPr="0034497C" w:rsidR="00636525">
        <w:t xml:space="preserve"> use</w:t>
      </w:r>
      <w:r w:rsidR="00781EE7">
        <w:t>d</w:t>
      </w:r>
      <w:r w:rsidRPr="0034497C" w:rsidR="00636525">
        <w:t xml:space="preserve"> </w:t>
      </w:r>
      <w:r w:rsidR="00781EE7">
        <w:t xml:space="preserve">in </w:t>
      </w:r>
      <w:r w:rsidRPr="0034497C" w:rsidR="00636525">
        <w:t>a statistical model to predict the probability that a targeted survey respondent was located and responded to the survey. If these analyses point to the possibility of non-response bias, sampling weights will be created based on the observable baseline characteristics and used in analyses</w:t>
      </w:r>
      <w:r w:rsidR="00A53EEE">
        <w:rPr>
          <w:lang w:val="en"/>
        </w:rPr>
        <w:t xml:space="preserve">. </w:t>
      </w:r>
    </w:p>
    <w:p w:rsidRPr="0053030A" w:rsidR="004E19B2" w:rsidP="004E19B2" w:rsidRDefault="004E19B2" w14:paraId="6D2F0FCB" w14:textId="574A2C70">
      <w:pPr>
        <w:pStyle w:val="Heading3"/>
        <w:rPr>
          <w:sz w:val="22"/>
          <w:szCs w:val="22"/>
        </w:rPr>
      </w:pPr>
      <w:bookmarkStart w:name="_Toc79423681" w:id="15"/>
      <w:r w:rsidRPr="0053030A">
        <w:rPr>
          <w:sz w:val="22"/>
          <w:szCs w:val="22"/>
        </w:rPr>
        <w:t>Unusual Problems Requiring Specialized Sampling Procedures</w:t>
      </w:r>
      <w:bookmarkEnd w:id="15"/>
    </w:p>
    <w:p w:rsidRPr="00826523" w:rsidR="005755EF" w:rsidP="00826523" w:rsidRDefault="005755EF" w14:paraId="3A645EE1" w14:textId="1035D9F0">
      <w:pPr>
        <w:pStyle w:val="BodyText"/>
        <w:rPr>
          <w:lang w:val="en"/>
        </w:rPr>
      </w:pPr>
      <w:r w:rsidRPr="00826523">
        <w:rPr>
          <w:lang w:val="en"/>
        </w:rPr>
        <w:t>Not applicable.</w:t>
      </w:r>
    </w:p>
    <w:p w:rsidRPr="0053030A" w:rsidR="004E19B2" w:rsidP="004E19B2" w:rsidRDefault="004E19B2" w14:paraId="417DE2D8" w14:textId="6F55FDF8">
      <w:pPr>
        <w:pStyle w:val="Heading3"/>
        <w:rPr>
          <w:sz w:val="22"/>
          <w:szCs w:val="22"/>
        </w:rPr>
      </w:pPr>
      <w:bookmarkStart w:name="_Toc79423682" w:id="16"/>
      <w:r w:rsidRPr="0053030A">
        <w:rPr>
          <w:sz w:val="22"/>
          <w:szCs w:val="22"/>
        </w:rPr>
        <w:t>Use of Periodic Data Collection Cycles to Reduce Burden</w:t>
      </w:r>
      <w:bookmarkEnd w:id="16"/>
    </w:p>
    <w:p w:rsidR="005755EF" w:rsidP="00826523" w:rsidRDefault="005755EF" w14:paraId="408B382B" w14:textId="6EBAEEF7">
      <w:pPr>
        <w:pStyle w:val="BodyText"/>
      </w:pPr>
      <w:r w:rsidRPr="0034497C">
        <w:t xml:space="preserve">Exhibit B2 shows the timing of data collection activities. To minimize burden, the study team will </w:t>
      </w:r>
      <w:r w:rsidR="00407453">
        <w:t>collect data from each of the following sources</w:t>
      </w:r>
      <w:r>
        <w:t xml:space="preserve"> only once </w:t>
      </w:r>
      <w:r w:rsidR="00407453">
        <w:t>during the study period</w:t>
      </w:r>
      <w:r>
        <w:t>:</w:t>
      </w:r>
    </w:p>
    <w:p w:rsidRPr="0017300A" w:rsidR="003176C1" w:rsidP="003176C1" w:rsidRDefault="003176C1" w14:paraId="4C862BA8" w14:textId="3EB69882">
      <w:pPr>
        <w:pStyle w:val="ListParagraph"/>
        <w:ind w:left="1080"/>
      </w:pPr>
      <w:r w:rsidRPr="00F93D69">
        <w:t>Restricted Use Data from the 2012 Cycle CC Evaluation</w:t>
      </w:r>
      <w:r>
        <w:t xml:space="preserve"> (</w:t>
      </w:r>
      <w:r w:rsidR="00781EE7">
        <w:t>Spring</w:t>
      </w:r>
      <w:r>
        <w:t xml:space="preserve"> 202</w:t>
      </w:r>
      <w:r w:rsidR="00781EE7">
        <w:t>2</w:t>
      </w:r>
      <w:proofErr w:type="gramStart"/>
      <w:r>
        <w:t>);</w:t>
      </w:r>
      <w:proofErr w:type="gramEnd"/>
    </w:p>
    <w:p w:rsidR="003176C1" w:rsidP="0038191D" w:rsidRDefault="003176C1" w14:paraId="3BF22404" w14:textId="77777777">
      <w:pPr>
        <w:pStyle w:val="ListParagraph"/>
        <w:ind w:left="1080"/>
      </w:pPr>
      <w:r w:rsidRPr="0017300A">
        <w:t>Contact information for TA recipient pr</w:t>
      </w:r>
      <w:r w:rsidRPr="00B710B2">
        <w:t>oject co</w:t>
      </w:r>
      <w:r>
        <w:t>ntacts (January 2022</w:t>
      </w:r>
      <w:proofErr w:type="gramStart"/>
      <w:r>
        <w:t>);</w:t>
      </w:r>
      <w:proofErr w:type="gramEnd"/>
      <w:r>
        <w:t xml:space="preserve"> </w:t>
      </w:r>
    </w:p>
    <w:p w:rsidRPr="0038191D" w:rsidR="005755EF" w:rsidP="0038191D" w:rsidRDefault="00895431" w14:paraId="5D8E9B6C" w14:textId="18D4AF5E">
      <w:pPr>
        <w:pStyle w:val="ListParagraph"/>
        <w:ind w:left="1080"/>
      </w:pPr>
      <w:r w:rsidRPr="0038191D">
        <w:t>T</w:t>
      </w:r>
      <w:r w:rsidRPr="0038191D" w:rsidR="005755EF">
        <w:t xml:space="preserve">A </w:t>
      </w:r>
      <w:r w:rsidRPr="0038191D">
        <w:t xml:space="preserve">Recipient </w:t>
      </w:r>
      <w:r w:rsidRPr="0038191D" w:rsidR="005755EF">
        <w:t xml:space="preserve">Survey </w:t>
      </w:r>
      <w:r w:rsidRPr="0038191D" w:rsidR="00407453">
        <w:t>(</w:t>
      </w:r>
      <w:r w:rsidR="00FC4510">
        <w:t>May</w:t>
      </w:r>
      <w:r w:rsidRPr="0038191D" w:rsidR="003B0E8A">
        <w:t xml:space="preserve"> </w:t>
      </w:r>
      <w:r w:rsidRPr="0038191D" w:rsidR="00407453">
        <w:t>202</w:t>
      </w:r>
      <w:r w:rsidRPr="0038191D" w:rsidR="003B0E8A">
        <w:t>2</w:t>
      </w:r>
      <w:proofErr w:type="gramStart"/>
      <w:r w:rsidRPr="0038191D" w:rsidR="00407453">
        <w:t>);</w:t>
      </w:r>
      <w:proofErr w:type="gramEnd"/>
    </w:p>
    <w:p w:rsidRPr="0038191D" w:rsidR="00407453" w:rsidP="0038191D" w:rsidRDefault="00407453" w14:paraId="6BE73AAE" w14:textId="05127D43">
      <w:pPr>
        <w:pStyle w:val="ListParagraph"/>
        <w:ind w:left="1080"/>
      </w:pPr>
      <w:r w:rsidRPr="0038191D">
        <w:t>CC Director interviews (</w:t>
      </w:r>
      <w:r w:rsidR="00FC4510">
        <w:t xml:space="preserve">June/July </w:t>
      </w:r>
      <w:r w:rsidRPr="0038191D">
        <w:t>202</w:t>
      </w:r>
      <w:r w:rsidRPr="0038191D" w:rsidR="003B0E8A">
        <w:t>2</w:t>
      </w:r>
      <w:r w:rsidRPr="0038191D">
        <w:t xml:space="preserve">); </w:t>
      </w:r>
      <w:r w:rsidR="003176C1">
        <w:t>and</w:t>
      </w:r>
    </w:p>
    <w:p w:rsidR="0017300A" w:rsidP="002259AD" w:rsidRDefault="00407453" w14:paraId="373646D3" w14:textId="046A4658">
      <w:pPr>
        <w:pStyle w:val="ListParagraph"/>
        <w:ind w:left="1080"/>
      </w:pPr>
      <w:r w:rsidRPr="0038191D">
        <w:t>REL Director interviews (</w:t>
      </w:r>
      <w:r w:rsidR="00FC4510">
        <w:t>June/July</w:t>
      </w:r>
      <w:r w:rsidRPr="0038191D" w:rsidR="003B0E8A">
        <w:t xml:space="preserve"> 2022</w:t>
      </w:r>
      <w:r w:rsidRPr="0038191D">
        <w:t>)</w:t>
      </w:r>
      <w:r w:rsidR="003176C1">
        <w:t>.</w:t>
      </w:r>
      <w:r w:rsidR="0017300A">
        <w:t xml:space="preserve"> </w:t>
      </w:r>
    </w:p>
    <w:p w:rsidR="0063762C" w:rsidP="00826523" w:rsidRDefault="00407453" w14:paraId="0D82DB85" w14:textId="7C193DBC">
      <w:pPr>
        <w:pStyle w:val="BodyText"/>
      </w:pPr>
      <w:r>
        <w:t>The study team will also collect</w:t>
      </w:r>
      <w:r w:rsidR="006C1095">
        <w:t xml:space="preserve"> administrative data</w:t>
      </w:r>
      <w:r w:rsidR="00874204">
        <w:t xml:space="preserve"> </w:t>
      </w:r>
      <w:r w:rsidR="0017300A">
        <w:t xml:space="preserve">in two waves: once in the spring and fall of 2021 and again in the </w:t>
      </w:r>
      <w:r w:rsidR="00FC4510">
        <w:t xml:space="preserve">winter and </w:t>
      </w:r>
      <w:r w:rsidR="0017300A">
        <w:t>spring of 2022.</w:t>
      </w:r>
      <w:r w:rsidR="0076750F">
        <w:t xml:space="preserve"> Because the Department will provide these administrative data to the study team, there is no burden to any external individuals or entities associated with the collection of these administrative data</w:t>
      </w:r>
      <w:r w:rsidR="0063762C">
        <w:t xml:space="preserve">. </w:t>
      </w:r>
      <w:r w:rsidR="005B40EB">
        <w:t xml:space="preserve"> </w:t>
      </w:r>
    </w:p>
    <w:p w:rsidRPr="0034497C" w:rsidR="004E19B2" w:rsidP="004E19B2" w:rsidRDefault="004E19B2" w14:paraId="15745B4D" w14:textId="77777777">
      <w:pPr>
        <w:pStyle w:val="Heading2"/>
      </w:pPr>
      <w:bookmarkStart w:name="_Toc79423683" w:id="17"/>
      <w:r w:rsidRPr="0034497C">
        <w:t>Methods to Maximize Response Rates and Deal with Nonresponse</w:t>
      </w:r>
      <w:bookmarkEnd w:id="17"/>
    </w:p>
    <w:p w:rsidRPr="00BE29DC" w:rsidR="004E19B2" w:rsidP="004E19B2" w:rsidRDefault="004E19B2" w14:paraId="2BDF62DA" w14:textId="310CCB2F">
      <w:pPr>
        <w:pStyle w:val="Heading3"/>
        <w:rPr>
          <w:sz w:val="22"/>
          <w:szCs w:val="22"/>
        </w:rPr>
      </w:pPr>
      <w:bookmarkStart w:name="_Toc79423684" w:id="18"/>
      <w:r w:rsidRPr="00BE29DC">
        <w:rPr>
          <w:sz w:val="22"/>
          <w:szCs w:val="22"/>
        </w:rPr>
        <w:t>Maximize Response Rates</w:t>
      </w:r>
      <w:bookmarkEnd w:id="18"/>
    </w:p>
    <w:p w:rsidR="00142F73" w:rsidP="009B59EF" w:rsidRDefault="00142F73" w14:paraId="0C86AD5D" w14:textId="0F8D7382">
      <w:pPr>
        <w:pStyle w:val="BodyText"/>
      </w:pPr>
      <w:r>
        <w:t>To maximize response rates, the study team will use strategies that have been proven successful in its prior studies, including the Evaluation of Massachusetts Expanded Learning Time Initiative, the Teacher Incentive Fund Evaluation, the Study of Enhanced College Advising in Upward Bound, and the study of Student Messaging in GEAR UP.</w:t>
      </w:r>
    </w:p>
    <w:p w:rsidR="00142F73" w:rsidP="009B59EF" w:rsidRDefault="00142F73" w14:paraId="40950390" w14:textId="7928EC5C">
      <w:pPr>
        <w:pStyle w:val="BodyText"/>
      </w:pPr>
      <w:r>
        <w:t>General strategies to maximize response rates include:</w:t>
      </w:r>
    </w:p>
    <w:p w:rsidR="00142F73" w:rsidP="00960491" w:rsidRDefault="00142F73" w14:paraId="32007D15" w14:textId="212F59E5">
      <w:pPr>
        <w:pStyle w:val="BodyText"/>
        <w:numPr>
          <w:ilvl w:val="0"/>
          <w:numId w:val="26"/>
        </w:numPr>
      </w:pPr>
      <w:r w:rsidRPr="002259AD">
        <w:rPr>
          <w:b/>
          <w:bCs/>
        </w:rPr>
        <w:t>Multi-tiered, multi-mode approach for survey data collection.</w:t>
      </w:r>
      <w:r>
        <w:t xml:space="preserve"> For the TA Recipient Survey, the study team will communicate with each target respondent in advance of the survey, at the start of the survey fielding period, and during the survey fielding period using multiple modes of communication including phone and e-mail. </w:t>
      </w:r>
      <w:r w:rsidRPr="004A3FFE" w:rsidR="00251414">
        <w:t xml:space="preserve">All </w:t>
      </w:r>
      <w:r w:rsidR="00251414">
        <w:t xml:space="preserve">survey </w:t>
      </w:r>
      <w:r w:rsidRPr="004A3FFE" w:rsidR="00251414">
        <w:t>communica</w:t>
      </w:r>
      <w:r w:rsidR="00251414">
        <w:t>tions</w:t>
      </w:r>
      <w:r w:rsidRPr="004A3FFE" w:rsidR="00251414">
        <w:t xml:space="preserve"> will </w:t>
      </w:r>
      <w:r w:rsidR="00251414">
        <w:t xml:space="preserve">also </w:t>
      </w:r>
      <w:r w:rsidRPr="004A3FFE" w:rsidR="00251414">
        <w:t>include contac</w:t>
      </w:r>
      <w:r w:rsidR="00251414">
        <w:t xml:space="preserve">t </w:t>
      </w:r>
      <w:r w:rsidR="00251414">
        <w:lastRenderedPageBreak/>
        <w:t>information for a designated study team member</w:t>
      </w:r>
      <w:r w:rsidRPr="004A3FFE" w:rsidR="00251414">
        <w:t xml:space="preserve"> in case </w:t>
      </w:r>
      <w:r w:rsidR="00251414">
        <w:t>respondents have questions or encounter technical issues. The email invitations will contain a</w:t>
      </w:r>
      <w:r w:rsidRPr="004A3FFE" w:rsidR="00251414">
        <w:t xml:space="preserve"> unique survey lin</w:t>
      </w:r>
      <w:r w:rsidR="00251414">
        <w:t xml:space="preserve">k for each recipient, </w:t>
      </w:r>
      <w:r w:rsidRPr="004A3FFE" w:rsidR="00251414">
        <w:t>allow</w:t>
      </w:r>
      <w:r w:rsidR="00251414">
        <w:t>ing</w:t>
      </w:r>
      <w:r w:rsidRPr="004A3FFE" w:rsidR="00251414">
        <w:t xml:space="preserve"> </w:t>
      </w:r>
      <w:r w:rsidR="00251414">
        <w:t>for close</w:t>
      </w:r>
      <w:r w:rsidRPr="004A3FFE" w:rsidR="00251414">
        <w:t xml:space="preserve"> monitor</w:t>
      </w:r>
      <w:r w:rsidR="00251414">
        <w:t xml:space="preserve">ing of survey completions and </w:t>
      </w:r>
      <w:r w:rsidRPr="004A3FFE" w:rsidR="00251414">
        <w:t>targeted follow-up to improve response rates</w:t>
      </w:r>
      <w:r w:rsidR="00251414">
        <w:t xml:space="preserve">. </w:t>
      </w:r>
      <w:r>
        <w:t xml:space="preserve">The study team will administer the survey on a platform that is compatible with mobile devices as well as traditional (desktop) screen sizes. </w:t>
      </w:r>
      <w:r w:rsidR="008478C0">
        <w:t>To reduce burden and improve the response rate over the prior evaluation, the survey will also employ skip logic and,</w:t>
      </w:r>
      <w:r w:rsidRPr="00DE4958" w:rsidR="008478C0">
        <w:t xml:space="preserve"> </w:t>
      </w:r>
      <w:r w:rsidR="008478C0">
        <w:t xml:space="preserve">unlike the 2012 cohort evaluation survey of SEAs and other CC technical assistance recipients (Weinstock et al., 2019), avoids open-ended questions. </w:t>
      </w:r>
      <w:r>
        <w:t>The study team has developed surveys that contain clear language</w:t>
      </w:r>
      <w:r w:rsidR="00781EE7">
        <w:t xml:space="preserve"> and</w:t>
      </w:r>
      <w:r>
        <w:t xml:space="preserve"> are easy to complete</w:t>
      </w:r>
      <w:r w:rsidR="00781EE7">
        <w:t xml:space="preserve">. </w:t>
      </w:r>
      <w:r w:rsidR="00BE082C">
        <w:t>Pilot testing confirmed that the survey can be finished within 20 minutes.</w:t>
      </w:r>
    </w:p>
    <w:p w:rsidR="002A4513" w:rsidP="002259AD" w:rsidRDefault="002A4513" w14:paraId="5EEB56A5" w14:textId="26B92882">
      <w:pPr>
        <w:pStyle w:val="BodyText"/>
        <w:numPr>
          <w:ilvl w:val="0"/>
          <w:numId w:val="28"/>
        </w:numPr>
      </w:pPr>
      <w:r w:rsidRPr="002259AD">
        <w:rPr>
          <w:b/>
          <w:bCs/>
        </w:rPr>
        <w:t>Regular monitoring and follow-up with nonrespondents to survey data collection.</w:t>
      </w:r>
      <w:r>
        <w:t xml:space="preserve"> Once the survey invitations are sent, the study team will maximize response rates by carefully monitoring responses and sending targeted reminders as needed. Specifically, the team</w:t>
      </w:r>
      <w:r w:rsidRPr="004A3FFE">
        <w:t xml:space="preserve"> will closely monitor any email addresses that </w:t>
      </w:r>
      <w:r>
        <w:t>are undeliverable and attempt to obtain updated email addresses</w:t>
      </w:r>
      <w:r w:rsidRPr="004A3FFE">
        <w:t xml:space="preserve"> or another method </w:t>
      </w:r>
      <w:r>
        <w:t>for</w:t>
      </w:r>
      <w:r w:rsidRPr="004A3FFE">
        <w:t xml:space="preserve"> </w:t>
      </w:r>
      <w:r>
        <w:t>delivering the survey to intended recipients</w:t>
      </w:r>
      <w:r w:rsidRPr="004A3FFE">
        <w:t>.</w:t>
      </w:r>
      <w:r>
        <w:t xml:space="preserve"> The study team</w:t>
      </w:r>
      <w:r w:rsidRPr="004A3FFE">
        <w:t xml:space="preserve"> will send weekly targeted reminders to non-respondents.</w:t>
      </w:r>
      <w:r w:rsidRPr="00DE4958">
        <w:t xml:space="preserve"> </w:t>
      </w:r>
      <w:r>
        <w:t xml:space="preserve">Pre-notifications about surveys and repeated reminders have also been shown to be associated with higher responses rates in email surveys </w:t>
      </w:r>
      <w:r w:rsidRPr="00B714A0">
        <w:t xml:space="preserve">(Fan &amp; Yan, 2010). </w:t>
      </w:r>
      <w:r>
        <w:t>In addition, the team will follow</w:t>
      </w:r>
      <w:r w:rsidR="003F1336">
        <w:t xml:space="preserve"> </w:t>
      </w:r>
      <w:r>
        <w:t>up via phone with TA recipient contacts who do not respond to the email survey invitation or email follow-up reminders. Finally, o</w:t>
      </w:r>
      <w:r w:rsidRPr="00176696">
        <w:t>ne week prior</w:t>
      </w:r>
      <w:r>
        <w:t xml:space="preserve"> to the end of the survey administration period</w:t>
      </w:r>
      <w:r w:rsidRPr="00176696">
        <w:t xml:space="preserve">, the </w:t>
      </w:r>
      <w:r>
        <w:t>study team</w:t>
      </w:r>
      <w:r w:rsidRPr="00176696">
        <w:t xml:space="preserve"> will ask </w:t>
      </w:r>
      <w:r>
        <w:t>CC Directors</w:t>
      </w:r>
      <w:r w:rsidRPr="00176696">
        <w:t xml:space="preserve"> to provide a final reminder to non</w:t>
      </w:r>
      <w:r>
        <w:t>-</w:t>
      </w:r>
      <w:r w:rsidRPr="00176696">
        <w:t>respo</w:t>
      </w:r>
      <w:r>
        <w:t xml:space="preserve">ndents to complete the survey. This request will include an </w:t>
      </w:r>
      <w:r w:rsidRPr="00176696">
        <w:t xml:space="preserve">email </w:t>
      </w:r>
      <w:r>
        <w:t xml:space="preserve">template </w:t>
      </w:r>
      <w:r w:rsidRPr="00176696">
        <w:t xml:space="preserve">that the </w:t>
      </w:r>
      <w:r>
        <w:t>CC Directors</w:t>
      </w:r>
      <w:r w:rsidRPr="00176696">
        <w:t xml:space="preserve"> can simp</w:t>
      </w:r>
      <w:r>
        <w:t xml:space="preserve">ly forward to the TA recipients </w:t>
      </w:r>
      <w:r w:rsidRPr="00176696">
        <w:t>who have yet to respond to the survey.</w:t>
      </w:r>
      <w:r>
        <w:t xml:space="preserve"> </w:t>
      </w:r>
    </w:p>
    <w:p w:rsidR="003D4230" w:rsidP="002259AD" w:rsidRDefault="003D4230" w14:paraId="26856CB9" w14:textId="37FFB18C">
      <w:pPr>
        <w:pStyle w:val="BodyText"/>
        <w:numPr>
          <w:ilvl w:val="0"/>
          <w:numId w:val="27"/>
        </w:numPr>
      </w:pPr>
      <w:r w:rsidRPr="002259AD">
        <w:rPr>
          <w:b/>
          <w:bCs/>
        </w:rPr>
        <w:t>Incorporating data collected from other sources to reduce burden</w:t>
      </w:r>
      <w:r w:rsidR="00AD732B">
        <w:rPr>
          <w:b/>
          <w:bCs/>
        </w:rPr>
        <w:t xml:space="preserve"> and increase response rates</w:t>
      </w:r>
      <w:r w:rsidRPr="002259AD">
        <w:rPr>
          <w:b/>
          <w:bCs/>
        </w:rPr>
        <w:t xml:space="preserve"> for interview data collection.</w:t>
      </w:r>
      <w:r>
        <w:t xml:space="preserve"> To minimize burden on respondents during the interview, project-specific information will be collected via a pre-interview template sent to CC Directors. Each REL Director interview will last for no longer than 30 minutes and will be conducted via phone or a videoconferencing platform. Each CC Director interview will last no more than 60 minutes. In advance of each interview, t</w:t>
      </w:r>
      <w:r w:rsidRPr="003362D8">
        <w:t xml:space="preserve">he interview team will review </w:t>
      </w:r>
      <w:r>
        <w:t xml:space="preserve">all available data from the applicable Annual Service Plans, </w:t>
      </w:r>
      <w:r w:rsidRPr="003362D8">
        <w:t>Joint Needs Sensing Memo</w:t>
      </w:r>
      <w:r>
        <w:t>s, and Annual Evaluation Reports—as well as the TA Recipient Survey data—prior to undertaking the interview. Reviewing these information sources will allow the interview team to obtain relevant information—for example, about the CC’s work or collaboration with the N</w:t>
      </w:r>
      <w:r w:rsidR="003F1336">
        <w:t>ational Center</w:t>
      </w:r>
      <w:r>
        <w:t xml:space="preserve"> or a REL—</w:t>
      </w:r>
      <w:r w:rsidRPr="003362D8">
        <w:t xml:space="preserve">ahead of the interview and </w:t>
      </w:r>
      <w:r>
        <w:t xml:space="preserve">to </w:t>
      </w:r>
      <w:r w:rsidRPr="003362D8">
        <w:t xml:space="preserve">pre-populate the protocol with </w:t>
      </w:r>
      <w:r>
        <w:t xml:space="preserve">relevant </w:t>
      </w:r>
      <w:r w:rsidRPr="003362D8">
        <w:t>information</w:t>
      </w:r>
      <w:r>
        <w:t>, thus further reducing the burden on the respondent</w:t>
      </w:r>
      <w:r w:rsidRPr="003362D8">
        <w:t>.</w:t>
      </w:r>
      <w:r>
        <w:t xml:space="preserve"> </w:t>
      </w:r>
    </w:p>
    <w:p w:rsidR="00F276F1" w:rsidP="002259AD" w:rsidRDefault="003D4230" w14:paraId="7863098F" w14:textId="2A96A8A1">
      <w:pPr>
        <w:pStyle w:val="Bullets"/>
        <w:ind w:left="720"/>
      </w:pPr>
      <w:r w:rsidRPr="002259AD">
        <w:rPr>
          <w:b/>
          <w:bCs/>
        </w:rPr>
        <w:t>Dedicated liaisons for each interviewee.</w:t>
      </w:r>
      <w:r>
        <w:t xml:space="preserve"> </w:t>
      </w:r>
      <w:r w:rsidR="008478C0">
        <w:t xml:space="preserve">The study team will assign the lead interviewer for each prospective CC Director and REL Director interview to serve as a liaison for that respondent. The liaison will be responsible for all communications with the prospective respondent—for example, communications related to scheduling and conducting the interviews, as described below, and as well as requests to CC Directors for TA recipient contact information, as described above. Liaisons can help establish </w:t>
      </w:r>
      <w:r w:rsidRPr="00887E45" w:rsidR="008478C0">
        <w:t xml:space="preserve">a relationship and </w:t>
      </w:r>
      <w:r w:rsidR="008478C0">
        <w:t xml:space="preserve">build </w:t>
      </w:r>
      <w:r w:rsidRPr="00887E45" w:rsidR="008478C0">
        <w:t>trust</w:t>
      </w:r>
      <w:r w:rsidR="008478C0">
        <w:t xml:space="preserve"> with the prospective respondents, which can help increase response rates</w:t>
      </w:r>
      <w:r w:rsidRPr="00887E45" w:rsidR="008478C0">
        <w:t xml:space="preserve">. </w:t>
      </w:r>
      <w:r w:rsidR="00F276F1">
        <w:t xml:space="preserve">Should any CC Director not respond to, or refuse, at request for an interview, the study team will ask the director of the CC program office at the Department to request participation in the study. </w:t>
      </w:r>
    </w:p>
    <w:p w:rsidRPr="00BE29DC" w:rsidR="00F276F1" w:rsidP="00F276F1" w:rsidRDefault="00F276F1" w14:paraId="58A7DCBC" w14:textId="3D5DDDB9">
      <w:pPr>
        <w:pStyle w:val="Heading3"/>
        <w:rPr>
          <w:sz w:val="22"/>
          <w:szCs w:val="22"/>
        </w:rPr>
      </w:pPr>
      <w:r>
        <w:rPr>
          <w:sz w:val="22"/>
          <w:szCs w:val="22"/>
        </w:rPr>
        <w:lastRenderedPageBreak/>
        <w:t>Dealing with Non-Response</w:t>
      </w:r>
    </w:p>
    <w:p w:rsidR="00224D4A" w:rsidRDefault="00224D4A" w14:paraId="6B937916" w14:textId="790BFEFE">
      <w:pPr>
        <w:pStyle w:val="BodyText"/>
      </w:pPr>
      <w:r>
        <w:t>As noted in Section B.2.3, i</w:t>
      </w:r>
      <w:r w:rsidR="00890A75">
        <w:t xml:space="preserve">f the TA Recipient Survey </w:t>
      </w:r>
      <w:r w:rsidRPr="00557400" w:rsidR="00676BF3">
        <w:t>response rate fall</w:t>
      </w:r>
      <w:r w:rsidR="00C875F3">
        <w:t>s</w:t>
      </w:r>
      <w:r w:rsidRPr="00557400" w:rsidR="00676BF3">
        <w:t xml:space="preserve"> below 80%, the study team will conduct non-response </w:t>
      </w:r>
      <w:r w:rsidRPr="00DC35EF" w:rsidR="00676BF3">
        <w:t>analyses</w:t>
      </w:r>
      <w:r w:rsidR="00FD73F4">
        <w:t xml:space="preserve"> </w:t>
      </w:r>
      <w:r w:rsidR="00CB57AB">
        <w:t xml:space="preserve">to </w:t>
      </w:r>
      <w:r>
        <w:t xml:space="preserve">assess non-response bias and determine whether sampling weights are needed in the final analysis. In addition to examining non-response </w:t>
      </w:r>
      <w:r w:rsidRPr="006C039F">
        <w:t xml:space="preserve">at the survey level, </w:t>
      </w:r>
      <w:r>
        <w:t>the team will also</w:t>
      </w:r>
      <w:r w:rsidRPr="006C039F">
        <w:t xml:space="preserve"> </w:t>
      </w:r>
      <w:r w:rsidRPr="006C039F">
        <w:rPr>
          <w:lang w:val="en"/>
        </w:rPr>
        <w:t xml:space="preserve">assess the extent of missing data at the item level. </w:t>
      </w:r>
      <w:r>
        <w:rPr>
          <w:lang w:val="en"/>
        </w:rPr>
        <w:t>Moreover, t</w:t>
      </w:r>
      <w:r w:rsidRPr="006C039F">
        <w:rPr>
          <w:lang w:val="en"/>
        </w:rPr>
        <w:t xml:space="preserve">he team will identify implausible values or other data irregularities, which </w:t>
      </w:r>
      <w:r w:rsidRPr="00826523">
        <w:t>should</w:t>
      </w:r>
      <w:r w:rsidRPr="006C039F">
        <w:rPr>
          <w:lang w:val="en"/>
        </w:rPr>
        <w:t xml:space="preserve"> be minimal given the types of questions and response options and the </w:t>
      </w:r>
      <w:r>
        <w:rPr>
          <w:lang w:val="en"/>
        </w:rPr>
        <w:t>validation checks in the survey platform</w:t>
      </w:r>
      <w:r w:rsidRPr="006C039F">
        <w:rPr>
          <w:lang w:val="en"/>
        </w:rPr>
        <w:t xml:space="preserve">. If needed, </w:t>
      </w:r>
      <w:r>
        <w:rPr>
          <w:lang w:val="en"/>
        </w:rPr>
        <w:t xml:space="preserve">the team will generate </w:t>
      </w:r>
      <w:r w:rsidRPr="006C039F">
        <w:rPr>
          <w:lang w:val="en"/>
        </w:rPr>
        <w:t>cleaned versions of raw variables in which outliers and implausible values are either recoded or replaced with special missing values indicating that the original reported value was out of range</w:t>
      </w:r>
    </w:p>
    <w:p w:rsidR="00BD4CFE" w:rsidP="00F24203" w:rsidRDefault="004719E3" w14:paraId="19AC5860" w14:textId="5AD6690D">
      <w:pPr>
        <w:pStyle w:val="BodyText"/>
      </w:pPr>
      <w:r>
        <w:t>As noted previously, t</w:t>
      </w:r>
      <w:r w:rsidRPr="004948AB">
        <w:t xml:space="preserve">he study team </w:t>
      </w:r>
      <w:r>
        <w:t xml:space="preserve">does not </w:t>
      </w:r>
      <w:r w:rsidRPr="004948AB">
        <w:t>anticipate</w:t>
      </w:r>
      <w:r>
        <w:t xml:space="preserve"> any non-response for the </w:t>
      </w:r>
      <w:r w:rsidRPr="004948AB">
        <w:t>CC Director</w:t>
      </w:r>
      <w:r>
        <w:t xml:space="preserve"> </w:t>
      </w:r>
      <w:r w:rsidRPr="004948AB">
        <w:t>interviews</w:t>
      </w:r>
      <w:r>
        <w:t>,</w:t>
      </w:r>
      <w:r w:rsidRPr="004948AB">
        <w:t xml:space="preserve"> given their </w:t>
      </w:r>
      <w:r>
        <w:t>interest in the study findings</w:t>
      </w:r>
      <w:r w:rsidRPr="0034497C">
        <w:t>.</w:t>
      </w:r>
      <w:r w:rsidRPr="004948AB">
        <w:t xml:space="preserve"> </w:t>
      </w:r>
      <w:r w:rsidR="00C938E8">
        <w:t xml:space="preserve">If any nonresponse does occur, </w:t>
      </w:r>
      <w:r w:rsidRPr="00DC35EF" w:rsidR="00676BF3">
        <w:t xml:space="preserve">the study team will </w:t>
      </w:r>
      <w:r w:rsidRPr="00DC35EF" w:rsidR="00DC35EF">
        <w:t>use</w:t>
      </w:r>
      <w:r w:rsidRPr="00DC35EF" w:rsidR="00676BF3">
        <w:t xml:space="preserve"> administrative data </w:t>
      </w:r>
      <w:r w:rsidRPr="00DC35EF" w:rsidR="00557400">
        <w:t>from CCs’ Annual Service Plans</w:t>
      </w:r>
      <w:r w:rsidR="00555CEB">
        <w:t xml:space="preserve">, </w:t>
      </w:r>
      <w:r w:rsidRPr="00DC35EF" w:rsidR="00557400">
        <w:t xml:space="preserve">Joint Needs Sensing </w:t>
      </w:r>
      <w:r w:rsidR="003F1336">
        <w:t>Memos</w:t>
      </w:r>
      <w:r w:rsidR="00555CEB">
        <w:t>, and Annual Evaluation Reports</w:t>
      </w:r>
      <w:r w:rsidRPr="00DC35EF" w:rsidR="00557400">
        <w:t xml:space="preserve"> </w:t>
      </w:r>
      <w:r w:rsidRPr="00DC35EF" w:rsidR="00DC35EF">
        <w:t>to compare</w:t>
      </w:r>
      <w:r w:rsidRPr="00DC35EF" w:rsidR="00676BF3">
        <w:t xml:space="preserve"> </w:t>
      </w:r>
      <w:r w:rsidRPr="00DC35EF" w:rsidR="00DC35EF">
        <w:t xml:space="preserve">CC-level </w:t>
      </w:r>
      <w:r w:rsidR="00BD4CFE">
        <w:t xml:space="preserve">characteristics </w:t>
      </w:r>
      <w:r w:rsidRPr="00DC35EF" w:rsidR="00DC35EF">
        <w:t>and</w:t>
      </w:r>
      <w:r w:rsidR="00555CEB">
        <w:t>, when applicable,</w:t>
      </w:r>
      <w:r w:rsidRPr="00DC35EF" w:rsidR="00DC35EF">
        <w:t xml:space="preserve"> project-level </w:t>
      </w:r>
      <w:r w:rsidRPr="00DC35EF" w:rsidR="00557400">
        <w:t>characteristics</w:t>
      </w:r>
      <w:r w:rsidRPr="00DC35EF" w:rsidR="00676BF3">
        <w:t xml:space="preserve"> </w:t>
      </w:r>
      <w:r w:rsidRPr="00DC35EF" w:rsidR="00DC35EF">
        <w:t xml:space="preserve">for CC Directors </w:t>
      </w:r>
      <w:r w:rsidRPr="00DC35EF" w:rsidR="00676BF3">
        <w:t xml:space="preserve">who completed the </w:t>
      </w:r>
      <w:r w:rsidRPr="00DC35EF" w:rsidR="00DC35EF">
        <w:t>interviews</w:t>
      </w:r>
      <w:r w:rsidRPr="00DC35EF" w:rsidR="00676BF3">
        <w:t xml:space="preserve"> to the </w:t>
      </w:r>
      <w:r w:rsidR="002F0E79">
        <w:t>projects</w:t>
      </w:r>
      <w:r w:rsidRPr="00DC35EF" w:rsidR="002F0E79">
        <w:t xml:space="preserve"> </w:t>
      </w:r>
      <w:r w:rsidRPr="00DC35EF" w:rsidR="00676BF3">
        <w:t>of those who did not.</w:t>
      </w:r>
      <w:r w:rsidRPr="00DC35EF" w:rsidR="00DC35EF">
        <w:t xml:space="preserve"> </w:t>
      </w:r>
    </w:p>
    <w:p w:rsidRPr="00BE29DC" w:rsidR="004E19B2" w:rsidP="004E19B2" w:rsidRDefault="004E19B2" w14:paraId="38A3277A" w14:textId="77777777">
      <w:pPr>
        <w:pStyle w:val="Heading2"/>
      </w:pPr>
      <w:bookmarkStart w:name="_Toc79423686" w:id="19"/>
      <w:r w:rsidRPr="00BE29DC">
        <w:t>Test of Procedures and Methods to Be Undertaken</w:t>
      </w:r>
      <w:bookmarkEnd w:id="19"/>
    </w:p>
    <w:p w:rsidR="00BE082C" w:rsidP="00BE082C" w:rsidRDefault="00BE082C" w14:paraId="610C28F3" w14:textId="77777777">
      <w:pPr>
        <w:pStyle w:val="BodyText"/>
      </w:pPr>
      <w:r>
        <w:t>The following procedures were undertaken to finalize development of the survey and interview protocols:</w:t>
      </w:r>
    </w:p>
    <w:p w:rsidR="000C20E6" w:rsidP="000C20E6" w:rsidRDefault="00BE082C" w14:paraId="39890689" w14:textId="43BBB969">
      <w:pPr>
        <w:pStyle w:val="BodyText"/>
      </w:pPr>
      <w:r w:rsidRPr="002259AD">
        <w:rPr>
          <w:b/>
          <w:bCs/>
        </w:rPr>
        <w:t>Pilot testing surveys:</w:t>
      </w:r>
      <w:r>
        <w:t xml:space="preserve"> </w:t>
      </w:r>
      <w:r w:rsidRPr="0034497C">
        <w:t xml:space="preserve">During the 60-day public comment period, the study team </w:t>
      </w:r>
      <w:r>
        <w:t>conducted cognitive interviews with three eligible TA recipients</w:t>
      </w:r>
      <w:r w:rsidR="00CB3D06">
        <w:t xml:space="preserve"> affiliated with three different Regional Centers</w:t>
      </w:r>
      <w:r>
        <w:t xml:space="preserve"> to pilot test</w:t>
      </w:r>
      <w:r w:rsidRPr="0034497C">
        <w:t xml:space="preserve"> the </w:t>
      </w:r>
      <w:r>
        <w:t xml:space="preserve">TA recipient </w:t>
      </w:r>
      <w:r w:rsidRPr="0034497C">
        <w:t>surve</w:t>
      </w:r>
      <w:r>
        <w:t xml:space="preserve">y. Pilot test participants were nominated by CC Directors. During these cognitive interviews, the team </w:t>
      </w:r>
      <w:r w:rsidRPr="00BA213F">
        <w:t>collect</w:t>
      </w:r>
      <w:r>
        <w:t>ed</w:t>
      </w:r>
      <w:r w:rsidRPr="00BA213F">
        <w:t xml:space="preserve"> feedback </w:t>
      </w:r>
      <w:r>
        <w:t>about survey length, clarity, and relevance</w:t>
      </w:r>
      <w:r w:rsidRPr="00BA213F">
        <w:t xml:space="preserve">. </w:t>
      </w:r>
      <w:r>
        <w:t>This process sought to</w:t>
      </w:r>
      <w:r w:rsidRPr="00BA213F">
        <w:t xml:space="preserve"> identify </w:t>
      </w:r>
      <w:r>
        <w:t>any</w:t>
      </w:r>
      <w:r w:rsidRPr="00BA213F">
        <w:t xml:space="preserve"> areas of confusion, misunderstanding, o</w:t>
      </w:r>
      <w:r>
        <w:t xml:space="preserve">r gaps in the survey instrument, as well as ensure that the survey takes no longer than 20 minutes per project to complete. </w:t>
      </w:r>
      <w:r w:rsidRPr="00855B6E" w:rsidR="000C20E6">
        <w:t xml:space="preserve">Respondents identified questions that were challenging to answer and items where additional clarity was necessary. </w:t>
      </w:r>
    </w:p>
    <w:p w:rsidRPr="00855B6E" w:rsidR="000C20E6" w:rsidP="000C20E6" w:rsidRDefault="000C20E6" w14:paraId="58CC7D8D" w14:textId="004D35F4">
      <w:pPr>
        <w:pStyle w:val="BodyText"/>
      </w:pPr>
      <w:r w:rsidRPr="00855B6E">
        <w:t xml:space="preserve">Exhibit </w:t>
      </w:r>
      <w:r w:rsidR="00BB26F7">
        <w:t xml:space="preserve">B4 </w:t>
      </w:r>
      <w:r w:rsidRPr="00855B6E">
        <w:t xml:space="preserve">displays the response time for each survey instrument pilot. </w:t>
      </w:r>
    </w:p>
    <w:p w:rsidRPr="00CB5392" w:rsidR="000C20E6" w:rsidP="000C20E6" w:rsidRDefault="000C20E6" w14:paraId="37F96483" w14:textId="2459798C">
      <w:pPr>
        <w:pStyle w:val="Caption"/>
      </w:pPr>
      <w:r w:rsidRPr="00CB5392">
        <w:t xml:space="preserve">Exhibit </w:t>
      </w:r>
      <w:r w:rsidR="00BB26F7">
        <w:t>B4</w:t>
      </w:r>
      <w:r w:rsidRPr="00CB5392">
        <w:t>. Average Minutes to Complete Surveys</w:t>
      </w:r>
    </w:p>
    <w:tbl>
      <w:tblPr>
        <w:tblStyle w:val="GridTable4-Accent1"/>
        <w:tblW w:w="5521" w:type="dxa"/>
        <w:tblLook w:val="04A0" w:firstRow="1" w:lastRow="0" w:firstColumn="1" w:lastColumn="0" w:noHBand="0" w:noVBand="1"/>
      </w:tblPr>
      <w:tblGrid>
        <w:gridCol w:w="3240"/>
        <w:gridCol w:w="2281"/>
      </w:tblGrid>
      <w:tr w:rsidRPr="00CB5392" w:rsidR="000C20E6" w:rsidTr="005D7DB8" w14:paraId="11329135" w14:textId="7777777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240" w:type="dxa"/>
            <w:tcBorders>
              <w:top w:val="nil"/>
              <w:left w:val="nil"/>
              <w:bottom w:val="nil"/>
            </w:tcBorders>
            <w:noWrap/>
            <w:hideMark/>
          </w:tcPr>
          <w:p w:rsidRPr="00CB5392" w:rsidR="000C20E6" w:rsidP="005D7DB8" w:rsidRDefault="000C20E6" w14:paraId="7591CAB5" w14:textId="77777777">
            <w:pPr>
              <w:spacing w:after="0"/>
              <w:rPr>
                <w:rFonts w:ascii="Arial Narrow" w:hAnsi="Arial Narrow"/>
                <w:bCs w:val="0"/>
                <w:sz w:val="20"/>
              </w:rPr>
            </w:pPr>
            <w:r w:rsidRPr="00CB5392">
              <w:rPr>
                <w:rFonts w:ascii="Arial Narrow" w:hAnsi="Arial Narrow"/>
                <w:bCs w:val="0"/>
                <w:sz w:val="20"/>
              </w:rPr>
              <w:t>Survey</w:t>
            </w:r>
          </w:p>
        </w:tc>
        <w:tc>
          <w:tcPr>
            <w:tcW w:w="2281" w:type="dxa"/>
            <w:tcBorders>
              <w:top w:val="nil"/>
              <w:bottom w:val="nil"/>
            </w:tcBorders>
            <w:noWrap/>
            <w:hideMark/>
          </w:tcPr>
          <w:p w:rsidRPr="00CB5392" w:rsidR="000C20E6" w:rsidP="005D7DB8" w:rsidRDefault="000C20E6" w14:paraId="751A68C7" w14:textId="77777777">
            <w:pPr>
              <w:spacing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bCs w:val="0"/>
                <w:sz w:val="20"/>
              </w:rPr>
            </w:pPr>
            <w:r w:rsidRPr="00CB5392">
              <w:rPr>
                <w:rFonts w:ascii="Arial Narrow" w:hAnsi="Arial Narrow"/>
                <w:bCs w:val="0"/>
                <w:sz w:val="20"/>
              </w:rPr>
              <w:t>Minutes</w:t>
            </w:r>
          </w:p>
        </w:tc>
      </w:tr>
      <w:tr w:rsidRPr="00CB5392" w:rsidR="000C20E6" w:rsidTr="005D7DB8" w14:paraId="54DA08D4"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240" w:type="dxa"/>
            <w:tcBorders>
              <w:top w:val="nil"/>
              <w:left w:val="nil"/>
              <w:bottom w:val="nil"/>
              <w:right w:val="nil"/>
            </w:tcBorders>
            <w:noWrap/>
          </w:tcPr>
          <w:p w:rsidRPr="00CB5392" w:rsidR="000C20E6" w:rsidP="005D7DB8" w:rsidRDefault="000C20E6" w14:paraId="5BF95BEB" w14:textId="77777777">
            <w:pPr>
              <w:spacing w:after="0"/>
              <w:rPr>
                <w:rFonts w:ascii="Arial Narrow" w:hAnsi="Arial Narrow" w:cs="Calibri" w:eastAsiaTheme="minorHAnsi"/>
                <w:b w:val="0"/>
                <w:color w:val="000000"/>
                <w:sz w:val="20"/>
              </w:rPr>
            </w:pPr>
            <w:r>
              <w:rPr>
                <w:rFonts w:ascii="Arial Narrow" w:hAnsi="Arial Narrow" w:cs="Calibri" w:eastAsiaTheme="minorHAnsi"/>
                <w:b w:val="0"/>
                <w:color w:val="000000"/>
                <w:sz w:val="20"/>
              </w:rPr>
              <w:t>Test 1</w:t>
            </w:r>
          </w:p>
        </w:tc>
        <w:tc>
          <w:tcPr>
            <w:tcW w:w="2281" w:type="dxa"/>
            <w:tcBorders>
              <w:top w:val="nil"/>
              <w:left w:val="nil"/>
              <w:bottom w:val="nil"/>
              <w:right w:val="nil"/>
            </w:tcBorders>
            <w:noWrap/>
          </w:tcPr>
          <w:p w:rsidRPr="00CB5392" w:rsidR="000C20E6" w:rsidP="005D7DB8" w:rsidRDefault="000C20E6" w14:paraId="08483305" w14:textId="77777777">
            <w:pPr>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rPr>
            </w:pPr>
            <w:r>
              <w:rPr>
                <w:rFonts w:ascii="Arial Narrow" w:hAnsi="Arial Narrow"/>
                <w:color w:val="000000"/>
                <w:sz w:val="20"/>
              </w:rPr>
              <w:t>14</w:t>
            </w:r>
          </w:p>
        </w:tc>
      </w:tr>
      <w:tr w:rsidRPr="00CB5392" w:rsidR="000C20E6" w:rsidTr="005D7DB8" w14:paraId="199F7E68" w14:textId="77777777">
        <w:trPr>
          <w:trHeight w:val="290"/>
        </w:trPr>
        <w:tc>
          <w:tcPr>
            <w:cnfStyle w:val="001000000000" w:firstRow="0" w:lastRow="0" w:firstColumn="1" w:lastColumn="0" w:oddVBand="0" w:evenVBand="0" w:oddHBand="0" w:evenHBand="0" w:firstRowFirstColumn="0" w:firstRowLastColumn="0" w:lastRowFirstColumn="0" w:lastRowLastColumn="0"/>
            <w:tcW w:w="3240" w:type="dxa"/>
            <w:tcBorders>
              <w:top w:val="nil"/>
              <w:left w:val="nil"/>
              <w:bottom w:val="nil"/>
              <w:right w:val="nil"/>
            </w:tcBorders>
            <w:noWrap/>
          </w:tcPr>
          <w:p w:rsidRPr="00CB5392" w:rsidR="000C20E6" w:rsidP="005D7DB8" w:rsidRDefault="000C20E6" w14:paraId="4B9187D4" w14:textId="77777777">
            <w:pPr>
              <w:spacing w:after="0"/>
              <w:rPr>
                <w:rFonts w:ascii="Arial Narrow" w:hAnsi="Arial Narrow"/>
                <w:b w:val="0"/>
                <w:color w:val="000000"/>
                <w:sz w:val="20"/>
              </w:rPr>
            </w:pPr>
            <w:r>
              <w:rPr>
                <w:rFonts w:ascii="Arial Narrow" w:hAnsi="Arial Narrow"/>
                <w:b w:val="0"/>
                <w:color w:val="000000"/>
                <w:sz w:val="20"/>
              </w:rPr>
              <w:t>Test 2</w:t>
            </w:r>
          </w:p>
        </w:tc>
        <w:tc>
          <w:tcPr>
            <w:tcW w:w="2281" w:type="dxa"/>
            <w:tcBorders>
              <w:top w:val="nil"/>
              <w:left w:val="nil"/>
              <w:bottom w:val="nil"/>
              <w:right w:val="nil"/>
            </w:tcBorders>
            <w:noWrap/>
          </w:tcPr>
          <w:p w:rsidRPr="00CB5392" w:rsidR="000C20E6" w:rsidP="005D7DB8" w:rsidRDefault="000C20E6" w14:paraId="2914AF8D" w14:textId="77777777">
            <w:pPr>
              <w:spacing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rPr>
            </w:pPr>
            <w:r>
              <w:rPr>
                <w:rFonts w:ascii="Arial Narrow" w:hAnsi="Arial Narrow"/>
                <w:color w:val="000000"/>
                <w:sz w:val="20"/>
              </w:rPr>
              <w:t>22</w:t>
            </w:r>
          </w:p>
        </w:tc>
      </w:tr>
      <w:tr w:rsidRPr="00CB5392" w:rsidR="000C20E6" w:rsidTr="005D7DB8" w14:paraId="232A0789" w14:textId="7777777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240" w:type="dxa"/>
            <w:tcBorders>
              <w:top w:val="nil"/>
              <w:left w:val="nil"/>
              <w:bottom w:val="nil"/>
              <w:right w:val="nil"/>
            </w:tcBorders>
            <w:noWrap/>
          </w:tcPr>
          <w:p w:rsidRPr="00CB5392" w:rsidR="000C20E6" w:rsidP="005D7DB8" w:rsidRDefault="000C20E6" w14:paraId="16C10884" w14:textId="77777777">
            <w:pPr>
              <w:spacing w:after="0"/>
              <w:rPr>
                <w:rFonts w:ascii="Arial Narrow" w:hAnsi="Arial Narrow"/>
                <w:b w:val="0"/>
                <w:bCs w:val="0"/>
                <w:color w:val="000000"/>
                <w:sz w:val="20"/>
              </w:rPr>
            </w:pPr>
            <w:r w:rsidRPr="00CB5392">
              <w:rPr>
                <w:rFonts w:ascii="Arial Narrow" w:hAnsi="Arial Narrow"/>
                <w:b w:val="0"/>
                <w:bCs w:val="0"/>
                <w:color w:val="000000"/>
                <w:sz w:val="20"/>
              </w:rPr>
              <w:t>Test 3</w:t>
            </w:r>
          </w:p>
        </w:tc>
        <w:tc>
          <w:tcPr>
            <w:tcW w:w="2281" w:type="dxa"/>
            <w:tcBorders>
              <w:top w:val="nil"/>
              <w:left w:val="nil"/>
              <w:bottom w:val="nil"/>
              <w:right w:val="nil"/>
            </w:tcBorders>
            <w:noWrap/>
          </w:tcPr>
          <w:p w:rsidRPr="00CB5392" w:rsidR="000C20E6" w:rsidP="005D7DB8" w:rsidRDefault="00BB26F7" w14:paraId="0670744B" w14:textId="3D1AA099">
            <w:pPr>
              <w:spacing w:after="0"/>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0"/>
              </w:rPr>
            </w:pPr>
            <w:r>
              <w:rPr>
                <w:rFonts w:ascii="Arial Narrow" w:hAnsi="Arial Narrow"/>
                <w:color w:val="000000"/>
                <w:sz w:val="20"/>
              </w:rPr>
              <w:t>22</w:t>
            </w:r>
          </w:p>
        </w:tc>
      </w:tr>
    </w:tbl>
    <w:p w:rsidRPr="00855B6E" w:rsidR="000C20E6" w:rsidP="000C20E6" w:rsidRDefault="000C20E6" w14:paraId="1E6FE5A5" w14:textId="77777777">
      <w:pPr>
        <w:autoSpaceDE w:val="0"/>
        <w:autoSpaceDN w:val="0"/>
        <w:spacing w:before="40" w:after="40" w:line="240" w:lineRule="auto"/>
      </w:pPr>
    </w:p>
    <w:p w:rsidRPr="00855B6E" w:rsidR="000C20E6" w:rsidP="000C20E6" w:rsidRDefault="000C20E6" w14:paraId="45C99A5F" w14:textId="77777777">
      <w:pPr>
        <w:autoSpaceDE w:val="0"/>
        <w:autoSpaceDN w:val="0"/>
        <w:spacing w:before="40" w:after="40" w:line="240" w:lineRule="auto"/>
      </w:pPr>
      <w:r w:rsidRPr="00855B6E">
        <w:t>The time review and pilot testing resulted in the following revisions to the TA recipient surveys to shorten the length and clarify survey item wording and response options. Specifically, the study team:</w:t>
      </w:r>
    </w:p>
    <w:p w:rsidRPr="00855B6E" w:rsidR="000C20E6" w:rsidP="000C20E6" w:rsidRDefault="000C20E6" w14:paraId="62340786" w14:textId="77777777">
      <w:pPr>
        <w:pStyle w:val="BodyText"/>
        <w:numPr>
          <w:ilvl w:val="0"/>
          <w:numId w:val="31"/>
        </w:numPr>
      </w:pPr>
      <w:r w:rsidRPr="00855B6E">
        <w:t xml:space="preserve">Clarified the instructions to the survey respondent </w:t>
      </w:r>
    </w:p>
    <w:p w:rsidRPr="00855B6E" w:rsidR="000C20E6" w:rsidP="000C20E6" w:rsidRDefault="000C20E6" w14:paraId="011197CB" w14:textId="77777777">
      <w:pPr>
        <w:pStyle w:val="BodyText"/>
        <w:numPr>
          <w:ilvl w:val="0"/>
          <w:numId w:val="31"/>
        </w:numPr>
      </w:pPr>
      <w:r w:rsidRPr="00855B6E">
        <w:t xml:space="preserve">Edited the wording of some questions and response options for clarity </w:t>
      </w:r>
    </w:p>
    <w:p w:rsidRPr="00855B6E" w:rsidR="000C20E6" w:rsidP="000C20E6" w:rsidRDefault="000C20E6" w14:paraId="1AF900BE" w14:textId="77777777">
      <w:pPr>
        <w:pStyle w:val="BodyText"/>
        <w:numPr>
          <w:ilvl w:val="0"/>
          <w:numId w:val="31"/>
        </w:numPr>
      </w:pPr>
      <w:r w:rsidRPr="00855B6E">
        <w:t xml:space="preserve">Consolidated response options for one question to shorten the overall survey length </w:t>
      </w:r>
    </w:p>
    <w:p w:rsidRPr="00855B6E" w:rsidR="000C20E6" w:rsidP="000C20E6" w:rsidRDefault="000C20E6" w14:paraId="5D9E4321" w14:textId="77777777">
      <w:pPr>
        <w:pStyle w:val="BodyText"/>
        <w:numPr>
          <w:ilvl w:val="0"/>
          <w:numId w:val="31"/>
        </w:numPr>
      </w:pPr>
      <w:r w:rsidRPr="00855B6E">
        <w:t>Dropped two questions that were either redundant or non-essential to the study goals</w:t>
      </w:r>
    </w:p>
    <w:p w:rsidRPr="00855B6E" w:rsidR="001213EE" w:rsidP="001213EE" w:rsidRDefault="00245DBD" w14:paraId="4348225E" w14:textId="77777777">
      <w:pPr>
        <w:pStyle w:val="BodyText"/>
      </w:pPr>
      <w:r w:rsidRPr="002259AD">
        <w:rPr>
          <w:b/>
          <w:bCs/>
        </w:rPr>
        <w:t>Pilot testing interview protocols:</w:t>
      </w:r>
      <w:r>
        <w:t xml:space="preserve"> </w:t>
      </w:r>
      <w:r w:rsidRPr="00855B6E" w:rsidR="001213EE">
        <w:t xml:space="preserve">During the 60-day public comment period, the study team piloted the interview protocol with a CC Director, and probed for questions that were challenging to answer and </w:t>
      </w:r>
      <w:r w:rsidRPr="00855B6E" w:rsidR="001213EE">
        <w:lastRenderedPageBreak/>
        <w:t>items where additional clarity was necessary. The pilot testing resulted in the following revisions to the interview protocol to shorten the length and clarify item wording. Specifically, the study team:</w:t>
      </w:r>
    </w:p>
    <w:p w:rsidRPr="00855B6E" w:rsidR="001213EE" w:rsidP="001213EE" w:rsidRDefault="001213EE" w14:paraId="415B5168" w14:textId="77777777">
      <w:pPr>
        <w:pStyle w:val="BodyText"/>
        <w:numPr>
          <w:ilvl w:val="0"/>
          <w:numId w:val="32"/>
        </w:numPr>
      </w:pPr>
      <w:r w:rsidRPr="00855B6E">
        <w:t>Revised the wording of some questions for clarity</w:t>
      </w:r>
    </w:p>
    <w:p w:rsidR="001213EE" w:rsidP="001213EE" w:rsidRDefault="001213EE" w14:paraId="2DEB5149" w14:textId="77777777">
      <w:pPr>
        <w:pStyle w:val="BodyText"/>
        <w:numPr>
          <w:ilvl w:val="0"/>
          <w:numId w:val="32"/>
        </w:numPr>
      </w:pPr>
      <w:r w:rsidRPr="00855B6E">
        <w:t xml:space="preserve">Removed five questions from the interview protocol, because they were either not essential to answer the research questions, or can be addressed through other data sources </w:t>
      </w:r>
    </w:p>
    <w:p w:rsidRPr="00855B6E" w:rsidR="005B7996" w:rsidP="001213EE" w:rsidRDefault="001213EE" w14:paraId="6EBB27C2" w14:textId="0B10507C">
      <w:pPr>
        <w:pStyle w:val="BodyText"/>
        <w:numPr>
          <w:ilvl w:val="0"/>
          <w:numId w:val="32"/>
        </w:numPr>
      </w:pPr>
      <w:r w:rsidRPr="00855B6E">
        <w:t>Separated one question into three separate questions to improve clarity</w:t>
      </w:r>
    </w:p>
    <w:p w:rsidR="00E154E0" w:rsidP="001B48EB" w:rsidRDefault="00173D5A" w14:paraId="5945A68F" w14:textId="091C7BCE">
      <w:pPr>
        <w:pStyle w:val="BodyText"/>
      </w:pPr>
      <w:r>
        <w:t>The study team also will undertake several strategies for ensuring high-quality data collection after the instruments are finalized</w:t>
      </w:r>
      <w:r w:rsidR="00E154E0">
        <w:t>.</w:t>
      </w:r>
    </w:p>
    <w:p w:rsidR="001B48EB" w:rsidP="002259AD" w:rsidRDefault="00E154E0" w14:paraId="52A57E1D" w14:textId="1F5D5520">
      <w:pPr>
        <w:pStyle w:val="BodyText"/>
        <w:numPr>
          <w:ilvl w:val="0"/>
          <w:numId w:val="29"/>
        </w:numPr>
      </w:pPr>
      <w:r w:rsidRPr="002259AD">
        <w:rPr>
          <w:b/>
          <w:bCs/>
        </w:rPr>
        <w:t>Programming</w:t>
      </w:r>
      <w:r w:rsidR="00385D5D">
        <w:rPr>
          <w:b/>
          <w:bCs/>
        </w:rPr>
        <w:t xml:space="preserve"> and testing</w:t>
      </w:r>
      <w:r w:rsidRPr="002259AD">
        <w:rPr>
          <w:b/>
          <w:bCs/>
        </w:rPr>
        <w:t xml:space="preserve"> the TA Recipient Survey: </w:t>
      </w:r>
      <w:r w:rsidR="001B48EB">
        <w:t>Once the</w:t>
      </w:r>
      <w:r>
        <w:t xml:space="preserve"> TA Recipient</w:t>
      </w:r>
      <w:r w:rsidR="001B48EB">
        <w:t xml:space="preserve"> survey is finalized, the</w:t>
      </w:r>
      <w:r w:rsidRPr="001B48EB" w:rsidR="001B48EB">
        <w:t xml:space="preserve"> team will use the Confirmit Horizons platform</w:t>
      </w:r>
      <w:r w:rsidR="00173D5A">
        <w:t>—which is compatible</w:t>
      </w:r>
      <w:r w:rsidRPr="001B48EB" w:rsidR="00173D5A">
        <w:t xml:space="preserve"> with desktop, laptop, tablet, and mobile survey completion</w:t>
      </w:r>
      <w:r w:rsidR="00343F69">
        <w:t>—</w:t>
      </w:r>
      <w:r w:rsidR="00173D5A">
        <w:t>t</w:t>
      </w:r>
      <w:r w:rsidRPr="001B48EB" w:rsidR="001B48EB">
        <w:t>o program the online surve</w:t>
      </w:r>
      <w:r w:rsidR="001B48EB">
        <w:t xml:space="preserve">y. </w:t>
      </w:r>
      <w:r w:rsidR="00E029ED">
        <w:t xml:space="preserve">In programming the survey, the team will </w:t>
      </w:r>
      <w:r w:rsidRPr="001B48EB" w:rsidR="001B48EB">
        <w:t>validat</w:t>
      </w:r>
      <w:r w:rsidR="00E029ED">
        <w:t>e</w:t>
      </w:r>
      <w:r w:rsidRPr="001B48EB" w:rsidR="001B48EB">
        <w:t xml:space="preserve"> any numerical entries to ensure they are within an acceptable range, and prompt respondents for responses when skipped. </w:t>
      </w:r>
      <w:r w:rsidR="00E029ED">
        <w:t>This will</w:t>
      </w:r>
      <w:r w:rsidRPr="001B48EB" w:rsidR="00E029ED">
        <w:t xml:space="preserve"> limit the potential for inaccurate data entries and missed questions</w:t>
      </w:r>
      <w:r w:rsidR="00E029ED">
        <w:t>. Prior to fielding the survey, t</w:t>
      </w:r>
      <w:r w:rsidRPr="001B48EB" w:rsidR="001B48EB">
        <w:t>he team will</w:t>
      </w:r>
      <w:r w:rsidR="00E029ED">
        <w:t xml:space="preserve"> </w:t>
      </w:r>
      <w:r w:rsidRPr="001B48EB" w:rsidR="001B48EB">
        <w:t xml:space="preserve">test the programmed survey </w:t>
      </w:r>
      <w:r w:rsidR="00173D5A">
        <w:t>on different types of devices</w:t>
      </w:r>
      <w:r w:rsidR="002D3A59">
        <w:t xml:space="preserve">—such as </w:t>
      </w:r>
      <w:r w:rsidR="00343F69">
        <w:t>different types of smart phones and computers</w:t>
      </w:r>
      <w:r w:rsidR="002D3A59">
        <w:t xml:space="preserve">—to </w:t>
      </w:r>
      <w:r w:rsidRPr="001B48EB" w:rsidR="001B48EB">
        <w:t>ensure functionality of skip logic, any information that is piped into question text, and response validation.</w:t>
      </w:r>
      <w:r w:rsidR="0016494B">
        <w:t xml:space="preserve"> Once the survey is in the field, t</w:t>
      </w:r>
      <w:r w:rsidR="0016494B">
        <w:rPr>
          <w:spacing w:val="-4"/>
        </w:rPr>
        <w:t>he team will</w:t>
      </w:r>
      <w:r w:rsidRPr="000067CF" w:rsidR="0016494B">
        <w:rPr>
          <w:spacing w:val="-4"/>
        </w:rPr>
        <w:t xml:space="preserve"> review </w:t>
      </w:r>
      <w:r w:rsidR="0016494B">
        <w:rPr>
          <w:spacing w:val="-4"/>
        </w:rPr>
        <w:t>incoming</w:t>
      </w:r>
      <w:r w:rsidRPr="000067CF" w:rsidR="0016494B">
        <w:rPr>
          <w:spacing w:val="-4"/>
        </w:rPr>
        <w:t xml:space="preserve"> data at several points throughout the data colle</w:t>
      </w:r>
      <w:r w:rsidR="0016494B">
        <w:rPr>
          <w:spacing w:val="-4"/>
        </w:rPr>
        <w:t xml:space="preserve">ction process to make sure they are correct </w:t>
      </w:r>
      <w:r w:rsidRPr="000067CF" w:rsidR="0016494B">
        <w:rPr>
          <w:spacing w:val="-4"/>
        </w:rPr>
        <w:t>and complete.</w:t>
      </w:r>
    </w:p>
    <w:p w:rsidR="00385D5D" w:rsidP="00385D5D" w:rsidRDefault="00385D5D" w14:paraId="629E9553" w14:textId="26711438">
      <w:pPr>
        <w:pStyle w:val="BodyText"/>
        <w:numPr>
          <w:ilvl w:val="0"/>
          <w:numId w:val="29"/>
        </w:numPr>
      </w:pPr>
      <w:r w:rsidRPr="002259AD">
        <w:rPr>
          <w:b/>
          <w:bCs/>
        </w:rPr>
        <w:t>Interviewer training:</w:t>
      </w:r>
      <w:r>
        <w:t xml:space="preserve"> To ensure interviewers are adequately prepared, the study team will conduct separate interview training sessions for interviewers and note takers based on respondent type (CC Director and REL Director). The Department’s Contracting Officer’s Representative (COR) will also be invited to these internal trainings. These trainings will cover the interview procedures and protocols, background on the evaluation, and best practices for scheduling and preparing for interviews, conducting interviews, </w:t>
      </w:r>
      <w:proofErr w:type="gramStart"/>
      <w:r>
        <w:t>recording</w:t>
      </w:r>
      <w:proofErr w:type="gramEnd"/>
      <w:r>
        <w:t xml:space="preserve"> and coding interview responses, preserving confidentiality, cleaning and organizing data post-interview, and protecting data security. The study team will also provide written</w:t>
      </w:r>
      <w:r w:rsidRPr="00CF33EA">
        <w:t xml:space="preserve"> </w:t>
      </w:r>
      <w:r>
        <w:t xml:space="preserve">training materials and guidance to interviewers and note takers to use as a reference during data collection. </w:t>
      </w:r>
    </w:p>
    <w:p w:rsidR="001352A2" w:rsidP="00385D5D" w:rsidRDefault="00385D5D" w14:paraId="2D4B0126" w14:textId="5B215CCB">
      <w:pPr>
        <w:pStyle w:val="BodyText"/>
        <w:numPr>
          <w:ilvl w:val="0"/>
          <w:numId w:val="29"/>
        </w:numPr>
      </w:pPr>
      <w:r w:rsidRPr="002259AD">
        <w:rPr>
          <w:b/>
          <w:bCs/>
        </w:rPr>
        <w:t>Conducting interviews:</w:t>
      </w:r>
      <w:r>
        <w:t xml:space="preserve"> </w:t>
      </w:r>
      <w:r w:rsidR="001F5EF1">
        <w:t>To ensure high-quality data are collected from interviews, a senior researcher from the study team will serve as the lead interview</w:t>
      </w:r>
      <w:r w:rsidR="00DE0E29">
        <w:t>er</w:t>
      </w:r>
      <w:r w:rsidR="001F5EF1">
        <w:t>, with a junior researcher also present to take notes during the interview.</w:t>
      </w:r>
      <w:r w:rsidRPr="001F5EF1" w:rsidR="001F5EF1">
        <w:t xml:space="preserve"> </w:t>
      </w:r>
      <w:r w:rsidR="001F5EF1">
        <w:t xml:space="preserve">The study team will select staff with extensive interview and qualitative data collection experience to serve as the lead interviewers, prioritizing researchers with prior knowledge or experience with CCs, RELs, and other technical assistance centers. </w:t>
      </w:r>
    </w:p>
    <w:p w:rsidR="006F0B69" w:rsidP="002259AD" w:rsidRDefault="00385D5D" w14:paraId="1D724702" w14:textId="5B2F0D3A">
      <w:pPr>
        <w:pStyle w:val="BodyText"/>
        <w:numPr>
          <w:ilvl w:val="0"/>
          <w:numId w:val="30"/>
        </w:numPr>
      </w:pPr>
      <w:r w:rsidRPr="00385D5D">
        <w:rPr>
          <w:b/>
          <w:bCs/>
        </w:rPr>
        <w:t>Post-interview procedures:</w:t>
      </w:r>
      <w:r>
        <w:t xml:space="preserve"> </w:t>
      </w:r>
      <w:r w:rsidR="006F0B69">
        <w:t>Once the interviews are conducted, n</w:t>
      </w:r>
      <w:r w:rsidRPr="003362D8" w:rsidR="006F0B69">
        <w:t xml:space="preserve">ote takers will clean their </w:t>
      </w:r>
      <w:r w:rsidR="006F0B69">
        <w:t>notes and send them to the lead i</w:t>
      </w:r>
      <w:r w:rsidRPr="003362D8" w:rsidR="006F0B69">
        <w:t xml:space="preserve">nterviewer within three days </w:t>
      </w:r>
      <w:r w:rsidR="006F0B69">
        <w:t>of</w:t>
      </w:r>
      <w:r w:rsidRPr="003362D8" w:rsidR="006F0B69">
        <w:t xml:space="preserve"> the inter</w:t>
      </w:r>
      <w:r w:rsidR="006F0B69">
        <w:t xml:space="preserve">view. The interviewer will </w:t>
      </w:r>
      <w:r w:rsidRPr="003362D8" w:rsidR="006F0B69">
        <w:t>identify any areas where the two researchers might have differing impress</w:t>
      </w:r>
      <w:r w:rsidR="006F0B69">
        <w:t xml:space="preserve">ions of the </w:t>
      </w:r>
      <w:r w:rsidR="00BE29DC">
        <w:t>interview and</w:t>
      </w:r>
      <w:r w:rsidR="006F0B69">
        <w:t xml:space="preserve"> </w:t>
      </w:r>
      <w:r w:rsidRPr="003362D8" w:rsidR="006F0B69">
        <w:t>reconcile</w:t>
      </w:r>
      <w:r w:rsidR="006F0B69">
        <w:t xml:space="preserve"> any</w:t>
      </w:r>
      <w:r w:rsidRPr="003362D8" w:rsidR="006F0B69">
        <w:t xml:space="preserve"> differences with the note taker. The </w:t>
      </w:r>
      <w:r w:rsidR="006F0B69">
        <w:t>interview team will use the audio recording and the transcript to reconcile remaining differences</w:t>
      </w:r>
      <w:r w:rsidRPr="003362D8" w:rsidR="006F0B69">
        <w:t xml:space="preserve">. </w:t>
      </w:r>
      <w:r w:rsidR="006C039F">
        <w:t xml:space="preserve">After interview data have been analyzed, the analysis and interview team members will </w:t>
      </w:r>
      <w:r w:rsidRPr="006C039F" w:rsidR="006C039F">
        <w:t xml:space="preserve">meet to review coding decisions and discuss new responses and themes that emerged within and across each respondent type. The transcripts from open-ended questions that do not include pre-specified categories will be </w:t>
      </w:r>
      <w:r w:rsidR="006C039F">
        <w:t xml:space="preserve">double-coded. A </w:t>
      </w:r>
      <w:r w:rsidR="006C039F">
        <w:lastRenderedPageBreak/>
        <w:t>reconciliation meeting will be held</w:t>
      </w:r>
      <w:r w:rsidRPr="006C039F" w:rsidR="006C039F">
        <w:t xml:space="preserve"> between the two coders to address </w:t>
      </w:r>
      <w:r w:rsidR="006C039F">
        <w:t>any</w:t>
      </w:r>
      <w:r w:rsidRPr="006C039F" w:rsidR="006C039F">
        <w:t xml:space="preserve"> discrepancies </w:t>
      </w:r>
      <w:r w:rsidR="006C039F">
        <w:t>between their codes, with the study team lead helping to resolve any remaining discrepancies as needed.</w:t>
      </w:r>
    </w:p>
    <w:p w:rsidRPr="00944216" w:rsidR="004E19B2" w:rsidP="004E19B2" w:rsidRDefault="004E19B2" w14:paraId="171F88EB" w14:textId="77777777">
      <w:pPr>
        <w:pStyle w:val="Heading2"/>
      </w:pPr>
      <w:bookmarkStart w:name="_Toc79423687" w:id="20"/>
      <w:r w:rsidRPr="00944216">
        <w:t>Individuals Consulted on Statistical Aspects of the Design</w:t>
      </w:r>
      <w:bookmarkEnd w:id="20"/>
    </w:p>
    <w:p w:rsidRPr="0034497C" w:rsidR="00E71B24" w:rsidP="00E71B24" w:rsidRDefault="00E71B24" w14:paraId="3E7D17AA" w14:textId="77777777">
      <w:pPr>
        <w:pStyle w:val="BodyText"/>
        <w:keepNext/>
        <w:keepLines/>
      </w:pPr>
      <w:r w:rsidRPr="0034497C">
        <w:t>The following individuals were consulted on the statistical aspects of the study:</w:t>
      </w:r>
    </w:p>
    <w:tbl>
      <w:tblPr>
        <w:tblStyle w:val="GridTable4-Accent5"/>
        <w:tblW w:w="9355" w:type="dxa"/>
        <w:tblBorders>
          <w:top w:val="single" w:color="0D0D0D" w:themeColor="text1" w:themeTint="F2" w:sz="4" w:space="0"/>
          <w:left w:val="single" w:color="0D0D0D" w:themeColor="text1" w:themeTint="F2" w:sz="4" w:space="0"/>
          <w:bottom w:val="single" w:color="0D0D0D" w:themeColor="text1" w:themeTint="F2" w:sz="4" w:space="0"/>
          <w:right w:val="single" w:color="0D0D0D" w:themeColor="text1" w:themeTint="F2" w:sz="4" w:space="0"/>
          <w:insideH w:val="single" w:color="0D0D0D" w:themeColor="text1" w:themeTint="F2" w:sz="4" w:space="0"/>
          <w:insideV w:val="single" w:color="0D0D0D" w:themeColor="text1" w:themeTint="F2" w:sz="4" w:space="0"/>
        </w:tblBorders>
        <w:tblLook w:val="04A0" w:firstRow="1" w:lastRow="0" w:firstColumn="1" w:lastColumn="0" w:noHBand="0" w:noVBand="1"/>
      </w:tblPr>
      <w:tblGrid>
        <w:gridCol w:w="2875"/>
        <w:gridCol w:w="4770"/>
        <w:gridCol w:w="1710"/>
      </w:tblGrid>
      <w:tr w:rsidRPr="00944216" w:rsidR="00E71B24" w:rsidTr="00826480" w14:paraId="57ACB16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top w:val="none" w:color="auto" w:sz="0" w:space="0"/>
              <w:left w:val="none" w:color="auto" w:sz="0" w:space="0"/>
              <w:bottom w:val="none" w:color="auto" w:sz="0" w:space="0"/>
              <w:right w:val="none" w:color="auto" w:sz="0" w:space="0"/>
            </w:tcBorders>
            <w:shd w:val="clear" w:color="auto" w:fill="4F81BD"/>
            <w:vAlign w:val="center"/>
          </w:tcPr>
          <w:p w:rsidRPr="00944216" w:rsidR="00E71B24" w:rsidP="00C00028" w:rsidRDefault="00E71B24" w14:paraId="600198B7" w14:textId="77777777">
            <w:pPr>
              <w:pStyle w:val="ExhibitRowHeader"/>
              <w:spacing w:before="0" w:after="0" w:line="264" w:lineRule="auto"/>
              <w:rPr>
                <w:rFonts w:ascii="Arial Narrow" w:hAnsi="Arial Narrow"/>
                <w:b/>
                <w:bCs w:val="0"/>
                <w:color w:val="FFFFFF" w:themeColor="background1"/>
              </w:rPr>
            </w:pPr>
            <w:r w:rsidRPr="00944216">
              <w:rPr>
                <w:rFonts w:ascii="Arial Narrow" w:hAnsi="Arial Narrow"/>
                <w:b/>
                <w:bCs w:val="0"/>
                <w:color w:val="FFFFFF" w:themeColor="background1"/>
              </w:rPr>
              <w:t>Name</w:t>
            </w:r>
          </w:p>
        </w:tc>
        <w:tc>
          <w:tcPr>
            <w:tcW w:w="4770" w:type="dxa"/>
            <w:tcBorders>
              <w:top w:val="none" w:color="auto" w:sz="0" w:space="0"/>
              <w:left w:val="none" w:color="auto" w:sz="0" w:space="0"/>
              <w:bottom w:val="none" w:color="auto" w:sz="0" w:space="0"/>
              <w:right w:val="none" w:color="auto" w:sz="0" w:space="0"/>
            </w:tcBorders>
            <w:shd w:val="clear" w:color="auto" w:fill="4F81BD"/>
            <w:vAlign w:val="center"/>
          </w:tcPr>
          <w:p w:rsidRPr="00944216" w:rsidR="00E71B24" w:rsidP="00C00028" w:rsidRDefault="00E71B24" w14:paraId="384C9B05" w14:textId="77777777">
            <w:pPr>
              <w:pStyle w:val="ExhibitRowHeader"/>
              <w:spacing w:before="0" w:after="0" w:line="264" w:lineRule="auto"/>
              <w:cnfStyle w:val="100000000000" w:firstRow="1" w:lastRow="0" w:firstColumn="0" w:lastColumn="0" w:oddVBand="0" w:evenVBand="0" w:oddHBand="0" w:evenHBand="0" w:firstRowFirstColumn="0" w:firstRowLastColumn="0" w:lastRowFirstColumn="0" w:lastRowLastColumn="0"/>
              <w:rPr>
                <w:rFonts w:ascii="Arial Narrow" w:hAnsi="Arial Narrow"/>
                <w:b/>
                <w:bCs w:val="0"/>
                <w:color w:val="FFFFFF" w:themeColor="background1"/>
              </w:rPr>
            </w:pPr>
            <w:r w:rsidRPr="00944216">
              <w:rPr>
                <w:rFonts w:ascii="Arial Narrow" w:hAnsi="Arial Narrow"/>
                <w:b/>
                <w:bCs w:val="0"/>
                <w:color w:val="FFFFFF" w:themeColor="background1"/>
              </w:rPr>
              <w:t>Title/Affiliation</w:t>
            </w:r>
          </w:p>
        </w:tc>
        <w:tc>
          <w:tcPr>
            <w:tcW w:w="1710" w:type="dxa"/>
            <w:tcBorders>
              <w:top w:val="none" w:color="auto" w:sz="0" w:space="0"/>
              <w:left w:val="none" w:color="auto" w:sz="0" w:space="0"/>
              <w:bottom w:val="none" w:color="auto" w:sz="0" w:space="0"/>
              <w:right w:val="none" w:color="auto" w:sz="0" w:space="0"/>
            </w:tcBorders>
            <w:shd w:val="clear" w:color="auto" w:fill="4F81BD"/>
            <w:vAlign w:val="center"/>
          </w:tcPr>
          <w:p w:rsidRPr="00944216" w:rsidR="00E71B24" w:rsidP="00C00028" w:rsidRDefault="00E71B24" w14:paraId="6DE3CFED" w14:textId="77777777">
            <w:pPr>
              <w:pStyle w:val="ExhibitColumnHeader"/>
              <w:spacing w:before="0" w:after="0" w:line="264" w:lineRule="auto"/>
              <w:cnfStyle w:val="100000000000" w:firstRow="1" w:lastRow="0" w:firstColumn="0" w:lastColumn="0" w:oddVBand="0" w:evenVBand="0" w:oddHBand="0" w:evenHBand="0" w:firstRowFirstColumn="0" w:firstRowLastColumn="0" w:lastRowFirstColumn="0" w:lastRowLastColumn="0"/>
              <w:rPr>
                <w:rFonts w:ascii="Arial Narrow" w:hAnsi="Arial Narrow"/>
                <w:b/>
                <w:bCs w:val="0"/>
                <w:color w:val="FFFFFF" w:themeColor="background1"/>
              </w:rPr>
            </w:pPr>
            <w:r w:rsidRPr="00944216">
              <w:rPr>
                <w:rFonts w:ascii="Arial Narrow" w:hAnsi="Arial Narrow"/>
                <w:b/>
                <w:bCs w:val="0"/>
                <w:color w:val="FFFFFF" w:themeColor="background1"/>
              </w:rPr>
              <w:t>Telephone</w:t>
            </w:r>
          </w:p>
        </w:tc>
      </w:tr>
      <w:tr w:rsidRPr="00944216" w:rsidR="00E71B24" w:rsidTr="00AB02E1" w14:paraId="6E9379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auto"/>
          </w:tcPr>
          <w:p w:rsidRPr="00944216" w:rsidR="00E71B24" w:rsidP="009E48C6" w:rsidRDefault="00E71B24" w14:paraId="171DC0DD" w14:textId="3518B10C">
            <w:pPr>
              <w:pStyle w:val="ExhibitRowHeader"/>
              <w:spacing w:before="0" w:after="0" w:line="264" w:lineRule="auto"/>
              <w:jc w:val="left"/>
              <w:rPr>
                <w:rFonts w:ascii="Arial Narrow" w:hAnsi="Arial Narrow"/>
                <w:color w:val="auto"/>
              </w:rPr>
            </w:pPr>
            <w:r w:rsidRPr="00944216">
              <w:rPr>
                <w:rFonts w:ascii="Arial Narrow" w:hAnsi="Arial Narrow"/>
                <w:color w:val="auto"/>
              </w:rPr>
              <w:t>Amy Checkoway</w:t>
            </w:r>
          </w:p>
        </w:tc>
        <w:tc>
          <w:tcPr>
            <w:tcW w:w="4770" w:type="dxa"/>
            <w:shd w:val="clear" w:color="auto" w:fill="auto"/>
          </w:tcPr>
          <w:p w:rsidRPr="00944216" w:rsidR="00E71B24" w:rsidP="009E48C6" w:rsidRDefault="00E71B24" w14:paraId="6B7CA3F7" w14:textId="2904B8AC">
            <w:pPr>
              <w:pStyle w:val="ExhibitRow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bCs/>
                <w:color w:val="auto"/>
              </w:rPr>
            </w:pPr>
            <w:r w:rsidRPr="00944216">
              <w:rPr>
                <w:rFonts w:ascii="Arial Narrow" w:hAnsi="Arial Narrow"/>
                <w:b w:val="0"/>
                <w:bCs/>
                <w:color w:val="auto"/>
              </w:rPr>
              <w:t>Principal Associate, Abt Associates</w:t>
            </w:r>
          </w:p>
        </w:tc>
        <w:tc>
          <w:tcPr>
            <w:tcW w:w="1710" w:type="dxa"/>
            <w:shd w:val="clear" w:color="auto" w:fill="auto"/>
            <w:vAlign w:val="center"/>
          </w:tcPr>
          <w:p w:rsidRPr="00944216" w:rsidR="00E71B24" w:rsidP="00826480" w:rsidRDefault="00E71B24" w14:paraId="27AB3816" w14:textId="1B8BC6A8">
            <w:pPr>
              <w:spacing w:after="0"/>
              <w:cnfStyle w:val="000000100000" w:firstRow="0" w:lastRow="0" w:firstColumn="0" w:lastColumn="0" w:oddVBand="0" w:evenVBand="0" w:oddHBand="1" w:evenHBand="0" w:firstRowFirstColumn="0" w:firstRowLastColumn="0" w:lastRowFirstColumn="0" w:lastRowLastColumn="0"/>
              <w:rPr>
                <w:rFonts w:ascii="Arial Narrow" w:hAnsi="Arial Narrow" w:cs="Arial"/>
                <w:bCs/>
                <w:sz w:val="20"/>
              </w:rPr>
            </w:pPr>
            <w:r w:rsidRPr="00944216">
              <w:rPr>
                <w:rFonts w:ascii="Arial Narrow" w:hAnsi="Arial Narrow" w:cs="Arial"/>
                <w:bCs/>
                <w:sz w:val="20"/>
              </w:rPr>
              <w:t>(617) 520-2366</w:t>
            </w:r>
          </w:p>
        </w:tc>
      </w:tr>
      <w:tr w:rsidRPr="00944216" w:rsidR="00644434" w:rsidTr="00AB02E1" w14:paraId="45A6B412" w14:textId="77777777">
        <w:tc>
          <w:tcPr>
            <w:cnfStyle w:val="001000000000" w:firstRow="0" w:lastRow="0" w:firstColumn="1" w:lastColumn="0" w:oddVBand="0" w:evenVBand="0" w:oddHBand="0" w:evenHBand="0" w:firstRowFirstColumn="0" w:firstRowLastColumn="0" w:lastRowFirstColumn="0" w:lastRowLastColumn="0"/>
            <w:tcW w:w="2875" w:type="dxa"/>
            <w:shd w:val="clear" w:color="auto" w:fill="E7E6E6" w:themeFill="background2"/>
          </w:tcPr>
          <w:p w:rsidRPr="00944216" w:rsidR="00644434" w:rsidP="009E48C6" w:rsidRDefault="00644434" w14:paraId="0552B3AD" w14:textId="7AE64366">
            <w:pPr>
              <w:pStyle w:val="ExhibitRowHeader"/>
              <w:spacing w:before="0" w:after="0" w:line="264" w:lineRule="auto"/>
              <w:jc w:val="left"/>
              <w:rPr>
                <w:rFonts w:ascii="Arial Narrow" w:hAnsi="Arial Narrow"/>
                <w:color w:val="auto"/>
              </w:rPr>
            </w:pPr>
            <w:r w:rsidRPr="00944216">
              <w:rPr>
                <w:rFonts w:ascii="Arial Narrow" w:hAnsi="Arial Narrow"/>
                <w:bCs w:val="0"/>
                <w:color w:val="auto"/>
              </w:rPr>
              <w:t>Sarah Costello</w:t>
            </w:r>
            <w:r w:rsidR="00591846">
              <w:rPr>
                <w:rFonts w:ascii="Arial Narrow" w:hAnsi="Arial Narrow"/>
                <w:bCs w:val="0"/>
                <w:color w:val="auto"/>
              </w:rPr>
              <w:t>e</w:t>
            </w:r>
          </w:p>
        </w:tc>
        <w:tc>
          <w:tcPr>
            <w:tcW w:w="4770" w:type="dxa"/>
            <w:shd w:val="clear" w:color="auto" w:fill="E7E6E6" w:themeFill="background2"/>
          </w:tcPr>
          <w:p w:rsidRPr="00944216" w:rsidR="00644434" w:rsidP="009E48C6" w:rsidRDefault="00644434" w14:paraId="50C39F15" w14:textId="42F8ADD0">
            <w:pPr>
              <w:pStyle w:val="ExhibitRow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bCs/>
                <w:color w:val="auto"/>
              </w:rPr>
            </w:pPr>
            <w:r>
              <w:rPr>
                <w:rFonts w:ascii="Arial Narrow" w:hAnsi="Arial Narrow"/>
                <w:b w:val="0"/>
                <w:color w:val="auto"/>
              </w:rPr>
              <w:t>Principal Associate, Abt Associates</w:t>
            </w:r>
          </w:p>
        </w:tc>
        <w:tc>
          <w:tcPr>
            <w:tcW w:w="1710" w:type="dxa"/>
            <w:shd w:val="clear" w:color="auto" w:fill="E7E6E6" w:themeFill="background2"/>
            <w:vAlign w:val="center"/>
          </w:tcPr>
          <w:p w:rsidRPr="00944216" w:rsidR="00644434" w:rsidP="00826480" w:rsidRDefault="00644434" w14:paraId="7BBABB0C" w14:textId="317E2284">
            <w:pPr>
              <w:spacing w:after="0"/>
              <w:cnfStyle w:val="000000000000" w:firstRow="0" w:lastRow="0" w:firstColumn="0" w:lastColumn="0" w:oddVBand="0" w:evenVBand="0" w:oddHBand="0" w:evenHBand="0" w:firstRowFirstColumn="0" w:firstRowLastColumn="0" w:lastRowFirstColumn="0" w:lastRowLastColumn="0"/>
              <w:rPr>
                <w:rFonts w:ascii="Arial Narrow" w:hAnsi="Arial Narrow" w:cs="Arial"/>
                <w:bCs/>
                <w:sz w:val="20"/>
              </w:rPr>
            </w:pPr>
            <w:r w:rsidRPr="005E7372">
              <w:rPr>
                <w:rFonts w:ascii="Arial Narrow" w:hAnsi="Arial Narrow"/>
                <w:sz w:val="20"/>
                <w:szCs w:val="18"/>
              </w:rPr>
              <w:t>(301)</w:t>
            </w:r>
            <w:r w:rsidR="00B13230">
              <w:rPr>
                <w:rFonts w:ascii="Arial Narrow" w:hAnsi="Arial Narrow"/>
                <w:sz w:val="20"/>
                <w:szCs w:val="18"/>
              </w:rPr>
              <w:t xml:space="preserve"> </w:t>
            </w:r>
            <w:r w:rsidRPr="005E7372">
              <w:rPr>
                <w:rFonts w:ascii="Arial Narrow" w:hAnsi="Arial Narrow"/>
                <w:sz w:val="20"/>
                <w:szCs w:val="18"/>
              </w:rPr>
              <w:t>968-4467</w:t>
            </w:r>
          </w:p>
        </w:tc>
      </w:tr>
      <w:tr w:rsidRPr="00944216" w:rsidR="00644434" w:rsidTr="00AB02E1" w14:paraId="27191A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auto"/>
          </w:tcPr>
          <w:p w:rsidRPr="00944216" w:rsidR="00644434" w:rsidP="009E48C6" w:rsidRDefault="00644434" w14:paraId="0AAC30A5" w14:textId="68E7EB04">
            <w:pPr>
              <w:pStyle w:val="ExhibitRowHeader"/>
              <w:spacing w:before="0" w:after="0" w:line="264" w:lineRule="auto"/>
              <w:jc w:val="left"/>
              <w:rPr>
                <w:rFonts w:ascii="Arial Narrow" w:hAnsi="Arial Narrow"/>
                <w:color w:val="auto"/>
              </w:rPr>
            </w:pPr>
            <w:r>
              <w:rPr>
                <w:rFonts w:ascii="Arial Narrow" w:hAnsi="Arial Narrow"/>
                <w:color w:val="auto"/>
              </w:rPr>
              <w:t xml:space="preserve">Cara Jackson </w:t>
            </w:r>
          </w:p>
        </w:tc>
        <w:tc>
          <w:tcPr>
            <w:tcW w:w="4770" w:type="dxa"/>
            <w:shd w:val="clear" w:color="auto" w:fill="auto"/>
          </w:tcPr>
          <w:p w:rsidRPr="00944216" w:rsidR="00644434" w:rsidP="009E48C6" w:rsidRDefault="00644434" w14:paraId="0AD2E49D" w14:textId="242FF79C">
            <w:pPr>
              <w:pStyle w:val="ExhibitRow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bCs/>
                <w:color w:val="auto"/>
              </w:rPr>
            </w:pPr>
            <w:r>
              <w:rPr>
                <w:rFonts w:ascii="Arial Narrow" w:hAnsi="Arial Narrow"/>
                <w:b w:val="0"/>
                <w:color w:val="auto"/>
              </w:rPr>
              <w:t>Senior Associate, Abt Associates</w:t>
            </w:r>
          </w:p>
        </w:tc>
        <w:tc>
          <w:tcPr>
            <w:tcW w:w="1710" w:type="dxa"/>
            <w:shd w:val="clear" w:color="auto" w:fill="auto"/>
            <w:vAlign w:val="center"/>
          </w:tcPr>
          <w:p w:rsidRPr="00944216" w:rsidR="00644434" w:rsidP="00826480" w:rsidRDefault="00644434" w14:paraId="57991720" w14:textId="5F3AD883">
            <w:pPr>
              <w:pStyle w:val="ExhibitColumn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bCs/>
              </w:rPr>
            </w:pPr>
            <w:r>
              <w:rPr>
                <w:rFonts w:ascii="Arial Narrow" w:hAnsi="Arial Narrow"/>
                <w:b w:val="0"/>
                <w:color w:val="auto"/>
              </w:rPr>
              <w:t>(</w:t>
            </w:r>
            <w:r w:rsidRPr="007B76DA">
              <w:rPr>
                <w:rFonts w:ascii="Arial Narrow" w:hAnsi="Arial Narrow"/>
                <w:b w:val="0"/>
                <w:color w:val="auto"/>
              </w:rPr>
              <w:t>301</w:t>
            </w:r>
            <w:r>
              <w:rPr>
                <w:rFonts w:ascii="Arial Narrow" w:hAnsi="Arial Narrow"/>
                <w:b w:val="0"/>
                <w:color w:val="auto"/>
              </w:rPr>
              <w:t xml:space="preserve">) </w:t>
            </w:r>
            <w:r w:rsidRPr="007B76DA">
              <w:rPr>
                <w:rFonts w:ascii="Arial Narrow" w:hAnsi="Arial Narrow"/>
                <w:b w:val="0"/>
                <w:color w:val="auto"/>
              </w:rPr>
              <w:t>347</w:t>
            </w:r>
            <w:r>
              <w:rPr>
                <w:rFonts w:ascii="Arial Narrow" w:hAnsi="Arial Narrow"/>
                <w:b w:val="0"/>
                <w:color w:val="auto"/>
              </w:rPr>
              <w:t>-</w:t>
            </w:r>
            <w:r w:rsidRPr="007B76DA">
              <w:rPr>
                <w:rFonts w:ascii="Arial Narrow" w:hAnsi="Arial Narrow"/>
                <w:b w:val="0"/>
                <w:color w:val="auto"/>
              </w:rPr>
              <w:t>5928</w:t>
            </w:r>
          </w:p>
        </w:tc>
      </w:tr>
      <w:tr w:rsidRPr="00944216" w:rsidR="00644434" w:rsidTr="00AB02E1" w14:paraId="067B1B9B" w14:textId="77777777">
        <w:tc>
          <w:tcPr>
            <w:cnfStyle w:val="001000000000" w:firstRow="0" w:lastRow="0" w:firstColumn="1" w:lastColumn="0" w:oddVBand="0" w:evenVBand="0" w:oddHBand="0" w:evenHBand="0" w:firstRowFirstColumn="0" w:firstRowLastColumn="0" w:lastRowFirstColumn="0" w:lastRowLastColumn="0"/>
            <w:tcW w:w="2875" w:type="dxa"/>
            <w:shd w:val="clear" w:color="auto" w:fill="E7E6E6" w:themeFill="background2"/>
          </w:tcPr>
          <w:p w:rsidRPr="00944216" w:rsidR="00644434" w:rsidP="009E48C6" w:rsidRDefault="00644434" w14:paraId="4E523F83" w14:textId="634DD681">
            <w:pPr>
              <w:pStyle w:val="ExhibitRowHeader"/>
              <w:spacing w:before="0" w:after="0" w:line="264" w:lineRule="auto"/>
              <w:jc w:val="left"/>
              <w:rPr>
                <w:rFonts w:ascii="Arial Narrow" w:hAnsi="Arial Narrow"/>
                <w:color w:val="auto"/>
              </w:rPr>
            </w:pPr>
            <w:r w:rsidRPr="00944216">
              <w:rPr>
                <w:rFonts w:ascii="Arial Narrow" w:hAnsi="Arial Narrow"/>
                <w:color w:val="auto"/>
              </w:rPr>
              <w:t>Kelly Lack</w:t>
            </w:r>
          </w:p>
        </w:tc>
        <w:tc>
          <w:tcPr>
            <w:tcW w:w="4770" w:type="dxa"/>
            <w:shd w:val="clear" w:color="auto" w:fill="E7E6E6" w:themeFill="background2"/>
          </w:tcPr>
          <w:p w:rsidRPr="00944216" w:rsidR="00644434" w:rsidP="009E48C6" w:rsidRDefault="00644434" w14:paraId="445B5F8E" w14:textId="0DE40DE5">
            <w:pPr>
              <w:pStyle w:val="ExhibitRow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bCs/>
                <w:color w:val="auto"/>
              </w:rPr>
            </w:pPr>
            <w:r w:rsidRPr="00944216">
              <w:rPr>
                <w:rFonts w:ascii="Arial Narrow" w:hAnsi="Arial Narrow"/>
                <w:b w:val="0"/>
                <w:bCs/>
                <w:color w:val="auto"/>
              </w:rPr>
              <w:t>Associate, Abt Associates</w:t>
            </w:r>
          </w:p>
        </w:tc>
        <w:tc>
          <w:tcPr>
            <w:tcW w:w="1710" w:type="dxa"/>
            <w:shd w:val="clear" w:color="auto" w:fill="E7E6E6" w:themeFill="background2"/>
            <w:vAlign w:val="center"/>
          </w:tcPr>
          <w:p w:rsidRPr="00944216" w:rsidR="00644434" w:rsidP="00826480" w:rsidRDefault="00644434" w14:paraId="006D91B2" w14:textId="00F5BAE6">
            <w:pPr>
              <w:pStyle w:val="ExhibitColumn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bCs/>
              </w:rPr>
            </w:pPr>
            <w:r w:rsidRPr="00944216">
              <w:rPr>
                <w:rFonts w:ascii="Arial Narrow" w:hAnsi="Arial Narrow"/>
                <w:b w:val="0"/>
                <w:bCs/>
              </w:rPr>
              <w:t>(617) 520-2749</w:t>
            </w:r>
          </w:p>
        </w:tc>
      </w:tr>
      <w:tr w:rsidRPr="00944216" w:rsidR="00B45D37" w:rsidTr="00AB02E1" w14:paraId="39AB5B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auto"/>
          </w:tcPr>
          <w:p w:rsidRPr="00944216" w:rsidR="00B45D37" w:rsidP="009E48C6" w:rsidRDefault="00B45D37" w14:paraId="42BE354F" w14:textId="5513274C">
            <w:pPr>
              <w:pStyle w:val="ExhibitRowHeader"/>
              <w:spacing w:before="0" w:after="0" w:line="264" w:lineRule="auto"/>
              <w:jc w:val="left"/>
              <w:rPr>
                <w:rFonts w:ascii="Arial Narrow" w:hAnsi="Arial Narrow"/>
                <w:color w:val="auto"/>
              </w:rPr>
            </w:pPr>
            <w:r>
              <w:rPr>
                <w:rFonts w:ascii="Arial Narrow" w:hAnsi="Arial Narrow"/>
                <w:color w:val="auto"/>
              </w:rPr>
              <w:t>Sebastian Lemire</w:t>
            </w:r>
          </w:p>
        </w:tc>
        <w:tc>
          <w:tcPr>
            <w:tcW w:w="4770" w:type="dxa"/>
            <w:shd w:val="clear" w:color="auto" w:fill="auto"/>
          </w:tcPr>
          <w:p w:rsidRPr="00944216" w:rsidR="00B45D37" w:rsidP="009E48C6" w:rsidRDefault="00B45D37" w14:paraId="1610015A" w14:textId="5AD78046">
            <w:pPr>
              <w:pStyle w:val="ExhibitRow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bCs/>
                <w:color w:val="auto"/>
              </w:rPr>
            </w:pPr>
            <w:r w:rsidRPr="007643B4">
              <w:rPr>
                <w:rFonts w:ascii="Arial Narrow" w:hAnsi="Arial Narrow"/>
                <w:b w:val="0"/>
                <w:bCs/>
                <w:color w:val="auto"/>
              </w:rPr>
              <w:t>Associate, Abt Associates</w:t>
            </w:r>
          </w:p>
        </w:tc>
        <w:tc>
          <w:tcPr>
            <w:tcW w:w="1710" w:type="dxa"/>
            <w:shd w:val="clear" w:color="auto" w:fill="auto"/>
            <w:vAlign w:val="center"/>
          </w:tcPr>
          <w:p w:rsidRPr="00B45D37" w:rsidR="00B45D37" w:rsidP="00826480" w:rsidRDefault="00B45D37" w14:paraId="7F109183" w14:textId="1860EC54">
            <w:pPr>
              <w:pStyle w:val="ExhibitColumn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rPr>
            </w:pPr>
            <w:r w:rsidRPr="00B45D37">
              <w:rPr>
                <w:rFonts w:ascii="Arial Narrow" w:hAnsi="Arial Narrow"/>
                <w:b w:val="0"/>
              </w:rPr>
              <w:t>(301) 347-5691</w:t>
            </w:r>
          </w:p>
        </w:tc>
      </w:tr>
      <w:tr w:rsidRPr="00944216" w:rsidR="00B45D37" w:rsidTr="00AB02E1" w14:paraId="065663C1" w14:textId="77777777">
        <w:tc>
          <w:tcPr>
            <w:cnfStyle w:val="001000000000" w:firstRow="0" w:lastRow="0" w:firstColumn="1" w:lastColumn="0" w:oddVBand="0" w:evenVBand="0" w:oddHBand="0" w:evenHBand="0" w:firstRowFirstColumn="0" w:firstRowLastColumn="0" w:lastRowFirstColumn="0" w:lastRowLastColumn="0"/>
            <w:tcW w:w="2875" w:type="dxa"/>
            <w:shd w:val="clear" w:color="auto" w:fill="E7E6E6" w:themeFill="background2"/>
          </w:tcPr>
          <w:p w:rsidRPr="00944216" w:rsidR="00B45D37" w:rsidP="009E48C6" w:rsidRDefault="00B45D37" w14:paraId="0C104800" w14:textId="7FF8F679">
            <w:pPr>
              <w:pStyle w:val="ExhibitRowHeader"/>
              <w:spacing w:before="0" w:after="0" w:line="264" w:lineRule="auto"/>
              <w:jc w:val="left"/>
              <w:rPr>
                <w:rFonts w:ascii="Arial Narrow" w:hAnsi="Arial Narrow"/>
                <w:color w:val="auto"/>
              </w:rPr>
            </w:pPr>
            <w:r>
              <w:rPr>
                <w:rFonts w:ascii="Arial Narrow" w:hAnsi="Arial Narrow"/>
                <w:color w:val="auto"/>
              </w:rPr>
              <w:t>Amanda Parsad</w:t>
            </w:r>
          </w:p>
        </w:tc>
        <w:tc>
          <w:tcPr>
            <w:tcW w:w="4770" w:type="dxa"/>
            <w:shd w:val="clear" w:color="auto" w:fill="E7E6E6" w:themeFill="background2"/>
          </w:tcPr>
          <w:p w:rsidRPr="00944216" w:rsidR="00B45D37" w:rsidP="009E48C6" w:rsidRDefault="00B45D37" w14:paraId="67A6CC57" w14:textId="332AB5F2">
            <w:pPr>
              <w:pStyle w:val="ExhibitRow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bCs/>
                <w:color w:val="auto"/>
              </w:rPr>
            </w:pPr>
            <w:r w:rsidRPr="00944216">
              <w:rPr>
                <w:rFonts w:ascii="Arial Narrow" w:hAnsi="Arial Narrow"/>
                <w:b w:val="0"/>
                <w:bCs/>
                <w:color w:val="auto"/>
              </w:rPr>
              <w:t>Principal Associate, Abt Associates</w:t>
            </w:r>
          </w:p>
        </w:tc>
        <w:tc>
          <w:tcPr>
            <w:tcW w:w="1710" w:type="dxa"/>
            <w:shd w:val="clear" w:color="auto" w:fill="E7E6E6" w:themeFill="background2"/>
            <w:vAlign w:val="center"/>
          </w:tcPr>
          <w:p w:rsidRPr="00B45D37" w:rsidR="00B45D37" w:rsidP="00826480" w:rsidRDefault="00B45D37" w14:paraId="04FA031F" w14:textId="5F4DDA3E">
            <w:pPr>
              <w:pStyle w:val="ExhibitColumn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rPr>
            </w:pPr>
            <w:r w:rsidRPr="00B45D37">
              <w:rPr>
                <w:rFonts w:ascii="Arial Narrow" w:hAnsi="Arial Narrow"/>
                <w:b w:val="0"/>
              </w:rPr>
              <w:t>(301) 634-1791</w:t>
            </w:r>
          </w:p>
        </w:tc>
      </w:tr>
      <w:tr w:rsidRPr="00944216" w:rsidR="00B45D37" w:rsidTr="00AB02E1" w14:paraId="460BE0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auto"/>
          </w:tcPr>
          <w:p w:rsidRPr="00944216" w:rsidR="00B45D37" w:rsidP="009E48C6" w:rsidRDefault="00B45D37" w14:paraId="53F3EA2E" w14:textId="687750B9">
            <w:pPr>
              <w:pStyle w:val="ExhibitRowHeader"/>
              <w:spacing w:before="0" w:after="0" w:line="264" w:lineRule="auto"/>
              <w:jc w:val="left"/>
              <w:rPr>
                <w:rFonts w:ascii="Arial Narrow" w:hAnsi="Arial Narrow"/>
                <w:color w:val="auto"/>
              </w:rPr>
            </w:pPr>
            <w:r w:rsidRPr="00944216">
              <w:rPr>
                <w:rFonts w:ascii="Arial Narrow" w:hAnsi="Arial Narrow"/>
                <w:color w:val="auto"/>
              </w:rPr>
              <w:t>Allan Porowski</w:t>
            </w:r>
          </w:p>
        </w:tc>
        <w:tc>
          <w:tcPr>
            <w:tcW w:w="4770" w:type="dxa"/>
            <w:shd w:val="clear" w:color="auto" w:fill="auto"/>
          </w:tcPr>
          <w:p w:rsidRPr="00944216" w:rsidR="00B45D37" w:rsidP="009E48C6" w:rsidRDefault="00B45D37" w14:paraId="4F6BCBCA" w14:textId="77777777">
            <w:pPr>
              <w:pStyle w:val="ExhibitRow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bCs/>
                <w:color w:val="auto"/>
              </w:rPr>
            </w:pPr>
            <w:r w:rsidRPr="00944216">
              <w:rPr>
                <w:rFonts w:ascii="Arial Narrow" w:hAnsi="Arial Narrow"/>
                <w:b w:val="0"/>
                <w:bCs/>
                <w:color w:val="auto"/>
              </w:rPr>
              <w:t>Principal Associate, Abt Associates</w:t>
            </w:r>
          </w:p>
        </w:tc>
        <w:tc>
          <w:tcPr>
            <w:tcW w:w="1710" w:type="dxa"/>
            <w:shd w:val="clear" w:color="auto" w:fill="auto"/>
            <w:vAlign w:val="center"/>
          </w:tcPr>
          <w:p w:rsidRPr="00B45D37" w:rsidR="00B45D37" w:rsidP="00826480" w:rsidRDefault="00B45D37" w14:paraId="7575DF7E" w14:textId="5D8D8B65">
            <w:pPr>
              <w:pStyle w:val="ExhibitColumn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rPr>
            </w:pPr>
            <w:r w:rsidRPr="00B45D37">
              <w:rPr>
                <w:rFonts w:ascii="Arial Narrow" w:hAnsi="Arial Narrow"/>
                <w:b w:val="0"/>
              </w:rPr>
              <w:t>(</w:t>
            </w:r>
            <w:r w:rsidR="00591846">
              <w:rPr>
                <w:rFonts w:ascii="Arial Narrow" w:hAnsi="Arial Narrow"/>
                <w:b w:val="0"/>
              </w:rPr>
              <w:t>703</w:t>
            </w:r>
            <w:r w:rsidRPr="00B45D37">
              <w:rPr>
                <w:rFonts w:ascii="Arial Narrow" w:hAnsi="Arial Narrow"/>
                <w:b w:val="0"/>
              </w:rPr>
              <w:t xml:space="preserve">) </w:t>
            </w:r>
            <w:r w:rsidR="00591846">
              <w:rPr>
                <w:rFonts w:ascii="Arial Narrow" w:hAnsi="Arial Narrow"/>
                <w:b w:val="0"/>
              </w:rPr>
              <w:t>314-3827</w:t>
            </w:r>
          </w:p>
        </w:tc>
      </w:tr>
      <w:tr w:rsidRPr="00944216" w:rsidR="00B45D37" w:rsidTr="00AB02E1" w14:paraId="1A1FAE9C" w14:textId="77777777">
        <w:tc>
          <w:tcPr>
            <w:cnfStyle w:val="001000000000" w:firstRow="0" w:lastRow="0" w:firstColumn="1" w:lastColumn="0" w:oddVBand="0" w:evenVBand="0" w:oddHBand="0" w:evenHBand="0" w:firstRowFirstColumn="0" w:firstRowLastColumn="0" w:lastRowFirstColumn="0" w:lastRowLastColumn="0"/>
            <w:tcW w:w="2875" w:type="dxa"/>
            <w:shd w:val="clear" w:color="auto" w:fill="E7E6E6" w:themeFill="background2"/>
          </w:tcPr>
          <w:p w:rsidRPr="00944216" w:rsidR="00B45D37" w:rsidP="009E48C6" w:rsidRDefault="00B45D37" w14:paraId="7B4A5DCC" w14:textId="0119CD19">
            <w:pPr>
              <w:pStyle w:val="ExhibitRowHeader"/>
              <w:spacing w:before="0" w:after="0" w:line="264" w:lineRule="auto"/>
              <w:jc w:val="left"/>
              <w:rPr>
                <w:rFonts w:ascii="Arial Narrow" w:hAnsi="Arial Narrow"/>
                <w:color w:val="auto"/>
              </w:rPr>
            </w:pPr>
            <w:r>
              <w:rPr>
                <w:rFonts w:ascii="Arial Narrow" w:hAnsi="Arial Narrow"/>
                <w:color w:val="auto"/>
              </w:rPr>
              <w:t>Cristofer Price</w:t>
            </w:r>
          </w:p>
        </w:tc>
        <w:tc>
          <w:tcPr>
            <w:tcW w:w="4770" w:type="dxa"/>
            <w:shd w:val="clear" w:color="auto" w:fill="E7E6E6" w:themeFill="background2"/>
          </w:tcPr>
          <w:p w:rsidRPr="00944216" w:rsidR="00B45D37" w:rsidP="009E48C6" w:rsidRDefault="00B45D37" w14:paraId="6EFD638D" w14:textId="55DDF3A6">
            <w:pPr>
              <w:pStyle w:val="ExhibitRow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bCs/>
                <w:color w:val="auto"/>
              </w:rPr>
            </w:pPr>
            <w:r w:rsidRPr="007643B4">
              <w:rPr>
                <w:rFonts w:ascii="Arial Narrow" w:hAnsi="Arial Narrow"/>
                <w:b w:val="0"/>
                <w:bCs/>
                <w:color w:val="auto"/>
              </w:rPr>
              <w:t>Principal Associate, Abt Associates</w:t>
            </w:r>
          </w:p>
        </w:tc>
        <w:tc>
          <w:tcPr>
            <w:tcW w:w="1710" w:type="dxa"/>
            <w:shd w:val="clear" w:color="auto" w:fill="E7E6E6" w:themeFill="background2"/>
            <w:vAlign w:val="center"/>
          </w:tcPr>
          <w:p w:rsidRPr="00B45D37" w:rsidR="00B45D37" w:rsidP="00826480" w:rsidRDefault="00B45D37" w14:paraId="09E10F96" w14:textId="3ED910A8">
            <w:pPr>
              <w:pStyle w:val="ExhibitColumn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rPr>
            </w:pPr>
            <w:r w:rsidRPr="00B45D37">
              <w:rPr>
                <w:rFonts w:ascii="Arial Narrow" w:hAnsi="Arial Narrow"/>
                <w:b w:val="0"/>
              </w:rPr>
              <w:t>(301) 634-1852</w:t>
            </w:r>
          </w:p>
        </w:tc>
      </w:tr>
      <w:tr w:rsidRPr="00944216" w:rsidR="00B45D37" w:rsidTr="00AB02E1" w14:paraId="725CA1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shd w:val="clear" w:color="auto" w:fill="auto"/>
          </w:tcPr>
          <w:p w:rsidRPr="00944216" w:rsidR="00B45D37" w:rsidP="009E48C6" w:rsidRDefault="00B45D37" w14:paraId="071E6EA0" w14:textId="58AE8443">
            <w:pPr>
              <w:pStyle w:val="ExhibitRowHeader"/>
              <w:spacing w:before="0" w:after="0" w:line="264" w:lineRule="auto"/>
              <w:jc w:val="left"/>
              <w:rPr>
                <w:rFonts w:ascii="Arial Narrow" w:hAnsi="Arial Narrow"/>
                <w:color w:val="auto"/>
              </w:rPr>
            </w:pPr>
            <w:r w:rsidRPr="00944216">
              <w:rPr>
                <w:rFonts w:ascii="Arial Narrow" w:hAnsi="Arial Narrow"/>
                <w:bCs w:val="0"/>
                <w:color w:val="auto"/>
              </w:rPr>
              <w:t>Radha Roy</w:t>
            </w:r>
          </w:p>
        </w:tc>
        <w:tc>
          <w:tcPr>
            <w:tcW w:w="4770" w:type="dxa"/>
            <w:shd w:val="clear" w:color="auto" w:fill="auto"/>
          </w:tcPr>
          <w:p w:rsidRPr="00944216" w:rsidR="00B45D37" w:rsidP="009E48C6" w:rsidRDefault="00B45D37" w14:paraId="3586B3B6" w14:textId="3A14E538">
            <w:pPr>
              <w:pStyle w:val="ExhibitRow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bCs/>
                <w:color w:val="auto"/>
              </w:rPr>
            </w:pPr>
            <w:r>
              <w:rPr>
                <w:rFonts w:ascii="Arial Narrow" w:hAnsi="Arial Narrow"/>
                <w:b w:val="0"/>
                <w:color w:val="auto"/>
              </w:rPr>
              <w:t>Senior</w:t>
            </w:r>
            <w:r w:rsidRPr="00E71B24">
              <w:rPr>
                <w:rFonts w:ascii="Arial Narrow" w:hAnsi="Arial Narrow"/>
                <w:b w:val="0"/>
                <w:color w:val="auto"/>
              </w:rPr>
              <w:t xml:space="preserve"> Associate, Abt Associates</w:t>
            </w:r>
          </w:p>
        </w:tc>
        <w:tc>
          <w:tcPr>
            <w:tcW w:w="1710" w:type="dxa"/>
            <w:shd w:val="clear" w:color="auto" w:fill="auto"/>
            <w:vAlign w:val="center"/>
          </w:tcPr>
          <w:p w:rsidRPr="00B45D37" w:rsidR="00B45D37" w:rsidP="00826480" w:rsidRDefault="00B45D37" w14:paraId="0BA920D1" w14:textId="4EAA57E1">
            <w:pPr>
              <w:pStyle w:val="ExhibitColumn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rPr>
            </w:pPr>
            <w:r w:rsidRPr="00B45D37">
              <w:rPr>
                <w:rFonts w:ascii="Arial Narrow" w:hAnsi="Arial Narrow"/>
                <w:b w:val="0"/>
              </w:rPr>
              <w:t>(301) 347-5722</w:t>
            </w:r>
          </w:p>
        </w:tc>
      </w:tr>
      <w:tr w:rsidRPr="00944216" w:rsidR="00B45D37" w:rsidTr="00AB02E1" w14:paraId="22D7C3CD" w14:textId="77777777">
        <w:tc>
          <w:tcPr>
            <w:cnfStyle w:val="001000000000" w:firstRow="0" w:lastRow="0" w:firstColumn="1" w:lastColumn="0" w:oddVBand="0" w:evenVBand="0" w:oddHBand="0" w:evenHBand="0" w:firstRowFirstColumn="0" w:firstRowLastColumn="0" w:lastRowFirstColumn="0" w:lastRowLastColumn="0"/>
            <w:tcW w:w="2875" w:type="dxa"/>
            <w:shd w:val="clear" w:color="auto" w:fill="E7E6E6" w:themeFill="background2"/>
          </w:tcPr>
          <w:p w:rsidRPr="00944216" w:rsidR="00B45D37" w:rsidP="009E48C6" w:rsidRDefault="00B45D37" w14:paraId="779BADBB" w14:textId="48D7674A">
            <w:pPr>
              <w:pStyle w:val="ExhibitRowHeader"/>
              <w:spacing w:before="0" w:after="0" w:line="264" w:lineRule="auto"/>
              <w:jc w:val="left"/>
              <w:rPr>
                <w:rFonts w:ascii="Arial Narrow" w:hAnsi="Arial Narrow"/>
                <w:color w:val="auto"/>
              </w:rPr>
            </w:pPr>
            <w:r>
              <w:rPr>
                <w:rFonts w:ascii="Arial Narrow" w:hAnsi="Arial Narrow"/>
                <w:color w:val="auto"/>
              </w:rPr>
              <w:t xml:space="preserve">Christopher Weiss </w:t>
            </w:r>
          </w:p>
        </w:tc>
        <w:tc>
          <w:tcPr>
            <w:tcW w:w="4770" w:type="dxa"/>
            <w:shd w:val="clear" w:color="auto" w:fill="E7E6E6" w:themeFill="background2"/>
          </w:tcPr>
          <w:p w:rsidR="00B45D37" w:rsidP="009E48C6" w:rsidRDefault="00B45D37" w14:paraId="2A64CC55" w14:textId="0AA26684">
            <w:pPr>
              <w:pStyle w:val="ExhibitRow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color w:val="auto"/>
              </w:rPr>
            </w:pPr>
            <w:r w:rsidRPr="007643B4">
              <w:rPr>
                <w:rFonts w:ascii="Arial Narrow" w:hAnsi="Arial Narrow"/>
                <w:b w:val="0"/>
                <w:bCs/>
                <w:color w:val="auto"/>
              </w:rPr>
              <w:t>Principal Associate, Abt Associates</w:t>
            </w:r>
          </w:p>
        </w:tc>
        <w:tc>
          <w:tcPr>
            <w:tcW w:w="1710" w:type="dxa"/>
            <w:shd w:val="clear" w:color="auto" w:fill="E7E6E6" w:themeFill="background2"/>
            <w:vAlign w:val="center"/>
          </w:tcPr>
          <w:p w:rsidRPr="00B45D37" w:rsidR="00B45D37" w:rsidP="00826480" w:rsidRDefault="00B45D37" w14:paraId="77FF93D8" w14:textId="13438742">
            <w:pPr>
              <w:pStyle w:val="ExhibitColumn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rPr>
            </w:pPr>
            <w:r w:rsidRPr="00B45D37">
              <w:rPr>
                <w:rFonts w:ascii="Arial Narrow" w:hAnsi="Arial Narrow"/>
                <w:b w:val="0"/>
              </w:rPr>
              <w:t>(617) 714-0929</w:t>
            </w:r>
          </w:p>
        </w:tc>
      </w:tr>
    </w:tbl>
    <w:p w:rsidRPr="0034497C" w:rsidR="00E71B24" w:rsidP="00826523" w:rsidRDefault="00E71B24" w14:paraId="50A424D8" w14:textId="77777777">
      <w:pPr>
        <w:pStyle w:val="BodyText"/>
      </w:pPr>
    </w:p>
    <w:p w:rsidRPr="0034497C" w:rsidR="00E71B24" w:rsidP="00826523" w:rsidRDefault="00E71B24" w14:paraId="44264E08" w14:textId="77777777">
      <w:pPr>
        <w:pStyle w:val="BodyText"/>
      </w:pPr>
      <w:r w:rsidRPr="0034497C">
        <w:t>The following individuals will be responsible for the data collection and analysis:</w:t>
      </w:r>
    </w:p>
    <w:tbl>
      <w:tblPr>
        <w:tblStyle w:val="GridTable4-Accent5"/>
        <w:tblW w:w="9355" w:type="dxa"/>
        <w:tblBorders>
          <w:top w:val="single" w:color="0D0D0D" w:themeColor="text1" w:themeTint="F2" w:sz="4" w:space="0"/>
          <w:left w:val="single" w:color="0D0D0D" w:themeColor="text1" w:themeTint="F2" w:sz="4" w:space="0"/>
          <w:bottom w:val="single" w:color="0D0D0D" w:themeColor="text1" w:themeTint="F2" w:sz="4" w:space="0"/>
          <w:right w:val="single" w:color="0D0D0D" w:themeColor="text1" w:themeTint="F2" w:sz="4" w:space="0"/>
          <w:insideH w:val="single" w:color="0D0D0D" w:themeColor="text1" w:themeTint="F2" w:sz="4" w:space="0"/>
          <w:insideV w:val="single" w:color="0D0D0D" w:themeColor="text1" w:themeTint="F2" w:sz="4" w:space="0"/>
        </w:tblBorders>
        <w:tblLook w:val="04A0" w:firstRow="1" w:lastRow="0" w:firstColumn="1" w:lastColumn="0" w:noHBand="0" w:noVBand="1"/>
      </w:tblPr>
      <w:tblGrid>
        <w:gridCol w:w="2965"/>
        <w:gridCol w:w="4770"/>
        <w:gridCol w:w="1620"/>
      </w:tblGrid>
      <w:tr w:rsidRPr="0034497C" w:rsidR="00E71B24" w:rsidTr="00826480" w14:paraId="5E1FBDA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Borders>
              <w:top w:val="none" w:color="auto" w:sz="0" w:space="0"/>
              <w:left w:val="none" w:color="auto" w:sz="0" w:space="0"/>
              <w:bottom w:val="none" w:color="auto" w:sz="0" w:space="0"/>
              <w:right w:val="none" w:color="auto" w:sz="0" w:space="0"/>
            </w:tcBorders>
            <w:shd w:val="clear" w:color="auto" w:fill="4F81BD"/>
            <w:vAlign w:val="center"/>
          </w:tcPr>
          <w:p w:rsidRPr="00944216" w:rsidR="00E71B24" w:rsidP="00C00028" w:rsidRDefault="00E71B24" w14:paraId="0C8C6166" w14:textId="77777777">
            <w:pPr>
              <w:pStyle w:val="ExhibitRowHeader"/>
              <w:spacing w:before="0" w:after="0" w:line="264" w:lineRule="auto"/>
              <w:rPr>
                <w:rFonts w:ascii="Arial Narrow" w:hAnsi="Arial Narrow"/>
                <w:b/>
                <w:bCs w:val="0"/>
                <w:color w:val="FFFFFF" w:themeColor="background1"/>
              </w:rPr>
            </w:pPr>
            <w:r w:rsidRPr="00944216">
              <w:rPr>
                <w:rFonts w:ascii="Arial Narrow" w:hAnsi="Arial Narrow"/>
                <w:b/>
                <w:bCs w:val="0"/>
                <w:color w:val="FFFFFF" w:themeColor="background1"/>
              </w:rPr>
              <w:t>Name</w:t>
            </w:r>
          </w:p>
        </w:tc>
        <w:tc>
          <w:tcPr>
            <w:tcW w:w="4770" w:type="dxa"/>
            <w:tcBorders>
              <w:top w:val="none" w:color="auto" w:sz="0" w:space="0"/>
              <w:left w:val="none" w:color="auto" w:sz="0" w:space="0"/>
              <w:bottom w:val="none" w:color="auto" w:sz="0" w:space="0"/>
              <w:right w:val="none" w:color="auto" w:sz="0" w:space="0"/>
            </w:tcBorders>
            <w:shd w:val="clear" w:color="auto" w:fill="4F81BD"/>
            <w:vAlign w:val="center"/>
          </w:tcPr>
          <w:p w:rsidRPr="00577315" w:rsidR="00E71B24" w:rsidP="00C00028" w:rsidRDefault="00E71B24" w14:paraId="00814D64" w14:textId="77777777">
            <w:pPr>
              <w:pStyle w:val="ExhibitRowHeader"/>
              <w:spacing w:before="0" w:after="0" w:line="264" w:lineRule="auto"/>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rPr>
            </w:pPr>
            <w:r w:rsidRPr="00577315">
              <w:rPr>
                <w:rFonts w:ascii="Arial Narrow" w:hAnsi="Arial Narrow"/>
                <w:color w:val="FFFFFF" w:themeColor="background1"/>
              </w:rPr>
              <w:t>Title/Affiliation</w:t>
            </w:r>
          </w:p>
        </w:tc>
        <w:tc>
          <w:tcPr>
            <w:tcW w:w="1620" w:type="dxa"/>
            <w:tcBorders>
              <w:top w:val="none" w:color="auto" w:sz="0" w:space="0"/>
              <w:left w:val="none" w:color="auto" w:sz="0" w:space="0"/>
              <w:bottom w:val="none" w:color="auto" w:sz="0" w:space="0"/>
              <w:right w:val="none" w:color="auto" w:sz="0" w:space="0"/>
            </w:tcBorders>
            <w:shd w:val="clear" w:color="auto" w:fill="4F81BD"/>
            <w:vAlign w:val="center"/>
          </w:tcPr>
          <w:p w:rsidRPr="00577315" w:rsidR="00E71B24" w:rsidP="00C00028" w:rsidRDefault="00E71B24" w14:paraId="7B82A5CE" w14:textId="77777777">
            <w:pPr>
              <w:pStyle w:val="ExhibitColumnHeader"/>
              <w:spacing w:before="0" w:after="0" w:line="264" w:lineRule="auto"/>
              <w:cnfStyle w:val="100000000000" w:firstRow="1" w:lastRow="0" w:firstColumn="0" w:lastColumn="0" w:oddVBand="0" w:evenVBand="0" w:oddHBand="0" w:evenHBand="0" w:firstRowFirstColumn="0" w:firstRowLastColumn="0" w:lastRowFirstColumn="0" w:lastRowLastColumn="0"/>
              <w:rPr>
                <w:rFonts w:ascii="Arial Narrow" w:hAnsi="Arial Narrow"/>
                <w:color w:val="FFFFFF" w:themeColor="background1"/>
              </w:rPr>
            </w:pPr>
            <w:r w:rsidRPr="00577315">
              <w:rPr>
                <w:rFonts w:ascii="Arial Narrow" w:hAnsi="Arial Narrow"/>
                <w:color w:val="FFFFFF" w:themeColor="background1"/>
              </w:rPr>
              <w:t>Telephone</w:t>
            </w:r>
          </w:p>
        </w:tc>
      </w:tr>
      <w:tr w:rsidRPr="00C875F3" w:rsidR="007B76DA" w:rsidTr="00092010" w14:paraId="5D6080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shd w:val="clear" w:color="auto" w:fill="auto"/>
          </w:tcPr>
          <w:p w:rsidRPr="00944216" w:rsidR="007B76DA" w:rsidP="009E48C6" w:rsidRDefault="007B76DA" w14:paraId="56349D50" w14:textId="77777777">
            <w:pPr>
              <w:pStyle w:val="ExhibitRowHeader"/>
              <w:spacing w:before="0" w:after="0" w:line="264" w:lineRule="auto"/>
              <w:jc w:val="left"/>
              <w:rPr>
                <w:rFonts w:ascii="Arial Narrow" w:hAnsi="Arial Narrow"/>
                <w:color w:val="auto"/>
              </w:rPr>
            </w:pPr>
            <w:r>
              <w:rPr>
                <w:rFonts w:ascii="Arial Narrow" w:hAnsi="Arial Narrow"/>
                <w:color w:val="auto"/>
              </w:rPr>
              <w:t xml:space="preserve">Cara Jackson </w:t>
            </w:r>
          </w:p>
        </w:tc>
        <w:tc>
          <w:tcPr>
            <w:tcW w:w="4770" w:type="dxa"/>
            <w:shd w:val="clear" w:color="auto" w:fill="auto"/>
          </w:tcPr>
          <w:p w:rsidRPr="00C875F3" w:rsidR="007B76DA" w:rsidP="009E48C6" w:rsidRDefault="007B76DA" w14:paraId="3B83E572" w14:textId="77777777">
            <w:pPr>
              <w:pStyle w:val="ExhibitRow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color w:val="auto"/>
              </w:rPr>
            </w:pPr>
            <w:r>
              <w:rPr>
                <w:rFonts w:ascii="Arial Narrow" w:hAnsi="Arial Narrow"/>
                <w:b w:val="0"/>
                <w:color w:val="auto"/>
              </w:rPr>
              <w:t>Senior Associate, Abt Associates</w:t>
            </w:r>
          </w:p>
        </w:tc>
        <w:tc>
          <w:tcPr>
            <w:tcW w:w="1620" w:type="dxa"/>
            <w:shd w:val="clear" w:color="auto" w:fill="auto"/>
            <w:vAlign w:val="center"/>
          </w:tcPr>
          <w:p w:rsidRPr="00826480" w:rsidR="007B76DA" w:rsidP="00826480" w:rsidRDefault="007B76DA" w14:paraId="4E062905" w14:textId="77777777">
            <w:pPr>
              <w:pStyle w:val="ExhibitColumnHeader"/>
              <w:spacing w:before="0" w:after="0" w:line="264" w:lineRule="auto"/>
              <w:jc w:val="left"/>
              <w:cnfStyle w:val="000000100000" w:firstRow="0" w:lastRow="0" w:firstColumn="0" w:lastColumn="0" w:oddVBand="0" w:evenVBand="0" w:oddHBand="1" w:evenHBand="0" w:firstRowFirstColumn="0" w:firstRowLastColumn="0" w:lastRowFirstColumn="0" w:lastRowLastColumn="0"/>
              <w:rPr>
                <w:rFonts w:ascii="Arial Narrow" w:hAnsi="Arial Narrow"/>
                <w:b w:val="0"/>
                <w:bCs/>
              </w:rPr>
            </w:pPr>
            <w:r w:rsidRPr="00826480">
              <w:rPr>
                <w:rFonts w:ascii="Arial Narrow" w:hAnsi="Arial Narrow"/>
                <w:b w:val="0"/>
                <w:bCs/>
              </w:rPr>
              <w:t>(301) 347-5928</w:t>
            </w:r>
          </w:p>
        </w:tc>
      </w:tr>
      <w:tr w:rsidRPr="0034497C" w:rsidR="00E71B24" w:rsidTr="00092010" w14:paraId="6624A6F3" w14:textId="77777777">
        <w:tc>
          <w:tcPr>
            <w:cnfStyle w:val="001000000000" w:firstRow="0" w:lastRow="0" w:firstColumn="1" w:lastColumn="0" w:oddVBand="0" w:evenVBand="0" w:oddHBand="0" w:evenHBand="0" w:firstRowFirstColumn="0" w:firstRowLastColumn="0" w:lastRowFirstColumn="0" w:lastRowLastColumn="0"/>
            <w:tcW w:w="2965" w:type="dxa"/>
            <w:shd w:val="clear" w:color="auto" w:fill="E7E6E6" w:themeFill="background2"/>
          </w:tcPr>
          <w:p w:rsidRPr="00944216" w:rsidR="00E71B24" w:rsidP="009E48C6" w:rsidRDefault="00E71B24" w14:paraId="321FCC56" w14:textId="54EF7925">
            <w:pPr>
              <w:pStyle w:val="ExhibitRowHeader"/>
              <w:spacing w:before="0" w:after="0" w:line="264" w:lineRule="auto"/>
              <w:jc w:val="left"/>
              <w:rPr>
                <w:rFonts w:ascii="Arial Narrow" w:hAnsi="Arial Narrow"/>
                <w:bCs w:val="0"/>
                <w:color w:val="auto"/>
              </w:rPr>
            </w:pPr>
            <w:r w:rsidRPr="00944216">
              <w:rPr>
                <w:rFonts w:ascii="Arial Narrow" w:hAnsi="Arial Narrow"/>
                <w:bCs w:val="0"/>
                <w:color w:val="auto"/>
              </w:rPr>
              <w:t>Allan Porowski</w:t>
            </w:r>
          </w:p>
        </w:tc>
        <w:tc>
          <w:tcPr>
            <w:tcW w:w="4770" w:type="dxa"/>
            <w:shd w:val="clear" w:color="auto" w:fill="E7E6E6" w:themeFill="background2"/>
          </w:tcPr>
          <w:p w:rsidRPr="00E71B24" w:rsidR="00E71B24" w:rsidP="009E48C6" w:rsidRDefault="00E71B24" w14:paraId="08EED124" w14:textId="7166D392">
            <w:pPr>
              <w:pStyle w:val="ExhibitRow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color w:val="auto"/>
              </w:rPr>
            </w:pPr>
            <w:r w:rsidRPr="00E71B24">
              <w:rPr>
                <w:rFonts w:ascii="Arial Narrow" w:hAnsi="Arial Narrow"/>
                <w:b w:val="0"/>
                <w:color w:val="auto"/>
              </w:rPr>
              <w:t>Principal Associate, Abt Associates</w:t>
            </w:r>
          </w:p>
        </w:tc>
        <w:tc>
          <w:tcPr>
            <w:tcW w:w="1620" w:type="dxa"/>
            <w:shd w:val="clear" w:color="auto" w:fill="E7E6E6" w:themeFill="background2"/>
            <w:vAlign w:val="center"/>
          </w:tcPr>
          <w:p w:rsidRPr="00826480" w:rsidR="00E71B24" w:rsidP="00826480" w:rsidRDefault="00E71B24" w14:paraId="4CDA1A02" w14:textId="61117E6F">
            <w:pPr>
              <w:pStyle w:val="ExhibitColumnHeader"/>
              <w:spacing w:before="0" w:after="0" w:line="264" w:lineRule="auto"/>
              <w:jc w:val="left"/>
              <w:cnfStyle w:val="000000000000" w:firstRow="0" w:lastRow="0" w:firstColumn="0" w:lastColumn="0" w:oddVBand="0" w:evenVBand="0" w:oddHBand="0" w:evenHBand="0" w:firstRowFirstColumn="0" w:firstRowLastColumn="0" w:lastRowFirstColumn="0" w:lastRowLastColumn="0"/>
              <w:rPr>
                <w:rFonts w:ascii="Arial Narrow" w:hAnsi="Arial Narrow"/>
                <w:b w:val="0"/>
                <w:bCs/>
              </w:rPr>
            </w:pPr>
            <w:r w:rsidRPr="00826480">
              <w:rPr>
                <w:rFonts w:ascii="Arial Narrow" w:hAnsi="Arial Narrow"/>
                <w:b w:val="0"/>
                <w:bCs/>
              </w:rPr>
              <w:t>(</w:t>
            </w:r>
            <w:r w:rsidRPr="00826480" w:rsidR="00591846">
              <w:rPr>
                <w:rFonts w:ascii="Arial Narrow" w:hAnsi="Arial Narrow"/>
                <w:b w:val="0"/>
                <w:bCs/>
              </w:rPr>
              <w:t>703</w:t>
            </w:r>
            <w:r w:rsidRPr="00826480">
              <w:rPr>
                <w:rFonts w:ascii="Arial Narrow" w:hAnsi="Arial Narrow"/>
                <w:b w:val="0"/>
                <w:bCs/>
              </w:rPr>
              <w:t xml:space="preserve">) </w:t>
            </w:r>
            <w:r w:rsidRPr="00826480" w:rsidR="00591846">
              <w:rPr>
                <w:rFonts w:ascii="Arial Narrow" w:hAnsi="Arial Narrow"/>
                <w:b w:val="0"/>
                <w:bCs/>
              </w:rPr>
              <w:t>314-3827</w:t>
            </w:r>
          </w:p>
        </w:tc>
      </w:tr>
    </w:tbl>
    <w:p w:rsidR="00826480" w:rsidP="00826523" w:rsidRDefault="00826480" w14:paraId="33E1C006" w14:textId="77777777">
      <w:pPr>
        <w:pStyle w:val="BodyText"/>
        <w:sectPr w:rsidR="00826480" w:rsidSect="00C00028">
          <w:headerReference w:type="default" r:id="rId17"/>
          <w:footerReference w:type="default" r:id="rId18"/>
          <w:pgSz w:w="12240" w:h="15840"/>
          <w:pgMar w:top="1440" w:right="1440" w:bottom="1440" w:left="1440" w:header="720" w:footer="720" w:gutter="0"/>
          <w:pgNumType w:start="1"/>
          <w:cols w:space="720"/>
          <w:docGrid w:linePitch="360"/>
        </w:sectPr>
      </w:pPr>
    </w:p>
    <w:p w:rsidR="004E19B2" w:rsidP="004E19B2" w:rsidRDefault="004E19B2" w14:paraId="7FBA5DA8" w14:textId="545B2505">
      <w:pPr>
        <w:pStyle w:val="Heading2"/>
        <w:numPr>
          <w:ilvl w:val="0"/>
          <w:numId w:val="0"/>
        </w:numPr>
      </w:pPr>
      <w:bookmarkStart w:name="_Toc79423688" w:id="21"/>
      <w:r w:rsidRPr="0034497C">
        <w:lastRenderedPageBreak/>
        <w:t>References</w:t>
      </w:r>
      <w:bookmarkEnd w:id="21"/>
    </w:p>
    <w:p w:rsidRPr="002259AD" w:rsidR="00531F89" w:rsidP="009E48C6" w:rsidRDefault="00531F89" w14:paraId="2B27FC66" w14:textId="64D99AB9">
      <w:pPr>
        <w:pStyle w:val="References"/>
        <w:rPr>
          <w:szCs w:val="22"/>
        </w:rPr>
      </w:pPr>
      <w:r w:rsidRPr="002259AD">
        <w:rPr>
          <w:szCs w:val="22"/>
        </w:rPr>
        <w:t>Applications for New Awards; Comprehensive Centers Program. 84 F</w:t>
      </w:r>
      <w:r w:rsidRPr="002259AD" w:rsidR="007C7A94">
        <w:rPr>
          <w:szCs w:val="22"/>
        </w:rPr>
        <w:t xml:space="preserve">ed. </w:t>
      </w:r>
      <w:r w:rsidRPr="002259AD">
        <w:rPr>
          <w:szCs w:val="22"/>
        </w:rPr>
        <w:t>R</w:t>
      </w:r>
      <w:r w:rsidRPr="002259AD" w:rsidR="007C7A94">
        <w:rPr>
          <w:szCs w:val="22"/>
        </w:rPr>
        <w:t>eg.</w:t>
      </w:r>
      <w:r w:rsidRPr="002259AD">
        <w:rPr>
          <w:szCs w:val="22"/>
        </w:rPr>
        <w:t xml:space="preserve"> 13270</w:t>
      </w:r>
      <w:r w:rsidRPr="002259AD" w:rsidR="007C7A94">
        <w:rPr>
          <w:szCs w:val="22"/>
        </w:rPr>
        <w:t xml:space="preserve"> (April 4, 2019), pp</w:t>
      </w:r>
      <w:r w:rsidRPr="002259AD">
        <w:rPr>
          <w:szCs w:val="22"/>
        </w:rPr>
        <w:t xml:space="preserve">.13270-13280. </w:t>
      </w:r>
      <w:r w:rsidRPr="002259AD" w:rsidR="007C7A94">
        <w:rPr>
          <w:szCs w:val="22"/>
        </w:rPr>
        <w:t>Retrieved from</w:t>
      </w:r>
      <w:r w:rsidRPr="002259AD">
        <w:rPr>
          <w:szCs w:val="22"/>
        </w:rPr>
        <w:t xml:space="preserve"> </w:t>
      </w:r>
      <w:hyperlink w:history="1" r:id="rId19">
        <w:r w:rsidRPr="002259AD" w:rsidR="00591846">
          <w:rPr>
            <w:rStyle w:val="Hyperlink"/>
            <w:szCs w:val="22"/>
          </w:rPr>
          <w:t>https://www.federalregister.gov/documents/2019/04/04/2019-06582/applications-for-new-awards-comprehensive-centers-program</w:t>
        </w:r>
      </w:hyperlink>
      <w:r w:rsidRPr="002259AD" w:rsidR="00591846">
        <w:rPr>
          <w:szCs w:val="22"/>
        </w:rPr>
        <w:t xml:space="preserve"> </w:t>
      </w:r>
    </w:p>
    <w:p w:rsidRPr="002259AD" w:rsidR="00B45D37" w:rsidP="009E48C6" w:rsidRDefault="00B45D37" w14:paraId="01732833" w14:textId="3B71906E">
      <w:pPr>
        <w:pStyle w:val="References"/>
        <w:rPr>
          <w:szCs w:val="22"/>
        </w:rPr>
      </w:pPr>
      <w:r w:rsidRPr="002259AD">
        <w:rPr>
          <w:szCs w:val="22"/>
        </w:rPr>
        <w:t xml:space="preserve">Fan, W., &amp; Yan, Z. (2010). Factors affecting response rates of the web survey: A systematic review. </w:t>
      </w:r>
      <w:r w:rsidRPr="002259AD">
        <w:rPr>
          <w:i/>
          <w:iCs/>
          <w:szCs w:val="22"/>
        </w:rPr>
        <w:t xml:space="preserve">Computers in </w:t>
      </w:r>
      <w:r w:rsidRPr="002259AD" w:rsidR="00591846">
        <w:rPr>
          <w:i/>
          <w:iCs/>
          <w:szCs w:val="22"/>
        </w:rPr>
        <w:t>H</w:t>
      </w:r>
      <w:r w:rsidRPr="002259AD">
        <w:rPr>
          <w:i/>
          <w:iCs/>
          <w:szCs w:val="22"/>
        </w:rPr>
        <w:t xml:space="preserve">uman </w:t>
      </w:r>
      <w:r w:rsidRPr="002259AD" w:rsidR="00591846">
        <w:rPr>
          <w:i/>
          <w:iCs/>
          <w:szCs w:val="22"/>
        </w:rPr>
        <w:t>B</w:t>
      </w:r>
      <w:r w:rsidRPr="002259AD">
        <w:rPr>
          <w:i/>
          <w:iCs/>
          <w:szCs w:val="22"/>
        </w:rPr>
        <w:t>ehavior,</w:t>
      </w:r>
      <w:r w:rsidRPr="002259AD">
        <w:rPr>
          <w:szCs w:val="22"/>
        </w:rPr>
        <w:t xml:space="preserve"> 26(</w:t>
      </w:r>
      <w:r w:rsidRPr="002259AD">
        <w:rPr>
          <w:i/>
          <w:iCs/>
          <w:szCs w:val="22"/>
        </w:rPr>
        <w:t>2</w:t>
      </w:r>
      <w:r w:rsidRPr="002259AD">
        <w:rPr>
          <w:szCs w:val="22"/>
        </w:rPr>
        <w:t>), 132-139.</w:t>
      </w:r>
    </w:p>
    <w:p w:rsidRPr="002259AD" w:rsidR="00672E98" w:rsidP="009E48C6" w:rsidRDefault="00672E98" w14:paraId="0ECB750B" w14:textId="2E46D4AA">
      <w:pPr>
        <w:pStyle w:val="References"/>
        <w:rPr>
          <w:szCs w:val="22"/>
        </w:rPr>
      </w:pPr>
      <w:r w:rsidRPr="002259AD">
        <w:rPr>
          <w:szCs w:val="22"/>
        </w:rPr>
        <w:t xml:space="preserve">Weinstock, W., </w:t>
      </w:r>
      <w:proofErr w:type="spellStart"/>
      <w:r w:rsidRPr="002259AD">
        <w:rPr>
          <w:szCs w:val="22"/>
        </w:rPr>
        <w:t>Gulemetova</w:t>
      </w:r>
      <w:proofErr w:type="spellEnd"/>
      <w:r w:rsidRPr="002259AD">
        <w:rPr>
          <w:szCs w:val="22"/>
        </w:rPr>
        <w:t xml:space="preserve">, M., Sanchez, R., Silver, D., </w:t>
      </w:r>
      <w:proofErr w:type="spellStart"/>
      <w:r w:rsidRPr="002259AD">
        <w:rPr>
          <w:szCs w:val="22"/>
        </w:rPr>
        <w:t>Barach</w:t>
      </w:r>
      <w:proofErr w:type="spellEnd"/>
      <w:r w:rsidRPr="002259AD">
        <w:rPr>
          <w:szCs w:val="22"/>
        </w:rPr>
        <w:t>, I., Johnson, A., &amp; Wei, T. (2019).</w:t>
      </w:r>
      <w:r w:rsidRPr="002259AD">
        <w:rPr>
          <w:i/>
          <w:iCs/>
          <w:szCs w:val="22"/>
        </w:rPr>
        <w:t xml:space="preserve"> National Evaluation of the Comprehensive Centers Program Appendices. </w:t>
      </w:r>
      <w:r w:rsidRPr="002259AD">
        <w:rPr>
          <w:szCs w:val="22"/>
        </w:rPr>
        <w:t>Report prepared by IMPAQ International for the U.S. Department of Education, Institute of Education Sciences</w:t>
      </w:r>
      <w:r w:rsidRPr="002259AD" w:rsidR="00D74F2C">
        <w:rPr>
          <w:szCs w:val="22"/>
        </w:rPr>
        <w:t>. Retrieved from</w:t>
      </w:r>
      <w:r w:rsidRPr="002259AD">
        <w:rPr>
          <w:szCs w:val="22"/>
        </w:rPr>
        <w:t xml:space="preserve"> </w:t>
      </w:r>
      <w:hyperlink w:history="1" r:id="rId20">
        <w:r w:rsidRPr="002259AD" w:rsidR="00591846">
          <w:rPr>
            <w:rStyle w:val="Hyperlink"/>
            <w:szCs w:val="22"/>
          </w:rPr>
          <w:t>https://ies.ed.gov/ncee/pubs/2020001/</w:t>
        </w:r>
      </w:hyperlink>
      <w:r w:rsidRPr="002259AD" w:rsidR="00591846">
        <w:rPr>
          <w:szCs w:val="22"/>
        </w:rPr>
        <w:t xml:space="preserve"> </w:t>
      </w:r>
    </w:p>
    <w:p w:rsidR="009E48C6" w:rsidP="00D74F2C" w:rsidRDefault="009E48C6" w14:paraId="2C562CA6" w14:textId="77777777">
      <w:pPr>
        <w:pStyle w:val="BodyText"/>
        <w:ind w:left="720" w:hanging="720"/>
      </w:pPr>
    </w:p>
    <w:p w:rsidRPr="00672E98" w:rsidR="009E48C6" w:rsidP="00D74F2C" w:rsidRDefault="009E48C6" w14:paraId="231E113E" w14:textId="77777777">
      <w:pPr>
        <w:pStyle w:val="BodyText"/>
        <w:ind w:left="720" w:hanging="720"/>
      </w:pPr>
    </w:p>
    <w:sectPr w:rsidRPr="00672E98" w:rsidR="009E48C6" w:rsidSect="00826480">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5890A" w14:textId="77777777" w:rsidR="007D6A24" w:rsidRDefault="007D6A24" w:rsidP="004E19B2">
      <w:pPr>
        <w:spacing w:after="0" w:line="240" w:lineRule="auto"/>
      </w:pPr>
      <w:r>
        <w:separator/>
      </w:r>
    </w:p>
  </w:endnote>
  <w:endnote w:type="continuationSeparator" w:id="0">
    <w:p w14:paraId="76E22120" w14:textId="77777777" w:rsidR="007D6A24" w:rsidRDefault="007D6A24" w:rsidP="004E1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4BF6" w14:textId="77777777" w:rsidR="00FC4510" w:rsidRDefault="00FC4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5976" w14:textId="77777777" w:rsidR="005A7AF6" w:rsidRPr="00C2759C" w:rsidRDefault="005A7AF6" w:rsidP="00810A78">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265D" w14:textId="77777777" w:rsidR="00FC4510" w:rsidRDefault="00FC45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5FBB" w14:textId="77777777" w:rsidR="005A7AF6" w:rsidRPr="0066134E" w:rsidRDefault="005A7AF6" w:rsidP="00810A78">
    <w:pPr>
      <w:pStyle w:val="Footer"/>
      <w:tabs>
        <w:tab w:val="clear" w:pos="4507"/>
      </w:tabs>
    </w:pPr>
    <w:r w:rsidRPr="00826523">
      <w:t>Abt Associates Inc.</w:t>
    </w:r>
    <w:r w:rsidRPr="0066134E">
      <w:tab/>
    </w:r>
    <w:r w:rsidRPr="00826523">
      <w:rPr>
        <w:rStyle w:val="PageNumber"/>
        <w:b/>
        <w:bCs/>
      </w:rPr>
      <w:t>Table of Contents</w:t>
    </w:r>
    <w:r>
      <w:rPr>
        <w:rStyle w:val="PageNumber"/>
        <w:b/>
      </w:rPr>
      <w:t> </w:t>
    </w:r>
    <w:r>
      <w:rPr>
        <w:rStyle w:val="PageNumber"/>
        <w:rFonts w:cs="Arial"/>
        <w:b/>
      </w:rPr>
      <w:t>▌</w:t>
    </w:r>
    <w:r>
      <w:rPr>
        <w:rStyle w:val="PageNumber"/>
        <w:b/>
      </w:rPr>
      <w:t xml:space="preserve">pg. </w:t>
    </w:r>
    <w:r>
      <w:rPr>
        <w:color w:val="595959" w:themeColor="text1" w:themeTint="A6"/>
      </w:rPr>
      <w:fldChar w:fldCharType="begin"/>
    </w:r>
    <w:r>
      <w:instrText xml:space="preserve"> PAGE   \* MERGEFORMAT </w:instrText>
    </w:r>
    <w:r>
      <w:rPr>
        <w:color w:val="595959" w:themeColor="text1" w:themeTint="A6"/>
      </w:rPr>
      <w:fldChar w:fldCharType="separate"/>
    </w:r>
    <w:r w:rsidRPr="004E19B2">
      <w:rPr>
        <w:rStyle w:val="PageNumber"/>
        <w:b/>
        <w:noProof/>
        <w:color w:val="DA291C"/>
      </w:rPr>
      <w:t>i</w:t>
    </w:r>
    <w:r>
      <w:rPr>
        <w:rStyle w:val="PageNumber"/>
        <w:b/>
        <w:noProof/>
        <w:color w:val="DA291C"/>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E7599" w14:textId="77777777" w:rsidR="005A7AF6" w:rsidRPr="0066134E" w:rsidRDefault="005A7AF6" w:rsidP="00826523">
    <w:pPr>
      <w:pStyle w:val="Footer"/>
      <w:tabs>
        <w:tab w:val="clear" w:pos="4507"/>
        <w:tab w:val="clear" w:pos="9000"/>
        <w:tab w:val="right" w:pos="9360"/>
      </w:tabs>
    </w:pPr>
    <w:r w:rsidRPr="00AA4BDA">
      <w:rPr>
        <w:szCs w:val="24"/>
      </w:rPr>
      <w:t>Abt Associates Inc.</w:t>
    </w:r>
    <w:r w:rsidRPr="0066134E">
      <w:tab/>
    </w:r>
    <w:r w:rsidRPr="00AD3EA5">
      <w:rPr>
        <w:color w:val="000000" w:themeColor="text1"/>
      </w:rPr>
      <w:t xml:space="preserve">Part B: </w:t>
    </w:r>
    <w:r w:rsidRPr="00AD3EA5">
      <w:rPr>
        <w:rStyle w:val="PageNumber"/>
        <w:b/>
        <w:color w:val="000000" w:themeColor="text1"/>
      </w:rPr>
      <w:t>Collection of Information Employing Statistical Methods</w:t>
    </w:r>
    <w:r>
      <w:rPr>
        <w:rStyle w:val="PageNumber"/>
        <w:b/>
      </w:rPr>
      <w:t> </w:t>
    </w:r>
    <w:r>
      <w:rPr>
        <w:rStyle w:val="PageNumber"/>
        <w:rFonts w:cs="Arial"/>
        <w:b/>
      </w:rPr>
      <w:t>▌</w:t>
    </w:r>
    <w:r>
      <w:rPr>
        <w:rStyle w:val="PageNumber"/>
        <w:b/>
      </w:rPr>
      <w:t xml:space="preserve">pg. </w:t>
    </w:r>
    <w:r>
      <w:rPr>
        <w:color w:val="595959" w:themeColor="text1" w:themeTint="A6"/>
      </w:rPr>
      <w:fldChar w:fldCharType="begin"/>
    </w:r>
    <w:r>
      <w:instrText xml:space="preserve"> PAGE   \* MERGEFORMAT </w:instrText>
    </w:r>
    <w:r>
      <w:rPr>
        <w:color w:val="595959" w:themeColor="text1" w:themeTint="A6"/>
      </w:rPr>
      <w:fldChar w:fldCharType="separate"/>
    </w:r>
    <w:r w:rsidRPr="004E19B2">
      <w:rPr>
        <w:rStyle w:val="PageNumber"/>
        <w:b/>
        <w:noProof/>
        <w:color w:val="DA291C"/>
      </w:rPr>
      <w:t>2</w:t>
    </w:r>
    <w:r>
      <w:rPr>
        <w:rStyle w:val="PageNumber"/>
        <w:b/>
        <w:noProof/>
        <w:color w:val="DA291C"/>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5433" w14:textId="77777777" w:rsidR="00826480" w:rsidRPr="0066134E" w:rsidRDefault="00826480" w:rsidP="00826523">
    <w:pPr>
      <w:pStyle w:val="Footer"/>
      <w:tabs>
        <w:tab w:val="clear" w:pos="4507"/>
        <w:tab w:val="clear" w:pos="9000"/>
        <w:tab w:val="right" w:pos="9360"/>
      </w:tabs>
    </w:pPr>
    <w:r w:rsidRPr="00AA4BDA">
      <w:rPr>
        <w:szCs w:val="24"/>
      </w:rPr>
      <w:t>Abt Associates Inc.</w:t>
    </w:r>
    <w:r w:rsidRPr="0066134E">
      <w:tab/>
    </w:r>
    <w:r w:rsidRPr="00AD3EA5">
      <w:rPr>
        <w:color w:val="000000" w:themeColor="text1"/>
      </w:rPr>
      <w:t xml:space="preserve">Part B: </w:t>
    </w:r>
    <w:r w:rsidRPr="00AD3EA5">
      <w:rPr>
        <w:rStyle w:val="PageNumber"/>
        <w:b/>
        <w:color w:val="000000" w:themeColor="text1"/>
      </w:rPr>
      <w:t>Collection of Information Employing Statistical Methods</w:t>
    </w:r>
    <w:r>
      <w:rPr>
        <w:rStyle w:val="PageNumber"/>
        <w:b/>
      </w:rPr>
      <w:t> </w:t>
    </w:r>
    <w:r>
      <w:rPr>
        <w:rStyle w:val="PageNumber"/>
        <w:rFonts w:cs="Arial"/>
        <w:b/>
      </w:rPr>
      <w:t>▌</w:t>
    </w:r>
    <w:r>
      <w:rPr>
        <w:rStyle w:val="PageNumber"/>
        <w:b/>
      </w:rPr>
      <w:t xml:space="preserve">pg. </w:t>
    </w:r>
    <w:r>
      <w:rPr>
        <w:color w:val="595959" w:themeColor="text1" w:themeTint="A6"/>
      </w:rPr>
      <w:fldChar w:fldCharType="begin"/>
    </w:r>
    <w:r>
      <w:instrText xml:space="preserve"> PAGE   \* MERGEFORMAT </w:instrText>
    </w:r>
    <w:r>
      <w:rPr>
        <w:color w:val="595959" w:themeColor="text1" w:themeTint="A6"/>
      </w:rPr>
      <w:fldChar w:fldCharType="separate"/>
    </w:r>
    <w:r w:rsidRPr="004E19B2">
      <w:rPr>
        <w:rStyle w:val="PageNumber"/>
        <w:b/>
        <w:noProof/>
        <w:color w:val="DA291C"/>
      </w:rPr>
      <w:t>2</w:t>
    </w:r>
    <w:r>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7044B" w14:textId="77777777" w:rsidR="007D6A24" w:rsidRDefault="007D6A24" w:rsidP="004E19B2">
      <w:pPr>
        <w:spacing w:after="0" w:line="240" w:lineRule="auto"/>
      </w:pPr>
      <w:r>
        <w:separator/>
      </w:r>
    </w:p>
  </w:footnote>
  <w:footnote w:type="continuationSeparator" w:id="0">
    <w:p w14:paraId="371A81A7" w14:textId="77777777" w:rsidR="007D6A24" w:rsidRDefault="007D6A24" w:rsidP="004E1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2B5B" w14:textId="77777777" w:rsidR="00FC4510" w:rsidRDefault="00FC45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B41E" w14:textId="77777777" w:rsidR="005A7AF6" w:rsidRPr="00C2759C" w:rsidRDefault="005A7AF6" w:rsidP="00810A78">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25FC" w14:textId="77777777" w:rsidR="00FC4510" w:rsidRDefault="00FC45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F2D1" w14:textId="45602F3A" w:rsidR="005A7AF6" w:rsidRDefault="005A7AF6" w:rsidP="00810A78">
    <w:pPr>
      <w:pStyle w:val="Header"/>
      <w:tabs>
        <w:tab w:val="clear" w:pos="4507"/>
      </w:tabs>
    </w:pPr>
    <w:r>
      <w:t>OMB Supporting Statement</w:t>
    </w:r>
    <w:r>
      <w:tab/>
    </w:r>
    <w:r w:rsidR="001F7DFE" w:rsidRPr="001F7DFE">
      <w:t>Implementation Evaluation of the Comprehensive Centers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42E5C" w14:textId="7203CF75" w:rsidR="005A7AF6" w:rsidRDefault="005A7AF6" w:rsidP="00826523">
    <w:pPr>
      <w:pStyle w:val="Header"/>
      <w:tabs>
        <w:tab w:val="clear" w:pos="4507"/>
        <w:tab w:val="clear" w:pos="9000"/>
        <w:tab w:val="right" w:pos="9360"/>
      </w:tabs>
    </w:pPr>
    <w:r>
      <w:t>OMB Supporting Statement</w:t>
    </w:r>
    <w:r>
      <w:tab/>
    </w:r>
    <w:r w:rsidR="00E606A0" w:rsidRPr="00E606A0">
      <w:t>Implementation Evaluation of the Comprehensive Centers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121D" w14:textId="77777777" w:rsidR="00826480" w:rsidRDefault="00826480" w:rsidP="00826523">
    <w:pPr>
      <w:pStyle w:val="Header"/>
      <w:tabs>
        <w:tab w:val="clear" w:pos="4507"/>
        <w:tab w:val="clear" w:pos="9000"/>
        <w:tab w:val="right" w:pos="9360"/>
      </w:tabs>
    </w:pPr>
    <w:r>
      <w:t>OMB Supporting Statement</w:t>
    </w:r>
    <w:r>
      <w:tab/>
    </w:r>
    <w:r w:rsidRPr="00E606A0">
      <w:t>Implementation Evaluation of the Comprehensive Centers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2956"/>
    <w:multiLevelType w:val="hybridMultilevel"/>
    <w:tmpl w:val="79D07EE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115A2"/>
    <w:multiLevelType w:val="hybridMultilevel"/>
    <w:tmpl w:val="1E7032E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15:restartNumberingAfterBreak="0">
    <w:nsid w:val="262334E5"/>
    <w:multiLevelType w:val="hybridMultilevel"/>
    <w:tmpl w:val="E72AD84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46490"/>
    <w:multiLevelType w:val="hybridMultilevel"/>
    <w:tmpl w:val="9272B03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97D12"/>
    <w:multiLevelType w:val="hybridMultilevel"/>
    <w:tmpl w:val="D74AA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2F4223"/>
    <w:multiLevelType w:val="hybridMultilevel"/>
    <w:tmpl w:val="31EE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3E860564"/>
    <w:lvl w:ilvl="0">
      <w:start w:val="2"/>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5040"/>
        </w:tabs>
        <w:ind w:left="504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5047F52"/>
    <w:multiLevelType w:val="hybridMultilevel"/>
    <w:tmpl w:val="F41201B4"/>
    <w:lvl w:ilvl="0" w:tplc="0C72EB28">
      <w:start w:val="16"/>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6C817AE"/>
    <w:multiLevelType w:val="hybridMultilevel"/>
    <w:tmpl w:val="280E1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BA639E"/>
    <w:multiLevelType w:val="hybridMultilevel"/>
    <w:tmpl w:val="F41EE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843231"/>
    <w:multiLevelType w:val="hybridMultilevel"/>
    <w:tmpl w:val="74C6502A"/>
    <w:lvl w:ilvl="0" w:tplc="A9629990">
      <w:start w:val="1"/>
      <w:numFmt w:val="bullet"/>
      <w:lvlText w:val=""/>
      <w:lvlJc w:val="left"/>
      <w:pPr>
        <w:ind w:left="360" w:hanging="360"/>
      </w:pPr>
      <w:rPr>
        <w:rFonts w:ascii="Symbol" w:hAnsi="Symbol"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447964"/>
    <w:multiLevelType w:val="hybridMultilevel"/>
    <w:tmpl w:val="19DED7C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A006E0"/>
    <w:multiLevelType w:val="hybridMultilevel"/>
    <w:tmpl w:val="949800A4"/>
    <w:lvl w:ilvl="0" w:tplc="FD0E855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A31EB"/>
    <w:multiLevelType w:val="hybridMultilevel"/>
    <w:tmpl w:val="A37C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D414D"/>
    <w:multiLevelType w:val="multilevel"/>
    <w:tmpl w:val="7208034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5E5B95"/>
    <w:multiLevelType w:val="hybridMultilevel"/>
    <w:tmpl w:val="41E2E010"/>
    <w:lvl w:ilvl="0" w:tplc="168EC09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6B56FA"/>
    <w:multiLevelType w:val="hybridMultilevel"/>
    <w:tmpl w:val="395C0B4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53770"/>
    <w:multiLevelType w:val="multilevel"/>
    <w:tmpl w:val="A1A25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B64355"/>
    <w:multiLevelType w:val="hybridMultilevel"/>
    <w:tmpl w:val="8C16A48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55A34"/>
    <w:multiLevelType w:val="hybridMultilevel"/>
    <w:tmpl w:val="6F5CA2A4"/>
    <w:lvl w:ilvl="0" w:tplc="896EC0C8">
      <w:start w:val="1"/>
      <w:numFmt w:val="decimal"/>
      <w:lvlText w:val="%1."/>
      <w:lvlJc w:val="left"/>
      <w:pPr>
        <w:ind w:left="720" w:hanging="360"/>
      </w:pPr>
      <w:rPr>
        <w:rFonts w:ascii="Arial Narrow" w:hAnsi="Arial Narrow"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91E58"/>
    <w:multiLevelType w:val="hybridMultilevel"/>
    <w:tmpl w:val="9652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45E82"/>
    <w:multiLevelType w:val="hybridMultilevel"/>
    <w:tmpl w:val="AB9AA6BC"/>
    <w:lvl w:ilvl="0" w:tplc="0EC4D408">
      <w:start w:val="1"/>
      <w:numFmt w:val="bullet"/>
      <w:pStyle w:val="Bullets"/>
      <w:lvlText w:val=""/>
      <w:lvlJc w:val="left"/>
      <w:pPr>
        <w:ind w:left="720" w:hanging="360"/>
      </w:pPr>
      <w:rPr>
        <w:rFonts w:ascii="Symbol" w:hAnsi="Symbol" w:cs="Symbol" w:hint="default"/>
        <w:color w:val="0D0D0D" w:themeColor="text1" w:themeTint="F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2F3391"/>
    <w:multiLevelType w:val="hybridMultilevel"/>
    <w:tmpl w:val="E00A9656"/>
    <w:lvl w:ilvl="0" w:tplc="DDDCFA1E">
      <w:start w:val="1"/>
      <w:numFmt w:val="decimal"/>
      <w:pStyle w:val="cAns"/>
      <w:lvlText w:val="%1"/>
      <w:lvlJc w:val="left"/>
      <w:pPr>
        <w:tabs>
          <w:tab w:val="num" w:pos="792"/>
        </w:tabs>
        <w:ind w:left="432" w:firstLine="0"/>
      </w:pPr>
      <w:rPr>
        <w:rFonts w:ascii="Arial" w:hAnsi="Arial" w:hint="default"/>
        <w:b w:val="0"/>
        <w:i w:val="0"/>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DE0375"/>
    <w:multiLevelType w:val="hybridMultilevel"/>
    <w:tmpl w:val="BC9095DE"/>
    <w:lvl w:ilvl="0" w:tplc="3938A54C">
      <w:start w:val="1"/>
      <w:numFmt w:val="bullet"/>
      <w:pStyle w:val="ListParagraph"/>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7636CA"/>
    <w:multiLevelType w:val="hybridMultilevel"/>
    <w:tmpl w:val="442E0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D7EF8"/>
    <w:multiLevelType w:val="hybridMultilevel"/>
    <w:tmpl w:val="71FA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8" w15:restartNumberingAfterBreak="0">
    <w:nsid w:val="77B41164"/>
    <w:multiLevelType w:val="hybridMultilevel"/>
    <w:tmpl w:val="B576F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19009E"/>
    <w:multiLevelType w:val="hybridMultilevel"/>
    <w:tmpl w:val="BCBC18E4"/>
    <w:lvl w:ilvl="0" w:tplc="A962999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7"/>
  </w:num>
  <w:num w:numId="3">
    <w:abstractNumId w:val="7"/>
  </w:num>
  <w:num w:numId="4">
    <w:abstractNumId w:val="30"/>
  </w:num>
  <w:num w:numId="5">
    <w:abstractNumId w:val="22"/>
  </w:num>
  <w:num w:numId="6">
    <w:abstractNumId w:val="23"/>
  </w:num>
  <w:num w:numId="7">
    <w:abstractNumId w:val="18"/>
  </w:num>
  <w:num w:numId="8">
    <w:abstractNumId w:val="15"/>
  </w:num>
  <w:num w:numId="9">
    <w:abstractNumId w:val="20"/>
  </w:num>
  <w:num w:numId="10">
    <w:abstractNumId w:val="11"/>
  </w:num>
  <w:num w:numId="11">
    <w:abstractNumId w:val="29"/>
  </w:num>
  <w:num w:numId="12">
    <w:abstractNumId w:val="5"/>
  </w:num>
  <w:num w:numId="13">
    <w:abstractNumId w:val="16"/>
  </w:num>
  <w:num w:numId="14">
    <w:abstractNumId w:val="13"/>
  </w:num>
  <w:num w:numId="15">
    <w:abstractNumId w:val="10"/>
  </w:num>
  <w:num w:numId="16">
    <w:abstractNumId w:val="1"/>
  </w:num>
  <w:num w:numId="17">
    <w:abstractNumId w:val="28"/>
  </w:num>
  <w:num w:numId="18">
    <w:abstractNumId w:val="8"/>
  </w:num>
  <w:num w:numId="19">
    <w:abstractNumId w:val="22"/>
  </w:num>
  <w:num w:numId="20">
    <w:abstractNumId w:val="24"/>
  </w:num>
  <w:num w:numId="21">
    <w:abstractNumId w:val="25"/>
  </w:num>
  <w:num w:numId="22">
    <w:abstractNumId w:val="12"/>
  </w:num>
  <w:num w:numId="23">
    <w:abstractNumId w:val="9"/>
  </w:num>
  <w:num w:numId="24">
    <w:abstractNumId w:val="3"/>
  </w:num>
  <w:num w:numId="25">
    <w:abstractNumId w:val="17"/>
  </w:num>
  <w:num w:numId="26">
    <w:abstractNumId w:val="14"/>
  </w:num>
  <w:num w:numId="27">
    <w:abstractNumId w:val="6"/>
  </w:num>
  <w:num w:numId="28">
    <w:abstractNumId w:val="0"/>
  </w:num>
  <w:num w:numId="29">
    <w:abstractNumId w:val="4"/>
  </w:num>
  <w:num w:numId="30">
    <w:abstractNumId w:val="19"/>
  </w:num>
  <w:num w:numId="31">
    <w:abstractNumId w:val="26"/>
  </w:num>
  <w:num w:numId="3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SortMethod w:val="0000"/>
  <w:trackRevisions/>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9B2"/>
    <w:rsid w:val="000036DE"/>
    <w:rsid w:val="00004296"/>
    <w:rsid w:val="00007A92"/>
    <w:rsid w:val="000113F0"/>
    <w:rsid w:val="000121B9"/>
    <w:rsid w:val="00012B47"/>
    <w:rsid w:val="00016CBC"/>
    <w:rsid w:val="00017711"/>
    <w:rsid w:val="00023C9C"/>
    <w:rsid w:val="000259DA"/>
    <w:rsid w:val="00026A8C"/>
    <w:rsid w:val="00027DEC"/>
    <w:rsid w:val="00031EFD"/>
    <w:rsid w:val="00032395"/>
    <w:rsid w:val="00033A50"/>
    <w:rsid w:val="00035B75"/>
    <w:rsid w:val="0004456B"/>
    <w:rsid w:val="00050CEB"/>
    <w:rsid w:val="00054CC5"/>
    <w:rsid w:val="00056357"/>
    <w:rsid w:val="00066FC5"/>
    <w:rsid w:val="00075654"/>
    <w:rsid w:val="000868C4"/>
    <w:rsid w:val="0008702B"/>
    <w:rsid w:val="000876CA"/>
    <w:rsid w:val="00092010"/>
    <w:rsid w:val="000946A2"/>
    <w:rsid w:val="00094A57"/>
    <w:rsid w:val="00097917"/>
    <w:rsid w:val="000A15BE"/>
    <w:rsid w:val="000A4ED1"/>
    <w:rsid w:val="000A7B2C"/>
    <w:rsid w:val="000B289A"/>
    <w:rsid w:val="000B4DDF"/>
    <w:rsid w:val="000C20E6"/>
    <w:rsid w:val="000C2D6A"/>
    <w:rsid w:val="000D0C5A"/>
    <w:rsid w:val="000D31CB"/>
    <w:rsid w:val="000D55AB"/>
    <w:rsid w:val="000F4E8F"/>
    <w:rsid w:val="000F646E"/>
    <w:rsid w:val="00100D8F"/>
    <w:rsid w:val="001029F7"/>
    <w:rsid w:val="00112E2B"/>
    <w:rsid w:val="001145D7"/>
    <w:rsid w:val="001172B3"/>
    <w:rsid w:val="001213EE"/>
    <w:rsid w:val="00121C4B"/>
    <w:rsid w:val="00122995"/>
    <w:rsid w:val="00122EF5"/>
    <w:rsid w:val="00123574"/>
    <w:rsid w:val="00126048"/>
    <w:rsid w:val="00130DEE"/>
    <w:rsid w:val="001321B9"/>
    <w:rsid w:val="001352A2"/>
    <w:rsid w:val="00137C61"/>
    <w:rsid w:val="00141BE3"/>
    <w:rsid w:val="00142F73"/>
    <w:rsid w:val="00143611"/>
    <w:rsid w:val="001445CD"/>
    <w:rsid w:val="0014526A"/>
    <w:rsid w:val="00147617"/>
    <w:rsid w:val="00147EAD"/>
    <w:rsid w:val="00153B0E"/>
    <w:rsid w:val="00156B4D"/>
    <w:rsid w:val="001647FE"/>
    <w:rsid w:val="0016494B"/>
    <w:rsid w:val="001651D3"/>
    <w:rsid w:val="00170FD5"/>
    <w:rsid w:val="0017300A"/>
    <w:rsid w:val="00173D5A"/>
    <w:rsid w:val="00176A93"/>
    <w:rsid w:val="001803C2"/>
    <w:rsid w:val="00180A0A"/>
    <w:rsid w:val="0018532C"/>
    <w:rsid w:val="001868B6"/>
    <w:rsid w:val="0018769F"/>
    <w:rsid w:val="001900D6"/>
    <w:rsid w:val="001944E5"/>
    <w:rsid w:val="001A4779"/>
    <w:rsid w:val="001B39FE"/>
    <w:rsid w:val="001B3A10"/>
    <w:rsid w:val="001B3EDD"/>
    <w:rsid w:val="001B4054"/>
    <w:rsid w:val="001B48EB"/>
    <w:rsid w:val="001B70D8"/>
    <w:rsid w:val="001B77EF"/>
    <w:rsid w:val="001C0782"/>
    <w:rsid w:val="001C23C7"/>
    <w:rsid w:val="001D2F47"/>
    <w:rsid w:val="001D45C2"/>
    <w:rsid w:val="001D7B23"/>
    <w:rsid w:val="001E1BC6"/>
    <w:rsid w:val="001E27B3"/>
    <w:rsid w:val="001F0551"/>
    <w:rsid w:val="001F1021"/>
    <w:rsid w:val="001F5EF1"/>
    <w:rsid w:val="001F65E8"/>
    <w:rsid w:val="001F79E9"/>
    <w:rsid w:val="001F7DFE"/>
    <w:rsid w:val="00202D7C"/>
    <w:rsid w:val="002124D2"/>
    <w:rsid w:val="00213020"/>
    <w:rsid w:val="00215FC4"/>
    <w:rsid w:val="002224F9"/>
    <w:rsid w:val="00224D4A"/>
    <w:rsid w:val="002259AD"/>
    <w:rsid w:val="0023267C"/>
    <w:rsid w:val="0024147D"/>
    <w:rsid w:val="00241567"/>
    <w:rsid w:val="002416B5"/>
    <w:rsid w:val="0024261E"/>
    <w:rsid w:val="00245DBD"/>
    <w:rsid w:val="00250268"/>
    <w:rsid w:val="00250F79"/>
    <w:rsid w:val="00251414"/>
    <w:rsid w:val="00253B4B"/>
    <w:rsid w:val="0025465D"/>
    <w:rsid w:val="00264862"/>
    <w:rsid w:val="0026637E"/>
    <w:rsid w:val="00271711"/>
    <w:rsid w:val="002913CC"/>
    <w:rsid w:val="002A4513"/>
    <w:rsid w:val="002B009E"/>
    <w:rsid w:val="002B426B"/>
    <w:rsid w:val="002B436D"/>
    <w:rsid w:val="002B58D9"/>
    <w:rsid w:val="002B592A"/>
    <w:rsid w:val="002B5F81"/>
    <w:rsid w:val="002C0157"/>
    <w:rsid w:val="002C2AF7"/>
    <w:rsid w:val="002C3D50"/>
    <w:rsid w:val="002C5E9E"/>
    <w:rsid w:val="002C63D5"/>
    <w:rsid w:val="002D3A59"/>
    <w:rsid w:val="002D3F9D"/>
    <w:rsid w:val="002D716A"/>
    <w:rsid w:val="002E172E"/>
    <w:rsid w:val="002E384C"/>
    <w:rsid w:val="002F0E79"/>
    <w:rsid w:val="002F1B63"/>
    <w:rsid w:val="002F72BB"/>
    <w:rsid w:val="003027CC"/>
    <w:rsid w:val="00310C94"/>
    <w:rsid w:val="003176C1"/>
    <w:rsid w:val="00317861"/>
    <w:rsid w:val="00322D5D"/>
    <w:rsid w:val="003237E2"/>
    <w:rsid w:val="0033198C"/>
    <w:rsid w:val="003322F8"/>
    <w:rsid w:val="0033487B"/>
    <w:rsid w:val="00337313"/>
    <w:rsid w:val="00340534"/>
    <w:rsid w:val="0034090E"/>
    <w:rsid w:val="00343F69"/>
    <w:rsid w:val="00344064"/>
    <w:rsid w:val="0034453B"/>
    <w:rsid w:val="00355722"/>
    <w:rsid w:val="00365F96"/>
    <w:rsid w:val="00371141"/>
    <w:rsid w:val="003753C8"/>
    <w:rsid w:val="0038191D"/>
    <w:rsid w:val="003832D0"/>
    <w:rsid w:val="00385A09"/>
    <w:rsid w:val="00385D5D"/>
    <w:rsid w:val="0038636C"/>
    <w:rsid w:val="003935E6"/>
    <w:rsid w:val="0039632D"/>
    <w:rsid w:val="00396CC7"/>
    <w:rsid w:val="003A3271"/>
    <w:rsid w:val="003A36A1"/>
    <w:rsid w:val="003A6131"/>
    <w:rsid w:val="003A7279"/>
    <w:rsid w:val="003B0E8A"/>
    <w:rsid w:val="003B61F5"/>
    <w:rsid w:val="003C0279"/>
    <w:rsid w:val="003C26A7"/>
    <w:rsid w:val="003C55B3"/>
    <w:rsid w:val="003C6BB6"/>
    <w:rsid w:val="003D15AF"/>
    <w:rsid w:val="003D1C1C"/>
    <w:rsid w:val="003D4230"/>
    <w:rsid w:val="003D4751"/>
    <w:rsid w:val="003E239C"/>
    <w:rsid w:val="003E27A2"/>
    <w:rsid w:val="003E3574"/>
    <w:rsid w:val="003E46C0"/>
    <w:rsid w:val="003E58B8"/>
    <w:rsid w:val="003E7789"/>
    <w:rsid w:val="003F1336"/>
    <w:rsid w:val="003F27C2"/>
    <w:rsid w:val="00404C61"/>
    <w:rsid w:val="00405DE3"/>
    <w:rsid w:val="00407453"/>
    <w:rsid w:val="004105D8"/>
    <w:rsid w:val="004121BE"/>
    <w:rsid w:val="0043007D"/>
    <w:rsid w:val="00430FA6"/>
    <w:rsid w:val="0043702A"/>
    <w:rsid w:val="00453523"/>
    <w:rsid w:val="00462F18"/>
    <w:rsid w:val="00463A04"/>
    <w:rsid w:val="00465304"/>
    <w:rsid w:val="004719E3"/>
    <w:rsid w:val="00474675"/>
    <w:rsid w:val="00476366"/>
    <w:rsid w:val="00483438"/>
    <w:rsid w:val="00483B31"/>
    <w:rsid w:val="00484276"/>
    <w:rsid w:val="004926B9"/>
    <w:rsid w:val="00494166"/>
    <w:rsid w:val="004942A7"/>
    <w:rsid w:val="004948AB"/>
    <w:rsid w:val="004A19D1"/>
    <w:rsid w:val="004A24AB"/>
    <w:rsid w:val="004B32DF"/>
    <w:rsid w:val="004B5B04"/>
    <w:rsid w:val="004C0FF9"/>
    <w:rsid w:val="004C1707"/>
    <w:rsid w:val="004C1808"/>
    <w:rsid w:val="004C5107"/>
    <w:rsid w:val="004C761D"/>
    <w:rsid w:val="004E19B2"/>
    <w:rsid w:val="004E4802"/>
    <w:rsid w:val="004F1F65"/>
    <w:rsid w:val="004F38DA"/>
    <w:rsid w:val="004F5EFD"/>
    <w:rsid w:val="00502595"/>
    <w:rsid w:val="0051528D"/>
    <w:rsid w:val="0051532E"/>
    <w:rsid w:val="00525477"/>
    <w:rsid w:val="0053030A"/>
    <w:rsid w:val="00530B56"/>
    <w:rsid w:val="00531A77"/>
    <w:rsid w:val="00531F89"/>
    <w:rsid w:val="0053239B"/>
    <w:rsid w:val="00533AE8"/>
    <w:rsid w:val="00535507"/>
    <w:rsid w:val="005371A4"/>
    <w:rsid w:val="005375BD"/>
    <w:rsid w:val="00544BB2"/>
    <w:rsid w:val="00546FB5"/>
    <w:rsid w:val="00554DB5"/>
    <w:rsid w:val="00555CEB"/>
    <w:rsid w:val="00557400"/>
    <w:rsid w:val="00561D36"/>
    <w:rsid w:val="00563B1F"/>
    <w:rsid w:val="005642BF"/>
    <w:rsid w:val="005664FD"/>
    <w:rsid w:val="00571264"/>
    <w:rsid w:val="005749D5"/>
    <w:rsid w:val="005755EF"/>
    <w:rsid w:val="005769BA"/>
    <w:rsid w:val="00580F36"/>
    <w:rsid w:val="0058326A"/>
    <w:rsid w:val="005853C7"/>
    <w:rsid w:val="00586081"/>
    <w:rsid w:val="00586B44"/>
    <w:rsid w:val="00591846"/>
    <w:rsid w:val="005A5798"/>
    <w:rsid w:val="005A7AF6"/>
    <w:rsid w:val="005B07FA"/>
    <w:rsid w:val="005B1420"/>
    <w:rsid w:val="005B40EB"/>
    <w:rsid w:val="005B4B32"/>
    <w:rsid w:val="005B4B93"/>
    <w:rsid w:val="005B7996"/>
    <w:rsid w:val="005C3985"/>
    <w:rsid w:val="005D087D"/>
    <w:rsid w:val="005D166A"/>
    <w:rsid w:val="005D5992"/>
    <w:rsid w:val="005D5B0E"/>
    <w:rsid w:val="005D767F"/>
    <w:rsid w:val="005E0DA1"/>
    <w:rsid w:val="005E2B3B"/>
    <w:rsid w:val="005E2CBC"/>
    <w:rsid w:val="005E5744"/>
    <w:rsid w:val="005E5FAA"/>
    <w:rsid w:val="005E7372"/>
    <w:rsid w:val="005F0BE3"/>
    <w:rsid w:val="005F4EAC"/>
    <w:rsid w:val="005F5F76"/>
    <w:rsid w:val="005F68C9"/>
    <w:rsid w:val="00610EF8"/>
    <w:rsid w:val="0061467B"/>
    <w:rsid w:val="0062219A"/>
    <w:rsid w:val="006305C1"/>
    <w:rsid w:val="00634102"/>
    <w:rsid w:val="00635797"/>
    <w:rsid w:val="00636525"/>
    <w:rsid w:val="0063762C"/>
    <w:rsid w:val="00644434"/>
    <w:rsid w:val="00652D1C"/>
    <w:rsid w:val="00652D7D"/>
    <w:rsid w:val="006544E6"/>
    <w:rsid w:val="00654B31"/>
    <w:rsid w:val="00661676"/>
    <w:rsid w:val="00662591"/>
    <w:rsid w:val="00666299"/>
    <w:rsid w:val="00667FCC"/>
    <w:rsid w:val="00671EE5"/>
    <w:rsid w:val="00672E98"/>
    <w:rsid w:val="00675EAE"/>
    <w:rsid w:val="00676BF3"/>
    <w:rsid w:val="00682714"/>
    <w:rsid w:val="00683F60"/>
    <w:rsid w:val="00684DAC"/>
    <w:rsid w:val="0068756D"/>
    <w:rsid w:val="006901E0"/>
    <w:rsid w:val="00690E71"/>
    <w:rsid w:val="00697C64"/>
    <w:rsid w:val="006A0CF9"/>
    <w:rsid w:val="006A4CAC"/>
    <w:rsid w:val="006B14E4"/>
    <w:rsid w:val="006B3213"/>
    <w:rsid w:val="006B35BB"/>
    <w:rsid w:val="006C039F"/>
    <w:rsid w:val="006C1095"/>
    <w:rsid w:val="006C2D69"/>
    <w:rsid w:val="006C7258"/>
    <w:rsid w:val="006E519C"/>
    <w:rsid w:val="006F0B69"/>
    <w:rsid w:val="006F4023"/>
    <w:rsid w:val="00702069"/>
    <w:rsid w:val="007118C9"/>
    <w:rsid w:val="007148B4"/>
    <w:rsid w:val="00721089"/>
    <w:rsid w:val="007232E1"/>
    <w:rsid w:val="007258F4"/>
    <w:rsid w:val="0073009E"/>
    <w:rsid w:val="00732462"/>
    <w:rsid w:val="007344B2"/>
    <w:rsid w:val="00744347"/>
    <w:rsid w:val="00744E48"/>
    <w:rsid w:val="00745207"/>
    <w:rsid w:val="00746F48"/>
    <w:rsid w:val="007473D7"/>
    <w:rsid w:val="00750ED8"/>
    <w:rsid w:val="00751B81"/>
    <w:rsid w:val="00751F2A"/>
    <w:rsid w:val="00754D55"/>
    <w:rsid w:val="007601A1"/>
    <w:rsid w:val="00762126"/>
    <w:rsid w:val="00764AE3"/>
    <w:rsid w:val="0076693B"/>
    <w:rsid w:val="0076750F"/>
    <w:rsid w:val="00776583"/>
    <w:rsid w:val="00781EE7"/>
    <w:rsid w:val="00785362"/>
    <w:rsid w:val="00793CD6"/>
    <w:rsid w:val="00794715"/>
    <w:rsid w:val="007970E0"/>
    <w:rsid w:val="007A65CF"/>
    <w:rsid w:val="007A71BC"/>
    <w:rsid w:val="007A7358"/>
    <w:rsid w:val="007B499D"/>
    <w:rsid w:val="007B4BB6"/>
    <w:rsid w:val="007B76DA"/>
    <w:rsid w:val="007C1288"/>
    <w:rsid w:val="007C7A94"/>
    <w:rsid w:val="007C7E6B"/>
    <w:rsid w:val="007D1B2F"/>
    <w:rsid w:val="007D27F7"/>
    <w:rsid w:val="007D3122"/>
    <w:rsid w:val="007D6042"/>
    <w:rsid w:val="007D6A24"/>
    <w:rsid w:val="007E5940"/>
    <w:rsid w:val="007E5F1D"/>
    <w:rsid w:val="007F26AD"/>
    <w:rsid w:val="007F45FF"/>
    <w:rsid w:val="007F7835"/>
    <w:rsid w:val="00805512"/>
    <w:rsid w:val="00807C66"/>
    <w:rsid w:val="00810A78"/>
    <w:rsid w:val="00811657"/>
    <w:rsid w:val="00820D25"/>
    <w:rsid w:val="00820DC1"/>
    <w:rsid w:val="0082349A"/>
    <w:rsid w:val="00825004"/>
    <w:rsid w:val="00826480"/>
    <w:rsid w:val="00826523"/>
    <w:rsid w:val="00827DC2"/>
    <w:rsid w:val="00830E35"/>
    <w:rsid w:val="008314E3"/>
    <w:rsid w:val="00832D3C"/>
    <w:rsid w:val="0083522B"/>
    <w:rsid w:val="00842194"/>
    <w:rsid w:val="008478C0"/>
    <w:rsid w:val="008479DF"/>
    <w:rsid w:val="00850E02"/>
    <w:rsid w:val="00851AB1"/>
    <w:rsid w:val="00854A05"/>
    <w:rsid w:val="00855B6E"/>
    <w:rsid w:val="00865415"/>
    <w:rsid w:val="008703D8"/>
    <w:rsid w:val="00874204"/>
    <w:rsid w:val="00875D11"/>
    <w:rsid w:val="00883576"/>
    <w:rsid w:val="00884BC0"/>
    <w:rsid w:val="00887611"/>
    <w:rsid w:val="00890A75"/>
    <w:rsid w:val="0089266A"/>
    <w:rsid w:val="008931DF"/>
    <w:rsid w:val="00895431"/>
    <w:rsid w:val="00895E2F"/>
    <w:rsid w:val="008A0AE0"/>
    <w:rsid w:val="008A387E"/>
    <w:rsid w:val="008A58C8"/>
    <w:rsid w:val="008A6123"/>
    <w:rsid w:val="008A77C2"/>
    <w:rsid w:val="008A7D54"/>
    <w:rsid w:val="008B06F9"/>
    <w:rsid w:val="008B2DDB"/>
    <w:rsid w:val="008B619D"/>
    <w:rsid w:val="008C1CB9"/>
    <w:rsid w:val="008C406C"/>
    <w:rsid w:val="008D1715"/>
    <w:rsid w:val="008D3E07"/>
    <w:rsid w:val="008D4774"/>
    <w:rsid w:val="008E1093"/>
    <w:rsid w:val="008E1C5C"/>
    <w:rsid w:val="008E422F"/>
    <w:rsid w:val="008E650A"/>
    <w:rsid w:val="008E7859"/>
    <w:rsid w:val="008F5621"/>
    <w:rsid w:val="00900F94"/>
    <w:rsid w:val="009030AC"/>
    <w:rsid w:val="0090448E"/>
    <w:rsid w:val="00905B44"/>
    <w:rsid w:val="009071E0"/>
    <w:rsid w:val="009135D4"/>
    <w:rsid w:val="00915534"/>
    <w:rsid w:val="009203C5"/>
    <w:rsid w:val="009239EF"/>
    <w:rsid w:val="00923D82"/>
    <w:rsid w:val="00925139"/>
    <w:rsid w:val="0092736B"/>
    <w:rsid w:val="0093156D"/>
    <w:rsid w:val="009328A7"/>
    <w:rsid w:val="00934D90"/>
    <w:rsid w:val="009377D4"/>
    <w:rsid w:val="0094302D"/>
    <w:rsid w:val="00944216"/>
    <w:rsid w:val="009555D5"/>
    <w:rsid w:val="00956B29"/>
    <w:rsid w:val="00956CAE"/>
    <w:rsid w:val="00961CB1"/>
    <w:rsid w:val="0096604F"/>
    <w:rsid w:val="00967744"/>
    <w:rsid w:val="00967970"/>
    <w:rsid w:val="00967C56"/>
    <w:rsid w:val="009732A9"/>
    <w:rsid w:val="00973882"/>
    <w:rsid w:val="00973A0E"/>
    <w:rsid w:val="00974658"/>
    <w:rsid w:val="00976C5C"/>
    <w:rsid w:val="00981595"/>
    <w:rsid w:val="0098268D"/>
    <w:rsid w:val="009851B3"/>
    <w:rsid w:val="009869D5"/>
    <w:rsid w:val="00987151"/>
    <w:rsid w:val="00995265"/>
    <w:rsid w:val="009A1CAD"/>
    <w:rsid w:val="009A6196"/>
    <w:rsid w:val="009B4E59"/>
    <w:rsid w:val="009B59EF"/>
    <w:rsid w:val="009C0D9D"/>
    <w:rsid w:val="009C5869"/>
    <w:rsid w:val="009D4684"/>
    <w:rsid w:val="009D69AD"/>
    <w:rsid w:val="009E1B4F"/>
    <w:rsid w:val="009E48C6"/>
    <w:rsid w:val="009F5DB4"/>
    <w:rsid w:val="00A00889"/>
    <w:rsid w:val="00A03363"/>
    <w:rsid w:val="00A11C2C"/>
    <w:rsid w:val="00A11D37"/>
    <w:rsid w:val="00A16870"/>
    <w:rsid w:val="00A170BD"/>
    <w:rsid w:val="00A17264"/>
    <w:rsid w:val="00A24F14"/>
    <w:rsid w:val="00A250A3"/>
    <w:rsid w:val="00A25C1F"/>
    <w:rsid w:val="00A31DB4"/>
    <w:rsid w:val="00A34011"/>
    <w:rsid w:val="00A35422"/>
    <w:rsid w:val="00A446AD"/>
    <w:rsid w:val="00A44AF7"/>
    <w:rsid w:val="00A44CF1"/>
    <w:rsid w:val="00A45F64"/>
    <w:rsid w:val="00A47E38"/>
    <w:rsid w:val="00A52D0E"/>
    <w:rsid w:val="00A53819"/>
    <w:rsid w:val="00A53EEE"/>
    <w:rsid w:val="00A55989"/>
    <w:rsid w:val="00A55DF0"/>
    <w:rsid w:val="00A56E5F"/>
    <w:rsid w:val="00A60A58"/>
    <w:rsid w:val="00A6335C"/>
    <w:rsid w:val="00A70220"/>
    <w:rsid w:val="00A71E6B"/>
    <w:rsid w:val="00A73120"/>
    <w:rsid w:val="00A81D9C"/>
    <w:rsid w:val="00A82F62"/>
    <w:rsid w:val="00A8317B"/>
    <w:rsid w:val="00A85E85"/>
    <w:rsid w:val="00A866DC"/>
    <w:rsid w:val="00AA3AFD"/>
    <w:rsid w:val="00AB02E1"/>
    <w:rsid w:val="00AB3AB4"/>
    <w:rsid w:val="00AC09E8"/>
    <w:rsid w:val="00AC7779"/>
    <w:rsid w:val="00AD189E"/>
    <w:rsid w:val="00AD4712"/>
    <w:rsid w:val="00AD5714"/>
    <w:rsid w:val="00AD732B"/>
    <w:rsid w:val="00AE18B9"/>
    <w:rsid w:val="00AE2608"/>
    <w:rsid w:val="00AF0FF1"/>
    <w:rsid w:val="00AF123B"/>
    <w:rsid w:val="00AF1E47"/>
    <w:rsid w:val="00B01F29"/>
    <w:rsid w:val="00B0359D"/>
    <w:rsid w:val="00B05EE7"/>
    <w:rsid w:val="00B13230"/>
    <w:rsid w:val="00B222A6"/>
    <w:rsid w:val="00B22B35"/>
    <w:rsid w:val="00B230A4"/>
    <w:rsid w:val="00B25F77"/>
    <w:rsid w:val="00B2727F"/>
    <w:rsid w:val="00B27411"/>
    <w:rsid w:val="00B27B28"/>
    <w:rsid w:val="00B32D33"/>
    <w:rsid w:val="00B33788"/>
    <w:rsid w:val="00B34096"/>
    <w:rsid w:val="00B3691C"/>
    <w:rsid w:val="00B45D37"/>
    <w:rsid w:val="00B47D10"/>
    <w:rsid w:val="00B5296C"/>
    <w:rsid w:val="00B6065B"/>
    <w:rsid w:val="00B6096D"/>
    <w:rsid w:val="00B60EFC"/>
    <w:rsid w:val="00B65035"/>
    <w:rsid w:val="00B65764"/>
    <w:rsid w:val="00B856FC"/>
    <w:rsid w:val="00B86104"/>
    <w:rsid w:val="00B95E0E"/>
    <w:rsid w:val="00B9615A"/>
    <w:rsid w:val="00BA4EDD"/>
    <w:rsid w:val="00BB1781"/>
    <w:rsid w:val="00BB26F7"/>
    <w:rsid w:val="00BC0A5F"/>
    <w:rsid w:val="00BC33BA"/>
    <w:rsid w:val="00BD2270"/>
    <w:rsid w:val="00BD2C6B"/>
    <w:rsid w:val="00BD4CFE"/>
    <w:rsid w:val="00BD56AF"/>
    <w:rsid w:val="00BD5EF1"/>
    <w:rsid w:val="00BD6365"/>
    <w:rsid w:val="00BE0123"/>
    <w:rsid w:val="00BE082C"/>
    <w:rsid w:val="00BE1009"/>
    <w:rsid w:val="00BE102F"/>
    <w:rsid w:val="00BE29DC"/>
    <w:rsid w:val="00BE6393"/>
    <w:rsid w:val="00BE6CBB"/>
    <w:rsid w:val="00BF3C45"/>
    <w:rsid w:val="00BF4FF8"/>
    <w:rsid w:val="00C00028"/>
    <w:rsid w:val="00C0514D"/>
    <w:rsid w:val="00C0518B"/>
    <w:rsid w:val="00C117C0"/>
    <w:rsid w:val="00C1339F"/>
    <w:rsid w:val="00C14007"/>
    <w:rsid w:val="00C21A28"/>
    <w:rsid w:val="00C228D9"/>
    <w:rsid w:val="00C317AF"/>
    <w:rsid w:val="00C328C5"/>
    <w:rsid w:val="00C33DC0"/>
    <w:rsid w:val="00C348B1"/>
    <w:rsid w:val="00C35D79"/>
    <w:rsid w:val="00C368CC"/>
    <w:rsid w:val="00C44417"/>
    <w:rsid w:val="00C477E8"/>
    <w:rsid w:val="00C509EF"/>
    <w:rsid w:val="00C50B68"/>
    <w:rsid w:val="00C50ED7"/>
    <w:rsid w:val="00C53D48"/>
    <w:rsid w:val="00C540F9"/>
    <w:rsid w:val="00C54AE3"/>
    <w:rsid w:val="00C5512F"/>
    <w:rsid w:val="00C62A42"/>
    <w:rsid w:val="00C66536"/>
    <w:rsid w:val="00C70E7D"/>
    <w:rsid w:val="00C70ED9"/>
    <w:rsid w:val="00C72839"/>
    <w:rsid w:val="00C72BAB"/>
    <w:rsid w:val="00C74B67"/>
    <w:rsid w:val="00C7679B"/>
    <w:rsid w:val="00C77EF6"/>
    <w:rsid w:val="00C8181A"/>
    <w:rsid w:val="00C84AF8"/>
    <w:rsid w:val="00C875F3"/>
    <w:rsid w:val="00C938E8"/>
    <w:rsid w:val="00C94B45"/>
    <w:rsid w:val="00C94D7F"/>
    <w:rsid w:val="00C955E4"/>
    <w:rsid w:val="00C97E88"/>
    <w:rsid w:val="00CA1A1A"/>
    <w:rsid w:val="00CB2290"/>
    <w:rsid w:val="00CB3D06"/>
    <w:rsid w:val="00CB44D1"/>
    <w:rsid w:val="00CB5392"/>
    <w:rsid w:val="00CB57AB"/>
    <w:rsid w:val="00CB7A65"/>
    <w:rsid w:val="00CC0A6B"/>
    <w:rsid w:val="00CC54E2"/>
    <w:rsid w:val="00CC7E33"/>
    <w:rsid w:val="00CD2185"/>
    <w:rsid w:val="00CD48F5"/>
    <w:rsid w:val="00CD51C9"/>
    <w:rsid w:val="00CD60FE"/>
    <w:rsid w:val="00CE50E3"/>
    <w:rsid w:val="00CF33EA"/>
    <w:rsid w:val="00CF3E08"/>
    <w:rsid w:val="00D02A97"/>
    <w:rsid w:val="00D12BB9"/>
    <w:rsid w:val="00D13D09"/>
    <w:rsid w:val="00D153A6"/>
    <w:rsid w:val="00D21FD6"/>
    <w:rsid w:val="00D2650D"/>
    <w:rsid w:val="00D34C48"/>
    <w:rsid w:val="00D40560"/>
    <w:rsid w:val="00D5014B"/>
    <w:rsid w:val="00D66B63"/>
    <w:rsid w:val="00D717AE"/>
    <w:rsid w:val="00D742CC"/>
    <w:rsid w:val="00D74F2C"/>
    <w:rsid w:val="00D75E58"/>
    <w:rsid w:val="00D77D60"/>
    <w:rsid w:val="00D85CA4"/>
    <w:rsid w:val="00D93FCB"/>
    <w:rsid w:val="00D95B36"/>
    <w:rsid w:val="00D97489"/>
    <w:rsid w:val="00DA6E13"/>
    <w:rsid w:val="00DB1EF8"/>
    <w:rsid w:val="00DB4A02"/>
    <w:rsid w:val="00DB7A2E"/>
    <w:rsid w:val="00DC2773"/>
    <w:rsid w:val="00DC2815"/>
    <w:rsid w:val="00DC35EF"/>
    <w:rsid w:val="00DC4644"/>
    <w:rsid w:val="00DC747C"/>
    <w:rsid w:val="00DD3871"/>
    <w:rsid w:val="00DD3A14"/>
    <w:rsid w:val="00DD53E4"/>
    <w:rsid w:val="00DD626E"/>
    <w:rsid w:val="00DE0E29"/>
    <w:rsid w:val="00DE3A64"/>
    <w:rsid w:val="00DE4958"/>
    <w:rsid w:val="00DE5E0C"/>
    <w:rsid w:val="00DE6EA2"/>
    <w:rsid w:val="00DF0153"/>
    <w:rsid w:val="00DF50A4"/>
    <w:rsid w:val="00DF582D"/>
    <w:rsid w:val="00DF5DE8"/>
    <w:rsid w:val="00E01F82"/>
    <w:rsid w:val="00E029ED"/>
    <w:rsid w:val="00E06E44"/>
    <w:rsid w:val="00E1448C"/>
    <w:rsid w:val="00E154E0"/>
    <w:rsid w:val="00E2235C"/>
    <w:rsid w:val="00E35303"/>
    <w:rsid w:val="00E35FC5"/>
    <w:rsid w:val="00E4530E"/>
    <w:rsid w:val="00E47A46"/>
    <w:rsid w:val="00E516A5"/>
    <w:rsid w:val="00E53A05"/>
    <w:rsid w:val="00E55189"/>
    <w:rsid w:val="00E55D9B"/>
    <w:rsid w:val="00E606A0"/>
    <w:rsid w:val="00E64098"/>
    <w:rsid w:val="00E70427"/>
    <w:rsid w:val="00E71B24"/>
    <w:rsid w:val="00E7305B"/>
    <w:rsid w:val="00E73DA8"/>
    <w:rsid w:val="00E82912"/>
    <w:rsid w:val="00E83FE2"/>
    <w:rsid w:val="00E91B6D"/>
    <w:rsid w:val="00E94768"/>
    <w:rsid w:val="00E94A84"/>
    <w:rsid w:val="00E9708B"/>
    <w:rsid w:val="00EA09CC"/>
    <w:rsid w:val="00EA450C"/>
    <w:rsid w:val="00EA5947"/>
    <w:rsid w:val="00EA5C47"/>
    <w:rsid w:val="00EB2265"/>
    <w:rsid w:val="00EB4209"/>
    <w:rsid w:val="00ED143D"/>
    <w:rsid w:val="00ED3709"/>
    <w:rsid w:val="00ED40E2"/>
    <w:rsid w:val="00ED684B"/>
    <w:rsid w:val="00EF05A3"/>
    <w:rsid w:val="00EF2E02"/>
    <w:rsid w:val="00EF5B1A"/>
    <w:rsid w:val="00F06C59"/>
    <w:rsid w:val="00F10E73"/>
    <w:rsid w:val="00F1679F"/>
    <w:rsid w:val="00F22452"/>
    <w:rsid w:val="00F24203"/>
    <w:rsid w:val="00F25F7A"/>
    <w:rsid w:val="00F276F1"/>
    <w:rsid w:val="00F3018E"/>
    <w:rsid w:val="00F3223A"/>
    <w:rsid w:val="00F344EA"/>
    <w:rsid w:val="00F35ED4"/>
    <w:rsid w:val="00F41C61"/>
    <w:rsid w:val="00F601C7"/>
    <w:rsid w:val="00F64A27"/>
    <w:rsid w:val="00F70786"/>
    <w:rsid w:val="00F70C57"/>
    <w:rsid w:val="00F71418"/>
    <w:rsid w:val="00F74C80"/>
    <w:rsid w:val="00F76EC7"/>
    <w:rsid w:val="00F8160C"/>
    <w:rsid w:val="00F95940"/>
    <w:rsid w:val="00F959C7"/>
    <w:rsid w:val="00FA09D8"/>
    <w:rsid w:val="00FA1321"/>
    <w:rsid w:val="00FB1A74"/>
    <w:rsid w:val="00FB746E"/>
    <w:rsid w:val="00FC0BEB"/>
    <w:rsid w:val="00FC1379"/>
    <w:rsid w:val="00FC4510"/>
    <w:rsid w:val="00FC7284"/>
    <w:rsid w:val="00FD0563"/>
    <w:rsid w:val="00FD09FE"/>
    <w:rsid w:val="00FD113A"/>
    <w:rsid w:val="00FD18D6"/>
    <w:rsid w:val="00FD219C"/>
    <w:rsid w:val="00FD21CC"/>
    <w:rsid w:val="00FD3453"/>
    <w:rsid w:val="00FD45EF"/>
    <w:rsid w:val="00FD590B"/>
    <w:rsid w:val="00FD5ECC"/>
    <w:rsid w:val="00FD5F13"/>
    <w:rsid w:val="00FD63B8"/>
    <w:rsid w:val="00FD73F4"/>
    <w:rsid w:val="00FE358C"/>
    <w:rsid w:val="00FE578E"/>
    <w:rsid w:val="00FE7E30"/>
    <w:rsid w:val="00FF2041"/>
    <w:rsid w:val="00FF7F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8436948"/>
  <w15:chartTrackingRefBased/>
  <w15:docId w15:val="{E98785DD-9549-4CA0-B608-DF6696D3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523"/>
    <w:pPr>
      <w:spacing w:after="180" w:line="264" w:lineRule="auto"/>
    </w:pPr>
    <w:rPr>
      <w:rFonts w:ascii="Times New Roman" w:eastAsia="Times New Roman" w:hAnsi="Times New Roman" w:cs="Times New Roman"/>
      <w:szCs w:val="20"/>
    </w:rPr>
  </w:style>
  <w:style w:type="paragraph" w:styleId="Heading1">
    <w:name w:val="heading 1"/>
    <w:aliases w:val="Abt Heading A"/>
    <w:basedOn w:val="Normal"/>
    <w:next w:val="BodyText"/>
    <w:link w:val="Heading1Char"/>
    <w:qFormat/>
    <w:rsid w:val="004E19B2"/>
    <w:pPr>
      <w:keepNext/>
      <w:keepLines/>
      <w:pageBreakBefore/>
      <w:numPr>
        <w:numId w:val="3"/>
      </w:numPr>
      <w:shd w:val="clear" w:color="auto" w:fill="C00000"/>
      <w:outlineLvl w:val="0"/>
    </w:pPr>
    <w:rPr>
      <w:rFonts w:ascii="Arial" w:hAnsi="Arial"/>
      <w:b/>
      <w:color w:val="FFFFFF"/>
      <w:kern w:val="28"/>
      <w:sz w:val="28"/>
    </w:rPr>
  </w:style>
  <w:style w:type="paragraph" w:styleId="Heading2">
    <w:name w:val="heading 2"/>
    <w:basedOn w:val="Normal"/>
    <w:next w:val="BodyText"/>
    <w:link w:val="Heading2Char"/>
    <w:qFormat/>
    <w:rsid w:val="004E19B2"/>
    <w:pPr>
      <w:keepNext/>
      <w:numPr>
        <w:ilvl w:val="1"/>
        <w:numId w:val="3"/>
      </w:numPr>
      <w:pBdr>
        <w:top w:val="single" w:sz="6" w:space="0"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4E19B2"/>
    <w:pPr>
      <w:keepNext/>
      <w:numPr>
        <w:ilvl w:val="2"/>
        <w:numId w:val="3"/>
      </w:numPr>
      <w:tabs>
        <w:tab w:val="clear" w:pos="5040"/>
        <w:tab w:val="num" w:pos="720"/>
      </w:tabs>
      <w:spacing w:before="60" w:after="120"/>
      <w:ind w:left="720"/>
      <w:outlineLvl w:val="2"/>
    </w:pPr>
    <w:rPr>
      <w:rFonts w:ascii="Arial" w:hAnsi="Arial"/>
      <w:b/>
      <w:color w:val="000000" w:themeColor="text1"/>
      <w:sz w:val="20"/>
    </w:rPr>
  </w:style>
  <w:style w:type="paragraph" w:styleId="Heading4">
    <w:name w:val="heading 4"/>
    <w:basedOn w:val="Normal"/>
    <w:next w:val="BodyText"/>
    <w:link w:val="Heading4Char"/>
    <w:qFormat/>
    <w:rsid w:val="004E19B2"/>
    <w:pPr>
      <w:keepNext/>
      <w:numPr>
        <w:ilvl w:val="3"/>
        <w:numId w:val="3"/>
      </w:numPr>
      <w:spacing w:before="60" w:after="60"/>
      <w:outlineLvl w:val="3"/>
    </w:pPr>
    <w:rPr>
      <w:b/>
      <w:i/>
    </w:rPr>
  </w:style>
  <w:style w:type="paragraph" w:styleId="Heading5">
    <w:name w:val="heading 5"/>
    <w:basedOn w:val="Normal"/>
    <w:next w:val="BodyText"/>
    <w:link w:val="Heading5Char"/>
    <w:qFormat/>
    <w:rsid w:val="004E19B2"/>
    <w:pPr>
      <w:keepNext/>
      <w:keepLines/>
      <w:numPr>
        <w:ilvl w:val="4"/>
        <w:numId w:val="3"/>
      </w:numPr>
      <w:spacing w:before="60" w:after="120"/>
      <w:outlineLvl w:val="4"/>
    </w:pPr>
    <w:rPr>
      <w:b/>
      <w:i/>
      <w:color w:val="DA291C"/>
    </w:rPr>
  </w:style>
  <w:style w:type="paragraph" w:styleId="Heading6">
    <w:name w:val="heading 6"/>
    <w:basedOn w:val="Normal"/>
    <w:next w:val="Normal"/>
    <w:link w:val="Heading6Char"/>
    <w:qFormat/>
    <w:rsid w:val="004E19B2"/>
    <w:pPr>
      <w:numPr>
        <w:ilvl w:val="5"/>
        <w:numId w:val="3"/>
      </w:numPr>
      <w:spacing w:before="60" w:after="60"/>
      <w:outlineLvl w:val="5"/>
    </w:pPr>
    <w:rPr>
      <w:b/>
      <w:bCs/>
      <w:szCs w:val="22"/>
    </w:rPr>
  </w:style>
  <w:style w:type="paragraph" w:styleId="Heading7">
    <w:name w:val="heading 7"/>
    <w:basedOn w:val="Normal"/>
    <w:next w:val="Normal"/>
    <w:link w:val="Heading7Char"/>
    <w:qFormat/>
    <w:rsid w:val="004E19B2"/>
    <w:pPr>
      <w:numPr>
        <w:ilvl w:val="6"/>
        <w:numId w:val="3"/>
      </w:numPr>
      <w:spacing w:before="240" w:after="60"/>
      <w:outlineLvl w:val="6"/>
    </w:pPr>
    <w:rPr>
      <w:sz w:val="24"/>
      <w:szCs w:val="24"/>
    </w:rPr>
  </w:style>
  <w:style w:type="paragraph" w:styleId="Heading8">
    <w:name w:val="heading 8"/>
    <w:basedOn w:val="Normal"/>
    <w:next w:val="Normal"/>
    <w:link w:val="Heading8Char"/>
    <w:qFormat/>
    <w:rsid w:val="004E19B2"/>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4E19B2"/>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rsid w:val="004E19B2"/>
    <w:rPr>
      <w:rFonts w:ascii="Arial" w:eastAsia="Times New Roman" w:hAnsi="Arial" w:cs="Times New Roman"/>
      <w:b/>
      <w:color w:val="FFFFFF"/>
      <w:kern w:val="28"/>
      <w:sz w:val="28"/>
      <w:szCs w:val="20"/>
      <w:shd w:val="clear" w:color="auto" w:fill="C00000"/>
    </w:rPr>
  </w:style>
  <w:style w:type="character" w:customStyle="1" w:styleId="Heading2Char">
    <w:name w:val="Heading 2 Char"/>
    <w:basedOn w:val="DefaultParagraphFont"/>
    <w:link w:val="Heading2"/>
    <w:rsid w:val="004E19B2"/>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4E19B2"/>
    <w:rPr>
      <w:rFonts w:ascii="Arial" w:eastAsia="Times New Roman" w:hAnsi="Arial" w:cs="Times New Roman"/>
      <w:b/>
      <w:color w:val="000000" w:themeColor="text1"/>
      <w:sz w:val="20"/>
      <w:szCs w:val="20"/>
    </w:rPr>
  </w:style>
  <w:style w:type="character" w:customStyle="1" w:styleId="Heading4Char">
    <w:name w:val="Heading 4 Char"/>
    <w:basedOn w:val="DefaultParagraphFont"/>
    <w:link w:val="Heading4"/>
    <w:rsid w:val="004E19B2"/>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4E19B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4E19B2"/>
    <w:rPr>
      <w:rFonts w:ascii="Times New Roman" w:eastAsia="Times New Roman" w:hAnsi="Times New Roman" w:cs="Times New Roman"/>
      <w:b/>
      <w:bCs/>
    </w:rPr>
  </w:style>
  <w:style w:type="character" w:customStyle="1" w:styleId="Heading7Char">
    <w:name w:val="Heading 7 Char"/>
    <w:basedOn w:val="DefaultParagraphFont"/>
    <w:link w:val="Heading7"/>
    <w:rsid w:val="004E19B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E19B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E19B2"/>
    <w:rPr>
      <w:rFonts w:ascii="Arial" w:eastAsia="Times New Roman" w:hAnsi="Arial" w:cs="Arial"/>
    </w:rPr>
  </w:style>
  <w:style w:type="paragraph" w:styleId="Footer">
    <w:name w:val="footer"/>
    <w:basedOn w:val="Normal"/>
    <w:link w:val="FooterChar"/>
    <w:rsid w:val="00826523"/>
    <w:pPr>
      <w:pBdr>
        <w:top w:val="single" w:sz="12" w:space="1" w:color="898D8D"/>
      </w:pBdr>
      <w:tabs>
        <w:tab w:val="center" w:pos="4507"/>
        <w:tab w:val="right" w:pos="9000"/>
      </w:tabs>
      <w:spacing w:after="0" w:line="240" w:lineRule="auto"/>
    </w:pPr>
    <w:rPr>
      <w:rFonts w:ascii="Arial" w:hAnsi="Arial"/>
      <w:b/>
      <w:color w:val="DA291C"/>
      <w:sz w:val="18"/>
    </w:rPr>
  </w:style>
  <w:style w:type="character" w:customStyle="1" w:styleId="FooterChar">
    <w:name w:val="Footer Char"/>
    <w:basedOn w:val="DefaultParagraphFont"/>
    <w:link w:val="Footer"/>
    <w:rsid w:val="00826523"/>
    <w:rPr>
      <w:rFonts w:ascii="Arial" w:eastAsia="Times New Roman" w:hAnsi="Arial" w:cs="Times New Roman"/>
      <w:b/>
      <w:color w:val="DA291C"/>
      <w:sz w:val="18"/>
      <w:szCs w:val="20"/>
    </w:rPr>
  </w:style>
  <w:style w:type="paragraph" w:customStyle="1" w:styleId="ExhibitRowHeader">
    <w:name w:val="Exhibit Row Header"/>
    <w:basedOn w:val="BodyText"/>
    <w:rsid w:val="004E19B2"/>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4E19B2"/>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4E19B2"/>
    <w:rPr>
      <w:rFonts w:ascii="Times New Roman" w:eastAsia="Times New Roman" w:hAnsi="Times New Roman" w:cs="Times New Roman"/>
      <w:szCs w:val="20"/>
    </w:rPr>
  </w:style>
  <w:style w:type="character" w:styleId="PageNumber">
    <w:name w:val="page number"/>
    <w:basedOn w:val="DefaultParagraphFont"/>
    <w:rsid w:val="004E19B2"/>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4E19B2"/>
    <w:pPr>
      <w:spacing w:after="180"/>
    </w:pPr>
  </w:style>
  <w:style w:type="paragraph" w:customStyle="1" w:styleId="Bullets">
    <w:name w:val="Bullets"/>
    <w:basedOn w:val="BodyText"/>
    <w:rsid w:val="00ED143D"/>
    <w:pPr>
      <w:numPr>
        <w:numId w:val="5"/>
      </w:numPr>
      <w:spacing w:after="120"/>
      <w:ind w:left="360"/>
    </w:pPr>
  </w:style>
  <w:style w:type="paragraph" w:customStyle="1" w:styleId="RefNumbers">
    <w:name w:val="Ref Numbers"/>
    <w:basedOn w:val="BodyText"/>
    <w:rsid w:val="004E19B2"/>
    <w:pPr>
      <w:numPr>
        <w:numId w:val="2"/>
      </w:numPr>
      <w:spacing w:after="240"/>
    </w:pPr>
  </w:style>
  <w:style w:type="paragraph" w:styleId="Header">
    <w:name w:val="header"/>
    <w:basedOn w:val="Normal"/>
    <w:link w:val="HeaderChar"/>
    <w:uiPriority w:val="99"/>
    <w:rsid w:val="004E19B2"/>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4E19B2"/>
    <w:rPr>
      <w:rFonts w:ascii="Arial" w:eastAsia="Times New Roman" w:hAnsi="Arial" w:cs="Times New Roman"/>
      <w:b/>
      <w:color w:val="595959" w:themeColor="text1" w:themeTint="A6"/>
      <w:sz w:val="18"/>
      <w:szCs w:val="20"/>
    </w:rPr>
  </w:style>
  <w:style w:type="paragraph" w:styleId="TOC1">
    <w:name w:val="toc 1"/>
    <w:basedOn w:val="BodyText"/>
    <w:next w:val="BodyText"/>
    <w:uiPriority w:val="39"/>
    <w:rsid w:val="004E19B2"/>
    <w:pPr>
      <w:spacing w:before="240"/>
    </w:pPr>
    <w:rPr>
      <w:b/>
    </w:rPr>
  </w:style>
  <w:style w:type="character" w:styleId="CommentReference">
    <w:name w:val="annotation reference"/>
    <w:basedOn w:val="DefaultParagraphFont"/>
    <w:uiPriority w:val="99"/>
    <w:rsid w:val="004E19B2"/>
    <w:rPr>
      <w:sz w:val="16"/>
    </w:rPr>
  </w:style>
  <w:style w:type="paragraph" w:styleId="TOC2">
    <w:name w:val="toc 2"/>
    <w:basedOn w:val="BodyText"/>
    <w:next w:val="BodyText"/>
    <w:uiPriority w:val="39"/>
    <w:rsid w:val="004E19B2"/>
    <w:pPr>
      <w:spacing w:before="60" w:after="0"/>
      <w:ind w:left="576"/>
    </w:pPr>
  </w:style>
  <w:style w:type="paragraph" w:styleId="TOC3">
    <w:name w:val="toc 3"/>
    <w:basedOn w:val="BodyText"/>
    <w:next w:val="BodyText"/>
    <w:uiPriority w:val="39"/>
    <w:rsid w:val="004E19B2"/>
    <w:pPr>
      <w:spacing w:after="0"/>
      <w:ind w:left="1152"/>
    </w:pPr>
  </w:style>
  <w:style w:type="paragraph" w:styleId="TOC4">
    <w:name w:val="toc 4"/>
    <w:basedOn w:val="BodyText"/>
    <w:next w:val="BodyText"/>
    <w:semiHidden/>
    <w:rsid w:val="004E19B2"/>
    <w:pPr>
      <w:ind w:left="1728"/>
    </w:pPr>
  </w:style>
  <w:style w:type="paragraph" w:styleId="TOC5">
    <w:name w:val="toc 5"/>
    <w:basedOn w:val="Normal"/>
    <w:next w:val="Normal"/>
    <w:autoRedefine/>
    <w:semiHidden/>
    <w:rsid w:val="004E19B2"/>
    <w:pPr>
      <w:ind w:left="960"/>
    </w:pPr>
  </w:style>
  <w:style w:type="paragraph" w:styleId="TOC6">
    <w:name w:val="toc 6"/>
    <w:basedOn w:val="Normal"/>
    <w:next w:val="Normal"/>
    <w:autoRedefine/>
    <w:semiHidden/>
    <w:rsid w:val="004E19B2"/>
    <w:pPr>
      <w:ind w:left="1200"/>
    </w:pPr>
  </w:style>
  <w:style w:type="paragraph" w:styleId="TOC7">
    <w:name w:val="toc 7"/>
    <w:basedOn w:val="Normal"/>
    <w:next w:val="Normal"/>
    <w:autoRedefine/>
    <w:semiHidden/>
    <w:rsid w:val="004E19B2"/>
    <w:pPr>
      <w:ind w:left="1440"/>
    </w:pPr>
  </w:style>
  <w:style w:type="paragraph" w:styleId="TOC8">
    <w:name w:val="toc 8"/>
    <w:basedOn w:val="Normal"/>
    <w:next w:val="Normal"/>
    <w:autoRedefine/>
    <w:semiHidden/>
    <w:rsid w:val="004E19B2"/>
    <w:pPr>
      <w:ind w:left="1680"/>
    </w:pPr>
  </w:style>
  <w:style w:type="paragraph" w:styleId="TOC9">
    <w:name w:val="toc 9"/>
    <w:basedOn w:val="Normal"/>
    <w:next w:val="Normal"/>
    <w:autoRedefine/>
    <w:semiHidden/>
    <w:rsid w:val="004E19B2"/>
    <w:pPr>
      <w:ind w:left="1920"/>
    </w:pPr>
  </w:style>
  <w:style w:type="character" w:styleId="FootnoteReference">
    <w:name w:val="footnote reference"/>
    <w:aliases w:val="*Footnote Reference,fr,footnote reference,Diss. Footnote Reference"/>
    <w:basedOn w:val="DefaultParagraphFont"/>
    <w:uiPriority w:val="99"/>
    <w:qFormat/>
    <w:rsid w:val="004E19B2"/>
    <w:rPr>
      <w:vertAlign w:val="superscript"/>
    </w:rPr>
  </w:style>
  <w:style w:type="paragraph" w:customStyle="1" w:styleId="Exhibit">
    <w:name w:val="Exhibit"/>
    <w:basedOn w:val="Normal"/>
    <w:rsid w:val="004E19B2"/>
    <w:rPr>
      <w:rFonts w:ascii="Arial" w:hAnsi="Arial"/>
      <w:sz w:val="18"/>
    </w:rPr>
  </w:style>
  <w:style w:type="paragraph" w:styleId="FootnoteText">
    <w:name w:val="footnote text"/>
    <w:aliases w:val="F1,*Footnote Text,Footnote Text Char1,Footnote Text Char Char,fn,ft,figure or table,Footnote Text r,footnote text,Footnote Text2,F"/>
    <w:basedOn w:val="Normal"/>
    <w:link w:val="FootnoteTextChar"/>
    <w:uiPriority w:val="99"/>
    <w:qFormat/>
    <w:rsid w:val="004E19B2"/>
    <w:pPr>
      <w:spacing w:after="120"/>
      <w:ind w:left="360" w:hanging="360"/>
    </w:pPr>
    <w:rPr>
      <w:sz w:val="20"/>
    </w:rPr>
  </w:style>
  <w:style w:type="character" w:customStyle="1" w:styleId="FootnoteTextChar">
    <w:name w:val="Footnote Text Char"/>
    <w:aliases w:val="F1 Char,*Footnote Text Char,Footnote Text Char1 Char,Footnote Text Char Char Char,fn Char,ft Char,figure or table Char,Footnote Text r Char,footnote text Char,Footnote Text2 Char,F Char"/>
    <w:basedOn w:val="DefaultParagraphFont"/>
    <w:link w:val="FootnoteText"/>
    <w:uiPriority w:val="99"/>
    <w:rsid w:val="004E19B2"/>
    <w:rPr>
      <w:rFonts w:ascii="Times New Roman" w:eastAsia="Times New Roman" w:hAnsi="Times New Roman" w:cs="Times New Roman"/>
      <w:sz w:val="20"/>
      <w:szCs w:val="20"/>
    </w:rPr>
  </w:style>
  <w:style w:type="paragraph" w:styleId="Index1">
    <w:name w:val="index 1"/>
    <w:basedOn w:val="Normal"/>
    <w:next w:val="Normal"/>
    <w:autoRedefine/>
    <w:semiHidden/>
    <w:rsid w:val="004E19B2"/>
    <w:pPr>
      <w:ind w:left="220" w:hanging="220"/>
    </w:pPr>
    <w:rPr>
      <w:sz w:val="20"/>
    </w:rPr>
  </w:style>
  <w:style w:type="paragraph" w:styleId="Index2">
    <w:name w:val="index 2"/>
    <w:basedOn w:val="Normal"/>
    <w:next w:val="Normal"/>
    <w:autoRedefine/>
    <w:semiHidden/>
    <w:rsid w:val="004E19B2"/>
    <w:pPr>
      <w:ind w:left="440" w:hanging="220"/>
    </w:pPr>
    <w:rPr>
      <w:sz w:val="20"/>
    </w:rPr>
  </w:style>
  <w:style w:type="paragraph" w:styleId="Index3">
    <w:name w:val="index 3"/>
    <w:basedOn w:val="Normal"/>
    <w:next w:val="Normal"/>
    <w:autoRedefine/>
    <w:semiHidden/>
    <w:rsid w:val="004E19B2"/>
    <w:pPr>
      <w:ind w:left="660" w:hanging="220"/>
    </w:pPr>
    <w:rPr>
      <w:sz w:val="20"/>
    </w:rPr>
  </w:style>
  <w:style w:type="paragraph" w:customStyle="1" w:styleId="Numbers">
    <w:name w:val="Numbers"/>
    <w:basedOn w:val="BodyText"/>
    <w:rsid w:val="004E19B2"/>
    <w:pPr>
      <w:numPr>
        <w:numId w:val="1"/>
      </w:numPr>
      <w:ind w:left="720"/>
    </w:pPr>
  </w:style>
  <w:style w:type="paragraph" w:customStyle="1" w:styleId="BoxText">
    <w:name w:val="Box Text"/>
    <w:basedOn w:val="BodyText"/>
    <w:rsid w:val="004E19B2"/>
    <w:rPr>
      <w:rFonts w:ascii="Arial" w:hAnsi="Arial" w:cs="Arial"/>
      <w:sz w:val="18"/>
    </w:rPr>
  </w:style>
  <w:style w:type="paragraph" w:styleId="CommentText">
    <w:name w:val="annotation text"/>
    <w:basedOn w:val="Normal"/>
    <w:link w:val="CommentTextChar"/>
    <w:uiPriority w:val="99"/>
    <w:rsid w:val="004E19B2"/>
    <w:rPr>
      <w:sz w:val="20"/>
    </w:rPr>
  </w:style>
  <w:style w:type="character" w:customStyle="1" w:styleId="CommentTextChar">
    <w:name w:val="Comment Text Char"/>
    <w:basedOn w:val="DefaultParagraphFont"/>
    <w:link w:val="CommentText"/>
    <w:uiPriority w:val="99"/>
    <w:rsid w:val="004E19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E19B2"/>
    <w:rPr>
      <w:b/>
      <w:bCs/>
    </w:rPr>
  </w:style>
  <w:style w:type="character" w:customStyle="1" w:styleId="CommentSubjectChar">
    <w:name w:val="Comment Subject Char"/>
    <w:basedOn w:val="CommentTextChar"/>
    <w:link w:val="CommentSubject"/>
    <w:semiHidden/>
    <w:rsid w:val="004E19B2"/>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E19B2"/>
    <w:rPr>
      <w:rFonts w:ascii="Tahoma" w:hAnsi="Tahoma" w:cs="Tahoma"/>
      <w:sz w:val="16"/>
      <w:szCs w:val="16"/>
    </w:rPr>
  </w:style>
  <w:style w:type="character" w:customStyle="1" w:styleId="BalloonTextChar">
    <w:name w:val="Balloon Text Char"/>
    <w:basedOn w:val="DefaultParagraphFont"/>
    <w:link w:val="BalloonText"/>
    <w:semiHidden/>
    <w:rsid w:val="004E19B2"/>
    <w:rPr>
      <w:rFonts w:ascii="Tahoma" w:eastAsia="Times New Roman" w:hAnsi="Tahoma" w:cs="Tahoma"/>
      <w:sz w:val="16"/>
      <w:szCs w:val="16"/>
    </w:rPr>
  </w:style>
  <w:style w:type="table" w:styleId="TableGrid">
    <w:name w:val="Table Grid"/>
    <w:basedOn w:val="TableNormal"/>
    <w:uiPriority w:val="59"/>
    <w:rsid w:val="004E19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E19B2"/>
    <w:rPr>
      <w:color w:val="0000FF"/>
      <w:u w:val="single"/>
    </w:rPr>
  </w:style>
  <w:style w:type="paragraph" w:customStyle="1" w:styleId="TOCHeader">
    <w:name w:val="TOC Header"/>
    <w:basedOn w:val="Normal"/>
    <w:next w:val="BodyText"/>
    <w:rsid w:val="004E19B2"/>
    <w:rPr>
      <w:rFonts w:ascii="Arial" w:hAnsi="Arial"/>
      <w:b/>
      <w:color w:val="898D8D"/>
      <w:sz w:val="24"/>
    </w:rPr>
  </w:style>
  <w:style w:type="paragraph" w:customStyle="1" w:styleId="ReportTitle-TOCPage">
    <w:name w:val="Report Title - TOC Page"/>
    <w:basedOn w:val="Normal"/>
    <w:next w:val="BodyText"/>
    <w:rsid w:val="004E19B2"/>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link w:val="CaptionChar"/>
    <w:qFormat/>
    <w:rsid w:val="004E19B2"/>
    <w:pPr>
      <w:spacing w:after="120" w:line="240" w:lineRule="auto"/>
    </w:pPr>
    <w:rPr>
      <w:rFonts w:ascii="Arial" w:hAnsi="Arial" w:cs="Arial"/>
      <w:b/>
      <w:szCs w:val="24"/>
    </w:rPr>
  </w:style>
  <w:style w:type="paragraph" w:customStyle="1" w:styleId="FooterLandscape">
    <w:name w:val="Footer Landscape"/>
    <w:basedOn w:val="Footer"/>
    <w:rsid w:val="004E19B2"/>
    <w:pPr>
      <w:tabs>
        <w:tab w:val="clear" w:pos="4507"/>
        <w:tab w:val="clear" w:pos="9000"/>
        <w:tab w:val="center" w:pos="6480"/>
        <w:tab w:val="right" w:pos="12960"/>
      </w:tabs>
    </w:pPr>
  </w:style>
  <w:style w:type="paragraph" w:customStyle="1" w:styleId="CoverTechorBusiness">
    <w:name w:val="Cover Tech or Business"/>
    <w:basedOn w:val="Normal"/>
    <w:qFormat/>
    <w:rsid w:val="004E19B2"/>
    <w:pPr>
      <w:shd w:val="solid" w:color="FFFFFF" w:fill="FFFFFF"/>
      <w:spacing w:line="276" w:lineRule="auto"/>
      <w:jc w:val="right"/>
    </w:pPr>
    <w:rPr>
      <w:rFonts w:ascii="Arial" w:hAnsi="Arial"/>
      <w:color w:val="DA291C"/>
      <w:sz w:val="20"/>
    </w:rPr>
  </w:style>
  <w:style w:type="paragraph" w:customStyle="1" w:styleId="Bullet2">
    <w:name w:val="Bullet2"/>
    <w:basedOn w:val="Normal"/>
    <w:rsid w:val="004E19B2"/>
    <w:pPr>
      <w:numPr>
        <w:numId w:val="4"/>
      </w:numPr>
      <w:spacing w:after="120"/>
    </w:pPr>
  </w:style>
  <w:style w:type="paragraph" w:customStyle="1" w:styleId="ProposalTitle">
    <w:name w:val="Proposal Title"/>
    <w:basedOn w:val="Normal"/>
    <w:qFormat/>
    <w:rsid w:val="004E19B2"/>
    <w:pPr>
      <w:autoSpaceDE w:val="0"/>
      <w:autoSpaceDN w:val="0"/>
      <w:adjustRightInd w:val="0"/>
      <w:ind w:left="6696" w:right="-792"/>
    </w:pPr>
    <w:rPr>
      <w:b/>
      <w:sz w:val="32"/>
      <w:szCs w:val="32"/>
    </w:rPr>
  </w:style>
  <w:style w:type="paragraph" w:customStyle="1" w:styleId="RFPNumber">
    <w:name w:val="RFP Number"/>
    <w:basedOn w:val="Normal"/>
    <w:qFormat/>
    <w:rsid w:val="004E19B2"/>
    <w:pPr>
      <w:autoSpaceDE w:val="0"/>
      <w:autoSpaceDN w:val="0"/>
      <w:adjustRightInd w:val="0"/>
      <w:ind w:left="6696" w:right="-792"/>
    </w:pPr>
    <w:rPr>
      <w:sz w:val="32"/>
      <w:szCs w:val="32"/>
    </w:rPr>
  </w:style>
  <w:style w:type="paragraph" w:customStyle="1" w:styleId="CoverTextRed16pt">
    <w:name w:val="Cover Text  Red 16pt"/>
    <w:basedOn w:val="Normal"/>
    <w:qFormat/>
    <w:rsid w:val="004E19B2"/>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4E19B2"/>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4E19B2"/>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4E19B2"/>
    <w:rPr>
      <w:sz w:val="18"/>
      <w:szCs w:val="18"/>
    </w:rPr>
  </w:style>
  <w:style w:type="paragraph" w:customStyle="1" w:styleId="TableText">
    <w:name w:val="Table Text"/>
    <w:basedOn w:val="Normal"/>
    <w:qFormat/>
    <w:rsid w:val="004E19B2"/>
    <w:pPr>
      <w:spacing w:before="40" w:after="40"/>
    </w:pPr>
    <w:rPr>
      <w:rFonts w:ascii="Arial" w:hAnsi="Arial" w:cs="Arial"/>
      <w:bCs/>
      <w:color w:val="000000"/>
      <w:sz w:val="20"/>
    </w:rPr>
  </w:style>
  <w:style w:type="paragraph" w:customStyle="1" w:styleId="ExhibitSource">
    <w:name w:val="Exhibit Source"/>
    <w:basedOn w:val="Normal"/>
    <w:qFormat/>
    <w:rsid w:val="004E19B2"/>
    <w:pPr>
      <w:spacing w:before="120"/>
    </w:pPr>
    <w:rPr>
      <w:rFonts w:ascii="Arial" w:hAnsi="Arial" w:cs="Arial"/>
      <w:sz w:val="18"/>
    </w:rPr>
  </w:style>
  <w:style w:type="paragraph" w:customStyle="1" w:styleId="ExhibitText">
    <w:name w:val="Exhibit Text"/>
    <w:basedOn w:val="TableText"/>
    <w:qFormat/>
    <w:rsid w:val="004E19B2"/>
  </w:style>
  <w:style w:type="paragraph" w:customStyle="1" w:styleId="ExhibitColumnHeader">
    <w:name w:val="Exhibit Column Header"/>
    <w:basedOn w:val="ExhibitRowHeader"/>
    <w:qFormat/>
    <w:rsid w:val="004E19B2"/>
    <w:rPr>
      <w:color w:val="000000" w:themeColor="text1"/>
    </w:rPr>
  </w:style>
  <w:style w:type="paragraph" w:customStyle="1" w:styleId="CoverTextGreyBold">
    <w:name w:val="Cover Text Grey Bold"/>
    <w:basedOn w:val="Normal"/>
    <w:qFormat/>
    <w:rsid w:val="004E19B2"/>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4E19B2"/>
    <w:pPr>
      <w:shd w:val="solid" w:color="FFFFFF" w:fill="FFFFFF"/>
      <w:spacing w:line="240" w:lineRule="auto"/>
      <w:jc w:val="both"/>
    </w:pPr>
    <w:rPr>
      <w:rFonts w:ascii="Arial" w:hAnsi="Arial"/>
      <w:color w:val="000000"/>
      <w:sz w:val="18"/>
    </w:rPr>
  </w:style>
  <w:style w:type="paragraph" w:customStyle="1" w:styleId="NormalSS">
    <w:name w:val="NormalSS"/>
    <w:basedOn w:val="Normal"/>
    <w:qFormat/>
    <w:rsid w:val="004E19B2"/>
    <w:pPr>
      <w:tabs>
        <w:tab w:val="left" w:pos="432"/>
      </w:tabs>
      <w:spacing w:after="0" w:line="240" w:lineRule="auto"/>
      <w:ind w:firstLine="432"/>
      <w:jc w:val="both"/>
    </w:pPr>
    <w:rPr>
      <w:sz w:val="24"/>
      <w:szCs w:val="24"/>
    </w:rPr>
  </w:style>
  <w:style w:type="paragraph" w:customStyle="1" w:styleId="ExhibitTitle">
    <w:name w:val="Exhibit Title"/>
    <w:basedOn w:val="Caption"/>
    <w:next w:val="BodyText"/>
    <w:rsid w:val="004E19B2"/>
    <w:pPr>
      <w:spacing w:after="40"/>
    </w:pPr>
  </w:style>
  <w:style w:type="paragraph" w:styleId="ListParagraph">
    <w:name w:val="List Paragraph"/>
    <w:aliases w:val="Primary Bullet List,Bullets 3 pt"/>
    <w:basedOn w:val="Normal"/>
    <w:link w:val="ListParagraphChar"/>
    <w:uiPriority w:val="34"/>
    <w:qFormat/>
    <w:rsid w:val="004E19B2"/>
    <w:pPr>
      <w:numPr>
        <w:numId w:val="20"/>
      </w:numPr>
      <w:contextualSpacing/>
    </w:pPr>
  </w:style>
  <w:style w:type="character" w:customStyle="1" w:styleId="apple-style-span">
    <w:name w:val="apple-style-span"/>
    <w:basedOn w:val="DefaultParagraphFont"/>
    <w:rsid w:val="004E19B2"/>
  </w:style>
  <w:style w:type="paragraph" w:styleId="Revision">
    <w:name w:val="Revision"/>
    <w:hidden/>
    <w:uiPriority w:val="99"/>
    <w:semiHidden/>
    <w:rsid w:val="004E19B2"/>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4E19B2"/>
  </w:style>
  <w:style w:type="paragraph" w:styleId="TableofFigures">
    <w:name w:val="table of figures"/>
    <w:basedOn w:val="Normal"/>
    <w:next w:val="Normal"/>
    <w:uiPriority w:val="99"/>
    <w:rsid w:val="004E19B2"/>
    <w:pPr>
      <w:spacing w:after="0"/>
    </w:pPr>
  </w:style>
  <w:style w:type="paragraph" w:customStyle="1" w:styleId="FootnoteText1">
    <w:name w:val="Footnote Text1"/>
    <w:rsid w:val="004E19B2"/>
    <w:pPr>
      <w:spacing w:after="120" w:line="240" w:lineRule="auto"/>
      <w:ind w:left="360" w:hanging="360"/>
    </w:pPr>
    <w:rPr>
      <w:rFonts w:ascii="Times New Roman" w:eastAsia="ヒラギノ角ゴ Pro W3" w:hAnsi="Times New Roman" w:cs="Times New Roman"/>
      <w:color w:val="000000"/>
      <w:sz w:val="20"/>
      <w:szCs w:val="20"/>
    </w:rPr>
  </w:style>
  <w:style w:type="character" w:styleId="PlaceholderText">
    <w:name w:val="Placeholder Text"/>
    <w:basedOn w:val="DefaultParagraphFont"/>
    <w:uiPriority w:val="99"/>
    <w:semiHidden/>
    <w:rsid w:val="004E19B2"/>
    <w:rPr>
      <w:color w:val="808080"/>
    </w:rPr>
  </w:style>
  <w:style w:type="paragraph" w:customStyle="1" w:styleId="cAns">
    <w:name w:val="cAns"/>
    <w:basedOn w:val="Normal"/>
    <w:rsid w:val="004E19B2"/>
    <w:pPr>
      <w:numPr>
        <w:numId w:val="6"/>
      </w:numPr>
      <w:tabs>
        <w:tab w:val="left" w:pos="1170"/>
      </w:tabs>
      <w:spacing w:line="240" w:lineRule="auto"/>
    </w:pPr>
    <w:rPr>
      <w:rFonts w:ascii="Arial" w:hAnsi="Arial" w:cs="Arial"/>
      <w:sz w:val="20"/>
    </w:rPr>
  </w:style>
  <w:style w:type="paragraph" w:styleId="NormalWeb">
    <w:name w:val="Normal (Web)"/>
    <w:basedOn w:val="Normal"/>
    <w:uiPriority w:val="99"/>
    <w:unhideWhenUsed/>
    <w:rsid w:val="004E19B2"/>
    <w:pPr>
      <w:spacing w:before="100" w:beforeAutospacing="1" w:after="100" w:afterAutospacing="1" w:line="240" w:lineRule="auto"/>
    </w:pPr>
    <w:rPr>
      <w:rFonts w:eastAsiaTheme="minorEastAsia"/>
      <w:sz w:val="24"/>
      <w:szCs w:val="24"/>
    </w:rPr>
  </w:style>
  <w:style w:type="paragraph" w:customStyle="1" w:styleId="Table">
    <w:name w:val="Table"/>
    <w:basedOn w:val="Normal"/>
    <w:rsid w:val="004E19B2"/>
    <w:pPr>
      <w:tabs>
        <w:tab w:val="left" w:pos="720"/>
        <w:tab w:val="left" w:pos="1080"/>
        <w:tab w:val="left" w:pos="1440"/>
        <w:tab w:val="left" w:pos="1800"/>
      </w:tabs>
      <w:spacing w:after="0" w:line="240" w:lineRule="auto"/>
    </w:pPr>
    <w:rPr>
      <w:rFonts w:ascii="Arial" w:hAnsi="Arial"/>
      <w:sz w:val="20"/>
      <w:szCs w:val="24"/>
    </w:rPr>
  </w:style>
  <w:style w:type="paragraph" w:customStyle="1" w:styleId="IESPublications">
    <w:name w:val="IES_Publications"/>
    <w:rsid w:val="004E19B2"/>
    <w:pPr>
      <w:spacing w:after="120" w:line="240" w:lineRule="auto"/>
      <w:ind w:left="360" w:hanging="360"/>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4E19B2"/>
    <w:rPr>
      <w:color w:val="954F72" w:themeColor="followedHyperlink"/>
      <w:u w:val="single"/>
    </w:rPr>
  </w:style>
  <w:style w:type="paragraph" w:styleId="NoSpacing">
    <w:name w:val="No Spacing"/>
    <w:uiPriority w:val="1"/>
    <w:qFormat/>
    <w:rsid w:val="004E19B2"/>
    <w:pPr>
      <w:spacing w:after="0" w:line="240" w:lineRule="auto"/>
    </w:pPr>
  </w:style>
  <w:style w:type="character" w:customStyle="1" w:styleId="ListParagraphChar">
    <w:name w:val="List Paragraph Char"/>
    <w:aliases w:val="Primary Bullet List Char,Bullets 3 pt Char"/>
    <w:link w:val="ListParagraph"/>
    <w:uiPriority w:val="34"/>
    <w:locked/>
    <w:rsid w:val="004E19B2"/>
    <w:rPr>
      <w:rFonts w:ascii="Times New Roman" w:eastAsia="Times New Roman" w:hAnsi="Times New Roman" w:cs="Times New Roman"/>
      <w:szCs w:val="20"/>
    </w:rPr>
  </w:style>
  <w:style w:type="paragraph" w:customStyle="1" w:styleId="BodyTextGraphic">
    <w:name w:val="Body Text Graphic"/>
    <w:basedOn w:val="BodyText"/>
    <w:next w:val="BodyText"/>
    <w:qFormat/>
    <w:rsid w:val="004E19B2"/>
    <w:pPr>
      <w:spacing w:after="360" w:line="240" w:lineRule="auto"/>
      <w:jc w:val="center"/>
    </w:pPr>
    <w:rPr>
      <w:lang w:val="en"/>
    </w:rPr>
  </w:style>
  <w:style w:type="table" w:customStyle="1" w:styleId="TableGrid1">
    <w:name w:val="Table Grid1"/>
    <w:basedOn w:val="TableNormal"/>
    <w:next w:val="TableGrid"/>
    <w:uiPriority w:val="39"/>
    <w:rsid w:val="004E19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STTableText-Left">
    <w:name w:val="ITEST Table Text - Left"/>
    <w:basedOn w:val="Normal"/>
    <w:qFormat/>
    <w:rsid w:val="004E19B2"/>
    <w:pPr>
      <w:spacing w:before="40" w:after="40" w:line="240" w:lineRule="auto"/>
    </w:pPr>
    <w:rPr>
      <w:rFonts w:ascii="Arial" w:eastAsiaTheme="minorHAnsi" w:hAnsi="Arial" w:cs="Arial"/>
      <w:sz w:val="20"/>
    </w:rPr>
  </w:style>
  <w:style w:type="table" w:customStyle="1" w:styleId="TableGrid2">
    <w:name w:val="Table Grid2"/>
    <w:basedOn w:val="TableNormal"/>
    <w:next w:val="TableGrid"/>
    <w:rsid w:val="004E1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STColumnHeader-Center">
    <w:name w:val="ITEST Column Header - Center"/>
    <w:basedOn w:val="Normal"/>
    <w:qFormat/>
    <w:rsid w:val="004E19B2"/>
    <w:pPr>
      <w:spacing w:before="40" w:after="40" w:line="240" w:lineRule="auto"/>
      <w:jc w:val="center"/>
    </w:pPr>
    <w:rPr>
      <w:rFonts w:ascii="Arial" w:eastAsiaTheme="minorHAnsi" w:hAnsi="Arial" w:cs="Arial"/>
      <w:b/>
      <w:bCs/>
      <w:sz w:val="20"/>
    </w:rPr>
  </w:style>
  <w:style w:type="paragraph" w:customStyle="1" w:styleId="ITESTTableText-Center">
    <w:name w:val="ITEST Table Text - Center"/>
    <w:basedOn w:val="Normal"/>
    <w:qFormat/>
    <w:rsid w:val="004E19B2"/>
    <w:pPr>
      <w:spacing w:before="40" w:after="40" w:line="240" w:lineRule="auto"/>
      <w:jc w:val="center"/>
    </w:pPr>
    <w:rPr>
      <w:rFonts w:ascii="Arial" w:eastAsiaTheme="minorHAnsi" w:hAnsi="Arial" w:cs="Arial"/>
      <w:sz w:val="20"/>
    </w:rPr>
  </w:style>
  <w:style w:type="paragraph" w:styleId="EndnoteText">
    <w:name w:val="endnote text"/>
    <w:basedOn w:val="Normal"/>
    <w:link w:val="EndnoteTextChar"/>
    <w:unhideWhenUsed/>
    <w:rsid w:val="004E19B2"/>
    <w:pPr>
      <w:spacing w:after="0" w:line="240" w:lineRule="auto"/>
    </w:pPr>
    <w:rPr>
      <w:sz w:val="20"/>
    </w:rPr>
  </w:style>
  <w:style w:type="character" w:customStyle="1" w:styleId="EndnoteTextChar">
    <w:name w:val="Endnote Text Char"/>
    <w:basedOn w:val="DefaultParagraphFont"/>
    <w:link w:val="EndnoteText"/>
    <w:rsid w:val="004E19B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E19B2"/>
    <w:rPr>
      <w:vertAlign w:val="superscript"/>
    </w:rPr>
  </w:style>
  <w:style w:type="table" w:styleId="GridTable2">
    <w:name w:val="Grid Table 2"/>
    <w:basedOn w:val="TableNormal"/>
    <w:uiPriority w:val="47"/>
    <w:rsid w:val="004E19B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4E19B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4">
    <w:name w:val="Grid Table 2 Accent 4"/>
    <w:basedOn w:val="TableNormal"/>
    <w:uiPriority w:val="47"/>
    <w:rsid w:val="004E19B2"/>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Heading2a">
    <w:name w:val="Heading 2a"/>
    <w:basedOn w:val="Heading2"/>
    <w:link w:val="Heading2aChar"/>
    <w:qFormat/>
    <w:rsid w:val="004E19B2"/>
    <w:pPr>
      <w:numPr>
        <w:ilvl w:val="0"/>
        <w:numId w:val="0"/>
      </w:numPr>
      <w:pBdr>
        <w:top w:val="none" w:sz="0" w:space="0" w:color="auto"/>
        <w:bottom w:val="none" w:sz="0" w:space="0" w:color="auto"/>
      </w:pBdr>
      <w:shd w:val="clear" w:color="auto" w:fill="auto"/>
      <w:ind w:left="720" w:hanging="720"/>
    </w:pPr>
    <w:rPr>
      <w:rFonts w:asciiTheme="minorHAnsi" w:hAnsiTheme="minorHAnsi" w:cstheme="minorHAnsi"/>
      <w:color w:val="5B9BD5" w:themeColor="accent1"/>
      <w:sz w:val="28"/>
    </w:rPr>
  </w:style>
  <w:style w:type="character" w:customStyle="1" w:styleId="Heading2aChar">
    <w:name w:val="Heading 2a Char"/>
    <w:basedOn w:val="DefaultParagraphFont"/>
    <w:link w:val="Heading2a"/>
    <w:rsid w:val="004E19B2"/>
    <w:rPr>
      <w:rFonts w:eastAsia="Times New Roman" w:cstheme="minorHAnsi"/>
      <w:b/>
      <w:bCs/>
      <w:iCs/>
      <w:color w:val="5B9BD5" w:themeColor="accent1"/>
      <w:sz w:val="28"/>
      <w:szCs w:val="28"/>
    </w:rPr>
  </w:style>
  <w:style w:type="paragraph" w:customStyle="1" w:styleId="TableColumnHeader">
    <w:name w:val="Table Column Header"/>
    <w:basedOn w:val="Normal"/>
    <w:qFormat/>
    <w:rsid w:val="004E19B2"/>
    <w:pPr>
      <w:spacing w:before="20" w:after="20" w:line="240" w:lineRule="auto"/>
      <w:jc w:val="center"/>
    </w:pPr>
    <w:rPr>
      <w:rFonts w:ascii="Arial Narrow" w:hAnsi="Arial Narrow"/>
      <w:b/>
      <w:color w:val="FFFFFF" w:themeColor="background1"/>
      <w:sz w:val="20"/>
    </w:rPr>
  </w:style>
  <w:style w:type="paragraph" w:styleId="BodyText2">
    <w:name w:val="Body Text 2"/>
    <w:basedOn w:val="Normal"/>
    <w:link w:val="BodyText2Char"/>
    <w:uiPriority w:val="99"/>
    <w:unhideWhenUsed/>
    <w:rsid w:val="004C1707"/>
    <w:pPr>
      <w:spacing w:after="120" w:line="480" w:lineRule="auto"/>
    </w:pPr>
  </w:style>
  <w:style w:type="character" w:customStyle="1" w:styleId="BodyText2Char">
    <w:name w:val="Body Text 2 Char"/>
    <w:basedOn w:val="DefaultParagraphFont"/>
    <w:link w:val="BodyText2"/>
    <w:uiPriority w:val="99"/>
    <w:rsid w:val="004C1707"/>
    <w:rPr>
      <w:rFonts w:ascii="Times New Roman" w:eastAsia="Times New Roman" w:hAnsi="Times New Roman" w:cs="Times New Roman"/>
      <w:szCs w:val="20"/>
    </w:rPr>
  </w:style>
  <w:style w:type="character" w:customStyle="1" w:styleId="CaptionChar">
    <w:name w:val="Caption Char"/>
    <w:basedOn w:val="DefaultParagraphFont"/>
    <w:link w:val="Caption"/>
    <w:locked/>
    <w:rsid w:val="004C1707"/>
    <w:rPr>
      <w:rFonts w:ascii="Arial" w:eastAsia="Times New Roman" w:hAnsi="Arial" w:cs="Arial"/>
      <w:b/>
      <w:szCs w:val="24"/>
    </w:rPr>
  </w:style>
  <w:style w:type="table" w:styleId="GridTable4-Accent5">
    <w:name w:val="Grid Table 4 Accent 5"/>
    <w:basedOn w:val="TableNormal"/>
    <w:uiPriority w:val="49"/>
    <w:rsid w:val="0094421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
    <w:name w:val="Unresolved Mention"/>
    <w:basedOn w:val="DefaultParagraphFont"/>
    <w:uiPriority w:val="99"/>
    <w:semiHidden/>
    <w:unhideWhenUsed/>
    <w:rsid w:val="00C328C5"/>
    <w:rPr>
      <w:color w:val="605E5C"/>
      <w:shd w:val="clear" w:color="auto" w:fill="E1DFDD"/>
    </w:rPr>
  </w:style>
  <w:style w:type="paragraph" w:customStyle="1" w:styleId="Default">
    <w:name w:val="Default"/>
    <w:rsid w:val="00531F89"/>
    <w:pPr>
      <w:autoSpaceDE w:val="0"/>
      <w:autoSpaceDN w:val="0"/>
      <w:adjustRightInd w:val="0"/>
      <w:spacing w:after="0" w:line="240" w:lineRule="auto"/>
    </w:pPr>
    <w:rPr>
      <w:rFonts w:ascii="Calibri" w:hAnsi="Calibri" w:cs="Calibri"/>
      <w:color w:val="000000"/>
      <w:sz w:val="24"/>
      <w:szCs w:val="24"/>
    </w:rPr>
  </w:style>
  <w:style w:type="paragraph" w:customStyle="1" w:styleId="References">
    <w:name w:val="References"/>
    <w:basedOn w:val="Normal"/>
    <w:qFormat/>
    <w:rsid w:val="009E48C6"/>
    <w:pPr>
      <w:spacing w:after="120" w:line="240" w:lineRule="auto"/>
      <w:ind w:left="360" w:hanging="360"/>
    </w:pPr>
    <w:rPr>
      <w:rFonts w:asciiTheme="majorBidi" w:eastAsiaTheme="minorHAnsi" w:hAnsiTheme="majorBidi" w:cstheme="majorBidi"/>
      <w:szCs w:val="24"/>
    </w:rPr>
  </w:style>
  <w:style w:type="paragraph" w:customStyle="1" w:styleId="TableSource">
    <w:name w:val="Table Source"/>
    <w:basedOn w:val="Normal"/>
    <w:next w:val="BodyText"/>
    <w:qFormat/>
    <w:rsid w:val="00385A09"/>
    <w:pPr>
      <w:spacing w:before="20" w:after="120" w:line="240" w:lineRule="auto"/>
    </w:pPr>
    <w:rPr>
      <w:rFonts w:ascii="Arial Narrow" w:hAnsi="Arial Narrow" w:cs="Arial"/>
      <w:sz w:val="18"/>
    </w:rPr>
  </w:style>
  <w:style w:type="table" w:styleId="GridTable4-Accent1">
    <w:name w:val="Grid Table 4 Accent 1"/>
    <w:basedOn w:val="TableNormal"/>
    <w:uiPriority w:val="49"/>
    <w:rsid w:val="00CB539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1277">
      <w:bodyDiv w:val="1"/>
      <w:marLeft w:val="0"/>
      <w:marRight w:val="0"/>
      <w:marTop w:val="0"/>
      <w:marBottom w:val="0"/>
      <w:divBdr>
        <w:top w:val="none" w:sz="0" w:space="0" w:color="auto"/>
        <w:left w:val="none" w:sz="0" w:space="0" w:color="auto"/>
        <w:bottom w:val="none" w:sz="0" w:space="0" w:color="auto"/>
        <w:right w:val="none" w:sz="0" w:space="0" w:color="auto"/>
      </w:divBdr>
    </w:div>
    <w:div w:id="361443156">
      <w:bodyDiv w:val="1"/>
      <w:marLeft w:val="0"/>
      <w:marRight w:val="0"/>
      <w:marTop w:val="0"/>
      <w:marBottom w:val="0"/>
      <w:divBdr>
        <w:top w:val="none" w:sz="0" w:space="0" w:color="auto"/>
        <w:left w:val="none" w:sz="0" w:space="0" w:color="auto"/>
        <w:bottom w:val="none" w:sz="0" w:space="0" w:color="auto"/>
        <w:right w:val="none" w:sz="0" w:space="0" w:color="auto"/>
      </w:divBdr>
    </w:div>
    <w:div w:id="635185091">
      <w:bodyDiv w:val="1"/>
      <w:marLeft w:val="0"/>
      <w:marRight w:val="0"/>
      <w:marTop w:val="0"/>
      <w:marBottom w:val="0"/>
      <w:divBdr>
        <w:top w:val="none" w:sz="0" w:space="0" w:color="auto"/>
        <w:left w:val="none" w:sz="0" w:space="0" w:color="auto"/>
        <w:bottom w:val="none" w:sz="0" w:space="0" w:color="auto"/>
        <w:right w:val="none" w:sz="0" w:space="0" w:color="auto"/>
      </w:divBdr>
    </w:div>
    <w:div w:id="763459031">
      <w:bodyDiv w:val="1"/>
      <w:marLeft w:val="0"/>
      <w:marRight w:val="0"/>
      <w:marTop w:val="0"/>
      <w:marBottom w:val="0"/>
      <w:divBdr>
        <w:top w:val="none" w:sz="0" w:space="0" w:color="auto"/>
        <w:left w:val="none" w:sz="0" w:space="0" w:color="auto"/>
        <w:bottom w:val="none" w:sz="0" w:space="0" w:color="auto"/>
        <w:right w:val="none" w:sz="0" w:space="0" w:color="auto"/>
      </w:divBdr>
    </w:div>
    <w:div w:id="1021279802">
      <w:bodyDiv w:val="1"/>
      <w:marLeft w:val="0"/>
      <w:marRight w:val="0"/>
      <w:marTop w:val="0"/>
      <w:marBottom w:val="0"/>
      <w:divBdr>
        <w:top w:val="none" w:sz="0" w:space="0" w:color="auto"/>
        <w:left w:val="none" w:sz="0" w:space="0" w:color="auto"/>
        <w:bottom w:val="none" w:sz="0" w:space="0" w:color="auto"/>
        <w:right w:val="none" w:sz="0" w:space="0" w:color="auto"/>
      </w:divBdr>
    </w:div>
    <w:div w:id="1550268517">
      <w:bodyDiv w:val="1"/>
      <w:marLeft w:val="0"/>
      <w:marRight w:val="0"/>
      <w:marTop w:val="0"/>
      <w:marBottom w:val="0"/>
      <w:divBdr>
        <w:top w:val="none" w:sz="0" w:space="0" w:color="auto"/>
        <w:left w:val="none" w:sz="0" w:space="0" w:color="auto"/>
        <w:bottom w:val="none" w:sz="0" w:space="0" w:color="auto"/>
        <w:right w:val="none" w:sz="0" w:space="0" w:color="auto"/>
      </w:divBdr>
    </w:div>
    <w:div w:id="191839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ies.ed.gov/ncee/pubs/2020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federalregister.gov/documents/2019/04/04/2019-06582/applications-for-new-awards-comprehensive-centers-progra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4420D-51E2-4AC6-BEA0-53FAA11B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4668</Words>
  <Characters>26610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Brown</dc:creator>
  <cp:keywords/>
  <dc:description/>
  <cp:lastModifiedBy>Juliana Pearson</cp:lastModifiedBy>
  <cp:revision>3</cp:revision>
  <dcterms:created xsi:type="dcterms:W3CDTF">2022-01-31T16:23:00Z</dcterms:created>
  <dcterms:modified xsi:type="dcterms:W3CDTF">2022-01-31T18:16:00Z</dcterms:modified>
</cp:coreProperties>
</file>