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C04A62F">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0D6969">
        <w:t>6</w:t>
      </w:r>
      <w:r w:rsidRPr="00413FDE" w:rsidR="00613169">
        <w:t>-000</w:t>
      </w:r>
      <w:r w:rsidRPr="00413FDE">
        <w:t>]</w:t>
      </w:r>
    </w:p>
    <w:p w:rsidR="00A2604E" w:rsidP="00A2604E" w:rsidRDefault="00A2604E" w14:paraId="4D16FE54" w14:textId="77777777"/>
    <w:p w:rsidR="00A2604E" w:rsidP="00A2604E" w:rsidRDefault="00A2604E" w14:paraId="0627AE31" w14:textId="00938C66">
      <w:pPr>
        <w:jc w:val="center"/>
      </w:pPr>
      <w:r>
        <w:t>COMMISSION INFORMATION COLLECTION ACTIVITIES (FERC-</w:t>
      </w:r>
      <w:r w:rsidR="000D6969">
        <w:t>725B</w:t>
      </w:r>
      <w:r>
        <w:t>)</w:t>
      </w:r>
    </w:p>
    <w:p w:rsidR="00A2604E" w:rsidP="00A2604E" w:rsidRDefault="00A2604E" w14:paraId="3B5240D4" w14:textId="4D1892E2">
      <w:pPr>
        <w:jc w:val="center"/>
      </w:pPr>
      <w:r>
        <w:t xml:space="preserve">COMMENT REQUEST; </w:t>
      </w:r>
      <w:r w:rsidR="00A24C0F">
        <w:t>ERRATA NOTICE</w:t>
      </w:r>
    </w:p>
    <w:p w:rsidR="00881405" w:rsidP="00A2604E" w:rsidRDefault="00881405" w14:paraId="5D8DD33D" w14:textId="77777777">
      <w:pPr>
        <w:jc w:val="center"/>
      </w:pPr>
    </w:p>
    <w:p w:rsidR="0032099D" w:rsidP="00906A2B" w:rsidRDefault="00906A2B" w14:paraId="62378F07" w14:textId="24F22A8E">
      <w:pPr>
        <w:jc w:val="center"/>
      </w:pPr>
      <w:r w:rsidRPr="00906A2B">
        <w:t>(November 3, 2021)</w:t>
      </w:r>
    </w:p>
    <w:p w:rsidRPr="00906A2B" w:rsidR="00906A2B" w:rsidP="00906A2B" w:rsidRDefault="00906A2B" w14:paraId="795759E8"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070E24CB">
      <w:pPr>
        <w:spacing w:line="480" w:lineRule="auto"/>
      </w:pPr>
      <w:r w:rsidRPr="00CE64F2">
        <w:rPr>
          <w:b/>
        </w:rPr>
        <w:t>ACTION:</w:t>
      </w:r>
      <w:r>
        <w:t xml:space="preserve">  </w:t>
      </w:r>
      <w:r w:rsidR="00A24C0F">
        <w:t xml:space="preserve">Errata </w:t>
      </w:r>
      <w:r>
        <w:t>and request for comments.</w:t>
      </w:r>
    </w:p>
    <w:p w:rsidRPr="00A24C0F" w:rsidR="00B556C9" w:rsidP="00B556C9" w:rsidRDefault="00A2604E" w14:paraId="35DEAE81" w14:textId="10B4E4F2">
      <w:pPr>
        <w:spacing w:after="160" w:line="480" w:lineRule="auto"/>
        <w:rPr>
          <w:rFonts w:eastAsiaTheme="minorHAnsi"/>
          <w:b/>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0"/>
      <w:bookmarkStart w:name="_Hlk72925791" w:id="1"/>
      <w:r w:rsidR="000A3C2F">
        <w:rPr>
          <w:szCs w:val="26"/>
        </w:rPr>
        <w:t>FERC-</w:t>
      </w:r>
      <w:r w:rsidR="000D6969">
        <w:rPr>
          <w:szCs w:val="26"/>
        </w:rPr>
        <w:t>725B</w:t>
      </w:r>
      <w:r w:rsidR="000A3C2F">
        <w:rPr>
          <w:szCs w:val="26"/>
        </w:rPr>
        <w:t xml:space="preserve">, </w:t>
      </w:r>
      <w:bookmarkEnd w:id="0"/>
      <w:r w:rsidRPr="00B556C9" w:rsidR="00B556C9">
        <w:rPr>
          <w:rFonts w:eastAsiaTheme="minorHAnsi"/>
          <w:szCs w:val="26"/>
        </w:rPr>
        <w:t>(</w:t>
      </w:r>
      <w:bookmarkStart w:name="_Hlk72925895" w:id="2"/>
      <w:r w:rsidRPr="00C30740" w:rsidR="00C30740">
        <w:rPr>
          <w:rFonts w:eastAsiaTheme="minorHAnsi"/>
          <w:szCs w:val="26"/>
        </w:rPr>
        <w:t>Mandatory Reliability Standards, Critical Infrastructure Protection (CIP</w:t>
      </w:r>
      <w:r w:rsidRPr="00B556C9" w:rsidR="00B556C9">
        <w:rPr>
          <w:rFonts w:eastAsiaTheme="minorHAnsi"/>
          <w:szCs w:val="26"/>
        </w:rPr>
        <w:t>)</w:t>
      </w:r>
      <w:bookmarkEnd w:id="1"/>
      <w:bookmarkEnd w:id="2"/>
      <w:r w:rsidR="00A24C0F">
        <w:rPr>
          <w:rFonts w:eastAsiaTheme="minorHAnsi"/>
          <w:szCs w:val="26"/>
        </w:rPr>
        <w:t xml:space="preserve">. </w:t>
      </w:r>
      <w:bookmarkStart w:name="_Hlk33695773" w:id="3"/>
      <w:r w:rsidRPr="00A24C0F" w:rsidR="00A24C0F">
        <w:rPr>
          <w:rFonts w:eastAsiaTheme="minorHAnsi"/>
          <w:szCs w:val="26"/>
        </w:rPr>
        <w:t xml:space="preserve">This notice corrects the 30-day notice published on </w:t>
      </w:r>
      <w:r w:rsidR="00A24C0F">
        <w:rPr>
          <w:rFonts w:eastAsiaTheme="minorHAnsi"/>
          <w:szCs w:val="26"/>
        </w:rPr>
        <w:t>September 14</w:t>
      </w:r>
      <w:r w:rsidRPr="00A24C0F" w:rsidR="00A24C0F">
        <w:rPr>
          <w:rFonts w:eastAsiaTheme="minorHAnsi"/>
          <w:szCs w:val="26"/>
        </w:rPr>
        <w:t>, 202</w:t>
      </w:r>
      <w:r w:rsidR="00A24C0F">
        <w:rPr>
          <w:rFonts w:eastAsiaTheme="minorHAnsi"/>
          <w:szCs w:val="26"/>
        </w:rPr>
        <w:t>1</w:t>
      </w:r>
      <w:r w:rsidRPr="00A24C0F" w:rsidR="00A24C0F">
        <w:rPr>
          <w:rFonts w:eastAsiaTheme="minorHAnsi"/>
          <w:szCs w:val="26"/>
        </w:rPr>
        <w:t xml:space="preserve"> (8</w:t>
      </w:r>
      <w:r w:rsidR="00A24C0F">
        <w:rPr>
          <w:rFonts w:eastAsiaTheme="minorHAnsi"/>
          <w:szCs w:val="26"/>
        </w:rPr>
        <w:t>6</w:t>
      </w:r>
      <w:r w:rsidRPr="00A24C0F" w:rsidR="00A24C0F">
        <w:rPr>
          <w:rFonts w:eastAsiaTheme="minorHAnsi"/>
          <w:szCs w:val="26"/>
        </w:rPr>
        <w:t xml:space="preserve"> FR </w:t>
      </w:r>
      <w:r w:rsidR="00A24C0F">
        <w:rPr>
          <w:rFonts w:eastAsiaTheme="minorHAnsi"/>
          <w:szCs w:val="26"/>
        </w:rPr>
        <w:t>511</w:t>
      </w:r>
      <w:r w:rsidRPr="00A24C0F" w:rsidR="00A24C0F">
        <w:rPr>
          <w:rFonts w:eastAsiaTheme="minorHAnsi"/>
          <w:szCs w:val="26"/>
        </w:rPr>
        <w:t>31</w:t>
      </w:r>
      <w:bookmarkEnd w:id="3"/>
      <w:r w:rsidR="00A24C0F">
        <w:rPr>
          <w:rFonts w:eastAsiaTheme="minorHAnsi"/>
          <w:szCs w:val="26"/>
        </w:rPr>
        <w:t>)</w:t>
      </w:r>
      <w:r w:rsidR="00D17184">
        <w:rPr>
          <w:rFonts w:eastAsiaTheme="minorHAnsi"/>
          <w:szCs w:val="26"/>
        </w:rPr>
        <w:t xml:space="preserve"> adjusting the estimates in the burden table.</w:t>
      </w:r>
      <w:r w:rsidR="00A24C0F">
        <w:rPr>
          <w:rFonts w:eastAsiaTheme="minorHAnsi"/>
          <w:szCs w:val="26"/>
        </w:rPr>
        <w:t xml:space="preserve"> </w:t>
      </w:r>
    </w:p>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6B100D05">
      <w:pPr>
        <w:spacing w:line="480" w:lineRule="auto"/>
      </w:pPr>
      <w:r w:rsidRPr="00524164">
        <w:rPr>
          <w:b/>
        </w:rPr>
        <w:t>ADDRESSES:</w:t>
      </w:r>
      <w:r w:rsidRPr="00524164">
        <w:t xml:space="preserve"> </w:t>
      </w:r>
      <w:r w:rsidRPr="00BB5EF5" w:rsidR="00564ADB">
        <w:rPr>
          <w:iCs/>
        </w:rPr>
        <w:t>Send written comments on FERC-725</w:t>
      </w:r>
      <w:r w:rsidR="00564ADB">
        <w:rPr>
          <w:iCs/>
        </w:rPr>
        <w:t>B</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(1902-02</w:t>
      </w:r>
      <w:r w:rsidR="00564ADB">
        <w:rPr>
          <w:iCs/>
        </w:rPr>
        <w:t>48</w:t>
      </w:r>
      <w:r w:rsidRPr="00BB5EF5" w:rsidR="00564ADB">
        <w:rPr>
          <w:iCs/>
        </w:rPr>
        <w:t>) in the subject line of your comments.  Comments</w:t>
      </w:r>
      <w:r w:rsidRPr="00BB5EF5" w:rsidR="00564ADB">
        <w:t xml:space="preserve"> should be sent </w:t>
      </w:r>
      <w:bookmarkStart w:name="_Hlk35891527" w:id="4"/>
      <w:r w:rsidRPr="00BB5EF5" w:rsidR="00564ADB">
        <w:t xml:space="preserve">within 30 days of publication of this notice  to </w:t>
      </w:r>
      <w:bookmarkStart w:name="_Hlk38028221" w:id="5"/>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4"/>
      <w:bookmarkEnd w:id="5"/>
    </w:p>
    <w:p w:rsidRPr="00BB5EF5" w:rsidR="00564ADB" w:rsidP="00564ADB" w:rsidRDefault="00564ADB" w14:paraId="7F9E2910" w14:textId="69111CE1">
      <w:pPr>
        <w:spacing w:line="480" w:lineRule="auto"/>
      </w:pPr>
      <w:r w:rsidRPr="00BB5EF5">
        <w:lastRenderedPageBreak/>
        <w:t>Please submit copies of your comments to the Commission.  You may submit copies of your comments (identified by Docket No. IC21-</w:t>
      </w:r>
      <w:r>
        <w:t>26</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6"/>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7"/>
      <w:r w:rsidRPr="00BB5EF5">
        <w:t>must be formatted and filed in accordance with submission guidelines at</w:t>
      </w:r>
      <w:bookmarkEnd w:id="7"/>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6"/>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0F3BC3" w:rsidR="000F3BC3" w:rsidP="000F3BC3" w:rsidRDefault="000F3BC3" w14:paraId="5169038C" w14:textId="77777777">
      <w:pPr>
        <w:spacing w:line="480" w:lineRule="auto"/>
        <w:rPr>
          <w:szCs w:val="26"/>
        </w:rPr>
      </w:pPr>
      <w:r w:rsidRPr="000F3BC3">
        <w:rPr>
          <w:b/>
          <w:szCs w:val="26"/>
        </w:rPr>
        <w:t>SUPPLEMENTARY INFORMATION:</w:t>
      </w:r>
      <w:r w:rsidRPr="000F3BC3">
        <w:rPr>
          <w:szCs w:val="26"/>
        </w:rPr>
        <w:t xml:space="preserve">  </w:t>
      </w:r>
    </w:p>
    <w:p w:rsidRPr="000F3BC3" w:rsidR="000F3BC3" w:rsidP="000F3BC3" w:rsidRDefault="000F3BC3" w14:paraId="44BA0540" w14:textId="62722341">
      <w:pPr>
        <w:spacing w:line="480" w:lineRule="auto"/>
        <w:rPr>
          <w:i/>
          <w:szCs w:val="26"/>
        </w:rPr>
      </w:pPr>
      <w:r w:rsidRPr="000F3BC3">
        <w:rPr>
          <w:i/>
          <w:szCs w:val="26"/>
        </w:rPr>
        <w:t xml:space="preserve">Title: </w:t>
      </w:r>
      <w:r w:rsidRPr="000F3BC3">
        <w:rPr>
          <w:szCs w:val="26"/>
        </w:rPr>
        <w:t>FERC-</w:t>
      </w:r>
      <w:r w:rsidR="00845FCF">
        <w:rPr>
          <w:szCs w:val="26"/>
        </w:rPr>
        <w:t>725B</w:t>
      </w:r>
      <w:r w:rsidRPr="000F3BC3">
        <w:rPr>
          <w:szCs w:val="26"/>
        </w:rPr>
        <w:t xml:space="preserve"> (</w:t>
      </w:r>
      <w:r w:rsidRPr="00845FCF" w:rsidR="00845FCF">
        <w:rPr>
          <w:szCs w:val="26"/>
        </w:rPr>
        <w:t>Mandatory Reliability Standards, Critical Infrastructure Protection (CIP)</w:t>
      </w:r>
      <w:r w:rsidRPr="000F3BC3">
        <w:rPr>
          <w:szCs w:val="26"/>
        </w:rPr>
        <w:t>)</w:t>
      </w:r>
    </w:p>
    <w:p w:rsidRPr="000F3BC3" w:rsidR="000F3BC3" w:rsidP="000F3BC3" w:rsidRDefault="000F3BC3" w14:paraId="2F68379A" w14:textId="1BA4C9B2">
      <w:pPr>
        <w:spacing w:line="480" w:lineRule="auto"/>
        <w:rPr>
          <w:szCs w:val="26"/>
        </w:rPr>
      </w:pPr>
      <w:r w:rsidRPr="000F3BC3">
        <w:rPr>
          <w:i/>
          <w:szCs w:val="26"/>
        </w:rPr>
        <w:t xml:space="preserve">OMB Control No.: </w:t>
      </w:r>
      <w:r w:rsidRPr="000F3BC3">
        <w:rPr>
          <w:szCs w:val="26"/>
        </w:rPr>
        <w:t>1902-0</w:t>
      </w:r>
      <w:r w:rsidR="005739F7">
        <w:rPr>
          <w:szCs w:val="26"/>
        </w:rPr>
        <w:t>248</w:t>
      </w:r>
    </w:p>
    <w:p w:rsidRPr="000F3BC3" w:rsidR="000F3BC3" w:rsidP="000F3BC3" w:rsidRDefault="000F3BC3" w14:paraId="4C29D022" w14:textId="56733EDB">
      <w:pPr>
        <w:spacing w:line="480" w:lineRule="auto"/>
        <w:rPr>
          <w:szCs w:val="26"/>
        </w:rPr>
      </w:pPr>
      <w:r w:rsidRPr="000F3BC3">
        <w:rPr>
          <w:i/>
          <w:szCs w:val="26"/>
        </w:rPr>
        <w:t>Type of Request:</w:t>
      </w:r>
      <w:r w:rsidRPr="000F3BC3">
        <w:rPr>
          <w:szCs w:val="26"/>
        </w:rPr>
        <w:t xml:space="preserve"> Three-year extension of the FERC-</w:t>
      </w:r>
      <w:r w:rsidR="00845FCF">
        <w:rPr>
          <w:szCs w:val="26"/>
        </w:rPr>
        <w:t>725B</w:t>
      </w:r>
      <w:r w:rsidRPr="000F3BC3">
        <w:rPr>
          <w:szCs w:val="26"/>
        </w:rPr>
        <w:t xml:space="preserve"> information collection requirements with no changes to the reporting requirements.</w:t>
      </w:r>
    </w:p>
    <w:p w:rsidRPr="000F3BC3" w:rsidR="000F3BC3" w:rsidP="000F3BC3" w:rsidRDefault="000F3BC3" w14:paraId="62B53596" w14:textId="6F7B9C26">
      <w:pPr>
        <w:spacing w:line="480" w:lineRule="auto"/>
        <w:rPr>
          <w:szCs w:val="26"/>
        </w:rPr>
      </w:pPr>
      <w:r w:rsidRPr="000F3BC3">
        <w:rPr>
          <w:i/>
          <w:szCs w:val="26"/>
        </w:rPr>
        <w:t>Abstract:</w:t>
      </w:r>
      <w:r>
        <w:rPr>
          <w:szCs w:val="26"/>
        </w:rPr>
        <w:t xml:space="preserve"> </w:t>
      </w:r>
      <w:r w:rsidRPr="000F3BC3">
        <w:rPr>
          <w:rFonts w:eastAsiaTheme="minorHAnsi"/>
          <w:szCs w:val="26"/>
        </w:rPr>
        <w:t>On August 8, 2005, Congress enacted the Energy Policy Act of 2005.</w:t>
      </w:r>
      <w:r w:rsidRPr="000F3BC3">
        <w:rPr>
          <w:rFonts w:eastAsiaTheme="minorHAnsi"/>
          <w:b/>
          <w:szCs w:val="26"/>
          <w:vertAlign w:val="superscript"/>
        </w:rPr>
        <w:footnoteReference w:id="2"/>
      </w:r>
      <w:r w:rsidRPr="000F3BC3">
        <w:rPr>
          <w:rFonts w:eastAsiaTheme="minorHAnsi"/>
          <w:szCs w:val="26"/>
        </w:rPr>
        <w:t xml:space="preserve">  The Energy Policy Act of 2005 added a new section 215 to the FPA,</w:t>
      </w:r>
      <w:r w:rsidRPr="000F3BC3">
        <w:rPr>
          <w:rFonts w:eastAsiaTheme="minorHAnsi"/>
          <w:b/>
          <w:szCs w:val="26"/>
          <w:vertAlign w:val="superscript"/>
        </w:rPr>
        <w:footnoteReference w:id="3"/>
      </w:r>
      <w:r w:rsidRPr="000F3BC3">
        <w:rPr>
          <w:rFonts w:eastAsiaTheme="minorHAnsi"/>
          <w:szCs w:val="26"/>
        </w:rPr>
        <w:t xml:space="preserve"> which requires a Commission-certified Electric Reliability Organization to develop mandatory and enforceable Reliability Standards,</w:t>
      </w:r>
      <w:r w:rsidRPr="000F3BC3">
        <w:rPr>
          <w:rFonts w:eastAsiaTheme="minorHAnsi"/>
          <w:b/>
          <w:szCs w:val="26"/>
          <w:vertAlign w:val="superscript"/>
        </w:rPr>
        <w:footnoteReference w:id="4"/>
      </w:r>
      <w:r w:rsidRPr="000F3BC3">
        <w:rPr>
          <w:rFonts w:eastAsiaTheme="minorHAnsi"/>
          <w:szCs w:val="26"/>
        </w:rPr>
        <w:t xml:space="preserve"> including requirements for cybersecurity protection, which are subject to Commission review and approval.  Once approved, the Reliability </w:t>
      </w:r>
      <w:r w:rsidRPr="000F3BC3">
        <w:rPr>
          <w:rFonts w:eastAsiaTheme="minorHAnsi"/>
          <w:szCs w:val="26"/>
        </w:rPr>
        <w:lastRenderedPageBreak/>
        <w:t xml:space="preserve">Standards may be enforced by the Electric Reliability Organization subject to Commission oversight, or the Commission can independently enforce Reliability Standards.   </w:t>
      </w:r>
    </w:p>
    <w:p w:rsidRPr="000F3BC3" w:rsidR="000F3BC3" w:rsidP="000F3BC3" w:rsidRDefault="000F3BC3" w14:paraId="5CD5AD3B" w14:textId="77777777">
      <w:pPr>
        <w:spacing w:after="160" w:line="480" w:lineRule="auto"/>
        <w:rPr>
          <w:rFonts w:eastAsiaTheme="minorHAnsi"/>
          <w:szCs w:val="26"/>
        </w:rPr>
      </w:pPr>
      <w:r w:rsidRPr="000F3BC3">
        <w:rPr>
          <w:rFonts w:eastAsiaTheme="minorHAnsi"/>
          <w:szCs w:val="26"/>
        </w:rPr>
        <w:t>On February 3, 2006, the Commission issued Order No. 672,</w:t>
      </w:r>
      <w:r w:rsidRPr="000F3BC3">
        <w:rPr>
          <w:rFonts w:eastAsiaTheme="minorHAnsi"/>
          <w:b/>
          <w:szCs w:val="26"/>
          <w:vertAlign w:val="superscript"/>
        </w:rPr>
        <w:footnoteReference w:id="5"/>
      </w:r>
      <w:r w:rsidRPr="000F3BC3">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Bulk-Power System, as set forth in each Reliability Standard.</w:t>
      </w:r>
      <w:r w:rsidRPr="000F3BC3">
        <w:rPr>
          <w:rFonts w:eastAsiaTheme="minorHAnsi"/>
          <w:b/>
          <w:szCs w:val="26"/>
          <w:vertAlign w:val="superscript"/>
        </w:rPr>
        <w:footnoteReference w:id="6"/>
      </w:r>
      <w:r w:rsidRPr="000F3BC3">
        <w:rPr>
          <w:rFonts w:eastAsiaTheme="minorHAnsi"/>
          <w:szCs w:val="26"/>
        </w:rPr>
        <w:t xml:space="preserve">  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w:t>
      </w:r>
    </w:p>
    <w:p w:rsidR="000F3BC3" w:rsidP="000F3BC3" w:rsidRDefault="000F3BC3" w14:paraId="0C63A64D" w14:textId="4FAD358B">
      <w:pPr>
        <w:spacing w:after="160" w:line="480" w:lineRule="auto"/>
        <w:rPr>
          <w:rFonts w:eastAsiaTheme="minorHAnsi"/>
          <w:szCs w:val="26"/>
        </w:rPr>
      </w:pPr>
      <w:r w:rsidRPr="000F3BC3">
        <w:rPr>
          <w:rFonts w:eastAsiaTheme="minorHAnsi"/>
          <w:szCs w:val="26"/>
        </w:rPr>
        <w:t>On January 18, 2008, the Commission issued Order No. 706,</w:t>
      </w:r>
      <w:r w:rsidRPr="000F3BC3">
        <w:rPr>
          <w:rFonts w:eastAsiaTheme="minorHAnsi"/>
          <w:b/>
          <w:szCs w:val="26"/>
          <w:vertAlign w:val="superscript"/>
        </w:rPr>
        <w:footnoteReference w:id="7"/>
      </w:r>
      <w:r w:rsidRPr="000F3BC3">
        <w:rPr>
          <w:rFonts w:eastAsiaTheme="minorHAnsi"/>
          <w:szCs w:val="26"/>
        </w:rPr>
        <w:t xml:space="preserve"> approving the initial eight CIP Reliability Standards, CIP version 1 Standards, submitted by NERC.  Subsequently, the Commission has approved multiple versions of the CIP Reliability Standards </w:t>
      </w:r>
      <w:r w:rsidRPr="000F3BC3">
        <w:rPr>
          <w:rFonts w:eastAsiaTheme="minorHAnsi"/>
          <w:szCs w:val="26"/>
        </w:rPr>
        <w:lastRenderedPageBreak/>
        <w:t>submitted by NERC, partly to address the evolving nature of cyber-related threats to the Bulk-Power System.  On November 22, 2013, the Commission issued Order No. 791,</w:t>
      </w:r>
      <w:r w:rsidRPr="000F3BC3">
        <w:rPr>
          <w:rFonts w:eastAsiaTheme="minorHAnsi"/>
          <w:b/>
          <w:szCs w:val="26"/>
          <w:vertAlign w:val="superscript"/>
        </w:rPr>
        <w:footnoteReference w:id="8"/>
      </w:r>
      <w:r w:rsidRPr="000F3BC3">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sidRPr="000F3BC3">
        <w:rPr>
          <w:rFonts w:eastAsiaTheme="minorHAnsi"/>
          <w:b/>
          <w:szCs w:val="26"/>
          <w:vertAlign w:val="superscript"/>
        </w:rPr>
        <w:footnoteReference w:id="9"/>
      </w:r>
      <w:r w:rsidRPr="000F3BC3">
        <w:rPr>
          <w:rFonts w:eastAsiaTheme="minorHAnsi"/>
          <w:szCs w:val="26"/>
        </w:rPr>
        <w:t xml:space="preserve"> if compromised.  High impact systems include large control centers.  Medium impact systems include smaller control centers, ultra-high voltage transmission, and large substations and generating facilities.  The remainder of the BES Cyber Systems</w:t>
      </w:r>
      <w:r w:rsidRPr="000F3BC3">
        <w:rPr>
          <w:rFonts w:eastAsiaTheme="minorHAnsi"/>
          <w:b/>
          <w:szCs w:val="26"/>
          <w:vertAlign w:val="superscript"/>
        </w:rPr>
        <w:footnoteReference w:id="10"/>
      </w:r>
      <w:r w:rsidRPr="000F3BC3">
        <w:rPr>
          <w:rFonts w:eastAsiaTheme="minorHAnsi"/>
          <w:szCs w:val="26"/>
        </w:rPr>
        <w:t xml:space="preserve"> are categorized as low impact systems.  Most requirements in the CIP </w:t>
      </w:r>
      <w:r w:rsidRPr="000F3BC3">
        <w:rPr>
          <w:rFonts w:eastAsiaTheme="minorHAnsi"/>
          <w:szCs w:val="26"/>
        </w:rPr>
        <w:lastRenderedPageBreak/>
        <w:t xml:space="preserve">Reliability Standards apply to high and medium impact systems; however, a technical controls requirement in </w:t>
      </w:r>
      <w:r w:rsidR="00D954AE">
        <w:rPr>
          <w:rFonts w:eastAsiaTheme="minorHAnsi"/>
          <w:szCs w:val="26"/>
        </w:rPr>
        <w:t xml:space="preserve">Reliability standard </w:t>
      </w:r>
      <w:r w:rsidRPr="000F3BC3">
        <w:rPr>
          <w:rFonts w:eastAsiaTheme="minorHAnsi"/>
          <w:szCs w:val="26"/>
        </w:rPr>
        <w:t>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sidRPr="000F3BC3">
        <w:rPr>
          <w:rFonts w:eastAsiaTheme="minorHAnsi"/>
          <w:b/>
          <w:szCs w:val="26"/>
          <w:vertAlign w:val="superscript"/>
        </w:rPr>
        <w:footnoteReference w:id="11"/>
      </w:r>
    </w:p>
    <w:p w:rsidRPr="00B03644" w:rsidR="00B03644" w:rsidP="00B03644" w:rsidRDefault="00B03644" w14:paraId="72ECA785" w14:textId="77777777">
      <w:pPr>
        <w:spacing w:after="160" w:line="480" w:lineRule="auto"/>
        <w:rPr>
          <w:rFonts w:eastAsiaTheme="minorHAnsi"/>
          <w:szCs w:val="26"/>
        </w:rPr>
      </w:pPr>
      <w:r w:rsidRPr="00B03644">
        <w:rPr>
          <w:rFonts w:eastAsiaTheme="minorHAnsi"/>
          <w:szCs w:val="26"/>
        </w:rPr>
        <w:t xml:space="preserve">The CIP Reliability Standards currently consist of 13 standards specifying a set of requirements that entities must follow to ensure the cyber and physical security of the Bulk-Power System. </w:t>
      </w:r>
    </w:p>
    <w:p w:rsidRPr="00B03644" w:rsidR="00B03644" w:rsidP="00B03644" w:rsidRDefault="00B03644" w14:paraId="7BE395B2" w14:textId="71663CF6">
      <w:pPr>
        <w:numPr>
          <w:ilvl w:val="0"/>
          <w:numId w:val="14"/>
        </w:numPr>
        <w:spacing w:after="160" w:line="480" w:lineRule="auto"/>
        <w:rPr>
          <w:rFonts w:eastAsiaTheme="minorHAnsi"/>
          <w:szCs w:val="26"/>
        </w:rPr>
      </w:pPr>
      <w:r w:rsidRPr="00B03644">
        <w:rPr>
          <w:rFonts w:eastAsiaTheme="minorHAnsi"/>
          <w:szCs w:val="26"/>
        </w:rPr>
        <w:t>CIP-002-5.1</w:t>
      </w:r>
      <w:r w:rsidR="00151676">
        <w:rPr>
          <w:rFonts w:eastAsiaTheme="minorHAnsi"/>
          <w:szCs w:val="26"/>
        </w:rPr>
        <w:t>a</w:t>
      </w:r>
      <w:r w:rsidRPr="00B03644">
        <w:rPr>
          <w:rFonts w:eastAsiaTheme="minorHAnsi"/>
          <w:szCs w:val="26"/>
        </w:rPr>
        <w:t xml:space="preserve"> Bulk Electric System Cyber System Categorization:  requires entities to identify and categorize BES Cyber Assets for the application of cyber security requirements commensurate with the adverse impact that loss, compromise, or misuse of those BES Cyber Systems could have on the reliable operation of the BES. </w:t>
      </w:r>
    </w:p>
    <w:p w:rsidRPr="00B03644" w:rsidR="00B03644" w:rsidP="00B03644" w:rsidRDefault="00B03644" w14:paraId="64F2BB95" w14:textId="77777777">
      <w:pPr>
        <w:numPr>
          <w:ilvl w:val="0"/>
          <w:numId w:val="14"/>
        </w:numPr>
        <w:spacing w:after="160" w:line="480" w:lineRule="auto"/>
        <w:rPr>
          <w:rFonts w:eastAsiaTheme="minorHAnsi"/>
          <w:szCs w:val="26"/>
        </w:rPr>
      </w:pPr>
      <w:r w:rsidRPr="00B03644">
        <w:rPr>
          <w:rFonts w:eastAsiaTheme="minorHAnsi"/>
          <w:szCs w:val="26"/>
        </w:rPr>
        <w:lastRenderedPageBreak/>
        <w:t>CIP-003-8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Pr="00B03644" w:rsidR="00B03644" w:rsidP="00B03644" w:rsidRDefault="00B03644" w14:paraId="4F132EF3" w14:textId="77777777">
      <w:pPr>
        <w:numPr>
          <w:ilvl w:val="0"/>
          <w:numId w:val="14"/>
        </w:numPr>
        <w:spacing w:after="160" w:line="480" w:lineRule="auto"/>
        <w:rPr>
          <w:rFonts w:eastAsiaTheme="minorHAnsi"/>
          <w:szCs w:val="26"/>
        </w:rPr>
      </w:pPr>
      <w:r w:rsidRPr="00B03644">
        <w:rPr>
          <w:rFonts w:eastAsiaTheme="minorHAnsi"/>
          <w:szCs w:val="26"/>
        </w:rPr>
        <w:t>CIP-004-6 Personnel and Training:  requires entities to minimize the risk against compromise that could lead to mis-operation or instability in the BES from individuals accessing BES Cyber Systems by requiring an appropriate level of personnel risk assessment, training, and security awareness in support of protecting BES Cyber Systems.</w:t>
      </w:r>
    </w:p>
    <w:p w:rsidRPr="00B03644" w:rsidR="00B03644" w:rsidP="00B03644" w:rsidRDefault="00B03644" w14:paraId="2DFD08BB" w14:textId="77777777">
      <w:pPr>
        <w:numPr>
          <w:ilvl w:val="0"/>
          <w:numId w:val="14"/>
        </w:numPr>
        <w:spacing w:after="160" w:line="480" w:lineRule="auto"/>
        <w:rPr>
          <w:rFonts w:eastAsiaTheme="minorHAnsi"/>
          <w:szCs w:val="26"/>
        </w:rPr>
      </w:pPr>
      <w:r w:rsidRPr="00B03644">
        <w:rPr>
          <w:rFonts w:eastAsiaTheme="minorHAnsi"/>
          <w:szCs w:val="26"/>
        </w:rPr>
        <w:t>CIP-005-6 Electronic Security Perimeter(s):  requires entities to manage electronic access to BES Cyber Systems by specifying a controlled Electronic Security Perimeter in support of protecting BES Cyber Systems against compromise that could lead to mis-operation or instability in the BES.</w:t>
      </w:r>
    </w:p>
    <w:p w:rsidRPr="00B03644" w:rsidR="00B03644" w:rsidP="00B03644" w:rsidRDefault="00B03644" w14:paraId="5F44A95A" w14:textId="77777777">
      <w:pPr>
        <w:numPr>
          <w:ilvl w:val="0"/>
          <w:numId w:val="14"/>
        </w:numPr>
        <w:spacing w:after="160" w:line="480" w:lineRule="auto"/>
        <w:rPr>
          <w:rFonts w:eastAsiaTheme="minorHAnsi"/>
          <w:szCs w:val="26"/>
        </w:rPr>
      </w:pPr>
      <w:r w:rsidRPr="00B03644">
        <w:rPr>
          <w:rFonts w:eastAsiaTheme="minorHAnsi"/>
          <w:szCs w:val="26"/>
        </w:rPr>
        <w:t>CIP-006-6 Physical Security of Bulk Electric System Cyber Systems:  requires entities to manage physical access to BES Cyber Systems by specifying a physical security plan in support of protecting BES Cyber Systems against compromise that could lead to mis-operation or instability in the BES.</w:t>
      </w:r>
    </w:p>
    <w:p w:rsidRPr="00B03644" w:rsidR="00B03644" w:rsidP="00B03644" w:rsidRDefault="00B03644" w14:paraId="6821BD1B" w14:textId="77777777">
      <w:pPr>
        <w:numPr>
          <w:ilvl w:val="0"/>
          <w:numId w:val="14"/>
        </w:numPr>
        <w:spacing w:after="160" w:line="480" w:lineRule="auto"/>
        <w:rPr>
          <w:rFonts w:eastAsiaTheme="minorHAnsi"/>
          <w:szCs w:val="26"/>
        </w:rPr>
      </w:pPr>
      <w:r w:rsidRPr="00B03644">
        <w:rPr>
          <w:rFonts w:eastAsiaTheme="minorHAnsi"/>
          <w:szCs w:val="26"/>
        </w:rPr>
        <w:lastRenderedPageBreak/>
        <w:t>CIP-007-6 System Security Management:  requires entities to manage system security by specifying select technical, operational, and procedural requirements in support of protecting BES Cyber Systems against compromise that could lead to mis-operation or instability in the BES.</w:t>
      </w:r>
    </w:p>
    <w:p w:rsidRPr="00B03644" w:rsidR="00B03644" w:rsidP="00B03644" w:rsidRDefault="00B03644" w14:paraId="7160A5B9" w14:textId="77777777">
      <w:pPr>
        <w:numPr>
          <w:ilvl w:val="0"/>
          <w:numId w:val="14"/>
        </w:numPr>
        <w:spacing w:after="160" w:line="480" w:lineRule="auto"/>
        <w:rPr>
          <w:rFonts w:eastAsiaTheme="minorHAnsi"/>
          <w:szCs w:val="26"/>
        </w:rPr>
      </w:pPr>
      <w:r w:rsidRPr="00B03644">
        <w:rPr>
          <w:rFonts w:eastAsiaTheme="minorHAnsi"/>
          <w:szCs w:val="26"/>
        </w:rPr>
        <w:t>CIP-008-6 Incident Reporting and Response Planning:  requires entities to mitigate the risk to the reliable operation of the BES as the result of a cybersecurity incident by specifying incident response requirements.</w:t>
      </w:r>
    </w:p>
    <w:p w:rsidRPr="00B03644" w:rsidR="00B03644" w:rsidP="00B03644" w:rsidRDefault="00B03644" w14:paraId="23C2A025" w14:textId="77777777">
      <w:pPr>
        <w:numPr>
          <w:ilvl w:val="0"/>
          <w:numId w:val="14"/>
        </w:numPr>
        <w:spacing w:after="160" w:line="480" w:lineRule="auto"/>
        <w:rPr>
          <w:rFonts w:eastAsiaTheme="minorHAnsi"/>
          <w:szCs w:val="26"/>
        </w:rPr>
      </w:pPr>
      <w:r w:rsidRPr="00B03644">
        <w:rPr>
          <w:rFonts w:eastAsiaTheme="minorHAnsi"/>
          <w:szCs w:val="26"/>
        </w:rPr>
        <w:t>CIP-009-6 Recovery Plans for Bulk Electric System Cyber Systems: requires entities to recover reliability functions performed by BES Cyber Systems by specifying recovery plan requirements in support of the continued stability, operability, and reliability of the BES.</w:t>
      </w:r>
    </w:p>
    <w:p w:rsidRPr="00B03644" w:rsidR="00B03644" w:rsidP="00B03644" w:rsidRDefault="00B03644" w14:paraId="7C8681AE" w14:textId="77777777">
      <w:pPr>
        <w:numPr>
          <w:ilvl w:val="0"/>
          <w:numId w:val="14"/>
        </w:numPr>
        <w:spacing w:after="160" w:line="480" w:lineRule="auto"/>
        <w:rPr>
          <w:rFonts w:eastAsiaTheme="minorHAnsi"/>
          <w:szCs w:val="26"/>
        </w:rPr>
      </w:pPr>
      <w:r w:rsidRPr="00B03644">
        <w:rPr>
          <w:rFonts w:eastAsiaTheme="minorHAnsi"/>
          <w:szCs w:val="26"/>
        </w:rPr>
        <w:t xml:space="preserve">CIP-010-3 Configuration Change Management and Vulnerability Assessments:  requires entities to prevent and detect unauthorized changes to BES Cyber Systems by specifying configuration change management and vulnerability assessment requirements in support of protecting BES Cyber Systems from compromise that could lead to mis-operation or instability in the BES. </w:t>
      </w:r>
    </w:p>
    <w:p w:rsidRPr="00B03644" w:rsidR="00B03644" w:rsidP="00B03644" w:rsidRDefault="00B03644" w14:paraId="4F29F309" w14:textId="77777777">
      <w:pPr>
        <w:numPr>
          <w:ilvl w:val="0"/>
          <w:numId w:val="14"/>
        </w:numPr>
        <w:spacing w:after="160" w:line="480" w:lineRule="auto"/>
        <w:rPr>
          <w:rFonts w:eastAsiaTheme="minorHAnsi"/>
          <w:szCs w:val="26"/>
        </w:rPr>
      </w:pPr>
      <w:r w:rsidRPr="00B03644">
        <w:rPr>
          <w:rFonts w:eastAsiaTheme="minorHAnsi"/>
          <w:szCs w:val="26"/>
        </w:rPr>
        <w:t xml:space="preserve">CIP-011-2 Information Protection:  requires entities to prevent unauthorized access to BES Cyber System Information by specifying information protection requirements in support of protecting BES Cyber </w:t>
      </w:r>
      <w:r w:rsidRPr="00B03644">
        <w:rPr>
          <w:rFonts w:eastAsiaTheme="minorHAnsi"/>
          <w:szCs w:val="26"/>
        </w:rPr>
        <w:lastRenderedPageBreak/>
        <w:t>Systems against compromise that could lead to mis-operation or instability in the BES.</w:t>
      </w:r>
    </w:p>
    <w:p w:rsidRPr="00B03644" w:rsidR="00B03644" w:rsidP="00B03644" w:rsidRDefault="00B03644" w14:paraId="175D7FCE" w14:textId="77777777">
      <w:pPr>
        <w:numPr>
          <w:ilvl w:val="0"/>
          <w:numId w:val="14"/>
        </w:numPr>
        <w:spacing w:after="160" w:line="480" w:lineRule="auto"/>
        <w:rPr>
          <w:rFonts w:eastAsiaTheme="minorHAnsi"/>
          <w:szCs w:val="26"/>
        </w:rPr>
      </w:pPr>
      <w:r w:rsidRPr="00B03644">
        <w:rPr>
          <w:rFonts w:eastAsiaTheme="minorHAnsi"/>
          <w:szCs w:val="26"/>
        </w:rPr>
        <w:t>CIP-012-1 Communications between Control Centers:</w:t>
      </w:r>
      <w:r w:rsidRPr="00B03644">
        <w:rPr>
          <w:rFonts w:eastAsiaTheme="minorHAnsi"/>
          <w:b/>
          <w:szCs w:val="26"/>
          <w:vertAlign w:val="superscript"/>
        </w:rPr>
        <w:footnoteReference w:id="12"/>
      </w:r>
      <w:r w:rsidRPr="00B03644">
        <w:rPr>
          <w:rFonts w:eastAsiaTheme="minorHAnsi"/>
          <w:szCs w:val="26"/>
        </w:rPr>
        <w:t xml:space="preserve">  requires entities to protect the confidentiality and integrity of Real-time Assessment and Real-time monitoring data transmitted between Control Centers.</w:t>
      </w:r>
    </w:p>
    <w:p w:rsidRPr="00B03644" w:rsidR="00B03644" w:rsidP="00B03644" w:rsidRDefault="00B03644" w14:paraId="78FCCC03" w14:textId="77777777">
      <w:pPr>
        <w:numPr>
          <w:ilvl w:val="0"/>
          <w:numId w:val="14"/>
        </w:numPr>
        <w:spacing w:after="160" w:line="480" w:lineRule="auto"/>
        <w:rPr>
          <w:rFonts w:eastAsiaTheme="minorHAnsi"/>
          <w:szCs w:val="26"/>
        </w:rPr>
      </w:pPr>
      <w:r w:rsidRPr="00B03644">
        <w:rPr>
          <w:rFonts w:eastAsiaTheme="minorHAnsi"/>
          <w:szCs w:val="26"/>
        </w:rPr>
        <w:t>CIP-013-1 Supply Chain Risk Management:  requires entities to mitigate cybersecurity risks to the reliable operation of the BES by implementing security controls for supply chain risk management of BES Cyber Systems.</w:t>
      </w:r>
    </w:p>
    <w:p w:rsidRPr="00AF057C" w:rsidR="00B03644" w:rsidP="008539D9" w:rsidRDefault="00B03644" w14:paraId="42224DA2" w14:textId="246F3171">
      <w:pPr>
        <w:numPr>
          <w:ilvl w:val="0"/>
          <w:numId w:val="14"/>
        </w:numPr>
        <w:tabs>
          <w:tab w:val="num" w:pos="720"/>
        </w:tabs>
        <w:spacing w:after="160" w:line="480" w:lineRule="auto"/>
        <w:rPr>
          <w:rFonts w:eastAsiaTheme="minorHAnsi"/>
          <w:szCs w:val="26"/>
        </w:rPr>
      </w:pPr>
      <w:r w:rsidRPr="00AF057C">
        <w:rPr>
          <w:rFonts w:eastAsiaTheme="minorHAnsi"/>
          <w:szCs w:val="26"/>
        </w:rPr>
        <w:t>CIP-014-2 Physical Security: requires the Transmission Owner to perform a risk assessment, consisting of a transmission analysis, to determine which of those Transmission stations and Transmission Substations and conduct an assessment of potential threats and vulnerabilities to those Transmission stations, Transmission substations, and primary control centers using a tailored evaluation process.</w:t>
      </w:r>
    </w:p>
    <w:p w:rsidRPr="000F3BC3" w:rsidR="000F3BC3" w:rsidP="000F3BC3" w:rsidRDefault="00B03644" w14:paraId="7876A784" w14:textId="5DF2D144">
      <w:pPr>
        <w:spacing w:after="160" w:line="480" w:lineRule="auto"/>
        <w:rPr>
          <w:rFonts w:eastAsiaTheme="minorHAnsi"/>
          <w:szCs w:val="26"/>
        </w:rPr>
      </w:pPr>
      <w:r w:rsidRPr="00B03644">
        <w:rPr>
          <w:rFonts w:eastAsiaTheme="minorHAnsi"/>
          <w:szCs w:val="26"/>
        </w:rPr>
        <w:t>The CIP Reliability Standards, viewed as a whole, implement a defense-in-depth approach to protecting the security of BES Cyber Systems at all impact levels.</w:t>
      </w:r>
      <w:r w:rsidRPr="00B03644">
        <w:rPr>
          <w:rFonts w:eastAsiaTheme="minorHAnsi"/>
          <w:b/>
          <w:szCs w:val="26"/>
          <w:vertAlign w:val="superscript"/>
        </w:rPr>
        <w:footnoteReference w:id="13"/>
      </w:r>
      <w:r w:rsidRPr="00B03644">
        <w:rPr>
          <w:rFonts w:eastAsiaTheme="minorHAnsi"/>
          <w:szCs w:val="26"/>
        </w:rPr>
        <w:t xml:space="preserve">  The CIP </w:t>
      </w:r>
      <w:r w:rsidRPr="00B03644">
        <w:rPr>
          <w:rFonts w:eastAsiaTheme="minorHAnsi"/>
          <w:szCs w:val="26"/>
        </w:rPr>
        <w:lastRenderedPageBreak/>
        <w:t>Reliability Standards are objective-based and allow entities to choose compliance approaches best tailored to their systems.</w:t>
      </w:r>
      <w:r w:rsidRPr="00B03644">
        <w:rPr>
          <w:rFonts w:eastAsiaTheme="minorHAnsi"/>
          <w:b/>
          <w:szCs w:val="26"/>
          <w:vertAlign w:val="superscript"/>
        </w:rPr>
        <w:footnoteReference w:id="14"/>
      </w:r>
      <w:r w:rsidRPr="00B03644">
        <w:rPr>
          <w:rFonts w:eastAsiaTheme="minorHAnsi"/>
          <w:szCs w:val="26"/>
        </w:rPr>
        <w:t xml:space="preserve"> </w:t>
      </w:r>
      <w:r w:rsidRPr="000F3BC3" w:rsidR="000F3BC3">
        <w:rPr>
          <w:rFonts w:eastAsiaTheme="minorHAnsi"/>
          <w:szCs w:val="26"/>
        </w:rPr>
        <w:t xml:space="preserve"> </w:t>
      </w:r>
    </w:p>
    <w:tbl>
      <w:tblPr>
        <w:tblW w:w="9440" w:type="dxa"/>
        <w:tblInd w:w="5" w:type="dxa"/>
        <w:tblLayout w:type="fixed"/>
        <w:tblLook w:val="04A0" w:firstRow="1" w:lastRow="0" w:firstColumn="1" w:lastColumn="0" w:noHBand="0" w:noVBand="1"/>
      </w:tblPr>
      <w:tblGrid>
        <w:gridCol w:w="1610"/>
        <w:gridCol w:w="1709"/>
        <w:gridCol w:w="1261"/>
        <w:gridCol w:w="1440"/>
        <w:gridCol w:w="1436"/>
        <w:gridCol w:w="1984"/>
      </w:tblGrid>
      <w:tr w:rsidRPr="006E5138" w:rsidR="006E5138" w:rsidTr="004E3480" w14:paraId="57DADCC8" w14:textId="77777777">
        <w:trPr>
          <w:trHeight w:val="863"/>
        </w:trPr>
        <w:tc>
          <w:tcPr>
            <w:tcW w:w="9440" w:type="dxa"/>
            <w:gridSpan w:val="6"/>
            <w:tcBorders>
              <w:top w:val="single" w:color="auto" w:sz="4" w:space="0"/>
              <w:left w:val="single" w:color="auto" w:sz="4" w:space="0"/>
              <w:bottom w:val="single" w:color="auto" w:sz="4" w:space="0"/>
              <w:right w:val="single" w:color="auto" w:sz="4" w:space="0"/>
            </w:tcBorders>
            <w:shd w:val="clear" w:color="auto" w:fill="A6A6A6"/>
            <w:vAlign w:val="center"/>
            <w:hideMark/>
          </w:tcPr>
          <w:p w:rsidRPr="008539D9" w:rsidR="006E5138" w:rsidP="006E5138" w:rsidRDefault="006E5138" w14:paraId="4ECE352D" w14:textId="77777777">
            <w:pPr>
              <w:spacing w:after="160" w:line="259" w:lineRule="auto"/>
              <w:rPr>
                <w:rFonts w:eastAsia="Calibri"/>
                <w:bCs/>
                <w:szCs w:val="22"/>
              </w:rPr>
            </w:pPr>
            <w:r w:rsidRPr="008539D9">
              <w:rPr>
                <w:rFonts w:eastAsia="Calibri"/>
                <w:bCs/>
                <w:szCs w:val="22"/>
              </w:rPr>
              <w:t>FERC-725B -</w:t>
            </w:r>
            <w:r w:rsidRPr="008539D9">
              <w:rPr>
                <w:rFonts w:eastAsia="Calibri"/>
                <w:bCs/>
                <w:szCs w:val="22"/>
                <w:vertAlign w:val="superscript"/>
              </w:rPr>
              <w:t xml:space="preserve"> </w:t>
            </w:r>
            <w:r w:rsidRPr="008539D9">
              <w:rPr>
                <w:rFonts w:eastAsia="Calibri"/>
                <w:bCs/>
                <w:szCs w:val="22"/>
              </w:rPr>
              <w:t>(Mandatory Reliability Standards for Critical Infrastructure Protection [CIP] Reliability Standards) after adding filers from Cybersecurity Incentives Investment Activity (submitted as a separate IC within FERC-725B).</w:t>
            </w:r>
          </w:p>
        </w:tc>
      </w:tr>
      <w:tr w:rsidRPr="006E5138" w:rsidR="006E5138" w:rsidTr="002C7036" w14:paraId="09CD3C7D" w14:textId="77777777">
        <w:trPr>
          <w:trHeight w:val="1880"/>
        </w:trPr>
        <w:tc>
          <w:tcPr>
            <w:tcW w:w="1610"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0254D1E8" w14:textId="77777777">
            <w:pPr>
              <w:spacing w:after="160" w:line="259" w:lineRule="auto"/>
              <w:rPr>
                <w:rFonts w:eastAsia="Calibri"/>
                <w:szCs w:val="22"/>
              </w:rPr>
            </w:pPr>
          </w:p>
          <w:p w:rsidRPr="008539D9" w:rsidR="006E5138" w:rsidP="006E5138" w:rsidRDefault="006E5138" w14:paraId="0B055E51" w14:textId="77777777">
            <w:pPr>
              <w:spacing w:after="160" w:line="259" w:lineRule="auto"/>
              <w:rPr>
                <w:rFonts w:eastAsia="Calibri"/>
                <w:szCs w:val="22"/>
              </w:rPr>
            </w:pPr>
          </w:p>
          <w:p w:rsidRPr="008539D9" w:rsidR="006E5138" w:rsidP="006E5138" w:rsidRDefault="006E5138" w14:paraId="68000345" w14:textId="77777777">
            <w:pPr>
              <w:spacing w:after="160" w:line="259" w:lineRule="auto"/>
              <w:rPr>
                <w:rFonts w:eastAsia="Calibri"/>
                <w:szCs w:val="22"/>
              </w:rPr>
            </w:pPr>
          </w:p>
          <w:p w:rsidRPr="008539D9" w:rsidR="006E5138" w:rsidP="006E5138" w:rsidRDefault="006E5138" w14:paraId="638A6797" w14:textId="77777777">
            <w:pPr>
              <w:spacing w:after="160" w:line="259" w:lineRule="auto"/>
              <w:rPr>
                <w:rFonts w:eastAsia="Calibri"/>
                <w:szCs w:val="22"/>
              </w:rPr>
            </w:pPr>
          </w:p>
        </w:tc>
        <w:tc>
          <w:tcPr>
            <w:tcW w:w="1709"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4FB4EE3C" w14:textId="77777777">
            <w:pPr>
              <w:spacing w:after="160" w:line="259" w:lineRule="auto"/>
              <w:rPr>
                <w:rFonts w:eastAsia="Calibri"/>
                <w:szCs w:val="22"/>
              </w:rPr>
            </w:pPr>
            <w:r w:rsidRPr="008539D9">
              <w:rPr>
                <w:rFonts w:eastAsia="Calibri"/>
                <w:szCs w:val="22"/>
              </w:rPr>
              <w:t>Number and Type of Respondent</w:t>
            </w:r>
            <w:r w:rsidRPr="008539D9">
              <w:rPr>
                <w:rFonts w:eastAsia="Calibri"/>
                <w:szCs w:val="22"/>
                <w:vertAlign w:val="superscript"/>
              </w:rPr>
              <w:footnoteReference w:id="15"/>
            </w:r>
          </w:p>
          <w:p w:rsidRPr="008539D9" w:rsidR="006E5138" w:rsidP="006E5138" w:rsidRDefault="006E5138" w14:paraId="6B246097" w14:textId="77777777">
            <w:pPr>
              <w:spacing w:after="160" w:line="259" w:lineRule="auto"/>
              <w:rPr>
                <w:rFonts w:eastAsia="Calibri"/>
                <w:szCs w:val="22"/>
              </w:rPr>
            </w:pPr>
            <w:r w:rsidRPr="008539D9">
              <w:rPr>
                <w:rFonts w:eastAsia="Calibri"/>
                <w:szCs w:val="22"/>
              </w:rPr>
              <w:t>(1)</w:t>
            </w:r>
          </w:p>
        </w:tc>
        <w:tc>
          <w:tcPr>
            <w:tcW w:w="1261"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6D9A772A" w14:textId="77777777">
            <w:pPr>
              <w:spacing w:after="160" w:line="259" w:lineRule="auto"/>
              <w:rPr>
                <w:rFonts w:eastAsia="Calibri"/>
                <w:szCs w:val="22"/>
              </w:rPr>
            </w:pPr>
            <w:r w:rsidRPr="008539D9">
              <w:rPr>
                <w:rFonts w:eastAsia="Calibri"/>
                <w:szCs w:val="22"/>
              </w:rPr>
              <w:t>Annual Number of Responses per Respondent</w:t>
            </w:r>
          </w:p>
          <w:p w:rsidRPr="008539D9" w:rsidR="006E5138" w:rsidP="006E5138" w:rsidRDefault="006E5138" w14:paraId="59DA7F44" w14:textId="77777777">
            <w:pPr>
              <w:spacing w:after="160" w:line="259" w:lineRule="auto"/>
              <w:rPr>
                <w:rFonts w:eastAsia="Calibri"/>
                <w:szCs w:val="22"/>
              </w:rPr>
            </w:pPr>
            <w:r w:rsidRPr="008539D9">
              <w:rPr>
                <w:rFonts w:eastAsia="Calibri"/>
                <w:szCs w:val="22"/>
              </w:rPr>
              <w:t>(2)</w:t>
            </w:r>
          </w:p>
        </w:tc>
        <w:tc>
          <w:tcPr>
            <w:tcW w:w="1440"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2E513B08" w14:textId="77777777">
            <w:pPr>
              <w:spacing w:after="160" w:line="259" w:lineRule="auto"/>
              <w:rPr>
                <w:rFonts w:eastAsia="Calibri"/>
                <w:szCs w:val="22"/>
              </w:rPr>
            </w:pPr>
            <w:r w:rsidRPr="008539D9">
              <w:rPr>
                <w:rFonts w:eastAsia="Calibri"/>
                <w:szCs w:val="22"/>
              </w:rPr>
              <w:t>Total Number of Responses (</w:t>
            </w:r>
            <w:proofErr w:type="gramStart"/>
            <w:r w:rsidRPr="008539D9">
              <w:rPr>
                <w:rFonts w:eastAsia="Calibri"/>
                <w:szCs w:val="22"/>
              </w:rPr>
              <w:t>1)*</w:t>
            </w:r>
            <w:proofErr w:type="gramEnd"/>
            <w:r w:rsidRPr="008539D9">
              <w:rPr>
                <w:rFonts w:eastAsia="Calibri"/>
                <w:szCs w:val="22"/>
              </w:rPr>
              <w:t>(2)=(3)</w:t>
            </w:r>
          </w:p>
        </w:tc>
        <w:tc>
          <w:tcPr>
            <w:tcW w:w="1436"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7D5267E3" w14:textId="77777777">
            <w:pPr>
              <w:spacing w:after="160" w:line="259" w:lineRule="auto"/>
              <w:rPr>
                <w:rFonts w:eastAsia="Calibri"/>
                <w:szCs w:val="22"/>
                <w:vertAlign w:val="superscript"/>
              </w:rPr>
            </w:pPr>
            <w:r w:rsidRPr="008539D9">
              <w:rPr>
                <w:rFonts w:eastAsia="Calibri"/>
                <w:szCs w:val="22"/>
              </w:rPr>
              <w:t>Average Burden per Response (Hours)</w:t>
            </w:r>
            <w:r w:rsidRPr="008539D9">
              <w:rPr>
                <w:rFonts w:eastAsia="Calibri"/>
                <w:szCs w:val="22"/>
                <w:vertAlign w:val="superscript"/>
              </w:rPr>
              <w:t xml:space="preserve"> </w:t>
            </w:r>
            <w:r w:rsidRPr="008539D9">
              <w:rPr>
                <w:rFonts w:eastAsia="Calibri"/>
                <w:szCs w:val="22"/>
                <w:vertAlign w:val="superscript"/>
              </w:rPr>
              <w:footnoteReference w:id="16"/>
            </w:r>
            <w:r w:rsidRPr="008539D9">
              <w:rPr>
                <w:rFonts w:eastAsia="Calibri"/>
                <w:szCs w:val="22"/>
              </w:rPr>
              <w:t>&amp;</w:t>
            </w:r>
          </w:p>
          <w:p w:rsidRPr="008539D9" w:rsidR="006E5138" w:rsidP="006E5138" w:rsidRDefault="006E5138" w14:paraId="5D686254" w14:textId="77777777">
            <w:pPr>
              <w:spacing w:after="160" w:line="259" w:lineRule="auto"/>
              <w:rPr>
                <w:rFonts w:eastAsia="Calibri"/>
                <w:szCs w:val="22"/>
              </w:rPr>
            </w:pPr>
            <w:r w:rsidRPr="008539D9">
              <w:rPr>
                <w:rFonts w:eastAsia="Calibri"/>
                <w:szCs w:val="22"/>
              </w:rPr>
              <w:t>Cost per Response</w:t>
            </w:r>
          </w:p>
          <w:p w:rsidRPr="008539D9" w:rsidR="006E5138" w:rsidP="006E5138" w:rsidRDefault="006E5138" w14:paraId="08911BE4" w14:textId="77777777">
            <w:pPr>
              <w:spacing w:after="160" w:line="259" w:lineRule="auto"/>
              <w:rPr>
                <w:rFonts w:eastAsia="Calibri"/>
                <w:szCs w:val="22"/>
              </w:rPr>
            </w:pPr>
            <w:r w:rsidRPr="008539D9">
              <w:rPr>
                <w:rFonts w:eastAsia="Calibri"/>
                <w:szCs w:val="22"/>
              </w:rPr>
              <w:t>(4)</w:t>
            </w:r>
          </w:p>
        </w:tc>
        <w:tc>
          <w:tcPr>
            <w:tcW w:w="1984" w:type="dxa"/>
            <w:tcBorders>
              <w:top w:val="single" w:color="auto" w:sz="4" w:space="0"/>
              <w:left w:val="single" w:color="auto" w:sz="4" w:space="0"/>
              <w:bottom w:val="single" w:color="auto" w:sz="4" w:space="0"/>
              <w:right w:val="single" w:color="auto" w:sz="4" w:space="0"/>
            </w:tcBorders>
            <w:shd w:val="clear" w:color="auto" w:fill="BFBFBF"/>
            <w:vAlign w:val="bottom"/>
          </w:tcPr>
          <w:p w:rsidRPr="008539D9" w:rsidR="006E5138" w:rsidP="006E5138" w:rsidRDefault="006E5138" w14:paraId="41E7B878" w14:textId="77777777">
            <w:pPr>
              <w:spacing w:after="160" w:line="259" w:lineRule="auto"/>
              <w:rPr>
                <w:rFonts w:eastAsia="Calibri"/>
                <w:szCs w:val="22"/>
              </w:rPr>
            </w:pPr>
            <w:r w:rsidRPr="008539D9">
              <w:rPr>
                <w:rFonts w:eastAsia="Calibri"/>
                <w:szCs w:val="22"/>
              </w:rPr>
              <w:t>Total Annual Burden (Hours) &amp; Total Annual Cost</w:t>
            </w:r>
            <w:r w:rsidRPr="008539D9">
              <w:rPr>
                <w:rFonts w:eastAsia="Calibri"/>
                <w:szCs w:val="22"/>
                <w:vertAlign w:val="superscript"/>
              </w:rPr>
              <w:footnoteReference w:id="17"/>
            </w:r>
          </w:p>
          <w:p w:rsidRPr="008539D9" w:rsidR="006E5138" w:rsidP="006E5138" w:rsidRDefault="006E5138" w14:paraId="719CA7BC" w14:textId="77777777">
            <w:pPr>
              <w:spacing w:after="160" w:line="259" w:lineRule="auto"/>
              <w:rPr>
                <w:rFonts w:eastAsia="Calibri"/>
                <w:szCs w:val="22"/>
              </w:rPr>
            </w:pPr>
            <w:r w:rsidRPr="008539D9">
              <w:rPr>
                <w:rFonts w:eastAsia="Calibri"/>
                <w:szCs w:val="22"/>
              </w:rPr>
              <w:t>($)</w:t>
            </w:r>
          </w:p>
          <w:p w:rsidRPr="008539D9" w:rsidR="006E5138" w:rsidP="006E5138" w:rsidRDefault="006E5138" w14:paraId="21DBD6D4" w14:textId="77777777">
            <w:pPr>
              <w:spacing w:after="160" w:line="259" w:lineRule="auto"/>
              <w:rPr>
                <w:rFonts w:eastAsia="Calibri"/>
                <w:szCs w:val="22"/>
              </w:rPr>
            </w:pPr>
            <w:r w:rsidRPr="008539D9">
              <w:rPr>
                <w:rFonts w:eastAsia="Calibri"/>
                <w:szCs w:val="22"/>
              </w:rPr>
              <w:t>(</w:t>
            </w:r>
            <w:proofErr w:type="gramStart"/>
            <w:r w:rsidRPr="008539D9">
              <w:rPr>
                <w:rFonts w:eastAsia="Calibri"/>
                <w:szCs w:val="22"/>
              </w:rPr>
              <w:t>3)*</w:t>
            </w:r>
            <w:proofErr w:type="gramEnd"/>
            <w:r w:rsidRPr="008539D9">
              <w:rPr>
                <w:rFonts w:eastAsia="Calibri"/>
                <w:szCs w:val="22"/>
              </w:rPr>
              <w:t>(4)=(5)</w:t>
            </w:r>
          </w:p>
        </w:tc>
      </w:tr>
      <w:tr w:rsidRPr="006E5138" w:rsidR="006E5138" w:rsidTr="002C7036" w14:paraId="5D7C9197"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2196471A" w14:textId="77777777">
            <w:pPr>
              <w:spacing w:after="160" w:line="259" w:lineRule="auto"/>
              <w:rPr>
                <w:rFonts w:eastAsia="Calibri"/>
                <w:szCs w:val="22"/>
              </w:rPr>
            </w:pPr>
            <w:r w:rsidRPr="008539D9">
              <w:rPr>
                <w:rFonts w:eastAsia="Calibri"/>
                <w:szCs w:val="22"/>
              </w:rPr>
              <w:t>CIP-002-5.1</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1D32730F" w14:textId="77777777">
            <w:pPr>
              <w:spacing w:after="160" w:line="259" w:lineRule="auto"/>
              <w:rPr>
                <w:rFonts w:eastAsia="Calibri"/>
                <w:szCs w:val="22"/>
              </w:rPr>
            </w:pPr>
            <w:r w:rsidRPr="008539D9">
              <w:rPr>
                <w:rFonts w:eastAsia="Calibri"/>
                <w:szCs w:val="22"/>
              </w:rPr>
              <w:t>1,492</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3374CC49"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22CDCB16" w14:textId="77777777">
            <w:pPr>
              <w:spacing w:after="160" w:line="259" w:lineRule="auto"/>
              <w:rPr>
                <w:rFonts w:eastAsia="Calibri"/>
                <w:szCs w:val="22"/>
              </w:rPr>
            </w:pPr>
            <w:r w:rsidRPr="008539D9">
              <w:rPr>
                <w:rFonts w:eastAsia="Calibri"/>
                <w:szCs w:val="22"/>
              </w:rPr>
              <w:t>1,492</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4BF4D82B" w14:textId="58609C08">
            <w:pPr>
              <w:spacing w:after="160" w:line="259" w:lineRule="auto"/>
              <w:rPr>
                <w:rFonts w:eastAsia="Calibri"/>
                <w:szCs w:val="22"/>
              </w:rPr>
            </w:pPr>
            <w:r w:rsidRPr="008539D9">
              <w:rPr>
                <w:rFonts w:eastAsia="Calibri"/>
                <w:szCs w:val="22"/>
              </w:rPr>
              <w:t>20 hrs.</w:t>
            </w:r>
            <w:r w:rsidRPr="008539D9" w:rsidR="00936CAC">
              <w:rPr>
                <w:rFonts w:eastAsia="Calibri"/>
                <w:szCs w:val="22"/>
              </w:rPr>
              <w:t>; $1,700.4</w:t>
            </w:r>
            <w:r w:rsidRPr="008539D9" w:rsidR="002C7036">
              <w:rPr>
                <w:rFonts w:eastAsia="Calibri"/>
                <w:szCs w:val="22"/>
              </w:rPr>
              <w:t>0</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0B15C6E9" w14:textId="364BEF8E">
            <w:pPr>
              <w:spacing w:after="160" w:line="259" w:lineRule="auto"/>
              <w:rPr>
                <w:rFonts w:eastAsia="Calibri"/>
                <w:szCs w:val="22"/>
              </w:rPr>
            </w:pPr>
            <w:r w:rsidRPr="008539D9">
              <w:rPr>
                <w:rFonts w:eastAsia="Calibri"/>
                <w:szCs w:val="22"/>
              </w:rPr>
              <w:t>29,840 hrs.</w:t>
            </w:r>
            <w:r w:rsidRPr="008539D9" w:rsidR="00936CAC">
              <w:rPr>
                <w:rFonts w:eastAsia="Calibri"/>
                <w:szCs w:val="22"/>
              </w:rPr>
              <w:t>; $2,536,996.8</w:t>
            </w:r>
          </w:p>
        </w:tc>
      </w:tr>
      <w:tr w:rsidRPr="006E5138" w:rsidR="002C7036" w:rsidTr="002C7036" w14:paraId="62606C34" w14:textId="77777777">
        <w:trPr>
          <w:trHeight w:val="980"/>
        </w:trPr>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0EEA297F" w14:textId="77777777">
            <w:pPr>
              <w:spacing w:after="160" w:line="259" w:lineRule="auto"/>
              <w:rPr>
                <w:rFonts w:eastAsia="Calibri"/>
                <w:szCs w:val="22"/>
              </w:rPr>
            </w:pPr>
            <w:r w:rsidRPr="008539D9">
              <w:rPr>
                <w:rFonts w:eastAsia="Calibri"/>
                <w:szCs w:val="22"/>
              </w:rPr>
              <w:t>CIP-003-8</w:t>
            </w:r>
          </w:p>
        </w:tc>
        <w:tc>
          <w:tcPr>
            <w:tcW w:w="1709"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4846A63B" w14:textId="77777777">
            <w:pPr>
              <w:spacing w:after="160" w:line="259" w:lineRule="auto"/>
              <w:rPr>
                <w:rFonts w:eastAsia="Calibri"/>
                <w:szCs w:val="22"/>
              </w:rPr>
            </w:pPr>
            <w:r w:rsidRPr="008539D9">
              <w:rPr>
                <w:rFonts w:eastAsia="Calibri"/>
                <w:szCs w:val="22"/>
              </w:rPr>
              <w:t>1,492</w:t>
            </w:r>
            <w:r w:rsidRPr="008539D9">
              <w:rPr>
                <w:rFonts w:eastAsia="Calibri"/>
                <w:szCs w:val="22"/>
                <w:vertAlign w:val="superscript"/>
              </w:rPr>
              <w:footnoteReference w:id="18"/>
            </w:r>
          </w:p>
        </w:tc>
        <w:tc>
          <w:tcPr>
            <w:tcW w:w="1261"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59640F02" w14:textId="77777777">
            <w:pPr>
              <w:spacing w:after="160" w:line="259" w:lineRule="auto"/>
              <w:rPr>
                <w:rFonts w:eastAsia="Calibri"/>
                <w:szCs w:val="22"/>
              </w:rPr>
            </w:pPr>
            <w:r w:rsidRPr="008539D9">
              <w:rPr>
                <w:rFonts w:eastAsia="Calibri"/>
                <w:szCs w:val="22"/>
              </w:rPr>
              <w:t>156.149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6EA096F1" w14:textId="77777777">
            <w:pPr>
              <w:spacing w:after="160" w:line="259" w:lineRule="auto"/>
              <w:rPr>
                <w:rFonts w:eastAsia="Calibri"/>
                <w:szCs w:val="22"/>
              </w:rPr>
            </w:pPr>
            <w:r w:rsidRPr="008539D9">
              <w:rPr>
                <w:rFonts w:eastAsia="Calibri"/>
                <w:szCs w:val="22"/>
              </w:rPr>
              <w:t>232,974.387</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21CB85E0" w14:textId="3F2DDFC7">
            <w:pPr>
              <w:spacing w:after="160" w:line="259" w:lineRule="auto"/>
              <w:rPr>
                <w:rFonts w:eastAsia="Calibri"/>
                <w:szCs w:val="22"/>
              </w:rPr>
            </w:pPr>
            <w:r w:rsidRPr="008539D9">
              <w:rPr>
                <w:rFonts w:eastAsia="Calibri"/>
                <w:szCs w:val="22"/>
              </w:rPr>
              <w:t>1.56 hrs.</w:t>
            </w:r>
            <w:r w:rsidRPr="008539D9" w:rsidR="00936CAC">
              <w:rPr>
                <w:rFonts w:eastAsia="Calibri"/>
                <w:szCs w:val="22"/>
              </w:rPr>
              <w:t>; $132.63</w:t>
            </w:r>
          </w:p>
        </w:tc>
        <w:tc>
          <w:tcPr>
            <w:tcW w:w="1984"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17DBB2A0" w14:textId="7E381A42">
            <w:pPr>
              <w:spacing w:after="160" w:line="259" w:lineRule="auto"/>
              <w:rPr>
                <w:rFonts w:eastAsia="Calibri"/>
                <w:szCs w:val="22"/>
              </w:rPr>
            </w:pPr>
            <w:r w:rsidRPr="008539D9">
              <w:rPr>
                <w:rFonts w:eastAsia="Calibri"/>
                <w:szCs w:val="22"/>
              </w:rPr>
              <w:t>363,440.04 hrs.</w:t>
            </w:r>
            <w:r w:rsidRPr="008539D9" w:rsidR="00936CAC">
              <w:rPr>
                <w:rFonts w:eastAsia="Calibri"/>
                <w:szCs w:val="22"/>
              </w:rPr>
              <w:t>; $30,899,672.20</w:t>
            </w:r>
          </w:p>
        </w:tc>
      </w:tr>
      <w:tr w:rsidRPr="006E5138" w:rsidR="006E5138" w:rsidTr="002C7036" w14:paraId="1C438FA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2823FD0E" w14:textId="77777777">
            <w:pPr>
              <w:spacing w:after="160" w:line="259" w:lineRule="auto"/>
              <w:rPr>
                <w:rFonts w:eastAsia="Calibri"/>
                <w:szCs w:val="22"/>
              </w:rPr>
            </w:pPr>
            <w:r w:rsidRPr="008539D9">
              <w:rPr>
                <w:rFonts w:eastAsia="Calibri"/>
                <w:szCs w:val="22"/>
              </w:rPr>
              <w:lastRenderedPageBreak/>
              <w:t>CIP-004-6</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07AFC6B9"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7D67695E"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034223E7"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1B680600" w14:textId="6DD28A5F">
            <w:pPr>
              <w:spacing w:after="160" w:line="259" w:lineRule="auto"/>
              <w:rPr>
                <w:rFonts w:eastAsia="Calibri"/>
                <w:szCs w:val="22"/>
              </w:rPr>
            </w:pPr>
            <w:r w:rsidRPr="008539D9">
              <w:rPr>
                <w:rFonts w:eastAsia="Calibri"/>
                <w:szCs w:val="22"/>
              </w:rPr>
              <w:t>565 hrs.</w:t>
            </w:r>
            <w:r w:rsidRPr="008539D9" w:rsidR="00936CAC">
              <w:rPr>
                <w:rFonts w:eastAsia="Calibri"/>
                <w:szCs w:val="22"/>
              </w:rPr>
              <w:t>; $48,036.30</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00BAE082" w14:textId="0CA836D4">
            <w:pPr>
              <w:spacing w:after="160" w:line="259" w:lineRule="auto"/>
              <w:rPr>
                <w:rFonts w:eastAsia="Calibri"/>
                <w:szCs w:val="22"/>
              </w:rPr>
            </w:pPr>
            <w:r w:rsidRPr="008539D9">
              <w:rPr>
                <w:rFonts w:eastAsia="Calibri"/>
                <w:szCs w:val="22"/>
              </w:rPr>
              <w:t>193,795 hrs.</w:t>
            </w:r>
            <w:r w:rsidRPr="008539D9" w:rsidR="00936CAC">
              <w:rPr>
                <w:rFonts w:eastAsia="Calibri"/>
                <w:szCs w:val="22"/>
              </w:rPr>
              <w:t>; $16,476,450.90</w:t>
            </w:r>
          </w:p>
        </w:tc>
      </w:tr>
      <w:tr w:rsidRPr="006E5138" w:rsidR="006E5138" w:rsidTr="002C7036" w14:paraId="6850E8A0"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66EBBF61" w14:textId="77777777">
            <w:pPr>
              <w:spacing w:after="160" w:line="259" w:lineRule="auto"/>
              <w:rPr>
                <w:rFonts w:eastAsia="Calibri"/>
                <w:szCs w:val="22"/>
              </w:rPr>
            </w:pPr>
            <w:r w:rsidRPr="008539D9">
              <w:rPr>
                <w:rFonts w:eastAsia="Calibri"/>
                <w:szCs w:val="22"/>
              </w:rPr>
              <w:t>CIP-005-7</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7D19E847"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65F0F3DC"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67C839BA"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075B899D" w14:textId="2CD47842">
            <w:pPr>
              <w:spacing w:after="160" w:line="259" w:lineRule="auto"/>
              <w:rPr>
                <w:rFonts w:eastAsia="Calibri"/>
                <w:szCs w:val="22"/>
              </w:rPr>
            </w:pPr>
            <w:r w:rsidRPr="008539D9">
              <w:rPr>
                <w:rFonts w:eastAsia="Calibri"/>
                <w:szCs w:val="22"/>
              </w:rPr>
              <w:t>525 hrs.</w:t>
            </w:r>
            <w:r w:rsidRPr="008539D9" w:rsidR="00936CAC">
              <w:rPr>
                <w:rFonts w:eastAsia="Calibri"/>
                <w:szCs w:val="22"/>
              </w:rPr>
              <w:t>; $44,635.50</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5DBAF4DF" w14:textId="37210EB0">
            <w:pPr>
              <w:spacing w:after="160" w:line="259" w:lineRule="auto"/>
              <w:rPr>
                <w:rFonts w:eastAsia="Calibri"/>
                <w:szCs w:val="22"/>
              </w:rPr>
            </w:pPr>
            <w:r w:rsidRPr="008539D9">
              <w:rPr>
                <w:rFonts w:eastAsia="Calibri"/>
                <w:szCs w:val="22"/>
              </w:rPr>
              <w:t>180,075 hrs.</w:t>
            </w:r>
            <w:r w:rsidRPr="008539D9" w:rsidR="00936CAC">
              <w:rPr>
                <w:rFonts w:eastAsia="Calibri"/>
                <w:szCs w:val="22"/>
              </w:rPr>
              <w:t>; $15,309,976.50</w:t>
            </w:r>
          </w:p>
        </w:tc>
      </w:tr>
      <w:tr w:rsidRPr="006E5138" w:rsidR="006E5138" w:rsidTr="002C7036" w14:paraId="4AC3B4C5"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02F92542" w14:textId="77777777">
            <w:pPr>
              <w:spacing w:after="160" w:line="259" w:lineRule="auto"/>
              <w:rPr>
                <w:rFonts w:eastAsia="Calibri"/>
                <w:szCs w:val="22"/>
              </w:rPr>
            </w:pPr>
            <w:r w:rsidRPr="008539D9">
              <w:rPr>
                <w:rFonts w:eastAsia="Calibri"/>
                <w:szCs w:val="22"/>
              </w:rPr>
              <w:t>CIP-006-6</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2B17145E"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2F752741"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3C6FAF92"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23AF4E68" w14:textId="6E68D0B4">
            <w:pPr>
              <w:spacing w:after="160" w:line="259" w:lineRule="auto"/>
              <w:rPr>
                <w:rFonts w:eastAsia="Calibri"/>
                <w:szCs w:val="22"/>
              </w:rPr>
            </w:pPr>
            <w:r w:rsidRPr="008539D9">
              <w:rPr>
                <w:rFonts w:eastAsia="Calibri"/>
                <w:szCs w:val="22"/>
              </w:rPr>
              <w:t>232 hrs.</w:t>
            </w:r>
            <w:r w:rsidRPr="008539D9" w:rsidR="00936CAC">
              <w:rPr>
                <w:rFonts w:eastAsia="Calibri"/>
                <w:szCs w:val="22"/>
              </w:rPr>
              <w:t>; $19,724.64</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175FA182" w14:textId="5AA65EF7">
            <w:pPr>
              <w:spacing w:after="160" w:line="259" w:lineRule="auto"/>
              <w:rPr>
                <w:rFonts w:eastAsia="Calibri"/>
                <w:szCs w:val="22"/>
              </w:rPr>
            </w:pPr>
            <w:r w:rsidRPr="008539D9">
              <w:rPr>
                <w:rFonts w:eastAsia="Calibri"/>
                <w:szCs w:val="22"/>
              </w:rPr>
              <w:t>79,576 hrs.</w:t>
            </w:r>
            <w:r w:rsidRPr="008539D9" w:rsidR="00936CAC">
              <w:rPr>
                <w:rFonts w:eastAsia="Calibri"/>
                <w:szCs w:val="22"/>
              </w:rPr>
              <w:t>; $6,765,551.52</w:t>
            </w:r>
          </w:p>
        </w:tc>
      </w:tr>
      <w:tr w:rsidRPr="006E5138" w:rsidR="006E5138" w:rsidTr="002C7036" w14:paraId="06628ADF"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50FABA6A" w14:textId="77777777">
            <w:pPr>
              <w:spacing w:after="160" w:line="259" w:lineRule="auto"/>
              <w:rPr>
                <w:rFonts w:eastAsia="Calibri"/>
                <w:szCs w:val="22"/>
              </w:rPr>
            </w:pPr>
            <w:r w:rsidRPr="008539D9">
              <w:rPr>
                <w:rFonts w:eastAsia="Calibri"/>
                <w:szCs w:val="22"/>
              </w:rPr>
              <w:t>CIP-007-6</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3DCE4DF9"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2E921EA7"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36AEB44D"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6747BA53" w14:textId="07C27953">
            <w:pPr>
              <w:spacing w:after="160" w:line="259" w:lineRule="auto"/>
              <w:rPr>
                <w:rFonts w:eastAsia="Calibri"/>
                <w:szCs w:val="22"/>
              </w:rPr>
            </w:pPr>
            <w:r w:rsidRPr="008539D9">
              <w:rPr>
                <w:rFonts w:eastAsia="Calibri"/>
                <w:szCs w:val="22"/>
              </w:rPr>
              <w:t>2</w:t>
            </w:r>
            <w:r w:rsidRPr="008539D9" w:rsidR="00936CAC">
              <w:rPr>
                <w:rFonts w:eastAsia="Calibri"/>
                <w:szCs w:val="22"/>
              </w:rPr>
              <w:t>,</w:t>
            </w:r>
            <w:r w:rsidRPr="008539D9">
              <w:rPr>
                <w:rFonts w:eastAsia="Calibri"/>
                <w:szCs w:val="22"/>
              </w:rPr>
              <w:t>080 hrs.</w:t>
            </w:r>
            <w:r w:rsidRPr="008539D9" w:rsidR="00936CAC">
              <w:rPr>
                <w:rFonts w:eastAsia="Calibri"/>
                <w:szCs w:val="22"/>
              </w:rPr>
              <w:t>; $176,841.60</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45C3DF83" w14:textId="2CEEE7D6">
            <w:pPr>
              <w:spacing w:after="160" w:line="259" w:lineRule="auto"/>
              <w:rPr>
                <w:rFonts w:eastAsia="Calibri"/>
                <w:szCs w:val="22"/>
              </w:rPr>
            </w:pPr>
            <w:r w:rsidRPr="008539D9">
              <w:rPr>
                <w:rFonts w:eastAsia="Calibri"/>
                <w:szCs w:val="22"/>
              </w:rPr>
              <w:t>713,440 hrs.</w:t>
            </w:r>
            <w:r w:rsidRPr="008539D9" w:rsidR="00936CAC">
              <w:rPr>
                <w:rFonts w:eastAsia="Calibri"/>
                <w:szCs w:val="22"/>
              </w:rPr>
              <w:t>; $60,656,668.80</w:t>
            </w:r>
          </w:p>
        </w:tc>
      </w:tr>
      <w:tr w:rsidRPr="006E5138" w:rsidR="006E5138" w:rsidTr="002C7036" w14:paraId="46329FAA" w14:textId="77777777">
        <w:trPr>
          <w:trHeight w:val="980"/>
        </w:trPr>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0D763E2B" w14:textId="77777777">
            <w:pPr>
              <w:spacing w:after="160" w:line="259" w:lineRule="auto"/>
              <w:rPr>
                <w:rFonts w:eastAsia="Calibri"/>
                <w:szCs w:val="22"/>
              </w:rPr>
            </w:pPr>
            <w:r w:rsidRPr="008539D9">
              <w:rPr>
                <w:rFonts w:eastAsia="Calibri"/>
                <w:szCs w:val="22"/>
              </w:rPr>
              <w:t>CIP-008-6</w:t>
            </w:r>
          </w:p>
        </w:tc>
        <w:tc>
          <w:tcPr>
            <w:tcW w:w="1709"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0C3BB118"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6905A568" w14:textId="77777777">
            <w:pPr>
              <w:spacing w:after="160" w:line="259" w:lineRule="auto"/>
              <w:rPr>
                <w:rFonts w:eastAsia="Calibri"/>
                <w:szCs w:val="22"/>
              </w:rPr>
            </w:pPr>
            <w:r w:rsidRPr="008539D9">
              <w:rPr>
                <w:rFonts w:eastAsia="Calibri"/>
                <w:szCs w:val="22"/>
              </w:rPr>
              <w:t>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18A76FC2" w14:textId="77777777">
            <w:pPr>
              <w:spacing w:after="160" w:line="259" w:lineRule="auto"/>
              <w:rPr>
                <w:rFonts w:eastAsia="Calibri"/>
                <w:szCs w:val="22"/>
              </w:rPr>
            </w:pPr>
            <w:r w:rsidRPr="008539D9">
              <w:rPr>
                <w:rFonts w:eastAsia="Calibri"/>
                <w:szCs w:val="22"/>
              </w:rPr>
              <w:t>2744</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6A772B4F" w14:textId="5031581D">
            <w:pPr>
              <w:spacing w:after="160" w:line="259" w:lineRule="auto"/>
              <w:rPr>
                <w:rFonts w:eastAsia="Calibri"/>
                <w:szCs w:val="22"/>
              </w:rPr>
            </w:pPr>
            <w:r w:rsidRPr="008539D9">
              <w:rPr>
                <w:rFonts w:eastAsia="Calibri"/>
                <w:szCs w:val="22"/>
              </w:rPr>
              <w:t>13.225 hrs.</w:t>
            </w:r>
            <w:r w:rsidRPr="008539D9" w:rsidR="00936CAC">
              <w:rPr>
                <w:rFonts w:eastAsia="Calibri"/>
                <w:szCs w:val="22"/>
              </w:rPr>
              <w:t>; $1,124.39</w:t>
            </w:r>
          </w:p>
        </w:tc>
        <w:tc>
          <w:tcPr>
            <w:tcW w:w="1984"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78C55AA0" w14:textId="7A068C8D">
            <w:pPr>
              <w:spacing w:after="160" w:line="259" w:lineRule="auto"/>
              <w:rPr>
                <w:rFonts w:eastAsia="Calibri"/>
                <w:szCs w:val="22"/>
              </w:rPr>
            </w:pPr>
            <w:r w:rsidRPr="008539D9">
              <w:rPr>
                <w:rFonts w:eastAsia="Calibri"/>
                <w:szCs w:val="22"/>
              </w:rPr>
              <w:t>36,288 hrs.</w:t>
            </w:r>
            <w:r w:rsidRPr="008539D9" w:rsidR="00936CAC">
              <w:rPr>
                <w:rFonts w:eastAsia="Calibri"/>
                <w:szCs w:val="22"/>
              </w:rPr>
              <w:t>; $3,085,205</w:t>
            </w:r>
            <w:r w:rsidRPr="008539D9" w:rsidR="002C7036">
              <w:rPr>
                <w:rFonts w:eastAsia="Calibri"/>
                <w:szCs w:val="22"/>
              </w:rPr>
              <w:t>.76</w:t>
            </w:r>
          </w:p>
        </w:tc>
      </w:tr>
      <w:tr w:rsidRPr="006E5138" w:rsidR="006E5138" w:rsidTr="002C7036" w14:paraId="4616949A"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1F241A32" w14:textId="77777777">
            <w:pPr>
              <w:spacing w:after="160" w:line="259" w:lineRule="auto"/>
              <w:rPr>
                <w:rFonts w:eastAsia="Calibri"/>
                <w:szCs w:val="22"/>
              </w:rPr>
            </w:pPr>
            <w:r w:rsidRPr="008539D9">
              <w:rPr>
                <w:rFonts w:eastAsia="Calibri"/>
                <w:szCs w:val="22"/>
              </w:rPr>
              <w:t>CIP-009-6</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470DB70C"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74341AC0"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0DF33E53"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47AAB252" w14:textId="2F3C737B">
            <w:pPr>
              <w:spacing w:after="160" w:line="259" w:lineRule="auto"/>
              <w:rPr>
                <w:rFonts w:eastAsia="Calibri"/>
                <w:szCs w:val="22"/>
              </w:rPr>
            </w:pPr>
            <w:r w:rsidRPr="008539D9">
              <w:rPr>
                <w:rFonts w:eastAsia="Calibri"/>
                <w:szCs w:val="22"/>
              </w:rPr>
              <w:t>162 hrs.</w:t>
            </w:r>
            <w:r w:rsidRPr="008539D9" w:rsidR="002C7036">
              <w:rPr>
                <w:rFonts w:eastAsia="Calibri"/>
                <w:szCs w:val="22"/>
              </w:rPr>
              <w:t>; $13,773.24</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7A87C828" w14:textId="568CDC1B">
            <w:pPr>
              <w:spacing w:after="160" w:line="259" w:lineRule="auto"/>
              <w:rPr>
                <w:rFonts w:eastAsia="Calibri"/>
                <w:szCs w:val="22"/>
              </w:rPr>
            </w:pPr>
            <w:r w:rsidRPr="008539D9">
              <w:rPr>
                <w:rFonts w:eastAsia="Calibri"/>
                <w:szCs w:val="22"/>
              </w:rPr>
              <w:t>55,566 hrs.</w:t>
            </w:r>
            <w:r w:rsidRPr="008539D9" w:rsidR="002C7036">
              <w:rPr>
                <w:rFonts w:eastAsia="Calibri"/>
                <w:szCs w:val="22"/>
              </w:rPr>
              <w:t>; $4,724,221.32</w:t>
            </w:r>
          </w:p>
        </w:tc>
      </w:tr>
      <w:tr w:rsidRPr="006E5138" w:rsidR="006E5138" w:rsidTr="002C7036" w14:paraId="740FFB5F"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6B4FAB57" w14:textId="77777777">
            <w:pPr>
              <w:spacing w:after="160" w:line="259" w:lineRule="auto"/>
              <w:rPr>
                <w:rFonts w:eastAsia="Calibri"/>
                <w:szCs w:val="22"/>
              </w:rPr>
            </w:pPr>
            <w:r w:rsidRPr="008539D9">
              <w:rPr>
                <w:rFonts w:eastAsia="Calibri"/>
                <w:szCs w:val="22"/>
              </w:rPr>
              <w:t>CIP-010-3</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6A6D08D0"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73F7F617"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0AA8CB17"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0883F937" w14:textId="56073538">
            <w:pPr>
              <w:spacing w:after="160" w:line="259" w:lineRule="auto"/>
              <w:rPr>
                <w:rFonts w:eastAsia="Calibri"/>
                <w:szCs w:val="22"/>
              </w:rPr>
            </w:pPr>
            <w:r w:rsidRPr="008539D9">
              <w:rPr>
                <w:rFonts w:eastAsia="Calibri"/>
                <w:szCs w:val="22"/>
              </w:rPr>
              <w:t>1,172 hrs.</w:t>
            </w:r>
            <w:r w:rsidRPr="008539D9" w:rsidR="002C7036">
              <w:rPr>
                <w:rFonts w:eastAsia="Calibri"/>
                <w:szCs w:val="22"/>
              </w:rPr>
              <w:t>; $99,643.44</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49FC6DE0" w14:textId="1E81A01F">
            <w:pPr>
              <w:spacing w:after="160" w:line="259" w:lineRule="auto"/>
              <w:rPr>
                <w:rFonts w:eastAsia="Calibri"/>
                <w:szCs w:val="22"/>
              </w:rPr>
            </w:pPr>
            <w:r w:rsidRPr="008539D9">
              <w:rPr>
                <w:rFonts w:eastAsia="Calibri"/>
                <w:szCs w:val="22"/>
              </w:rPr>
              <w:t>401,996 hrs.</w:t>
            </w:r>
            <w:r w:rsidRPr="008539D9" w:rsidR="002C7036">
              <w:rPr>
                <w:rFonts w:eastAsia="Calibri"/>
                <w:szCs w:val="22"/>
              </w:rPr>
              <w:t>; $34,177,699.92</w:t>
            </w:r>
          </w:p>
        </w:tc>
      </w:tr>
      <w:tr w:rsidRPr="006E5138" w:rsidR="006E5138" w:rsidTr="002C7036" w14:paraId="21D3C9F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242B52EA" w14:textId="77777777">
            <w:pPr>
              <w:spacing w:after="160" w:line="259" w:lineRule="auto"/>
              <w:rPr>
                <w:rFonts w:eastAsia="Calibri"/>
                <w:szCs w:val="22"/>
              </w:rPr>
            </w:pPr>
            <w:r w:rsidRPr="008539D9">
              <w:rPr>
                <w:rFonts w:eastAsia="Calibri"/>
                <w:szCs w:val="22"/>
              </w:rPr>
              <w:t>CIP-011-2</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2D18A7F6"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25F050C0"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0F569B10"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088768F7" w14:textId="37BF2D2A">
            <w:pPr>
              <w:spacing w:after="160" w:line="259" w:lineRule="auto"/>
              <w:rPr>
                <w:rFonts w:eastAsia="Calibri"/>
                <w:szCs w:val="22"/>
              </w:rPr>
            </w:pPr>
            <w:r w:rsidRPr="008539D9">
              <w:rPr>
                <w:rFonts w:eastAsia="Calibri"/>
                <w:szCs w:val="22"/>
              </w:rPr>
              <w:t>86 hrs.</w:t>
            </w:r>
            <w:r w:rsidRPr="008539D9" w:rsidR="002C7036">
              <w:rPr>
                <w:rFonts w:eastAsia="Calibri"/>
                <w:szCs w:val="22"/>
              </w:rPr>
              <w:t>; $7,311.72</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4DD28F64" w14:textId="0BE3A7D1">
            <w:pPr>
              <w:spacing w:after="160" w:line="259" w:lineRule="auto"/>
              <w:rPr>
                <w:rFonts w:eastAsia="Calibri"/>
                <w:szCs w:val="22"/>
              </w:rPr>
            </w:pPr>
            <w:r w:rsidRPr="008539D9">
              <w:rPr>
                <w:rFonts w:eastAsia="Calibri"/>
                <w:szCs w:val="22"/>
              </w:rPr>
              <w:t>29,498 hrs.</w:t>
            </w:r>
            <w:r w:rsidRPr="008539D9" w:rsidR="002C7036">
              <w:rPr>
                <w:rFonts w:eastAsia="Calibri"/>
                <w:szCs w:val="22"/>
              </w:rPr>
              <w:t>; $2,507,919.96</w:t>
            </w:r>
          </w:p>
        </w:tc>
      </w:tr>
      <w:tr w:rsidRPr="006E5138" w:rsidR="006E5138" w:rsidTr="002C7036" w14:paraId="0F1FE194"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54F8E6DF" w14:textId="77777777">
            <w:pPr>
              <w:spacing w:after="160" w:line="259" w:lineRule="auto"/>
              <w:rPr>
                <w:rFonts w:eastAsia="Calibri"/>
                <w:szCs w:val="22"/>
              </w:rPr>
            </w:pPr>
            <w:r w:rsidRPr="008539D9">
              <w:rPr>
                <w:rFonts w:eastAsia="Calibri"/>
                <w:szCs w:val="22"/>
              </w:rPr>
              <w:t>CIP-012-1</w:t>
            </w:r>
          </w:p>
        </w:tc>
        <w:tc>
          <w:tcPr>
            <w:tcW w:w="1709" w:type="dxa"/>
            <w:tcBorders>
              <w:top w:val="single" w:color="auto" w:sz="4" w:space="0"/>
              <w:left w:val="nil"/>
              <w:bottom w:val="single" w:color="auto" w:sz="4" w:space="0"/>
              <w:right w:val="single" w:color="auto" w:sz="4" w:space="0"/>
            </w:tcBorders>
            <w:vAlign w:val="center"/>
          </w:tcPr>
          <w:p w:rsidRPr="008539D9" w:rsidR="006E5138" w:rsidP="006E5138" w:rsidRDefault="006E5138" w14:paraId="6BBDCB6E" w14:textId="77777777">
            <w:pPr>
              <w:spacing w:after="160" w:line="259" w:lineRule="auto"/>
              <w:rPr>
                <w:rFonts w:eastAsia="Calibri"/>
                <w:szCs w:val="22"/>
              </w:rPr>
            </w:pPr>
            <w:r w:rsidRPr="008539D9">
              <w:rPr>
                <w:rFonts w:eastAsia="Calibri"/>
                <w:szCs w:val="22"/>
              </w:rPr>
              <w:t>724</w:t>
            </w:r>
            <w:r w:rsidRPr="008539D9">
              <w:rPr>
                <w:rFonts w:eastAsia="Calibri"/>
                <w:szCs w:val="22"/>
                <w:vertAlign w:val="superscript"/>
              </w:rPr>
              <w:footnoteReference w:id="19"/>
            </w:r>
          </w:p>
        </w:tc>
        <w:tc>
          <w:tcPr>
            <w:tcW w:w="1261" w:type="dxa"/>
            <w:tcBorders>
              <w:top w:val="single" w:color="auto" w:sz="4" w:space="0"/>
              <w:left w:val="nil"/>
              <w:bottom w:val="single" w:color="auto" w:sz="4" w:space="0"/>
              <w:right w:val="single" w:color="auto" w:sz="4" w:space="0"/>
            </w:tcBorders>
            <w:vAlign w:val="center"/>
          </w:tcPr>
          <w:p w:rsidRPr="008539D9" w:rsidR="006E5138" w:rsidP="006E5138" w:rsidRDefault="006E5138" w14:paraId="6B3233AB"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7FF518EF" w14:textId="77777777">
            <w:pPr>
              <w:spacing w:after="160" w:line="259" w:lineRule="auto"/>
              <w:rPr>
                <w:rFonts w:eastAsia="Calibri"/>
                <w:szCs w:val="22"/>
              </w:rPr>
            </w:pPr>
            <w:r w:rsidRPr="008539D9">
              <w:rPr>
                <w:rFonts w:eastAsia="Calibri"/>
                <w:szCs w:val="22"/>
              </w:rPr>
              <w:t>724</w:t>
            </w:r>
          </w:p>
        </w:tc>
        <w:tc>
          <w:tcPr>
            <w:tcW w:w="1436" w:type="dxa"/>
            <w:tcBorders>
              <w:top w:val="single" w:color="auto" w:sz="4" w:space="0"/>
              <w:left w:val="nil"/>
              <w:bottom w:val="single" w:color="auto" w:sz="4" w:space="0"/>
              <w:right w:val="single" w:color="auto" w:sz="4" w:space="0"/>
            </w:tcBorders>
            <w:vAlign w:val="center"/>
          </w:tcPr>
          <w:p w:rsidRPr="008539D9" w:rsidR="006E5138" w:rsidP="006E5138" w:rsidRDefault="006E5138" w14:paraId="78CA85BA" w14:textId="37A9E6C8">
            <w:pPr>
              <w:spacing w:after="160" w:line="259" w:lineRule="auto"/>
              <w:rPr>
                <w:rFonts w:eastAsia="Calibri"/>
                <w:szCs w:val="22"/>
              </w:rPr>
            </w:pPr>
            <w:r w:rsidRPr="008539D9">
              <w:rPr>
                <w:rFonts w:eastAsia="Calibri"/>
                <w:szCs w:val="22"/>
              </w:rPr>
              <w:t>85.67 hrs.</w:t>
            </w:r>
            <w:r w:rsidRPr="008539D9" w:rsidR="002C7036">
              <w:rPr>
                <w:rFonts w:eastAsia="Calibri"/>
                <w:szCs w:val="22"/>
              </w:rPr>
              <w:t>; $7,283.66</w:t>
            </w: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0C7928FC" w14:textId="5B6A071F">
            <w:pPr>
              <w:spacing w:after="160" w:line="259" w:lineRule="auto"/>
              <w:rPr>
                <w:rFonts w:eastAsia="Calibri"/>
                <w:szCs w:val="22"/>
              </w:rPr>
            </w:pPr>
            <w:r w:rsidRPr="008539D9">
              <w:rPr>
                <w:rFonts w:eastAsia="Calibri"/>
                <w:szCs w:val="22"/>
              </w:rPr>
              <w:t>62,025.08 hrs.</w:t>
            </w:r>
            <w:r w:rsidRPr="008539D9" w:rsidR="002C7036">
              <w:rPr>
                <w:rFonts w:eastAsia="Calibri"/>
                <w:szCs w:val="22"/>
              </w:rPr>
              <w:t>; $5,273,372.30</w:t>
            </w:r>
          </w:p>
          <w:p w:rsidRPr="008539D9" w:rsidR="006E5138" w:rsidP="006E5138" w:rsidRDefault="006E5138" w14:paraId="1F25FB21" w14:textId="77777777">
            <w:pPr>
              <w:spacing w:after="160" w:line="259" w:lineRule="auto"/>
              <w:rPr>
                <w:rFonts w:eastAsia="Calibri"/>
                <w:szCs w:val="22"/>
              </w:rPr>
            </w:pPr>
          </w:p>
        </w:tc>
      </w:tr>
      <w:tr w:rsidRPr="006E5138" w:rsidR="006E5138" w:rsidTr="002C7036" w14:paraId="75E743CD" w14:textId="77777777">
        <w:trPr>
          <w:trHeight w:val="980"/>
        </w:trPr>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551DB445" w14:textId="77777777">
            <w:pPr>
              <w:spacing w:after="160" w:line="259" w:lineRule="auto"/>
              <w:rPr>
                <w:rFonts w:eastAsia="Calibri"/>
                <w:szCs w:val="22"/>
              </w:rPr>
            </w:pPr>
            <w:r w:rsidRPr="008539D9">
              <w:rPr>
                <w:rFonts w:eastAsia="Calibri"/>
                <w:szCs w:val="22"/>
              </w:rPr>
              <w:t>CIP-013-1</w:t>
            </w:r>
          </w:p>
        </w:tc>
        <w:tc>
          <w:tcPr>
            <w:tcW w:w="1709"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6F999C2C" w14:textId="77777777">
            <w:pPr>
              <w:spacing w:after="160" w:line="259" w:lineRule="auto"/>
              <w:rPr>
                <w:rFonts w:eastAsia="Calibri"/>
                <w:szCs w:val="22"/>
              </w:rPr>
            </w:pPr>
            <w:r w:rsidRPr="008539D9">
              <w:rPr>
                <w:rFonts w:eastAsia="Calibri"/>
                <w:szCs w:val="22"/>
              </w:rPr>
              <w:t>343</w:t>
            </w:r>
          </w:p>
        </w:tc>
        <w:tc>
          <w:tcPr>
            <w:tcW w:w="1261"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73092D68"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421FDE80" w14:textId="77777777">
            <w:pPr>
              <w:spacing w:after="160" w:line="259" w:lineRule="auto"/>
              <w:rPr>
                <w:rFonts w:eastAsia="Calibri"/>
                <w:szCs w:val="22"/>
              </w:rPr>
            </w:pPr>
            <w:r w:rsidRPr="008539D9">
              <w:rPr>
                <w:rFonts w:eastAsia="Calibri"/>
                <w:szCs w:val="22"/>
              </w:rPr>
              <w:t>343</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5BA7A7BE" w14:textId="0E547030">
            <w:pPr>
              <w:spacing w:after="160" w:line="259" w:lineRule="auto"/>
              <w:rPr>
                <w:rFonts w:eastAsia="Calibri"/>
                <w:szCs w:val="22"/>
              </w:rPr>
            </w:pPr>
            <w:r w:rsidRPr="008539D9">
              <w:rPr>
                <w:rFonts w:eastAsia="Calibri"/>
                <w:szCs w:val="22"/>
              </w:rPr>
              <w:t>20 hrs.</w:t>
            </w:r>
            <w:r w:rsidRPr="008539D9" w:rsidR="002C7036">
              <w:rPr>
                <w:rFonts w:eastAsia="Calibri"/>
                <w:szCs w:val="22"/>
              </w:rPr>
              <w:t>; $1,700.40</w:t>
            </w:r>
          </w:p>
        </w:tc>
        <w:tc>
          <w:tcPr>
            <w:tcW w:w="1984"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49DB1CA8" w14:textId="2D257CD0">
            <w:pPr>
              <w:spacing w:after="160" w:line="259" w:lineRule="auto"/>
              <w:rPr>
                <w:rFonts w:eastAsia="Calibri"/>
                <w:szCs w:val="22"/>
              </w:rPr>
            </w:pPr>
            <w:r w:rsidRPr="008539D9">
              <w:rPr>
                <w:rFonts w:eastAsia="Calibri"/>
                <w:szCs w:val="22"/>
              </w:rPr>
              <w:t>6,860 hrs.</w:t>
            </w:r>
            <w:r w:rsidRPr="008539D9" w:rsidR="002C7036">
              <w:rPr>
                <w:rFonts w:eastAsia="Calibri"/>
                <w:szCs w:val="22"/>
              </w:rPr>
              <w:t>; $583,237.20</w:t>
            </w:r>
          </w:p>
        </w:tc>
      </w:tr>
      <w:tr w:rsidRPr="006E5138" w:rsidR="006E5138" w:rsidTr="002C7036" w14:paraId="48F0D352" w14:textId="77777777">
        <w:trPr>
          <w:trHeight w:val="980"/>
        </w:trPr>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44210975" w14:textId="77777777">
            <w:pPr>
              <w:spacing w:after="160" w:line="259" w:lineRule="auto"/>
              <w:rPr>
                <w:rFonts w:eastAsia="Calibri"/>
                <w:szCs w:val="22"/>
              </w:rPr>
            </w:pPr>
            <w:r w:rsidRPr="008539D9">
              <w:rPr>
                <w:rFonts w:eastAsia="Calibri"/>
                <w:szCs w:val="22"/>
              </w:rPr>
              <w:lastRenderedPageBreak/>
              <w:t>CIP-014-2</w:t>
            </w:r>
          </w:p>
        </w:tc>
        <w:tc>
          <w:tcPr>
            <w:tcW w:w="1709"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42749C41" w14:textId="77777777">
            <w:pPr>
              <w:spacing w:after="160" w:line="259" w:lineRule="auto"/>
              <w:rPr>
                <w:rFonts w:eastAsia="Calibri"/>
                <w:szCs w:val="22"/>
              </w:rPr>
            </w:pPr>
            <w:r w:rsidRPr="008539D9">
              <w:rPr>
                <w:rFonts w:eastAsia="Calibri"/>
                <w:szCs w:val="22"/>
              </w:rPr>
              <w:t>321</w:t>
            </w:r>
            <w:r w:rsidRPr="008539D9">
              <w:rPr>
                <w:rFonts w:eastAsia="Calibri"/>
                <w:szCs w:val="22"/>
                <w:vertAlign w:val="superscript"/>
              </w:rPr>
              <w:footnoteReference w:id="20"/>
            </w:r>
          </w:p>
        </w:tc>
        <w:tc>
          <w:tcPr>
            <w:tcW w:w="1261"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0E9B3FC9" w14:textId="77777777">
            <w:pPr>
              <w:spacing w:after="160" w:line="259" w:lineRule="auto"/>
              <w:rPr>
                <w:rFonts w:eastAsia="Calibri"/>
                <w:szCs w:val="22"/>
              </w:rPr>
            </w:pPr>
            <w:r w:rsidRPr="008539D9">
              <w:rPr>
                <w:rFonts w:eastAsia="Calibri"/>
                <w:szCs w:val="22"/>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539D9" w:rsidR="006E5138" w:rsidP="006E5138" w:rsidRDefault="006E5138" w14:paraId="74EAB126" w14:textId="77777777">
            <w:pPr>
              <w:spacing w:after="160" w:line="259" w:lineRule="auto"/>
              <w:rPr>
                <w:rFonts w:eastAsia="Calibri"/>
                <w:szCs w:val="22"/>
              </w:rPr>
            </w:pPr>
            <w:r w:rsidRPr="008539D9">
              <w:rPr>
                <w:rFonts w:eastAsia="Calibri"/>
                <w:szCs w:val="22"/>
              </w:rPr>
              <w:t>321</w:t>
            </w:r>
          </w:p>
        </w:tc>
        <w:tc>
          <w:tcPr>
            <w:tcW w:w="1436"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6A9AE24F" w14:textId="30D5F895">
            <w:pPr>
              <w:spacing w:after="160" w:line="259" w:lineRule="auto"/>
              <w:rPr>
                <w:rFonts w:eastAsia="Calibri"/>
                <w:szCs w:val="22"/>
              </w:rPr>
            </w:pPr>
            <w:r w:rsidRPr="008539D9">
              <w:rPr>
                <w:rFonts w:eastAsia="Calibri"/>
                <w:szCs w:val="22"/>
              </w:rPr>
              <w:t>32.71 hrs.</w:t>
            </w:r>
            <w:r w:rsidRPr="008539D9" w:rsidR="002C7036">
              <w:rPr>
                <w:rFonts w:eastAsia="Calibri"/>
                <w:szCs w:val="22"/>
              </w:rPr>
              <w:t>; $2,781</w:t>
            </w:r>
          </w:p>
        </w:tc>
        <w:tc>
          <w:tcPr>
            <w:tcW w:w="1984" w:type="dxa"/>
            <w:tcBorders>
              <w:top w:val="single" w:color="auto" w:sz="4" w:space="0"/>
              <w:left w:val="nil"/>
              <w:bottom w:val="single" w:color="auto" w:sz="4" w:space="0"/>
              <w:right w:val="single" w:color="auto" w:sz="4" w:space="0"/>
            </w:tcBorders>
            <w:shd w:val="clear" w:color="auto" w:fill="auto"/>
            <w:vAlign w:val="center"/>
          </w:tcPr>
          <w:p w:rsidRPr="008539D9" w:rsidR="006E5138" w:rsidP="006E5138" w:rsidRDefault="006E5138" w14:paraId="52E8D2EE" w14:textId="6FBEAE4C">
            <w:pPr>
              <w:spacing w:after="160" w:line="259" w:lineRule="auto"/>
              <w:rPr>
                <w:rFonts w:eastAsia="Calibri"/>
                <w:szCs w:val="22"/>
              </w:rPr>
            </w:pPr>
            <w:r w:rsidRPr="008539D9">
              <w:rPr>
                <w:rFonts w:eastAsia="Calibri"/>
                <w:szCs w:val="22"/>
              </w:rPr>
              <w:t>10,449.91 hrs.</w:t>
            </w:r>
            <w:r w:rsidRPr="008539D9" w:rsidR="002C7036">
              <w:rPr>
                <w:rFonts w:eastAsia="Calibri"/>
                <w:szCs w:val="22"/>
              </w:rPr>
              <w:t>; $888,451.35</w:t>
            </w:r>
          </w:p>
        </w:tc>
      </w:tr>
      <w:tr w:rsidRPr="006E5138" w:rsidR="006E5138" w:rsidTr="002C7036" w14:paraId="45F7FE84"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59E7C8FA" w14:textId="77777777">
            <w:pPr>
              <w:spacing w:after="160" w:line="259" w:lineRule="auto"/>
              <w:rPr>
                <w:rFonts w:eastAsia="Calibri"/>
                <w:b/>
                <w:bCs/>
                <w:szCs w:val="22"/>
              </w:rPr>
            </w:pPr>
            <w:r w:rsidRPr="008539D9">
              <w:rPr>
                <w:rFonts w:eastAsia="Calibri"/>
                <w:b/>
                <w:bCs/>
                <w:szCs w:val="22"/>
              </w:rPr>
              <w:t>Total Burden of FERC-725B</w:t>
            </w:r>
          </w:p>
        </w:tc>
        <w:tc>
          <w:tcPr>
            <w:tcW w:w="1709" w:type="dxa"/>
            <w:tcBorders>
              <w:top w:val="single" w:color="auto" w:sz="4" w:space="0"/>
              <w:left w:val="nil"/>
              <w:bottom w:val="single" w:color="auto" w:sz="4" w:space="0"/>
              <w:right w:val="single" w:color="auto" w:sz="4" w:space="0"/>
            </w:tcBorders>
            <w:shd w:val="clear" w:color="auto" w:fill="BFBFBF"/>
            <w:vAlign w:val="center"/>
          </w:tcPr>
          <w:p w:rsidRPr="008539D9" w:rsidR="006E5138" w:rsidP="006E5138" w:rsidRDefault="006E5138" w14:paraId="2C161702" w14:textId="77777777">
            <w:pPr>
              <w:spacing w:after="160" w:line="259" w:lineRule="auto"/>
              <w:rPr>
                <w:rFonts w:eastAsia="Calibri"/>
                <w:b/>
                <w:bCs/>
                <w:szCs w:val="22"/>
              </w:rPr>
            </w:pPr>
          </w:p>
        </w:tc>
        <w:tc>
          <w:tcPr>
            <w:tcW w:w="1261" w:type="dxa"/>
            <w:tcBorders>
              <w:top w:val="single" w:color="auto" w:sz="4" w:space="0"/>
              <w:left w:val="nil"/>
              <w:bottom w:val="single" w:color="auto" w:sz="4" w:space="0"/>
              <w:right w:val="single" w:color="auto" w:sz="4" w:space="0"/>
            </w:tcBorders>
            <w:shd w:val="clear" w:color="auto" w:fill="BFBFBF"/>
            <w:vAlign w:val="center"/>
          </w:tcPr>
          <w:p w:rsidRPr="008539D9" w:rsidR="006E5138" w:rsidP="006E5138" w:rsidRDefault="006E5138" w14:paraId="667D68B0" w14:textId="77777777">
            <w:pPr>
              <w:spacing w:after="160" w:line="259" w:lineRule="auto"/>
              <w:rPr>
                <w:rFonts w:eastAsia="Calibri"/>
                <w:b/>
                <w:bCs/>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8539D9" w:rsidR="006E5138" w:rsidP="006E5138" w:rsidRDefault="006E5138" w14:paraId="74261448" w14:textId="77777777">
            <w:pPr>
              <w:spacing w:after="160" w:line="259" w:lineRule="auto"/>
              <w:rPr>
                <w:rFonts w:eastAsia="Calibri"/>
                <w:b/>
                <w:bCs/>
                <w:szCs w:val="22"/>
              </w:rPr>
            </w:pPr>
            <w:r w:rsidRPr="008539D9">
              <w:rPr>
                <w:rFonts w:eastAsia="Calibri"/>
                <w:b/>
                <w:bCs/>
                <w:szCs w:val="22"/>
              </w:rPr>
              <w:t>240,099.387</w:t>
            </w:r>
          </w:p>
        </w:tc>
        <w:tc>
          <w:tcPr>
            <w:tcW w:w="1436" w:type="dxa"/>
            <w:tcBorders>
              <w:top w:val="single" w:color="auto" w:sz="4" w:space="0"/>
              <w:left w:val="nil"/>
              <w:bottom w:val="single" w:color="auto" w:sz="4" w:space="0"/>
              <w:right w:val="single" w:color="auto" w:sz="4" w:space="0"/>
            </w:tcBorders>
            <w:shd w:val="clear" w:color="auto" w:fill="BFBFBF"/>
            <w:vAlign w:val="center"/>
          </w:tcPr>
          <w:p w:rsidRPr="008539D9" w:rsidR="006E5138" w:rsidP="006E5138" w:rsidRDefault="006E5138" w14:paraId="73E50105" w14:textId="77777777">
            <w:pPr>
              <w:spacing w:after="160" w:line="259" w:lineRule="auto"/>
              <w:rPr>
                <w:rFonts w:eastAsia="Calibri"/>
                <w:b/>
                <w:bCs/>
                <w:szCs w:val="22"/>
              </w:rPr>
            </w:pPr>
          </w:p>
        </w:tc>
        <w:tc>
          <w:tcPr>
            <w:tcW w:w="1984" w:type="dxa"/>
            <w:tcBorders>
              <w:top w:val="single" w:color="auto" w:sz="4" w:space="0"/>
              <w:left w:val="nil"/>
              <w:bottom w:val="single" w:color="auto" w:sz="4" w:space="0"/>
              <w:right w:val="single" w:color="auto" w:sz="4" w:space="0"/>
            </w:tcBorders>
            <w:vAlign w:val="center"/>
          </w:tcPr>
          <w:p w:rsidRPr="008539D9" w:rsidR="006E5138" w:rsidP="006E5138" w:rsidRDefault="006E5138" w14:paraId="33650831" w14:textId="25399A9C">
            <w:pPr>
              <w:spacing w:after="160" w:line="259" w:lineRule="auto"/>
              <w:rPr>
                <w:rFonts w:eastAsia="Calibri"/>
                <w:b/>
                <w:bCs/>
                <w:szCs w:val="22"/>
              </w:rPr>
            </w:pPr>
            <w:r w:rsidRPr="008539D9">
              <w:rPr>
                <w:rFonts w:eastAsia="Calibri"/>
                <w:b/>
                <w:bCs/>
                <w:szCs w:val="22"/>
              </w:rPr>
              <w:t xml:space="preserve"> 2,162,849.03</w:t>
            </w:r>
            <w:r w:rsidRPr="008539D9" w:rsidR="00254457">
              <w:rPr>
                <w:rFonts w:eastAsia="Calibri"/>
                <w:b/>
                <w:bCs/>
                <w:szCs w:val="22"/>
              </w:rPr>
              <w:t xml:space="preserve"> hrs.</w:t>
            </w:r>
            <w:r w:rsidRPr="008539D9" w:rsidR="002C7036">
              <w:rPr>
                <w:rFonts w:eastAsia="Calibri"/>
                <w:b/>
                <w:bCs/>
                <w:szCs w:val="22"/>
              </w:rPr>
              <w:t>; $183,885,424.53</w:t>
            </w:r>
          </w:p>
        </w:tc>
      </w:tr>
    </w:tbl>
    <w:p w:rsidRPr="000F3BC3" w:rsidR="00AC3A7C" w:rsidP="002906E5" w:rsidRDefault="00AC3A7C" w14:paraId="277AA871" w14:textId="77777777">
      <w:pPr>
        <w:autoSpaceDE w:val="0"/>
        <w:autoSpaceDN w:val="0"/>
        <w:adjustRightInd w:val="0"/>
        <w:spacing w:line="480" w:lineRule="auto"/>
        <w:rPr>
          <w:iCs/>
          <w:szCs w:val="26"/>
        </w:rPr>
      </w:pPr>
    </w:p>
    <w:p w:rsidR="00881405" w:rsidP="002906E5" w:rsidRDefault="00AE1F12"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F046A" w14:textId="77777777" w:rsidR="00262FE9" w:rsidRDefault="00262FE9" w:rsidP="00B01B16">
      <w:r>
        <w:separator/>
      </w:r>
    </w:p>
  </w:endnote>
  <w:endnote w:type="continuationSeparator" w:id="0">
    <w:p w14:paraId="4109E9E8" w14:textId="77777777" w:rsidR="00262FE9" w:rsidRDefault="00262FE9" w:rsidP="00B01B16">
      <w:r>
        <w:continuationSeparator/>
      </w:r>
    </w:p>
  </w:endnote>
  <w:endnote w:type="continuationNotice" w:id="1">
    <w:p w14:paraId="4739DB71" w14:textId="77777777" w:rsidR="00262FE9" w:rsidRDefault="00262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63B1" w14:textId="77777777" w:rsidR="0032099D" w:rsidRDefault="0032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E67F" w14:textId="77777777" w:rsidR="0032099D" w:rsidRDefault="0032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CE32" w14:textId="77777777" w:rsidR="0032099D" w:rsidRDefault="0032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BFE64" w14:textId="77777777" w:rsidR="00262FE9" w:rsidRDefault="00262FE9" w:rsidP="00B01B16">
      <w:r>
        <w:separator/>
      </w:r>
    </w:p>
  </w:footnote>
  <w:footnote w:type="continuationSeparator" w:id="0">
    <w:p w14:paraId="7E41B4C7" w14:textId="77777777" w:rsidR="00262FE9" w:rsidRDefault="00262FE9" w:rsidP="00B01B16">
      <w:r>
        <w:continuationSeparator/>
      </w:r>
    </w:p>
  </w:footnote>
  <w:footnote w:type="continuationNotice" w:id="1">
    <w:p w14:paraId="44239A28" w14:textId="77777777" w:rsidR="00262FE9" w:rsidRDefault="00262FE9"/>
  </w:footnote>
  <w:footnote w:id="2">
    <w:p w14:paraId="7B056391"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3">
    <w:p w14:paraId="18C9B22E"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16 U.S.C. 824o.</w:t>
      </w:r>
    </w:p>
  </w:footnote>
  <w:footnote w:id="4">
    <w:p w14:paraId="0CC555F9"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5">
    <w:p w14:paraId="097FDAF9" w14:textId="77777777" w:rsidR="000F3BC3" w:rsidRPr="00C80D25" w:rsidRDefault="000F3BC3" w:rsidP="00A2336C">
      <w:pPr>
        <w:pStyle w:val="FootnoteText"/>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 xml:space="preserve">Rules Concerning Certification of the Elec. Reliability Org.; and Procedures for the Establishment, Approval, and </w:t>
      </w:r>
      <w:r w:rsidRPr="00C80D25">
        <w:rPr>
          <w:i/>
          <w:iCs/>
          <w:sz w:val="26"/>
          <w:szCs w:val="26"/>
        </w:rPr>
        <w:t>Enf’t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6">
    <w:p w14:paraId="090027B3"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7">
    <w:p w14:paraId="65FFBC11"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Order No. 706, 122 FERC ¶ 61,040 at P 1.</w:t>
      </w:r>
    </w:p>
  </w:footnote>
  <w:footnote w:id="8">
    <w:p w14:paraId="1EDEC14D"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9">
    <w:p w14:paraId="62AA7ABE"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0">
    <w:p w14:paraId="4133A7B6"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NERC defines BES Cyber System as “[o]</w:t>
      </w:r>
      <w:r w:rsidRPr="00C80D25">
        <w:rPr>
          <w:sz w:val="26"/>
          <w:szCs w:val="26"/>
        </w:rPr>
        <w:t>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14:paraId="75B5BF0A" w14:textId="77777777" w:rsidR="000F3BC3" w:rsidRPr="00C80D25" w:rsidRDefault="000F3BC3" w:rsidP="000F3BC3">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14:paraId="586EDF3D" w14:textId="55E975EA" w:rsidR="000F3BC3" w:rsidRPr="00C80D25" w:rsidRDefault="000F3BC3" w:rsidP="000F3BC3">
      <w:pPr>
        <w:pStyle w:val="FootnoteText"/>
        <w:rPr>
          <w:sz w:val="26"/>
          <w:szCs w:val="26"/>
        </w:rPr>
      </w:pPr>
      <w:r w:rsidRPr="00C80D25">
        <w:rPr>
          <w:i/>
          <w:iCs/>
          <w:sz w:val="26"/>
          <w:szCs w:val="26"/>
        </w:rPr>
        <w:t>Id.</w:t>
      </w:r>
      <w:r w:rsidRPr="00C80D25">
        <w:rPr>
          <w:sz w:val="26"/>
          <w:szCs w:val="26"/>
        </w:rPr>
        <w:t xml:space="preserve"> at 4.</w:t>
      </w:r>
    </w:p>
  </w:footnote>
  <w:footnote w:id="11">
    <w:p w14:paraId="307703B3" w14:textId="77777777" w:rsidR="000F3BC3" w:rsidRPr="00C80D25" w:rsidRDefault="000F3BC3" w:rsidP="00A2336C">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2">
    <w:p w14:paraId="2C3CD7B5" w14:textId="77777777" w:rsidR="00B03644" w:rsidRPr="008539D9" w:rsidRDefault="00B03644" w:rsidP="00A2336C">
      <w:pPr>
        <w:pStyle w:val="FootnoteText"/>
        <w:ind w:firstLine="720"/>
        <w:rPr>
          <w:sz w:val="26"/>
        </w:rPr>
      </w:pPr>
      <w:r w:rsidRPr="00B716AA">
        <w:rPr>
          <w:rStyle w:val="FootnoteReference"/>
        </w:rPr>
        <w:footnoteRef/>
      </w:r>
      <w:r w:rsidRPr="008539D9">
        <w:rPr>
          <w:sz w:val="26"/>
        </w:rPr>
        <w:t xml:space="preserve"> CIP-012-1: Communications between Control Centers will be subject to enforcement by July 1, 2022.  </w:t>
      </w:r>
    </w:p>
  </w:footnote>
  <w:footnote w:id="13">
    <w:p w14:paraId="352C10EC" w14:textId="77777777" w:rsidR="00B03644" w:rsidRPr="004914EA" w:rsidRDefault="00B03644" w:rsidP="00A2336C">
      <w:pPr>
        <w:pStyle w:val="FootnoteText"/>
        <w:ind w:firstLine="720"/>
      </w:pPr>
      <w:r w:rsidRPr="00B716AA">
        <w:rPr>
          <w:rStyle w:val="FootnoteReference"/>
        </w:rPr>
        <w:footnoteRef/>
      </w:r>
      <w:r w:rsidRPr="008539D9">
        <w:rPr>
          <w:sz w:val="26"/>
        </w:rPr>
        <w:t xml:space="preserve"> Order No. 822, 154 FERC ¶ 61,037 at 32.</w:t>
      </w:r>
    </w:p>
  </w:footnote>
  <w:footnote w:id="14">
    <w:p w14:paraId="76920339" w14:textId="77777777" w:rsidR="00B03644" w:rsidRPr="008539D9" w:rsidRDefault="00B03644" w:rsidP="00A2336C">
      <w:pPr>
        <w:pStyle w:val="FootnoteText"/>
        <w:ind w:firstLine="720"/>
        <w:rPr>
          <w:sz w:val="26"/>
        </w:rPr>
      </w:pPr>
      <w:r w:rsidRPr="00B968AA">
        <w:rPr>
          <w:rStyle w:val="FootnoteReference"/>
        </w:rPr>
        <w:footnoteRef/>
      </w:r>
      <w:r w:rsidRPr="008539D9">
        <w:rPr>
          <w:sz w:val="26"/>
        </w:rPr>
        <w:t xml:space="preserve">  Order No. 706, 122 FERC ¶ 61,040 at 72.</w:t>
      </w:r>
    </w:p>
  </w:footnote>
  <w:footnote w:id="15">
    <w:p w14:paraId="16809EE2" w14:textId="77777777" w:rsidR="006E5138" w:rsidRPr="00BC6CF5" w:rsidRDefault="006E5138" w:rsidP="00A2336C">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Pr>
          <w:sz w:val="26"/>
          <w:szCs w:val="26"/>
        </w:rPr>
        <w:t>June 22, 2021</w:t>
      </w:r>
      <w:r w:rsidRPr="00BC6CF5">
        <w:rPr>
          <w:sz w:val="26"/>
          <w:szCs w:val="26"/>
        </w:rPr>
        <w:t xml:space="preserve">.  </w:t>
      </w:r>
      <w:r>
        <w:rPr>
          <w:sz w:val="26"/>
          <w:szCs w:val="26"/>
        </w:rPr>
        <w:t xml:space="preserve">Currently there are 1,508 unique NERC Registered, subtracting 16 Canadians Entities yields 1492 U.S. entities. </w:t>
      </w:r>
    </w:p>
  </w:footnote>
  <w:footnote w:id="16">
    <w:p w14:paraId="5F5BF733" w14:textId="77777777" w:rsidR="006E5138" w:rsidRPr="00BC6CF5" w:rsidRDefault="006E5138" w:rsidP="00A2336C">
      <w:pPr>
        <w:pStyle w:val="FootnoteText"/>
        <w:ind w:firstLine="720"/>
        <w:rPr>
          <w:sz w:val="26"/>
          <w:szCs w:val="26"/>
          <w:vertAlign w:val="superscript"/>
        </w:rPr>
      </w:pPr>
      <w:r w:rsidRPr="00BC6CF5">
        <w:rPr>
          <w:rStyle w:val="FootnoteReference"/>
        </w:rPr>
        <w:footnoteRef/>
      </w:r>
      <w:r w:rsidRPr="00BC6CF5">
        <w:rPr>
          <w:sz w:val="26"/>
          <w:szCs w:val="26"/>
          <w:vertAlign w:val="superscript"/>
        </w:rPr>
        <w:t xml:space="preserve"> </w:t>
      </w:r>
      <w:r w:rsidRPr="00BC6CF5">
        <w:rPr>
          <w:sz w:val="26"/>
          <w:szCs w:val="26"/>
        </w:rPr>
        <w:t>Of the average estimated 295.702 hours per response, 210 hours are for recordkeeping, and 85.702 hours are for reporting.</w:t>
      </w:r>
      <w:r w:rsidRPr="00BC6CF5">
        <w:rPr>
          <w:sz w:val="26"/>
          <w:szCs w:val="26"/>
          <w:vertAlign w:val="superscript"/>
        </w:rPr>
        <w:t xml:space="preserve"> </w:t>
      </w:r>
    </w:p>
  </w:footnote>
  <w:footnote w:id="17">
    <w:p w14:paraId="66275B15" w14:textId="77777777" w:rsidR="006E5138" w:rsidRPr="00BC6CF5" w:rsidRDefault="006E5138" w:rsidP="00A2336C">
      <w:pPr>
        <w:pStyle w:val="FootnoteText"/>
        <w:ind w:firstLine="720"/>
        <w:rPr>
          <w:sz w:val="26"/>
          <w:szCs w:val="26"/>
        </w:rPr>
      </w:pPr>
      <w:r w:rsidRPr="00BC6CF5">
        <w:rPr>
          <w:rStyle w:val="FootnoteReference"/>
        </w:rPr>
        <w:footnoteRef/>
      </w:r>
      <w:r w:rsidRPr="00BC6CF5">
        <w:rPr>
          <w:sz w:val="26"/>
          <w:szCs w:val="26"/>
        </w:rPr>
        <w:t xml:space="preserve"> The estimates for cost per hour </w:t>
      </w:r>
      <w:r>
        <w:rPr>
          <w:sz w:val="26"/>
          <w:szCs w:val="26"/>
        </w:rPr>
        <w:t xml:space="preserve">are </w:t>
      </w:r>
      <w:r w:rsidRPr="00757503">
        <w:rPr>
          <w:sz w:val="26"/>
          <w:szCs w:val="26"/>
        </w:rPr>
        <w:t>$8</w:t>
      </w:r>
      <w:r>
        <w:rPr>
          <w:sz w:val="26"/>
          <w:szCs w:val="26"/>
        </w:rPr>
        <w:t>5</w:t>
      </w:r>
      <w:r w:rsidRPr="00757503">
        <w:rPr>
          <w:sz w:val="26"/>
          <w:szCs w:val="26"/>
        </w:rPr>
        <w:t>.</w:t>
      </w:r>
      <w:r>
        <w:rPr>
          <w:sz w:val="26"/>
          <w:szCs w:val="26"/>
        </w:rPr>
        <w:t>02</w:t>
      </w:r>
      <w:r w:rsidRPr="00757503">
        <w:rPr>
          <w:sz w:val="26"/>
          <w:szCs w:val="26"/>
        </w:rPr>
        <w:t>/hour</w:t>
      </w:r>
      <w:r>
        <w:rPr>
          <w:sz w:val="26"/>
          <w:szCs w:val="26"/>
        </w:rPr>
        <w:t xml:space="preserve"> (averaged based on the following occupations)</w:t>
      </w:r>
      <w:r w:rsidRPr="00BC6CF5">
        <w:rPr>
          <w:sz w:val="26"/>
          <w:szCs w:val="26"/>
        </w:rPr>
        <w:t>:</w:t>
      </w:r>
    </w:p>
    <w:p w14:paraId="0EDE22A1" w14:textId="77777777" w:rsidR="006E5138" w:rsidRPr="00757503" w:rsidRDefault="006E5138" w:rsidP="006E5138">
      <w:pPr>
        <w:pStyle w:val="ListParagraph"/>
        <w:numPr>
          <w:ilvl w:val="0"/>
          <w:numId w:val="15"/>
        </w:numPr>
        <w:ind w:left="720"/>
        <w:rPr>
          <w:color w:val="0000FF"/>
          <w:szCs w:val="26"/>
          <w:u w:val="single"/>
        </w:rPr>
      </w:pPr>
      <w:r>
        <w:rPr>
          <w:szCs w:val="26"/>
        </w:rPr>
        <w:t>M</w:t>
      </w:r>
      <w:r w:rsidRPr="00072E34">
        <w:rPr>
          <w:szCs w:val="26"/>
        </w:rPr>
        <w:t>anager</w:t>
      </w:r>
      <w:r>
        <w:rPr>
          <w:szCs w:val="26"/>
        </w:rPr>
        <w:t xml:space="preserve"> (Occupational Code:</w:t>
      </w:r>
      <w:r w:rsidRPr="00D61B79">
        <w:t xml:space="preserve"> </w:t>
      </w:r>
      <w:r w:rsidRPr="00D61B79">
        <w:rPr>
          <w:szCs w:val="26"/>
        </w:rPr>
        <w:t>11-0000</w:t>
      </w:r>
      <w:r>
        <w:rPr>
          <w:szCs w:val="26"/>
        </w:rPr>
        <w:t xml:space="preserve">): </w:t>
      </w:r>
      <w:r w:rsidRPr="00072E34">
        <w:rPr>
          <w:szCs w:val="26"/>
        </w:rPr>
        <w:t>$97.</w:t>
      </w:r>
      <w:r>
        <w:rPr>
          <w:szCs w:val="26"/>
        </w:rPr>
        <w:t>89</w:t>
      </w:r>
      <w:r w:rsidRPr="00072E34">
        <w:rPr>
          <w:szCs w:val="26"/>
        </w:rPr>
        <w:t>/hour</w:t>
      </w:r>
      <w:r>
        <w:rPr>
          <w:szCs w:val="26"/>
        </w:rPr>
        <w:t xml:space="preserve">; and </w:t>
      </w:r>
    </w:p>
    <w:p w14:paraId="7AE32079" w14:textId="77777777" w:rsidR="006E5138" w:rsidRPr="00D62C84" w:rsidRDefault="006E5138" w:rsidP="006E5138">
      <w:pPr>
        <w:pStyle w:val="ListParagraph"/>
        <w:numPr>
          <w:ilvl w:val="0"/>
          <w:numId w:val="15"/>
        </w:numPr>
        <w:ind w:left="720"/>
        <w:rPr>
          <w:szCs w:val="26"/>
        </w:rPr>
      </w:pPr>
      <w:r>
        <w:rPr>
          <w:szCs w:val="26"/>
        </w:rPr>
        <w:t>E</w:t>
      </w:r>
      <w:r w:rsidRPr="00072E34">
        <w:rPr>
          <w:szCs w:val="26"/>
        </w:rPr>
        <w:t xml:space="preserve">lectrical </w:t>
      </w:r>
      <w:r>
        <w:rPr>
          <w:szCs w:val="26"/>
        </w:rPr>
        <w:t>E</w:t>
      </w:r>
      <w:r w:rsidRPr="00072E34">
        <w:rPr>
          <w:szCs w:val="26"/>
        </w:rPr>
        <w:t xml:space="preserve">ngineer </w:t>
      </w:r>
      <w:r>
        <w:rPr>
          <w:szCs w:val="26"/>
        </w:rPr>
        <w:t>(Occupational Code</w:t>
      </w:r>
      <w:r w:rsidRPr="00072E34">
        <w:rPr>
          <w:szCs w:val="26"/>
        </w:rPr>
        <w:t xml:space="preserve"> </w:t>
      </w:r>
      <w:r w:rsidRPr="00D61B79">
        <w:rPr>
          <w:szCs w:val="26"/>
        </w:rPr>
        <w:t>17-2071</w:t>
      </w:r>
      <w:r>
        <w:rPr>
          <w:szCs w:val="26"/>
        </w:rPr>
        <w:t xml:space="preserve">): </w:t>
      </w:r>
      <w:r w:rsidRPr="00072E34">
        <w:rPr>
          <w:szCs w:val="26"/>
        </w:rPr>
        <w:t>$7</w:t>
      </w:r>
      <w:r>
        <w:rPr>
          <w:szCs w:val="26"/>
        </w:rPr>
        <w:t>2.15</w:t>
      </w:r>
      <w:r w:rsidRPr="00072E34">
        <w:rPr>
          <w:szCs w:val="26"/>
        </w:rPr>
        <w:t xml:space="preserve">/hour, </w:t>
      </w:r>
      <w:r w:rsidRPr="00D61B79">
        <w:rPr>
          <w:szCs w:val="26"/>
        </w:rPr>
        <w:t xml:space="preserve">from </w:t>
      </w:r>
      <w:r>
        <w:rPr>
          <w:szCs w:val="26"/>
        </w:rPr>
        <w:t xml:space="preserve">the </w:t>
      </w:r>
      <w:r w:rsidRPr="00D61B79">
        <w:rPr>
          <w:szCs w:val="26"/>
        </w:rPr>
        <w:t xml:space="preserve">Bureau of Labor and Statistics at </w:t>
      </w:r>
      <w:hyperlink r:id="rId1" w:tooltip="blocked::http://bls.gov/oes/current/naics3_221000.htm" w:history="1">
        <w:r w:rsidRPr="00D61B79">
          <w:rPr>
            <w:rStyle w:val="Hyperlink"/>
            <w:szCs w:val="26"/>
          </w:rPr>
          <w:t>http://bls.gov/oes/current/naics3_221000.htm</w:t>
        </w:r>
      </w:hyperlink>
      <w:r w:rsidRPr="00D61B79">
        <w:rPr>
          <w:rStyle w:val="Hyperlink"/>
          <w:szCs w:val="26"/>
        </w:rPr>
        <w:t xml:space="preserve">, </w:t>
      </w:r>
      <w:r w:rsidRPr="00757503">
        <w:rPr>
          <w:rStyle w:val="Hyperlink"/>
          <w:color w:val="auto"/>
          <w:szCs w:val="26"/>
        </w:rPr>
        <w:t>as of June 202</w:t>
      </w:r>
      <w:r>
        <w:rPr>
          <w:rStyle w:val="Hyperlink"/>
          <w:color w:val="auto"/>
          <w:szCs w:val="26"/>
        </w:rPr>
        <w:t>1</w:t>
      </w:r>
      <w:r w:rsidRPr="00D61B79">
        <w:rPr>
          <w:rStyle w:val="Hyperlink"/>
          <w:color w:val="auto"/>
          <w:szCs w:val="26"/>
        </w:rPr>
        <w:t>.</w:t>
      </w:r>
      <w:r>
        <w:rPr>
          <w:rStyle w:val="Hyperlink"/>
          <w:color w:val="auto"/>
          <w:szCs w:val="26"/>
        </w:rPr>
        <w:t xml:space="preserve"> </w:t>
      </w:r>
    </w:p>
  </w:footnote>
  <w:footnote w:id="18">
    <w:p w14:paraId="7661C5AE" w14:textId="77777777" w:rsidR="006E5138" w:rsidRPr="00BB436B" w:rsidRDefault="006E5138" w:rsidP="00A2336C">
      <w:pPr>
        <w:pStyle w:val="FootnoteText"/>
        <w:ind w:firstLine="720"/>
        <w:rPr>
          <w:sz w:val="26"/>
          <w:szCs w:val="26"/>
        </w:rPr>
      </w:pPr>
      <w:r>
        <w:rPr>
          <w:rStyle w:val="FootnoteReference"/>
        </w:rPr>
        <w:footnoteRef/>
      </w:r>
      <w:r>
        <w:t xml:space="preserve"> </w:t>
      </w:r>
      <w:r w:rsidRPr="00BB436B">
        <w:rPr>
          <w:sz w:val="26"/>
          <w:szCs w:val="26"/>
        </w:rPr>
        <w:t>We estimate that 1,1</w:t>
      </w:r>
      <w:r>
        <w:rPr>
          <w:sz w:val="26"/>
          <w:szCs w:val="26"/>
        </w:rPr>
        <w:t>61</w:t>
      </w:r>
      <w:r w:rsidRPr="00BB436B">
        <w:rPr>
          <w:sz w:val="26"/>
          <w:szCs w:val="26"/>
        </w:rPr>
        <w:t xml:space="preserve"> entities will face an increased paperwork burden under Reliability Standard CIP 003-8, estimating that </w:t>
      </w:r>
      <w:r w:rsidRPr="00BB436B">
        <w:rPr>
          <w:sz w:val="26"/>
          <w:szCs w:val="26"/>
        </w:rPr>
        <w:t>a majority of these entities will have one or more low impact BES Cyber Systems.</w:t>
      </w:r>
    </w:p>
  </w:footnote>
  <w:footnote w:id="19">
    <w:p w14:paraId="1FE98AA4" w14:textId="77777777" w:rsidR="006E5138" w:rsidRPr="00BB436B" w:rsidRDefault="006E5138" w:rsidP="00A2336C">
      <w:pPr>
        <w:pStyle w:val="FootnoteText"/>
        <w:ind w:firstLine="720"/>
        <w:rPr>
          <w:sz w:val="26"/>
          <w:szCs w:val="26"/>
        </w:rPr>
      </w:pPr>
      <w:r>
        <w:rPr>
          <w:rStyle w:val="FootnoteReference"/>
        </w:rPr>
        <w:footnoteRef/>
      </w:r>
      <w:r>
        <w:t xml:space="preserve"> </w:t>
      </w:r>
      <w:r>
        <w:rPr>
          <w:sz w:val="26"/>
          <w:szCs w:val="26"/>
        </w:rPr>
        <w:t>The number of entities and the number of hours required are based on FERC Order No. 802 which approved CIP-012-1.</w:t>
      </w:r>
    </w:p>
  </w:footnote>
  <w:footnote w:id="20">
    <w:p w14:paraId="5D7874BE" w14:textId="77777777" w:rsidR="006E5138" w:rsidRPr="00BB436B" w:rsidRDefault="006E5138" w:rsidP="00A2336C">
      <w:pPr>
        <w:pStyle w:val="FootnoteText"/>
        <w:ind w:firstLine="720"/>
        <w:rPr>
          <w:sz w:val="26"/>
          <w:szCs w:val="26"/>
        </w:rPr>
      </w:pPr>
      <w:r>
        <w:rPr>
          <w:rStyle w:val="FootnoteReference"/>
        </w:rPr>
        <w:footnoteRef/>
      </w:r>
      <w:r>
        <w:t xml:space="preserve"> </w:t>
      </w:r>
      <w:r>
        <w:rPr>
          <w:sz w:val="26"/>
          <w:szCs w:val="26"/>
        </w:rPr>
        <w:t xml:space="preserve">321 U.S. Transmission Owners in NERC Compliance Registry as of June 22,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EE8F" w14:textId="77777777" w:rsidR="0032099D" w:rsidRDefault="0032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257B08AC" w:rsidR="00C80D25" w:rsidRDefault="00C80D25">
        <w:pPr>
          <w:pStyle w:val="Header"/>
        </w:pPr>
        <w:r w:rsidRPr="00D954AE">
          <w:t>Docket No. IC21-26-000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50F2" w14:textId="77777777" w:rsidR="0032099D" w:rsidRDefault="00320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17"/>
  </w:num>
  <w:num w:numId="6">
    <w:abstractNumId w:val="2"/>
  </w:num>
  <w:num w:numId="7">
    <w:abstractNumId w:val="12"/>
  </w:num>
  <w:num w:numId="8">
    <w:abstractNumId w:val="1"/>
  </w:num>
  <w:num w:numId="9">
    <w:abstractNumId w:val="10"/>
  </w:num>
  <w:num w:numId="10">
    <w:abstractNumId w:val="16"/>
  </w:num>
  <w:num w:numId="11">
    <w:abstractNumId w:val="3"/>
  </w:num>
  <w:num w:numId="12">
    <w:abstractNumId w:val="14"/>
  </w:num>
  <w:num w:numId="13">
    <w:abstractNumId w:val="0"/>
  </w:num>
  <w:num w:numId="14">
    <w:abstractNumId w:val="15"/>
  </w:num>
  <w:num w:numId="15">
    <w:abstractNumId w:val="9"/>
  </w:num>
  <w:num w:numId="16">
    <w:abstractNumId w:val="5"/>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53C8"/>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0C9F"/>
    <w:rsid w:val="00171725"/>
    <w:rsid w:val="00173D03"/>
    <w:rsid w:val="0017684C"/>
    <w:rsid w:val="00177704"/>
    <w:rsid w:val="00180967"/>
    <w:rsid w:val="00181BF7"/>
    <w:rsid w:val="00184A26"/>
    <w:rsid w:val="00184B43"/>
    <w:rsid w:val="00185C1F"/>
    <w:rsid w:val="0019402A"/>
    <w:rsid w:val="00197435"/>
    <w:rsid w:val="001974A9"/>
    <w:rsid w:val="001A2DAA"/>
    <w:rsid w:val="001A6645"/>
    <w:rsid w:val="001A6AD6"/>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4457"/>
    <w:rsid w:val="00257CC2"/>
    <w:rsid w:val="00260063"/>
    <w:rsid w:val="00262096"/>
    <w:rsid w:val="00262FE9"/>
    <w:rsid w:val="00265B23"/>
    <w:rsid w:val="00266431"/>
    <w:rsid w:val="002906E5"/>
    <w:rsid w:val="00292A4C"/>
    <w:rsid w:val="00297211"/>
    <w:rsid w:val="002B5874"/>
    <w:rsid w:val="002C2C8B"/>
    <w:rsid w:val="002C3223"/>
    <w:rsid w:val="002C3579"/>
    <w:rsid w:val="002C5E0E"/>
    <w:rsid w:val="002C7036"/>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ADB"/>
    <w:rsid w:val="00565830"/>
    <w:rsid w:val="00565B5E"/>
    <w:rsid w:val="00566B5F"/>
    <w:rsid w:val="00567315"/>
    <w:rsid w:val="005739F7"/>
    <w:rsid w:val="005749DE"/>
    <w:rsid w:val="0058195F"/>
    <w:rsid w:val="00584A11"/>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3721"/>
    <w:rsid w:val="00694C22"/>
    <w:rsid w:val="006963BC"/>
    <w:rsid w:val="006970F4"/>
    <w:rsid w:val="00697254"/>
    <w:rsid w:val="006A2E15"/>
    <w:rsid w:val="006A4398"/>
    <w:rsid w:val="006B3479"/>
    <w:rsid w:val="006D5669"/>
    <w:rsid w:val="006E5138"/>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1148"/>
    <w:rsid w:val="007633DD"/>
    <w:rsid w:val="007755E3"/>
    <w:rsid w:val="00781E6A"/>
    <w:rsid w:val="007B1F57"/>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9D9"/>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06A2B"/>
    <w:rsid w:val="009112D0"/>
    <w:rsid w:val="00936CAC"/>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0C93"/>
    <w:rsid w:val="009B3A62"/>
    <w:rsid w:val="009C3CB9"/>
    <w:rsid w:val="009C4A13"/>
    <w:rsid w:val="009C745D"/>
    <w:rsid w:val="009D50C1"/>
    <w:rsid w:val="009E0573"/>
    <w:rsid w:val="009E2D84"/>
    <w:rsid w:val="009F279E"/>
    <w:rsid w:val="009F7DE3"/>
    <w:rsid w:val="00A04C8E"/>
    <w:rsid w:val="00A07154"/>
    <w:rsid w:val="00A11868"/>
    <w:rsid w:val="00A127D3"/>
    <w:rsid w:val="00A1386C"/>
    <w:rsid w:val="00A14335"/>
    <w:rsid w:val="00A14B43"/>
    <w:rsid w:val="00A166E7"/>
    <w:rsid w:val="00A178B0"/>
    <w:rsid w:val="00A2336C"/>
    <w:rsid w:val="00A23612"/>
    <w:rsid w:val="00A24C0F"/>
    <w:rsid w:val="00A2604E"/>
    <w:rsid w:val="00A27C67"/>
    <w:rsid w:val="00A32860"/>
    <w:rsid w:val="00A417A2"/>
    <w:rsid w:val="00A52189"/>
    <w:rsid w:val="00A57463"/>
    <w:rsid w:val="00A664DF"/>
    <w:rsid w:val="00A71219"/>
    <w:rsid w:val="00A713D0"/>
    <w:rsid w:val="00A722D4"/>
    <w:rsid w:val="00A740AD"/>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057C"/>
    <w:rsid w:val="00AF17CE"/>
    <w:rsid w:val="00AF336D"/>
    <w:rsid w:val="00AF349B"/>
    <w:rsid w:val="00AF65F0"/>
    <w:rsid w:val="00B009E9"/>
    <w:rsid w:val="00B01711"/>
    <w:rsid w:val="00B01B16"/>
    <w:rsid w:val="00B03644"/>
    <w:rsid w:val="00B062D0"/>
    <w:rsid w:val="00B11D16"/>
    <w:rsid w:val="00B143A9"/>
    <w:rsid w:val="00B17A95"/>
    <w:rsid w:val="00B24588"/>
    <w:rsid w:val="00B30F2D"/>
    <w:rsid w:val="00B34021"/>
    <w:rsid w:val="00B34928"/>
    <w:rsid w:val="00B35B74"/>
    <w:rsid w:val="00B403F1"/>
    <w:rsid w:val="00B4163B"/>
    <w:rsid w:val="00B447D7"/>
    <w:rsid w:val="00B556C9"/>
    <w:rsid w:val="00B60113"/>
    <w:rsid w:val="00B6081E"/>
    <w:rsid w:val="00B61016"/>
    <w:rsid w:val="00B624EB"/>
    <w:rsid w:val="00B716AA"/>
    <w:rsid w:val="00B71BAA"/>
    <w:rsid w:val="00B76A1F"/>
    <w:rsid w:val="00B806DD"/>
    <w:rsid w:val="00B82F8C"/>
    <w:rsid w:val="00B8460F"/>
    <w:rsid w:val="00B84D34"/>
    <w:rsid w:val="00B95477"/>
    <w:rsid w:val="00B968AA"/>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1CD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184"/>
    <w:rsid w:val="00D172D8"/>
    <w:rsid w:val="00D26488"/>
    <w:rsid w:val="00D3231A"/>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317E"/>
    <w:rsid w:val="00DB5AAE"/>
    <w:rsid w:val="00DB636B"/>
    <w:rsid w:val="00DB6882"/>
    <w:rsid w:val="00DC4B63"/>
    <w:rsid w:val="00DC5017"/>
    <w:rsid w:val="00DC5129"/>
    <w:rsid w:val="00DD1009"/>
    <w:rsid w:val="00DD7F1B"/>
    <w:rsid w:val="00DE1A87"/>
    <w:rsid w:val="00DE451F"/>
    <w:rsid w:val="00DF018D"/>
    <w:rsid w:val="00E03D2D"/>
    <w:rsid w:val="00E12A7A"/>
    <w:rsid w:val="00E27FD6"/>
    <w:rsid w:val="00E36A0F"/>
    <w:rsid w:val="00E400C7"/>
    <w:rsid w:val="00E40322"/>
    <w:rsid w:val="00E40CB4"/>
    <w:rsid w:val="00E41DB9"/>
    <w:rsid w:val="00E5501A"/>
    <w:rsid w:val="00E56612"/>
    <w:rsid w:val="00E71CC0"/>
    <w:rsid w:val="00E731AE"/>
    <w:rsid w:val="00E74310"/>
    <w:rsid w:val="00E762BB"/>
    <w:rsid w:val="00E865C8"/>
    <w:rsid w:val="00E8661B"/>
    <w:rsid w:val="00E9084E"/>
    <w:rsid w:val="00E962E6"/>
    <w:rsid w:val="00E97D7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uiPriority w:val="99"/>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2.xml><?xml version="1.0" encoding="utf-8"?>
<ds:datastoreItem xmlns:ds="http://schemas.openxmlformats.org/officeDocument/2006/customXml" ds:itemID="{95F52F2C-C3CF-4AD2-A858-8569E56DD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2021-11-04T21:08:00Z</dcterms:created>
  <dcterms:modified xsi:type="dcterms:W3CDTF">2021-11-04T21:08:00Z</dcterms:modified>
  <cp:category/>
  <dc:identifier/>
  <cp:contentStatus/>
  <cp:version/>
</cp:coreProperties>
</file>