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6890" w:rsidP="00F86890" w:rsidRDefault="00F86890" w14:paraId="6857541B" w14:textId="176E7FD1">
      <w:pPr>
        <w:jc w:val="center"/>
      </w:pPr>
      <w:r>
        <w:t>UNITED STATES OF AMERICA</w:t>
      </w:r>
    </w:p>
    <w:p w:rsidR="00F86890" w:rsidP="00F86890" w:rsidRDefault="00F86890" w14:paraId="79428585" w14:textId="77777777">
      <w:pPr>
        <w:jc w:val="center"/>
      </w:pPr>
      <w:r>
        <w:t>FEDERAL ENERGY REGULATORY COMMISSION</w:t>
      </w:r>
    </w:p>
    <w:p w:rsidR="00F86890" w:rsidP="00F86890" w:rsidRDefault="00F86890" w14:paraId="080926DF" w14:textId="77777777"/>
    <w:p w:rsidR="00F86890" w:rsidP="00F86890" w:rsidRDefault="00F86890" w14:paraId="6224EDAF" w14:textId="77F689DE">
      <w:pPr>
        <w:jc w:val="center"/>
      </w:pPr>
      <w:r w:rsidRPr="00AA2FBE">
        <w:t xml:space="preserve">[Docket No. </w:t>
      </w:r>
      <w:r w:rsidRPr="00352333" w:rsidR="00B77757">
        <w:t>IC</w:t>
      </w:r>
      <w:r w:rsidR="0010362F">
        <w:t>21-</w:t>
      </w:r>
      <w:r w:rsidR="00FF3EC3">
        <w:t>38</w:t>
      </w:r>
      <w:r w:rsidR="0010362F">
        <w:t>-000</w:t>
      </w:r>
      <w:r w:rsidRPr="00AA2FBE">
        <w:t>]</w:t>
      </w:r>
    </w:p>
    <w:p w:rsidR="00F86890" w:rsidP="00F86890" w:rsidRDefault="00F86890" w14:paraId="3DBF4703" w14:textId="77777777"/>
    <w:p w:rsidR="005054E9" w:rsidP="00F86890" w:rsidRDefault="00F86890" w14:paraId="6E142244" w14:textId="77777777">
      <w:pPr>
        <w:jc w:val="center"/>
      </w:pPr>
      <w:r>
        <w:t xml:space="preserve">COMMISSION INFORMATION COLLECTION ACTIVITIES </w:t>
      </w:r>
    </w:p>
    <w:p w:rsidRPr="00ED7AAA" w:rsidR="00F86890" w:rsidP="00F86890" w:rsidRDefault="00F86890" w14:paraId="1573854A" w14:textId="59C144B1">
      <w:pPr>
        <w:jc w:val="center"/>
      </w:pPr>
      <w:r w:rsidRPr="00ED7AAA">
        <w:t>(FERC</w:t>
      </w:r>
      <w:r w:rsidR="00D92CDB">
        <w:t>-920</w:t>
      </w:r>
      <w:r w:rsidR="0035625E">
        <w:t>,</w:t>
      </w:r>
      <w:r w:rsidR="00F616B1">
        <w:t xml:space="preserve"> </w:t>
      </w:r>
      <w:r w:rsidR="009743F4">
        <w:t>ELECTRIC QUARTERLY REPORT</w:t>
      </w:r>
      <w:r w:rsidRPr="00ED7AAA">
        <w:t>);</w:t>
      </w:r>
    </w:p>
    <w:p w:rsidRPr="00ED7AAA" w:rsidR="00F86890" w:rsidP="00F86890" w:rsidRDefault="00F86890" w14:paraId="0BCD21A8" w14:textId="4DF27E78">
      <w:pPr>
        <w:jc w:val="center"/>
      </w:pPr>
      <w:r w:rsidRPr="00ED7AAA">
        <w:t>COMMENT REQUEST; EXTENSION</w:t>
      </w:r>
    </w:p>
    <w:p w:rsidRPr="00ED7AAA" w:rsidR="00F86890" w:rsidP="00F86890" w:rsidRDefault="00F86890" w14:paraId="5790DF3B" w14:textId="77777777"/>
    <w:p w:rsidR="005F0F82" w:rsidP="006D43D5" w:rsidRDefault="006D43D5" w14:paraId="20C4B8DF" w14:textId="0B7FC871">
      <w:pPr>
        <w:jc w:val="center"/>
      </w:pPr>
      <w:r w:rsidRPr="006D43D5">
        <w:t>(September 20, 2021)</w:t>
      </w:r>
    </w:p>
    <w:p w:rsidRPr="006D43D5" w:rsidR="006D43D5" w:rsidP="006D43D5" w:rsidRDefault="006D43D5" w14:paraId="40395325" w14:textId="77777777"/>
    <w:p w:rsidR="00F86890" w:rsidP="00CE64F2" w:rsidRDefault="00CE64F2" w14:paraId="406CF56E" w14:textId="3902D83C">
      <w:pPr>
        <w:spacing w:line="480" w:lineRule="auto"/>
      </w:pPr>
      <w:r w:rsidRPr="00656DF0">
        <w:rPr>
          <w:b/>
        </w:rPr>
        <w:t>AGENCY:</w:t>
      </w:r>
      <w:r>
        <w:t xml:space="preserve">  </w:t>
      </w:r>
      <w:r w:rsidR="00F86890">
        <w:t>Federal Energy Regulatory Commission</w:t>
      </w:r>
    </w:p>
    <w:p w:rsidR="00F86890" w:rsidP="00CE64F2" w:rsidRDefault="00CE64F2" w14:paraId="2F1053CE" w14:textId="6AEAB20F">
      <w:pPr>
        <w:spacing w:line="480" w:lineRule="auto"/>
      </w:pPr>
      <w:r w:rsidRPr="00CE64F2">
        <w:rPr>
          <w:b/>
        </w:rPr>
        <w:t>ACTION:</w:t>
      </w:r>
      <w:r>
        <w:t xml:space="preserve">  </w:t>
      </w:r>
      <w:r w:rsidR="00F86890">
        <w:t>Notice of information collection and request for comments.</w:t>
      </w:r>
    </w:p>
    <w:p w:rsidR="005054E9" w:rsidP="00CE64F2" w:rsidRDefault="00F86890" w14:paraId="206BCD52" w14:textId="10F7C701">
      <w:pPr>
        <w:spacing w:line="480" w:lineRule="auto"/>
      </w:pPr>
      <w:r w:rsidRPr="00CE64F2">
        <w:rPr>
          <w:b/>
        </w:rPr>
        <w:t>SUMMARY:</w:t>
      </w:r>
      <w:r>
        <w:t xml:space="preserve">  In compliance with the requirements of </w:t>
      </w:r>
      <w:r w:rsidR="00DA7F57">
        <w:t xml:space="preserve">the </w:t>
      </w:r>
      <w:r w:rsidR="0005366B">
        <w:t>Paperwork Reduction Act of 1995</w:t>
      </w:r>
      <w:r w:rsidR="00F616B1">
        <w:t xml:space="preserve"> (PRA)</w:t>
      </w:r>
      <w:r w:rsidR="00002127">
        <w:t xml:space="preserve">, </w:t>
      </w:r>
      <w:r>
        <w:t xml:space="preserve">the Federal Energy Regulatory Commission (Commission or FERC) is soliciting public comment on the </w:t>
      </w:r>
      <w:r w:rsidR="00F616B1">
        <w:t>currently approved in</w:t>
      </w:r>
      <w:r w:rsidR="00E6218B">
        <w:t xml:space="preserve">formation collection, FERC-920 </w:t>
      </w:r>
      <w:r w:rsidR="0002024D">
        <w:t>(</w:t>
      </w:r>
      <w:r w:rsidR="00F616B1">
        <w:t>Electric Quarterly Report</w:t>
      </w:r>
      <w:r w:rsidR="00E6218B">
        <w:t xml:space="preserve"> (EQR</w:t>
      </w:r>
      <w:r w:rsidR="0002024D">
        <w:t>)</w:t>
      </w:r>
      <w:r w:rsidR="00F616B1">
        <w:t>)</w:t>
      </w:r>
      <w:r w:rsidR="0002024D">
        <w:t xml:space="preserve">, </w:t>
      </w:r>
      <w:r w:rsidRPr="0002024D" w:rsidR="0002024D">
        <w:t xml:space="preserve">which will be submitted to the Office of Management and Budget (OMB) for a review of the information collection requirements. </w:t>
      </w:r>
    </w:p>
    <w:p w:rsidR="00F86890" w:rsidP="00CE64F2" w:rsidRDefault="00F86890" w14:paraId="62B08134" w14:textId="38A02C10">
      <w:pPr>
        <w:spacing w:line="480" w:lineRule="auto"/>
      </w:pPr>
      <w:r w:rsidRPr="00CE64F2">
        <w:rPr>
          <w:b/>
        </w:rPr>
        <w:t>DATES:</w:t>
      </w:r>
      <w:r>
        <w:t xml:space="preserve">  </w:t>
      </w:r>
      <w:r w:rsidRPr="00B85F39">
        <w:t xml:space="preserve">Comments </w:t>
      </w:r>
      <w:r w:rsidRPr="00B85F39" w:rsidR="00DA7F57">
        <w:t>on</w:t>
      </w:r>
      <w:r w:rsidRPr="00B85F39">
        <w:t xml:space="preserve"> the collection of information</w:t>
      </w:r>
      <w:r>
        <w:t xml:space="preserve"> are due</w:t>
      </w:r>
      <w:r w:rsidRPr="002B69CF">
        <w:rPr>
          <w:caps/>
        </w:rPr>
        <w:t xml:space="preserve"> [</w:t>
      </w:r>
      <w:r w:rsidRPr="002B69CF" w:rsidR="0027273D">
        <w:rPr>
          <w:b/>
          <w:caps/>
        </w:rPr>
        <w:t>insert dat</w:t>
      </w:r>
      <w:r w:rsidRPr="002B69CF" w:rsidR="00AE61E0">
        <w:rPr>
          <w:b/>
          <w:caps/>
        </w:rPr>
        <w:t>e</w:t>
      </w:r>
      <w:r w:rsidRPr="002B69CF" w:rsidR="0027273D">
        <w:rPr>
          <w:b/>
          <w:caps/>
        </w:rPr>
        <w:t xml:space="preserve"> </w:t>
      </w:r>
      <w:r w:rsidRPr="002B69CF">
        <w:rPr>
          <w:b/>
          <w:caps/>
        </w:rPr>
        <w:t xml:space="preserve">60 days </w:t>
      </w:r>
      <w:r w:rsidR="00724CBD">
        <w:rPr>
          <w:b/>
          <w:caps/>
        </w:rPr>
        <w:t>AFTER</w:t>
      </w:r>
      <w:r w:rsidRPr="002B69CF" w:rsidR="002B69CF">
        <w:rPr>
          <w:b/>
          <w:caps/>
        </w:rPr>
        <w:t xml:space="preserve"> </w:t>
      </w:r>
      <w:r w:rsidRPr="002B69CF">
        <w:rPr>
          <w:b/>
          <w:caps/>
        </w:rPr>
        <w:t>publication</w:t>
      </w:r>
      <w:r w:rsidRPr="002B69CF" w:rsidR="0027273D">
        <w:rPr>
          <w:b/>
          <w:caps/>
        </w:rPr>
        <w:t xml:space="preserve"> </w:t>
      </w:r>
      <w:r w:rsidRPr="002B69CF">
        <w:rPr>
          <w:b/>
          <w:caps/>
        </w:rPr>
        <w:t>in the Federal Register</w:t>
      </w:r>
      <w:r w:rsidRPr="002B69CF">
        <w:rPr>
          <w:caps/>
        </w:rPr>
        <w:t>]</w:t>
      </w:r>
      <w:r w:rsidRPr="002B69CF" w:rsidR="002B69CF">
        <w:rPr>
          <w:caps/>
        </w:rPr>
        <w:t xml:space="preserve">.  </w:t>
      </w:r>
    </w:p>
    <w:p w:rsidRPr="000B1607" w:rsidR="000B1607" w:rsidP="000B1607" w:rsidRDefault="00F86890" w14:paraId="68E5F42B" w14:textId="0F422C7B">
      <w:pPr>
        <w:spacing w:line="480" w:lineRule="auto"/>
      </w:pPr>
      <w:r w:rsidRPr="00AA2FBE">
        <w:rPr>
          <w:b/>
        </w:rPr>
        <w:t>ADDRESSES:</w:t>
      </w:r>
      <w:r w:rsidRPr="00AA2FBE">
        <w:t xml:space="preserve">  </w:t>
      </w:r>
      <w:bookmarkStart w:name="OLE_LINK1" w:id="0"/>
      <w:r w:rsidRPr="000B1607" w:rsidR="000B1607">
        <w:t>You may submit copies of your comments (identified by Docket No. IC21-</w:t>
      </w:r>
      <w:r w:rsidR="000B1607">
        <w:t>38</w:t>
      </w:r>
      <w:r w:rsidRPr="000B1607" w:rsidR="000B1607">
        <w:t>-000 and the specific FERC collection number (FERC-</w:t>
      </w:r>
      <w:r w:rsidR="000B1607">
        <w:t>920</w:t>
      </w:r>
      <w:r w:rsidRPr="000B1607" w:rsidR="000B1607">
        <w:t>) by one of the following methods:</w:t>
      </w:r>
    </w:p>
    <w:p w:rsidRPr="000B1607" w:rsidR="000B1607" w:rsidP="000B1607" w:rsidRDefault="000B1607" w14:paraId="58D50410" w14:textId="0A603B37">
      <w:pPr>
        <w:spacing w:line="480" w:lineRule="auto"/>
      </w:pPr>
      <w:r w:rsidRPr="000B1607">
        <w:t xml:space="preserve">Electronic filing through </w:t>
      </w:r>
      <w:hyperlink w:history="1" r:id="rId13">
        <w:r w:rsidRPr="000B1607">
          <w:rPr>
            <w:rStyle w:val="Hyperlink"/>
          </w:rPr>
          <w:t>http://www.ferc.gov</w:t>
        </w:r>
      </w:hyperlink>
      <w:r w:rsidRPr="000B1607">
        <w:t xml:space="preserve"> is preferred.</w:t>
      </w:r>
    </w:p>
    <w:p w:rsidRPr="000B1607" w:rsidR="000B1607" w:rsidP="000B1607" w:rsidRDefault="000B1607" w14:paraId="7F09CFF9" w14:textId="77777777">
      <w:pPr>
        <w:numPr>
          <w:ilvl w:val="0"/>
          <w:numId w:val="15"/>
        </w:numPr>
        <w:spacing w:line="480" w:lineRule="auto"/>
      </w:pPr>
      <w:r w:rsidRPr="000B1607">
        <w:t xml:space="preserve">Electronic Filing: Documents must be filed in acceptable native applications and print-to-PDF, but not in scanned or picture format. </w:t>
      </w:r>
    </w:p>
    <w:p w:rsidRPr="000B1607" w:rsidR="000B1607" w:rsidP="000B1607" w:rsidRDefault="000B1607" w14:paraId="367C6E75" w14:textId="77777777">
      <w:pPr>
        <w:numPr>
          <w:ilvl w:val="0"/>
          <w:numId w:val="15"/>
        </w:numPr>
        <w:spacing w:line="480" w:lineRule="auto"/>
      </w:pPr>
      <w:r w:rsidRPr="000B1607">
        <w:lastRenderedPageBreak/>
        <w:t>For those unable to file electronically, comments may be filed by USPS mail or by hand (including courier) delivery:</w:t>
      </w:r>
    </w:p>
    <w:p w:rsidRPr="000B1607" w:rsidR="000B1607" w:rsidP="000B1607" w:rsidRDefault="000B1607" w14:paraId="5EA640AA" w14:textId="77777777">
      <w:pPr>
        <w:numPr>
          <w:ilvl w:val="1"/>
          <w:numId w:val="14"/>
        </w:numPr>
        <w:spacing w:line="480" w:lineRule="auto"/>
      </w:pPr>
      <w:r w:rsidRPr="000B1607">
        <w:t>Mail via U.S. Postal Service Only: Addressed to: Federal Energy Regulatory Commission, Secretary of the Commission, 888 First Street, N.E., Washington, DC 20426.</w:t>
      </w:r>
    </w:p>
    <w:p w:rsidRPr="000B1607" w:rsidR="000B1607" w:rsidP="000B1607" w:rsidRDefault="000B1607" w14:paraId="2B0BA282" w14:textId="7683D2D3">
      <w:pPr>
        <w:numPr>
          <w:ilvl w:val="1"/>
          <w:numId w:val="14"/>
        </w:numPr>
        <w:spacing w:line="480" w:lineRule="auto"/>
      </w:pPr>
      <w:r w:rsidRPr="000B1607">
        <w:t>Hand (including courier) delivery</w:t>
      </w:r>
      <w:r w:rsidR="00FB3B37">
        <w:t xml:space="preserve"> </w:t>
      </w:r>
      <w:r w:rsidRPr="000B1607">
        <w:t>to: Federal Energy Regulatory Commission, 12225 Wilkins Avenue, Rockville, MD 20852.</w:t>
      </w:r>
    </w:p>
    <w:p w:rsidRPr="000B1607" w:rsidR="000B1607" w:rsidP="000B1607" w:rsidRDefault="000B1607" w14:paraId="78662C84" w14:textId="3B7C83D5">
      <w:pPr>
        <w:spacing w:line="480" w:lineRule="auto"/>
      </w:pPr>
      <w:r w:rsidRPr="000B1607">
        <w:rPr>
          <w:i/>
        </w:rPr>
        <w:t xml:space="preserve">Instructions: </w:t>
      </w:r>
      <w:r w:rsidRPr="000B1607">
        <w:t xml:space="preserve">All submissions must be formatted and filed in accordance with submission guidelines at: </w:t>
      </w:r>
      <w:hyperlink w:history="1" r:id="rId14">
        <w:r w:rsidRPr="000B1607">
          <w:rPr>
            <w:rStyle w:val="Hyperlink"/>
          </w:rPr>
          <w:t>http://www.ferc.gov</w:t>
        </w:r>
      </w:hyperlink>
      <w:r w:rsidRPr="000B1607">
        <w:t>.  For user assistance, contact FERC Online Support by e-mail at ferconlinesupport@ferc.gov, or by phone at (866) 208-3676 (toll-free).</w:t>
      </w:r>
    </w:p>
    <w:p w:rsidR="00537276" w:rsidP="00CE64F2" w:rsidRDefault="000B1607" w14:paraId="28598D7F" w14:textId="32DA6729">
      <w:pPr>
        <w:spacing w:line="480" w:lineRule="auto"/>
      </w:pPr>
      <w:r w:rsidRPr="000B1607">
        <w:rPr>
          <w:i/>
        </w:rPr>
        <w:t>Docket:</w:t>
      </w:r>
      <w:r w:rsidRPr="000B1607">
        <w:t xml:space="preserve"> Users interested in receiving automatic notification of activity in this docket or in viewing/downloading comments and issuances in this docket may do so at </w:t>
      </w:r>
      <w:hyperlink w:history="1" r:id="rId15">
        <w:r w:rsidRPr="000B1607">
          <w:rPr>
            <w:rStyle w:val="Hyperlink"/>
          </w:rPr>
          <w:t>http://www.ferc.gov</w:t>
        </w:r>
      </w:hyperlink>
      <w:r w:rsidRPr="000B1607">
        <w:t xml:space="preserve">. </w:t>
      </w:r>
      <w:bookmarkEnd w:id="0"/>
    </w:p>
    <w:p w:rsidR="00F86890" w:rsidP="00CE64F2" w:rsidRDefault="00F86890" w14:paraId="3BD97BC2" w14:textId="23774F8F">
      <w:pPr>
        <w:spacing w:line="480" w:lineRule="auto"/>
      </w:pPr>
      <w:r w:rsidRPr="00ED7AAA">
        <w:rPr>
          <w:b/>
        </w:rPr>
        <w:t>FOR FURTHER INFORMATION:</w:t>
      </w:r>
      <w:r w:rsidRPr="00ED7AAA">
        <w:t xml:space="preserve">  Ellen Brown may be reached by e-mail at </w:t>
      </w:r>
      <w:hyperlink w:history="1" r:id="rId16">
        <w:r w:rsidRPr="00ED7AAA" w:rsidR="00C56512">
          <w:rPr>
            <w:rStyle w:val="Hyperlink"/>
          </w:rPr>
          <w:t>DataClearance@FERC.gov</w:t>
        </w:r>
      </w:hyperlink>
      <w:r w:rsidR="003B053D">
        <w:t xml:space="preserve"> and</w:t>
      </w:r>
      <w:r w:rsidRPr="00ED7AAA">
        <w:t xml:space="preserve"> telephone at (202) 502-8663</w:t>
      </w:r>
      <w:r w:rsidR="000B1607">
        <w:t>.</w:t>
      </w:r>
    </w:p>
    <w:p w:rsidR="00C056FE" w:rsidP="00CE64F2" w:rsidRDefault="00F86890" w14:paraId="216D93AD" w14:textId="00FEE62E">
      <w:pPr>
        <w:spacing w:line="480" w:lineRule="auto"/>
      </w:pPr>
      <w:r w:rsidRPr="001C3703">
        <w:rPr>
          <w:b/>
        </w:rPr>
        <w:t>SUPPLEMENTARY INFORMATION:</w:t>
      </w:r>
      <w:r>
        <w:t xml:space="preserve">  </w:t>
      </w:r>
    </w:p>
    <w:p w:rsidRPr="000751DA" w:rsidR="000751DA" w:rsidP="000751DA" w:rsidRDefault="000751DA" w14:paraId="2E65A938" w14:textId="4BE4661F">
      <w:pPr>
        <w:spacing w:line="480" w:lineRule="auto"/>
        <w:rPr>
          <w:i/>
        </w:rPr>
      </w:pPr>
      <w:r w:rsidRPr="000751DA">
        <w:rPr>
          <w:i/>
        </w:rPr>
        <w:t xml:space="preserve">Title: </w:t>
      </w:r>
      <w:r w:rsidRPr="000751DA">
        <w:t>FERC</w:t>
      </w:r>
      <w:r w:rsidR="005359ED">
        <w:t>-920</w:t>
      </w:r>
      <w:r w:rsidR="000B1607">
        <w:t>, (</w:t>
      </w:r>
      <w:r w:rsidR="005359ED">
        <w:t>Electric Quarterly Reports</w:t>
      </w:r>
      <w:r w:rsidR="00DE0D07">
        <w:t xml:space="preserve"> (EQR</w:t>
      </w:r>
      <w:r w:rsidR="005359ED">
        <w:t>)</w:t>
      </w:r>
      <w:r w:rsidR="000B1607">
        <w:t>)</w:t>
      </w:r>
    </w:p>
    <w:p w:rsidRPr="000751DA" w:rsidR="000751DA" w:rsidP="000751DA" w:rsidRDefault="000751DA" w14:paraId="0D199F5D" w14:textId="2C26D533">
      <w:pPr>
        <w:spacing w:line="480" w:lineRule="auto"/>
      </w:pPr>
      <w:r w:rsidRPr="000751DA">
        <w:rPr>
          <w:i/>
        </w:rPr>
        <w:t>OMB Control No.:</w:t>
      </w:r>
      <w:r w:rsidRPr="000751DA">
        <w:t xml:space="preserve"> </w:t>
      </w:r>
      <w:r w:rsidRPr="00DE0D07" w:rsidR="00DE0D07">
        <w:t>1902-0255</w:t>
      </w:r>
    </w:p>
    <w:p w:rsidRPr="000751DA" w:rsidR="000751DA" w:rsidP="000751DA" w:rsidRDefault="000751DA" w14:paraId="2B037A58" w14:textId="6FD88766">
      <w:pPr>
        <w:spacing w:line="480" w:lineRule="auto"/>
        <w:rPr>
          <w:i/>
        </w:rPr>
      </w:pPr>
      <w:r w:rsidRPr="000751DA">
        <w:rPr>
          <w:i/>
        </w:rPr>
        <w:t xml:space="preserve">Type of Respondent: </w:t>
      </w:r>
      <w:r w:rsidR="005359ED">
        <w:t>Public</w:t>
      </w:r>
      <w:r>
        <w:t xml:space="preserve"> utilities</w:t>
      </w:r>
      <w:r w:rsidR="003E6777">
        <w:t>,</w:t>
      </w:r>
      <w:r>
        <w:t xml:space="preserve"> and non-public utilities with more than a </w:t>
      </w:r>
      <w:r>
        <w:rPr>
          <w:i/>
        </w:rPr>
        <w:t>de minim</w:t>
      </w:r>
      <w:r w:rsidR="00F65DD1">
        <w:rPr>
          <w:i/>
        </w:rPr>
        <w:t>i</w:t>
      </w:r>
      <w:r>
        <w:rPr>
          <w:i/>
        </w:rPr>
        <w:t>s</w:t>
      </w:r>
      <w:r>
        <w:t xml:space="preserve"> market presence.</w:t>
      </w:r>
    </w:p>
    <w:p w:rsidR="00493451" w:rsidP="00CE64F2" w:rsidRDefault="00493451" w14:paraId="03C7284C" w14:textId="04CE7354">
      <w:pPr>
        <w:spacing w:line="480" w:lineRule="auto"/>
      </w:pPr>
      <w:bookmarkStart w:name="_Hlk82610322" w:id="1"/>
      <w:r w:rsidRPr="003C5B35">
        <w:rPr>
          <w:i/>
        </w:rPr>
        <w:lastRenderedPageBreak/>
        <w:t>Type of Request</w:t>
      </w:r>
      <w:r>
        <w:rPr>
          <w:i/>
        </w:rPr>
        <w:t>:</w:t>
      </w:r>
      <w:r>
        <w:t xml:space="preserve"> Three-year extension of the </w:t>
      </w:r>
      <w:r w:rsidR="005359ED">
        <w:t xml:space="preserve">FERC-920 </w:t>
      </w:r>
      <w:r>
        <w:t>information collection with no changes to the current reporting requirements.</w:t>
      </w:r>
      <w:r w:rsidR="004A2194">
        <w:rPr>
          <w:rStyle w:val="FootnoteReference"/>
        </w:rPr>
        <w:footnoteReference w:id="2"/>
      </w:r>
      <w:r w:rsidR="00152FDA">
        <w:t xml:space="preserve"> </w:t>
      </w:r>
    </w:p>
    <w:bookmarkEnd w:id="1"/>
    <w:p w:rsidR="00871390" w:rsidP="005B58F4" w:rsidRDefault="00871390" w14:paraId="4114AB92" w14:textId="1125615F">
      <w:pPr>
        <w:spacing w:line="480" w:lineRule="auto"/>
      </w:pPr>
      <w:r>
        <w:rPr>
          <w:i/>
        </w:rPr>
        <w:t>Abstract:</w:t>
      </w:r>
      <w:r>
        <w:t xml:space="preserve"> </w:t>
      </w:r>
      <w:r w:rsidRPr="005B58F4" w:rsidR="005B58F4">
        <w:t xml:space="preserve">The Commission </w:t>
      </w:r>
      <w:r w:rsidR="00301E17">
        <w:t xml:space="preserve">originally </w:t>
      </w:r>
      <w:r w:rsidRPr="005B58F4" w:rsidR="005B58F4">
        <w:t>set forth the EQR filing requirements in Order No. 2001</w:t>
      </w:r>
      <w:r w:rsidR="002D3818">
        <w:t xml:space="preserve"> (</w:t>
      </w:r>
      <w:r w:rsidRPr="002D3818" w:rsidR="002D3818">
        <w:t>Docket No. RM01-8-000</w:t>
      </w:r>
      <w:r w:rsidR="002D3818">
        <w:t>)</w:t>
      </w:r>
      <w:r w:rsidRPr="005B58F4" w:rsidR="005B58F4">
        <w:t xml:space="preserve"> </w:t>
      </w:r>
      <w:r w:rsidR="00CD173A">
        <w:t>which</w:t>
      </w:r>
      <w:r w:rsidRPr="005B58F4" w:rsidR="005B58F4">
        <w:t xml:space="preserve"> required public utilities to electronically file EQRs summarizing transaction information for short-term and long-term cost-based sales and market-based rate sales and the contractual terms and conditions in their agreements for all jurisdictional services.</w:t>
      </w:r>
      <w:r w:rsidRPr="002D3818" w:rsidR="005B58F4">
        <w:rPr>
          <w:b/>
          <w:bCs/>
          <w:vertAlign w:val="superscript"/>
        </w:rPr>
        <w:footnoteReference w:id="3"/>
      </w:r>
      <w:r w:rsidRPr="005B58F4" w:rsidR="005B58F4">
        <w:t xml:space="preserve">  The Commission established the EQR reporting requirements to help ensure the collection of information needed to perform its regulatory functions over transmission and sales, while making data more useful to the public and allowing public utilities to better fulfill their responsibility under </w:t>
      </w:r>
      <w:bookmarkStart w:name="_Hlk83028220" w:id="3"/>
      <w:r w:rsidRPr="005B58F4" w:rsidR="005B58F4">
        <w:t>F</w:t>
      </w:r>
      <w:r w:rsidR="002D3818">
        <w:t>ederal Power Act (FP</w:t>
      </w:r>
      <w:r w:rsidRPr="005B58F4" w:rsidR="005B58F4">
        <w:t>A</w:t>
      </w:r>
      <w:r w:rsidR="002D3818">
        <w:t>)</w:t>
      </w:r>
      <w:r w:rsidRPr="005B58F4" w:rsidR="005B58F4">
        <w:t xml:space="preserve"> section 205(c)</w:t>
      </w:r>
      <w:bookmarkEnd w:id="3"/>
      <w:r w:rsidR="00417373">
        <w:rPr>
          <w:rStyle w:val="FootnoteReference"/>
        </w:rPr>
        <w:footnoteReference w:id="4"/>
      </w:r>
      <w:r w:rsidRPr="005B58F4" w:rsidR="005B58F4">
        <w:t xml:space="preserve"> to have rates on file in a convenient form and place.  As noted in Order No. 2001, the EQR data is designed to “provide greater price transparency, promote competition, enhance confidence in the fairness of the markets, and provide a better means to detect and discourage discriminatory practices.” </w:t>
      </w:r>
    </w:p>
    <w:p w:rsidRPr="005B58F4" w:rsidR="005B58F4" w:rsidP="0019791F" w:rsidRDefault="005B58F4" w14:paraId="68F867F3" w14:textId="0DF250A7">
      <w:pPr>
        <w:spacing w:line="480" w:lineRule="auto"/>
        <w:ind w:firstLine="720"/>
      </w:pPr>
      <w:r w:rsidRPr="005B58F4">
        <w:lastRenderedPageBreak/>
        <w:t>Since issuing Order No. 2001, the Commission has provided guidance and refined the reporting requirements, as necessary, to reflect changes in the Commission’s rules and regulations.</w:t>
      </w:r>
      <w:r w:rsidRPr="002D3818" w:rsidR="00F671A2">
        <w:rPr>
          <w:b/>
          <w:bCs/>
          <w:vertAlign w:val="superscript"/>
        </w:rPr>
        <w:footnoteReference w:id="5"/>
      </w:r>
      <w:r w:rsidRPr="002D3818">
        <w:rPr>
          <w:b/>
          <w:bCs/>
        </w:rPr>
        <w:t xml:space="preserve"> </w:t>
      </w:r>
      <w:r w:rsidRPr="005B58F4">
        <w:t xml:space="preserve"> </w:t>
      </w:r>
      <w:r w:rsidR="00F671A2">
        <w:t xml:space="preserve">The Commission also </w:t>
      </w:r>
      <w:r w:rsidRPr="005B58F4">
        <w:t>adopted an Electric Quarterly Report Data Dictionary, which provides in one document the definitions of certain terms and values used in filing EQR data.</w:t>
      </w:r>
      <w:r w:rsidR="00F671A2">
        <w:rPr>
          <w:rStyle w:val="FootnoteReference"/>
        </w:rPr>
        <w:footnoteReference w:id="6"/>
      </w:r>
      <w:r w:rsidRPr="005B58F4">
        <w:t xml:space="preserve">  </w:t>
      </w:r>
    </w:p>
    <w:p w:rsidR="005B58F4" w:rsidP="0019791F" w:rsidRDefault="00D46AC5" w14:paraId="6CEFA2BC" w14:textId="0EB367DC">
      <w:pPr>
        <w:spacing w:line="480" w:lineRule="auto"/>
        <w:ind w:firstLine="720"/>
      </w:pPr>
      <w:r>
        <w:t xml:space="preserve">To increase transparency broadly across all wholesale markets subject to the Commission’s jurisdiction, </w:t>
      </w:r>
      <w:r w:rsidR="00652CB9">
        <w:t>the Commission issued Order No. 768</w:t>
      </w:r>
      <w:r>
        <w:t xml:space="preserve"> in 2012.</w:t>
      </w:r>
      <w:r>
        <w:rPr>
          <w:rStyle w:val="FootnoteReference"/>
        </w:rPr>
        <w:footnoteReference w:id="7"/>
      </w:r>
      <w:r>
        <w:t xml:space="preserve">  Order No. 768</w:t>
      </w:r>
      <w:r w:rsidR="00652CB9">
        <w:t xml:space="preserve"> required market participants that are excluded from the Commission’s jurisdiction </w:t>
      </w:r>
      <w:r w:rsidR="002762DE">
        <w:t>under the</w:t>
      </w:r>
      <w:r>
        <w:t xml:space="preserve"> </w:t>
      </w:r>
      <w:r w:rsidR="00CA7574">
        <w:t>FPA</w:t>
      </w:r>
      <w:r>
        <w:t xml:space="preserve"> section 205 (</w:t>
      </w:r>
      <w:r w:rsidR="002762DE">
        <w:t xml:space="preserve">non-public utilities) and have more than a </w:t>
      </w:r>
      <w:r w:rsidRPr="00352333" w:rsidR="002762DE">
        <w:rPr>
          <w:i/>
        </w:rPr>
        <w:t>de minimis</w:t>
      </w:r>
      <w:r w:rsidR="002762DE">
        <w:t xml:space="preserve"> market presence to file EQRs with the Commission.  In addition, Order No. 768 revised the EQR filing requirements</w:t>
      </w:r>
      <w:r>
        <w:t xml:space="preserve"> to</w:t>
      </w:r>
      <w:r w:rsidR="002762DE">
        <w:t xml:space="preserve"> </w:t>
      </w:r>
      <w:r w:rsidR="000322A9">
        <w:t>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w:t>
      </w:r>
      <w:r w:rsidR="00652CB9">
        <w:t xml:space="preserve">  </w:t>
      </w:r>
    </w:p>
    <w:p w:rsidRPr="005554A9" w:rsidR="005B58F4" w:rsidP="003C5B35" w:rsidRDefault="005B58F4" w14:paraId="5C57E2B8" w14:textId="69B72BDB">
      <w:pPr>
        <w:spacing w:line="480" w:lineRule="auto"/>
        <w:ind w:firstLine="720"/>
      </w:pPr>
      <w:r w:rsidRPr="005B58F4">
        <w:t>EQR information allows the public to assess supply and demand fundamentals and to price interstate wholesale market transactions.  This</w:t>
      </w:r>
      <w:r w:rsidR="00EF4F2A">
        <w:t>,</w:t>
      </w:r>
      <w:r w:rsidRPr="005B58F4">
        <w:t xml:space="preserve"> in turn</w:t>
      </w:r>
      <w:r w:rsidR="00EF4F2A">
        <w:t>,</w:t>
      </w:r>
      <w:r w:rsidRPr="005B58F4">
        <w:t xml:space="preserve"> results in greater market confidence, lower transaction costs, and ultimately supports competitive markets.  In </w:t>
      </w:r>
      <w:r w:rsidRPr="005B58F4">
        <w:lastRenderedPageBreak/>
        <w:t xml:space="preserve">addition, the data filed in the EQR strengthens the Commission’s ability to exercise its wholesale electric rate and electric power transmission oversight and enforcement responsibilities in accordance with the Federal Power Act. Without this information, the Commission would lack some of the data it needs to </w:t>
      </w:r>
      <w:r w:rsidR="0031589B">
        <w:t>support its regulatory function over transmission and sales</w:t>
      </w:r>
      <w:r w:rsidRPr="005B58F4">
        <w:t xml:space="preserve">.  </w:t>
      </w:r>
    </w:p>
    <w:p w:rsidRPr="0098180D" w:rsidR="00871390" w:rsidP="00871390" w:rsidRDefault="00871390" w14:paraId="5106E843" w14:textId="1275A1E3">
      <w:pPr>
        <w:spacing w:line="480" w:lineRule="auto"/>
      </w:pPr>
      <w:r>
        <w:rPr>
          <w:i/>
        </w:rPr>
        <w:t xml:space="preserve">Type of Respondent: </w:t>
      </w:r>
      <w:r w:rsidR="00CB5045">
        <w:t xml:space="preserve">Public </w:t>
      </w:r>
      <w:r w:rsidR="009743F4">
        <w:t xml:space="preserve">utilities, </w:t>
      </w:r>
      <w:r w:rsidR="00CB5045">
        <w:t xml:space="preserve">and non-public utilities with more than a </w:t>
      </w:r>
      <w:r w:rsidR="00CB5045">
        <w:rPr>
          <w:i/>
        </w:rPr>
        <w:t>de minim</w:t>
      </w:r>
      <w:r w:rsidR="00F65DD1">
        <w:rPr>
          <w:i/>
        </w:rPr>
        <w:t>i</w:t>
      </w:r>
      <w:r w:rsidR="00CB5045">
        <w:rPr>
          <w:i/>
        </w:rPr>
        <w:t>s</w:t>
      </w:r>
      <w:r w:rsidR="00CB5045">
        <w:t xml:space="preserve"> market presence.</w:t>
      </w:r>
    </w:p>
    <w:p w:rsidR="00D53545" w:rsidP="00ED7AAA" w:rsidRDefault="00871390" w14:paraId="618BED95" w14:textId="68DB6C85">
      <w:pPr>
        <w:spacing w:line="480" w:lineRule="auto"/>
      </w:pPr>
      <w:r>
        <w:rPr>
          <w:i/>
        </w:rPr>
        <w:t>Estimate of Annual Burden</w:t>
      </w:r>
      <w:r w:rsidR="001244E0">
        <w:rPr>
          <w:i/>
        </w:rPr>
        <w:t xml:space="preserve"> and Cost</w:t>
      </w:r>
      <w:r w:rsidR="001244E0">
        <w:rPr>
          <w:rStyle w:val="FootnoteReference"/>
          <w:i/>
        </w:rPr>
        <w:footnoteReference w:id="8"/>
      </w:r>
      <w:r>
        <w:rPr>
          <w:i/>
        </w:rPr>
        <w:t xml:space="preserve">: </w:t>
      </w:r>
      <w:r>
        <w:t>The Commission estimates the annual public reporting burden</w:t>
      </w:r>
      <w:r w:rsidR="007050F2">
        <w:rPr>
          <w:rStyle w:val="FootnoteReference"/>
        </w:rPr>
        <w:footnoteReference w:id="9"/>
      </w:r>
      <w:r>
        <w:t xml:space="preserve"> for the information collection as:</w:t>
      </w:r>
    </w:p>
    <w:tbl>
      <w:tblPr>
        <w:tblW w:w="9660" w:type="dxa"/>
        <w:tblLook w:val="04A0" w:firstRow="1" w:lastRow="0" w:firstColumn="1" w:lastColumn="0" w:noHBand="0" w:noVBand="1"/>
      </w:tblPr>
      <w:tblGrid>
        <w:gridCol w:w="1416"/>
        <w:gridCol w:w="1378"/>
        <w:gridCol w:w="1375"/>
        <w:gridCol w:w="1372"/>
        <w:gridCol w:w="1369"/>
        <w:gridCol w:w="1375"/>
        <w:gridCol w:w="1375"/>
      </w:tblGrid>
      <w:tr w:rsidRPr="00EB788E" w:rsidR="006F3D6F" w:rsidTr="001B095E" w14:paraId="572E364E" w14:textId="77777777">
        <w:trPr>
          <w:trHeight w:val="300"/>
        </w:trPr>
        <w:tc>
          <w:tcPr>
            <w:tcW w:w="9660" w:type="dxa"/>
            <w:gridSpan w:val="7"/>
            <w:tcBorders>
              <w:top w:val="single" w:color="auto" w:sz="8" w:space="0"/>
              <w:left w:val="single" w:color="auto" w:sz="8" w:space="0"/>
              <w:bottom w:val="single" w:color="auto" w:sz="8" w:space="0"/>
              <w:right w:val="single" w:color="auto" w:sz="8" w:space="0"/>
            </w:tcBorders>
            <w:shd w:val="clear" w:color="000000" w:fill="D9D9D9"/>
            <w:vAlign w:val="center"/>
            <w:hideMark/>
          </w:tcPr>
          <w:p w:rsidRPr="00EB788E" w:rsidR="006F3D6F" w:rsidP="00EB788E" w:rsidRDefault="006F3D6F" w14:paraId="6692A3A1" w14:textId="77777777">
            <w:pPr>
              <w:jc w:val="center"/>
              <w:rPr>
                <w:b/>
                <w:bCs/>
                <w:color w:val="000000"/>
                <w:sz w:val="20"/>
                <w:szCs w:val="20"/>
              </w:rPr>
            </w:pPr>
            <w:bookmarkStart w:name="OLE_LINK2" w:id="4"/>
            <w:bookmarkEnd w:id="4"/>
            <w:r w:rsidRPr="00EB788E">
              <w:rPr>
                <w:b/>
                <w:bCs/>
                <w:color w:val="000000"/>
                <w:sz w:val="20"/>
                <w:szCs w:val="20"/>
              </w:rPr>
              <w:t>FERC-920: Electric Quarterly Report (EQR)</w:t>
            </w:r>
          </w:p>
          <w:p w:rsidRPr="00EB788E" w:rsidR="006F3D6F" w:rsidP="00EB788E" w:rsidRDefault="006F3D6F" w14:paraId="676635E3" w14:textId="51FDA561">
            <w:pPr>
              <w:jc w:val="center"/>
              <w:rPr>
                <w:b/>
                <w:bCs/>
                <w:color w:val="000000"/>
                <w:sz w:val="20"/>
                <w:szCs w:val="20"/>
              </w:rPr>
            </w:pPr>
          </w:p>
        </w:tc>
      </w:tr>
      <w:tr w:rsidRPr="00EB788E" w:rsidR="00EB788E" w:rsidTr="00B85F39" w14:paraId="41E8FFFC" w14:textId="77777777">
        <w:trPr>
          <w:trHeight w:val="1320"/>
        </w:trPr>
        <w:tc>
          <w:tcPr>
            <w:tcW w:w="1416" w:type="dxa"/>
            <w:vMerge w:val="restart"/>
            <w:tcBorders>
              <w:top w:val="nil"/>
              <w:left w:val="single" w:color="auto" w:sz="8" w:space="0"/>
              <w:bottom w:val="single" w:color="000000" w:sz="8" w:space="0"/>
              <w:right w:val="single" w:color="auto" w:sz="8" w:space="0"/>
            </w:tcBorders>
            <w:shd w:val="clear" w:color="000000" w:fill="D9D9D9"/>
            <w:vAlign w:val="center"/>
            <w:hideMark/>
          </w:tcPr>
          <w:p w:rsidRPr="00EB788E" w:rsidR="00EB788E" w:rsidP="00EB788E" w:rsidRDefault="00EB788E" w14:paraId="22E63D4F" w14:textId="77777777">
            <w:pPr>
              <w:jc w:val="center"/>
              <w:rPr>
                <w:b/>
                <w:bCs/>
                <w:color w:val="000000"/>
                <w:sz w:val="20"/>
                <w:szCs w:val="20"/>
              </w:rPr>
            </w:pPr>
            <w:r w:rsidRPr="00EB788E">
              <w:rPr>
                <w:b/>
                <w:bCs/>
                <w:color w:val="000000"/>
                <w:sz w:val="20"/>
                <w:szCs w:val="20"/>
              </w:rPr>
              <w:t>Requirements</w:t>
            </w:r>
          </w:p>
        </w:tc>
        <w:tc>
          <w:tcPr>
            <w:tcW w:w="1378" w:type="dxa"/>
            <w:tcBorders>
              <w:top w:val="nil"/>
              <w:left w:val="nil"/>
              <w:bottom w:val="nil"/>
              <w:right w:val="single" w:color="auto" w:sz="8" w:space="0"/>
            </w:tcBorders>
            <w:shd w:val="clear" w:color="000000" w:fill="D9D9D9"/>
            <w:vAlign w:val="center"/>
            <w:hideMark/>
          </w:tcPr>
          <w:p w:rsidRPr="00EB788E" w:rsidR="00EB788E" w:rsidP="00EB788E" w:rsidRDefault="00EB788E" w14:paraId="75CAB38C" w14:textId="77777777">
            <w:pPr>
              <w:jc w:val="center"/>
              <w:rPr>
                <w:b/>
                <w:bCs/>
                <w:color w:val="000000"/>
                <w:sz w:val="20"/>
                <w:szCs w:val="20"/>
              </w:rPr>
            </w:pPr>
            <w:r w:rsidRPr="00EB788E">
              <w:rPr>
                <w:b/>
                <w:bCs/>
                <w:color w:val="000000"/>
                <w:sz w:val="20"/>
                <w:szCs w:val="20"/>
              </w:rPr>
              <w:t>Number of Respondents</w:t>
            </w:r>
          </w:p>
        </w:tc>
        <w:tc>
          <w:tcPr>
            <w:tcW w:w="1375" w:type="dxa"/>
            <w:tcBorders>
              <w:top w:val="nil"/>
              <w:left w:val="nil"/>
              <w:bottom w:val="nil"/>
              <w:right w:val="single" w:color="auto" w:sz="8" w:space="0"/>
            </w:tcBorders>
            <w:shd w:val="clear" w:color="000000" w:fill="D9D9D9"/>
            <w:vAlign w:val="center"/>
            <w:hideMark/>
          </w:tcPr>
          <w:p w:rsidRPr="00EB788E" w:rsidR="00EB788E" w:rsidP="00EB788E" w:rsidRDefault="00EB788E" w14:paraId="7C56F65F" w14:textId="77777777">
            <w:pPr>
              <w:jc w:val="center"/>
              <w:rPr>
                <w:b/>
                <w:bCs/>
                <w:color w:val="000000"/>
                <w:sz w:val="20"/>
                <w:szCs w:val="20"/>
              </w:rPr>
            </w:pPr>
            <w:r w:rsidRPr="00EB788E">
              <w:rPr>
                <w:b/>
                <w:bCs/>
                <w:color w:val="000000"/>
                <w:sz w:val="20"/>
                <w:szCs w:val="20"/>
              </w:rPr>
              <w:t>Average Annual Number of Responses per Respondent</w:t>
            </w:r>
          </w:p>
        </w:tc>
        <w:tc>
          <w:tcPr>
            <w:tcW w:w="1372" w:type="dxa"/>
            <w:tcBorders>
              <w:top w:val="nil"/>
              <w:left w:val="nil"/>
              <w:bottom w:val="nil"/>
              <w:right w:val="single" w:color="auto" w:sz="8" w:space="0"/>
            </w:tcBorders>
            <w:shd w:val="clear" w:color="000000" w:fill="D9D9D9"/>
            <w:vAlign w:val="center"/>
            <w:hideMark/>
          </w:tcPr>
          <w:p w:rsidRPr="00EB788E" w:rsidR="00EB788E" w:rsidP="00EB788E" w:rsidRDefault="00EB788E" w14:paraId="2F3685BC" w14:textId="77777777">
            <w:pPr>
              <w:jc w:val="center"/>
              <w:rPr>
                <w:b/>
                <w:bCs/>
                <w:color w:val="000000"/>
                <w:sz w:val="20"/>
                <w:szCs w:val="20"/>
              </w:rPr>
            </w:pPr>
            <w:r w:rsidRPr="00EB788E">
              <w:rPr>
                <w:b/>
                <w:bCs/>
                <w:color w:val="000000"/>
                <w:sz w:val="20"/>
                <w:szCs w:val="20"/>
              </w:rPr>
              <w:t>Total Number of Responses</w:t>
            </w:r>
          </w:p>
        </w:tc>
        <w:tc>
          <w:tcPr>
            <w:tcW w:w="1369" w:type="dxa"/>
            <w:tcBorders>
              <w:top w:val="nil"/>
              <w:left w:val="nil"/>
              <w:bottom w:val="nil"/>
              <w:right w:val="single" w:color="auto" w:sz="8" w:space="0"/>
            </w:tcBorders>
            <w:shd w:val="clear" w:color="000000" w:fill="D9D9D9"/>
            <w:vAlign w:val="center"/>
            <w:hideMark/>
          </w:tcPr>
          <w:p w:rsidRPr="00EB788E" w:rsidR="00EB788E" w:rsidP="00EB788E" w:rsidRDefault="00EB788E" w14:paraId="59B55470" w14:textId="11387004">
            <w:pPr>
              <w:jc w:val="center"/>
              <w:rPr>
                <w:b/>
                <w:bCs/>
                <w:color w:val="000000"/>
                <w:sz w:val="20"/>
                <w:szCs w:val="20"/>
              </w:rPr>
            </w:pPr>
            <w:r w:rsidRPr="00EB788E">
              <w:rPr>
                <w:b/>
                <w:bCs/>
                <w:color w:val="000000"/>
                <w:sz w:val="20"/>
                <w:szCs w:val="20"/>
              </w:rPr>
              <w:t xml:space="preserve">Average Annual Burden Hrs. &amp; Cost </w:t>
            </w:r>
            <w:r w:rsidR="006F3D6F">
              <w:rPr>
                <w:b/>
                <w:bCs/>
                <w:color w:val="000000"/>
                <w:sz w:val="20"/>
                <w:szCs w:val="20"/>
              </w:rPr>
              <w:t xml:space="preserve">($) </w:t>
            </w:r>
            <w:r w:rsidRPr="00EB788E">
              <w:rPr>
                <w:b/>
                <w:bCs/>
                <w:color w:val="000000"/>
                <w:sz w:val="20"/>
                <w:szCs w:val="20"/>
              </w:rPr>
              <w:t>Per Response</w:t>
            </w:r>
            <w:r w:rsidR="00B629F0">
              <w:rPr>
                <w:b/>
                <w:bCs/>
                <w:color w:val="000000"/>
                <w:sz w:val="20"/>
                <w:szCs w:val="20"/>
              </w:rPr>
              <w:t xml:space="preserve"> (rounded)</w:t>
            </w:r>
          </w:p>
        </w:tc>
        <w:tc>
          <w:tcPr>
            <w:tcW w:w="1375" w:type="dxa"/>
            <w:tcBorders>
              <w:top w:val="nil"/>
              <w:left w:val="nil"/>
              <w:bottom w:val="nil"/>
              <w:right w:val="single" w:color="auto" w:sz="8" w:space="0"/>
            </w:tcBorders>
            <w:shd w:val="clear" w:color="000000" w:fill="D9D9D9"/>
            <w:vAlign w:val="center"/>
            <w:hideMark/>
          </w:tcPr>
          <w:p w:rsidR="00B629F0" w:rsidP="00EB788E" w:rsidRDefault="00EB788E" w14:paraId="2769F25A" w14:textId="77777777">
            <w:pPr>
              <w:jc w:val="center"/>
              <w:rPr>
                <w:b/>
                <w:bCs/>
                <w:color w:val="000000"/>
                <w:sz w:val="20"/>
                <w:szCs w:val="20"/>
              </w:rPr>
            </w:pPr>
            <w:r w:rsidRPr="00EB788E">
              <w:rPr>
                <w:b/>
                <w:bCs/>
                <w:color w:val="000000"/>
                <w:sz w:val="20"/>
                <w:szCs w:val="20"/>
              </w:rPr>
              <w:t>Total Average Annual Burden Hours &amp; Total Annual Cost</w:t>
            </w:r>
            <w:r w:rsidR="006F3D6F">
              <w:rPr>
                <w:b/>
                <w:bCs/>
                <w:color w:val="000000"/>
                <w:sz w:val="20"/>
                <w:szCs w:val="20"/>
              </w:rPr>
              <w:t xml:space="preserve"> ($)</w:t>
            </w:r>
          </w:p>
          <w:p w:rsidRPr="00EB788E" w:rsidR="00EB788E" w:rsidP="00EB788E" w:rsidRDefault="00B629F0" w14:paraId="1C75300B" w14:textId="58B13235">
            <w:pPr>
              <w:jc w:val="center"/>
              <w:rPr>
                <w:b/>
                <w:bCs/>
                <w:color w:val="000000"/>
                <w:sz w:val="20"/>
                <w:szCs w:val="20"/>
              </w:rPr>
            </w:pPr>
            <w:r>
              <w:rPr>
                <w:b/>
                <w:bCs/>
                <w:color w:val="000000"/>
                <w:sz w:val="20"/>
                <w:szCs w:val="20"/>
              </w:rPr>
              <w:t>(rounded)</w:t>
            </w:r>
          </w:p>
        </w:tc>
        <w:tc>
          <w:tcPr>
            <w:tcW w:w="1375" w:type="dxa"/>
            <w:tcBorders>
              <w:top w:val="nil"/>
              <w:left w:val="nil"/>
              <w:bottom w:val="nil"/>
              <w:right w:val="single" w:color="auto" w:sz="8" w:space="0"/>
            </w:tcBorders>
            <w:shd w:val="clear" w:color="000000" w:fill="D9D9D9"/>
            <w:vAlign w:val="center"/>
            <w:hideMark/>
          </w:tcPr>
          <w:p w:rsidR="00B629F0" w:rsidP="00EB788E" w:rsidRDefault="00EB788E" w14:paraId="38AD28D3" w14:textId="77777777">
            <w:pPr>
              <w:jc w:val="center"/>
              <w:rPr>
                <w:b/>
                <w:bCs/>
                <w:color w:val="000000"/>
                <w:sz w:val="20"/>
                <w:szCs w:val="20"/>
              </w:rPr>
            </w:pPr>
            <w:r w:rsidRPr="00EB788E">
              <w:rPr>
                <w:b/>
                <w:bCs/>
                <w:color w:val="000000"/>
                <w:sz w:val="20"/>
                <w:szCs w:val="20"/>
              </w:rPr>
              <w:t>Cost per Respondent ($)</w:t>
            </w:r>
            <w:r w:rsidR="00B629F0">
              <w:rPr>
                <w:b/>
                <w:bCs/>
                <w:color w:val="000000"/>
                <w:sz w:val="20"/>
                <w:szCs w:val="20"/>
              </w:rPr>
              <w:t xml:space="preserve"> </w:t>
            </w:r>
          </w:p>
          <w:p w:rsidRPr="00EB788E" w:rsidR="00EB788E" w:rsidP="00EB788E" w:rsidRDefault="00B629F0" w14:paraId="56C0EA4A" w14:textId="1BD44022">
            <w:pPr>
              <w:jc w:val="center"/>
              <w:rPr>
                <w:b/>
                <w:bCs/>
                <w:color w:val="000000"/>
                <w:sz w:val="20"/>
                <w:szCs w:val="20"/>
              </w:rPr>
            </w:pPr>
            <w:r>
              <w:rPr>
                <w:b/>
                <w:bCs/>
                <w:color w:val="000000"/>
                <w:sz w:val="20"/>
                <w:szCs w:val="20"/>
              </w:rPr>
              <w:t>(rounded)</w:t>
            </w:r>
          </w:p>
        </w:tc>
      </w:tr>
      <w:tr w:rsidRPr="00EB788E" w:rsidR="00EB788E" w:rsidTr="00B85F39" w14:paraId="0FE924BC" w14:textId="77777777">
        <w:trPr>
          <w:trHeight w:val="300"/>
        </w:trPr>
        <w:tc>
          <w:tcPr>
            <w:tcW w:w="1416" w:type="dxa"/>
            <w:vMerge/>
            <w:tcBorders>
              <w:top w:val="nil"/>
              <w:left w:val="single" w:color="auto" w:sz="8" w:space="0"/>
              <w:bottom w:val="single" w:color="000000" w:sz="8" w:space="0"/>
              <w:right w:val="single" w:color="auto" w:sz="8" w:space="0"/>
            </w:tcBorders>
            <w:vAlign w:val="center"/>
            <w:hideMark/>
          </w:tcPr>
          <w:p w:rsidRPr="00EB788E" w:rsidR="00EB788E" w:rsidP="00EB788E" w:rsidRDefault="00EB788E" w14:paraId="22B13DFE" w14:textId="77777777">
            <w:pPr>
              <w:rPr>
                <w:b/>
                <w:bCs/>
                <w:color w:val="000000"/>
                <w:sz w:val="20"/>
                <w:szCs w:val="20"/>
              </w:rPr>
            </w:pPr>
          </w:p>
        </w:tc>
        <w:tc>
          <w:tcPr>
            <w:tcW w:w="1378" w:type="dxa"/>
            <w:tcBorders>
              <w:top w:val="nil"/>
              <w:left w:val="nil"/>
              <w:bottom w:val="single" w:color="auto" w:sz="8" w:space="0"/>
              <w:right w:val="single" w:color="auto" w:sz="8" w:space="0"/>
            </w:tcBorders>
            <w:shd w:val="clear" w:color="000000" w:fill="D9D9D9"/>
            <w:vAlign w:val="center"/>
            <w:hideMark/>
          </w:tcPr>
          <w:p w:rsidRPr="00EB788E" w:rsidR="00EB788E" w:rsidP="00EB788E" w:rsidRDefault="00EB788E" w14:paraId="04A3EBC7" w14:textId="77777777">
            <w:pPr>
              <w:jc w:val="center"/>
              <w:rPr>
                <w:b/>
                <w:bCs/>
                <w:color w:val="000000"/>
                <w:sz w:val="20"/>
                <w:szCs w:val="20"/>
              </w:rPr>
            </w:pPr>
            <w:r w:rsidRPr="00EB788E">
              <w:rPr>
                <w:b/>
                <w:bCs/>
                <w:color w:val="000000"/>
                <w:sz w:val="20"/>
                <w:szCs w:val="20"/>
              </w:rPr>
              <w:t>1</w:t>
            </w:r>
          </w:p>
        </w:tc>
        <w:tc>
          <w:tcPr>
            <w:tcW w:w="1375" w:type="dxa"/>
            <w:tcBorders>
              <w:top w:val="nil"/>
              <w:left w:val="nil"/>
              <w:bottom w:val="single" w:color="auto" w:sz="8" w:space="0"/>
              <w:right w:val="single" w:color="auto" w:sz="8" w:space="0"/>
            </w:tcBorders>
            <w:shd w:val="clear" w:color="000000" w:fill="D9D9D9"/>
            <w:vAlign w:val="center"/>
            <w:hideMark/>
          </w:tcPr>
          <w:p w:rsidRPr="00EB788E" w:rsidR="00EB788E" w:rsidP="00EB788E" w:rsidRDefault="00EB788E" w14:paraId="1F98F51B" w14:textId="77777777">
            <w:pPr>
              <w:jc w:val="center"/>
              <w:rPr>
                <w:b/>
                <w:bCs/>
                <w:color w:val="000000"/>
                <w:sz w:val="20"/>
                <w:szCs w:val="20"/>
              </w:rPr>
            </w:pPr>
            <w:r w:rsidRPr="00EB788E">
              <w:rPr>
                <w:b/>
                <w:bCs/>
                <w:color w:val="000000"/>
                <w:sz w:val="20"/>
                <w:szCs w:val="20"/>
              </w:rPr>
              <w:t>2</w:t>
            </w:r>
          </w:p>
        </w:tc>
        <w:tc>
          <w:tcPr>
            <w:tcW w:w="1372" w:type="dxa"/>
            <w:tcBorders>
              <w:top w:val="nil"/>
              <w:left w:val="nil"/>
              <w:bottom w:val="single" w:color="auto" w:sz="8" w:space="0"/>
              <w:right w:val="single" w:color="auto" w:sz="8" w:space="0"/>
            </w:tcBorders>
            <w:shd w:val="clear" w:color="000000" w:fill="D9D9D9"/>
            <w:vAlign w:val="center"/>
            <w:hideMark/>
          </w:tcPr>
          <w:p w:rsidRPr="00EB788E" w:rsidR="00EB788E" w:rsidP="00EB788E" w:rsidRDefault="00EB788E" w14:paraId="49FFCF0C" w14:textId="77777777">
            <w:pPr>
              <w:jc w:val="center"/>
              <w:rPr>
                <w:b/>
                <w:bCs/>
                <w:color w:val="000000"/>
                <w:sz w:val="20"/>
                <w:szCs w:val="20"/>
              </w:rPr>
            </w:pPr>
            <w:r w:rsidRPr="00EB788E">
              <w:rPr>
                <w:b/>
                <w:bCs/>
                <w:color w:val="000000"/>
                <w:sz w:val="20"/>
                <w:szCs w:val="20"/>
              </w:rPr>
              <w:t>(1)*(2)=(3)</w:t>
            </w:r>
          </w:p>
        </w:tc>
        <w:tc>
          <w:tcPr>
            <w:tcW w:w="1369" w:type="dxa"/>
            <w:tcBorders>
              <w:top w:val="nil"/>
              <w:left w:val="nil"/>
              <w:bottom w:val="single" w:color="auto" w:sz="8" w:space="0"/>
              <w:right w:val="single" w:color="auto" w:sz="8" w:space="0"/>
            </w:tcBorders>
            <w:shd w:val="clear" w:color="000000" w:fill="D9D9D9"/>
            <w:vAlign w:val="center"/>
            <w:hideMark/>
          </w:tcPr>
          <w:p w:rsidRPr="00EB788E" w:rsidR="00EB788E" w:rsidP="00EB788E" w:rsidRDefault="00EB788E" w14:paraId="75B6C8B6" w14:textId="77777777">
            <w:pPr>
              <w:jc w:val="center"/>
              <w:rPr>
                <w:b/>
                <w:bCs/>
                <w:color w:val="000000"/>
                <w:sz w:val="20"/>
                <w:szCs w:val="20"/>
              </w:rPr>
            </w:pPr>
            <w:r w:rsidRPr="00EB788E">
              <w:rPr>
                <w:b/>
                <w:bCs/>
                <w:color w:val="000000"/>
                <w:sz w:val="20"/>
                <w:szCs w:val="20"/>
              </w:rPr>
              <w:t>4</w:t>
            </w:r>
          </w:p>
        </w:tc>
        <w:tc>
          <w:tcPr>
            <w:tcW w:w="1375" w:type="dxa"/>
            <w:tcBorders>
              <w:top w:val="nil"/>
              <w:left w:val="nil"/>
              <w:bottom w:val="single" w:color="auto" w:sz="8" w:space="0"/>
              <w:right w:val="single" w:color="auto" w:sz="8" w:space="0"/>
            </w:tcBorders>
            <w:shd w:val="clear" w:color="000000" w:fill="D9D9D9"/>
            <w:vAlign w:val="center"/>
            <w:hideMark/>
          </w:tcPr>
          <w:p w:rsidRPr="00EB788E" w:rsidR="00EB788E" w:rsidP="00EB788E" w:rsidRDefault="00EB788E" w14:paraId="003EE7A8" w14:textId="77777777">
            <w:pPr>
              <w:jc w:val="center"/>
              <w:rPr>
                <w:b/>
                <w:bCs/>
                <w:color w:val="000000"/>
                <w:sz w:val="20"/>
                <w:szCs w:val="20"/>
              </w:rPr>
            </w:pPr>
            <w:r w:rsidRPr="00EB788E">
              <w:rPr>
                <w:b/>
                <w:bCs/>
                <w:color w:val="000000"/>
                <w:sz w:val="20"/>
                <w:szCs w:val="20"/>
              </w:rPr>
              <w:t>(3)*(4)=(5)</w:t>
            </w:r>
          </w:p>
        </w:tc>
        <w:tc>
          <w:tcPr>
            <w:tcW w:w="1375" w:type="dxa"/>
            <w:tcBorders>
              <w:top w:val="nil"/>
              <w:left w:val="nil"/>
              <w:bottom w:val="single" w:color="auto" w:sz="8" w:space="0"/>
              <w:right w:val="single" w:color="auto" w:sz="8" w:space="0"/>
            </w:tcBorders>
            <w:shd w:val="clear" w:color="000000" w:fill="D9D9D9"/>
            <w:vAlign w:val="center"/>
            <w:hideMark/>
          </w:tcPr>
          <w:p w:rsidRPr="00EB788E" w:rsidR="00EB788E" w:rsidP="00EB788E" w:rsidRDefault="00EB788E" w14:paraId="0849BD20" w14:textId="77777777">
            <w:pPr>
              <w:jc w:val="center"/>
              <w:rPr>
                <w:b/>
                <w:bCs/>
                <w:color w:val="000000"/>
                <w:sz w:val="20"/>
                <w:szCs w:val="20"/>
              </w:rPr>
            </w:pPr>
            <w:r w:rsidRPr="00EB788E">
              <w:rPr>
                <w:b/>
                <w:bCs/>
                <w:color w:val="000000"/>
                <w:sz w:val="20"/>
                <w:szCs w:val="20"/>
              </w:rPr>
              <w:t>(5)÷(1)</w:t>
            </w:r>
          </w:p>
        </w:tc>
      </w:tr>
      <w:tr w:rsidRPr="00EB788E" w:rsidR="00EB788E" w:rsidTr="00B85F39" w14:paraId="74DAB53A" w14:textId="77777777">
        <w:trPr>
          <w:trHeight w:val="288"/>
        </w:trPr>
        <w:tc>
          <w:tcPr>
            <w:tcW w:w="1416" w:type="dxa"/>
            <w:vMerge w:val="restart"/>
            <w:tcBorders>
              <w:top w:val="nil"/>
              <w:left w:val="single" w:color="auto" w:sz="8" w:space="0"/>
              <w:bottom w:val="single" w:color="000000" w:sz="8" w:space="0"/>
              <w:right w:val="single" w:color="auto" w:sz="8" w:space="0"/>
            </w:tcBorders>
            <w:shd w:val="clear" w:color="auto" w:fill="auto"/>
            <w:vAlign w:val="center"/>
            <w:hideMark/>
          </w:tcPr>
          <w:p w:rsidRPr="00EB788E" w:rsidR="00EB788E" w:rsidP="00EB788E" w:rsidRDefault="00EB788E" w14:paraId="7E32F34F" w14:textId="77777777">
            <w:pPr>
              <w:jc w:val="right"/>
              <w:rPr>
                <w:color w:val="000000"/>
                <w:sz w:val="20"/>
                <w:szCs w:val="20"/>
              </w:rPr>
            </w:pPr>
            <w:r w:rsidRPr="00EB788E">
              <w:rPr>
                <w:color w:val="000000"/>
                <w:sz w:val="20"/>
                <w:szCs w:val="20"/>
              </w:rPr>
              <w:t>Electric Quarterly Report</w:t>
            </w:r>
          </w:p>
        </w:tc>
        <w:tc>
          <w:tcPr>
            <w:tcW w:w="1378" w:type="dxa"/>
            <w:tcBorders>
              <w:top w:val="nil"/>
              <w:left w:val="nil"/>
              <w:bottom w:val="nil"/>
              <w:right w:val="single" w:color="auto" w:sz="8" w:space="0"/>
            </w:tcBorders>
            <w:shd w:val="clear" w:color="auto" w:fill="auto"/>
            <w:vAlign w:val="center"/>
            <w:hideMark/>
          </w:tcPr>
          <w:p w:rsidRPr="00EB788E" w:rsidR="00EB788E" w:rsidP="00B629F0" w:rsidRDefault="00EB788E" w14:paraId="03AD2968" w14:textId="77777777">
            <w:pPr>
              <w:jc w:val="right"/>
              <w:rPr>
                <w:color w:val="000000"/>
                <w:sz w:val="20"/>
                <w:szCs w:val="20"/>
              </w:rPr>
            </w:pPr>
            <w:r w:rsidRPr="00EB788E">
              <w:rPr>
                <w:color w:val="000000"/>
                <w:sz w:val="20"/>
                <w:szCs w:val="20"/>
              </w:rPr>
              <w:t> </w:t>
            </w:r>
          </w:p>
        </w:tc>
        <w:tc>
          <w:tcPr>
            <w:tcW w:w="1375" w:type="dxa"/>
            <w:tcBorders>
              <w:top w:val="nil"/>
              <w:left w:val="nil"/>
              <w:bottom w:val="nil"/>
              <w:right w:val="single" w:color="auto" w:sz="8" w:space="0"/>
            </w:tcBorders>
            <w:shd w:val="clear" w:color="auto" w:fill="auto"/>
            <w:vAlign w:val="center"/>
            <w:hideMark/>
          </w:tcPr>
          <w:p w:rsidRPr="00EB788E" w:rsidR="00EB788E" w:rsidP="00B629F0" w:rsidRDefault="00EB788E" w14:paraId="251A34DA" w14:textId="77777777">
            <w:pPr>
              <w:jc w:val="right"/>
              <w:rPr>
                <w:color w:val="000000"/>
                <w:sz w:val="20"/>
                <w:szCs w:val="20"/>
              </w:rPr>
            </w:pPr>
            <w:r w:rsidRPr="00EB788E">
              <w:rPr>
                <w:color w:val="000000"/>
                <w:sz w:val="20"/>
                <w:szCs w:val="20"/>
              </w:rPr>
              <w:t> </w:t>
            </w:r>
          </w:p>
        </w:tc>
        <w:tc>
          <w:tcPr>
            <w:tcW w:w="1372" w:type="dxa"/>
            <w:tcBorders>
              <w:top w:val="nil"/>
              <w:left w:val="nil"/>
              <w:bottom w:val="nil"/>
              <w:right w:val="single" w:color="auto" w:sz="8" w:space="0"/>
            </w:tcBorders>
            <w:shd w:val="clear" w:color="auto" w:fill="auto"/>
            <w:vAlign w:val="center"/>
            <w:hideMark/>
          </w:tcPr>
          <w:p w:rsidRPr="00EB788E" w:rsidR="00EB788E" w:rsidP="00B629F0" w:rsidRDefault="00EB788E" w14:paraId="796A6044" w14:textId="77777777">
            <w:pPr>
              <w:jc w:val="right"/>
              <w:rPr>
                <w:color w:val="000000"/>
                <w:sz w:val="20"/>
                <w:szCs w:val="20"/>
              </w:rPr>
            </w:pPr>
            <w:r w:rsidRPr="00EB788E">
              <w:rPr>
                <w:color w:val="000000"/>
                <w:sz w:val="20"/>
                <w:szCs w:val="20"/>
              </w:rPr>
              <w:t> </w:t>
            </w:r>
          </w:p>
        </w:tc>
        <w:tc>
          <w:tcPr>
            <w:tcW w:w="1369" w:type="dxa"/>
            <w:tcBorders>
              <w:top w:val="nil"/>
              <w:left w:val="nil"/>
              <w:bottom w:val="nil"/>
              <w:right w:val="single" w:color="auto" w:sz="8" w:space="0"/>
            </w:tcBorders>
            <w:shd w:val="clear" w:color="auto" w:fill="auto"/>
            <w:vAlign w:val="center"/>
            <w:hideMark/>
          </w:tcPr>
          <w:p w:rsidRPr="00EB788E" w:rsidR="00EB788E" w:rsidP="00B629F0" w:rsidRDefault="00EB788E" w14:paraId="00FBFF14" w14:textId="4C12339C">
            <w:pPr>
              <w:jc w:val="right"/>
              <w:rPr>
                <w:sz w:val="20"/>
                <w:szCs w:val="20"/>
              </w:rPr>
            </w:pPr>
            <w:r w:rsidRPr="00EB788E">
              <w:rPr>
                <w:sz w:val="20"/>
                <w:szCs w:val="20"/>
              </w:rPr>
              <w:t>18.1</w:t>
            </w:r>
            <w:r w:rsidR="00B629F0">
              <w:rPr>
                <w:sz w:val="20"/>
                <w:szCs w:val="20"/>
              </w:rPr>
              <w:t xml:space="preserve"> hrs.</w:t>
            </w:r>
          </w:p>
        </w:tc>
        <w:tc>
          <w:tcPr>
            <w:tcW w:w="1375" w:type="dxa"/>
            <w:tcBorders>
              <w:top w:val="nil"/>
              <w:left w:val="nil"/>
              <w:bottom w:val="nil"/>
              <w:right w:val="single" w:color="auto" w:sz="8" w:space="0"/>
            </w:tcBorders>
            <w:shd w:val="clear" w:color="auto" w:fill="auto"/>
            <w:vAlign w:val="center"/>
            <w:hideMark/>
          </w:tcPr>
          <w:p w:rsidRPr="00EB788E" w:rsidR="00EB788E" w:rsidP="00B629F0" w:rsidRDefault="00EB788E" w14:paraId="5E7544CE" w14:textId="2367085D">
            <w:pPr>
              <w:jc w:val="right"/>
              <w:rPr>
                <w:sz w:val="20"/>
                <w:szCs w:val="20"/>
              </w:rPr>
            </w:pPr>
            <w:r w:rsidRPr="00EB788E">
              <w:rPr>
                <w:sz w:val="20"/>
                <w:szCs w:val="20"/>
              </w:rPr>
              <w:t xml:space="preserve">           212,060</w:t>
            </w:r>
            <w:r w:rsidR="00B629F0">
              <w:rPr>
                <w:sz w:val="20"/>
                <w:szCs w:val="20"/>
              </w:rPr>
              <w:t xml:space="preserve"> hrs.</w:t>
            </w:r>
            <w:r w:rsidRPr="00EB788E">
              <w:rPr>
                <w:sz w:val="20"/>
                <w:szCs w:val="20"/>
              </w:rPr>
              <w:t xml:space="preserve"> </w:t>
            </w:r>
          </w:p>
        </w:tc>
        <w:tc>
          <w:tcPr>
            <w:tcW w:w="1375" w:type="dxa"/>
            <w:tcBorders>
              <w:top w:val="nil"/>
              <w:left w:val="nil"/>
              <w:bottom w:val="nil"/>
              <w:right w:val="single" w:color="auto" w:sz="8" w:space="0"/>
            </w:tcBorders>
            <w:shd w:val="clear" w:color="auto" w:fill="auto"/>
            <w:vAlign w:val="center"/>
            <w:hideMark/>
          </w:tcPr>
          <w:p w:rsidRPr="00EB788E" w:rsidR="00EB788E" w:rsidP="00B629F0" w:rsidRDefault="00EB788E" w14:paraId="53DD88EC" w14:textId="77777777">
            <w:pPr>
              <w:jc w:val="right"/>
              <w:rPr>
                <w:color w:val="000000"/>
                <w:sz w:val="20"/>
                <w:szCs w:val="20"/>
              </w:rPr>
            </w:pPr>
            <w:r w:rsidRPr="00EB788E">
              <w:rPr>
                <w:color w:val="000000"/>
                <w:sz w:val="20"/>
                <w:szCs w:val="20"/>
              </w:rPr>
              <w:t> </w:t>
            </w:r>
          </w:p>
        </w:tc>
      </w:tr>
      <w:tr w:rsidRPr="00EB788E" w:rsidR="00EB788E" w:rsidTr="00B85F39" w14:paraId="253C539A" w14:textId="77777777">
        <w:trPr>
          <w:trHeight w:val="288"/>
        </w:trPr>
        <w:tc>
          <w:tcPr>
            <w:tcW w:w="1416" w:type="dxa"/>
            <w:vMerge/>
            <w:tcBorders>
              <w:top w:val="nil"/>
              <w:left w:val="single" w:color="auto" w:sz="8" w:space="0"/>
              <w:bottom w:val="single" w:color="000000" w:sz="8" w:space="0"/>
              <w:right w:val="single" w:color="auto" w:sz="8" w:space="0"/>
            </w:tcBorders>
            <w:vAlign w:val="center"/>
            <w:hideMark/>
          </w:tcPr>
          <w:p w:rsidRPr="00EB788E" w:rsidR="00EB788E" w:rsidP="00EB788E" w:rsidRDefault="00EB788E" w14:paraId="056756B4" w14:textId="77777777">
            <w:pPr>
              <w:rPr>
                <w:color w:val="000000"/>
                <w:sz w:val="20"/>
                <w:szCs w:val="20"/>
              </w:rPr>
            </w:pPr>
          </w:p>
        </w:tc>
        <w:tc>
          <w:tcPr>
            <w:tcW w:w="1378" w:type="dxa"/>
            <w:tcBorders>
              <w:top w:val="nil"/>
              <w:left w:val="nil"/>
              <w:bottom w:val="nil"/>
              <w:right w:val="single" w:color="auto" w:sz="8" w:space="0"/>
            </w:tcBorders>
            <w:shd w:val="clear" w:color="auto" w:fill="auto"/>
            <w:vAlign w:val="center"/>
            <w:hideMark/>
          </w:tcPr>
          <w:p w:rsidRPr="00EB788E" w:rsidR="00EB788E" w:rsidP="00B629F0" w:rsidRDefault="00EB788E" w14:paraId="6875E8C4" w14:textId="77777777">
            <w:pPr>
              <w:jc w:val="right"/>
              <w:rPr>
                <w:sz w:val="20"/>
                <w:szCs w:val="20"/>
              </w:rPr>
            </w:pPr>
            <w:r w:rsidRPr="00EB788E">
              <w:rPr>
                <w:sz w:val="20"/>
                <w:szCs w:val="20"/>
              </w:rPr>
              <w:t>2,929</w:t>
            </w:r>
          </w:p>
        </w:tc>
        <w:tc>
          <w:tcPr>
            <w:tcW w:w="1375" w:type="dxa"/>
            <w:tcBorders>
              <w:top w:val="nil"/>
              <w:left w:val="nil"/>
              <w:bottom w:val="nil"/>
              <w:right w:val="single" w:color="auto" w:sz="8" w:space="0"/>
            </w:tcBorders>
            <w:shd w:val="clear" w:color="auto" w:fill="auto"/>
            <w:vAlign w:val="center"/>
            <w:hideMark/>
          </w:tcPr>
          <w:p w:rsidRPr="00EB788E" w:rsidR="00EB788E" w:rsidP="00B629F0" w:rsidRDefault="00EB788E" w14:paraId="0E6F9BF2" w14:textId="77777777">
            <w:pPr>
              <w:jc w:val="right"/>
              <w:rPr>
                <w:sz w:val="20"/>
                <w:szCs w:val="20"/>
              </w:rPr>
            </w:pPr>
            <w:r w:rsidRPr="00EB788E">
              <w:rPr>
                <w:sz w:val="20"/>
                <w:szCs w:val="20"/>
              </w:rPr>
              <w:t>4</w:t>
            </w:r>
          </w:p>
        </w:tc>
        <w:tc>
          <w:tcPr>
            <w:tcW w:w="1372" w:type="dxa"/>
            <w:tcBorders>
              <w:top w:val="nil"/>
              <w:left w:val="nil"/>
              <w:bottom w:val="nil"/>
              <w:right w:val="single" w:color="auto" w:sz="8" w:space="0"/>
            </w:tcBorders>
            <w:shd w:val="clear" w:color="auto" w:fill="auto"/>
            <w:vAlign w:val="center"/>
            <w:hideMark/>
          </w:tcPr>
          <w:p w:rsidRPr="00EB788E" w:rsidR="00EB788E" w:rsidP="00B629F0" w:rsidRDefault="00EB788E" w14:paraId="6ABE463D" w14:textId="77777777">
            <w:pPr>
              <w:jc w:val="right"/>
              <w:rPr>
                <w:sz w:val="20"/>
                <w:szCs w:val="20"/>
              </w:rPr>
            </w:pPr>
            <w:r w:rsidRPr="00EB788E">
              <w:rPr>
                <w:sz w:val="20"/>
                <w:szCs w:val="20"/>
              </w:rPr>
              <w:t>11,716</w:t>
            </w:r>
          </w:p>
        </w:tc>
        <w:tc>
          <w:tcPr>
            <w:tcW w:w="1369" w:type="dxa"/>
            <w:tcBorders>
              <w:top w:val="nil"/>
              <w:left w:val="nil"/>
              <w:bottom w:val="nil"/>
              <w:right w:val="single" w:color="auto" w:sz="8" w:space="0"/>
            </w:tcBorders>
            <w:shd w:val="clear" w:color="auto" w:fill="auto"/>
            <w:vAlign w:val="center"/>
            <w:hideMark/>
          </w:tcPr>
          <w:p w:rsidRPr="00EB788E" w:rsidR="00EB788E" w:rsidP="00B629F0" w:rsidRDefault="00EB788E" w14:paraId="20997C43" w14:textId="77777777">
            <w:pPr>
              <w:jc w:val="right"/>
              <w:rPr>
                <w:color w:val="000000"/>
                <w:sz w:val="20"/>
                <w:szCs w:val="20"/>
              </w:rPr>
            </w:pPr>
            <w:r w:rsidRPr="00EB788E">
              <w:rPr>
                <w:color w:val="000000"/>
                <w:sz w:val="20"/>
                <w:szCs w:val="20"/>
              </w:rPr>
              <w:t xml:space="preserve">$1,575 </w:t>
            </w:r>
          </w:p>
        </w:tc>
        <w:tc>
          <w:tcPr>
            <w:tcW w:w="1375" w:type="dxa"/>
            <w:tcBorders>
              <w:top w:val="nil"/>
              <w:left w:val="nil"/>
              <w:bottom w:val="nil"/>
              <w:right w:val="single" w:color="auto" w:sz="8" w:space="0"/>
            </w:tcBorders>
            <w:shd w:val="clear" w:color="auto" w:fill="auto"/>
            <w:vAlign w:val="center"/>
            <w:hideMark/>
          </w:tcPr>
          <w:p w:rsidRPr="00EB788E" w:rsidR="00EB788E" w:rsidP="00B629F0" w:rsidRDefault="00EB788E" w14:paraId="3B40D19C" w14:textId="77777777">
            <w:pPr>
              <w:jc w:val="right"/>
              <w:rPr>
                <w:color w:val="000000"/>
                <w:sz w:val="20"/>
                <w:szCs w:val="20"/>
              </w:rPr>
            </w:pPr>
            <w:r w:rsidRPr="00EB788E">
              <w:rPr>
                <w:color w:val="000000"/>
                <w:sz w:val="20"/>
                <w:szCs w:val="20"/>
              </w:rPr>
              <w:t xml:space="preserve">$18,452,700 </w:t>
            </w:r>
          </w:p>
        </w:tc>
        <w:tc>
          <w:tcPr>
            <w:tcW w:w="1375" w:type="dxa"/>
            <w:tcBorders>
              <w:top w:val="nil"/>
              <w:left w:val="nil"/>
              <w:bottom w:val="nil"/>
              <w:right w:val="single" w:color="auto" w:sz="8" w:space="0"/>
            </w:tcBorders>
            <w:shd w:val="clear" w:color="auto" w:fill="auto"/>
            <w:vAlign w:val="center"/>
            <w:hideMark/>
          </w:tcPr>
          <w:p w:rsidRPr="00EB788E" w:rsidR="00EB788E" w:rsidP="00B629F0" w:rsidRDefault="00EB788E" w14:paraId="40B61B26" w14:textId="77777777">
            <w:pPr>
              <w:jc w:val="right"/>
              <w:rPr>
                <w:color w:val="000000"/>
                <w:sz w:val="20"/>
                <w:szCs w:val="20"/>
              </w:rPr>
            </w:pPr>
            <w:r w:rsidRPr="00EB788E">
              <w:rPr>
                <w:color w:val="000000"/>
                <w:sz w:val="20"/>
                <w:szCs w:val="20"/>
              </w:rPr>
              <w:t xml:space="preserve">$6,300 </w:t>
            </w:r>
          </w:p>
        </w:tc>
      </w:tr>
      <w:tr w:rsidRPr="00EB788E" w:rsidR="00EB788E" w:rsidTr="00B85F39" w14:paraId="50900607" w14:textId="77777777">
        <w:trPr>
          <w:trHeight w:val="300"/>
        </w:trPr>
        <w:tc>
          <w:tcPr>
            <w:tcW w:w="1416" w:type="dxa"/>
            <w:vMerge/>
            <w:tcBorders>
              <w:top w:val="nil"/>
              <w:left w:val="single" w:color="auto" w:sz="8" w:space="0"/>
              <w:bottom w:val="single" w:color="000000" w:sz="8" w:space="0"/>
              <w:right w:val="single" w:color="auto" w:sz="8" w:space="0"/>
            </w:tcBorders>
            <w:vAlign w:val="center"/>
            <w:hideMark/>
          </w:tcPr>
          <w:p w:rsidRPr="00EB788E" w:rsidR="00EB788E" w:rsidP="00EB788E" w:rsidRDefault="00EB788E" w14:paraId="166009C6" w14:textId="77777777">
            <w:pPr>
              <w:rPr>
                <w:color w:val="000000"/>
                <w:sz w:val="20"/>
                <w:szCs w:val="20"/>
              </w:rPr>
            </w:pPr>
          </w:p>
        </w:tc>
        <w:tc>
          <w:tcPr>
            <w:tcW w:w="1378" w:type="dxa"/>
            <w:tcBorders>
              <w:top w:val="nil"/>
              <w:left w:val="nil"/>
              <w:bottom w:val="single" w:color="auto" w:sz="8" w:space="0"/>
              <w:right w:val="single" w:color="auto" w:sz="8" w:space="0"/>
            </w:tcBorders>
            <w:shd w:val="clear" w:color="auto" w:fill="auto"/>
            <w:vAlign w:val="center"/>
            <w:hideMark/>
          </w:tcPr>
          <w:p w:rsidRPr="00EB788E" w:rsidR="00EB788E" w:rsidP="00B629F0" w:rsidRDefault="00EB788E" w14:paraId="7D63A7B3" w14:textId="77777777">
            <w:pPr>
              <w:jc w:val="right"/>
              <w:rPr>
                <w:color w:val="000000"/>
                <w:sz w:val="20"/>
                <w:szCs w:val="20"/>
              </w:rPr>
            </w:pPr>
            <w:r w:rsidRPr="00EB788E">
              <w:rPr>
                <w:color w:val="000000"/>
                <w:sz w:val="20"/>
                <w:szCs w:val="20"/>
              </w:rPr>
              <w:t> </w:t>
            </w:r>
          </w:p>
        </w:tc>
        <w:tc>
          <w:tcPr>
            <w:tcW w:w="1375" w:type="dxa"/>
            <w:tcBorders>
              <w:top w:val="nil"/>
              <w:left w:val="nil"/>
              <w:bottom w:val="single" w:color="auto" w:sz="8" w:space="0"/>
              <w:right w:val="single" w:color="auto" w:sz="8" w:space="0"/>
            </w:tcBorders>
            <w:shd w:val="clear" w:color="auto" w:fill="auto"/>
            <w:vAlign w:val="center"/>
            <w:hideMark/>
          </w:tcPr>
          <w:p w:rsidRPr="00EB788E" w:rsidR="00EB788E" w:rsidP="00B629F0" w:rsidRDefault="00EB788E" w14:paraId="732575C3" w14:textId="77777777">
            <w:pPr>
              <w:jc w:val="right"/>
              <w:rPr>
                <w:color w:val="000000"/>
                <w:sz w:val="20"/>
                <w:szCs w:val="20"/>
              </w:rPr>
            </w:pPr>
            <w:r w:rsidRPr="00EB788E">
              <w:rPr>
                <w:color w:val="000000"/>
                <w:sz w:val="20"/>
                <w:szCs w:val="20"/>
              </w:rPr>
              <w:t> </w:t>
            </w:r>
          </w:p>
        </w:tc>
        <w:tc>
          <w:tcPr>
            <w:tcW w:w="1372" w:type="dxa"/>
            <w:tcBorders>
              <w:top w:val="nil"/>
              <w:left w:val="nil"/>
              <w:bottom w:val="single" w:color="auto" w:sz="8" w:space="0"/>
              <w:right w:val="single" w:color="auto" w:sz="8" w:space="0"/>
            </w:tcBorders>
            <w:shd w:val="clear" w:color="auto" w:fill="auto"/>
            <w:vAlign w:val="center"/>
            <w:hideMark/>
          </w:tcPr>
          <w:p w:rsidRPr="00EB788E" w:rsidR="00EB788E" w:rsidP="00B629F0" w:rsidRDefault="00EB788E" w14:paraId="7F239DDE" w14:textId="77777777">
            <w:pPr>
              <w:jc w:val="right"/>
              <w:rPr>
                <w:color w:val="000000"/>
                <w:sz w:val="20"/>
                <w:szCs w:val="20"/>
              </w:rPr>
            </w:pPr>
            <w:r w:rsidRPr="00EB788E">
              <w:rPr>
                <w:color w:val="000000"/>
                <w:sz w:val="20"/>
                <w:szCs w:val="20"/>
              </w:rPr>
              <w:t> </w:t>
            </w:r>
          </w:p>
        </w:tc>
        <w:tc>
          <w:tcPr>
            <w:tcW w:w="1369" w:type="dxa"/>
            <w:tcBorders>
              <w:top w:val="nil"/>
              <w:left w:val="nil"/>
              <w:bottom w:val="single" w:color="auto" w:sz="8" w:space="0"/>
              <w:right w:val="single" w:color="auto" w:sz="8" w:space="0"/>
            </w:tcBorders>
            <w:shd w:val="clear" w:color="auto" w:fill="auto"/>
            <w:hideMark/>
          </w:tcPr>
          <w:p w:rsidRPr="00EB788E" w:rsidR="00EB788E" w:rsidP="00B629F0" w:rsidRDefault="00EB788E" w14:paraId="146C3A5F" w14:textId="77777777">
            <w:pPr>
              <w:jc w:val="right"/>
              <w:rPr>
                <w:rFonts w:ascii="Calibri" w:hAnsi="Calibri" w:cs="Calibri"/>
                <w:color w:val="000000"/>
                <w:sz w:val="22"/>
                <w:szCs w:val="22"/>
              </w:rPr>
            </w:pPr>
            <w:r w:rsidRPr="00EB788E">
              <w:rPr>
                <w:rFonts w:ascii="Calibri" w:hAnsi="Calibri" w:cs="Calibri"/>
                <w:color w:val="000000"/>
                <w:sz w:val="22"/>
                <w:szCs w:val="22"/>
              </w:rPr>
              <w:t> </w:t>
            </w:r>
          </w:p>
        </w:tc>
        <w:tc>
          <w:tcPr>
            <w:tcW w:w="1375" w:type="dxa"/>
            <w:tcBorders>
              <w:top w:val="nil"/>
              <w:left w:val="nil"/>
              <w:bottom w:val="single" w:color="auto" w:sz="8" w:space="0"/>
              <w:right w:val="single" w:color="auto" w:sz="8" w:space="0"/>
            </w:tcBorders>
            <w:shd w:val="clear" w:color="auto" w:fill="auto"/>
            <w:hideMark/>
          </w:tcPr>
          <w:p w:rsidRPr="00EB788E" w:rsidR="00EB788E" w:rsidP="00B629F0" w:rsidRDefault="00EB788E" w14:paraId="17081792" w14:textId="77777777">
            <w:pPr>
              <w:jc w:val="right"/>
              <w:rPr>
                <w:rFonts w:ascii="Calibri" w:hAnsi="Calibri" w:cs="Calibri"/>
                <w:color w:val="000000"/>
                <w:sz w:val="22"/>
                <w:szCs w:val="22"/>
              </w:rPr>
            </w:pPr>
            <w:r w:rsidRPr="00EB788E">
              <w:rPr>
                <w:rFonts w:ascii="Calibri" w:hAnsi="Calibri" w:cs="Calibri"/>
                <w:color w:val="000000"/>
                <w:sz w:val="22"/>
                <w:szCs w:val="22"/>
              </w:rPr>
              <w:t> </w:t>
            </w:r>
          </w:p>
        </w:tc>
        <w:tc>
          <w:tcPr>
            <w:tcW w:w="1375" w:type="dxa"/>
            <w:tcBorders>
              <w:top w:val="nil"/>
              <w:left w:val="nil"/>
              <w:bottom w:val="single" w:color="auto" w:sz="8" w:space="0"/>
              <w:right w:val="single" w:color="auto" w:sz="8" w:space="0"/>
            </w:tcBorders>
            <w:shd w:val="clear" w:color="auto" w:fill="auto"/>
            <w:vAlign w:val="center"/>
            <w:hideMark/>
          </w:tcPr>
          <w:p w:rsidRPr="00EB788E" w:rsidR="00EB788E" w:rsidP="00B629F0" w:rsidRDefault="00EB788E" w14:paraId="2C7CF356" w14:textId="77777777">
            <w:pPr>
              <w:jc w:val="right"/>
              <w:rPr>
                <w:color w:val="000000"/>
                <w:sz w:val="20"/>
                <w:szCs w:val="20"/>
              </w:rPr>
            </w:pPr>
            <w:r w:rsidRPr="00EB788E">
              <w:rPr>
                <w:color w:val="000000"/>
                <w:sz w:val="20"/>
                <w:szCs w:val="20"/>
              </w:rPr>
              <w:t> </w:t>
            </w:r>
          </w:p>
        </w:tc>
      </w:tr>
      <w:tr w:rsidRPr="00EB788E" w:rsidR="00EB788E" w:rsidTr="00B85F39" w14:paraId="6E1A8E20" w14:textId="77777777">
        <w:trPr>
          <w:trHeight w:val="288"/>
        </w:trPr>
        <w:tc>
          <w:tcPr>
            <w:tcW w:w="1416" w:type="dxa"/>
            <w:vMerge w:val="restart"/>
            <w:tcBorders>
              <w:top w:val="nil"/>
              <w:left w:val="single" w:color="auto" w:sz="8" w:space="0"/>
              <w:bottom w:val="single" w:color="000000" w:sz="8" w:space="0"/>
              <w:right w:val="single" w:color="auto" w:sz="8" w:space="0"/>
            </w:tcBorders>
            <w:shd w:val="clear" w:color="auto" w:fill="auto"/>
            <w:vAlign w:val="center"/>
            <w:hideMark/>
          </w:tcPr>
          <w:p w:rsidRPr="00EB788E" w:rsidR="00EB788E" w:rsidP="00EB788E" w:rsidRDefault="00EB788E" w14:paraId="404427F0" w14:textId="77777777">
            <w:pPr>
              <w:jc w:val="right"/>
              <w:rPr>
                <w:color w:val="000000"/>
                <w:sz w:val="20"/>
                <w:szCs w:val="20"/>
              </w:rPr>
            </w:pPr>
            <w:r w:rsidRPr="00EB788E">
              <w:rPr>
                <w:color w:val="000000"/>
                <w:sz w:val="20"/>
                <w:szCs w:val="20"/>
              </w:rPr>
              <w:t>Total</w:t>
            </w:r>
          </w:p>
        </w:tc>
        <w:tc>
          <w:tcPr>
            <w:tcW w:w="2753" w:type="dxa"/>
            <w:gridSpan w:val="2"/>
            <w:vMerge w:val="restart"/>
            <w:tcBorders>
              <w:top w:val="single" w:color="auto" w:sz="8" w:space="0"/>
              <w:left w:val="single" w:color="auto" w:sz="8" w:space="0"/>
              <w:bottom w:val="single" w:color="000000" w:sz="8" w:space="0"/>
              <w:right w:val="single" w:color="000000" w:sz="8" w:space="0"/>
            </w:tcBorders>
            <w:shd w:val="clear" w:color="000000" w:fill="D9D9D9"/>
            <w:vAlign w:val="center"/>
            <w:hideMark/>
          </w:tcPr>
          <w:p w:rsidRPr="00EB788E" w:rsidR="00EB788E" w:rsidP="00B629F0" w:rsidRDefault="00EB788E" w14:paraId="11BD0386" w14:textId="77777777">
            <w:pPr>
              <w:jc w:val="right"/>
              <w:rPr>
                <w:color w:val="000000"/>
                <w:sz w:val="20"/>
                <w:szCs w:val="20"/>
              </w:rPr>
            </w:pPr>
            <w:r w:rsidRPr="00EB788E">
              <w:rPr>
                <w:color w:val="000000"/>
                <w:sz w:val="20"/>
                <w:szCs w:val="20"/>
              </w:rPr>
              <w:t> </w:t>
            </w:r>
          </w:p>
        </w:tc>
        <w:tc>
          <w:tcPr>
            <w:tcW w:w="1372" w:type="dxa"/>
            <w:vMerge w:val="restart"/>
            <w:tcBorders>
              <w:top w:val="nil"/>
              <w:left w:val="single" w:color="auto" w:sz="8" w:space="0"/>
              <w:bottom w:val="single" w:color="000000" w:sz="8" w:space="0"/>
              <w:right w:val="single" w:color="auto" w:sz="8" w:space="0"/>
            </w:tcBorders>
            <w:shd w:val="clear" w:color="auto" w:fill="auto"/>
            <w:vAlign w:val="center"/>
            <w:hideMark/>
          </w:tcPr>
          <w:p w:rsidRPr="00EB788E" w:rsidR="00EB788E" w:rsidP="00B629F0" w:rsidRDefault="00EB788E" w14:paraId="1B3CDD49" w14:textId="77777777">
            <w:pPr>
              <w:jc w:val="right"/>
              <w:rPr>
                <w:color w:val="000000"/>
                <w:sz w:val="20"/>
                <w:szCs w:val="20"/>
              </w:rPr>
            </w:pPr>
            <w:r w:rsidRPr="00EB788E">
              <w:rPr>
                <w:color w:val="000000"/>
                <w:sz w:val="20"/>
                <w:szCs w:val="20"/>
              </w:rPr>
              <w:t>11,716</w:t>
            </w:r>
          </w:p>
        </w:tc>
        <w:tc>
          <w:tcPr>
            <w:tcW w:w="1369" w:type="dxa"/>
            <w:vMerge w:val="restart"/>
            <w:tcBorders>
              <w:top w:val="nil"/>
              <w:left w:val="single" w:color="auto" w:sz="8" w:space="0"/>
              <w:bottom w:val="single" w:color="000000" w:sz="8" w:space="0"/>
              <w:right w:val="single" w:color="auto" w:sz="8" w:space="0"/>
            </w:tcBorders>
            <w:shd w:val="clear" w:color="000000" w:fill="D9D9D9"/>
            <w:vAlign w:val="center"/>
            <w:hideMark/>
          </w:tcPr>
          <w:p w:rsidRPr="00EB788E" w:rsidR="00EB788E" w:rsidP="00B629F0" w:rsidRDefault="00EB788E" w14:paraId="0901F671" w14:textId="77777777">
            <w:pPr>
              <w:jc w:val="right"/>
              <w:rPr>
                <w:color w:val="000000"/>
                <w:sz w:val="20"/>
                <w:szCs w:val="20"/>
              </w:rPr>
            </w:pPr>
            <w:r w:rsidRPr="00EB788E">
              <w:rPr>
                <w:color w:val="000000"/>
                <w:sz w:val="20"/>
                <w:szCs w:val="20"/>
              </w:rPr>
              <w:t> </w:t>
            </w:r>
          </w:p>
        </w:tc>
        <w:tc>
          <w:tcPr>
            <w:tcW w:w="1375" w:type="dxa"/>
            <w:tcBorders>
              <w:top w:val="nil"/>
              <w:left w:val="nil"/>
              <w:bottom w:val="nil"/>
              <w:right w:val="single" w:color="auto" w:sz="8" w:space="0"/>
            </w:tcBorders>
            <w:shd w:val="clear" w:color="auto" w:fill="auto"/>
            <w:vAlign w:val="center"/>
            <w:hideMark/>
          </w:tcPr>
          <w:p w:rsidRPr="00EB788E" w:rsidR="00EB788E" w:rsidP="00B629F0" w:rsidRDefault="00EB788E" w14:paraId="2B57F404" w14:textId="562128D7">
            <w:pPr>
              <w:jc w:val="right"/>
              <w:rPr>
                <w:sz w:val="20"/>
                <w:szCs w:val="20"/>
              </w:rPr>
            </w:pPr>
            <w:r w:rsidRPr="00EB788E">
              <w:rPr>
                <w:sz w:val="20"/>
                <w:szCs w:val="20"/>
              </w:rPr>
              <w:t xml:space="preserve">           212,060</w:t>
            </w:r>
            <w:r w:rsidR="00B629F0">
              <w:rPr>
                <w:sz w:val="20"/>
                <w:szCs w:val="20"/>
              </w:rPr>
              <w:t xml:space="preserve"> hrs.</w:t>
            </w:r>
            <w:r w:rsidRPr="00EB788E">
              <w:rPr>
                <w:sz w:val="20"/>
                <w:szCs w:val="20"/>
              </w:rPr>
              <w:t xml:space="preserve"> </w:t>
            </w:r>
          </w:p>
        </w:tc>
        <w:tc>
          <w:tcPr>
            <w:tcW w:w="1375" w:type="dxa"/>
            <w:tcBorders>
              <w:top w:val="nil"/>
              <w:left w:val="nil"/>
              <w:bottom w:val="nil"/>
              <w:right w:val="single" w:color="auto" w:sz="8" w:space="0"/>
            </w:tcBorders>
            <w:shd w:val="clear" w:color="auto" w:fill="auto"/>
            <w:vAlign w:val="center"/>
            <w:hideMark/>
          </w:tcPr>
          <w:p w:rsidRPr="00EB788E" w:rsidR="00EB788E" w:rsidP="00B629F0" w:rsidRDefault="00EB788E" w14:paraId="6839024F" w14:textId="42B88F15">
            <w:pPr>
              <w:jc w:val="right"/>
              <w:rPr>
                <w:color w:val="000000"/>
                <w:sz w:val="20"/>
                <w:szCs w:val="20"/>
              </w:rPr>
            </w:pPr>
          </w:p>
        </w:tc>
      </w:tr>
      <w:tr w:rsidRPr="00EB788E" w:rsidR="00EB788E" w:rsidTr="00B85F39" w14:paraId="76779E2E" w14:textId="77777777">
        <w:trPr>
          <w:trHeight w:val="300"/>
        </w:trPr>
        <w:tc>
          <w:tcPr>
            <w:tcW w:w="1416" w:type="dxa"/>
            <w:vMerge/>
            <w:tcBorders>
              <w:top w:val="nil"/>
              <w:left w:val="single" w:color="auto" w:sz="8" w:space="0"/>
              <w:bottom w:val="single" w:color="000000" w:sz="8" w:space="0"/>
              <w:right w:val="single" w:color="auto" w:sz="8" w:space="0"/>
            </w:tcBorders>
            <w:vAlign w:val="center"/>
            <w:hideMark/>
          </w:tcPr>
          <w:p w:rsidRPr="00EB788E" w:rsidR="00EB788E" w:rsidP="00EB788E" w:rsidRDefault="00EB788E" w14:paraId="0BCB6461" w14:textId="77777777">
            <w:pPr>
              <w:rPr>
                <w:color w:val="000000"/>
                <w:sz w:val="20"/>
                <w:szCs w:val="20"/>
              </w:rPr>
            </w:pPr>
          </w:p>
        </w:tc>
        <w:tc>
          <w:tcPr>
            <w:tcW w:w="2753" w:type="dxa"/>
            <w:gridSpan w:val="2"/>
            <w:vMerge/>
            <w:tcBorders>
              <w:top w:val="single" w:color="auto" w:sz="8" w:space="0"/>
              <w:left w:val="single" w:color="auto" w:sz="8" w:space="0"/>
              <w:bottom w:val="single" w:color="000000" w:sz="8" w:space="0"/>
              <w:right w:val="single" w:color="000000" w:sz="8" w:space="0"/>
            </w:tcBorders>
            <w:vAlign w:val="center"/>
            <w:hideMark/>
          </w:tcPr>
          <w:p w:rsidRPr="00EB788E" w:rsidR="00EB788E" w:rsidP="00B629F0" w:rsidRDefault="00EB788E" w14:paraId="14D68F5E" w14:textId="77777777">
            <w:pPr>
              <w:jc w:val="right"/>
              <w:rPr>
                <w:color w:val="000000"/>
                <w:sz w:val="20"/>
                <w:szCs w:val="20"/>
              </w:rPr>
            </w:pPr>
          </w:p>
        </w:tc>
        <w:tc>
          <w:tcPr>
            <w:tcW w:w="1372" w:type="dxa"/>
            <w:vMerge/>
            <w:tcBorders>
              <w:top w:val="nil"/>
              <w:left w:val="single" w:color="auto" w:sz="8" w:space="0"/>
              <w:bottom w:val="single" w:color="000000" w:sz="8" w:space="0"/>
              <w:right w:val="single" w:color="auto" w:sz="8" w:space="0"/>
            </w:tcBorders>
            <w:vAlign w:val="center"/>
            <w:hideMark/>
          </w:tcPr>
          <w:p w:rsidRPr="00EB788E" w:rsidR="00EB788E" w:rsidP="00B629F0" w:rsidRDefault="00EB788E" w14:paraId="0646D07C" w14:textId="77777777">
            <w:pPr>
              <w:jc w:val="right"/>
              <w:rPr>
                <w:color w:val="000000"/>
                <w:sz w:val="20"/>
                <w:szCs w:val="20"/>
              </w:rPr>
            </w:pPr>
          </w:p>
        </w:tc>
        <w:tc>
          <w:tcPr>
            <w:tcW w:w="1369" w:type="dxa"/>
            <w:vMerge/>
            <w:tcBorders>
              <w:top w:val="nil"/>
              <w:left w:val="single" w:color="auto" w:sz="8" w:space="0"/>
              <w:bottom w:val="single" w:color="000000" w:sz="8" w:space="0"/>
              <w:right w:val="single" w:color="auto" w:sz="8" w:space="0"/>
            </w:tcBorders>
            <w:vAlign w:val="center"/>
            <w:hideMark/>
          </w:tcPr>
          <w:p w:rsidRPr="00EB788E" w:rsidR="00EB788E" w:rsidP="00B629F0" w:rsidRDefault="00EB788E" w14:paraId="65B8D586" w14:textId="77777777">
            <w:pPr>
              <w:jc w:val="right"/>
              <w:rPr>
                <w:color w:val="000000"/>
                <w:sz w:val="20"/>
                <w:szCs w:val="20"/>
              </w:rPr>
            </w:pPr>
          </w:p>
        </w:tc>
        <w:tc>
          <w:tcPr>
            <w:tcW w:w="1375" w:type="dxa"/>
            <w:tcBorders>
              <w:top w:val="nil"/>
              <w:left w:val="nil"/>
              <w:bottom w:val="single" w:color="auto" w:sz="8" w:space="0"/>
              <w:right w:val="single" w:color="auto" w:sz="8" w:space="0"/>
            </w:tcBorders>
            <w:shd w:val="clear" w:color="auto" w:fill="auto"/>
            <w:vAlign w:val="center"/>
            <w:hideMark/>
          </w:tcPr>
          <w:p w:rsidRPr="00EB788E" w:rsidR="00EB788E" w:rsidP="00B629F0" w:rsidRDefault="00EB788E" w14:paraId="7EE46385" w14:textId="77777777">
            <w:pPr>
              <w:jc w:val="right"/>
              <w:rPr>
                <w:color w:val="000000"/>
                <w:sz w:val="20"/>
                <w:szCs w:val="20"/>
              </w:rPr>
            </w:pPr>
            <w:r w:rsidRPr="00EB788E">
              <w:rPr>
                <w:color w:val="000000"/>
                <w:sz w:val="20"/>
                <w:szCs w:val="20"/>
              </w:rPr>
              <w:t xml:space="preserve">$18,452,700 </w:t>
            </w:r>
          </w:p>
        </w:tc>
        <w:tc>
          <w:tcPr>
            <w:tcW w:w="1375" w:type="dxa"/>
            <w:tcBorders>
              <w:top w:val="nil"/>
              <w:left w:val="nil"/>
              <w:bottom w:val="single" w:color="auto" w:sz="8" w:space="0"/>
              <w:right w:val="single" w:color="auto" w:sz="8" w:space="0"/>
            </w:tcBorders>
            <w:shd w:val="clear" w:color="auto" w:fill="auto"/>
            <w:vAlign w:val="center"/>
            <w:hideMark/>
          </w:tcPr>
          <w:p w:rsidRPr="00EB788E" w:rsidR="00EB788E" w:rsidP="00B629F0" w:rsidRDefault="00B629F0" w14:paraId="1ACAF076" w14:textId="45A686F6">
            <w:pPr>
              <w:jc w:val="right"/>
              <w:rPr>
                <w:color w:val="000000"/>
                <w:sz w:val="20"/>
                <w:szCs w:val="20"/>
              </w:rPr>
            </w:pPr>
            <w:r>
              <w:rPr>
                <w:color w:val="000000"/>
                <w:sz w:val="20"/>
                <w:szCs w:val="20"/>
              </w:rPr>
              <w:t>$6,300</w:t>
            </w:r>
          </w:p>
        </w:tc>
      </w:tr>
    </w:tbl>
    <w:p w:rsidRPr="00466D3F" w:rsidR="007050F2" w:rsidP="007050F2" w:rsidRDefault="007050F2" w14:paraId="604E550D" w14:textId="05F99A06">
      <w:pPr>
        <w:spacing w:line="480" w:lineRule="auto"/>
      </w:pPr>
      <w:r w:rsidRPr="00466D3F">
        <w:rPr>
          <w:i/>
        </w:rPr>
        <w:lastRenderedPageBreak/>
        <w:t xml:space="preserve">Comments:  </w:t>
      </w:r>
      <w:r w:rsidRPr="00B85F39">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w:t>
      </w:r>
      <w:r w:rsidRPr="00466D3F">
        <w:t xml:space="preserve"> to respond, including the use of automated collection techniques or other forms of information technology.  </w:t>
      </w:r>
    </w:p>
    <w:p w:rsidR="00CD173A" w:rsidP="002B69CF" w:rsidRDefault="00CD173A" w14:paraId="7D20A27F" w14:textId="77777777">
      <w:pPr>
        <w:ind w:firstLine="2174"/>
        <w:jc w:val="center"/>
      </w:pPr>
    </w:p>
    <w:p w:rsidRPr="002B69CF" w:rsidR="002B69CF" w:rsidP="002B69CF" w:rsidRDefault="002B69CF" w14:paraId="1669B69B" w14:textId="6471CF0A">
      <w:pPr>
        <w:ind w:firstLine="2174"/>
        <w:jc w:val="center"/>
      </w:pPr>
      <w:r w:rsidRPr="002B69CF">
        <w:t>Kimberly D. Bose,</w:t>
      </w:r>
    </w:p>
    <w:p w:rsidR="00B77757" w:rsidP="002B69CF" w:rsidRDefault="002B69CF" w14:paraId="4A12364E" w14:textId="0EAF9B12">
      <w:pPr>
        <w:ind w:firstLine="2174"/>
        <w:jc w:val="center"/>
      </w:pPr>
      <w:r w:rsidRPr="002B69CF">
        <w:t>Secretary.</w:t>
      </w:r>
    </w:p>
    <w:p w:rsidR="00B77757" w:rsidRDefault="00B77757" w14:paraId="01DCA97B" w14:textId="45CA0EF9"/>
    <w:p w:rsidR="00B77757" w:rsidP="00184F0D" w:rsidRDefault="00B77757" w14:paraId="492DDEF6" w14:textId="77777777"/>
    <w:sectPr w:rsidR="00B77757" w:rsidSect="00EF587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759B5" w14:textId="77777777" w:rsidR="001B095E" w:rsidRDefault="001B095E">
      <w:r>
        <w:separator/>
      </w:r>
    </w:p>
  </w:endnote>
  <w:endnote w:type="continuationSeparator" w:id="0">
    <w:p w14:paraId="5440195D" w14:textId="77777777" w:rsidR="001B095E" w:rsidRDefault="001B095E">
      <w:r>
        <w:continuationSeparator/>
      </w:r>
    </w:p>
  </w:endnote>
  <w:endnote w:type="continuationNotice" w:id="1">
    <w:p w14:paraId="11752426" w14:textId="77777777" w:rsidR="001B095E" w:rsidRDefault="001B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E6C29" w14:textId="77777777" w:rsidR="001B095E" w:rsidRDefault="001B0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974C1" w14:textId="77777777" w:rsidR="001B095E" w:rsidRDefault="001B0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DE246" w14:textId="77777777" w:rsidR="001B095E" w:rsidRDefault="001B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AE533" w14:textId="77777777" w:rsidR="001B095E" w:rsidRDefault="001B095E">
      <w:r>
        <w:separator/>
      </w:r>
    </w:p>
  </w:footnote>
  <w:footnote w:type="continuationSeparator" w:id="0">
    <w:p w14:paraId="279D48FE" w14:textId="77777777" w:rsidR="001B095E" w:rsidRDefault="001B095E">
      <w:r>
        <w:continuationSeparator/>
      </w:r>
    </w:p>
  </w:footnote>
  <w:footnote w:type="continuationNotice" w:id="1">
    <w:p w14:paraId="78261FEB" w14:textId="77777777" w:rsidR="001B095E" w:rsidRDefault="001B095E"/>
  </w:footnote>
  <w:footnote w:id="2">
    <w:p w14:paraId="7F2B0466" w14:textId="531FBDF5" w:rsidR="001B095E" w:rsidRPr="004A2194" w:rsidRDefault="001B095E">
      <w:pPr>
        <w:pStyle w:val="FootnoteText"/>
        <w:rPr>
          <w:sz w:val="26"/>
          <w:szCs w:val="26"/>
        </w:rPr>
      </w:pPr>
      <w:bookmarkStart w:id="2" w:name="_Hlk82612927"/>
      <w:r w:rsidRPr="004A2194">
        <w:rPr>
          <w:rStyle w:val="FootnoteReference"/>
        </w:rPr>
        <w:footnoteRef/>
      </w:r>
      <w:r w:rsidRPr="004A2194">
        <w:rPr>
          <w:sz w:val="26"/>
          <w:szCs w:val="26"/>
        </w:rPr>
        <w:t xml:space="preserve"> This Notice </w:t>
      </w:r>
      <w:r>
        <w:rPr>
          <w:sz w:val="26"/>
          <w:szCs w:val="26"/>
        </w:rPr>
        <w:t xml:space="preserve">in Docket No. IC21-38 </w:t>
      </w:r>
      <w:r w:rsidRPr="004A2194">
        <w:rPr>
          <w:sz w:val="26"/>
          <w:szCs w:val="26"/>
        </w:rPr>
        <w:t>is separate from</w:t>
      </w:r>
      <w:r>
        <w:rPr>
          <w:sz w:val="26"/>
          <w:szCs w:val="26"/>
        </w:rPr>
        <w:t>,</w:t>
      </w:r>
      <w:r w:rsidRPr="004A2194">
        <w:rPr>
          <w:sz w:val="26"/>
          <w:szCs w:val="26"/>
        </w:rPr>
        <w:t xml:space="preserve"> and does not address</w:t>
      </w:r>
      <w:r>
        <w:rPr>
          <w:sz w:val="26"/>
          <w:szCs w:val="26"/>
        </w:rPr>
        <w:t>,</w:t>
      </w:r>
      <w:r w:rsidRPr="004A2194">
        <w:rPr>
          <w:sz w:val="26"/>
          <w:szCs w:val="26"/>
        </w:rPr>
        <w:t xml:space="preserve"> the activities in Docket No. AD21-8-000.</w:t>
      </w:r>
      <w:bookmarkEnd w:id="2"/>
    </w:p>
  </w:footnote>
  <w:footnote w:id="3">
    <w:p w14:paraId="7D313389" w14:textId="77777777" w:rsidR="001B095E" w:rsidRPr="00DC4902" w:rsidRDefault="001B095E" w:rsidP="005B58F4">
      <w:pPr>
        <w:pStyle w:val="FootnoteText"/>
        <w:rPr>
          <w:sz w:val="26"/>
          <w:szCs w:val="26"/>
        </w:rPr>
      </w:pPr>
      <w:r w:rsidRPr="00CB5045">
        <w:rPr>
          <w:rStyle w:val="FootnoteReference"/>
        </w:rPr>
        <w:footnoteRef/>
      </w:r>
      <w:r w:rsidRPr="003C5B35">
        <w:rPr>
          <w:sz w:val="26"/>
          <w:szCs w:val="26"/>
        </w:rPr>
        <w:t xml:space="preserve"> </w:t>
      </w:r>
      <w:r w:rsidRPr="003C5B35">
        <w:rPr>
          <w:i/>
          <w:sz w:val="26"/>
          <w:szCs w:val="26"/>
        </w:rPr>
        <w:t>Revised Public Utility Filing Requirements</w:t>
      </w:r>
      <w:r w:rsidRPr="003C5B35">
        <w:rPr>
          <w:sz w:val="26"/>
          <w:szCs w:val="26"/>
        </w:rPr>
        <w:t xml:space="preserve">, Order No. 2001, 67 FR 31043 (May 8, 2002), FERC Stats. &amp; Regs. ¶ 31,127, </w:t>
      </w:r>
      <w:r w:rsidRPr="003C5B35">
        <w:rPr>
          <w:i/>
          <w:sz w:val="26"/>
          <w:szCs w:val="26"/>
        </w:rPr>
        <w:t>reh’g denied</w:t>
      </w:r>
      <w:r w:rsidRPr="003C5B35">
        <w:rPr>
          <w:sz w:val="26"/>
          <w:szCs w:val="26"/>
        </w:rPr>
        <w:t xml:space="preserve">, Order No. 2001-A, 100 FERC ¶ 61,074, </w:t>
      </w:r>
      <w:r w:rsidRPr="003C5B35">
        <w:rPr>
          <w:i/>
          <w:sz w:val="26"/>
          <w:szCs w:val="26"/>
        </w:rPr>
        <w:t>reh’g denied</w:t>
      </w:r>
      <w:r w:rsidRPr="003C5B35">
        <w:rPr>
          <w:sz w:val="26"/>
          <w:szCs w:val="26"/>
        </w:rPr>
        <w:t xml:space="preserve">, Order No. 2001-B, 100 FERC ¶ 61,342, </w:t>
      </w:r>
      <w:r w:rsidRPr="003C5B35">
        <w:rPr>
          <w:i/>
          <w:sz w:val="26"/>
          <w:szCs w:val="26"/>
        </w:rPr>
        <w:t>order directing filing</w:t>
      </w:r>
      <w:r w:rsidRPr="003C5B35">
        <w:rPr>
          <w:sz w:val="26"/>
          <w:szCs w:val="26"/>
        </w:rPr>
        <w:t xml:space="preserve">, Order No. 2001-C, 101 FERC ¶ 61,314 (2002), </w:t>
      </w:r>
      <w:r w:rsidRPr="003C5B35">
        <w:rPr>
          <w:i/>
          <w:sz w:val="26"/>
          <w:szCs w:val="26"/>
        </w:rPr>
        <w:t>order directing filing</w:t>
      </w:r>
      <w:r w:rsidRPr="003C5B35">
        <w:rPr>
          <w:sz w:val="26"/>
          <w:szCs w:val="26"/>
        </w:rPr>
        <w:t xml:space="preserve">, Order No. 2001-D, 102 FERC ¶ 61,334, </w:t>
      </w:r>
      <w:r w:rsidRPr="003C5B35">
        <w:rPr>
          <w:i/>
          <w:sz w:val="26"/>
          <w:szCs w:val="26"/>
        </w:rPr>
        <w:t>order refining filing requirements</w:t>
      </w:r>
      <w:r w:rsidRPr="003C5B35">
        <w:rPr>
          <w:sz w:val="26"/>
          <w:szCs w:val="26"/>
        </w:rPr>
        <w:t xml:space="preserve">, Order No. 2001-E, 105 FERC ¶ 61,352 (2003), </w:t>
      </w:r>
      <w:r w:rsidRPr="003C5B35">
        <w:rPr>
          <w:i/>
          <w:iCs/>
          <w:sz w:val="26"/>
          <w:szCs w:val="26"/>
        </w:rPr>
        <w:t>order on clarification</w:t>
      </w:r>
      <w:r w:rsidRPr="003C5B35">
        <w:rPr>
          <w:sz w:val="26"/>
          <w:szCs w:val="26"/>
        </w:rPr>
        <w:t xml:space="preserve">, Order No. 2001-F, 106 FERC ¶ 61,060 (2004), </w:t>
      </w:r>
      <w:r w:rsidRPr="003C5B35">
        <w:rPr>
          <w:i/>
          <w:sz w:val="26"/>
          <w:szCs w:val="26"/>
        </w:rPr>
        <w:t>order revising filing requirements</w:t>
      </w:r>
      <w:r w:rsidRPr="003C5B35">
        <w:rPr>
          <w:sz w:val="26"/>
          <w:szCs w:val="26"/>
        </w:rPr>
        <w:t>, Order No. 2001-G, 72 FR 56735 (Oct. 4, 2007), 120 FER</w:t>
      </w:r>
      <w:r w:rsidRPr="00DC4902">
        <w:rPr>
          <w:sz w:val="26"/>
          <w:szCs w:val="26"/>
        </w:rPr>
        <w:t xml:space="preserve">C ¶ 61,270, </w:t>
      </w:r>
      <w:r w:rsidRPr="00DC4902">
        <w:rPr>
          <w:i/>
          <w:sz w:val="26"/>
          <w:szCs w:val="26"/>
        </w:rPr>
        <w:t>order on reh’g and clarification</w:t>
      </w:r>
      <w:r w:rsidRPr="00DC4902">
        <w:rPr>
          <w:sz w:val="26"/>
          <w:szCs w:val="26"/>
        </w:rPr>
        <w:t xml:space="preserve">, Order No. 2001-H, 73 FR 1876 (Jan. 10, 2008), 121 FERC ¶ 61,289 (2007), </w:t>
      </w:r>
      <w:r w:rsidRPr="00DC4902">
        <w:rPr>
          <w:i/>
          <w:sz w:val="26"/>
          <w:szCs w:val="26"/>
        </w:rPr>
        <w:t>order revising filing requirements</w:t>
      </w:r>
      <w:r w:rsidRPr="00DC4902">
        <w:rPr>
          <w:sz w:val="26"/>
          <w:szCs w:val="26"/>
        </w:rPr>
        <w:t>,</w:t>
      </w:r>
      <w:r w:rsidRPr="00DC4902">
        <w:rPr>
          <w:i/>
          <w:sz w:val="26"/>
          <w:szCs w:val="26"/>
        </w:rPr>
        <w:t xml:space="preserve"> </w:t>
      </w:r>
      <w:r w:rsidRPr="00DC4902">
        <w:rPr>
          <w:sz w:val="26"/>
          <w:szCs w:val="26"/>
        </w:rPr>
        <w:t>Order No. 2001-I, 73 FR 65526 (Nov. 4, 2008), 125 FERC ¶ 61,103 (2008).</w:t>
      </w:r>
    </w:p>
  </w:footnote>
  <w:footnote w:id="4">
    <w:p w14:paraId="62153454" w14:textId="22CB9EA8" w:rsidR="001B095E" w:rsidRPr="00417373" w:rsidRDefault="001B095E">
      <w:pPr>
        <w:pStyle w:val="FootnoteText"/>
        <w:rPr>
          <w:sz w:val="26"/>
          <w:szCs w:val="26"/>
        </w:rPr>
      </w:pPr>
      <w:r w:rsidRPr="00DC4902">
        <w:rPr>
          <w:rStyle w:val="FootnoteReference"/>
        </w:rPr>
        <w:footnoteRef/>
      </w:r>
      <w:r w:rsidRPr="00DC4902">
        <w:rPr>
          <w:sz w:val="26"/>
          <w:szCs w:val="26"/>
        </w:rPr>
        <w:t xml:space="preserve">  </w:t>
      </w:r>
      <w:r w:rsidR="00DC4902" w:rsidRPr="00DC4902">
        <w:rPr>
          <w:sz w:val="26"/>
          <w:szCs w:val="26"/>
        </w:rPr>
        <w:t>16 U.S.C. 824d(c).</w:t>
      </w:r>
    </w:p>
  </w:footnote>
  <w:footnote w:id="5">
    <w:p w14:paraId="03C8A3D4" w14:textId="07509551" w:rsidR="001B095E" w:rsidRPr="003A0D03" w:rsidRDefault="001B095E" w:rsidP="00F671A2">
      <w:pPr>
        <w:pStyle w:val="FootnoteText"/>
        <w:rPr>
          <w:sz w:val="26"/>
          <w:szCs w:val="26"/>
        </w:rPr>
      </w:pPr>
      <w:r w:rsidRPr="00F65DD1">
        <w:rPr>
          <w:rStyle w:val="FootnoteReference"/>
        </w:rPr>
        <w:footnoteRef/>
      </w:r>
      <w:r w:rsidRPr="003A0D03">
        <w:rPr>
          <w:sz w:val="26"/>
          <w:szCs w:val="26"/>
        </w:rPr>
        <w:t xml:space="preserve"> </w:t>
      </w:r>
      <w:r w:rsidRPr="003A0D03">
        <w:rPr>
          <w:i/>
          <w:sz w:val="26"/>
          <w:szCs w:val="26"/>
        </w:rPr>
        <w:t>See,</w:t>
      </w:r>
      <w:r w:rsidRPr="003A0D03">
        <w:rPr>
          <w:sz w:val="26"/>
          <w:szCs w:val="26"/>
        </w:rPr>
        <w:t xml:space="preserve"> </w:t>
      </w:r>
      <w:r w:rsidRPr="003A0D03">
        <w:rPr>
          <w:i/>
          <w:sz w:val="26"/>
          <w:szCs w:val="26"/>
        </w:rPr>
        <w:t>e.g.</w:t>
      </w:r>
      <w:r w:rsidRPr="003A0D03">
        <w:rPr>
          <w:sz w:val="26"/>
          <w:szCs w:val="26"/>
        </w:rPr>
        <w:t xml:space="preserve">, </w:t>
      </w:r>
      <w:r w:rsidRPr="003A0D03">
        <w:rPr>
          <w:i/>
          <w:sz w:val="26"/>
          <w:szCs w:val="26"/>
        </w:rPr>
        <w:t>Revised Public Utility Filing Requirements for Electric Quarterly Reports</w:t>
      </w:r>
      <w:r w:rsidRPr="003A0D03">
        <w:rPr>
          <w:sz w:val="26"/>
          <w:szCs w:val="26"/>
        </w:rPr>
        <w:t>, 124 FERC ¶ 61,244 (2008) (providing guidance on the filing of information on transmission capacity reassignments in EQRs)</w:t>
      </w:r>
      <w:r>
        <w:rPr>
          <w:sz w:val="26"/>
          <w:szCs w:val="26"/>
        </w:rPr>
        <w:t>.</w:t>
      </w:r>
      <w:r w:rsidRPr="00997B63">
        <w:rPr>
          <w:i/>
          <w:sz w:val="26"/>
          <w:szCs w:val="26"/>
        </w:rPr>
        <w:t xml:space="preserve"> </w:t>
      </w:r>
    </w:p>
  </w:footnote>
  <w:footnote w:id="6">
    <w:p w14:paraId="00D38E1E" w14:textId="6882FBD5" w:rsidR="001B095E" w:rsidRDefault="001B095E">
      <w:pPr>
        <w:pStyle w:val="FootnoteText"/>
      </w:pPr>
      <w:r>
        <w:rPr>
          <w:rStyle w:val="FootnoteReference"/>
        </w:rPr>
        <w:footnoteRef/>
      </w:r>
      <w:r>
        <w:t xml:space="preserve"> </w:t>
      </w:r>
      <w:r w:rsidRPr="003C5B35">
        <w:rPr>
          <w:sz w:val="26"/>
          <w:szCs w:val="26"/>
        </w:rPr>
        <w:t>Order No. 2001-G, 120 FERC ¶ 61,270</w:t>
      </w:r>
      <w:r>
        <w:rPr>
          <w:sz w:val="26"/>
          <w:szCs w:val="26"/>
        </w:rPr>
        <w:t xml:space="preserve"> (2007).</w:t>
      </w:r>
    </w:p>
  </w:footnote>
  <w:footnote w:id="7">
    <w:p w14:paraId="2E47B968" w14:textId="77777777" w:rsidR="001B095E" w:rsidRPr="003C5B35" w:rsidRDefault="001B095E" w:rsidP="00D46AC5">
      <w:pPr>
        <w:pStyle w:val="FootnoteText"/>
        <w:rPr>
          <w:sz w:val="26"/>
          <w:szCs w:val="26"/>
        </w:rPr>
      </w:pPr>
      <w:r>
        <w:rPr>
          <w:rStyle w:val="FootnoteReference"/>
        </w:rPr>
        <w:footnoteRef/>
      </w:r>
      <w:r>
        <w:t xml:space="preserve"> </w:t>
      </w:r>
      <w:r w:rsidRPr="003A0D03">
        <w:rPr>
          <w:sz w:val="26"/>
          <w:szCs w:val="26"/>
        </w:rPr>
        <w:t xml:space="preserve">Order No. 768, </w:t>
      </w:r>
      <w:r>
        <w:rPr>
          <w:sz w:val="26"/>
          <w:szCs w:val="26"/>
        </w:rPr>
        <w:t xml:space="preserve">77 Fed. Reg. 61896 (Oct. 11, 2012), </w:t>
      </w:r>
      <w:r w:rsidRPr="003A0D03">
        <w:rPr>
          <w:sz w:val="26"/>
          <w:szCs w:val="26"/>
        </w:rPr>
        <w:t>FERC Stats. &amp; Regs. ¶ 31,336 (2012).</w:t>
      </w:r>
    </w:p>
  </w:footnote>
  <w:footnote w:id="8">
    <w:p w14:paraId="7651FCEB" w14:textId="4DA4A50F" w:rsidR="001B095E" w:rsidRPr="00352333" w:rsidRDefault="001B095E">
      <w:pPr>
        <w:pStyle w:val="FootnoteText"/>
        <w:rPr>
          <w:sz w:val="26"/>
          <w:szCs w:val="26"/>
        </w:rPr>
      </w:pPr>
      <w:r w:rsidRPr="00652CB9">
        <w:rPr>
          <w:rStyle w:val="FootnoteReference"/>
        </w:rPr>
        <w:footnoteRef/>
      </w:r>
      <w:r w:rsidRPr="00352333">
        <w:rPr>
          <w:sz w:val="26"/>
          <w:szCs w:val="26"/>
        </w:rPr>
        <w:t xml:space="preserve"> The cost is based on FERC’s </w:t>
      </w:r>
      <w:r>
        <w:rPr>
          <w:sz w:val="26"/>
          <w:szCs w:val="26"/>
        </w:rPr>
        <w:t>2021</w:t>
      </w:r>
      <w:r w:rsidRPr="00352333">
        <w:rPr>
          <w:sz w:val="26"/>
          <w:szCs w:val="26"/>
        </w:rPr>
        <w:t xml:space="preserve"> Commission-wide average salary cost (salary plus benefits) of $8</w:t>
      </w:r>
      <w:r>
        <w:rPr>
          <w:sz w:val="26"/>
          <w:szCs w:val="26"/>
        </w:rPr>
        <w:t>7</w:t>
      </w:r>
      <w:r w:rsidRPr="00352333">
        <w:rPr>
          <w:sz w:val="26"/>
          <w:szCs w:val="26"/>
        </w:rPr>
        <w:t xml:space="preserve">.00/hour.  </w:t>
      </w:r>
      <w:r w:rsidRPr="002517ED">
        <w:rPr>
          <w:sz w:val="26"/>
          <w:szCs w:val="26"/>
        </w:rPr>
        <w:t>The Commission staff believes the FERC FTE (full-time equivalent) average cost for wages plus benefits is representative of the corresponding cost for the industry respondents.</w:t>
      </w:r>
    </w:p>
  </w:footnote>
  <w:footnote w:id="9">
    <w:p w14:paraId="265E850C" w14:textId="507E03B2" w:rsidR="001B095E" w:rsidRPr="007050F2" w:rsidRDefault="001B095E">
      <w:pPr>
        <w:pStyle w:val="FootnoteText"/>
        <w:rPr>
          <w:sz w:val="26"/>
          <w:szCs w:val="26"/>
        </w:rPr>
      </w:pPr>
      <w:r w:rsidRPr="007050F2">
        <w:rPr>
          <w:rStyle w:val="FootnoteReference"/>
        </w:rPr>
        <w:footnoteRef/>
      </w:r>
      <w:r w:rsidRPr="007050F2">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w:t>
      </w:r>
      <w:r>
        <w:rPr>
          <w:sz w:val="26"/>
          <w:szCs w:val="26"/>
        </w:rPr>
        <w:t xml:space="preserve"> to</w:t>
      </w:r>
      <w:r w:rsidRPr="007050F2">
        <w:rPr>
          <w:sz w:val="26"/>
          <w:szCs w:val="26"/>
        </w:rPr>
        <w:t xml:space="preserve"> 5 Code of Federal Regulations 1320.3.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49406" w14:textId="77777777" w:rsidR="001B095E" w:rsidRDefault="001B095E"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24F67EB" w14:textId="77777777" w:rsidR="001B095E" w:rsidRDefault="001B095E"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0C8E0" w14:textId="77777777" w:rsidR="001B095E" w:rsidRDefault="001B095E"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371B9B" w14:textId="43AFDC31" w:rsidR="001B095E" w:rsidRDefault="001B095E" w:rsidP="002B69CF">
    <w:pPr>
      <w:pStyle w:val="Header"/>
      <w:ind w:right="360"/>
    </w:pPr>
    <w:r>
      <w:rPr>
        <w:noProof/>
      </w:rPr>
      <mc:AlternateContent>
        <mc:Choice Requires="wps">
          <w:drawing>
            <wp:anchor distT="0" distB="0" distL="114300" distR="114300" simplePos="0" relativeHeight="251656192" behindDoc="0" locked="0" layoutInCell="0" allowOverlap="1" wp14:anchorId="75CAE82E" wp14:editId="5785E25E">
              <wp:simplePos x="0" y="0"/>
              <wp:positionH relativeFrom="page">
                <wp:posOffset>0</wp:posOffset>
              </wp:positionH>
              <wp:positionV relativeFrom="page">
                <wp:posOffset>190500</wp:posOffset>
              </wp:positionV>
              <wp:extent cx="7772400" cy="266700"/>
              <wp:effectExtent l="0" t="0" r="0" b="0"/>
              <wp:wrapNone/>
              <wp:docPr id="1" name="MSIPCM32ff4b56ba6ba4332e5305da"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296988" w14:textId="1FE29790" w:rsidR="001B095E" w:rsidRPr="00F616B1" w:rsidRDefault="001B095E" w:rsidP="00F616B1">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CAE82E" id="_x0000_t202" coordsize="21600,21600" o:spt="202" path="m,l,21600r21600,l21600,xe">
              <v:stroke joinstyle="miter"/>
              <v:path gradientshapeok="t" o:connecttype="rect"/>
            </v:shapetype>
            <v:shape id="MSIPCM32ff4b56ba6ba4332e5305da" o:spid="_x0000_s1026" type="#_x0000_t202" alt="{&quot;HashCode&quot;:92912587,&quot;Height&quot;:792.0,&quot;Width&quot;:612.0,&quot;Placement&quot;:&quot;Header&quot;,&quot;Index&quot;:&quot;Primary&quot;,&quot;Section&quot;:1,&quot;Top&quot;:0.0,&quot;Left&quot;:0.0}" style="position:absolute;margin-left:0;margin-top:15pt;width:612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" o:allowincell="f" filled="f" stroked="f" strokeweight=".5pt">
              <v:textbox inset=",0,,0">
                <w:txbxContent>
                  <w:p w14:paraId="06296988" w14:textId="1FE29790" w:rsidR="001B095E" w:rsidRPr="00F616B1" w:rsidRDefault="001B095E" w:rsidP="00F616B1">
                    <w:pPr>
                      <w:jc w:val="center"/>
                      <w:rPr>
                        <w:color w:val="A80000"/>
                      </w:rPr>
                    </w:pPr>
                  </w:p>
                </w:txbxContent>
              </v:textbox>
              <w10:wrap anchorx="page" anchory="page"/>
            </v:shape>
          </w:pict>
        </mc:Fallback>
      </mc:AlternateContent>
    </w:r>
    <w:r>
      <w:t xml:space="preserve">Docket </w:t>
    </w:r>
    <w:r w:rsidRPr="00AA2FBE">
      <w:t xml:space="preserve">No. </w:t>
    </w:r>
    <w:r>
      <w:t>IC21-38</w:t>
    </w:r>
    <w:r w:rsidRPr="00352333">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F9DE" w14:textId="24819D26" w:rsidR="001B095E" w:rsidRDefault="001B095E">
    <w:pPr>
      <w:pStyle w:val="Header"/>
    </w:pPr>
    <w:r>
      <w:rPr>
        <w:noProof/>
      </w:rPr>
      <mc:AlternateContent>
        <mc:Choice Requires="wps">
          <w:drawing>
            <wp:anchor distT="0" distB="0" distL="114300" distR="114300" simplePos="0" relativeHeight="251658240" behindDoc="0" locked="0" layoutInCell="0" allowOverlap="1" wp14:anchorId="1B768390" wp14:editId="6004419D">
              <wp:simplePos x="0" y="0"/>
              <wp:positionH relativeFrom="page">
                <wp:posOffset>0</wp:posOffset>
              </wp:positionH>
              <wp:positionV relativeFrom="page">
                <wp:posOffset>190500</wp:posOffset>
              </wp:positionV>
              <wp:extent cx="7772400" cy="266700"/>
              <wp:effectExtent l="0" t="0" r="0" b="0"/>
              <wp:wrapNone/>
              <wp:docPr id="2" name="MSIPCM6b864fb1b6271acd642746ed" descr="{&quot;HashCode&quot;:9291258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A69C97" w14:textId="52DD2CFA" w:rsidR="001B095E" w:rsidRPr="00F616B1" w:rsidRDefault="001B095E" w:rsidP="00F616B1">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768390" id="_x0000_t202" coordsize="21600,21600" o:spt="202" path="m,l,21600r21600,l21600,xe">
              <v:stroke joinstyle="miter"/>
              <v:path gradientshapeok="t" o:connecttype="rect"/>
            </v:shapetype>
            <v:shape id="MSIPCM6b864fb1b6271acd642746ed" o:spid="_x0000_s1027" type="#_x0000_t202" alt="{&quot;HashCode&quot;:92912587,&quot;Height&quot;:792.0,&quot;Width&quot;:612.0,&quot;Placement&quot;:&quot;Header&quot;,&quot;Index&quot;:&quot;FirstPage&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" o:allowincell="f" filled="f" stroked="f" strokeweight=".5pt">
              <v:textbox inset=",0,,0">
                <w:txbxContent>
                  <w:p w14:paraId="53A69C97" w14:textId="52DD2CFA" w:rsidR="001B095E" w:rsidRPr="00F616B1" w:rsidRDefault="001B095E" w:rsidP="00F616B1">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5161"/>
    <w:multiLevelType w:val="hybridMultilevel"/>
    <w:tmpl w:val="5A1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47860"/>
    <w:multiLevelType w:val="hybridMultilevel"/>
    <w:tmpl w:val="BDB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35B066AB"/>
    <w:multiLevelType w:val="hybridMultilevel"/>
    <w:tmpl w:val="12C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91B5B"/>
    <w:multiLevelType w:val="hybridMultilevel"/>
    <w:tmpl w:val="51E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334CE6"/>
    <w:multiLevelType w:val="hybridMultilevel"/>
    <w:tmpl w:val="BE30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B442C"/>
    <w:multiLevelType w:val="hybridMultilevel"/>
    <w:tmpl w:val="165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D2B23"/>
    <w:multiLevelType w:val="hybridMultilevel"/>
    <w:tmpl w:val="34F4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E91307"/>
    <w:multiLevelType w:val="hybridMultilevel"/>
    <w:tmpl w:val="CFDE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6"/>
  </w:num>
  <w:num w:numId="4">
    <w:abstractNumId w:val="8"/>
  </w:num>
  <w:num w:numId="5">
    <w:abstractNumId w:val="2"/>
  </w:num>
  <w:num w:numId="6">
    <w:abstractNumId w:val="9"/>
  </w:num>
  <w:num w:numId="7">
    <w:abstractNumId w:val="7"/>
  </w:num>
  <w:num w:numId="8">
    <w:abstractNumId w:val="0"/>
  </w:num>
  <w:num w:numId="9">
    <w:abstractNumId w:val="4"/>
  </w:num>
  <w:num w:numId="10">
    <w:abstractNumId w:val="10"/>
  </w:num>
  <w:num w:numId="11">
    <w:abstractNumId w:val="11"/>
  </w:num>
  <w:num w:numId="12">
    <w:abstractNumId w:val="3"/>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90"/>
    <w:rsid w:val="0000007C"/>
    <w:rsid w:val="00002127"/>
    <w:rsid w:val="0000305D"/>
    <w:rsid w:val="00003A58"/>
    <w:rsid w:val="00004A34"/>
    <w:rsid w:val="00004D97"/>
    <w:rsid w:val="00004E01"/>
    <w:rsid w:val="00014E36"/>
    <w:rsid w:val="0002024D"/>
    <w:rsid w:val="00020AB2"/>
    <w:rsid w:val="00024ECA"/>
    <w:rsid w:val="00026BA2"/>
    <w:rsid w:val="000322A9"/>
    <w:rsid w:val="000354FA"/>
    <w:rsid w:val="0003588A"/>
    <w:rsid w:val="00036FEC"/>
    <w:rsid w:val="00040E17"/>
    <w:rsid w:val="00041471"/>
    <w:rsid w:val="00043468"/>
    <w:rsid w:val="000436E9"/>
    <w:rsid w:val="0005366B"/>
    <w:rsid w:val="00055C05"/>
    <w:rsid w:val="000561C9"/>
    <w:rsid w:val="00057E4E"/>
    <w:rsid w:val="0006335A"/>
    <w:rsid w:val="00072256"/>
    <w:rsid w:val="00072448"/>
    <w:rsid w:val="000751DA"/>
    <w:rsid w:val="00080D5F"/>
    <w:rsid w:val="000814A5"/>
    <w:rsid w:val="000838BE"/>
    <w:rsid w:val="000854B7"/>
    <w:rsid w:val="00085D06"/>
    <w:rsid w:val="00093E92"/>
    <w:rsid w:val="000A27CA"/>
    <w:rsid w:val="000A5308"/>
    <w:rsid w:val="000A64ED"/>
    <w:rsid w:val="000A7D1F"/>
    <w:rsid w:val="000B1607"/>
    <w:rsid w:val="000B55C6"/>
    <w:rsid w:val="000B723A"/>
    <w:rsid w:val="000C22B5"/>
    <w:rsid w:val="000C47F2"/>
    <w:rsid w:val="000C56A4"/>
    <w:rsid w:val="000D0906"/>
    <w:rsid w:val="000D3639"/>
    <w:rsid w:val="000D5216"/>
    <w:rsid w:val="000D61A1"/>
    <w:rsid w:val="000D76E7"/>
    <w:rsid w:val="000D7CAB"/>
    <w:rsid w:val="000E00B4"/>
    <w:rsid w:val="000E032C"/>
    <w:rsid w:val="000E11CB"/>
    <w:rsid w:val="000F2C1E"/>
    <w:rsid w:val="000F3E00"/>
    <w:rsid w:val="000F5079"/>
    <w:rsid w:val="001009D2"/>
    <w:rsid w:val="0010362F"/>
    <w:rsid w:val="00103D50"/>
    <w:rsid w:val="00104D16"/>
    <w:rsid w:val="00106060"/>
    <w:rsid w:val="00106249"/>
    <w:rsid w:val="00114B14"/>
    <w:rsid w:val="00116835"/>
    <w:rsid w:val="001175E1"/>
    <w:rsid w:val="001240FD"/>
    <w:rsid w:val="001244E0"/>
    <w:rsid w:val="00125F00"/>
    <w:rsid w:val="0012726A"/>
    <w:rsid w:val="00141EBE"/>
    <w:rsid w:val="00144346"/>
    <w:rsid w:val="00145F34"/>
    <w:rsid w:val="00146600"/>
    <w:rsid w:val="00146B5E"/>
    <w:rsid w:val="001470C0"/>
    <w:rsid w:val="001475FE"/>
    <w:rsid w:val="00147B28"/>
    <w:rsid w:val="00150CA6"/>
    <w:rsid w:val="00152D2F"/>
    <w:rsid w:val="00152FDA"/>
    <w:rsid w:val="001551A1"/>
    <w:rsid w:val="001552DA"/>
    <w:rsid w:val="00163BBE"/>
    <w:rsid w:val="00176D66"/>
    <w:rsid w:val="00181F00"/>
    <w:rsid w:val="00184F0D"/>
    <w:rsid w:val="0019407A"/>
    <w:rsid w:val="0019691F"/>
    <w:rsid w:val="001974D5"/>
    <w:rsid w:val="0019791F"/>
    <w:rsid w:val="001A29CA"/>
    <w:rsid w:val="001A4577"/>
    <w:rsid w:val="001A5E0A"/>
    <w:rsid w:val="001A6B7C"/>
    <w:rsid w:val="001A7291"/>
    <w:rsid w:val="001B095E"/>
    <w:rsid w:val="001B40FA"/>
    <w:rsid w:val="001B49BD"/>
    <w:rsid w:val="001B4DDD"/>
    <w:rsid w:val="001B6B4A"/>
    <w:rsid w:val="001B7575"/>
    <w:rsid w:val="001B7F83"/>
    <w:rsid w:val="001C3324"/>
    <w:rsid w:val="001C3703"/>
    <w:rsid w:val="001C4203"/>
    <w:rsid w:val="001C4D3A"/>
    <w:rsid w:val="001C4FC0"/>
    <w:rsid w:val="001C5D46"/>
    <w:rsid w:val="001D0C9B"/>
    <w:rsid w:val="001D7C1F"/>
    <w:rsid w:val="001E52EB"/>
    <w:rsid w:val="001E66A2"/>
    <w:rsid w:val="001E69DB"/>
    <w:rsid w:val="001F0B06"/>
    <w:rsid w:val="001F1BF8"/>
    <w:rsid w:val="001F2664"/>
    <w:rsid w:val="001F47CB"/>
    <w:rsid w:val="00201D68"/>
    <w:rsid w:val="002031FC"/>
    <w:rsid w:val="00204D0F"/>
    <w:rsid w:val="00215A17"/>
    <w:rsid w:val="0022552F"/>
    <w:rsid w:val="002265E9"/>
    <w:rsid w:val="00226A6A"/>
    <w:rsid w:val="00230385"/>
    <w:rsid w:val="00233B3F"/>
    <w:rsid w:val="002401B4"/>
    <w:rsid w:val="00241BAC"/>
    <w:rsid w:val="00241BFD"/>
    <w:rsid w:val="00250418"/>
    <w:rsid w:val="002517ED"/>
    <w:rsid w:val="00251C88"/>
    <w:rsid w:val="00252CD0"/>
    <w:rsid w:val="00253C62"/>
    <w:rsid w:val="002611D2"/>
    <w:rsid w:val="00262921"/>
    <w:rsid w:val="002677D6"/>
    <w:rsid w:val="0027273D"/>
    <w:rsid w:val="002762DE"/>
    <w:rsid w:val="00285E62"/>
    <w:rsid w:val="0028677A"/>
    <w:rsid w:val="00286DEA"/>
    <w:rsid w:val="0029205A"/>
    <w:rsid w:val="00292163"/>
    <w:rsid w:val="0029476E"/>
    <w:rsid w:val="00296592"/>
    <w:rsid w:val="002A2378"/>
    <w:rsid w:val="002A262E"/>
    <w:rsid w:val="002A2A4E"/>
    <w:rsid w:val="002A5F2B"/>
    <w:rsid w:val="002A6174"/>
    <w:rsid w:val="002B293D"/>
    <w:rsid w:val="002B43A6"/>
    <w:rsid w:val="002B62A0"/>
    <w:rsid w:val="002B69CF"/>
    <w:rsid w:val="002C0ECB"/>
    <w:rsid w:val="002C23E9"/>
    <w:rsid w:val="002C6A67"/>
    <w:rsid w:val="002D3818"/>
    <w:rsid w:val="002D7EBF"/>
    <w:rsid w:val="002E34B5"/>
    <w:rsid w:val="002F38BC"/>
    <w:rsid w:val="00301E17"/>
    <w:rsid w:val="0031589B"/>
    <w:rsid w:val="00317A96"/>
    <w:rsid w:val="00321793"/>
    <w:rsid w:val="00321EB8"/>
    <w:rsid w:val="00323139"/>
    <w:rsid w:val="00324D93"/>
    <w:rsid w:val="00332BC6"/>
    <w:rsid w:val="003331C8"/>
    <w:rsid w:val="00335092"/>
    <w:rsid w:val="003400C1"/>
    <w:rsid w:val="00341866"/>
    <w:rsid w:val="00346FFD"/>
    <w:rsid w:val="00352333"/>
    <w:rsid w:val="00355832"/>
    <w:rsid w:val="0035625E"/>
    <w:rsid w:val="00356E26"/>
    <w:rsid w:val="00361561"/>
    <w:rsid w:val="00366669"/>
    <w:rsid w:val="00370763"/>
    <w:rsid w:val="00374409"/>
    <w:rsid w:val="00376A65"/>
    <w:rsid w:val="00381700"/>
    <w:rsid w:val="003825F0"/>
    <w:rsid w:val="00386BED"/>
    <w:rsid w:val="00390EEA"/>
    <w:rsid w:val="003911C0"/>
    <w:rsid w:val="003A1D7A"/>
    <w:rsid w:val="003B053D"/>
    <w:rsid w:val="003B1A9C"/>
    <w:rsid w:val="003B4D70"/>
    <w:rsid w:val="003C1644"/>
    <w:rsid w:val="003C1F91"/>
    <w:rsid w:val="003C21E6"/>
    <w:rsid w:val="003C5B35"/>
    <w:rsid w:val="003D6813"/>
    <w:rsid w:val="003E6777"/>
    <w:rsid w:val="003F1774"/>
    <w:rsid w:val="003F32A9"/>
    <w:rsid w:val="003F3F52"/>
    <w:rsid w:val="003F4230"/>
    <w:rsid w:val="003F4CC9"/>
    <w:rsid w:val="00402288"/>
    <w:rsid w:val="00414715"/>
    <w:rsid w:val="00417373"/>
    <w:rsid w:val="00417DE1"/>
    <w:rsid w:val="004230B0"/>
    <w:rsid w:val="00423C49"/>
    <w:rsid w:val="0042785C"/>
    <w:rsid w:val="00430164"/>
    <w:rsid w:val="00432C41"/>
    <w:rsid w:val="0043489E"/>
    <w:rsid w:val="004374D3"/>
    <w:rsid w:val="00445DDF"/>
    <w:rsid w:val="004530E0"/>
    <w:rsid w:val="00453F74"/>
    <w:rsid w:val="00455A33"/>
    <w:rsid w:val="00455C4D"/>
    <w:rsid w:val="004605D1"/>
    <w:rsid w:val="00462DBE"/>
    <w:rsid w:val="00470106"/>
    <w:rsid w:val="0047321C"/>
    <w:rsid w:val="004750C1"/>
    <w:rsid w:val="004760FD"/>
    <w:rsid w:val="00484FC3"/>
    <w:rsid w:val="0048505F"/>
    <w:rsid w:val="004855F2"/>
    <w:rsid w:val="004866D0"/>
    <w:rsid w:val="00487256"/>
    <w:rsid w:val="00487BA3"/>
    <w:rsid w:val="00490E50"/>
    <w:rsid w:val="00493451"/>
    <w:rsid w:val="00495E04"/>
    <w:rsid w:val="004A0580"/>
    <w:rsid w:val="004A2194"/>
    <w:rsid w:val="004A51DF"/>
    <w:rsid w:val="004A628A"/>
    <w:rsid w:val="004A6E59"/>
    <w:rsid w:val="004B1355"/>
    <w:rsid w:val="004B2FD4"/>
    <w:rsid w:val="004B5341"/>
    <w:rsid w:val="004B665B"/>
    <w:rsid w:val="004C36C3"/>
    <w:rsid w:val="004C3BB0"/>
    <w:rsid w:val="004C3C65"/>
    <w:rsid w:val="004D1EE5"/>
    <w:rsid w:val="004D4CD3"/>
    <w:rsid w:val="004D53C3"/>
    <w:rsid w:val="004D6B95"/>
    <w:rsid w:val="004D778A"/>
    <w:rsid w:val="004D79AA"/>
    <w:rsid w:val="004E2B11"/>
    <w:rsid w:val="004E7AB0"/>
    <w:rsid w:val="004F16D2"/>
    <w:rsid w:val="004F3E67"/>
    <w:rsid w:val="004F57B7"/>
    <w:rsid w:val="005033BF"/>
    <w:rsid w:val="0050437A"/>
    <w:rsid w:val="005054E9"/>
    <w:rsid w:val="00510E5A"/>
    <w:rsid w:val="00515CA5"/>
    <w:rsid w:val="00517B18"/>
    <w:rsid w:val="00521ABE"/>
    <w:rsid w:val="00524B22"/>
    <w:rsid w:val="00530BB4"/>
    <w:rsid w:val="0053163A"/>
    <w:rsid w:val="005320C7"/>
    <w:rsid w:val="00532463"/>
    <w:rsid w:val="00533A98"/>
    <w:rsid w:val="005346F4"/>
    <w:rsid w:val="00534B97"/>
    <w:rsid w:val="005358CB"/>
    <w:rsid w:val="005359ED"/>
    <w:rsid w:val="00537276"/>
    <w:rsid w:val="0054477B"/>
    <w:rsid w:val="00551B13"/>
    <w:rsid w:val="005521E7"/>
    <w:rsid w:val="0055344C"/>
    <w:rsid w:val="005554A9"/>
    <w:rsid w:val="00556AC8"/>
    <w:rsid w:val="00562351"/>
    <w:rsid w:val="00562387"/>
    <w:rsid w:val="00565945"/>
    <w:rsid w:val="005665D1"/>
    <w:rsid w:val="005701E9"/>
    <w:rsid w:val="0057644D"/>
    <w:rsid w:val="00577139"/>
    <w:rsid w:val="005778C9"/>
    <w:rsid w:val="00584568"/>
    <w:rsid w:val="0058734A"/>
    <w:rsid w:val="0058744A"/>
    <w:rsid w:val="005916D2"/>
    <w:rsid w:val="00592AD7"/>
    <w:rsid w:val="00594550"/>
    <w:rsid w:val="005953A4"/>
    <w:rsid w:val="0059780B"/>
    <w:rsid w:val="005A02C5"/>
    <w:rsid w:val="005A3CFC"/>
    <w:rsid w:val="005A6D8E"/>
    <w:rsid w:val="005B0E46"/>
    <w:rsid w:val="005B154D"/>
    <w:rsid w:val="005B58F4"/>
    <w:rsid w:val="005C0F22"/>
    <w:rsid w:val="005C1CC1"/>
    <w:rsid w:val="005D0272"/>
    <w:rsid w:val="005D1D42"/>
    <w:rsid w:val="005D7DF6"/>
    <w:rsid w:val="005E318F"/>
    <w:rsid w:val="005E6B6B"/>
    <w:rsid w:val="005F0F82"/>
    <w:rsid w:val="00603DFB"/>
    <w:rsid w:val="006053EE"/>
    <w:rsid w:val="00606103"/>
    <w:rsid w:val="006064BB"/>
    <w:rsid w:val="006070B9"/>
    <w:rsid w:val="00615607"/>
    <w:rsid w:val="0061716D"/>
    <w:rsid w:val="00617E46"/>
    <w:rsid w:val="0062025E"/>
    <w:rsid w:val="00625882"/>
    <w:rsid w:val="006276C9"/>
    <w:rsid w:val="006400D4"/>
    <w:rsid w:val="00640E66"/>
    <w:rsid w:val="00647B24"/>
    <w:rsid w:val="00652CB9"/>
    <w:rsid w:val="00655152"/>
    <w:rsid w:val="00656DF0"/>
    <w:rsid w:val="0065768D"/>
    <w:rsid w:val="00660961"/>
    <w:rsid w:val="00660964"/>
    <w:rsid w:val="00663000"/>
    <w:rsid w:val="00672BEA"/>
    <w:rsid w:val="00681157"/>
    <w:rsid w:val="0068483B"/>
    <w:rsid w:val="006902C3"/>
    <w:rsid w:val="0069142C"/>
    <w:rsid w:val="00692852"/>
    <w:rsid w:val="00694675"/>
    <w:rsid w:val="006950DF"/>
    <w:rsid w:val="00695504"/>
    <w:rsid w:val="006A2074"/>
    <w:rsid w:val="006A4D89"/>
    <w:rsid w:val="006A60CF"/>
    <w:rsid w:val="006A64E7"/>
    <w:rsid w:val="006B4821"/>
    <w:rsid w:val="006C0407"/>
    <w:rsid w:val="006C550B"/>
    <w:rsid w:val="006C57B1"/>
    <w:rsid w:val="006D43D5"/>
    <w:rsid w:val="006D549E"/>
    <w:rsid w:val="006E6000"/>
    <w:rsid w:val="006E7FB0"/>
    <w:rsid w:val="006F3D6F"/>
    <w:rsid w:val="006F4A80"/>
    <w:rsid w:val="006F4CBB"/>
    <w:rsid w:val="006F77BE"/>
    <w:rsid w:val="0070048D"/>
    <w:rsid w:val="00701F44"/>
    <w:rsid w:val="00702F74"/>
    <w:rsid w:val="00703DFC"/>
    <w:rsid w:val="007050F2"/>
    <w:rsid w:val="0070558B"/>
    <w:rsid w:val="0071251E"/>
    <w:rsid w:val="00713943"/>
    <w:rsid w:val="00715910"/>
    <w:rsid w:val="00715E3C"/>
    <w:rsid w:val="00720B54"/>
    <w:rsid w:val="00720E07"/>
    <w:rsid w:val="00723199"/>
    <w:rsid w:val="00724CBD"/>
    <w:rsid w:val="00725908"/>
    <w:rsid w:val="0072643A"/>
    <w:rsid w:val="00727A9F"/>
    <w:rsid w:val="00730BA0"/>
    <w:rsid w:val="00731F88"/>
    <w:rsid w:val="007341B0"/>
    <w:rsid w:val="00750DA1"/>
    <w:rsid w:val="00752E4A"/>
    <w:rsid w:val="0075407F"/>
    <w:rsid w:val="0075594B"/>
    <w:rsid w:val="007636F4"/>
    <w:rsid w:val="00764A91"/>
    <w:rsid w:val="00766823"/>
    <w:rsid w:val="007724B8"/>
    <w:rsid w:val="007726D7"/>
    <w:rsid w:val="00773856"/>
    <w:rsid w:val="0078241C"/>
    <w:rsid w:val="00783AD0"/>
    <w:rsid w:val="00785CF9"/>
    <w:rsid w:val="00792A01"/>
    <w:rsid w:val="0079477E"/>
    <w:rsid w:val="007957B9"/>
    <w:rsid w:val="007A067E"/>
    <w:rsid w:val="007A46B4"/>
    <w:rsid w:val="007A5C4A"/>
    <w:rsid w:val="007A6D53"/>
    <w:rsid w:val="007B383B"/>
    <w:rsid w:val="007D0362"/>
    <w:rsid w:val="007D2400"/>
    <w:rsid w:val="007D4A4A"/>
    <w:rsid w:val="007E3E3D"/>
    <w:rsid w:val="007E52AC"/>
    <w:rsid w:val="007E6973"/>
    <w:rsid w:val="007E699A"/>
    <w:rsid w:val="007E7573"/>
    <w:rsid w:val="007F0AFE"/>
    <w:rsid w:val="007F4F00"/>
    <w:rsid w:val="007F4F94"/>
    <w:rsid w:val="007F7E3C"/>
    <w:rsid w:val="00802E90"/>
    <w:rsid w:val="008035F0"/>
    <w:rsid w:val="00805694"/>
    <w:rsid w:val="00810CEC"/>
    <w:rsid w:val="008164E3"/>
    <w:rsid w:val="00823FC2"/>
    <w:rsid w:val="00824E90"/>
    <w:rsid w:val="00825C98"/>
    <w:rsid w:val="00827DA2"/>
    <w:rsid w:val="00831DBA"/>
    <w:rsid w:val="0083270A"/>
    <w:rsid w:val="00834B9E"/>
    <w:rsid w:val="0083507A"/>
    <w:rsid w:val="008410EA"/>
    <w:rsid w:val="00841CCE"/>
    <w:rsid w:val="00852671"/>
    <w:rsid w:val="00855434"/>
    <w:rsid w:val="0086417D"/>
    <w:rsid w:val="00865949"/>
    <w:rsid w:val="00865E72"/>
    <w:rsid w:val="0086706C"/>
    <w:rsid w:val="00871390"/>
    <w:rsid w:val="0087254C"/>
    <w:rsid w:val="00880EEA"/>
    <w:rsid w:val="008814F7"/>
    <w:rsid w:val="00884BAD"/>
    <w:rsid w:val="00887A76"/>
    <w:rsid w:val="00887D7E"/>
    <w:rsid w:val="00891E91"/>
    <w:rsid w:val="00893FB3"/>
    <w:rsid w:val="008956A4"/>
    <w:rsid w:val="008A01C0"/>
    <w:rsid w:val="008A6480"/>
    <w:rsid w:val="008B5814"/>
    <w:rsid w:val="008C2E94"/>
    <w:rsid w:val="008D2F61"/>
    <w:rsid w:val="008D377B"/>
    <w:rsid w:val="008D61CE"/>
    <w:rsid w:val="008D7DF2"/>
    <w:rsid w:val="008E014A"/>
    <w:rsid w:val="008E4CB7"/>
    <w:rsid w:val="008E4F8D"/>
    <w:rsid w:val="008E7889"/>
    <w:rsid w:val="008F4052"/>
    <w:rsid w:val="008F66AB"/>
    <w:rsid w:val="00900278"/>
    <w:rsid w:val="00906BFB"/>
    <w:rsid w:val="009124A0"/>
    <w:rsid w:val="009125EB"/>
    <w:rsid w:val="009131BC"/>
    <w:rsid w:val="0091686D"/>
    <w:rsid w:val="00920A1C"/>
    <w:rsid w:val="00924B80"/>
    <w:rsid w:val="00925497"/>
    <w:rsid w:val="00934FCC"/>
    <w:rsid w:val="009368BD"/>
    <w:rsid w:val="00937BCD"/>
    <w:rsid w:val="009447D3"/>
    <w:rsid w:val="009537F4"/>
    <w:rsid w:val="00953BFD"/>
    <w:rsid w:val="00956FF9"/>
    <w:rsid w:val="00957A3A"/>
    <w:rsid w:val="00961DAE"/>
    <w:rsid w:val="0096244F"/>
    <w:rsid w:val="00966148"/>
    <w:rsid w:val="009679E3"/>
    <w:rsid w:val="009713C5"/>
    <w:rsid w:val="0097434D"/>
    <w:rsid w:val="009743F4"/>
    <w:rsid w:val="00977E05"/>
    <w:rsid w:val="00981DA2"/>
    <w:rsid w:val="0099139C"/>
    <w:rsid w:val="00991D87"/>
    <w:rsid w:val="0099287A"/>
    <w:rsid w:val="009929A6"/>
    <w:rsid w:val="009947B6"/>
    <w:rsid w:val="00994B38"/>
    <w:rsid w:val="00997AE4"/>
    <w:rsid w:val="00997B63"/>
    <w:rsid w:val="009A1881"/>
    <w:rsid w:val="009A4614"/>
    <w:rsid w:val="009A51BA"/>
    <w:rsid w:val="009A61E8"/>
    <w:rsid w:val="009A7153"/>
    <w:rsid w:val="009B0172"/>
    <w:rsid w:val="009B7DFA"/>
    <w:rsid w:val="009C2E1C"/>
    <w:rsid w:val="009C4E56"/>
    <w:rsid w:val="009D505F"/>
    <w:rsid w:val="009D6AB3"/>
    <w:rsid w:val="009E1DA1"/>
    <w:rsid w:val="009E205B"/>
    <w:rsid w:val="009E2813"/>
    <w:rsid w:val="009F47BC"/>
    <w:rsid w:val="009F4AB4"/>
    <w:rsid w:val="009F71DC"/>
    <w:rsid w:val="009F7CE3"/>
    <w:rsid w:val="00A02006"/>
    <w:rsid w:val="00A02CD2"/>
    <w:rsid w:val="00A073B8"/>
    <w:rsid w:val="00A0763E"/>
    <w:rsid w:val="00A10B21"/>
    <w:rsid w:val="00A13709"/>
    <w:rsid w:val="00A15BF1"/>
    <w:rsid w:val="00A17794"/>
    <w:rsid w:val="00A33B2B"/>
    <w:rsid w:val="00A34319"/>
    <w:rsid w:val="00A34518"/>
    <w:rsid w:val="00A35158"/>
    <w:rsid w:val="00A3726A"/>
    <w:rsid w:val="00A40B65"/>
    <w:rsid w:val="00A4355D"/>
    <w:rsid w:val="00A439EA"/>
    <w:rsid w:val="00A46BD3"/>
    <w:rsid w:val="00A51FCA"/>
    <w:rsid w:val="00A52502"/>
    <w:rsid w:val="00A536DA"/>
    <w:rsid w:val="00A56980"/>
    <w:rsid w:val="00A60681"/>
    <w:rsid w:val="00A711DB"/>
    <w:rsid w:val="00A72F11"/>
    <w:rsid w:val="00A74600"/>
    <w:rsid w:val="00A83ABA"/>
    <w:rsid w:val="00A85DE0"/>
    <w:rsid w:val="00A96311"/>
    <w:rsid w:val="00A9631E"/>
    <w:rsid w:val="00A967B1"/>
    <w:rsid w:val="00AA2FBE"/>
    <w:rsid w:val="00AA33E5"/>
    <w:rsid w:val="00AA4FE7"/>
    <w:rsid w:val="00AA62F6"/>
    <w:rsid w:val="00AA7819"/>
    <w:rsid w:val="00AB0A99"/>
    <w:rsid w:val="00AB1565"/>
    <w:rsid w:val="00AB20D8"/>
    <w:rsid w:val="00AB436E"/>
    <w:rsid w:val="00AC1CD9"/>
    <w:rsid w:val="00AC4CC5"/>
    <w:rsid w:val="00AC614A"/>
    <w:rsid w:val="00AC7096"/>
    <w:rsid w:val="00AC7480"/>
    <w:rsid w:val="00AD4E00"/>
    <w:rsid w:val="00AE0995"/>
    <w:rsid w:val="00AE4572"/>
    <w:rsid w:val="00AE61E0"/>
    <w:rsid w:val="00AF4F93"/>
    <w:rsid w:val="00B018B9"/>
    <w:rsid w:val="00B1101F"/>
    <w:rsid w:val="00B202A3"/>
    <w:rsid w:val="00B2135A"/>
    <w:rsid w:val="00B2439B"/>
    <w:rsid w:val="00B3254F"/>
    <w:rsid w:val="00B33628"/>
    <w:rsid w:val="00B337D1"/>
    <w:rsid w:val="00B3471E"/>
    <w:rsid w:val="00B36EF3"/>
    <w:rsid w:val="00B43366"/>
    <w:rsid w:val="00B4345E"/>
    <w:rsid w:val="00B4431A"/>
    <w:rsid w:val="00B460AF"/>
    <w:rsid w:val="00B47AB9"/>
    <w:rsid w:val="00B52047"/>
    <w:rsid w:val="00B629F0"/>
    <w:rsid w:val="00B62B35"/>
    <w:rsid w:val="00B65449"/>
    <w:rsid w:val="00B710EA"/>
    <w:rsid w:val="00B75595"/>
    <w:rsid w:val="00B757A7"/>
    <w:rsid w:val="00B77757"/>
    <w:rsid w:val="00B806DB"/>
    <w:rsid w:val="00B81BC5"/>
    <w:rsid w:val="00B835C5"/>
    <w:rsid w:val="00B85F39"/>
    <w:rsid w:val="00B94AA8"/>
    <w:rsid w:val="00B96593"/>
    <w:rsid w:val="00B97BC8"/>
    <w:rsid w:val="00BA7702"/>
    <w:rsid w:val="00BB0D1B"/>
    <w:rsid w:val="00BB0FE9"/>
    <w:rsid w:val="00BB1C54"/>
    <w:rsid w:val="00BB61B4"/>
    <w:rsid w:val="00BC1B93"/>
    <w:rsid w:val="00BC6FD9"/>
    <w:rsid w:val="00BD0A6B"/>
    <w:rsid w:val="00BD0F59"/>
    <w:rsid w:val="00BD15D4"/>
    <w:rsid w:val="00BE16AD"/>
    <w:rsid w:val="00BE71E2"/>
    <w:rsid w:val="00BF0461"/>
    <w:rsid w:val="00BF144D"/>
    <w:rsid w:val="00BF72E1"/>
    <w:rsid w:val="00C01B8E"/>
    <w:rsid w:val="00C0487E"/>
    <w:rsid w:val="00C056FE"/>
    <w:rsid w:val="00C05E2D"/>
    <w:rsid w:val="00C1080B"/>
    <w:rsid w:val="00C13000"/>
    <w:rsid w:val="00C13D4D"/>
    <w:rsid w:val="00C1462E"/>
    <w:rsid w:val="00C14CA1"/>
    <w:rsid w:val="00C209EA"/>
    <w:rsid w:val="00C20BA6"/>
    <w:rsid w:val="00C211B3"/>
    <w:rsid w:val="00C2242E"/>
    <w:rsid w:val="00C2490D"/>
    <w:rsid w:val="00C26871"/>
    <w:rsid w:val="00C3310F"/>
    <w:rsid w:val="00C33BBC"/>
    <w:rsid w:val="00C35212"/>
    <w:rsid w:val="00C40621"/>
    <w:rsid w:val="00C41016"/>
    <w:rsid w:val="00C41350"/>
    <w:rsid w:val="00C432BC"/>
    <w:rsid w:val="00C446C7"/>
    <w:rsid w:val="00C4788A"/>
    <w:rsid w:val="00C531D6"/>
    <w:rsid w:val="00C53513"/>
    <w:rsid w:val="00C538C7"/>
    <w:rsid w:val="00C56512"/>
    <w:rsid w:val="00C62221"/>
    <w:rsid w:val="00C63FEE"/>
    <w:rsid w:val="00C70D6C"/>
    <w:rsid w:val="00C71F08"/>
    <w:rsid w:val="00C725B5"/>
    <w:rsid w:val="00C775FE"/>
    <w:rsid w:val="00C818BC"/>
    <w:rsid w:val="00C856C1"/>
    <w:rsid w:val="00C936A0"/>
    <w:rsid w:val="00C950B8"/>
    <w:rsid w:val="00C9728E"/>
    <w:rsid w:val="00C97402"/>
    <w:rsid w:val="00CA5395"/>
    <w:rsid w:val="00CA582B"/>
    <w:rsid w:val="00CA5988"/>
    <w:rsid w:val="00CA5D25"/>
    <w:rsid w:val="00CA7574"/>
    <w:rsid w:val="00CB10EF"/>
    <w:rsid w:val="00CB15DD"/>
    <w:rsid w:val="00CB2469"/>
    <w:rsid w:val="00CB324B"/>
    <w:rsid w:val="00CB4543"/>
    <w:rsid w:val="00CB5045"/>
    <w:rsid w:val="00CC084C"/>
    <w:rsid w:val="00CC23B2"/>
    <w:rsid w:val="00CC312A"/>
    <w:rsid w:val="00CC74B4"/>
    <w:rsid w:val="00CC7E71"/>
    <w:rsid w:val="00CD093F"/>
    <w:rsid w:val="00CD173A"/>
    <w:rsid w:val="00CD31E5"/>
    <w:rsid w:val="00CD787F"/>
    <w:rsid w:val="00CE0248"/>
    <w:rsid w:val="00CE0E93"/>
    <w:rsid w:val="00CE0EF2"/>
    <w:rsid w:val="00CE64F2"/>
    <w:rsid w:val="00CF0212"/>
    <w:rsid w:val="00CF4872"/>
    <w:rsid w:val="00CF4A57"/>
    <w:rsid w:val="00CF5B9A"/>
    <w:rsid w:val="00CF6E85"/>
    <w:rsid w:val="00D02D61"/>
    <w:rsid w:val="00D10325"/>
    <w:rsid w:val="00D119BD"/>
    <w:rsid w:val="00D119FE"/>
    <w:rsid w:val="00D20E2B"/>
    <w:rsid w:val="00D222BA"/>
    <w:rsid w:val="00D23599"/>
    <w:rsid w:val="00D308CE"/>
    <w:rsid w:val="00D33436"/>
    <w:rsid w:val="00D41C0A"/>
    <w:rsid w:val="00D43998"/>
    <w:rsid w:val="00D44616"/>
    <w:rsid w:val="00D46AC5"/>
    <w:rsid w:val="00D47828"/>
    <w:rsid w:val="00D53545"/>
    <w:rsid w:val="00D54123"/>
    <w:rsid w:val="00D60583"/>
    <w:rsid w:val="00D63246"/>
    <w:rsid w:val="00D63C82"/>
    <w:rsid w:val="00D64D00"/>
    <w:rsid w:val="00D67693"/>
    <w:rsid w:val="00D70310"/>
    <w:rsid w:val="00D73C85"/>
    <w:rsid w:val="00D76D45"/>
    <w:rsid w:val="00D77890"/>
    <w:rsid w:val="00D80633"/>
    <w:rsid w:val="00D85BF3"/>
    <w:rsid w:val="00D87C24"/>
    <w:rsid w:val="00D90CBF"/>
    <w:rsid w:val="00D90F2B"/>
    <w:rsid w:val="00D90F48"/>
    <w:rsid w:val="00D9166B"/>
    <w:rsid w:val="00D91D1B"/>
    <w:rsid w:val="00D92CB4"/>
    <w:rsid w:val="00D92CDB"/>
    <w:rsid w:val="00D93E95"/>
    <w:rsid w:val="00D94313"/>
    <w:rsid w:val="00D96098"/>
    <w:rsid w:val="00D97700"/>
    <w:rsid w:val="00DA134D"/>
    <w:rsid w:val="00DA5AC1"/>
    <w:rsid w:val="00DA6F3C"/>
    <w:rsid w:val="00DA7F57"/>
    <w:rsid w:val="00DB44CE"/>
    <w:rsid w:val="00DC05D3"/>
    <w:rsid w:val="00DC09DD"/>
    <w:rsid w:val="00DC0CCD"/>
    <w:rsid w:val="00DC4367"/>
    <w:rsid w:val="00DC4902"/>
    <w:rsid w:val="00DC60EC"/>
    <w:rsid w:val="00DD02E8"/>
    <w:rsid w:val="00DD0A4B"/>
    <w:rsid w:val="00DD3402"/>
    <w:rsid w:val="00DD3C10"/>
    <w:rsid w:val="00DD3E84"/>
    <w:rsid w:val="00DD64A0"/>
    <w:rsid w:val="00DE01AF"/>
    <w:rsid w:val="00DE0D07"/>
    <w:rsid w:val="00DF090C"/>
    <w:rsid w:val="00DF1AD4"/>
    <w:rsid w:val="00DF20AE"/>
    <w:rsid w:val="00DF281F"/>
    <w:rsid w:val="00DF3DC8"/>
    <w:rsid w:val="00DF4AB1"/>
    <w:rsid w:val="00DF57D1"/>
    <w:rsid w:val="00DF60F5"/>
    <w:rsid w:val="00DF7DBF"/>
    <w:rsid w:val="00E027CE"/>
    <w:rsid w:val="00E0745C"/>
    <w:rsid w:val="00E102DA"/>
    <w:rsid w:val="00E12C5A"/>
    <w:rsid w:val="00E146ED"/>
    <w:rsid w:val="00E2091C"/>
    <w:rsid w:val="00E23C2C"/>
    <w:rsid w:val="00E269CD"/>
    <w:rsid w:val="00E310B1"/>
    <w:rsid w:val="00E347E1"/>
    <w:rsid w:val="00E4230F"/>
    <w:rsid w:val="00E426AE"/>
    <w:rsid w:val="00E436DC"/>
    <w:rsid w:val="00E43FF3"/>
    <w:rsid w:val="00E52021"/>
    <w:rsid w:val="00E521EB"/>
    <w:rsid w:val="00E54A1B"/>
    <w:rsid w:val="00E57F5B"/>
    <w:rsid w:val="00E60318"/>
    <w:rsid w:val="00E6218B"/>
    <w:rsid w:val="00E6445A"/>
    <w:rsid w:val="00E6573E"/>
    <w:rsid w:val="00E77D25"/>
    <w:rsid w:val="00E817F1"/>
    <w:rsid w:val="00E81E89"/>
    <w:rsid w:val="00E87881"/>
    <w:rsid w:val="00E92ACF"/>
    <w:rsid w:val="00E956A6"/>
    <w:rsid w:val="00E9701C"/>
    <w:rsid w:val="00EA07A3"/>
    <w:rsid w:val="00EA26F9"/>
    <w:rsid w:val="00EA41F0"/>
    <w:rsid w:val="00EA4BF1"/>
    <w:rsid w:val="00EA50B2"/>
    <w:rsid w:val="00EA5404"/>
    <w:rsid w:val="00EA5739"/>
    <w:rsid w:val="00EA7385"/>
    <w:rsid w:val="00EB6EE6"/>
    <w:rsid w:val="00EB788E"/>
    <w:rsid w:val="00EC0705"/>
    <w:rsid w:val="00EC4610"/>
    <w:rsid w:val="00EC4C08"/>
    <w:rsid w:val="00EC657E"/>
    <w:rsid w:val="00EC7372"/>
    <w:rsid w:val="00ED108E"/>
    <w:rsid w:val="00ED7AAA"/>
    <w:rsid w:val="00EE2145"/>
    <w:rsid w:val="00EE4D69"/>
    <w:rsid w:val="00EE4F64"/>
    <w:rsid w:val="00EE5F32"/>
    <w:rsid w:val="00EE64A4"/>
    <w:rsid w:val="00EE66D8"/>
    <w:rsid w:val="00EF0E3A"/>
    <w:rsid w:val="00EF1CA3"/>
    <w:rsid w:val="00EF372D"/>
    <w:rsid w:val="00EF4F2A"/>
    <w:rsid w:val="00EF5878"/>
    <w:rsid w:val="00F02B46"/>
    <w:rsid w:val="00F035BD"/>
    <w:rsid w:val="00F04F98"/>
    <w:rsid w:val="00F05061"/>
    <w:rsid w:val="00F11F9C"/>
    <w:rsid w:val="00F15EB8"/>
    <w:rsid w:val="00F16BAD"/>
    <w:rsid w:val="00F17D46"/>
    <w:rsid w:val="00F2283B"/>
    <w:rsid w:val="00F23985"/>
    <w:rsid w:val="00F239CB"/>
    <w:rsid w:val="00F252DC"/>
    <w:rsid w:val="00F30FE9"/>
    <w:rsid w:val="00F31331"/>
    <w:rsid w:val="00F32B20"/>
    <w:rsid w:val="00F332D0"/>
    <w:rsid w:val="00F33CC9"/>
    <w:rsid w:val="00F34211"/>
    <w:rsid w:val="00F35B78"/>
    <w:rsid w:val="00F4212C"/>
    <w:rsid w:val="00F42509"/>
    <w:rsid w:val="00F500B7"/>
    <w:rsid w:val="00F50EDA"/>
    <w:rsid w:val="00F5423F"/>
    <w:rsid w:val="00F567F0"/>
    <w:rsid w:val="00F57AC4"/>
    <w:rsid w:val="00F616B1"/>
    <w:rsid w:val="00F619B0"/>
    <w:rsid w:val="00F62C6E"/>
    <w:rsid w:val="00F63C6E"/>
    <w:rsid w:val="00F63D05"/>
    <w:rsid w:val="00F6512C"/>
    <w:rsid w:val="00F65DD1"/>
    <w:rsid w:val="00F671A2"/>
    <w:rsid w:val="00F67CA1"/>
    <w:rsid w:val="00F703BA"/>
    <w:rsid w:val="00F72A15"/>
    <w:rsid w:val="00F730F8"/>
    <w:rsid w:val="00F738F2"/>
    <w:rsid w:val="00F75289"/>
    <w:rsid w:val="00F76482"/>
    <w:rsid w:val="00F80272"/>
    <w:rsid w:val="00F81786"/>
    <w:rsid w:val="00F82F43"/>
    <w:rsid w:val="00F8508A"/>
    <w:rsid w:val="00F86890"/>
    <w:rsid w:val="00F94545"/>
    <w:rsid w:val="00FA1071"/>
    <w:rsid w:val="00FA1560"/>
    <w:rsid w:val="00FA2A52"/>
    <w:rsid w:val="00FA4464"/>
    <w:rsid w:val="00FA654D"/>
    <w:rsid w:val="00FB3B37"/>
    <w:rsid w:val="00FB5088"/>
    <w:rsid w:val="00FB7DD6"/>
    <w:rsid w:val="00FC34C8"/>
    <w:rsid w:val="00FC4CD8"/>
    <w:rsid w:val="00FC5072"/>
    <w:rsid w:val="00FC5E3E"/>
    <w:rsid w:val="00FC69C5"/>
    <w:rsid w:val="00FE02F1"/>
    <w:rsid w:val="00FE439E"/>
    <w:rsid w:val="00FE709D"/>
    <w:rsid w:val="00FF1BE8"/>
    <w:rsid w:val="00FF25D0"/>
    <w:rsid w:val="00FF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10DE12"/>
  <w15:docId w15:val="{C2DF5FDC-E4D3-4272-AE0C-0FB3E885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FE709D"/>
    <w:rPr>
      <w:sz w:val="16"/>
      <w:szCs w:val="16"/>
    </w:rPr>
  </w:style>
  <w:style w:type="paragraph" w:styleId="CommentText">
    <w:name w:val="annotation text"/>
    <w:basedOn w:val="Normal"/>
    <w:link w:val="CommentTextChar"/>
    <w:rsid w:val="00FE709D"/>
    <w:rPr>
      <w:sz w:val="20"/>
      <w:szCs w:val="20"/>
    </w:rPr>
  </w:style>
  <w:style w:type="character" w:customStyle="1" w:styleId="CommentTextChar">
    <w:name w:val="Comment Text Char"/>
    <w:basedOn w:val="DefaultParagraphFont"/>
    <w:link w:val="CommentText"/>
    <w:rsid w:val="00FE709D"/>
  </w:style>
  <w:style w:type="paragraph" w:styleId="CommentSubject">
    <w:name w:val="annotation subject"/>
    <w:basedOn w:val="CommentText"/>
    <w:next w:val="CommentText"/>
    <w:link w:val="CommentSubjectChar"/>
    <w:rsid w:val="00FE709D"/>
    <w:rPr>
      <w:b/>
      <w:bCs/>
    </w:rPr>
  </w:style>
  <w:style w:type="character" w:customStyle="1" w:styleId="CommentSubjectChar">
    <w:name w:val="Comment Subject Char"/>
    <w:link w:val="CommentSubject"/>
    <w:rsid w:val="00FE709D"/>
    <w:rPr>
      <w:b/>
      <w:bCs/>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ED7AAA"/>
    <w:rPr>
      <w:sz w:val="22"/>
    </w:rPr>
  </w:style>
  <w:style w:type="paragraph" w:styleId="ListParagraph">
    <w:name w:val="List Paragraph"/>
    <w:basedOn w:val="Normal"/>
    <w:uiPriority w:val="34"/>
    <w:qFormat/>
    <w:rsid w:val="00660961"/>
    <w:pPr>
      <w:ind w:left="720"/>
      <w:contextualSpacing/>
    </w:pPr>
  </w:style>
  <w:style w:type="paragraph" w:styleId="Revision">
    <w:name w:val="Revision"/>
    <w:hidden/>
    <w:uiPriority w:val="99"/>
    <w:semiHidden/>
    <w:rsid w:val="00FC5072"/>
    <w:rPr>
      <w:sz w:val="26"/>
      <w:szCs w:val="24"/>
    </w:rPr>
  </w:style>
  <w:style w:type="character" w:styleId="UnresolvedMention">
    <w:name w:val="Unresolved Mention"/>
    <w:basedOn w:val="DefaultParagraphFont"/>
    <w:uiPriority w:val="99"/>
    <w:semiHidden/>
    <w:unhideWhenUsed/>
    <w:rsid w:val="000B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32707">
      <w:bodyDiv w:val="1"/>
      <w:marLeft w:val="0"/>
      <w:marRight w:val="0"/>
      <w:marTop w:val="0"/>
      <w:marBottom w:val="0"/>
      <w:divBdr>
        <w:top w:val="none" w:sz="0" w:space="0" w:color="auto"/>
        <w:left w:val="none" w:sz="0" w:space="0" w:color="auto"/>
        <w:bottom w:val="none" w:sz="0" w:space="0" w:color="auto"/>
        <w:right w:val="none" w:sz="0" w:space="0" w:color="auto"/>
      </w:divBdr>
    </w:div>
    <w:div w:id="176358597">
      <w:bodyDiv w:val="1"/>
      <w:marLeft w:val="0"/>
      <w:marRight w:val="0"/>
      <w:marTop w:val="0"/>
      <w:marBottom w:val="0"/>
      <w:divBdr>
        <w:top w:val="none" w:sz="0" w:space="0" w:color="auto"/>
        <w:left w:val="none" w:sz="0" w:space="0" w:color="auto"/>
        <w:bottom w:val="none" w:sz="0" w:space="0" w:color="auto"/>
        <w:right w:val="none" w:sz="0" w:space="0" w:color="auto"/>
      </w:divBdr>
    </w:div>
    <w:div w:id="465437088">
      <w:bodyDiv w:val="1"/>
      <w:marLeft w:val="0"/>
      <w:marRight w:val="0"/>
      <w:marTop w:val="0"/>
      <w:marBottom w:val="0"/>
      <w:divBdr>
        <w:top w:val="none" w:sz="0" w:space="0" w:color="auto"/>
        <w:left w:val="none" w:sz="0" w:space="0" w:color="auto"/>
        <w:bottom w:val="none" w:sz="0" w:space="0" w:color="auto"/>
        <w:right w:val="none" w:sz="0" w:space="0" w:color="auto"/>
      </w:divBdr>
    </w:div>
    <w:div w:id="536044151">
      <w:bodyDiv w:val="1"/>
      <w:marLeft w:val="0"/>
      <w:marRight w:val="0"/>
      <w:marTop w:val="0"/>
      <w:marBottom w:val="0"/>
      <w:divBdr>
        <w:top w:val="none" w:sz="0" w:space="0" w:color="auto"/>
        <w:left w:val="none" w:sz="0" w:space="0" w:color="auto"/>
        <w:bottom w:val="none" w:sz="0" w:space="0" w:color="auto"/>
        <w:right w:val="none" w:sz="0" w:space="0" w:color="auto"/>
      </w:divBdr>
    </w:div>
    <w:div w:id="551843827">
      <w:bodyDiv w:val="1"/>
      <w:marLeft w:val="0"/>
      <w:marRight w:val="0"/>
      <w:marTop w:val="0"/>
      <w:marBottom w:val="0"/>
      <w:divBdr>
        <w:top w:val="none" w:sz="0" w:space="0" w:color="auto"/>
        <w:left w:val="none" w:sz="0" w:space="0" w:color="auto"/>
        <w:bottom w:val="none" w:sz="0" w:space="0" w:color="auto"/>
        <w:right w:val="none" w:sz="0" w:space="0" w:color="auto"/>
      </w:divBdr>
    </w:div>
    <w:div w:id="651183727">
      <w:bodyDiv w:val="1"/>
      <w:marLeft w:val="0"/>
      <w:marRight w:val="0"/>
      <w:marTop w:val="0"/>
      <w:marBottom w:val="0"/>
      <w:divBdr>
        <w:top w:val="none" w:sz="0" w:space="0" w:color="auto"/>
        <w:left w:val="none" w:sz="0" w:space="0" w:color="auto"/>
        <w:bottom w:val="none" w:sz="0" w:space="0" w:color="auto"/>
        <w:right w:val="none" w:sz="0" w:space="0" w:color="auto"/>
      </w:divBdr>
    </w:div>
    <w:div w:id="702942412">
      <w:bodyDiv w:val="1"/>
      <w:marLeft w:val="0"/>
      <w:marRight w:val="0"/>
      <w:marTop w:val="0"/>
      <w:marBottom w:val="0"/>
      <w:divBdr>
        <w:top w:val="none" w:sz="0" w:space="0" w:color="auto"/>
        <w:left w:val="none" w:sz="0" w:space="0" w:color="auto"/>
        <w:bottom w:val="none" w:sz="0" w:space="0" w:color="auto"/>
        <w:right w:val="none" w:sz="0" w:space="0" w:color="auto"/>
      </w:divBdr>
    </w:div>
    <w:div w:id="767458610">
      <w:bodyDiv w:val="1"/>
      <w:marLeft w:val="0"/>
      <w:marRight w:val="0"/>
      <w:marTop w:val="0"/>
      <w:marBottom w:val="0"/>
      <w:divBdr>
        <w:top w:val="none" w:sz="0" w:space="0" w:color="auto"/>
        <w:left w:val="none" w:sz="0" w:space="0" w:color="auto"/>
        <w:bottom w:val="none" w:sz="0" w:space="0" w:color="auto"/>
        <w:right w:val="none" w:sz="0" w:space="0" w:color="auto"/>
      </w:divBdr>
    </w:div>
    <w:div w:id="894897693">
      <w:bodyDiv w:val="1"/>
      <w:marLeft w:val="0"/>
      <w:marRight w:val="0"/>
      <w:marTop w:val="0"/>
      <w:marBottom w:val="0"/>
      <w:divBdr>
        <w:top w:val="none" w:sz="0" w:space="0" w:color="auto"/>
        <w:left w:val="none" w:sz="0" w:space="0" w:color="auto"/>
        <w:bottom w:val="none" w:sz="0" w:space="0" w:color="auto"/>
        <w:right w:val="none" w:sz="0" w:space="0" w:color="auto"/>
      </w:divBdr>
    </w:div>
    <w:div w:id="1057895652">
      <w:bodyDiv w:val="1"/>
      <w:marLeft w:val="0"/>
      <w:marRight w:val="0"/>
      <w:marTop w:val="0"/>
      <w:marBottom w:val="0"/>
      <w:divBdr>
        <w:top w:val="none" w:sz="0" w:space="0" w:color="auto"/>
        <w:left w:val="none" w:sz="0" w:space="0" w:color="auto"/>
        <w:bottom w:val="none" w:sz="0" w:space="0" w:color="auto"/>
        <w:right w:val="none" w:sz="0" w:space="0" w:color="auto"/>
      </w:divBdr>
    </w:div>
    <w:div w:id="1499534438">
      <w:bodyDiv w:val="1"/>
      <w:marLeft w:val="0"/>
      <w:marRight w:val="0"/>
      <w:marTop w:val="0"/>
      <w:marBottom w:val="0"/>
      <w:divBdr>
        <w:top w:val="none" w:sz="0" w:space="0" w:color="auto"/>
        <w:left w:val="none" w:sz="0" w:space="0" w:color="auto"/>
        <w:bottom w:val="none" w:sz="0" w:space="0" w:color="auto"/>
        <w:right w:val="none" w:sz="0" w:space="0" w:color="auto"/>
      </w:divBdr>
    </w:div>
    <w:div w:id="1530141114">
      <w:bodyDiv w:val="1"/>
      <w:marLeft w:val="0"/>
      <w:marRight w:val="0"/>
      <w:marTop w:val="0"/>
      <w:marBottom w:val="0"/>
      <w:divBdr>
        <w:top w:val="none" w:sz="0" w:space="0" w:color="auto"/>
        <w:left w:val="none" w:sz="0" w:space="0" w:color="auto"/>
        <w:bottom w:val="none" w:sz="0" w:space="0" w:color="auto"/>
        <w:right w:val="none" w:sz="0" w:space="0" w:color="auto"/>
      </w:divBdr>
    </w:div>
    <w:div w:id="1589923453">
      <w:bodyDiv w:val="1"/>
      <w:marLeft w:val="0"/>
      <w:marRight w:val="0"/>
      <w:marTop w:val="0"/>
      <w:marBottom w:val="0"/>
      <w:divBdr>
        <w:top w:val="none" w:sz="0" w:space="0" w:color="auto"/>
        <w:left w:val="none" w:sz="0" w:space="0" w:color="auto"/>
        <w:bottom w:val="none" w:sz="0" w:space="0" w:color="auto"/>
        <w:right w:val="none" w:sz="0" w:space="0" w:color="auto"/>
      </w:divBdr>
    </w:div>
    <w:div w:id="1764912289">
      <w:bodyDiv w:val="1"/>
      <w:marLeft w:val="0"/>
      <w:marRight w:val="0"/>
      <w:marTop w:val="0"/>
      <w:marBottom w:val="0"/>
      <w:divBdr>
        <w:top w:val="none" w:sz="0" w:space="0" w:color="auto"/>
        <w:left w:val="none" w:sz="0" w:space="0" w:color="auto"/>
        <w:bottom w:val="none" w:sz="0" w:space="0" w:color="auto"/>
        <w:right w:val="none" w:sz="0" w:space="0" w:color="auto"/>
      </w:divBdr>
    </w:div>
    <w:div w:id="1783376280">
      <w:bodyDiv w:val="1"/>
      <w:marLeft w:val="0"/>
      <w:marRight w:val="0"/>
      <w:marTop w:val="0"/>
      <w:marBottom w:val="0"/>
      <w:divBdr>
        <w:top w:val="none" w:sz="0" w:space="0" w:color="auto"/>
        <w:left w:val="none" w:sz="0" w:space="0" w:color="auto"/>
        <w:bottom w:val="none" w:sz="0" w:space="0" w:color="auto"/>
        <w:right w:val="none" w:sz="0" w:space="0" w:color="auto"/>
      </w:divBdr>
    </w:div>
    <w:div w:id="1828783072">
      <w:bodyDiv w:val="1"/>
      <w:marLeft w:val="0"/>
      <w:marRight w:val="0"/>
      <w:marTop w:val="0"/>
      <w:marBottom w:val="0"/>
      <w:divBdr>
        <w:top w:val="none" w:sz="0" w:space="0" w:color="auto"/>
        <w:left w:val="none" w:sz="0" w:space="0" w:color="auto"/>
        <w:bottom w:val="none" w:sz="0" w:space="0" w:color="auto"/>
        <w:right w:val="none" w:sz="0" w:space="0" w:color="auto"/>
      </w:divBdr>
    </w:div>
    <w:div w:id="19143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920</_x0031__x002e__x0020_Collection_x0020_Number>
    <Date xmlns="d6eefc7d-9817-4fa6-84d5-3bc009be21b8">2021-09-20T04:00:00+00:00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IC21-38</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DFD2D9A5-875E-4120-8093-C7C721DC2B16}">
  <ds:schemaRefs>
    <ds:schemaRef ds:uri="Microsoft.SharePoint.Taxonomy.ContentTypeSync"/>
  </ds:schemaRefs>
</ds:datastoreItem>
</file>

<file path=customXml/itemProps2.xml><?xml version="1.0" encoding="utf-8"?>
<ds:datastoreItem xmlns:ds="http://schemas.openxmlformats.org/officeDocument/2006/customXml" ds:itemID="{3F9B43F1-6C62-4D84-B95E-29E7D9F29019}">
  <ds:schemaRefs>
    <ds:schemaRef ds:uri="http://schemas.microsoft.com/sharepoint/v3/contenttype/forms"/>
  </ds:schemaRefs>
</ds:datastoreItem>
</file>

<file path=customXml/itemProps3.xml><?xml version="1.0" encoding="utf-8"?>
<ds:datastoreItem xmlns:ds="http://schemas.openxmlformats.org/officeDocument/2006/customXml" ds:itemID="{1981AEBE-2EDA-4EE6-A446-D983275B3D59}">
  <ds:schemaRefs>
    <ds:schemaRef ds:uri="http://schemas.openxmlformats.org/officeDocument/2006/bibliography"/>
  </ds:schemaRefs>
</ds:datastoreItem>
</file>

<file path=customXml/itemProps4.xml><?xml version="1.0" encoding="utf-8"?>
<ds:datastoreItem xmlns:ds="http://schemas.openxmlformats.org/officeDocument/2006/customXml" ds:itemID="{5FA25B6D-8E53-4A32-B2D4-B8BEF26B3A24}">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A292057-053B-4C7D-9084-F1129DAC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79D9D0-DB18-4F7D-956E-024D53857F1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959</Words>
  <Characters>6034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6980</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3</cp:revision>
  <cp:lastPrinted>2021-09-14T16:49:00Z</cp:lastPrinted>
  <dcterms:created xsi:type="dcterms:W3CDTF">2021-09-20T19:08:00Z</dcterms:created>
  <dcterms:modified xsi:type="dcterms:W3CDTF">2021-09-20T19:09:00Z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ellen.brown@ferc.gov</vt:lpwstr>
  </property>
  <property fmtid="{D5CDD505-2E9C-101B-9397-08002B2CF9AE}" pid="5" name="MSIP_Label_6155a89b-0f08-4a93-8ea2-8a916d6643b5_SetDate">
    <vt:lpwstr>2021-09-20T19:08:29.2829734Z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b1ea3e1a-1866-4d4a-a8c1-79e222343c76</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