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33A8" w:rsidR="00EB3E6F" w:rsidP="00FC7A36" w:rsidRDefault="00FD66F1" w14:paraId="03533191" w14:textId="0EE20C10">
      <w:pPr>
        <w:spacing w:after="0"/>
        <w:jc w:val="center"/>
        <w:rPr>
          <w:szCs w:val="26"/>
        </w:rPr>
      </w:pPr>
      <w:r w:rsidRPr="003D33A8">
        <w:rPr>
          <w:szCs w:val="26"/>
        </w:rPr>
        <w:t>Supporting Statement</w:t>
      </w:r>
      <w:r w:rsidRPr="003D33A8" w:rsidR="00E0171E">
        <w:rPr>
          <w:szCs w:val="26"/>
        </w:rPr>
        <w:t xml:space="preserve"> for</w:t>
      </w:r>
    </w:p>
    <w:p w:rsidRPr="003D33A8" w:rsidR="00FF1D5D" w:rsidP="00FA3A75" w:rsidRDefault="00FD66F1" w14:paraId="262453C2" w14:textId="18152584">
      <w:pPr>
        <w:spacing w:after="0"/>
        <w:jc w:val="center"/>
        <w:rPr>
          <w:b/>
          <w:szCs w:val="26"/>
        </w:rPr>
      </w:pPr>
      <w:r w:rsidRPr="003D33A8">
        <w:rPr>
          <w:b/>
          <w:szCs w:val="26"/>
        </w:rPr>
        <w:t>FERC-</w:t>
      </w:r>
      <w:r w:rsidRPr="003D33A8" w:rsidR="00565BD4">
        <w:rPr>
          <w:b/>
          <w:szCs w:val="26"/>
        </w:rPr>
        <w:t>920</w:t>
      </w:r>
      <w:r w:rsidRPr="003D33A8" w:rsidR="00F2758C">
        <w:rPr>
          <w:b/>
          <w:szCs w:val="26"/>
        </w:rPr>
        <w:t xml:space="preserve">, </w:t>
      </w:r>
      <w:r w:rsidRPr="003D33A8" w:rsidR="00565BD4">
        <w:rPr>
          <w:b/>
          <w:bCs/>
          <w:szCs w:val="26"/>
        </w:rPr>
        <w:t>Electric Quarterly Report</w:t>
      </w:r>
      <w:bookmarkStart w:name="_Ref291750476" w:id="0"/>
      <w:r w:rsidRPr="003D33A8" w:rsidR="00565BD4">
        <w:rPr>
          <w:b/>
          <w:bCs/>
          <w:szCs w:val="26"/>
        </w:rPr>
        <w:t xml:space="preserve"> (EQR)</w:t>
      </w:r>
      <w:bookmarkEnd w:id="0"/>
      <w:r w:rsidR="00FF1D5D">
        <w:rPr>
          <w:b/>
          <w:bCs/>
          <w:szCs w:val="26"/>
        </w:rPr>
        <w:t xml:space="preserve"> </w:t>
      </w:r>
      <w:r w:rsidR="00211520">
        <w:rPr>
          <w:rStyle w:val="FootnoteReference"/>
          <w:b w:val="0"/>
          <w:bCs/>
          <w:szCs w:val="26"/>
        </w:rPr>
        <w:footnoteReference w:id="2"/>
      </w:r>
    </w:p>
    <w:p w:rsidRPr="003D33A8" w:rsidR="00FD66F1" w:rsidP="00FC7A36" w:rsidRDefault="00FD66F1" w14:paraId="03533195" w14:textId="77777777">
      <w:pPr>
        <w:spacing w:after="0"/>
        <w:jc w:val="center"/>
        <w:rPr>
          <w:szCs w:val="26"/>
        </w:rPr>
      </w:pPr>
    </w:p>
    <w:p w:rsidR="00407B78" w:rsidP="00FC7A36" w:rsidRDefault="00407B78" w14:paraId="0353319F" w14:textId="41FC4A68">
      <w:pPr>
        <w:spacing w:after="0"/>
        <w:rPr>
          <w:szCs w:val="26"/>
        </w:rPr>
      </w:pPr>
      <w:r w:rsidRPr="003D33A8">
        <w:rPr>
          <w:szCs w:val="26"/>
        </w:rPr>
        <w:t>The Federal Energy Regulatory Commission (</w:t>
      </w:r>
      <w:r w:rsidRPr="003D33A8" w:rsidR="0013054D">
        <w:rPr>
          <w:szCs w:val="26"/>
        </w:rPr>
        <w:t>Commission</w:t>
      </w:r>
      <w:r w:rsidR="007749ED">
        <w:rPr>
          <w:szCs w:val="26"/>
        </w:rPr>
        <w:t xml:space="preserve"> or FERC</w:t>
      </w:r>
      <w:r w:rsidRPr="003D33A8">
        <w:rPr>
          <w:szCs w:val="26"/>
        </w:rPr>
        <w:t>) requests that the Office of Management and Budget (OMB) review and approv</w:t>
      </w:r>
      <w:r w:rsidRPr="003D33A8" w:rsidR="0013054D">
        <w:rPr>
          <w:szCs w:val="26"/>
        </w:rPr>
        <w:t xml:space="preserve">e </w:t>
      </w:r>
      <w:r w:rsidRPr="003D33A8" w:rsidR="00726341">
        <w:rPr>
          <w:szCs w:val="26"/>
        </w:rPr>
        <w:t>the FERC-</w:t>
      </w:r>
      <w:r w:rsidRPr="003D33A8" w:rsidR="00565BD4">
        <w:rPr>
          <w:szCs w:val="26"/>
        </w:rPr>
        <w:t>920</w:t>
      </w:r>
      <w:r w:rsidRPr="003D33A8" w:rsidR="00087925">
        <w:rPr>
          <w:szCs w:val="26"/>
        </w:rPr>
        <w:t xml:space="preserve"> </w:t>
      </w:r>
      <w:r w:rsidR="007749ED">
        <w:rPr>
          <w:szCs w:val="26"/>
        </w:rPr>
        <w:t>[Electric Quarterly Report (EQR)]</w:t>
      </w:r>
      <w:r w:rsidR="000B0762">
        <w:rPr>
          <w:szCs w:val="26"/>
        </w:rPr>
        <w:t xml:space="preserve"> for three years</w:t>
      </w:r>
      <w:r w:rsidR="00FA3A75">
        <w:rPr>
          <w:szCs w:val="26"/>
        </w:rPr>
        <w:t>.</w:t>
      </w:r>
      <w:r w:rsidRPr="003D33A8" w:rsidR="00087925">
        <w:rPr>
          <w:szCs w:val="26"/>
        </w:rPr>
        <w:t xml:space="preserve"> </w:t>
      </w:r>
      <w:r w:rsidR="00BF4E19">
        <w:rPr>
          <w:szCs w:val="26"/>
        </w:rPr>
        <w:t xml:space="preserve"> </w:t>
      </w:r>
      <w:r w:rsidRPr="003D33A8" w:rsidR="00087925">
        <w:rPr>
          <w:szCs w:val="26"/>
        </w:rPr>
        <w:t>The FERC-</w:t>
      </w:r>
      <w:r w:rsidRPr="003D33A8" w:rsidR="00E801B9">
        <w:rPr>
          <w:szCs w:val="26"/>
        </w:rPr>
        <w:t>920</w:t>
      </w:r>
      <w:r w:rsidRPr="003D33A8" w:rsidR="00087925">
        <w:rPr>
          <w:szCs w:val="26"/>
        </w:rPr>
        <w:t xml:space="preserve"> </w:t>
      </w:r>
      <w:r w:rsidR="00817F3D">
        <w:rPr>
          <w:szCs w:val="26"/>
        </w:rPr>
        <w:t>reporting</w:t>
      </w:r>
      <w:r w:rsidRPr="003D33A8" w:rsidR="00087925">
        <w:rPr>
          <w:szCs w:val="26"/>
        </w:rPr>
        <w:t xml:space="preserve"> requirements are </w:t>
      </w:r>
      <w:r w:rsidR="00FA3A75">
        <w:rPr>
          <w:szCs w:val="26"/>
        </w:rPr>
        <w:t xml:space="preserve">not being changed and are </w:t>
      </w:r>
      <w:r w:rsidRPr="003D33A8" w:rsidR="00087925">
        <w:rPr>
          <w:szCs w:val="26"/>
        </w:rPr>
        <w:t xml:space="preserve">contained in Title 18 Code of Federal Regulations (CFR) Part </w:t>
      </w:r>
      <w:r w:rsidRPr="003D33A8" w:rsidR="00565BD4">
        <w:rPr>
          <w:szCs w:val="26"/>
        </w:rPr>
        <w:t>35</w:t>
      </w:r>
      <w:r w:rsidRPr="003D33A8" w:rsidR="00087925">
        <w:rPr>
          <w:szCs w:val="26"/>
        </w:rPr>
        <w:t>.</w:t>
      </w:r>
      <w:r w:rsidR="007749ED">
        <w:rPr>
          <w:szCs w:val="26"/>
        </w:rPr>
        <w:t xml:space="preserve">  </w:t>
      </w:r>
    </w:p>
    <w:p w:rsidRPr="003D33A8" w:rsidR="00C64AC1" w:rsidP="00FC7A36" w:rsidRDefault="00C64AC1" w14:paraId="4DC54AB3" w14:textId="4EA7B6BE">
      <w:pPr>
        <w:spacing w:after="0"/>
        <w:rPr>
          <w:szCs w:val="26"/>
        </w:rPr>
      </w:pPr>
    </w:p>
    <w:p w:rsidRPr="003D33A8" w:rsidR="00A72E7B" w:rsidP="00FC7A36" w:rsidRDefault="00A72E7B" w14:paraId="035331A0" w14:textId="5A1AAC20">
      <w:pPr>
        <w:pStyle w:val="FERCparanumber"/>
        <w:spacing w:line="276" w:lineRule="auto"/>
        <w:rPr>
          <w:szCs w:val="26"/>
        </w:rPr>
      </w:pPr>
      <w:r w:rsidRPr="003D33A8">
        <w:rPr>
          <w:szCs w:val="26"/>
        </w:rPr>
        <w:t>CIRCUMSTANCES THAT MAKE THE COLLECTION OF INFORMATION NECESSARY</w:t>
      </w:r>
    </w:p>
    <w:p w:rsidRPr="003D33A8" w:rsidR="002851FD" w:rsidP="00E801B9" w:rsidRDefault="002851FD" w14:paraId="5590B50D" w14:textId="70382B03">
      <w:pPr>
        <w:rPr>
          <w:szCs w:val="26"/>
        </w:rPr>
      </w:pPr>
      <w:r w:rsidRPr="003D33A8">
        <w:rPr>
          <w:szCs w:val="26"/>
        </w:rPr>
        <w:t xml:space="preserve">The Commission set forth the EQR filing requirements in Order No. 2001 (Docket No. RM01-8-000, issued April 25, 2002, </w:t>
      </w:r>
      <w:r w:rsidR="00932661">
        <w:rPr>
          <w:szCs w:val="26"/>
        </w:rPr>
        <w:t xml:space="preserve">available through the link </w:t>
      </w:r>
      <w:r w:rsidRPr="003D33A8">
        <w:rPr>
          <w:szCs w:val="26"/>
        </w:rPr>
        <w:t xml:space="preserve">at </w:t>
      </w:r>
      <w:hyperlink w:history="1" r:id="rId11">
        <w:r w:rsidR="00932661">
          <w:rPr>
            <w:rStyle w:val="Hyperlink"/>
            <w:szCs w:val="26"/>
          </w:rPr>
          <w:t>Order No. 2001</w:t>
        </w:r>
      </w:hyperlink>
      <w:r w:rsidR="00BF4E19">
        <w:rPr>
          <w:rStyle w:val="Hyperlink"/>
          <w:szCs w:val="26"/>
        </w:rPr>
        <w:t>)</w:t>
      </w:r>
      <w:r w:rsidRPr="003D33A8">
        <w:rPr>
          <w:szCs w:val="26"/>
        </w:rPr>
        <w:t>.  Order No. 2001 required public utilities to electronically file EQRs summarizing transaction information for short-term and long-term cost-based sales and market-based rate sales and the contractual terms and conditions in their agreements for all jurisdictional services.</w:t>
      </w:r>
      <w:r w:rsidRPr="003D33A8">
        <w:rPr>
          <w:rStyle w:val="FootnoteReference"/>
          <w:szCs w:val="26"/>
        </w:rPr>
        <w:footnoteReference w:id="3"/>
      </w:r>
      <w:r w:rsidRPr="003D33A8">
        <w:rPr>
          <w:szCs w:val="26"/>
        </w:rPr>
        <w:t xml:space="preserve">  The Commission established the EQR reporting requirements to help ensure the collection of information needed to perform its regulatory functions over transmission and sales, while making data more useful to the public and allowing public utilities to better fulfill their responsibility under FPA section 205(c) to have rates on file in a convenient form and place.  As noted in Order No. 2001, the EQR data is designed to “provide greater price transparency, promote competition, enhance confidence in the </w:t>
      </w:r>
      <w:r w:rsidRPr="003D33A8">
        <w:rPr>
          <w:szCs w:val="26"/>
        </w:rPr>
        <w:lastRenderedPageBreak/>
        <w:t xml:space="preserve">fairness of the markets, and provide a better means to detect and discourage discriminatory practices.” </w:t>
      </w:r>
    </w:p>
    <w:p w:rsidRPr="003D33A8" w:rsidR="002851FD" w:rsidP="002851FD" w:rsidRDefault="002851FD" w14:paraId="2B7EA11F" w14:textId="5F62A4CB">
      <w:pPr>
        <w:rPr>
          <w:szCs w:val="26"/>
        </w:rPr>
      </w:pPr>
      <w:r w:rsidRPr="003D33A8">
        <w:rPr>
          <w:szCs w:val="26"/>
        </w:rPr>
        <w:t xml:space="preserve">Since issuing Order No. 2001, the Commission has provided guidance and refined the reporting requirements, as necessary, to simplify the filing requirements and to reflect changes in the Commission’s rules and regulations.  </w:t>
      </w:r>
      <w:r w:rsidRPr="003D33A8" w:rsidR="00ED6D22">
        <w:rPr>
          <w:szCs w:val="26"/>
        </w:rPr>
        <w:t>The Commission also adopted an Electric Quarterly Report Data Dictionary, which provides the definitions of certain terms and values used in filing EQR data.</w:t>
      </w:r>
      <w:r w:rsidRPr="003D33A8" w:rsidR="00ED6D22">
        <w:rPr>
          <w:rStyle w:val="FootnoteReference"/>
          <w:szCs w:val="26"/>
        </w:rPr>
        <w:footnoteReference w:id="4"/>
      </w:r>
      <w:r w:rsidRPr="003D33A8" w:rsidR="00ED6D22">
        <w:rPr>
          <w:szCs w:val="26"/>
        </w:rPr>
        <w:t xml:space="preserve">  </w:t>
      </w:r>
    </w:p>
    <w:p w:rsidRPr="003D33A8" w:rsidR="002851FD" w:rsidP="002851FD" w:rsidRDefault="00ED6D22" w14:paraId="46EEF866" w14:textId="482377F8">
      <w:pPr>
        <w:rPr>
          <w:szCs w:val="26"/>
        </w:rPr>
      </w:pPr>
      <w:r w:rsidRPr="003D33A8">
        <w:rPr>
          <w:szCs w:val="26"/>
        </w:rPr>
        <w:t>To increase transparency broadly across all wholesale markets subject to the Commission’s jurisdiction, the Commission issued Order No. 768 in 2012.</w:t>
      </w:r>
      <w:r w:rsidRPr="003D33A8">
        <w:rPr>
          <w:rStyle w:val="FootnoteReference"/>
          <w:szCs w:val="26"/>
        </w:rPr>
        <w:footnoteReference w:id="5"/>
      </w:r>
      <w:r w:rsidRPr="003D33A8">
        <w:rPr>
          <w:szCs w:val="26"/>
        </w:rPr>
        <w:t xml:space="preserve">  Order No. 768 required market participants that are excluded from the Commission’s jurisdiction under the Federal Power Act section 205 (non-public utilities)</w:t>
      </w:r>
      <w:r w:rsidR="005A78F8">
        <w:rPr>
          <w:szCs w:val="26"/>
        </w:rPr>
        <w:t>,</w:t>
      </w:r>
      <w:r w:rsidRPr="003D33A8">
        <w:rPr>
          <w:szCs w:val="26"/>
        </w:rPr>
        <w:t xml:space="preserve"> and </w:t>
      </w:r>
      <w:r w:rsidR="00D02ED2">
        <w:rPr>
          <w:szCs w:val="26"/>
        </w:rPr>
        <w:t xml:space="preserve">that </w:t>
      </w:r>
      <w:r w:rsidRPr="003D33A8">
        <w:rPr>
          <w:szCs w:val="26"/>
        </w:rPr>
        <w:t xml:space="preserve">have more than a </w:t>
      </w:r>
      <w:r w:rsidRPr="003D33A8">
        <w:rPr>
          <w:i/>
          <w:szCs w:val="26"/>
        </w:rPr>
        <w:t>de minimis</w:t>
      </w:r>
      <w:r w:rsidR="00EB39A3">
        <w:rPr>
          <w:rStyle w:val="FootnoteReference"/>
          <w:i/>
          <w:szCs w:val="26"/>
        </w:rPr>
        <w:footnoteReference w:id="6"/>
      </w:r>
      <w:r w:rsidRPr="003D33A8">
        <w:rPr>
          <w:szCs w:val="26"/>
        </w:rPr>
        <w:t xml:space="preserve"> market presence</w:t>
      </w:r>
      <w:r w:rsidR="005A78F8">
        <w:rPr>
          <w:szCs w:val="26"/>
        </w:rPr>
        <w:t>,</w:t>
      </w:r>
      <w:r w:rsidRPr="003D33A8">
        <w:rPr>
          <w:szCs w:val="26"/>
        </w:rPr>
        <w:t xml:space="preserve"> to file EQRs with the Commission.  In addition, Order No. 768 revised the EQR filing requirements to build upon the Commission’s prior improvements to the reporting requirements and further enhance the goals of providing greater price transparency, promoting competition, instilling confidence in the fairness of the markets, and providing a better means to detect and discourage anti-competitive, discriminatory, and manipulative practices.  </w:t>
      </w:r>
      <w:r w:rsidRPr="003D33A8" w:rsidR="002851FD">
        <w:rPr>
          <w:szCs w:val="26"/>
        </w:rPr>
        <w:t xml:space="preserve"> </w:t>
      </w:r>
    </w:p>
    <w:p w:rsidRPr="003D33A8" w:rsidR="00A978BD" w:rsidP="00FC7A36" w:rsidRDefault="00A978BD" w14:paraId="035331B8" w14:textId="57E66F1F">
      <w:pPr>
        <w:spacing w:after="0"/>
        <w:rPr>
          <w:szCs w:val="26"/>
        </w:rPr>
      </w:pPr>
    </w:p>
    <w:p w:rsidRPr="003D33A8" w:rsidR="00A72E7B" w:rsidP="00FC7A36" w:rsidRDefault="00EB3E6F" w14:paraId="035331B9" w14:textId="77777777">
      <w:pPr>
        <w:pStyle w:val="FERCparanumber"/>
        <w:spacing w:line="276" w:lineRule="auto"/>
        <w:rPr>
          <w:szCs w:val="26"/>
        </w:rPr>
      </w:pPr>
      <w:r w:rsidRPr="003D33A8">
        <w:rPr>
          <w:szCs w:val="26"/>
        </w:rPr>
        <w:t>HOW, BY WHOM, AND FOR WHAT PURPOSE THE INFORMATION IS TO BE USED AND THE CONSEQUENCES OF NOT COLLECTING THE INFORMATION</w:t>
      </w:r>
    </w:p>
    <w:p w:rsidR="00E1302A" w:rsidP="00FC7A36" w:rsidRDefault="00E7323C" w14:paraId="0121A746" w14:textId="3FB46360">
      <w:pPr>
        <w:spacing w:after="0"/>
        <w:rPr>
          <w:szCs w:val="26"/>
        </w:rPr>
      </w:pPr>
      <w:r>
        <w:rPr>
          <w:szCs w:val="26"/>
        </w:rPr>
        <w:lastRenderedPageBreak/>
        <w:t xml:space="preserve">The Federal Power Act provides that </w:t>
      </w:r>
      <w:r w:rsidRPr="00E1302A" w:rsidR="00E1302A">
        <w:rPr>
          <w:szCs w:val="26"/>
        </w:rPr>
        <w:t>“</w:t>
      </w:r>
      <w:r>
        <w:rPr>
          <w:szCs w:val="26"/>
        </w:rPr>
        <w:t>e</w:t>
      </w:r>
      <w:r w:rsidRPr="00291553" w:rsidR="00E1302A">
        <w:rPr>
          <w:szCs w:val="26"/>
        </w:rPr>
        <w:t>very public utility shall file</w:t>
      </w:r>
      <w:r w:rsidRPr="006C3444" w:rsidR="00E1302A">
        <w:rPr>
          <w:szCs w:val="26"/>
        </w:rPr>
        <w:t xml:space="preserve"> with the Commission, within such time and in such form as the Commission may designate, and shall keep open in convenient form and place for public inspection schedules showing </w:t>
      </w:r>
      <w:r w:rsidRPr="00B25532" w:rsidR="00E1302A">
        <w:rPr>
          <w:szCs w:val="26"/>
        </w:rPr>
        <w:t>all rates and charges for any transmission or sale subject to the jurisdiction of the Commission</w:t>
      </w:r>
      <w:r w:rsidRPr="006C3444" w:rsidR="00E1302A">
        <w:rPr>
          <w:szCs w:val="26"/>
        </w:rPr>
        <w:t xml:space="preserve">, and the classification, practices, and regulations affecting such rates and charges, </w:t>
      </w:r>
      <w:r w:rsidRPr="00B25532" w:rsidR="00E1302A">
        <w:rPr>
          <w:szCs w:val="26"/>
        </w:rPr>
        <w:t>together with all contracts</w:t>
      </w:r>
      <w:r w:rsidRPr="006C3444" w:rsidR="00E1302A">
        <w:rPr>
          <w:szCs w:val="26"/>
        </w:rPr>
        <w:t xml:space="preserve"> which in any manner affect or relate to such charges, classif</w:t>
      </w:r>
      <w:r w:rsidRPr="00A76C34" w:rsidR="00E1302A">
        <w:rPr>
          <w:szCs w:val="26"/>
        </w:rPr>
        <w:t>ications, and services</w:t>
      </w:r>
      <w:r w:rsidRPr="006C3444" w:rsidR="00E1302A">
        <w:rPr>
          <w:szCs w:val="26"/>
        </w:rPr>
        <w:t>.</w:t>
      </w:r>
      <w:r w:rsidR="00645E24">
        <w:rPr>
          <w:szCs w:val="26"/>
        </w:rPr>
        <w:t>”</w:t>
      </w:r>
      <w:r w:rsidR="00C54F55">
        <w:rPr>
          <w:rStyle w:val="FootnoteReference"/>
          <w:szCs w:val="26"/>
        </w:rPr>
        <w:footnoteReference w:id="7"/>
      </w:r>
      <w:r w:rsidRPr="00E1302A" w:rsidR="00E1302A">
        <w:rPr>
          <w:szCs w:val="26"/>
        </w:rPr>
        <w:t xml:space="preserve"> </w:t>
      </w:r>
      <w:r w:rsidR="00E1302A">
        <w:rPr>
          <w:szCs w:val="26"/>
        </w:rPr>
        <w:t xml:space="preserve"> </w:t>
      </w:r>
      <w:r w:rsidRPr="00B25532" w:rsidR="00B340E7">
        <w:rPr>
          <w:szCs w:val="26"/>
          <w:lang w:val="en"/>
        </w:rPr>
        <w:t>The EQR is the reporting mechanism FERC uses for public utilities to fulfill their responsibility under section 205(c) of the Federal Power Act (FPA).</w:t>
      </w:r>
    </w:p>
    <w:p w:rsidR="00C54F55" w:rsidP="00FC7A36" w:rsidRDefault="00C54F55" w14:paraId="4383D80A" w14:textId="77777777">
      <w:pPr>
        <w:spacing w:after="0"/>
        <w:rPr>
          <w:szCs w:val="26"/>
        </w:rPr>
      </w:pPr>
    </w:p>
    <w:p w:rsidR="00E1302A" w:rsidP="00FC7A36" w:rsidRDefault="00E1302A" w14:paraId="5EA86546" w14:textId="73CED06F">
      <w:pPr>
        <w:spacing w:after="0"/>
        <w:rPr>
          <w:szCs w:val="26"/>
        </w:rPr>
      </w:pPr>
      <w:r>
        <w:rPr>
          <w:szCs w:val="26"/>
        </w:rPr>
        <w:t xml:space="preserve">EQR data falls into </w:t>
      </w:r>
      <w:r w:rsidR="00E7323C">
        <w:rPr>
          <w:szCs w:val="26"/>
        </w:rPr>
        <w:t>four</w:t>
      </w:r>
      <w:r>
        <w:rPr>
          <w:szCs w:val="26"/>
        </w:rPr>
        <w:t xml:space="preserve"> general categori</w:t>
      </w:r>
      <w:r w:rsidR="006C3444">
        <w:rPr>
          <w:szCs w:val="26"/>
        </w:rPr>
        <w:t>e</w:t>
      </w:r>
      <w:r>
        <w:rPr>
          <w:szCs w:val="26"/>
        </w:rPr>
        <w:t>s</w:t>
      </w:r>
      <w:r w:rsidR="006019AB">
        <w:rPr>
          <w:szCs w:val="26"/>
        </w:rPr>
        <w:t>: (1) I</w:t>
      </w:r>
      <w:r>
        <w:rPr>
          <w:szCs w:val="26"/>
        </w:rPr>
        <w:t>dentification data that ensures that the filings are submitted by authorized personnel</w:t>
      </w:r>
      <w:r w:rsidR="006019AB">
        <w:rPr>
          <w:szCs w:val="26"/>
        </w:rPr>
        <w:t>; (2) C</w:t>
      </w:r>
      <w:r>
        <w:rPr>
          <w:szCs w:val="26"/>
        </w:rPr>
        <w:t>ontract data that outlines the necessary information about the contracts and any terms that relate to the rates and charges</w:t>
      </w:r>
      <w:r w:rsidR="006019AB">
        <w:rPr>
          <w:szCs w:val="26"/>
        </w:rPr>
        <w:t>; (3) T</w:t>
      </w:r>
      <w:r>
        <w:rPr>
          <w:szCs w:val="26"/>
        </w:rPr>
        <w:t>ransactional data provides the specific rates of the transactions, along with other critical information necessary for analysis of those rates</w:t>
      </w:r>
      <w:r w:rsidR="00CB204D">
        <w:rPr>
          <w:szCs w:val="26"/>
        </w:rPr>
        <w:t>;</w:t>
      </w:r>
      <w:r w:rsidR="006019AB">
        <w:rPr>
          <w:szCs w:val="26"/>
        </w:rPr>
        <w:t xml:space="preserve"> and (4) For </w:t>
      </w:r>
      <w:r>
        <w:rPr>
          <w:szCs w:val="26"/>
        </w:rPr>
        <w:t>a small subset of filers that report some or all of their data to price index reporters</w:t>
      </w:r>
      <w:r w:rsidR="006019AB">
        <w:rPr>
          <w:szCs w:val="26"/>
        </w:rPr>
        <w:t xml:space="preserve">, data regarding </w:t>
      </w:r>
      <w:r>
        <w:rPr>
          <w:szCs w:val="26"/>
        </w:rPr>
        <w:t xml:space="preserve">the types of transactions that are reported.  </w:t>
      </w:r>
      <w:r w:rsidR="006019AB">
        <w:rPr>
          <w:szCs w:val="26"/>
        </w:rPr>
        <w:t xml:space="preserve">EQR </w:t>
      </w:r>
      <w:r>
        <w:rPr>
          <w:szCs w:val="26"/>
        </w:rPr>
        <w:t xml:space="preserve">data </w:t>
      </w:r>
      <w:r w:rsidR="006019AB">
        <w:rPr>
          <w:szCs w:val="26"/>
        </w:rPr>
        <w:t xml:space="preserve">requirements </w:t>
      </w:r>
      <w:r w:rsidR="006C3444">
        <w:rPr>
          <w:szCs w:val="26"/>
        </w:rPr>
        <w:t xml:space="preserve">are outlined in a Data Dictionary that is posted on FERC’s website.  </w:t>
      </w:r>
      <w:r w:rsidR="006019AB">
        <w:rPr>
          <w:szCs w:val="26"/>
        </w:rPr>
        <w:t xml:space="preserve">The </w:t>
      </w:r>
      <w:r w:rsidR="006C3444">
        <w:rPr>
          <w:szCs w:val="26"/>
        </w:rPr>
        <w:t xml:space="preserve">EQR </w:t>
      </w:r>
      <w:r w:rsidR="006019AB">
        <w:rPr>
          <w:szCs w:val="26"/>
        </w:rPr>
        <w:t xml:space="preserve">filing process </w:t>
      </w:r>
      <w:r w:rsidR="006C3444">
        <w:rPr>
          <w:szCs w:val="26"/>
        </w:rPr>
        <w:t>is outlined in a Submission Guide that is also posted on FERC’s website.</w:t>
      </w:r>
    </w:p>
    <w:p w:rsidR="00F24E95" w:rsidP="00FC7A36" w:rsidRDefault="00F24E95" w14:paraId="603CE6AF" w14:textId="77777777">
      <w:pPr>
        <w:spacing w:after="0"/>
        <w:rPr>
          <w:szCs w:val="26"/>
        </w:rPr>
      </w:pPr>
    </w:p>
    <w:p w:rsidRPr="003D33A8" w:rsidR="00F24E95" w:rsidP="00F24E95" w:rsidRDefault="00F24E95" w14:paraId="66BC9E63" w14:textId="77777777">
      <w:pPr>
        <w:spacing w:after="0"/>
        <w:rPr>
          <w:szCs w:val="26"/>
        </w:rPr>
      </w:pPr>
      <w:r>
        <w:rPr>
          <w:szCs w:val="26"/>
        </w:rPr>
        <w:t>As part of the transmission-related information currently collected in the EQR, transmission providers are required to report information about reassignments of point-to-point transmission service.  In Order No. 890, the Commission determined that requiring transmission providers to report information about transmission capacity reassignments in the EQR is vital to ensure effective monitoring and oversight of this secondary capacity market.</w:t>
      </w:r>
      <w:r w:rsidRPr="00357EAC">
        <w:rPr>
          <w:b/>
          <w:szCs w:val="26"/>
          <w:vertAlign w:val="superscript"/>
        </w:rPr>
        <w:footnoteReference w:id="8"/>
      </w:r>
      <w:r>
        <w:rPr>
          <w:szCs w:val="26"/>
        </w:rPr>
        <w:t xml:space="preserve">  </w:t>
      </w:r>
    </w:p>
    <w:p w:rsidR="00E1302A" w:rsidP="00FC7A36" w:rsidRDefault="00E1302A" w14:paraId="0FE2C36E" w14:textId="77777777">
      <w:pPr>
        <w:spacing w:after="0"/>
        <w:rPr>
          <w:szCs w:val="26"/>
        </w:rPr>
      </w:pPr>
    </w:p>
    <w:p w:rsidR="00092293" w:rsidP="00FC7A36" w:rsidRDefault="002851FD" w14:paraId="28575BF3" w14:textId="78A06FF8">
      <w:pPr>
        <w:spacing w:after="0"/>
        <w:rPr>
          <w:szCs w:val="26"/>
        </w:rPr>
      </w:pPr>
      <w:r w:rsidRPr="003D33A8">
        <w:rPr>
          <w:szCs w:val="26"/>
        </w:rPr>
        <w:lastRenderedPageBreak/>
        <w:t xml:space="preserve">EQR information allows the Commission and the public to gain a more complete picture of interstate wholesale electric power and transmission markets by providing information concerning price formation and market concentration in these markets.  Public access to </w:t>
      </w:r>
      <w:r w:rsidRPr="003D33A8" w:rsidR="008E2359">
        <w:rPr>
          <w:szCs w:val="26"/>
        </w:rPr>
        <w:t xml:space="preserve">power </w:t>
      </w:r>
      <w:r w:rsidRPr="003D33A8">
        <w:rPr>
          <w:szCs w:val="26"/>
        </w:rPr>
        <w:t>sales and transmission-related information in the EQR improves market participants’ ability to assess supply and demand fundamentals and to price interstate wholesale electric market transactions.  This</w:t>
      </w:r>
      <w:r w:rsidR="007749ED">
        <w:rPr>
          <w:szCs w:val="26"/>
        </w:rPr>
        <w:t>,</w:t>
      </w:r>
      <w:r w:rsidRPr="003D33A8">
        <w:rPr>
          <w:szCs w:val="26"/>
        </w:rPr>
        <w:t xml:space="preserve"> in turn</w:t>
      </w:r>
      <w:r w:rsidR="007749ED">
        <w:rPr>
          <w:szCs w:val="26"/>
        </w:rPr>
        <w:t>,</w:t>
      </w:r>
      <w:r w:rsidRPr="003D33A8">
        <w:rPr>
          <w:szCs w:val="26"/>
        </w:rPr>
        <w:t xml:space="preserve"> results in greater market confidence, lower transaction costs, and ultimately supports competitive markets.  In addition, the data filed in the EQR strengthens the Commission’s ability to exercise its </w:t>
      </w:r>
      <w:r w:rsidRPr="003D33A8" w:rsidR="0042311D">
        <w:rPr>
          <w:szCs w:val="26"/>
        </w:rPr>
        <w:t xml:space="preserve">oversight and enforcement responsibilities of </w:t>
      </w:r>
      <w:r w:rsidRPr="003D33A8">
        <w:rPr>
          <w:szCs w:val="26"/>
        </w:rPr>
        <w:t xml:space="preserve">wholesale electric and electric power transmission </w:t>
      </w:r>
      <w:r w:rsidRPr="003D33A8" w:rsidR="0042311D">
        <w:rPr>
          <w:szCs w:val="26"/>
        </w:rPr>
        <w:t xml:space="preserve">rates </w:t>
      </w:r>
      <w:r w:rsidRPr="003D33A8">
        <w:rPr>
          <w:szCs w:val="26"/>
        </w:rPr>
        <w:t xml:space="preserve">in accordance with the Federal Power Act. </w:t>
      </w:r>
      <w:r w:rsidR="00CB204D">
        <w:rPr>
          <w:szCs w:val="26"/>
        </w:rPr>
        <w:t xml:space="preserve"> </w:t>
      </w:r>
      <w:r w:rsidRPr="003D33A8">
        <w:rPr>
          <w:szCs w:val="26"/>
        </w:rPr>
        <w:t xml:space="preserve">Without this information, the Commission would lack some of the data it needs to examine and approve or modify electric rates. </w:t>
      </w:r>
      <w:r w:rsidR="00986EAC">
        <w:rPr>
          <w:szCs w:val="26"/>
        </w:rPr>
        <w:t xml:space="preserve"> EQR information </w:t>
      </w:r>
      <w:r w:rsidRPr="003D33A8">
        <w:rPr>
          <w:szCs w:val="26"/>
        </w:rPr>
        <w:t xml:space="preserve">also strengthens the Commission’s ability to identify potential exercises of market power or manipulation and to better evaluate the competitiveness of interstate wholesale electric markets.  </w:t>
      </w:r>
    </w:p>
    <w:p w:rsidR="00357EAC" w:rsidP="00FC7A36" w:rsidRDefault="00357EAC" w14:paraId="17C1F72A" w14:textId="568F6D82">
      <w:pPr>
        <w:spacing w:after="0"/>
        <w:rPr>
          <w:szCs w:val="26"/>
        </w:rPr>
      </w:pPr>
    </w:p>
    <w:p w:rsidRPr="003D33A8" w:rsidR="00EB3E6F" w:rsidP="00FC7A36" w:rsidRDefault="00EB3E6F" w14:paraId="035331BF" w14:textId="77777777">
      <w:pPr>
        <w:pStyle w:val="FERCparanumber"/>
        <w:spacing w:line="276" w:lineRule="auto"/>
        <w:rPr>
          <w:szCs w:val="26"/>
        </w:rPr>
      </w:pPr>
      <w:r w:rsidRPr="003D33A8">
        <w:rPr>
          <w:szCs w:val="26"/>
        </w:rPr>
        <w:t>DESCRIBE ANY CONSIDERATION OF THE USE OF IMPROVED INFORMATION TECHNOLOGY TO REDUCE THE BURDEN AND TECHNICAL OR LEGAL OBSTACLES TO REDUCING BURDEN</w:t>
      </w:r>
    </w:p>
    <w:p w:rsidR="001F65FC" w:rsidP="00FC7A36" w:rsidRDefault="002851FD" w14:paraId="035331C1" w14:textId="183EBE6F">
      <w:pPr>
        <w:spacing w:after="0"/>
        <w:rPr>
          <w:szCs w:val="26"/>
        </w:rPr>
      </w:pPr>
      <w:r w:rsidRPr="003D33A8">
        <w:rPr>
          <w:szCs w:val="26"/>
        </w:rPr>
        <w:t>Order No. 2001 required public utilities to electronically file E</w:t>
      </w:r>
      <w:r w:rsidR="00E01796">
        <w:rPr>
          <w:szCs w:val="26"/>
        </w:rPr>
        <w:t>QRs</w:t>
      </w:r>
      <w:r w:rsidR="002E3A0E">
        <w:rPr>
          <w:szCs w:val="26"/>
        </w:rPr>
        <w:t>.</w:t>
      </w:r>
      <w:r w:rsidRPr="003D33A8">
        <w:rPr>
          <w:szCs w:val="26"/>
        </w:rPr>
        <w:t xml:space="preserve">  Electronically filed EQRs </w:t>
      </w:r>
      <w:r w:rsidRPr="003D33A8" w:rsidR="00245AD9">
        <w:rPr>
          <w:szCs w:val="26"/>
        </w:rPr>
        <w:t xml:space="preserve">improve </w:t>
      </w:r>
      <w:r w:rsidRPr="003D33A8">
        <w:rPr>
          <w:szCs w:val="26"/>
        </w:rPr>
        <w:t xml:space="preserve">the efficiency, convenience, and overall management of the filing process, </w:t>
      </w:r>
      <w:r w:rsidRPr="003D33A8" w:rsidR="00245AD9">
        <w:rPr>
          <w:szCs w:val="26"/>
        </w:rPr>
        <w:t xml:space="preserve">facilitate </w:t>
      </w:r>
      <w:r w:rsidRPr="003D33A8">
        <w:rPr>
          <w:szCs w:val="26"/>
        </w:rPr>
        <w:t xml:space="preserve">public access to wholesale contract information, and </w:t>
      </w:r>
      <w:r w:rsidRPr="003D33A8" w:rsidR="00245AD9">
        <w:rPr>
          <w:szCs w:val="26"/>
        </w:rPr>
        <w:t xml:space="preserve">reduce </w:t>
      </w:r>
      <w:r w:rsidRPr="003D33A8">
        <w:rPr>
          <w:szCs w:val="26"/>
        </w:rPr>
        <w:t>the industry’s burden and expense associated with reporting and reviewing electric transactions</w:t>
      </w:r>
      <w:r w:rsidRPr="003D33A8" w:rsidR="003B390D">
        <w:rPr>
          <w:szCs w:val="26"/>
        </w:rPr>
        <w:t>.</w:t>
      </w:r>
      <w:r w:rsidR="00F85FF7">
        <w:rPr>
          <w:szCs w:val="26"/>
        </w:rPr>
        <w:t xml:space="preserve">  In addition, in Order No. 770,</w:t>
      </w:r>
      <w:r w:rsidR="00F85FF7">
        <w:rPr>
          <w:rStyle w:val="FootnoteReference"/>
          <w:szCs w:val="26"/>
        </w:rPr>
        <w:footnoteReference w:id="9"/>
      </w:r>
      <w:r w:rsidR="00F85FF7">
        <w:rPr>
          <w:szCs w:val="26"/>
        </w:rPr>
        <w:t xml:space="preserve"> the Commission adopted a web-based approach to filing EQRs that allows a public or non-public utility to file an EQR directly through the Commission’s website, either through a web interface </w:t>
      </w:r>
      <w:r w:rsidRPr="00056193" w:rsidR="00056193">
        <w:rPr>
          <w:szCs w:val="26"/>
        </w:rPr>
        <w:t>which includes both manual submission or uploading of comma separated variable (CSV files)</w:t>
      </w:r>
      <w:r w:rsidR="001F323D">
        <w:rPr>
          <w:szCs w:val="26"/>
        </w:rPr>
        <w:t xml:space="preserve"> </w:t>
      </w:r>
      <w:r w:rsidR="00F85FF7">
        <w:rPr>
          <w:szCs w:val="26"/>
        </w:rPr>
        <w:t xml:space="preserve">or by submitting an Extensible Mark-Up Language-formatted file.  By adopting </w:t>
      </w:r>
      <w:r w:rsidR="007A0196">
        <w:rPr>
          <w:szCs w:val="26"/>
        </w:rPr>
        <w:t>Order No. 770’s improvements to the filing process</w:t>
      </w:r>
      <w:r w:rsidR="00F85FF7">
        <w:rPr>
          <w:szCs w:val="26"/>
        </w:rPr>
        <w:t>, the Commission eliminated the need for EQR sellers and agents to download software from the Commission’s web site.</w:t>
      </w:r>
    </w:p>
    <w:p w:rsidR="00E63C8A" w:rsidP="00FC7A36" w:rsidRDefault="00E63C8A" w14:paraId="4ADDA2A3" w14:textId="585BD478">
      <w:pPr>
        <w:spacing w:after="0"/>
        <w:rPr>
          <w:szCs w:val="26"/>
        </w:rPr>
      </w:pPr>
    </w:p>
    <w:p w:rsidRPr="003D33A8" w:rsidR="00E63C8A" w:rsidP="00FC7A36" w:rsidRDefault="00E63C8A" w14:paraId="55F2E93E" w14:textId="5FA53B41">
      <w:pPr>
        <w:spacing w:after="0"/>
        <w:rPr>
          <w:szCs w:val="26"/>
        </w:rPr>
      </w:pPr>
      <w:r>
        <w:rPr>
          <w:szCs w:val="26"/>
        </w:rPr>
        <w:t xml:space="preserve">Additional information is posted at </w:t>
      </w:r>
      <w:hyperlink w:history="1" r:id="rId12">
        <w:r w:rsidRPr="00ED4D5F">
          <w:rPr>
            <w:rStyle w:val="Hyperlink"/>
            <w:szCs w:val="26"/>
          </w:rPr>
          <w:t>https://www.ferc.gov/power-sales-and-markets/electric-quarterly-reports-eqr</w:t>
        </w:r>
      </w:hyperlink>
      <w:r>
        <w:rPr>
          <w:szCs w:val="26"/>
        </w:rPr>
        <w:t xml:space="preserve">.  It includes information on </w:t>
      </w:r>
      <w:r w:rsidR="00531500">
        <w:rPr>
          <w:szCs w:val="26"/>
        </w:rPr>
        <w:t xml:space="preserve">electronic </w:t>
      </w:r>
      <w:r>
        <w:rPr>
          <w:szCs w:val="26"/>
        </w:rPr>
        <w:t xml:space="preserve">filing </w:t>
      </w:r>
      <w:r w:rsidR="00BF0223">
        <w:rPr>
          <w:szCs w:val="26"/>
        </w:rPr>
        <w:t xml:space="preserve">on </w:t>
      </w:r>
      <w:r>
        <w:rPr>
          <w:szCs w:val="26"/>
        </w:rPr>
        <w:t xml:space="preserve">the EQR site, reference materials, </w:t>
      </w:r>
      <w:r w:rsidR="008B688E">
        <w:rPr>
          <w:szCs w:val="26"/>
        </w:rPr>
        <w:t xml:space="preserve">the Data Dictionary, allowable entries for Hubs and </w:t>
      </w:r>
      <w:r w:rsidR="008B688E">
        <w:rPr>
          <w:szCs w:val="26"/>
        </w:rPr>
        <w:lastRenderedPageBreak/>
        <w:t xml:space="preserve">Balancing Authority Areas, and all materials necessary for </w:t>
      </w:r>
      <w:r>
        <w:rPr>
          <w:szCs w:val="26"/>
        </w:rPr>
        <w:t xml:space="preserve">EQR </w:t>
      </w:r>
      <w:r w:rsidR="008B688E">
        <w:rPr>
          <w:szCs w:val="26"/>
        </w:rPr>
        <w:t>filers to meet their reporting responsibilities.</w:t>
      </w:r>
    </w:p>
    <w:p w:rsidRPr="003D33A8" w:rsidR="009D7EF5" w:rsidP="00FC7A36" w:rsidRDefault="009D7EF5" w14:paraId="035331C2" w14:textId="77777777">
      <w:pPr>
        <w:spacing w:after="0"/>
        <w:rPr>
          <w:szCs w:val="26"/>
        </w:rPr>
      </w:pPr>
    </w:p>
    <w:p w:rsidRPr="003D33A8" w:rsidR="00EB3E6F" w:rsidP="00FC7A36" w:rsidRDefault="00EB3E6F" w14:paraId="035331C3" w14:textId="77777777">
      <w:pPr>
        <w:pStyle w:val="FERCparanumber"/>
        <w:spacing w:line="276" w:lineRule="auto"/>
        <w:rPr>
          <w:szCs w:val="26"/>
        </w:rPr>
      </w:pPr>
      <w:r w:rsidRPr="003D33A8">
        <w:rPr>
          <w:szCs w:val="26"/>
        </w:rPr>
        <w:t>DESCRIBE EFFORTS TO IDENTIF</w:t>
      </w:r>
      <w:r w:rsidRPr="003D33A8" w:rsidR="00730A00">
        <w:rPr>
          <w:szCs w:val="26"/>
        </w:rPr>
        <w:t>Y</w:t>
      </w:r>
      <w:r w:rsidRPr="003D33A8">
        <w:rPr>
          <w:szCs w:val="26"/>
        </w:rPr>
        <w:t xml:space="preserve"> DUPLICATION AND SHOW SPECIFICALLY WHY ANY SIMILAR INFORMATION ALREADY AVAILABLE CANNOT BE USED OR MODIFIED FOR USE FOR THE PURPOSE(S) DESCRIBED IN INSTRUCTION NO. 2</w:t>
      </w:r>
    </w:p>
    <w:p w:rsidRPr="003D33A8" w:rsidR="0029126C" w:rsidP="00FC7A36" w:rsidRDefault="00DD574F" w14:paraId="035331C9" w14:textId="2DD8D838">
      <w:pPr>
        <w:spacing w:after="0"/>
        <w:rPr>
          <w:szCs w:val="26"/>
        </w:rPr>
      </w:pPr>
      <w:r>
        <w:rPr>
          <w:szCs w:val="26"/>
        </w:rPr>
        <w:t>The Commission’s f</w:t>
      </w:r>
      <w:r w:rsidRPr="003D33A8" w:rsidR="002851FD">
        <w:rPr>
          <w:szCs w:val="26"/>
        </w:rPr>
        <w:t xml:space="preserve">iling </w:t>
      </w:r>
      <w:r>
        <w:rPr>
          <w:szCs w:val="26"/>
        </w:rPr>
        <w:t xml:space="preserve">and data </w:t>
      </w:r>
      <w:r w:rsidRPr="003D33A8" w:rsidR="002851FD">
        <w:rPr>
          <w:szCs w:val="26"/>
        </w:rPr>
        <w:t xml:space="preserve">requirements are periodically reviewed </w:t>
      </w:r>
      <w:r>
        <w:rPr>
          <w:szCs w:val="26"/>
        </w:rPr>
        <w:t xml:space="preserve">in conjunction with </w:t>
      </w:r>
      <w:r w:rsidRPr="003D33A8" w:rsidR="002851FD">
        <w:rPr>
          <w:szCs w:val="26"/>
        </w:rPr>
        <w:t xml:space="preserve">OMB </w:t>
      </w:r>
      <w:r>
        <w:rPr>
          <w:szCs w:val="26"/>
        </w:rPr>
        <w:t xml:space="preserve">clearance expiration </w:t>
      </w:r>
      <w:r w:rsidRPr="003D33A8" w:rsidR="002851FD">
        <w:rPr>
          <w:szCs w:val="26"/>
        </w:rPr>
        <w:t>dates</w:t>
      </w:r>
      <w:r>
        <w:rPr>
          <w:szCs w:val="26"/>
        </w:rPr>
        <w:t>.  This includes a review of the Commission’s regulations and data requirements to identify an</w:t>
      </w:r>
      <w:r w:rsidR="00746DAF">
        <w:rPr>
          <w:szCs w:val="26"/>
        </w:rPr>
        <w:t>y</w:t>
      </w:r>
      <w:r w:rsidRPr="003D33A8" w:rsidR="002851FD">
        <w:rPr>
          <w:szCs w:val="26"/>
        </w:rPr>
        <w:t xml:space="preserve"> duplication</w:t>
      </w:r>
      <w:r>
        <w:rPr>
          <w:szCs w:val="26"/>
        </w:rPr>
        <w:t>.</w:t>
      </w:r>
      <w:r w:rsidRPr="003D33A8" w:rsidR="002851FD">
        <w:rPr>
          <w:szCs w:val="26"/>
        </w:rPr>
        <w:t xml:space="preserve">  </w:t>
      </w:r>
    </w:p>
    <w:p w:rsidRPr="003D33A8" w:rsidR="00EB3E6F" w:rsidP="00FC7A36" w:rsidRDefault="00EB3E6F" w14:paraId="035331CC" w14:textId="77777777">
      <w:pPr>
        <w:spacing w:after="0"/>
        <w:rPr>
          <w:szCs w:val="26"/>
        </w:rPr>
      </w:pPr>
    </w:p>
    <w:p w:rsidRPr="003D33A8" w:rsidR="00EB3E6F" w:rsidP="00FC7A36" w:rsidRDefault="00EB3E6F" w14:paraId="035331CD" w14:textId="77777777">
      <w:pPr>
        <w:pStyle w:val="FERCparanumber"/>
        <w:spacing w:line="276" w:lineRule="auto"/>
        <w:rPr>
          <w:szCs w:val="26"/>
        </w:rPr>
      </w:pPr>
      <w:r w:rsidRPr="003D33A8">
        <w:rPr>
          <w:szCs w:val="26"/>
        </w:rPr>
        <w:t>METHODS USED TO MINIMIZE THE BURDEN IN COLLECTION OF INFORMATION INVOLVING SMALL ENTITIES</w:t>
      </w:r>
    </w:p>
    <w:p w:rsidRPr="003D33A8" w:rsidR="00003CE1" w:rsidP="00894629" w:rsidRDefault="00894629" w14:paraId="035331CF" w14:textId="424AB1BC">
      <w:pPr>
        <w:spacing w:after="0"/>
        <w:rPr>
          <w:szCs w:val="26"/>
          <w:lang w:val="x-none"/>
        </w:rPr>
      </w:pPr>
      <w:r w:rsidRPr="003D33A8">
        <w:rPr>
          <w:szCs w:val="26"/>
        </w:rPr>
        <w:t xml:space="preserve">For non-public utilities, the Commission </w:t>
      </w:r>
      <w:r w:rsidRPr="003D33A8" w:rsidR="00B77B6F">
        <w:rPr>
          <w:szCs w:val="26"/>
        </w:rPr>
        <w:t>has exempted those entities</w:t>
      </w:r>
      <w:r w:rsidRPr="003D33A8">
        <w:rPr>
          <w:szCs w:val="26"/>
        </w:rPr>
        <w:t xml:space="preserve"> under the </w:t>
      </w:r>
      <w:r w:rsidRPr="00C2513C">
        <w:rPr>
          <w:i/>
          <w:iCs/>
          <w:szCs w:val="26"/>
        </w:rPr>
        <w:t>de minimis</w:t>
      </w:r>
      <w:r w:rsidRPr="003D33A8">
        <w:rPr>
          <w:szCs w:val="26"/>
        </w:rPr>
        <w:t xml:space="preserve"> market presence threshold </w:t>
      </w:r>
      <w:r w:rsidRPr="003D33A8" w:rsidR="00B77B6F">
        <w:rPr>
          <w:szCs w:val="26"/>
        </w:rPr>
        <w:t>of</w:t>
      </w:r>
      <w:r w:rsidRPr="003D33A8">
        <w:rPr>
          <w:szCs w:val="26"/>
        </w:rPr>
        <w:t xml:space="preserve"> 4,000,000 MWh or less of annual wholesale sales (based on an average of the wholesale sales it made in the preceding three years).  This </w:t>
      </w:r>
      <w:r w:rsidRPr="00C2513C">
        <w:rPr>
          <w:i/>
          <w:iCs/>
          <w:szCs w:val="26"/>
        </w:rPr>
        <w:t>de minimis</w:t>
      </w:r>
      <w:r w:rsidRPr="003D33A8">
        <w:rPr>
          <w:szCs w:val="26"/>
        </w:rPr>
        <w:t xml:space="preserve"> threshold </w:t>
      </w:r>
      <w:r w:rsidRPr="003D33A8" w:rsidR="00B77B6F">
        <w:rPr>
          <w:szCs w:val="26"/>
        </w:rPr>
        <w:t xml:space="preserve">therefore </w:t>
      </w:r>
      <w:r w:rsidRPr="003D33A8">
        <w:rPr>
          <w:szCs w:val="26"/>
        </w:rPr>
        <w:t>exclude</w:t>
      </w:r>
      <w:r w:rsidRPr="003D33A8" w:rsidR="00B77B6F">
        <w:rPr>
          <w:szCs w:val="26"/>
        </w:rPr>
        <w:t>s</w:t>
      </w:r>
      <w:r w:rsidRPr="003D33A8">
        <w:rPr>
          <w:szCs w:val="26"/>
        </w:rPr>
        <w:t xml:space="preserve"> small non-public utilities.  I</w:t>
      </w:r>
      <w:r w:rsidR="0084056D">
        <w:rPr>
          <w:szCs w:val="26"/>
        </w:rPr>
        <w:t xml:space="preserve">f the reporting requirements present an undue burden on small businesses, the affected entity may seek a waiver of the EQR reporting requirements from the Commission.  </w:t>
      </w:r>
    </w:p>
    <w:p w:rsidRPr="003D33A8" w:rsidR="00003CE1" w:rsidP="00FC7A36" w:rsidRDefault="00003CE1" w14:paraId="035331D0" w14:textId="77777777">
      <w:pPr>
        <w:spacing w:after="0"/>
        <w:rPr>
          <w:szCs w:val="26"/>
        </w:rPr>
      </w:pPr>
    </w:p>
    <w:p w:rsidRPr="003D33A8" w:rsidR="00EB3E6F" w:rsidP="00FC7A36" w:rsidRDefault="00EB3E6F" w14:paraId="035331D3" w14:textId="77777777">
      <w:pPr>
        <w:pStyle w:val="FERCparanumber"/>
        <w:spacing w:line="276" w:lineRule="auto"/>
        <w:rPr>
          <w:szCs w:val="26"/>
        </w:rPr>
      </w:pPr>
      <w:r w:rsidRPr="003D33A8">
        <w:rPr>
          <w:szCs w:val="26"/>
        </w:rPr>
        <w:t>CONSEQUENCE TO FEDERAL PROGRAM IF COLLECTION WERE CONDUCTED LESS FREQUENTLY</w:t>
      </w:r>
    </w:p>
    <w:p w:rsidRPr="003D33A8" w:rsidR="00E705EA" w:rsidP="00FC7A36" w:rsidRDefault="003B7F94" w14:paraId="035331DC" w14:textId="28EABA5E">
      <w:pPr>
        <w:pStyle w:val="FERCparanumber"/>
        <w:numPr>
          <w:ilvl w:val="0"/>
          <w:numId w:val="0"/>
        </w:numPr>
        <w:spacing w:line="276" w:lineRule="auto"/>
        <w:rPr>
          <w:szCs w:val="26"/>
        </w:rPr>
      </w:pPr>
      <w:r>
        <w:rPr>
          <w:rFonts w:eastAsia="Calibri"/>
          <w:b w:val="0"/>
          <w:szCs w:val="26"/>
        </w:rPr>
        <w:t>The q</w:t>
      </w:r>
      <w:r w:rsidRPr="003B7F94">
        <w:rPr>
          <w:rFonts w:eastAsia="Calibri"/>
          <w:b w:val="0"/>
          <w:szCs w:val="26"/>
        </w:rPr>
        <w:t xml:space="preserve">uarterly </w:t>
      </w:r>
      <w:r>
        <w:rPr>
          <w:rFonts w:eastAsia="Calibri"/>
          <w:b w:val="0"/>
          <w:szCs w:val="26"/>
        </w:rPr>
        <w:t>information</w:t>
      </w:r>
      <w:r w:rsidRPr="003B7F94">
        <w:rPr>
          <w:rFonts w:eastAsia="Calibri"/>
          <w:b w:val="0"/>
          <w:szCs w:val="26"/>
        </w:rPr>
        <w:t xml:space="preserve"> </w:t>
      </w:r>
      <w:r>
        <w:rPr>
          <w:rFonts w:eastAsia="Calibri"/>
          <w:b w:val="0"/>
          <w:szCs w:val="26"/>
        </w:rPr>
        <w:t xml:space="preserve">provides the Commission and the public with updated and timely information regarding a company’s electric transactions.  Quarterly filings </w:t>
      </w:r>
      <w:r w:rsidRPr="003B7F94">
        <w:rPr>
          <w:rFonts w:eastAsia="Calibri"/>
          <w:b w:val="0"/>
          <w:szCs w:val="26"/>
        </w:rPr>
        <w:t xml:space="preserve">allow for regular and consistent review of the market and strengthens the Commission’s ability to </w:t>
      </w:r>
      <w:r w:rsidR="00F62624">
        <w:rPr>
          <w:rFonts w:eastAsia="Calibri"/>
          <w:b w:val="0"/>
          <w:szCs w:val="26"/>
        </w:rPr>
        <w:t>ensure that public utility rates are just, reasonable, and not unduly discriminatory</w:t>
      </w:r>
      <w:r w:rsidRPr="003B7F94">
        <w:rPr>
          <w:rFonts w:eastAsia="Calibri"/>
          <w:b w:val="0"/>
          <w:szCs w:val="26"/>
        </w:rPr>
        <w:t xml:space="preserve">.  </w:t>
      </w:r>
      <w:r w:rsidRPr="003D33A8" w:rsidR="00894629">
        <w:rPr>
          <w:rFonts w:eastAsia="Calibri"/>
          <w:b w:val="0"/>
          <w:szCs w:val="26"/>
        </w:rPr>
        <w:t xml:space="preserve">If the collection were conducted less frequently, the Commission would </w:t>
      </w:r>
      <w:r w:rsidR="0084056D">
        <w:rPr>
          <w:rFonts w:eastAsia="Calibri"/>
          <w:b w:val="0"/>
          <w:szCs w:val="26"/>
        </w:rPr>
        <w:t>have difficulty</w:t>
      </w:r>
      <w:r w:rsidRPr="003D33A8" w:rsidR="00894629">
        <w:rPr>
          <w:rFonts w:eastAsia="Calibri"/>
          <w:b w:val="0"/>
          <w:szCs w:val="26"/>
        </w:rPr>
        <w:t xml:space="preserve"> perform</w:t>
      </w:r>
      <w:r w:rsidR="0084056D">
        <w:rPr>
          <w:rFonts w:eastAsia="Calibri"/>
          <w:b w:val="0"/>
          <w:szCs w:val="26"/>
        </w:rPr>
        <w:t>ing</w:t>
      </w:r>
      <w:r w:rsidRPr="003D33A8" w:rsidR="00894629">
        <w:rPr>
          <w:rFonts w:eastAsia="Calibri"/>
          <w:b w:val="0"/>
          <w:szCs w:val="26"/>
        </w:rPr>
        <w:t xml:space="preserve"> its mandated oversight and review responsibilities</w:t>
      </w:r>
      <w:r w:rsidR="0084056D">
        <w:rPr>
          <w:rFonts w:eastAsia="Calibri"/>
          <w:b w:val="0"/>
          <w:szCs w:val="26"/>
        </w:rPr>
        <w:t>.</w:t>
      </w:r>
      <w:r w:rsidR="00093618">
        <w:rPr>
          <w:rFonts w:eastAsia="Calibri"/>
          <w:b w:val="0"/>
          <w:szCs w:val="26"/>
        </w:rPr>
        <w:t xml:space="preserve">  </w:t>
      </w:r>
    </w:p>
    <w:p w:rsidRPr="003D33A8" w:rsidR="00EB3E6F" w:rsidP="00FC7A36" w:rsidRDefault="00EB3E6F" w14:paraId="035331DD" w14:textId="77777777">
      <w:pPr>
        <w:pStyle w:val="FERCparanumber"/>
        <w:spacing w:line="276" w:lineRule="auto"/>
        <w:rPr>
          <w:szCs w:val="26"/>
        </w:rPr>
      </w:pPr>
      <w:r w:rsidRPr="003D33A8">
        <w:rPr>
          <w:szCs w:val="26"/>
        </w:rPr>
        <w:t>EXPLAIN ANY SPECIAL CIRCUMSTANCES RELATING TO THE INFORMATION COLLECTION</w:t>
      </w:r>
    </w:p>
    <w:p w:rsidRPr="003D33A8" w:rsidR="00D54DFD" w:rsidP="00FC7A36" w:rsidRDefault="00894629" w14:paraId="035331E0" w14:textId="14161F30">
      <w:pPr>
        <w:spacing w:after="0"/>
        <w:rPr>
          <w:szCs w:val="26"/>
        </w:rPr>
      </w:pPr>
      <w:r w:rsidRPr="003D33A8">
        <w:rPr>
          <w:szCs w:val="26"/>
        </w:rPr>
        <w:t>There are no special circumstances</w:t>
      </w:r>
      <w:r w:rsidRPr="003D33A8" w:rsidR="00D54DFD">
        <w:rPr>
          <w:szCs w:val="26"/>
        </w:rPr>
        <w:t xml:space="preserve">. </w:t>
      </w:r>
    </w:p>
    <w:p w:rsidRPr="003D33A8" w:rsidR="00CA0FA0" w:rsidP="00FC7A36" w:rsidRDefault="00CA0FA0" w14:paraId="1B837E08" w14:textId="77777777">
      <w:pPr>
        <w:spacing w:after="0"/>
        <w:rPr>
          <w:szCs w:val="26"/>
        </w:rPr>
      </w:pPr>
    </w:p>
    <w:p w:rsidR="006A37EA" w:rsidP="006A37EA" w:rsidRDefault="00EB3E6F" w14:paraId="27831193" w14:textId="77777777">
      <w:pPr>
        <w:pStyle w:val="FERCparanumber"/>
        <w:spacing w:line="276" w:lineRule="auto"/>
        <w:rPr>
          <w:szCs w:val="26"/>
        </w:rPr>
      </w:pPr>
      <w:bookmarkStart w:name="_Hlk43726603" w:id="1"/>
      <w:r w:rsidRPr="003D33A8">
        <w:rPr>
          <w:szCs w:val="26"/>
        </w:rPr>
        <w:lastRenderedPageBreak/>
        <w:t>DESCRIBE EFFORT</w:t>
      </w:r>
      <w:r w:rsidRPr="003D33A8">
        <w:rPr>
          <w:bCs/>
          <w:szCs w:val="26"/>
        </w:rPr>
        <w:t>S</w:t>
      </w:r>
      <w:r w:rsidRPr="003D33A8">
        <w:rPr>
          <w:szCs w:val="26"/>
        </w:rPr>
        <w:t xml:space="preserve"> TO CONSULT OUTSIDE THE AGENCY: SUMMARIZE PUBLIC COMMENTS AND THE AGENCY’S RESPONSE</w:t>
      </w:r>
      <w:bookmarkStart w:name="_Hlk43819418" w:id="2"/>
    </w:p>
    <w:p w:rsidR="002A5771" w:rsidP="006A37EA" w:rsidRDefault="002A5771" w14:paraId="17A9D6BC" w14:textId="140D3E42">
      <w:pPr>
        <w:pStyle w:val="FERCparanumber"/>
        <w:numPr>
          <w:ilvl w:val="0"/>
          <w:numId w:val="0"/>
        </w:numPr>
        <w:spacing w:line="276" w:lineRule="auto"/>
        <w:rPr>
          <w:rFonts w:eastAsiaTheme="minorHAnsi"/>
          <w:b w:val="0"/>
          <w:szCs w:val="22"/>
        </w:rPr>
      </w:pPr>
      <w:r>
        <w:rPr>
          <w:rFonts w:eastAsiaTheme="minorHAnsi"/>
          <w:b w:val="0"/>
          <w:szCs w:val="22"/>
        </w:rPr>
        <w:t xml:space="preserve">Commission </w:t>
      </w:r>
      <w:r w:rsidR="003B7F94">
        <w:rPr>
          <w:rFonts w:eastAsiaTheme="minorHAnsi"/>
          <w:b w:val="0"/>
          <w:szCs w:val="22"/>
        </w:rPr>
        <w:t>s</w:t>
      </w:r>
      <w:r>
        <w:rPr>
          <w:rFonts w:eastAsiaTheme="minorHAnsi"/>
          <w:b w:val="0"/>
          <w:szCs w:val="22"/>
        </w:rPr>
        <w:t xml:space="preserve">taff </w:t>
      </w:r>
      <w:r w:rsidR="003B7F94">
        <w:rPr>
          <w:rFonts w:eastAsiaTheme="minorHAnsi"/>
          <w:b w:val="0"/>
          <w:szCs w:val="22"/>
        </w:rPr>
        <w:t>conducts regular outreach with the</w:t>
      </w:r>
      <w:r>
        <w:rPr>
          <w:rFonts w:eastAsiaTheme="minorHAnsi"/>
          <w:b w:val="0"/>
          <w:szCs w:val="22"/>
        </w:rPr>
        <w:t xml:space="preserve"> filing community. </w:t>
      </w:r>
      <w:r w:rsidR="00AA67FB">
        <w:rPr>
          <w:rFonts w:eastAsiaTheme="minorHAnsi"/>
          <w:b w:val="0"/>
          <w:szCs w:val="22"/>
        </w:rPr>
        <w:t xml:space="preserve"> </w:t>
      </w:r>
      <w:r w:rsidR="003B7F94">
        <w:rPr>
          <w:rFonts w:eastAsiaTheme="minorHAnsi"/>
          <w:b w:val="0"/>
          <w:szCs w:val="22"/>
        </w:rPr>
        <w:t>Outreach efforts range from assistance with</w:t>
      </w:r>
      <w:r>
        <w:rPr>
          <w:rFonts w:eastAsiaTheme="minorHAnsi"/>
          <w:b w:val="0"/>
          <w:szCs w:val="22"/>
        </w:rPr>
        <w:t xml:space="preserve"> required filings to </w:t>
      </w:r>
      <w:r w:rsidR="003B7F94">
        <w:rPr>
          <w:rFonts w:eastAsiaTheme="minorHAnsi"/>
          <w:b w:val="0"/>
          <w:szCs w:val="22"/>
        </w:rPr>
        <w:t>researching</w:t>
      </w:r>
      <w:r>
        <w:rPr>
          <w:rFonts w:eastAsiaTheme="minorHAnsi"/>
          <w:b w:val="0"/>
          <w:szCs w:val="22"/>
        </w:rPr>
        <w:t xml:space="preserve"> more complex </w:t>
      </w:r>
      <w:r w:rsidR="003B7F94">
        <w:rPr>
          <w:rFonts w:eastAsiaTheme="minorHAnsi"/>
          <w:b w:val="0"/>
          <w:szCs w:val="22"/>
        </w:rPr>
        <w:t xml:space="preserve">filer </w:t>
      </w:r>
      <w:r>
        <w:rPr>
          <w:rFonts w:eastAsiaTheme="minorHAnsi"/>
          <w:b w:val="0"/>
          <w:szCs w:val="22"/>
        </w:rPr>
        <w:t xml:space="preserve">issues.  </w:t>
      </w:r>
      <w:r w:rsidR="003B7F94">
        <w:rPr>
          <w:rFonts w:eastAsiaTheme="minorHAnsi"/>
          <w:b w:val="0"/>
          <w:szCs w:val="22"/>
        </w:rPr>
        <w:t xml:space="preserve">Commission </w:t>
      </w:r>
      <w:r>
        <w:rPr>
          <w:rFonts w:eastAsiaTheme="minorHAnsi"/>
          <w:b w:val="0"/>
          <w:szCs w:val="22"/>
        </w:rPr>
        <w:t>staff conduct</w:t>
      </w:r>
      <w:r w:rsidR="003B7F94">
        <w:rPr>
          <w:rFonts w:eastAsiaTheme="minorHAnsi"/>
          <w:b w:val="0"/>
          <w:szCs w:val="22"/>
        </w:rPr>
        <w:t>s</w:t>
      </w:r>
      <w:r>
        <w:rPr>
          <w:rFonts w:eastAsiaTheme="minorHAnsi"/>
          <w:b w:val="0"/>
          <w:szCs w:val="22"/>
        </w:rPr>
        <w:t xml:space="preserve"> </w:t>
      </w:r>
      <w:r w:rsidR="003B7F94">
        <w:rPr>
          <w:rFonts w:eastAsiaTheme="minorHAnsi"/>
          <w:b w:val="0"/>
          <w:szCs w:val="22"/>
        </w:rPr>
        <w:t xml:space="preserve">EQR </w:t>
      </w:r>
      <w:r>
        <w:rPr>
          <w:rFonts w:eastAsiaTheme="minorHAnsi"/>
          <w:b w:val="0"/>
          <w:szCs w:val="22"/>
        </w:rPr>
        <w:t xml:space="preserve">User Group meetings and/or Technical Conferences to discuss various aspects of the EQR program.  </w:t>
      </w:r>
      <w:r w:rsidR="003B7F94">
        <w:rPr>
          <w:rFonts w:eastAsiaTheme="minorHAnsi"/>
          <w:b w:val="0"/>
          <w:szCs w:val="22"/>
        </w:rPr>
        <w:t>EQR m</w:t>
      </w:r>
      <w:r>
        <w:rPr>
          <w:rFonts w:eastAsiaTheme="minorHAnsi"/>
          <w:b w:val="0"/>
          <w:szCs w:val="22"/>
        </w:rPr>
        <w:t xml:space="preserve">eetings and </w:t>
      </w:r>
      <w:r w:rsidR="003B7F94">
        <w:rPr>
          <w:rFonts w:eastAsiaTheme="minorHAnsi"/>
          <w:b w:val="0"/>
          <w:szCs w:val="22"/>
        </w:rPr>
        <w:t xml:space="preserve">technical </w:t>
      </w:r>
      <w:r>
        <w:rPr>
          <w:rFonts w:eastAsiaTheme="minorHAnsi"/>
          <w:b w:val="0"/>
          <w:szCs w:val="22"/>
        </w:rPr>
        <w:t>conferences are generally attended by several hundred participants</w:t>
      </w:r>
      <w:r w:rsidR="003B7F94">
        <w:rPr>
          <w:rFonts w:eastAsiaTheme="minorHAnsi"/>
          <w:b w:val="0"/>
          <w:szCs w:val="22"/>
        </w:rPr>
        <w:t>.  The meeting</w:t>
      </w:r>
      <w:r w:rsidR="00832527">
        <w:rPr>
          <w:rFonts w:eastAsiaTheme="minorHAnsi"/>
          <w:b w:val="0"/>
          <w:szCs w:val="22"/>
        </w:rPr>
        <w:t>s</w:t>
      </w:r>
      <w:r w:rsidR="003B7F94">
        <w:rPr>
          <w:rFonts w:eastAsiaTheme="minorHAnsi"/>
          <w:b w:val="0"/>
          <w:szCs w:val="22"/>
        </w:rPr>
        <w:t xml:space="preserve"> and conferences </w:t>
      </w:r>
      <w:r w:rsidR="00832527">
        <w:rPr>
          <w:rFonts w:eastAsiaTheme="minorHAnsi"/>
          <w:b w:val="0"/>
          <w:szCs w:val="22"/>
        </w:rPr>
        <w:t xml:space="preserve">promote </w:t>
      </w:r>
      <w:r>
        <w:rPr>
          <w:rFonts w:eastAsiaTheme="minorHAnsi"/>
          <w:b w:val="0"/>
          <w:szCs w:val="22"/>
        </w:rPr>
        <w:t>dialog between staff and the filing community</w:t>
      </w:r>
      <w:r w:rsidR="007B43B4">
        <w:rPr>
          <w:rFonts w:eastAsiaTheme="minorHAnsi"/>
          <w:b w:val="0"/>
          <w:szCs w:val="22"/>
        </w:rPr>
        <w:t xml:space="preserve"> and</w:t>
      </w:r>
      <w:r w:rsidR="00832527">
        <w:rPr>
          <w:rFonts w:eastAsiaTheme="minorHAnsi"/>
          <w:b w:val="0"/>
          <w:szCs w:val="22"/>
        </w:rPr>
        <w:t xml:space="preserve"> raise attention to</w:t>
      </w:r>
      <w:r>
        <w:rPr>
          <w:rFonts w:eastAsiaTheme="minorHAnsi"/>
          <w:b w:val="0"/>
          <w:szCs w:val="22"/>
        </w:rPr>
        <w:t xml:space="preserve"> filer concerns.</w:t>
      </w:r>
    </w:p>
    <w:p w:rsidR="00D85517" w:rsidP="006A37EA" w:rsidRDefault="00D85517" w14:paraId="23573602" w14:textId="0F6B5FA4">
      <w:pPr>
        <w:pStyle w:val="FERCparanumber"/>
        <w:numPr>
          <w:ilvl w:val="0"/>
          <w:numId w:val="0"/>
        </w:numPr>
        <w:spacing w:line="276" w:lineRule="auto"/>
        <w:rPr>
          <w:rFonts w:eastAsiaTheme="minorHAnsi"/>
          <w:b w:val="0"/>
          <w:szCs w:val="22"/>
        </w:rPr>
      </w:pPr>
      <w:r>
        <w:rPr>
          <w:rFonts w:eastAsiaTheme="minorHAnsi"/>
          <w:b w:val="0"/>
          <w:szCs w:val="22"/>
        </w:rPr>
        <w:t>The Commission published a 60-day notice in Docket No. IC21-38</w:t>
      </w:r>
      <w:r w:rsidR="00AA67FB">
        <w:rPr>
          <w:rFonts w:eastAsiaTheme="minorHAnsi"/>
          <w:b w:val="0"/>
          <w:szCs w:val="22"/>
        </w:rPr>
        <w:t>-000</w:t>
      </w:r>
      <w:r>
        <w:rPr>
          <w:rFonts w:eastAsiaTheme="minorHAnsi"/>
          <w:b w:val="0"/>
          <w:szCs w:val="22"/>
        </w:rPr>
        <w:t xml:space="preserve"> in the Federal Register on </w:t>
      </w:r>
      <w:r w:rsidR="00AA67FB">
        <w:rPr>
          <w:rFonts w:eastAsiaTheme="minorHAnsi"/>
          <w:b w:val="0"/>
          <w:szCs w:val="22"/>
        </w:rPr>
        <w:t xml:space="preserve">September 24, </w:t>
      </w:r>
      <w:r>
        <w:rPr>
          <w:rFonts w:eastAsiaTheme="minorHAnsi"/>
          <w:b w:val="0"/>
          <w:szCs w:val="22"/>
        </w:rPr>
        <w:t xml:space="preserve">2021 (86 FR 53048).  Public comments were due on </w:t>
      </w:r>
      <w:r w:rsidR="00AA67FB">
        <w:rPr>
          <w:rFonts w:eastAsiaTheme="minorHAnsi"/>
          <w:b w:val="0"/>
          <w:szCs w:val="22"/>
        </w:rPr>
        <w:t xml:space="preserve">November 23, </w:t>
      </w:r>
      <w:r>
        <w:rPr>
          <w:rFonts w:eastAsiaTheme="minorHAnsi"/>
          <w:b w:val="0"/>
          <w:szCs w:val="22"/>
        </w:rPr>
        <w:t>2021</w:t>
      </w:r>
      <w:r w:rsidRPr="00B25532">
        <w:rPr>
          <w:rFonts w:eastAsiaTheme="minorHAnsi"/>
          <w:b w:val="0"/>
          <w:szCs w:val="22"/>
        </w:rPr>
        <w:t>, and none were received.</w:t>
      </w:r>
    </w:p>
    <w:p w:rsidR="00D85517" w:rsidP="006A37EA" w:rsidRDefault="00D85517" w14:paraId="6D4B2844" w14:textId="21357A29">
      <w:pPr>
        <w:pStyle w:val="FERCparanumber"/>
        <w:numPr>
          <w:ilvl w:val="0"/>
          <w:numId w:val="0"/>
        </w:numPr>
        <w:spacing w:line="276" w:lineRule="auto"/>
        <w:rPr>
          <w:rFonts w:eastAsiaTheme="minorHAnsi"/>
          <w:b w:val="0"/>
          <w:szCs w:val="22"/>
        </w:rPr>
      </w:pPr>
      <w:r>
        <w:rPr>
          <w:rFonts w:eastAsiaTheme="minorHAnsi"/>
          <w:b w:val="0"/>
          <w:szCs w:val="22"/>
        </w:rPr>
        <w:t xml:space="preserve">The </w:t>
      </w:r>
      <w:r w:rsidRPr="00750ACE">
        <w:rPr>
          <w:rFonts w:eastAsiaTheme="minorHAnsi"/>
          <w:b w:val="0"/>
          <w:szCs w:val="22"/>
        </w:rPr>
        <w:t xml:space="preserve">Commission issued a 30-day notice </w:t>
      </w:r>
      <w:r w:rsidRPr="00750ACE" w:rsidR="00C74CEF">
        <w:rPr>
          <w:rFonts w:eastAsiaTheme="minorHAnsi"/>
          <w:b w:val="0"/>
          <w:szCs w:val="22"/>
        </w:rPr>
        <w:t>(</w:t>
      </w:r>
      <w:r w:rsidRPr="00750ACE" w:rsidR="00F904E0">
        <w:rPr>
          <w:rFonts w:eastAsiaTheme="minorHAnsi"/>
          <w:b w:val="0"/>
          <w:szCs w:val="22"/>
        </w:rPr>
        <w:t>6/10/2022</w:t>
      </w:r>
      <w:r w:rsidRPr="00750ACE" w:rsidR="00C74CEF">
        <w:rPr>
          <w:rFonts w:eastAsiaTheme="minorHAnsi"/>
          <w:b w:val="0"/>
          <w:szCs w:val="22"/>
        </w:rPr>
        <w:t>)</w:t>
      </w:r>
      <w:r w:rsidRPr="00750ACE" w:rsidR="00D40BFF">
        <w:rPr>
          <w:rStyle w:val="FootnoteReference"/>
          <w:rFonts w:eastAsiaTheme="minorHAnsi"/>
          <w:b/>
          <w:szCs w:val="22"/>
        </w:rPr>
        <w:footnoteReference w:id="10"/>
      </w:r>
      <w:r w:rsidRPr="00750ACE" w:rsidR="00C74CEF">
        <w:rPr>
          <w:rFonts w:eastAsiaTheme="minorHAnsi"/>
          <w:b w:val="0"/>
          <w:szCs w:val="22"/>
        </w:rPr>
        <w:t xml:space="preserve"> </w:t>
      </w:r>
      <w:r w:rsidRPr="00750ACE">
        <w:rPr>
          <w:rFonts w:eastAsiaTheme="minorHAnsi"/>
          <w:b w:val="0"/>
          <w:szCs w:val="22"/>
        </w:rPr>
        <w:t>requesting public comment.</w:t>
      </w:r>
      <w:r w:rsidRPr="00750ACE" w:rsidR="007356C7">
        <w:rPr>
          <w:rFonts w:eastAsiaTheme="minorHAnsi"/>
          <w:b w:val="0"/>
          <w:szCs w:val="22"/>
        </w:rPr>
        <w:t xml:space="preserve">  The Notice will also be published in the Federal Register.</w:t>
      </w:r>
    </w:p>
    <w:bookmarkEnd w:id="1"/>
    <w:bookmarkEnd w:id="2"/>
    <w:p w:rsidRPr="003D33A8" w:rsidR="00EB3E6F" w:rsidP="00FC7A36" w:rsidRDefault="00D80FBD" w14:paraId="035331E7" w14:textId="20074E92">
      <w:pPr>
        <w:pStyle w:val="FERCparanumber"/>
        <w:spacing w:line="276" w:lineRule="auto"/>
        <w:rPr>
          <w:szCs w:val="26"/>
        </w:rPr>
      </w:pPr>
      <w:r w:rsidRPr="003D33A8">
        <w:rPr>
          <w:szCs w:val="26"/>
        </w:rPr>
        <w:t>EXPLAIN ANY PAYMENT OR GIFTS TO RESPONDENTS</w:t>
      </w:r>
    </w:p>
    <w:p w:rsidRPr="003D33A8" w:rsidR="00251161" w:rsidP="00FC7A36" w:rsidRDefault="00251161" w14:paraId="035331E9" w14:textId="091D10B6">
      <w:pPr>
        <w:rPr>
          <w:szCs w:val="26"/>
        </w:rPr>
      </w:pPr>
      <w:r w:rsidRPr="003D33A8">
        <w:rPr>
          <w:szCs w:val="26"/>
        </w:rPr>
        <w:t xml:space="preserve">The Commission does not make payments or provide gifts to respondents </w:t>
      </w:r>
      <w:r w:rsidR="00AE3AD4">
        <w:rPr>
          <w:szCs w:val="26"/>
        </w:rPr>
        <w:t>of the</w:t>
      </w:r>
      <w:r w:rsidRPr="003D33A8" w:rsidR="006E0D79">
        <w:rPr>
          <w:szCs w:val="26"/>
        </w:rPr>
        <w:t xml:space="preserve"> FERC-</w:t>
      </w:r>
      <w:r w:rsidRPr="003D33A8" w:rsidR="00E9735F">
        <w:rPr>
          <w:szCs w:val="26"/>
        </w:rPr>
        <w:t>920</w:t>
      </w:r>
      <w:r w:rsidRPr="003D33A8" w:rsidR="00C40F36">
        <w:rPr>
          <w:szCs w:val="26"/>
        </w:rPr>
        <w:t>.</w:t>
      </w:r>
      <w:r w:rsidRPr="003D33A8" w:rsidR="006E0D79">
        <w:rPr>
          <w:szCs w:val="26"/>
        </w:rPr>
        <w:t xml:space="preserve"> </w:t>
      </w:r>
    </w:p>
    <w:p w:rsidRPr="003D33A8" w:rsidR="00D80FBD" w:rsidP="00FC7A36" w:rsidRDefault="00D80FBD" w14:paraId="035331EA" w14:textId="77777777">
      <w:pPr>
        <w:pStyle w:val="FERCparanumber"/>
        <w:spacing w:line="276" w:lineRule="auto"/>
        <w:rPr>
          <w:szCs w:val="26"/>
        </w:rPr>
      </w:pPr>
      <w:r w:rsidRPr="003D33A8">
        <w:rPr>
          <w:szCs w:val="26"/>
        </w:rPr>
        <w:t>DESCRIBE ANY ASSURANCE OF CONFIDENTIALITY PROVIDED TO RESPONDENTS</w:t>
      </w:r>
    </w:p>
    <w:p w:rsidRPr="003D33A8" w:rsidR="00E758ED" w:rsidP="00FC7A36" w:rsidRDefault="00237EF0" w14:paraId="7A1EE2E8" w14:textId="566751B4">
      <w:pPr>
        <w:spacing w:after="0"/>
        <w:rPr>
          <w:szCs w:val="26"/>
        </w:rPr>
      </w:pPr>
      <w:r w:rsidRPr="003D33A8">
        <w:rPr>
          <w:szCs w:val="26"/>
        </w:rPr>
        <w:t>The information contained in the</w:t>
      </w:r>
      <w:r w:rsidR="0084056D">
        <w:rPr>
          <w:szCs w:val="26"/>
        </w:rPr>
        <w:t xml:space="preserve"> </w:t>
      </w:r>
      <w:r w:rsidRPr="003D33A8">
        <w:rPr>
          <w:szCs w:val="26"/>
        </w:rPr>
        <w:t xml:space="preserve">FERC-920 is </w:t>
      </w:r>
      <w:r w:rsidRPr="003D33A8" w:rsidR="009C668B">
        <w:rPr>
          <w:szCs w:val="26"/>
        </w:rPr>
        <w:t>publicly</w:t>
      </w:r>
      <w:r w:rsidRPr="003D33A8">
        <w:rPr>
          <w:szCs w:val="26"/>
        </w:rPr>
        <w:t xml:space="preserve"> available.  However, the Commission will consider specific requests for confidential treatment (e.g.</w:t>
      </w:r>
      <w:r w:rsidR="00AA34C8">
        <w:rPr>
          <w:szCs w:val="26"/>
        </w:rPr>
        <w:t>,</w:t>
      </w:r>
      <w:r w:rsidRPr="003D33A8">
        <w:rPr>
          <w:szCs w:val="26"/>
        </w:rPr>
        <w:t xml:space="preserve"> Critical Energy/Electric Infrastructure Information [CEII] or non-public) to the extent permitted by law.</w:t>
      </w:r>
      <w:r w:rsidRPr="003D33A8">
        <w:rPr>
          <w:rFonts w:eastAsia="Calibri"/>
          <w:b/>
          <w:szCs w:val="26"/>
          <w:vertAlign w:val="superscript"/>
        </w:rPr>
        <w:footnoteReference w:id="11"/>
      </w:r>
    </w:p>
    <w:p w:rsidRPr="003D33A8" w:rsidR="00E758ED" w:rsidP="00FC7A36" w:rsidRDefault="00E758ED" w14:paraId="1BEF2A7D" w14:textId="413EDC23">
      <w:pPr>
        <w:spacing w:after="0"/>
        <w:rPr>
          <w:szCs w:val="26"/>
          <w:vertAlign w:val="superscript"/>
        </w:rPr>
      </w:pPr>
    </w:p>
    <w:p w:rsidRPr="003D33A8" w:rsidR="00263AAD" w:rsidP="00FC7A36" w:rsidRDefault="00263AAD" w14:paraId="035331ED" w14:textId="413DC69E">
      <w:pPr>
        <w:pStyle w:val="FERCparanumber"/>
        <w:spacing w:line="276" w:lineRule="auto"/>
        <w:rPr>
          <w:szCs w:val="26"/>
        </w:rPr>
      </w:pPr>
      <w:r w:rsidRPr="003D33A8">
        <w:rPr>
          <w:szCs w:val="26"/>
        </w:rPr>
        <w:t xml:space="preserve">PROVIDE ADDITIONAL JUSTIFICATION FOR ANY QUESTIONS OF A SENSITIVE NATURE, SUCH AS SEXUAL BEHAVIOR AND </w:t>
      </w:r>
      <w:r w:rsidRPr="003D33A8">
        <w:rPr>
          <w:szCs w:val="26"/>
        </w:rPr>
        <w:lastRenderedPageBreak/>
        <w:t>ATTITUDES, RELIGIOUS BELIEFS, AND OTHER MATTERS THAT ARE COMMONLY CONSIDERED PRIVATE.</w:t>
      </w:r>
    </w:p>
    <w:p w:rsidRPr="003D33A8" w:rsidR="006055FC" w:rsidP="00FC7A36" w:rsidRDefault="006055FC" w14:paraId="035331EF" w14:textId="3FEAA24F">
      <w:pPr>
        <w:spacing w:after="0"/>
        <w:rPr>
          <w:szCs w:val="26"/>
        </w:rPr>
      </w:pPr>
      <w:r w:rsidRPr="003D33A8">
        <w:rPr>
          <w:szCs w:val="26"/>
        </w:rPr>
        <w:t>There are no questions of a sensitive nature that are considered private</w:t>
      </w:r>
      <w:r w:rsidRPr="003D33A8" w:rsidR="00E9555B">
        <w:rPr>
          <w:szCs w:val="26"/>
        </w:rPr>
        <w:t xml:space="preserve"> in FERC</w:t>
      </w:r>
      <w:r w:rsidRPr="003D33A8" w:rsidR="001C7F2B">
        <w:rPr>
          <w:szCs w:val="26"/>
        </w:rPr>
        <w:t>-</w:t>
      </w:r>
      <w:r w:rsidRPr="003D33A8" w:rsidR="00E9735F">
        <w:rPr>
          <w:szCs w:val="26"/>
        </w:rPr>
        <w:t>920</w:t>
      </w:r>
      <w:r w:rsidRPr="003D33A8" w:rsidR="00F02FEB">
        <w:rPr>
          <w:szCs w:val="26"/>
        </w:rPr>
        <w:t>.</w:t>
      </w:r>
    </w:p>
    <w:p w:rsidRPr="003D33A8" w:rsidR="005B09C3" w:rsidP="00FC7A36" w:rsidRDefault="005B09C3" w14:paraId="14AF645C" w14:textId="77777777">
      <w:pPr>
        <w:spacing w:after="0"/>
        <w:rPr>
          <w:szCs w:val="26"/>
        </w:rPr>
      </w:pPr>
    </w:p>
    <w:p w:rsidR="004C275C" w:rsidP="004C275C" w:rsidRDefault="00D80FBD" w14:paraId="2EA44DBE" w14:textId="77777777">
      <w:pPr>
        <w:pStyle w:val="FERCparanumber"/>
        <w:spacing w:line="276" w:lineRule="auto"/>
        <w:rPr>
          <w:szCs w:val="26"/>
        </w:rPr>
      </w:pPr>
      <w:r w:rsidRPr="003D33A8">
        <w:rPr>
          <w:szCs w:val="26"/>
        </w:rPr>
        <w:t>ESTIMATED BURDEN OF COLLECTION OF INFORMATION</w:t>
      </w:r>
    </w:p>
    <w:p w:rsidR="004C275C" w:rsidP="00843FEC" w:rsidRDefault="004C275C" w14:paraId="149C3B14" w14:textId="5751FE65">
      <w:pPr>
        <w:pStyle w:val="FERCparanumber"/>
        <w:numPr>
          <w:ilvl w:val="0"/>
          <w:numId w:val="0"/>
        </w:numPr>
        <w:spacing w:line="276" w:lineRule="auto"/>
        <w:rPr>
          <w:b w:val="0"/>
          <w:bCs/>
        </w:rPr>
      </w:pPr>
      <w:r w:rsidRPr="00843FEC">
        <w:rPr>
          <w:b w:val="0"/>
          <w:bCs/>
        </w:rPr>
        <w:t>The estimated burden</w:t>
      </w:r>
      <w:r w:rsidRPr="0043403F" w:rsidR="0043403F">
        <w:rPr>
          <w:rStyle w:val="FootnoteReference"/>
        </w:rPr>
        <w:footnoteReference w:id="12"/>
      </w:r>
      <w:r w:rsidRPr="002C6B33">
        <w:rPr>
          <w:rStyle w:val="FootnoteReference"/>
          <w:i/>
          <w:iCs/>
        </w:rPr>
        <w:t xml:space="preserve"> </w:t>
      </w:r>
      <w:r w:rsidRPr="00843FEC">
        <w:rPr>
          <w:b w:val="0"/>
          <w:bCs/>
        </w:rPr>
        <w:t>and cost</w:t>
      </w:r>
      <w:r w:rsidRPr="00843FEC">
        <w:rPr>
          <w:b w:val="0"/>
          <w:bCs/>
          <w:vertAlign w:val="superscript"/>
        </w:rPr>
        <w:footnoteReference w:id="13"/>
      </w:r>
      <w:r w:rsidRPr="00843FEC">
        <w:rPr>
          <w:b w:val="0"/>
          <w:bCs/>
        </w:rPr>
        <w:t xml:space="preserve"> </w:t>
      </w:r>
      <w:r w:rsidR="00B4754E">
        <w:rPr>
          <w:b w:val="0"/>
          <w:bCs/>
        </w:rPr>
        <w:t xml:space="preserve">(rounded) </w:t>
      </w:r>
      <w:r w:rsidRPr="00843FEC">
        <w:rPr>
          <w:b w:val="0"/>
          <w:bCs/>
        </w:rPr>
        <w:t>for the reporting requirements follow.</w:t>
      </w:r>
      <w:r w:rsidR="00420189">
        <w:rPr>
          <w:rStyle w:val="FootnoteReference"/>
          <w:b/>
          <w:bCs/>
        </w:rPr>
        <w:footnoteReference w:id="14"/>
      </w:r>
      <w:r w:rsidRPr="00843FEC">
        <w:rPr>
          <w:b w:val="0"/>
          <w:bCs/>
        </w:rPr>
        <w:t xml:space="preserve">  </w:t>
      </w:r>
    </w:p>
    <w:p w:rsidR="002577BF" w:rsidP="00843FEC" w:rsidRDefault="00536A8D" w14:paraId="456DA842" w14:textId="2F1F9AF9">
      <w:pPr>
        <w:pStyle w:val="FERCparanumber"/>
        <w:numPr>
          <w:ilvl w:val="0"/>
          <w:numId w:val="0"/>
        </w:numPr>
        <w:spacing w:line="276" w:lineRule="auto"/>
        <w:rPr>
          <w:b w:val="0"/>
          <w:bCs/>
        </w:rPr>
      </w:pPr>
      <w:r w:rsidRPr="00536A8D">
        <w:rPr>
          <w:noProof/>
        </w:rPr>
        <w:drawing>
          <wp:inline distT="0" distB="0" distL="0" distR="0" wp14:anchorId="55EFDB36" wp14:editId="1F183ED7">
            <wp:extent cx="5943600" cy="226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266950"/>
                    </a:xfrm>
                    <a:prstGeom prst="rect">
                      <a:avLst/>
                    </a:prstGeom>
                    <a:noFill/>
                    <a:ln>
                      <a:noFill/>
                    </a:ln>
                  </pic:spPr>
                </pic:pic>
              </a:graphicData>
            </a:graphic>
          </wp:inline>
        </w:drawing>
      </w:r>
    </w:p>
    <w:p w:rsidRPr="003D33A8" w:rsidR="00337C1F" w:rsidP="00FC7A36" w:rsidRDefault="00337C1F" w14:paraId="7865B2B5" w14:textId="5D5834FA">
      <w:pPr>
        <w:spacing w:after="0"/>
        <w:rPr>
          <w:szCs w:val="26"/>
        </w:rPr>
      </w:pPr>
    </w:p>
    <w:p w:rsidRPr="003D33A8" w:rsidR="00D80FBD" w:rsidP="00FC7A36" w:rsidRDefault="00E636D7" w14:paraId="03533207" w14:textId="77777777">
      <w:pPr>
        <w:pStyle w:val="FERCparanumber"/>
        <w:spacing w:line="276" w:lineRule="auto"/>
        <w:rPr>
          <w:szCs w:val="26"/>
        </w:rPr>
      </w:pPr>
      <w:r w:rsidRPr="003D33A8">
        <w:rPr>
          <w:szCs w:val="26"/>
        </w:rPr>
        <w:lastRenderedPageBreak/>
        <w:t>ESTIMATE OF THE TOTAL ANNUAL COST BURDEN TO RESPONDENTS</w:t>
      </w:r>
    </w:p>
    <w:p w:rsidRPr="003D33A8" w:rsidR="00E636D7" w:rsidP="00E9735F" w:rsidRDefault="00E9735F" w14:paraId="0353320A" w14:textId="32EA4572">
      <w:pPr>
        <w:keepLines/>
        <w:rPr>
          <w:szCs w:val="26"/>
        </w:rPr>
      </w:pPr>
      <w:r w:rsidRPr="003D33A8">
        <w:rPr>
          <w:szCs w:val="26"/>
        </w:rPr>
        <w:t>There are no costs which are not related to burden hours</w:t>
      </w:r>
      <w:r w:rsidR="006845C7">
        <w:rPr>
          <w:szCs w:val="26"/>
        </w:rPr>
        <w:t>.  B</w:t>
      </w:r>
      <w:r w:rsidRPr="003D33A8">
        <w:rPr>
          <w:szCs w:val="26"/>
        </w:rPr>
        <w:t>urden hour costs are explained in Questions 12 and 15.</w:t>
      </w:r>
    </w:p>
    <w:p w:rsidRPr="003D33A8" w:rsidR="00380519" w:rsidP="00FC7A36" w:rsidRDefault="00A276F5" w14:paraId="0353320B" w14:textId="77777777">
      <w:pPr>
        <w:pStyle w:val="FERCparanumber"/>
        <w:spacing w:line="276" w:lineRule="auto"/>
        <w:rPr>
          <w:szCs w:val="26"/>
        </w:rPr>
      </w:pPr>
      <w:r w:rsidRPr="003D33A8">
        <w:rPr>
          <w:szCs w:val="26"/>
        </w:rPr>
        <w:t>ESTIMATED ANNUALIZED COST TO FEDERAL GOVERNMENT</w:t>
      </w:r>
      <w:r w:rsidRPr="003D33A8" w:rsidR="00764BC0">
        <w:rPr>
          <w:szCs w:val="26"/>
        </w:rPr>
        <w:t xml:space="preserve"> </w:t>
      </w:r>
    </w:p>
    <w:p w:rsidR="009B6336" w:rsidP="00FC7A36" w:rsidRDefault="00532537" w14:paraId="5A0053BF" w14:textId="0B2E4BA8">
      <w:pPr>
        <w:pStyle w:val="ListParagraph"/>
        <w:spacing w:after="0"/>
        <w:ind w:left="0"/>
        <w:rPr>
          <w:szCs w:val="26"/>
        </w:rPr>
      </w:pPr>
      <w:r w:rsidRPr="003D33A8">
        <w:rPr>
          <w:szCs w:val="26"/>
        </w:rPr>
        <w:t xml:space="preserve">The Commission bases its </w:t>
      </w:r>
      <w:r w:rsidRPr="003D33A8" w:rsidR="004E5FED">
        <w:rPr>
          <w:szCs w:val="26"/>
        </w:rPr>
        <w:t xml:space="preserve">cost </w:t>
      </w:r>
      <w:r w:rsidRPr="003D33A8">
        <w:rPr>
          <w:szCs w:val="26"/>
        </w:rPr>
        <w:t>estimate of the “Analysis and Processing of filings” to the Federal Government on salaries and benefits for professional and clerical support.  This estimated cost represents staff analysis, decision-making, and review of any actual filings submitted in response to the information collection.</w:t>
      </w:r>
      <w:r w:rsidR="009B6336">
        <w:rPr>
          <w:szCs w:val="26"/>
        </w:rPr>
        <w:t xml:space="preserve">  </w:t>
      </w:r>
    </w:p>
    <w:p w:rsidR="001C79F9" w:rsidP="00FC7A36" w:rsidRDefault="001C79F9" w14:paraId="0A191A57" w14:textId="77777777">
      <w:pPr>
        <w:pStyle w:val="ListParagraph"/>
        <w:spacing w:after="0"/>
        <w:ind w:left="0"/>
        <w:rPr>
          <w:szCs w:val="26"/>
        </w:rPr>
      </w:pPr>
    </w:p>
    <w:p w:rsidRPr="003D33A8" w:rsidR="009B6336" w:rsidP="00FC7A36" w:rsidRDefault="009B6336" w14:paraId="2578B524" w14:textId="4D27FDC5">
      <w:pPr>
        <w:pStyle w:val="ListParagraph"/>
        <w:spacing w:after="0"/>
        <w:ind w:left="0"/>
        <w:rPr>
          <w:szCs w:val="26"/>
        </w:rPr>
      </w:pPr>
      <w:r w:rsidRPr="009B6336">
        <w:rPr>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3D33A8" w:rsidR="00816112" w:rsidP="00FC7A36" w:rsidRDefault="00816112" w14:paraId="795C6B12" w14:textId="258149FD">
      <w:pPr>
        <w:pStyle w:val="ListParagraph"/>
        <w:spacing w:after="0"/>
        <w:ind w:left="0"/>
        <w:rPr>
          <w:szCs w:val="26"/>
        </w:rPr>
      </w:pPr>
    </w:p>
    <w:p w:rsidRPr="003D33A8" w:rsidR="007B213A" w:rsidP="00FC7A36" w:rsidRDefault="00727155" w14:paraId="0353320D" w14:textId="501C5C9A">
      <w:pPr>
        <w:pStyle w:val="ListParagraph"/>
        <w:spacing w:after="0"/>
        <w:ind w:left="0"/>
        <w:rPr>
          <w:szCs w:val="26"/>
        </w:rPr>
      </w:pPr>
      <w:r w:rsidRPr="003D33A8">
        <w:rPr>
          <w:szCs w:val="26"/>
        </w:rPr>
        <w:t xml:space="preserve">The estimated </w:t>
      </w:r>
      <w:r w:rsidRPr="003D33A8" w:rsidR="00532537">
        <w:rPr>
          <w:szCs w:val="26"/>
        </w:rPr>
        <w:t xml:space="preserve">annual </w:t>
      </w:r>
      <w:r w:rsidRPr="003D33A8">
        <w:rPr>
          <w:szCs w:val="26"/>
        </w:rPr>
        <w:t xml:space="preserve">federal cost </w:t>
      </w:r>
      <w:r w:rsidR="00BE252A">
        <w:rPr>
          <w:szCs w:val="26"/>
        </w:rPr>
        <w:t xml:space="preserve">(rounded) </w:t>
      </w:r>
      <w:r w:rsidRPr="003D33A8">
        <w:rPr>
          <w:szCs w:val="26"/>
        </w:rPr>
        <w:t xml:space="preserve">related </w:t>
      </w:r>
      <w:r w:rsidRPr="003D33A8" w:rsidR="00532537">
        <w:rPr>
          <w:szCs w:val="26"/>
        </w:rPr>
        <w:t>for FERC-</w:t>
      </w:r>
      <w:r w:rsidRPr="003D33A8" w:rsidR="0056699D">
        <w:rPr>
          <w:szCs w:val="26"/>
        </w:rPr>
        <w:t>920</w:t>
      </w:r>
      <w:r w:rsidRPr="003D33A8" w:rsidR="006C10EE">
        <w:rPr>
          <w:szCs w:val="26"/>
        </w:rPr>
        <w:t xml:space="preserve"> </w:t>
      </w:r>
      <w:r w:rsidRPr="003D33A8">
        <w:rPr>
          <w:szCs w:val="26"/>
        </w:rPr>
        <w:t>follows</w:t>
      </w:r>
      <w:r w:rsidRPr="003D33A8" w:rsidR="00380519">
        <w:rPr>
          <w:szCs w:val="26"/>
        </w:rPr>
        <w:t>:</w:t>
      </w:r>
    </w:p>
    <w:p w:rsidRPr="003D33A8" w:rsidR="00B01E0D" w:rsidP="00FC7A36" w:rsidRDefault="00B01E0D" w14:paraId="34DE00CF" w14:textId="77777777">
      <w:pPr>
        <w:pStyle w:val="ListParagraph"/>
        <w:spacing w:after="0"/>
        <w:ind w:left="0"/>
        <w:rPr>
          <w:szCs w:val="26"/>
        </w:rPr>
      </w:pPr>
    </w:p>
    <w:tbl>
      <w:tblPr>
        <w:tblW w:w="0" w:type="auto"/>
        <w:tblLook w:val="04A0" w:firstRow="1" w:lastRow="0" w:firstColumn="1" w:lastColumn="0" w:noHBand="0" w:noVBand="1"/>
      </w:tblPr>
      <w:tblGrid>
        <w:gridCol w:w="4042"/>
        <w:gridCol w:w="2388"/>
        <w:gridCol w:w="2225"/>
      </w:tblGrid>
      <w:tr w:rsidRPr="007749ED" w:rsidR="002F5A68" w:rsidTr="000C5911" w14:paraId="6CB70D5D" w14:textId="77777777">
        <w:trPr>
          <w:trHeight w:val="544"/>
        </w:trPr>
        <w:tc>
          <w:tcPr>
            <w:tcW w:w="4042"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3D33A8" w:rsidR="002F5A68" w:rsidP="00FC7A36" w:rsidRDefault="002F5A68" w14:paraId="63DCE04B" w14:textId="23CA8C26">
            <w:pPr>
              <w:spacing w:after="0"/>
              <w:jc w:val="center"/>
              <w:rPr>
                <w:rFonts w:eastAsia="Times New Roman"/>
                <w:szCs w:val="26"/>
              </w:rPr>
            </w:pPr>
          </w:p>
        </w:tc>
        <w:tc>
          <w:tcPr>
            <w:tcW w:w="2388"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3D33A8" w:rsidR="002F5A68" w:rsidP="00FC7A36" w:rsidRDefault="002F5A68" w14:paraId="2B9597D5" w14:textId="4BA206CC">
            <w:pPr>
              <w:spacing w:after="0"/>
              <w:jc w:val="center"/>
              <w:rPr>
                <w:rFonts w:eastAsia="Times New Roman"/>
                <w:b/>
                <w:bCs/>
                <w:szCs w:val="26"/>
              </w:rPr>
            </w:pPr>
            <w:r w:rsidRPr="003D33A8">
              <w:rPr>
                <w:rFonts w:eastAsia="Times New Roman"/>
                <w:b/>
                <w:bCs/>
                <w:szCs w:val="26"/>
              </w:rPr>
              <w:t>Number of Employees (FTE)</w:t>
            </w:r>
          </w:p>
        </w:tc>
        <w:tc>
          <w:tcPr>
            <w:tcW w:w="2225"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3D33A8" w:rsidR="002F5A68" w:rsidP="00FC7A36" w:rsidRDefault="002F5A68" w14:paraId="24EE8027" w14:textId="77777777">
            <w:pPr>
              <w:spacing w:after="0"/>
              <w:jc w:val="center"/>
              <w:rPr>
                <w:rFonts w:eastAsia="Times New Roman"/>
                <w:b/>
                <w:bCs/>
                <w:szCs w:val="26"/>
              </w:rPr>
            </w:pPr>
            <w:r w:rsidRPr="003D33A8">
              <w:rPr>
                <w:rFonts w:eastAsia="Times New Roman"/>
                <w:b/>
                <w:bCs/>
                <w:szCs w:val="26"/>
              </w:rPr>
              <w:t>Estimated Annual Federal Cost</w:t>
            </w:r>
          </w:p>
        </w:tc>
      </w:tr>
      <w:tr w:rsidRPr="007749ED" w:rsidR="002F5A68" w:rsidTr="000C5911" w14:paraId="4D4DF6C8" w14:textId="77777777">
        <w:trPr>
          <w:trHeight w:val="544"/>
        </w:trPr>
        <w:tc>
          <w:tcPr>
            <w:tcW w:w="4042" w:type="dxa"/>
            <w:vMerge/>
            <w:tcBorders>
              <w:top w:val="single" w:color="auto" w:sz="4" w:space="0"/>
              <w:left w:val="single" w:color="auto" w:sz="4" w:space="0"/>
              <w:bottom w:val="single" w:color="auto" w:sz="4" w:space="0"/>
              <w:right w:val="single" w:color="auto" w:sz="4" w:space="0"/>
            </w:tcBorders>
            <w:vAlign w:val="bottom"/>
            <w:hideMark/>
          </w:tcPr>
          <w:p w:rsidRPr="003D33A8" w:rsidR="002F5A68" w:rsidP="00FC7A36" w:rsidRDefault="002F5A68" w14:paraId="4588A7A4" w14:textId="77777777">
            <w:pPr>
              <w:spacing w:after="0"/>
              <w:jc w:val="center"/>
              <w:rPr>
                <w:rFonts w:eastAsia="Times New Roman"/>
                <w:szCs w:val="26"/>
              </w:rPr>
            </w:pPr>
          </w:p>
        </w:tc>
        <w:tc>
          <w:tcPr>
            <w:tcW w:w="2388" w:type="dxa"/>
            <w:vMerge/>
            <w:tcBorders>
              <w:top w:val="single" w:color="auto" w:sz="4" w:space="0"/>
              <w:left w:val="single" w:color="auto" w:sz="4" w:space="0"/>
              <w:bottom w:val="single" w:color="auto" w:sz="4" w:space="0"/>
              <w:right w:val="single" w:color="auto" w:sz="4" w:space="0"/>
            </w:tcBorders>
            <w:vAlign w:val="bottom"/>
            <w:hideMark/>
          </w:tcPr>
          <w:p w:rsidRPr="003D33A8" w:rsidR="002F5A68" w:rsidP="00FC7A36" w:rsidRDefault="002F5A68" w14:paraId="269405FD" w14:textId="77777777">
            <w:pPr>
              <w:spacing w:after="0"/>
              <w:jc w:val="center"/>
              <w:rPr>
                <w:rFonts w:eastAsia="Times New Roman"/>
                <w:b/>
                <w:bCs/>
                <w:szCs w:val="26"/>
              </w:rPr>
            </w:pPr>
          </w:p>
        </w:tc>
        <w:tc>
          <w:tcPr>
            <w:tcW w:w="2225" w:type="dxa"/>
            <w:vMerge/>
            <w:tcBorders>
              <w:top w:val="single" w:color="auto" w:sz="4" w:space="0"/>
              <w:left w:val="single" w:color="auto" w:sz="4" w:space="0"/>
              <w:bottom w:val="single" w:color="auto" w:sz="4" w:space="0"/>
              <w:right w:val="single" w:color="auto" w:sz="4" w:space="0"/>
            </w:tcBorders>
            <w:vAlign w:val="bottom"/>
            <w:hideMark/>
          </w:tcPr>
          <w:p w:rsidRPr="003D33A8" w:rsidR="002F5A68" w:rsidP="00FC7A36" w:rsidRDefault="002F5A68" w14:paraId="17B6725C" w14:textId="77777777">
            <w:pPr>
              <w:spacing w:after="0"/>
              <w:jc w:val="center"/>
              <w:rPr>
                <w:rFonts w:eastAsia="Times New Roman"/>
                <w:b/>
                <w:bCs/>
                <w:szCs w:val="26"/>
              </w:rPr>
            </w:pPr>
          </w:p>
        </w:tc>
      </w:tr>
      <w:tr w:rsidRPr="007749ED" w:rsidR="00F47ED2" w:rsidTr="000C5911" w14:paraId="6F0F0819" w14:textId="77777777">
        <w:trPr>
          <w:trHeight w:val="125"/>
        </w:trPr>
        <w:tc>
          <w:tcPr>
            <w:tcW w:w="4042" w:type="dxa"/>
            <w:tcBorders>
              <w:top w:val="nil"/>
              <w:left w:val="single" w:color="auto" w:sz="4" w:space="0"/>
              <w:bottom w:val="single" w:color="auto" w:sz="4" w:space="0"/>
              <w:right w:val="single" w:color="auto" w:sz="4" w:space="0"/>
            </w:tcBorders>
            <w:shd w:val="clear" w:color="auto" w:fill="auto"/>
            <w:vAlign w:val="bottom"/>
            <w:hideMark/>
          </w:tcPr>
          <w:p w:rsidRPr="003D33A8" w:rsidR="00F47ED2" w:rsidP="00675BBA" w:rsidRDefault="00F47ED2" w14:paraId="43013BCF" w14:textId="2540D227">
            <w:pPr>
              <w:spacing w:after="0" w:line="240" w:lineRule="auto"/>
              <w:rPr>
                <w:rFonts w:eastAsia="Times New Roman"/>
                <w:szCs w:val="26"/>
              </w:rPr>
            </w:pPr>
            <w:r w:rsidRPr="003D33A8">
              <w:rPr>
                <w:rFonts w:eastAsia="Times New Roman"/>
                <w:szCs w:val="26"/>
              </w:rPr>
              <w:t>Analysis and Processing of filings</w:t>
            </w:r>
            <w:r w:rsidR="00646745">
              <w:rPr>
                <w:rStyle w:val="FootnoteReference"/>
                <w:sz w:val="24"/>
                <w:szCs w:val="24"/>
              </w:rPr>
              <w:footnoteReference w:id="15"/>
            </w:r>
          </w:p>
        </w:tc>
        <w:tc>
          <w:tcPr>
            <w:tcW w:w="2388" w:type="dxa"/>
            <w:tcBorders>
              <w:top w:val="single" w:color="auto" w:sz="4" w:space="0"/>
              <w:left w:val="nil"/>
              <w:bottom w:val="single" w:color="auto" w:sz="4" w:space="0"/>
              <w:right w:val="single" w:color="auto" w:sz="4" w:space="0"/>
            </w:tcBorders>
            <w:shd w:val="clear" w:color="auto" w:fill="auto"/>
            <w:vAlign w:val="bottom"/>
            <w:hideMark/>
          </w:tcPr>
          <w:p w:rsidRPr="003D33A8" w:rsidR="00F47ED2" w:rsidP="002F49BD" w:rsidRDefault="00FD2834" w14:paraId="07DAD915" w14:textId="37037542">
            <w:pPr>
              <w:spacing w:after="0"/>
              <w:jc w:val="right"/>
              <w:rPr>
                <w:rFonts w:eastAsia="Times New Roman"/>
                <w:szCs w:val="26"/>
              </w:rPr>
            </w:pPr>
            <w:r>
              <w:rPr>
                <w:rFonts w:eastAsia="Times New Roman"/>
                <w:szCs w:val="26"/>
              </w:rPr>
              <w:t>3.5</w:t>
            </w:r>
          </w:p>
        </w:tc>
        <w:tc>
          <w:tcPr>
            <w:tcW w:w="2225" w:type="dxa"/>
            <w:tcBorders>
              <w:top w:val="single" w:color="auto" w:sz="4" w:space="0"/>
              <w:left w:val="nil"/>
              <w:bottom w:val="single" w:color="auto" w:sz="4" w:space="0"/>
              <w:right w:val="single" w:color="auto" w:sz="4" w:space="0"/>
            </w:tcBorders>
            <w:shd w:val="clear" w:color="auto" w:fill="auto"/>
            <w:vAlign w:val="bottom"/>
            <w:hideMark/>
          </w:tcPr>
          <w:p w:rsidRPr="003D33A8" w:rsidR="00F47ED2" w:rsidP="008B69EF" w:rsidRDefault="00291553" w14:paraId="71C6B4B2" w14:textId="287F644C">
            <w:pPr>
              <w:spacing w:after="0"/>
              <w:jc w:val="right"/>
              <w:rPr>
                <w:rFonts w:eastAsia="Times New Roman"/>
                <w:szCs w:val="26"/>
              </w:rPr>
            </w:pPr>
            <w:r>
              <w:rPr>
                <w:rFonts w:eastAsia="Times New Roman"/>
                <w:szCs w:val="26"/>
              </w:rPr>
              <w:t>$</w:t>
            </w:r>
            <w:r w:rsidR="001C5F80">
              <w:rPr>
                <w:rFonts w:eastAsia="Times New Roman"/>
                <w:szCs w:val="26"/>
              </w:rPr>
              <w:t>632,461</w:t>
            </w:r>
          </w:p>
        </w:tc>
      </w:tr>
      <w:tr w:rsidRPr="00344282" w:rsidR="000C5911" w:rsidTr="008B69EF" w14:paraId="2AACC392" w14:textId="77777777">
        <w:trPr>
          <w:trHeight w:val="278"/>
        </w:trPr>
        <w:tc>
          <w:tcPr>
            <w:tcW w:w="4042" w:type="dxa"/>
            <w:tcBorders>
              <w:top w:val="nil"/>
              <w:left w:val="single" w:color="auto" w:sz="4" w:space="0"/>
              <w:bottom w:val="single" w:color="auto" w:sz="4" w:space="0"/>
              <w:right w:val="single" w:color="auto" w:sz="4" w:space="0"/>
            </w:tcBorders>
            <w:shd w:val="clear" w:color="auto" w:fill="auto"/>
            <w:vAlign w:val="bottom"/>
            <w:hideMark/>
          </w:tcPr>
          <w:p w:rsidRPr="003D33A8" w:rsidR="000C5911" w:rsidP="00FC7A36" w:rsidRDefault="000C5911" w14:paraId="444A78E8" w14:textId="3211E665">
            <w:pPr>
              <w:spacing w:after="0"/>
              <w:rPr>
                <w:rFonts w:eastAsia="Times New Roman"/>
                <w:szCs w:val="26"/>
              </w:rPr>
            </w:pPr>
            <w:r w:rsidRPr="003D33A8">
              <w:rPr>
                <w:rFonts w:eastAsia="Times New Roman"/>
                <w:szCs w:val="26"/>
              </w:rPr>
              <w:t>PRA</w:t>
            </w:r>
            <w:r w:rsidRPr="003D33A8">
              <w:rPr>
                <w:rStyle w:val="FootnoteReference"/>
                <w:szCs w:val="26"/>
              </w:rPr>
              <w:footnoteReference w:id="16"/>
            </w:r>
            <w:r w:rsidRPr="003D33A8">
              <w:rPr>
                <w:rFonts w:eastAsia="Times New Roman"/>
                <w:szCs w:val="26"/>
              </w:rPr>
              <w:t xml:space="preserve"> Administrative Cost</w:t>
            </w:r>
            <w:r w:rsidRPr="003D33A8">
              <w:rPr>
                <w:rStyle w:val="FootnoteReference"/>
                <w:rFonts w:eastAsia="Times New Roman"/>
                <w:szCs w:val="26"/>
              </w:rPr>
              <w:footnoteReference w:id="17"/>
            </w:r>
          </w:p>
        </w:tc>
        <w:tc>
          <w:tcPr>
            <w:tcW w:w="2388" w:type="dxa"/>
            <w:vMerge w:val="restart"/>
            <w:tcBorders>
              <w:top w:val="single" w:color="auto" w:sz="4" w:space="0"/>
              <w:left w:val="nil"/>
              <w:right w:val="single" w:color="auto" w:sz="4" w:space="0"/>
            </w:tcBorders>
            <w:shd w:val="clear" w:color="auto" w:fill="D9D9D9" w:themeFill="background1" w:themeFillShade="D9"/>
            <w:vAlign w:val="bottom"/>
            <w:hideMark/>
          </w:tcPr>
          <w:p w:rsidRPr="003D33A8" w:rsidR="000C5911" w:rsidP="00FC7A36" w:rsidRDefault="000C5911" w14:paraId="2DF913E7" w14:textId="1CEA37BE">
            <w:pPr>
              <w:spacing w:after="0"/>
              <w:jc w:val="center"/>
              <w:rPr>
                <w:rFonts w:eastAsia="Times New Roman"/>
                <w:szCs w:val="26"/>
              </w:rPr>
            </w:pPr>
            <w:r w:rsidRPr="003D33A8">
              <w:rPr>
                <w:rFonts w:eastAsia="Times New Roman"/>
                <w:szCs w:val="26"/>
              </w:rPr>
              <w:t> </w:t>
            </w:r>
          </w:p>
        </w:tc>
        <w:tc>
          <w:tcPr>
            <w:tcW w:w="2225" w:type="dxa"/>
            <w:tcBorders>
              <w:top w:val="single" w:color="auto" w:sz="4" w:space="0"/>
              <w:left w:val="nil"/>
              <w:bottom w:val="single" w:color="auto" w:sz="4" w:space="0"/>
              <w:right w:val="single" w:color="auto" w:sz="4" w:space="0"/>
            </w:tcBorders>
            <w:shd w:val="clear" w:color="auto" w:fill="auto"/>
            <w:vAlign w:val="bottom"/>
            <w:hideMark/>
          </w:tcPr>
          <w:p w:rsidRPr="00344282" w:rsidR="000C5911" w:rsidP="00A95A59" w:rsidRDefault="000C5911" w14:paraId="477D3D7D" w14:textId="65A19A0F">
            <w:pPr>
              <w:spacing w:after="0"/>
              <w:jc w:val="right"/>
              <w:rPr>
                <w:rFonts w:eastAsia="Times New Roman"/>
                <w:szCs w:val="26"/>
              </w:rPr>
            </w:pPr>
            <w:r w:rsidRPr="00344282">
              <w:rPr>
                <w:rFonts w:eastAsia="Times New Roman"/>
                <w:szCs w:val="26"/>
              </w:rPr>
              <w:t>$</w:t>
            </w:r>
            <w:r w:rsidRPr="00344282" w:rsidR="00344282">
              <w:rPr>
                <w:rFonts w:eastAsia="Times New Roman"/>
                <w:szCs w:val="26"/>
              </w:rPr>
              <w:t>8,279</w:t>
            </w:r>
          </w:p>
        </w:tc>
      </w:tr>
      <w:tr w:rsidRPr="007749ED" w:rsidR="000C5911" w:rsidTr="008B69EF" w14:paraId="72D47EEA" w14:textId="77777777">
        <w:trPr>
          <w:trHeight w:val="315"/>
        </w:trPr>
        <w:tc>
          <w:tcPr>
            <w:tcW w:w="4042" w:type="dxa"/>
            <w:tcBorders>
              <w:top w:val="single" w:color="auto" w:sz="4" w:space="0"/>
              <w:left w:val="single" w:color="auto" w:sz="4" w:space="0"/>
              <w:bottom w:val="single" w:color="auto" w:sz="4" w:space="0"/>
              <w:right w:val="single" w:color="000000" w:sz="4" w:space="0"/>
            </w:tcBorders>
            <w:shd w:val="clear" w:color="auto" w:fill="auto"/>
            <w:vAlign w:val="bottom"/>
            <w:hideMark/>
          </w:tcPr>
          <w:p w:rsidRPr="003D33A8" w:rsidR="000C5911" w:rsidP="00FC7A36" w:rsidRDefault="000C5911" w14:paraId="2B798161" w14:textId="22FE1641">
            <w:pPr>
              <w:spacing w:after="0"/>
              <w:rPr>
                <w:rFonts w:eastAsia="Times New Roman"/>
                <w:b/>
                <w:bCs/>
                <w:szCs w:val="26"/>
              </w:rPr>
            </w:pPr>
            <w:r w:rsidRPr="003D33A8">
              <w:rPr>
                <w:rFonts w:eastAsia="Times New Roman"/>
                <w:b/>
                <w:bCs/>
                <w:szCs w:val="26"/>
              </w:rPr>
              <w:t>FERC Total</w:t>
            </w:r>
          </w:p>
        </w:tc>
        <w:tc>
          <w:tcPr>
            <w:tcW w:w="2388" w:type="dxa"/>
            <w:vMerge/>
            <w:tcBorders>
              <w:left w:val="nil"/>
              <w:bottom w:val="single" w:color="auto" w:sz="4" w:space="0"/>
              <w:right w:val="single" w:color="auto" w:sz="4" w:space="0"/>
            </w:tcBorders>
            <w:shd w:val="clear" w:color="000000" w:fill="D9D9D9"/>
            <w:vAlign w:val="bottom"/>
            <w:hideMark/>
          </w:tcPr>
          <w:p w:rsidRPr="003D33A8" w:rsidR="000C5911" w:rsidP="00FC7A36" w:rsidRDefault="000C5911" w14:paraId="6F653D27" w14:textId="0B281CEC">
            <w:pPr>
              <w:spacing w:after="0"/>
              <w:jc w:val="center"/>
              <w:rPr>
                <w:rFonts w:eastAsia="Times New Roman"/>
                <w:szCs w:val="26"/>
              </w:rPr>
            </w:pPr>
          </w:p>
        </w:tc>
        <w:tc>
          <w:tcPr>
            <w:tcW w:w="22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D33A8" w:rsidR="000C5911" w:rsidP="00DD3238" w:rsidRDefault="00291553" w14:paraId="19E7F5FC" w14:textId="1629AF6B">
            <w:pPr>
              <w:spacing w:after="0"/>
              <w:jc w:val="right"/>
              <w:rPr>
                <w:rFonts w:eastAsia="Times New Roman"/>
                <w:b/>
                <w:bCs/>
                <w:szCs w:val="26"/>
              </w:rPr>
            </w:pPr>
            <w:r>
              <w:rPr>
                <w:b/>
                <w:bCs/>
                <w:szCs w:val="26"/>
              </w:rPr>
              <w:t>$</w:t>
            </w:r>
            <w:r w:rsidR="001C5F80">
              <w:rPr>
                <w:b/>
                <w:bCs/>
                <w:szCs w:val="26"/>
              </w:rPr>
              <w:t>640,740</w:t>
            </w:r>
          </w:p>
        </w:tc>
      </w:tr>
    </w:tbl>
    <w:p w:rsidR="00B25532" w:rsidP="00FC7A36" w:rsidRDefault="00B25532" w14:paraId="03533243" w14:textId="7FA938D6">
      <w:pPr>
        <w:spacing w:after="0"/>
        <w:rPr>
          <w:szCs w:val="26"/>
        </w:rPr>
      </w:pPr>
    </w:p>
    <w:p w:rsidR="00B25532" w:rsidRDefault="00B25532" w14:paraId="19F6587D" w14:textId="77777777">
      <w:pPr>
        <w:rPr>
          <w:szCs w:val="26"/>
        </w:rPr>
      </w:pPr>
      <w:r>
        <w:rPr>
          <w:szCs w:val="26"/>
        </w:rPr>
        <w:br w:type="page"/>
      </w:r>
    </w:p>
    <w:p w:rsidRPr="003D33A8" w:rsidR="00A276F5" w:rsidP="00FC7A36" w:rsidRDefault="00A276F5" w14:paraId="3E59373F" w14:textId="77777777">
      <w:pPr>
        <w:spacing w:after="0"/>
        <w:rPr>
          <w:szCs w:val="26"/>
        </w:rPr>
      </w:pPr>
    </w:p>
    <w:p w:rsidRPr="003D33A8" w:rsidR="00A276F5" w:rsidP="00FC7A36" w:rsidRDefault="00A276F5" w14:paraId="03533244" w14:textId="77777777">
      <w:pPr>
        <w:pStyle w:val="FERCparanumber"/>
        <w:spacing w:line="276" w:lineRule="auto"/>
        <w:rPr>
          <w:szCs w:val="26"/>
        </w:rPr>
      </w:pPr>
      <w:r w:rsidRPr="003D33A8">
        <w:rPr>
          <w:szCs w:val="26"/>
        </w:rPr>
        <w:t>REASONS FOR CHANGES IN BURDEN INCLUDING THE NEED FOR ANY INCREASE</w:t>
      </w:r>
      <w:r w:rsidRPr="003D33A8" w:rsidR="008344B1">
        <w:rPr>
          <w:szCs w:val="26"/>
        </w:rPr>
        <w:t xml:space="preserve"> </w:t>
      </w:r>
    </w:p>
    <w:p w:rsidR="00804032" w:rsidP="00E801B9" w:rsidRDefault="001B753F" w14:paraId="5AD2AA98" w14:textId="36E24D16">
      <w:pPr>
        <w:spacing w:after="0"/>
        <w:rPr>
          <w:szCs w:val="26"/>
        </w:rPr>
      </w:pPr>
      <w:r>
        <w:rPr>
          <w:szCs w:val="26"/>
        </w:rPr>
        <w:t>There are no changes to the reporting requirements</w:t>
      </w:r>
      <w:r w:rsidR="00C47A6A">
        <w:rPr>
          <w:szCs w:val="26"/>
        </w:rPr>
        <w:t xml:space="preserve"> or filing frequency</w:t>
      </w:r>
      <w:r>
        <w:rPr>
          <w:szCs w:val="26"/>
        </w:rPr>
        <w:t>.</w:t>
      </w:r>
      <w:r w:rsidR="003A7E16">
        <w:rPr>
          <w:szCs w:val="26"/>
        </w:rPr>
        <w:t xml:space="preserve">  However</w:t>
      </w:r>
      <w:r w:rsidR="00C47A6A">
        <w:rPr>
          <w:szCs w:val="26"/>
        </w:rPr>
        <w:t>,</w:t>
      </w:r>
      <w:r w:rsidR="003A7E16">
        <w:rPr>
          <w:szCs w:val="26"/>
        </w:rPr>
        <w:t xml:space="preserve"> there are increases </w:t>
      </w:r>
      <w:r w:rsidR="00C47A6A">
        <w:rPr>
          <w:szCs w:val="26"/>
        </w:rPr>
        <w:t xml:space="preserve">(adjustments in the estimates) </w:t>
      </w:r>
      <w:r w:rsidR="00C233B0">
        <w:rPr>
          <w:szCs w:val="26"/>
        </w:rPr>
        <w:t xml:space="preserve">to </w:t>
      </w:r>
      <w:r w:rsidR="005A2260">
        <w:rPr>
          <w:szCs w:val="26"/>
        </w:rPr>
        <w:t xml:space="preserve">include </w:t>
      </w:r>
      <w:r w:rsidR="00835728">
        <w:rPr>
          <w:szCs w:val="26"/>
        </w:rPr>
        <w:t>2,929</w:t>
      </w:r>
      <w:r w:rsidR="00C233B0">
        <w:rPr>
          <w:szCs w:val="26"/>
        </w:rPr>
        <w:t xml:space="preserve"> filings each quarter</w:t>
      </w:r>
      <w:r w:rsidR="00C47A6A">
        <w:rPr>
          <w:szCs w:val="26"/>
        </w:rPr>
        <w:t xml:space="preserve"> </w:t>
      </w:r>
      <w:r w:rsidR="005A2260">
        <w:rPr>
          <w:szCs w:val="26"/>
        </w:rPr>
        <w:t>(</w:t>
      </w:r>
      <w:r w:rsidR="00835728">
        <w:rPr>
          <w:szCs w:val="26"/>
        </w:rPr>
        <w:t>11,716</w:t>
      </w:r>
      <w:r w:rsidR="005A2260">
        <w:rPr>
          <w:szCs w:val="26"/>
        </w:rPr>
        <w:t xml:space="preserve"> annually) </w:t>
      </w:r>
      <w:r w:rsidR="003A7E16">
        <w:rPr>
          <w:szCs w:val="26"/>
        </w:rPr>
        <w:t xml:space="preserve">and </w:t>
      </w:r>
      <w:r w:rsidR="00835728">
        <w:rPr>
          <w:szCs w:val="26"/>
        </w:rPr>
        <w:t>212,060</w:t>
      </w:r>
      <w:r w:rsidR="00C233B0">
        <w:rPr>
          <w:szCs w:val="26"/>
        </w:rPr>
        <w:t xml:space="preserve"> annual </w:t>
      </w:r>
      <w:r w:rsidR="003A7E16">
        <w:rPr>
          <w:szCs w:val="26"/>
        </w:rPr>
        <w:t>burden</w:t>
      </w:r>
      <w:r w:rsidR="00291553">
        <w:rPr>
          <w:szCs w:val="26"/>
        </w:rPr>
        <w:t xml:space="preserve"> </w:t>
      </w:r>
      <w:r w:rsidR="00C233B0">
        <w:rPr>
          <w:szCs w:val="26"/>
        </w:rPr>
        <w:t xml:space="preserve">hours </w:t>
      </w:r>
      <w:r w:rsidR="00291553">
        <w:rPr>
          <w:szCs w:val="26"/>
        </w:rPr>
        <w:t>due to normal industry fluctuations</w:t>
      </w:r>
      <w:r w:rsidR="003A7E16">
        <w:rPr>
          <w:szCs w:val="26"/>
        </w:rPr>
        <w:t>.</w:t>
      </w:r>
      <w:r w:rsidR="00F31166">
        <w:rPr>
          <w:szCs w:val="26"/>
        </w:rPr>
        <w:t xml:space="preserve">  (The figures are rounded.)</w:t>
      </w:r>
    </w:p>
    <w:p w:rsidR="004A5F76" w:rsidP="00E801B9" w:rsidRDefault="004A5F76" w14:paraId="18994C0A" w14:textId="77777777">
      <w:pPr>
        <w:spacing w:after="0"/>
        <w:rPr>
          <w:szCs w:val="26"/>
        </w:rPr>
      </w:pPr>
    </w:p>
    <w:tbl>
      <w:tblPr>
        <w:tblW w:w="93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7"/>
        <w:gridCol w:w="1530"/>
        <w:gridCol w:w="1440"/>
        <w:gridCol w:w="1710"/>
        <w:gridCol w:w="1530"/>
      </w:tblGrid>
      <w:tr w:rsidRPr="00E00163" w:rsidR="00E00163" w:rsidTr="00646745" w14:paraId="7BB7A897" w14:textId="77777777">
        <w:trPr>
          <w:trHeight w:val="791"/>
        </w:trPr>
        <w:tc>
          <w:tcPr>
            <w:tcW w:w="3127" w:type="dxa"/>
            <w:shd w:val="clear" w:color="auto" w:fill="BFBFBF" w:themeFill="background1" w:themeFillShade="BF"/>
            <w:vAlign w:val="center"/>
          </w:tcPr>
          <w:p w:rsidRPr="00E00163" w:rsidR="00E00163" w:rsidP="00712DF1" w:rsidRDefault="00E00163" w14:paraId="1F3EEE14" w14:textId="77777777">
            <w:pPr>
              <w:spacing w:after="0"/>
              <w:rPr>
                <w:b/>
                <w:sz w:val="24"/>
                <w:szCs w:val="24"/>
              </w:rPr>
            </w:pPr>
            <w:r w:rsidRPr="00E00163">
              <w:rPr>
                <w:szCs w:val="24"/>
              </w:rPr>
              <w:br w:type="page"/>
            </w:r>
          </w:p>
          <w:p w:rsidRPr="00E00163" w:rsidR="00E00163" w:rsidP="00712DF1" w:rsidRDefault="00E00163" w14:paraId="4C40381A" w14:textId="77777777">
            <w:pPr>
              <w:spacing w:after="0"/>
              <w:rPr>
                <w:b/>
                <w:sz w:val="24"/>
                <w:szCs w:val="24"/>
              </w:rPr>
            </w:pPr>
          </w:p>
        </w:tc>
        <w:tc>
          <w:tcPr>
            <w:tcW w:w="1530" w:type="dxa"/>
            <w:shd w:val="clear" w:color="auto" w:fill="BFBFBF" w:themeFill="background1" w:themeFillShade="BF"/>
            <w:vAlign w:val="center"/>
          </w:tcPr>
          <w:p w:rsidRPr="00E00163" w:rsidR="00E00163" w:rsidP="00712DF1" w:rsidRDefault="00E00163" w14:paraId="56B5182F" w14:textId="77777777">
            <w:pPr>
              <w:spacing w:after="0"/>
              <w:rPr>
                <w:b/>
                <w:sz w:val="24"/>
                <w:szCs w:val="24"/>
              </w:rPr>
            </w:pPr>
            <w:r w:rsidRPr="00E00163">
              <w:rPr>
                <w:b/>
                <w:sz w:val="24"/>
                <w:szCs w:val="24"/>
              </w:rPr>
              <w:t>Total Request</w:t>
            </w:r>
          </w:p>
        </w:tc>
        <w:tc>
          <w:tcPr>
            <w:tcW w:w="1440" w:type="dxa"/>
            <w:shd w:val="clear" w:color="auto" w:fill="BFBFBF" w:themeFill="background1" w:themeFillShade="BF"/>
            <w:vAlign w:val="center"/>
          </w:tcPr>
          <w:p w:rsidRPr="00E00163" w:rsidR="00E00163" w:rsidP="00712DF1" w:rsidRDefault="00E00163" w14:paraId="7C6D9BA3" w14:textId="77777777">
            <w:pPr>
              <w:spacing w:after="0"/>
              <w:rPr>
                <w:b/>
                <w:sz w:val="24"/>
                <w:szCs w:val="24"/>
              </w:rPr>
            </w:pPr>
            <w:r w:rsidRPr="00E00163">
              <w:rPr>
                <w:b/>
                <w:sz w:val="24"/>
                <w:szCs w:val="24"/>
              </w:rPr>
              <w:t>Previously Approved</w:t>
            </w:r>
          </w:p>
        </w:tc>
        <w:tc>
          <w:tcPr>
            <w:tcW w:w="1710" w:type="dxa"/>
            <w:shd w:val="clear" w:color="auto" w:fill="BFBFBF" w:themeFill="background1" w:themeFillShade="BF"/>
            <w:vAlign w:val="center"/>
          </w:tcPr>
          <w:p w:rsidRPr="00E00163" w:rsidR="00E00163" w:rsidP="00712DF1" w:rsidRDefault="00E00163" w14:paraId="13F8B0E2" w14:textId="77777777">
            <w:pPr>
              <w:spacing w:after="0"/>
              <w:rPr>
                <w:b/>
                <w:sz w:val="24"/>
                <w:szCs w:val="24"/>
              </w:rPr>
            </w:pPr>
            <w:r w:rsidRPr="00E00163">
              <w:rPr>
                <w:b/>
                <w:sz w:val="24"/>
                <w:szCs w:val="24"/>
              </w:rPr>
              <w:t>Change due to Adjustment in Estimate</w:t>
            </w:r>
          </w:p>
        </w:tc>
        <w:tc>
          <w:tcPr>
            <w:tcW w:w="1530" w:type="dxa"/>
            <w:shd w:val="clear" w:color="auto" w:fill="BFBFBF" w:themeFill="background1" w:themeFillShade="BF"/>
            <w:vAlign w:val="center"/>
          </w:tcPr>
          <w:p w:rsidRPr="00E00163" w:rsidR="00E00163" w:rsidP="00712DF1" w:rsidRDefault="00E00163" w14:paraId="46A67A89" w14:textId="77777777">
            <w:pPr>
              <w:spacing w:after="0"/>
              <w:rPr>
                <w:b/>
                <w:sz w:val="24"/>
                <w:szCs w:val="24"/>
              </w:rPr>
            </w:pPr>
            <w:r w:rsidRPr="00E00163">
              <w:rPr>
                <w:b/>
                <w:sz w:val="24"/>
                <w:szCs w:val="24"/>
              </w:rPr>
              <w:t>Change Due to Agency Discretion</w:t>
            </w:r>
          </w:p>
        </w:tc>
      </w:tr>
      <w:tr w:rsidRPr="00E00163" w:rsidR="00E00163" w:rsidTr="00E00163" w14:paraId="7C74D324" w14:textId="77777777">
        <w:trPr>
          <w:trHeight w:val="173"/>
        </w:trPr>
        <w:tc>
          <w:tcPr>
            <w:tcW w:w="3127" w:type="dxa"/>
            <w:shd w:val="clear" w:color="auto" w:fill="auto"/>
            <w:vAlign w:val="center"/>
          </w:tcPr>
          <w:p w:rsidRPr="00E00163" w:rsidR="00E00163" w:rsidP="00712DF1" w:rsidRDefault="00E00163" w14:paraId="4FCBAC5B" w14:textId="77777777">
            <w:pPr>
              <w:spacing w:after="0"/>
              <w:rPr>
                <w:sz w:val="24"/>
                <w:szCs w:val="24"/>
              </w:rPr>
            </w:pPr>
            <w:r w:rsidRPr="00E00163">
              <w:rPr>
                <w:sz w:val="24"/>
                <w:szCs w:val="24"/>
              </w:rPr>
              <w:t>Annual Number of Responses</w:t>
            </w:r>
          </w:p>
        </w:tc>
        <w:tc>
          <w:tcPr>
            <w:tcW w:w="1530" w:type="dxa"/>
            <w:shd w:val="clear" w:color="auto" w:fill="auto"/>
            <w:vAlign w:val="center"/>
          </w:tcPr>
          <w:p w:rsidRPr="00E00163" w:rsidR="00E00163" w:rsidP="00887123" w:rsidRDefault="00835728" w14:paraId="539FF081" w14:textId="3242D565">
            <w:pPr>
              <w:spacing w:after="0"/>
              <w:jc w:val="right"/>
              <w:rPr>
                <w:sz w:val="24"/>
                <w:szCs w:val="24"/>
              </w:rPr>
            </w:pPr>
            <w:r>
              <w:rPr>
                <w:sz w:val="24"/>
                <w:szCs w:val="24"/>
              </w:rPr>
              <w:t>11,716</w:t>
            </w:r>
          </w:p>
        </w:tc>
        <w:tc>
          <w:tcPr>
            <w:tcW w:w="1440" w:type="dxa"/>
            <w:shd w:val="clear" w:color="auto" w:fill="auto"/>
            <w:vAlign w:val="center"/>
          </w:tcPr>
          <w:p w:rsidRPr="00E00163" w:rsidR="00E00163" w:rsidP="00887123" w:rsidRDefault="004A5F76" w14:paraId="39DA6FB6" w14:textId="406239A9">
            <w:pPr>
              <w:spacing w:after="0"/>
              <w:jc w:val="right"/>
              <w:rPr>
                <w:sz w:val="24"/>
                <w:szCs w:val="24"/>
              </w:rPr>
            </w:pPr>
            <w:r w:rsidRPr="00473A54">
              <w:rPr>
                <w:sz w:val="24"/>
                <w:szCs w:val="24"/>
              </w:rPr>
              <w:t>10,</w:t>
            </w:r>
            <w:r>
              <w:rPr>
                <w:sz w:val="24"/>
                <w:szCs w:val="24"/>
              </w:rPr>
              <w:t>414</w:t>
            </w:r>
          </w:p>
        </w:tc>
        <w:tc>
          <w:tcPr>
            <w:tcW w:w="1710" w:type="dxa"/>
            <w:shd w:val="clear" w:color="auto" w:fill="auto"/>
            <w:vAlign w:val="center"/>
          </w:tcPr>
          <w:p w:rsidRPr="00E00163" w:rsidR="00E00163" w:rsidP="00887123" w:rsidRDefault="00B14D75" w14:paraId="0BFC73B6" w14:textId="6D95E139">
            <w:pPr>
              <w:spacing w:after="0"/>
              <w:jc w:val="right"/>
              <w:rPr>
                <w:sz w:val="24"/>
                <w:szCs w:val="24"/>
              </w:rPr>
            </w:pPr>
            <w:r>
              <w:rPr>
                <w:sz w:val="24"/>
                <w:szCs w:val="24"/>
              </w:rPr>
              <w:t>+</w:t>
            </w:r>
            <w:r w:rsidR="00835728">
              <w:rPr>
                <w:sz w:val="24"/>
                <w:szCs w:val="24"/>
              </w:rPr>
              <w:t>1,302</w:t>
            </w:r>
          </w:p>
        </w:tc>
        <w:tc>
          <w:tcPr>
            <w:tcW w:w="1530" w:type="dxa"/>
            <w:shd w:val="clear" w:color="auto" w:fill="auto"/>
            <w:vAlign w:val="center"/>
          </w:tcPr>
          <w:p w:rsidRPr="00E00163" w:rsidR="00E00163" w:rsidP="00887123" w:rsidRDefault="004A5F76" w14:paraId="6EEFB161" w14:textId="375C399B">
            <w:pPr>
              <w:spacing w:after="0"/>
              <w:jc w:val="right"/>
              <w:rPr>
                <w:sz w:val="24"/>
                <w:szCs w:val="24"/>
              </w:rPr>
            </w:pPr>
            <w:r>
              <w:rPr>
                <w:sz w:val="24"/>
                <w:szCs w:val="24"/>
              </w:rPr>
              <w:t>0</w:t>
            </w:r>
          </w:p>
        </w:tc>
      </w:tr>
      <w:tr w:rsidRPr="00E00163" w:rsidR="00E00163" w:rsidTr="00E00163" w14:paraId="5DA5BCA1" w14:textId="77777777">
        <w:trPr>
          <w:trHeight w:val="173"/>
        </w:trPr>
        <w:tc>
          <w:tcPr>
            <w:tcW w:w="3127" w:type="dxa"/>
            <w:shd w:val="clear" w:color="auto" w:fill="auto"/>
            <w:vAlign w:val="center"/>
          </w:tcPr>
          <w:p w:rsidRPr="00E00163" w:rsidR="00E00163" w:rsidP="00712DF1" w:rsidRDefault="00E00163" w14:paraId="28D5047D" w14:textId="77777777">
            <w:pPr>
              <w:spacing w:after="0"/>
              <w:rPr>
                <w:sz w:val="24"/>
                <w:szCs w:val="24"/>
              </w:rPr>
            </w:pPr>
            <w:r w:rsidRPr="00E00163">
              <w:rPr>
                <w:sz w:val="24"/>
                <w:szCs w:val="24"/>
              </w:rPr>
              <w:t>Annual Time Burden (Hr.)</w:t>
            </w:r>
          </w:p>
        </w:tc>
        <w:tc>
          <w:tcPr>
            <w:tcW w:w="1530" w:type="dxa"/>
            <w:shd w:val="clear" w:color="auto" w:fill="auto"/>
            <w:vAlign w:val="center"/>
          </w:tcPr>
          <w:p w:rsidRPr="00E00163" w:rsidR="00E00163" w:rsidP="00887123" w:rsidRDefault="00835728" w14:paraId="0F1A055B" w14:textId="7A2FAEE2">
            <w:pPr>
              <w:spacing w:after="0"/>
              <w:jc w:val="right"/>
              <w:rPr>
                <w:sz w:val="24"/>
                <w:szCs w:val="24"/>
              </w:rPr>
            </w:pPr>
            <w:r>
              <w:rPr>
                <w:sz w:val="24"/>
                <w:szCs w:val="24"/>
              </w:rPr>
              <w:t>212,060</w:t>
            </w:r>
          </w:p>
        </w:tc>
        <w:tc>
          <w:tcPr>
            <w:tcW w:w="1440" w:type="dxa"/>
            <w:shd w:val="clear" w:color="auto" w:fill="auto"/>
            <w:vAlign w:val="center"/>
          </w:tcPr>
          <w:p w:rsidRPr="00E00163" w:rsidR="00E00163" w:rsidP="00887123" w:rsidRDefault="004A5F76" w14:paraId="744C34A5" w14:textId="1254FD74">
            <w:pPr>
              <w:spacing w:after="0"/>
              <w:jc w:val="right"/>
              <w:rPr>
                <w:sz w:val="24"/>
                <w:szCs w:val="24"/>
              </w:rPr>
            </w:pPr>
            <w:r>
              <w:rPr>
                <w:sz w:val="24"/>
                <w:szCs w:val="24"/>
              </w:rPr>
              <w:t xml:space="preserve">188,071 </w:t>
            </w:r>
          </w:p>
        </w:tc>
        <w:tc>
          <w:tcPr>
            <w:tcW w:w="1710" w:type="dxa"/>
            <w:shd w:val="clear" w:color="auto" w:fill="auto"/>
            <w:vAlign w:val="center"/>
          </w:tcPr>
          <w:p w:rsidRPr="00E00163" w:rsidR="00E00163" w:rsidRDefault="00B14D75" w14:paraId="2A8C8DD0" w14:textId="74AD4D3D">
            <w:pPr>
              <w:spacing w:after="0"/>
              <w:jc w:val="right"/>
              <w:rPr>
                <w:sz w:val="24"/>
                <w:szCs w:val="24"/>
              </w:rPr>
            </w:pPr>
            <w:r>
              <w:rPr>
                <w:sz w:val="24"/>
                <w:szCs w:val="24"/>
              </w:rPr>
              <w:t>+</w:t>
            </w:r>
            <w:r w:rsidR="00835728">
              <w:rPr>
                <w:sz w:val="24"/>
                <w:szCs w:val="24"/>
              </w:rPr>
              <w:t>23,989</w:t>
            </w:r>
          </w:p>
        </w:tc>
        <w:tc>
          <w:tcPr>
            <w:tcW w:w="1530" w:type="dxa"/>
            <w:shd w:val="clear" w:color="auto" w:fill="auto"/>
            <w:vAlign w:val="center"/>
          </w:tcPr>
          <w:p w:rsidRPr="00E00163" w:rsidR="00E00163" w:rsidP="00887123" w:rsidRDefault="004A5F76" w14:paraId="6D291F61" w14:textId="2FA13AA7">
            <w:pPr>
              <w:spacing w:after="0"/>
              <w:jc w:val="right"/>
              <w:rPr>
                <w:sz w:val="24"/>
                <w:szCs w:val="24"/>
              </w:rPr>
            </w:pPr>
            <w:r>
              <w:rPr>
                <w:sz w:val="24"/>
                <w:szCs w:val="24"/>
              </w:rPr>
              <w:t>0</w:t>
            </w:r>
          </w:p>
        </w:tc>
      </w:tr>
      <w:tr w:rsidRPr="00E00163" w:rsidR="00E00163" w:rsidTr="00E00163" w14:paraId="57BA6EB0" w14:textId="77777777">
        <w:trPr>
          <w:trHeight w:val="260"/>
        </w:trPr>
        <w:tc>
          <w:tcPr>
            <w:tcW w:w="3127" w:type="dxa"/>
            <w:tcBorders>
              <w:bottom w:val="single" w:color="auto" w:sz="4" w:space="0"/>
            </w:tcBorders>
            <w:shd w:val="clear" w:color="auto" w:fill="auto"/>
            <w:vAlign w:val="center"/>
          </w:tcPr>
          <w:p w:rsidRPr="00E00163" w:rsidR="00E00163" w:rsidP="00712DF1" w:rsidRDefault="00E00163" w14:paraId="3A425803" w14:textId="77777777">
            <w:pPr>
              <w:spacing w:after="0"/>
              <w:rPr>
                <w:sz w:val="24"/>
                <w:szCs w:val="24"/>
              </w:rPr>
            </w:pPr>
            <w:r w:rsidRPr="00291553">
              <w:rPr>
                <w:sz w:val="24"/>
                <w:szCs w:val="24"/>
              </w:rPr>
              <w:t xml:space="preserve">Annual Cost Burden </w:t>
            </w:r>
            <w:r w:rsidRPr="00E00163">
              <w:rPr>
                <w:sz w:val="24"/>
                <w:szCs w:val="24"/>
              </w:rPr>
              <w:t>($)</w:t>
            </w:r>
          </w:p>
        </w:tc>
        <w:tc>
          <w:tcPr>
            <w:tcW w:w="1530" w:type="dxa"/>
            <w:tcBorders>
              <w:bottom w:val="single" w:color="auto" w:sz="4" w:space="0"/>
            </w:tcBorders>
            <w:shd w:val="clear" w:color="auto" w:fill="auto"/>
            <w:vAlign w:val="center"/>
          </w:tcPr>
          <w:p w:rsidRPr="00E00163" w:rsidR="00E00163" w:rsidP="001263CE" w:rsidRDefault="00E00163" w14:paraId="1E3737AB" w14:textId="77777777">
            <w:pPr>
              <w:spacing w:after="0"/>
              <w:jc w:val="right"/>
              <w:rPr>
                <w:sz w:val="24"/>
                <w:szCs w:val="24"/>
              </w:rPr>
            </w:pPr>
            <w:r w:rsidRPr="00E00163">
              <w:rPr>
                <w:sz w:val="24"/>
                <w:szCs w:val="24"/>
              </w:rPr>
              <w:t>0</w:t>
            </w:r>
          </w:p>
        </w:tc>
        <w:tc>
          <w:tcPr>
            <w:tcW w:w="1440" w:type="dxa"/>
            <w:tcBorders>
              <w:bottom w:val="single" w:color="auto" w:sz="4" w:space="0"/>
            </w:tcBorders>
            <w:shd w:val="clear" w:color="auto" w:fill="auto"/>
            <w:vAlign w:val="center"/>
          </w:tcPr>
          <w:p w:rsidRPr="00E00163" w:rsidR="00E00163" w:rsidP="001263CE" w:rsidRDefault="00E00163" w14:paraId="475F6706" w14:textId="77777777">
            <w:pPr>
              <w:spacing w:after="0"/>
              <w:jc w:val="right"/>
              <w:rPr>
                <w:sz w:val="24"/>
                <w:szCs w:val="24"/>
              </w:rPr>
            </w:pPr>
            <w:r w:rsidRPr="00E00163">
              <w:rPr>
                <w:sz w:val="24"/>
                <w:szCs w:val="24"/>
              </w:rPr>
              <w:t>0</w:t>
            </w:r>
          </w:p>
        </w:tc>
        <w:tc>
          <w:tcPr>
            <w:tcW w:w="1710" w:type="dxa"/>
            <w:tcBorders>
              <w:bottom w:val="single" w:color="auto" w:sz="4" w:space="0"/>
            </w:tcBorders>
            <w:shd w:val="clear" w:color="auto" w:fill="auto"/>
            <w:vAlign w:val="center"/>
          </w:tcPr>
          <w:p w:rsidRPr="00E00163" w:rsidR="00E00163" w:rsidP="001263CE" w:rsidRDefault="00E00163" w14:paraId="32002B18" w14:textId="77777777">
            <w:pPr>
              <w:spacing w:after="0"/>
              <w:jc w:val="right"/>
              <w:rPr>
                <w:sz w:val="24"/>
                <w:szCs w:val="24"/>
              </w:rPr>
            </w:pPr>
            <w:r w:rsidRPr="00E00163">
              <w:rPr>
                <w:sz w:val="24"/>
                <w:szCs w:val="24"/>
              </w:rPr>
              <w:t>0</w:t>
            </w:r>
          </w:p>
        </w:tc>
        <w:tc>
          <w:tcPr>
            <w:tcW w:w="1530" w:type="dxa"/>
            <w:tcBorders>
              <w:bottom w:val="single" w:color="auto" w:sz="4" w:space="0"/>
            </w:tcBorders>
            <w:shd w:val="clear" w:color="auto" w:fill="auto"/>
            <w:vAlign w:val="center"/>
          </w:tcPr>
          <w:p w:rsidRPr="00E00163" w:rsidR="00E00163" w:rsidP="001263CE" w:rsidRDefault="00E00163" w14:paraId="4B82105C" w14:textId="77777777">
            <w:pPr>
              <w:spacing w:after="0"/>
              <w:jc w:val="right"/>
              <w:rPr>
                <w:sz w:val="24"/>
                <w:szCs w:val="24"/>
              </w:rPr>
            </w:pPr>
            <w:r w:rsidRPr="00E00163">
              <w:rPr>
                <w:sz w:val="24"/>
                <w:szCs w:val="24"/>
              </w:rPr>
              <w:t>0</w:t>
            </w:r>
          </w:p>
        </w:tc>
      </w:tr>
    </w:tbl>
    <w:p w:rsidRPr="00E00163" w:rsidR="00E801B9" w:rsidP="00E00163" w:rsidRDefault="00E801B9" w14:paraId="2BC977FB" w14:textId="77777777">
      <w:pPr>
        <w:spacing w:after="0"/>
        <w:rPr>
          <w:b/>
          <w:szCs w:val="26"/>
        </w:rPr>
      </w:pPr>
    </w:p>
    <w:p w:rsidRPr="003D33A8" w:rsidR="00A276F5" w:rsidP="00FC7A36" w:rsidRDefault="00414F32" w14:paraId="03533282" w14:textId="77777777">
      <w:pPr>
        <w:pStyle w:val="FERCparanumber"/>
        <w:spacing w:line="276" w:lineRule="auto"/>
        <w:rPr>
          <w:szCs w:val="26"/>
        </w:rPr>
      </w:pPr>
      <w:r w:rsidRPr="003D33A8">
        <w:rPr>
          <w:szCs w:val="26"/>
        </w:rPr>
        <w:t>TIME SCHEDULE FOR PUBLICATION OF DATA</w:t>
      </w:r>
    </w:p>
    <w:p w:rsidRPr="003D33A8" w:rsidR="000D4661" w:rsidP="00FC7A36" w:rsidRDefault="000D4661" w14:paraId="03533284" w14:textId="04A01B72">
      <w:pPr>
        <w:spacing w:after="0"/>
        <w:rPr>
          <w:szCs w:val="26"/>
        </w:rPr>
      </w:pPr>
      <w:r w:rsidRPr="003D33A8">
        <w:rPr>
          <w:szCs w:val="26"/>
        </w:rPr>
        <w:t xml:space="preserve">There is no publication of data associated with </w:t>
      </w:r>
      <w:r w:rsidRPr="003D33A8" w:rsidR="008344B1">
        <w:rPr>
          <w:szCs w:val="26"/>
        </w:rPr>
        <w:t>FERC</w:t>
      </w:r>
      <w:r w:rsidRPr="003D33A8" w:rsidR="00D72F9F">
        <w:rPr>
          <w:szCs w:val="26"/>
        </w:rPr>
        <w:t>-920</w:t>
      </w:r>
      <w:r w:rsidRPr="003D33A8" w:rsidR="002120F5">
        <w:rPr>
          <w:szCs w:val="26"/>
        </w:rPr>
        <w:t xml:space="preserve"> </w:t>
      </w:r>
      <w:r w:rsidRPr="003D33A8">
        <w:rPr>
          <w:szCs w:val="26"/>
        </w:rPr>
        <w:t>information</w:t>
      </w:r>
      <w:r w:rsidRPr="003D33A8" w:rsidR="00D72F9F">
        <w:rPr>
          <w:szCs w:val="26"/>
        </w:rPr>
        <w:t>.</w:t>
      </w:r>
    </w:p>
    <w:p w:rsidRPr="003D33A8" w:rsidR="0072366E" w:rsidP="00FC7A36" w:rsidRDefault="0072366E" w14:paraId="03533285" w14:textId="77777777">
      <w:pPr>
        <w:spacing w:after="0"/>
        <w:rPr>
          <w:szCs w:val="26"/>
        </w:rPr>
      </w:pPr>
    </w:p>
    <w:p w:rsidRPr="00002C1D" w:rsidR="00002C1D" w:rsidP="00002C1D" w:rsidRDefault="00414F32" w14:paraId="2D0B1A95" w14:textId="4D52598D">
      <w:pPr>
        <w:pStyle w:val="FERCparanumber"/>
        <w:spacing w:line="276" w:lineRule="auto"/>
        <w:rPr>
          <w:szCs w:val="26"/>
        </w:rPr>
      </w:pPr>
      <w:r w:rsidRPr="003D33A8">
        <w:rPr>
          <w:szCs w:val="26"/>
        </w:rPr>
        <w:t>DISPLAY OF EXPIRATION DAT</w:t>
      </w:r>
      <w:r w:rsidR="00ED2E61">
        <w:rPr>
          <w:szCs w:val="26"/>
        </w:rPr>
        <w:t>E</w:t>
      </w:r>
    </w:p>
    <w:p w:rsidR="00ED2E61" w:rsidP="00AE4D15" w:rsidRDefault="00D40953" w14:paraId="15EF6827" w14:textId="1D3A57C7">
      <w:pPr>
        <w:spacing w:after="0"/>
        <w:rPr>
          <w:szCs w:val="26"/>
        </w:rPr>
      </w:pPr>
      <w:r w:rsidRPr="00D40953">
        <w:rPr>
          <w:szCs w:val="26"/>
        </w:rPr>
        <w:t xml:space="preserve">FERC provides the OMB Control Numbers of the information collections along with their expiration dates at </w:t>
      </w:r>
      <w:hyperlink w:tgtFrame="_blank" w:history="1" r:id="rId14">
        <w:r w:rsidRPr="00D40953">
          <w:rPr>
            <w:rStyle w:val="Hyperlink"/>
            <w:szCs w:val="26"/>
          </w:rPr>
          <w:t>www.ferc.gov/information-collections.</w:t>
        </w:r>
        <w:r w:rsidRPr="008F283D">
          <w:rPr>
            <w:rStyle w:val="Hyperlink"/>
            <w:i/>
            <w:iCs/>
            <w:szCs w:val="26"/>
          </w:rPr>
          <w:t xml:space="preserve"> </w:t>
        </w:r>
      </w:hyperlink>
    </w:p>
    <w:p w:rsidRPr="003D33A8" w:rsidR="00002C1D" w:rsidP="00B25532" w:rsidRDefault="00002C1D" w14:paraId="1B15973E" w14:textId="77777777">
      <w:pPr>
        <w:spacing w:after="0"/>
        <w:ind w:firstLine="720"/>
        <w:rPr>
          <w:szCs w:val="26"/>
        </w:rPr>
      </w:pPr>
    </w:p>
    <w:p w:rsidRPr="003D33A8" w:rsidR="00414F32" w:rsidP="00FC7A36" w:rsidRDefault="00414F32" w14:paraId="0353328A" w14:textId="77777777">
      <w:pPr>
        <w:pStyle w:val="FERCparanumber"/>
        <w:spacing w:line="276" w:lineRule="auto"/>
        <w:rPr>
          <w:szCs w:val="26"/>
        </w:rPr>
      </w:pPr>
      <w:r w:rsidRPr="003D33A8">
        <w:rPr>
          <w:szCs w:val="26"/>
        </w:rPr>
        <w:t>EXCEPTIONS TO THE CERTIFICATION STATEMENT</w:t>
      </w:r>
    </w:p>
    <w:p w:rsidR="00414F32" w:rsidP="00FC7A36" w:rsidRDefault="0087430F" w14:paraId="0353328D" w14:textId="3D36616D">
      <w:pPr>
        <w:spacing w:after="0"/>
        <w:rPr>
          <w:szCs w:val="26"/>
        </w:rPr>
      </w:pPr>
      <w:r w:rsidRPr="003D33A8">
        <w:rPr>
          <w:szCs w:val="26"/>
        </w:rPr>
        <w:t>There are no exceptions</w:t>
      </w:r>
      <w:r w:rsidRPr="003D33A8" w:rsidR="00077D2A">
        <w:rPr>
          <w:szCs w:val="26"/>
        </w:rPr>
        <w:t>.</w:t>
      </w:r>
    </w:p>
    <w:sectPr w:rsidR="00414F3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02EB" w14:textId="77777777" w:rsidR="00314815" w:rsidRDefault="00314815" w:rsidP="00FD66F1">
      <w:pPr>
        <w:spacing w:after="0" w:line="240" w:lineRule="auto"/>
      </w:pPr>
      <w:r>
        <w:separator/>
      </w:r>
    </w:p>
    <w:p w14:paraId="59AAC909" w14:textId="77777777" w:rsidR="00314815" w:rsidRDefault="00314815"/>
    <w:p w14:paraId="07EF4C0B" w14:textId="77777777" w:rsidR="00314815" w:rsidRDefault="00314815" w:rsidP="00080C15"/>
  </w:endnote>
  <w:endnote w:type="continuationSeparator" w:id="0">
    <w:p w14:paraId="2B224DC7" w14:textId="77777777" w:rsidR="00314815" w:rsidRDefault="00314815" w:rsidP="00FD66F1">
      <w:pPr>
        <w:spacing w:after="0" w:line="240" w:lineRule="auto"/>
      </w:pPr>
      <w:r>
        <w:continuationSeparator/>
      </w:r>
    </w:p>
    <w:p w14:paraId="5E0E8A15" w14:textId="77777777" w:rsidR="00314815" w:rsidRDefault="00314815"/>
    <w:p w14:paraId="6ED440B6" w14:textId="77777777" w:rsidR="00314815" w:rsidRDefault="00314815" w:rsidP="00080C15"/>
  </w:endnote>
  <w:endnote w:type="continuationNotice" w:id="1">
    <w:p w14:paraId="6852E892" w14:textId="77777777" w:rsidR="00314815" w:rsidRDefault="00314815">
      <w:pPr>
        <w:spacing w:after="0" w:line="240" w:lineRule="auto"/>
      </w:pPr>
    </w:p>
    <w:p w14:paraId="4FB1275E" w14:textId="77777777" w:rsidR="00314815" w:rsidRDefault="00314815"/>
    <w:p w14:paraId="5A40246D" w14:textId="77777777" w:rsidR="00314815" w:rsidRDefault="00314815" w:rsidP="00080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411206"/>
      <w:docPartObj>
        <w:docPartGallery w:val="Page Numbers (Bottom of Page)"/>
        <w:docPartUnique/>
      </w:docPartObj>
    </w:sdtPr>
    <w:sdtEndPr>
      <w:rPr>
        <w:noProof/>
      </w:rPr>
    </w:sdtEndPr>
    <w:sdtContent>
      <w:p w14:paraId="61C9DF52" w14:textId="77777777" w:rsidR="008B69EF" w:rsidRDefault="008B69EF">
        <w:pPr>
          <w:pStyle w:val="Footer"/>
          <w:jc w:val="right"/>
        </w:pPr>
      </w:p>
      <w:p w14:paraId="03533297" w14:textId="0E8C3940" w:rsidR="008B69EF" w:rsidRDefault="008B69EF">
        <w:pPr>
          <w:pStyle w:val="Footer"/>
          <w:jc w:val="right"/>
        </w:pPr>
        <w:r w:rsidRPr="00FA25F9">
          <w:fldChar w:fldCharType="begin"/>
        </w:r>
        <w:r w:rsidRPr="00FA25F9">
          <w:instrText xml:space="preserve"> PAGE   \* MERGEFORMAT </w:instrText>
        </w:r>
        <w:r w:rsidRPr="00FA25F9">
          <w:fldChar w:fldCharType="separate"/>
        </w:r>
        <w:r w:rsidR="00300DD5">
          <w:rPr>
            <w:noProof/>
          </w:rPr>
          <w:t>1</w:t>
        </w:r>
        <w:r w:rsidRPr="00FA25F9">
          <w:rPr>
            <w:noProof/>
          </w:rPr>
          <w:fldChar w:fldCharType="end"/>
        </w:r>
      </w:p>
    </w:sdtContent>
  </w:sdt>
  <w:p w14:paraId="03533298" w14:textId="77777777" w:rsidR="008B69EF" w:rsidRDefault="008B6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54AF" w14:textId="77777777" w:rsidR="00314815" w:rsidRDefault="00314815" w:rsidP="00FD66F1">
      <w:pPr>
        <w:spacing w:after="0" w:line="240" w:lineRule="auto"/>
      </w:pPr>
      <w:r>
        <w:separator/>
      </w:r>
    </w:p>
  </w:footnote>
  <w:footnote w:type="continuationSeparator" w:id="0">
    <w:p w14:paraId="41FCAD20" w14:textId="77777777" w:rsidR="00314815" w:rsidRDefault="00314815" w:rsidP="00FD66F1">
      <w:pPr>
        <w:spacing w:after="0" w:line="240" w:lineRule="auto"/>
      </w:pPr>
      <w:r>
        <w:continuationSeparator/>
      </w:r>
    </w:p>
    <w:p w14:paraId="158A8F7A" w14:textId="77777777" w:rsidR="00314815" w:rsidRDefault="00314815"/>
    <w:p w14:paraId="7FAEEF8B" w14:textId="77777777" w:rsidR="00314815" w:rsidRDefault="00314815" w:rsidP="00080C15"/>
  </w:footnote>
  <w:footnote w:type="continuationNotice" w:id="1">
    <w:p w14:paraId="316EC9F4" w14:textId="77777777" w:rsidR="00314815" w:rsidRDefault="00314815">
      <w:pPr>
        <w:spacing w:after="0" w:line="240" w:lineRule="auto"/>
      </w:pPr>
    </w:p>
    <w:p w14:paraId="024667B1" w14:textId="77777777" w:rsidR="00314815" w:rsidRDefault="00314815"/>
    <w:p w14:paraId="6204A0CE" w14:textId="77777777" w:rsidR="00314815" w:rsidRDefault="00314815" w:rsidP="00080C15"/>
  </w:footnote>
  <w:footnote w:id="2">
    <w:p w14:paraId="7CD4E9B8" w14:textId="0278F036" w:rsidR="000F7B82" w:rsidRDefault="00211520" w:rsidP="00B25532">
      <w:pPr>
        <w:pStyle w:val="FootnoteText"/>
      </w:pPr>
      <w:r>
        <w:rPr>
          <w:rStyle w:val="FootnoteReference"/>
        </w:rPr>
        <w:footnoteRef/>
      </w:r>
      <w:r>
        <w:t xml:space="preserve"> </w:t>
      </w:r>
      <w:r w:rsidR="00320C3C" w:rsidRPr="00320C3C">
        <w:rPr>
          <w:rFonts w:eastAsia="Times New Roman"/>
          <w:szCs w:val="26"/>
        </w:rPr>
        <w:t>The activi</w:t>
      </w:r>
      <w:r w:rsidR="002F1F08">
        <w:rPr>
          <w:rFonts w:eastAsia="Times New Roman"/>
          <w:szCs w:val="26"/>
        </w:rPr>
        <w:t>ti</w:t>
      </w:r>
      <w:r w:rsidR="00320C3C" w:rsidRPr="00320C3C">
        <w:rPr>
          <w:rFonts w:eastAsia="Times New Roman"/>
          <w:szCs w:val="26"/>
        </w:rPr>
        <w:t>es in the instant Docket No. IC21-38</w:t>
      </w:r>
      <w:r w:rsidR="001767C5">
        <w:rPr>
          <w:rFonts w:eastAsia="Times New Roman"/>
          <w:szCs w:val="26"/>
        </w:rPr>
        <w:t>-000</w:t>
      </w:r>
      <w:r w:rsidR="00320C3C" w:rsidRPr="00320C3C">
        <w:rPr>
          <w:rFonts w:eastAsia="Times New Roman"/>
          <w:szCs w:val="26"/>
        </w:rPr>
        <w:t xml:space="preserve"> are separate from, and do not address, the activities in </w:t>
      </w:r>
      <w:r w:rsidR="00320C3C" w:rsidRPr="00320C3C">
        <w:rPr>
          <w:rFonts w:eastAsia="Times New Roman"/>
          <w:i/>
          <w:iCs/>
          <w:szCs w:val="26"/>
        </w:rPr>
        <w:t>Technical Conference on Reassessment of the Electric Quarterly Report Requirements</w:t>
      </w:r>
      <w:r w:rsidR="00320C3C" w:rsidRPr="00320C3C">
        <w:rPr>
          <w:rFonts w:eastAsia="Times New Roman"/>
          <w:szCs w:val="26"/>
        </w:rPr>
        <w:t>, Docket No. AD21-8-000 (technical conferences designed to provide a forum for Commission staff, filers, and data users to discuss potential changes to the current EQR data fields).</w:t>
      </w:r>
    </w:p>
  </w:footnote>
  <w:footnote w:id="3">
    <w:p w14:paraId="49966491" w14:textId="71C6AD8C" w:rsidR="008B69EF" w:rsidRPr="00843FEC" w:rsidRDefault="008B69EF" w:rsidP="00B25532">
      <w:pPr>
        <w:pStyle w:val="FootnoteText"/>
        <w:spacing w:after="0"/>
        <w:rPr>
          <w:szCs w:val="26"/>
        </w:rPr>
      </w:pPr>
      <w:r w:rsidRPr="00843FEC">
        <w:rPr>
          <w:rStyle w:val="FootnoteReference"/>
          <w:szCs w:val="26"/>
        </w:rPr>
        <w:footnoteRef/>
      </w:r>
      <w:r w:rsidRPr="00843FEC">
        <w:rPr>
          <w:szCs w:val="26"/>
        </w:rPr>
        <w:t xml:space="preserve"> </w:t>
      </w:r>
      <w:r w:rsidRPr="00843FEC">
        <w:rPr>
          <w:i/>
          <w:szCs w:val="26"/>
        </w:rPr>
        <w:t>Revised Public Utility Filing Requirements</w:t>
      </w:r>
      <w:r w:rsidRPr="00843FEC">
        <w:rPr>
          <w:szCs w:val="26"/>
        </w:rPr>
        <w:t xml:space="preserve">, Order No. 2001, 67 FR 31043 (May 8, 2002), FERC Stats. &amp; Regs. ¶ 31,127, </w:t>
      </w:r>
      <w:r w:rsidRPr="00843FEC">
        <w:rPr>
          <w:i/>
          <w:szCs w:val="26"/>
        </w:rPr>
        <w:t>reh’g denied</w:t>
      </w:r>
      <w:r w:rsidRPr="00843FEC">
        <w:rPr>
          <w:szCs w:val="26"/>
        </w:rPr>
        <w:t xml:space="preserve">, Order No. 2001-A, 100 FERC ¶ 61,074, </w:t>
      </w:r>
      <w:r w:rsidRPr="00843FEC">
        <w:rPr>
          <w:i/>
          <w:szCs w:val="26"/>
        </w:rPr>
        <w:t>reh’g denied</w:t>
      </w:r>
      <w:r w:rsidRPr="00843FEC">
        <w:rPr>
          <w:szCs w:val="26"/>
        </w:rPr>
        <w:t xml:space="preserve">, Order No. 2001-B, 100 FERC ¶ 61,342, </w:t>
      </w:r>
      <w:r w:rsidRPr="00843FEC">
        <w:rPr>
          <w:i/>
          <w:szCs w:val="26"/>
        </w:rPr>
        <w:t>order directing filing</w:t>
      </w:r>
      <w:r w:rsidRPr="00843FEC">
        <w:rPr>
          <w:szCs w:val="26"/>
        </w:rPr>
        <w:t xml:space="preserve">, Order No. 2001-C, 101 FERC ¶ 61,314 (2002), </w:t>
      </w:r>
      <w:r w:rsidRPr="00843FEC">
        <w:rPr>
          <w:i/>
          <w:szCs w:val="26"/>
        </w:rPr>
        <w:t>order directing filing</w:t>
      </w:r>
      <w:r w:rsidRPr="00843FEC">
        <w:rPr>
          <w:szCs w:val="26"/>
        </w:rPr>
        <w:t xml:space="preserve">, Order No. 2001-D, 102 FERC ¶ 61,334, </w:t>
      </w:r>
      <w:r w:rsidRPr="00843FEC">
        <w:rPr>
          <w:i/>
          <w:szCs w:val="26"/>
        </w:rPr>
        <w:t>order refining filing requirements</w:t>
      </w:r>
      <w:r w:rsidRPr="00843FEC">
        <w:rPr>
          <w:szCs w:val="26"/>
        </w:rPr>
        <w:t xml:space="preserve">, Order No. 2001-E, 105 FERC ¶ 61,352 (2003), </w:t>
      </w:r>
      <w:r w:rsidRPr="00843FEC">
        <w:rPr>
          <w:i/>
          <w:iCs/>
          <w:szCs w:val="26"/>
        </w:rPr>
        <w:t>order on clarification</w:t>
      </w:r>
      <w:r w:rsidRPr="00843FEC">
        <w:rPr>
          <w:szCs w:val="26"/>
        </w:rPr>
        <w:t xml:space="preserve">, Order No. 2001-F, 106 FERC ¶ 61,060 (2004), </w:t>
      </w:r>
      <w:r w:rsidRPr="00843FEC">
        <w:rPr>
          <w:i/>
          <w:szCs w:val="26"/>
        </w:rPr>
        <w:t>order revising filing requirements</w:t>
      </w:r>
      <w:r w:rsidRPr="00843FEC">
        <w:rPr>
          <w:szCs w:val="26"/>
        </w:rPr>
        <w:t xml:space="preserve">, Order No. 2001-G, 72 FR 56735 (Oct. 4, 2007), 120 FERC ¶ 61,270, </w:t>
      </w:r>
      <w:r w:rsidRPr="00843FEC">
        <w:rPr>
          <w:i/>
          <w:szCs w:val="26"/>
        </w:rPr>
        <w:t>order on reh’g and clarification</w:t>
      </w:r>
      <w:r w:rsidRPr="00843FEC">
        <w:rPr>
          <w:szCs w:val="26"/>
        </w:rPr>
        <w:t xml:space="preserve">, Order No. 2001-H, 73 FR 1876 (Jan. 10, 2008), 121 FERC ¶ 61,289 (2007), </w:t>
      </w:r>
      <w:r w:rsidRPr="00843FEC">
        <w:rPr>
          <w:i/>
          <w:szCs w:val="26"/>
        </w:rPr>
        <w:t>order revising filing requirements</w:t>
      </w:r>
      <w:r w:rsidRPr="00843FEC">
        <w:rPr>
          <w:szCs w:val="26"/>
        </w:rPr>
        <w:t>,</w:t>
      </w:r>
      <w:r w:rsidRPr="00843FEC">
        <w:rPr>
          <w:i/>
          <w:szCs w:val="26"/>
        </w:rPr>
        <w:t xml:space="preserve"> </w:t>
      </w:r>
      <w:r w:rsidRPr="00843FEC">
        <w:rPr>
          <w:szCs w:val="26"/>
        </w:rPr>
        <w:t>Order No. 2001-I, 73 FR 65526 (Nov. 4, 2008), 125 FERC ¶ 61,103 (2008).</w:t>
      </w:r>
    </w:p>
  </w:footnote>
  <w:footnote w:id="4">
    <w:p w14:paraId="01889C31" w14:textId="10DDFBF2" w:rsidR="008B69EF" w:rsidRDefault="008B69EF" w:rsidP="00B25532">
      <w:pPr>
        <w:pStyle w:val="FootnoteText"/>
        <w:spacing w:after="0"/>
        <w:rPr>
          <w:szCs w:val="26"/>
        </w:rPr>
      </w:pPr>
      <w:r w:rsidRPr="00843FEC">
        <w:rPr>
          <w:rStyle w:val="FootnoteReference"/>
          <w:szCs w:val="26"/>
        </w:rPr>
        <w:footnoteRef/>
      </w:r>
      <w:r w:rsidRPr="00843FEC">
        <w:rPr>
          <w:szCs w:val="26"/>
        </w:rPr>
        <w:t xml:space="preserve"> Order No. 2001-G, 120 FERC ¶ 61,270 (2007).</w:t>
      </w:r>
      <w:r w:rsidR="00426130">
        <w:rPr>
          <w:szCs w:val="26"/>
        </w:rPr>
        <w:t xml:space="preserve">  </w:t>
      </w:r>
      <w:r w:rsidR="00426130" w:rsidRPr="00426130">
        <w:rPr>
          <w:szCs w:val="26"/>
        </w:rPr>
        <w:t xml:space="preserve">See the Data Dictionary at </w:t>
      </w:r>
      <w:hyperlink r:id="rId1" w:history="1">
        <w:r w:rsidR="00426130" w:rsidRPr="00426130">
          <w:rPr>
            <w:rStyle w:val="Hyperlink"/>
            <w:szCs w:val="26"/>
          </w:rPr>
          <w:t>https://www.ferc.gov/sites/default/files/2020-11/Data_Dictionary_V3_5_Clean.pdf</w:t>
        </w:r>
      </w:hyperlink>
    </w:p>
    <w:p w14:paraId="266D8108" w14:textId="77777777" w:rsidR="009C3E30" w:rsidRPr="00843FEC" w:rsidRDefault="009C3E30" w:rsidP="00817F3D">
      <w:pPr>
        <w:pStyle w:val="FootnoteText"/>
        <w:spacing w:after="0"/>
        <w:ind w:firstLine="0"/>
        <w:rPr>
          <w:szCs w:val="26"/>
        </w:rPr>
      </w:pPr>
    </w:p>
  </w:footnote>
  <w:footnote w:id="5">
    <w:p w14:paraId="7E963BB2" w14:textId="54DD3649" w:rsidR="008B69EF" w:rsidRDefault="008B69EF" w:rsidP="002C6B33">
      <w:pPr>
        <w:pStyle w:val="FootnoteText"/>
        <w:spacing w:after="0"/>
      </w:pPr>
      <w:r w:rsidRPr="00843FEC">
        <w:rPr>
          <w:rStyle w:val="FootnoteReference"/>
          <w:szCs w:val="26"/>
        </w:rPr>
        <w:footnoteRef/>
      </w:r>
      <w:r w:rsidRPr="00843FEC">
        <w:rPr>
          <w:szCs w:val="26"/>
        </w:rPr>
        <w:t xml:space="preserve"> </w:t>
      </w:r>
      <w:r w:rsidR="00B339E9" w:rsidRPr="00FF6388">
        <w:rPr>
          <w:i/>
        </w:rPr>
        <w:t>Elec. Mkt. Transparency Provisions of Section 220 of the Federal Power Act</w:t>
      </w:r>
      <w:r w:rsidR="00B339E9" w:rsidRPr="00FF6388">
        <w:t xml:space="preserve">, Order No. 768, 77 FR 61895 (Oct. 11, 2012), 140 </w:t>
      </w:r>
      <w:r w:rsidR="00B339E9" w:rsidRPr="00FF6388">
        <w:rPr>
          <w:iCs/>
        </w:rPr>
        <w:t>FERC ¶</w:t>
      </w:r>
      <w:r w:rsidR="00B339E9" w:rsidRPr="00FF6388">
        <w:t xml:space="preserve"> 61,232 (2012), </w:t>
      </w:r>
      <w:r w:rsidR="00B339E9" w:rsidRPr="00FF6388">
        <w:rPr>
          <w:i/>
        </w:rPr>
        <w:t>order on reh’g</w:t>
      </w:r>
      <w:r w:rsidR="00B339E9" w:rsidRPr="00FF6388">
        <w:t xml:space="preserve">, Order No. 768-A, 143 FERC ¶ 61,054 (2013), </w:t>
      </w:r>
      <w:r w:rsidR="00B339E9" w:rsidRPr="00FF6388">
        <w:rPr>
          <w:i/>
        </w:rPr>
        <w:t>order on reh’g</w:t>
      </w:r>
      <w:r w:rsidR="00B339E9" w:rsidRPr="00FF6388">
        <w:t>, Order No. 768-B, 150 FERC ¶ 61,075 (2015).</w:t>
      </w:r>
    </w:p>
    <w:p w14:paraId="45787B64" w14:textId="77777777" w:rsidR="009C3E30" w:rsidRPr="00817F3D" w:rsidRDefault="009C3E30" w:rsidP="00817F3D">
      <w:pPr>
        <w:pStyle w:val="FootnoteText"/>
        <w:spacing w:after="0"/>
        <w:ind w:firstLine="0"/>
        <w:rPr>
          <w:sz w:val="20"/>
        </w:rPr>
      </w:pPr>
    </w:p>
  </w:footnote>
  <w:footnote w:id="6">
    <w:p w14:paraId="54D2CFB0" w14:textId="38A7B703" w:rsidR="00EB39A3" w:rsidRDefault="00EB39A3" w:rsidP="003B7F94">
      <w:pPr>
        <w:pStyle w:val="FootnoteText"/>
      </w:pPr>
      <w:r>
        <w:rPr>
          <w:rStyle w:val="FootnoteReference"/>
        </w:rPr>
        <w:footnoteRef/>
      </w:r>
      <w:r>
        <w:t xml:space="preserve"> </w:t>
      </w:r>
      <w:r w:rsidR="005A78F8" w:rsidRPr="005A78F8">
        <w:rPr>
          <w:rFonts w:eastAsia="Times New Roman"/>
          <w:szCs w:val="26"/>
        </w:rPr>
        <w:t>18 CFR § 35.10b(b)</w:t>
      </w:r>
      <w:r w:rsidR="005A78F8" w:rsidRPr="005A78F8">
        <w:rPr>
          <w:rFonts w:eastAsia="Times New Roman"/>
          <w:szCs w:val="24"/>
        </w:rPr>
        <w:t xml:space="preserve"> </w:t>
      </w:r>
      <w:r w:rsidR="005A78F8" w:rsidRPr="005A78F8">
        <w:rPr>
          <w:rFonts w:eastAsia="Times New Roman"/>
          <w:szCs w:val="26"/>
        </w:rPr>
        <w:t>provides that the term “</w:t>
      </w:r>
      <w:r w:rsidR="005A78F8" w:rsidRPr="005A78F8">
        <w:rPr>
          <w:rFonts w:eastAsia="Times New Roman"/>
          <w:i/>
          <w:iCs/>
          <w:szCs w:val="26"/>
        </w:rPr>
        <w:t>de minimis</w:t>
      </w:r>
      <w:r w:rsidR="005A78F8" w:rsidRPr="005A78F8">
        <w:rPr>
          <w:rFonts w:eastAsia="Times New Roman"/>
          <w:szCs w:val="26"/>
        </w:rPr>
        <w:t xml:space="preserve"> market presence” means “any non-public utility that makes 4,000,000 megawatt hours or less of annual wholesale sales, based on the average annual sales for resale over the preceding three years as published by the Energy Information Administration’s Form 861.”  </w:t>
      </w:r>
    </w:p>
  </w:footnote>
  <w:footnote w:id="7">
    <w:p w14:paraId="11077D0A" w14:textId="15BE3D81" w:rsidR="00C54F55" w:rsidRDefault="00C54F55">
      <w:pPr>
        <w:pStyle w:val="FootnoteText"/>
      </w:pPr>
      <w:r>
        <w:rPr>
          <w:rStyle w:val="FootnoteReference"/>
        </w:rPr>
        <w:footnoteRef/>
      </w:r>
      <w:r>
        <w:t xml:space="preserve"> 16 USC 824d</w:t>
      </w:r>
    </w:p>
  </w:footnote>
  <w:footnote w:id="8">
    <w:p w14:paraId="6D153C8A" w14:textId="32BBA77A" w:rsidR="00F24E95" w:rsidRDefault="00F24E95" w:rsidP="002C6B33">
      <w:pPr>
        <w:pStyle w:val="FootnoteText"/>
        <w:spacing w:after="0"/>
      </w:pPr>
      <w:r w:rsidRPr="005B3091">
        <w:rPr>
          <w:rStyle w:val="FootnoteReference"/>
        </w:rPr>
        <w:footnoteRef/>
      </w:r>
      <w:r w:rsidRPr="005B3091">
        <w:t xml:space="preserve"> </w:t>
      </w:r>
      <w:r w:rsidRPr="005B3091">
        <w:rPr>
          <w:i/>
          <w:iCs/>
        </w:rPr>
        <w:t xml:space="preserve">Preventing Undue Discrimination and </w:t>
      </w:r>
      <w:r w:rsidRPr="00901890">
        <w:rPr>
          <w:i/>
          <w:iCs/>
        </w:rPr>
        <w:t>Preference in Transmission Service</w:t>
      </w:r>
      <w:r w:rsidRPr="00901890">
        <w:t xml:space="preserve">, Order No. 890, </w:t>
      </w:r>
      <w:r w:rsidRPr="00556353">
        <w:t>72 FR 12265 (Mar. 15, 2007)</w:t>
      </w:r>
      <w:r w:rsidRPr="005B3091">
        <w:t>, 118 FER</w:t>
      </w:r>
      <w:r w:rsidRPr="00901890">
        <w:t>C ¶ 61,119, at P</w:t>
      </w:r>
      <w:r>
        <w:t>P 820-</w:t>
      </w:r>
      <w:r w:rsidRPr="00901890">
        <w:t>8</w:t>
      </w:r>
      <w:r>
        <w:t>21</w:t>
      </w:r>
      <w:r w:rsidRPr="00556353">
        <w:t xml:space="preserve">, </w:t>
      </w:r>
      <w:r w:rsidRPr="00556353">
        <w:rPr>
          <w:i/>
          <w:iCs/>
        </w:rPr>
        <w:t>order on reh’g</w:t>
      </w:r>
      <w:r w:rsidRPr="00556353">
        <w:t xml:space="preserve">, Order No. 890-A, </w:t>
      </w:r>
      <w:r w:rsidRPr="00761EAC">
        <w:t>73 FR 2983 (Jan. 16, 2008)</w:t>
      </w:r>
      <w:r w:rsidRPr="005B3091">
        <w:t xml:space="preserve">, 121 FERC ¶ 61,297 (2007), </w:t>
      </w:r>
      <w:r w:rsidRPr="005B3091">
        <w:rPr>
          <w:i/>
          <w:iCs/>
        </w:rPr>
        <w:t>order on reh’g</w:t>
      </w:r>
      <w:r w:rsidRPr="005B3091">
        <w:t xml:space="preserve">, Order No. 890-B, </w:t>
      </w:r>
      <w:r w:rsidRPr="00B40EDE">
        <w:t>73 FR 39091 (July 8, 2008)</w:t>
      </w:r>
      <w:r w:rsidRPr="005B3091">
        <w:t>, 123 FERC ¶ 61,299 (2008),</w:t>
      </w:r>
      <w:r w:rsidRPr="005B3091">
        <w:rPr>
          <w:i/>
        </w:rPr>
        <w:t xml:space="preserve"> order on reh’g</w:t>
      </w:r>
      <w:r w:rsidRPr="005B3091">
        <w:t xml:space="preserve">, Order No. 890-C, </w:t>
      </w:r>
      <w:r w:rsidRPr="00F02CF4">
        <w:t>74 FR 12540 (Mar. 25, 2009)</w:t>
      </w:r>
      <w:r w:rsidRPr="005B3091">
        <w:t xml:space="preserve">, 126 FERC ¶ 61,228, </w:t>
      </w:r>
      <w:r w:rsidRPr="005B3091">
        <w:rPr>
          <w:i/>
        </w:rPr>
        <w:t>order on clarification</w:t>
      </w:r>
      <w:r w:rsidRPr="005B3091">
        <w:t xml:space="preserve">, Order No. 890-D, </w:t>
      </w:r>
      <w:r w:rsidRPr="007F0555">
        <w:t>74 FR 61511 (Nov. 25, 2009)</w:t>
      </w:r>
      <w:r w:rsidRPr="005B3091">
        <w:t xml:space="preserve">, 129 FERC ¶ 61,126 (2009). </w:t>
      </w:r>
    </w:p>
    <w:p w14:paraId="6414B4BB" w14:textId="77777777" w:rsidR="00645E24" w:rsidRPr="005B3091" w:rsidRDefault="00645E24" w:rsidP="002C6B33">
      <w:pPr>
        <w:pStyle w:val="FootnoteText"/>
        <w:spacing w:after="0"/>
      </w:pPr>
    </w:p>
  </w:footnote>
  <w:footnote w:id="9">
    <w:p w14:paraId="443D76E9" w14:textId="0A5D1D31" w:rsidR="008B69EF" w:rsidRPr="00843FEC" w:rsidRDefault="008B69EF" w:rsidP="00817F3D">
      <w:pPr>
        <w:pStyle w:val="FootnoteText"/>
        <w:spacing w:after="0"/>
        <w:ind w:firstLine="0"/>
        <w:rPr>
          <w:szCs w:val="26"/>
        </w:rPr>
      </w:pPr>
      <w:r w:rsidRPr="00843FEC">
        <w:rPr>
          <w:rStyle w:val="FootnoteReference"/>
          <w:szCs w:val="26"/>
        </w:rPr>
        <w:footnoteRef/>
      </w:r>
      <w:r w:rsidRPr="00843FEC">
        <w:rPr>
          <w:szCs w:val="26"/>
        </w:rPr>
        <w:t xml:space="preserve"> </w:t>
      </w:r>
      <w:r w:rsidRPr="00C2513C">
        <w:rPr>
          <w:i/>
          <w:iCs/>
          <w:szCs w:val="26"/>
        </w:rPr>
        <w:t>Revisions to Electric Quarterly Report Filing Process</w:t>
      </w:r>
      <w:r w:rsidRPr="00843FEC">
        <w:rPr>
          <w:szCs w:val="26"/>
        </w:rPr>
        <w:t>, Order No. 770, FERC Stats. &amp; Regs. ¶ 31,338 (2012).</w:t>
      </w:r>
    </w:p>
  </w:footnote>
  <w:footnote w:id="10">
    <w:p w14:paraId="45CB3BD3" w14:textId="0980E9EE" w:rsidR="00D40BFF" w:rsidRDefault="00D40BFF" w:rsidP="00D40BFF">
      <w:pPr>
        <w:pStyle w:val="FootnoteText"/>
        <w:ind w:firstLine="0"/>
      </w:pPr>
      <w:r>
        <w:rPr>
          <w:rStyle w:val="FootnoteReference"/>
        </w:rPr>
        <w:footnoteRef/>
      </w:r>
      <w:r>
        <w:t xml:space="preserve"> The notice is posted in FERC’s eLibrary </w:t>
      </w:r>
      <w:r w:rsidR="001E0080">
        <w:t>in Docket No. IC21-38.</w:t>
      </w:r>
    </w:p>
  </w:footnote>
  <w:footnote w:id="11">
    <w:p w14:paraId="4D817574" w14:textId="14DB4BFE" w:rsidR="008B69EF" w:rsidRDefault="008B69EF" w:rsidP="00817F3D">
      <w:pPr>
        <w:pStyle w:val="FootnoteText"/>
        <w:spacing w:after="0"/>
        <w:ind w:firstLine="0"/>
        <w:rPr>
          <w:szCs w:val="26"/>
        </w:rPr>
      </w:pPr>
      <w:r w:rsidRPr="002C6B33">
        <w:rPr>
          <w:rStyle w:val="FootnoteReference"/>
          <w:bCs/>
          <w:szCs w:val="26"/>
        </w:rPr>
        <w:footnoteRef/>
      </w:r>
      <w:r w:rsidRPr="00843FEC">
        <w:rPr>
          <w:szCs w:val="26"/>
        </w:rPr>
        <w:t xml:space="preserve"> 18 C.F.R. §§ 388.112 and 388.113.  More information on the CEII definition, program and requirements is posted at </w:t>
      </w:r>
      <w:hyperlink r:id="rId2" w:history="1">
        <w:r w:rsidRPr="00843FEC">
          <w:rPr>
            <w:rStyle w:val="Hyperlink"/>
            <w:szCs w:val="26"/>
          </w:rPr>
          <w:t>http://www.ferc.gov/legal/ceii-foia/ceii.asp</w:t>
        </w:r>
      </w:hyperlink>
      <w:r w:rsidRPr="00843FEC">
        <w:rPr>
          <w:szCs w:val="26"/>
        </w:rPr>
        <w:t xml:space="preserve">. </w:t>
      </w:r>
    </w:p>
    <w:p w14:paraId="1F317C88" w14:textId="77777777" w:rsidR="00426130" w:rsidRPr="00843FEC" w:rsidRDefault="00426130" w:rsidP="00817F3D">
      <w:pPr>
        <w:pStyle w:val="FootnoteText"/>
        <w:spacing w:after="0"/>
        <w:ind w:firstLine="0"/>
        <w:rPr>
          <w:szCs w:val="26"/>
        </w:rPr>
      </w:pPr>
    </w:p>
  </w:footnote>
  <w:footnote w:id="12">
    <w:p w14:paraId="34599A26" w14:textId="1524C349" w:rsidR="0043403F" w:rsidRDefault="0043403F" w:rsidP="0043403F">
      <w:pPr>
        <w:pStyle w:val="FootnoteText"/>
        <w:ind w:firstLine="0"/>
      </w:pPr>
      <w:r>
        <w:rPr>
          <w:rStyle w:val="FootnoteReference"/>
        </w:rPr>
        <w:footnoteRef/>
      </w:r>
      <w:r>
        <w:t xml:space="preserve"> </w:t>
      </w:r>
      <w:r w:rsidRPr="0043403F">
        <w:t>Burden is defined as the total time, effort, or financial resources expended by persons to generate, maintain, retain, disclose</w:t>
      </w:r>
      <w:r w:rsidR="00AA34C8">
        <w:t>,</w:t>
      </w:r>
      <w:r w:rsidRPr="0043403F">
        <w:t xml:space="preserve"> or provide information to or for a </w:t>
      </w:r>
      <w:proofErr w:type="gramStart"/>
      <w:r w:rsidRPr="0043403F">
        <w:t>Federal</w:t>
      </w:r>
      <w:proofErr w:type="gramEnd"/>
      <w:r w:rsidRPr="0043403F">
        <w:t xml:space="preserve"> agency.  For further explanation of what is included in the information collection burden, refer to 5 Code of Federal Regulations 1320.3.</w:t>
      </w:r>
    </w:p>
  </w:footnote>
  <w:footnote w:id="13">
    <w:p w14:paraId="52DDC107" w14:textId="729140CA" w:rsidR="004C275C" w:rsidRDefault="004C275C" w:rsidP="00675BBA">
      <w:pPr>
        <w:pStyle w:val="FootnoteText"/>
        <w:spacing w:after="0"/>
        <w:ind w:firstLine="0"/>
      </w:pPr>
      <w:r w:rsidRPr="005B3091">
        <w:rPr>
          <w:rStyle w:val="FootnoteReference"/>
        </w:rPr>
        <w:footnoteRef/>
      </w:r>
      <w:r w:rsidRPr="005B3091">
        <w:t xml:space="preserve"> </w:t>
      </w:r>
      <w:r w:rsidR="0043403F" w:rsidRPr="0043403F">
        <w:t>The cost is based on FERC’s 2021 Commission-wide average salary cost (salary plus benefits) of $87.00/hour.  The Commission staff believes the FERC FTE (full-time equivalent) average cost for wages plus benefits is representative of the corresponding cost for the industry respondents.</w:t>
      </w:r>
    </w:p>
    <w:p w14:paraId="299ECDE4" w14:textId="77777777" w:rsidR="00420189" w:rsidRPr="000A5773" w:rsidRDefault="00420189" w:rsidP="00675BBA">
      <w:pPr>
        <w:pStyle w:val="FootnoteText"/>
        <w:spacing w:after="0"/>
        <w:ind w:firstLine="0"/>
      </w:pPr>
    </w:p>
  </w:footnote>
  <w:footnote w:id="14">
    <w:p w14:paraId="7F9944C6" w14:textId="17FD6D30" w:rsidR="00420189" w:rsidRDefault="00420189" w:rsidP="00420189">
      <w:pPr>
        <w:pStyle w:val="FootnoteText"/>
        <w:ind w:firstLine="0"/>
      </w:pPr>
      <w:r>
        <w:rPr>
          <w:rStyle w:val="FootnoteReference"/>
        </w:rPr>
        <w:footnoteRef/>
      </w:r>
      <w:r>
        <w:t xml:space="preserve"> </w:t>
      </w:r>
      <w:r w:rsidRPr="00307064">
        <w:rPr>
          <w:szCs w:val="26"/>
        </w:rPr>
        <w:t>The current OMB-approved inventory for FERC-920 includes a separate</w:t>
      </w:r>
      <w:r>
        <w:rPr>
          <w:szCs w:val="26"/>
        </w:rPr>
        <w:t xml:space="preserve"> Information Collection (IC) labelled “</w:t>
      </w:r>
      <w:r w:rsidRPr="000D0C16">
        <w:rPr>
          <w:szCs w:val="26"/>
        </w:rPr>
        <w:t>Adding time zone (Order issued 6/18/2020), implementation &amp; ongoing burden averaged over Years 1-3</w:t>
      </w:r>
      <w:r>
        <w:rPr>
          <w:szCs w:val="26"/>
        </w:rPr>
        <w:t xml:space="preserve">.”  It covers 34 responses and 193 burden hours.  The stand-alone IC and the related figures (averaged over three years) are being consolidated into the </w:t>
      </w:r>
      <w:proofErr w:type="spellStart"/>
      <w:r>
        <w:rPr>
          <w:szCs w:val="26"/>
        </w:rPr>
        <w:t>the</w:t>
      </w:r>
      <w:proofErr w:type="spellEnd"/>
      <w:r>
        <w:rPr>
          <w:szCs w:val="26"/>
        </w:rPr>
        <w:t xml:space="preserve"> overall estimates for the EQR.</w:t>
      </w:r>
    </w:p>
  </w:footnote>
  <w:footnote w:id="15">
    <w:p w14:paraId="27777273" w14:textId="4241F18A" w:rsidR="00646745" w:rsidRDefault="00646745" w:rsidP="00ED2E61">
      <w:pPr>
        <w:spacing w:after="0" w:line="240" w:lineRule="auto"/>
        <w:ind w:firstLine="720"/>
        <w:rPr>
          <w:szCs w:val="26"/>
        </w:rPr>
      </w:pPr>
      <w:r w:rsidRPr="00675BBA">
        <w:rPr>
          <w:szCs w:val="26"/>
          <w:vertAlign w:val="superscript"/>
        </w:rPr>
        <w:footnoteRef/>
      </w:r>
      <w:r w:rsidRPr="00675BBA">
        <w:rPr>
          <w:szCs w:val="26"/>
        </w:rPr>
        <w:t xml:space="preserve"> </w:t>
      </w:r>
      <w:r w:rsidR="00FF6D2C" w:rsidRPr="00FF6D2C">
        <w:rPr>
          <w:szCs w:val="26"/>
        </w:rPr>
        <w:t>Based upon FERC</w:t>
      </w:r>
      <w:r w:rsidR="00FF6D2C" w:rsidRPr="00344282">
        <w:rPr>
          <w:szCs w:val="26"/>
        </w:rPr>
        <w:t>’s 2021 average wages plus benefits of one FTE (full-time equivalent) of $180,703/year (or $87/hour).</w:t>
      </w:r>
    </w:p>
    <w:p w14:paraId="0C060A98" w14:textId="77777777" w:rsidR="00ED2E61" w:rsidRPr="00344282" w:rsidRDefault="00ED2E61" w:rsidP="00B25532">
      <w:pPr>
        <w:spacing w:after="0" w:line="240" w:lineRule="auto"/>
        <w:ind w:firstLine="720"/>
        <w:rPr>
          <w:szCs w:val="26"/>
        </w:rPr>
      </w:pPr>
    </w:p>
  </w:footnote>
  <w:footnote w:id="16">
    <w:p w14:paraId="05AA5BFE" w14:textId="35B46BD5" w:rsidR="008B69EF" w:rsidRDefault="008B69EF" w:rsidP="00ED2E61">
      <w:pPr>
        <w:spacing w:after="0" w:line="240" w:lineRule="auto"/>
        <w:ind w:firstLine="720"/>
        <w:rPr>
          <w:szCs w:val="26"/>
        </w:rPr>
      </w:pPr>
      <w:r w:rsidRPr="00344282">
        <w:rPr>
          <w:szCs w:val="26"/>
          <w:vertAlign w:val="superscript"/>
        </w:rPr>
        <w:footnoteRef/>
      </w:r>
      <w:r w:rsidRPr="00344282">
        <w:rPr>
          <w:szCs w:val="26"/>
        </w:rPr>
        <w:t xml:space="preserve"> Paperwork Reduction Act of 1995 (PRA)</w:t>
      </w:r>
      <w:r w:rsidR="00ED2E61">
        <w:rPr>
          <w:szCs w:val="26"/>
        </w:rPr>
        <w:t>.</w:t>
      </w:r>
    </w:p>
    <w:p w14:paraId="65999348" w14:textId="77777777" w:rsidR="00ED2E61" w:rsidRPr="00344282" w:rsidRDefault="00ED2E61" w:rsidP="00B25532">
      <w:pPr>
        <w:spacing w:after="0" w:line="240" w:lineRule="auto"/>
        <w:ind w:firstLine="720"/>
        <w:rPr>
          <w:szCs w:val="26"/>
        </w:rPr>
      </w:pPr>
    </w:p>
  </w:footnote>
  <w:footnote w:id="17">
    <w:p w14:paraId="73C07A45" w14:textId="3E648F27" w:rsidR="008B69EF" w:rsidRPr="00675BBA" w:rsidRDefault="008B69EF" w:rsidP="00B25532">
      <w:pPr>
        <w:pStyle w:val="FootnoteText"/>
        <w:spacing w:after="0"/>
        <w:rPr>
          <w:szCs w:val="26"/>
        </w:rPr>
      </w:pPr>
      <w:r w:rsidRPr="00344282">
        <w:rPr>
          <w:rStyle w:val="FootnoteReference"/>
          <w:b w:val="0"/>
          <w:szCs w:val="26"/>
        </w:rPr>
        <w:footnoteRef/>
      </w:r>
      <w:r w:rsidRPr="00344282">
        <w:rPr>
          <w:szCs w:val="26"/>
        </w:rPr>
        <w:t xml:space="preserve"> </w:t>
      </w:r>
      <w:r w:rsidR="00FF6D2C" w:rsidRPr="00344282">
        <w:rPr>
          <w:szCs w:val="26"/>
        </w:rPr>
        <w:t>Based upon FERC’s 2021 estimated average annual PRA Administrative Cost of $8,279.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3296" w14:textId="67E16C28" w:rsidR="008B69EF" w:rsidRPr="006951D6" w:rsidRDefault="008B69EF">
    <w:pPr>
      <w:pStyle w:val="Header"/>
      <w:rPr>
        <w:szCs w:val="26"/>
      </w:rPr>
    </w:pPr>
    <w:r w:rsidRPr="006951D6">
      <w:rPr>
        <w:szCs w:val="26"/>
      </w:rPr>
      <w:t>FERC-920 (</w:t>
    </w:r>
    <w:r w:rsidR="00643383" w:rsidRPr="006951D6">
      <w:rPr>
        <w:szCs w:val="26"/>
      </w:rPr>
      <w:t xml:space="preserve">Electric Quarterly Report [EQR], </w:t>
    </w:r>
    <w:r w:rsidRPr="006951D6">
      <w:rPr>
        <w:szCs w:val="26"/>
      </w:rPr>
      <w:t>OMB Control No. 1902-0255)</w:t>
    </w:r>
  </w:p>
  <w:p w14:paraId="3E839A2A" w14:textId="20B90721" w:rsidR="00C50DED" w:rsidRDefault="00FA3A75">
    <w:r>
      <w:rPr>
        <w:szCs w:val="26"/>
      </w:rPr>
      <w:t>(Renewal in Docket No. IC21-38)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7D5"/>
    <w:multiLevelType w:val="hybridMultilevel"/>
    <w:tmpl w:val="5E648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716551"/>
    <w:multiLevelType w:val="hybridMultilevel"/>
    <w:tmpl w:val="6458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3D0A"/>
    <w:multiLevelType w:val="hybridMultilevel"/>
    <w:tmpl w:val="37369F70"/>
    <w:lvl w:ilvl="0" w:tplc="66C8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BA1EC1"/>
    <w:multiLevelType w:val="hybridMultilevel"/>
    <w:tmpl w:val="5C28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E05C5"/>
    <w:multiLevelType w:val="hybridMultilevel"/>
    <w:tmpl w:val="040EC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0631BD"/>
    <w:multiLevelType w:val="hybridMultilevel"/>
    <w:tmpl w:val="BA26EF54"/>
    <w:lvl w:ilvl="0" w:tplc="424E0E2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A1318"/>
    <w:multiLevelType w:val="hybridMultilevel"/>
    <w:tmpl w:val="4C2A6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15:restartNumberingAfterBreak="0">
    <w:nsid w:val="3CF716F4"/>
    <w:multiLevelType w:val="hybridMultilevel"/>
    <w:tmpl w:val="AB22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DA2535"/>
    <w:multiLevelType w:val="hybridMultilevel"/>
    <w:tmpl w:val="2468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47BD2"/>
    <w:multiLevelType w:val="hybridMultilevel"/>
    <w:tmpl w:val="ACB29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F114D"/>
    <w:multiLevelType w:val="hybridMultilevel"/>
    <w:tmpl w:val="5094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955CE"/>
    <w:multiLevelType w:val="hybridMultilevel"/>
    <w:tmpl w:val="3F96D202"/>
    <w:lvl w:ilvl="0" w:tplc="26F4CD08">
      <w:start w:val="1"/>
      <w:numFmt w:val="decimal"/>
      <w:pStyle w:val="FERCparanumb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CC1895"/>
    <w:multiLevelType w:val="hybridMultilevel"/>
    <w:tmpl w:val="A4E8DF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40E08"/>
    <w:multiLevelType w:val="hybridMultilevel"/>
    <w:tmpl w:val="DBF6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1521C9"/>
    <w:multiLevelType w:val="hybridMultilevel"/>
    <w:tmpl w:val="C1B8561C"/>
    <w:lvl w:ilvl="0" w:tplc="6D84D9DE">
      <w:start w:val="1"/>
      <w:numFmt w:val="decimal"/>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E6895"/>
    <w:multiLevelType w:val="hybridMultilevel"/>
    <w:tmpl w:val="EF8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EF0882"/>
    <w:multiLevelType w:val="hybridMultilevel"/>
    <w:tmpl w:val="272A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C3392"/>
    <w:multiLevelType w:val="hybridMultilevel"/>
    <w:tmpl w:val="32C64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13FFA"/>
    <w:multiLevelType w:val="hybridMultilevel"/>
    <w:tmpl w:val="5F40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33736"/>
    <w:multiLevelType w:val="hybridMultilevel"/>
    <w:tmpl w:val="C6507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865936"/>
    <w:multiLevelType w:val="hybridMultilevel"/>
    <w:tmpl w:val="4722348E"/>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3"/>
  </w:num>
  <w:num w:numId="2">
    <w:abstractNumId w:val="7"/>
  </w:num>
  <w:num w:numId="3">
    <w:abstractNumId w:val="18"/>
  </w:num>
  <w:num w:numId="4">
    <w:abstractNumId w:val="20"/>
  </w:num>
  <w:num w:numId="5">
    <w:abstractNumId w:val="6"/>
  </w:num>
  <w:num w:numId="6">
    <w:abstractNumId w:val="11"/>
  </w:num>
  <w:num w:numId="7">
    <w:abstractNumId w:val="10"/>
  </w:num>
  <w:num w:numId="8">
    <w:abstractNumId w:val="22"/>
  </w:num>
  <w:num w:numId="9">
    <w:abstractNumId w:val="2"/>
  </w:num>
  <w:num w:numId="10">
    <w:abstractNumId w:val="23"/>
  </w:num>
  <w:num w:numId="11">
    <w:abstractNumId w:val="0"/>
  </w:num>
  <w:num w:numId="12">
    <w:abstractNumId w:val="9"/>
  </w:num>
  <w:num w:numId="13">
    <w:abstractNumId w:val="19"/>
  </w:num>
  <w:num w:numId="14">
    <w:abstractNumId w:val="16"/>
  </w:num>
  <w:num w:numId="15">
    <w:abstractNumId w:val="25"/>
  </w:num>
  <w:num w:numId="16">
    <w:abstractNumId w:val="5"/>
  </w:num>
  <w:num w:numId="17">
    <w:abstractNumId w:val="8"/>
  </w:num>
  <w:num w:numId="18">
    <w:abstractNumId w:val="15"/>
  </w:num>
  <w:num w:numId="19">
    <w:abstractNumId w:val="21"/>
  </w:num>
  <w:num w:numId="20">
    <w:abstractNumId w:val="4"/>
  </w:num>
  <w:num w:numId="21">
    <w:abstractNumId w:val="3"/>
  </w:num>
  <w:num w:numId="22">
    <w:abstractNumId w:val="12"/>
  </w:num>
  <w:num w:numId="23">
    <w:abstractNumId w:val="17"/>
  </w:num>
  <w:num w:numId="24">
    <w:abstractNumId w:val="14"/>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CC4"/>
    <w:rsid w:val="00002C1D"/>
    <w:rsid w:val="00003CE1"/>
    <w:rsid w:val="00006922"/>
    <w:rsid w:val="00006B63"/>
    <w:rsid w:val="000125A6"/>
    <w:rsid w:val="0001300F"/>
    <w:rsid w:val="00016333"/>
    <w:rsid w:val="0001693A"/>
    <w:rsid w:val="00017188"/>
    <w:rsid w:val="0002086D"/>
    <w:rsid w:val="0002242D"/>
    <w:rsid w:val="00022E8B"/>
    <w:rsid w:val="00026BBF"/>
    <w:rsid w:val="00035845"/>
    <w:rsid w:val="00035F73"/>
    <w:rsid w:val="00040A41"/>
    <w:rsid w:val="00040F26"/>
    <w:rsid w:val="0004432C"/>
    <w:rsid w:val="00044824"/>
    <w:rsid w:val="00046434"/>
    <w:rsid w:val="00047D6A"/>
    <w:rsid w:val="00047FEC"/>
    <w:rsid w:val="000515DD"/>
    <w:rsid w:val="00054BDD"/>
    <w:rsid w:val="000558CF"/>
    <w:rsid w:val="00055D18"/>
    <w:rsid w:val="00056193"/>
    <w:rsid w:val="00056266"/>
    <w:rsid w:val="00061171"/>
    <w:rsid w:val="00066272"/>
    <w:rsid w:val="00066332"/>
    <w:rsid w:val="00072F5E"/>
    <w:rsid w:val="00076F49"/>
    <w:rsid w:val="00077D2A"/>
    <w:rsid w:val="00080C15"/>
    <w:rsid w:val="00081AE2"/>
    <w:rsid w:val="00083EA2"/>
    <w:rsid w:val="00084093"/>
    <w:rsid w:val="00087925"/>
    <w:rsid w:val="00092293"/>
    <w:rsid w:val="00093618"/>
    <w:rsid w:val="000964D1"/>
    <w:rsid w:val="000965F4"/>
    <w:rsid w:val="0009739F"/>
    <w:rsid w:val="000A1270"/>
    <w:rsid w:val="000A3A94"/>
    <w:rsid w:val="000A3EC7"/>
    <w:rsid w:val="000B0762"/>
    <w:rsid w:val="000B0C37"/>
    <w:rsid w:val="000B1731"/>
    <w:rsid w:val="000B304B"/>
    <w:rsid w:val="000B4E32"/>
    <w:rsid w:val="000B5A06"/>
    <w:rsid w:val="000B5BDF"/>
    <w:rsid w:val="000C48E4"/>
    <w:rsid w:val="000C574F"/>
    <w:rsid w:val="000C5911"/>
    <w:rsid w:val="000D393A"/>
    <w:rsid w:val="000D4661"/>
    <w:rsid w:val="000D4FDC"/>
    <w:rsid w:val="000D5EA8"/>
    <w:rsid w:val="000E05DE"/>
    <w:rsid w:val="000E281C"/>
    <w:rsid w:val="000E4CEC"/>
    <w:rsid w:val="000F2B19"/>
    <w:rsid w:val="000F3167"/>
    <w:rsid w:val="000F36C6"/>
    <w:rsid w:val="000F38AA"/>
    <w:rsid w:val="000F5965"/>
    <w:rsid w:val="000F5C85"/>
    <w:rsid w:val="000F7B82"/>
    <w:rsid w:val="001007E2"/>
    <w:rsid w:val="00104163"/>
    <w:rsid w:val="00104D09"/>
    <w:rsid w:val="0010626D"/>
    <w:rsid w:val="00113774"/>
    <w:rsid w:val="00114AAD"/>
    <w:rsid w:val="00115E3C"/>
    <w:rsid w:val="001178E9"/>
    <w:rsid w:val="00121043"/>
    <w:rsid w:val="00122641"/>
    <w:rsid w:val="001236A8"/>
    <w:rsid w:val="00125FD1"/>
    <w:rsid w:val="001263CE"/>
    <w:rsid w:val="0013054D"/>
    <w:rsid w:val="00130D2A"/>
    <w:rsid w:val="0013654C"/>
    <w:rsid w:val="00137515"/>
    <w:rsid w:val="00140A37"/>
    <w:rsid w:val="00141FF2"/>
    <w:rsid w:val="00143103"/>
    <w:rsid w:val="00144732"/>
    <w:rsid w:val="001552AC"/>
    <w:rsid w:val="00157BFC"/>
    <w:rsid w:val="0016470D"/>
    <w:rsid w:val="00170C3B"/>
    <w:rsid w:val="00175F4F"/>
    <w:rsid w:val="001767C5"/>
    <w:rsid w:val="00181727"/>
    <w:rsid w:val="001829D1"/>
    <w:rsid w:val="00183BEF"/>
    <w:rsid w:val="00183E4B"/>
    <w:rsid w:val="0018519A"/>
    <w:rsid w:val="00185730"/>
    <w:rsid w:val="001904A5"/>
    <w:rsid w:val="001908C2"/>
    <w:rsid w:val="00191654"/>
    <w:rsid w:val="00191CFD"/>
    <w:rsid w:val="001920F4"/>
    <w:rsid w:val="00192737"/>
    <w:rsid w:val="00193947"/>
    <w:rsid w:val="0019790D"/>
    <w:rsid w:val="00197BFB"/>
    <w:rsid w:val="001A1A1A"/>
    <w:rsid w:val="001A47F3"/>
    <w:rsid w:val="001A4B89"/>
    <w:rsid w:val="001A6FE7"/>
    <w:rsid w:val="001B1D50"/>
    <w:rsid w:val="001B5F2E"/>
    <w:rsid w:val="001B753F"/>
    <w:rsid w:val="001C1BDA"/>
    <w:rsid w:val="001C284A"/>
    <w:rsid w:val="001C5F80"/>
    <w:rsid w:val="001C79F9"/>
    <w:rsid w:val="001C7F2B"/>
    <w:rsid w:val="001D0597"/>
    <w:rsid w:val="001D4B79"/>
    <w:rsid w:val="001D6B85"/>
    <w:rsid w:val="001D6BB3"/>
    <w:rsid w:val="001E0080"/>
    <w:rsid w:val="001E2F8A"/>
    <w:rsid w:val="001E2FA5"/>
    <w:rsid w:val="001E7CB6"/>
    <w:rsid w:val="001F0D63"/>
    <w:rsid w:val="001F0F5A"/>
    <w:rsid w:val="001F1B35"/>
    <w:rsid w:val="001F1DF6"/>
    <w:rsid w:val="001F2568"/>
    <w:rsid w:val="001F323D"/>
    <w:rsid w:val="001F3B98"/>
    <w:rsid w:val="001F65FC"/>
    <w:rsid w:val="001F776B"/>
    <w:rsid w:val="00206C84"/>
    <w:rsid w:val="002102D3"/>
    <w:rsid w:val="00211520"/>
    <w:rsid w:val="002120B4"/>
    <w:rsid w:val="002120F5"/>
    <w:rsid w:val="002148B5"/>
    <w:rsid w:val="00220E12"/>
    <w:rsid w:val="00223CBA"/>
    <w:rsid w:val="002268B5"/>
    <w:rsid w:val="00233C20"/>
    <w:rsid w:val="002343F5"/>
    <w:rsid w:val="0023672A"/>
    <w:rsid w:val="002376FC"/>
    <w:rsid w:val="00237EF0"/>
    <w:rsid w:val="00242223"/>
    <w:rsid w:val="00245AD9"/>
    <w:rsid w:val="002470B8"/>
    <w:rsid w:val="00247B6F"/>
    <w:rsid w:val="00247BD2"/>
    <w:rsid w:val="00251161"/>
    <w:rsid w:val="0025212E"/>
    <w:rsid w:val="00252D8D"/>
    <w:rsid w:val="002577BF"/>
    <w:rsid w:val="00257A93"/>
    <w:rsid w:val="002613E4"/>
    <w:rsid w:val="0026234B"/>
    <w:rsid w:val="002625B3"/>
    <w:rsid w:val="00263AAD"/>
    <w:rsid w:val="00265328"/>
    <w:rsid w:val="0026674D"/>
    <w:rsid w:val="00266784"/>
    <w:rsid w:val="00271E1D"/>
    <w:rsid w:val="00272FBF"/>
    <w:rsid w:val="0027409B"/>
    <w:rsid w:val="0027461E"/>
    <w:rsid w:val="002748E7"/>
    <w:rsid w:val="00280FF7"/>
    <w:rsid w:val="00281255"/>
    <w:rsid w:val="002851FD"/>
    <w:rsid w:val="00287421"/>
    <w:rsid w:val="0029126C"/>
    <w:rsid w:val="00291553"/>
    <w:rsid w:val="002939A6"/>
    <w:rsid w:val="00294763"/>
    <w:rsid w:val="002A28F1"/>
    <w:rsid w:val="002A5771"/>
    <w:rsid w:val="002B13E2"/>
    <w:rsid w:val="002B3B80"/>
    <w:rsid w:val="002B4041"/>
    <w:rsid w:val="002B47EF"/>
    <w:rsid w:val="002C07FB"/>
    <w:rsid w:val="002C0DC5"/>
    <w:rsid w:val="002C3651"/>
    <w:rsid w:val="002C37FD"/>
    <w:rsid w:val="002C54C7"/>
    <w:rsid w:val="002C6B33"/>
    <w:rsid w:val="002C6C16"/>
    <w:rsid w:val="002D1DB6"/>
    <w:rsid w:val="002D26F8"/>
    <w:rsid w:val="002D273A"/>
    <w:rsid w:val="002D3EFA"/>
    <w:rsid w:val="002D593F"/>
    <w:rsid w:val="002D6010"/>
    <w:rsid w:val="002D737B"/>
    <w:rsid w:val="002E185A"/>
    <w:rsid w:val="002E2198"/>
    <w:rsid w:val="002E2C53"/>
    <w:rsid w:val="002E3A0E"/>
    <w:rsid w:val="002E7833"/>
    <w:rsid w:val="002F1796"/>
    <w:rsid w:val="002F1F08"/>
    <w:rsid w:val="002F49BD"/>
    <w:rsid w:val="002F5149"/>
    <w:rsid w:val="002F5A68"/>
    <w:rsid w:val="00300DD5"/>
    <w:rsid w:val="00303D7F"/>
    <w:rsid w:val="0030691A"/>
    <w:rsid w:val="003101A7"/>
    <w:rsid w:val="00312D79"/>
    <w:rsid w:val="00313CA4"/>
    <w:rsid w:val="00314815"/>
    <w:rsid w:val="00314A0B"/>
    <w:rsid w:val="00316154"/>
    <w:rsid w:val="003175A9"/>
    <w:rsid w:val="00320C3C"/>
    <w:rsid w:val="00323C8C"/>
    <w:rsid w:val="00325F2E"/>
    <w:rsid w:val="00333889"/>
    <w:rsid w:val="003365A8"/>
    <w:rsid w:val="003373BC"/>
    <w:rsid w:val="00337C1F"/>
    <w:rsid w:val="00340A9C"/>
    <w:rsid w:val="003410C8"/>
    <w:rsid w:val="0034146E"/>
    <w:rsid w:val="003418CC"/>
    <w:rsid w:val="00344282"/>
    <w:rsid w:val="00345C0F"/>
    <w:rsid w:val="0034742B"/>
    <w:rsid w:val="00347D5A"/>
    <w:rsid w:val="0035326A"/>
    <w:rsid w:val="00357EAC"/>
    <w:rsid w:val="00361F90"/>
    <w:rsid w:val="00364963"/>
    <w:rsid w:val="00365A41"/>
    <w:rsid w:val="00375C89"/>
    <w:rsid w:val="00380519"/>
    <w:rsid w:val="003806A0"/>
    <w:rsid w:val="00382D1C"/>
    <w:rsid w:val="00383330"/>
    <w:rsid w:val="00383952"/>
    <w:rsid w:val="0038397C"/>
    <w:rsid w:val="00383C38"/>
    <w:rsid w:val="00391185"/>
    <w:rsid w:val="00391981"/>
    <w:rsid w:val="003929C9"/>
    <w:rsid w:val="003A121A"/>
    <w:rsid w:val="003A313E"/>
    <w:rsid w:val="003A6137"/>
    <w:rsid w:val="003A69A4"/>
    <w:rsid w:val="003A7E16"/>
    <w:rsid w:val="003B0CBE"/>
    <w:rsid w:val="003B390D"/>
    <w:rsid w:val="003B4CD3"/>
    <w:rsid w:val="003B506D"/>
    <w:rsid w:val="003B7D63"/>
    <w:rsid w:val="003B7F94"/>
    <w:rsid w:val="003C074E"/>
    <w:rsid w:val="003C131E"/>
    <w:rsid w:val="003C2527"/>
    <w:rsid w:val="003C36C3"/>
    <w:rsid w:val="003C3C64"/>
    <w:rsid w:val="003C3FAF"/>
    <w:rsid w:val="003C4B76"/>
    <w:rsid w:val="003C5F59"/>
    <w:rsid w:val="003C6C45"/>
    <w:rsid w:val="003D33A8"/>
    <w:rsid w:val="003E1161"/>
    <w:rsid w:val="003E14C2"/>
    <w:rsid w:val="003E265D"/>
    <w:rsid w:val="003E317F"/>
    <w:rsid w:val="003E3B22"/>
    <w:rsid w:val="003E3C50"/>
    <w:rsid w:val="003E562F"/>
    <w:rsid w:val="003F32EE"/>
    <w:rsid w:val="003F4E45"/>
    <w:rsid w:val="003F7D3D"/>
    <w:rsid w:val="00402589"/>
    <w:rsid w:val="00403CA4"/>
    <w:rsid w:val="00403F18"/>
    <w:rsid w:val="00407B78"/>
    <w:rsid w:val="00413695"/>
    <w:rsid w:val="00413E87"/>
    <w:rsid w:val="00414F32"/>
    <w:rsid w:val="00415102"/>
    <w:rsid w:val="0041558F"/>
    <w:rsid w:val="00416A61"/>
    <w:rsid w:val="00420189"/>
    <w:rsid w:val="0042095B"/>
    <w:rsid w:val="0042311D"/>
    <w:rsid w:val="004233A1"/>
    <w:rsid w:val="004237EC"/>
    <w:rsid w:val="00426130"/>
    <w:rsid w:val="004331B5"/>
    <w:rsid w:val="0043403F"/>
    <w:rsid w:val="004341F5"/>
    <w:rsid w:val="0044055D"/>
    <w:rsid w:val="00441079"/>
    <w:rsid w:val="00442FF5"/>
    <w:rsid w:val="00445B59"/>
    <w:rsid w:val="00446A68"/>
    <w:rsid w:val="004478C0"/>
    <w:rsid w:val="00451703"/>
    <w:rsid w:val="00454FB3"/>
    <w:rsid w:val="0046088C"/>
    <w:rsid w:val="00463399"/>
    <w:rsid w:val="004642F2"/>
    <w:rsid w:val="004654B7"/>
    <w:rsid w:val="004656BB"/>
    <w:rsid w:val="00465D56"/>
    <w:rsid w:val="00467B68"/>
    <w:rsid w:val="004704C3"/>
    <w:rsid w:val="00473A54"/>
    <w:rsid w:val="00475748"/>
    <w:rsid w:val="0048121C"/>
    <w:rsid w:val="0048274C"/>
    <w:rsid w:val="00483AE6"/>
    <w:rsid w:val="00484FEF"/>
    <w:rsid w:val="00487358"/>
    <w:rsid w:val="00491AEA"/>
    <w:rsid w:val="00494080"/>
    <w:rsid w:val="004A1B27"/>
    <w:rsid w:val="004A328D"/>
    <w:rsid w:val="004A3872"/>
    <w:rsid w:val="004A5F76"/>
    <w:rsid w:val="004B02ED"/>
    <w:rsid w:val="004B339A"/>
    <w:rsid w:val="004B43E6"/>
    <w:rsid w:val="004B6D19"/>
    <w:rsid w:val="004B6F85"/>
    <w:rsid w:val="004C275C"/>
    <w:rsid w:val="004C4C89"/>
    <w:rsid w:val="004D20D7"/>
    <w:rsid w:val="004D3EDB"/>
    <w:rsid w:val="004E0A6A"/>
    <w:rsid w:val="004E2FB0"/>
    <w:rsid w:val="004E3D70"/>
    <w:rsid w:val="004E5FED"/>
    <w:rsid w:val="004F5375"/>
    <w:rsid w:val="004F6977"/>
    <w:rsid w:val="004F76B6"/>
    <w:rsid w:val="00502DDD"/>
    <w:rsid w:val="005047F1"/>
    <w:rsid w:val="00505F4B"/>
    <w:rsid w:val="00510DAD"/>
    <w:rsid w:val="00514C2F"/>
    <w:rsid w:val="00514C6C"/>
    <w:rsid w:val="0051540C"/>
    <w:rsid w:val="00517450"/>
    <w:rsid w:val="00522F69"/>
    <w:rsid w:val="00524E35"/>
    <w:rsid w:val="00525341"/>
    <w:rsid w:val="00526F05"/>
    <w:rsid w:val="00531500"/>
    <w:rsid w:val="005315CA"/>
    <w:rsid w:val="00531EDC"/>
    <w:rsid w:val="00531FDA"/>
    <w:rsid w:val="00532537"/>
    <w:rsid w:val="0053287C"/>
    <w:rsid w:val="00533079"/>
    <w:rsid w:val="005350C1"/>
    <w:rsid w:val="00536A8D"/>
    <w:rsid w:val="005372BF"/>
    <w:rsid w:val="00540D88"/>
    <w:rsid w:val="0054515D"/>
    <w:rsid w:val="00545E31"/>
    <w:rsid w:val="00553471"/>
    <w:rsid w:val="005542D9"/>
    <w:rsid w:val="005560A2"/>
    <w:rsid w:val="00556454"/>
    <w:rsid w:val="00556CD1"/>
    <w:rsid w:val="00565BD4"/>
    <w:rsid w:val="0056699D"/>
    <w:rsid w:val="00571847"/>
    <w:rsid w:val="00571C5E"/>
    <w:rsid w:val="005723AF"/>
    <w:rsid w:val="005738EE"/>
    <w:rsid w:val="00574DA1"/>
    <w:rsid w:val="00575726"/>
    <w:rsid w:val="005763C9"/>
    <w:rsid w:val="0057700F"/>
    <w:rsid w:val="00577D51"/>
    <w:rsid w:val="00581724"/>
    <w:rsid w:val="0058429C"/>
    <w:rsid w:val="0058516D"/>
    <w:rsid w:val="005876BD"/>
    <w:rsid w:val="005877FF"/>
    <w:rsid w:val="00591AB0"/>
    <w:rsid w:val="0059412A"/>
    <w:rsid w:val="00596052"/>
    <w:rsid w:val="0059684A"/>
    <w:rsid w:val="005A2260"/>
    <w:rsid w:val="005A2792"/>
    <w:rsid w:val="005A78F8"/>
    <w:rsid w:val="005B09C3"/>
    <w:rsid w:val="005B2FDC"/>
    <w:rsid w:val="005B77CE"/>
    <w:rsid w:val="005B7DE4"/>
    <w:rsid w:val="005C08D5"/>
    <w:rsid w:val="005C36B0"/>
    <w:rsid w:val="005C443A"/>
    <w:rsid w:val="005C48BB"/>
    <w:rsid w:val="005D3097"/>
    <w:rsid w:val="005D78E6"/>
    <w:rsid w:val="005D7FFC"/>
    <w:rsid w:val="005E1D5C"/>
    <w:rsid w:val="005E3029"/>
    <w:rsid w:val="005E4483"/>
    <w:rsid w:val="005E593A"/>
    <w:rsid w:val="005F1594"/>
    <w:rsid w:val="005F1C3C"/>
    <w:rsid w:val="005F4501"/>
    <w:rsid w:val="005F546A"/>
    <w:rsid w:val="005F587E"/>
    <w:rsid w:val="00600501"/>
    <w:rsid w:val="006019AB"/>
    <w:rsid w:val="00602B1D"/>
    <w:rsid w:val="006055FC"/>
    <w:rsid w:val="00612C44"/>
    <w:rsid w:val="00615F42"/>
    <w:rsid w:val="006166FA"/>
    <w:rsid w:val="00620867"/>
    <w:rsid w:val="006232D1"/>
    <w:rsid w:val="00624632"/>
    <w:rsid w:val="00624834"/>
    <w:rsid w:val="00626BB9"/>
    <w:rsid w:val="00626F2D"/>
    <w:rsid w:val="00630053"/>
    <w:rsid w:val="00630372"/>
    <w:rsid w:val="00632B16"/>
    <w:rsid w:val="0063362C"/>
    <w:rsid w:val="00635CA0"/>
    <w:rsid w:val="00640E19"/>
    <w:rsid w:val="00641EFB"/>
    <w:rsid w:val="00643383"/>
    <w:rsid w:val="00645E24"/>
    <w:rsid w:val="00646745"/>
    <w:rsid w:val="0065682B"/>
    <w:rsid w:val="00664BC0"/>
    <w:rsid w:val="006703FC"/>
    <w:rsid w:val="006747A4"/>
    <w:rsid w:val="00675BBA"/>
    <w:rsid w:val="006822F6"/>
    <w:rsid w:val="00682B7B"/>
    <w:rsid w:val="006845C7"/>
    <w:rsid w:val="00684F71"/>
    <w:rsid w:val="00685B21"/>
    <w:rsid w:val="00690136"/>
    <w:rsid w:val="00694BC4"/>
    <w:rsid w:val="006951D6"/>
    <w:rsid w:val="006967F6"/>
    <w:rsid w:val="006A1B0E"/>
    <w:rsid w:val="006A239B"/>
    <w:rsid w:val="006A37EA"/>
    <w:rsid w:val="006A4C63"/>
    <w:rsid w:val="006A510E"/>
    <w:rsid w:val="006A6C9E"/>
    <w:rsid w:val="006B07E8"/>
    <w:rsid w:val="006C10EE"/>
    <w:rsid w:val="006C3444"/>
    <w:rsid w:val="006C5B0F"/>
    <w:rsid w:val="006D079B"/>
    <w:rsid w:val="006D5207"/>
    <w:rsid w:val="006D6148"/>
    <w:rsid w:val="006D77A1"/>
    <w:rsid w:val="006E0484"/>
    <w:rsid w:val="006E0BDA"/>
    <w:rsid w:val="006E0D79"/>
    <w:rsid w:val="006E0EF9"/>
    <w:rsid w:val="006E5680"/>
    <w:rsid w:val="006E7324"/>
    <w:rsid w:val="006E79CC"/>
    <w:rsid w:val="006E7F02"/>
    <w:rsid w:val="006F2F9D"/>
    <w:rsid w:val="006F5B92"/>
    <w:rsid w:val="006F6744"/>
    <w:rsid w:val="006F7D0E"/>
    <w:rsid w:val="007044C2"/>
    <w:rsid w:val="00711F7A"/>
    <w:rsid w:val="00714F89"/>
    <w:rsid w:val="0071691D"/>
    <w:rsid w:val="00717C31"/>
    <w:rsid w:val="00717DAD"/>
    <w:rsid w:val="007211E5"/>
    <w:rsid w:val="0072366E"/>
    <w:rsid w:val="00726341"/>
    <w:rsid w:val="00727155"/>
    <w:rsid w:val="0072782A"/>
    <w:rsid w:val="00730A00"/>
    <w:rsid w:val="00732959"/>
    <w:rsid w:val="007356C7"/>
    <w:rsid w:val="00737348"/>
    <w:rsid w:val="007401B3"/>
    <w:rsid w:val="0074069F"/>
    <w:rsid w:val="00746357"/>
    <w:rsid w:val="00746DAF"/>
    <w:rsid w:val="00746ED5"/>
    <w:rsid w:val="00747C32"/>
    <w:rsid w:val="00750ACE"/>
    <w:rsid w:val="00751112"/>
    <w:rsid w:val="007512DC"/>
    <w:rsid w:val="00756BA7"/>
    <w:rsid w:val="0076017D"/>
    <w:rsid w:val="00760B7C"/>
    <w:rsid w:val="00761221"/>
    <w:rsid w:val="00762BAB"/>
    <w:rsid w:val="007637A8"/>
    <w:rsid w:val="007646B2"/>
    <w:rsid w:val="00764BC0"/>
    <w:rsid w:val="00764E29"/>
    <w:rsid w:val="00766340"/>
    <w:rsid w:val="00766EA3"/>
    <w:rsid w:val="007704C5"/>
    <w:rsid w:val="007710DE"/>
    <w:rsid w:val="00772C3F"/>
    <w:rsid w:val="007735D7"/>
    <w:rsid w:val="00773AEB"/>
    <w:rsid w:val="007749ED"/>
    <w:rsid w:val="00776B41"/>
    <w:rsid w:val="0078025C"/>
    <w:rsid w:val="00780587"/>
    <w:rsid w:val="00783A94"/>
    <w:rsid w:val="00785072"/>
    <w:rsid w:val="00787670"/>
    <w:rsid w:val="007879AE"/>
    <w:rsid w:val="00793022"/>
    <w:rsid w:val="0079397E"/>
    <w:rsid w:val="007942EE"/>
    <w:rsid w:val="00795616"/>
    <w:rsid w:val="00795DEB"/>
    <w:rsid w:val="007A0196"/>
    <w:rsid w:val="007A1A24"/>
    <w:rsid w:val="007A2F92"/>
    <w:rsid w:val="007A3B1B"/>
    <w:rsid w:val="007A4F46"/>
    <w:rsid w:val="007A7EF3"/>
    <w:rsid w:val="007B213A"/>
    <w:rsid w:val="007B43B4"/>
    <w:rsid w:val="007B7DD6"/>
    <w:rsid w:val="007C3591"/>
    <w:rsid w:val="007C399A"/>
    <w:rsid w:val="007C657A"/>
    <w:rsid w:val="007C6ED1"/>
    <w:rsid w:val="007C729E"/>
    <w:rsid w:val="007D07DD"/>
    <w:rsid w:val="007D1731"/>
    <w:rsid w:val="007D1D0D"/>
    <w:rsid w:val="007D2432"/>
    <w:rsid w:val="007D366A"/>
    <w:rsid w:val="007D69FF"/>
    <w:rsid w:val="007D732C"/>
    <w:rsid w:val="007E0F5B"/>
    <w:rsid w:val="007E1A2E"/>
    <w:rsid w:val="007E2274"/>
    <w:rsid w:val="007E7C0F"/>
    <w:rsid w:val="007F0952"/>
    <w:rsid w:val="007F1BB4"/>
    <w:rsid w:val="007F1FE8"/>
    <w:rsid w:val="007F42C4"/>
    <w:rsid w:val="007F596A"/>
    <w:rsid w:val="007F67F1"/>
    <w:rsid w:val="00800E46"/>
    <w:rsid w:val="0080194B"/>
    <w:rsid w:val="008037DE"/>
    <w:rsid w:val="00804032"/>
    <w:rsid w:val="0080458F"/>
    <w:rsid w:val="0080559B"/>
    <w:rsid w:val="008155DC"/>
    <w:rsid w:val="00816112"/>
    <w:rsid w:val="008163AF"/>
    <w:rsid w:val="00817F3D"/>
    <w:rsid w:val="008207BA"/>
    <w:rsid w:val="00821474"/>
    <w:rsid w:val="00823B1B"/>
    <w:rsid w:val="00824A94"/>
    <w:rsid w:val="00825048"/>
    <w:rsid w:val="0082668A"/>
    <w:rsid w:val="00830794"/>
    <w:rsid w:val="00832527"/>
    <w:rsid w:val="00832F79"/>
    <w:rsid w:val="008344B1"/>
    <w:rsid w:val="00834CAB"/>
    <w:rsid w:val="00835457"/>
    <w:rsid w:val="00835728"/>
    <w:rsid w:val="0084056D"/>
    <w:rsid w:val="00841758"/>
    <w:rsid w:val="00842C9F"/>
    <w:rsid w:val="00843FEC"/>
    <w:rsid w:val="00844559"/>
    <w:rsid w:val="00845060"/>
    <w:rsid w:val="008463D3"/>
    <w:rsid w:val="008464CA"/>
    <w:rsid w:val="0085339F"/>
    <w:rsid w:val="00854FB0"/>
    <w:rsid w:val="008619E1"/>
    <w:rsid w:val="00863223"/>
    <w:rsid w:val="00864BB0"/>
    <w:rsid w:val="00865926"/>
    <w:rsid w:val="00866F91"/>
    <w:rsid w:val="00872117"/>
    <w:rsid w:val="00873F87"/>
    <w:rsid w:val="0087430F"/>
    <w:rsid w:val="00876F75"/>
    <w:rsid w:val="00877B26"/>
    <w:rsid w:val="0088434C"/>
    <w:rsid w:val="008860D9"/>
    <w:rsid w:val="00887123"/>
    <w:rsid w:val="0089352F"/>
    <w:rsid w:val="00894629"/>
    <w:rsid w:val="008948C8"/>
    <w:rsid w:val="00894DCE"/>
    <w:rsid w:val="00894DFA"/>
    <w:rsid w:val="00896275"/>
    <w:rsid w:val="008A21A4"/>
    <w:rsid w:val="008A26D1"/>
    <w:rsid w:val="008A5B49"/>
    <w:rsid w:val="008A7D93"/>
    <w:rsid w:val="008B187A"/>
    <w:rsid w:val="008B2BF3"/>
    <w:rsid w:val="008B45EB"/>
    <w:rsid w:val="008B688E"/>
    <w:rsid w:val="008B69EF"/>
    <w:rsid w:val="008B6D5A"/>
    <w:rsid w:val="008B703B"/>
    <w:rsid w:val="008C00A1"/>
    <w:rsid w:val="008C288D"/>
    <w:rsid w:val="008C3579"/>
    <w:rsid w:val="008C3710"/>
    <w:rsid w:val="008C4225"/>
    <w:rsid w:val="008D07F4"/>
    <w:rsid w:val="008D20EF"/>
    <w:rsid w:val="008D4C4A"/>
    <w:rsid w:val="008E2359"/>
    <w:rsid w:val="008E373C"/>
    <w:rsid w:val="008E663D"/>
    <w:rsid w:val="008E6A1E"/>
    <w:rsid w:val="008E6EC9"/>
    <w:rsid w:val="008E70CD"/>
    <w:rsid w:val="008F1572"/>
    <w:rsid w:val="008F4C0A"/>
    <w:rsid w:val="008F4F08"/>
    <w:rsid w:val="008F54D4"/>
    <w:rsid w:val="008F5AA2"/>
    <w:rsid w:val="008F63C6"/>
    <w:rsid w:val="0090280F"/>
    <w:rsid w:val="00903093"/>
    <w:rsid w:val="00904581"/>
    <w:rsid w:val="00905A0C"/>
    <w:rsid w:val="00906B3E"/>
    <w:rsid w:val="0090741D"/>
    <w:rsid w:val="009075A8"/>
    <w:rsid w:val="00911BCE"/>
    <w:rsid w:val="00913A8B"/>
    <w:rsid w:val="00920098"/>
    <w:rsid w:val="009238E1"/>
    <w:rsid w:val="009243E1"/>
    <w:rsid w:val="00926E35"/>
    <w:rsid w:val="009323AC"/>
    <w:rsid w:val="00932661"/>
    <w:rsid w:val="00932CFE"/>
    <w:rsid w:val="009347E1"/>
    <w:rsid w:val="00937E89"/>
    <w:rsid w:val="00945CC1"/>
    <w:rsid w:val="00950C29"/>
    <w:rsid w:val="00951DFE"/>
    <w:rsid w:val="009547E8"/>
    <w:rsid w:val="00967C5B"/>
    <w:rsid w:val="00970FE4"/>
    <w:rsid w:val="00976D64"/>
    <w:rsid w:val="0097711E"/>
    <w:rsid w:val="009830D9"/>
    <w:rsid w:val="00985703"/>
    <w:rsid w:val="00986CD7"/>
    <w:rsid w:val="00986EAC"/>
    <w:rsid w:val="00987A1B"/>
    <w:rsid w:val="00990301"/>
    <w:rsid w:val="00993113"/>
    <w:rsid w:val="00997F3D"/>
    <w:rsid w:val="009A1AAE"/>
    <w:rsid w:val="009A4321"/>
    <w:rsid w:val="009A5730"/>
    <w:rsid w:val="009A680E"/>
    <w:rsid w:val="009A7005"/>
    <w:rsid w:val="009B2F8C"/>
    <w:rsid w:val="009B3189"/>
    <w:rsid w:val="009B6336"/>
    <w:rsid w:val="009C07F8"/>
    <w:rsid w:val="009C125C"/>
    <w:rsid w:val="009C3E30"/>
    <w:rsid w:val="009C5B89"/>
    <w:rsid w:val="009C668B"/>
    <w:rsid w:val="009D09E3"/>
    <w:rsid w:val="009D151C"/>
    <w:rsid w:val="009D7EF5"/>
    <w:rsid w:val="009E10D3"/>
    <w:rsid w:val="009E1190"/>
    <w:rsid w:val="009E1703"/>
    <w:rsid w:val="009E4840"/>
    <w:rsid w:val="009E5CEF"/>
    <w:rsid w:val="009E65F7"/>
    <w:rsid w:val="009E79D7"/>
    <w:rsid w:val="009F21B0"/>
    <w:rsid w:val="009F332A"/>
    <w:rsid w:val="009F4E74"/>
    <w:rsid w:val="009F7B29"/>
    <w:rsid w:val="009F7CF8"/>
    <w:rsid w:val="00A0452A"/>
    <w:rsid w:val="00A04A2B"/>
    <w:rsid w:val="00A058DF"/>
    <w:rsid w:val="00A0607C"/>
    <w:rsid w:val="00A067F6"/>
    <w:rsid w:val="00A07147"/>
    <w:rsid w:val="00A11001"/>
    <w:rsid w:val="00A13551"/>
    <w:rsid w:val="00A23734"/>
    <w:rsid w:val="00A276F5"/>
    <w:rsid w:val="00A318A5"/>
    <w:rsid w:val="00A4149E"/>
    <w:rsid w:val="00A42D65"/>
    <w:rsid w:val="00A44992"/>
    <w:rsid w:val="00A52191"/>
    <w:rsid w:val="00A53290"/>
    <w:rsid w:val="00A54DF3"/>
    <w:rsid w:val="00A57CCF"/>
    <w:rsid w:val="00A60048"/>
    <w:rsid w:val="00A60392"/>
    <w:rsid w:val="00A60B34"/>
    <w:rsid w:val="00A624E2"/>
    <w:rsid w:val="00A637EA"/>
    <w:rsid w:val="00A64B42"/>
    <w:rsid w:val="00A663C5"/>
    <w:rsid w:val="00A67479"/>
    <w:rsid w:val="00A71D1B"/>
    <w:rsid w:val="00A72282"/>
    <w:rsid w:val="00A72E7B"/>
    <w:rsid w:val="00A74843"/>
    <w:rsid w:val="00A7548D"/>
    <w:rsid w:val="00A76C34"/>
    <w:rsid w:val="00A77250"/>
    <w:rsid w:val="00A77F07"/>
    <w:rsid w:val="00A802DF"/>
    <w:rsid w:val="00A81DBD"/>
    <w:rsid w:val="00A84A03"/>
    <w:rsid w:val="00A8733B"/>
    <w:rsid w:val="00A879CA"/>
    <w:rsid w:val="00A9155B"/>
    <w:rsid w:val="00A9197A"/>
    <w:rsid w:val="00A9513C"/>
    <w:rsid w:val="00A95A59"/>
    <w:rsid w:val="00A962C2"/>
    <w:rsid w:val="00A96B65"/>
    <w:rsid w:val="00A97886"/>
    <w:rsid w:val="00A978BD"/>
    <w:rsid w:val="00AA34C8"/>
    <w:rsid w:val="00AA4829"/>
    <w:rsid w:val="00AA4F0A"/>
    <w:rsid w:val="00AA6384"/>
    <w:rsid w:val="00AA67FB"/>
    <w:rsid w:val="00AA6860"/>
    <w:rsid w:val="00AA6FDD"/>
    <w:rsid w:val="00AA785E"/>
    <w:rsid w:val="00AB0980"/>
    <w:rsid w:val="00AB2B5C"/>
    <w:rsid w:val="00AB4172"/>
    <w:rsid w:val="00AB4D48"/>
    <w:rsid w:val="00AB58A0"/>
    <w:rsid w:val="00AB742F"/>
    <w:rsid w:val="00AB779E"/>
    <w:rsid w:val="00AC4EA7"/>
    <w:rsid w:val="00AC6361"/>
    <w:rsid w:val="00AC6DD6"/>
    <w:rsid w:val="00AD3A95"/>
    <w:rsid w:val="00AD3BD2"/>
    <w:rsid w:val="00AD3DE5"/>
    <w:rsid w:val="00AD7B46"/>
    <w:rsid w:val="00AD7C5F"/>
    <w:rsid w:val="00AE0122"/>
    <w:rsid w:val="00AE3AD4"/>
    <w:rsid w:val="00AE4D15"/>
    <w:rsid w:val="00AE4E16"/>
    <w:rsid w:val="00AE6D6E"/>
    <w:rsid w:val="00AF24BB"/>
    <w:rsid w:val="00AF3005"/>
    <w:rsid w:val="00AF4037"/>
    <w:rsid w:val="00AF596F"/>
    <w:rsid w:val="00B01E0D"/>
    <w:rsid w:val="00B02CB3"/>
    <w:rsid w:val="00B04C17"/>
    <w:rsid w:val="00B05EFC"/>
    <w:rsid w:val="00B10572"/>
    <w:rsid w:val="00B120BA"/>
    <w:rsid w:val="00B14D75"/>
    <w:rsid w:val="00B14F4F"/>
    <w:rsid w:val="00B15D74"/>
    <w:rsid w:val="00B16297"/>
    <w:rsid w:val="00B22E67"/>
    <w:rsid w:val="00B25532"/>
    <w:rsid w:val="00B27601"/>
    <w:rsid w:val="00B30CBD"/>
    <w:rsid w:val="00B329E0"/>
    <w:rsid w:val="00B3300B"/>
    <w:rsid w:val="00B339E9"/>
    <w:rsid w:val="00B340E7"/>
    <w:rsid w:val="00B34397"/>
    <w:rsid w:val="00B366A9"/>
    <w:rsid w:val="00B4754E"/>
    <w:rsid w:val="00B52F52"/>
    <w:rsid w:val="00B60B6B"/>
    <w:rsid w:val="00B61A33"/>
    <w:rsid w:val="00B6220F"/>
    <w:rsid w:val="00B74279"/>
    <w:rsid w:val="00B7469E"/>
    <w:rsid w:val="00B77B6F"/>
    <w:rsid w:val="00B81322"/>
    <w:rsid w:val="00B81D44"/>
    <w:rsid w:val="00B9579D"/>
    <w:rsid w:val="00BA1C7D"/>
    <w:rsid w:val="00BA1CD5"/>
    <w:rsid w:val="00BA503C"/>
    <w:rsid w:val="00BA5299"/>
    <w:rsid w:val="00BA5961"/>
    <w:rsid w:val="00BA692A"/>
    <w:rsid w:val="00BA7A5B"/>
    <w:rsid w:val="00BA7C56"/>
    <w:rsid w:val="00BB6054"/>
    <w:rsid w:val="00BB77ED"/>
    <w:rsid w:val="00BC1C5D"/>
    <w:rsid w:val="00BC3795"/>
    <w:rsid w:val="00BC75D0"/>
    <w:rsid w:val="00BC7C64"/>
    <w:rsid w:val="00BD066D"/>
    <w:rsid w:val="00BD217A"/>
    <w:rsid w:val="00BD7D3F"/>
    <w:rsid w:val="00BE1DE1"/>
    <w:rsid w:val="00BE228E"/>
    <w:rsid w:val="00BE252A"/>
    <w:rsid w:val="00BE3871"/>
    <w:rsid w:val="00BE54BC"/>
    <w:rsid w:val="00BF0223"/>
    <w:rsid w:val="00BF1282"/>
    <w:rsid w:val="00BF4E19"/>
    <w:rsid w:val="00BF739B"/>
    <w:rsid w:val="00BF7B9F"/>
    <w:rsid w:val="00C01698"/>
    <w:rsid w:val="00C02748"/>
    <w:rsid w:val="00C07792"/>
    <w:rsid w:val="00C12624"/>
    <w:rsid w:val="00C13720"/>
    <w:rsid w:val="00C1491D"/>
    <w:rsid w:val="00C17780"/>
    <w:rsid w:val="00C17D0A"/>
    <w:rsid w:val="00C22E5E"/>
    <w:rsid w:val="00C233B0"/>
    <w:rsid w:val="00C249CE"/>
    <w:rsid w:val="00C2513C"/>
    <w:rsid w:val="00C26AE2"/>
    <w:rsid w:val="00C273C8"/>
    <w:rsid w:val="00C303DC"/>
    <w:rsid w:val="00C34C7E"/>
    <w:rsid w:val="00C3572B"/>
    <w:rsid w:val="00C357BA"/>
    <w:rsid w:val="00C35BCF"/>
    <w:rsid w:val="00C361D7"/>
    <w:rsid w:val="00C37C97"/>
    <w:rsid w:val="00C40730"/>
    <w:rsid w:val="00C40F36"/>
    <w:rsid w:val="00C44FD5"/>
    <w:rsid w:val="00C45A0D"/>
    <w:rsid w:val="00C4635B"/>
    <w:rsid w:val="00C47A6A"/>
    <w:rsid w:val="00C50D12"/>
    <w:rsid w:val="00C50DED"/>
    <w:rsid w:val="00C510DD"/>
    <w:rsid w:val="00C52E83"/>
    <w:rsid w:val="00C54F55"/>
    <w:rsid w:val="00C57271"/>
    <w:rsid w:val="00C63136"/>
    <w:rsid w:val="00C632E4"/>
    <w:rsid w:val="00C63D68"/>
    <w:rsid w:val="00C6405B"/>
    <w:rsid w:val="00C64AC1"/>
    <w:rsid w:val="00C6552B"/>
    <w:rsid w:val="00C66CD2"/>
    <w:rsid w:val="00C7148B"/>
    <w:rsid w:val="00C72C12"/>
    <w:rsid w:val="00C743F1"/>
    <w:rsid w:val="00C746ED"/>
    <w:rsid w:val="00C74CEF"/>
    <w:rsid w:val="00C80DCE"/>
    <w:rsid w:val="00C85150"/>
    <w:rsid w:val="00C86731"/>
    <w:rsid w:val="00C91E9A"/>
    <w:rsid w:val="00C9582C"/>
    <w:rsid w:val="00C95B44"/>
    <w:rsid w:val="00C95B7C"/>
    <w:rsid w:val="00C96572"/>
    <w:rsid w:val="00C96F6C"/>
    <w:rsid w:val="00CA0FA0"/>
    <w:rsid w:val="00CA1205"/>
    <w:rsid w:val="00CA21DF"/>
    <w:rsid w:val="00CA495F"/>
    <w:rsid w:val="00CA59C3"/>
    <w:rsid w:val="00CA6112"/>
    <w:rsid w:val="00CB1335"/>
    <w:rsid w:val="00CB204D"/>
    <w:rsid w:val="00CB6181"/>
    <w:rsid w:val="00CD22DA"/>
    <w:rsid w:val="00CD37F8"/>
    <w:rsid w:val="00CD3A0D"/>
    <w:rsid w:val="00CD3C8E"/>
    <w:rsid w:val="00CE285F"/>
    <w:rsid w:val="00CE36D5"/>
    <w:rsid w:val="00CE4736"/>
    <w:rsid w:val="00CE680D"/>
    <w:rsid w:val="00CF4628"/>
    <w:rsid w:val="00CF4A2E"/>
    <w:rsid w:val="00CF7B7F"/>
    <w:rsid w:val="00D00089"/>
    <w:rsid w:val="00D00935"/>
    <w:rsid w:val="00D02ED2"/>
    <w:rsid w:val="00D03F10"/>
    <w:rsid w:val="00D0532B"/>
    <w:rsid w:val="00D05CA4"/>
    <w:rsid w:val="00D106AE"/>
    <w:rsid w:val="00D12836"/>
    <w:rsid w:val="00D14739"/>
    <w:rsid w:val="00D204A2"/>
    <w:rsid w:val="00D23806"/>
    <w:rsid w:val="00D264CD"/>
    <w:rsid w:val="00D301FD"/>
    <w:rsid w:val="00D3076B"/>
    <w:rsid w:val="00D40953"/>
    <w:rsid w:val="00D40BFF"/>
    <w:rsid w:val="00D54DFD"/>
    <w:rsid w:val="00D57644"/>
    <w:rsid w:val="00D625C0"/>
    <w:rsid w:val="00D660D3"/>
    <w:rsid w:val="00D72F9F"/>
    <w:rsid w:val="00D752A1"/>
    <w:rsid w:val="00D77AEA"/>
    <w:rsid w:val="00D80FBD"/>
    <w:rsid w:val="00D82E21"/>
    <w:rsid w:val="00D838B1"/>
    <w:rsid w:val="00D85517"/>
    <w:rsid w:val="00D85C5B"/>
    <w:rsid w:val="00D95C8D"/>
    <w:rsid w:val="00D95E09"/>
    <w:rsid w:val="00D97DB0"/>
    <w:rsid w:val="00DA17C5"/>
    <w:rsid w:val="00DA646E"/>
    <w:rsid w:val="00DA72AF"/>
    <w:rsid w:val="00DB63EA"/>
    <w:rsid w:val="00DB6E17"/>
    <w:rsid w:val="00DC4E36"/>
    <w:rsid w:val="00DD0510"/>
    <w:rsid w:val="00DD233E"/>
    <w:rsid w:val="00DD3238"/>
    <w:rsid w:val="00DD574F"/>
    <w:rsid w:val="00DE04D1"/>
    <w:rsid w:val="00DE08B7"/>
    <w:rsid w:val="00DE0E34"/>
    <w:rsid w:val="00DE1671"/>
    <w:rsid w:val="00DE2779"/>
    <w:rsid w:val="00DF39FE"/>
    <w:rsid w:val="00E00163"/>
    <w:rsid w:val="00E01409"/>
    <w:rsid w:val="00E0171E"/>
    <w:rsid w:val="00E01796"/>
    <w:rsid w:val="00E04114"/>
    <w:rsid w:val="00E06B00"/>
    <w:rsid w:val="00E07A1C"/>
    <w:rsid w:val="00E07E7D"/>
    <w:rsid w:val="00E11CA6"/>
    <w:rsid w:val="00E12167"/>
    <w:rsid w:val="00E1302A"/>
    <w:rsid w:val="00E13E96"/>
    <w:rsid w:val="00E14565"/>
    <w:rsid w:val="00E20587"/>
    <w:rsid w:val="00E20612"/>
    <w:rsid w:val="00E23CD9"/>
    <w:rsid w:val="00E25BCE"/>
    <w:rsid w:val="00E32C15"/>
    <w:rsid w:val="00E32D74"/>
    <w:rsid w:val="00E357A1"/>
    <w:rsid w:val="00E35F0F"/>
    <w:rsid w:val="00E3613F"/>
    <w:rsid w:val="00E40EC8"/>
    <w:rsid w:val="00E43BFB"/>
    <w:rsid w:val="00E43C39"/>
    <w:rsid w:val="00E4551E"/>
    <w:rsid w:val="00E4624D"/>
    <w:rsid w:val="00E462BF"/>
    <w:rsid w:val="00E466CE"/>
    <w:rsid w:val="00E524B7"/>
    <w:rsid w:val="00E52E4D"/>
    <w:rsid w:val="00E553D7"/>
    <w:rsid w:val="00E56680"/>
    <w:rsid w:val="00E623F7"/>
    <w:rsid w:val="00E636D7"/>
    <w:rsid w:val="00E63C8A"/>
    <w:rsid w:val="00E66926"/>
    <w:rsid w:val="00E705EA"/>
    <w:rsid w:val="00E7323C"/>
    <w:rsid w:val="00E73F64"/>
    <w:rsid w:val="00E74428"/>
    <w:rsid w:val="00E758ED"/>
    <w:rsid w:val="00E76B67"/>
    <w:rsid w:val="00E80113"/>
    <w:rsid w:val="00E801B9"/>
    <w:rsid w:val="00E81FB0"/>
    <w:rsid w:val="00E82E18"/>
    <w:rsid w:val="00E85ED9"/>
    <w:rsid w:val="00E87A4F"/>
    <w:rsid w:val="00E9555B"/>
    <w:rsid w:val="00E96D7A"/>
    <w:rsid w:val="00E9735F"/>
    <w:rsid w:val="00E97E29"/>
    <w:rsid w:val="00EA0A18"/>
    <w:rsid w:val="00EA1855"/>
    <w:rsid w:val="00EA2220"/>
    <w:rsid w:val="00EA5A55"/>
    <w:rsid w:val="00EB39A3"/>
    <w:rsid w:val="00EB3E6F"/>
    <w:rsid w:val="00EB4D6D"/>
    <w:rsid w:val="00EC04B1"/>
    <w:rsid w:val="00EC2E23"/>
    <w:rsid w:val="00EC4BCE"/>
    <w:rsid w:val="00EC520C"/>
    <w:rsid w:val="00ED28F2"/>
    <w:rsid w:val="00ED2E61"/>
    <w:rsid w:val="00ED3C95"/>
    <w:rsid w:val="00ED5560"/>
    <w:rsid w:val="00ED65C5"/>
    <w:rsid w:val="00ED6D22"/>
    <w:rsid w:val="00ED714F"/>
    <w:rsid w:val="00EE1B8F"/>
    <w:rsid w:val="00EE2020"/>
    <w:rsid w:val="00EF18EB"/>
    <w:rsid w:val="00EF4749"/>
    <w:rsid w:val="00EF5FDE"/>
    <w:rsid w:val="00EF6962"/>
    <w:rsid w:val="00F02FEB"/>
    <w:rsid w:val="00F07D7D"/>
    <w:rsid w:val="00F1142E"/>
    <w:rsid w:val="00F11EED"/>
    <w:rsid w:val="00F12DC2"/>
    <w:rsid w:val="00F13794"/>
    <w:rsid w:val="00F13898"/>
    <w:rsid w:val="00F152DF"/>
    <w:rsid w:val="00F15FEB"/>
    <w:rsid w:val="00F21880"/>
    <w:rsid w:val="00F24E95"/>
    <w:rsid w:val="00F25629"/>
    <w:rsid w:val="00F2758C"/>
    <w:rsid w:val="00F30D67"/>
    <w:rsid w:val="00F31166"/>
    <w:rsid w:val="00F32D23"/>
    <w:rsid w:val="00F37C56"/>
    <w:rsid w:val="00F37EA3"/>
    <w:rsid w:val="00F40FFD"/>
    <w:rsid w:val="00F415C8"/>
    <w:rsid w:val="00F43765"/>
    <w:rsid w:val="00F47ED2"/>
    <w:rsid w:val="00F61893"/>
    <w:rsid w:val="00F62624"/>
    <w:rsid w:val="00F630B7"/>
    <w:rsid w:val="00F631D3"/>
    <w:rsid w:val="00F66F64"/>
    <w:rsid w:val="00F70245"/>
    <w:rsid w:val="00F71ED3"/>
    <w:rsid w:val="00F749A4"/>
    <w:rsid w:val="00F8224F"/>
    <w:rsid w:val="00F8311D"/>
    <w:rsid w:val="00F84A10"/>
    <w:rsid w:val="00F85FF7"/>
    <w:rsid w:val="00F86375"/>
    <w:rsid w:val="00F869E5"/>
    <w:rsid w:val="00F902B8"/>
    <w:rsid w:val="00F904E0"/>
    <w:rsid w:val="00F9274E"/>
    <w:rsid w:val="00F941E3"/>
    <w:rsid w:val="00F9482C"/>
    <w:rsid w:val="00F95CEE"/>
    <w:rsid w:val="00F961D5"/>
    <w:rsid w:val="00FA25F9"/>
    <w:rsid w:val="00FA3A75"/>
    <w:rsid w:val="00FA5222"/>
    <w:rsid w:val="00FA5FC5"/>
    <w:rsid w:val="00FA762D"/>
    <w:rsid w:val="00FB0476"/>
    <w:rsid w:val="00FB2433"/>
    <w:rsid w:val="00FB2DA3"/>
    <w:rsid w:val="00FB7E56"/>
    <w:rsid w:val="00FC26A1"/>
    <w:rsid w:val="00FC66A2"/>
    <w:rsid w:val="00FC6C3B"/>
    <w:rsid w:val="00FC6EE3"/>
    <w:rsid w:val="00FC7A36"/>
    <w:rsid w:val="00FD25C8"/>
    <w:rsid w:val="00FD2834"/>
    <w:rsid w:val="00FD4AD4"/>
    <w:rsid w:val="00FD5ACF"/>
    <w:rsid w:val="00FD66F1"/>
    <w:rsid w:val="00FE1D33"/>
    <w:rsid w:val="00FE53C7"/>
    <w:rsid w:val="00FE6B4D"/>
    <w:rsid w:val="00FF1D5D"/>
    <w:rsid w:val="00FF6388"/>
    <w:rsid w:val="00FF6470"/>
    <w:rsid w:val="00FF6D2C"/>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33191"/>
  <w15:docId w15:val="{C45A4FB1-6B98-4CAF-B089-7C950FA1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ft Char Ch"/>
    <w:basedOn w:val="Normal"/>
    <w:link w:val="FootnoteTextChar"/>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 w:type="character" w:customStyle="1" w:styleId="FootnoteTextChar2">
    <w:name w:val="Footnote Text Char2"/>
    <w:aliases w:val="Footnote Text1 Char Char,Footnote Text Char Ch Char,Footnote Text1 Char1 Char,Footnote Text Char Ch1 Char,Footnote Text Char2 Char Char,Footnote Text Char Char1 Char Char,ft Char1,ft Char Char1"/>
    <w:semiHidden/>
    <w:locked/>
    <w:rsid w:val="002851FD"/>
  </w:style>
  <w:style w:type="character" w:styleId="UnresolvedMention">
    <w:name w:val="Unresolved Mention"/>
    <w:basedOn w:val="DefaultParagraphFont"/>
    <w:uiPriority w:val="99"/>
    <w:semiHidden/>
    <w:unhideWhenUsed/>
    <w:rsid w:val="00CA1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0468">
      <w:bodyDiv w:val="1"/>
      <w:marLeft w:val="0"/>
      <w:marRight w:val="0"/>
      <w:marTop w:val="0"/>
      <w:marBottom w:val="0"/>
      <w:divBdr>
        <w:top w:val="none" w:sz="0" w:space="0" w:color="auto"/>
        <w:left w:val="none" w:sz="0" w:space="0" w:color="auto"/>
        <w:bottom w:val="none" w:sz="0" w:space="0" w:color="auto"/>
        <w:right w:val="none" w:sz="0" w:space="0" w:color="auto"/>
      </w:divBdr>
    </w:div>
    <w:div w:id="225843545">
      <w:bodyDiv w:val="1"/>
      <w:marLeft w:val="0"/>
      <w:marRight w:val="0"/>
      <w:marTop w:val="0"/>
      <w:marBottom w:val="0"/>
      <w:divBdr>
        <w:top w:val="none" w:sz="0" w:space="0" w:color="auto"/>
        <w:left w:val="none" w:sz="0" w:space="0" w:color="auto"/>
        <w:bottom w:val="none" w:sz="0" w:space="0" w:color="auto"/>
        <w:right w:val="none" w:sz="0" w:space="0" w:color="auto"/>
      </w:divBdr>
    </w:div>
    <w:div w:id="255287646">
      <w:bodyDiv w:val="1"/>
      <w:marLeft w:val="0"/>
      <w:marRight w:val="0"/>
      <w:marTop w:val="0"/>
      <w:marBottom w:val="0"/>
      <w:divBdr>
        <w:top w:val="none" w:sz="0" w:space="0" w:color="auto"/>
        <w:left w:val="none" w:sz="0" w:space="0" w:color="auto"/>
        <w:bottom w:val="none" w:sz="0" w:space="0" w:color="auto"/>
        <w:right w:val="none" w:sz="0" w:space="0" w:color="auto"/>
      </w:divBdr>
    </w:div>
    <w:div w:id="421993725">
      <w:bodyDiv w:val="1"/>
      <w:marLeft w:val="0"/>
      <w:marRight w:val="0"/>
      <w:marTop w:val="0"/>
      <w:marBottom w:val="0"/>
      <w:divBdr>
        <w:top w:val="none" w:sz="0" w:space="0" w:color="auto"/>
        <w:left w:val="none" w:sz="0" w:space="0" w:color="auto"/>
        <w:bottom w:val="none" w:sz="0" w:space="0" w:color="auto"/>
        <w:right w:val="none" w:sz="0" w:space="0" w:color="auto"/>
      </w:divBdr>
    </w:div>
    <w:div w:id="445851296">
      <w:bodyDiv w:val="1"/>
      <w:marLeft w:val="0"/>
      <w:marRight w:val="0"/>
      <w:marTop w:val="0"/>
      <w:marBottom w:val="0"/>
      <w:divBdr>
        <w:top w:val="none" w:sz="0" w:space="0" w:color="auto"/>
        <w:left w:val="none" w:sz="0" w:space="0" w:color="auto"/>
        <w:bottom w:val="none" w:sz="0" w:space="0" w:color="auto"/>
        <w:right w:val="none" w:sz="0" w:space="0" w:color="auto"/>
      </w:divBdr>
    </w:div>
    <w:div w:id="479855767">
      <w:bodyDiv w:val="1"/>
      <w:marLeft w:val="0"/>
      <w:marRight w:val="0"/>
      <w:marTop w:val="0"/>
      <w:marBottom w:val="0"/>
      <w:divBdr>
        <w:top w:val="none" w:sz="0" w:space="0" w:color="auto"/>
        <w:left w:val="none" w:sz="0" w:space="0" w:color="auto"/>
        <w:bottom w:val="none" w:sz="0" w:space="0" w:color="auto"/>
        <w:right w:val="none" w:sz="0" w:space="0" w:color="auto"/>
      </w:divBdr>
    </w:div>
    <w:div w:id="617564368">
      <w:bodyDiv w:val="1"/>
      <w:marLeft w:val="0"/>
      <w:marRight w:val="0"/>
      <w:marTop w:val="0"/>
      <w:marBottom w:val="0"/>
      <w:divBdr>
        <w:top w:val="none" w:sz="0" w:space="0" w:color="auto"/>
        <w:left w:val="none" w:sz="0" w:space="0" w:color="auto"/>
        <w:bottom w:val="none" w:sz="0" w:space="0" w:color="auto"/>
        <w:right w:val="none" w:sz="0" w:space="0" w:color="auto"/>
      </w:divBdr>
    </w:div>
    <w:div w:id="711656887">
      <w:bodyDiv w:val="1"/>
      <w:marLeft w:val="0"/>
      <w:marRight w:val="0"/>
      <w:marTop w:val="0"/>
      <w:marBottom w:val="0"/>
      <w:divBdr>
        <w:top w:val="none" w:sz="0" w:space="0" w:color="auto"/>
        <w:left w:val="none" w:sz="0" w:space="0" w:color="auto"/>
        <w:bottom w:val="none" w:sz="0" w:space="0" w:color="auto"/>
        <w:right w:val="none" w:sz="0" w:space="0" w:color="auto"/>
      </w:divBdr>
    </w:div>
    <w:div w:id="727647904">
      <w:bodyDiv w:val="1"/>
      <w:marLeft w:val="0"/>
      <w:marRight w:val="0"/>
      <w:marTop w:val="0"/>
      <w:marBottom w:val="0"/>
      <w:divBdr>
        <w:top w:val="none" w:sz="0" w:space="0" w:color="auto"/>
        <w:left w:val="none" w:sz="0" w:space="0" w:color="auto"/>
        <w:bottom w:val="none" w:sz="0" w:space="0" w:color="auto"/>
        <w:right w:val="none" w:sz="0" w:space="0" w:color="auto"/>
      </w:divBdr>
    </w:div>
    <w:div w:id="730928173">
      <w:bodyDiv w:val="1"/>
      <w:marLeft w:val="0"/>
      <w:marRight w:val="0"/>
      <w:marTop w:val="0"/>
      <w:marBottom w:val="0"/>
      <w:divBdr>
        <w:top w:val="none" w:sz="0" w:space="0" w:color="auto"/>
        <w:left w:val="none" w:sz="0" w:space="0" w:color="auto"/>
        <w:bottom w:val="none" w:sz="0" w:space="0" w:color="auto"/>
        <w:right w:val="none" w:sz="0" w:space="0" w:color="auto"/>
      </w:divBdr>
    </w:div>
    <w:div w:id="873079270">
      <w:bodyDiv w:val="1"/>
      <w:marLeft w:val="0"/>
      <w:marRight w:val="0"/>
      <w:marTop w:val="0"/>
      <w:marBottom w:val="0"/>
      <w:divBdr>
        <w:top w:val="none" w:sz="0" w:space="0" w:color="auto"/>
        <w:left w:val="none" w:sz="0" w:space="0" w:color="auto"/>
        <w:bottom w:val="none" w:sz="0" w:space="0" w:color="auto"/>
        <w:right w:val="none" w:sz="0" w:space="0" w:color="auto"/>
      </w:divBdr>
    </w:div>
    <w:div w:id="1006859342">
      <w:bodyDiv w:val="1"/>
      <w:marLeft w:val="0"/>
      <w:marRight w:val="0"/>
      <w:marTop w:val="0"/>
      <w:marBottom w:val="0"/>
      <w:divBdr>
        <w:top w:val="none" w:sz="0" w:space="0" w:color="auto"/>
        <w:left w:val="none" w:sz="0" w:space="0" w:color="auto"/>
        <w:bottom w:val="none" w:sz="0" w:space="0" w:color="auto"/>
        <w:right w:val="none" w:sz="0" w:space="0" w:color="auto"/>
      </w:divBdr>
    </w:div>
    <w:div w:id="1040667668">
      <w:bodyDiv w:val="1"/>
      <w:marLeft w:val="0"/>
      <w:marRight w:val="0"/>
      <w:marTop w:val="0"/>
      <w:marBottom w:val="0"/>
      <w:divBdr>
        <w:top w:val="none" w:sz="0" w:space="0" w:color="auto"/>
        <w:left w:val="none" w:sz="0" w:space="0" w:color="auto"/>
        <w:bottom w:val="none" w:sz="0" w:space="0" w:color="auto"/>
        <w:right w:val="none" w:sz="0" w:space="0" w:color="auto"/>
      </w:divBdr>
    </w:div>
    <w:div w:id="1042284848">
      <w:bodyDiv w:val="1"/>
      <w:marLeft w:val="0"/>
      <w:marRight w:val="0"/>
      <w:marTop w:val="0"/>
      <w:marBottom w:val="0"/>
      <w:divBdr>
        <w:top w:val="none" w:sz="0" w:space="0" w:color="auto"/>
        <w:left w:val="none" w:sz="0" w:space="0" w:color="auto"/>
        <w:bottom w:val="none" w:sz="0" w:space="0" w:color="auto"/>
        <w:right w:val="none" w:sz="0" w:space="0" w:color="auto"/>
      </w:divBdr>
    </w:div>
    <w:div w:id="1203203282">
      <w:bodyDiv w:val="1"/>
      <w:marLeft w:val="0"/>
      <w:marRight w:val="0"/>
      <w:marTop w:val="0"/>
      <w:marBottom w:val="0"/>
      <w:divBdr>
        <w:top w:val="none" w:sz="0" w:space="0" w:color="auto"/>
        <w:left w:val="none" w:sz="0" w:space="0" w:color="auto"/>
        <w:bottom w:val="none" w:sz="0" w:space="0" w:color="auto"/>
        <w:right w:val="none" w:sz="0" w:space="0" w:color="auto"/>
      </w:divBdr>
    </w:div>
    <w:div w:id="1262370407">
      <w:bodyDiv w:val="1"/>
      <w:marLeft w:val="0"/>
      <w:marRight w:val="0"/>
      <w:marTop w:val="0"/>
      <w:marBottom w:val="0"/>
      <w:divBdr>
        <w:top w:val="none" w:sz="0" w:space="0" w:color="auto"/>
        <w:left w:val="none" w:sz="0" w:space="0" w:color="auto"/>
        <w:bottom w:val="none" w:sz="0" w:space="0" w:color="auto"/>
        <w:right w:val="none" w:sz="0" w:space="0" w:color="auto"/>
      </w:divBdr>
    </w:div>
    <w:div w:id="1354920624">
      <w:bodyDiv w:val="1"/>
      <w:marLeft w:val="0"/>
      <w:marRight w:val="0"/>
      <w:marTop w:val="0"/>
      <w:marBottom w:val="0"/>
      <w:divBdr>
        <w:top w:val="none" w:sz="0" w:space="0" w:color="auto"/>
        <w:left w:val="none" w:sz="0" w:space="0" w:color="auto"/>
        <w:bottom w:val="none" w:sz="0" w:space="0" w:color="auto"/>
        <w:right w:val="none" w:sz="0" w:space="0" w:color="auto"/>
      </w:divBdr>
    </w:div>
    <w:div w:id="1495225815">
      <w:bodyDiv w:val="1"/>
      <w:marLeft w:val="0"/>
      <w:marRight w:val="0"/>
      <w:marTop w:val="0"/>
      <w:marBottom w:val="0"/>
      <w:divBdr>
        <w:top w:val="none" w:sz="0" w:space="0" w:color="auto"/>
        <w:left w:val="none" w:sz="0" w:space="0" w:color="auto"/>
        <w:bottom w:val="none" w:sz="0" w:space="0" w:color="auto"/>
        <w:right w:val="none" w:sz="0" w:space="0" w:color="auto"/>
      </w:divBdr>
    </w:div>
    <w:div w:id="1553806251">
      <w:bodyDiv w:val="1"/>
      <w:marLeft w:val="0"/>
      <w:marRight w:val="0"/>
      <w:marTop w:val="0"/>
      <w:marBottom w:val="0"/>
      <w:divBdr>
        <w:top w:val="none" w:sz="0" w:space="0" w:color="auto"/>
        <w:left w:val="none" w:sz="0" w:space="0" w:color="auto"/>
        <w:bottom w:val="none" w:sz="0" w:space="0" w:color="auto"/>
        <w:right w:val="none" w:sz="0" w:space="0" w:color="auto"/>
      </w:divBdr>
    </w:div>
    <w:div w:id="1691684141">
      <w:bodyDiv w:val="1"/>
      <w:marLeft w:val="0"/>
      <w:marRight w:val="0"/>
      <w:marTop w:val="0"/>
      <w:marBottom w:val="0"/>
      <w:divBdr>
        <w:top w:val="none" w:sz="0" w:space="0" w:color="auto"/>
        <w:left w:val="none" w:sz="0" w:space="0" w:color="auto"/>
        <w:bottom w:val="none" w:sz="0" w:space="0" w:color="auto"/>
        <w:right w:val="none" w:sz="0" w:space="0" w:color="auto"/>
      </w:divBdr>
    </w:div>
    <w:div w:id="1729106083">
      <w:bodyDiv w:val="1"/>
      <w:marLeft w:val="0"/>
      <w:marRight w:val="0"/>
      <w:marTop w:val="0"/>
      <w:marBottom w:val="0"/>
      <w:divBdr>
        <w:top w:val="none" w:sz="0" w:space="0" w:color="auto"/>
        <w:left w:val="none" w:sz="0" w:space="0" w:color="auto"/>
        <w:bottom w:val="none" w:sz="0" w:space="0" w:color="auto"/>
        <w:right w:val="none" w:sz="0" w:space="0" w:color="auto"/>
      </w:divBdr>
      <w:divsChild>
        <w:div w:id="363334496">
          <w:marLeft w:val="0"/>
          <w:marRight w:val="0"/>
          <w:marTop w:val="0"/>
          <w:marBottom w:val="0"/>
          <w:divBdr>
            <w:top w:val="none" w:sz="0" w:space="0" w:color="auto"/>
            <w:left w:val="none" w:sz="0" w:space="0" w:color="auto"/>
            <w:bottom w:val="none" w:sz="0" w:space="0" w:color="auto"/>
            <w:right w:val="none" w:sz="0" w:space="0" w:color="auto"/>
          </w:divBdr>
          <w:divsChild>
            <w:div w:id="5713477">
              <w:marLeft w:val="0"/>
              <w:marRight w:val="0"/>
              <w:marTop w:val="0"/>
              <w:marBottom w:val="0"/>
              <w:divBdr>
                <w:top w:val="none" w:sz="0" w:space="0" w:color="auto"/>
                <w:left w:val="none" w:sz="0" w:space="0" w:color="auto"/>
                <w:bottom w:val="none" w:sz="0" w:space="0" w:color="auto"/>
                <w:right w:val="none" w:sz="0" w:space="0" w:color="auto"/>
              </w:divBdr>
              <w:divsChild>
                <w:div w:id="1894735358">
                  <w:marLeft w:val="0"/>
                  <w:marRight w:val="0"/>
                  <w:marTop w:val="0"/>
                  <w:marBottom w:val="0"/>
                  <w:divBdr>
                    <w:top w:val="none" w:sz="0" w:space="0" w:color="auto"/>
                    <w:left w:val="none" w:sz="0" w:space="0" w:color="auto"/>
                    <w:bottom w:val="none" w:sz="0" w:space="0" w:color="auto"/>
                    <w:right w:val="none" w:sz="0" w:space="0" w:color="auto"/>
                  </w:divBdr>
                  <w:divsChild>
                    <w:div w:id="2026636678">
                      <w:marLeft w:val="0"/>
                      <w:marRight w:val="0"/>
                      <w:marTop w:val="0"/>
                      <w:marBottom w:val="0"/>
                      <w:divBdr>
                        <w:top w:val="none" w:sz="0" w:space="0" w:color="auto"/>
                        <w:left w:val="none" w:sz="0" w:space="0" w:color="auto"/>
                        <w:bottom w:val="none" w:sz="0" w:space="0" w:color="auto"/>
                        <w:right w:val="none" w:sz="0" w:space="0" w:color="auto"/>
                      </w:divBdr>
                      <w:divsChild>
                        <w:div w:id="715393361">
                          <w:marLeft w:val="0"/>
                          <w:marRight w:val="0"/>
                          <w:marTop w:val="0"/>
                          <w:marBottom w:val="0"/>
                          <w:divBdr>
                            <w:top w:val="none" w:sz="0" w:space="0" w:color="auto"/>
                            <w:left w:val="none" w:sz="0" w:space="0" w:color="auto"/>
                            <w:bottom w:val="none" w:sz="0" w:space="0" w:color="auto"/>
                            <w:right w:val="none" w:sz="0" w:space="0" w:color="auto"/>
                          </w:divBdr>
                          <w:divsChild>
                            <w:div w:id="402993040">
                              <w:marLeft w:val="0"/>
                              <w:marRight w:val="0"/>
                              <w:marTop w:val="0"/>
                              <w:marBottom w:val="0"/>
                              <w:divBdr>
                                <w:top w:val="single" w:sz="6" w:space="0" w:color="auto"/>
                                <w:left w:val="single" w:sz="6" w:space="0" w:color="auto"/>
                                <w:bottom w:val="single" w:sz="6" w:space="0" w:color="auto"/>
                                <w:right w:val="single" w:sz="6" w:space="0" w:color="auto"/>
                              </w:divBdr>
                              <w:divsChild>
                                <w:div w:id="836773394">
                                  <w:marLeft w:val="0"/>
                                  <w:marRight w:val="195"/>
                                  <w:marTop w:val="0"/>
                                  <w:marBottom w:val="0"/>
                                  <w:divBdr>
                                    <w:top w:val="none" w:sz="0" w:space="0" w:color="auto"/>
                                    <w:left w:val="none" w:sz="0" w:space="0" w:color="auto"/>
                                    <w:bottom w:val="none" w:sz="0" w:space="0" w:color="auto"/>
                                    <w:right w:val="none" w:sz="0" w:space="0" w:color="auto"/>
                                  </w:divBdr>
                                  <w:divsChild>
                                    <w:div w:id="375933214">
                                      <w:marLeft w:val="0"/>
                                      <w:marRight w:val="0"/>
                                      <w:marTop w:val="0"/>
                                      <w:marBottom w:val="0"/>
                                      <w:divBdr>
                                        <w:top w:val="none" w:sz="0" w:space="0" w:color="auto"/>
                                        <w:left w:val="none" w:sz="0" w:space="0" w:color="auto"/>
                                        <w:bottom w:val="none" w:sz="0" w:space="0" w:color="auto"/>
                                        <w:right w:val="none" w:sz="0" w:space="0" w:color="auto"/>
                                      </w:divBdr>
                                      <w:divsChild>
                                        <w:div w:id="1576553995">
                                          <w:marLeft w:val="0"/>
                                          <w:marRight w:val="195"/>
                                          <w:marTop w:val="0"/>
                                          <w:marBottom w:val="0"/>
                                          <w:divBdr>
                                            <w:top w:val="none" w:sz="0" w:space="0" w:color="auto"/>
                                            <w:left w:val="none" w:sz="0" w:space="0" w:color="auto"/>
                                            <w:bottom w:val="none" w:sz="0" w:space="0" w:color="auto"/>
                                            <w:right w:val="none" w:sz="0" w:space="0" w:color="auto"/>
                                          </w:divBdr>
                                          <w:divsChild>
                                            <w:div w:id="222299442">
                                              <w:marLeft w:val="0"/>
                                              <w:marRight w:val="0"/>
                                              <w:marTop w:val="0"/>
                                              <w:marBottom w:val="0"/>
                                              <w:divBdr>
                                                <w:top w:val="none" w:sz="0" w:space="0" w:color="auto"/>
                                                <w:left w:val="none" w:sz="0" w:space="0" w:color="auto"/>
                                                <w:bottom w:val="none" w:sz="0" w:space="0" w:color="auto"/>
                                                <w:right w:val="none" w:sz="0" w:space="0" w:color="auto"/>
                                              </w:divBdr>
                                              <w:divsChild>
                                                <w:div w:id="1871722730">
                                                  <w:marLeft w:val="0"/>
                                                  <w:marRight w:val="0"/>
                                                  <w:marTop w:val="0"/>
                                                  <w:marBottom w:val="0"/>
                                                  <w:divBdr>
                                                    <w:top w:val="none" w:sz="0" w:space="0" w:color="auto"/>
                                                    <w:left w:val="none" w:sz="0" w:space="0" w:color="auto"/>
                                                    <w:bottom w:val="none" w:sz="0" w:space="0" w:color="auto"/>
                                                    <w:right w:val="none" w:sz="0" w:space="0" w:color="auto"/>
                                                  </w:divBdr>
                                                  <w:divsChild>
                                                    <w:div w:id="1396198682">
                                                      <w:marLeft w:val="0"/>
                                                      <w:marRight w:val="0"/>
                                                      <w:marTop w:val="0"/>
                                                      <w:marBottom w:val="0"/>
                                                      <w:divBdr>
                                                        <w:top w:val="none" w:sz="0" w:space="0" w:color="auto"/>
                                                        <w:left w:val="none" w:sz="0" w:space="0" w:color="auto"/>
                                                        <w:bottom w:val="none" w:sz="0" w:space="0" w:color="auto"/>
                                                        <w:right w:val="none" w:sz="0" w:space="0" w:color="auto"/>
                                                      </w:divBdr>
                                                      <w:divsChild>
                                                        <w:div w:id="713626554">
                                                          <w:marLeft w:val="0"/>
                                                          <w:marRight w:val="0"/>
                                                          <w:marTop w:val="0"/>
                                                          <w:marBottom w:val="0"/>
                                                          <w:divBdr>
                                                            <w:top w:val="none" w:sz="0" w:space="0" w:color="auto"/>
                                                            <w:left w:val="none" w:sz="0" w:space="0" w:color="auto"/>
                                                            <w:bottom w:val="none" w:sz="0" w:space="0" w:color="auto"/>
                                                            <w:right w:val="none" w:sz="0" w:space="0" w:color="auto"/>
                                                          </w:divBdr>
                                                          <w:divsChild>
                                                            <w:div w:id="1555777122">
                                                              <w:marLeft w:val="0"/>
                                                              <w:marRight w:val="0"/>
                                                              <w:marTop w:val="0"/>
                                                              <w:marBottom w:val="0"/>
                                                              <w:divBdr>
                                                                <w:top w:val="none" w:sz="0" w:space="0" w:color="auto"/>
                                                                <w:left w:val="none" w:sz="0" w:space="0" w:color="auto"/>
                                                                <w:bottom w:val="none" w:sz="0" w:space="0" w:color="auto"/>
                                                                <w:right w:val="none" w:sz="0" w:space="0" w:color="auto"/>
                                                              </w:divBdr>
                                                              <w:divsChild>
                                                                <w:div w:id="447504980">
                                                                  <w:marLeft w:val="405"/>
                                                                  <w:marRight w:val="0"/>
                                                                  <w:marTop w:val="0"/>
                                                                  <w:marBottom w:val="0"/>
                                                                  <w:divBdr>
                                                                    <w:top w:val="none" w:sz="0" w:space="0" w:color="auto"/>
                                                                    <w:left w:val="none" w:sz="0" w:space="0" w:color="auto"/>
                                                                    <w:bottom w:val="none" w:sz="0" w:space="0" w:color="auto"/>
                                                                    <w:right w:val="none" w:sz="0" w:space="0" w:color="auto"/>
                                                                  </w:divBdr>
                                                                  <w:divsChild>
                                                                    <w:div w:id="391733856">
                                                                      <w:marLeft w:val="0"/>
                                                                      <w:marRight w:val="0"/>
                                                                      <w:marTop w:val="0"/>
                                                                      <w:marBottom w:val="0"/>
                                                                      <w:divBdr>
                                                                        <w:top w:val="none" w:sz="0" w:space="0" w:color="auto"/>
                                                                        <w:left w:val="none" w:sz="0" w:space="0" w:color="auto"/>
                                                                        <w:bottom w:val="none" w:sz="0" w:space="0" w:color="auto"/>
                                                                        <w:right w:val="none" w:sz="0" w:space="0" w:color="auto"/>
                                                                      </w:divBdr>
                                                                      <w:divsChild>
                                                                        <w:div w:id="1173766332">
                                                                          <w:marLeft w:val="0"/>
                                                                          <w:marRight w:val="0"/>
                                                                          <w:marTop w:val="0"/>
                                                                          <w:marBottom w:val="0"/>
                                                                          <w:divBdr>
                                                                            <w:top w:val="none" w:sz="0" w:space="0" w:color="auto"/>
                                                                            <w:left w:val="none" w:sz="0" w:space="0" w:color="auto"/>
                                                                            <w:bottom w:val="none" w:sz="0" w:space="0" w:color="auto"/>
                                                                            <w:right w:val="none" w:sz="0" w:space="0" w:color="auto"/>
                                                                          </w:divBdr>
                                                                          <w:divsChild>
                                                                            <w:div w:id="2126804478">
                                                                              <w:marLeft w:val="0"/>
                                                                              <w:marRight w:val="0"/>
                                                                              <w:marTop w:val="0"/>
                                                                              <w:marBottom w:val="0"/>
                                                                              <w:divBdr>
                                                                                <w:top w:val="none" w:sz="0" w:space="0" w:color="auto"/>
                                                                                <w:left w:val="none" w:sz="0" w:space="0" w:color="auto"/>
                                                                                <w:bottom w:val="none" w:sz="0" w:space="0" w:color="auto"/>
                                                                                <w:right w:val="none" w:sz="0" w:space="0" w:color="auto"/>
                                                                              </w:divBdr>
                                                                              <w:divsChild>
                                                                                <w:div w:id="1202787776">
                                                                                  <w:marLeft w:val="0"/>
                                                                                  <w:marRight w:val="0"/>
                                                                                  <w:marTop w:val="0"/>
                                                                                  <w:marBottom w:val="0"/>
                                                                                  <w:divBdr>
                                                                                    <w:top w:val="none" w:sz="0" w:space="0" w:color="auto"/>
                                                                                    <w:left w:val="none" w:sz="0" w:space="0" w:color="auto"/>
                                                                                    <w:bottom w:val="none" w:sz="0" w:space="0" w:color="auto"/>
                                                                                    <w:right w:val="none" w:sz="0" w:space="0" w:color="auto"/>
                                                                                  </w:divBdr>
                                                                                  <w:divsChild>
                                                                                    <w:div w:id="979991883">
                                                                                      <w:marLeft w:val="0"/>
                                                                                      <w:marRight w:val="0"/>
                                                                                      <w:marTop w:val="0"/>
                                                                                      <w:marBottom w:val="0"/>
                                                                                      <w:divBdr>
                                                                                        <w:top w:val="none" w:sz="0" w:space="0" w:color="auto"/>
                                                                                        <w:left w:val="none" w:sz="0" w:space="0" w:color="auto"/>
                                                                                        <w:bottom w:val="none" w:sz="0" w:space="0" w:color="auto"/>
                                                                                        <w:right w:val="none" w:sz="0" w:space="0" w:color="auto"/>
                                                                                      </w:divBdr>
                                                                                      <w:divsChild>
                                                                                        <w:div w:id="402025701">
                                                                                          <w:marLeft w:val="0"/>
                                                                                          <w:marRight w:val="0"/>
                                                                                          <w:marTop w:val="0"/>
                                                                                          <w:marBottom w:val="0"/>
                                                                                          <w:divBdr>
                                                                                            <w:top w:val="none" w:sz="0" w:space="0" w:color="auto"/>
                                                                                            <w:left w:val="none" w:sz="0" w:space="0" w:color="auto"/>
                                                                                            <w:bottom w:val="none" w:sz="0" w:space="0" w:color="auto"/>
                                                                                            <w:right w:val="none" w:sz="0" w:space="0" w:color="auto"/>
                                                                                          </w:divBdr>
                                                                                          <w:divsChild>
                                                                                            <w:div w:id="1403060605">
                                                                                              <w:marLeft w:val="0"/>
                                                                                              <w:marRight w:val="150"/>
                                                                                              <w:marTop w:val="75"/>
                                                                                              <w:marBottom w:val="0"/>
                                                                                              <w:divBdr>
                                                                                                <w:top w:val="none" w:sz="0" w:space="0" w:color="auto"/>
                                                                                                <w:left w:val="none" w:sz="0" w:space="0" w:color="auto"/>
                                                                                                <w:bottom w:val="single" w:sz="6" w:space="15" w:color="auto"/>
                                                                                                <w:right w:val="none" w:sz="0" w:space="0" w:color="auto"/>
                                                                                              </w:divBdr>
                                                                                              <w:divsChild>
                                                                                                <w:div w:id="2081631567">
                                                                                                  <w:marLeft w:val="1200"/>
                                                                                                  <w:marRight w:val="0"/>
                                                                                                  <w:marTop w:val="180"/>
                                                                                                  <w:marBottom w:val="0"/>
                                                                                                  <w:divBdr>
                                                                                                    <w:top w:val="none" w:sz="0" w:space="0" w:color="auto"/>
                                                                                                    <w:left w:val="none" w:sz="0" w:space="0" w:color="auto"/>
                                                                                                    <w:bottom w:val="none" w:sz="0" w:space="0" w:color="auto"/>
                                                                                                    <w:right w:val="none" w:sz="0" w:space="0" w:color="auto"/>
                                                                                                  </w:divBdr>
                                                                                                  <w:divsChild>
                                                                                                    <w:div w:id="534196524">
                                                                                                      <w:marLeft w:val="0"/>
                                                                                                      <w:marRight w:val="0"/>
                                                                                                      <w:marTop w:val="0"/>
                                                                                                      <w:marBottom w:val="0"/>
                                                                                                      <w:divBdr>
                                                                                                        <w:top w:val="none" w:sz="0" w:space="0" w:color="auto"/>
                                                                                                        <w:left w:val="none" w:sz="0" w:space="0" w:color="auto"/>
                                                                                                        <w:bottom w:val="none" w:sz="0" w:space="0" w:color="auto"/>
                                                                                                        <w:right w:val="none" w:sz="0" w:space="0" w:color="auto"/>
                                                                                                      </w:divBdr>
                                                                                                      <w:divsChild>
                                                                                                        <w:div w:id="1177043376">
                                                                                                          <w:marLeft w:val="0"/>
                                                                                                          <w:marRight w:val="0"/>
                                                                                                          <w:marTop w:val="15"/>
                                                                                                          <w:marBottom w:val="0"/>
                                                                                                          <w:divBdr>
                                                                                                            <w:top w:val="none" w:sz="0" w:space="0" w:color="auto"/>
                                                                                                            <w:left w:val="none" w:sz="0" w:space="0" w:color="auto"/>
                                                                                                            <w:bottom w:val="none" w:sz="0" w:space="0" w:color="auto"/>
                                                                                                            <w:right w:val="none" w:sz="0" w:space="0" w:color="auto"/>
                                                                                                          </w:divBdr>
                                                                                                          <w:divsChild>
                                                                                                            <w:div w:id="528375553">
                                                                                                              <w:marLeft w:val="0"/>
                                                                                                              <w:marRight w:val="0"/>
                                                                                                              <w:marTop w:val="0"/>
                                                                                                              <w:marBottom w:val="0"/>
                                                                                                              <w:divBdr>
                                                                                                                <w:top w:val="none" w:sz="0" w:space="0" w:color="auto"/>
                                                                                                                <w:left w:val="none" w:sz="0" w:space="0" w:color="auto"/>
                                                                                                                <w:bottom w:val="none" w:sz="0" w:space="0" w:color="auto"/>
                                                                                                                <w:right w:val="none" w:sz="0" w:space="0" w:color="auto"/>
                                                                                                              </w:divBdr>
                                                                                                              <w:divsChild>
                                                                                                                <w:div w:id="2114782416">
                                                                                                                  <w:marLeft w:val="0"/>
                                                                                                                  <w:marRight w:val="0"/>
                                                                                                                  <w:marTop w:val="0"/>
                                                                                                                  <w:marBottom w:val="0"/>
                                                                                                                  <w:divBdr>
                                                                                                                    <w:top w:val="none" w:sz="0" w:space="0" w:color="auto"/>
                                                                                                                    <w:left w:val="none" w:sz="0" w:space="0" w:color="auto"/>
                                                                                                                    <w:bottom w:val="none" w:sz="0" w:space="0" w:color="auto"/>
                                                                                                                    <w:right w:val="none" w:sz="0" w:space="0" w:color="auto"/>
                                                                                                                  </w:divBdr>
                                                                                                                  <w:divsChild>
                                                                                                                    <w:div w:id="303777513">
                                                                                                                      <w:marLeft w:val="0"/>
                                                                                                                      <w:marRight w:val="0"/>
                                                                                                                      <w:marTop w:val="0"/>
                                                                                                                      <w:marBottom w:val="0"/>
                                                                                                                      <w:divBdr>
                                                                                                                        <w:top w:val="none" w:sz="0" w:space="0" w:color="auto"/>
                                                                                                                        <w:left w:val="none" w:sz="0" w:space="0" w:color="auto"/>
                                                                                                                        <w:bottom w:val="none" w:sz="0" w:space="0" w:color="auto"/>
                                                                                                                        <w:right w:val="none" w:sz="0" w:space="0" w:color="auto"/>
                                                                                                                      </w:divBdr>
                                                                                                                      <w:divsChild>
                                                                                                                        <w:div w:id="753161916">
                                                                                                                          <w:marLeft w:val="0"/>
                                                                                                                          <w:marRight w:val="0"/>
                                                                                                                          <w:marTop w:val="0"/>
                                                                                                                          <w:marBottom w:val="0"/>
                                                                                                                          <w:divBdr>
                                                                                                                            <w:top w:val="none" w:sz="0" w:space="0" w:color="auto"/>
                                                                                                                            <w:left w:val="none" w:sz="0" w:space="0" w:color="auto"/>
                                                                                                                            <w:bottom w:val="none" w:sz="0" w:space="0" w:color="auto"/>
                                                                                                                            <w:right w:val="none" w:sz="0" w:space="0" w:color="auto"/>
                                                                                                                          </w:divBdr>
                                                                                                                          <w:divsChild>
                                                                                                                            <w:div w:id="5651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313257">
      <w:bodyDiv w:val="1"/>
      <w:marLeft w:val="0"/>
      <w:marRight w:val="0"/>
      <w:marTop w:val="0"/>
      <w:marBottom w:val="0"/>
      <w:divBdr>
        <w:top w:val="none" w:sz="0" w:space="0" w:color="auto"/>
        <w:left w:val="none" w:sz="0" w:space="0" w:color="auto"/>
        <w:bottom w:val="none" w:sz="0" w:space="0" w:color="auto"/>
        <w:right w:val="none" w:sz="0" w:space="0" w:color="auto"/>
      </w:divBdr>
    </w:div>
    <w:div w:id="1891114736">
      <w:bodyDiv w:val="1"/>
      <w:marLeft w:val="0"/>
      <w:marRight w:val="0"/>
      <w:marTop w:val="0"/>
      <w:marBottom w:val="0"/>
      <w:divBdr>
        <w:top w:val="none" w:sz="0" w:space="0" w:color="auto"/>
        <w:left w:val="none" w:sz="0" w:space="0" w:color="auto"/>
        <w:bottom w:val="none" w:sz="0" w:space="0" w:color="auto"/>
        <w:right w:val="none" w:sz="0" w:space="0" w:color="auto"/>
      </w:divBdr>
    </w:div>
    <w:div w:id="2008359539">
      <w:bodyDiv w:val="1"/>
      <w:marLeft w:val="0"/>
      <w:marRight w:val="0"/>
      <w:marTop w:val="0"/>
      <w:marBottom w:val="0"/>
      <w:divBdr>
        <w:top w:val="none" w:sz="0" w:space="0" w:color="auto"/>
        <w:left w:val="none" w:sz="0" w:space="0" w:color="auto"/>
        <w:bottom w:val="none" w:sz="0" w:space="0" w:color="auto"/>
        <w:right w:val="none" w:sz="0" w:space="0" w:color="auto"/>
      </w:divBdr>
    </w:div>
    <w:div w:id="2065446155">
      <w:bodyDiv w:val="1"/>
      <w:marLeft w:val="0"/>
      <w:marRight w:val="0"/>
      <w:marTop w:val="0"/>
      <w:marBottom w:val="0"/>
      <w:divBdr>
        <w:top w:val="none" w:sz="0" w:space="0" w:color="auto"/>
        <w:left w:val="none" w:sz="0" w:space="0" w:color="auto"/>
        <w:bottom w:val="none" w:sz="0" w:space="0" w:color="auto"/>
        <w:right w:val="none" w:sz="0" w:space="0" w:color="auto"/>
      </w:divBdr>
    </w:div>
    <w:div w:id="21394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rc.gov/power-sales-and-markets/electric-quarterly-reports-eq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rary.ferc.gov/eLibrary/filelist?accession_number=20020425-308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rc.gov/information-collec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www.ferc.gov/sites/default/files/2020-11/Data_Dictionary_V3_5_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920</_x0031__x002e__x0020_Collection_x0020_Number>
    <Date xmlns="d6eefc7d-9817-4fa6-84d5-3bc009be21b8">2022-06-08T04:00:00+00:00</Dat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IC21-38</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52BBF-883D-4E45-A76A-61569A3E9DF5}">
  <ds:schemaRefs>
    <ds:schemaRef ds:uri="http://schemas.openxmlformats.org/officeDocument/2006/bibliography"/>
  </ds:schemaRefs>
</ds:datastoreItem>
</file>

<file path=customXml/itemProps2.xml><?xml version="1.0" encoding="utf-8"?>
<ds:datastoreItem xmlns:ds="http://schemas.openxmlformats.org/officeDocument/2006/customXml" ds:itemID="{60E09B4D-24CE-4ADA-912B-F156FBC4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B679-E6B1-409C-B1B1-A730CF36D1A8}">
  <ds:schemaRefs>
    <ds:schemaRef ds:uri="http://purl.org/dc/terms/"/>
    <ds:schemaRef ds:uri="http://schemas.openxmlformats.org/package/2006/metadata/core-properties"/>
    <ds:schemaRef ds:uri="http://purl.org/dc/dcmitype/"/>
    <ds:schemaRef ds:uri="5a7c6213-c3f8-4376-93f2-dc58e5c51d54"/>
    <ds:schemaRef ds:uri="http://schemas.microsoft.com/office/2006/documentManagement/types"/>
    <ds:schemaRef ds:uri="http://schemas.microsoft.com/office/2006/metadata/properties"/>
    <ds:schemaRef ds:uri="http://purl.org/dc/elements/1.1/"/>
    <ds:schemaRef ds:uri="http://schemas.microsoft.com/office/infopath/2007/PartnerControls"/>
    <ds:schemaRef ds:uri="e029e753-062b-49ce-baa7-feb352134f8f"/>
    <ds:schemaRef ds:uri="d6eefc7d-9817-4fa6-84d5-3bc009be21b8"/>
    <ds:schemaRef ds:uri="http://www.w3.org/XML/1998/namespace"/>
  </ds:schemaRefs>
</ds:datastoreItem>
</file>

<file path=customXml/itemProps4.xml><?xml version="1.0" encoding="utf-8"?>
<ds:datastoreItem xmlns:ds="http://schemas.openxmlformats.org/officeDocument/2006/customXml" ds:itemID="{720718CA-22C1-4769-B83F-867623E8C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FERC-920 supporting statement for ORDER 6-2020</vt:lpstr>
    </vt:vector>
  </TitlesOfParts>
  <Company>FERC</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FERC-920 supporting statement for ORDER 6-2020</dc:title>
  <dc:subject/>
  <dc:creator>ferc</dc:creator>
  <cp:keywords/>
  <dc:description/>
  <cp:lastModifiedBy>Ellen Brown</cp:lastModifiedBy>
  <cp:revision>2</cp:revision>
  <cp:lastPrinted>2022-06-01T12:29:00Z</cp:lastPrinted>
  <dcterms:created xsi:type="dcterms:W3CDTF">2022-06-10T13:42:00Z</dcterms:created>
  <dcterms:modified xsi:type="dcterms:W3CDTF">2022-06-10T13:42:00Z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_NewReviewCycle">
    <vt:lpwstr/>
  </property>
  <property fmtid="{D5CDD505-2E9C-101B-9397-08002B2CF9AE}" pid="4" name="MSIP_Label_6155a89b-0f08-4a93-8ea2-8a916d6643b5_Enabled">
    <vt:lpwstr>true</vt:lpwstr>
  </property>
  <property fmtid="{D5CDD505-2E9C-101B-9397-08002B2CF9AE}" pid="5" name="MSIP_Label_6155a89b-0f08-4a93-8ea2-8a916d6643b5_SetDate">
    <vt:lpwstr>2021-10-15T12:35:46Z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ActionId">
    <vt:lpwstr>38a527cf-471c-45c9-ac81-d0f3bd6d5cf2</vt:lpwstr>
  </property>
  <property fmtid="{D5CDD505-2E9C-101B-9397-08002B2CF9AE}" pid="10" name="MSIP_Label_6155a89b-0f08-4a93-8ea2-8a916d6643b5_ContentBits">
    <vt:lpwstr>0</vt:lpwstr>
  </property>
  <property fmtid="{D5CDD505-2E9C-101B-9397-08002B2CF9AE}" pid="11" name="MediaServiceImageTags">
    <vt:lpwstr/>
  </property>
</Properties>
</file>