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4418" w:rsidR="00C87A53" w:rsidP="00A825BA" w:rsidRDefault="00C87A53" w14:paraId="4DFA3E8C" w14:textId="77777777">
      <w:pPr>
        <w:pStyle w:val="H1"/>
      </w:pPr>
      <w:bookmarkStart w:name="_Toc134944429" w:id="0"/>
      <w:bookmarkStart w:name="_Toc139170326" w:id="1"/>
      <w:r w:rsidRPr="00EF4418">
        <w:t>1</w:t>
      </w:r>
      <w:r w:rsidRPr="00EF4418">
        <w:tab/>
        <w:t>SURVEY OBJECTIVES, KEY VARIABLES, AND OTHER PRELIMINARIES</w:t>
      </w:r>
      <w:bookmarkEnd w:id="0"/>
      <w:bookmarkEnd w:id="1"/>
    </w:p>
    <w:p w:rsidRPr="00EF4418" w:rsidR="00C87A53" w:rsidP="00A825BA" w:rsidRDefault="00C87A53" w14:paraId="4DFA3E8D" w14:textId="77777777">
      <w:pPr>
        <w:pStyle w:val="H2"/>
      </w:pPr>
      <w:bookmarkStart w:name="_Toc134944430" w:id="2"/>
      <w:bookmarkStart w:name="_Toc139170327" w:id="3"/>
      <w:r w:rsidRPr="00EF4418">
        <w:t>1(a)</w:t>
      </w:r>
      <w:r w:rsidRPr="00EF4418">
        <w:tab/>
        <w:t>Survey Objectives</w:t>
      </w:r>
      <w:bookmarkEnd w:id="2"/>
      <w:bookmarkEnd w:id="3"/>
    </w:p>
    <w:p w:rsidRPr="00944D7E" w:rsidR="00C87A53" w:rsidP="00A825BA" w:rsidRDefault="00C87A53" w14:paraId="4DFA3E8E" w14:textId="17901F09">
      <w:pPr>
        <w:rPr>
          <w:color w:val="000000"/>
          <w:szCs w:val="24"/>
        </w:rPr>
      </w:pPr>
      <w:r w:rsidRPr="00944D7E">
        <w:rPr>
          <w:color w:val="000000"/>
          <w:szCs w:val="24"/>
        </w:rPr>
        <w:t xml:space="preserve">For CWNS </w:t>
      </w:r>
      <w:r w:rsidR="007B663A">
        <w:rPr>
          <w:color w:val="000000"/>
          <w:szCs w:val="24"/>
        </w:rPr>
        <w:t>2022</w:t>
      </w:r>
      <w:r w:rsidRPr="00944D7E">
        <w:rPr>
          <w:color w:val="000000"/>
          <w:szCs w:val="24"/>
        </w:rPr>
        <w:t xml:space="preserve">, </w:t>
      </w:r>
      <w:r>
        <w:rPr>
          <w:color w:val="000000"/>
          <w:szCs w:val="24"/>
        </w:rPr>
        <w:t>s</w:t>
      </w:r>
      <w:r w:rsidRPr="00944D7E">
        <w:rPr>
          <w:color w:val="000000"/>
          <w:szCs w:val="24"/>
        </w:rPr>
        <w:t xml:space="preserve">tates will </w:t>
      </w:r>
      <w:r w:rsidR="007B663A">
        <w:rPr>
          <w:color w:val="000000"/>
          <w:szCs w:val="24"/>
        </w:rPr>
        <w:t xml:space="preserve">only </w:t>
      </w:r>
      <w:r w:rsidRPr="00944D7E">
        <w:rPr>
          <w:color w:val="000000"/>
          <w:szCs w:val="24"/>
        </w:rPr>
        <w:t xml:space="preserve">have the option to use </w:t>
      </w:r>
      <w:r w:rsidR="007B663A">
        <w:rPr>
          <w:color w:val="000000"/>
          <w:szCs w:val="24"/>
        </w:rPr>
        <w:t>a</w:t>
      </w:r>
      <w:r w:rsidRPr="00944D7E" w:rsidR="007B663A">
        <w:rPr>
          <w:color w:val="000000"/>
          <w:szCs w:val="24"/>
        </w:rPr>
        <w:t xml:space="preserve"> </w:t>
      </w:r>
      <w:r w:rsidRPr="00944D7E">
        <w:rPr>
          <w:color w:val="000000"/>
          <w:szCs w:val="24"/>
        </w:rPr>
        <w:t>“Traditional” CWNS Method</w:t>
      </w:r>
      <w:r w:rsidR="0060137B">
        <w:rPr>
          <w:color w:val="000000"/>
          <w:szCs w:val="24"/>
        </w:rPr>
        <w:t>. This method requires CWNS State coordinators to perform a census of the wastewater operators and communities in their state and report their needs to EPA through the CWNS Data Entry Portal (DEP).</w:t>
      </w:r>
      <w:r w:rsidRPr="00944D7E">
        <w:rPr>
          <w:color w:val="000000"/>
          <w:szCs w:val="24"/>
        </w:rPr>
        <w:t xml:space="preserve"> </w:t>
      </w:r>
      <w:r w:rsidR="007B663A">
        <w:rPr>
          <w:color w:val="000000"/>
          <w:szCs w:val="24"/>
        </w:rPr>
        <w:t>Although a “Gap Approach</w:t>
      </w:r>
      <w:r w:rsidR="00E6437C">
        <w:rPr>
          <w:rStyle w:val="FootnoteReference"/>
          <w:color w:val="000000"/>
          <w:szCs w:val="24"/>
        </w:rPr>
        <w:footnoteReference w:id="1"/>
      </w:r>
      <w:r w:rsidR="007B663A">
        <w:rPr>
          <w:color w:val="000000"/>
          <w:szCs w:val="24"/>
        </w:rPr>
        <w:t>” was researched for the CWNS 2012, that approach was never implemented and the information contained in the previous Part B, which was submitted a decade ago, is no longer relevant.</w:t>
      </w:r>
      <w:r w:rsidRPr="00944D7E">
        <w:rPr>
          <w:color w:val="000000"/>
          <w:szCs w:val="24"/>
        </w:rPr>
        <w:t xml:space="preserve"> </w:t>
      </w:r>
    </w:p>
    <w:p w:rsidRPr="00EF4418" w:rsidR="00C87A53" w:rsidP="00A825BA" w:rsidRDefault="00C87A53" w14:paraId="4DFA3E8F" w14:textId="77777777">
      <w:pPr>
        <w:pStyle w:val="H2"/>
      </w:pPr>
      <w:bookmarkStart w:name="_Toc134944431" w:id="4"/>
      <w:bookmarkStart w:name="_Toc139170328" w:id="5"/>
      <w:r w:rsidRPr="00EF4418">
        <w:t>1(b)</w:t>
      </w:r>
      <w:r w:rsidRPr="00EF4418">
        <w:tab/>
        <w:t>Key Variables</w:t>
      </w:r>
      <w:bookmarkEnd w:id="4"/>
      <w:bookmarkEnd w:id="5"/>
    </w:p>
    <w:p w:rsidR="00C87A53" w:rsidP="00A825BA" w:rsidRDefault="007B663A" w14:paraId="4DFA3E90" w14:textId="5FAB3557">
      <w:bookmarkStart w:name="_Toc134944432" w:id="6"/>
      <w:bookmarkStart w:name="_Toc139170329" w:id="7"/>
      <w:r>
        <w:t>No key variables are needed, since there is no representative sample of wastewater systems that will be collected or analyzed.</w:t>
      </w:r>
    </w:p>
    <w:bookmarkEnd w:id="6"/>
    <w:bookmarkEnd w:id="7"/>
    <w:p w:rsidR="00C87A53" w:rsidP="00A825BA" w:rsidRDefault="00C87A53" w14:paraId="4DFA3E91" w14:textId="77777777">
      <w:pPr>
        <w:pStyle w:val="H2"/>
      </w:pPr>
      <w:r>
        <w:t>1(c)</w:t>
      </w:r>
      <w:r>
        <w:tab/>
        <w:t>Statistical Approach</w:t>
      </w:r>
    </w:p>
    <w:p w:rsidR="00C87A53" w:rsidP="00A825BA" w:rsidRDefault="00C87A53" w14:paraId="4DFA3E92" w14:textId="3E976A29">
      <w:r>
        <w:t xml:space="preserve">In </w:t>
      </w:r>
      <w:r w:rsidR="007B663A">
        <w:t xml:space="preserve">all </w:t>
      </w:r>
      <w:r>
        <w:t xml:space="preserve">previous data collection efforts for the CWNS a census approach (Traditional Approach) was used. </w:t>
      </w:r>
      <w:r w:rsidR="007B663A">
        <w:t>This traditional approach was also used for the CWNS 2012 and will be continued for the CWNS 2022.</w:t>
      </w:r>
      <w:r>
        <w:t xml:space="preserve"> </w:t>
      </w:r>
    </w:p>
    <w:p w:rsidRPr="00EF4418" w:rsidR="00C87A53" w:rsidP="00A825BA" w:rsidRDefault="00C87A53" w14:paraId="4DFA3E93" w14:textId="77777777">
      <w:pPr>
        <w:pStyle w:val="H2"/>
        <w:keepLines/>
      </w:pPr>
      <w:bookmarkStart w:name="_Toc134944433" w:id="8"/>
      <w:bookmarkStart w:name="_Toc139170330" w:id="9"/>
      <w:r w:rsidRPr="00EF4418">
        <w:t>1(d)</w:t>
      </w:r>
      <w:r w:rsidRPr="00EF4418">
        <w:tab/>
        <w:t>Feasibility</w:t>
      </w:r>
      <w:bookmarkEnd w:id="8"/>
      <w:bookmarkEnd w:id="9"/>
    </w:p>
    <w:p w:rsidR="00C87A53" w:rsidP="00A825BA" w:rsidRDefault="00490810" w14:paraId="4DFA3E99" w14:textId="095CBC6F">
      <w:pPr>
        <w:pStyle w:val="ListParagraph"/>
        <w:numPr>
          <w:ilvl w:val="0"/>
          <w:numId w:val="10"/>
        </w:numPr>
      </w:pPr>
      <w:r>
        <w:t xml:space="preserve">No GAP approach will be implemented, therefore there is no need to assess the feasibility of this approach. </w:t>
      </w:r>
    </w:p>
    <w:p w:rsidRPr="00EF4418" w:rsidR="00C87A53" w:rsidP="00A825BA" w:rsidRDefault="00C87A53" w14:paraId="4DFA3E9A" w14:textId="77777777">
      <w:pPr>
        <w:pStyle w:val="H1"/>
        <w:keepNext/>
      </w:pPr>
      <w:bookmarkStart w:name="_Toc134944434" w:id="10"/>
      <w:bookmarkStart w:name="_Toc139170331" w:id="11"/>
      <w:r w:rsidRPr="00EF4418">
        <w:t>2</w:t>
      </w:r>
      <w:r w:rsidRPr="00EF4418">
        <w:tab/>
        <w:t>SURVEY DESIGN</w:t>
      </w:r>
      <w:bookmarkEnd w:id="10"/>
      <w:bookmarkEnd w:id="11"/>
    </w:p>
    <w:p w:rsidRPr="00EF4418" w:rsidR="00C87A53" w:rsidP="00A825BA" w:rsidRDefault="00C87A53" w14:paraId="4DFA3E9B" w14:textId="77777777">
      <w:pPr>
        <w:pStyle w:val="H2"/>
      </w:pPr>
      <w:bookmarkStart w:name="_Toc134944435" w:id="12"/>
      <w:bookmarkStart w:name="_Toc139170332" w:id="13"/>
      <w:r w:rsidRPr="00EF4418">
        <w:t>2(a)</w:t>
      </w:r>
      <w:r w:rsidRPr="00EF4418">
        <w:tab/>
        <w:t>Target Population and Coverage</w:t>
      </w:r>
      <w:bookmarkEnd w:id="12"/>
      <w:bookmarkEnd w:id="13"/>
    </w:p>
    <w:p w:rsidR="00C87A53" w:rsidP="00A825BA" w:rsidRDefault="00490810" w14:paraId="4DFA3E9C" w14:textId="179D6E70">
      <w:r>
        <w:t xml:space="preserve">The Gap Approach that was described in 2012, which was never implemented, will not be implemented in 2022. Therefore, there is no target population or coverage necessary. </w:t>
      </w:r>
    </w:p>
    <w:p w:rsidRPr="00DB3280" w:rsidR="00C87A53" w:rsidP="00A825BA" w:rsidRDefault="00C87A53" w14:paraId="4DFA3E9D" w14:textId="77777777">
      <w:pPr>
        <w:pStyle w:val="H2"/>
      </w:pPr>
      <w:bookmarkStart w:name="_Toc134944436" w:id="14"/>
      <w:bookmarkStart w:name="_Toc139170333" w:id="15"/>
      <w:r w:rsidRPr="00DB3280">
        <w:t>2(b)</w:t>
      </w:r>
      <w:r w:rsidRPr="00DB3280">
        <w:tab/>
        <w:t>Sample Design</w:t>
      </w:r>
      <w:bookmarkEnd w:id="14"/>
      <w:bookmarkEnd w:id="15"/>
    </w:p>
    <w:p w:rsidRPr="00DB3280" w:rsidR="00C87A53" w:rsidP="00A825BA" w:rsidRDefault="00C87A53" w14:paraId="4DFA3E9E" w14:textId="77777777">
      <w:pPr>
        <w:pStyle w:val="H3"/>
      </w:pPr>
      <w:bookmarkStart w:name="_Toc134944437" w:id="16"/>
      <w:bookmarkStart w:name="_Toc139170334" w:id="17"/>
      <w:r w:rsidRPr="00DB3280">
        <w:t>2(b)(i) Sampling Frame</w:t>
      </w:r>
      <w:bookmarkEnd w:id="16"/>
      <w:bookmarkEnd w:id="17"/>
    </w:p>
    <w:p w:rsidR="00C87A53" w:rsidP="00A825BA" w:rsidRDefault="00490810" w14:paraId="4DFA3E9F" w14:textId="51ED1E48">
      <w:r>
        <w:t>No Sampling Frame is necessary since no statistical analysis will be performed for the CWNS 2022.</w:t>
      </w:r>
    </w:p>
    <w:p w:rsidR="00C87A53" w:rsidP="00A825BA" w:rsidRDefault="00C87A53" w14:paraId="4DFA3EA0" w14:textId="77777777">
      <w:pPr>
        <w:pStyle w:val="H3"/>
        <w:keepNext/>
        <w:keepLines/>
      </w:pPr>
      <w:bookmarkStart w:name="_Toc134944438" w:id="18"/>
      <w:bookmarkStart w:name="_Toc139170335" w:id="19"/>
      <w:r>
        <w:lastRenderedPageBreak/>
        <w:t>2(b)(ii) Sample Size</w:t>
      </w:r>
      <w:bookmarkEnd w:id="18"/>
      <w:bookmarkEnd w:id="19"/>
    </w:p>
    <w:p w:rsidR="00C87A53" w:rsidP="00A825BA" w:rsidRDefault="00490810" w14:paraId="4DFA3EA6" w14:textId="795594F9">
      <w:pPr>
        <w:pStyle w:val="ListParagraph"/>
        <w:numPr>
          <w:ilvl w:val="0"/>
          <w:numId w:val="11"/>
        </w:numPr>
      </w:pPr>
      <w:r>
        <w:t xml:space="preserve">No Sample Size needs to be defined since no statistical analysis will be performed for the CWNS 2022. </w:t>
      </w:r>
    </w:p>
    <w:p w:rsidR="00C87A53" w:rsidP="00A825BA" w:rsidRDefault="00C87A53" w14:paraId="4DFA3EA7" w14:textId="77777777">
      <w:pPr>
        <w:pStyle w:val="H3"/>
      </w:pPr>
      <w:bookmarkStart w:name="_Toc134944439" w:id="20"/>
      <w:bookmarkStart w:name="_Toc139170336" w:id="21"/>
      <w:r>
        <w:t>2(b)(iii) Stratification Variables</w:t>
      </w:r>
      <w:bookmarkEnd w:id="20"/>
      <w:bookmarkEnd w:id="21"/>
    </w:p>
    <w:p w:rsidR="00C87A53" w:rsidP="00A825BA" w:rsidRDefault="00490810" w14:paraId="4DFA3EA8" w14:textId="53E4BC01">
      <w:r>
        <w:t xml:space="preserve">Stratification Variables do not need to be defined since no statistical analysis will be performed for the CWNS 2022.  </w:t>
      </w:r>
    </w:p>
    <w:p w:rsidRPr="00DB3280" w:rsidR="00C87A53" w:rsidP="00A825BA" w:rsidRDefault="00C87A53" w14:paraId="4DFA3EA9" w14:textId="77777777">
      <w:pPr>
        <w:pStyle w:val="H3"/>
      </w:pPr>
      <w:bookmarkStart w:name="_Toc134944440" w:id="22"/>
      <w:bookmarkStart w:name="_Toc139170337" w:id="23"/>
      <w:r w:rsidRPr="00DB3280">
        <w:t>2(b)(iv) Sampling Method</w:t>
      </w:r>
      <w:bookmarkEnd w:id="22"/>
      <w:bookmarkEnd w:id="23"/>
    </w:p>
    <w:p w:rsidR="00C87A53" w:rsidP="00A825BA" w:rsidRDefault="00490810" w14:paraId="4DFA3EAA" w14:textId="638B4CC5">
      <w:pPr>
        <w:rPr>
          <w:rFonts w:cs="Arial"/>
        </w:rPr>
      </w:pPr>
      <w:r>
        <w:rPr>
          <w:rFonts w:cs="Arial"/>
        </w:rPr>
        <w:t xml:space="preserve">No Sampling Method is necessary since </w:t>
      </w:r>
      <w:r>
        <w:t xml:space="preserve">no statistical analysis will be performed for the CWNS 2022. </w:t>
      </w:r>
    </w:p>
    <w:p w:rsidRPr="00DB3280" w:rsidR="00C87A53" w:rsidP="00A825BA" w:rsidRDefault="00C87A53" w14:paraId="4DFA3EAB" w14:textId="77777777">
      <w:pPr>
        <w:pStyle w:val="H3"/>
        <w:keepNext/>
      </w:pPr>
      <w:bookmarkStart w:name="_Toc134944441" w:id="24"/>
      <w:bookmarkStart w:name="_Toc139170338" w:id="25"/>
      <w:r w:rsidRPr="00DB3280">
        <w:t>2(b)(v) Multi-Stage Sampling</w:t>
      </w:r>
      <w:bookmarkEnd w:id="24"/>
      <w:bookmarkEnd w:id="25"/>
    </w:p>
    <w:p w:rsidR="00C87A53" w:rsidP="00A825BA" w:rsidRDefault="00490810" w14:paraId="4DFA3EAC" w14:textId="720D1FF8">
      <w:r>
        <w:t xml:space="preserve">No Multi-Stage Sampling is necessary </w:t>
      </w:r>
      <w:r w:rsidR="00E6437C">
        <w:t xml:space="preserve">since </w:t>
      </w:r>
      <w:r>
        <w:t xml:space="preserve">no statistical analysis will be performed for the CWNS 2022. </w:t>
      </w:r>
    </w:p>
    <w:p w:rsidRPr="00DB3280" w:rsidR="00C87A53" w:rsidP="00A825BA" w:rsidRDefault="00C87A53" w14:paraId="4DFA3EAD" w14:textId="77777777">
      <w:pPr>
        <w:pStyle w:val="H2"/>
      </w:pPr>
      <w:bookmarkStart w:name="_Toc134944442" w:id="26"/>
      <w:bookmarkStart w:name="_Toc139170339" w:id="27"/>
      <w:r w:rsidRPr="00DB3280">
        <w:t>2(c)</w:t>
      </w:r>
      <w:r w:rsidRPr="00DB3280">
        <w:tab/>
        <w:t>Precision Requirements</w:t>
      </w:r>
      <w:bookmarkEnd w:id="26"/>
      <w:bookmarkEnd w:id="27"/>
    </w:p>
    <w:p w:rsidRPr="00DB3280" w:rsidR="00C87A53" w:rsidP="00A825BA" w:rsidRDefault="00C87A53" w14:paraId="4DFA3EAE" w14:textId="77777777">
      <w:pPr>
        <w:pStyle w:val="H3"/>
      </w:pPr>
      <w:bookmarkStart w:name="_Toc134944443" w:id="28"/>
      <w:bookmarkStart w:name="_Toc139170340" w:id="29"/>
      <w:r w:rsidRPr="00DB3280">
        <w:t>2(c)(i) Precision Targets</w:t>
      </w:r>
      <w:bookmarkEnd w:id="28"/>
      <w:bookmarkEnd w:id="29"/>
    </w:p>
    <w:p w:rsidR="00C87A53" w:rsidP="00A825BA" w:rsidRDefault="00490810" w14:paraId="4DFA3EAF" w14:textId="7C905757">
      <w:pPr>
        <w:rPr>
          <w:rFonts w:cs="Arial"/>
        </w:rPr>
      </w:pPr>
      <w:r>
        <w:rPr>
          <w:rFonts w:cs="Arial"/>
        </w:rPr>
        <w:t xml:space="preserve">Precision Targets do not need to be defined since </w:t>
      </w:r>
      <w:r>
        <w:t xml:space="preserve">no statistical analysis will be performed for the CWNS 2022. </w:t>
      </w:r>
    </w:p>
    <w:p w:rsidR="00C87A53" w:rsidP="00A825BA" w:rsidRDefault="00C87A53" w14:paraId="4DFA3EB4" w14:textId="77777777">
      <w:pPr>
        <w:pStyle w:val="H3"/>
        <w:rPr>
          <w:lang w:val="es-CO"/>
        </w:rPr>
      </w:pPr>
      <w:bookmarkStart w:name="_Toc134944444" w:id="30"/>
      <w:bookmarkStart w:name="_Toc139170341" w:id="31"/>
      <w:r w:rsidRPr="00F77678">
        <w:rPr>
          <w:lang w:val="es-CO"/>
        </w:rPr>
        <w:t>2(c)(ii) Non</w:t>
      </w:r>
      <w:r>
        <w:rPr>
          <w:lang w:val="es-CO"/>
        </w:rPr>
        <w:t>-</w:t>
      </w:r>
      <w:r w:rsidRPr="00F77678">
        <w:rPr>
          <w:lang w:val="es-CO"/>
        </w:rPr>
        <w:t>sampling error</w:t>
      </w:r>
      <w:bookmarkEnd w:id="30"/>
      <w:bookmarkEnd w:id="31"/>
    </w:p>
    <w:p w:rsidR="00C87A53" w:rsidP="00A825BA" w:rsidRDefault="00490810" w14:paraId="4DFA3EB5" w14:textId="1C86D100">
      <w:pPr>
        <w:pStyle w:val="H3"/>
        <w:ind w:left="0"/>
        <w:rPr>
          <w:b w:val="0"/>
        </w:rPr>
      </w:pPr>
      <w:r>
        <w:rPr>
          <w:b w:val="0"/>
        </w:rPr>
        <w:t>No Non-sampling err</w:t>
      </w:r>
      <w:r w:rsidRPr="00490810">
        <w:rPr>
          <w:b w:val="0"/>
        </w:rPr>
        <w:t xml:space="preserve">ors needs to be defined no statistical analysis will be performed for the CWNS 2022. </w:t>
      </w:r>
    </w:p>
    <w:p w:rsidRPr="00FB6838" w:rsidR="00C87A53" w:rsidP="00A825BA" w:rsidRDefault="00C87A53" w14:paraId="4DFA3EB6" w14:textId="77777777">
      <w:pPr>
        <w:pStyle w:val="H2"/>
      </w:pPr>
      <w:bookmarkStart w:name="_Toc134944445" w:id="32"/>
      <w:bookmarkStart w:name="_Toc139170342" w:id="33"/>
      <w:r w:rsidRPr="00FB6838">
        <w:t>2(d)</w:t>
      </w:r>
      <w:r w:rsidRPr="00FB6838">
        <w:tab/>
        <w:t>Questionnaire Design</w:t>
      </w:r>
      <w:bookmarkEnd w:id="32"/>
      <w:bookmarkEnd w:id="33"/>
    </w:p>
    <w:p w:rsidR="00C87A53" w:rsidP="002678C3" w:rsidRDefault="00490810" w14:paraId="4DFA3EC5" w14:textId="00CC4D7C">
      <w:r>
        <w:t xml:space="preserve">No additional Questionnaire is necessary since no statistical analysis will be performed for the CWNS 2022. </w:t>
      </w:r>
    </w:p>
    <w:p w:rsidR="00C87A53" w:rsidP="00A825BA" w:rsidRDefault="00C87A53" w14:paraId="4DFA3EC6" w14:textId="77777777"/>
    <w:p w:rsidRPr="00DB3280" w:rsidR="00C87A53" w:rsidP="00A825BA" w:rsidRDefault="00C87A53" w14:paraId="4DFA3EC7" w14:textId="77777777">
      <w:pPr>
        <w:pStyle w:val="H1"/>
      </w:pPr>
      <w:bookmarkStart w:name="_Toc134944446" w:id="34"/>
      <w:bookmarkStart w:name="_Toc139170343" w:id="35"/>
      <w:r w:rsidRPr="00DB3280">
        <w:t>3</w:t>
      </w:r>
      <w:r w:rsidRPr="00DB3280">
        <w:tab/>
        <w:t>PRETESTS AND PILOT TESTS</w:t>
      </w:r>
      <w:bookmarkEnd w:id="34"/>
      <w:bookmarkEnd w:id="35"/>
    </w:p>
    <w:p w:rsidR="00C87A53" w:rsidP="00A825BA" w:rsidRDefault="00490810" w14:paraId="4DFA3EC8" w14:textId="48036A8D">
      <w:r>
        <w:t>Since there is no statistical analysis being performed for the CWNS 2022, no pretests or pilot test were necessary to tes</w:t>
      </w:r>
      <w:r w:rsidR="00E6437C">
        <w:t>t</w:t>
      </w:r>
      <w:r>
        <w:t xml:space="preserve"> this approach. </w:t>
      </w:r>
    </w:p>
    <w:p w:rsidR="00C87A53" w:rsidP="00A825BA" w:rsidRDefault="00C87A53" w14:paraId="4DFA3EC9" w14:textId="77777777"/>
    <w:p w:rsidRPr="00DB3280" w:rsidR="00C87A53" w:rsidP="00A825BA" w:rsidRDefault="00C87A53" w14:paraId="4DFA3ECA" w14:textId="77777777">
      <w:pPr>
        <w:pStyle w:val="H1"/>
      </w:pPr>
      <w:bookmarkStart w:name="_Toc134944447" w:id="36"/>
      <w:bookmarkStart w:name="_Toc139170344" w:id="37"/>
      <w:r w:rsidRPr="00DB3280">
        <w:t>4</w:t>
      </w:r>
      <w:r w:rsidRPr="00DB3280">
        <w:tab/>
        <w:t>COLLECTION METHODS AND FOLLOW-UP</w:t>
      </w:r>
      <w:bookmarkEnd w:id="36"/>
      <w:bookmarkEnd w:id="37"/>
    </w:p>
    <w:p w:rsidRPr="00DB3280" w:rsidR="00C87A53" w:rsidP="00A825BA" w:rsidRDefault="00C87A53" w14:paraId="4DFA3ECB" w14:textId="77777777">
      <w:pPr>
        <w:pStyle w:val="H2"/>
      </w:pPr>
      <w:bookmarkStart w:name="_Toc134944448" w:id="38"/>
      <w:bookmarkStart w:name="_Toc139170345" w:id="39"/>
      <w:r w:rsidRPr="00DB3280">
        <w:t>4(a)</w:t>
      </w:r>
      <w:r w:rsidRPr="00DB3280">
        <w:tab/>
        <w:t>Collection Methods</w:t>
      </w:r>
      <w:bookmarkEnd w:id="38"/>
      <w:bookmarkEnd w:id="39"/>
    </w:p>
    <w:p w:rsidR="00C87A53" w:rsidP="00A825BA" w:rsidRDefault="00C87A53" w14:paraId="4DFA3ECC" w14:textId="3FC8C1A0">
      <w:r>
        <w:lastRenderedPageBreak/>
        <w:t xml:space="preserve">CWNS </w:t>
      </w:r>
      <w:r w:rsidR="0060137B">
        <w:t xml:space="preserve">State </w:t>
      </w:r>
      <w:r>
        <w:t xml:space="preserve">coordinators from states participating in the </w:t>
      </w:r>
      <w:r w:rsidR="00490810">
        <w:t>CWNS</w:t>
      </w:r>
      <w:r>
        <w:t xml:space="preserve"> will </w:t>
      </w:r>
      <w:r w:rsidR="0060137B">
        <w:t>be able to use the online CWNS DEP to input their state data</w:t>
      </w:r>
      <w:r>
        <w:t>:</w:t>
      </w:r>
    </w:p>
    <w:p w:rsidR="00C87A53" w:rsidP="00A825BA" w:rsidRDefault="00C87A53" w14:paraId="4DFA3ECD" w14:textId="77777777"/>
    <w:p w:rsidR="00C87A53" w:rsidP="00A825BA" w:rsidRDefault="00C87A53" w14:paraId="4DFA3ECE" w14:textId="39BBDCFF">
      <w:pPr>
        <w:pStyle w:val="ListParagraph"/>
        <w:numPr>
          <w:ilvl w:val="0"/>
          <w:numId w:val="16"/>
        </w:numPr>
      </w:pPr>
      <w:r>
        <w:t xml:space="preserve">Forms will be pre-populated with data currently in the </w:t>
      </w:r>
      <w:r w:rsidR="00490810">
        <w:t xml:space="preserve">2012 </w:t>
      </w:r>
      <w:r>
        <w:t>CWNS.</w:t>
      </w:r>
    </w:p>
    <w:p w:rsidR="0060137B" w:rsidP="00A825BA" w:rsidRDefault="0060137B" w14:paraId="5BC82678" w14:textId="67AF6AE8">
      <w:pPr>
        <w:pStyle w:val="ListParagraph"/>
        <w:numPr>
          <w:ilvl w:val="0"/>
          <w:numId w:val="16"/>
        </w:numPr>
      </w:pPr>
      <w:r>
        <w:t>State coordinators will be able to send dedicated links to small communities using the Small Community Form to simplify the process for submitting data to the DEP.</w:t>
      </w:r>
    </w:p>
    <w:p w:rsidRPr="00DB3280" w:rsidR="00C87A53" w:rsidP="00A825BA" w:rsidRDefault="00C87A53" w14:paraId="4DFA3ED1" w14:textId="77777777">
      <w:pPr>
        <w:pStyle w:val="H2"/>
        <w:keepNext/>
      </w:pPr>
      <w:bookmarkStart w:name="_Toc134944449" w:id="40"/>
      <w:bookmarkStart w:name="_Toc139170346" w:id="41"/>
      <w:r w:rsidRPr="00DB3280">
        <w:t>4(b)</w:t>
      </w:r>
      <w:r w:rsidRPr="00DB3280">
        <w:tab/>
        <w:t>Survey Response and Follow-up</w:t>
      </w:r>
      <w:bookmarkEnd w:id="40"/>
      <w:bookmarkEnd w:id="41"/>
    </w:p>
    <w:p w:rsidR="00C87A53" w:rsidP="00A825BA" w:rsidRDefault="00C87A53" w14:paraId="4DFA3ED2" w14:textId="7D9680D7">
      <w:r>
        <w:t>EPA plans to continue outreach and assistance efforts</w:t>
      </w:r>
      <w:r w:rsidR="0060137B">
        <w:t xml:space="preserve"> for all states</w:t>
      </w:r>
      <w:r>
        <w:t>, as needed</w:t>
      </w:r>
      <w:r w:rsidR="0060137B">
        <w:t>, over the course of data collection.</w:t>
      </w:r>
      <w:r>
        <w:t xml:space="preserve">  </w:t>
      </w:r>
    </w:p>
    <w:p w:rsidR="00C87A53" w:rsidP="00A825BA" w:rsidRDefault="00C87A53" w14:paraId="4DFA3ED3" w14:textId="77777777"/>
    <w:p w:rsidRPr="00DB3280" w:rsidR="00C87A53" w:rsidP="00A825BA" w:rsidRDefault="00C87A53" w14:paraId="4DFA3ED4" w14:textId="77777777">
      <w:pPr>
        <w:pStyle w:val="H1"/>
      </w:pPr>
      <w:bookmarkStart w:name="_Toc134944450" w:id="42"/>
      <w:bookmarkStart w:name="_Toc139170347" w:id="43"/>
      <w:r w:rsidRPr="00DB3280">
        <w:t>5</w:t>
      </w:r>
      <w:r w:rsidRPr="00DB3280">
        <w:tab/>
        <w:t>ANALYZING AND REPORTING SURVEY RESULTS</w:t>
      </w:r>
      <w:bookmarkEnd w:id="42"/>
      <w:bookmarkEnd w:id="43"/>
    </w:p>
    <w:p w:rsidRPr="00DB3280" w:rsidR="00C87A53" w:rsidP="00A825BA" w:rsidRDefault="00C87A53" w14:paraId="4DFA3ED5" w14:textId="77777777">
      <w:pPr>
        <w:pStyle w:val="H2"/>
      </w:pPr>
      <w:bookmarkStart w:name="_Toc134944451" w:id="44"/>
      <w:bookmarkStart w:name="_Toc139170348" w:id="45"/>
      <w:r w:rsidRPr="00DB3280">
        <w:t>5(a)</w:t>
      </w:r>
      <w:r w:rsidRPr="00DB3280">
        <w:tab/>
        <w:t>Data Preparation</w:t>
      </w:r>
      <w:bookmarkEnd w:id="44"/>
      <w:bookmarkEnd w:id="45"/>
    </w:p>
    <w:p w:rsidR="00C87A53" w:rsidP="00A825BA" w:rsidRDefault="00C87A53" w14:paraId="4DFA3ED6" w14:textId="11D9BEE8">
      <w:r>
        <w:t>States are ultimately responsible for collecting and entering the information into the CWNS DEP and for the quality of the data entered. The DEP is equipped with automatic error checks to identify systems that fall outside certain normal parameter</w:t>
      </w:r>
      <w:r w:rsidR="00E6437C">
        <w:t>s</w:t>
      </w:r>
      <w:r>
        <w:t xml:space="preserve"> and during the data entry period of the CWNS </w:t>
      </w:r>
      <w:r w:rsidR="0060137B">
        <w:t xml:space="preserve">2022 </w:t>
      </w:r>
      <w:r>
        <w:t xml:space="preserve">EPA and its contractors will perform reviews of the information and documentation submitted. </w:t>
      </w:r>
    </w:p>
    <w:p w:rsidRPr="00DB3280" w:rsidR="00C87A53" w:rsidP="00A825BA" w:rsidRDefault="00C87A53" w14:paraId="4DFA3ED7" w14:textId="77777777">
      <w:pPr>
        <w:pStyle w:val="H2"/>
      </w:pPr>
      <w:bookmarkStart w:name="_Toc134944452" w:id="46"/>
      <w:bookmarkStart w:name="_Toc139170349" w:id="47"/>
      <w:r w:rsidRPr="00DB3280">
        <w:t>5(b)</w:t>
      </w:r>
      <w:r w:rsidRPr="00DB3280">
        <w:tab/>
        <w:t>Analysis</w:t>
      </w:r>
      <w:bookmarkEnd w:id="46"/>
      <w:bookmarkEnd w:id="47"/>
    </w:p>
    <w:p w:rsidR="00C87A53" w:rsidP="00A825BA" w:rsidRDefault="0060137B" w14:paraId="4DFA3ED8" w14:textId="05BF7148">
      <w:r>
        <w:t xml:space="preserve">No statistical analysis or extrapolation will be performed for the CWNS 2022. </w:t>
      </w:r>
    </w:p>
    <w:p w:rsidRPr="00DB3280" w:rsidR="00C87A53" w:rsidP="00A825BA" w:rsidRDefault="00C87A53" w14:paraId="4DFA3ED9" w14:textId="77777777">
      <w:pPr>
        <w:pStyle w:val="H2"/>
      </w:pPr>
      <w:bookmarkStart w:name="_Toc134944453" w:id="48"/>
      <w:bookmarkStart w:name="_Toc139170350" w:id="49"/>
      <w:bookmarkStart w:name="OLE_LINK1" w:id="50"/>
      <w:bookmarkStart w:name="OLE_LINK2" w:id="51"/>
      <w:r w:rsidRPr="00DB3280">
        <w:t>5(c)</w:t>
      </w:r>
      <w:r w:rsidRPr="00DB3280">
        <w:tab/>
        <w:t>Reporting Results</w:t>
      </w:r>
      <w:bookmarkEnd w:id="48"/>
      <w:bookmarkEnd w:id="49"/>
    </w:p>
    <w:bookmarkEnd w:id="50"/>
    <w:bookmarkEnd w:id="51"/>
    <w:p w:rsidR="00C87A53" w:rsidP="00A825BA" w:rsidRDefault="00C87A53" w14:paraId="4DFA3EDA" w14:textId="0299F3EE">
      <w:pPr>
        <w:rPr>
          <w:szCs w:val="24"/>
        </w:rPr>
      </w:pPr>
      <w:r w:rsidRPr="002071DF">
        <w:rPr>
          <w:szCs w:val="24"/>
        </w:rPr>
        <w:t xml:space="preserve">Traditional Method capital needs </w:t>
      </w:r>
      <w:r w:rsidR="0060137B">
        <w:rPr>
          <w:szCs w:val="24"/>
        </w:rPr>
        <w:t xml:space="preserve">will be reported </w:t>
      </w:r>
      <w:r w:rsidRPr="002071DF">
        <w:rPr>
          <w:szCs w:val="24"/>
        </w:rPr>
        <w:t xml:space="preserve">in the CWNS </w:t>
      </w:r>
      <w:r w:rsidR="0060137B">
        <w:rPr>
          <w:szCs w:val="24"/>
        </w:rPr>
        <w:t>2022</w:t>
      </w:r>
      <w:r w:rsidRPr="002071DF" w:rsidR="0060137B">
        <w:rPr>
          <w:szCs w:val="24"/>
        </w:rPr>
        <w:t xml:space="preserve"> </w:t>
      </w:r>
      <w:r w:rsidRPr="002071DF">
        <w:rPr>
          <w:szCs w:val="24"/>
        </w:rPr>
        <w:t xml:space="preserve">Report to Congress. </w:t>
      </w:r>
    </w:p>
    <w:p w:rsidR="00C87A53" w:rsidP="00A825BA" w:rsidRDefault="00C87A53" w14:paraId="4DFA3EDB" w14:textId="77777777">
      <w:pPr>
        <w:rPr>
          <w:szCs w:val="24"/>
        </w:rPr>
      </w:pPr>
    </w:p>
    <w:p w:rsidRPr="00A77CD8" w:rsidR="00C87A53" w:rsidP="00A825BA" w:rsidRDefault="00C87A53" w14:paraId="4DFA3EE5" w14:textId="51D07771">
      <w:pPr>
        <w:ind w:left="-540"/>
        <w:rPr>
          <w:szCs w:val="24"/>
        </w:rPr>
      </w:pPr>
    </w:p>
    <w:sectPr w:rsidRPr="00A77CD8" w:rsidR="00C87A53" w:rsidSect="00A825B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A3EE9" w14:textId="77777777" w:rsidR="00C87A53" w:rsidRDefault="00C87A53" w:rsidP="00803025">
      <w:r>
        <w:separator/>
      </w:r>
    </w:p>
  </w:endnote>
  <w:endnote w:type="continuationSeparator" w:id="0">
    <w:p w14:paraId="4DFA3EEA" w14:textId="77777777" w:rsidR="00C87A53" w:rsidRDefault="00C87A53" w:rsidP="0080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3EEB" w14:textId="77777777" w:rsidR="00C87A53" w:rsidRDefault="00C87A53" w:rsidP="00FB6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A3EEC" w14:textId="77777777" w:rsidR="00C87A53" w:rsidRDefault="00C87A53" w:rsidP="00A53F00">
    <w:pPr>
      <w:framePr w:w="9360" w:h="280" w:hRule="exact" w:wrap="notBeside" w:vAnchor="page" w:hAnchor="page" w:x="1415" w:y="1510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rPr>
        <w:color w:val="000000"/>
      </w:rPr>
      <w:pgNum/>
    </w:r>
  </w:p>
  <w:p w14:paraId="4DFA3EED" w14:textId="77777777" w:rsidR="00C87A53" w:rsidRDefault="00C87A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3EEE" w14:textId="77777777" w:rsidR="00C87A53" w:rsidRDefault="00C87A53" w:rsidP="00FB6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FA3EEF" w14:textId="77777777" w:rsidR="00C87A53" w:rsidRDefault="00C8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A3EE7" w14:textId="77777777" w:rsidR="00C87A53" w:rsidRDefault="00C87A53" w:rsidP="00803025">
      <w:r>
        <w:separator/>
      </w:r>
    </w:p>
  </w:footnote>
  <w:footnote w:type="continuationSeparator" w:id="0">
    <w:p w14:paraId="4DFA3EE8" w14:textId="77777777" w:rsidR="00C87A53" w:rsidRDefault="00C87A53" w:rsidP="00803025">
      <w:r>
        <w:continuationSeparator/>
      </w:r>
    </w:p>
  </w:footnote>
  <w:footnote w:id="1">
    <w:p w14:paraId="70F8F422" w14:textId="27758D15" w:rsidR="00E6437C" w:rsidRDefault="00E6437C">
      <w:pPr>
        <w:pStyle w:val="FootnoteText"/>
      </w:pPr>
      <w:r>
        <w:rPr>
          <w:rStyle w:val="FootnoteReference"/>
        </w:rPr>
        <w:footnoteRef/>
      </w:r>
      <w:r>
        <w:t xml:space="preserve"> The “Gap Approach” was developed in advance of the CWNS 2012 to provide states the option of using a statistical approach to estimate needs for their wastewater systems to reduce the burden and only require data collection from a smaller subsection of wastewater systems in each state. However, this approach was never implemented.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7EF9"/>
    <w:multiLevelType w:val="hybridMultilevel"/>
    <w:tmpl w:val="B07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3716"/>
    <w:multiLevelType w:val="hybridMultilevel"/>
    <w:tmpl w:val="4A98242A"/>
    <w:lvl w:ilvl="0" w:tplc="B2865B20">
      <w:numFmt w:val="bullet"/>
      <w:lvlText w:val="•"/>
      <w:lvlJc w:val="left"/>
      <w:pPr>
        <w:ind w:left="1440" w:hanging="72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D1E14"/>
    <w:multiLevelType w:val="hybridMultilevel"/>
    <w:tmpl w:val="4A60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1234A"/>
    <w:multiLevelType w:val="hybridMultilevel"/>
    <w:tmpl w:val="338E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30C03"/>
    <w:multiLevelType w:val="hybridMultilevel"/>
    <w:tmpl w:val="04FE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B13"/>
    <w:multiLevelType w:val="hybridMultilevel"/>
    <w:tmpl w:val="EC8A0732"/>
    <w:lvl w:ilvl="0" w:tplc="B2865B20">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38B2738"/>
    <w:multiLevelType w:val="hybridMultilevel"/>
    <w:tmpl w:val="8E92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9A2D4F"/>
    <w:multiLevelType w:val="hybridMultilevel"/>
    <w:tmpl w:val="B41888C0"/>
    <w:lvl w:ilvl="0" w:tplc="B2865B20">
      <w:numFmt w:val="bullet"/>
      <w:lvlText w:val="•"/>
      <w:lvlJc w:val="left"/>
      <w:pPr>
        <w:ind w:left="720" w:hanging="72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43869AC"/>
    <w:multiLevelType w:val="hybridMultilevel"/>
    <w:tmpl w:val="4F7A83F0"/>
    <w:lvl w:ilvl="0" w:tplc="04090001">
      <w:start w:val="1"/>
      <w:numFmt w:val="bullet"/>
      <w:lvlText w:val=""/>
      <w:lvlJc w:val="left"/>
      <w:pPr>
        <w:ind w:left="720" w:hanging="360"/>
      </w:pPr>
      <w:rPr>
        <w:rFonts w:ascii="Symbol" w:hAnsi="Symbol" w:hint="default"/>
      </w:rPr>
    </w:lvl>
    <w:lvl w:ilvl="1" w:tplc="0C020806">
      <w:start w:val="30"/>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8798B"/>
    <w:multiLevelType w:val="hybridMultilevel"/>
    <w:tmpl w:val="C6EAA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BF667B"/>
    <w:multiLevelType w:val="hybridMultilevel"/>
    <w:tmpl w:val="839678AC"/>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09A71BF"/>
    <w:multiLevelType w:val="hybridMultilevel"/>
    <w:tmpl w:val="DC1EF6D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B7033A6"/>
    <w:multiLevelType w:val="hybridMultilevel"/>
    <w:tmpl w:val="351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F5106"/>
    <w:multiLevelType w:val="hybridMultilevel"/>
    <w:tmpl w:val="172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1B3A"/>
    <w:multiLevelType w:val="hybridMultilevel"/>
    <w:tmpl w:val="64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7A573F"/>
    <w:multiLevelType w:val="hybridMultilevel"/>
    <w:tmpl w:val="AC0A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4"/>
  </w:num>
  <w:num w:numId="5">
    <w:abstractNumId w:val="5"/>
  </w:num>
  <w:num w:numId="6">
    <w:abstractNumId w:val="2"/>
  </w:num>
  <w:num w:numId="7">
    <w:abstractNumId w:val="3"/>
  </w:num>
  <w:num w:numId="8">
    <w:abstractNumId w:val="11"/>
  </w:num>
  <w:num w:numId="9">
    <w:abstractNumId w:val="10"/>
  </w:num>
  <w:num w:numId="10">
    <w:abstractNumId w:val="13"/>
  </w:num>
  <w:num w:numId="11">
    <w:abstractNumId w:val="4"/>
  </w:num>
  <w:num w:numId="12">
    <w:abstractNumId w:val="6"/>
  </w:num>
  <w:num w:numId="13">
    <w:abstractNumId w:val="0"/>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F"/>
    <w:rsid w:val="00022C60"/>
    <w:rsid w:val="000310AC"/>
    <w:rsid w:val="000641D0"/>
    <w:rsid w:val="000A2D6C"/>
    <w:rsid w:val="00130624"/>
    <w:rsid w:val="00141DBF"/>
    <w:rsid w:val="0014457F"/>
    <w:rsid w:val="00145FBA"/>
    <w:rsid w:val="00180F6A"/>
    <w:rsid w:val="001830DD"/>
    <w:rsid w:val="001C2B87"/>
    <w:rsid w:val="001C3DF0"/>
    <w:rsid w:val="001D4D49"/>
    <w:rsid w:val="001E224F"/>
    <w:rsid w:val="002071DF"/>
    <w:rsid w:val="00240152"/>
    <w:rsid w:val="002678C3"/>
    <w:rsid w:val="002834C4"/>
    <w:rsid w:val="002A6534"/>
    <w:rsid w:val="002B0FAF"/>
    <w:rsid w:val="002B252A"/>
    <w:rsid w:val="002D0114"/>
    <w:rsid w:val="00304AB5"/>
    <w:rsid w:val="0032570C"/>
    <w:rsid w:val="003456FA"/>
    <w:rsid w:val="00355A51"/>
    <w:rsid w:val="00397036"/>
    <w:rsid w:val="003C0626"/>
    <w:rsid w:val="003D2F9F"/>
    <w:rsid w:val="003F6E93"/>
    <w:rsid w:val="00402DCF"/>
    <w:rsid w:val="00404D3F"/>
    <w:rsid w:val="00437FCF"/>
    <w:rsid w:val="00490810"/>
    <w:rsid w:val="0049608E"/>
    <w:rsid w:val="004E265A"/>
    <w:rsid w:val="004E506D"/>
    <w:rsid w:val="005174D0"/>
    <w:rsid w:val="00517918"/>
    <w:rsid w:val="00532949"/>
    <w:rsid w:val="00556012"/>
    <w:rsid w:val="00574BB7"/>
    <w:rsid w:val="00576DED"/>
    <w:rsid w:val="005B5516"/>
    <w:rsid w:val="005E6B9F"/>
    <w:rsid w:val="0060137B"/>
    <w:rsid w:val="00620DAC"/>
    <w:rsid w:val="00644A8C"/>
    <w:rsid w:val="00653AF7"/>
    <w:rsid w:val="0066422F"/>
    <w:rsid w:val="006A193A"/>
    <w:rsid w:val="006A623C"/>
    <w:rsid w:val="006F4584"/>
    <w:rsid w:val="0070478A"/>
    <w:rsid w:val="00706EEC"/>
    <w:rsid w:val="00721EE9"/>
    <w:rsid w:val="00792FC9"/>
    <w:rsid w:val="007B663A"/>
    <w:rsid w:val="007C438F"/>
    <w:rsid w:val="007C7761"/>
    <w:rsid w:val="007D11F9"/>
    <w:rsid w:val="007F52C5"/>
    <w:rsid w:val="00803025"/>
    <w:rsid w:val="00846391"/>
    <w:rsid w:val="008465DC"/>
    <w:rsid w:val="008A252B"/>
    <w:rsid w:val="008A2D06"/>
    <w:rsid w:val="008D1C07"/>
    <w:rsid w:val="008F66CD"/>
    <w:rsid w:val="00944D7E"/>
    <w:rsid w:val="009825BE"/>
    <w:rsid w:val="00997E52"/>
    <w:rsid w:val="009C47A2"/>
    <w:rsid w:val="00A24F09"/>
    <w:rsid w:val="00A2767A"/>
    <w:rsid w:val="00A37050"/>
    <w:rsid w:val="00A53F00"/>
    <w:rsid w:val="00A5599F"/>
    <w:rsid w:val="00A5663A"/>
    <w:rsid w:val="00A77CD8"/>
    <w:rsid w:val="00A825BA"/>
    <w:rsid w:val="00AF1046"/>
    <w:rsid w:val="00B168BD"/>
    <w:rsid w:val="00B20FFD"/>
    <w:rsid w:val="00B2105F"/>
    <w:rsid w:val="00B2760B"/>
    <w:rsid w:val="00B34356"/>
    <w:rsid w:val="00B74D1B"/>
    <w:rsid w:val="00B902D3"/>
    <w:rsid w:val="00BC4E98"/>
    <w:rsid w:val="00BC7E20"/>
    <w:rsid w:val="00BF4DC6"/>
    <w:rsid w:val="00C22088"/>
    <w:rsid w:val="00C25807"/>
    <w:rsid w:val="00C87A53"/>
    <w:rsid w:val="00CA22F4"/>
    <w:rsid w:val="00CD7FCF"/>
    <w:rsid w:val="00CF69E1"/>
    <w:rsid w:val="00D14F90"/>
    <w:rsid w:val="00D349B0"/>
    <w:rsid w:val="00D373A8"/>
    <w:rsid w:val="00D419F3"/>
    <w:rsid w:val="00D62075"/>
    <w:rsid w:val="00D83A75"/>
    <w:rsid w:val="00DA4E5F"/>
    <w:rsid w:val="00DB3280"/>
    <w:rsid w:val="00DB7F4E"/>
    <w:rsid w:val="00DE6A32"/>
    <w:rsid w:val="00E005F4"/>
    <w:rsid w:val="00E06A7C"/>
    <w:rsid w:val="00E60F7A"/>
    <w:rsid w:val="00E6437C"/>
    <w:rsid w:val="00E976FC"/>
    <w:rsid w:val="00EA1253"/>
    <w:rsid w:val="00ED083E"/>
    <w:rsid w:val="00EF4418"/>
    <w:rsid w:val="00F26BDD"/>
    <w:rsid w:val="00F3119B"/>
    <w:rsid w:val="00F44B61"/>
    <w:rsid w:val="00F54BAA"/>
    <w:rsid w:val="00F73D20"/>
    <w:rsid w:val="00F77678"/>
    <w:rsid w:val="00F848ED"/>
    <w:rsid w:val="00FB6111"/>
    <w:rsid w:val="00FB6838"/>
    <w:rsid w:val="00FC3B58"/>
    <w:rsid w:val="00FC7279"/>
    <w:rsid w:val="00FF5D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A3E8C"/>
  <w15:docId w15:val="{2517089E-FBE3-4318-B30A-199CFAD7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9F"/>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link w:val="H1Char"/>
    <w:uiPriority w:val="99"/>
    <w:rsid w:val="003D2F9F"/>
    <w:pPr>
      <w:widowControl w:val="0"/>
      <w:spacing w:before="240" w:after="240"/>
    </w:pPr>
    <w:rPr>
      <w:b/>
      <w:sz w:val="28"/>
      <w:szCs w:val="28"/>
    </w:rPr>
  </w:style>
  <w:style w:type="paragraph" w:customStyle="1" w:styleId="H2">
    <w:name w:val="H2"/>
    <w:basedOn w:val="Normal"/>
    <w:uiPriority w:val="99"/>
    <w:rsid w:val="003D2F9F"/>
    <w:pPr>
      <w:widowControl w:val="0"/>
      <w:spacing w:before="240" w:after="240"/>
    </w:pPr>
    <w:rPr>
      <w:b/>
    </w:rPr>
  </w:style>
  <w:style w:type="paragraph" w:customStyle="1" w:styleId="H3">
    <w:name w:val="H3"/>
    <w:basedOn w:val="Normal"/>
    <w:uiPriority w:val="99"/>
    <w:rsid w:val="003D2F9F"/>
    <w:pPr>
      <w:widowControl w:val="0"/>
      <w:spacing w:before="240" w:after="240"/>
      <w:ind w:left="720"/>
    </w:pPr>
    <w:rPr>
      <w:b/>
    </w:rPr>
  </w:style>
  <w:style w:type="paragraph" w:styleId="Header">
    <w:name w:val="header"/>
    <w:basedOn w:val="Normal"/>
    <w:link w:val="HeaderChar"/>
    <w:uiPriority w:val="99"/>
    <w:rsid w:val="003D2F9F"/>
    <w:pPr>
      <w:tabs>
        <w:tab w:val="center" w:pos="4320"/>
        <w:tab w:val="right" w:pos="8640"/>
      </w:tabs>
    </w:pPr>
  </w:style>
  <w:style w:type="character" w:customStyle="1" w:styleId="HeaderChar">
    <w:name w:val="Header Char"/>
    <w:basedOn w:val="DefaultParagraphFont"/>
    <w:link w:val="Header"/>
    <w:uiPriority w:val="99"/>
    <w:locked/>
    <w:rsid w:val="003D2F9F"/>
    <w:rPr>
      <w:rFonts w:ascii="Times New Roman" w:hAnsi="Times New Roman" w:cs="Times New Roman"/>
      <w:sz w:val="20"/>
      <w:szCs w:val="20"/>
    </w:rPr>
  </w:style>
  <w:style w:type="character" w:customStyle="1" w:styleId="H1Char">
    <w:name w:val="H1 Char"/>
    <w:basedOn w:val="DefaultParagraphFont"/>
    <w:link w:val="H1"/>
    <w:uiPriority w:val="99"/>
    <w:locked/>
    <w:rsid w:val="003D2F9F"/>
    <w:rPr>
      <w:rFonts w:ascii="Times New Roman" w:hAnsi="Times New Roman" w:cs="Times New Roman"/>
      <w:b/>
      <w:sz w:val="28"/>
      <w:szCs w:val="28"/>
    </w:rPr>
  </w:style>
  <w:style w:type="paragraph" w:styleId="ListParagraph">
    <w:name w:val="List Paragraph"/>
    <w:basedOn w:val="Normal"/>
    <w:uiPriority w:val="99"/>
    <w:qFormat/>
    <w:rsid w:val="00F26BDD"/>
    <w:pPr>
      <w:ind w:left="720"/>
      <w:contextualSpacing/>
    </w:pPr>
  </w:style>
  <w:style w:type="character" w:styleId="CommentReference">
    <w:name w:val="annotation reference"/>
    <w:basedOn w:val="DefaultParagraphFont"/>
    <w:uiPriority w:val="99"/>
    <w:semiHidden/>
    <w:rsid w:val="000641D0"/>
    <w:rPr>
      <w:rFonts w:cs="Times New Roman"/>
      <w:sz w:val="16"/>
      <w:szCs w:val="16"/>
    </w:rPr>
  </w:style>
  <w:style w:type="paragraph" w:styleId="CommentText">
    <w:name w:val="annotation text"/>
    <w:basedOn w:val="Normal"/>
    <w:link w:val="CommentTextChar"/>
    <w:uiPriority w:val="99"/>
    <w:semiHidden/>
    <w:rsid w:val="000641D0"/>
    <w:rPr>
      <w:sz w:val="20"/>
    </w:rPr>
  </w:style>
  <w:style w:type="character" w:customStyle="1" w:styleId="CommentTextChar">
    <w:name w:val="Comment Text Char"/>
    <w:basedOn w:val="DefaultParagraphFont"/>
    <w:link w:val="CommentText"/>
    <w:uiPriority w:val="99"/>
    <w:semiHidden/>
    <w:locked/>
    <w:rsid w:val="000641D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641D0"/>
    <w:rPr>
      <w:b/>
      <w:bCs/>
    </w:rPr>
  </w:style>
  <w:style w:type="character" w:customStyle="1" w:styleId="CommentSubjectChar">
    <w:name w:val="Comment Subject Char"/>
    <w:basedOn w:val="CommentTextChar"/>
    <w:link w:val="CommentSubject"/>
    <w:uiPriority w:val="99"/>
    <w:semiHidden/>
    <w:locked/>
    <w:rsid w:val="000641D0"/>
    <w:rPr>
      <w:rFonts w:ascii="Times New Roman" w:hAnsi="Times New Roman" w:cs="Times New Roman"/>
      <w:b/>
      <w:bCs/>
      <w:sz w:val="20"/>
      <w:szCs w:val="20"/>
    </w:rPr>
  </w:style>
  <w:style w:type="paragraph" w:styleId="BalloonText">
    <w:name w:val="Balloon Text"/>
    <w:basedOn w:val="Normal"/>
    <w:link w:val="BalloonTextChar"/>
    <w:uiPriority w:val="99"/>
    <w:semiHidden/>
    <w:rsid w:val="000641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41D0"/>
    <w:rPr>
      <w:rFonts w:ascii="Tahoma" w:hAnsi="Tahoma" w:cs="Tahoma"/>
      <w:sz w:val="16"/>
      <w:szCs w:val="16"/>
    </w:rPr>
  </w:style>
  <w:style w:type="paragraph" w:styleId="Footer">
    <w:name w:val="footer"/>
    <w:basedOn w:val="Normal"/>
    <w:link w:val="FooterChar"/>
    <w:uiPriority w:val="99"/>
    <w:rsid w:val="008D1C07"/>
    <w:pPr>
      <w:tabs>
        <w:tab w:val="center" w:pos="4320"/>
        <w:tab w:val="right" w:pos="8640"/>
      </w:tabs>
    </w:pPr>
  </w:style>
  <w:style w:type="character" w:customStyle="1" w:styleId="FooterChar">
    <w:name w:val="Footer Char"/>
    <w:basedOn w:val="DefaultParagraphFont"/>
    <w:link w:val="Footer"/>
    <w:uiPriority w:val="99"/>
    <w:semiHidden/>
    <w:locked/>
    <w:rsid w:val="00A37050"/>
    <w:rPr>
      <w:rFonts w:ascii="Times New Roman" w:hAnsi="Times New Roman" w:cs="Times New Roman"/>
      <w:sz w:val="20"/>
      <w:szCs w:val="20"/>
    </w:rPr>
  </w:style>
  <w:style w:type="character" w:styleId="PageNumber">
    <w:name w:val="page number"/>
    <w:basedOn w:val="DefaultParagraphFont"/>
    <w:uiPriority w:val="99"/>
    <w:rsid w:val="008D1C07"/>
    <w:rPr>
      <w:rFonts w:cs="Times New Roman"/>
    </w:rPr>
  </w:style>
  <w:style w:type="paragraph" w:styleId="FootnoteText">
    <w:name w:val="footnote text"/>
    <w:basedOn w:val="Normal"/>
    <w:link w:val="FootnoteTextChar"/>
    <w:uiPriority w:val="99"/>
    <w:semiHidden/>
    <w:unhideWhenUsed/>
    <w:rsid w:val="00E6437C"/>
    <w:rPr>
      <w:sz w:val="20"/>
    </w:rPr>
  </w:style>
  <w:style w:type="character" w:customStyle="1" w:styleId="FootnoteTextChar">
    <w:name w:val="Footnote Text Char"/>
    <w:basedOn w:val="DefaultParagraphFont"/>
    <w:link w:val="FootnoteText"/>
    <w:uiPriority w:val="99"/>
    <w:semiHidden/>
    <w:rsid w:val="00E6437C"/>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E643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E0D6-BD1B-454B-BB69-848F8AAC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598</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Escobar, Alejandro</dc:creator>
  <cp:keywords/>
  <dc:description/>
  <cp:lastModifiedBy>Klein, Joshua</cp:lastModifiedBy>
  <cp:revision>6</cp:revision>
  <cp:lastPrinted>2010-08-11T15:04:00Z</cp:lastPrinted>
  <dcterms:created xsi:type="dcterms:W3CDTF">2021-07-30T17:13:00Z</dcterms:created>
  <dcterms:modified xsi:type="dcterms:W3CDTF">2021-07-30T20:53:00Z</dcterms:modified>
</cp:coreProperties>
</file>