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81E" w:rsidR="0078281E" w:rsidP="0078281E" w:rsidRDefault="0078281E" w14:paraId="3821FB41" w14:textId="73E210EA">
      <w:pPr>
        <w:contextualSpacing/>
      </w:pPr>
      <w:r w:rsidRPr="0078281E">
        <w:t>Information Collection Request (ICR) for Protection of Stratospheric Ozone: Standards Related</w:t>
      </w:r>
      <w:r w:rsidR="00D00EE3">
        <w:t xml:space="preserve"> to</w:t>
      </w:r>
      <w:r w:rsidRPr="0078281E">
        <w:t xml:space="preserve"> </w:t>
      </w:r>
      <w:r w:rsidR="00E64BEF">
        <w:t xml:space="preserve">the Manufacture of </w:t>
      </w:r>
      <w:r w:rsidRPr="0078281E">
        <w:t xml:space="preserve">Class II Ozone-Depleting Substances </w:t>
      </w:r>
      <w:r w:rsidR="00E64BEF">
        <w:t>for Feedstock</w:t>
      </w:r>
    </w:p>
    <w:p w:rsidR="0078281E" w:rsidP="00C27CAD" w:rsidRDefault="0078281E" w14:paraId="3E717C78" w14:textId="77777777"/>
    <w:p w:rsidR="003F4B8D" w:rsidP="00C27CAD" w:rsidRDefault="00F4196E" w14:paraId="033C2D29" w14:textId="7B85288C">
      <w:r>
        <w:t>PART A OF THE SUPPORTING STATEMENT</w:t>
      </w:r>
      <w:r w:rsidR="00195BD6">
        <w:t xml:space="preserve"> </w:t>
      </w:r>
    </w:p>
    <w:p w:rsidRPr="003D08E6" w:rsidR="005B46E4" w:rsidP="008A1447" w:rsidRDefault="005B46E4" w14:paraId="48143455" w14:textId="77777777">
      <w:pPr>
        <w:pStyle w:val="Heading1"/>
      </w:pPr>
      <w:r w:rsidRPr="003D08E6">
        <w:t>1. Identification of the Information Collection</w:t>
      </w:r>
    </w:p>
    <w:p w:rsidRPr="0078281E" w:rsidR="0078281E" w:rsidP="0078281E" w:rsidRDefault="005B46E4" w14:paraId="7AC0849C" w14:textId="7C860E17">
      <w:pPr>
        <w:pStyle w:val="Heading2"/>
      </w:pPr>
      <w:r w:rsidRPr="006B3D7F">
        <w:t xml:space="preserve">(a) </w:t>
      </w:r>
      <w:r w:rsidRPr="006B3D7F">
        <w:tab/>
      </w:r>
      <w:r w:rsidRPr="00E64BEF">
        <w:rPr>
          <w:b w:val="0"/>
          <w:bCs/>
        </w:rPr>
        <w:t>Title</w:t>
      </w:r>
      <w:r w:rsidRPr="00E64BEF" w:rsidR="007529CD">
        <w:rPr>
          <w:b w:val="0"/>
          <w:bCs/>
        </w:rPr>
        <w:t>:</w:t>
      </w:r>
      <w:bookmarkStart w:name="OLE_LINK1" w:id="0"/>
      <w:r w:rsidRPr="00E64BEF" w:rsidR="0078281E">
        <w:rPr>
          <w:b w:val="0"/>
          <w:bCs/>
        </w:rPr>
        <w:t xml:space="preserve"> Information Collection Request (ICR) for Protection of Stratospheric Ozone: </w:t>
      </w:r>
      <w:r w:rsidRPr="00E64BEF" w:rsidR="00E64BEF">
        <w:rPr>
          <w:b w:val="0"/>
          <w:bCs/>
        </w:rPr>
        <w:t>Standards Related the Manufacture of Class II Ozone-Depleting Substances for Feedstock</w:t>
      </w:r>
    </w:p>
    <w:bookmarkEnd w:id="0"/>
    <w:p w:rsidRPr="00924EFA" w:rsidR="005B46E4" w:rsidRDefault="00425164" w14:paraId="01D318FF" w14:textId="74CB449F">
      <w:r>
        <w:tab/>
        <w:t>OMB Number:</w:t>
      </w:r>
      <w:r>
        <w:tab/>
      </w:r>
      <w:r w:rsidRPr="00AB28FF" w:rsidR="00AB28FF">
        <w:t>2060-0170</w:t>
      </w:r>
      <w:r w:rsidRPr="00924EFA" w:rsidR="005B46E4">
        <w:tab/>
      </w:r>
    </w:p>
    <w:p w:rsidR="005B46E4" w:rsidRDefault="00FA29F1" w14:paraId="1A72947A" w14:textId="6DCDF634">
      <w:r>
        <w:tab/>
        <w:t>EPA</w:t>
      </w:r>
      <w:r w:rsidR="007529CD">
        <w:t xml:space="preserve"> ICR Number:</w:t>
      </w:r>
      <w:r w:rsidR="007529CD">
        <w:tab/>
      </w:r>
      <w:r w:rsidRPr="00DD6F29" w:rsidR="001B0D10">
        <w:t>1432.</w:t>
      </w:r>
      <w:r w:rsidRPr="00DD6F29" w:rsidR="00AB28FF">
        <w:t>3</w:t>
      </w:r>
      <w:r w:rsidRPr="00AB28FF" w:rsidR="00AB28FF">
        <w:t>7</w:t>
      </w:r>
    </w:p>
    <w:p w:rsidRPr="00924EFA" w:rsidR="000F5310" w:rsidP="000F5310" w:rsidRDefault="000F5310" w14:paraId="1B306262" w14:textId="77777777">
      <w:pPr>
        <w:pStyle w:val="Heading2"/>
      </w:pPr>
      <w:r w:rsidRPr="006B3D7F">
        <w:t xml:space="preserve">(b) </w:t>
      </w:r>
      <w:r w:rsidRPr="006B3D7F">
        <w:tab/>
        <w:t>Short</w:t>
      </w:r>
      <w:r w:rsidRPr="00924EFA">
        <w:t xml:space="preserve"> Characterization</w:t>
      </w:r>
    </w:p>
    <w:p w:rsidR="008575CF" w:rsidP="000F5310" w:rsidRDefault="000F5310" w14:paraId="7CEE1DCA" w14:textId="37D400B5">
      <w:r>
        <w:t xml:space="preserve">This </w:t>
      </w:r>
      <w:r w:rsidR="000A0D70">
        <w:t xml:space="preserve">rule-related </w:t>
      </w:r>
      <w:r>
        <w:t xml:space="preserve">information collection request (ICR) is being proposed in accordance with </w:t>
      </w:r>
      <w:r w:rsidR="008575CF">
        <w:t>the proposed rulemaking, “</w:t>
      </w:r>
      <w:r w:rsidRPr="003543A0" w:rsidR="008575CF">
        <w:t xml:space="preserve">Protection of Stratospheric Ozone: </w:t>
      </w:r>
      <w:r w:rsidRPr="0078281E" w:rsidR="00D00EE3">
        <w:t>Standards Related</w:t>
      </w:r>
      <w:r w:rsidR="00D00EE3">
        <w:t xml:space="preserve"> to</w:t>
      </w:r>
      <w:r w:rsidRPr="0078281E" w:rsidR="00D00EE3">
        <w:t xml:space="preserve"> </w:t>
      </w:r>
      <w:r w:rsidR="00D00EE3">
        <w:t xml:space="preserve">the Manufacture of </w:t>
      </w:r>
      <w:r w:rsidRPr="0078281E" w:rsidR="00D00EE3">
        <w:t xml:space="preserve">Class II Ozone-Depleting Substances </w:t>
      </w:r>
      <w:r w:rsidR="00D00EE3">
        <w:t>for Feedstock</w:t>
      </w:r>
      <w:r w:rsidR="008575CF">
        <w:t xml:space="preserve">.” In the proposed rule, EPA is </w:t>
      </w:r>
      <w:r w:rsidRPr="50374323" w:rsidR="008575CF">
        <w:rPr>
          <w:rFonts w:eastAsiaTheme="minorEastAsia"/>
        </w:rPr>
        <w:t>proposing to</w:t>
      </w:r>
      <w:r w:rsidR="008575CF">
        <w:rPr>
          <w:rFonts w:eastAsiaTheme="minorEastAsia"/>
        </w:rPr>
        <w:t xml:space="preserve"> limit emissions of</w:t>
      </w:r>
      <w:r w:rsidR="008F6E14">
        <w:rPr>
          <w:rFonts w:eastAsiaTheme="minorEastAsia"/>
        </w:rPr>
        <w:t xml:space="preserve"> hydrofluorocarbon-23 (</w:t>
      </w:r>
      <w:r w:rsidRPr="50374323" w:rsidR="008575CF">
        <w:rPr>
          <w:rFonts w:eastAsiaTheme="minorEastAsia"/>
        </w:rPr>
        <w:t>HFC-23</w:t>
      </w:r>
      <w:r w:rsidR="008F6E14">
        <w:rPr>
          <w:rFonts w:eastAsiaTheme="minorEastAsia"/>
        </w:rPr>
        <w:t>)</w:t>
      </w:r>
      <w:r w:rsidRPr="50374323" w:rsidR="008575CF">
        <w:rPr>
          <w:rFonts w:eastAsiaTheme="minorEastAsia"/>
        </w:rPr>
        <w:t xml:space="preserve"> </w:t>
      </w:r>
      <w:r w:rsidR="008575CF">
        <w:rPr>
          <w:rFonts w:eastAsiaTheme="minorEastAsia"/>
        </w:rPr>
        <w:t xml:space="preserve">from plants that manufacture class II ozone-depleting substances </w:t>
      </w:r>
      <w:r w:rsidRPr="006D28A3" w:rsidR="008575CF">
        <w:t>(i.e., hydro</w:t>
      </w:r>
      <w:r w:rsidR="008575CF">
        <w:t>chloro</w:t>
      </w:r>
      <w:r w:rsidRPr="006D28A3" w:rsidR="008575CF">
        <w:t xml:space="preserve">fluorocarbons (HCFCs)), </w:t>
      </w:r>
      <w:r w:rsidR="008575CF">
        <w:rPr>
          <w:rFonts w:eastAsiaTheme="minorEastAsia"/>
        </w:rPr>
        <w:t xml:space="preserve">regulated under current Clean Air Act </w:t>
      </w:r>
      <w:r w:rsidR="00DB1879">
        <w:rPr>
          <w:rFonts w:eastAsiaTheme="minorEastAsia"/>
        </w:rPr>
        <w:t xml:space="preserve">(CAA) </w:t>
      </w:r>
      <w:r w:rsidR="008575CF">
        <w:rPr>
          <w:rFonts w:eastAsiaTheme="minorEastAsia"/>
        </w:rPr>
        <w:t>regulations. Under the proposal, t</w:t>
      </w:r>
      <w:r w:rsidRPr="50374323" w:rsidR="008575CF">
        <w:rPr>
          <w:rFonts w:eastAsiaTheme="minorEastAsia"/>
        </w:rPr>
        <w:t xml:space="preserve">he HFC-23 </w:t>
      </w:r>
      <w:r w:rsidRPr="50374323" w:rsidR="00CA7BB2">
        <w:rPr>
          <w:rFonts w:eastAsiaTheme="minorEastAsia"/>
        </w:rPr>
        <w:t xml:space="preserve">must be captured and </w:t>
      </w:r>
      <w:r w:rsidR="00CA7BB2">
        <w:rPr>
          <w:rFonts w:eastAsiaTheme="minorEastAsia"/>
        </w:rPr>
        <w:t>employed</w:t>
      </w:r>
      <w:r w:rsidRPr="50374323" w:rsidR="00CA7BB2">
        <w:rPr>
          <w:rFonts w:eastAsiaTheme="minorEastAsia"/>
        </w:rPr>
        <w:t xml:space="preserve"> for a commercial use</w:t>
      </w:r>
      <w:r w:rsidR="008F6E14">
        <w:rPr>
          <w:rFonts w:eastAsiaTheme="minorEastAsia"/>
        </w:rPr>
        <w:t xml:space="preserve"> or </w:t>
      </w:r>
      <w:r w:rsidRPr="50374323" w:rsidR="00CA7BB2">
        <w:rPr>
          <w:rFonts w:eastAsiaTheme="minorEastAsia"/>
        </w:rPr>
        <w:t>destroyed using a technology approved by the Environmental Protection Agency</w:t>
      </w:r>
      <w:r w:rsidR="00CA7BB2">
        <w:rPr>
          <w:rFonts w:eastAsiaTheme="minorEastAsia"/>
        </w:rPr>
        <w:t xml:space="preserve"> (EPA)</w:t>
      </w:r>
      <w:r w:rsidR="009A5C7E">
        <w:rPr>
          <w:rFonts w:eastAsiaTheme="minorEastAsia"/>
        </w:rPr>
        <w:t>, thereby ensuring it is not directly emitted</w:t>
      </w:r>
      <w:r w:rsidR="00CA7BB2">
        <w:rPr>
          <w:rFonts w:eastAsiaTheme="minorEastAsia"/>
        </w:rPr>
        <w:t xml:space="preserve">. Reporters subject to the proposed rule, if finalized, would be </w:t>
      </w:r>
      <w:r w:rsidR="008575CF">
        <w:t>required to report data on HFC-23 generated from the manufacture of HCFCs using the Ozone-Depleting Substances Tracking System (ODSTS).</w:t>
      </w:r>
    </w:p>
    <w:p w:rsidR="005B011B" w:rsidRDefault="005B011B" w14:paraId="750E91CA" w14:textId="1B94BBD8">
      <w:pPr>
        <w:pStyle w:val="Heading1"/>
      </w:pPr>
      <w:r w:rsidRPr="003D08E6">
        <w:t>2. Need For, and Use Of, th</w:t>
      </w:r>
      <w:r w:rsidRPr="008A1447">
        <w:t>e Collection</w:t>
      </w:r>
    </w:p>
    <w:p w:rsidRPr="00924EFA" w:rsidR="005B011B" w:rsidP="00DD6F29" w:rsidRDefault="005B011B" w14:paraId="3EA1B5B9" w14:textId="77777777">
      <w:pPr>
        <w:pStyle w:val="Heading2"/>
      </w:pPr>
      <w:r w:rsidRPr="00A479F3">
        <w:t>(a)</w:t>
      </w:r>
      <w:r w:rsidRPr="00A479F3">
        <w:tab/>
        <w:t>Authority</w:t>
      </w:r>
      <w:r w:rsidRPr="00924EFA">
        <w:t xml:space="preserve"> for the Collection</w:t>
      </w:r>
    </w:p>
    <w:p w:rsidR="00D41A89" w:rsidRDefault="00D41A89" w14:paraId="050F03E8" w14:textId="2C1EECF7">
      <w:r>
        <w:t xml:space="preserve">This </w:t>
      </w:r>
      <w:r w:rsidRPr="00C27CAD">
        <w:t>information</w:t>
      </w:r>
      <w:r>
        <w:t xml:space="preserve"> collection is authorized under the</w:t>
      </w:r>
      <w:r w:rsidR="006326AF">
        <w:t xml:space="preserve"> </w:t>
      </w:r>
      <w:r w:rsidR="00141205">
        <w:t xml:space="preserve">CAA </w:t>
      </w:r>
      <w:r w:rsidRPr="00DD6F29" w:rsidR="00055CEF">
        <w:t>(</w:t>
      </w:r>
      <w:r w:rsidRPr="00DD6F29" w:rsidR="00005B3E">
        <w:t>42 U.S.C. 7414, 7601, 7671-7671q)</w:t>
      </w:r>
      <w:r w:rsidRPr="008240C4" w:rsidR="00005B3E">
        <w:t>.</w:t>
      </w:r>
      <w:r w:rsidR="005C1E19">
        <w:t xml:space="preserve"> </w:t>
      </w:r>
    </w:p>
    <w:p w:rsidRPr="004D7520" w:rsidR="005C1E19" w:rsidP="005C1E19" w:rsidRDefault="005C1E19" w14:paraId="26F17CE5" w14:textId="77777777">
      <w:r w:rsidRPr="004D7520">
        <w:t xml:space="preserve">For electronic reporting, 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 </w:t>
      </w:r>
    </w:p>
    <w:p w:rsidRPr="00924EFA" w:rsidR="005B011B" w:rsidRDefault="00981F70" w14:paraId="6EEF94DD" w14:textId="77777777">
      <w:pPr>
        <w:pStyle w:val="Heading2"/>
      </w:pPr>
      <w:r>
        <w:t>(</w:t>
      </w:r>
      <w:r w:rsidRPr="00924EFA" w:rsidR="005B011B">
        <w:t>b)</w:t>
      </w:r>
      <w:r w:rsidRPr="00924EFA" w:rsidR="005B011B">
        <w:tab/>
        <w:t xml:space="preserve">Practical Utility/Users of </w:t>
      </w:r>
      <w:r w:rsidRPr="008A1447" w:rsidR="005B011B">
        <w:t>the Data</w:t>
      </w:r>
    </w:p>
    <w:p w:rsidR="00D41A89" w:rsidRDefault="00D41A89" w14:paraId="6C7C44B6" w14:textId="50A66891">
      <w:r w:rsidRPr="00924EFA">
        <w:t>The reporting and recordkeeping re</w:t>
      </w:r>
      <w:r>
        <w:t xml:space="preserve">quirements for </w:t>
      </w:r>
      <w:r w:rsidR="00360F95">
        <w:t>HFC-23</w:t>
      </w:r>
      <w:r w:rsidRPr="00924EFA">
        <w:t xml:space="preserve"> enable </w:t>
      </w:r>
      <w:r w:rsidR="00EF716C">
        <w:t xml:space="preserve">the </w:t>
      </w:r>
      <w:r w:rsidRPr="00924EFA">
        <w:t>EPA to</w:t>
      </w:r>
      <w:r w:rsidR="00067EF9">
        <w:t xml:space="preserve"> e</w:t>
      </w:r>
      <w:r w:rsidRPr="00924EFA">
        <w:t xml:space="preserve">nsure compliance with the </w:t>
      </w:r>
      <w:r w:rsidR="00CA1756">
        <w:t xml:space="preserve">proposed </w:t>
      </w:r>
      <w:r w:rsidR="00F66D23">
        <w:t xml:space="preserve">limits </w:t>
      </w:r>
      <w:r w:rsidR="008A1447">
        <w:t>relating to</w:t>
      </w:r>
      <w:r w:rsidR="009F6DDE">
        <w:t xml:space="preserve"> the generation of</w:t>
      </w:r>
      <w:r w:rsidR="008A1447">
        <w:t xml:space="preserve"> </w:t>
      </w:r>
      <w:r w:rsidR="00AF38B1">
        <w:t>HFC-23</w:t>
      </w:r>
      <w:r w:rsidR="00F66D23">
        <w:t xml:space="preserve"> emissions</w:t>
      </w:r>
      <w:r w:rsidR="00CD5A42">
        <w:t xml:space="preserve"> from the manufacture of HCFCs</w:t>
      </w:r>
      <w:r w:rsidR="00067EF9">
        <w:t>.</w:t>
      </w:r>
    </w:p>
    <w:p w:rsidRPr="00924EFA" w:rsidR="00AA44B6" w:rsidP="00DD6F29" w:rsidRDefault="00B0628F" w14:paraId="21E12165" w14:textId="31D0858B">
      <w:pPr>
        <w:pStyle w:val="Heading1"/>
        <w:keepNext/>
      </w:pPr>
      <w:r w:rsidRPr="003D08E6">
        <w:lastRenderedPageBreak/>
        <w:t>3. Non-</w:t>
      </w:r>
      <w:r w:rsidRPr="003D08E6" w:rsidR="00AA44B6">
        <w:t>duplication, Consultation, and Other Collection Criteria</w:t>
      </w:r>
    </w:p>
    <w:p w:rsidRPr="00B3072B" w:rsidR="00AA44B6" w:rsidP="00497AFF" w:rsidRDefault="00B0628F" w14:paraId="0458E731" w14:textId="2AB40F4B">
      <w:pPr>
        <w:pStyle w:val="Heading2"/>
      </w:pPr>
      <w:r>
        <w:t xml:space="preserve">(a) </w:t>
      </w:r>
      <w:r>
        <w:tab/>
        <w:t>Non-</w:t>
      </w:r>
      <w:r w:rsidRPr="00B3072B" w:rsidR="00AA44B6">
        <w:t xml:space="preserve">duplication </w:t>
      </w:r>
    </w:p>
    <w:p w:rsidRPr="00C31139" w:rsidR="009A055E" w:rsidP="00DD6F29" w:rsidRDefault="00296B17" w14:paraId="1ADF03CC" w14:textId="69831C8B">
      <w:pPr>
        <w:keepNext/>
      </w:pPr>
      <w:bookmarkStart w:name="_Ref293299978" w:id="1"/>
      <w:r>
        <w:t xml:space="preserve">The Greenhouse Gas Reporting Program (GHGRP) was established in 2009 and requires various facilities and suppliers to annually report data related to GHGs to EPA (see 40 CFR part 98). The relevant subpart that relates to reporting on HFC-23 </w:t>
      </w:r>
      <w:r w:rsidR="00F66D23">
        <w:t xml:space="preserve">emissions </w:t>
      </w:r>
      <w:r>
        <w:t xml:space="preserve">is subpart O, </w:t>
      </w:r>
      <w:r w:rsidR="009532A7">
        <w:t>“</w:t>
      </w:r>
      <w:r w:rsidRPr="009532A7" w:rsidR="009532A7">
        <w:t>HCFC-22 Production and HFC-23 Destruction</w:t>
      </w:r>
      <w:r w:rsidR="009532A7">
        <w:t>.”</w:t>
      </w:r>
      <w:r w:rsidR="009F6DDE">
        <w:t xml:space="preserve"> </w:t>
      </w:r>
      <w:r w:rsidR="009F6DDE">
        <w:rPr>
          <w:rFonts w:eastAsiaTheme="minorEastAsia"/>
        </w:rPr>
        <w:t xml:space="preserve">Subpart O of the GHGRP requires </w:t>
      </w:r>
      <w:r w:rsidRPr="00C31139" w:rsidR="009F6DDE">
        <w:t xml:space="preserve">reporting and recordkeeping </w:t>
      </w:r>
      <w:r w:rsidR="009F6DDE">
        <w:t xml:space="preserve">of emissions from </w:t>
      </w:r>
      <w:r w:rsidR="009F6DDE">
        <w:rPr>
          <w:rFonts w:eastAsiaTheme="minorEastAsia"/>
        </w:rPr>
        <w:t xml:space="preserve">owners or operators of facilities that contain HCFC-22 production or HFC-23 destruction processes. </w:t>
      </w:r>
      <w:r w:rsidRPr="00C31139" w:rsidR="009A055E">
        <w:t>W</w:t>
      </w:r>
      <w:r w:rsidR="00BD2274">
        <w:t>hile there is some overlap</w:t>
      </w:r>
      <w:r w:rsidR="006C4283">
        <w:t xml:space="preserve"> in GHGRP reporting w</w:t>
      </w:r>
      <w:r w:rsidRPr="00C31139" w:rsidR="009A055E">
        <w:t xml:space="preserve">ith this ICR, EPA is </w:t>
      </w:r>
      <w:r w:rsidR="006C4283">
        <w:t xml:space="preserve">largely </w:t>
      </w:r>
      <w:r w:rsidRPr="00C31139" w:rsidR="009A055E">
        <w:t xml:space="preserve">requesting information not already required </w:t>
      </w:r>
      <w:r w:rsidR="00F66D23">
        <w:t xml:space="preserve">to be submitted </w:t>
      </w:r>
      <w:r w:rsidRPr="00C31139" w:rsidR="009A055E">
        <w:t>by the GHGRP.</w:t>
      </w:r>
    </w:p>
    <w:p w:rsidRPr="00D96159" w:rsidR="008F6E14" w:rsidP="008F6E14" w:rsidRDefault="008F6E14" w14:paraId="461E449F" w14:textId="2551483B">
      <w:r>
        <w:t xml:space="preserve">In a separate rulemaking, under the AIM Act, </w:t>
      </w:r>
      <w:r w:rsidRPr="00C31139">
        <w:t xml:space="preserve">“Phasedown of Hydrofluorocarbons: </w:t>
      </w:r>
      <w:r w:rsidRPr="005C3854">
        <w:t>Establishing the Allowance Allocation and Trading Program under the American Innovation and Manufacturing Act</w:t>
      </w:r>
      <w:r>
        <w:t>,</w:t>
      </w:r>
      <w:r>
        <w:rPr>
          <w:rStyle w:val="FootnoteReference"/>
        </w:rPr>
        <w:footnoteReference w:id="2"/>
      </w:r>
      <w:r w:rsidRPr="4072D274">
        <w:t>”</w:t>
      </w:r>
      <w:r>
        <w:t xml:space="preserve"> EPA proposed </w:t>
      </w:r>
      <w:r w:rsidRPr="00C31139">
        <w:t>HFC-23 emissions-related reporting and recordkeeping requirements</w:t>
      </w:r>
      <w:r>
        <w:t>.</w:t>
      </w:r>
      <w:r w:rsidRPr="00C31139">
        <w:t xml:space="preserve"> </w:t>
      </w:r>
      <w:r w:rsidRPr="00D96159">
        <w:t xml:space="preserve">If that proposed approach under the AIM Act were to be finalized, all generation of HFC-23 would be regulated, including HFC-23 generated as a byproduct during production of HCFCs for feedstock use. Under such a scenario, EPA anticipates that it </w:t>
      </w:r>
      <w:r>
        <w:t xml:space="preserve">likely </w:t>
      </w:r>
      <w:r w:rsidRPr="00D96159">
        <w:t>would not finalize this proposal,</w:t>
      </w:r>
      <w:r w:rsidR="00D00EE3">
        <w:t xml:space="preserve"> </w:t>
      </w:r>
      <w:r w:rsidRPr="00D96159">
        <w:t>but is soliciting comments on whether this CAA-specific rulemaking would still be beneficial.</w:t>
      </w:r>
    </w:p>
    <w:p w:rsidR="00B176A9" w:rsidRDefault="00255999" w14:paraId="1BA15F9E" w14:textId="51328FC3">
      <w:r>
        <w:t>Therefore, duplicat</w:t>
      </w:r>
      <w:r w:rsidR="00590BD9">
        <w:t>ion in reporting requirements is not anticipated.</w:t>
      </w:r>
    </w:p>
    <w:bookmarkEnd w:id="1"/>
    <w:p w:rsidRPr="00B3072B" w:rsidR="00AA44B6" w:rsidP="00497AFF" w:rsidRDefault="00EA168C" w14:paraId="0C054D92" w14:textId="77777777">
      <w:pPr>
        <w:pStyle w:val="Heading2"/>
      </w:pPr>
      <w:r>
        <w:t>(</w:t>
      </w:r>
      <w:r w:rsidRPr="00B3072B" w:rsidR="00AA44B6">
        <w:t>b)</w:t>
      </w:r>
      <w:r w:rsidRPr="00B3072B" w:rsidR="00AA44B6">
        <w:tab/>
        <w:t>Public Notice Required Prior to ICR submission to OMB</w:t>
      </w:r>
    </w:p>
    <w:p w:rsidRPr="00F44DAA" w:rsidR="00EF6C67" w:rsidRDefault="00EF6C67" w14:paraId="4BEA3DB7" w14:textId="6AEC334C">
      <w:r w:rsidRPr="4072D274">
        <w:t>The proposed rulemaking “</w:t>
      </w:r>
      <w:r w:rsidRPr="003543A0" w:rsidR="003543A0">
        <w:t xml:space="preserve">Protection of Stratospheric Ozone: </w:t>
      </w:r>
      <w:r w:rsidRPr="0078281E" w:rsidR="00D00EE3">
        <w:t>Standards Related</w:t>
      </w:r>
      <w:r w:rsidR="00D00EE3">
        <w:t xml:space="preserve"> to</w:t>
      </w:r>
      <w:r w:rsidRPr="0078281E" w:rsidR="00D00EE3">
        <w:t xml:space="preserve"> </w:t>
      </w:r>
      <w:r w:rsidR="00D00EE3">
        <w:t xml:space="preserve">the Manufacture of </w:t>
      </w:r>
      <w:r w:rsidRPr="0078281E" w:rsidR="00D00EE3">
        <w:t xml:space="preserve">Class II Ozone-Depleting Substances </w:t>
      </w:r>
      <w:r w:rsidR="00D00EE3">
        <w:t>for Feedstock</w:t>
      </w:r>
      <w:r w:rsidRPr="4072D274">
        <w:t>”</w:t>
      </w:r>
      <w:r>
        <w:t xml:space="preserve"> will </w:t>
      </w:r>
      <w:r w:rsidRPr="4072D274">
        <w:t>serve as the public notice for this ICR</w:t>
      </w:r>
      <w:r>
        <w:t>.</w:t>
      </w:r>
      <w:r w:rsidRPr="4072D274">
        <w:t xml:space="preserve"> </w:t>
      </w:r>
      <w:r w:rsidRPr="00503D3D">
        <w:t>EPA is requesting comment on this ICR in that proposed rulemaking.</w:t>
      </w:r>
    </w:p>
    <w:p w:rsidR="0078645A" w:rsidP="00497AFF" w:rsidRDefault="00AA44B6" w14:paraId="50F7EED5" w14:textId="77777777">
      <w:pPr>
        <w:pStyle w:val="Heading2"/>
      </w:pPr>
      <w:r w:rsidRPr="007B6A67">
        <w:t>(c)</w:t>
      </w:r>
      <w:r w:rsidRPr="007B6A67">
        <w:tab/>
        <w:t>Consultations</w:t>
      </w:r>
    </w:p>
    <w:p w:rsidRPr="005064D1" w:rsidR="005064D1" w:rsidRDefault="00552345" w14:paraId="718152A6" w14:textId="73F49DF5">
      <w:r>
        <w:t>The burden calculations were developed based on</w:t>
      </w:r>
      <w:r w:rsidR="00CF3B44">
        <w:t xml:space="preserve"> </w:t>
      </w:r>
      <w:r w:rsidR="007204FB">
        <w:rPr>
          <w:rStyle w:val="normaltextrun"/>
          <w:color w:val="000000"/>
          <w:bdr w:val="none" w:color="auto" w:sz="0" w:space="0" w:frame="1"/>
        </w:rPr>
        <w:t>EPA’s experience collecting data on HFCs under GHGRP</w:t>
      </w:r>
      <w:r w:rsidR="00050B01">
        <w:t>.</w:t>
      </w:r>
      <w:r w:rsidR="00144300">
        <w:t xml:space="preserve"> </w:t>
      </w:r>
      <w:r w:rsidR="00144300">
        <w:rPr>
          <w:rStyle w:val="normaltextrun"/>
          <w:color w:val="000000"/>
          <w:shd w:val="clear" w:color="auto" w:fill="FFFFFF"/>
        </w:rPr>
        <w:t>EPA will collect comments on the proposed rulemaking “</w:t>
      </w:r>
      <w:r w:rsidRPr="003543A0" w:rsidR="003543A0">
        <w:t xml:space="preserve">Protection of Stratospheric Ozone: </w:t>
      </w:r>
      <w:r w:rsidRPr="0078281E" w:rsidR="00D00EE3">
        <w:t>Standards Related</w:t>
      </w:r>
      <w:r w:rsidR="00D00EE3">
        <w:t xml:space="preserve"> to</w:t>
      </w:r>
      <w:r w:rsidRPr="0078281E" w:rsidR="00D00EE3">
        <w:t xml:space="preserve"> </w:t>
      </w:r>
      <w:r w:rsidR="00D00EE3">
        <w:t xml:space="preserve">the Manufacture of </w:t>
      </w:r>
      <w:r w:rsidRPr="0078281E" w:rsidR="00D00EE3">
        <w:t xml:space="preserve">Class II Ozone-Depleting Substances </w:t>
      </w:r>
      <w:r w:rsidR="00D00EE3">
        <w:t>for Feedstock</w:t>
      </w:r>
      <w:r w:rsidR="00144300">
        <w:rPr>
          <w:rStyle w:val="normaltextrun"/>
          <w:color w:val="000000"/>
          <w:shd w:val="clear" w:color="auto" w:fill="FFFFFF"/>
        </w:rPr>
        <w:t>” and will adjust this ICR as needed.</w:t>
      </w:r>
      <w:r w:rsidR="00144300">
        <w:rPr>
          <w:rStyle w:val="eop"/>
          <w:color w:val="000000"/>
          <w:shd w:val="clear" w:color="auto" w:fill="FFFFFF"/>
        </w:rPr>
        <w:t> </w:t>
      </w:r>
    </w:p>
    <w:p w:rsidRPr="00B3072B" w:rsidR="00AA44B6" w:rsidP="00497AFF" w:rsidRDefault="00AA44B6" w14:paraId="500D753D" w14:textId="77777777">
      <w:pPr>
        <w:pStyle w:val="Heading2"/>
      </w:pPr>
      <w:r w:rsidRPr="00B3072B">
        <w:t xml:space="preserve">(d) </w:t>
      </w:r>
      <w:r w:rsidRPr="00B3072B">
        <w:tab/>
        <w:t>Effects of Less Frequent Collection</w:t>
      </w:r>
    </w:p>
    <w:p w:rsidR="00AF3742" w:rsidRDefault="00AA44B6" w14:paraId="0E2389E7" w14:textId="4EF2A464">
      <w:pPr>
        <w:rPr>
          <w:color w:val="000000"/>
        </w:rPr>
      </w:pPr>
      <w:r>
        <w:t xml:space="preserve">Less frequent </w:t>
      </w:r>
      <w:r w:rsidR="007739BA">
        <w:t xml:space="preserve">than quarterly </w:t>
      </w:r>
      <w:r>
        <w:t>collection of data would hinder EPA’s ability to iden</w:t>
      </w:r>
      <w:r w:rsidR="009478FB">
        <w:t>tify violations</w:t>
      </w:r>
      <w:r w:rsidR="00B521A3">
        <w:t xml:space="preserve"> of the </w:t>
      </w:r>
      <w:r w:rsidR="00670F09">
        <w:t xml:space="preserve">regulations limiting emissions of </w:t>
      </w:r>
      <w:r w:rsidR="007B5C05">
        <w:t>HFC-23</w:t>
      </w:r>
      <w:r w:rsidR="009478FB">
        <w:t xml:space="preserve">. </w:t>
      </w:r>
      <w:r w:rsidR="00B521A3">
        <w:rPr>
          <w:color w:val="000000"/>
        </w:rPr>
        <w:t xml:space="preserve">The </w:t>
      </w:r>
      <w:r w:rsidR="00AF3742">
        <w:rPr>
          <w:color w:val="000000"/>
        </w:rPr>
        <w:t>quarterly reporting requirement provide</w:t>
      </w:r>
      <w:r w:rsidR="00B4331A">
        <w:rPr>
          <w:color w:val="000000"/>
        </w:rPr>
        <w:t>s</w:t>
      </w:r>
      <w:r w:rsidR="00AF3742">
        <w:rPr>
          <w:color w:val="000000"/>
        </w:rPr>
        <w:t xml:space="preserve"> EPA the ability to resolve</w:t>
      </w:r>
      <w:r w:rsidR="007D1258">
        <w:rPr>
          <w:color w:val="000000"/>
        </w:rPr>
        <w:t>,</w:t>
      </w:r>
      <w:r w:rsidR="00AF3742">
        <w:rPr>
          <w:color w:val="000000"/>
        </w:rPr>
        <w:t xml:space="preserve"> in a timely manner</w:t>
      </w:r>
      <w:r w:rsidR="007D1258">
        <w:rPr>
          <w:color w:val="000000"/>
        </w:rPr>
        <w:t>,</w:t>
      </w:r>
      <w:r w:rsidR="00AF3742">
        <w:rPr>
          <w:color w:val="000000"/>
        </w:rPr>
        <w:t xml:space="preserve"> discrepancies in the data reported to us. </w:t>
      </w:r>
    </w:p>
    <w:p w:rsidRPr="00B3072B" w:rsidR="00AA44B6" w:rsidP="00497AFF" w:rsidRDefault="00AA44B6" w14:paraId="2C94F8D3" w14:textId="77777777">
      <w:pPr>
        <w:pStyle w:val="Heading2"/>
      </w:pPr>
      <w:r w:rsidRPr="00B3072B">
        <w:lastRenderedPageBreak/>
        <w:t>(e)</w:t>
      </w:r>
      <w:r w:rsidRPr="00B3072B">
        <w:tab/>
        <w:t>General Guidelines</w:t>
      </w:r>
    </w:p>
    <w:p w:rsidR="00AA44B6" w:rsidRDefault="00393082" w14:paraId="14B94AE5" w14:textId="49168F8A">
      <w:r w:rsidRPr="00544731">
        <w:rPr>
          <w:rStyle w:val="normaltextrun"/>
          <w:color w:val="000000"/>
        </w:rPr>
        <w:t xml:space="preserve">This collection of information has a five-year requirement for record and report retention, which exceeds the three-year requirement for record retention specified in the general information collection guidelines in 5 CFR 1320.5(f) of the OMB regulations implementing the Paperwork Reduction Act. The EPA has determined that five years is a reasonable time period given the statute of limitations for enforcing violations of the regulations issued under the </w:t>
      </w:r>
      <w:r w:rsidR="006326AF">
        <w:rPr>
          <w:rStyle w:val="normaltextrun"/>
          <w:color w:val="000000"/>
        </w:rPr>
        <w:t xml:space="preserve">CAA </w:t>
      </w:r>
      <w:r w:rsidRPr="00544731">
        <w:rPr>
          <w:rStyle w:val="normaltextrun"/>
          <w:color w:val="000000"/>
        </w:rPr>
        <w:t xml:space="preserve">is five years. This collection of information request is consistent with all other </w:t>
      </w:r>
      <w:r w:rsidRPr="00544731" w:rsidR="00AA44B6">
        <w:t>OMB guidelines</w:t>
      </w:r>
      <w:r w:rsidRPr="005B28FF" w:rsidR="005C40A9">
        <w:t xml:space="preserve"> found at 5 CFR 1320.5(d)(2)</w:t>
      </w:r>
      <w:r w:rsidRPr="005B28FF" w:rsidR="00AA44B6">
        <w:t>.</w:t>
      </w:r>
    </w:p>
    <w:p w:rsidRPr="00B3072B" w:rsidR="00AA44B6" w:rsidP="00497AFF" w:rsidRDefault="00AA44B6" w14:paraId="3B82F038" w14:textId="77777777">
      <w:pPr>
        <w:pStyle w:val="Heading2"/>
      </w:pPr>
      <w:r w:rsidRPr="00B3072B">
        <w:t>(f)</w:t>
      </w:r>
      <w:r w:rsidRPr="00B3072B">
        <w:tab/>
        <w:t>C</w:t>
      </w:r>
      <w:r w:rsidRPr="00497AFF">
        <w:t>onfidentiality</w:t>
      </w:r>
    </w:p>
    <w:p w:rsidR="00D41A89" w:rsidRDefault="00D41A89" w14:paraId="54D8B3D3" w14:textId="0FD01936">
      <w:r>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and will be disclosed to the extent, and by means of procedures, set forth in Subpart B. If no claim of confidentiality is asserted when the information is received by </w:t>
      </w:r>
      <w:r w:rsidR="000E5C54">
        <w:t xml:space="preserve">the </w:t>
      </w:r>
      <w:r>
        <w:t xml:space="preserve">EPA, it may be made available to the public without further notice to the respondents (40 CFR 2.203). </w:t>
      </w:r>
    </w:p>
    <w:p w:rsidRPr="008A33FE" w:rsidR="00AA44B6" w:rsidP="00497AFF" w:rsidRDefault="00AA44B6" w14:paraId="738E9570" w14:textId="77777777">
      <w:pPr>
        <w:pStyle w:val="Heading2"/>
      </w:pPr>
      <w:r w:rsidRPr="00B3072B">
        <w:t xml:space="preserve">(g) </w:t>
      </w:r>
      <w:r w:rsidRPr="00B3072B">
        <w:tab/>
        <w:t>Sensitive Questions</w:t>
      </w:r>
    </w:p>
    <w:p w:rsidR="00C44A91" w:rsidRDefault="00AA44B6" w14:paraId="09CA2B68" w14:textId="77777777">
      <w:r>
        <w:t>This section is not applicable because this ICR does not involve matters of sensitive nature.</w:t>
      </w:r>
    </w:p>
    <w:p w:rsidRPr="003D08E6" w:rsidR="00AA44B6" w:rsidP="0071638C" w:rsidRDefault="00A1347F" w14:paraId="2F998789" w14:textId="01A859D9">
      <w:pPr>
        <w:pStyle w:val="Heading1"/>
        <w:keepNext/>
      </w:pPr>
      <w:r w:rsidRPr="003D08E6">
        <w:t>4.</w:t>
      </w:r>
      <w:r w:rsidRPr="003D08E6" w:rsidR="006816BC">
        <w:t xml:space="preserve"> </w:t>
      </w:r>
      <w:r w:rsidRPr="003D08E6" w:rsidR="00AA44B6">
        <w:t xml:space="preserve">The </w:t>
      </w:r>
      <w:r w:rsidRPr="00C27CAD" w:rsidR="00AA44B6">
        <w:t>Respondents</w:t>
      </w:r>
      <w:r w:rsidRPr="003D08E6" w:rsidR="00AA44B6">
        <w:t xml:space="preserve"> and the Information Request</w:t>
      </w:r>
    </w:p>
    <w:p w:rsidR="00AA44B6" w:rsidP="0071638C" w:rsidRDefault="00041D3D" w14:paraId="59AFE790" w14:textId="6C13EE6F">
      <w:pPr>
        <w:pStyle w:val="Heading2"/>
      </w:pPr>
      <w:r>
        <w:t>(a)</w:t>
      </w:r>
      <w:r>
        <w:tab/>
        <w:t>Respondents’ NAICS</w:t>
      </w:r>
      <w:r w:rsidRPr="00B3072B" w:rsidR="00AA44B6">
        <w:t xml:space="preserve"> Codes</w:t>
      </w:r>
    </w:p>
    <w:p w:rsidR="00B05DC3" w:rsidRDefault="003303A3" w14:paraId="3431231C" w14:textId="7774B8C7">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w:t>
      </w:r>
      <w:r w:rsidR="00D51C02">
        <w:t xml:space="preserve"> </w:t>
      </w:r>
      <w:r w:rsidR="00D51C02">
        <w:fldChar w:fldCharType="begin"/>
      </w:r>
      <w:r w:rsidR="00D51C02">
        <w:instrText xml:space="preserve"> REF _Ref464461643 \h </w:instrText>
      </w:r>
      <w:r w:rsidR="00D51C02">
        <w:fldChar w:fldCharType="separate"/>
      </w:r>
      <w:r w:rsidR="00D51C02">
        <w:t xml:space="preserve">Table </w:t>
      </w:r>
      <w:r w:rsidR="00D51C02">
        <w:rPr>
          <w:noProof/>
        </w:rPr>
        <w:t>I</w:t>
      </w:r>
      <w:r w:rsidR="00D51C02">
        <w:fldChar w:fldCharType="end"/>
      </w:r>
      <w:r w:rsidR="00E86D13">
        <w:t>.</w:t>
      </w:r>
    </w:p>
    <w:p w:rsidRPr="001440C5" w:rsidR="007D49AA" w:rsidP="008D72C6" w:rsidRDefault="00D51C02" w14:paraId="53C31AAB" w14:textId="3F69971C">
      <w:pPr>
        <w:pStyle w:val="Caption"/>
      </w:pPr>
      <w:bookmarkStart w:name="_Ref464461643" w:id="2"/>
      <w:r w:rsidRPr="001440C5">
        <w:t xml:space="preserve">Table </w:t>
      </w:r>
      <w:r w:rsidR="003E2FBB">
        <w:rPr>
          <w:noProof/>
        </w:rPr>
        <w:fldChar w:fldCharType="begin"/>
      </w:r>
      <w:r w:rsidR="003E2FBB">
        <w:rPr>
          <w:noProof/>
        </w:rPr>
        <w:instrText xml:space="preserve"> SEQ Table \* ROMAN </w:instrText>
      </w:r>
      <w:r w:rsidR="003E2FBB">
        <w:rPr>
          <w:noProof/>
        </w:rPr>
        <w:fldChar w:fldCharType="separate"/>
      </w:r>
      <w:r w:rsidR="00A30125">
        <w:rPr>
          <w:noProof/>
        </w:rPr>
        <w:t>I</w:t>
      </w:r>
      <w:r w:rsidR="003E2FBB">
        <w:rPr>
          <w:noProof/>
        </w:rPr>
        <w:fldChar w:fldCharType="end"/>
      </w:r>
      <w:bookmarkEnd w:id="2"/>
      <w:r>
        <w:t>.</w:t>
      </w:r>
      <w:r w:rsidRPr="001440C5">
        <w:t xml:space="preserve"> </w:t>
      </w:r>
      <w:r w:rsidRPr="001440C5" w:rsidR="00B05DC3">
        <w:t xml:space="preserve">NAICS </w:t>
      </w:r>
      <w:r w:rsidRPr="001440C5" w:rsidR="00270F94">
        <w:t>Class</w:t>
      </w:r>
      <w:r w:rsidRPr="001440C5" w:rsidR="00B05DC3">
        <w:t>ification of Regulated Entities</w:t>
      </w:r>
    </w:p>
    <w:tbl>
      <w:tblPr>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05"/>
        <w:gridCol w:w="1715"/>
        <w:gridCol w:w="5035"/>
      </w:tblGrid>
      <w:tr w:rsidRPr="000B26F0" w:rsidR="001440C5" w:rsidTr="00DD6F29" w14:paraId="3D45EDCA" w14:textId="44A8286C">
        <w:trPr>
          <w:trHeight w:val="385"/>
        </w:trPr>
        <w:tc>
          <w:tcPr>
            <w:tcW w:w="2605" w:type="dxa"/>
            <w:shd w:val="clear" w:color="auto" w:fill="D9D9D9" w:themeFill="background1" w:themeFillShade="D9"/>
            <w:vAlign w:val="center"/>
          </w:tcPr>
          <w:p w:rsidRPr="00C31139" w:rsidR="005A5A1D" w:rsidP="00DD6F29" w:rsidRDefault="005A5A1D" w14:paraId="7B4AE4A5" w14:textId="77777777">
            <w:pPr>
              <w:spacing w:after="0"/>
              <w:rPr>
                <w:b/>
                <w:bCs/>
              </w:rPr>
            </w:pPr>
            <w:r w:rsidRPr="00C31139">
              <w:rPr>
                <w:b/>
                <w:bCs/>
              </w:rPr>
              <w:t>Category</w:t>
            </w:r>
          </w:p>
        </w:tc>
        <w:tc>
          <w:tcPr>
            <w:tcW w:w="1715" w:type="dxa"/>
            <w:shd w:val="clear" w:color="auto" w:fill="D9D9D9" w:themeFill="background1" w:themeFillShade="D9"/>
            <w:vAlign w:val="center"/>
          </w:tcPr>
          <w:p w:rsidRPr="00C31139" w:rsidR="005A5A1D" w:rsidP="00DD6F29" w:rsidRDefault="005A5A1D" w14:paraId="03327FC3" w14:textId="77777777">
            <w:pPr>
              <w:spacing w:after="0"/>
              <w:rPr>
                <w:b/>
                <w:bCs/>
              </w:rPr>
            </w:pPr>
            <w:r w:rsidRPr="00C31139">
              <w:rPr>
                <w:b/>
                <w:bCs/>
              </w:rPr>
              <w:t>NAICS code</w:t>
            </w:r>
          </w:p>
        </w:tc>
        <w:tc>
          <w:tcPr>
            <w:tcW w:w="5035" w:type="dxa"/>
            <w:shd w:val="clear" w:color="auto" w:fill="D9D9D9" w:themeFill="background1" w:themeFillShade="D9"/>
            <w:vAlign w:val="center"/>
          </w:tcPr>
          <w:p w:rsidRPr="00C31139" w:rsidR="005A5A1D" w:rsidP="00DD6F29" w:rsidRDefault="005A5A1D" w14:paraId="02238CF5" w14:textId="43E29E12">
            <w:pPr>
              <w:spacing w:after="0"/>
              <w:rPr>
                <w:b/>
                <w:bCs/>
              </w:rPr>
            </w:pPr>
            <w:r w:rsidRPr="00C31139">
              <w:rPr>
                <w:b/>
                <w:bCs/>
              </w:rPr>
              <w:t>Example of Regulated Entities</w:t>
            </w:r>
          </w:p>
        </w:tc>
      </w:tr>
      <w:tr w:rsidRPr="000B26F0" w:rsidR="001440C5" w:rsidTr="00DD6F29" w14:paraId="4A009CC1" w14:textId="28E33EB0">
        <w:trPr>
          <w:trHeight w:val="385"/>
        </w:trPr>
        <w:tc>
          <w:tcPr>
            <w:tcW w:w="2605" w:type="dxa"/>
            <w:shd w:val="clear" w:color="auto" w:fill="auto"/>
            <w:vAlign w:val="center"/>
          </w:tcPr>
          <w:p w:rsidRPr="000B26F0" w:rsidR="00267F5F" w:rsidP="00DD6F29" w:rsidRDefault="00267F5F" w14:paraId="319CAB84" w14:textId="021AE1F3">
            <w:pPr>
              <w:spacing w:after="0"/>
              <w:rPr>
                <w:bCs/>
              </w:rPr>
            </w:pPr>
            <w:r w:rsidRPr="000B26F0">
              <w:t xml:space="preserve">Chemical Producers </w:t>
            </w:r>
          </w:p>
        </w:tc>
        <w:tc>
          <w:tcPr>
            <w:tcW w:w="1715" w:type="dxa"/>
            <w:shd w:val="clear" w:color="auto" w:fill="auto"/>
            <w:vAlign w:val="center"/>
          </w:tcPr>
          <w:p w:rsidRPr="000B26F0" w:rsidR="00267F5F" w:rsidP="00DD6F29" w:rsidRDefault="00110E0D" w14:paraId="626CB4CD" w14:textId="5C5AD369">
            <w:pPr>
              <w:spacing w:after="0"/>
              <w:rPr>
                <w:bCs/>
              </w:rPr>
            </w:pPr>
            <w:r>
              <w:t>325120</w:t>
            </w:r>
          </w:p>
        </w:tc>
        <w:tc>
          <w:tcPr>
            <w:tcW w:w="5035" w:type="dxa"/>
            <w:vAlign w:val="center"/>
          </w:tcPr>
          <w:p w:rsidRPr="000B26F0" w:rsidR="00267F5F" w:rsidP="00DD6F29" w:rsidRDefault="00110E0D" w14:paraId="30E8BBCF" w14:textId="236D3C77">
            <w:pPr>
              <w:spacing w:after="0"/>
            </w:pPr>
            <w:r>
              <w:t>Chlorodifluoromethane manufacturing facilities</w:t>
            </w:r>
          </w:p>
        </w:tc>
      </w:tr>
    </w:tbl>
    <w:p w:rsidRPr="005D15E2" w:rsidR="00AA44B6" w:rsidP="00497AFF" w:rsidRDefault="00AA44B6" w14:paraId="7E35B991" w14:textId="77777777">
      <w:pPr>
        <w:pStyle w:val="Heading2"/>
      </w:pPr>
      <w:r w:rsidRPr="00B3072B">
        <w:t>(b)</w:t>
      </w:r>
      <w:r w:rsidRPr="00B3072B">
        <w:tab/>
        <w:t>Information Requested</w:t>
      </w:r>
    </w:p>
    <w:p w:rsidR="00AA44B6" w:rsidP="00C31139" w:rsidRDefault="005C40A9" w14:paraId="669E82E5" w14:textId="79F1F0D8">
      <w:pPr>
        <w:pStyle w:val="Heading4"/>
      </w:pPr>
      <w:r>
        <w:t xml:space="preserve">Data </w:t>
      </w:r>
      <w:r w:rsidRPr="00A01019">
        <w:t>items</w:t>
      </w:r>
    </w:p>
    <w:p w:rsidR="002C090B" w:rsidRDefault="00AA44B6" w14:paraId="2D932D7D" w14:textId="58179D3A">
      <w:r>
        <w:t xml:space="preserve">All </w:t>
      </w:r>
      <w:r w:rsidR="00902087">
        <w:t xml:space="preserve">manufacturers </w:t>
      </w:r>
      <w:r w:rsidR="00D51424">
        <w:t xml:space="preserve">identified in </w:t>
      </w:r>
      <w:r w:rsidR="005C40A9">
        <w:t xml:space="preserve">40 CFR </w:t>
      </w:r>
      <w:r w:rsidR="00F3367B">
        <w:t>82.1</w:t>
      </w:r>
      <w:r w:rsidR="005C3EEB">
        <w:t>5(a)(3)</w:t>
      </w:r>
      <w:r w:rsidR="003C2271">
        <w:t xml:space="preserve"> </w:t>
      </w:r>
      <w:r w:rsidR="00F3367B">
        <w:t xml:space="preserve">must </w:t>
      </w:r>
      <w:r w:rsidR="00E43313">
        <w:t>record</w:t>
      </w:r>
      <w:r w:rsidR="005245C9">
        <w:t xml:space="preserve"> </w:t>
      </w:r>
      <w:r w:rsidR="00F3367B">
        <w:t xml:space="preserve">and/or report </w:t>
      </w:r>
      <w:r>
        <w:t>the following</w:t>
      </w:r>
      <w:r w:rsidR="00AE51FD">
        <w:t xml:space="preserve"> on</w:t>
      </w:r>
      <w:r w:rsidR="00AB1AB4">
        <w:t>e time, on</w:t>
      </w:r>
      <w:r w:rsidR="00AE51FD">
        <w:t xml:space="preserve"> a quarterly </w:t>
      </w:r>
      <w:r w:rsidR="00F77D1C">
        <w:t xml:space="preserve">basis </w:t>
      </w:r>
      <w:r w:rsidR="00AB1AB4">
        <w:t>and/or</w:t>
      </w:r>
      <w:r w:rsidR="00BF2418">
        <w:t xml:space="preserve"> </w:t>
      </w:r>
      <w:r w:rsidR="00931163">
        <w:t xml:space="preserve">as </w:t>
      </w:r>
      <w:r w:rsidR="00F77D1C">
        <w:t>needed</w:t>
      </w:r>
      <w:r w:rsidR="007342FC">
        <w:t xml:space="preserve">. </w:t>
      </w:r>
    </w:p>
    <w:p w:rsidRPr="00C31139" w:rsidR="007A1A28" w:rsidRDefault="007A1A28" w14:paraId="08643915" w14:textId="2E5E89C3">
      <w:pPr>
        <w:rPr>
          <w:u w:val="single"/>
        </w:rPr>
      </w:pPr>
      <w:r w:rsidRPr="00C31139">
        <w:rPr>
          <w:rFonts w:eastAsiaTheme="minorHAnsi"/>
          <w:u w:val="single"/>
        </w:rPr>
        <w:t xml:space="preserve">Request for </w:t>
      </w:r>
      <w:r w:rsidR="00592059">
        <w:rPr>
          <w:rFonts w:eastAsiaTheme="minorHAnsi"/>
          <w:u w:val="single"/>
        </w:rPr>
        <w:t>E</w:t>
      </w:r>
      <w:r w:rsidRPr="00C31139">
        <w:rPr>
          <w:rFonts w:eastAsiaTheme="minorHAnsi"/>
          <w:u w:val="single"/>
        </w:rPr>
        <w:t xml:space="preserve">xtension </w:t>
      </w:r>
      <w:r w:rsidR="00592059">
        <w:rPr>
          <w:rFonts w:eastAsiaTheme="minorHAnsi"/>
          <w:u w:val="single"/>
        </w:rPr>
        <w:t>R</w:t>
      </w:r>
      <w:r w:rsidRPr="00C31139">
        <w:rPr>
          <w:rFonts w:eastAsiaTheme="minorHAnsi"/>
          <w:u w:val="single"/>
        </w:rPr>
        <w:t>equirements</w:t>
      </w:r>
      <w:r w:rsidR="00D27451">
        <w:rPr>
          <w:rFonts w:eastAsiaTheme="minorHAnsi"/>
          <w:u w:val="single"/>
        </w:rPr>
        <w:t xml:space="preserve"> (</w:t>
      </w:r>
      <w:r w:rsidR="00096B71">
        <w:rPr>
          <w:rFonts w:eastAsiaTheme="minorHAnsi"/>
          <w:u w:val="single"/>
        </w:rPr>
        <w:t xml:space="preserve">to be submitted </w:t>
      </w:r>
      <w:r w:rsidRPr="00D27451" w:rsidR="00D27451">
        <w:rPr>
          <w:rFonts w:eastAsiaTheme="minorHAnsi"/>
          <w:u w:val="single"/>
        </w:rPr>
        <w:t>no later than August 1, 2022 for a first-time extension or February 1, 2023 for a second extension</w:t>
      </w:r>
      <w:r w:rsidR="005D2748">
        <w:rPr>
          <w:rFonts w:eastAsiaTheme="minorHAnsi"/>
          <w:u w:val="single"/>
        </w:rPr>
        <w:t>)</w:t>
      </w:r>
      <w:r w:rsidRPr="00C31139">
        <w:rPr>
          <w:rFonts w:eastAsiaTheme="minorHAnsi"/>
          <w:u w:val="single"/>
        </w:rPr>
        <w:t>:</w:t>
      </w:r>
    </w:p>
    <w:p w:rsidR="001A1DE5" w:rsidP="008F4A8A" w:rsidRDefault="001A1DE5" w14:paraId="55F160BD" w14:textId="7447883E">
      <w:pPr>
        <w:pStyle w:val="ListParagraph"/>
        <w:numPr>
          <w:ilvl w:val="0"/>
          <w:numId w:val="2"/>
        </w:numPr>
      </w:pPr>
      <w:r>
        <w:t>The name of the plant submitting the request</w:t>
      </w:r>
      <w:r w:rsidR="00806CFA">
        <w:t>,</w:t>
      </w:r>
      <w:r w:rsidR="00AD053D">
        <w:t xml:space="preserve"> the contact information of the person at the plant, and the address of the plant; and</w:t>
      </w:r>
    </w:p>
    <w:p w:rsidR="00AD053D" w:rsidP="008F4A8A" w:rsidRDefault="00E021FA" w14:paraId="7742A4F0" w14:textId="0CBCAC9C">
      <w:pPr>
        <w:pStyle w:val="ListParagraph"/>
        <w:numPr>
          <w:ilvl w:val="0"/>
          <w:numId w:val="2"/>
        </w:numPr>
      </w:pPr>
      <w:r>
        <w:t>A description of the specific actions the plant has taken to improve HFC-23 control, capture, and destruction; the plans to meet the 0.1% HFC-23 limit including</w:t>
      </w:r>
      <w:r w:rsidR="00005293">
        <w:t xml:space="preserve"> the expected </w:t>
      </w:r>
      <w:r w:rsidR="00005293">
        <w:lastRenderedPageBreak/>
        <w:t>date by which the equipment will be installed and operating; and verification that the plant has met all applicable reporting requirements</w:t>
      </w:r>
      <w:r w:rsidR="00096B71">
        <w:t xml:space="preserve"> under 40 CFR </w:t>
      </w:r>
      <w:r w:rsidR="0099155C">
        <w:t>parts 82, 84, and 98.</w:t>
      </w:r>
      <w:r w:rsidR="00005293">
        <w:t xml:space="preserve"> </w:t>
      </w:r>
    </w:p>
    <w:p w:rsidRPr="00C31139" w:rsidR="00710B7F" w:rsidP="003543A0" w:rsidRDefault="00672995" w14:paraId="3484B884" w14:textId="2B610529">
      <w:pPr>
        <w:keepNext/>
        <w:spacing w:before="120"/>
        <w:rPr>
          <w:rFonts w:eastAsiaTheme="minorHAnsi"/>
          <w:u w:val="single"/>
        </w:rPr>
      </w:pPr>
      <w:r>
        <w:rPr>
          <w:rFonts w:eastAsiaTheme="minorHAnsi"/>
          <w:u w:val="single"/>
        </w:rPr>
        <w:t xml:space="preserve">Manufacturers that Generate HFC-23 </w:t>
      </w:r>
      <w:r w:rsidRPr="00C31139" w:rsidR="00710B7F">
        <w:rPr>
          <w:rFonts w:eastAsiaTheme="minorHAnsi"/>
          <w:u w:val="single"/>
        </w:rPr>
        <w:t>One-Time Reporting Requirements:</w:t>
      </w:r>
    </w:p>
    <w:p w:rsidRPr="00CA7B13" w:rsidR="00710B7F" w:rsidP="008F4A8A" w:rsidRDefault="00710B7F" w14:paraId="62A78122" w14:textId="261D6EA8">
      <w:pPr>
        <w:pStyle w:val="ListParagraph"/>
        <w:numPr>
          <w:ilvl w:val="0"/>
          <w:numId w:val="7"/>
        </w:numPr>
      </w:pPr>
      <w:r w:rsidRPr="00CA7B13">
        <w:t xml:space="preserve">Information on the capacity to </w:t>
      </w:r>
      <w:r w:rsidR="000F09FA">
        <w:t>manufacture</w:t>
      </w:r>
      <w:r w:rsidRPr="00CA7B13">
        <w:t xml:space="preserve"> the intended chemical on the line</w:t>
      </w:r>
      <w:r w:rsidR="0099155C">
        <w:t>(s)</w:t>
      </w:r>
      <w:r w:rsidRPr="00CA7B13">
        <w:t xml:space="preserve"> on which HFC-23 is </w:t>
      </w:r>
      <w:r w:rsidR="00494F1A">
        <w:t>generated</w:t>
      </w:r>
      <w:r w:rsidRPr="00CA7B13">
        <w:t>;</w:t>
      </w:r>
    </w:p>
    <w:p w:rsidRPr="00CA7B13" w:rsidR="00710B7F" w:rsidP="008F4A8A" w:rsidRDefault="00710B7F" w14:paraId="4F11E5BE" w14:textId="522ADBC0">
      <w:pPr>
        <w:pStyle w:val="ListParagraph"/>
        <w:numPr>
          <w:ilvl w:val="0"/>
          <w:numId w:val="7"/>
        </w:numPr>
      </w:pPr>
      <w:r w:rsidRPr="00CA7B13">
        <w:t xml:space="preserve">Description of </w:t>
      </w:r>
      <w:r w:rsidR="0099155C">
        <w:t>actions taken at the plant to control the generation and emission</w:t>
      </w:r>
      <w:r w:rsidR="000F09FA">
        <w:t>s</w:t>
      </w:r>
      <w:r w:rsidR="0099155C">
        <w:t xml:space="preserve"> </w:t>
      </w:r>
      <w:r w:rsidRPr="00CA7B13">
        <w:t>of HFC-23</w:t>
      </w:r>
      <w:r w:rsidR="0099155C">
        <w:t xml:space="preserve">; </w:t>
      </w:r>
    </w:p>
    <w:p w:rsidRPr="00CA7B13" w:rsidR="00710B7F" w:rsidP="008F4A8A" w:rsidRDefault="00710B7F" w14:paraId="7CA7958B" w14:textId="6216AD76">
      <w:pPr>
        <w:pStyle w:val="ListParagraph"/>
        <w:numPr>
          <w:ilvl w:val="0"/>
          <w:numId w:val="7"/>
        </w:numPr>
      </w:pPr>
      <w:r w:rsidRPr="00CA7B13">
        <w:t xml:space="preserve">Identification of approved destruction technology and its location intended for use for HFC-23 destruction; </w:t>
      </w:r>
      <w:r w:rsidR="0099155C">
        <w:t>and</w:t>
      </w:r>
    </w:p>
    <w:p w:rsidR="00710B7F" w:rsidP="008F4A8A" w:rsidRDefault="00710B7F" w14:paraId="4420E870" w14:textId="5B37E2B2">
      <w:pPr>
        <w:pStyle w:val="ListParagraph"/>
        <w:numPr>
          <w:ilvl w:val="0"/>
          <w:numId w:val="7"/>
        </w:numPr>
      </w:pPr>
      <w:r w:rsidRPr="00CA7B13">
        <w:t>A copy of the destruction removal efficiency report associated with the destruction technology</w:t>
      </w:r>
      <w:r w:rsidR="0099155C">
        <w:t xml:space="preserve">. </w:t>
      </w:r>
    </w:p>
    <w:p w:rsidRPr="00C31139" w:rsidR="00710B7F" w:rsidP="00C31139" w:rsidRDefault="00672995" w14:paraId="3D81DCBD" w14:textId="44B1884F">
      <w:pPr>
        <w:rPr>
          <w:rFonts w:eastAsiaTheme="minorHAnsi"/>
          <w:u w:val="single"/>
        </w:rPr>
      </w:pPr>
      <w:r>
        <w:rPr>
          <w:rFonts w:eastAsiaTheme="minorHAnsi"/>
          <w:u w:val="single"/>
        </w:rPr>
        <w:t xml:space="preserve">Manufacturers that Generate HFC-23 </w:t>
      </w:r>
      <w:r w:rsidR="00CB7E96">
        <w:rPr>
          <w:rFonts w:eastAsiaTheme="minorHAnsi"/>
          <w:u w:val="single"/>
        </w:rPr>
        <w:t>Quarterly</w:t>
      </w:r>
      <w:r w:rsidRPr="00C31139" w:rsidR="00710B7F">
        <w:rPr>
          <w:rFonts w:eastAsiaTheme="minorHAnsi"/>
          <w:u w:val="single"/>
        </w:rPr>
        <w:t xml:space="preserve"> Reporting Requirements:</w:t>
      </w:r>
    </w:p>
    <w:p w:rsidRPr="00462C5B" w:rsidR="00710B7F" w:rsidP="008F4A8A" w:rsidRDefault="00CA632F" w14:paraId="39FE2683" w14:textId="23446946">
      <w:pPr>
        <w:pStyle w:val="ListParagraph"/>
        <w:numPr>
          <w:ilvl w:val="0"/>
          <w:numId w:val="8"/>
        </w:numPr>
        <w:shd w:val="clear" w:color="auto" w:fill="FFFFFF" w:themeFill="background1"/>
      </w:pPr>
      <w:r>
        <w:t xml:space="preserve">Production line data on </w:t>
      </w:r>
      <w:r w:rsidR="008C456A">
        <w:t>HFC-23</w:t>
      </w:r>
      <w:r w:rsidR="009D610A">
        <w:t xml:space="preserve"> in </w:t>
      </w:r>
      <w:r w:rsidR="00026A32">
        <w:t>kilograms</w:t>
      </w:r>
      <w:r w:rsidR="008C456A">
        <w:t>:</w:t>
      </w:r>
      <w:r w:rsidRPr="00462C5B" w:rsidDel="00AB2C46" w:rsidR="00710B7F">
        <w:t xml:space="preserve"> </w:t>
      </w:r>
      <w:r w:rsidRPr="00462C5B" w:rsidR="00710B7F">
        <w:t>emissions; generated; generated and captured; generated and captured for feedstock use in the United States; generated and captured for destruction; used for feedstock without prior capture; and destroyed without prior capture</w:t>
      </w:r>
      <w:r w:rsidR="00710B7F">
        <w:t>.</w:t>
      </w:r>
    </w:p>
    <w:p w:rsidRPr="00C31139" w:rsidR="00710B7F" w:rsidP="00C31139" w:rsidRDefault="00672995" w14:paraId="4B5BA2ED" w14:textId="6E007E7B">
      <w:pPr>
        <w:rPr>
          <w:rFonts w:eastAsiaTheme="minorHAnsi"/>
          <w:u w:val="single"/>
        </w:rPr>
      </w:pPr>
      <w:r>
        <w:rPr>
          <w:rFonts w:eastAsiaTheme="minorHAnsi"/>
          <w:u w:val="single"/>
        </w:rPr>
        <w:t xml:space="preserve">Manufacturers that Generate HFC-23 </w:t>
      </w:r>
      <w:r w:rsidRPr="00C31139" w:rsidR="00710B7F">
        <w:rPr>
          <w:rFonts w:eastAsiaTheme="minorHAnsi"/>
          <w:u w:val="single"/>
        </w:rPr>
        <w:t>(</w:t>
      </w:r>
      <w:r w:rsidR="005514F0">
        <w:rPr>
          <w:rFonts w:eastAsiaTheme="minorHAnsi"/>
          <w:u w:val="single"/>
        </w:rPr>
        <w:t>to be submitted</w:t>
      </w:r>
      <w:r w:rsidRPr="00C31139" w:rsidR="005514F0">
        <w:rPr>
          <w:rFonts w:eastAsiaTheme="minorHAnsi"/>
          <w:u w:val="single"/>
        </w:rPr>
        <w:t xml:space="preserve"> </w:t>
      </w:r>
      <w:r w:rsidRPr="00C31139" w:rsidR="00710B7F">
        <w:rPr>
          <w:rFonts w:eastAsiaTheme="minorHAnsi"/>
          <w:u w:val="single"/>
        </w:rPr>
        <w:t>within 45 days after destruction occurs):</w:t>
      </w:r>
    </w:p>
    <w:p w:rsidR="000B0F3F" w:rsidP="008F4A8A" w:rsidRDefault="00710B7F" w14:paraId="782C388C" w14:textId="54F8C443">
      <w:pPr>
        <w:pStyle w:val="ListParagraph"/>
        <w:numPr>
          <w:ilvl w:val="0"/>
          <w:numId w:val="1"/>
        </w:numPr>
      </w:pPr>
      <w:r w:rsidRPr="00462C5B">
        <w:t xml:space="preserve">If captured HFC-23 is destroyed in a subsequent control period, </w:t>
      </w:r>
      <w:r w:rsidR="00672995">
        <w:t xml:space="preserve">information that the </w:t>
      </w:r>
      <w:r w:rsidRPr="00462C5B">
        <w:t>HFC-23 has been destroyed.</w:t>
      </w:r>
      <w:r w:rsidRPr="00BE6635" w:rsidR="000B0F3F">
        <w:t xml:space="preserve"> </w:t>
      </w:r>
    </w:p>
    <w:p w:rsidR="004E17B5" w:rsidP="008F4A8A" w:rsidRDefault="004E17B5" w14:paraId="69EE9018" w14:textId="1AA1DE0C">
      <w:pPr>
        <w:pStyle w:val="ListParagraph"/>
        <w:numPr>
          <w:ilvl w:val="0"/>
          <w:numId w:val="1"/>
        </w:numPr>
      </w:pPr>
      <w:r w:rsidRPr="00462C5B">
        <w:t>If captured HFC-23 is destroyed</w:t>
      </w:r>
      <w:r w:rsidR="00AB1AB4">
        <w:t xml:space="preserve"> at a different plan than where it is generated</w:t>
      </w:r>
      <w:r>
        <w:t xml:space="preserve">, </w:t>
      </w:r>
      <w:r w:rsidR="00672995">
        <w:t xml:space="preserve">information that the </w:t>
      </w:r>
      <w:r w:rsidRPr="00462C5B">
        <w:t>HFC-23 has been destroyed</w:t>
      </w:r>
      <w:r>
        <w:t>.</w:t>
      </w:r>
      <w:r w:rsidR="0099155C">
        <w:t xml:space="preserve"> Such report must include the date on which the HFC-23 was generated and the date on which the HFC-23 was destroyed.</w:t>
      </w:r>
    </w:p>
    <w:p w:rsidR="00EB7C20" w:rsidP="00EB7C20" w:rsidRDefault="00672995" w14:paraId="1F63DCDB" w14:textId="2D222640">
      <w:pPr>
        <w:rPr>
          <w:rFonts w:eastAsiaTheme="minorHAnsi"/>
          <w:u w:val="single"/>
        </w:rPr>
      </w:pPr>
      <w:r>
        <w:rPr>
          <w:rFonts w:eastAsiaTheme="minorHAnsi"/>
          <w:u w:val="single"/>
        </w:rPr>
        <w:t xml:space="preserve">Manufacturers that Generate HFC-23 </w:t>
      </w:r>
      <w:r w:rsidRPr="00C31139" w:rsidR="00EB7C20">
        <w:rPr>
          <w:rFonts w:eastAsiaTheme="minorHAnsi"/>
          <w:u w:val="single"/>
        </w:rPr>
        <w:t>Recordkeeping Requirements:</w:t>
      </w:r>
    </w:p>
    <w:p w:rsidRPr="00C31139" w:rsidR="00EB7C20" w:rsidP="008F4A8A" w:rsidRDefault="001B4571" w14:paraId="58FAFC91" w14:textId="734A8C34">
      <w:pPr>
        <w:pStyle w:val="ListParagraph"/>
        <w:numPr>
          <w:ilvl w:val="0"/>
          <w:numId w:val="9"/>
        </w:numPr>
        <w:rPr>
          <w:rFonts w:eastAsiaTheme="minorHAnsi"/>
        </w:rPr>
      </w:pPr>
      <w:r>
        <w:rPr>
          <w:rFonts w:eastAsiaTheme="minorHAnsi"/>
        </w:rPr>
        <w:t>Reports provided to the Administrator for five years.</w:t>
      </w:r>
    </w:p>
    <w:p w:rsidR="00C3088E" w:rsidP="00C31139" w:rsidRDefault="00C3088E" w14:paraId="566D5315" w14:textId="4B254AB9">
      <w:pPr>
        <w:pStyle w:val="Heading4"/>
      </w:pPr>
      <w:r>
        <w:t>Respondent Activities</w:t>
      </w:r>
      <w:r>
        <w:tab/>
      </w:r>
    </w:p>
    <w:p w:rsidR="002B379E" w:rsidP="00C31139" w:rsidRDefault="002B379E" w14:paraId="7FCB38DD" w14:textId="2B088C01">
      <w:r>
        <w:t xml:space="preserve">A summary of respondent activities is provided in </w:t>
      </w:r>
      <w:r w:rsidR="00022EDC">
        <w:fldChar w:fldCharType="begin"/>
      </w:r>
      <w:r w:rsidR="00022EDC">
        <w:instrText xml:space="preserve"> REF _Ref69812692 \h </w:instrText>
      </w:r>
      <w:r w:rsidR="00022EDC">
        <w:fldChar w:fldCharType="separate"/>
      </w:r>
      <w:r w:rsidR="00022EDC">
        <w:t xml:space="preserve">Table </w:t>
      </w:r>
      <w:r w:rsidR="00022EDC">
        <w:rPr>
          <w:noProof/>
        </w:rPr>
        <w:t>II</w:t>
      </w:r>
      <w:r w:rsidR="00022EDC">
        <w:fldChar w:fldCharType="end"/>
      </w:r>
      <w:r>
        <w:t xml:space="preserve"> below.</w:t>
      </w:r>
    </w:p>
    <w:p w:rsidR="008D72C6" w:rsidP="00C31139" w:rsidRDefault="008D72C6" w14:paraId="0938A937" w14:textId="185CD29B">
      <w:pPr>
        <w:pStyle w:val="Caption"/>
        <w:keepNext/>
      </w:pPr>
      <w:bookmarkStart w:name="_Ref69812692" w:id="3"/>
      <w:r>
        <w:t xml:space="preserve">Table </w:t>
      </w:r>
      <w:r w:rsidR="00353861">
        <w:fldChar w:fldCharType="begin"/>
      </w:r>
      <w:r w:rsidR="00353861">
        <w:instrText xml:space="preserve"> SEQ Table \* ROMAN </w:instrText>
      </w:r>
      <w:r w:rsidR="00353861">
        <w:fldChar w:fldCharType="separate"/>
      </w:r>
      <w:r w:rsidR="00A30125">
        <w:rPr>
          <w:noProof/>
        </w:rPr>
        <w:t>II</w:t>
      </w:r>
      <w:r w:rsidR="00353861">
        <w:rPr>
          <w:noProof/>
        </w:rPr>
        <w:fldChar w:fldCharType="end"/>
      </w:r>
      <w:bookmarkEnd w:id="3"/>
      <w:r w:rsidR="00022EDC">
        <w:t>. Respondent Activities</w:t>
      </w:r>
    </w:p>
    <w:tbl>
      <w:tblPr>
        <w:tblW w:w="9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75"/>
        <w:gridCol w:w="2743"/>
      </w:tblGrid>
      <w:tr w:rsidRPr="00E72B79" w:rsidR="00952270" w:rsidTr="00C31139" w14:paraId="1C82312C" w14:textId="77777777">
        <w:trPr>
          <w:trHeight w:val="144"/>
        </w:trPr>
        <w:tc>
          <w:tcPr>
            <w:tcW w:w="6475" w:type="dxa"/>
            <w:shd w:val="clear" w:color="auto" w:fill="D9D9D9" w:themeFill="background1" w:themeFillShade="D9"/>
            <w:noWrap/>
            <w:vAlign w:val="center"/>
            <w:hideMark/>
          </w:tcPr>
          <w:p w:rsidRPr="00E72B79" w:rsidR="00952270" w:rsidP="00C31139" w:rsidRDefault="00952270" w14:paraId="31CF68F3" w14:textId="13765D09">
            <w:pPr>
              <w:spacing w:after="0"/>
              <w:jc w:val="center"/>
              <w:rPr>
                <w:b/>
                <w:bCs/>
                <w:color w:val="000000"/>
              </w:rPr>
            </w:pPr>
            <w:r w:rsidRPr="00E72B79">
              <w:rPr>
                <w:b/>
                <w:bCs/>
                <w:color w:val="000000"/>
              </w:rPr>
              <w:t>Activity</w:t>
            </w:r>
          </w:p>
        </w:tc>
        <w:tc>
          <w:tcPr>
            <w:tcW w:w="2743" w:type="dxa"/>
            <w:shd w:val="clear" w:color="auto" w:fill="D9D9D9" w:themeFill="background1" w:themeFillShade="D9"/>
            <w:noWrap/>
            <w:vAlign w:val="center"/>
            <w:hideMark/>
          </w:tcPr>
          <w:p w:rsidRPr="00E72B79" w:rsidR="00952270" w:rsidP="00766F19" w:rsidRDefault="00952270" w14:paraId="7CF9F6E9" w14:textId="77777777">
            <w:pPr>
              <w:spacing w:after="0"/>
              <w:jc w:val="center"/>
              <w:rPr>
                <w:b/>
                <w:bCs/>
                <w:color w:val="000000"/>
              </w:rPr>
            </w:pPr>
            <w:r w:rsidRPr="00E72B79">
              <w:rPr>
                <w:b/>
                <w:bCs/>
                <w:color w:val="000000"/>
              </w:rPr>
              <w:t>Reporting Frequency</w:t>
            </w:r>
          </w:p>
        </w:tc>
      </w:tr>
      <w:tr w:rsidRPr="00E72B79" w:rsidR="00952270" w:rsidTr="00C31139" w14:paraId="5FE7247A" w14:textId="77777777">
        <w:trPr>
          <w:trHeight w:val="144"/>
        </w:trPr>
        <w:tc>
          <w:tcPr>
            <w:tcW w:w="6475" w:type="dxa"/>
            <w:shd w:val="clear" w:color="auto" w:fill="auto"/>
            <w:vAlign w:val="center"/>
            <w:hideMark/>
          </w:tcPr>
          <w:p w:rsidRPr="00E72B79" w:rsidR="00952270" w:rsidP="00766F19" w:rsidRDefault="00952270" w14:paraId="67672103" w14:textId="5BC95E83">
            <w:pPr>
              <w:spacing w:after="0"/>
            </w:pPr>
            <w:r w:rsidRPr="00E72B79">
              <w:t xml:space="preserve">Submit </w:t>
            </w:r>
            <w:r w:rsidR="007E35D9">
              <w:t>request for extension</w:t>
            </w:r>
          </w:p>
        </w:tc>
        <w:tc>
          <w:tcPr>
            <w:tcW w:w="2743" w:type="dxa"/>
            <w:shd w:val="clear" w:color="auto" w:fill="auto"/>
            <w:vAlign w:val="center"/>
            <w:hideMark/>
          </w:tcPr>
          <w:p w:rsidRPr="00E72B79" w:rsidR="00952270" w:rsidP="00766F19" w:rsidRDefault="007E35D9" w14:paraId="7A6A6D11" w14:textId="42DC7672">
            <w:pPr>
              <w:spacing w:after="0"/>
              <w:jc w:val="center"/>
            </w:pPr>
            <w:r>
              <w:t>As Needed</w:t>
            </w:r>
          </w:p>
        </w:tc>
      </w:tr>
      <w:tr w:rsidRPr="00E72B79" w:rsidR="00952270" w:rsidTr="00C31139" w14:paraId="6C8A65F3" w14:textId="77777777">
        <w:trPr>
          <w:trHeight w:val="144"/>
        </w:trPr>
        <w:tc>
          <w:tcPr>
            <w:tcW w:w="6475" w:type="dxa"/>
            <w:shd w:val="clear" w:color="auto" w:fill="auto"/>
            <w:vAlign w:val="center"/>
            <w:hideMark/>
          </w:tcPr>
          <w:p w:rsidRPr="00E72B79" w:rsidR="00952270" w:rsidP="00766F19" w:rsidRDefault="00952270" w14:paraId="416F4D8A" w14:textId="77777777">
            <w:pPr>
              <w:spacing w:after="0"/>
            </w:pPr>
            <w:r w:rsidRPr="00E72B79">
              <w:t>Submit one-time HFC-23 emissions report</w:t>
            </w:r>
          </w:p>
        </w:tc>
        <w:tc>
          <w:tcPr>
            <w:tcW w:w="2743" w:type="dxa"/>
            <w:shd w:val="clear" w:color="auto" w:fill="auto"/>
            <w:vAlign w:val="center"/>
            <w:hideMark/>
          </w:tcPr>
          <w:p w:rsidRPr="00E72B79" w:rsidR="00952270" w:rsidP="00766F19" w:rsidRDefault="00952270" w14:paraId="65FE6C37" w14:textId="77777777">
            <w:pPr>
              <w:spacing w:after="0"/>
              <w:jc w:val="center"/>
            </w:pPr>
            <w:r w:rsidRPr="00E72B79">
              <w:t>One-Time</w:t>
            </w:r>
          </w:p>
        </w:tc>
      </w:tr>
      <w:tr w:rsidRPr="00E72B79" w:rsidR="00952270" w:rsidTr="00C31139" w14:paraId="1296BFC6" w14:textId="77777777">
        <w:trPr>
          <w:trHeight w:val="144"/>
        </w:trPr>
        <w:tc>
          <w:tcPr>
            <w:tcW w:w="6475" w:type="dxa"/>
            <w:shd w:val="clear" w:color="auto" w:fill="auto"/>
            <w:vAlign w:val="center"/>
            <w:hideMark/>
          </w:tcPr>
          <w:p w:rsidRPr="00E72B79" w:rsidR="00952270" w:rsidP="00766F19" w:rsidRDefault="00952270" w14:paraId="147611AB" w14:textId="583F4222">
            <w:pPr>
              <w:spacing w:after="0"/>
            </w:pPr>
            <w:r w:rsidRPr="00E72B79">
              <w:t xml:space="preserve">Submit </w:t>
            </w:r>
            <w:r>
              <w:t>quarterly</w:t>
            </w:r>
            <w:r w:rsidRPr="00E72B79">
              <w:t xml:space="preserve"> HFC-23 emissions report</w:t>
            </w:r>
          </w:p>
        </w:tc>
        <w:tc>
          <w:tcPr>
            <w:tcW w:w="2743" w:type="dxa"/>
            <w:shd w:val="clear" w:color="auto" w:fill="auto"/>
            <w:vAlign w:val="center"/>
            <w:hideMark/>
          </w:tcPr>
          <w:p w:rsidRPr="00E72B79" w:rsidR="00952270" w:rsidP="00766F19" w:rsidRDefault="00952270" w14:paraId="1090804D" w14:textId="44B00A70">
            <w:pPr>
              <w:spacing w:after="0"/>
              <w:jc w:val="center"/>
            </w:pPr>
            <w:r>
              <w:t>Quarterly</w:t>
            </w:r>
          </w:p>
        </w:tc>
      </w:tr>
      <w:tr w:rsidRPr="00E72B79" w:rsidR="00952270" w:rsidTr="00C31139" w14:paraId="67277D21" w14:textId="77777777">
        <w:trPr>
          <w:trHeight w:val="144"/>
        </w:trPr>
        <w:tc>
          <w:tcPr>
            <w:tcW w:w="6475" w:type="dxa"/>
            <w:shd w:val="clear" w:color="auto" w:fill="auto"/>
            <w:vAlign w:val="center"/>
            <w:hideMark/>
          </w:tcPr>
          <w:p w:rsidRPr="00E72B79" w:rsidR="00952270" w:rsidP="00766F19" w:rsidRDefault="00952270" w14:paraId="3C47D271" w14:textId="77777777">
            <w:pPr>
              <w:spacing w:after="0"/>
            </w:pPr>
            <w:r w:rsidRPr="00E72B79">
              <w:t>Submit HFC-23 proof of destruction</w:t>
            </w:r>
          </w:p>
        </w:tc>
        <w:tc>
          <w:tcPr>
            <w:tcW w:w="2743" w:type="dxa"/>
            <w:shd w:val="clear" w:color="auto" w:fill="auto"/>
            <w:vAlign w:val="center"/>
            <w:hideMark/>
          </w:tcPr>
          <w:p w:rsidRPr="00E72B79" w:rsidR="00952270" w:rsidP="00766F19" w:rsidRDefault="00952270" w14:paraId="2A6105C7" w14:textId="77777777">
            <w:pPr>
              <w:spacing w:after="0"/>
              <w:jc w:val="center"/>
            </w:pPr>
            <w:r w:rsidRPr="00E72B79">
              <w:t>As Needed</w:t>
            </w:r>
          </w:p>
        </w:tc>
      </w:tr>
    </w:tbl>
    <w:p w:rsidRPr="00EB62DC" w:rsidR="00AA44B6" w:rsidP="008A1447" w:rsidRDefault="00AA44B6" w14:paraId="2D7AB3C4" w14:textId="4D1C40E6">
      <w:pPr>
        <w:pStyle w:val="Heading1"/>
      </w:pPr>
      <w:r w:rsidRPr="00EB62DC">
        <w:t>5. The Information Collected</w:t>
      </w:r>
      <w:r w:rsidRPr="00EB62DC" w:rsidR="003B1137">
        <w:t xml:space="preserve"> </w:t>
      </w:r>
      <w:r w:rsidRPr="00EB62DC">
        <w:t xml:space="preserve">- </w:t>
      </w:r>
      <w:r w:rsidR="005155FA">
        <w:t>Agency</w:t>
      </w:r>
      <w:r w:rsidRPr="00EB62DC">
        <w:t xml:space="preserve"> Activities, Collection Methodology, and Information Management</w:t>
      </w:r>
    </w:p>
    <w:p w:rsidRPr="00D753E1" w:rsidR="00AA44B6" w:rsidP="00497AFF" w:rsidRDefault="00AA44B6" w14:paraId="12D50026" w14:textId="4FF2985D">
      <w:pPr>
        <w:pStyle w:val="Heading2"/>
      </w:pPr>
      <w:r w:rsidRPr="00D753E1">
        <w:t xml:space="preserve">(a) </w:t>
      </w:r>
      <w:r w:rsidR="00C3328E">
        <w:tab/>
      </w:r>
      <w:r w:rsidR="005155FA">
        <w:t>Agency</w:t>
      </w:r>
      <w:r w:rsidRPr="00D753E1">
        <w:t xml:space="preserve"> </w:t>
      </w:r>
      <w:r w:rsidRPr="00C27CAD">
        <w:t>Activities</w:t>
      </w:r>
    </w:p>
    <w:p w:rsidR="00BB58AB" w:rsidP="008F4A8A" w:rsidRDefault="00BB58AB" w14:paraId="46970B3D" w14:textId="348096A9">
      <w:pPr>
        <w:pStyle w:val="Heading4"/>
        <w:numPr>
          <w:ilvl w:val="0"/>
          <w:numId w:val="5"/>
        </w:numPr>
        <w:ind w:hanging="720"/>
      </w:pPr>
      <w:r>
        <w:t xml:space="preserve">Reported Data </w:t>
      </w:r>
    </w:p>
    <w:p w:rsidR="00BB58AB" w:rsidP="008F4A8A" w:rsidRDefault="00BB58AB" w14:paraId="1FE1E2F5" w14:textId="61460794">
      <w:pPr>
        <w:pStyle w:val="ListParagraph"/>
        <w:numPr>
          <w:ilvl w:val="0"/>
          <w:numId w:val="3"/>
        </w:numPr>
      </w:pPr>
      <w:r>
        <w:lastRenderedPageBreak/>
        <w:t>Review data for completeness and accuracy, potentially through follow-up with the reporting entity</w:t>
      </w:r>
      <w:r w:rsidR="005A10F2">
        <w:t>;</w:t>
      </w:r>
      <w:r w:rsidR="00096AB0">
        <w:t xml:space="preserve"> and</w:t>
      </w:r>
    </w:p>
    <w:p w:rsidRPr="001B4548" w:rsidR="00AA44B6" w:rsidP="008F4A8A" w:rsidRDefault="00AA44B6" w14:paraId="32348579" w14:textId="1835B3C3">
      <w:pPr>
        <w:pStyle w:val="ListParagraph"/>
        <w:numPr>
          <w:ilvl w:val="0"/>
          <w:numId w:val="3"/>
        </w:numPr>
      </w:pPr>
      <w:r w:rsidRPr="001B4548">
        <w:t xml:space="preserve">Review </w:t>
      </w:r>
      <w:r w:rsidRPr="001B4548" w:rsidR="003B1137">
        <w:t xml:space="preserve">and respond to </w:t>
      </w:r>
      <w:r w:rsidR="005278F1">
        <w:t>requests for extensions</w:t>
      </w:r>
      <w:r w:rsidR="00C77966">
        <w:t>.</w:t>
      </w:r>
    </w:p>
    <w:p w:rsidRPr="00D753E1" w:rsidR="00AA44B6" w:rsidP="00497AFF" w:rsidRDefault="00AA44B6" w14:paraId="343BA0B2" w14:textId="77777777">
      <w:pPr>
        <w:pStyle w:val="Heading2"/>
      </w:pPr>
      <w:r w:rsidRPr="00D753E1">
        <w:t>(b)</w:t>
      </w:r>
      <w:r w:rsidRPr="00D753E1">
        <w:tab/>
        <w:t>Collection Methods</w:t>
      </w:r>
    </w:p>
    <w:p w:rsidR="00160C7A" w:rsidP="00160C7A" w:rsidRDefault="00752AF4" w14:paraId="56720840" w14:textId="1A21370B">
      <w:pPr>
        <w:pStyle w:val="paragraph"/>
        <w:spacing w:before="0" w:beforeAutospacing="0" w:after="0" w:afterAutospacing="0"/>
        <w:textAlignment w:val="baseline"/>
        <w:rPr>
          <w:rFonts w:ascii="Segoe UI" w:hAnsi="Segoe UI" w:cs="Segoe UI"/>
          <w:sz w:val="18"/>
          <w:szCs w:val="18"/>
        </w:rPr>
      </w:pPr>
      <w:r>
        <w:rPr>
          <w:rStyle w:val="normaltextrun"/>
        </w:rPr>
        <w:t xml:space="preserve">Information required under this ICR will be reported electronically to EPA through the Central Data Exchange (CDX). Quarterly data will be reported using </w:t>
      </w:r>
      <w:r w:rsidR="00212F66">
        <w:rPr>
          <w:rStyle w:val="normaltextrun"/>
        </w:rPr>
        <w:t xml:space="preserve">an updated version of </w:t>
      </w:r>
      <w:r>
        <w:rPr>
          <w:rStyle w:val="normaltextrun"/>
        </w:rPr>
        <w:t>the Class II Producer reporting form</w:t>
      </w:r>
      <w:r w:rsidR="00150D86">
        <w:rPr>
          <w:rStyle w:val="normaltextrun"/>
        </w:rPr>
        <w:t xml:space="preserve"> (EPA </w:t>
      </w:r>
      <w:r w:rsidRPr="00150D86" w:rsidR="00150D86">
        <w:rPr>
          <w:rStyle w:val="normaltextrun"/>
        </w:rPr>
        <w:t>Form #5900-202</w:t>
      </w:r>
      <w:r w:rsidR="00150D86">
        <w:rPr>
          <w:rStyle w:val="normaltextrun"/>
        </w:rPr>
        <w:t>)</w:t>
      </w:r>
      <w:r>
        <w:rPr>
          <w:rStyle w:val="normaltextrun"/>
        </w:rPr>
        <w:t>. </w:t>
      </w:r>
      <w:r w:rsidR="00160C7A">
        <w:rPr>
          <w:rStyle w:val="normaltextrun"/>
        </w:rPr>
        <w:t>EPA will use the ozone-depleting substance tracking system (ODSTS) </w:t>
      </w:r>
      <w:r w:rsidR="00001B65">
        <w:rPr>
          <w:rStyle w:val="normaltextrun"/>
        </w:rPr>
        <w:t xml:space="preserve">to collect and track data </w:t>
      </w:r>
      <w:r>
        <w:rPr>
          <w:rStyle w:val="normaltextrun"/>
        </w:rPr>
        <w:t>submitted through CDX</w:t>
      </w:r>
      <w:r w:rsidR="00261047">
        <w:rPr>
          <w:rStyle w:val="normaltextrun"/>
        </w:rPr>
        <w:t>.</w:t>
      </w:r>
      <w:r w:rsidR="00001B65">
        <w:rPr>
          <w:rStyle w:val="normaltextrun"/>
        </w:rPr>
        <w:t xml:space="preserve"> </w:t>
      </w:r>
      <w:r w:rsidR="00261047">
        <w:rPr>
          <w:rStyle w:val="normaltextrun"/>
        </w:rPr>
        <w:t>T</w:t>
      </w:r>
      <w:r w:rsidR="00160C7A">
        <w:rPr>
          <w:rStyle w:val="normaltextrun"/>
        </w:rPr>
        <w:t>he ODSTS is used by EPA to collect and track data on ozone-depleting substances that are reported in accordance with 40 CFR part 82. </w:t>
      </w:r>
      <w:r w:rsidR="00CE4FBF">
        <w:rPr>
          <w:rStyle w:val="normaltextrun"/>
        </w:rPr>
        <w:t>The</w:t>
      </w:r>
      <w:r w:rsidR="00160C7A">
        <w:rPr>
          <w:rStyle w:val="normaltextrun"/>
        </w:rPr>
        <w:t xml:space="preserve"> system</w:t>
      </w:r>
      <w:r w:rsidR="00CE4FBF">
        <w:rPr>
          <w:rStyle w:val="normaltextrun"/>
        </w:rPr>
        <w:t xml:space="preserve"> is</w:t>
      </w:r>
      <w:r w:rsidR="00160C7A">
        <w:rPr>
          <w:rStyle w:val="normaltextrun"/>
        </w:rPr>
        <w:t xml:space="preserve"> designed to collect and store CBI.</w:t>
      </w:r>
      <w:r w:rsidR="00160C7A">
        <w:rPr>
          <w:rStyle w:val="eop"/>
        </w:rPr>
        <w:t> </w:t>
      </w:r>
    </w:p>
    <w:p w:rsidRPr="00425029" w:rsidR="00AA44B6" w:rsidP="00497AFF" w:rsidRDefault="00AA44B6" w14:paraId="2B7A52F8" w14:textId="77777777">
      <w:pPr>
        <w:pStyle w:val="Heading2"/>
      </w:pPr>
      <w:r w:rsidRPr="00425029">
        <w:t>(c)</w:t>
      </w:r>
      <w:r w:rsidRPr="00425029">
        <w:tab/>
        <w:t xml:space="preserve">Small Entity Flexibility </w:t>
      </w:r>
    </w:p>
    <w:p w:rsidRPr="00217BBA" w:rsidR="00217BBA" w:rsidRDefault="005110A4" w14:paraId="127AD781" w14:textId="33DDFCF6">
      <w:r>
        <w:t>S</w:t>
      </w:r>
      <w:r w:rsidR="00A87339">
        <w:t>mall entities are not expected to be affected by the proposed rule and this ICR.</w:t>
      </w:r>
    </w:p>
    <w:p w:rsidRPr="00D753E1" w:rsidR="00AA44B6" w:rsidP="00497AFF" w:rsidRDefault="00AA44B6" w14:paraId="51C64381" w14:textId="77777777">
      <w:pPr>
        <w:pStyle w:val="Heading2"/>
      </w:pPr>
      <w:r w:rsidRPr="00D753E1">
        <w:t>(d)</w:t>
      </w:r>
      <w:r w:rsidRPr="00D753E1">
        <w:tab/>
        <w:t>Collection Schedule</w:t>
      </w:r>
    </w:p>
    <w:p w:rsidR="00C33F68" w:rsidP="008F4A8A" w:rsidRDefault="00C33F68" w14:paraId="1602E3D6" w14:textId="5CADAEB9">
      <w:pPr>
        <w:pStyle w:val="ListParagraph"/>
        <w:numPr>
          <w:ilvl w:val="0"/>
          <w:numId w:val="3"/>
        </w:numPr>
      </w:pPr>
      <w:r>
        <w:t xml:space="preserve">Requests for an extension must </w:t>
      </w:r>
      <w:r w:rsidR="008B6437">
        <w:t xml:space="preserve">be </w:t>
      </w:r>
      <w:r>
        <w:t>submit</w:t>
      </w:r>
      <w:r w:rsidR="008B6437">
        <w:t xml:space="preserve">ted </w:t>
      </w:r>
      <w:r>
        <w:t>to</w:t>
      </w:r>
      <w:r w:rsidR="008B6437">
        <w:t xml:space="preserve"> </w:t>
      </w:r>
      <w:r>
        <w:t>EPA no later than August 1, 2022 for a first-time extension or February 1, 2023 for a second extension;</w:t>
      </w:r>
    </w:p>
    <w:p w:rsidRPr="00026A32" w:rsidR="00C33F68" w:rsidP="00C33F68" w:rsidRDefault="00672995" w14:paraId="62F96B01" w14:textId="0D694364">
      <w:pPr>
        <w:pStyle w:val="ListParagraph"/>
        <w:numPr>
          <w:ilvl w:val="0"/>
          <w:numId w:val="3"/>
        </w:numPr>
      </w:pPr>
      <w:r w:rsidRPr="00672995">
        <w:rPr>
          <w:rFonts w:eastAsiaTheme="minorHAnsi"/>
        </w:rPr>
        <w:t>Manufacturers that generate HFC-23</w:t>
      </w:r>
      <w:r>
        <w:rPr>
          <w:rFonts w:eastAsiaTheme="minorHAnsi"/>
        </w:rPr>
        <w:t xml:space="preserve"> </w:t>
      </w:r>
      <w:r w:rsidRPr="00026A32" w:rsidR="00C33F68">
        <w:t>must submit a one-time report</w:t>
      </w:r>
      <w:r w:rsidRPr="00026A32" w:rsidR="00140803">
        <w:t>;</w:t>
      </w:r>
    </w:p>
    <w:p w:rsidR="00F155F0" w:rsidP="00F155F0" w:rsidRDefault="00672995" w14:paraId="196A3DA2" w14:textId="04FBAE52">
      <w:pPr>
        <w:pStyle w:val="ListParagraph"/>
        <w:numPr>
          <w:ilvl w:val="0"/>
          <w:numId w:val="3"/>
        </w:numPr>
      </w:pPr>
      <w:r w:rsidRPr="00672995">
        <w:rPr>
          <w:rFonts w:eastAsiaTheme="minorHAnsi"/>
        </w:rPr>
        <w:t>Manufacturers that generate HFC-23</w:t>
      </w:r>
      <w:r>
        <w:rPr>
          <w:rFonts w:eastAsiaTheme="minorHAnsi"/>
        </w:rPr>
        <w:t xml:space="preserve"> must </w:t>
      </w:r>
      <w:r w:rsidRPr="00026A32" w:rsidR="00932A2F">
        <w:t>report</w:t>
      </w:r>
      <w:r w:rsidR="00932A2F">
        <w:t xml:space="preserve"> to EPA quarterly (45 days after the end of each quarter);</w:t>
      </w:r>
      <w:r w:rsidR="00F155F0">
        <w:t xml:space="preserve"> </w:t>
      </w:r>
    </w:p>
    <w:p w:rsidR="00932A2F" w:rsidP="008F4A8A" w:rsidRDefault="00932A2F" w14:paraId="75BF99AC" w14:textId="05868AED">
      <w:pPr>
        <w:pStyle w:val="ListParagraph"/>
        <w:numPr>
          <w:ilvl w:val="0"/>
          <w:numId w:val="3"/>
        </w:numPr>
      </w:pPr>
      <w:r>
        <w:t>Persons who destroy HFC-23</w:t>
      </w:r>
      <w:r w:rsidR="001F4AC6">
        <w:t xml:space="preserve"> in a subsequent control period </w:t>
      </w:r>
      <w:r w:rsidR="00672995">
        <w:t xml:space="preserve">or </w:t>
      </w:r>
      <w:r w:rsidR="003A1CC9">
        <w:t xml:space="preserve">destroy HFC-23 at a different plant than where it is generated </w:t>
      </w:r>
      <w:r w:rsidR="001F4AC6">
        <w:t xml:space="preserve">report to EPA as needed </w:t>
      </w:r>
      <w:r w:rsidR="00B13455">
        <w:t>(</w:t>
      </w:r>
      <w:r w:rsidR="00E43627">
        <w:t>within</w:t>
      </w:r>
      <w:r w:rsidR="00B13455">
        <w:t xml:space="preserve"> 45 days </w:t>
      </w:r>
      <w:r w:rsidR="003A1CC9">
        <w:t xml:space="preserve">after </w:t>
      </w:r>
      <w:r w:rsidR="00B13455">
        <w:t>destruction</w:t>
      </w:r>
      <w:r w:rsidR="003A1CC9">
        <w:t xml:space="preserve"> occurs</w:t>
      </w:r>
      <w:r w:rsidR="00C80FC9">
        <w:t xml:space="preserve">). </w:t>
      </w:r>
    </w:p>
    <w:p w:rsidR="00DB1A56" w:rsidP="008A1447" w:rsidRDefault="00DB1A56" w14:paraId="6704CA03" w14:textId="41FD4EF9">
      <w:pPr>
        <w:pStyle w:val="Heading1"/>
      </w:pPr>
      <w:r w:rsidRPr="003A5C5E">
        <w:t xml:space="preserve">6. Estimating the Burden and Cost of Collection </w:t>
      </w:r>
    </w:p>
    <w:p w:rsidRPr="00C31139" w:rsidR="00EC27CB" w:rsidP="00C31139" w:rsidRDefault="00EC27CB" w14:paraId="1F7A4C76" w14:textId="6F87AFDB">
      <w:pPr>
        <w:rPr>
          <w:bCs/>
        </w:rPr>
      </w:pPr>
      <w:r w:rsidRPr="00C31139">
        <w:rPr>
          <w:bCs/>
        </w:rPr>
        <w:t>This section presents EPA’s estimates of the burden and costs to respondents associated with the activities described in Section 4 of this document as well as the federal burden hours and costs associated w</w:t>
      </w:r>
      <w:r w:rsidRPr="00C31139" w:rsidR="00C87BA1">
        <w:rPr>
          <w:bCs/>
        </w:rPr>
        <w:t>ith the activities described in Section 5 of this document.</w:t>
      </w:r>
    </w:p>
    <w:p w:rsidRPr="00D753E1" w:rsidR="00AA44B6" w:rsidP="00497AFF" w:rsidRDefault="00AA44B6" w14:paraId="0FFEAB9B" w14:textId="77777777">
      <w:pPr>
        <w:pStyle w:val="Heading2"/>
      </w:pPr>
      <w:r w:rsidRPr="00DB1A56">
        <w:t xml:space="preserve">(a) </w:t>
      </w:r>
      <w:r w:rsidRPr="00DB1A56">
        <w:tab/>
        <w:t>Estimating Respondent Burden</w:t>
      </w:r>
    </w:p>
    <w:p w:rsidR="00B003A8" w:rsidP="00C31139" w:rsidRDefault="00E776AF" w14:paraId="536214C0" w14:textId="51FFF002">
      <w:r>
        <w:t xml:space="preserve">EPA identified </w:t>
      </w:r>
      <w:r w:rsidR="00042407">
        <w:t>4 information collection activities</w:t>
      </w:r>
      <w:r w:rsidR="00706695">
        <w:t xml:space="preserve"> that are mandated by EPA’s proposed rulemaking. </w:t>
      </w:r>
      <w:r w:rsidRPr="00672C85" w:rsidR="00DD1F53">
        <w:t xml:space="preserve">EPA estimated the amount of time </w:t>
      </w:r>
      <w:r w:rsidR="00DD1F53">
        <w:t>associated with</w:t>
      </w:r>
      <w:r w:rsidRPr="00672C85" w:rsidR="00DD1F53">
        <w:t xml:space="preserve"> each activity based on </w:t>
      </w:r>
      <w:r w:rsidR="00DD1F53">
        <w:t>EPA’s experience collecting similar activity data on</w:t>
      </w:r>
      <w:r w:rsidRPr="00672C85" w:rsidR="00DD1F53">
        <w:t xml:space="preserve"> </w:t>
      </w:r>
      <w:r w:rsidR="00DD1F53">
        <w:t xml:space="preserve">HFCs and </w:t>
      </w:r>
      <w:r w:rsidRPr="00672C85" w:rsidR="00DD1F53">
        <w:t>ozone-depleting substances</w:t>
      </w:r>
      <w:r w:rsidR="00DD1F53">
        <w:t xml:space="preserve"> (ODS) under GHGRP </w:t>
      </w:r>
      <w:r w:rsidRPr="00396807" w:rsidR="00DD1F53">
        <w:t xml:space="preserve">(74 FR 56260; October 30, 2009) </w:t>
      </w:r>
      <w:r w:rsidR="00DD1F53">
        <w:t xml:space="preserve">and 40 CFR part 82, respectively. </w:t>
      </w:r>
      <w:r w:rsidRPr="00037319" w:rsidR="00DD1F53">
        <w:t>This analysis assumes that all respondent burden hours are incurred by technical staff at companies that submit reports</w:t>
      </w:r>
      <w:r w:rsidRPr="0066516C" w:rsidR="00DD1F53">
        <w:t xml:space="preserve">. </w:t>
      </w:r>
      <w:r w:rsidR="00FE1D5E">
        <w:rPr>
          <w:highlight w:val="cyan"/>
        </w:rPr>
        <w:fldChar w:fldCharType="begin"/>
      </w:r>
      <w:r w:rsidR="00FE1D5E">
        <w:instrText xml:space="preserve"> REF _Ref69842426 \h </w:instrText>
      </w:r>
      <w:r w:rsidR="00FE1D5E">
        <w:rPr>
          <w:highlight w:val="cyan"/>
        </w:rPr>
      </w:r>
      <w:r w:rsidR="00FE1D5E">
        <w:rPr>
          <w:highlight w:val="cyan"/>
        </w:rPr>
        <w:fldChar w:fldCharType="separate"/>
      </w:r>
      <w:r w:rsidR="00FE1D5E">
        <w:t xml:space="preserve">Table </w:t>
      </w:r>
      <w:r w:rsidR="00FE1D5E">
        <w:rPr>
          <w:noProof/>
        </w:rPr>
        <w:t>III</w:t>
      </w:r>
      <w:r w:rsidR="00FE1D5E">
        <w:rPr>
          <w:highlight w:val="cyan"/>
        </w:rPr>
        <w:fldChar w:fldCharType="end"/>
      </w:r>
      <w:r w:rsidR="00DD1F53">
        <w:t xml:space="preserve"> </w:t>
      </w:r>
      <w:r w:rsidRPr="00672C85" w:rsidR="00DD1F53">
        <w:rPr>
          <w:color w:val="000000"/>
        </w:rPr>
        <w:t xml:space="preserve">below summarizes </w:t>
      </w:r>
      <w:r w:rsidRPr="00672C85" w:rsidR="00DD1F53">
        <w:t xml:space="preserve">the number of burden hours incurred by each respondent </w:t>
      </w:r>
      <w:r w:rsidR="00DD1F53">
        <w:t xml:space="preserve">for each information collection </w:t>
      </w:r>
      <w:r w:rsidRPr="00672C85" w:rsidR="00DD1F53">
        <w:t>activity</w:t>
      </w:r>
      <w:r w:rsidRPr="00672C85" w:rsidR="00DD1F53">
        <w:rPr>
          <w:color w:val="000000"/>
        </w:rPr>
        <w:t>.</w:t>
      </w:r>
      <w:r w:rsidDel="00884E09" w:rsidR="008F5349">
        <w:t xml:space="preserve"> </w:t>
      </w:r>
    </w:p>
    <w:p w:rsidR="00CD5638" w:rsidP="00497AFF" w:rsidRDefault="00CD5638" w14:paraId="44836705" w14:textId="0A37657B">
      <w:pPr>
        <w:pStyle w:val="Heading2"/>
      </w:pPr>
      <w:r>
        <w:t xml:space="preserve">(b) </w:t>
      </w:r>
      <w:r w:rsidR="00890042">
        <w:tab/>
      </w:r>
      <w:r w:rsidRPr="00B91CB8">
        <w:t>Estimating Respondent Costs</w:t>
      </w:r>
    </w:p>
    <w:p w:rsidR="00EB7D47" w:rsidP="006B1EFE" w:rsidRDefault="006B1EFE" w14:paraId="5D49AC54" w14:textId="4895BAA9">
      <w:pPr>
        <w:rPr>
          <w:color w:val="000000"/>
        </w:rPr>
      </w:pPr>
      <w:r w:rsidRPr="003A2D73">
        <w:rPr>
          <w:color w:val="000000"/>
        </w:rPr>
        <w:t>To determine respondent costs, an average hourly wage rate of $5</w:t>
      </w:r>
      <w:r>
        <w:rPr>
          <w:color w:val="000000"/>
        </w:rPr>
        <w:t xml:space="preserve">8.41 </w:t>
      </w:r>
      <w:r w:rsidRPr="003A2D73">
        <w:rPr>
          <w:color w:val="000000"/>
        </w:rPr>
        <w:t xml:space="preserve">per hour for technical staff, the hourly wage rate for professional and related persons, was derived from the Bureau of </w:t>
      </w:r>
      <w:r w:rsidRPr="003A2D73">
        <w:rPr>
          <w:color w:val="000000"/>
        </w:rPr>
        <w:lastRenderedPageBreak/>
        <w:t xml:space="preserve">Labor Statistics Employer Cost and Employee Compensation, Table 2. (“civilian workers, by occupational and industry group”), </w:t>
      </w:r>
      <w:r>
        <w:rPr>
          <w:color w:val="000000"/>
        </w:rPr>
        <w:t>September 2020</w:t>
      </w:r>
      <w:r w:rsidRPr="003A2D73">
        <w:rPr>
          <w:color w:val="000000"/>
        </w:rPr>
        <w:t>. A 110 percent increase was added to reflect the estimated additional costs for overhead and fringe, which increased the wage rate to $12</w:t>
      </w:r>
      <w:r>
        <w:rPr>
          <w:color w:val="000000"/>
        </w:rPr>
        <w:t xml:space="preserve">2.66 </w:t>
      </w:r>
      <w:r w:rsidRPr="003A2D73">
        <w:rPr>
          <w:color w:val="000000"/>
        </w:rPr>
        <w:t>per hour. Burden hours were multiplied by the labor rate to determine respondent costs.</w:t>
      </w:r>
      <w:r w:rsidR="00EB7D47">
        <w:rPr>
          <w:color w:val="000000"/>
        </w:rPr>
        <w:t xml:space="preserve"> Given the reporting and recordkeeping requirements, n</w:t>
      </w:r>
      <w:r w:rsidR="00EB7D47">
        <w:t>o operation and maintenance (O&amp;M) costs</w:t>
      </w:r>
      <w:r w:rsidR="004D65B5">
        <w:t xml:space="preserve"> or capital/startup costs</w:t>
      </w:r>
      <w:r w:rsidR="00EB7D47">
        <w:t xml:space="preserve"> are assumed to be associated with this information collection request.</w:t>
      </w:r>
    </w:p>
    <w:p w:rsidR="00B003A8" w:rsidP="00C31139" w:rsidRDefault="002E5BFE" w14:paraId="5FFCF809" w14:textId="1F13897B">
      <w:r>
        <w:fldChar w:fldCharType="begin"/>
      </w:r>
      <w:r>
        <w:instrText xml:space="preserve"> REF _Ref69842426 \h </w:instrText>
      </w:r>
      <w:r>
        <w:fldChar w:fldCharType="separate"/>
      </w:r>
      <w:r>
        <w:t xml:space="preserve">Table </w:t>
      </w:r>
      <w:r>
        <w:rPr>
          <w:noProof/>
        </w:rPr>
        <w:t>III</w:t>
      </w:r>
      <w:r>
        <w:fldChar w:fldCharType="end"/>
      </w:r>
      <w:r w:rsidR="002952F6">
        <w:t xml:space="preserve"> below summarizes labor costs for each respondent by information collection activity. Costs are calculated by multiplying technical burden hours per response by the </w:t>
      </w:r>
      <w:r w:rsidR="00232135">
        <w:t xml:space="preserve">number of responses per year and the </w:t>
      </w:r>
      <w:r w:rsidR="002952F6">
        <w:t xml:space="preserve">assumed hourly wage rate of technical staff. </w:t>
      </w:r>
    </w:p>
    <w:p w:rsidR="0096779F" w:rsidP="0096779F" w:rsidRDefault="0096779F" w14:paraId="1DA204CD" w14:textId="77777777">
      <w:pPr>
        <w:pStyle w:val="Caption"/>
        <w:keepNext/>
      </w:pPr>
      <w:bookmarkStart w:name="_Ref69842426" w:id="4"/>
      <w:r>
        <w:t xml:space="preserve">Table </w:t>
      </w:r>
      <w:r w:rsidR="00353861">
        <w:fldChar w:fldCharType="begin"/>
      </w:r>
      <w:r w:rsidR="00353861">
        <w:instrText xml:space="preserve"> SEQ Table \* ROMAN </w:instrText>
      </w:r>
      <w:r w:rsidR="00353861">
        <w:fldChar w:fldCharType="separate"/>
      </w:r>
      <w:r>
        <w:rPr>
          <w:noProof/>
        </w:rPr>
        <w:t>III</w:t>
      </w:r>
      <w:r w:rsidR="00353861">
        <w:rPr>
          <w:noProof/>
        </w:rPr>
        <w:fldChar w:fldCharType="end"/>
      </w:r>
      <w:bookmarkEnd w:id="4"/>
      <w:r>
        <w:t>. Hours and Costs per Respondent Activity</w:t>
      </w:r>
    </w:p>
    <w:tbl>
      <w:tblPr>
        <w:tblW w:w="47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32"/>
        <w:gridCol w:w="1346"/>
        <w:gridCol w:w="1347"/>
        <w:gridCol w:w="1438"/>
        <w:gridCol w:w="1436"/>
      </w:tblGrid>
      <w:tr w:rsidRPr="007869C2" w:rsidR="0096779F" w:rsidTr="00766F19" w14:paraId="2B2E37F9" w14:textId="77777777">
        <w:trPr>
          <w:trHeight w:val="450"/>
          <w:tblHeader/>
        </w:trPr>
        <w:tc>
          <w:tcPr>
            <w:tcW w:w="1872" w:type="pct"/>
            <w:vMerge w:val="restart"/>
            <w:shd w:val="clear" w:color="000000" w:fill="F2F2F2"/>
            <w:vAlign w:val="center"/>
            <w:hideMark/>
          </w:tcPr>
          <w:p w:rsidRPr="007869C2" w:rsidR="0096779F" w:rsidP="00766F19" w:rsidRDefault="0096779F" w14:paraId="6B9EF9CC" w14:textId="77777777">
            <w:pPr>
              <w:spacing w:after="0"/>
              <w:jc w:val="center"/>
              <w:rPr>
                <w:b/>
                <w:bCs/>
                <w:color w:val="000000"/>
                <w:sz w:val="18"/>
                <w:szCs w:val="18"/>
              </w:rPr>
            </w:pPr>
            <w:r w:rsidRPr="007869C2">
              <w:rPr>
                <w:b/>
                <w:bCs/>
                <w:color w:val="000000"/>
                <w:sz w:val="18"/>
                <w:szCs w:val="18"/>
              </w:rPr>
              <w:t xml:space="preserve">Activity </w:t>
            </w:r>
          </w:p>
        </w:tc>
        <w:tc>
          <w:tcPr>
            <w:tcW w:w="756" w:type="pct"/>
            <w:vMerge w:val="restart"/>
            <w:shd w:val="clear" w:color="000000" w:fill="F2F2F2"/>
            <w:vAlign w:val="center"/>
            <w:hideMark/>
          </w:tcPr>
          <w:p w:rsidRPr="007869C2" w:rsidR="0096779F" w:rsidP="00766F19" w:rsidRDefault="0096779F" w14:paraId="4CE1F255" w14:textId="77777777">
            <w:pPr>
              <w:spacing w:after="0"/>
              <w:jc w:val="center"/>
              <w:rPr>
                <w:b/>
                <w:bCs/>
                <w:color w:val="000000"/>
                <w:sz w:val="18"/>
                <w:szCs w:val="18"/>
              </w:rPr>
            </w:pPr>
            <w:r w:rsidRPr="007869C2">
              <w:rPr>
                <w:b/>
                <w:bCs/>
                <w:color w:val="000000"/>
                <w:sz w:val="18"/>
                <w:szCs w:val="18"/>
              </w:rPr>
              <w:t>Responses per Respondent per Year</w:t>
            </w:r>
          </w:p>
        </w:tc>
        <w:tc>
          <w:tcPr>
            <w:tcW w:w="757" w:type="pct"/>
            <w:vMerge w:val="restart"/>
            <w:shd w:val="clear" w:color="000000" w:fill="F2F2F2"/>
            <w:vAlign w:val="center"/>
            <w:hideMark/>
          </w:tcPr>
          <w:p w:rsidRPr="007869C2" w:rsidR="0096779F" w:rsidP="00766F19" w:rsidRDefault="0096779F" w14:paraId="131A7E06" w14:textId="77777777">
            <w:pPr>
              <w:spacing w:after="0"/>
              <w:jc w:val="center"/>
              <w:rPr>
                <w:b/>
                <w:bCs/>
                <w:color w:val="000000"/>
                <w:sz w:val="18"/>
                <w:szCs w:val="18"/>
              </w:rPr>
            </w:pPr>
            <w:r w:rsidRPr="007869C2">
              <w:rPr>
                <w:b/>
                <w:bCs/>
                <w:color w:val="000000"/>
                <w:sz w:val="18"/>
                <w:szCs w:val="18"/>
              </w:rPr>
              <w:t xml:space="preserve">Technical </w:t>
            </w:r>
            <w:r>
              <w:rPr>
                <w:b/>
                <w:bCs/>
                <w:color w:val="000000"/>
                <w:sz w:val="18"/>
                <w:szCs w:val="18"/>
              </w:rPr>
              <w:t xml:space="preserve">Burden </w:t>
            </w:r>
            <w:r w:rsidRPr="007869C2">
              <w:rPr>
                <w:b/>
                <w:bCs/>
                <w:color w:val="000000"/>
                <w:sz w:val="18"/>
                <w:szCs w:val="18"/>
              </w:rPr>
              <w:t>Hours per Response</w:t>
            </w:r>
          </w:p>
        </w:tc>
        <w:tc>
          <w:tcPr>
            <w:tcW w:w="808" w:type="pct"/>
            <w:vMerge w:val="restart"/>
            <w:shd w:val="clear" w:color="000000" w:fill="F2F2F2"/>
            <w:vAlign w:val="center"/>
            <w:hideMark/>
          </w:tcPr>
          <w:p w:rsidRPr="007869C2" w:rsidR="0096779F" w:rsidP="00766F19" w:rsidRDefault="0096779F" w14:paraId="7A61692B" w14:textId="77777777">
            <w:pPr>
              <w:spacing w:after="0"/>
              <w:jc w:val="center"/>
              <w:rPr>
                <w:b/>
                <w:bCs/>
                <w:color w:val="000000"/>
                <w:sz w:val="18"/>
                <w:szCs w:val="18"/>
              </w:rPr>
            </w:pPr>
            <w:r w:rsidRPr="007869C2">
              <w:rPr>
                <w:b/>
                <w:bCs/>
                <w:color w:val="000000"/>
                <w:sz w:val="18"/>
                <w:szCs w:val="18"/>
              </w:rPr>
              <w:t>Total Hours per Respondent per Year</w:t>
            </w:r>
          </w:p>
        </w:tc>
        <w:tc>
          <w:tcPr>
            <w:tcW w:w="807" w:type="pct"/>
            <w:vMerge w:val="restart"/>
            <w:shd w:val="clear" w:color="000000" w:fill="F2F2F2"/>
            <w:vAlign w:val="center"/>
            <w:hideMark/>
          </w:tcPr>
          <w:p w:rsidRPr="007869C2" w:rsidR="0096779F" w:rsidP="00766F19" w:rsidRDefault="0096779F" w14:paraId="060C9148" w14:textId="77777777">
            <w:pPr>
              <w:spacing w:after="0"/>
              <w:jc w:val="center"/>
              <w:rPr>
                <w:b/>
                <w:bCs/>
                <w:color w:val="000000"/>
                <w:sz w:val="18"/>
                <w:szCs w:val="18"/>
              </w:rPr>
            </w:pPr>
            <w:r w:rsidRPr="007869C2">
              <w:rPr>
                <w:b/>
                <w:bCs/>
                <w:color w:val="000000"/>
                <w:sz w:val="18"/>
                <w:szCs w:val="18"/>
              </w:rPr>
              <w:t>Technical Labor Cost per Respondent per Year</w:t>
            </w:r>
          </w:p>
        </w:tc>
      </w:tr>
      <w:tr w:rsidRPr="007869C2" w:rsidR="0096779F" w:rsidTr="00766F19" w14:paraId="151D4158" w14:textId="77777777">
        <w:trPr>
          <w:trHeight w:val="467"/>
          <w:tblHeader/>
        </w:trPr>
        <w:tc>
          <w:tcPr>
            <w:tcW w:w="1872" w:type="pct"/>
            <w:vMerge/>
            <w:vAlign w:val="center"/>
            <w:hideMark/>
          </w:tcPr>
          <w:p w:rsidRPr="007869C2" w:rsidR="0096779F" w:rsidP="00766F19" w:rsidRDefault="0096779F" w14:paraId="27260381" w14:textId="77777777">
            <w:pPr>
              <w:spacing w:after="0"/>
              <w:rPr>
                <w:b/>
                <w:bCs/>
                <w:color w:val="000000"/>
                <w:sz w:val="18"/>
                <w:szCs w:val="18"/>
              </w:rPr>
            </w:pPr>
          </w:p>
        </w:tc>
        <w:tc>
          <w:tcPr>
            <w:tcW w:w="756" w:type="pct"/>
            <w:vMerge/>
            <w:vAlign w:val="center"/>
            <w:hideMark/>
          </w:tcPr>
          <w:p w:rsidRPr="007869C2" w:rsidR="0096779F" w:rsidP="00766F19" w:rsidRDefault="0096779F" w14:paraId="7861409B" w14:textId="77777777">
            <w:pPr>
              <w:spacing w:after="0"/>
              <w:rPr>
                <w:b/>
                <w:bCs/>
                <w:color w:val="000000"/>
                <w:sz w:val="18"/>
                <w:szCs w:val="18"/>
              </w:rPr>
            </w:pPr>
          </w:p>
        </w:tc>
        <w:tc>
          <w:tcPr>
            <w:tcW w:w="757" w:type="pct"/>
            <w:vMerge/>
            <w:vAlign w:val="center"/>
            <w:hideMark/>
          </w:tcPr>
          <w:p w:rsidRPr="007869C2" w:rsidR="0096779F" w:rsidP="00766F19" w:rsidRDefault="0096779F" w14:paraId="45F864DB" w14:textId="77777777">
            <w:pPr>
              <w:spacing w:after="0"/>
              <w:rPr>
                <w:b/>
                <w:bCs/>
                <w:color w:val="000000"/>
                <w:sz w:val="18"/>
                <w:szCs w:val="18"/>
              </w:rPr>
            </w:pPr>
          </w:p>
        </w:tc>
        <w:tc>
          <w:tcPr>
            <w:tcW w:w="808" w:type="pct"/>
            <w:vMerge/>
            <w:vAlign w:val="center"/>
            <w:hideMark/>
          </w:tcPr>
          <w:p w:rsidRPr="007869C2" w:rsidR="0096779F" w:rsidP="00766F19" w:rsidRDefault="0096779F" w14:paraId="65420AC9" w14:textId="77777777">
            <w:pPr>
              <w:spacing w:after="0"/>
              <w:rPr>
                <w:b/>
                <w:bCs/>
                <w:color w:val="000000"/>
                <w:sz w:val="18"/>
                <w:szCs w:val="18"/>
              </w:rPr>
            </w:pPr>
          </w:p>
        </w:tc>
        <w:tc>
          <w:tcPr>
            <w:tcW w:w="807" w:type="pct"/>
            <w:vMerge/>
            <w:vAlign w:val="center"/>
            <w:hideMark/>
          </w:tcPr>
          <w:p w:rsidRPr="007869C2" w:rsidR="0096779F" w:rsidP="00766F19" w:rsidRDefault="0096779F" w14:paraId="31A4AA12" w14:textId="77777777">
            <w:pPr>
              <w:spacing w:after="0"/>
              <w:rPr>
                <w:b/>
                <w:bCs/>
                <w:color w:val="000000"/>
                <w:sz w:val="18"/>
                <w:szCs w:val="18"/>
              </w:rPr>
            </w:pPr>
          </w:p>
        </w:tc>
      </w:tr>
      <w:tr w:rsidRPr="007869C2" w:rsidR="0096779F" w:rsidTr="00766F19" w14:paraId="4435B8A0" w14:textId="77777777">
        <w:trPr>
          <w:trHeight w:val="288"/>
        </w:trPr>
        <w:tc>
          <w:tcPr>
            <w:tcW w:w="1872" w:type="pct"/>
            <w:shd w:val="clear" w:color="auto" w:fill="auto"/>
            <w:vAlign w:val="center"/>
            <w:hideMark/>
          </w:tcPr>
          <w:p w:rsidRPr="007869C2" w:rsidR="0096779F" w:rsidP="00766F19" w:rsidRDefault="0096779F" w14:paraId="1E60876A" w14:textId="77777777">
            <w:pPr>
              <w:spacing w:after="0"/>
              <w:rPr>
                <w:sz w:val="18"/>
                <w:szCs w:val="18"/>
              </w:rPr>
            </w:pPr>
            <w:r w:rsidRPr="007869C2">
              <w:rPr>
                <w:sz w:val="18"/>
                <w:szCs w:val="18"/>
              </w:rPr>
              <w:t xml:space="preserve">Submit </w:t>
            </w:r>
            <w:r>
              <w:rPr>
                <w:sz w:val="18"/>
                <w:szCs w:val="18"/>
              </w:rPr>
              <w:t>request for extension</w:t>
            </w:r>
          </w:p>
        </w:tc>
        <w:tc>
          <w:tcPr>
            <w:tcW w:w="756" w:type="pct"/>
            <w:shd w:val="clear" w:color="auto" w:fill="auto"/>
            <w:vAlign w:val="center"/>
            <w:hideMark/>
          </w:tcPr>
          <w:p w:rsidRPr="00B9417E" w:rsidR="0096779F" w:rsidP="00766F19" w:rsidRDefault="0096779F" w14:paraId="7837BB0E" w14:textId="77777777">
            <w:pPr>
              <w:spacing w:after="0"/>
              <w:jc w:val="right"/>
              <w:rPr>
                <w:sz w:val="18"/>
                <w:szCs w:val="18"/>
              </w:rPr>
            </w:pPr>
            <w:r w:rsidRPr="00B9417E">
              <w:rPr>
                <w:sz w:val="18"/>
                <w:szCs w:val="18"/>
              </w:rPr>
              <w:t>1</w:t>
            </w:r>
          </w:p>
        </w:tc>
        <w:tc>
          <w:tcPr>
            <w:tcW w:w="757" w:type="pct"/>
            <w:shd w:val="clear" w:color="auto" w:fill="auto"/>
            <w:vAlign w:val="center"/>
            <w:hideMark/>
          </w:tcPr>
          <w:p w:rsidRPr="00B9417E" w:rsidR="0096779F" w:rsidP="00766F19" w:rsidRDefault="00026A32" w14:paraId="0D100837" w14:textId="4479B119">
            <w:pPr>
              <w:spacing w:after="0"/>
              <w:jc w:val="right"/>
              <w:rPr>
                <w:sz w:val="18"/>
                <w:szCs w:val="18"/>
              </w:rPr>
            </w:pPr>
            <w:r>
              <w:rPr>
                <w:sz w:val="18"/>
                <w:szCs w:val="18"/>
              </w:rPr>
              <w:t>2.00</w:t>
            </w:r>
          </w:p>
        </w:tc>
        <w:tc>
          <w:tcPr>
            <w:tcW w:w="808" w:type="pct"/>
            <w:shd w:val="clear" w:color="auto" w:fill="auto"/>
            <w:vAlign w:val="center"/>
            <w:hideMark/>
          </w:tcPr>
          <w:p w:rsidRPr="00B9417E" w:rsidR="0096779F" w:rsidP="00766F19" w:rsidRDefault="00026A32" w14:paraId="3B17F0D6" w14:textId="0B8BDF1B">
            <w:pPr>
              <w:spacing w:after="0"/>
              <w:jc w:val="right"/>
              <w:rPr>
                <w:sz w:val="18"/>
                <w:szCs w:val="18"/>
              </w:rPr>
            </w:pPr>
            <w:r>
              <w:rPr>
                <w:sz w:val="18"/>
                <w:szCs w:val="18"/>
              </w:rPr>
              <w:t>2.0</w:t>
            </w:r>
          </w:p>
        </w:tc>
        <w:tc>
          <w:tcPr>
            <w:tcW w:w="807" w:type="pct"/>
            <w:shd w:val="clear" w:color="auto" w:fill="auto"/>
            <w:vAlign w:val="center"/>
            <w:hideMark/>
          </w:tcPr>
          <w:p w:rsidRPr="00B9417E" w:rsidR="0096779F" w:rsidP="00766F19" w:rsidRDefault="0096779F" w14:paraId="207F06D4" w14:textId="0FFACC2E">
            <w:pPr>
              <w:spacing w:after="0"/>
              <w:jc w:val="right"/>
              <w:rPr>
                <w:sz w:val="18"/>
                <w:szCs w:val="18"/>
              </w:rPr>
            </w:pPr>
            <w:r w:rsidRPr="00B9417E">
              <w:rPr>
                <w:sz w:val="18"/>
                <w:szCs w:val="18"/>
              </w:rPr>
              <w:t>$</w:t>
            </w:r>
            <w:r w:rsidR="002170D5">
              <w:rPr>
                <w:sz w:val="18"/>
                <w:szCs w:val="18"/>
              </w:rPr>
              <w:t>245</w:t>
            </w:r>
          </w:p>
        </w:tc>
      </w:tr>
      <w:tr w:rsidRPr="007869C2" w:rsidR="0096779F" w:rsidTr="00766F19" w14:paraId="09F723B7" w14:textId="77777777">
        <w:trPr>
          <w:trHeight w:val="288"/>
        </w:trPr>
        <w:tc>
          <w:tcPr>
            <w:tcW w:w="1872" w:type="pct"/>
            <w:shd w:val="clear" w:color="auto" w:fill="auto"/>
            <w:vAlign w:val="center"/>
            <w:hideMark/>
          </w:tcPr>
          <w:p w:rsidRPr="007869C2" w:rsidR="0096779F" w:rsidP="00766F19" w:rsidRDefault="0096779F" w14:paraId="5BF8A226" w14:textId="77777777">
            <w:pPr>
              <w:spacing w:after="0"/>
              <w:rPr>
                <w:sz w:val="18"/>
                <w:szCs w:val="18"/>
              </w:rPr>
            </w:pPr>
            <w:r w:rsidRPr="007869C2">
              <w:rPr>
                <w:sz w:val="18"/>
                <w:szCs w:val="18"/>
              </w:rPr>
              <w:t>Submit one-time HFC-23 emissions report</w:t>
            </w:r>
          </w:p>
        </w:tc>
        <w:tc>
          <w:tcPr>
            <w:tcW w:w="756" w:type="pct"/>
            <w:shd w:val="clear" w:color="auto" w:fill="auto"/>
            <w:vAlign w:val="center"/>
            <w:hideMark/>
          </w:tcPr>
          <w:p w:rsidRPr="00B9417E" w:rsidR="0096779F" w:rsidP="00766F19" w:rsidRDefault="0096779F" w14:paraId="6C716557" w14:textId="77777777">
            <w:pPr>
              <w:spacing w:after="0"/>
              <w:jc w:val="right"/>
              <w:rPr>
                <w:sz w:val="18"/>
                <w:szCs w:val="18"/>
              </w:rPr>
            </w:pPr>
            <w:r w:rsidRPr="00B9417E">
              <w:rPr>
                <w:sz w:val="18"/>
                <w:szCs w:val="18"/>
              </w:rPr>
              <w:t>1</w:t>
            </w:r>
          </w:p>
        </w:tc>
        <w:tc>
          <w:tcPr>
            <w:tcW w:w="757" w:type="pct"/>
            <w:shd w:val="clear" w:color="auto" w:fill="auto"/>
            <w:vAlign w:val="center"/>
            <w:hideMark/>
          </w:tcPr>
          <w:p w:rsidRPr="00B9417E" w:rsidR="0096779F" w:rsidP="00766F19" w:rsidRDefault="0096779F" w14:paraId="5549BD21" w14:textId="77777777">
            <w:pPr>
              <w:spacing w:after="0"/>
              <w:jc w:val="right"/>
              <w:rPr>
                <w:sz w:val="18"/>
                <w:szCs w:val="18"/>
              </w:rPr>
            </w:pPr>
            <w:r w:rsidRPr="00B9417E">
              <w:rPr>
                <w:sz w:val="18"/>
                <w:szCs w:val="18"/>
              </w:rPr>
              <w:t>100.00</w:t>
            </w:r>
          </w:p>
        </w:tc>
        <w:tc>
          <w:tcPr>
            <w:tcW w:w="808" w:type="pct"/>
            <w:shd w:val="clear" w:color="auto" w:fill="auto"/>
            <w:vAlign w:val="center"/>
            <w:hideMark/>
          </w:tcPr>
          <w:p w:rsidRPr="00B9417E" w:rsidR="0096779F" w:rsidP="00766F19" w:rsidRDefault="0096779F" w14:paraId="08E98504" w14:textId="77777777">
            <w:pPr>
              <w:spacing w:after="0"/>
              <w:jc w:val="right"/>
              <w:rPr>
                <w:sz w:val="18"/>
                <w:szCs w:val="18"/>
              </w:rPr>
            </w:pPr>
            <w:r w:rsidRPr="00B9417E">
              <w:rPr>
                <w:sz w:val="18"/>
                <w:szCs w:val="18"/>
              </w:rPr>
              <w:t>100.0</w:t>
            </w:r>
          </w:p>
        </w:tc>
        <w:tc>
          <w:tcPr>
            <w:tcW w:w="807" w:type="pct"/>
            <w:shd w:val="clear" w:color="auto" w:fill="auto"/>
            <w:vAlign w:val="center"/>
            <w:hideMark/>
          </w:tcPr>
          <w:p w:rsidRPr="00B9417E" w:rsidR="0096779F" w:rsidP="00766F19" w:rsidRDefault="0096779F" w14:paraId="01A09EC2" w14:textId="77777777">
            <w:pPr>
              <w:spacing w:after="0"/>
              <w:jc w:val="right"/>
              <w:rPr>
                <w:sz w:val="18"/>
                <w:szCs w:val="18"/>
              </w:rPr>
            </w:pPr>
            <w:r w:rsidRPr="00B9417E">
              <w:rPr>
                <w:sz w:val="18"/>
                <w:szCs w:val="18"/>
              </w:rPr>
              <w:t>$12,266</w:t>
            </w:r>
          </w:p>
        </w:tc>
      </w:tr>
      <w:tr w:rsidRPr="007869C2" w:rsidR="0096779F" w:rsidTr="00766F19" w14:paraId="169D4D54" w14:textId="77777777">
        <w:trPr>
          <w:trHeight w:val="288"/>
        </w:trPr>
        <w:tc>
          <w:tcPr>
            <w:tcW w:w="1872" w:type="pct"/>
            <w:shd w:val="clear" w:color="auto" w:fill="auto"/>
            <w:vAlign w:val="center"/>
            <w:hideMark/>
          </w:tcPr>
          <w:p w:rsidRPr="007869C2" w:rsidR="0096779F" w:rsidP="00766F19" w:rsidRDefault="0096779F" w14:paraId="6921CF8A" w14:textId="7E8B430B">
            <w:pPr>
              <w:spacing w:after="0"/>
              <w:rPr>
                <w:sz w:val="18"/>
                <w:szCs w:val="18"/>
              </w:rPr>
            </w:pPr>
            <w:r w:rsidRPr="007869C2">
              <w:rPr>
                <w:sz w:val="18"/>
                <w:szCs w:val="18"/>
              </w:rPr>
              <w:t xml:space="preserve">Submit </w:t>
            </w:r>
            <w:r w:rsidR="00DD6F29">
              <w:rPr>
                <w:sz w:val="18"/>
                <w:szCs w:val="18"/>
              </w:rPr>
              <w:t>quarterly</w:t>
            </w:r>
            <w:r w:rsidRPr="007869C2">
              <w:rPr>
                <w:sz w:val="18"/>
                <w:szCs w:val="18"/>
              </w:rPr>
              <w:t xml:space="preserve"> HFC-23 emissions report</w:t>
            </w:r>
          </w:p>
        </w:tc>
        <w:tc>
          <w:tcPr>
            <w:tcW w:w="756" w:type="pct"/>
            <w:shd w:val="clear" w:color="auto" w:fill="auto"/>
            <w:vAlign w:val="center"/>
            <w:hideMark/>
          </w:tcPr>
          <w:p w:rsidRPr="00B9417E" w:rsidR="0096779F" w:rsidP="00766F19" w:rsidRDefault="0096779F" w14:paraId="5123BEFB" w14:textId="77777777">
            <w:pPr>
              <w:spacing w:after="0"/>
              <w:jc w:val="right"/>
              <w:rPr>
                <w:sz w:val="18"/>
                <w:szCs w:val="18"/>
              </w:rPr>
            </w:pPr>
            <w:r>
              <w:rPr>
                <w:sz w:val="18"/>
                <w:szCs w:val="18"/>
              </w:rPr>
              <w:t>4</w:t>
            </w:r>
          </w:p>
        </w:tc>
        <w:tc>
          <w:tcPr>
            <w:tcW w:w="757" w:type="pct"/>
            <w:shd w:val="clear" w:color="auto" w:fill="auto"/>
            <w:vAlign w:val="center"/>
            <w:hideMark/>
          </w:tcPr>
          <w:p w:rsidRPr="00B9417E" w:rsidR="0096779F" w:rsidP="00766F19" w:rsidRDefault="0096779F" w14:paraId="63627D3F" w14:textId="77777777">
            <w:pPr>
              <w:spacing w:after="0"/>
              <w:jc w:val="right"/>
              <w:rPr>
                <w:sz w:val="18"/>
                <w:szCs w:val="18"/>
              </w:rPr>
            </w:pPr>
            <w:r w:rsidRPr="00B9417E">
              <w:rPr>
                <w:sz w:val="18"/>
                <w:szCs w:val="18"/>
              </w:rPr>
              <w:t>12.00</w:t>
            </w:r>
          </w:p>
        </w:tc>
        <w:tc>
          <w:tcPr>
            <w:tcW w:w="808" w:type="pct"/>
            <w:shd w:val="clear" w:color="auto" w:fill="auto"/>
            <w:vAlign w:val="center"/>
            <w:hideMark/>
          </w:tcPr>
          <w:p w:rsidRPr="00B9417E" w:rsidR="0096779F" w:rsidP="00766F19" w:rsidRDefault="0096779F" w14:paraId="546BC076" w14:textId="77777777">
            <w:pPr>
              <w:spacing w:after="0"/>
              <w:jc w:val="right"/>
              <w:rPr>
                <w:sz w:val="18"/>
                <w:szCs w:val="18"/>
              </w:rPr>
            </w:pPr>
            <w:r>
              <w:rPr>
                <w:sz w:val="18"/>
                <w:szCs w:val="18"/>
              </w:rPr>
              <w:t>48</w:t>
            </w:r>
            <w:r w:rsidRPr="00B9417E">
              <w:rPr>
                <w:sz w:val="18"/>
                <w:szCs w:val="18"/>
              </w:rPr>
              <w:t>.0</w:t>
            </w:r>
          </w:p>
        </w:tc>
        <w:tc>
          <w:tcPr>
            <w:tcW w:w="807" w:type="pct"/>
            <w:shd w:val="clear" w:color="auto" w:fill="auto"/>
            <w:vAlign w:val="center"/>
            <w:hideMark/>
          </w:tcPr>
          <w:p w:rsidRPr="00B9417E" w:rsidR="0096779F" w:rsidP="00766F19" w:rsidRDefault="0096779F" w14:paraId="44C36242" w14:textId="77777777">
            <w:pPr>
              <w:spacing w:after="0"/>
              <w:jc w:val="right"/>
              <w:rPr>
                <w:sz w:val="18"/>
                <w:szCs w:val="18"/>
              </w:rPr>
            </w:pPr>
            <w:r w:rsidRPr="00B9417E">
              <w:rPr>
                <w:sz w:val="18"/>
                <w:szCs w:val="18"/>
              </w:rPr>
              <w:t>$</w:t>
            </w:r>
            <w:r>
              <w:rPr>
                <w:sz w:val="18"/>
                <w:szCs w:val="18"/>
              </w:rPr>
              <w:t>5,888</w:t>
            </w:r>
          </w:p>
        </w:tc>
      </w:tr>
      <w:tr w:rsidRPr="007869C2" w:rsidR="0096779F" w:rsidTr="00766F19" w14:paraId="14C65609" w14:textId="77777777">
        <w:trPr>
          <w:trHeight w:val="288"/>
        </w:trPr>
        <w:tc>
          <w:tcPr>
            <w:tcW w:w="1872" w:type="pct"/>
            <w:shd w:val="clear" w:color="auto" w:fill="auto"/>
            <w:vAlign w:val="center"/>
            <w:hideMark/>
          </w:tcPr>
          <w:p w:rsidRPr="007869C2" w:rsidR="0096779F" w:rsidP="00766F19" w:rsidRDefault="0096779F" w14:paraId="2BAC50B4" w14:textId="77777777">
            <w:pPr>
              <w:spacing w:after="0"/>
              <w:rPr>
                <w:sz w:val="18"/>
                <w:szCs w:val="18"/>
              </w:rPr>
            </w:pPr>
            <w:r w:rsidRPr="007869C2">
              <w:rPr>
                <w:sz w:val="18"/>
                <w:szCs w:val="18"/>
              </w:rPr>
              <w:t>Submit HFC-23 proof of destruction</w:t>
            </w:r>
          </w:p>
        </w:tc>
        <w:tc>
          <w:tcPr>
            <w:tcW w:w="756" w:type="pct"/>
            <w:shd w:val="clear" w:color="auto" w:fill="auto"/>
            <w:vAlign w:val="center"/>
            <w:hideMark/>
          </w:tcPr>
          <w:p w:rsidRPr="00B9417E" w:rsidR="0096779F" w:rsidP="00766F19" w:rsidRDefault="0096779F" w14:paraId="0CA0E448" w14:textId="77777777">
            <w:pPr>
              <w:spacing w:after="0"/>
              <w:jc w:val="right"/>
              <w:rPr>
                <w:sz w:val="18"/>
                <w:szCs w:val="18"/>
              </w:rPr>
            </w:pPr>
            <w:r w:rsidRPr="00B9417E">
              <w:rPr>
                <w:sz w:val="18"/>
                <w:szCs w:val="18"/>
              </w:rPr>
              <w:t>2</w:t>
            </w:r>
          </w:p>
        </w:tc>
        <w:tc>
          <w:tcPr>
            <w:tcW w:w="757" w:type="pct"/>
            <w:shd w:val="clear" w:color="auto" w:fill="auto"/>
            <w:vAlign w:val="center"/>
            <w:hideMark/>
          </w:tcPr>
          <w:p w:rsidRPr="00B9417E" w:rsidR="0096779F" w:rsidP="00766F19" w:rsidRDefault="0096779F" w14:paraId="13625E4C" w14:textId="77777777">
            <w:pPr>
              <w:spacing w:after="0"/>
              <w:jc w:val="right"/>
              <w:rPr>
                <w:sz w:val="18"/>
                <w:szCs w:val="18"/>
              </w:rPr>
            </w:pPr>
            <w:r w:rsidRPr="00B9417E">
              <w:rPr>
                <w:sz w:val="18"/>
                <w:szCs w:val="18"/>
              </w:rPr>
              <w:t>0.25</w:t>
            </w:r>
          </w:p>
        </w:tc>
        <w:tc>
          <w:tcPr>
            <w:tcW w:w="808" w:type="pct"/>
            <w:shd w:val="clear" w:color="auto" w:fill="auto"/>
            <w:vAlign w:val="center"/>
            <w:hideMark/>
          </w:tcPr>
          <w:p w:rsidRPr="00B9417E" w:rsidR="0096779F" w:rsidP="00766F19" w:rsidRDefault="0096779F" w14:paraId="3FC84FAB" w14:textId="77777777">
            <w:pPr>
              <w:spacing w:after="0"/>
              <w:jc w:val="right"/>
              <w:rPr>
                <w:sz w:val="18"/>
                <w:szCs w:val="18"/>
              </w:rPr>
            </w:pPr>
            <w:r w:rsidRPr="00B9417E">
              <w:rPr>
                <w:sz w:val="18"/>
                <w:szCs w:val="18"/>
              </w:rPr>
              <w:t>0.5</w:t>
            </w:r>
          </w:p>
        </w:tc>
        <w:tc>
          <w:tcPr>
            <w:tcW w:w="807" w:type="pct"/>
            <w:shd w:val="clear" w:color="auto" w:fill="auto"/>
            <w:vAlign w:val="center"/>
            <w:hideMark/>
          </w:tcPr>
          <w:p w:rsidRPr="00B9417E" w:rsidR="0096779F" w:rsidP="00766F19" w:rsidRDefault="0096779F" w14:paraId="02A52698" w14:textId="77777777">
            <w:pPr>
              <w:spacing w:after="0"/>
              <w:jc w:val="right"/>
              <w:rPr>
                <w:sz w:val="18"/>
                <w:szCs w:val="18"/>
              </w:rPr>
            </w:pPr>
            <w:r w:rsidRPr="00B9417E">
              <w:rPr>
                <w:sz w:val="18"/>
                <w:szCs w:val="18"/>
              </w:rPr>
              <w:t>$61</w:t>
            </w:r>
          </w:p>
        </w:tc>
      </w:tr>
    </w:tbl>
    <w:p w:rsidR="003B13AB" w:rsidP="00497AFF" w:rsidRDefault="004E4DF6" w14:paraId="560B8046" w14:textId="0040494F">
      <w:pPr>
        <w:pStyle w:val="Heading2"/>
      </w:pPr>
      <w:r w:rsidRPr="004E4DF6">
        <w:t>(c)</w:t>
      </w:r>
      <w:r w:rsidRPr="004E4DF6">
        <w:tab/>
        <w:t xml:space="preserve">Estimating </w:t>
      </w:r>
      <w:r w:rsidR="005155FA">
        <w:t>Agency</w:t>
      </w:r>
      <w:r w:rsidRPr="004E4DF6">
        <w:t xml:space="preserve"> </w:t>
      </w:r>
      <w:r w:rsidR="00CB6725">
        <w:t>B</w:t>
      </w:r>
      <w:r w:rsidRPr="004E4DF6">
        <w:t xml:space="preserve">urden </w:t>
      </w:r>
      <w:r w:rsidR="00CB6725">
        <w:t xml:space="preserve">and </w:t>
      </w:r>
      <w:r w:rsidRPr="004E4DF6">
        <w:t>Costs</w:t>
      </w:r>
    </w:p>
    <w:p w:rsidR="00425164" w:rsidRDefault="00CB2AC9" w14:paraId="762E6A9D" w14:textId="6847CE6C">
      <w:r>
        <w:t xml:space="preserve">EPA identified </w:t>
      </w:r>
      <w:r w:rsidR="00026A32">
        <w:t xml:space="preserve">two </w:t>
      </w:r>
      <w:r>
        <w:t>activities incurred by the federal government</w:t>
      </w:r>
      <w:r w:rsidR="008D2891">
        <w:t xml:space="preserve"> </w:t>
      </w:r>
      <w:r w:rsidRPr="00AC0B0E" w:rsidR="008D2891">
        <w:t xml:space="preserve">associated with this data collection request. Burden associated with each activity is based on EPA’s past experience with reporting and data collection of HFCs and ODS. </w:t>
      </w:r>
      <w:r w:rsidRPr="005D3708" w:rsidR="00153A3F">
        <w:t>The number of occurrences of each activity is based</w:t>
      </w:r>
      <w:r w:rsidR="006326AF">
        <w:t xml:space="preserve"> on</w:t>
      </w:r>
      <w:r w:rsidRPr="005D3708" w:rsidR="00153A3F">
        <w:t xml:space="preserve"> </w:t>
      </w:r>
      <w:r w:rsidRPr="00672C85" w:rsidR="00153A3F">
        <w:t>the estimated number of responses</w:t>
      </w:r>
      <w:r w:rsidR="00153A3F">
        <w:t xml:space="preserve"> per year</w:t>
      </w:r>
      <w:r w:rsidRPr="00672C85" w:rsidR="00153A3F">
        <w:t xml:space="preserve"> </w:t>
      </w:r>
      <w:r w:rsidR="00153A3F">
        <w:t xml:space="preserve">for each year of this ICR </w:t>
      </w:r>
      <w:r w:rsidRPr="00672C85" w:rsidR="00153A3F">
        <w:t xml:space="preserve">(as discussed </w:t>
      </w:r>
      <w:r w:rsidR="00153A3F">
        <w:t xml:space="preserve">further </w:t>
      </w:r>
      <w:r w:rsidRPr="00672C85" w:rsidR="00153A3F">
        <w:t>in section (d) below).</w:t>
      </w:r>
    </w:p>
    <w:p w:rsidRPr="00AC0B0E" w:rsidR="00FA49B1" w:rsidP="00FA49B1" w:rsidRDefault="00FA49B1" w14:paraId="6DBCF694" w14:textId="77777777">
      <w:r w:rsidRPr="00AC0B0E">
        <w:t>Costs are subdivided into Agency and contractor costs. The average hourly rates for the EPA technical and managerial staff of $49.68 and $69.06, respectively, are derived from the 2021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w:t>
      </w:r>
      <w:r>
        <w:t>ly</w:t>
      </w:r>
      <w:r w:rsidRPr="00AC0B0E">
        <w:t xml:space="preserve"> rates of $79.49 for technical staff and $110.50 for managerial staff. The cost of contractor time is valued at $108.37 per hour on average, including overhead and fringe. This rate takes into account a weighted average of managerial and technical staff hours, based on rates for Consultant III and Researcher II under GSA Schedule 899‐1 Environmental Consulting Services. </w:t>
      </w:r>
    </w:p>
    <w:p w:rsidR="00425164" w:rsidP="00C31139" w:rsidRDefault="002E5BFE" w14:paraId="6230D9C4" w14:textId="4F9AAD9A">
      <w:r>
        <w:fldChar w:fldCharType="begin"/>
      </w:r>
      <w:r>
        <w:instrText xml:space="preserve"> REF _Ref69842410 \h </w:instrText>
      </w:r>
      <w:r>
        <w:fldChar w:fldCharType="separate"/>
      </w:r>
      <w:r>
        <w:t xml:space="preserve">Table </w:t>
      </w:r>
      <w:r>
        <w:rPr>
          <w:noProof/>
        </w:rPr>
        <w:t>IV</w:t>
      </w:r>
      <w:r>
        <w:fldChar w:fldCharType="end"/>
      </w:r>
      <w:r w:rsidRPr="00AC0B0E" w:rsidR="00FA49B1">
        <w:t xml:space="preserve"> summarizes total agency burden and costs by activity.</w:t>
      </w:r>
    </w:p>
    <w:p w:rsidR="000333C3" w:rsidP="000333C3" w:rsidRDefault="000333C3" w14:paraId="14D5590F" w14:textId="77777777">
      <w:pPr>
        <w:pStyle w:val="Caption"/>
        <w:keepNext/>
      </w:pPr>
      <w:bookmarkStart w:name="_Ref69842410" w:id="5"/>
      <w:r>
        <w:t xml:space="preserve">Table </w:t>
      </w:r>
      <w:r w:rsidR="00353861">
        <w:fldChar w:fldCharType="begin"/>
      </w:r>
      <w:r w:rsidR="00353861">
        <w:instrText xml:space="preserve"> SEQ Table \* ROMAN </w:instrText>
      </w:r>
      <w:r w:rsidR="00353861">
        <w:fldChar w:fldCharType="separate"/>
      </w:r>
      <w:r>
        <w:rPr>
          <w:noProof/>
        </w:rPr>
        <w:t>IV</w:t>
      </w:r>
      <w:r w:rsidR="00353861">
        <w:rPr>
          <w:noProof/>
        </w:rPr>
        <w:fldChar w:fldCharType="end"/>
      </w:r>
      <w:bookmarkEnd w:id="5"/>
      <w:r>
        <w:t>. Agency Burden and Cost Table</w:t>
      </w:r>
    </w:p>
    <w:tbl>
      <w:tblPr>
        <w:tblW w:w="9370" w:type="dxa"/>
        <w:tblLayout w:type="fixed"/>
        <w:tblCellMar>
          <w:left w:w="58" w:type="dxa"/>
          <w:right w:w="58" w:type="dxa"/>
        </w:tblCellMar>
        <w:tblLook w:val="04A0" w:firstRow="1" w:lastRow="0" w:firstColumn="1" w:lastColumn="0" w:noHBand="0" w:noVBand="1"/>
      </w:tblPr>
      <w:tblGrid>
        <w:gridCol w:w="2424"/>
        <w:gridCol w:w="631"/>
        <w:gridCol w:w="630"/>
        <w:gridCol w:w="630"/>
        <w:gridCol w:w="516"/>
        <w:gridCol w:w="516"/>
        <w:gridCol w:w="513"/>
        <w:gridCol w:w="540"/>
        <w:gridCol w:w="540"/>
        <w:gridCol w:w="540"/>
        <w:gridCol w:w="630"/>
        <w:gridCol w:w="630"/>
        <w:gridCol w:w="630"/>
      </w:tblGrid>
      <w:tr w:rsidRPr="00A44074" w:rsidR="0026392E" w:rsidTr="00DD6F29" w14:paraId="58708F54" w14:textId="77777777">
        <w:trPr>
          <w:trHeight w:val="233"/>
        </w:trPr>
        <w:tc>
          <w:tcPr>
            <w:tcW w:w="2424"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26392E" w:rsidP="00766F19" w:rsidRDefault="0026392E" w14:paraId="57C663F2" w14:textId="77777777">
            <w:pPr>
              <w:spacing w:after="0"/>
              <w:jc w:val="center"/>
              <w:rPr>
                <w:b/>
                <w:bCs/>
                <w:color w:val="000000"/>
                <w:sz w:val="18"/>
                <w:szCs w:val="18"/>
              </w:rPr>
            </w:pPr>
            <w:r w:rsidRPr="005F5BCF">
              <w:rPr>
                <w:b/>
                <w:bCs/>
                <w:color w:val="000000"/>
                <w:sz w:val="18"/>
                <w:szCs w:val="18"/>
              </w:rPr>
              <w:t>Activity</w:t>
            </w:r>
          </w:p>
        </w:tc>
        <w:tc>
          <w:tcPr>
            <w:tcW w:w="1891" w:type="dxa"/>
            <w:gridSpan w:val="3"/>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26392E" w:rsidP="0026392E" w:rsidRDefault="0026392E" w14:paraId="4EA72B6E" w14:textId="76268800">
            <w:pPr>
              <w:spacing w:after="0"/>
              <w:jc w:val="center"/>
              <w:rPr>
                <w:b/>
                <w:bCs/>
                <w:color w:val="000000"/>
                <w:sz w:val="18"/>
                <w:szCs w:val="18"/>
              </w:rPr>
            </w:pPr>
            <w:r w:rsidRPr="005F5BCF">
              <w:rPr>
                <w:b/>
                <w:bCs/>
                <w:color w:val="000000"/>
                <w:sz w:val="18"/>
                <w:szCs w:val="18"/>
              </w:rPr>
              <w:t>Hours per Activity</w:t>
            </w:r>
          </w:p>
          <w:p w:rsidRPr="005F5BCF" w:rsidR="0026392E" w:rsidP="00766F19" w:rsidRDefault="0026392E" w14:paraId="2B11F724" w14:textId="3F3C69A0">
            <w:pPr>
              <w:spacing w:after="0"/>
              <w:jc w:val="center"/>
              <w:rPr>
                <w:b/>
                <w:bCs/>
                <w:color w:val="000000"/>
                <w:sz w:val="18"/>
                <w:szCs w:val="18"/>
              </w:rPr>
            </w:pPr>
          </w:p>
        </w:tc>
        <w:tc>
          <w:tcPr>
            <w:tcW w:w="1545" w:type="dxa"/>
            <w:gridSpan w:val="3"/>
            <w:tcBorders>
              <w:top w:val="single" w:color="auto" w:sz="4" w:space="0"/>
              <w:left w:val="nil"/>
              <w:bottom w:val="nil"/>
              <w:right w:val="single" w:color="000000" w:sz="4" w:space="0"/>
            </w:tcBorders>
            <w:shd w:val="clear" w:color="000000" w:fill="F2F2F2"/>
            <w:vAlign w:val="center"/>
            <w:hideMark/>
          </w:tcPr>
          <w:p w:rsidRPr="005F5BCF" w:rsidR="0026392E" w:rsidP="00766F19" w:rsidRDefault="0026392E" w14:paraId="6B42E60F" w14:textId="77777777">
            <w:pPr>
              <w:spacing w:after="0"/>
              <w:jc w:val="center"/>
              <w:rPr>
                <w:b/>
                <w:bCs/>
                <w:color w:val="000000"/>
                <w:sz w:val="18"/>
                <w:szCs w:val="18"/>
              </w:rPr>
            </w:pPr>
            <w:r w:rsidRPr="005F5BCF">
              <w:rPr>
                <w:b/>
                <w:bCs/>
                <w:color w:val="000000"/>
                <w:sz w:val="18"/>
                <w:szCs w:val="18"/>
              </w:rPr>
              <w:t xml:space="preserve"> Number of Activities  </w:t>
            </w:r>
          </w:p>
        </w:tc>
        <w:tc>
          <w:tcPr>
            <w:tcW w:w="1620" w:type="dxa"/>
            <w:gridSpan w:val="3"/>
            <w:tcBorders>
              <w:top w:val="single" w:color="auto" w:sz="4" w:space="0"/>
              <w:left w:val="nil"/>
              <w:bottom w:val="single" w:color="auto" w:sz="4" w:space="0"/>
              <w:right w:val="single" w:color="000000" w:sz="4" w:space="0"/>
            </w:tcBorders>
            <w:shd w:val="clear" w:color="000000" w:fill="F2F2F2"/>
            <w:vAlign w:val="center"/>
            <w:hideMark/>
          </w:tcPr>
          <w:p w:rsidRPr="005F5BCF" w:rsidR="0026392E" w:rsidP="00766F19" w:rsidRDefault="0026392E" w14:paraId="0080C052" w14:textId="77777777">
            <w:pPr>
              <w:spacing w:after="0"/>
              <w:jc w:val="center"/>
              <w:rPr>
                <w:b/>
                <w:bCs/>
                <w:color w:val="000000"/>
                <w:sz w:val="18"/>
                <w:szCs w:val="18"/>
              </w:rPr>
            </w:pPr>
            <w:r w:rsidRPr="005F5BCF">
              <w:rPr>
                <w:b/>
                <w:bCs/>
                <w:color w:val="000000"/>
                <w:sz w:val="18"/>
                <w:szCs w:val="18"/>
              </w:rPr>
              <w:t xml:space="preserve"> Total Hours  </w:t>
            </w:r>
          </w:p>
        </w:tc>
        <w:tc>
          <w:tcPr>
            <w:tcW w:w="1890" w:type="dxa"/>
            <w:gridSpan w:val="3"/>
            <w:tcBorders>
              <w:top w:val="single" w:color="auto" w:sz="4" w:space="0"/>
              <w:left w:val="nil"/>
              <w:bottom w:val="single" w:color="auto" w:sz="4" w:space="0"/>
              <w:right w:val="single" w:color="000000" w:sz="4" w:space="0"/>
            </w:tcBorders>
            <w:shd w:val="clear" w:color="000000" w:fill="F2F2F2"/>
            <w:vAlign w:val="center"/>
          </w:tcPr>
          <w:p w:rsidRPr="005F5BCF" w:rsidR="0026392E" w:rsidP="00766F19" w:rsidRDefault="0026392E" w14:paraId="665EA86F" w14:textId="77777777">
            <w:pPr>
              <w:spacing w:after="0"/>
              <w:jc w:val="center"/>
              <w:rPr>
                <w:b/>
                <w:bCs/>
                <w:color w:val="000000"/>
                <w:sz w:val="18"/>
                <w:szCs w:val="18"/>
              </w:rPr>
            </w:pPr>
            <w:r w:rsidRPr="005F5BCF">
              <w:rPr>
                <w:b/>
                <w:bCs/>
                <w:color w:val="000000"/>
                <w:sz w:val="18"/>
                <w:szCs w:val="18"/>
              </w:rPr>
              <w:t>Total Costs</w:t>
            </w:r>
          </w:p>
        </w:tc>
      </w:tr>
      <w:tr w:rsidRPr="005F5BCF" w:rsidR="00DD6F29" w:rsidTr="00DD6F29" w14:paraId="7E0ECAF0" w14:textId="77777777">
        <w:trPr>
          <w:trHeight w:val="242"/>
        </w:trPr>
        <w:tc>
          <w:tcPr>
            <w:tcW w:w="2424" w:type="dxa"/>
            <w:vMerge/>
            <w:tcBorders>
              <w:top w:val="single" w:color="auto" w:sz="4" w:space="0"/>
              <w:left w:val="single" w:color="auto" w:sz="4" w:space="0"/>
              <w:bottom w:val="single" w:color="auto" w:sz="4" w:space="0"/>
              <w:right w:val="single" w:color="auto" w:sz="4" w:space="0"/>
            </w:tcBorders>
            <w:vAlign w:val="center"/>
            <w:hideMark/>
          </w:tcPr>
          <w:p w:rsidRPr="005F5BCF" w:rsidR="0026392E" w:rsidP="00766F19" w:rsidRDefault="0026392E" w14:paraId="7137691F" w14:textId="77777777">
            <w:pPr>
              <w:spacing w:after="0"/>
              <w:rPr>
                <w:b/>
                <w:bCs/>
                <w:color w:val="000000"/>
                <w:sz w:val="18"/>
                <w:szCs w:val="18"/>
              </w:rPr>
            </w:pPr>
          </w:p>
        </w:tc>
        <w:tc>
          <w:tcPr>
            <w:tcW w:w="631" w:type="dxa"/>
            <w:tcBorders>
              <w:left w:val="single" w:color="auto" w:sz="4" w:space="0"/>
              <w:bottom w:val="single" w:color="auto" w:sz="4" w:space="0"/>
              <w:right w:val="single" w:color="auto" w:sz="4" w:space="0"/>
            </w:tcBorders>
            <w:shd w:val="clear" w:color="000000" w:fill="F2F2F2"/>
            <w:vAlign w:val="center"/>
            <w:hideMark/>
          </w:tcPr>
          <w:p w:rsidRPr="005F5BCF" w:rsidR="0026392E" w:rsidP="00DD6F29" w:rsidRDefault="0026392E" w14:paraId="60A930C4" w14:textId="58B28C37">
            <w:pPr>
              <w:spacing w:after="0"/>
              <w:jc w:val="center"/>
              <w:rPr>
                <w:b/>
                <w:bCs/>
                <w:color w:val="000000"/>
                <w:sz w:val="18"/>
                <w:szCs w:val="18"/>
              </w:rPr>
            </w:pPr>
            <w:r w:rsidRPr="005F5BCF">
              <w:rPr>
                <w:b/>
                <w:bCs/>
                <w:color w:val="000000"/>
                <w:sz w:val="18"/>
                <w:szCs w:val="18"/>
              </w:rPr>
              <w:t>Man</w:t>
            </w:r>
            <w:r w:rsidR="00551018">
              <w:rPr>
                <w:b/>
                <w:bCs/>
                <w:color w:val="000000"/>
                <w:sz w:val="18"/>
                <w:szCs w:val="18"/>
              </w:rPr>
              <w:t>.</w:t>
            </w:r>
          </w:p>
        </w:tc>
        <w:tc>
          <w:tcPr>
            <w:tcW w:w="630" w:type="dxa"/>
            <w:tcBorders>
              <w:left w:val="single" w:color="auto" w:sz="4" w:space="0"/>
              <w:bottom w:val="single" w:color="auto" w:sz="4" w:space="0"/>
              <w:right w:val="single" w:color="auto" w:sz="4" w:space="0"/>
            </w:tcBorders>
            <w:shd w:val="clear" w:color="000000" w:fill="F2F2F2"/>
            <w:vAlign w:val="center"/>
          </w:tcPr>
          <w:p w:rsidRPr="005F5BCF" w:rsidR="0026392E" w:rsidP="00DD6F29" w:rsidRDefault="0026392E" w14:paraId="55C0A884" w14:textId="00C5232F">
            <w:pPr>
              <w:spacing w:after="0"/>
              <w:jc w:val="center"/>
              <w:rPr>
                <w:b/>
                <w:bCs/>
                <w:color w:val="000000"/>
                <w:sz w:val="18"/>
                <w:szCs w:val="18"/>
              </w:rPr>
            </w:pPr>
            <w:r w:rsidRPr="005F5BCF">
              <w:rPr>
                <w:b/>
                <w:bCs/>
                <w:color w:val="000000"/>
                <w:sz w:val="18"/>
                <w:szCs w:val="18"/>
              </w:rPr>
              <w:t>Tech</w:t>
            </w:r>
            <w:r w:rsidR="00551018">
              <w:rPr>
                <w:b/>
                <w:bCs/>
                <w:color w:val="000000"/>
                <w:sz w:val="18"/>
                <w:szCs w:val="18"/>
              </w:rPr>
              <w:t>.</w:t>
            </w:r>
          </w:p>
        </w:tc>
        <w:tc>
          <w:tcPr>
            <w:tcW w:w="630" w:type="dxa"/>
            <w:tcBorders>
              <w:top w:val="single" w:color="auto" w:sz="4" w:space="0"/>
              <w:left w:val="single" w:color="auto" w:sz="4" w:space="0"/>
              <w:bottom w:val="single" w:color="auto" w:sz="4" w:space="0"/>
              <w:right w:val="single" w:color="auto" w:sz="4" w:space="0"/>
            </w:tcBorders>
            <w:shd w:val="clear" w:color="000000" w:fill="F2F2F2"/>
            <w:vAlign w:val="center"/>
          </w:tcPr>
          <w:p w:rsidRPr="005F5BCF" w:rsidR="0026392E" w:rsidP="00DD6F29" w:rsidRDefault="0026392E" w14:paraId="77D943EF" w14:textId="21E7F67C">
            <w:pPr>
              <w:spacing w:after="0"/>
              <w:jc w:val="center"/>
              <w:rPr>
                <w:b/>
                <w:bCs/>
                <w:color w:val="000000"/>
                <w:sz w:val="18"/>
                <w:szCs w:val="18"/>
              </w:rPr>
            </w:pPr>
            <w:r w:rsidRPr="005F5BCF">
              <w:rPr>
                <w:b/>
                <w:bCs/>
                <w:color w:val="000000"/>
                <w:sz w:val="18"/>
                <w:szCs w:val="18"/>
              </w:rPr>
              <w:t>Cont</w:t>
            </w:r>
            <w:r w:rsidR="00551018">
              <w:rPr>
                <w:b/>
                <w:bCs/>
                <w:color w:val="000000"/>
                <w:sz w:val="18"/>
                <w:szCs w:val="18"/>
              </w:rPr>
              <w:t>.</w:t>
            </w:r>
          </w:p>
        </w:tc>
        <w:tc>
          <w:tcPr>
            <w:tcW w:w="516" w:type="dxa"/>
            <w:tcBorders>
              <w:top w:val="single" w:color="auto" w:sz="4" w:space="0"/>
              <w:left w:val="nil"/>
              <w:bottom w:val="single" w:color="auto" w:sz="4" w:space="0"/>
              <w:right w:val="single" w:color="auto" w:sz="4" w:space="0"/>
            </w:tcBorders>
            <w:shd w:val="clear" w:color="000000" w:fill="F2F2F2"/>
            <w:vAlign w:val="center"/>
            <w:hideMark/>
          </w:tcPr>
          <w:p w:rsidRPr="005F5BCF" w:rsidR="0026392E" w:rsidP="00766F19" w:rsidRDefault="0026392E" w14:paraId="65101A2A" w14:textId="77777777">
            <w:pPr>
              <w:spacing w:after="0"/>
              <w:jc w:val="center"/>
              <w:rPr>
                <w:b/>
                <w:bCs/>
                <w:color w:val="000000"/>
                <w:sz w:val="18"/>
                <w:szCs w:val="18"/>
              </w:rPr>
            </w:pPr>
            <w:r w:rsidRPr="005F5BCF">
              <w:rPr>
                <w:b/>
                <w:bCs/>
                <w:color w:val="000000"/>
                <w:sz w:val="18"/>
                <w:szCs w:val="18"/>
              </w:rPr>
              <w:t xml:space="preserve"> Y1 </w:t>
            </w:r>
          </w:p>
        </w:tc>
        <w:tc>
          <w:tcPr>
            <w:tcW w:w="516" w:type="dxa"/>
            <w:tcBorders>
              <w:top w:val="single" w:color="auto" w:sz="4" w:space="0"/>
              <w:left w:val="nil"/>
              <w:bottom w:val="single" w:color="auto" w:sz="4" w:space="0"/>
              <w:right w:val="single" w:color="auto" w:sz="4" w:space="0"/>
            </w:tcBorders>
            <w:shd w:val="clear" w:color="000000" w:fill="F2F2F2"/>
            <w:vAlign w:val="center"/>
            <w:hideMark/>
          </w:tcPr>
          <w:p w:rsidRPr="005F5BCF" w:rsidR="0026392E" w:rsidP="00766F19" w:rsidRDefault="0026392E" w14:paraId="35C89E4A" w14:textId="77777777">
            <w:pPr>
              <w:spacing w:after="0"/>
              <w:jc w:val="center"/>
              <w:rPr>
                <w:b/>
                <w:bCs/>
                <w:color w:val="000000"/>
                <w:sz w:val="18"/>
                <w:szCs w:val="18"/>
              </w:rPr>
            </w:pPr>
            <w:r w:rsidRPr="005F5BCF">
              <w:rPr>
                <w:b/>
                <w:bCs/>
                <w:color w:val="000000"/>
                <w:sz w:val="18"/>
                <w:szCs w:val="18"/>
              </w:rPr>
              <w:t xml:space="preserve"> Y2 </w:t>
            </w:r>
          </w:p>
        </w:tc>
        <w:tc>
          <w:tcPr>
            <w:tcW w:w="513" w:type="dxa"/>
            <w:tcBorders>
              <w:top w:val="single" w:color="auto" w:sz="4" w:space="0"/>
              <w:left w:val="nil"/>
              <w:bottom w:val="single" w:color="auto" w:sz="4" w:space="0"/>
              <w:right w:val="single" w:color="auto" w:sz="4" w:space="0"/>
            </w:tcBorders>
            <w:shd w:val="clear" w:color="000000" w:fill="F2F2F2"/>
            <w:vAlign w:val="center"/>
            <w:hideMark/>
          </w:tcPr>
          <w:p w:rsidRPr="005F5BCF" w:rsidR="0026392E" w:rsidP="00766F19" w:rsidRDefault="0026392E" w14:paraId="6C6D5F56" w14:textId="77777777">
            <w:pPr>
              <w:spacing w:after="0"/>
              <w:jc w:val="center"/>
              <w:rPr>
                <w:b/>
                <w:bCs/>
                <w:color w:val="000000"/>
                <w:sz w:val="18"/>
                <w:szCs w:val="18"/>
              </w:rPr>
            </w:pPr>
            <w:r w:rsidRPr="005F5BCF">
              <w:rPr>
                <w:b/>
                <w:bCs/>
                <w:color w:val="000000"/>
                <w:sz w:val="18"/>
                <w:szCs w:val="18"/>
              </w:rPr>
              <w:t xml:space="preserve"> Y3 </w:t>
            </w:r>
          </w:p>
        </w:tc>
        <w:tc>
          <w:tcPr>
            <w:tcW w:w="540" w:type="dxa"/>
            <w:tcBorders>
              <w:top w:val="nil"/>
              <w:left w:val="nil"/>
              <w:bottom w:val="single" w:color="auto" w:sz="4" w:space="0"/>
              <w:right w:val="single" w:color="auto" w:sz="4" w:space="0"/>
            </w:tcBorders>
            <w:shd w:val="clear" w:color="000000" w:fill="F2F2F2"/>
            <w:vAlign w:val="center"/>
            <w:hideMark/>
          </w:tcPr>
          <w:p w:rsidRPr="005F5BCF" w:rsidR="0026392E" w:rsidP="00766F19" w:rsidRDefault="0026392E" w14:paraId="3AEF5A02" w14:textId="77777777">
            <w:pPr>
              <w:spacing w:after="0"/>
              <w:jc w:val="center"/>
              <w:rPr>
                <w:b/>
                <w:bCs/>
                <w:color w:val="000000"/>
                <w:sz w:val="18"/>
                <w:szCs w:val="18"/>
              </w:rPr>
            </w:pPr>
            <w:r w:rsidRPr="005F5BCF">
              <w:rPr>
                <w:b/>
                <w:bCs/>
                <w:color w:val="000000"/>
                <w:sz w:val="18"/>
                <w:szCs w:val="18"/>
              </w:rPr>
              <w:t xml:space="preserve"> Y1 </w:t>
            </w:r>
          </w:p>
        </w:tc>
        <w:tc>
          <w:tcPr>
            <w:tcW w:w="540" w:type="dxa"/>
            <w:tcBorders>
              <w:top w:val="nil"/>
              <w:left w:val="nil"/>
              <w:bottom w:val="single" w:color="auto" w:sz="4" w:space="0"/>
              <w:right w:val="single" w:color="auto" w:sz="4" w:space="0"/>
            </w:tcBorders>
            <w:shd w:val="clear" w:color="000000" w:fill="F2F2F2"/>
            <w:vAlign w:val="center"/>
            <w:hideMark/>
          </w:tcPr>
          <w:p w:rsidRPr="005F5BCF" w:rsidR="0026392E" w:rsidP="00766F19" w:rsidRDefault="0026392E" w14:paraId="0B5CCAA2" w14:textId="77777777">
            <w:pPr>
              <w:spacing w:after="0"/>
              <w:jc w:val="center"/>
              <w:rPr>
                <w:b/>
                <w:bCs/>
                <w:color w:val="000000"/>
                <w:sz w:val="18"/>
                <w:szCs w:val="18"/>
              </w:rPr>
            </w:pPr>
            <w:r w:rsidRPr="005F5BCF">
              <w:rPr>
                <w:b/>
                <w:bCs/>
                <w:color w:val="000000"/>
                <w:sz w:val="18"/>
                <w:szCs w:val="18"/>
              </w:rPr>
              <w:t xml:space="preserve"> Y2 </w:t>
            </w:r>
          </w:p>
        </w:tc>
        <w:tc>
          <w:tcPr>
            <w:tcW w:w="540" w:type="dxa"/>
            <w:tcBorders>
              <w:top w:val="nil"/>
              <w:left w:val="nil"/>
              <w:bottom w:val="single" w:color="auto" w:sz="4" w:space="0"/>
              <w:right w:val="single" w:color="auto" w:sz="4" w:space="0"/>
            </w:tcBorders>
            <w:shd w:val="clear" w:color="000000" w:fill="F2F2F2"/>
            <w:vAlign w:val="center"/>
            <w:hideMark/>
          </w:tcPr>
          <w:p w:rsidRPr="005F5BCF" w:rsidR="0026392E" w:rsidP="00766F19" w:rsidRDefault="0026392E" w14:paraId="01D65C68" w14:textId="77777777">
            <w:pPr>
              <w:spacing w:after="0"/>
              <w:jc w:val="center"/>
              <w:rPr>
                <w:b/>
                <w:bCs/>
                <w:color w:val="000000"/>
                <w:sz w:val="18"/>
                <w:szCs w:val="18"/>
              </w:rPr>
            </w:pPr>
            <w:r w:rsidRPr="005F5BCF">
              <w:rPr>
                <w:b/>
                <w:bCs/>
                <w:color w:val="000000"/>
                <w:sz w:val="18"/>
                <w:szCs w:val="18"/>
              </w:rPr>
              <w:t xml:space="preserve"> Y3 </w:t>
            </w:r>
          </w:p>
        </w:tc>
        <w:tc>
          <w:tcPr>
            <w:tcW w:w="630" w:type="dxa"/>
            <w:tcBorders>
              <w:top w:val="nil"/>
              <w:left w:val="nil"/>
              <w:bottom w:val="single" w:color="auto" w:sz="4" w:space="0"/>
              <w:right w:val="single" w:color="auto" w:sz="4" w:space="0"/>
            </w:tcBorders>
            <w:shd w:val="clear" w:color="000000" w:fill="F2F2F2"/>
            <w:vAlign w:val="center"/>
          </w:tcPr>
          <w:p w:rsidRPr="005F5BCF" w:rsidR="0026392E" w:rsidP="00766F19" w:rsidRDefault="0026392E" w14:paraId="17A3B410" w14:textId="77777777">
            <w:pPr>
              <w:spacing w:after="0"/>
              <w:jc w:val="center"/>
              <w:rPr>
                <w:b/>
                <w:bCs/>
                <w:color w:val="000000"/>
                <w:sz w:val="18"/>
                <w:szCs w:val="18"/>
              </w:rPr>
            </w:pPr>
            <w:r w:rsidRPr="00A44074">
              <w:rPr>
                <w:b/>
                <w:bCs/>
                <w:color w:val="000000"/>
                <w:sz w:val="18"/>
                <w:szCs w:val="18"/>
              </w:rPr>
              <w:t xml:space="preserve"> Y1 </w:t>
            </w:r>
          </w:p>
        </w:tc>
        <w:tc>
          <w:tcPr>
            <w:tcW w:w="630" w:type="dxa"/>
            <w:tcBorders>
              <w:top w:val="nil"/>
              <w:left w:val="nil"/>
              <w:bottom w:val="single" w:color="auto" w:sz="4" w:space="0"/>
              <w:right w:val="single" w:color="auto" w:sz="4" w:space="0"/>
            </w:tcBorders>
            <w:shd w:val="clear" w:color="000000" w:fill="F2F2F2"/>
            <w:vAlign w:val="center"/>
          </w:tcPr>
          <w:p w:rsidRPr="005F5BCF" w:rsidR="0026392E" w:rsidP="00766F19" w:rsidRDefault="0026392E" w14:paraId="7E3F78B7" w14:textId="77777777">
            <w:pPr>
              <w:spacing w:after="0"/>
              <w:jc w:val="center"/>
              <w:rPr>
                <w:b/>
                <w:bCs/>
                <w:color w:val="000000"/>
                <w:sz w:val="18"/>
                <w:szCs w:val="18"/>
              </w:rPr>
            </w:pPr>
            <w:r w:rsidRPr="00A44074">
              <w:rPr>
                <w:b/>
                <w:bCs/>
                <w:color w:val="000000"/>
                <w:sz w:val="18"/>
                <w:szCs w:val="18"/>
              </w:rPr>
              <w:t xml:space="preserve"> Y2 </w:t>
            </w:r>
          </w:p>
        </w:tc>
        <w:tc>
          <w:tcPr>
            <w:tcW w:w="630" w:type="dxa"/>
            <w:tcBorders>
              <w:top w:val="nil"/>
              <w:left w:val="nil"/>
              <w:bottom w:val="single" w:color="auto" w:sz="4" w:space="0"/>
              <w:right w:val="single" w:color="auto" w:sz="4" w:space="0"/>
            </w:tcBorders>
            <w:shd w:val="clear" w:color="000000" w:fill="F2F2F2"/>
            <w:vAlign w:val="center"/>
          </w:tcPr>
          <w:p w:rsidRPr="005F5BCF" w:rsidR="0026392E" w:rsidP="00766F19" w:rsidRDefault="0026392E" w14:paraId="64071072" w14:textId="77777777">
            <w:pPr>
              <w:spacing w:after="0"/>
              <w:jc w:val="center"/>
              <w:rPr>
                <w:b/>
                <w:bCs/>
                <w:color w:val="000000"/>
                <w:sz w:val="18"/>
                <w:szCs w:val="18"/>
              </w:rPr>
            </w:pPr>
            <w:r w:rsidRPr="00A44074">
              <w:rPr>
                <w:b/>
                <w:bCs/>
                <w:color w:val="000000"/>
                <w:sz w:val="18"/>
                <w:szCs w:val="18"/>
              </w:rPr>
              <w:t xml:space="preserve"> Y3 </w:t>
            </w:r>
          </w:p>
        </w:tc>
      </w:tr>
      <w:tr w:rsidRPr="005F5BCF" w:rsidR="000333C3" w:rsidTr="00DD6F29" w14:paraId="63D33663" w14:textId="77777777">
        <w:trPr>
          <w:trHeight w:val="504"/>
        </w:trPr>
        <w:tc>
          <w:tcPr>
            <w:tcW w:w="2424" w:type="dxa"/>
            <w:tcBorders>
              <w:top w:val="nil"/>
              <w:left w:val="single" w:color="auto" w:sz="4" w:space="0"/>
              <w:bottom w:val="single" w:color="auto" w:sz="4" w:space="0"/>
              <w:right w:val="single" w:color="auto" w:sz="4" w:space="0"/>
            </w:tcBorders>
            <w:shd w:val="clear" w:color="auto" w:fill="auto"/>
            <w:vAlign w:val="center"/>
            <w:hideMark/>
          </w:tcPr>
          <w:p w:rsidRPr="005F5BCF" w:rsidR="000333C3" w:rsidP="00766F19" w:rsidRDefault="000333C3" w14:paraId="188C5E1D" w14:textId="77777777">
            <w:pPr>
              <w:spacing w:after="0"/>
              <w:rPr>
                <w:color w:val="000000"/>
                <w:sz w:val="18"/>
                <w:szCs w:val="18"/>
              </w:rPr>
            </w:pPr>
            <w:r>
              <w:rPr>
                <w:color w:val="000000"/>
                <w:sz w:val="18"/>
                <w:szCs w:val="18"/>
              </w:rPr>
              <w:t>Review Data for Reporting Completeness and Compliance</w:t>
            </w:r>
          </w:p>
        </w:tc>
        <w:tc>
          <w:tcPr>
            <w:tcW w:w="631"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5C033B00" w14:textId="77777777">
            <w:pPr>
              <w:spacing w:after="0"/>
              <w:jc w:val="right"/>
              <w:rPr>
                <w:sz w:val="18"/>
                <w:szCs w:val="18"/>
              </w:rPr>
            </w:pPr>
            <w:r>
              <w:rPr>
                <w:sz w:val="18"/>
                <w:szCs w:val="18"/>
              </w:rPr>
              <w:t>0.0</w:t>
            </w:r>
          </w:p>
        </w:tc>
        <w:tc>
          <w:tcPr>
            <w:tcW w:w="63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02FB5F3F" w14:textId="77777777">
            <w:pPr>
              <w:spacing w:after="0"/>
              <w:jc w:val="right"/>
              <w:rPr>
                <w:sz w:val="18"/>
                <w:szCs w:val="18"/>
              </w:rPr>
            </w:pPr>
            <w:r>
              <w:rPr>
                <w:sz w:val="18"/>
                <w:szCs w:val="18"/>
              </w:rPr>
              <w:t>0.5</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DE4AB0" w:rsidR="000333C3" w:rsidP="00766F19" w:rsidRDefault="000333C3" w14:paraId="0081AB1D" w14:textId="77777777">
            <w:pPr>
              <w:spacing w:after="0"/>
              <w:jc w:val="right"/>
              <w:rPr>
                <w:sz w:val="18"/>
                <w:szCs w:val="18"/>
              </w:rPr>
            </w:pPr>
            <w:r>
              <w:rPr>
                <w:sz w:val="18"/>
                <w:szCs w:val="18"/>
              </w:rPr>
              <w:t>0.5</w:t>
            </w:r>
          </w:p>
        </w:tc>
        <w:tc>
          <w:tcPr>
            <w:tcW w:w="516"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098E25FF" w14:textId="77777777">
            <w:pPr>
              <w:spacing w:after="0"/>
              <w:jc w:val="right"/>
              <w:rPr>
                <w:sz w:val="18"/>
                <w:szCs w:val="18"/>
              </w:rPr>
            </w:pPr>
            <w:r>
              <w:rPr>
                <w:sz w:val="18"/>
                <w:szCs w:val="18"/>
              </w:rPr>
              <w:t>14</w:t>
            </w:r>
          </w:p>
        </w:tc>
        <w:tc>
          <w:tcPr>
            <w:tcW w:w="516"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2D54636D" w14:textId="77777777">
            <w:pPr>
              <w:spacing w:after="0"/>
              <w:jc w:val="right"/>
              <w:rPr>
                <w:sz w:val="18"/>
                <w:szCs w:val="18"/>
              </w:rPr>
            </w:pPr>
            <w:r>
              <w:rPr>
                <w:sz w:val="18"/>
                <w:szCs w:val="18"/>
              </w:rPr>
              <w:t>12</w:t>
            </w:r>
          </w:p>
        </w:tc>
        <w:tc>
          <w:tcPr>
            <w:tcW w:w="513"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1977115E" w14:textId="77777777">
            <w:pPr>
              <w:spacing w:after="0"/>
              <w:jc w:val="right"/>
              <w:rPr>
                <w:sz w:val="18"/>
                <w:szCs w:val="18"/>
              </w:rPr>
            </w:pPr>
            <w:r>
              <w:rPr>
                <w:sz w:val="18"/>
                <w:szCs w:val="18"/>
              </w:rPr>
              <w:t>12</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07E1F4C1" w14:textId="77777777">
            <w:pPr>
              <w:spacing w:after="0"/>
              <w:jc w:val="right"/>
              <w:rPr>
                <w:sz w:val="18"/>
                <w:szCs w:val="18"/>
              </w:rPr>
            </w:pPr>
            <w:r>
              <w:rPr>
                <w:sz w:val="18"/>
                <w:szCs w:val="18"/>
              </w:rPr>
              <w:t>14.0</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02774D09" w14:textId="77777777">
            <w:pPr>
              <w:spacing w:after="0"/>
              <w:jc w:val="right"/>
              <w:rPr>
                <w:sz w:val="18"/>
                <w:szCs w:val="18"/>
              </w:rPr>
            </w:pPr>
            <w:r>
              <w:rPr>
                <w:sz w:val="18"/>
                <w:szCs w:val="18"/>
              </w:rPr>
              <w:t>12.0</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35D2F93C" w14:textId="77777777">
            <w:pPr>
              <w:spacing w:after="0"/>
              <w:jc w:val="right"/>
              <w:rPr>
                <w:sz w:val="18"/>
                <w:szCs w:val="18"/>
              </w:rPr>
            </w:pPr>
            <w:r>
              <w:rPr>
                <w:sz w:val="18"/>
                <w:szCs w:val="18"/>
              </w:rPr>
              <w:t>12.0</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79B037A8" w14:textId="77777777">
            <w:pPr>
              <w:spacing w:after="0"/>
              <w:jc w:val="right"/>
              <w:rPr>
                <w:sz w:val="18"/>
                <w:szCs w:val="18"/>
              </w:rPr>
            </w:pPr>
            <w:r>
              <w:rPr>
                <w:sz w:val="18"/>
                <w:szCs w:val="18"/>
              </w:rPr>
              <w:t>$1,315</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78541619" w14:textId="77777777">
            <w:pPr>
              <w:spacing w:after="0"/>
              <w:jc w:val="right"/>
              <w:rPr>
                <w:sz w:val="18"/>
                <w:szCs w:val="18"/>
              </w:rPr>
            </w:pPr>
            <w:r>
              <w:rPr>
                <w:sz w:val="18"/>
                <w:szCs w:val="18"/>
              </w:rPr>
              <w:t>$1,127</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4CE0B6D7" w14:textId="77777777">
            <w:pPr>
              <w:spacing w:after="0"/>
              <w:jc w:val="right"/>
              <w:rPr>
                <w:sz w:val="18"/>
                <w:szCs w:val="18"/>
              </w:rPr>
            </w:pPr>
            <w:r>
              <w:rPr>
                <w:sz w:val="18"/>
                <w:szCs w:val="18"/>
              </w:rPr>
              <w:t>$1,127</w:t>
            </w:r>
          </w:p>
        </w:tc>
      </w:tr>
      <w:tr w:rsidRPr="005F5BCF" w:rsidR="000333C3" w:rsidTr="00DD6F29" w14:paraId="0AF2E687" w14:textId="77777777">
        <w:trPr>
          <w:trHeight w:val="504"/>
        </w:trPr>
        <w:tc>
          <w:tcPr>
            <w:tcW w:w="2424" w:type="dxa"/>
            <w:tcBorders>
              <w:top w:val="nil"/>
              <w:left w:val="single" w:color="auto" w:sz="4" w:space="0"/>
              <w:bottom w:val="single" w:color="auto" w:sz="4" w:space="0"/>
              <w:right w:val="single" w:color="auto" w:sz="4" w:space="0"/>
            </w:tcBorders>
            <w:shd w:val="clear" w:color="auto" w:fill="auto"/>
            <w:vAlign w:val="center"/>
            <w:hideMark/>
          </w:tcPr>
          <w:p w:rsidRPr="005F5BCF" w:rsidR="000333C3" w:rsidP="00766F19" w:rsidRDefault="000333C3" w14:paraId="38DA5D77" w14:textId="77777777">
            <w:pPr>
              <w:spacing w:after="0"/>
              <w:rPr>
                <w:color w:val="000000"/>
                <w:sz w:val="18"/>
                <w:szCs w:val="18"/>
              </w:rPr>
            </w:pPr>
            <w:r>
              <w:rPr>
                <w:color w:val="000000"/>
                <w:sz w:val="18"/>
                <w:szCs w:val="18"/>
              </w:rPr>
              <w:t>Review and Respond to Requests for Extension</w:t>
            </w:r>
          </w:p>
        </w:tc>
        <w:tc>
          <w:tcPr>
            <w:tcW w:w="631"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2C406E7B" w14:textId="77777777">
            <w:pPr>
              <w:spacing w:after="0"/>
              <w:jc w:val="right"/>
              <w:rPr>
                <w:sz w:val="18"/>
                <w:szCs w:val="18"/>
              </w:rPr>
            </w:pPr>
            <w:r>
              <w:rPr>
                <w:sz w:val="18"/>
                <w:szCs w:val="18"/>
              </w:rPr>
              <w:t>0.5</w:t>
            </w:r>
          </w:p>
        </w:tc>
        <w:tc>
          <w:tcPr>
            <w:tcW w:w="63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3EDB2CC4" w14:textId="77777777">
            <w:pPr>
              <w:spacing w:after="0"/>
              <w:jc w:val="right"/>
              <w:rPr>
                <w:sz w:val="18"/>
                <w:szCs w:val="18"/>
              </w:rPr>
            </w:pPr>
            <w:r>
              <w:rPr>
                <w:sz w:val="18"/>
                <w:szCs w:val="18"/>
              </w:rPr>
              <w:t>0.5</w:t>
            </w:r>
          </w:p>
        </w:tc>
        <w:tc>
          <w:tcPr>
            <w:tcW w:w="63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79512B00" w14:textId="77777777">
            <w:pPr>
              <w:spacing w:after="0"/>
              <w:jc w:val="right"/>
              <w:rPr>
                <w:sz w:val="18"/>
                <w:szCs w:val="18"/>
              </w:rPr>
            </w:pPr>
            <w:r w:rsidRPr="00DE4AB0">
              <w:rPr>
                <w:sz w:val="18"/>
                <w:szCs w:val="18"/>
              </w:rPr>
              <w:t>0.0</w:t>
            </w:r>
          </w:p>
        </w:tc>
        <w:tc>
          <w:tcPr>
            <w:tcW w:w="516"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39EB8A00" w14:textId="77777777">
            <w:pPr>
              <w:spacing w:after="0"/>
              <w:jc w:val="right"/>
              <w:rPr>
                <w:sz w:val="18"/>
                <w:szCs w:val="18"/>
              </w:rPr>
            </w:pPr>
            <w:r>
              <w:rPr>
                <w:sz w:val="18"/>
                <w:szCs w:val="18"/>
              </w:rPr>
              <w:t>1</w:t>
            </w:r>
          </w:p>
        </w:tc>
        <w:tc>
          <w:tcPr>
            <w:tcW w:w="516"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1C19E42A" w14:textId="77777777">
            <w:pPr>
              <w:spacing w:after="0"/>
              <w:jc w:val="right"/>
              <w:rPr>
                <w:sz w:val="18"/>
                <w:szCs w:val="18"/>
              </w:rPr>
            </w:pPr>
            <w:r>
              <w:rPr>
                <w:sz w:val="18"/>
                <w:szCs w:val="18"/>
              </w:rPr>
              <w:t>-</w:t>
            </w:r>
          </w:p>
        </w:tc>
        <w:tc>
          <w:tcPr>
            <w:tcW w:w="513"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2852E1A5" w14:textId="0BAD0242">
            <w:pPr>
              <w:spacing w:after="0"/>
              <w:jc w:val="right"/>
              <w:rPr>
                <w:sz w:val="18"/>
                <w:szCs w:val="18"/>
              </w:rPr>
            </w:pPr>
            <w:r w:rsidRPr="00DE4AB0">
              <w:rPr>
                <w:sz w:val="18"/>
                <w:szCs w:val="18"/>
              </w:rPr>
              <w:t xml:space="preserve">       -   </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0EA74E3C" w14:textId="77777777">
            <w:pPr>
              <w:spacing w:after="0"/>
              <w:jc w:val="right"/>
              <w:rPr>
                <w:sz w:val="18"/>
                <w:szCs w:val="18"/>
              </w:rPr>
            </w:pPr>
            <w:r>
              <w:rPr>
                <w:sz w:val="18"/>
                <w:szCs w:val="18"/>
              </w:rPr>
              <w:t>1.0</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43711EBA" w14:textId="073C5D5F">
            <w:pPr>
              <w:spacing w:after="0"/>
              <w:jc w:val="right"/>
              <w:rPr>
                <w:sz w:val="18"/>
                <w:szCs w:val="18"/>
              </w:rPr>
            </w:pPr>
            <w:r w:rsidRPr="00DE4AB0">
              <w:rPr>
                <w:sz w:val="18"/>
                <w:szCs w:val="18"/>
              </w:rPr>
              <w:t xml:space="preserve">        -   </w:t>
            </w:r>
          </w:p>
        </w:tc>
        <w:tc>
          <w:tcPr>
            <w:tcW w:w="540" w:type="dxa"/>
            <w:tcBorders>
              <w:top w:val="nil"/>
              <w:left w:val="nil"/>
              <w:bottom w:val="single" w:color="auto" w:sz="4" w:space="0"/>
              <w:right w:val="single" w:color="auto" w:sz="4" w:space="0"/>
            </w:tcBorders>
            <w:shd w:val="clear" w:color="auto" w:fill="auto"/>
            <w:vAlign w:val="center"/>
            <w:hideMark/>
          </w:tcPr>
          <w:p w:rsidRPr="00DE4AB0" w:rsidR="000333C3" w:rsidP="00766F19" w:rsidRDefault="000333C3" w14:paraId="65B4919F" w14:textId="31D6AC40">
            <w:pPr>
              <w:spacing w:after="0"/>
              <w:jc w:val="right"/>
              <w:rPr>
                <w:sz w:val="18"/>
                <w:szCs w:val="18"/>
              </w:rPr>
            </w:pPr>
            <w:r w:rsidRPr="00DE4AB0">
              <w:rPr>
                <w:sz w:val="18"/>
                <w:szCs w:val="18"/>
              </w:rPr>
              <w:t xml:space="preserve">        -   </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5B43689C" w14:textId="77777777">
            <w:pPr>
              <w:spacing w:after="0"/>
              <w:jc w:val="right"/>
              <w:rPr>
                <w:sz w:val="18"/>
                <w:szCs w:val="18"/>
              </w:rPr>
            </w:pPr>
            <w:r>
              <w:rPr>
                <w:sz w:val="18"/>
                <w:szCs w:val="18"/>
              </w:rPr>
              <w:t>$95</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44111F6F" w14:textId="77777777">
            <w:pPr>
              <w:spacing w:after="0"/>
              <w:jc w:val="right"/>
              <w:rPr>
                <w:sz w:val="18"/>
                <w:szCs w:val="18"/>
              </w:rPr>
            </w:pPr>
            <w:r w:rsidRPr="00DE4AB0">
              <w:rPr>
                <w:sz w:val="18"/>
                <w:szCs w:val="18"/>
              </w:rPr>
              <w:t>$0</w:t>
            </w:r>
          </w:p>
        </w:tc>
        <w:tc>
          <w:tcPr>
            <w:tcW w:w="630" w:type="dxa"/>
            <w:tcBorders>
              <w:top w:val="nil"/>
              <w:left w:val="nil"/>
              <w:bottom w:val="single" w:color="auto" w:sz="4" w:space="0"/>
              <w:right w:val="single" w:color="auto" w:sz="4" w:space="0"/>
            </w:tcBorders>
            <w:vAlign w:val="center"/>
          </w:tcPr>
          <w:p w:rsidRPr="00DE4AB0" w:rsidR="000333C3" w:rsidP="00766F19" w:rsidRDefault="000333C3" w14:paraId="5FEFBB57" w14:textId="77777777">
            <w:pPr>
              <w:spacing w:after="0"/>
              <w:jc w:val="right"/>
              <w:rPr>
                <w:sz w:val="18"/>
                <w:szCs w:val="18"/>
              </w:rPr>
            </w:pPr>
            <w:r w:rsidRPr="00DE4AB0">
              <w:rPr>
                <w:sz w:val="18"/>
                <w:szCs w:val="18"/>
              </w:rPr>
              <w:t>$0</w:t>
            </w:r>
          </w:p>
        </w:tc>
      </w:tr>
    </w:tbl>
    <w:p w:rsidR="00425164" w:rsidP="00497AFF" w:rsidRDefault="00425164" w14:paraId="344462D3" w14:textId="77777777">
      <w:pPr>
        <w:pStyle w:val="Heading2"/>
      </w:pPr>
      <w:r w:rsidRPr="004E4DF6">
        <w:lastRenderedPageBreak/>
        <w:t>(d)</w:t>
      </w:r>
      <w:r w:rsidRPr="004E4DF6">
        <w:tab/>
        <w:t xml:space="preserve">Estimating the Respondent </w:t>
      </w:r>
      <w:r>
        <w:t xml:space="preserve">Universe and Total Burden and Costs </w:t>
      </w:r>
    </w:p>
    <w:p w:rsidR="00425164" w:rsidP="00C31139" w:rsidRDefault="00901968" w14:paraId="357BDBF8" w14:textId="150BCE3F">
      <w:r w:rsidRPr="00AC0B0E">
        <w:t>The respondent universe for this ICR is based on a review of data available in the ODSTS</w:t>
      </w:r>
      <w:r>
        <w:t xml:space="preserve"> and from GHGRP Subpart O. </w:t>
      </w:r>
      <w:r w:rsidRPr="00AC0B0E" w:rsidR="00F13EDB">
        <w:t xml:space="preserve">In total, EPA estimates </w:t>
      </w:r>
      <w:r w:rsidR="001A189E">
        <w:t>two</w:t>
      </w:r>
      <w:r w:rsidRPr="00AC0B0E" w:rsidR="001A189E">
        <w:t xml:space="preserve"> </w:t>
      </w:r>
      <w:r w:rsidRPr="00AC0B0E" w:rsidR="00F13EDB">
        <w:t xml:space="preserve">unique respondents are subject to the information collection requirements outlined in this ICR. </w:t>
      </w:r>
      <w:r w:rsidRPr="00AC0B0E" w:rsidR="00FB2863">
        <w:t xml:space="preserve">This estimate takes into account the fact that the respondent types are not mutually exclusive, meaning a given respondent may be subject to more than one information collection activity. </w:t>
      </w:r>
    </w:p>
    <w:p w:rsidR="006B4C24" w:rsidP="00C31139" w:rsidRDefault="005A237F" w14:paraId="7FFE4AE8" w14:textId="289F82C4">
      <w:r>
        <w:fldChar w:fldCharType="begin"/>
      </w:r>
      <w:r>
        <w:instrText xml:space="preserve"> REF _Ref69842391 \h </w:instrText>
      </w:r>
      <w:r>
        <w:fldChar w:fldCharType="separate"/>
      </w:r>
      <w:r>
        <w:t xml:space="preserve">Table </w:t>
      </w:r>
      <w:r>
        <w:rPr>
          <w:noProof/>
        </w:rPr>
        <w:t>V</w:t>
      </w:r>
      <w:r>
        <w:fldChar w:fldCharType="end"/>
      </w:r>
      <w:r w:rsidRPr="00672C85" w:rsidR="004A768C">
        <w:t xml:space="preserve"> summarizes </w:t>
      </w:r>
      <w:r w:rsidR="004A768C">
        <w:t xml:space="preserve">the </w:t>
      </w:r>
      <w:r w:rsidRPr="00672C85" w:rsidR="004A768C">
        <w:t xml:space="preserve">total </w:t>
      </w:r>
      <w:r w:rsidR="004A768C">
        <w:t>number of respondents per activity per year as well as total burden hours and costs per year. The number of respondents per activity per year varies across the three years covered by this ICR due to the one-time reporting requirement</w:t>
      </w:r>
      <w:r w:rsidR="00602003">
        <w:t xml:space="preserve"> and anticipated requests for extension</w:t>
      </w:r>
      <w:r w:rsidR="004A768C">
        <w:t xml:space="preserve">. Total </w:t>
      </w:r>
      <w:r w:rsidRPr="00672C85" w:rsidR="004A768C">
        <w:t xml:space="preserve">respondent burden hours and costs are derived by multiplying the number of respondents per activity by total hours and total costs </w:t>
      </w:r>
      <w:r w:rsidR="004A768C">
        <w:t xml:space="preserve">per respondent per year (see </w:t>
      </w:r>
      <w:r w:rsidR="004A768C">
        <w:fldChar w:fldCharType="begin"/>
      </w:r>
      <w:r w:rsidR="004A768C">
        <w:instrText xml:space="preserve"> REF _Ref68181412 \h  \* MERGEFORMAT </w:instrText>
      </w:r>
      <w:r w:rsidR="004A768C">
        <w:fldChar w:fldCharType="separate"/>
      </w:r>
      <w:r w:rsidRPr="00261E41" w:rsidR="004A768C">
        <w:t>Table III</w:t>
      </w:r>
      <w:r w:rsidR="004A768C">
        <w:fldChar w:fldCharType="end"/>
      </w:r>
      <w:r w:rsidR="004A768C">
        <w:t xml:space="preserve">).  EPA has not deducted any respondent burden that is already covered under the GHGRP’s ICR (2060-0629). </w:t>
      </w:r>
    </w:p>
    <w:p w:rsidR="00DA6391" w:rsidP="00DA6391" w:rsidRDefault="00DA6391" w14:paraId="5F9D1202" w14:textId="77777777">
      <w:pPr>
        <w:pStyle w:val="Caption"/>
        <w:keepNext/>
      </w:pPr>
      <w:bookmarkStart w:name="_Ref69842391" w:id="6"/>
      <w:r>
        <w:t xml:space="preserve">Table </w:t>
      </w:r>
      <w:r w:rsidR="00353861">
        <w:fldChar w:fldCharType="begin"/>
      </w:r>
      <w:r w:rsidR="00353861">
        <w:instrText xml:space="preserve"> SEQ Table \* ROMAN </w:instrText>
      </w:r>
      <w:r w:rsidR="00353861">
        <w:fldChar w:fldCharType="separate"/>
      </w:r>
      <w:r>
        <w:rPr>
          <w:noProof/>
        </w:rPr>
        <w:t>V</w:t>
      </w:r>
      <w:r w:rsidR="00353861">
        <w:rPr>
          <w:noProof/>
        </w:rPr>
        <w:fldChar w:fldCharType="end"/>
      </w:r>
      <w:bookmarkEnd w:id="6"/>
      <w:r>
        <w:t>. Respondent Burden and Cost Table</w:t>
      </w:r>
    </w:p>
    <w:tbl>
      <w:tblPr>
        <w:tblW w:w="90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58" w:type="dxa"/>
        </w:tblCellMar>
        <w:tblLook w:val="04A0" w:firstRow="1" w:lastRow="0" w:firstColumn="1" w:lastColumn="0" w:noHBand="0" w:noVBand="1"/>
      </w:tblPr>
      <w:tblGrid>
        <w:gridCol w:w="3330"/>
        <w:gridCol w:w="540"/>
        <w:gridCol w:w="540"/>
        <w:gridCol w:w="535"/>
        <w:gridCol w:w="590"/>
        <w:gridCol w:w="630"/>
        <w:gridCol w:w="598"/>
        <w:gridCol w:w="762"/>
        <w:gridCol w:w="762"/>
        <w:gridCol w:w="762"/>
      </w:tblGrid>
      <w:tr w:rsidRPr="007869C2" w:rsidR="00DA6391" w:rsidTr="00D40787" w14:paraId="37083700" w14:textId="77777777">
        <w:trPr>
          <w:trHeight w:val="557"/>
          <w:tblHeader/>
        </w:trPr>
        <w:tc>
          <w:tcPr>
            <w:tcW w:w="3330" w:type="dxa"/>
            <w:vMerge w:val="restart"/>
            <w:shd w:val="clear" w:color="000000" w:fill="F2F2F2"/>
            <w:vAlign w:val="center"/>
            <w:hideMark/>
          </w:tcPr>
          <w:p w:rsidRPr="007869C2" w:rsidR="00DA6391" w:rsidP="00766F19" w:rsidRDefault="00DA6391" w14:paraId="27C8C8EB" w14:textId="77777777">
            <w:pPr>
              <w:spacing w:after="0"/>
              <w:jc w:val="center"/>
              <w:rPr>
                <w:b/>
                <w:bCs/>
                <w:color w:val="000000"/>
                <w:sz w:val="18"/>
                <w:szCs w:val="18"/>
              </w:rPr>
            </w:pPr>
            <w:r w:rsidRPr="007869C2">
              <w:rPr>
                <w:b/>
                <w:bCs/>
                <w:color w:val="000000"/>
                <w:sz w:val="18"/>
                <w:szCs w:val="18"/>
              </w:rPr>
              <w:t xml:space="preserve"> Activity </w:t>
            </w:r>
          </w:p>
        </w:tc>
        <w:tc>
          <w:tcPr>
            <w:tcW w:w="1615" w:type="dxa"/>
            <w:gridSpan w:val="3"/>
            <w:shd w:val="clear" w:color="000000" w:fill="F2F2F2"/>
            <w:vAlign w:val="center"/>
          </w:tcPr>
          <w:p w:rsidRPr="007869C2" w:rsidR="00DA6391" w:rsidP="00766F19" w:rsidRDefault="00DA6391" w14:paraId="5CD0B251" w14:textId="77777777">
            <w:pPr>
              <w:spacing w:after="0"/>
              <w:jc w:val="center"/>
              <w:rPr>
                <w:b/>
                <w:bCs/>
                <w:color w:val="000000"/>
                <w:sz w:val="18"/>
                <w:szCs w:val="18"/>
              </w:rPr>
            </w:pPr>
            <w:r w:rsidRPr="00C21403">
              <w:rPr>
                <w:b/>
                <w:bCs/>
                <w:color w:val="000000"/>
                <w:sz w:val="18"/>
                <w:szCs w:val="18"/>
              </w:rPr>
              <w:t>Respondents per Activity per Year</w:t>
            </w:r>
          </w:p>
        </w:tc>
        <w:tc>
          <w:tcPr>
            <w:tcW w:w="1818" w:type="dxa"/>
            <w:gridSpan w:val="3"/>
            <w:shd w:val="clear" w:color="000000" w:fill="F2F2F2"/>
            <w:vAlign w:val="center"/>
          </w:tcPr>
          <w:p w:rsidRPr="007869C2" w:rsidR="00DA6391" w:rsidP="00766F19" w:rsidRDefault="00DA6391" w14:paraId="4D55AA30" w14:textId="77777777">
            <w:pPr>
              <w:spacing w:after="0"/>
              <w:jc w:val="center"/>
              <w:rPr>
                <w:b/>
                <w:bCs/>
                <w:color w:val="000000"/>
                <w:sz w:val="18"/>
                <w:szCs w:val="18"/>
              </w:rPr>
            </w:pPr>
            <w:r w:rsidRPr="00C21403">
              <w:rPr>
                <w:b/>
                <w:bCs/>
                <w:color w:val="000000"/>
                <w:sz w:val="18"/>
                <w:szCs w:val="18"/>
              </w:rPr>
              <w:t>Total Hours per Year</w:t>
            </w:r>
          </w:p>
        </w:tc>
        <w:tc>
          <w:tcPr>
            <w:tcW w:w="2286" w:type="dxa"/>
            <w:gridSpan w:val="3"/>
            <w:shd w:val="clear" w:color="000000" w:fill="F2F2F2"/>
            <w:vAlign w:val="center"/>
          </w:tcPr>
          <w:p w:rsidRPr="007869C2" w:rsidR="00DA6391" w:rsidP="00766F19" w:rsidRDefault="00DA6391" w14:paraId="6A6EC854" w14:textId="77777777">
            <w:pPr>
              <w:spacing w:after="0"/>
              <w:jc w:val="center"/>
              <w:rPr>
                <w:b/>
                <w:bCs/>
                <w:color w:val="000000"/>
                <w:sz w:val="18"/>
                <w:szCs w:val="18"/>
              </w:rPr>
            </w:pPr>
            <w:r w:rsidRPr="00C21403">
              <w:rPr>
                <w:b/>
                <w:bCs/>
                <w:color w:val="000000"/>
                <w:sz w:val="18"/>
                <w:szCs w:val="18"/>
              </w:rPr>
              <w:t>Total Cost per Year</w:t>
            </w:r>
          </w:p>
        </w:tc>
      </w:tr>
      <w:tr w:rsidRPr="007869C2" w:rsidR="00DA6391" w:rsidTr="00D40787" w14:paraId="1E7EE479" w14:textId="77777777">
        <w:trPr>
          <w:trHeight w:val="323"/>
          <w:tblHeader/>
        </w:trPr>
        <w:tc>
          <w:tcPr>
            <w:tcW w:w="3330" w:type="dxa"/>
            <w:vMerge/>
            <w:vAlign w:val="center"/>
            <w:hideMark/>
          </w:tcPr>
          <w:p w:rsidRPr="007869C2" w:rsidR="00DA6391" w:rsidP="00766F19" w:rsidRDefault="00DA6391" w14:paraId="5132D7D6" w14:textId="77777777">
            <w:pPr>
              <w:spacing w:after="0"/>
              <w:rPr>
                <w:b/>
                <w:bCs/>
                <w:color w:val="000000"/>
                <w:sz w:val="18"/>
                <w:szCs w:val="18"/>
              </w:rPr>
            </w:pPr>
          </w:p>
        </w:tc>
        <w:tc>
          <w:tcPr>
            <w:tcW w:w="540" w:type="dxa"/>
            <w:shd w:val="clear" w:color="auto" w:fill="F2F2F2" w:themeFill="background1" w:themeFillShade="F2"/>
            <w:vAlign w:val="center"/>
          </w:tcPr>
          <w:p w:rsidRPr="00C55072" w:rsidR="00DA6391" w:rsidP="00766F19" w:rsidRDefault="00DA6391" w14:paraId="268F089B" w14:textId="77777777">
            <w:pPr>
              <w:spacing w:after="0"/>
              <w:jc w:val="center"/>
              <w:rPr>
                <w:b/>
                <w:bCs/>
                <w:sz w:val="18"/>
                <w:szCs w:val="18"/>
              </w:rPr>
            </w:pPr>
            <w:r w:rsidRPr="00C55072">
              <w:rPr>
                <w:b/>
                <w:bCs/>
                <w:sz w:val="18"/>
                <w:szCs w:val="18"/>
              </w:rPr>
              <w:t>Y1</w:t>
            </w:r>
          </w:p>
        </w:tc>
        <w:tc>
          <w:tcPr>
            <w:tcW w:w="540" w:type="dxa"/>
            <w:shd w:val="clear" w:color="auto" w:fill="F2F2F2" w:themeFill="background1" w:themeFillShade="F2"/>
            <w:vAlign w:val="center"/>
          </w:tcPr>
          <w:p w:rsidRPr="00C55072" w:rsidR="00DA6391" w:rsidP="00766F19" w:rsidRDefault="00DA6391" w14:paraId="5849F04F" w14:textId="77777777">
            <w:pPr>
              <w:spacing w:after="0"/>
              <w:jc w:val="center"/>
              <w:rPr>
                <w:b/>
                <w:bCs/>
                <w:sz w:val="18"/>
                <w:szCs w:val="18"/>
              </w:rPr>
            </w:pPr>
            <w:r w:rsidRPr="00C55072">
              <w:rPr>
                <w:b/>
                <w:bCs/>
                <w:sz w:val="18"/>
                <w:szCs w:val="18"/>
              </w:rPr>
              <w:t>Y2</w:t>
            </w:r>
          </w:p>
        </w:tc>
        <w:tc>
          <w:tcPr>
            <w:tcW w:w="535" w:type="dxa"/>
            <w:shd w:val="clear" w:color="auto" w:fill="F2F2F2" w:themeFill="background1" w:themeFillShade="F2"/>
            <w:vAlign w:val="center"/>
          </w:tcPr>
          <w:p w:rsidRPr="00C55072" w:rsidR="00DA6391" w:rsidP="00766F19" w:rsidRDefault="00DA6391" w14:paraId="2794E3E9" w14:textId="77777777">
            <w:pPr>
              <w:spacing w:after="0"/>
              <w:jc w:val="center"/>
              <w:rPr>
                <w:b/>
                <w:bCs/>
                <w:sz w:val="18"/>
                <w:szCs w:val="18"/>
              </w:rPr>
            </w:pPr>
            <w:r w:rsidRPr="00C55072">
              <w:rPr>
                <w:b/>
                <w:bCs/>
                <w:sz w:val="18"/>
                <w:szCs w:val="18"/>
              </w:rPr>
              <w:t>Y3</w:t>
            </w:r>
          </w:p>
        </w:tc>
        <w:tc>
          <w:tcPr>
            <w:tcW w:w="590" w:type="dxa"/>
            <w:shd w:val="clear" w:color="auto" w:fill="F2F2F2" w:themeFill="background1" w:themeFillShade="F2"/>
            <w:vAlign w:val="center"/>
          </w:tcPr>
          <w:p w:rsidRPr="00C55072" w:rsidR="00DA6391" w:rsidP="00766F19" w:rsidRDefault="00DA6391" w14:paraId="15F839FD" w14:textId="77777777">
            <w:pPr>
              <w:spacing w:after="0"/>
              <w:jc w:val="center"/>
              <w:rPr>
                <w:b/>
                <w:bCs/>
                <w:sz w:val="18"/>
                <w:szCs w:val="18"/>
              </w:rPr>
            </w:pPr>
            <w:r w:rsidRPr="00C55072">
              <w:rPr>
                <w:b/>
                <w:bCs/>
                <w:sz w:val="18"/>
                <w:szCs w:val="18"/>
              </w:rPr>
              <w:t>Y1</w:t>
            </w:r>
          </w:p>
        </w:tc>
        <w:tc>
          <w:tcPr>
            <w:tcW w:w="630" w:type="dxa"/>
            <w:shd w:val="clear" w:color="auto" w:fill="F2F2F2" w:themeFill="background1" w:themeFillShade="F2"/>
            <w:vAlign w:val="center"/>
          </w:tcPr>
          <w:p w:rsidRPr="00C55072" w:rsidR="00DA6391" w:rsidP="00766F19" w:rsidRDefault="00DA6391" w14:paraId="6ED5584D" w14:textId="77777777">
            <w:pPr>
              <w:spacing w:after="0"/>
              <w:jc w:val="center"/>
              <w:rPr>
                <w:b/>
                <w:bCs/>
                <w:sz w:val="18"/>
                <w:szCs w:val="18"/>
              </w:rPr>
            </w:pPr>
            <w:r w:rsidRPr="00C55072">
              <w:rPr>
                <w:b/>
                <w:bCs/>
                <w:sz w:val="18"/>
                <w:szCs w:val="18"/>
              </w:rPr>
              <w:t>Y2</w:t>
            </w:r>
          </w:p>
        </w:tc>
        <w:tc>
          <w:tcPr>
            <w:tcW w:w="598" w:type="dxa"/>
            <w:shd w:val="clear" w:color="auto" w:fill="F2F2F2" w:themeFill="background1" w:themeFillShade="F2"/>
            <w:vAlign w:val="center"/>
          </w:tcPr>
          <w:p w:rsidRPr="00C55072" w:rsidR="00DA6391" w:rsidP="00766F19" w:rsidRDefault="00DA6391" w14:paraId="09A9876C" w14:textId="77777777">
            <w:pPr>
              <w:spacing w:after="0"/>
              <w:jc w:val="center"/>
              <w:rPr>
                <w:b/>
                <w:bCs/>
                <w:sz w:val="18"/>
                <w:szCs w:val="18"/>
              </w:rPr>
            </w:pPr>
            <w:r w:rsidRPr="00C55072">
              <w:rPr>
                <w:b/>
                <w:bCs/>
                <w:sz w:val="18"/>
                <w:szCs w:val="18"/>
              </w:rPr>
              <w:t>Y3</w:t>
            </w:r>
          </w:p>
        </w:tc>
        <w:tc>
          <w:tcPr>
            <w:tcW w:w="762" w:type="dxa"/>
            <w:shd w:val="clear" w:color="auto" w:fill="F2F2F2" w:themeFill="background1" w:themeFillShade="F2"/>
            <w:vAlign w:val="center"/>
          </w:tcPr>
          <w:p w:rsidRPr="00C55072" w:rsidR="00DA6391" w:rsidP="00766F19" w:rsidRDefault="00DA6391" w14:paraId="47BD010B" w14:textId="77777777">
            <w:pPr>
              <w:spacing w:after="0"/>
              <w:jc w:val="center"/>
              <w:rPr>
                <w:b/>
                <w:bCs/>
                <w:sz w:val="18"/>
                <w:szCs w:val="18"/>
              </w:rPr>
            </w:pPr>
            <w:r w:rsidRPr="00C55072">
              <w:rPr>
                <w:b/>
                <w:bCs/>
                <w:sz w:val="18"/>
                <w:szCs w:val="18"/>
              </w:rPr>
              <w:t>Y1</w:t>
            </w:r>
          </w:p>
        </w:tc>
        <w:tc>
          <w:tcPr>
            <w:tcW w:w="762" w:type="dxa"/>
            <w:shd w:val="clear" w:color="auto" w:fill="F2F2F2" w:themeFill="background1" w:themeFillShade="F2"/>
            <w:vAlign w:val="center"/>
          </w:tcPr>
          <w:p w:rsidRPr="00C55072" w:rsidR="00DA6391" w:rsidP="00766F19" w:rsidRDefault="00DA6391" w14:paraId="38DDCF6C" w14:textId="77777777">
            <w:pPr>
              <w:spacing w:after="0"/>
              <w:jc w:val="center"/>
              <w:rPr>
                <w:b/>
                <w:bCs/>
                <w:sz w:val="18"/>
                <w:szCs w:val="18"/>
              </w:rPr>
            </w:pPr>
            <w:r w:rsidRPr="00C55072">
              <w:rPr>
                <w:b/>
                <w:bCs/>
                <w:sz w:val="18"/>
                <w:szCs w:val="18"/>
              </w:rPr>
              <w:t>Y2</w:t>
            </w:r>
          </w:p>
        </w:tc>
        <w:tc>
          <w:tcPr>
            <w:tcW w:w="762" w:type="dxa"/>
            <w:shd w:val="clear" w:color="auto" w:fill="F2F2F2" w:themeFill="background1" w:themeFillShade="F2"/>
            <w:vAlign w:val="center"/>
          </w:tcPr>
          <w:p w:rsidRPr="00C55072" w:rsidR="00DA6391" w:rsidP="00766F19" w:rsidRDefault="00DA6391" w14:paraId="306B4691" w14:textId="77777777">
            <w:pPr>
              <w:spacing w:after="0"/>
              <w:jc w:val="center"/>
              <w:rPr>
                <w:b/>
                <w:bCs/>
                <w:sz w:val="18"/>
                <w:szCs w:val="18"/>
              </w:rPr>
            </w:pPr>
            <w:r w:rsidRPr="00C55072">
              <w:rPr>
                <w:b/>
                <w:bCs/>
                <w:sz w:val="18"/>
                <w:szCs w:val="18"/>
              </w:rPr>
              <w:t>Y3</w:t>
            </w:r>
          </w:p>
        </w:tc>
      </w:tr>
      <w:tr w:rsidRPr="007869C2" w:rsidR="00DA6391" w:rsidTr="00D40787" w14:paraId="4597FC13" w14:textId="77777777">
        <w:trPr>
          <w:trHeight w:val="288"/>
        </w:trPr>
        <w:tc>
          <w:tcPr>
            <w:tcW w:w="3330" w:type="dxa"/>
            <w:shd w:val="clear" w:color="auto" w:fill="auto"/>
            <w:vAlign w:val="center"/>
            <w:hideMark/>
          </w:tcPr>
          <w:p w:rsidRPr="007869C2" w:rsidR="00DA6391" w:rsidP="00766F19" w:rsidRDefault="00DA6391" w14:paraId="050FA77D" w14:textId="77777777">
            <w:pPr>
              <w:spacing w:after="0"/>
              <w:rPr>
                <w:sz w:val="18"/>
                <w:szCs w:val="18"/>
              </w:rPr>
            </w:pPr>
            <w:r w:rsidRPr="007869C2">
              <w:rPr>
                <w:sz w:val="18"/>
                <w:szCs w:val="18"/>
              </w:rPr>
              <w:t xml:space="preserve">Submit </w:t>
            </w:r>
            <w:r>
              <w:rPr>
                <w:sz w:val="18"/>
                <w:szCs w:val="18"/>
              </w:rPr>
              <w:t>request for extension</w:t>
            </w:r>
          </w:p>
        </w:tc>
        <w:tc>
          <w:tcPr>
            <w:tcW w:w="540" w:type="dxa"/>
            <w:vAlign w:val="center"/>
          </w:tcPr>
          <w:p w:rsidRPr="00C969D2" w:rsidR="00DA6391" w:rsidP="00766F19" w:rsidRDefault="00DA6391" w14:paraId="44991C5C" w14:textId="77777777">
            <w:pPr>
              <w:spacing w:after="0"/>
              <w:jc w:val="right"/>
              <w:rPr>
                <w:sz w:val="18"/>
                <w:szCs w:val="18"/>
              </w:rPr>
            </w:pPr>
            <w:r>
              <w:rPr>
                <w:sz w:val="18"/>
                <w:szCs w:val="18"/>
              </w:rPr>
              <w:t>1</w:t>
            </w:r>
          </w:p>
        </w:tc>
        <w:tc>
          <w:tcPr>
            <w:tcW w:w="540" w:type="dxa"/>
            <w:vAlign w:val="center"/>
          </w:tcPr>
          <w:p w:rsidRPr="00C969D2" w:rsidR="00DA6391" w:rsidP="00766F19" w:rsidRDefault="00DA6391" w14:paraId="40E1C6DF" w14:textId="77777777">
            <w:pPr>
              <w:spacing w:after="0"/>
              <w:jc w:val="right"/>
              <w:rPr>
                <w:sz w:val="18"/>
                <w:szCs w:val="18"/>
              </w:rPr>
            </w:pPr>
            <w:r>
              <w:rPr>
                <w:sz w:val="18"/>
                <w:szCs w:val="18"/>
              </w:rPr>
              <w:t>0</w:t>
            </w:r>
          </w:p>
        </w:tc>
        <w:tc>
          <w:tcPr>
            <w:tcW w:w="535" w:type="dxa"/>
            <w:vAlign w:val="center"/>
          </w:tcPr>
          <w:p w:rsidRPr="00C969D2" w:rsidR="00DA6391" w:rsidP="00766F19" w:rsidRDefault="00DA6391" w14:paraId="30971D7F" w14:textId="77777777">
            <w:pPr>
              <w:spacing w:after="0"/>
              <w:jc w:val="right"/>
              <w:rPr>
                <w:sz w:val="18"/>
                <w:szCs w:val="18"/>
              </w:rPr>
            </w:pPr>
            <w:r>
              <w:rPr>
                <w:sz w:val="18"/>
                <w:szCs w:val="18"/>
              </w:rPr>
              <w:t>0</w:t>
            </w:r>
          </w:p>
        </w:tc>
        <w:tc>
          <w:tcPr>
            <w:tcW w:w="590" w:type="dxa"/>
            <w:vAlign w:val="center"/>
          </w:tcPr>
          <w:p w:rsidRPr="00C969D2" w:rsidR="00DA6391" w:rsidP="00766F19" w:rsidRDefault="001B0D99" w14:paraId="30536BBA" w14:textId="00F409A7">
            <w:pPr>
              <w:spacing w:after="0"/>
              <w:jc w:val="right"/>
              <w:rPr>
                <w:sz w:val="18"/>
                <w:szCs w:val="18"/>
              </w:rPr>
            </w:pPr>
            <w:r>
              <w:rPr>
                <w:sz w:val="18"/>
                <w:szCs w:val="18"/>
              </w:rPr>
              <w:t>2</w:t>
            </w:r>
          </w:p>
        </w:tc>
        <w:tc>
          <w:tcPr>
            <w:tcW w:w="630" w:type="dxa"/>
            <w:vAlign w:val="center"/>
          </w:tcPr>
          <w:p w:rsidRPr="00C969D2" w:rsidR="00DA6391" w:rsidP="00766F19" w:rsidRDefault="00DA6391" w14:paraId="0B588934" w14:textId="77777777">
            <w:pPr>
              <w:spacing w:after="0"/>
              <w:jc w:val="right"/>
              <w:rPr>
                <w:sz w:val="18"/>
                <w:szCs w:val="18"/>
              </w:rPr>
            </w:pPr>
            <w:r>
              <w:rPr>
                <w:sz w:val="18"/>
                <w:szCs w:val="18"/>
              </w:rPr>
              <w:t>0</w:t>
            </w:r>
          </w:p>
        </w:tc>
        <w:tc>
          <w:tcPr>
            <w:tcW w:w="598" w:type="dxa"/>
            <w:vAlign w:val="center"/>
          </w:tcPr>
          <w:p w:rsidRPr="00C969D2" w:rsidR="00DA6391" w:rsidP="00766F19" w:rsidRDefault="00DA6391" w14:paraId="5E944011" w14:textId="77777777">
            <w:pPr>
              <w:spacing w:after="0"/>
              <w:jc w:val="right"/>
              <w:rPr>
                <w:sz w:val="18"/>
                <w:szCs w:val="18"/>
              </w:rPr>
            </w:pPr>
            <w:r>
              <w:rPr>
                <w:sz w:val="18"/>
                <w:szCs w:val="18"/>
              </w:rPr>
              <w:t>0</w:t>
            </w:r>
          </w:p>
        </w:tc>
        <w:tc>
          <w:tcPr>
            <w:tcW w:w="762" w:type="dxa"/>
            <w:vAlign w:val="center"/>
          </w:tcPr>
          <w:p w:rsidRPr="00C969D2" w:rsidR="00DA6391" w:rsidP="00766F19" w:rsidRDefault="001B0D99" w14:paraId="786AC482" w14:textId="2D22F913">
            <w:pPr>
              <w:spacing w:after="0"/>
              <w:jc w:val="right"/>
              <w:rPr>
                <w:sz w:val="18"/>
                <w:szCs w:val="18"/>
              </w:rPr>
            </w:pPr>
            <w:r>
              <w:rPr>
                <w:sz w:val="18"/>
                <w:szCs w:val="18"/>
              </w:rPr>
              <w:t>$245</w:t>
            </w:r>
          </w:p>
        </w:tc>
        <w:tc>
          <w:tcPr>
            <w:tcW w:w="762" w:type="dxa"/>
            <w:vAlign w:val="center"/>
          </w:tcPr>
          <w:p w:rsidRPr="00C969D2" w:rsidR="00DA6391" w:rsidP="00766F19" w:rsidRDefault="00DA6391" w14:paraId="3301A47E" w14:textId="77777777">
            <w:pPr>
              <w:spacing w:after="0"/>
              <w:jc w:val="right"/>
              <w:rPr>
                <w:sz w:val="18"/>
                <w:szCs w:val="18"/>
              </w:rPr>
            </w:pPr>
            <w:r>
              <w:rPr>
                <w:sz w:val="18"/>
                <w:szCs w:val="18"/>
              </w:rPr>
              <w:t>$0</w:t>
            </w:r>
          </w:p>
        </w:tc>
        <w:tc>
          <w:tcPr>
            <w:tcW w:w="762" w:type="dxa"/>
            <w:vAlign w:val="center"/>
          </w:tcPr>
          <w:p w:rsidRPr="00C969D2" w:rsidR="00DA6391" w:rsidP="00766F19" w:rsidRDefault="00DA6391" w14:paraId="61103396" w14:textId="77777777">
            <w:pPr>
              <w:spacing w:after="0"/>
              <w:jc w:val="right"/>
              <w:rPr>
                <w:sz w:val="18"/>
                <w:szCs w:val="18"/>
              </w:rPr>
            </w:pPr>
            <w:r>
              <w:rPr>
                <w:sz w:val="18"/>
                <w:szCs w:val="18"/>
              </w:rPr>
              <w:t>$0</w:t>
            </w:r>
          </w:p>
        </w:tc>
      </w:tr>
      <w:tr w:rsidRPr="007869C2" w:rsidR="00DA6391" w:rsidTr="00D40787" w14:paraId="6C0C60E0" w14:textId="77777777">
        <w:trPr>
          <w:trHeight w:val="288"/>
        </w:trPr>
        <w:tc>
          <w:tcPr>
            <w:tcW w:w="3330" w:type="dxa"/>
            <w:shd w:val="clear" w:color="auto" w:fill="auto"/>
            <w:vAlign w:val="center"/>
            <w:hideMark/>
          </w:tcPr>
          <w:p w:rsidRPr="007869C2" w:rsidR="00DA6391" w:rsidP="00766F19" w:rsidRDefault="00DA6391" w14:paraId="72AE4508" w14:textId="465C992D">
            <w:pPr>
              <w:spacing w:after="0"/>
              <w:rPr>
                <w:sz w:val="18"/>
                <w:szCs w:val="18"/>
              </w:rPr>
            </w:pPr>
            <w:r w:rsidRPr="007869C2">
              <w:rPr>
                <w:sz w:val="18"/>
                <w:szCs w:val="18"/>
              </w:rPr>
              <w:t xml:space="preserve">Submit one-time </w:t>
            </w:r>
            <w:r w:rsidR="00C63A87">
              <w:rPr>
                <w:sz w:val="18"/>
                <w:szCs w:val="18"/>
              </w:rPr>
              <w:t xml:space="preserve">HFC-23 </w:t>
            </w:r>
            <w:r w:rsidRPr="007869C2">
              <w:rPr>
                <w:sz w:val="18"/>
                <w:szCs w:val="18"/>
              </w:rPr>
              <w:t>report</w:t>
            </w:r>
          </w:p>
        </w:tc>
        <w:tc>
          <w:tcPr>
            <w:tcW w:w="540" w:type="dxa"/>
            <w:vAlign w:val="center"/>
          </w:tcPr>
          <w:p w:rsidRPr="00C969D2" w:rsidR="00DA6391" w:rsidP="00766F19" w:rsidRDefault="00DA6391" w14:paraId="229B45D6" w14:textId="77777777">
            <w:pPr>
              <w:spacing w:after="0"/>
              <w:jc w:val="right"/>
              <w:rPr>
                <w:sz w:val="18"/>
                <w:szCs w:val="18"/>
              </w:rPr>
            </w:pPr>
            <w:r>
              <w:rPr>
                <w:sz w:val="18"/>
                <w:szCs w:val="18"/>
              </w:rPr>
              <w:t>2</w:t>
            </w:r>
          </w:p>
        </w:tc>
        <w:tc>
          <w:tcPr>
            <w:tcW w:w="540" w:type="dxa"/>
            <w:vAlign w:val="center"/>
          </w:tcPr>
          <w:p w:rsidRPr="00C969D2" w:rsidR="00DA6391" w:rsidP="00766F19" w:rsidRDefault="00DA6391" w14:paraId="39D2D505" w14:textId="77777777">
            <w:pPr>
              <w:spacing w:after="0"/>
              <w:jc w:val="right"/>
              <w:rPr>
                <w:sz w:val="18"/>
                <w:szCs w:val="18"/>
              </w:rPr>
            </w:pPr>
            <w:r>
              <w:rPr>
                <w:sz w:val="18"/>
                <w:szCs w:val="18"/>
              </w:rPr>
              <w:t>0</w:t>
            </w:r>
          </w:p>
        </w:tc>
        <w:tc>
          <w:tcPr>
            <w:tcW w:w="535" w:type="dxa"/>
            <w:vAlign w:val="center"/>
          </w:tcPr>
          <w:p w:rsidRPr="00C969D2" w:rsidR="00DA6391" w:rsidP="00766F19" w:rsidRDefault="00DA6391" w14:paraId="6842F615" w14:textId="77777777">
            <w:pPr>
              <w:spacing w:after="0"/>
              <w:jc w:val="right"/>
              <w:rPr>
                <w:sz w:val="18"/>
                <w:szCs w:val="18"/>
              </w:rPr>
            </w:pPr>
            <w:r>
              <w:rPr>
                <w:sz w:val="18"/>
                <w:szCs w:val="18"/>
              </w:rPr>
              <w:t>0</w:t>
            </w:r>
          </w:p>
        </w:tc>
        <w:tc>
          <w:tcPr>
            <w:tcW w:w="590" w:type="dxa"/>
            <w:vAlign w:val="center"/>
          </w:tcPr>
          <w:p w:rsidRPr="00C969D2" w:rsidR="00DA6391" w:rsidP="00766F19" w:rsidRDefault="00DA6391" w14:paraId="6BE77897" w14:textId="77777777">
            <w:pPr>
              <w:spacing w:after="0"/>
              <w:jc w:val="right"/>
              <w:rPr>
                <w:sz w:val="18"/>
                <w:szCs w:val="18"/>
              </w:rPr>
            </w:pPr>
            <w:r>
              <w:rPr>
                <w:sz w:val="18"/>
                <w:szCs w:val="18"/>
              </w:rPr>
              <w:t>200</w:t>
            </w:r>
          </w:p>
        </w:tc>
        <w:tc>
          <w:tcPr>
            <w:tcW w:w="630" w:type="dxa"/>
            <w:vAlign w:val="center"/>
          </w:tcPr>
          <w:p w:rsidRPr="00C969D2" w:rsidR="00DA6391" w:rsidP="00766F19" w:rsidRDefault="00DA6391" w14:paraId="2A0A2774" w14:textId="77777777">
            <w:pPr>
              <w:spacing w:after="0"/>
              <w:jc w:val="right"/>
              <w:rPr>
                <w:sz w:val="18"/>
                <w:szCs w:val="18"/>
              </w:rPr>
            </w:pPr>
            <w:r w:rsidRPr="00C969D2">
              <w:rPr>
                <w:sz w:val="18"/>
                <w:szCs w:val="18"/>
              </w:rPr>
              <w:t>0</w:t>
            </w:r>
          </w:p>
        </w:tc>
        <w:tc>
          <w:tcPr>
            <w:tcW w:w="598" w:type="dxa"/>
            <w:vAlign w:val="center"/>
          </w:tcPr>
          <w:p w:rsidRPr="00C969D2" w:rsidR="00DA6391" w:rsidP="00766F19" w:rsidRDefault="00DA6391" w14:paraId="62984483" w14:textId="77777777">
            <w:pPr>
              <w:spacing w:after="0"/>
              <w:jc w:val="right"/>
              <w:rPr>
                <w:sz w:val="18"/>
                <w:szCs w:val="18"/>
              </w:rPr>
            </w:pPr>
            <w:r w:rsidRPr="00C969D2">
              <w:rPr>
                <w:sz w:val="18"/>
                <w:szCs w:val="18"/>
              </w:rPr>
              <w:t>0</w:t>
            </w:r>
          </w:p>
        </w:tc>
        <w:tc>
          <w:tcPr>
            <w:tcW w:w="762" w:type="dxa"/>
            <w:vAlign w:val="center"/>
          </w:tcPr>
          <w:p w:rsidRPr="00C969D2" w:rsidR="00DA6391" w:rsidP="00766F19" w:rsidRDefault="00DA6391" w14:paraId="06893859" w14:textId="77777777">
            <w:pPr>
              <w:spacing w:after="0"/>
              <w:jc w:val="right"/>
              <w:rPr>
                <w:sz w:val="18"/>
                <w:szCs w:val="18"/>
              </w:rPr>
            </w:pPr>
            <w:r>
              <w:rPr>
                <w:sz w:val="18"/>
                <w:szCs w:val="18"/>
              </w:rPr>
              <w:t>$24,532</w:t>
            </w:r>
          </w:p>
        </w:tc>
        <w:tc>
          <w:tcPr>
            <w:tcW w:w="762" w:type="dxa"/>
            <w:vAlign w:val="center"/>
          </w:tcPr>
          <w:p w:rsidRPr="00C969D2" w:rsidR="00DA6391" w:rsidP="00766F19" w:rsidRDefault="00DA6391" w14:paraId="5943713E" w14:textId="77777777">
            <w:pPr>
              <w:spacing w:after="0"/>
              <w:jc w:val="right"/>
              <w:rPr>
                <w:sz w:val="18"/>
                <w:szCs w:val="18"/>
              </w:rPr>
            </w:pPr>
            <w:r w:rsidRPr="00C969D2">
              <w:rPr>
                <w:sz w:val="18"/>
                <w:szCs w:val="18"/>
              </w:rPr>
              <w:t>$0</w:t>
            </w:r>
          </w:p>
        </w:tc>
        <w:tc>
          <w:tcPr>
            <w:tcW w:w="762" w:type="dxa"/>
            <w:vAlign w:val="center"/>
          </w:tcPr>
          <w:p w:rsidRPr="00C969D2" w:rsidR="00DA6391" w:rsidP="00766F19" w:rsidRDefault="00DA6391" w14:paraId="0B5C393C" w14:textId="77777777">
            <w:pPr>
              <w:spacing w:after="0"/>
              <w:jc w:val="right"/>
              <w:rPr>
                <w:sz w:val="18"/>
                <w:szCs w:val="18"/>
              </w:rPr>
            </w:pPr>
            <w:r w:rsidRPr="00C969D2">
              <w:rPr>
                <w:sz w:val="18"/>
                <w:szCs w:val="18"/>
              </w:rPr>
              <w:t>$0</w:t>
            </w:r>
          </w:p>
        </w:tc>
      </w:tr>
      <w:tr w:rsidRPr="007869C2" w:rsidR="00DA6391" w:rsidTr="00D40787" w14:paraId="47BC554D" w14:textId="77777777">
        <w:trPr>
          <w:trHeight w:val="288"/>
        </w:trPr>
        <w:tc>
          <w:tcPr>
            <w:tcW w:w="3330" w:type="dxa"/>
            <w:shd w:val="clear" w:color="auto" w:fill="auto"/>
            <w:vAlign w:val="center"/>
            <w:hideMark/>
          </w:tcPr>
          <w:p w:rsidRPr="007869C2" w:rsidR="00DA6391" w:rsidP="00766F19" w:rsidRDefault="00DA6391" w14:paraId="31ED666A" w14:textId="74446D18">
            <w:pPr>
              <w:spacing w:after="0"/>
              <w:rPr>
                <w:sz w:val="18"/>
                <w:szCs w:val="18"/>
              </w:rPr>
            </w:pPr>
            <w:r w:rsidRPr="007869C2">
              <w:rPr>
                <w:sz w:val="18"/>
                <w:szCs w:val="18"/>
              </w:rPr>
              <w:t xml:space="preserve">Submit </w:t>
            </w:r>
            <w:r w:rsidR="00DC727F">
              <w:rPr>
                <w:sz w:val="18"/>
                <w:szCs w:val="18"/>
              </w:rPr>
              <w:t>quarterly</w:t>
            </w:r>
            <w:r w:rsidRPr="007869C2">
              <w:rPr>
                <w:sz w:val="18"/>
                <w:szCs w:val="18"/>
              </w:rPr>
              <w:t xml:space="preserve"> HFC-23 report</w:t>
            </w:r>
          </w:p>
        </w:tc>
        <w:tc>
          <w:tcPr>
            <w:tcW w:w="540" w:type="dxa"/>
            <w:vAlign w:val="center"/>
          </w:tcPr>
          <w:p w:rsidRPr="00C969D2" w:rsidR="00DA6391" w:rsidP="00766F19" w:rsidRDefault="00DA6391" w14:paraId="7B7EBFDB" w14:textId="77777777">
            <w:pPr>
              <w:spacing w:after="0"/>
              <w:jc w:val="right"/>
              <w:rPr>
                <w:sz w:val="18"/>
                <w:szCs w:val="18"/>
              </w:rPr>
            </w:pPr>
            <w:r>
              <w:rPr>
                <w:sz w:val="18"/>
                <w:szCs w:val="18"/>
              </w:rPr>
              <w:t>2</w:t>
            </w:r>
          </w:p>
        </w:tc>
        <w:tc>
          <w:tcPr>
            <w:tcW w:w="540" w:type="dxa"/>
            <w:vAlign w:val="center"/>
          </w:tcPr>
          <w:p w:rsidRPr="00C969D2" w:rsidR="00DA6391" w:rsidP="00766F19" w:rsidRDefault="00DA6391" w14:paraId="48931C1C" w14:textId="77777777">
            <w:pPr>
              <w:spacing w:after="0"/>
              <w:jc w:val="right"/>
              <w:rPr>
                <w:sz w:val="18"/>
                <w:szCs w:val="18"/>
              </w:rPr>
            </w:pPr>
            <w:r>
              <w:rPr>
                <w:sz w:val="18"/>
                <w:szCs w:val="18"/>
              </w:rPr>
              <w:t>2</w:t>
            </w:r>
          </w:p>
        </w:tc>
        <w:tc>
          <w:tcPr>
            <w:tcW w:w="535" w:type="dxa"/>
            <w:vAlign w:val="center"/>
          </w:tcPr>
          <w:p w:rsidRPr="00C969D2" w:rsidR="00DA6391" w:rsidP="00766F19" w:rsidRDefault="00DA6391" w14:paraId="4EAA3936" w14:textId="77777777">
            <w:pPr>
              <w:spacing w:after="0"/>
              <w:jc w:val="right"/>
              <w:rPr>
                <w:sz w:val="18"/>
                <w:szCs w:val="18"/>
              </w:rPr>
            </w:pPr>
            <w:r>
              <w:rPr>
                <w:sz w:val="18"/>
                <w:szCs w:val="18"/>
              </w:rPr>
              <w:t>2</w:t>
            </w:r>
          </w:p>
        </w:tc>
        <w:tc>
          <w:tcPr>
            <w:tcW w:w="590" w:type="dxa"/>
            <w:vAlign w:val="center"/>
          </w:tcPr>
          <w:p w:rsidRPr="00C969D2" w:rsidR="00DA6391" w:rsidP="00766F19" w:rsidRDefault="00DA6391" w14:paraId="73619AB1" w14:textId="77777777">
            <w:pPr>
              <w:spacing w:after="0"/>
              <w:jc w:val="right"/>
              <w:rPr>
                <w:sz w:val="18"/>
                <w:szCs w:val="18"/>
              </w:rPr>
            </w:pPr>
            <w:r>
              <w:rPr>
                <w:sz w:val="18"/>
                <w:szCs w:val="18"/>
              </w:rPr>
              <w:t>96</w:t>
            </w:r>
          </w:p>
        </w:tc>
        <w:tc>
          <w:tcPr>
            <w:tcW w:w="630" w:type="dxa"/>
            <w:vAlign w:val="center"/>
          </w:tcPr>
          <w:p w:rsidRPr="00C969D2" w:rsidR="00DA6391" w:rsidP="00766F19" w:rsidRDefault="00DA6391" w14:paraId="02785C7C" w14:textId="77777777">
            <w:pPr>
              <w:spacing w:after="0"/>
              <w:jc w:val="right"/>
              <w:rPr>
                <w:sz w:val="18"/>
                <w:szCs w:val="18"/>
              </w:rPr>
            </w:pPr>
            <w:r>
              <w:rPr>
                <w:sz w:val="18"/>
                <w:szCs w:val="18"/>
              </w:rPr>
              <w:t>96</w:t>
            </w:r>
          </w:p>
        </w:tc>
        <w:tc>
          <w:tcPr>
            <w:tcW w:w="598" w:type="dxa"/>
            <w:vAlign w:val="center"/>
          </w:tcPr>
          <w:p w:rsidRPr="00C969D2" w:rsidR="00DA6391" w:rsidP="00766F19" w:rsidRDefault="00DA6391" w14:paraId="5E80AEFA" w14:textId="77777777">
            <w:pPr>
              <w:spacing w:after="0"/>
              <w:jc w:val="right"/>
              <w:rPr>
                <w:sz w:val="18"/>
                <w:szCs w:val="18"/>
              </w:rPr>
            </w:pPr>
            <w:r>
              <w:rPr>
                <w:sz w:val="18"/>
                <w:szCs w:val="18"/>
              </w:rPr>
              <w:t>96</w:t>
            </w:r>
          </w:p>
        </w:tc>
        <w:tc>
          <w:tcPr>
            <w:tcW w:w="762" w:type="dxa"/>
            <w:vAlign w:val="center"/>
          </w:tcPr>
          <w:p w:rsidRPr="00C969D2" w:rsidR="00DA6391" w:rsidP="00766F19" w:rsidRDefault="00DA6391" w14:paraId="09C593ED" w14:textId="77777777">
            <w:pPr>
              <w:spacing w:after="0"/>
              <w:jc w:val="right"/>
              <w:rPr>
                <w:sz w:val="18"/>
                <w:szCs w:val="18"/>
              </w:rPr>
            </w:pPr>
            <w:r>
              <w:rPr>
                <w:sz w:val="18"/>
                <w:szCs w:val="18"/>
              </w:rPr>
              <w:t>$11,775</w:t>
            </w:r>
          </w:p>
        </w:tc>
        <w:tc>
          <w:tcPr>
            <w:tcW w:w="762" w:type="dxa"/>
            <w:vAlign w:val="center"/>
          </w:tcPr>
          <w:p w:rsidRPr="00C969D2" w:rsidR="00DA6391" w:rsidP="00766F19" w:rsidRDefault="00DA6391" w14:paraId="7BC8B32D" w14:textId="77777777">
            <w:pPr>
              <w:spacing w:after="0"/>
              <w:jc w:val="right"/>
              <w:rPr>
                <w:sz w:val="18"/>
                <w:szCs w:val="18"/>
              </w:rPr>
            </w:pPr>
            <w:r w:rsidRPr="00AC2DCD">
              <w:rPr>
                <w:sz w:val="18"/>
                <w:szCs w:val="18"/>
              </w:rPr>
              <w:t>$11,775</w:t>
            </w:r>
          </w:p>
        </w:tc>
        <w:tc>
          <w:tcPr>
            <w:tcW w:w="762" w:type="dxa"/>
            <w:vAlign w:val="center"/>
          </w:tcPr>
          <w:p w:rsidRPr="00C969D2" w:rsidR="00DA6391" w:rsidP="00766F19" w:rsidRDefault="00DA6391" w14:paraId="5D8EBB82" w14:textId="77777777">
            <w:pPr>
              <w:spacing w:after="0"/>
              <w:jc w:val="right"/>
              <w:rPr>
                <w:sz w:val="18"/>
                <w:szCs w:val="18"/>
              </w:rPr>
            </w:pPr>
            <w:r w:rsidRPr="00AC2DCD">
              <w:rPr>
                <w:sz w:val="18"/>
                <w:szCs w:val="18"/>
              </w:rPr>
              <w:t>$11,775</w:t>
            </w:r>
          </w:p>
        </w:tc>
      </w:tr>
      <w:tr w:rsidRPr="007869C2" w:rsidR="00DA6391" w:rsidTr="00D40787" w14:paraId="1B5F7765" w14:textId="77777777">
        <w:trPr>
          <w:trHeight w:val="288"/>
        </w:trPr>
        <w:tc>
          <w:tcPr>
            <w:tcW w:w="3330" w:type="dxa"/>
            <w:shd w:val="clear" w:color="auto" w:fill="auto"/>
            <w:vAlign w:val="center"/>
            <w:hideMark/>
          </w:tcPr>
          <w:p w:rsidRPr="007869C2" w:rsidR="00DA6391" w:rsidP="00766F19" w:rsidRDefault="00DA6391" w14:paraId="1F21341B" w14:textId="77777777">
            <w:pPr>
              <w:spacing w:after="0"/>
              <w:rPr>
                <w:sz w:val="18"/>
                <w:szCs w:val="18"/>
              </w:rPr>
            </w:pPr>
            <w:r w:rsidRPr="007869C2">
              <w:rPr>
                <w:sz w:val="18"/>
                <w:szCs w:val="18"/>
              </w:rPr>
              <w:t>Submit HFC-23 proof of destruction</w:t>
            </w:r>
          </w:p>
        </w:tc>
        <w:tc>
          <w:tcPr>
            <w:tcW w:w="540" w:type="dxa"/>
            <w:vAlign w:val="center"/>
          </w:tcPr>
          <w:p w:rsidRPr="00C969D2" w:rsidR="00DA6391" w:rsidP="00766F19" w:rsidRDefault="001A189E" w14:paraId="57D8AE13" w14:textId="4E00BC48">
            <w:pPr>
              <w:spacing w:after="0"/>
              <w:jc w:val="right"/>
              <w:rPr>
                <w:sz w:val="18"/>
                <w:szCs w:val="18"/>
              </w:rPr>
            </w:pPr>
            <w:r>
              <w:rPr>
                <w:sz w:val="18"/>
                <w:szCs w:val="18"/>
              </w:rPr>
              <w:t>2</w:t>
            </w:r>
          </w:p>
        </w:tc>
        <w:tc>
          <w:tcPr>
            <w:tcW w:w="540" w:type="dxa"/>
            <w:vAlign w:val="center"/>
          </w:tcPr>
          <w:p w:rsidRPr="00C969D2" w:rsidR="00DA6391" w:rsidP="00766F19" w:rsidRDefault="001A189E" w14:paraId="2E9AE692" w14:textId="0402D846">
            <w:pPr>
              <w:spacing w:after="0"/>
              <w:jc w:val="right"/>
              <w:rPr>
                <w:sz w:val="18"/>
                <w:szCs w:val="18"/>
              </w:rPr>
            </w:pPr>
            <w:r>
              <w:rPr>
                <w:sz w:val="18"/>
                <w:szCs w:val="18"/>
              </w:rPr>
              <w:t>2</w:t>
            </w:r>
          </w:p>
        </w:tc>
        <w:tc>
          <w:tcPr>
            <w:tcW w:w="535" w:type="dxa"/>
            <w:vAlign w:val="center"/>
          </w:tcPr>
          <w:p w:rsidRPr="00C969D2" w:rsidR="00DA6391" w:rsidP="00766F19" w:rsidRDefault="001A189E" w14:paraId="078C3673" w14:textId="4CC88E6F">
            <w:pPr>
              <w:spacing w:after="0"/>
              <w:jc w:val="right"/>
              <w:rPr>
                <w:sz w:val="18"/>
                <w:szCs w:val="18"/>
              </w:rPr>
            </w:pPr>
            <w:r>
              <w:rPr>
                <w:sz w:val="18"/>
                <w:szCs w:val="18"/>
              </w:rPr>
              <w:t>2</w:t>
            </w:r>
          </w:p>
        </w:tc>
        <w:tc>
          <w:tcPr>
            <w:tcW w:w="590" w:type="dxa"/>
            <w:vAlign w:val="center"/>
          </w:tcPr>
          <w:p w:rsidRPr="00C969D2" w:rsidR="00DA6391" w:rsidP="00766F19" w:rsidRDefault="00DA6391" w14:paraId="2911913A" w14:textId="77777777">
            <w:pPr>
              <w:spacing w:after="0"/>
              <w:jc w:val="right"/>
              <w:rPr>
                <w:sz w:val="18"/>
                <w:szCs w:val="18"/>
              </w:rPr>
            </w:pPr>
            <w:r>
              <w:rPr>
                <w:sz w:val="18"/>
                <w:szCs w:val="18"/>
              </w:rPr>
              <w:t>1</w:t>
            </w:r>
          </w:p>
        </w:tc>
        <w:tc>
          <w:tcPr>
            <w:tcW w:w="630" w:type="dxa"/>
            <w:vAlign w:val="center"/>
          </w:tcPr>
          <w:p w:rsidRPr="00C969D2" w:rsidR="00DA6391" w:rsidP="00766F19" w:rsidRDefault="00DA6391" w14:paraId="21FD216F" w14:textId="77777777">
            <w:pPr>
              <w:spacing w:after="0"/>
              <w:jc w:val="right"/>
              <w:rPr>
                <w:sz w:val="18"/>
                <w:szCs w:val="18"/>
              </w:rPr>
            </w:pPr>
            <w:r>
              <w:rPr>
                <w:sz w:val="18"/>
                <w:szCs w:val="18"/>
              </w:rPr>
              <w:t>1</w:t>
            </w:r>
          </w:p>
        </w:tc>
        <w:tc>
          <w:tcPr>
            <w:tcW w:w="598" w:type="dxa"/>
            <w:vAlign w:val="center"/>
          </w:tcPr>
          <w:p w:rsidRPr="00C969D2" w:rsidR="00DA6391" w:rsidP="00766F19" w:rsidRDefault="00DA6391" w14:paraId="06F85E1E" w14:textId="77777777">
            <w:pPr>
              <w:spacing w:after="0"/>
              <w:jc w:val="right"/>
              <w:rPr>
                <w:sz w:val="18"/>
                <w:szCs w:val="18"/>
              </w:rPr>
            </w:pPr>
            <w:r>
              <w:rPr>
                <w:sz w:val="18"/>
                <w:szCs w:val="18"/>
              </w:rPr>
              <w:t>1</w:t>
            </w:r>
          </w:p>
        </w:tc>
        <w:tc>
          <w:tcPr>
            <w:tcW w:w="762" w:type="dxa"/>
            <w:vAlign w:val="center"/>
          </w:tcPr>
          <w:p w:rsidRPr="00C969D2" w:rsidR="00DA6391" w:rsidP="00766F19" w:rsidRDefault="00DA6391" w14:paraId="013F609F" w14:textId="77777777">
            <w:pPr>
              <w:spacing w:after="0"/>
              <w:jc w:val="right"/>
              <w:rPr>
                <w:sz w:val="18"/>
                <w:szCs w:val="18"/>
              </w:rPr>
            </w:pPr>
            <w:r w:rsidRPr="00C969D2">
              <w:rPr>
                <w:sz w:val="18"/>
                <w:szCs w:val="18"/>
              </w:rPr>
              <w:t>$</w:t>
            </w:r>
            <w:r>
              <w:rPr>
                <w:sz w:val="18"/>
                <w:szCs w:val="18"/>
              </w:rPr>
              <w:t>123</w:t>
            </w:r>
          </w:p>
        </w:tc>
        <w:tc>
          <w:tcPr>
            <w:tcW w:w="762" w:type="dxa"/>
            <w:vAlign w:val="center"/>
          </w:tcPr>
          <w:p w:rsidRPr="00C969D2" w:rsidR="00DA6391" w:rsidP="00766F19" w:rsidRDefault="00DA6391" w14:paraId="776A5E51" w14:textId="77777777">
            <w:pPr>
              <w:spacing w:after="0"/>
              <w:jc w:val="right"/>
              <w:rPr>
                <w:sz w:val="18"/>
                <w:szCs w:val="18"/>
              </w:rPr>
            </w:pPr>
            <w:r>
              <w:rPr>
                <w:sz w:val="18"/>
                <w:szCs w:val="18"/>
              </w:rPr>
              <w:t>$123</w:t>
            </w:r>
          </w:p>
        </w:tc>
        <w:tc>
          <w:tcPr>
            <w:tcW w:w="762" w:type="dxa"/>
            <w:vAlign w:val="center"/>
          </w:tcPr>
          <w:p w:rsidRPr="00C969D2" w:rsidR="00DA6391" w:rsidP="00766F19" w:rsidRDefault="00DA6391" w14:paraId="46B15039" w14:textId="77777777">
            <w:pPr>
              <w:spacing w:after="0"/>
              <w:jc w:val="right"/>
              <w:rPr>
                <w:sz w:val="18"/>
                <w:szCs w:val="18"/>
              </w:rPr>
            </w:pPr>
            <w:r>
              <w:rPr>
                <w:sz w:val="18"/>
                <w:szCs w:val="18"/>
              </w:rPr>
              <w:t>$123</w:t>
            </w:r>
          </w:p>
        </w:tc>
      </w:tr>
    </w:tbl>
    <w:p w:rsidR="00425164" w:rsidP="0071638C" w:rsidRDefault="00425164" w14:paraId="38F01835" w14:textId="77777777">
      <w:pPr>
        <w:pStyle w:val="Heading2"/>
      </w:pPr>
      <w:r>
        <w:t xml:space="preserve">(e) </w:t>
      </w:r>
      <w:r>
        <w:tab/>
        <w:t>Bottom Line Burden Hours and Cost Tables</w:t>
      </w:r>
    </w:p>
    <w:p w:rsidRPr="006F2FE6" w:rsidR="00425164" w:rsidP="0071638C" w:rsidRDefault="00F36227" w14:paraId="67AFEDBB" w14:textId="1BFEEAA9">
      <w:pPr>
        <w:pStyle w:val="Heading4"/>
        <w:keepNext/>
        <w:numPr>
          <w:ilvl w:val="0"/>
          <w:numId w:val="0"/>
        </w:numPr>
        <w:ind w:left="1440" w:hanging="720"/>
      </w:pPr>
      <w:r>
        <w:t>(i)</w:t>
      </w:r>
      <w:r w:rsidR="00C07101">
        <w:tab/>
      </w:r>
      <w:r w:rsidRPr="008D58A0" w:rsidR="00425164">
        <w:t>Respondent</w:t>
      </w:r>
      <w:r w:rsidRPr="006F2FE6" w:rsidR="00425164">
        <w:t xml:space="preserve"> Tally </w:t>
      </w:r>
    </w:p>
    <w:p w:rsidR="00425164" w:rsidP="0071638C" w:rsidRDefault="00AE3FAA" w14:paraId="2C08E9A2" w14:textId="001A1F0B">
      <w:pPr>
        <w:keepNext/>
      </w:pPr>
      <w:r>
        <w:t xml:space="preserve">As shown in </w:t>
      </w:r>
      <w:r w:rsidR="005A237F">
        <w:fldChar w:fldCharType="begin"/>
      </w:r>
      <w:r w:rsidR="005A237F">
        <w:instrText xml:space="preserve"> REF _Ref69842375 \h </w:instrText>
      </w:r>
      <w:r w:rsidR="005A237F">
        <w:fldChar w:fldCharType="separate"/>
      </w:r>
      <w:r w:rsidR="005A237F">
        <w:t xml:space="preserve">Table </w:t>
      </w:r>
      <w:r w:rsidR="005A237F">
        <w:rPr>
          <w:noProof/>
        </w:rPr>
        <w:t>VI</w:t>
      </w:r>
      <w:r w:rsidR="005A237F">
        <w:t xml:space="preserve">. </w:t>
      </w:r>
      <w:r w:rsidRPr="005E17D7" w:rsidR="005A237F">
        <w:t>Respondent Burden Summary Table</w:t>
      </w:r>
      <w:r w:rsidR="005A237F">
        <w:fldChar w:fldCharType="end"/>
      </w:r>
      <w:r w:rsidR="003D5E3E">
        <w:t xml:space="preserve">, EPA estimates the total annual hour and cost burden to all respondents to average </w:t>
      </w:r>
      <w:r w:rsidR="00AE6468">
        <w:t xml:space="preserve">164 hours and </w:t>
      </w:r>
      <w:r w:rsidR="00DB1852">
        <w:t>$20,</w:t>
      </w:r>
      <w:r w:rsidR="00E93277">
        <w:t>157</w:t>
      </w:r>
      <w:r w:rsidR="00DB1852">
        <w:t>.</w:t>
      </w:r>
    </w:p>
    <w:p w:rsidR="002F05CB" w:rsidP="00C31139" w:rsidRDefault="002F05CB" w14:paraId="6C2D85F9" w14:textId="79BDDB13">
      <w:pPr>
        <w:pStyle w:val="Caption"/>
      </w:pPr>
      <w:bookmarkStart w:name="_Ref69842375" w:id="7"/>
      <w:r>
        <w:t xml:space="preserve">Table </w:t>
      </w:r>
      <w:r w:rsidR="00353861">
        <w:fldChar w:fldCharType="begin"/>
      </w:r>
      <w:r w:rsidR="00353861">
        <w:instrText xml:space="preserve"> SEQ Table \* ROMAN </w:instrText>
      </w:r>
      <w:r w:rsidR="00353861">
        <w:fldChar w:fldCharType="separate"/>
      </w:r>
      <w:r w:rsidR="00A30125">
        <w:rPr>
          <w:noProof/>
        </w:rPr>
        <w:t>VI</w:t>
      </w:r>
      <w:r w:rsidR="00353861">
        <w:rPr>
          <w:noProof/>
        </w:rPr>
        <w:fldChar w:fldCharType="end"/>
      </w:r>
      <w:r>
        <w:t xml:space="preserve">. </w:t>
      </w:r>
      <w:r w:rsidRPr="005E17D7">
        <w:t>Respondent Burden Summary Table</w:t>
      </w:r>
      <w:bookmarkEnd w:id="7"/>
    </w:p>
    <w:tbl>
      <w:tblPr>
        <w:tblW w:w="384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4"/>
        <w:gridCol w:w="1802"/>
        <w:gridCol w:w="1710"/>
        <w:gridCol w:w="1710"/>
      </w:tblGrid>
      <w:tr w:rsidRPr="00CD2903" w:rsidR="001F6974" w:rsidTr="00DD6F29" w14:paraId="1481945E" w14:textId="77777777">
        <w:trPr>
          <w:trHeight w:val="377"/>
        </w:trPr>
        <w:tc>
          <w:tcPr>
            <w:tcW w:w="1372" w:type="pct"/>
            <w:shd w:val="clear" w:color="000000" w:fill="D9D9D9"/>
            <w:vAlign w:val="center"/>
            <w:hideMark/>
          </w:tcPr>
          <w:p w:rsidRPr="00CD2903" w:rsidR="001F6974" w:rsidP="00766F19" w:rsidRDefault="001F6974" w14:paraId="1239BF4E" w14:textId="77777777">
            <w:pPr>
              <w:spacing w:after="0"/>
              <w:jc w:val="center"/>
              <w:rPr>
                <w:b/>
                <w:bCs/>
                <w:color w:val="000000"/>
                <w:sz w:val="20"/>
                <w:szCs w:val="20"/>
              </w:rPr>
            </w:pPr>
            <w:r>
              <w:rPr>
                <w:b/>
                <w:bCs/>
                <w:color w:val="000000"/>
                <w:sz w:val="20"/>
                <w:szCs w:val="20"/>
              </w:rPr>
              <w:t>Year</w:t>
            </w:r>
          </w:p>
        </w:tc>
        <w:tc>
          <w:tcPr>
            <w:tcW w:w="1252" w:type="pct"/>
            <w:shd w:val="clear" w:color="000000" w:fill="D9D9D9"/>
            <w:vAlign w:val="center"/>
          </w:tcPr>
          <w:p w:rsidRPr="00CD2903" w:rsidR="001F6974" w:rsidP="00C31139" w:rsidRDefault="001F6974" w14:paraId="4C6CD965" w14:textId="77777777">
            <w:pPr>
              <w:spacing w:after="0"/>
              <w:jc w:val="center"/>
              <w:rPr>
                <w:b/>
                <w:bCs/>
                <w:color w:val="000000"/>
                <w:sz w:val="20"/>
                <w:szCs w:val="20"/>
              </w:rPr>
            </w:pPr>
            <w:r>
              <w:rPr>
                <w:b/>
                <w:bCs/>
                <w:color w:val="000000"/>
                <w:sz w:val="20"/>
                <w:szCs w:val="20"/>
              </w:rPr>
              <w:t>Total Responses</w:t>
            </w:r>
          </w:p>
        </w:tc>
        <w:tc>
          <w:tcPr>
            <w:tcW w:w="1188" w:type="pct"/>
            <w:shd w:val="clear" w:color="000000" w:fill="D9D9D9"/>
            <w:vAlign w:val="center"/>
          </w:tcPr>
          <w:p w:rsidRPr="00CD2903" w:rsidR="001F6974" w:rsidP="00766F19" w:rsidRDefault="001F6974" w14:paraId="06DCCB2A" w14:textId="77777777">
            <w:pPr>
              <w:spacing w:after="0"/>
              <w:jc w:val="center"/>
              <w:rPr>
                <w:b/>
                <w:bCs/>
                <w:color w:val="000000"/>
                <w:sz w:val="20"/>
                <w:szCs w:val="20"/>
              </w:rPr>
            </w:pPr>
            <w:r w:rsidRPr="00CD2903">
              <w:rPr>
                <w:b/>
                <w:bCs/>
                <w:color w:val="000000"/>
                <w:sz w:val="20"/>
                <w:szCs w:val="20"/>
              </w:rPr>
              <w:t>Total Hours</w:t>
            </w:r>
          </w:p>
        </w:tc>
        <w:tc>
          <w:tcPr>
            <w:tcW w:w="1189" w:type="pct"/>
            <w:shd w:val="clear" w:color="000000" w:fill="D9D9D9"/>
            <w:vAlign w:val="center"/>
            <w:hideMark/>
          </w:tcPr>
          <w:p w:rsidRPr="00CD2903" w:rsidR="001F6974" w:rsidP="00766F19" w:rsidRDefault="001F6974" w14:paraId="5F6ACB12" w14:textId="0A828116">
            <w:pPr>
              <w:spacing w:after="0"/>
              <w:jc w:val="center"/>
              <w:rPr>
                <w:b/>
                <w:bCs/>
                <w:color w:val="000000"/>
                <w:sz w:val="20"/>
                <w:szCs w:val="20"/>
              </w:rPr>
            </w:pPr>
            <w:r w:rsidRPr="00CD2903">
              <w:rPr>
                <w:b/>
                <w:bCs/>
                <w:color w:val="000000"/>
                <w:sz w:val="20"/>
                <w:szCs w:val="20"/>
              </w:rPr>
              <w:t>Total Costs</w:t>
            </w:r>
          </w:p>
        </w:tc>
      </w:tr>
      <w:tr w:rsidRPr="00C46A71" w:rsidR="001F6974" w:rsidTr="00DD6F29" w14:paraId="1501F45A" w14:textId="77777777">
        <w:trPr>
          <w:trHeight w:val="288"/>
        </w:trPr>
        <w:tc>
          <w:tcPr>
            <w:tcW w:w="1372" w:type="pct"/>
            <w:shd w:val="clear" w:color="auto" w:fill="auto"/>
            <w:noWrap/>
            <w:vAlign w:val="center"/>
          </w:tcPr>
          <w:p w:rsidRPr="00CD2903" w:rsidR="001F6974" w:rsidP="00766F19" w:rsidRDefault="001F6974" w14:paraId="4A259903" w14:textId="77777777">
            <w:pPr>
              <w:spacing w:after="0"/>
              <w:rPr>
                <w:color w:val="000000"/>
                <w:sz w:val="20"/>
                <w:szCs w:val="20"/>
              </w:rPr>
            </w:pPr>
            <w:r>
              <w:rPr>
                <w:color w:val="000000"/>
                <w:sz w:val="20"/>
                <w:szCs w:val="20"/>
              </w:rPr>
              <w:t>Year 1</w:t>
            </w:r>
          </w:p>
        </w:tc>
        <w:tc>
          <w:tcPr>
            <w:tcW w:w="1252" w:type="pct"/>
            <w:vAlign w:val="center"/>
          </w:tcPr>
          <w:p w:rsidRPr="00714C7F" w:rsidR="001F6974" w:rsidP="00766F19" w:rsidRDefault="001F6974" w14:paraId="1F6BF124" w14:textId="6B2F243B">
            <w:pPr>
              <w:spacing w:after="0"/>
              <w:jc w:val="center"/>
              <w:rPr>
                <w:color w:val="000000"/>
                <w:sz w:val="18"/>
                <w:szCs w:val="18"/>
              </w:rPr>
            </w:pPr>
            <w:r>
              <w:rPr>
                <w:color w:val="000000"/>
                <w:sz w:val="18"/>
                <w:szCs w:val="18"/>
              </w:rPr>
              <w:t>15</w:t>
            </w:r>
          </w:p>
        </w:tc>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rsidRPr="00533C9A" w:rsidR="001F6974" w:rsidP="00766F19" w:rsidRDefault="00D06F78" w14:paraId="0B0EBEE2" w14:textId="05259D13">
            <w:pPr>
              <w:spacing w:after="0"/>
              <w:jc w:val="center"/>
              <w:rPr>
                <w:color w:val="000000"/>
                <w:sz w:val="18"/>
                <w:szCs w:val="18"/>
              </w:rPr>
            </w:pPr>
            <w:r>
              <w:rPr>
                <w:color w:val="000000"/>
                <w:sz w:val="20"/>
                <w:szCs w:val="20"/>
              </w:rPr>
              <w:t>299</w:t>
            </w:r>
          </w:p>
        </w:tc>
        <w:tc>
          <w:tcPr>
            <w:tcW w:w="1189" w:type="pct"/>
            <w:tcBorders>
              <w:top w:val="single" w:color="auto" w:sz="4" w:space="0"/>
              <w:left w:val="nil"/>
              <w:bottom w:val="single" w:color="auto" w:sz="4" w:space="0"/>
              <w:right w:val="single" w:color="auto" w:sz="4" w:space="0"/>
            </w:tcBorders>
            <w:shd w:val="clear" w:color="auto" w:fill="auto"/>
            <w:noWrap/>
            <w:vAlign w:val="center"/>
          </w:tcPr>
          <w:p w:rsidRPr="00533C9A" w:rsidR="001F6974" w:rsidP="00766F19" w:rsidRDefault="001F6974" w14:paraId="4FBD9E8C" w14:textId="0F079E99">
            <w:pPr>
              <w:spacing w:after="0"/>
              <w:jc w:val="center"/>
              <w:rPr>
                <w:color w:val="000000"/>
                <w:sz w:val="18"/>
                <w:szCs w:val="18"/>
              </w:rPr>
            </w:pPr>
            <w:r>
              <w:rPr>
                <w:color w:val="000000"/>
                <w:sz w:val="20"/>
                <w:szCs w:val="20"/>
              </w:rPr>
              <w:t>$36,</w:t>
            </w:r>
            <w:r w:rsidR="00D06F78">
              <w:rPr>
                <w:color w:val="000000"/>
                <w:sz w:val="20"/>
                <w:szCs w:val="20"/>
              </w:rPr>
              <w:t>675</w:t>
            </w:r>
          </w:p>
        </w:tc>
      </w:tr>
      <w:tr w:rsidRPr="00C46A71" w:rsidR="001F6974" w:rsidTr="00DD6F29" w14:paraId="0CE40845" w14:textId="77777777">
        <w:trPr>
          <w:trHeight w:val="288"/>
        </w:trPr>
        <w:tc>
          <w:tcPr>
            <w:tcW w:w="1372" w:type="pct"/>
            <w:tcBorders>
              <w:bottom w:val="single" w:color="auto" w:sz="4" w:space="0"/>
            </w:tcBorders>
            <w:shd w:val="clear" w:color="auto" w:fill="auto"/>
            <w:noWrap/>
            <w:vAlign w:val="center"/>
          </w:tcPr>
          <w:p w:rsidRPr="00CD2903" w:rsidR="001F6974" w:rsidP="00766F19" w:rsidRDefault="001F6974" w14:paraId="0707D7EC" w14:textId="77777777">
            <w:pPr>
              <w:spacing w:after="0"/>
              <w:rPr>
                <w:color w:val="000000"/>
                <w:sz w:val="20"/>
                <w:szCs w:val="20"/>
              </w:rPr>
            </w:pPr>
            <w:r>
              <w:rPr>
                <w:color w:val="000000"/>
                <w:sz w:val="20"/>
                <w:szCs w:val="20"/>
              </w:rPr>
              <w:t>Year 2</w:t>
            </w:r>
          </w:p>
        </w:tc>
        <w:tc>
          <w:tcPr>
            <w:tcW w:w="1252" w:type="pct"/>
            <w:tcBorders>
              <w:bottom w:val="single" w:color="auto" w:sz="4" w:space="0"/>
            </w:tcBorders>
            <w:vAlign w:val="center"/>
          </w:tcPr>
          <w:p w:rsidRPr="00714C7F" w:rsidR="001F6974" w:rsidP="00766F19" w:rsidRDefault="001F6974" w14:paraId="52F32730" w14:textId="5725A88F">
            <w:pPr>
              <w:spacing w:after="0"/>
              <w:jc w:val="center"/>
              <w:rPr>
                <w:color w:val="000000"/>
                <w:sz w:val="18"/>
                <w:szCs w:val="18"/>
              </w:rPr>
            </w:pPr>
            <w:r>
              <w:rPr>
                <w:color w:val="000000"/>
                <w:sz w:val="18"/>
                <w:szCs w:val="18"/>
              </w:rPr>
              <w:t>12</w:t>
            </w:r>
          </w:p>
        </w:tc>
        <w:tc>
          <w:tcPr>
            <w:tcW w:w="1188" w:type="pct"/>
            <w:tcBorders>
              <w:top w:val="nil"/>
              <w:left w:val="single" w:color="auto" w:sz="4" w:space="0"/>
              <w:bottom w:val="single" w:color="auto" w:sz="4" w:space="0"/>
              <w:right w:val="single" w:color="auto" w:sz="4" w:space="0"/>
            </w:tcBorders>
            <w:shd w:val="clear" w:color="auto" w:fill="auto"/>
            <w:vAlign w:val="center"/>
          </w:tcPr>
          <w:p w:rsidRPr="00533C9A" w:rsidR="001F6974" w:rsidP="00766F19" w:rsidRDefault="001F6974" w14:paraId="55334DF4" w14:textId="719FB9AE">
            <w:pPr>
              <w:spacing w:after="0"/>
              <w:jc w:val="center"/>
              <w:rPr>
                <w:color w:val="000000"/>
                <w:sz w:val="18"/>
                <w:szCs w:val="18"/>
              </w:rPr>
            </w:pPr>
            <w:r>
              <w:rPr>
                <w:color w:val="000000"/>
                <w:sz w:val="20"/>
                <w:szCs w:val="20"/>
              </w:rPr>
              <w:t>97</w:t>
            </w:r>
          </w:p>
        </w:tc>
        <w:tc>
          <w:tcPr>
            <w:tcW w:w="1189" w:type="pct"/>
            <w:tcBorders>
              <w:top w:val="nil"/>
              <w:left w:val="nil"/>
              <w:bottom w:val="single" w:color="auto" w:sz="4" w:space="0"/>
              <w:right w:val="single" w:color="auto" w:sz="4" w:space="0"/>
            </w:tcBorders>
            <w:shd w:val="clear" w:color="auto" w:fill="auto"/>
            <w:noWrap/>
            <w:vAlign w:val="center"/>
          </w:tcPr>
          <w:p w:rsidRPr="00533C9A" w:rsidR="001F6974" w:rsidP="00766F19" w:rsidRDefault="001F6974" w14:paraId="2C426A99" w14:textId="4CBD3090">
            <w:pPr>
              <w:spacing w:after="0"/>
              <w:jc w:val="center"/>
              <w:rPr>
                <w:color w:val="000000"/>
                <w:sz w:val="18"/>
                <w:szCs w:val="18"/>
              </w:rPr>
            </w:pPr>
            <w:r>
              <w:rPr>
                <w:color w:val="000000"/>
                <w:sz w:val="20"/>
                <w:szCs w:val="20"/>
              </w:rPr>
              <w:t>$11,898</w:t>
            </w:r>
          </w:p>
        </w:tc>
      </w:tr>
      <w:tr w:rsidRPr="00C46A71" w:rsidR="001F6974" w:rsidTr="00DD6F29" w14:paraId="1261E0DF" w14:textId="77777777">
        <w:trPr>
          <w:trHeight w:val="288"/>
        </w:trPr>
        <w:tc>
          <w:tcPr>
            <w:tcW w:w="1372" w:type="pct"/>
            <w:shd w:val="clear" w:color="auto" w:fill="auto"/>
            <w:noWrap/>
            <w:vAlign w:val="center"/>
          </w:tcPr>
          <w:p w:rsidR="001F6974" w:rsidP="00766F19" w:rsidRDefault="001F6974" w14:paraId="231DEF2C" w14:textId="77777777">
            <w:pPr>
              <w:spacing w:after="0"/>
              <w:rPr>
                <w:color w:val="000000"/>
                <w:sz w:val="20"/>
                <w:szCs w:val="20"/>
              </w:rPr>
            </w:pPr>
            <w:r>
              <w:rPr>
                <w:color w:val="000000"/>
                <w:sz w:val="20"/>
                <w:szCs w:val="20"/>
              </w:rPr>
              <w:t>Year 3</w:t>
            </w:r>
          </w:p>
        </w:tc>
        <w:tc>
          <w:tcPr>
            <w:tcW w:w="1252" w:type="pct"/>
            <w:vAlign w:val="center"/>
          </w:tcPr>
          <w:p w:rsidRPr="00714C7F" w:rsidR="001F6974" w:rsidP="00766F19" w:rsidRDefault="001F6974" w14:paraId="4E6D35FD" w14:textId="66B1E648">
            <w:pPr>
              <w:spacing w:after="0"/>
              <w:jc w:val="center"/>
              <w:rPr>
                <w:color w:val="000000"/>
                <w:sz w:val="18"/>
                <w:szCs w:val="18"/>
              </w:rPr>
            </w:pPr>
            <w:r>
              <w:rPr>
                <w:color w:val="000000"/>
                <w:sz w:val="18"/>
                <w:szCs w:val="18"/>
              </w:rPr>
              <w:t>12</w:t>
            </w:r>
          </w:p>
        </w:tc>
        <w:tc>
          <w:tcPr>
            <w:tcW w:w="1188" w:type="pct"/>
            <w:tcBorders>
              <w:top w:val="nil"/>
              <w:left w:val="single" w:color="auto" w:sz="4" w:space="0"/>
              <w:bottom w:val="single" w:color="auto" w:sz="4" w:space="0"/>
              <w:right w:val="single" w:color="auto" w:sz="4" w:space="0"/>
            </w:tcBorders>
            <w:shd w:val="clear" w:color="auto" w:fill="auto"/>
            <w:vAlign w:val="center"/>
          </w:tcPr>
          <w:p w:rsidRPr="00533C9A" w:rsidR="001F6974" w:rsidP="00766F19" w:rsidRDefault="001F6974" w14:paraId="4EBCFDEE" w14:textId="7FCEF50A">
            <w:pPr>
              <w:spacing w:after="0"/>
              <w:jc w:val="center"/>
              <w:rPr>
                <w:color w:val="000000"/>
                <w:sz w:val="18"/>
                <w:szCs w:val="18"/>
              </w:rPr>
            </w:pPr>
            <w:r>
              <w:rPr>
                <w:color w:val="000000"/>
                <w:sz w:val="20"/>
                <w:szCs w:val="20"/>
              </w:rPr>
              <w:t>97</w:t>
            </w:r>
          </w:p>
        </w:tc>
        <w:tc>
          <w:tcPr>
            <w:tcW w:w="1189" w:type="pct"/>
            <w:tcBorders>
              <w:top w:val="nil"/>
              <w:left w:val="nil"/>
              <w:bottom w:val="single" w:color="auto" w:sz="4" w:space="0"/>
              <w:right w:val="single" w:color="auto" w:sz="4" w:space="0"/>
            </w:tcBorders>
            <w:shd w:val="clear" w:color="auto" w:fill="auto"/>
            <w:noWrap/>
            <w:vAlign w:val="center"/>
          </w:tcPr>
          <w:p w:rsidRPr="00533C9A" w:rsidR="001F6974" w:rsidP="00766F19" w:rsidRDefault="001F6974" w14:paraId="43667731" w14:textId="4F4D3838">
            <w:pPr>
              <w:spacing w:after="0"/>
              <w:jc w:val="center"/>
              <w:rPr>
                <w:color w:val="000000"/>
                <w:sz w:val="18"/>
                <w:szCs w:val="18"/>
              </w:rPr>
            </w:pPr>
            <w:r>
              <w:rPr>
                <w:color w:val="000000"/>
                <w:sz w:val="20"/>
                <w:szCs w:val="20"/>
              </w:rPr>
              <w:t>$11,898</w:t>
            </w:r>
          </w:p>
        </w:tc>
      </w:tr>
      <w:tr w:rsidRPr="00C46A71" w:rsidR="001F6974" w:rsidTr="00DD6F29" w14:paraId="62981B3A" w14:textId="77777777">
        <w:trPr>
          <w:trHeight w:val="288"/>
        </w:trPr>
        <w:tc>
          <w:tcPr>
            <w:tcW w:w="1372" w:type="pct"/>
            <w:tcBorders>
              <w:bottom w:val="single" w:color="auto" w:sz="4" w:space="0"/>
            </w:tcBorders>
            <w:shd w:val="clear" w:color="auto" w:fill="auto"/>
            <w:noWrap/>
            <w:vAlign w:val="center"/>
          </w:tcPr>
          <w:p w:rsidRPr="00261E41" w:rsidR="001F6974" w:rsidP="00766F19" w:rsidRDefault="001F6974" w14:paraId="4FFC9245" w14:textId="77777777">
            <w:pPr>
              <w:spacing w:after="0"/>
              <w:rPr>
                <w:b/>
                <w:bCs/>
                <w:color w:val="000000"/>
                <w:sz w:val="20"/>
                <w:szCs w:val="20"/>
              </w:rPr>
            </w:pPr>
            <w:r w:rsidRPr="00261E41">
              <w:rPr>
                <w:b/>
                <w:bCs/>
                <w:color w:val="000000"/>
                <w:sz w:val="20"/>
                <w:szCs w:val="20"/>
              </w:rPr>
              <w:t>Annual Average</w:t>
            </w:r>
          </w:p>
        </w:tc>
        <w:tc>
          <w:tcPr>
            <w:tcW w:w="1252" w:type="pct"/>
            <w:tcBorders>
              <w:bottom w:val="single" w:color="auto" w:sz="4" w:space="0"/>
            </w:tcBorders>
            <w:vAlign w:val="center"/>
          </w:tcPr>
          <w:p w:rsidRPr="00714C7F" w:rsidR="001F6974" w:rsidP="00766F19" w:rsidRDefault="001F6974" w14:paraId="278430F1" w14:textId="577479D9">
            <w:pPr>
              <w:spacing w:after="0"/>
              <w:jc w:val="center"/>
              <w:rPr>
                <w:b/>
                <w:bCs/>
                <w:color w:val="000000"/>
                <w:sz w:val="18"/>
                <w:szCs w:val="18"/>
              </w:rPr>
            </w:pPr>
            <w:r>
              <w:rPr>
                <w:b/>
                <w:bCs/>
                <w:color w:val="000000"/>
                <w:sz w:val="18"/>
                <w:szCs w:val="18"/>
              </w:rPr>
              <w:t>13</w:t>
            </w:r>
          </w:p>
        </w:tc>
        <w:tc>
          <w:tcPr>
            <w:tcW w:w="1188" w:type="pct"/>
            <w:tcBorders>
              <w:top w:val="nil"/>
              <w:left w:val="single" w:color="auto" w:sz="4" w:space="0"/>
              <w:bottom w:val="single" w:color="auto" w:sz="4" w:space="0"/>
              <w:right w:val="single" w:color="auto" w:sz="4" w:space="0"/>
            </w:tcBorders>
            <w:shd w:val="clear" w:color="auto" w:fill="auto"/>
            <w:vAlign w:val="center"/>
          </w:tcPr>
          <w:p w:rsidRPr="00533C9A" w:rsidR="001F6974" w:rsidP="00766F19" w:rsidRDefault="001F6974" w14:paraId="15565928" w14:textId="49F0060D">
            <w:pPr>
              <w:spacing w:after="0"/>
              <w:jc w:val="center"/>
              <w:rPr>
                <w:b/>
                <w:bCs/>
                <w:color w:val="000000"/>
                <w:sz w:val="18"/>
                <w:szCs w:val="18"/>
              </w:rPr>
            </w:pPr>
            <w:r>
              <w:rPr>
                <w:b/>
                <w:bCs/>
                <w:color w:val="000000"/>
                <w:sz w:val="20"/>
                <w:szCs w:val="20"/>
              </w:rPr>
              <w:t>164</w:t>
            </w:r>
          </w:p>
        </w:tc>
        <w:tc>
          <w:tcPr>
            <w:tcW w:w="1189" w:type="pct"/>
            <w:tcBorders>
              <w:top w:val="nil"/>
              <w:left w:val="nil"/>
              <w:bottom w:val="single" w:color="auto" w:sz="4" w:space="0"/>
              <w:right w:val="single" w:color="auto" w:sz="4" w:space="0"/>
            </w:tcBorders>
            <w:shd w:val="clear" w:color="auto" w:fill="auto"/>
            <w:noWrap/>
            <w:vAlign w:val="center"/>
          </w:tcPr>
          <w:p w:rsidRPr="00533C9A" w:rsidR="001F6974" w:rsidP="00766F19" w:rsidRDefault="001F6974" w14:paraId="2CA71193" w14:textId="325C1A60">
            <w:pPr>
              <w:spacing w:after="0"/>
              <w:jc w:val="center"/>
              <w:rPr>
                <w:b/>
                <w:bCs/>
                <w:color w:val="000000"/>
                <w:sz w:val="18"/>
                <w:szCs w:val="18"/>
              </w:rPr>
            </w:pPr>
            <w:r>
              <w:rPr>
                <w:b/>
                <w:bCs/>
                <w:color w:val="000000"/>
                <w:sz w:val="20"/>
                <w:szCs w:val="20"/>
              </w:rPr>
              <w:t>$20</w:t>
            </w:r>
            <w:r w:rsidR="00B02A6B">
              <w:rPr>
                <w:b/>
                <w:bCs/>
                <w:color w:val="000000"/>
                <w:sz w:val="20"/>
                <w:szCs w:val="20"/>
              </w:rPr>
              <w:t>,</w:t>
            </w:r>
            <w:r w:rsidR="006F7745">
              <w:rPr>
                <w:b/>
                <w:bCs/>
                <w:color w:val="000000"/>
                <w:sz w:val="20"/>
                <w:szCs w:val="20"/>
              </w:rPr>
              <w:t>157</w:t>
            </w:r>
          </w:p>
        </w:tc>
      </w:tr>
    </w:tbl>
    <w:p w:rsidRPr="0030685C" w:rsidR="00425164" w:rsidP="008F4A8A" w:rsidRDefault="00425164" w14:paraId="7A678D5F" w14:textId="53EEA0EB">
      <w:pPr>
        <w:pStyle w:val="Heading4"/>
        <w:numPr>
          <w:ilvl w:val="0"/>
          <w:numId w:val="5"/>
        </w:numPr>
        <w:ind w:hanging="720"/>
      </w:pPr>
      <w:r w:rsidRPr="0030685C">
        <w:t xml:space="preserve">The </w:t>
      </w:r>
      <w:r w:rsidR="005155FA">
        <w:t>Agency</w:t>
      </w:r>
      <w:r w:rsidRPr="0030685C">
        <w:t xml:space="preserve"> Tally</w:t>
      </w:r>
    </w:p>
    <w:p w:rsidR="00425164" w:rsidRDefault="00425164" w14:paraId="415E7397" w14:textId="3542D6DE">
      <w:r w:rsidRPr="0055794B">
        <w:t xml:space="preserve">As shown in </w:t>
      </w:r>
      <w:r w:rsidR="005A237F">
        <w:fldChar w:fldCharType="begin"/>
      </w:r>
      <w:r w:rsidR="005A237F">
        <w:instrText xml:space="preserve"> REF _Ref69842368 \h </w:instrText>
      </w:r>
      <w:r w:rsidR="005A237F">
        <w:fldChar w:fldCharType="separate"/>
      </w:r>
      <w:r w:rsidR="005A237F">
        <w:t xml:space="preserve">Table </w:t>
      </w:r>
      <w:r w:rsidR="005A237F">
        <w:rPr>
          <w:noProof/>
        </w:rPr>
        <w:t>VII</w:t>
      </w:r>
      <w:r w:rsidR="005A237F">
        <w:fldChar w:fldCharType="end"/>
      </w:r>
      <w:r w:rsidRPr="0055794B">
        <w:t xml:space="preserve">, EPA estimates the total annual hour and cost burden to the </w:t>
      </w:r>
      <w:r w:rsidR="005155FA">
        <w:t>Agency</w:t>
      </w:r>
      <w:r w:rsidRPr="0055794B">
        <w:t xml:space="preserve"> to average </w:t>
      </w:r>
      <w:r w:rsidR="002D6541">
        <w:t>13 hours and $1,221.</w:t>
      </w:r>
    </w:p>
    <w:p w:rsidR="00A30125" w:rsidP="00C31139" w:rsidRDefault="00A30125" w14:paraId="03CB9F7A" w14:textId="1D57AB72">
      <w:pPr>
        <w:pStyle w:val="Caption"/>
        <w:keepNext/>
      </w:pPr>
      <w:bookmarkStart w:name="_Ref69842368" w:id="8"/>
      <w:r>
        <w:t xml:space="preserve">Table </w:t>
      </w:r>
      <w:r w:rsidR="00353861">
        <w:fldChar w:fldCharType="begin"/>
      </w:r>
      <w:r w:rsidR="00353861">
        <w:instrText xml:space="preserve"> SEQ Table \* ROMAN </w:instrText>
      </w:r>
      <w:r w:rsidR="00353861">
        <w:fldChar w:fldCharType="separate"/>
      </w:r>
      <w:r>
        <w:rPr>
          <w:noProof/>
        </w:rPr>
        <w:t>VII</w:t>
      </w:r>
      <w:r w:rsidR="00353861">
        <w:rPr>
          <w:noProof/>
        </w:rPr>
        <w:fldChar w:fldCharType="end"/>
      </w:r>
      <w:bookmarkEnd w:id="8"/>
      <w:r>
        <w:t>. Agency Burden Summary Table.</w:t>
      </w:r>
    </w:p>
    <w:tbl>
      <w:tblPr>
        <w:tblW w:w="48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0"/>
        <w:gridCol w:w="1510"/>
        <w:gridCol w:w="1507"/>
      </w:tblGrid>
      <w:tr w:rsidRPr="00CD2903" w:rsidR="00A30125" w:rsidTr="00766F19" w14:paraId="28344AD4" w14:textId="77777777">
        <w:trPr>
          <w:trHeight w:val="350"/>
        </w:trPr>
        <w:tc>
          <w:tcPr>
            <w:tcW w:w="1790" w:type="dxa"/>
            <w:shd w:val="clear" w:color="000000" w:fill="D9D9D9"/>
            <w:vAlign w:val="center"/>
            <w:hideMark/>
          </w:tcPr>
          <w:p w:rsidRPr="00CD2903" w:rsidR="00A30125" w:rsidP="00766F19" w:rsidRDefault="00A30125" w14:paraId="4E59BE1E" w14:textId="77777777">
            <w:pPr>
              <w:spacing w:after="0"/>
              <w:jc w:val="center"/>
              <w:rPr>
                <w:b/>
                <w:bCs/>
                <w:color w:val="000000"/>
                <w:sz w:val="20"/>
                <w:szCs w:val="20"/>
              </w:rPr>
            </w:pPr>
            <w:r>
              <w:rPr>
                <w:b/>
                <w:bCs/>
                <w:color w:val="000000"/>
                <w:sz w:val="20"/>
                <w:szCs w:val="20"/>
              </w:rPr>
              <w:t>Year</w:t>
            </w:r>
          </w:p>
        </w:tc>
        <w:tc>
          <w:tcPr>
            <w:tcW w:w="1510" w:type="dxa"/>
            <w:shd w:val="clear" w:color="000000" w:fill="D9D9D9"/>
            <w:vAlign w:val="center"/>
          </w:tcPr>
          <w:p w:rsidRPr="00CD2903" w:rsidR="00A30125" w:rsidP="00766F19" w:rsidRDefault="00A30125" w14:paraId="63DF718B" w14:textId="77777777">
            <w:pPr>
              <w:spacing w:after="0"/>
              <w:jc w:val="center"/>
              <w:rPr>
                <w:b/>
                <w:bCs/>
                <w:color w:val="000000"/>
                <w:sz w:val="20"/>
                <w:szCs w:val="20"/>
              </w:rPr>
            </w:pPr>
            <w:r w:rsidRPr="00CD2903">
              <w:rPr>
                <w:b/>
                <w:bCs/>
                <w:color w:val="000000"/>
                <w:sz w:val="20"/>
                <w:szCs w:val="20"/>
              </w:rPr>
              <w:t>Total Hours</w:t>
            </w:r>
          </w:p>
        </w:tc>
        <w:tc>
          <w:tcPr>
            <w:tcW w:w="1507" w:type="dxa"/>
            <w:shd w:val="clear" w:color="000000" w:fill="D9D9D9"/>
            <w:vAlign w:val="center"/>
            <w:hideMark/>
          </w:tcPr>
          <w:p w:rsidRPr="00CD2903" w:rsidR="00A30125" w:rsidP="00766F19" w:rsidRDefault="00A30125" w14:paraId="0E13C9E0" w14:textId="77777777">
            <w:pPr>
              <w:spacing w:after="0"/>
              <w:jc w:val="center"/>
              <w:rPr>
                <w:b/>
                <w:bCs/>
                <w:color w:val="000000"/>
                <w:sz w:val="20"/>
                <w:szCs w:val="20"/>
              </w:rPr>
            </w:pPr>
            <w:r w:rsidRPr="00CD2903">
              <w:rPr>
                <w:b/>
                <w:bCs/>
                <w:color w:val="000000"/>
                <w:sz w:val="20"/>
                <w:szCs w:val="20"/>
              </w:rPr>
              <w:t>Total Costs</w:t>
            </w:r>
          </w:p>
        </w:tc>
      </w:tr>
      <w:tr w:rsidRPr="00CD2903" w:rsidR="00A30125" w:rsidTr="00766F19" w14:paraId="6B2BFF49" w14:textId="77777777">
        <w:trPr>
          <w:trHeight w:val="288"/>
        </w:trPr>
        <w:tc>
          <w:tcPr>
            <w:tcW w:w="1790" w:type="dxa"/>
            <w:shd w:val="clear" w:color="auto" w:fill="auto"/>
            <w:noWrap/>
            <w:vAlign w:val="center"/>
          </w:tcPr>
          <w:p w:rsidRPr="00CD2903" w:rsidR="00A30125" w:rsidP="00766F19" w:rsidRDefault="00A30125" w14:paraId="7927602F" w14:textId="77777777">
            <w:pPr>
              <w:spacing w:after="0"/>
              <w:rPr>
                <w:color w:val="000000"/>
                <w:sz w:val="20"/>
                <w:szCs w:val="20"/>
              </w:rPr>
            </w:pPr>
            <w:r>
              <w:rPr>
                <w:color w:val="000000"/>
                <w:sz w:val="20"/>
                <w:szCs w:val="20"/>
              </w:rPr>
              <w:t>Year 1</w:t>
            </w:r>
          </w:p>
        </w:tc>
        <w:tc>
          <w:tcPr>
            <w:tcW w:w="1510" w:type="dxa"/>
            <w:vAlign w:val="center"/>
          </w:tcPr>
          <w:p w:rsidRPr="00980A5A" w:rsidR="00A30125" w:rsidP="00766F19" w:rsidRDefault="009A7FF9" w14:paraId="76A1DB9D" w14:textId="36904E4C">
            <w:pPr>
              <w:spacing w:after="0"/>
              <w:jc w:val="center"/>
              <w:rPr>
                <w:color w:val="000000"/>
                <w:sz w:val="18"/>
                <w:szCs w:val="18"/>
              </w:rPr>
            </w:pPr>
            <w:r>
              <w:rPr>
                <w:color w:val="000000"/>
                <w:sz w:val="18"/>
                <w:szCs w:val="18"/>
              </w:rPr>
              <w:t>15</w:t>
            </w:r>
          </w:p>
        </w:tc>
        <w:tc>
          <w:tcPr>
            <w:tcW w:w="1507" w:type="dxa"/>
            <w:shd w:val="clear" w:color="auto" w:fill="auto"/>
            <w:noWrap/>
            <w:vAlign w:val="center"/>
          </w:tcPr>
          <w:p w:rsidRPr="00980A5A" w:rsidR="00A30125" w:rsidP="00766F19" w:rsidRDefault="009A7FF9" w14:paraId="3A730FA5" w14:textId="37740149">
            <w:pPr>
              <w:spacing w:after="0"/>
              <w:jc w:val="center"/>
              <w:rPr>
                <w:color w:val="000000"/>
                <w:sz w:val="18"/>
                <w:szCs w:val="18"/>
              </w:rPr>
            </w:pPr>
            <w:r>
              <w:rPr>
                <w:color w:val="000000"/>
                <w:sz w:val="18"/>
                <w:szCs w:val="18"/>
              </w:rPr>
              <w:t>$1,410</w:t>
            </w:r>
          </w:p>
        </w:tc>
      </w:tr>
      <w:tr w:rsidRPr="00CD2903" w:rsidR="00A30125" w:rsidTr="00766F19" w14:paraId="18B902DD" w14:textId="77777777">
        <w:trPr>
          <w:trHeight w:val="288"/>
        </w:trPr>
        <w:tc>
          <w:tcPr>
            <w:tcW w:w="1790" w:type="dxa"/>
            <w:shd w:val="clear" w:color="auto" w:fill="auto"/>
            <w:noWrap/>
            <w:vAlign w:val="center"/>
          </w:tcPr>
          <w:p w:rsidR="00A30125" w:rsidP="00766F19" w:rsidRDefault="00A30125" w14:paraId="11ED8544" w14:textId="77777777">
            <w:pPr>
              <w:spacing w:after="0"/>
              <w:rPr>
                <w:color w:val="000000"/>
                <w:sz w:val="20"/>
                <w:szCs w:val="20"/>
              </w:rPr>
            </w:pPr>
            <w:r>
              <w:rPr>
                <w:color w:val="000000"/>
                <w:sz w:val="20"/>
                <w:szCs w:val="20"/>
              </w:rPr>
              <w:lastRenderedPageBreak/>
              <w:t>Year 2</w:t>
            </w:r>
          </w:p>
        </w:tc>
        <w:tc>
          <w:tcPr>
            <w:tcW w:w="1510" w:type="dxa"/>
            <w:vAlign w:val="center"/>
          </w:tcPr>
          <w:p w:rsidRPr="00980A5A" w:rsidR="00A30125" w:rsidP="00766F19" w:rsidRDefault="009A7FF9" w14:paraId="601E2AFD" w14:textId="5495A620">
            <w:pPr>
              <w:spacing w:after="0"/>
              <w:jc w:val="center"/>
              <w:rPr>
                <w:color w:val="000000"/>
                <w:sz w:val="18"/>
                <w:szCs w:val="18"/>
              </w:rPr>
            </w:pPr>
            <w:r>
              <w:rPr>
                <w:color w:val="000000"/>
                <w:sz w:val="18"/>
                <w:szCs w:val="18"/>
              </w:rPr>
              <w:t>12</w:t>
            </w:r>
          </w:p>
        </w:tc>
        <w:tc>
          <w:tcPr>
            <w:tcW w:w="1507" w:type="dxa"/>
            <w:shd w:val="clear" w:color="auto" w:fill="auto"/>
            <w:noWrap/>
            <w:vAlign w:val="center"/>
          </w:tcPr>
          <w:p w:rsidRPr="00980A5A" w:rsidR="00A30125" w:rsidP="00766F19" w:rsidRDefault="009A7FF9" w14:paraId="006408FA" w14:textId="5447FB23">
            <w:pPr>
              <w:spacing w:after="0"/>
              <w:jc w:val="center"/>
              <w:rPr>
                <w:color w:val="000000"/>
                <w:sz w:val="18"/>
                <w:szCs w:val="18"/>
              </w:rPr>
            </w:pPr>
            <w:r>
              <w:rPr>
                <w:color w:val="000000"/>
                <w:sz w:val="18"/>
                <w:szCs w:val="18"/>
              </w:rPr>
              <w:t>$1,127</w:t>
            </w:r>
          </w:p>
        </w:tc>
      </w:tr>
      <w:tr w:rsidRPr="00CD2903" w:rsidR="00A30125" w:rsidTr="00766F19" w14:paraId="1919554A" w14:textId="77777777">
        <w:trPr>
          <w:trHeight w:val="288"/>
        </w:trPr>
        <w:tc>
          <w:tcPr>
            <w:tcW w:w="1790" w:type="dxa"/>
            <w:shd w:val="clear" w:color="auto" w:fill="auto"/>
            <w:noWrap/>
            <w:vAlign w:val="center"/>
          </w:tcPr>
          <w:p w:rsidR="00A30125" w:rsidP="00766F19" w:rsidRDefault="00A30125" w14:paraId="0CAF99ED" w14:textId="77777777">
            <w:pPr>
              <w:spacing w:after="0"/>
              <w:rPr>
                <w:color w:val="000000"/>
                <w:sz w:val="20"/>
                <w:szCs w:val="20"/>
              </w:rPr>
            </w:pPr>
            <w:r>
              <w:rPr>
                <w:color w:val="000000"/>
                <w:sz w:val="20"/>
                <w:szCs w:val="20"/>
              </w:rPr>
              <w:t>Year 3</w:t>
            </w:r>
          </w:p>
        </w:tc>
        <w:tc>
          <w:tcPr>
            <w:tcW w:w="1510" w:type="dxa"/>
            <w:vAlign w:val="center"/>
          </w:tcPr>
          <w:p w:rsidRPr="00980A5A" w:rsidR="00A30125" w:rsidP="00766F19" w:rsidRDefault="009A7FF9" w14:paraId="47B0DF70" w14:textId="6AFDBA12">
            <w:pPr>
              <w:spacing w:after="0"/>
              <w:jc w:val="center"/>
              <w:rPr>
                <w:color w:val="000000"/>
                <w:sz w:val="18"/>
                <w:szCs w:val="18"/>
              </w:rPr>
            </w:pPr>
            <w:r>
              <w:rPr>
                <w:color w:val="000000"/>
                <w:sz w:val="18"/>
                <w:szCs w:val="18"/>
              </w:rPr>
              <w:t>12</w:t>
            </w:r>
          </w:p>
        </w:tc>
        <w:tc>
          <w:tcPr>
            <w:tcW w:w="1507" w:type="dxa"/>
            <w:shd w:val="clear" w:color="auto" w:fill="auto"/>
            <w:noWrap/>
            <w:vAlign w:val="center"/>
          </w:tcPr>
          <w:p w:rsidRPr="00980A5A" w:rsidR="00A30125" w:rsidP="00766F19" w:rsidRDefault="009A7FF9" w14:paraId="67789C84" w14:textId="584ABC54">
            <w:pPr>
              <w:spacing w:after="0"/>
              <w:jc w:val="center"/>
              <w:rPr>
                <w:color w:val="000000"/>
                <w:sz w:val="18"/>
                <w:szCs w:val="18"/>
              </w:rPr>
            </w:pPr>
            <w:r>
              <w:rPr>
                <w:color w:val="000000"/>
                <w:sz w:val="18"/>
                <w:szCs w:val="18"/>
              </w:rPr>
              <w:t>$1,127</w:t>
            </w:r>
          </w:p>
        </w:tc>
      </w:tr>
      <w:tr w:rsidRPr="00CD2903" w:rsidR="00A30125" w:rsidTr="00766F19" w14:paraId="0A007F34" w14:textId="77777777">
        <w:trPr>
          <w:trHeight w:val="288"/>
        </w:trPr>
        <w:tc>
          <w:tcPr>
            <w:tcW w:w="1790" w:type="dxa"/>
            <w:shd w:val="clear" w:color="auto" w:fill="auto"/>
            <w:noWrap/>
            <w:vAlign w:val="center"/>
          </w:tcPr>
          <w:p w:rsidR="00A30125" w:rsidP="00766F19" w:rsidRDefault="00A30125" w14:paraId="7BE9A97B" w14:textId="77777777">
            <w:pPr>
              <w:spacing w:after="0"/>
              <w:rPr>
                <w:color w:val="000000"/>
                <w:sz w:val="20"/>
                <w:szCs w:val="20"/>
              </w:rPr>
            </w:pPr>
            <w:r w:rsidRPr="00A44074">
              <w:rPr>
                <w:b/>
                <w:bCs/>
                <w:color w:val="000000"/>
                <w:sz w:val="20"/>
                <w:szCs w:val="20"/>
              </w:rPr>
              <w:t>Annual Average</w:t>
            </w:r>
          </w:p>
        </w:tc>
        <w:tc>
          <w:tcPr>
            <w:tcW w:w="1510" w:type="dxa"/>
            <w:vAlign w:val="center"/>
          </w:tcPr>
          <w:p w:rsidRPr="00980A5A" w:rsidR="00A30125" w:rsidP="00766F19" w:rsidRDefault="009A7FF9" w14:paraId="4E17DD54" w14:textId="1DC85033">
            <w:pPr>
              <w:spacing w:after="0"/>
              <w:jc w:val="center"/>
              <w:rPr>
                <w:b/>
                <w:bCs/>
                <w:color w:val="000000"/>
                <w:sz w:val="18"/>
                <w:szCs w:val="18"/>
              </w:rPr>
            </w:pPr>
            <w:r>
              <w:rPr>
                <w:b/>
                <w:bCs/>
                <w:color w:val="000000"/>
                <w:sz w:val="18"/>
                <w:szCs w:val="18"/>
              </w:rPr>
              <w:t>13</w:t>
            </w:r>
          </w:p>
        </w:tc>
        <w:tc>
          <w:tcPr>
            <w:tcW w:w="1507" w:type="dxa"/>
            <w:shd w:val="clear" w:color="auto" w:fill="auto"/>
            <w:noWrap/>
            <w:vAlign w:val="center"/>
          </w:tcPr>
          <w:p w:rsidRPr="00980A5A" w:rsidR="00A30125" w:rsidP="00766F19" w:rsidRDefault="009A7FF9" w14:paraId="0492ACEC" w14:textId="060701AB">
            <w:pPr>
              <w:spacing w:after="0"/>
              <w:jc w:val="center"/>
              <w:rPr>
                <w:b/>
                <w:bCs/>
                <w:color w:val="000000"/>
                <w:sz w:val="18"/>
                <w:szCs w:val="18"/>
              </w:rPr>
            </w:pPr>
            <w:r>
              <w:rPr>
                <w:b/>
                <w:bCs/>
                <w:color w:val="000000"/>
                <w:sz w:val="18"/>
                <w:szCs w:val="18"/>
              </w:rPr>
              <w:t>$1,221</w:t>
            </w:r>
          </w:p>
        </w:tc>
      </w:tr>
    </w:tbl>
    <w:p w:rsidR="00425164" w:rsidP="00497AFF" w:rsidRDefault="00425164" w14:paraId="4E0488B6" w14:textId="77777777">
      <w:pPr>
        <w:pStyle w:val="Heading2"/>
      </w:pPr>
      <w:r>
        <w:t>(f)</w:t>
      </w:r>
      <w:r>
        <w:tab/>
        <w:t xml:space="preserve">Reasons for Change in Burden </w:t>
      </w:r>
    </w:p>
    <w:p w:rsidRPr="008575CF" w:rsidR="008A7283" w:rsidRDefault="004D65B5" w14:paraId="40E03130" w14:textId="0D200E70">
      <w:r w:rsidRPr="00956077">
        <w:t xml:space="preserve">This information collection request is a continuation of </w:t>
      </w:r>
      <w:r w:rsidRPr="00956077" w:rsidR="00B23C18">
        <w:t>an existing</w:t>
      </w:r>
      <w:r w:rsidRPr="00C222B8" w:rsidR="00B23C18">
        <w:t xml:space="preserve"> </w:t>
      </w:r>
      <w:r w:rsidRPr="00C222B8" w:rsidR="00956077">
        <w:t>information collect</w:t>
      </w:r>
      <w:r w:rsidRPr="00CC7741" w:rsidR="00956077">
        <w:t>ion re</w:t>
      </w:r>
      <w:r w:rsidRPr="008575CF" w:rsidR="00956077">
        <w:t xml:space="preserve">quest </w:t>
      </w:r>
      <w:r w:rsidRPr="008575CF" w:rsidR="00A53E58">
        <w:t>approved by OMB</w:t>
      </w:r>
      <w:r w:rsidRPr="008575CF" w:rsidR="00956077">
        <w:t xml:space="preserve">, </w:t>
      </w:r>
      <w:r w:rsidRPr="00CA7BB2" w:rsidR="00956077">
        <w:t>“</w:t>
      </w:r>
      <w:r w:rsidRPr="00132A1F" w:rsidR="00956077">
        <w:rPr>
          <w:color w:val="2E2E2E"/>
        </w:rPr>
        <w:t>Production, Import, Export, Recycling, Destruction, Transhipment, and Feedstock Use of Ozone-Depleting Substances (Final Rule),</w:t>
      </w:r>
      <w:r w:rsidR="00132A1F">
        <w:rPr>
          <w:color w:val="2E2E2E"/>
        </w:rPr>
        <w:t>”</w:t>
      </w:r>
      <w:r w:rsidRPr="00132A1F" w:rsidR="00956077">
        <w:rPr>
          <w:color w:val="2E2E2E"/>
        </w:rPr>
        <w:t xml:space="preserve"> </w:t>
      </w:r>
      <w:r w:rsidRPr="00132A1F" w:rsidR="00A53E58">
        <w:t xml:space="preserve">ICR </w:t>
      </w:r>
      <w:r w:rsidRPr="00132A1F" w:rsidR="00CC7741">
        <w:t xml:space="preserve">number </w:t>
      </w:r>
      <w:r w:rsidRPr="00132A1F">
        <w:t>1432.36</w:t>
      </w:r>
      <w:r w:rsidRPr="00132A1F" w:rsidR="00CC7741">
        <w:t>, OMB Control Number 2060-0170</w:t>
      </w:r>
      <w:r w:rsidRPr="00132A1F" w:rsidR="00956077">
        <w:t xml:space="preserve">. </w:t>
      </w:r>
      <w:r w:rsidRPr="00132A1F">
        <w:t xml:space="preserve">The proposed requirements, if finalized, would increase the burden </w:t>
      </w:r>
      <w:r w:rsidRPr="00132A1F" w:rsidR="00B23C18">
        <w:t xml:space="preserve">(hours and cost) by the </w:t>
      </w:r>
      <w:r w:rsidRPr="00132A1F" w:rsidR="008575CF">
        <w:t>quantities</w:t>
      </w:r>
      <w:r w:rsidRPr="00132A1F" w:rsidR="00B23C18">
        <w:t xml:space="preserve"> included in this draft ICR.</w:t>
      </w:r>
      <w:r w:rsidRPr="008575CF" w:rsidR="00B23C18">
        <w:t xml:space="preserve"> </w:t>
      </w:r>
    </w:p>
    <w:p w:rsidR="004E4DF6" w:rsidP="00497AFF" w:rsidRDefault="000575E1" w14:paraId="3A7DFFE4" w14:textId="5C5D534B">
      <w:pPr>
        <w:pStyle w:val="Heading2"/>
      </w:pPr>
      <w:r>
        <w:t>(</w:t>
      </w:r>
      <w:r w:rsidR="0078645A">
        <w:t>g</w:t>
      </w:r>
      <w:r w:rsidR="004E4DF6">
        <w:t>)</w:t>
      </w:r>
      <w:r w:rsidR="00A95EF4">
        <w:t xml:space="preserve"> </w:t>
      </w:r>
      <w:r w:rsidR="00A95EF4">
        <w:tab/>
        <w:t xml:space="preserve">Burden Statement </w:t>
      </w:r>
    </w:p>
    <w:p w:rsidR="008A33FE" w:rsidP="00926715" w:rsidRDefault="00926715" w14:paraId="2EC651BE" w14:textId="6CB7E847">
      <w:r w:rsidRPr="00672C85">
        <w:t xml:space="preserve">The public reporting burden for this collection of information is estimated to average </w:t>
      </w:r>
      <w:r w:rsidR="005C2DF1">
        <w:t>12.6</w:t>
      </w:r>
      <w:r w:rsidRPr="00672C85">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sectPr w:rsidR="008A33FE" w:rsidSect="00326B52">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6C969" w14:textId="77777777" w:rsidR="00842B1F" w:rsidRDefault="00842B1F" w:rsidP="00E5296D">
      <w:r>
        <w:separator/>
      </w:r>
    </w:p>
  </w:endnote>
  <w:endnote w:type="continuationSeparator" w:id="0">
    <w:p w14:paraId="5E401C9D" w14:textId="77777777" w:rsidR="00842B1F" w:rsidRDefault="00842B1F" w:rsidP="00E5296D">
      <w:r>
        <w:continuationSeparator/>
      </w:r>
    </w:p>
  </w:endnote>
  <w:endnote w:type="continuationNotice" w:id="1">
    <w:p w14:paraId="1ACBEF54" w14:textId="77777777" w:rsidR="00842B1F" w:rsidRDefault="00842B1F" w:rsidP="00E5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FA9AF" w14:textId="77777777" w:rsidR="004A768C" w:rsidRDefault="004A768C" w:rsidP="00766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D4C48" w14:textId="77777777" w:rsidR="004A768C" w:rsidRDefault="004A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2B880" w14:textId="77777777" w:rsidR="004A768C" w:rsidRDefault="004A768C" w:rsidP="00766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B4CDE3E" w14:textId="77777777" w:rsidR="004A768C" w:rsidRDefault="004A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E6412" w14:textId="77777777" w:rsidR="00842B1F" w:rsidRDefault="00842B1F" w:rsidP="00C27CAD">
      <w:r>
        <w:separator/>
      </w:r>
    </w:p>
  </w:footnote>
  <w:footnote w:type="continuationSeparator" w:id="0">
    <w:p w14:paraId="6E0C79AC" w14:textId="77777777" w:rsidR="00842B1F" w:rsidRDefault="00842B1F" w:rsidP="00E5296D">
      <w:r>
        <w:continuationSeparator/>
      </w:r>
    </w:p>
  </w:footnote>
  <w:footnote w:type="continuationNotice" w:id="1">
    <w:p w14:paraId="1A31E9C2" w14:textId="77777777" w:rsidR="00842B1F" w:rsidRDefault="00842B1F" w:rsidP="00E5296D"/>
  </w:footnote>
  <w:footnote w:id="2">
    <w:p w14:paraId="123B710A" w14:textId="77777777" w:rsidR="008F6E14" w:rsidRDefault="008F6E14" w:rsidP="008F6E14">
      <w:pPr>
        <w:pStyle w:val="FootnoteText"/>
      </w:pPr>
      <w:r>
        <w:rPr>
          <w:rStyle w:val="FootnoteReference"/>
        </w:rPr>
        <w:footnoteRef/>
      </w:r>
      <w:r>
        <w:t xml:space="preserve"> The proposed rule, </w:t>
      </w:r>
      <w:r w:rsidRPr="00C31139">
        <w:t xml:space="preserve">“Phasedown of Hydrofluorocarbons: </w:t>
      </w:r>
      <w:r w:rsidRPr="005C3854">
        <w:t>Establishing the Allowance Allocation and Trading Program under the American Innovation and Manufacturing Ac</w:t>
      </w:r>
      <w:r>
        <w:t xml:space="preserve">t,” was published in the Federal Register on May 19, 2021 </w:t>
      </w:r>
      <w:r w:rsidRPr="00CA7BB2">
        <w:rPr>
          <w:rFonts w:eastAsiaTheme="minorEastAsia"/>
        </w:rPr>
        <w:t>(86 FR 27150</w:t>
      </w:r>
      <w:r>
        <w:rPr>
          <w:rFonts w:eastAsiaTheme="min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F6749" w14:textId="77777777" w:rsidR="004A768C" w:rsidRDefault="00353861">
    <w:pPr>
      <w:pStyle w:val="Header"/>
    </w:pPr>
    <w:r>
      <w:rPr>
        <w:noProof/>
      </w:rPr>
      <w:pict w14:anchorId="2A77D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2" o:spid="_x0000_s2053"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5AE75" w14:textId="77777777" w:rsidR="004A768C" w:rsidRDefault="00353861">
    <w:pPr>
      <w:pStyle w:val="Header"/>
    </w:pPr>
    <w:r>
      <w:rPr>
        <w:noProof/>
      </w:rPr>
      <w:pict w14:anchorId="53D23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3" o:spid="_x0000_s2054"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6573F" w14:textId="77777777" w:rsidR="004A768C" w:rsidRDefault="00353861">
    <w:pPr>
      <w:pStyle w:val="Header"/>
    </w:pPr>
    <w:r>
      <w:rPr>
        <w:noProof/>
      </w:rPr>
      <w:pict w14:anchorId="4286B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1" o:spid="_x0000_s205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13A"/>
    <w:multiLevelType w:val="hybridMultilevel"/>
    <w:tmpl w:val="550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0D10"/>
    <w:multiLevelType w:val="hybridMultilevel"/>
    <w:tmpl w:val="C8EC9474"/>
    <w:lvl w:ilvl="0" w:tplc="8F80B718">
      <w:start w:val="1"/>
      <w:numFmt w:val="lowerRoman"/>
      <w:pStyle w:val="Style1"/>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B0077"/>
    <w:multiLevelType w:val="hybridMultilevel"/>
    <w:tmpl w:val="0D46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524DA"/>
    <w:multiLevelType w:val="hybridMultilevel"/>
    <w:tmpl w:val="83FCD250"/>
    <w:lvl w:ilvl="0" w:tplc="07F0E844">
      <w:start w:val="1"/>
      <w:numFmt w:val="lowerRoman"/>
      <w:pStyle w:val="Heading4"/>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864E6"/>
    <w:multiLevelType w:val="hybridMultilevel"/>
    <w:tmpl w:val="3274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1255F"/>
    <w:multiLevelType w:val="hybridMultilevel"/>
    <w:tmpl w:val="271827C2"/>
    <w:lvl w:ilvl="0" w:tplc="803E6CF6">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7D5105"/>
    <w:multiLevelType w:val="hybridMultilevel"/>
    <w:tmpl w:val="8208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C3BCD"/>
    <w:multiLevelType w:val="hybridMultilevel"/>
    <w:tmpl w:val="AD7C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A5D50"/>
    <w:multiLevelType w:val="hybridMultilevel"/>
    <w:tmpl w:val="0A8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0"/>
    <w:rsid w:val="00000A72"/>
    <w:rsid w:val="00000E64"/>
    <w:rsid w:val="000015B9"/>
    <w:rsid w:val="00001B65"/>
    <w:rsid w:val="00001B7F"/>
    <w:rsid w:val="00001E14"/>
    <w:rsid w:val="00002651"/>
    <w:rsid w:val="00002B09"/>
    <w:rsid w:val="0000371F"/>
    <w:rsid w:val="000040B0"/>
    <w:rsid w:val="00004C76"/>
    <w:rsid w:val="000051E4"/>
    <w:rsid w:val="00005293"/>
    <w:rsid w:val="00005402"/>
    <w:rsid w:val="00005B3E"/>
    <w:rsid w:val="000069F2"/>
    <w:rsid w:val="00006CC0"/>
    <w:rsid w:val="00007425"/>
    <w:rsid w:val="00015183"/>
    <w:rsid w:val="0001638E"/>
    <w:rsid w:val="00016DA7"/>
    <w:rsid w:val="00017B19"/>
    <w:rsid w:val="00017F5F"/>
    <w:rsid w:val="0002187C"/>
    <w:rsid w:val="00022B1B"/>
    <w:rsid w:val="00022EDC"/>
    <w:rsid w:val="00024070"/>
    <w:rsid w:val="00025279"/>
    <w:rsid w:val="000255F1"/>
    <w:rsid w:val="00026A32"/>
    <w:rsid w:val="0003191B"/>
    <w:rsid w:val="00031AFD"/>
    <w:rsid w:val="00032D53"/>
    <w:rsid w:val="000333C3"/>
    <w:rsid w:val="000336D0"/>
    <w:rsid w:val="00033EAB"/>
    <w:rsid w:val="00034F8C"/>
    <w:rsid w:val="00035125"/>
    <w:rsid w:val="00036208"/>
    <w:rsid w:val="0003635C"/>
    <w:rsid w:val="000408A5"/>
    <w:rsid w:val="00041D3D"/>
    <w:rsid w:val="00042407"/>
    <w:rsid w:val="0004412B"/>
    <w:rsid w:val="000443AE"/>
    <w:rsid w:val="00044859"/>
    <w:rsid w:val="0004696E"/>
    <w:rsid w:val="00046D67"/>
    <w:rsid w:val="00046E17"/>
    <w:rsid w:val="0004725F"/>
    <w:rsid w:val="00047431"/>
    <w:rsid w:val="00050B01"/>
    <w:rsid w:val="0005363A"/>
    <w:rsid w:val="0005390B"/>
    <w:rsid w:val="0005567E"/>
    <w:rsid w:val="000558EE"/>
    <w:rsid w:val="00055CEF"/>
    <w:rsid w:val="00055D95"/>
    <w:rsid w:val="00056459"/>
    <w:rsid w:val="000565C9"/>
    <w:rsid w:val="000575E1"/>
    <w:rsid w:val="000578D0"/>
    <w:rsid w:val="00057C3E"/>
    <w:rsid w:val="000603D9"/>
    <w:rsid w:val="00063073"/>
    <w:rsid w:val="00063AF7"/>
    <w:rsid w:val="00063E59"/>
    <w:rsid w:val="00064112"/>
    <w:rsid w:val="00066288"/>
    <w:rsid w:val="00067EF9"/>
    <w:rsid w:val="00067F57"/>
    <w:rsid w:val="00070E65"/>
    <w:rsid w:val="000713C0"/>
    <w:rsid w:val="00072E60"/>
    <w:rsid w:val="000754E0"/>
    <w:rsid w:val="000755B6"/>
    <w:rsid w:val="00075B35"/>
    <w:rsid w:val="0007628E"/>
    <w:rsid w:val="00080138"/>
    <w:rsid w:val="00080603"/>
    <w:rsid w:val="00083323"/>
    <w:rsid w:val="000845FB"/>
    <w:rsid w:val="00090007"/>
    <w:rsid w:val="0009070C"/>
    <w:rsid w:val="0009070E"/>
    <w:rsid w:val="00091806"/>
    <w:rsid w:val="000954DE"/>
    <w:rsid w:val="00096AB0"/>
    <w:rsid w:val="00096B71"/>
    <w:rsid w:val="00096F6E"/>
    <w:rsid w:val="00097689"/>
    <w:rsid w:val="000A0D70"/>
    <w:rsid w:val="000A1E15"/>
    <w:rsid w:val="000A210D"/>
    <w:rsid w:val="000A2320"/>
    <w:rsid w:val="000A23E6"/>
    <w:rsid w:val="000A27E0"/>
    <w:rsid w:val="000A2E84"/>
    <w:rsid w:val="000A3001"/>
    <w:rsid w:val="000A3157"/>
    <w:rsid w:val="000A3B33"/>
    <w:rsid w:val="000A4304"/>
    <w:rsid w:val="000A4FDB"/>
    <w:rsid w:val="000A51A3"/>
    <w:rsid w:val="000A694C"/>
    <w:rsid w:val="000A72D0"/>
    <w:rsid w:val="000A73BC"/>
    <w:rsid w:val="000A7738"/>
    <w:rsid w:val="000A782D"/>
    <w:rsid w:val="000A78CE"/>
    <w:rsid w:val="000B0403"/>
    <w:rsid w:val="000B0F3F"/>
    <w:rsid w:val="000B1463"/>
    <w:rsid w:val="000B1BB9"/>
    <w:rsid w:val="000B26F0"/>
    <w:rsid w:val="000B3280"/>
    <w:rsid w:val="000B52FB"/>
    <w:rsid w:val="000B78FC"/>
    <w:rsid w:val="000C145A"/>
    <w:rsid w:val="000C2B22"/>
    <w:rsid w:val="000C3013"/>
    <w:rsid w:val="000C32C6"/>
    <w:rsid w:val="000C39D2"/>
    <w:rsid w:val="000C3F7B"/>
    <w:rsid w:val="000C470E"/>
    <w:rsid w:val="000C75C6"/>
    <w:rsid w:val="000D04AC"/>
    <w:rsid w:val="000D0A00"/>
    <w:rsid w:val="000D1B4A"/>
    <w:rsid w:val="000D28DE"/>
    <w:rsid w:val="000D4921"/>
    <w:rsid w:val="000D5989"/>
    <w:rsid w:val="000D5B84"/>
    <w:rsid w:val="000D6E95"/>
    <w:rsid w:val="000E39E9"/>
    <w:rsid w:val="000E588C"/>
    <w:rsid w:val="000E5942"/>
    <w:rsid w:val="000E5B8D"/>
    <w:rsid w:val="000E5C54"/>
    <w:rsid w:val="000F0328"/>
    <w:rsid w:val="000F09FA"/>
    <w:rsid w:val="000F1301"/>
    <w:rsid w:val="000F1B6A"/>
    <w:rsid w:val="000F3E3D"/>
    <w:rsid w:val="000F40F6"/>
    <w:rsid w:val="000F415D"/>
    <w:rsid w:val="000F5310"/>
    <w:rsid w:val="000F5A0E"/>
    <w:rsid w:val="000F61C8"/>
    <w:rsid w:val="000F74EB"/>
    <w:rsid w:val="000F7A7B"/>
    <w:rsid w:val="0010030A"/>
    <w:rsid w:val="00102DEE"/>
    <w:rsid w:val="001063E2"/>
    <w:rsid w:val="001103DE"/>
    <w:rsid w:val="00110E0D"/>
    <w:rsid w:val="0011138E"/>
    <w:rsid w:val="001130B2"/>
    <w:rsid w:val="00113B4C"/>
    <w:rsid w:val="00113ECE"/>
    <w:rsid w:val="001150FC"/>
    <w:rsid w:val="00115377"/>
    <w:rsid w:val="0011554F"/>
    <w:rsid w:val="00116181"/>
    <w:rsid w:val="00116A27"/>
    <w:rsid w:val="00120860"/>
    <w:rsid w:val="00120D96"/>
    <w:rsid w:val="001219BA"/>
    <w:rsid w:val="001219C7"/>
    <w:rsid w:val="00122FCB"/>
    <w:rsid w:val="0012379F"/>
    <w:rsid w:val="00123DA4"/>
    <w:rsid w:val="0012551B"/>
    <w:rsid w:val="00126601"/>
    <w:rsid w:val="001311CC"/>
    <w:rsid w:val="001311F8"/>
    <w:rsid w:val="00132A1F"/>
    <w:rsid w:val="00132C78"/>
    <w:rsid w:val="00135E23"/>
    <w:rsid w:val="00136109"/>
    <w:rsid w:val="00140803"/>
    <w:rsid w:val="00140FEB"/>
    <w:rsid w:val="00141205"/>
    <w:rsid w:val="0014156C"/>
    <w:rsid w:val="001437BF"/>
    <w:rsid w:val="001440C5"/>
    <w:rsid w:val="00144300"/>
    <w:rsid w:val="00144DF8"/>
    <w:rsid w:val="00144EAB"/>
    <w:rsid w:val="00145EA6"/>
    <w:rsid w:val="001470A3"/>
    <w:rsid w:val="00150D86"/>
    <w:rsid w:val="00151187"/>
    <w:rsid w:val="00151E88"/>
    <w:rsid w:val="001520A6"/>
    <w:rsid w:val="00153A3F"/>
    <w:rsid w:val="00153D28"/>
    <w:rsid w:val="00154B03"/>
    <w:rsid w:val="00154F33"/>
    <w:rsid w:val="0015533C"/>
    <w:rsid w:val="00155CC2"/>
    <w:rsid w:val="001571F2"/>
    <w:rsid w:val="001573A7"/>
    <w:rsid w:val="00160C7A"/>
    <w:rsid w:val="00161884"/>
    <w:rsid w:val="0016256F"/>
    <w:rsid w:val="001628BE"/>
    <w:rsid w:val="001635C2"/>
    <w:rsid w:val="00164633"/>
    <w:rsid w:val="00164BC1"/>
    <w:rsid w:val="0016737C"/>
    <w:rsid w:val="00170104"/>
    <w:rsid w:val="00170AF6"/>
    <w:rsid w:val="00171119"/>
    <w:rsid w:val="00171CF1"/>
    <w:rsid w:val="00171D89"/>
    <w:rsid w:val="00172014"/>
    <w:rsid w:val="001734B0"/>
    <w:rsid w:val="00173E19"/>
    <w:rsid w:val="00173E41"/>
    <w:rsid w:val="00173F6D"/>
    <w:rsid w:val="0017559A"/>
    <w:rsid w:val="0017590D"/>
    <w:rsid w:val="00177646"/>
    <w:rsid w:val="00180343"/>
    <w:rsid w:val="00180F08"/>
    <w:rsid w:val="0018184C"/>
    <w:rsid w:val="001821E0"/>
    <w:rsid w:val="00182663"/>
    <w:rsid w:val="00182D11"/>
    <w:rsid w:val="00183140"/>
    <w:rsid w:val="0018354B"/>
    <w:rsid w:val="00183643"/>
    <w:rsid w:val="00183AAD"/>
    <w:rsid w:val="00183FD9"/>
    <w:rsid w:val="00184A63"/>
    <w:rsid w:val="0018563E"/>
    <w:rsid w:val="00187298"/>
    <w:rsid w:val="001910A9"/>
    <w:rsid w:val="0019195E"/>
    <w:rsid w:val="00191EDD"/>
    <w:rsid w:val="001923A5"/>
    <w:rsid w:val="00192ECE"/>
    <w:rsid w:val="001935A6"/>
    <w:rsid w:val="0019416C"/>
    <w:rsid w:val="00194FB0"/>
    <w:rsid w:val="00195BD6"/>
    <w:rsid w:val="00196332"/>
    <w:rsid w:val="00196743"/>
    <w:rsid w:val="00197CBA"/>
    <w:rsid w:val="001A05F0"/>
    <w:rsid w:val="001A0DB8"/>
    <w:rsid w:val="001A189E"/>
    <w:rsid w:val="001A19D6"/>
    <w:rsid w:val="001A1D39"/>
    <w:rsid w:val="001A1DE5"/>
    <w:rsid w:val="001A1FE3"/>
    <w:rsid w:val="001A29A2"/>
    <w:rsid w:val="001A3EC8"/>
    <w:rsid w:val="001A48EB"/>
    <w:rsid w:val="001A54FD"/>
    <w:rsid w:val="001A6D7D"/>
    <w:rsid w:val="001A6E7C"/>
    <w:rsid w:val="001B05CA"/>
    <w:rsid w:val="001B06B5"/>
    <w:rsid w:val="001B0D10"/>
    <w:rsid w:val="001B0D99"/>
    <w:rsid w:val="001B1B99"/>
    <w:rsid w:val="001B2CC7"/>
    <w:rsid w:val="001B4548"/>
    <w:rsid w:val="001B4571"/>
    <w:rsid w:val="001B55A0"/>
    <w:rsid w:val="001B56A7"/>
    <w:rsid w:val="001C288C"/>
    <w:rsid w:val="001C4E29"/>
    <w:rsid w:val="001C6183"/>
    <w:rsid w:val="001C6A9F"/>
    <w:rsid w:val="001C76FC"/>
    <w:rsid w:val="001D0219"/>
    <w:rsid w:val="001D03BE"/>
    <w:rsid w:val="001D073C"/>
    <w:rsid w:val="001D17E8"/>
    <w:rsid w:val="001D1FA1"/>
    <w:rsid w:val="001D2123"/>
    <w:rsid w:val="001D2562"/>
    <w:rsid w:val="001D43E2"/>
    <w:rsid w:val="001D4461"/>
    <w:rsid w:val="001D4AB6"/>
    <w:rsid w:val="001D540A"/>
    <w:rsid w:val="001D752E"/>
    <w:rsid w:val="001E047B"/>
    <w:rsid w:val="001E1C9A"/>
    <w:rsid w:val="001E3D3B"/>
    <w:rsid w:val="001E4009"/>
    <w:rsid w:val="001E4F39"/>
    <w:rsid w:val="001E5515"/>
    <w:rsid w:val="001E776B"/>
    <w:rsid w:val="001E7E64"/>
    <w:rsid w:val="001F0595"/>
    <w:rsid w:val="001F2604"/>
    <w:rsid w:val="001F32F9"/>
    <w:rsid w:val="001F4AC6"/>
    <w:rsid w:val="001F5F05"/>
    <w:rsid w:val="001F63C4"/>
    <w:rsid w:val="001F6828"/>
    <w:rsid w:val="001F6974"/>
    <w:rsid w:val="001F6B2D"/>
    <w:rsid w:val="001F6B6C"/>
    <w:rsid w:val="001F6E30"/>
    <w:rsid w:val="001F7314"/>
    <w:rsid w:val="00200039"/>
    <w:rsid w:val="002022DB"/>
    <w:rsid w:val="00203000"/>
    <w:rsid w:val="00203D0A"/>
    <w:rsid w:val="002048FF"/>
    <w:rsid w:val="00204B62"/>
    <w:rsid w:val="00205E3E"/>
    <w:rsid w:val="00205FA0"/>
    <w:rsid w:val="002063E4"/>
    <w:rsid w:val="002067E3"/>
    <w:rsid w:val="002105DC"/>
    <w:rsid w:val="0021063B"/>
    <w:rsid w:val="00212F66"/>
    <w:rsid w:val="002137AF"/>
    <w:rsid w:val="002138A9"/>
    <w:rsid w:val="002146D9"/>
    <w:rsid w:val="0021594B"/>
    <w:rsid w:val="002170D5"/>
    <w:rsid w:val="0021791A"/>
    <w:rsid w:val="00217BBA"/>
    <w:rsid w:val="00220383"/>
    <w:rsid w:val="00220B08"/>
    <w:rsid w:val="00221A8D"/>
    <w:rsid w:val="00222F01"/>
    <w:rsid w:val="00223698"/>
    <w:rsid w:val="00224A62"/>
    <w:rsid w:val="00224B72"/>
    <w:rsid w:val="0022789A"/>
    <w:rsid w:val="00230830"/>
    <w:rsid w:val="00232135"/>
    <w:rsid w:val="00232672"/>
    <w:rsid w:val="00233BFD"/>
    <w:rsid w:val="002356BB"/>
    <w:rsid w:val="00235ADE"/>
    <w:rsid w:val="002371B9"/>
    <w:rsid w:val="00240791"/>
    <w:rsid w:val="00240870"/>
    <w:rsid w:val="00241A29"/>
    <w:rsid w:val="00243373"/>
    <w:rsid w:val="00243584"/>
    <w:rsid w:val="00243DF6"/>
    <w:rsid w:val="00246F53"/>
    <w:rsid w:val="0024785E"/>
    <w:rsid w:val="00250B3A"/>
    <w:rsid w:val="002519CF"/>
    <w:rsid w:val="002519F5"/>
    <w:rsid w:val="00251D8F"/>
    <w:rsid w:val="00251DC9"/>
    <w:rsid w:val="00252B87"/>
    <w:rsid w:val="00253F74"/>
    <w:rsid w:val="00255999"/>
    <w:rsid w:val="00255BE8"/>
    <w:rsid w:val="00257E26"/>
    <w:rsid w:val="00260EF2"/>
    <w:rsid w:val="00261047"/>
    <w:rsid w:val="00261B3A"/>
    <w:rsid w:val="0026392E"/>
    <w:rsid w:val="00264305"/>
    <w:rsid w:val="002645D0"/>
    <w:rsid w:val="00264FF7"/>
    <w:rsid w:val="002666CB"/>
    <w:rsid w:val="0026755A"/>
    <w:rsid w:val="00267E1F"/>
    <w:rsid w:val="00267F5F"/>
    <w:rsid w:val="00270F94"/>
    <w:rsid w:val="00271DC7"/>
    <w:rsid w:val="00271E9F"/>
    <w:rsid w:val="0027251D"/>
    <w:rsid w:val="0027261A"/>
    <w:rsid w:val="00272D50"/>
    <w:rsid w:val="00273BB5"/>
    <w:rsid w:val="00274FB7"/>
    <w:rsid w:val="0027502F"/>
    <w:rsid w:val="00275143"/>
    <w:rsid w:val="00275680"/>
    <w:rsid w:val="002773A1"/>
    <w:rsid w:val="002806D5"/>
    <w:rsid w:val="00280C8B"/>
    <w:rsid w:val="00281783"/>
    <w:rsid w:val="00283410"/>
    <w:rsid w:val="00283C02"/>
    <w:rsid w:val="00285031"/>
    <w:rsid w:val="00285594"/>
    <w:rsid w:val="0028599B"/>
    <w:rsid w:val="00290A88"/>
    <w:rsid w:val="002921D6"/>
    <w:rsid w:val="0029330A"/>
    <w:rsid w:val="00293F16"/>
    <w:rsid w:val="00294477"/>
    <w:rsid w:val="002946C0"/>
    <w:rsid w:val="002952F6"/>
    <w:rsid w:val="00296B17"/>
    <w:rsid w:val="002A0128"/>
    <w:rsid w:val="002A0183"/>
    <w:rsid w:val="002A0520"/>
    <w:rsid w:val="002A0AB9"/>
    <w:rsid w:val="002A1F1F"/>
    <w:rsid w:val="002A22A2"/>
    <w:rsid w:val="002A48B2"/>
    <w:rsid w:val="002A5488"/>
    <w:rsid w:val="002A69BD"/>
    <w:rsid w:val="002A6FD3"/>
    <w:rsid w:val="002A7116"/>
    <w:rsid w:val="002B1DC2"/>
    <w:rsid w:val="002B32C4"/>
    <w:rsid w:val="002B379E"/>
    <w:rsid w:val="002B4E6D"/>
    <w:rsid w:val="002B6416"/>
    <w:rsid w:val="002C090B"/>
    <w:rsid w:val="002C2DF7"/>
    <w:rsid w:val="002C3EA3"/>
    <w:rsid w:val="002C4E3D"/>
    <w:rsid w:val="002C74A1"/>
    <w:rsid w:val="002D011E"/>
    <w:rsid w:val="002D05A8"/>
    <w:rsid w:val="002D1FD3"/>
    <w:rsid w:val="002D3927"/>
    <w:rsid w:val="002D5B24"/>
    <w:rsid w:val="002D6541"/>
    <w:rsid w:val="002D762C"/>
    <w:rsid w:val="002E2B99"/>
    <w:rsid w:val="002E3E16"/>
    <w:rsid w:val="002E4B70"/>
    <w:rsid w:val="002E56F5"/>
    <w:rsid w:val="002E5BFE"/>
    <w:rsid w:val="002E65C4"/>
    <w:rsid w:val="002E6A40"/>
    <w:rsid w:val="002F05CB"/>
    <w:rsid w:val="002F0991"/>
    <w:rsid w:val="002F2157"/>
    <w:rsid w:val="002F2234"/>
    <w:rsid w:val="002F2479"/>
    <w:rsid w:val="002F63E8"/>
    <w:rsid w:val="002F6892"/>
    <w:rsid w:val="00301009"/>
    <w:rsid w:val="00301301"/>
    <w:rsid w:val="003025FD"/>
    <w:rsid w:val="0030290A"/>
    <w:rsid w:val="00303A0A"/>
    <w:rsid w:val="00304275"/>
    <w:rsid w:val="00304599"/>
    <w:rsid w:val="00304A35"/>
    <w:rsid w:val="00304D28"/>
    <w:rsid w:val="0030685C"/>
    <w:rsid w:val="003076A9"/>
    <w:rsid w:val="00310625"/>
    <w:rsid w:val="00310AFB"/>
    <w:rsid w:val="0031208C"/>
    <w:rsid w:val="003138AA"/>
    <w:rsid w:val="003144C4"/>
    <w:rsid w:val="0031491A"/>
    <w:rsid w:val="003151E6"/>
    <w:rsid w:val="003157F4"/>
    <w:rsid w:val="00315F1F"/>
    <w:rsid w:val="00316A6A"/>
    <w:rsid w:val="00316AEF"/>
    <w:rsid w:val="003211E8"/>
    <w:rsid w:val="00321AF1"/>
    <w:rsid w:val="00321B12"/>
    <w:rsid w:val="00322060"/>
    <w:rsid w:val="00322398"/>
    <w:rsid w:val="003239B3"/>
    <w:rsid w:val="00326B52"/>
    <w:rsid w:val="003303A3"/>
    <w:rsid w:val="0033097B"/>
    <w:rsid w:val="00334D8C"/>
    <w:rsid w:val="00335BE8"/>
    <w:rsid w:val="003371C0"/>
    <w:rsid w:val="00340017"/>
    <w:rsid w:val="0034034B"/>
    <w:rsid w:val="00340DBE"/>
    <w:rsid w:val="00342109"/>
    <w:rsid w:val="0034250B"/>
    <w:rsid w:val="003425D4"/>
    <w:rsid w:val="00343BA1"/>
    <w:rsid w:val="00343C0E"/>
    <w:rsid w:val="00344B4C"/>
    <w:rsid w:val="00345C25"/>
    <w:rsid w:val="00352875"/>
    <w:rsid w:val="003531CB"/>
    <w:rsid w:val="00353861"/>
    <w:rsid w:val="003543A0"/>
    <w:rsid w:val="0035519A"/>
    <w:rsid w:val="00360148"/>
    <w:rsid w:val="00360857"/>
    <w:rsid w:val="00360D5B"/>
    <w:rsid w:val="00360E6B"/>
    <w:rsid w:val="00360EA1"/>
    <w:rsid w:val="00360F95"/>
    <w:rsid w:val="00361189"/>
    <w:rsid w:val="003620D5"/>
    <w:rsid w:val="00362A11"/>
    <w:rsid w:val="00362A61"/>
    <w:rsid w:val="0036314E"/>
    <w:rsid w:val="003631A9"/>
    <w:rsid w:val="00363B7D"/>
    <w:rsid w:val="00364AC6"/>
    <w:rsid w:val="00366399"/>
    <w:rsid w:val="003702EF"/>
    <w:rsid w:val="00370391"/>
    <w:rsid w:val="00370524"/>
    <w:rsid w:val="00371A07"/>
    <w:rsid w:val="00372BD0"/>
    <w:rsid w:val="0037355A"/>
    <w:rsid w:val="003755A6"/>
    <w:rsid w:val="003757D6"/>
    <w:rsid w:val="003762CE"/>
    <w:rsid w:val="00376F6E"/>
    <w:rsid w:val="00380208"/>
    <w:rsid w:val="00381882"/>
    <w:rsid w:val="003830DC"/>
    <w:rsid w:val="00384334"/>
    <w:rsid w:val="003846F3"/>
    <w:rsid w:val="00385673"/>
    <w:rsid w:val="00386550"/>
    <w:rsid w:val="0039230E"/>
    <w:rsid w:val="00393082"/>
    <w:rsid w:val="00394281"/>
    <w:rsid w:val="00395E22"/>
    <w:rsid w:val="0039780E"/>
    <w:rsid w:val="00397DEB"/>
    <w:rsid w:val="003A0B61"/>
    <w:rsid w:val="003A12B3"/>
    <w:rsid w:val="003A1575"/>
    <w:rsid w:val="003A1928"/>
    <w:rsid w:val="003A1CC9"/>
    <w:rsid w:val="003A3853"/>
    <w:rsid w:val="003A476E"/>
    <w:rsid w:val="003A47BB"/>
    <w:rsid w:val="003A5013"/>
    <w:rsid w:val="003A506A"/>
    <w:rsid w:val="003A518F"/>
    <w:rsid w:val="003A57A8"/>
    <w:rsid w:val="003A5C5E"/>
    <w:rsid w:val="003A5EBC"/>
    <w:rsid w:val="003A6232"/>
    <w:rsid w:val="003B1137"/>
    <w:rsid w:val="003B13AB"/>
    <w:rsid w:val="003B19A5"/>
    <w:rsid w:val="003B2259"/>
    <w:rsid w:val="003B29E5"/>
    <w:rsid w:val="003B4BFF"/>
    <w:rsid w:val="003B5844"/>
    <w:rsid w:val="003B607C"/>
    <w:rsid w:val="003B731E"/>
    <w:rsid w:val="003C06D0"/>
    <w:rsid w:val="003C07DC"/>
    <w:rsid w:val="003C1951"/>
    <w:rsid w:val="003C1AE2"/>
    <w:rsid w:val="003C2080"/>
    <w:rsid w:val="003C2271"/>
    <w:rsid w:val="003C23B6"/>
    <w:rsid w:val="003C346B"/>
    <w:rsid w:val="003C4DEB"/>
    <w:rsid w:val="003C55B6"/>
    <w:rsid w:val="003C5B18"/>
    <w:rsid w:val="003C6337"/>
    <w:rsid w:val="003D08E6"/>
    <w:rsid w:val="003D0A45"/>
    <w:rsid w:val="003D1D6A"/>
    <w:rsid w:val="003D24D9"/>
    <w:rsid w:val="003D4087"/>
    <w:rsid w:val="003D5E3E"/>
    <w:rsid w:val="003D64AE"/>
    <w:rsid w:val="003D7671"/>
    <w:rsid w:val="003E0957"/>
    <w:rsid w:val="003E0A51"/>
    <w:rsid w:val="003E14F9"/>
    <w:rsid w:val="003E2669"/>
    <w:rsid w:val="003E2FBB"/>
    <w:rsid w:val="003E34DC"/>
    <w:rsid w:val="003E4884"/>
    <w:rsid w:val="003E5256"/>
    <w:rsid w:val="003E58E0"/>
    <w:rsid w:val="003E5D18"/>
    <w:rsid w:val="003E6EDA"/>
    <w:rsid w:val="003E781F"/>
    <w:rsid w:val="003E7E4D"/>
    <w:rsid w:val="003E7FDD"/>
    <w:rsid w:val="003F1B20"/>
    <w:rsid w:val="003F2618"/>
    <w:rsid w:val="003F2952"/>
    <w:rsid w:val="003F452E"/>
    <w:rsid w:val="003F4B8D"/>
    <w:rsid w:val="003F4D62"/>
    <w:rsid w:val="003F51E1"/>
    <w:rsid w:val="003F6A1C"/>
    <w:rsid w:val="003F6E75"/>
    <w:rsid w:val="003F7525"/>
    <w:rsid w:val="003F7CB8"/>
    <w:rsid w:val="003F7F3F"/>
    <w:rsid w:val="00400672"/>
    <w:rsid w:val="00402ACA"/>
    <w:rsid w:val="00403145"/>
    <w:rsid w:val="004040BD"/>
    <w:rsid w:val="00406311"/>
    <w:rsid w:val="00412524"/>
    <w:rsid w:val="004139A6"/>
    <w:rsid w:val="00414A98"/>
    <w:rsid w:val="0041518B"/>
    <w:rsid w:val="0041723F"/>
    <w:rsid w:val="00417B2E"/>
    <w:rsid w:val="00417BD7"/>
    <w:rsid w:val="00421B2E"/>
    <w:rsid w:val="00423C22"/>
    <w:rsid w:val="00424AE1"/>
    <w:rsid w:val="00424E09"/>
    <w:rsid w:val="00425029"/>
    <w:rsid w:val="00425164"/>
    <w:rsid w:val="00426DF7"/>
    <w:rsid w:val="00426ED6"/>
    <w:rsid w:val="00427756"/>
    <w:rsid w:val="004277EC"/>
    <w:rsid w:val="0043151B"/>
    <w:rsid w:val="00432B34"/>
    <w:rsid w:val="004343CD"/>
    <w:rsid w:val="00434943"/>
    <w:rsid w:val="00435F87"/>
    <w:rsid w:val="00436773"/>
    <w:rsid w:val="00440380"/>
    <w:rsid w:val="00440B42"/>
    <w:rsid w:val="004416FC"/>
    <w:rsid w:val="0044253B"/>
    <w:rsid w:val="00443A79"/>
    <w:rsid w:val="00444D4C"/>
    <w:rsid w:val="004465E1"/>
    <w:rsid w:val="0045448D"/>
    <w:rsid w:val="00457B27"/>
    <w:rsid w:val="0046014B"/>
    <w:rsid w:val="004613B4"/>
    <w:rsid w:val="004615F4"/>
    <w:rsid w:val="00466210"/>
    <w:rsid w:val="004663F5"/>
    <w:rsid w:val="00470122"/>
    <w:rsid w:val="00471388"/>
    <w:rsid w:val="00471D9D"/>
    <w:rsid w:val="0047496B"/>
    <w:rsid w:val="00475E11"/>
    <w:rsid w:val="00476809"/>
    <w:rsid w:val="00480387"/>
    <w:rsid w:val="00482825"/>
    <w:rsid w:val="00485EFF"/>
    <w:rsid w:val="00486529"/>
    <w:rsid w:val="004866DF"/>
    <w:rsid w:val="00487C1A"/>
    <w:rsid w:val="00491EA5"/>
    <w:rsid w:val="0049327E"/>
    <w:rsid w:val="004940B7"/>
    <w:rsid w:val="004942D5"/>
    <w:rsid w:val="004943A6"/>
    <w:rsid w:val="00494F1A"/>
    <w:rsid w:val="00495C76"/>
    <w:rsid w:val="00496A63"/>
    <w:rsid w:val="00497450"/>
    <w:rsid w:val="00497AFF"/>
    <w:rsid w:val="00497E1C"/>
    <w:rsid w:val="004A104B"/>
    <w:rsid w:val="004A1EEB"/>
    <w:rsid w:val="004A2C47"/>
    <w:rsid w:val="004A2E8A"/>
    <w:rsid w:val="004A3B4B"/>
    <w:rsid w:val="004A4688"/>
    <w:rsid w:val="004A4DB4"/>
    <w:rsid w:val="004A4FEF"/>
    <w:rsid w:val="004A6508"/>
    <w:rsid w:val="004A67AD"/>
    <w:rsid w:val="004A6ECB"/>
    <w:rsid w:val="004A6F1E"/>
    <w:rsid w:val="004A768C"/>
    <w:rsid w:val="004B0CD6"/>
    <w:rsid w:val="004B1E0B"/>
    <w:rsid w:val="004B60AC"/>
    <w:rsid w:val="004C0745"/>
    <w:rsid w:val="004C242E"/>
    <w:rsid w:val="004C4368"/>
    <w:rsid w:val="004C53C6"/>
    <w:rsid w:val="004C5825"/>
    <w:rsid w:val="004C756A"/>
    <w:rsid w:val="004C75A9"/>
    <w:rsid w:val="004D0077"/>
    <w:rsid w:val="004D068A"/>
    <w:rsid w:val="004D160D"/>
    <w:rsid w:val="004D1F03"/>
    <w:rsid w:val="004D28FD"/>
    <w:rsid w:val="004D2E25"/>
    <w:rsid w:val="004D31CC"/>
    <w:rsid w:val="004D4FF6"/>
    <w:rsid w:val="004D5BDD"/>
    <w:rsid w:val="004D65B5"/>
    <w:rsid w:val="004D7928"/>
    <w:rsid w:val="004E17B5"/>
    <w:rsid w:val="004E1A6B"/>
    <w:rsid w:val="004E1D02"/>
    <w:rsid w:val="004E1D08"/>
    <w:rsid w:val="004E3AFD"/>
    <w:rsid w:val="004E4B8B"/>
    <w:rsid w:val="004E4DF6"/>
    <w:rsid w:val="004E5331"/>
    <w:rsid w:val="004E5DDC"/>
    <w:rsid w:val="004F1B3E"/>
    <w:rsid w:val="004F2542"/>
    <w:rsid w:val="004F272B"/>
    <w:rsid w:val="004F35F8"/>
    <w:rsid w:val="004F362C"/>
    <w:rsid w:val="004F43EF"/>
    <w:rsid w:val="004F4578"/>
    <w:rsid w:val="004F4E0B"/>
    <w:rsid w:val="004F51BC"/>
    <w:rsid w:val="004F6A4B"/>
    <w:rsid w:val="00500089"/>
    <w:rsid w:val="00500591"/>
    <w:rsid w:val="00500821"/>
    <w:rsid w:val="005011E1"/>
    <w:rsid w:val="005017C6"/>
    <w:rsid w:val="0050260F"/>
    <w:rsid w:val="00502670"/>
    <w:rsid w:val="00502BBE"/>
    <w:rsid w:val="00503B13"/>
    <w:rsid w:val="0050564E"/>
    <w:rsid w:val="00505C7C"/>
    <w:rsid w:val="005064D1"/>
    <w:rsid w:val="0050794A"/>
    <w:rsid w:val="005110A4"/>
    <w:rsid w:val="005117DC"/>
    <w:rsid w:val="00513740"/>
    <w:rsid w:val="00513D9B"/>
    <w:rsid w:val="00513F6A"/>
    <w:rsid w:val="00514ED1"/>
    <w:rsid w:val="005155FA"/>
    <w:rsid w:val="005159AE"/>
    <w:rsid w:val="00516575"/>
    <w:rsid w:val="00517DD6"/>
    <w:rsid w:val="005209A3"/>
    <w:rsid w:val="00520D14"/>
    <w:rsid w:val="00523FDE"/>
    <w:rsid w:val="005245C9"/>
    <w:rsid w:val="00525F75"/>
    <w:rsid w:val="00526284"/>
    <w:rsid w:val="005278F1"/>
    <w:rsid w:val="00527C0A"/>
    <w:rsid w:val="00527F89"/>
    <w:rsid w:val="00530C47"/>
    <w:rsid w:val="00531E15"/>
    <w:rsid w:val="0053328A"/>
    <w:rsid w:val="005334AE"/>
    <w:rsid w:val="00533991"/>
    <w:rsid w:val="00533E81"/>
    <w:rsid w:val="00534D30"/>
    <w:rsid w:val="00535A9D"/>
    <w:rsid w:val="00536BD2"/>
    <w:rsid w:val="0053758D"/>
    <w:rsid w:val="0053787D"/>
    <w:rsid w:val="00537AB8"/>
    <w:rsid w:val="005400E4"/>
    <w:rsid w:val="00541653"/>
    <w:rsid w:val="00541A3C"/>
    <w:rsid w:val="00541EA9"/>
    <w:rsid w:val="00544731"/>
    <w:rsid w:val="00544743"/>
    <w:rsid w:val="00546EF1"/>
    <w:rsid w:val="00547BB6"/>
    <w:rsid w:val="00550AB2"/>
    <w:rsid w:val="00550AE4"/>
    <w:rsid w:val="00551018"/>
    <w:rsid w:val="00551346"/>
    <w:rsid w:val="005514F0"/>
    <w:rsid w:val="00551D2A"/>
    <w:rsid w:val="00552345"/>
    <w:rsid w:val="00553BBD"/>
    <w:rsid w:val="00554448"/>
    <w:rsid w:val="00554752"/>
    <w:rsid w:val="00554E29"/>
    <w:rsid w:val="00554F81"/>
    <w:rsid w:val="005558C3"/>
    <w:rsid w:val="0055794B"/>
    <w:rsid w:val="005601B0"/>
    <w:rsid w:val="0056111A"/>
    <w:rsid w:val="0056351A"/>
    <w:rsid w:val="0056490D"/>
    <w:rsid w:val="00565621"/>
    <w:rsid w:val="00566238"/>
    <w:rsid w:val="005671D2"/>
    <w:rsid w:val="005675D4"/>
    <w:rsid w:val="00567FEE"/>
    <w:rsid w:val="00570D05"/>
    <w:rsid w:val="0057120F"/>
    <w:rsid w:val="00572D84"/>
    <w:rsid w:val="005731F3"/>
    <w:rsid w:val="00576165"/>
    <w:rsid w:val="0057674D"/>
    <w:rsid w:val="005769A8"/>
    <w:rsid w:val="00583C75"/>
    <w:rsid w:val="0058437B"/>
    <w:rsid w:val="00584702"/>
    <w:rsid w:val="00584FD6"/>
    <w:rsid w:val="005850C4"/>
    <w:rsid w:val="00585C86"/>
    <w:rsid w:val="00586B65"/>
    <w:rsid w:val="00586DCB"/>
    <w:rsid w:val="00590BD9"/>
    <w:rsid w:val="00590C13"/>
    <w:rsid w:val="005910DD"/>
    <w:rsid w:val="00592059"/>
    <w:rsid w:val="0059300E"/>
    <w:rsid w:val="0059302D"/>
    <w:rsid w:val="00593F0C"/>
    <w:rsid w:val="005957A6"/>
    <w:rsid w:val="00595854"/>
    <w:rsid w:val="00596A72"/>
    <w:rsid w:val="005A0BEB"/>
    <w:rsid w:val="005A10F2"/>
    <w:rsid w:val="005A1CA7"/>
    <w:rsid w:val="005A222D"/>
    <w:rsid w:val="005A237F"/>
    <w:rsid w:val="005A25F9"/>
    <w:rsid w:val="005A2841"/>
    <w:rsid w:val="005A2C37"/>
    <w:rsid w:val="005A36E1"/>
    <w:rsid w:val="005A445D"/>
    <w:rsid w:val="005A5A1D"/>
    <w:rsid w:val="005A675B"/>
    <w:rsid w:val="005A6FF4"/>
    <w:rsid w:val="005A7B13"/>
    <w:rsid w:val="005B011B"/>
    <w:rsid w:val="005B28FF"/>
    <w:rsid w:val="005B44CA"/>
    <w:rsid w:val="005B45E4"/>
    <w:rsid w:val="005B46E4"/>
    <w:rsid w:val="005B48D8"/>
    <w:rsid w:val="005B51B1"/>
    <w:rsid w:val="005B73F3"/>
    <w:rsid w:val="005B7C6F"/>
    <w:rsid w:val="005C08F7"/>
    <w:rsid w:val="005C103A"/>
    <w:rsid w:val="005C1327"/>
    <w:rsid w:val="005C1E19"/>
    <w:rsid w:val="005C299F"/>
    <w:rsid w:val="005C2DF1"/>
    <w:rsid w:val="005C3EEB"/>
    <w:rsid w:val="005C40A9"/>
    <w:rsid w:val="005D0368"/>
    <w:rsid w:val="005D057F"/>
    <w:rsid w:val="005D0815"/>
    <w:rsid w:val="005D15E2"/>
    <w:rsid w:val="005D19FA"/>
    <w:rsid w:val="005D2748"/>
    <w:rsid w:val="005D31D4"/>
    <w:rsid w:val="005D3BA2"/>
    <w:rsid w:val="005E17D7"/>
    <w:rsid w:val="005E2713"/>
    <w:rsid w:val="005E4009"/>
    <w:rsid w:val="005E460A"/>
    <w:rsid w:val="005E4ADA"/>
    <w:rsid w:val="005E5BBD"/>
    <w:rsid w:val="005E6169"/>
    <w:rsid w:val="005E6351"/>
    <w:rsid w:val="005E67CF"/>
    <w:rsid w:val="005E75CA"/>
    <w:rsid w:val="005F07FF"/>
    <w:rsid w:val="005F09B8"/>
    <w:rsid w:val="005F1B0B"/>
    <w:rsid w:val="005F4496"/>
    <w:rsid w:val="005F5844"/>
    <w:rsid w:val="005F65D7"/>
    <w:rsid w:val="005F6791"/>
    <w:rsid w:val="005F695F"/>
    <w:rsid w:val="005F6E6B"/>
    <w:rsid w:val="005F73D5"/>
    <w:rsid w:val="00600318"/>
    <w:rsid w:val="00600C95"/>
    <w:rsid w:val="00601B1C"/>
    <w:rsid w:val="00602003"/>
    <w:rsid w:val="00602B81"/>
    <w:rsid w:val="0060360F"/>
    <w:rsid w:val="00607DF0"/>
    <w:rsid w:val="00610683"/>
    <w:rsid w:val="00610B76"/>
    <w:rsid w:val="00611633"/>
    <w:rsid w:val="00614809"/>
    <w:rsid w:val="00614909"/>
    <w:rsid w:val="00615F4E"/>
    <w:rsid w:val="00616DF2"/>
    <w:rsid w:val="00616E02"/>
    <w:rsid w:val="0061737F"/>
    <w:rsid w:val="006173A1"/>
    <w:rsid w:val="00617470"/>
    <w:rsid w:val="00621794"/>
    <w:rsid w:val="00622164"/>
    <w:rsid w:val="006233D7"/>
    <w:rsid w:val="006236E6"/>
    <w:rsid w:val="006241C8"/>
    <w:rsid w:val="006243AE"/>
    <w:rsid w:val="00624483"/>
    <w:rsid w:val="006245CD"/>
    <w:rsid w:val="00624F4B"/>
    <w:rsid w:val="00624FD0"/>
    <w:rsid w:val="006258E7"/>
    <w:rsid w:val="00625C79"/>
    <w:rsid w:val="00626BF2"/>
    <w:rsid w:val="00627B3C"/>
    <w:rsid w:val="00627C76"/>
    <w:rsid w:val="00627C82"/>
    <w:rsid w:val="006311ED"/>
    <w:rsid w:val="00631863"/>
    <w:rsid w:val="006326AF"/>
    <w:rsid w:val="006330A7"/>
    <w:rsid w:val="00633352"/>
    <w:rsid w:val="00634232"/>
    <w:rsid w:val="00637152"/>
    <w:rsid w:val="00637D5C"/>
    <w:rsid w:val="00641420"/>
    <w:rsid w:val="00642970"/>
    <w:rsid w:val="00642BA2"/>
    <w:rsid w:val="00644991"/>
    <w:rsid w:val="00645566"/>
    <w:rsid w:val="00650706"/>
    <w:rsid w:val="00651686"/>
    <w:rsid w:val="00653432"/>
    <w:rsid w:val="00653F78"/>
    <w:rsid w:val="006544C5"/>
    <w:rsid w:val="0065471F"/>
    <w:rsid w:val="00655A8C"/>
    <w:rsid w:val="00656C66"/>
    <w:rsid w:val="00660736"/>
    <w:rsid w:val="00661175"/>
    <w:rsid w:val="00662F7C"/>
    <w:rsid w:val="00663AB5"/>
    <w:rsid w:val="006652F9"/>
    <w:rsid w:val="006673E0"/>
    <w:rsid w:val="00667DC7"/>
    <w:rsid w:val="00670122"/>
    <w:rsid w:val="00670742"/>
    <w:rsid w:val="00670F09"/>
    <w:rsid w:val="006720DD"/>
    <w:rsid w:val="00672995"/>
    <w:rsid w:val="00672E6B"/>
    <w:rsid w:val="00673438"/>
    <w:rsid w:val="00673989"/>
    <w:rsid w:val="00677424"/>
    <w:rsid w:val="006774DA"/>
    <w:rsid w:val="0067770C"/>
    <w:rsid w:val="00680936"/>
    <w:rsid w:val="006809E2"/>
    <w:rsid w:val="006816BC"/>
    <w:rsid w:val="00683D22"/>
    <w:rsid w:val="00683F6E"/>
    <w:rsid w:val="0068416B"/>
    <w:rsid w:val="006856B9"/>
    <w:rsid w:val="006864F2"/>
    <w:rsid w:val="00687385"/>
    <w:rsid w:val="00691511"/>
    <w:rsid w:val="00691CCB"/>
    <w:rsid w:val="0069393A"/>
    <w:rsid w:val="0069421B"/>
    <w:rsid w:val="00694954"/>
    <w:rsid w:val="00695057"/>
    <w:rsid w:val="006954A3"/>
    <w:rsid w:val="006974BF"/>
    <w:rsid w:val="006A1206"/>
    <w:rsid w:val="006A1470"/>
    <w:rsid w:val="006A230F"/>
    <w:rsid w:val="006A27A3"/>
    <w:rsid w:val="006A590E"/>
    <w:rsid w:val="006A5E1D"/>
    <w:rsid w:val="006A69EB"/>
    <w:rsid w:val="006B1773"/>
    <w:rsid w:val="006B199B"/>
    <w:rsid w:val="006B1EFE"/>
    <w:rsid w:val="006B21FA"/>
    <w:rsid w:val="006B3364"/>
    <w:rsid w:val="006B3D7F"/>
    <w:rsid w:val="006B4971"/>
    <w:rsid w:val="006B4C24"/>
    <w:rsid w:val="006B5789"/>
    <w:rsid w:val="006B65CF"/>
    <w:rsid w:val="006B6A35"/>
    <w:rsid w:val="006B6C09"/>
    <w:rsid w:val="006C0366"/>
    <w:rsid w:val="006C06B2"/>
    <w:rsid w:val="006C0A37"/>
    <w:rsid w:val="006C1C43"/>
    <w:rsid w:val="006C2507"/>
    <w:rsid w:val="006C4283"/>
    <w:rsid w:val="006C4D46"/>
    <w:rsid w:val="006C5719"/>
    <w:rsid w:val="006C59CD"/>
    <w:rsid w:val="006C5AF3"/>
    <w:rsid w:val="006C6E13"/>
    <w:rsid w:val="006C775B"/>
    <w:rsid w:val="006C7BD2"/>
    <w:rsid w:val="006D11E2"/>
    <w:rsid w:val="006D314B"/>
    <w:rsid w:val="006D3624"/>
    <w:rsid w:val="006D5602"/>
    <w:rsid w:val="006D578E"/>
    <w:rsid w:val="006D63BE"/>
    <w:rsid w:val="006D6940"/>
    <w:rsid w:val="006D73FA"/>
    <w:rsid w:val="006E23C3"/>
    <w:rsid w:val="006E27FA"/>
    <w:rsid w:val="006E2A8A"/>
    <w:rsid w:val="006E3E63"/>
    <w:rsid w:val="006E4517"/>
    <w:rsid w:val="006E4AD9"/>
    <w:rsid w:val="006E618E"/>
    <w:rsid w:val="006E6699"/>
    <w:rsid w:val="006F00F5"/>
    <w:rsid w:val="006F0910"/>
    <w:rsid w:val="006F0C58"/>
    <w:rsid w:val="006F21F1"/>
    <w:rsid w:val="006F2D05"/>
    <w:rsid w:val="006F2FE6"/>
    <w:rsid w:val="006F41DD"/>
    <w:rsid w:val="006F5C2E"/>
    <w:rsid w:val="006F6510"/>
    <w:rsid w:val="006F6E4D"/>
    <w:rsid w:val="006F6F94"/>
    <w:rsid w:val="006F7745"/>
    <w:rsid w:val="0070197A"/>
    <w:rsid w:val="00702072"/>
    <w:rsid w:val="007020ED"/>
    <w:rsid w:val="00703C52"/>
    <w:rsid w:val="00703DAB"/>
    <w:rsid w:val="007047DF"/>
    <w:rsid w:val="0070603B"/>
    <w:rsid w:val="007062FE"/>
    <w:rsid w:val="00706695"/>
    <w:rsid w:val="0070706E"/>
    <w:rsid w:val="00707523"/>
    <w:rsid w:val="0070785F"/>
    <w:rsid w:val="007100C1"/>
    <w:rsid w:val="00710B7F"/>
    <w:rsid w:val="007146B5"/>
    <w:rsid w:val="0071476C"/>
    <w:rsid w:val="00714798"/>
    <w:rsid w:val="00714E07"/>
    <w:rsid w:val="0071638C"/>
    <w:rsid w:val="0071686B"/>
    <w:rsid w:val="007204FB"/>
    <w:rsid w:val="00723377"/>
    <w:rsid w:val="007276A7"/>
    <w:rsid w:val="00727746"/>
    <w:rsid w:val="0073187C"/>
    <w:rsid w:val="007323EB"/>
    <w:rsid w:val="00733A23"/>
    <w:rsid w:val="007342FC"/>
    <w:rsid w:val="00735312"/>
    <w:rsid w:val="00736367"/>
    <w:rsid w:val="007364F0"/>
    <w:rsid w:val="00736625"/>
    <w:rsid w:val="00737C72"/>
    <w:rsid w:val="007402C0"/>
    <w:rsid w:val="007402CE"/>
    <w:rsid w:val="0074033C"/>
    <w:rsid w:val="00740C5D"/>
    <w:rsid w:val="00741B28"/>
    <w:rsid w:val="0074263B"/>
    <w:rsid w:val="00743311"/>
    <w:rsid w:val="007438F3"/>
    <w:rsid w:val="00743DCC"/>
    <w:rsid w:val="007449E0"/>
    <w:rsid w:val="00745305"/>
    <w:rsid w:val="00746ADD"/>
    <w:rsid w:val="00747B0F"/>
    <w:rsid w:val="00751FA0"/>
    <w:rsid w:val="007529CD"/>
    <w:rsid w:val="00752AF4"/>
    <w:rsid w:val="00752FC7"/>
    <w:rsid w:val="00753168"/>
    <w:rsid w:val="00753ED4"/>
    <w:rsid w:val="007568CF"/>
    <w:rsid w:val="0075730B"/>
    <w:rsid w:val="007600D3"/>
    <w:rsid w:val="007639C1"/>
    <w:rsid w:val="00763ED9"/>
    <w:rsid w:val="00764413"/>
    <w:rsid w:val="00765BC5"/>
    <w:rsid w:val="00766F19"/>
    <w:rsid w:val="0076706C"/>
    <w:rsid w:val="00770715"/>
    <w:rsid w:val="00770749"/>
    <w:rsid w:val="00770D78"/>
    <w:rsid w:val="00771BF7"/>
    <w:rsid w:val="00771D25"/>
    <w:rsid w:val="007722D6"/>
    <w:rsid w:val="007739BA"/>
    <w:rsid w:val="0077740B"/>
    <w:rsid w:val="00777859"/>
    <w:rsid w:val="00777CCD"/>
    <w:rsid w:val="0078281E"/>
    <w:rsid w:val="00782995"/>
    <w:rsid w:val="00785852"/>
    <w:rsid w:val="0078645A"/>
    <w:rsid w:val="007876B8"/>
    <w:rsid w:val="00791111"/>
    <w:rsid w:val="00792A03"/>
    <w:rsid w:val="00796083"/>
    <w:rsid w:val="00797DC4"/>
    <w:rsid w:val="007A03D4"/>
    <w:rsid w:val="007A04C9"/>
    <w:rsid w:val="007A0A2F"/>
    <w:rsid w:val="007A1103"/>
    <w:rsid w:val="007A1908"/>
    <w:rsid w:val="007A1A28"/>
    <w:rsid w:val="007A3B90"/>
    <w:rsid w:val="007A4E8A"/>
    <w:rsid w:val="007A57FC"/>
    <w:rsid w:val="007A691D"/>
    <w:rsid w:val="007A6AFC"/>
    <w:rsid w:val="007B077B"/>
    <w:rsid w:val="007B0A9A"/>
    <w:rsid w:val="007B17FE"/>
    <w:rsid w:val="007B2533"/>
    <w:rsid w:val="007B2AD6"/>
    <w:rsid w:val="007B4037"/>
    <w:rsid w:val="007B4440"/>
    <w:rsid w:val="007B481C"/>
    <w:rsid w:val="007B4EC1"/>
    <w:rsid w:val="007B5C05"/>
    <w:rsid w:val="007B6A67"/>
    <w:rsid w:val="007B6DDC"/>
    <w:rsid w:val="007B703B"/>
    <w:rsid w:val="007B786C"/>
    <w:rsid w:val="007C4E75"/>
    <w:rsid w:val="007C5757"/>
    <w:rsid w:val="007C6053"/>
    <w:rsid w:val="007C7F93"/>
    <w:rsid w:val="007D1258"/>
    <w:rsid w:val="007D1EF4"/>
    <w:rsid w:val="007D2778"/>
    <w:rsid w:val="007D2862"/>
    <w:rsid w:val="007D3120"/>
    <w:rsid w:val="007D4927"/>
    <w:rsid w:val="007D49AA"/>
    <w:rsid w:val="007D69CA"/>
    <w:rsid w:val="007D6B0B"/>
    <w:rsid w:val="007D7DB6"/>
    <w:rsid w:val="007E35D9"/>
    <w:rsid w:val="007E3B44"/>
    <w:rsid w:val="007E4ACE"/>
    <w:rsid w:val="007E4F00"/>
    <w:rsid w:val="007E64BC"/>
    <w:rsid w:val="007E6ABE"/>
    <w:rsid w:val="007E7B17"/>
    <w:rsid w:val="007F0321"/>
    <w:rsid w:val="007F1B7E"/>
    <w:rsid w:val="007F2F97"/>
    <w:rsid w:val="007F5A72"/>
    <w:rsid w:val="007F77DB"/>
    <w:rsid w:val="00801511"/>
    <w:rsid w:val="0080242E"/>
    <w:rsid w:val="00803862"/>
    <w:rsid w:val="00803DBA"/>
    <w:rsid w:val="00804448"/>
    <w:rsid w:val="00804B3D"/>
    <w:rsid w:val="00805691"/>
    <w:rsid w:val="00805F6C"/>
    <w:rsid w:val="00806CFA"/>
    <w:rsid w:val="00807450"/>
    <w:rsid w:val="0081031E"/>
    <w:rsid w:val="00811CE8"/>
    <w:rsid w:val="0081317C"/>
    <w:rsid w:val="00813B59"/>
    <w:rsid w:val="00813E26"/>
    <w:rsid w:val="00814C16"/>
    <w:rsid w:val="008159E9"/>
    <w:rsid w:val="00817BC9"/>
    <w:rsid w:val="008206BB"/>
    <w:rsid w:val="008210CD"/>
    <w:rsid w:val="0082359B"/>
    <w:rsid w:val="0082363F"/>
    <w:rsid w:val="00823BAE"/>
    <w:rsid w:val="008240C4"/>
    <w:rsid w:val="00824BA3"/>
    <w:rsid w:val="0082507F"/>
    <w:rsid w:val="008255F7"/>
    <w:rsid w:val="00826599"/>
    <w:rsid w:val="0082736F"/>
    <w:rsid w:val="00827561"/>
    <w:rsid w:val="008309E5"/>
    <w:rsid w:val="00830BD6"/>
    <w:rsid w:val="00830EFB"/>
    <w:rsid w:val="00833806"/>
    <w:rsid w:val="008350D5"/>
    <w:rsid w:val="008352FA"/>
    <w:rsid w:val="00836624"/>
    <w:rsid w:val="00837F44"/>
    <w:rsid w:val="0084000B"/>
    <w:rsid w:val="00840F2B"/>
    <w:rsid w:val="00841A09"/>
    <w:rsid w:val="00841D14"/>
    <w:rsid w:val="00842ACA"/>
    <w:rsid w:val="00842B1F"/>
    <w:rsid w:val="00846B46"/>
    <w:rsid w:val="00847081"/>
    <w:rsid w:val="008511D5"/>
    <w:rsid w:val="008521A7"/>
    <w:rsid w:val="008524EE"/>
    <w:rsid w:val="008575CF"/>
    <w:rsid w:val="00857C64"/>
    <w:rsid w:val="008600A8"/>
    <w:rsid w:val="00860E50"/>
    <w:rsid w:val="0086152E"/>
    <w:rsid w:val="008618DF"/>
    <w:rsid w:val="008623DD"/>
    <w:rsid w:val="008624D8"/>
    <w:rsid w:val="0086271A"/>
    <w:rsid w:val="0086342A"/>
    <w:rsid w:val="0086441A"/>
    <w:rsid w:val="00864B2D"/>
    <w:rsid w:val="00864F74"/>
    <w:rsid w:val="008654E6"/>
    <w:rsid w:val="00865694"/>
    <w:rsid w:val="00866140"/>
    <w:rsid w:val="00866CAF"/>
    <w:rsid w:val="00866CE0"/>
    <w:rsid w:val="00870EEF"/>
    <w:rsid w:val="00870F51"/>
    <w:rsid w:val="00872042"/>
    <w:rsid w:val="00872DAB"/>
    <w:rsid w:val="00873C38"/>
    <w:rsid w:val="008777DD"/>
    <w:rsid w:val="00877C18"/>
    <w:rsid w:val="00880ADD"/>
    <w:rsid w:val="0088101E"/>
    <w:rsid w:val="008810BC"/>
    <w:rsid w:val="00881522"/>
    <w:rsid w:val="00881E72"/>
    <w:rsid w:val="00881EE2"/>
    <w:rsid w:val="00883B4A"/>
    <w:rsid w:val="00883D9C"/>
    <w:rsid w:val="00884937"/>
    <w:rsid w:val="00884E09"/>
    <w:rsid w:val="00890042"/>
    <w:rsid w:val="0089007B"/>
    <w:rsid w:val="00890103"/>
    <w:rsid w:val="0089028E"/>
    <w:rsid w:val="00891B46"/>
    <w:rsid w:val="00894EAD"/>
    <w:rsid w:val="00894F8B"/>
    <w:rsid w:val="00895C2C"/>
    <w:rsid w:val="00896135"/>
    <w:rsid w:val="00897542"/>
    <w:rsid w:val="008A0C35"/>
    <w:rsid w:val="008A1447"/>
    <w:rsid w:val="008A18F7"/>
    <w:rsid w:val="008A2682"/>
    <w:rsid w:val="008A33FE"/>
    <w:rsid w:val="008A4C67"/>
    <w:rsid w:val="008A612B"/>
    <w:rsid w:val="008A7283"/>
    <w:rsid w:val="008B0898"/>
    <w:rsid w:val="008B22F8"/>
    <w:rsid w:val="008B235E"/>
    <w:rsid w:val="008B3CA0"/>
    <w:rsid w:val="008B5BFA"/>
    <w:rsid w:val="008B62E1"/>
    <w:rsid w:val="008B6437"/>
    <w:rsid w:val="008B7116"/>
    <w:rsid w:val="008B7C9E"/>
    <w:rsid w:val="008C0871"/>
    <w:rsid w:val="008C0C0C"/>
    <w:rsid w:val="008C0E5C"/>
    <w:rsid w:val="008C1569"/>
    <w:rsid w:val="008C32A0"/>
    <w:rsid w:val="008C456A"/>
    <w:rsid w:val="008C493B"/>
    <w:rsid w:val="008C5CDE"/>
    <w:rsid w:val="008C64B5"/>
    <w:rsid w:val="008C717D"/>
    <w:rsid w:val="008C73AE"/>
    <w:rsid w:val="008C78D2"/>
    <w:rsid w:val="008D2891"/>
    <w:rsid w:val="008D3469"/>
    <w:rsid w:val="008D4789"/>
    <w:rsid w:val="008D58A0"/>
    <w:rsid w:val="008D5C93"/>
    <w:rsid w:val="008D72C6"/>
    <w:rsid w:val="008E115F"/>
    <w:rsid w:val="008E1BC7"/>
    <w:rsid w:val="008E3426"/>
    <w:rsid w:val="008E34C1"/>
    <w:rsid w:val="008E52E6"/>
    <w:rsid w:val="008E5933"/>
    <w:rsid w:val="008E777C"/>
    <w:rsid w:val="008F0402"/>
    <w:rsid w:val="008F1609"/>
    <w:rsid w:val="008F4A8A"/>
    <w:rsid w:val="008F4C00"/>
    <w:rsid w:val="008F5349"/>
    <w:rsid w:val="008F59BC"/>
    <w:rsid w:val="008F5FFF"/>
    <w:rsid w:val="008F6E14"/>
    <w:rsid w:val="00900B78"/>
    <w:rsid w:val="00900F2C"/>
    <w:rsid w:val="00901891"/>
    <w:rsid w:val="00901968"/>
    <w:rsid w:val="00902087"/>
    <w:rsid w:val="00902387"/>
    <w:rsid w:val="009023CA"/>
    <w:rsid w:val="009026E6"/>
    <w:rsid w:val="009039BB"/>
    <w:rsid w:val="009050B6"/>
    <w:rsid w:val="00905DA0"/>
    <w:rsid w:val="009069EA"/>
    <w:rsid w:val="0090794A"/>
    <w:rsid w:val="00910A2B"/>
    <w:rsid w:val="009118A2"/>
    <w:rsid w:val="00911E92"/>
    <w:rsid w:val="009155F9"/>
    <w:rsid w:val="00916209"/>
    <w:rsid w:val="00920F94"/>
    <w:rsid w:val="009224ED"/>
    <w:rsid w:val="009227B3"/>
    <w:rsid w:val="009227D1"/>
    <w:rsid w:val="0092285A"/>
    <w:rsid w:val="009236C1"/>
    <w:rsid w:val="00923955"/>
    <w:rsid w:val="009248DB"/>
    <w:rsid w:val="00925343"/>
    <w:rsid w:val="00925C02"/>
    <w:rsid w:val="00926218"/>
    <w:rsid w:val="00926715"/>
    <w:rsid w:val="00931163"/>
    <w:rsid w:val="00931784"/>
    <w:rsid w:val="00931EB8"/>
    <w:rsid w:val="00932A2F"/>
    <w:rsid w:val="009330B9"/>
    <w:rsid w:val="00936878"/>
    <w:rsid w:val="0093775E"/>
    <w:rsid w:val="00937FF2"/>
    <w:rsid w:val="00941553"/>
    <w:rsid w:val="009418D7"/>
    <w:rsid w:val="00944851"/>
    <w:rsid w:val="00944B52"/>
    <w:rsid w:val="00945C76"/>
    <w:rsid w:val="00946A0A"/>
    <w:rsid w:val="00946AE5"/>
    <w:rsid w:val="009478FB"/>
    <w:rsid w:val="00950C90"/>
    <w:rsid w:val="0095211F"/>
    <w:rsid w:val="00952270"/>
    <w:rsid w:val="00952ED1"/>
    <w:rsid w:val="00952F91"/>
    <w:rsid w:val="009532A7"/>
    <w:rsid w:val="009534A4"/>
    <w:rsid w:val="00953A30"/>
    <w:rsid w:val="00956077"/>
    <w:rsid w:val="00956722"/>
    <w:rsid w:val="00957CAA"/>
    <w:rsid w:val="00960AD6"/>
    <w:rsid w:val="00960D05"/>
    <w:rsid w:val="00961515"/>
    <w:rsid w:val="00961A66"/>
    <w:rsid w:val="00961E6C"/>
    <w:rsid w:val="00962F75"/>
    <w:rsid w:val="00963295"/>
    <w:rsid w:val="00963803"/>
    <w:rsid w:val="009648E8"/>
    <w:rsid w:val="00965726"/>
    <w:rsid w:val="00965A3B"/>
    <w:rsid w:val="0096779F"/>
    <w:rsid w:val="00971A06"/>
    <w:rsid w:val="009730AD"/>
    <w:rsid w:val="009732BA"/>
    <w:rsid w:val="009741A9"/>
    <w:rsid w:val="00974B9D"/>
    <w:rsid w:val="00974C0D"/>
    <w:rsid w:val="009754A4"/>
    <w:rsid w:val="00975A8F"/>
    <w:rsid w:val="0097601E"/>
    <w:rsid w:val="0098080B"/>
    <w:rsid w:val="009812B3"/>
    <w:rsid w:val="00981707"/>
    <w:rsid w:val="00981F70"/>
    <w:rsid w:val="00982CC3"/>
    <w:rsid w:val="00982F4C"/>
    <w:rsid w:val="00983816"/>
    <w:rsid w:val="009842F3"/>
    <w:rsid w:val="0098502B"/>
    <w:rsid w:val="0098567A"/>
    <w:rsid w:val="0098647F"/>
    <w:rsid w:val="009865BB"/>
    <w:rsid w:val="00987434"/>
    <w:rsid w:val="00987933"/>
    <w:rsid w:val="0099155C"/>
    <w:rsid w:val="009915A9"/>
    <w:rsid w:val="009917F6"/>
    <w:rsid w:val="0099212B"/>
    <w:rsid w:val="00992AF1"/>
    <w:rsid w:val="009939D3"/>
    <w:rsid w:val="00995A1E"/>
    <w:rsid w:val="009A055E"/>
    <w:rsid w:val="009A1D2D"/>
    <w:rsid w:val="009A4F77"/>
    <w:rsid w:val="009A5C7E"/>
    <w:rsid w:val="009A62BA"/>
    <w:rsid w:val="009A6712"/>
    <w:rsid w:val="009A6D92"/>
    <w:rsid w:val="009A7055"/>
    <w:rsid w:val="009A71B9"/>
    <w:rsid w:val="009A76F9"/>
    <w:rsid w:val="009A7956"/>
    <w:rsid w:val="009A7FF9"/>
    <w:rsid w:val="009B0E17"/>
    <w:rsid w:val="009B1F70"/>
    <w:rsid w:val="009B3539"/>
    <w:rsid w:val="009B43AE"/>
    <w:rsid w:val="009B644B"/>
    <w:rsid w:val="009B6542"/>
    <w:rsid w:val="009B6E8A"/>
    <w:rsid w:val="009B72BB"/>
    <w:rsid w:val="009C01B6"/>
    <w:rsid w:val="009C0E81"/>
    <w:rsid w:val="009C0F52"/>
    <w:rsid w:val="009C2B61"/>
    <w:rsid w:val="009C350F"/>
    <w:rsid w:val="009C4004"/>
    <w:rsid w:val="009C400F"/>
    <w:rsid w:val="009C4948"/>
    <w:rsid w:val="009C54BF"/>
    <w:rsid w:val="009C55CB"/>
    <w:rsid w:val="009D18C9"/>
    <w:rsid w:val="009D391E"/>
    <w:rsid w:val="009D610A"/>
    <w:rsid w:val="009D6B9F"/>
    <w:rsid w:val="009E1C7C"/>
    <w:rsid w:val="009E37E7"/>
    <w:rsid w:val="009E5E65"/>
    <w:rsid w:val="009F24EF"/>
    <w:rsid w:val="009F2A6D"/>
    <w:rsid w:val="009F32E8"/>
    <w:rsid w:val="009F34B8"/>
    <w:rsid w:val="009F481A"/>
    <w:rsid w:val="009F4D6B"/>
    <w:rsid w:val="009F6DDE"/>
    <w:rsid w:val="00A004F8"/>
    <w:rsid w:val="00A00987"/>
    <w:rsid w:val="00A00989"/>
    <w:rsid w:val="00A01019"/>
    <w:rsid w:val="00A01668"/>
    <w:rsid w:val="00A019B4"/>
    <w:rsid w:val="00A027C3"/>
    <w:rsid w:val="00A0362A"/>
    <w:rsid w:val="00A04D7B"/>
    <w:rsid w:val="00A05588"/>
    <w:rsid w:val="00A05AB4"/>
    <w:rsid w:val="00A06470"/>
    <w:rsid w:val="00A10CF2"/>
    <w:rsid w:val="00A11D7C"/>
    <w:rsid w:val="00A1242E"/>
    <w:rsid w:val="00A1317E"/>
    <w:rsid w:val="00A1347F"/>
    <w:rsid w:val="00A14B75"/>
    <w:rsid w:val="00A156A2"/>
    <w:rsid w:val="00A160B4"/>
    <w:rsid w:val="00A168FB"/>
    <w:rsid w:val="00A17E0D"/>
    <w:rsid w:val="00A20977"/>
    <w:rsid w:val="00A20B8C"/>
    <w:rsid w:val="00A211DA"/>
    <w:rsid w:val="00A23D34"/>
    <w:rsid w:val="00A240BA"/>
    <w:rsid w:val="00A24682"/>
    <w:rsid w:val="00A25811"/>
    <w:rsid w:val="00A25970"/>
    <w:rsid w:val="00A27040"/>
    <w:rsid w:val="00A27334"/>
    <w:rsid w:val="00A2764B"/>
    <w:rsid w:val="00A30125"/>
    <w:rsid w:val="00A31C29"/>
    <w:rsid w:val="00A32A41"/>
    <w:rsid w:val="00A330C7"/>
    <w:rsid w:val="00A33680"/>
    <w:rsid w:val="00A35333"/>
    <w:rsid w:val="00A35801"/>
    <w:rsid w:val="00A42252"/>
    <w:rsid w:val="00A43134"/>
    <w:rsid w:val="00A455BB"/>
    <w:rsid w:val="00A460D7"/>
    <w:rsid w:val="00A461F1"/>
    <w:rsid w:val="00A4770C"/>
    <w:rsid w:val="00A479F3"/>
    <w:rsid w:val="00A503EB"/>
    <w:rsid w:val="00A50F06"/>
    <w:rsid w:val="00A51212"/>
    <w:rsid w:val="00A53545"/>
    <w:rsid w:val="00A5360F"/>
    <w:rsid w:val="00A53E58"/>
    <w:rsid w:val="00A5478A"/>
    <w:rsid w:val="00A54EC4"/>
    <w:rsid w:val="00A555D9"/>
    <w:rsid w:val="00A57031"/>
    <w:rsid w:val="00A574E4"/>
    <w:rsid w:val="00A57CA0"/>
    <w:rsid w:val="00A60773"/>
    <w:rsid w:val="00A61286"/>
    <w:rsid w:val="00A61C8D"/>
    <w:rsid w:val="00A64148"/>
    <w:rsid w:val="00A64EA1"/>
    <w:rsid w:val="00A65BF6"/>
    <w:rsid w:val="00A65FDA"/>
    <w:rsid w:val="00A668BD"/>
    <w:rsid w:val="00A7037F"/>
    <w:rsid w:val="00A8041C"/>
    <w:rsid w:val="00A818D5"/>
    <w:rsid w:val="00A82F0B"/>
    <w:rsid w:val="00A8538C"/>
    <w:rsid w:val="00A85D8D"/>
    <w:rsid w:val="00A87339"/>
    <w:rsid w:val="00A876B1"/>
    <w:rsid w:val="00A8779E"/>
    <w:rsid w:val="00A91BA6"/>
    <w:rsid w:val="00A945D1"/>
    <w:rsid w:val="00A95EF4"/>
    <w:rsid w:val="00A97B32"/>
    <w:rsid w:val="00AA0599"/>
    <w:rsid w:val="00AA23F3"/>
    <w:rsid w:val="00AA44B6"/>
    <w:rsid w:val="00AA4F6D"/>
    <w:rsid w:val="00AA539F"/>
    <w:rsid w:val="00AA57A2"/>
    <w:rsid w:val="00AA5E6A"/>
    <w:rsid w:val="00AA622D"/>
    <w:rsid w:val="00AB06AB"/>
    <w:rsid w:val="00AB1AB4"/>
    <w:rsid w:val="00AB1FA5"/>
    <w:rsid w:val="00AB28FF"/>
    <w:rsid w:val="00AB37F7"/>
    <w:rsid w:val="00AB5B6B"/>
    <w:rsid w:val="00AB66DF"/>
    <w:rsid w:val="00AB6EC6"/>
    <w:rsid w:val="00AC20DB"/>
    <w:rsid w:val="00AC239D"/>
    <w:rsid w:val="00AC376F"/>
    <w:rsid w:val="00AC4D1C"/>
    <w:rsid w:val="00AC56A3"/>
    <w:rsid w:val="00AC6480"/>
    <w:rsid w:val="00AC7CE6"/>
    <w:rsid w:val="00AC7D0A"/>
    <w:rsid w:val="00AD053D"/>
    <w:rsid w:val="00AD0646"/>
    <w:rsid w:val="00AD1184"/>
    <w:rsid w:val="00AD12A5"/>
    <w:rsid w:val="00AD1FD8"/>
    <w:rsid w:val="00AD4388"/>
    <w:rsid w:val="00AD4C06"/>
    <w:rsid w:val="00AD5642"/>
    <w:rsid w:val="00AD57BE"/>
    <w:rsid w:val="00AD5FA3"/>
    <w:rsid w:val="00AD62B1"/>
    <w:rsid w:val="00AE0135"/>
    <w:rsid w:val="00AE0220"/>
    <w:rsid w:val="00AE0ACD"/>
    <w:rsid w:val="00AE1A4A"/>
    <w:rsid w:val="00AE2C6D"/>
    <w:rsid w:val="00AE2D71"/>
    <w:rsid w:val="00AE2EF7"/>
    <w:rsid w:val="00AE30B4"/>
    <w:rsid w:val="00AE3785"/>
    <w:rsid w:val="00AE3FAA"/>
    <w:rsid w:val="00AE415D"/>
    <w:rsid w:val="00AE51FD"/>
    <w:rsid w:val="00AE6468"/>
    <w:rsid w:val="00AE7252"/>
    <w:rsid w:val="00AF0559"/>
    <w:rsid w:val="00AF3742"/>
    <w:rsid w:val="00AF37E0"/>
    <w:rsid w:val="00AF3827"/>
    <w:rsid w:val="00AF38B1"/>
    <w:rsid w:val="00AF412F"/>
    <w:rsid w:val="00AF5C34"/>
    <w:rsid w:val="00AF76A6"/>
    <w:rsid w:val="00B003A8"/>
    <w:rsid w:val="00B003C3"/>
    <w:rsid w:val="00B009B3"/>
    <w:rsid w:val="00B00E12"/>
    <w:rsid w:val="00B02A6B"/>
    <w:rsid w:val="00B02F67"/>
    <w:rsid w:val="00B0327C"/>
    <w:rsid w:val="00B034AE"/>
    <w:rsid w:val="00B03FDF"/>
    <w:rsid w:val="00B04397"/>
    <w:rsid w:val="00B044BB"/>
    <w:rsid w:val="00B057EA"/>
    <w:rsid w:val="00B05DC3"/>
    <w:rsid w:val="00B0628F"/>
    <w:rsid w:val="00B07C82"/>
    <w:rsid w:val="00B112E8"/>
    <w:rsid w:val="00B11356"/>
    <w:rsid w:val="00B11B62"/>
    <w:rsid w:val="00B13455"/>
    <w:rsid w:val="00B13E73"/>
    <w:rsid w:val="00B13FEC"/>
    <w:rsid w:val="00B14578"/>
    <w:rsid w:val="00B176A9"/>
    <w:rsid w:val="00B17934"/>
    <w:rsid w:val="00B20C9C"/>
    <w:rsid w:val="00B21292"/>
    <w:rsid w:val="00B2249B"/>
    <w:rsid w:val="00B22B05"/>
    <w:rsid w:val="00B23A62"/>
    <w:rsid w:val="00B23C18"/>
    <w:rsid w:val="00B24258"/>
    <w:rsid w:val="00B24853"/>
    <w:rsid w:val="00B26877"/>
    <w:rsid w:val="00B274D0"/>
    <w:rsid w:val="00B275F2"/>
    <w:rsid w:val="00B30207"/>
    <w:rsid w:val="00B303AE"/>
    <w:rsid w:val="00B30829"/>
    <w:rsid w:val="00B318A8"/>
    <w:rsid w:val="00B3261F"/>
    <w:rsid w:val="00B3599F"/>
    <w:rsid w:val="00B36436"/>
    <w:rsid w:val="00B36B96"/>
    <w:rsid w:val="00B376BF"/>
    <w:rsid w:val="00B423C2"/>
    <w:rsid w:val="00B42BF1"/>
    <w:rsid w:val="00B4331A"/>
    <w:rsid w:val="00B46A3E"/>
    <w:rsid w:val="00B47593"/>
    <w:rsid w:val="00B512C9"/>
    <w:rsid w:val="00B521A3"/>
    <w:rsid w:val="00B5361E"/>
    <w:rsid w:val="00B5453F"/>
    <w:rsid w:val="00B54A16"/>
    <w:rsid w:val="00B5595E"/>
    <w:rsid w:val="00B55DC2"/>
    <w:rsid w:val="00B573B7"/>
    <w:rsid w:val="00B578B6"/>
    <w:rsid w:val="00B579D9"/>
    <w:rsid w:val="00B60903"/>
    <w:rsid w:val="00B62123"/>
    <w:rsid w:val="00B74611"/>
    <w:rsid w:val="00B74BA7"/>
    <w:rsid w:val="00B75E46"/>
    <w:rsid w:val="00B76335"/>
    <w:rsid w:val="00B76C14"/>
    <w:rsid w:val="00B77424"/>
    <w:rsid w:val="00B77510"/>
    <w:rsid w:val="00B77F71"/>
    <w:rsid w:val="00B8070C"/>
    <w:rsid w:val="00B819EC"/>
    <w:rsid w:val="00B81F9F"/>
    <w:rsid w:val="00B824AB"/>
    <w:rsid w:val="00B82A4F"/>
    <w:rsid w:val="00B84499"/>
    <w:rsid w:val="00B853C2"/>
    <w:rsid w:val="00B85E99"/>
    <w:rsid w:val="00B87284"/>
    <w:rsid w:val="00B87B79"/>
    <w:rsid w:val="00B9058B"/>
    <w:rsid w:val="00B90667"/>
    <w:rsid w:val="00B91064"/>
    <w:rsid w:val="00B9107E"/>
    <w:rsid w:val="00B91CB8"/>
    <w:rsid w:val="00B92D41"/>
    <w:rsid w:val="00B93246"/>
    <w:rsid w:val="00B93541"/>
    <w:rsid w:val="00B94086"/>
    <w:rsid w:val="00B94661"/>
    <w:rsid w:val="00B94A10"/>
    <w:rsid w:val="00B94F42"/>
    <w:rsid w:val="00B97D90"/>
    <w:rsid w:val="00BA00AB"/>
    <w:rsid w:val="00BA016E"/>
    <w:rsid w:val="00BA2674"/>
    <w:rsid w:val="00BA26FD"/>
    <w:rsid w:val="00BA28F5"/>
    <w:rsid w:val="00BA63AB"/>
    <w:rsid w:val="00BA6EEF"/>
    <w:rsid w:val="00BB1DE5"/>
    <w:rsid w:val="00BB2FBF"/>
    <w:rsid w:val="00BB36DB"/>
    <w:rsid w:val="00BB3756"/>
    <w:rsid w:val="00BB3898"/>
    <w:rsid w:val="00BB5711"/>
    <w:rsid w:val="00BB58AB"/>
    <w:rsid w:val="00BB5F07"/>
    <w:rsid w:val="00BB6DD8"/>
    <w:rsid w:val="00BB6DDB"/>
    <w:rsid w:val="00BC0C58"/>
    <w:rsid w:val="00BC0E42"/>
    <w:rsid w:val="00BC2573"/>
    <w:rsid w:val="00BC2944"/>
    <w:rsid w:val="00BC34C0"/>
    <w:rsid w:val="00BC3783"/>
    <w:rsid w:val="00BC3F2E"/>
    <w:rsid w:val="00BC4D23"/>
    <w:rsid w:val="00BC5A75"/>
    <w:rsid w:val="00BC6959"/>
    <w:rsid w:val="00BC6EB5"/>
    <w:rsid w:val="00BC754E"/>
    <w:rsid w:val="00BD2274"/>
    <w:rsid w:val="00BD2971"/>
    <w:rsid w:val="00BD2A59"/>
    <w:rsid w:val="00BD3143"/>
    <w:rsid w:val="00BD36F4"/>
    <w:rsid w:val="00BD4396"/>
    <w:rsid w:val="00BD471B"/>
    <w:rsid w:val="00BD6695"/>
    <w:rsid w:val="00BD7F28"/>
    <w:rsid w:val="00BE1312"/>
    <w:rsid w:val="00BE1391"/>
    <w:rsid w:val="00BE23A5"/>
    <w:rsid w:val="00BE4A84"/>
    <w:rsid w:val="00BE6635"/>
    <w:rsid w:val="00BF117D"/>
    <w:rsid w:val="00BF1335"/>
    <w:rsid w:val="00BF19D3"/>
    <w:rsid w:val="00BF2418"/>
    <w:rsid w:val="00BF2D78"/>
    <w:rsid w:val="00BF5847"/>
    <w:rsid w:val="00BF67A2"/>
    <w:rsid w:val="00BF70C3"/>
    <w:rsid w:val="00BF74DF"/>
    <w:rsid w:val="00C00134"/>
    <w:rsid w:val="00C00EC3"/>
    <w:rsid w:val="00C010EA"/>
    <w:rsid w:val="00C0155B"/>
    <w:rsid w:val="00C05BBA"/>
    <w:rsid w:val="00C06E1B"/>
    <w:rsid w:val="00C07101"/>
    <w:rsid w:val="00C10175"/>
    <w:rsid w:val="00C107C4"/>
    <w:rsid w:val="00C1097E"/>
    <w:rsid w:val="00C12220"/>
    <w:rsid w:val="00C13031"/>
    <w:rsid w:val="00C131B8"/>
    <w:rsid w:val="00C134FA"/>
    <w:rsid w:val="00C15426"/>
    <w:rsid w:val="00C164D4"/>
    <w:rsid w:val="00C16CEE"/>
    <w:rsid w:val="00C177DE"/>
    <w:rsid w:val="00C20E99"/>
    <w:rsid w:val="00C222B8"/>
    <w:rsid w:val="00C22DAE"/>
    <w:rsid w:val="00C25789"/>
    <w:rsid w:val="00C258D6"/>
    <w:rsid w:val="00C27CAD"/>
    <w:rsid w:val="00C3088E"/>
    <w:rsid w:val="00C30910"/>
    <w:rsid w:val="00C31139"/>
    <w:rsid w:val="00C31A65"/>
    <w:rsid w:val="00C31B94"/>
    <w:rsid w:val="00C31BAE"/>
    <w:rsid w:val="00C32771"/>
    <w:rsid w:val="00C32BF9"/>
    <w:rsid w:val="00C32ED5"/>
    <w:rsid w:val="00C32F78"/>
    <w:rsid w:val="00C331A0"/>
    <w:rsid w:val="00C3328E"/>
    <w:rsid w:val="00C339C2"/>
    <w:rsid w:val="00C339F7"/>
    <w:rsid w:val="00C33F68"/>
    <w:rsid w:val="00C34994"/>
    <w:rsid w:val="00C360BD"/>
    <w:rsid w:val="00C368A5"/>
    <w:rsid w:val="00C41819"/>
    <w:rsid w:val="00C44A91"/>
    <w:rsid w:val="00C45439"/>
    <w:rsid w:val="00C46E43"/>
    <w:rsid w:val="00C47552"/>
    <w:rsid w:val="00C528A8"/>
    <w:rsid w:val="00C534DE"/>
    <w:rsid w:val="00C53988"/>
    <w:rsid w:val="00C540E0"/>
    <w:rsid w:val="00C57151"/>
    <w:rsid w:val="00C6145B"/>
    <w:rsid w:val="00C63372"/>
    <w:rsid w:val="00C633A7"/>
    <w:rsid w:val="00C63A87"/>
    <w:rsid w:val="00C641D6"/>
    <w:rsid w:val="00C64A3C"/>
    <w:rsid w:val="00C658BD"/>
    <w:rsid w:val="00C67325"/>
    <w:rsid w:val="00C67CC3"/>
    <w:rsid w:val="00C71722"/>
    <w:rsid w:val="00C720C4"/>
    <w:rsid w:val="00C730C1"/>
    <w:rsid w:val="00C74572"/>
    <w:rsid w:val="00C75716"/>
    <w:rsid w:val="00C75F11"/>
    <w:rsid w:val="00C7758D"/>
    <w:rsid w:val="00C77966"/>
    <w:rsid w:val="00C80FC9"/>
    <w:rsid w:val="00C817A9"/>
    <w:rsid w:val="00C8208A"/>
    <w:rsid w:val="00C82D08"/>
    <w:rsid w:val="00C842DF"/>
    <w:rsid w:val="00C877EE"/>
    <w:rsid w:val="00C87BA1"/>
    <w:rsid w:val="00C91528"/>
    <w:rsid w:val="00C9235A"/>
    <w:rsid w:val="00C936D5"/>
    <w:rsid w:val="00C950CE"/>
    <w:rsid w:val="00C9759F"/>
    <w:rsid w:val="00CA0615"/>
    <w:rsid w:val="00CA1756"/>
    <w:rsid w:val="00CA1FB4"/>
    <w:rsid w:val="00CA32BD"/>
    <w:rsid w:val="00CA435D"/>
    <w:rsid w:val="00CA4A31"/>
    <w:rsid w:val="00CA632F"/>
    <w:rsid w:val="00CA6643"/>
    <w:rsid w:val="00CA757F"/>
    <w:rsid w:val="00CA78A7"/>
    <w:rsid w:val="00CA7BB2"/>
    <w:rsid w:val="00CB09C5"/>
    <w:rsid w:val="00CB09DA"/>
    <w:rsid w:val="00CB1BBF"/>
    <w:rsid w:val="00CB1F21"/>
    <w:rsid w:val="00CB2AC9"/>
    <w:rsid w:val="00CB305D"/>
    <w:rsid w:val="00CB35C8"/>
    <w:rsid w:val="00CB384E"/>
    <w:rsid w:val="00CB4955"/>
    <w:rsid w:val="00CB6725"/>
    <w:rsid w:val="00CB6D27"/>
    <w:rsid w:val="00CB7E96"/>
    <w:rsid w:val="00CB7EE0"/>
    <w:rsid w:val="00CC0604"/>
    <w:rsid w:val="00CC0D5A"/>
    <w:rsid w:val="00CC1498"/>
    <w:rsid w:val="00CC18B1"/>
    <w:rsid w:val="00CC19DE"/>
    <w:rsid w:val="00CC498A"/>
    <w:rsid w:val="00CC4E28"/>
    <w:rsid w:val="00CC7135"/>
    <w:rsid w:val="00CC7741"/>
    <w:rsid w:val="00CD1A6E"/>
    <w:rsid w:val="00CD277C"/>
    <w:rsid w:val="00CD29F1"/>
    <w:rsid w:val="00CD5638"/>
    <w:rsid w:val="00CD5A30"/>
    <w:rsid w:val="00CD5A42"/>
    <w:rsid w:val="00CD6322"/>
    <w:rsid w:val="00CD7294"/>
    <w:rsid w:val="00CE0946"/>
    <w:rsid w:val="00CE2F01"/>
    <w:rsid w:val="00CE4B9A"/>
    <w:rsid w:val="00CE4DF1"/>
    <w:rsid w:val="00CE4FBF"/>
    <w:rsid w:val="00CE6469"/>
    <w:rsid w:val="00CE669E"/>
    <w:rsid w:val="00CE6A45"/>
    <w:rsid w:val="00CE770E"/>
    <w:rsid w:val="00CF00A2"/>
    <w:rsid w:val="00CF0506"/>
    <w:rsid w:val="00CF054A"/>
    <w:rsid w:val="00CF063A"/>
    <w:rsid w:val="00CF06C2"/>
    <w:rsid w:val="00CF1155"/>
    <w:rsid w:val="00CF1523"/>
    <w:rsid w:val="00CF1987"/>
    <w:rsid w:val="00CF2271"/>
    <w:rsid w:val="00CF2AB0"/>
    <w:rsid w:val="00CF3B44"/>
    <w:rsid w:val="00CF644F"/>
    <w:rsid w:val="00CF6AD7"/>
    <w:rsid w:val="00D00EE3"/>
    <w:rsid w:val="00D01481"/>
    <w:rsid w:val="00D01F9D"/>
    <w:rsid w:val="00D0240A"/>
    <w:rsid w:val="00D025E0"/>
    <w:rsid w:val="00D036E1"/>
    <w:rsid w:val="00D0399F"/>
    <w:rsid w:val="00D044F0"/>
    <w:rsid w:val="00D05018"/>
    <w:rsid w:val="00D051B9"/>
    <w:rsid w:val="00D066C1"/>
    <w:rsid w:val="00D06BEA"/>
    <w:rsid w:val="00D06F78"/>
    <w:rsid w:val="00D07875"/>
    <w:rsid w:val="00D115A4"/>
    <w:rsid w:val="00D12675"/>
    <w:rsid w:val="00D13639"/>
    <w:rsid w:val="00D15E63"/>
    <w:rsid w:val="00D164EA"/>
    <w:rsid w:val="00D218E9"/>
    <w:rsid w:val="00D22113"/>
    <w:rsid w:val="00D222E1"/>
    <w:rsid w:val="00D22D7A"/>
    <w:rsid w:val="00D23DED"/>
    <w:rsid w:val="00D24249"/>
    <w:rsid w:val="00D242A4"/>
    <w:rsid w:val="00D24FA1"/>
    <w:rsid w:val="00D259E7"/>
    <w:rsid w:val="00D27451"/>
    <w:rsid w:val="00D3107B"/>
    <w:rsid w:val="00D345BA"/>
    <w:rsid w:val="00D36A23"/>
    <w:rsid w:val="00D37DA2"/>
    <w:rsid w:val="00D40787"/>
    <w:rsid w:val="00D41A89"/>
    <w:rsid w:val="00D428D5"/>
    <w:rsid w:val="00D4622E"/>
    <w:rsid w:val="00D4632D"/>
    <w:rsid w:val="00D470B2"/>
    <w:rsid w:val="00D4728F"/>
    <w:rsid w:val="00D47BBF"/>
    <w:rsid w:val="00D50CD8"/>
    <w:rsid w:val="00D51424"/>
    <w:rsid w:val="00D51C02"/>
    <w:rsid w:val="00D5238A"/>
    <w:rsid w:val="00D54702"/>
    <w:rsid w:val="00D56B57"/>
    <w:rsid w:val="00D57148"/>
    <w:rsid w:val="00D608B0"/>
    <w:rsid w:val="00D60A69"/>
    <w:rsid w:val="00D60D63"/>
    <w:rsid w:val="00D62F30"/>
    <w:rsid w:val="00D64EA6"/>
    <w:rsid w:val="00D6542F"/>
    <w:rsid w:val="00D66EAB"/>
    <w:rsid w:val="00D71112"/>
    <w:rsid w:val="00D72BC8"/>
    <w:rsid w:val="00D72F61"/>
    <w:rsid w:val="00D7422F"/>
    <w:rsid w:val="00D74BEA"/>
    <w:rsid w:val="00D779AB"/>
    <w:rsid w:val="00D80DDF"/>
    <w:rsid w:val="00D81FE8"/>
    <w:rsid w:val="00D83D8D"/>
    <w:rsid w:val="00D84C66"/>
    <w:rsid w:val="00D84FA8"/>
    <w:rsid w:val="00D8613B"/>
    <w:rsid w:val="00D86673"/>
    <w:rsid w:val="00D87540"/>
    <w:rsid w:val="00D904CC"/>
    <w:rsid w:val="00D91976"/>
    <w:rsid w:val="00D93ABB"/>
    <w:rsid w:val="00D95BA5"/>
    <w:rsid w:val="00D95D30"/>
    <w:rsid w:val="00D97123"/>
    <w:rsid w:val="00DA018B"/>
    <w:rsid w:val="00DA0234"/>
    <w:rsid w:val="00DA24BC"/>
    <w:rsid w:val="00DA35DA"/>
    <w:rsid w:val="00DA3861"/>
    <w:rsid w:val="00DA407F"/>
    <w:rsid w:val="00DA4BDB"/>
    <w:rsid w:val="00DA5E04"/>
    <w:rsid w:val="00DA6391"/>
    <w:rsid w:val="00DA667E"/>
    <w:rsid w:val="00DA6CCA"/>
    <w:rsid w:val="00DB022F"/>
    <w:rsid w:val="00DB08E6"/>
    <w:rsid w:val="00DB1454"/>
    <w:rsid w:val="00DB1852"/>
    <w:rsid w:val="00DB1879"/>
    <w:rsid w:val="00DB1A56"/>
    <w:rsid w:val="00DB28CB"/>
    <w:rsid w:val="00DB2ED0"/>
    <w:rsid w:val="00DB4649"/>
    <w:rsid w:val="00DB4800"/>
    <w:rsid w:val="00DB4D9E"/>
    <w:rsid w:val="00DB4DE8"/>
    <w:rsid w:val="00DB668B"/>
    <w:rsid w:val="00DC0D79"/>
    <w:rsid w:val="00DC100F"/>
    <w:rsid w:val="00DC1657"/>
    <w:rsid w:val="00DC260C"/>
    <w:rsid w:val="00DC4A8C"/>
    <w:rsid w:val="00DC57B1"/>
    <w:rsid w:val="00DC58E8"/>
    <w:rsid w:val="00DC5E6E"/>
    <w:rsid w:val="00DC727F"/>
    <w:rsid w:val="00DC79DD"/>
    <w:rsid w:val="00DD1F53"/>
    <w:rsid w:val="00DD442F"/>
    <w:rsid w:val="00DD46DD"/>
    <w:rsid w:val="00DD505E"/>
    <w:rsid w:val="00DD636F"/>
    <w:rsid w:val="00DD6E00"/>
    <w:rsid w:val="00DD6F29"/>
    <w:rsid w:val="00DD70BF"/>
    <w:rsid w:val="00DD797D"/>
    <w:rsid w:val="00DE1E82"/>
    <w:rsid w:val="00DE25EC"/>
    <w:rsid w:val="00DE4953"/>
    <w:rsid w:val="00DE5B74"/>
    <w:rsid w:val="00DF0C4B"/>
    <w:rsid w:val="00DF1267"/>
    <w:rsid w:val="00DF15FE"/>
    <w:rsid w:val="00DF2311"/>
    <w:rsid w:val="00DF323C"/>
    <w:rsid w:val="00DF3659"/>
    <w:rsid w:val="00DF4286"/>
    <w:rsid w:val="00DF7DEB"/>
    <w:rsid w:val="00E01220"/>
    <w:rsid w:val="00E017A9"/>
    <w:rsid w:val="00E021FA"/>
    <w:rsid w:val="00E023D6"/>
    <w:rsid w:val="00E02EAA"/>
    <w:rsid w:val="00E03838"/>
    <w:rsid w:val="00E0496A"/>
    <w:rsid w:val="00E05D03"/>
    <w:rsid w:val="00E06830"/>
    <w:rsid w:val="00E069FA"/>
    <w:rsid w:val="00E0786D"/>
    <w:rsid w:val="00E07AC1"/>
    <w:rsid w:val="00E07F5D"/>
    <w:rsid w:val="00E10BE5"/>
    <w:rsid w:val="00E11E57"/>
    <w:rsid w:val="00E1267E"/>
    <w:rsid w:val="00E135E9"/>
    <w:rsid w:val="00E1416E"/>
    <w:rsid w:val="00E15A88"/>
    <w:rsid w:val="00E15AE1"/>
    <w:rsid w:val="00E15BB5"/>
    <w:rsid w:val="00E15C79"/>
    <w:rsid w:val="00E16CAE"/>
    <w:rsid w:val="00E16FC8"/>
    <w:rsid w:val="00E20C32"/>
    <w:rsid w:val="00E2354C"/>
    <w:rsid w:val="00E2404B"/>
    <w:rsid w:val="00E25431"/>
    <w:rsid w:val="00E25497"/>
    <w:rsid w:val="00E256F5"/>
    <w:rsid w:val="00E2667C"/>
    <w:rsid w:val="00E27223"/>
    <w:rsid w:val="00E317F3"/>
    <w:rsid w:val="00E31938"/>
    <w:rsid w:val="00E31A31"/>
    <w:rsid w:val="00E31F65"/>
    <w:rsid w:val="00E33A13"/>
    <w:rsid w:val="00E37837"/>
    <w:rsid w:val="00E40491"/>
    <w:rsid w:val="00E410D5"/>
    <w:rsid w:val="00E417AD"/>
    <w:rsid w:val="00E43313"/>
    <w:rsid w:val="00E43627"/>
    <w:rsid w:val="00E43C54"/>
    <w:rsid w:val="00E43EC6"/>
    <w:rsid w:val="00E44096"/>
    <w:rsid w:val="00E45281"/>
    <w:rsid w:val="00E460B7"/>
    <w:rsid w:val="00E46364"/>
    <w:rsid w:val="00E46CED"/>
    <w:rsid w:val="00E47663"/>
    <w:rsid w:val="00E519DD"/>
    <w:rsid w:val="00E52752"/>
    <w:rsid w:val="00E5296D"/>
    <w:rsid w:val="00E545D7"/>
    <w:rsid w:val="00E54B73"/>
    <w:rsid w:val="00E55C4A"/>
    <w:rsid w:val="00E55FF0"/>
    <w:rsid w:val="00E60815"/>
    <w:rsid w:val="00E64219"/>
    <w:rsid w:val="00E64972"/>
    <w:rsid w:val="00E64BEF"/>
    <w:rsid w:val="00E65320"/>
    <w:rsid w:val="00E65DFB"/>
    <w:rsid w:val="00E66C42"/>
    <w:rsid w:val="00E67D63"/>
    <w:rsid w:val="00E67DA5"/>
    <w:rsid w:val="00E7338E"/>
    <w:rsid w:val="00E75EE5"/>
    <w:rsid w:val="00E760DA"/>
    <w:rsid w:val="00E776AF"/>
    <w:rsid w:val="00E82673"/>
    <w:rsid w:val="00E8403B"/>
    <w:rsid w:val="00E84123"/>
    <w:rsid w:val="00E8501A"/>
    <w:rsid w:val="00E85780"/>
    <w:rsid w:val="00E85913"/>
    <w:rsid w:val="00E85A11"/>
    <w:rsid w:val="00E86393"/>
    <w:rsid w:val="00E86D13"/>
    <w:rsid w:val="00E90048"/>
    <w:rsid w:val="00E90316"/>
    <w:rsid w:val="00E9075C"/>
    <w:rsid w:val="00E93277"/>
    <w:rsid w:val="00E945F1"/>
    <w:rsid w:val="00E95731"/>
    <w:rsid w:val="00E95B59"/>
    <w:rsid w:val="00E95D3F"/>
    <w:rsid w:val="00E96586"/>
    <w:rsid w:val="00E965A9"/>
    <w:rsid w:val="00E97504"/>
    <w:rsid w:val="00EA0750"/>
    <w:rsid w:val="00EA0E08"/>
    <w:rsid w:val="00EA136E"/>
    <w:rsid w:val="00EA168C"/>
    <w:rsid w:val="00EA27FB"/>
    <w:rsid w:val="00EA2F0B"/>
    <w:rsid w:val="00EA5745"/>
    <w:rsid w:val="00EA5895"/>
    <w:rsid w:val="00EA78A2"/>
    <w:rsid w:val="00EA7F1E"/>
    <w:rsid w:val="00EB05CF"/>
    <w:rsid w:val="00EB1907"/>
    <w:rsid w:val="00EB3EA3"/>
    <w:rsid w:val="00EB51AC"/>
    <w:rsid w:val="00EB51FA"/>
    <w:rsid w:val="00EB62DC"/>
    <w:rsid w:val="00EB668D"/>
    <w:rsid w:val="00EB7C20"/>
    <w:rsid w:val="00EB7D47"/>
    <w:rsid w:val="00EC148A"/>
    <w:rsid w:val="00EC20CC"/>
    <w:rsid w:val="00EC27CB"/>
    <w:rsid w:val="00EC2A9F"/>
    <w:rsid w:val="00EC3D8D"/>
    <w:rsid w:val="00EC4AA7"/>
    <w:rsid w:val="00EC65E2"/>
    <w:rsid w:val="00EC6CE4"/>
    <w:rsid w:val="00EC7173"/>
    <w:rsid w:val="00ED1C40"/>
    <w:rsid w:val="00ED25DF"/>
    <w:rsid w:val="00ED2F30"/>
    <w:rsid w:val="00ED3AC9"/>
    <w:rsid w:val="00ED51A5"/>
    <w:rsid w:val="00ED6ADE"/>
    <w:rsid w:val="00ED6C69"/>
    <w:rsid w:val="00EE4151"/>
    <w:rsid w:val="00EE4B1E"/>
    <w:rsid w:val="00EE5BF2"/>
    <w:rsid w:val="00EE5E76"/>
    <w:rsid w:val="00EE64BD"/>
    <w:rsid w:val="00EE7A4A"/>
    <w:rsid w:val="00EF0823"/>
    <w:rsid w:val="00EF0C4A"/>
    <w:rsid w:val="00EF1594"/>
    <w:rsid w:val="00EF2378"/>
    <w:rsid w:val="00EF263C"/>
    <w:rsid w:val="00EF6C67"/>
    <w:rsid w:val="00EF6F23"/>
    <w:rsid w:val="00EF716C"/>
    <w:rsid w:val="00EF7C5A"/>
    <w:rsid w:val="00F004D6"/>
    <w:rsid w:val="00F00800"/>
    <w:rsid w:val="00F01A11"/>
    <w:rsid w:val="00F03C50"/>
    <w:rsid w:val="00F03FB3"/>
    <w:rsid w:val="00F05593"/>
    <w:rsid w:val="00F114BF"/>
    <w:rsid w:val="00F12034"/>
    <w:rsid w:val="00F13EDB"/>
    <w:rsid w:val="00F1466D"/>
    <w:rsid w:val="00F14BFB"/>
    <w:rsid w:val="00F154F0"/>
    <w:rsid w:val="00F155F0"/>
    <w:rsid w:val="00F15735"/>
    <w:rsid w:val="00F15E09"/>
    <w:rsid w:val="00F162BF"/>
    <w:rsid w:val="00F21ADB"/>
    <w:rsid w:val="00F27A6C"/>
    <w:rsid w:val="00F30117"/>
    <w:rsid w:val="00F308A8"/>
    <w:rsid w:val="00F30B14"/>
    <w:rsid w:val="00F30D5C"/>
    <w:rsid w:val="00F314E8"/>
    <w:rsid w:val="00F31847"/>
    <w:rsid w:val="00F32168"/>
    <w:rsid w:val="00F3367B"/>
    <w:rsid w:val="00F350AB"/>
    <w:rsid w:val="00F36227"/>
    <w:rsid w:val="00F36CC1"/>
    <w:rsid w:val="00F37B2C"/>
    <w:rsid w:val="00F4196E"/>
    <w:rsid w:val="00F41EC2"/>
    <w:rsid w:val="00F438F7"/>
    <w:rsid w:val="00F4396B"/>
    <w:rsid w:val="00F450CD"/>
    <w:rsid w:val="00F47A56"/>
    <w:rsid w:val="00F47DFE"/>
    <w:rsid w:val="00F50D93"/>
    <w:rsid w:val="00F51182"/>
    <w:rsid w:val="00F52C18"/>
    <w:rsid w:val="00F5319D"/>
    <w:rsid w:val="00F534FF"/>
    <w:rsid w:val="00F53C7B"/>
    <w:rsid w:val="00F540FE"/>
    <w:rsid w:val="00F546F7"/>
    <w:rsid w:val="00F55539"/>
    <w:rsid w:val="00F555C2"/>
    <w:rsid w:val="00F565AC"/>
    <w:rsid w:val="00F63551"/>
    <w:rsid w:val="00F6423A"/>
    <w:rsid w:val="00F64995"/>
    <w:rsid w:val="00F65C07"/>
    <w:rsid w:val="00F66166"/>
    <w:rsid w:val="00F66D23"/>
    <w:rsid w:val="00F677D9"/>
    <w:rsid w:val="00F67E26"/>
    <w:rsid w:val="00F70BA0"/>
    <w:rsid w:val="00F71055"/>
    <w:rsid w:val="00F71455"/>
    <w:rsid w:val="00F715A6"/>
    <w:rsid w:val="00F71B91"/>
    <w:rsid w:val="00F720B8"/>
    <w:rsid w:val="00F7237D"/>
    <w:rsid w:val="00F7273F"/>
    <w:rsid w:val="00F72B6E"/>
    <w:rsid w:val="00F74A58"/>
    <w:rsid w:val="00F74BA1"/>
    <w:rsid w:val="00F76B53"/>
    <w:rsid w:val="00F76E5D"/>
    <w:rsid w:val="00F77290"/>
    <w:rsid w:val="00F7746D"/>
    <w:rsid w:val="00F77D1C"/>
    <w:rsid w:val="00F77E0E"/>
    <w:rsid w:val="00F82C7F"/>
    <w:rsid w:val="00F8341F"/>
    <w:rsid w:val="00F84A97"/>
    <w:rsid w:val="00F84AD9"/>
    <w:rsid w:val="00F860C6"/>
    <w:rsid w:val="00F8796C"/>
    <w:rsid w:val="00F90508"/>
    <w:rsid w:val="00F90534"/>
    <w:rsid w:val="00F91136"/>
    <w:rsid w:val="00F91E10"/>
    <w:rsid w:val="00F9575A"/>
    <w:rsid w:val="00F96741"/>
    <w:rsid w:val="00F96CF8"/>
    <w:rsid w:val="00F977B4"/>
    <w:rsid w:val="00F97AD3"/>
    <w:rsid w:val="00FA081F"/>
    <w:rsid w:val="00FA0BF8"/>
    <w:rsid w:val="00FA1BFF"/>
    <w:rsid w:val="00FA28F7"/>
    <w:rsid w:val="00FA29F1"/>
    <w:rsid w:val="00FA36CB"/>
    <w:rsid w:val="00FA49B1"/>
    <w:rsid w:val="00FA4D3D"/>
    <w:rsid w:val="00FA55FB"/>
    <w:rsid w:val="00FA58CD"/>
    <w:rsid w:val="00FA5AF6"/>
    <w:rsid w:val="00FA6A97"/>
    <w:rsid w:val="00FA7542"/>
    <w:rsid w:val="00FB0E16"/>
    <w:rsid w:val="00FB2863"/>
    <w:rsid w:val="00FB3742"/>
    <w:rsid w:val="00FB432E"/>
    <w:rsid w:val="00FB55E6"/>
    <w:rsid w:val="00FB6A8E"/>
    <w:rsid w:val="00FB763E"/>
    <w:rsid w:val="00FB7929"/>
    <w:rsid w:val="00FC0EAC"/>
    <w:rsid w:val="00FC1242"/>
    <w:rsid w:val="00FC1756"/>
    <w:rsid w:val="00FC1864"/>
    <w:rsid w:val="00FC19FA"/>
    <w:rsid w:val="00FC32CC"/>
    <w:rsid w:val="00FC3F1C"/>
    <w:rsid w:val="00FC50B9"/>
    <w:rsid w:val="00FC61CF"/>
    <w:rsid w:val="00FC7A52"/>
    <w:rsid w:val="00FD1196"/>
    <w:rsid w:val="00FD30E2"/>
    <w:rsid w:val="00FD31A7"/>
    <w:rsid w:val="00FD4602"/>
    <w:rsid w:val="00FD46F7"/>
    <w:rsid w:val="00FD47AC"/>
    <w:rsid w:val="00FD6770"/>
    <w:rsid w:val="00FE1B39"/>
    <w:rsid w:val="00FE1D5E"/>
    <w:rsid w:val="00FE285C"/>
    <w:rsid w:val="00FE2F3A"/>
    <w:rsid w:val="00FE441B"/>
    <w:rsid w:val="00FE4AF4"/>
    <w:rsid w:val="00FE56ED"/>
    <w:rsid w:val="00FE7051"/>
    <w:rsid w:val="00FF066E"/>
    <w:rsid w:val="00FF1831"/>
    <w:rsid w:val="00FF1C53"/>
    <w:rsid w:val="00FF3461"/>
    <w:rsid w:val="00FF40C4"/>
    <w:rsid w:val="00FF498C"/>
    <w:rsid w:val="00FF65B8"/>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698F4B"/>
  <w15:docId w15:val="{8E65A94D-987C-429B-A261-ABFC7F89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CAD"/>
    <w:pPr>
      <w:spacing w:after="120"/>
    </w:pPr>
    <w:rPr>
      <w:sz w:val="24"/>
      <w:szCs w:val="24"/>
    </w:rPr>
  </w:style>
  <w:style w:type="paragraph" w:styleId="Heading1">
    <w:name w:val="heading 1"/>
    <w:basedOn w:val="Normal"/>
    <w:next w:val="Normal"/>
    <w:link w:val="Heading1Char"/>
    <w:qFormat/>
    <w:rsid w:val="008A1447"/>
    <w:pPr>
      <w:spacing w:before="240"/>
      <w:outlineLvl w:val="0"/>
    </w:pPr>
    <w:rPr>
      <w:u w:val="single"/>
    </w:rPr>
  </w:style>
  <w:style w:type="paragraph" w:styleId="Heading2">
    <w:name w:val="heading 2"/>
    <w:basedOn w:val="Normal"/>
    <w:link w:val="Heading2Char"/>
    <w:qFormat/>
    <w:rsid w:val="00497AFF"/>
    <w:pPr>
      <w:keepNext/>
      <w:spacing w:before="240" w:after="240"/>
      <w:ind w:left="720" w:hanging="720"/>
      <w:outlineLvl w:val="1"/>
    </w:pPr>
    <w:rPr>
      <w:b/>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Style1"/>
    <w:next w:val="Normal"/>
    <w:link w:val="Heading4Char"/>
    <w:unhideWhenUsed/>
    <w:qFormat/>
    <w:rsid w:val="006C4D46"/>
    <w:pPr>
      <w:numPr>
        <w:numId w:val="6"/>
      </w:numPr>
      <w:spacing w:before="240" w:after="240"/>
      <w:ind w:left="1440" w:hanging="720"/>
      <w:outlineLvl w:val="3"/>
    </w:p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447"/>
    <w:rPr>
      <w:sz w:val="24"/>
      <w:szCs w:val="24"/>
      <w:u w:val="single"/>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6C4D46"/>
    <w:rPr>
      <w:bCs/>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link w:val="FooterChar"/>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uiPriority w:val="99"/>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D41A89"/>
    <w:rPr>
      <w:color w:val="808080"/>
      <w:shd w:val="clear" w:color="auto" w:fill="E6E6E6"/>
    </w:rPr>
  </w:style>
  <w:style w:type="paragraph" w:customStyle="1" w:styleId="Style1">
    <w:name w:val="Style1"/>
    <w:basedOn w:val="Normal"/>
    <w:next w:val="Heading3"/>
    <w:link w:val="Style1Char"/>
    <w:qFormat/>
    <w:rsid w:val="006F2FE6"/>
    <w:pPr>
      <w:numPr>
        <w:numId w:val="4"/>
      </w:numPr>
      <w:ind w:left="1440" w:hanging="720"/>
    </w:pPr>
    <w:rPr>
      <w:bCs/>
    </w:rPr>
  </w:style>
  <w:style w:type="character" w:customStyle="1" w:styleId="Style1Char">
    <w:name w:val="Style1 Char"/>
    <w:basedOn w:val="Heading3Char"/>
    <w:link w:val="Style1"/>
    <w:rsid w:val="006F2FE6"/>
    <w:rPr>
      <w:rFonts w:asciiTheme="majorHAnsi" w:eastAsiaTheme="majorEastAsia" w:hAnsiTheme="majorHAnsi" w:cstheme="majorBidi"/>
      <w:bCs/>
      <w:color w:val="243F60" w:themeColor="accent1" w:themeShade="7F"/>
      <w:sz w:val="24"/>
      <w:szCs w:val="24"/>
    </w:rPr>
  </w:style>
  <w:style w:type="character" w:customStyle="1" w:styleId="FooterChar">
    <w:name w:val="Footer Char"/>
    <w:basedOn w:val="DefaultParagraphFont"/>
    <w:link w:val="Footer"/>
    <w:rsid w:val="004A768C"/>
    <w:rPr>
      <w:sz w:val="24"/>
      <w:szCs w:val="24"/>
    </w:rPr>
  </w:style>
  <w:style w:type="character" w:customStyle="1" w:styleId="normaltextrun">
    <w:name w:val="normaltextrun"/>
    <w:basedOn w:val="DefaultParagraphFont"/>
    <w:rsid w:val="007204FB"/>
  </w:style>
  <w:style w:type="character" w:customStyle="1" w:styleId="eop">
    <w:name w:val="eop"/>
    <w:basedOn w:val="DefaultParagraphFont"/>
    <w:rsid w:val="00144300"/>
  </w:style>
  <w:style w:type="paragraph" w:customStyle="1" w:styleId="paragraph">
    <w:name w:val="paragraph"/>
    <w:basedOn w:val="Normal"/>
    <w:rsid w:val="00160C7A"/>
    <w:pPr>
      <w:spacing w:before="100" w:beforeAutospacing="1" w:after="100" w:afterAutospacing="1"/>
    </w:pPr>
  </w:style>
  <w:style w:type="character" w:customStyle="1" w:styleId="Heading2Char">
    <w:name w:val="Heading 2 Char"/>
    <w:basedOn w:val="DefaultParagraphFont"/>
    <w:link w:val="Heading2"/>
    <w:rsid w:val="000F5310"/>
    <w:rPr>
      <w:b/>
      <w:sz w:val="24"/>
      <w:szCs w:val="24"/>
    </w:rPr>
  </w:style>
  <w:style w:type="character" w:styleId="UnresolvedMention">
    <w:name w:val="Unresolved Mention"/>
    <w:basedOn w:val="DefaultParagraphFont"/>
    <w:uiPriority w:val="99"/>
    <w:semiHidden/>
    <w:unhideWhenUsed/>
    <w:rsid w:val="00B9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57242082">
      <w:bodyDiv w:val="1"/>
      <w:marLeft w:val="0"/>
      <w:marRight w:val="0"/>
      <w:marTop w:val="0"/>
      <w:marBottom w:val="0"/>
      <w:divBdr>
        <w:top w:val="none" w:sz="0" w:space="0" w:color="auto"/>
        <w:left w:val="none" w:sz="0" w:space="0" w:color="auto"/>
        <w:bottom w:val="none" w:sz="0" w:space="0" w:color="auto"/>
        <w:right w:val="none" w:sz="0" w:space="0" w:color="auto"/>
      </w:divBdr>
    </w:div>
    <w:div w:id="67852511">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126123017">
      <w:bodyDiv w:val="1"/>
      <w:marLeft w:val="0"/>
      <w:marRight w:val="0"/>
      <w:marTop w:val="0"/>
      <w:marBottom w:val="0"/>
      <w:divBdr>
        <w:top w:val="none" w:sz="0" w:space="0" w:color="auto"/>
        <w:left w:val="none" w:sz="0" w:space="0" w:color="auto"/>
        <w:bottom w:val="none" w:sz="0" w:space="0" w:color="auto"/>
        <w:right w:val="none" w:sz="0" w:space="0" w:color="auto"/>
      </w:divBdr>
    </w:div>
    <w:div w:id="139664322">
      <w:bodyDiv w:val="1"/>
      <w:marLeft w:val="0"/>
      <w:marRight w:val="0"/>
      <w:marTop w:val="0"/>
      <w:marBottom w:val="0"/>
      <w:divBdr>
        <w:top w:val="none" w:sz="0" w:space="0" w:color="auto"/>
        <w:left w:val="none" w:sz="0" w:space="0" w:color="auto"/>
        <w:bottom w:val="none" w:sz="0" w:space="0" w:color="auto"/>
        <w:right w:val="none" w:sz="0" w:space="0" w:color="auto"/>
      </w:divBdr>
    </w:div>
    <w:div w:id="186254757">
      <w:bodyDiv w:val="1"/>
      <w:marLeft w:val="0"/>
      <w:marRight w:val="0"/>
      <w:marTop w:val="0"/>
      <w:marBottom w:val="0"/>
      <w:divBdr>
        <w:top w:val="none" w:sz="0" w:space="0" w:color="auto"/>
        <w:left w:val="none" w:sz="0" w:space="0" w:color="auto"/>
        <w:bottom w:val="none" w:sz="0" w:space="0" w:color="auto"/>
        <w:right w:val="none" w:sz="0" w:space="0" w:color="auto"/>
      </w:divBdr>
    </w:div>
    <w:div w:id="208108315">
      <w:bodyDiv w:val="1"/>
      <w:marLeft w:val="0"/>
      <w:marRight w:val="0"/>
      <w:marTop w:val="0"/>
      <w:marBottom w:val="0"/>
      <w:divBdr>
        <w:top w:val="none" w:sz="0" w:space="0" w:color="auto"/>
        <w:left w:val="none" w:sz="0" w:space="0" w:color="auto"/>
        <w:bottom w:val="none" w:sz="0" w:space="0" w:color="auto"/>
        <w:right w:val="none" w:sz="0" w:space="0" w:color="auto"/>
      </w:divBdr>
    </w:div>
    <w:div w:id="223416599">
      <w:bodyDiv w:val="1"/>
      <w:marLeft w:val="0"/>
      <w:marRight w:val="0"/>
      <w:marTop w:val="0"/>
      <w:marBottom w:val="0"/>
      <w:divBdr>
        <w:top w:val="none" w:sz="0" w:space="0" w:color="auto"/>
        <w:left w:val="none" w:sz="0" w:space="0" w:color="auto"/>
        <w:bottom w:val="none" w:sz="0" w:space="0" w:color="auto"/>
        <w:right w:val="none" w:sz="0" w:space="0" w:color="auto"/>
      </w:divBdr>
    </w:div>
    <w:div w:id="230233674">
      <w:bodyDiv w:val="1"/>
      <w:marLeft w:val="0"/>
      <w:marRight w:val="0"/>
      <w:marTop w:val="0"/>
      <w:marBottom w:val="0"/>
      <w:divBdr>
        <w:top w:val="none" w:sz="0" w:space="0" w:color="auto"/>
        <w:left w:val="none" w:sz="0" w:space="0" w:color="auto"/>
        <w:bottom w:val="none" w:sz="0" w:space="0" w:color="auto"/>
        <w:right w:val="none" w:sz="0" w:space="0" w:color="auto"/>
      </w:divBdr>
    </w:div>
    <w:div w:id="236986705">
      <w:bodyDiv w:val="1"/>
      <w:marLeft w:val="0"/>
      <w:marRight w:val="0"/>
      <w:marTop w:val="0"/>
      <w:marBottom w:val="0"/>
      <w:divBdr>
        <w:top w:val="none" w:sz="0" w:space="0" w:color="auto"/>
        <w:left w:val="none" w:sz="0" w:space="0" w:color="auto"/>
        <w:bottom w:val="none" w:sz="0" w:space="0" w:color="auto"/>
        <w:right w:val="none" w:sz="0" w:space="0" w:color="auto"/>
      </w:divBdr>
    </w:div>
    <w:div w:id="240606820">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05548319">
      <w:bodyDiv w:val="1"/>
      <w:marLeft w:val="0"/>
      <w:marRight w:val="0"/>
      <w:marTop w:val="0"/>
      <w:marBottom w:val="0"/>
      <w:divBdr>
        <w:top w:val="none" w:sz="0" w:space="0" w:color="auto"/>
        <w:left w:val="none" w:sz="0" w:space="0" w:color="auto"/>
        <w:bottom w:val="none" w:sz="0" w:space="0" w:color="auto"/>
        <w:right w:val="none" w:sz="0" w:space="0" w:color="auto"/>
      </w:divBdr>
    </w:div>
    <w:div w:id="305672350">
      <w:bodyDiv w:val="1"/>
      <w:marLeft w:val="0"/>
      <w:marRight w:val="0"/>
      <w:marTop w:val="0"/>
      <w:marBottom w:val="0"/>
      <w:divBdr>
        <w:top w:val="none" w:sz="0" w:space="0" w:color="auto"/>
        <w:left w:val="none" w:sz="0" w:space="0" w:color="auto"/>
        <w:bottom w:val="none" w:sz="0" w:space="0" w:color="auto"/>
        <w:right w:val="none" w:sz="0" w:space="0" w:color="auto"/>
      </w:divBdr>
    </w:div>
    <w:div w:id="314265810">
      <w:bodyDiv w:val="1"/>
      <w:marLeft w:val="0"/>
      <w:marRight w:val="0"/>
      <w:marTop w:val="0"/>
      <w:marBottom w:val="0"/>
      <w:divBdr>
        <w:top w:val="none" w:sz="0" w:space="0" w:color="auto"/>
        <w:left w:val="none" w:sz="0" w:space="0" w:color="auto"/>
        <w:bottom w:val="none" w:sz="0" w:space="0" w:color="auto"/>
        <w:right w:val="none" w:sz="0" w:space="0" w:color="auto"/>
      </w:divBdr>
    </w:div>
    <w:div w:id="326903319">
      <w:bodyDiv w:val="1"/>
      <w:marLeft w:val="0"/>
      <w:marRight w:val="0"/>
      <w:marTop w:val="0"/>
      <w:marBottom w:val="0"/>
      <w:divBdr>
        <w:top w:val="none" w:sz="0" w:space="0" w:color="auto"/>
        <w:left w:val="none" w:sz="0" w:space="0" w:color="auto"/>
        <w:bottom w:val="none" w:sz="0" w:space="0" w:color="auto"/>
        <w:right w:val="none" w:sz="0" w:space="0" w:color="auto"/>
      </w:divBdr>
    </w:div>
    <w:div w:id="340935884">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373967850">
      <w:bodyDiv w:val="1"/>
      <w:marLeft w:val="0"/>
      <w:marRight w:val="0"/>
      <w:marTop w:val="0"/>
      <w:marBottom w:val="0"/>
      <w:divBdr>
        <w:top w:val="none" w:sz="0" w:space="0" w:color="auto"/>
        <w:left w:val="none" w:sz="0" w:space="0" w:color="auto"/>
        <w:bottom w:val="none" w:sz="0" w:space="0" w:color="auto"/>
        <w:right w:val="none" w:sz="0" w:space="0" w:color="auto"/>
      </w:divBdr>
    </w:div>
    <w:div w:id="378550453">
      <w:bodyDiv w:val="1"/>
      <w:marLeft w:val="0"/>
      <w:marRight w:val="0"/>
      <w:marTop w:val="0"/>
      <w:marBottom w:val="0"/>
      <w:divBdr>
        <w:top w:val="none" w:sz="0" w:space="0" w:color="auto"/>
        <w:left w:val="none" w:sz="0" w:space="0" w:color="auto"/>
        <w:bottom w:val="none" w:sz="0" w:space="0" w:color="auto"/>
        <w:right w:val="none" w:sz="0" w:space="0" w:color="auto"/>
      </w:divBdr>
    </w:div>
    <w:div w:id="422456828">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9230171">
      <w:bodyDiv w:val="1"/>
      <w:marLeft w:val="0"/>
      <w:marRight w:val="0"/>
      <w:marTop w:val="0"/>
      <w:marBottom w:val="0"/>
      <w:divBdr>
        <w:top w:val="none" w:sz="0" w:space="0" w:color="auto"/>
        <w:left w:val="none" w:sz="0" w:space="0" w:color="auto"/>
        <w:bottom w:val="none" w:sz="0" w:space="0" w:color="auto"/>
        <w:right w:val="none" w:sz="0" w:space="0" w:color="auto"/>
      </w:divBdr>
    </w:div>
    <w:div w:id="479231436">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686373981">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18357707">
      <w:bodyDiv w:val="1"/>
      <w:marLeft w:val="0"/>
      <w:marRight w:val="0"/>
      <w:marTop w:val="0"/>
      <w:marBottom w:val="0"/>
      <w:divBdr>
        <w:top w:val="none" w:sz="0" w:space="0" w:color="auto"/>
        <w:left w:val="none" w:sz="0" w:space="0" w:color="auto"/>
        <w:bottom w:val="none" w:sz="0" w:space="0" w:color="auto"/>
        <w:right w:val="none" w:sz="0" w:space="0" w:color="auto"/>
      </w:divBdr>
    </w:div>
    <w:div w:id="733166627">
      <w:bodyDiv w:val="1"/>
      <w:marLeft w:val="0"/>
      <w:marRight w:val="0"/>
      <w:marTop w:val="0"/>
      <w:marBottom w:val="0"/>
      <w:divBdr>
        <w:top w:val="none" w:sz="0" w:space="0" w:color="auto"/>
        <w:left w:val="none" w:sz="0" w:space="0" w:color="auto"/>
        <w:bottom w:val="none" w:sz="0" w:space="0" w:color="auto"/>
        <w:right w:val="none" w:sz="0" w:space="0" w:color="auto"/>
      </w:divBdr>
    </w:div>
    <w:div w:id="757943157">
      <w:bodyDiv w:val="1"/>
      <w:marLeft w:val="0"/>
      <w:marRight w:val="0"/>
      <w:marTop w:val="0"/>
      <w:marBottom w:val="0"/>
      <w:divBdr>
        <w:top w:val="none" w:sz="0" w:space="0" w:color="auto"/>
        <w:left w:val="none" w:sz="0" w:space="0" w:color="auto"/>
        <w:bottom w:val="none" w:sz="0" w:space="0" w:color="auto"/>
        <w:right w:val="none" w:sz="0" w:space="0" w:color="auto"/>
      </w:divBdr>
      <w:divsChild>
        <w:div w:id="146747420">
          <w:marLeft w:val="0"/>
          <w:marRight w:val="0"/>
          <w:marTop w:val="0"/>
          <w:marBottom w:val="0"/>
          <w:divBdr>
            <w:top w:val="none" w:sz="0" w:space="0" w:color="auto"/>
            <w:left w:val="none" w:sz="0" w:space="0" w:color="auto"/>
            <w:bottom w:val="none" w:sz="0" w:space="0" w:color="auto"/>
            <w:right w:val="none" w:sz="0" w:space="0" w:color="auto"/>
          </w:divBdr>
        </w:div>
        <w:div w:id="943459994">
          <w:marLeft w:val="0"/>
          <w:marRight w:val="0"/>
          <w:marTop w:val="0"/>
          <w:marBottom w:val="0"/>
          <w:divBdr>
            <w:top w:val="none" w:sz="0" w:space="0" w:color="auto"/>
            <w:left w:val="none" w:sz="0" w:space="0" w:color="auto"/>
            <w:bottom w:val="none" w:sz="0" w:space="0" w:color="auto"/>
            <w:right w:val="none" w:sz="0" w:space="0" w:color="auto"/>
          </w:divBdr>
        </w:div>
        <w:div w:id="1232471726">
          <w:marLeft w:val="0"/>
          <w:marRight w:val="0"/>
          <w:marTop w:val="0"/>
          <w:marBottom w:val="0"/>
          <w:divBdr>
            <w:top w:val="none" w:sz="0" w:space="0" w:color="auto"/>
            <w:left w:val="none" w:sz="0" w:space="0" w:color="auto"/>
            <w:bottom w:val="none" w:sz="0" w:space="0" w:color="auto"/>
            <w:right w:val="none" w:sz="0" w:space="0" w:color="auto"/>
          </w:divBdr>
        </w:div>
      </w:divsChild>
    </w:div>
    <w:div w:id="78932150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241315">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59901476">
      <w:bodyDiv w:val="1"/>
      <w:marLeft w:val="0"/>
      <w:marRight w:val="0"/>
      <w:marTop w:val="0"/>
      <w:marBottom w:val="0"/>
      <w:divBdr>
        <w:top w:val="none" w:sz="0" w:space="0" w:color="auto"/>
        <w:left w:val="none" w:sz="0" w:space="0" w:color="auto"/>
        <w:bottom w:val="none" w:sz="0" w:space="0" w:color="auto"/>
        <w:right w:val="none" w:sz="0" w:space="0" w:color="auto"/>
      </w:divBdr>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899633408">
      <w:bodyDiv w:val="1"/>
      <w:marLeft w:val="0"/>
      <w:marRight w:val="0"/>
      <w:marTop w:val="0"/>
      <w:marBottom w:val="0"/>
      <w:divBdr>
        <w:top w:val="none" w:sz="0" w:space="0" w:color="auto"/>
        <w:left w:val="none" w:sz="0" w:space="0" w:color="auto"/>
        <w:bottom w:val="none" w:sz="0" w:space="0" w:color="auto"/>
        <w:right w:val="none" w:sz="0" w:space="0" w:color="auto"/>
      </w:divBdr>
    </w:div>
    <w:div w:id="941306433">
      <w:bodyDiv w:val="1"/>
      <w:marLeft w:val="0"/>
      <w:marRight w:val="0"/>
      <w:marTop w:val="0"/>
      <w:marBottom w:val="0"/>
      <w:divBdr>
        <w:top w:val="none" w:sz="0" w:space="0" w:color="auto"/>
        <w:left w:val="none" w:sz="0" w:space="0" w:color="auto"/>
        <w:bottom w:val="none" w:sz="0" w:space="0" w:color="auto"/>
        <w:right w:val="none" w:sz="0" w:space="0" w:color="auto"/>
      </w:divBdr>
    </w:div>
    <w:div w:id="965159498">
      <w:bodyDiv w:val="1"/>
      <w:marLeft w:val="0"/>
      <w:marRight w:val="0"/>
      <w:marTop w:val="0"/>
      <w:marBottom w:val="0"/>
      <w:divBdr>
        <w:top w:val="none" w:sz="0" w:space="0" w:color="auto"/>
        <w:left w:val="none" w:sz="0" w:space="0" w:color="auto"/>
        <w:bottom w:val="none" w:sz="0" w:space="0" w:color="auto"/>
        <w:right w:val="none" w:sz="0" w:space="0" w:color="auto"/>
      </w:divBdr>
    </w:div>
    <w:div w:id="989166715">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020282976">
      <w:bodyDiv w:val="1"/>
      <w:marLeft w:val="0"/>
      <w:marRight w:val="0"/>
      <w:marTop w:val="0"/>
      <w:marBottom w:val="0"/>
      <w:divBdr>
        <w:top w:val="none" w:sz="0" w:space="0" w:color="auto"/>
        <w:left w:val="none" w:sz="0" w:space="0" w:color="auto"/>
        <w:bottom w:val="none" w:sz="0" w:space="0" w:color="auto"/>
        <w:right w:val="none" w:sz="0" w:space="0" w:color="auto"/>
      </w:divBdr>
    </w:div>
    <w:div w:id="1059549924">
      <w:bodyDiv w:val="1"/>
      <w:marLeft w:val="0"/>
      <w:marRight w:val="0"/>
      <w:marTop w:val="0"/>
      <w:marBottom w:val="0"/>
      <w:divBdr>
        <w:top w:val="none" w:sz="0" w:space="0" w:color="auto"/>
        <w:left w:val="none" w:sz="0" w:space="0" w:color="auto"/>
        <w:bottom w:val="none" w:sz="0" w:space="0" w:color="auto"/>
        <w:right w:val="none" w:sz="0" w:space="0" w:color="auto"/>
      </w:divBdr>
    </w:div>
    <w:div w:id="1065644222">
      <w:bodyDiv w:val="1"/>
      <w:marLeft w:val="0"/>
      <w:marRight w:val="0"/>
      <w:marTop w:val="0"/>
      <w:marBottom w:val="0"/>
      <w:divBdr>
        <w:top w:val="none" w:sz="0" w:space="0" w:color="auto"/>
        <w:left w:val="none" w:sz="0" w:space="0" w:color="auto"/>
        <w:bottom w:val="none" w:sz="0" w:space="0" w:color="auto"/>
        <w:right w:val="none" w:sz="0" w:space="0" w:color="auto"/>
      </w:divBdr>
    </w:div>
    <w:div w:id="1075468611">
      <w:bodyDiv w:val="1"/>
      <w:marLeft w:val="0"/>
      <w:marRight w:val="0"/>
      <w:marTop w:val="0"/>
      <w:marBottom w:val="0"/>
      <w:divBdr>
        <w:top w:val="none" w:sz="0" w:space="0" w:color="auto"/>
        <w:left w:val="none" w:sz="0" w:space="0" w:color="auto"/>
        <w:bottom w:val="none" w:sz="0" w:space="0" w:color="auto"/>
        <w:right w:val="none" w:sz="0" w:space="0" w:color="auto"/>
      </w:divBdr>
    </w:div>
    <w:div w:id="1087766803">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70411452">
      <w:bodyDiv w:val="1"/>
      <w:marLeft w:val="0"/>
      <w:marRight w:val="0"/>
      <w:marTop w:val="0"/>
      <w:marBottom w:val="0"/>
      <w:divBdr>
        <w:top w:val="none" w:sz="0" w:space="0" w:color="auto"/>
        <w:left w:val="none" w:sz="0" w:space="0" w:color="auto"/>
        <w:bottom w:val="none" w:sz="0" w:space="0" w:color="auto"/>
        <w:right w:val="none" w:sz="0" w:space="0" w:color="auto"/>
      </w:divBdr>
    </w:div>
    <w:div w:id="1172374312">
      <w:bodyDiv w:val="1"/>
      <w:marLeft w:val="0"/>
      <w:marRight w:val="0"/>
      <w:marTop w:val="0"/>
      <w:marBottom w:val="0"/>
      <w:divBdr>
        <w:top w:val="none" w:sz="0" w:space="0" w:color="auto"/>
        <w:left w:val="none" w:sz="0" w:space="0" w:color="auto"/>
        <w:bottom w:val="none" w:sz="0" w:space="0" w:color="auto"/>
        <w:right w:val="none" w:sz="0" w:space="0" w:color="auto"/>
      </w:divBdr>
    </w:div>
    <w:div w:id="1180704189">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07790083">
      <w:bodyDiv w:val="1"/>
      <w:marLeft w:val="0"/>
      <w:marRight w:val="0"/>
      <w:marTop w:val="0"/>
      <w:marBottom w:val="0"/>
      <w:divBdr>
        <w:top w:val="none" w:sz="0" w:space="0" w:color="auto"/>
        <w:left w:val="none" w:sz="0" w:space="0" w:color="auto"/>
        <w:bottom w:val="none" w:sz="0" w:space="0" w:color="auto"/>
        <w:right w:val="none" w:sz="0" w:space="0" w:color="auto"/>
      </w:divBdr>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233466903">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61137714">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61471090">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02604226">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431582065">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672030593">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745176318">
      <w:bodyDiv w:val="1"/>
      <w:marLeft w:val="0"/>
      <w:marRight w:val="0"/>
      <w:marTop w:val="0"/>
      <w:marBottom w:val="0"/>
      <w:divBdr>
        <w:top w:val="none" w:sz="0" w:space="0" w:color="auto"/>
        <w:left w:val="none" w:sz="0" w:space="0" w:color="auto"/>
        <w:bottom w:val="none" w:sz="0" w:space="0" w:color="auto"/>
        <w:right w:val="none" w:sz="0" w:space="0" w:color="auto"/>
      </w:divBdr>
    </w:div>
    <w:div w:id="1750426685">
      <w:bodyDiv w:val="1"/>
      <w:marLeft w:val="0"/>
      <w:marRight w:val="0"/>
      <w:marTop w:val="0"/>
      <w:marBottom w:val="0"/>
      <w:divBdr>
        <w:top w:val="none" w:sz="0" w:space="0" w:color="auto"/>
        <w:left w:val="none" w:sz="0" w:space="0" w:color="auto"/>
        <w:bottom w:val="none" w:sz="0" w:space="0" w:color="auto"/>
        <w:right w:val="none" w:sz="0" w:space="0" w:color="auto"/>
      </w:divBdr>
    </w:div>
    <w:div w:id="1769814793">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30829443">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873834315">
      <w:bodyDiv w:val="1"/>
      <w:marLeft w:val="0"/>
      <w:marRight w:val="0"/>
      <w:marTop w:val="0"/>
      <w:marBottom w:val="0"/>
      <w:divBdr>
        <w:top w:val="none" w:sz="0" w:space="0" w:color="auto"/>
        <w:left w:val="none" w:sz="0" w:space="0" w:color="auto"/>
        <w:bottom w:val="none" w:sz="0" w:space="0" w:color="auto"/>
        <w:right w:val="none" w:sz="0" w:space="0" w:color="auto"/>
      </w:divBdr>
    </w:div>
    <w:div w:id="1887109253">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43563900">
      <w:bodyDiv w:val="1"/>
      <w:marLeft w:val="0"/>
      <w:marRight w:val="0"/>
      <w:marTop w:val="0"/>
      <w:marBottom w:val="0"/>
      <w:divBdr>
        <w:top w:val="none" w:sz="0" w:space="0" w:color="auto"/>
        <w:left w:val="none" w:sz="0" w:space="0" w:color="auto"/>
        <w:bottom w:val="none" w:sz="0" w:space="0" w:color="auto"/>
        <w:right w:val="none" w:sz="0" w:space="0" w:color="auto"/>
      </w:divBdr>
    </w:div>
    <w:div w:id="1947496934">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55748493">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1984892483">
      <w:bodyDiv w:val="1"/>
      <w:marLeft w:val="0"/>
      <w:marRight w:val="0"/>
      <w:marTop w:val="0"/>
      <w:marBottom w:val="0"/>
      <w:divBdr>
        <w:top w:val="none" w:sz="0" w:space="0" w:color="auto"/>
        <w:left w:val="none" w:sz="0" w:space="0" w:color="auto"/>
        <w:bottom w:val="none" w:sz="0" w:space="0" w:color="auto"/>
        <w:right w:val="none" w:sz="0" w:space="0" w:color="auto"/>
      </w:divBdr>
    </w:div>
    <w:div w:id="2035374546">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0564185">
      <w:bodyDiv w:val="1"/>
      <w:marLeft w:val="0"/>
      <w:marRight w:val="0"/>
      <w:marTop w:val="0"/>
      <w:marBottom w:val="0"/>
      <w:divBdr>
        <w:top w:val="none" w:sz="0" w:space="0" w:color="auto"/>
        <w:left w:val="none" w:sz="0" w:space="0" w:color="auto"/>
        <w:bottom w:val="none" w:sz="0" w:space="0" w:color="auto"/>
        <w:right w:val="none" w:sz="0" w:space="0" w:color="auto"/>
      </w:divBdr>
    </w:div>
    <w:div w:id="212371860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 w:id="2141000040">
      <w:bodyDiv w:val="1"/>
      <w:marLeft w:val="0"/>
      <w:marRight w:val="0"/>
      <w:marTop w:val="0"/>
      <w:marBottom w:val="0"/>
      <w:divBdr>
        <w:top w:val="none" w:sz="0" w:space="0" w:color="auto"/>
        <w:left w:val="none" w:sz="0" w:space="0" w:color="auto"/>
        <w:bottom w:val="none" w:sz="0" w:space="0" w:color="auto"/>
        <w:right w:val="none" w:sz="0" w:space="0" w:color="auto"/>
      </w:divBdr>
    </w:div>
    <w:div w:id="21450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2" ma:contentTypeDescription="Create a new document." ma:contentTypeScope="" ma:versionID="2461f27e29c8c0dc65a99b9d7419574c">
  <xsd:schema xmlns:xsd="http://www.w3.org/2001/XMLSchema" xmlns:xs="http://www.w3.org/2001/XMLSchema" xmlns:p="http://schemas.microsoft.com/office/2006/metadata/properties" xmlns:ns2="506e8920-8709-453c-ac34-7beb15a2da9c" xmlns:ns3="b7fdcd74-2a7d-4d58-b4f7-f623844b553a" targetNamespace="http://schemas.microsoft.com/office/2006/metadata/properties" ma:root="true" ma:fieldsID="710fec6e548de6d8924a082054f0cbde" ns2:_="" ns3:_="">
    <xsd:import namespace="506e8920-8709-453c-ac34-7beb15a2da9c"/>
    <xsd:import namespace="b7fdcd74-2a7d-4d58-b4f7-f623844b5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fdcd74-2a7d-4d58-b4f7-f623844b553a">
      <UserInfo>
        <DisplayName>Golla, Emily</DisplayName>
        <AccountId>14</AccountId>
        <AccountType/>
      </UserInfo>
    </SharedWithUsers>
  </documentManagement>
</p:properties>
</file>

<file path=customXml/itemProps1.xml><?xml version="1.0" encoding="utf-8"?>
<ds:datastoreItem xmlns:ds="http://schemas.openxmlformats.org/officeDocument/2006/customXml" ds:itemID="{1738EA60-C17D-4166-94FE-6B96C6B573BE}">
  <ds:schemaRefs>
    <ds:schemaRef ds:uri="http://schemas.microsoft.com/sharepoint/v3/contenttype/forms"/>
  </ds:schemaRefs>
</ds:datastoreItem>
</file>

<file path=customXml/itemProps2.xml><?xml version="1.0" encoding="utf-8"?>
<ds:datastoreItem xmlns:ds="http://schemas.openxmlformats.org/officeDocument/2006/customXml" ds:itemID="{94298EF7-4210-4943-AB7B-88631C86E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8DB4B-3E0E-40D1-80AB-A4D1885B4696}">
  <ds:schemaRefs>
    <ds:schemaRef ds:uri="http://schemas.openxmlformats.org/officeDocument/2006/bibliography"/>
  </ds:schemaRefs>
</ds:datastoreItem>
</file>

<file path=customXml/itemProps4.xml><?xml version="1.0" encoding="utf-8"?>
<ds:datastoreItem xmlns:ds="http://schemas.openxmlformats.org/officeDocument/2006/customXml" ds:itemID="{32A32A53-1D8E-48DE-B4C1-CA4B1BCD3111}">
  <ds:schemaRefs>
    <ds:schemaRef ds:uri="http://schemas.microsoft.com/office/2006/metadata/properties"/>
    <ds:schemaRef ds:uri="http://schemas.microsoft.com/office/infopath/2007/PartnerControls"/>
    <ds:schemaRef ds:uri="b7fdcd74-2a7d-4d58-b4f7-f623844b55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2810</Words>
  <Characters>16092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owner</dc:creator>
  <cp:keywords/>
  <cp:lastModifiedBy>Purdy, Mark</cp:lastModifiedBy>
  <cp:revision>2</cp:revision>
  <cp:lastPrinted>2016-05-26T23:36:00Z</cp:lastPrinted>
  <dcterms:created xsi:type="dcterms:W3CDTF">2021-09-29T20:01:00Z</dcterms:created>
  <dcterms:modified xsi:type="dcterms:W3CDTF">2021-09-29T20:01:00Z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ies>
</file>