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A4B" w:rsidR="00013A4B" w:rsidP="00013A4B" w:rsidRDefault="00E0619C" w14:paraId="60CAD008" w14:textId="527942C6">
      <w:pPr>
        <w:pStyle w:val="Title"/>
        <w:rPr>
          <w:color w:val="000000"/>
          <w:szCs w:val="24"/>
        </w:rPr>
      </w:pPr>
      <w:r>
        <w:rPr>
          <w:sz w:val="16"/>
        </w:rPr>
        <w:t xml:space="preserve"> </w:t>
      </w:r>
      <w:r w:rsidRPr="00013A4B" w:rsidR="00013A4B">
        <w:rPr>
          <w:color w:val="000000"/>
          <w:szCs w:val="24"/>
        </w:rPr>
        <w:t>Paperwork Reduction Act Submission</w:t>
      </w:r>
    </w:p>
    <w:p w:rsidRPr="00013A4B" w:rsidR="00013A4B" w:rsidP="00013A4B" w:rsidRDefault="00013A4B" w14:paraId="5F9BA5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rPr>
          <w:rFonts w:ascii="Helvetica" w:hAnsi="Helvetica"/>
          <w:b/>
          <w:color w:val="000000"/>
          <w:sz w:val="28"/>
          <w:szCs w:val="24"/>
        </w:rPr>
      </w:pPr>
      <w:r w:rsidRPr="00013A4B">
        <w:rPr>
          <w:rFonts w:ascii="Helvetica" w:hAnsi="Helvetica"/>
          <w:b/>
          <w:color w:val="000000"/>
          <w:sz w:val="28"/>
          <w:szCs w:val="24"/>
        </w:rPr>
        <w:t>Supporting Statement for Paperwork Reduction Act Submissions</w:t>
      </w:r>
    </w:p>
    <w:p w:rsidRPr="00013A4B" w:rsidR="00013A4B" w:rsidP="00013A4B" w:rsidRDefault="00013A4B" w14:paraId="713AAD2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Helvetica" w:hAnsi="Helvetica"/>
          <w:b/>
          <w:color w:val="000000"/>
          <w:sz w:val="24"/>
          <w:szCs w:val="24"/>
        </w:rPr>
      </w:pPr>
    </w:p>
    <w:p w:rsidRPr="00013A4B" w:rsidR="00013A4B" w:rsidP="00483163" w:rsidRDefault="00483163" w14:paraId="73118263" w14:textId="2FCEE1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outlineLvl w:val="0"/>
        <w:rPr>
          <w:rFonts w:ascii="Helvetica" w:hAnsi="Helvetica"/>
          <w:b/>
          <w:color w:val="000000"/>
          <w:sz w:val="24"/>
        </w:rPr>
      </w:pPr>
      <w:r>
        <w:rPr>
          <w:rFonts w:ascii="Helvetica" w:hAnsi="Helvetica"/>
          <w:b/>
          <w:color w:val="000000"/>
          <w:sz w:val="24"/>
        </w:rPr>
        <w:t xml:space="preserve">                                      </w:t>
      </w:r>
      <w:r w:rsidR="00BA5E20">
        <w:rPr>
          <w:rFonts w:ascii="Helvetica" w:hAnsi="Helvetica"/>
          <w:b/>
          <w:color w:val="000000"/>
          <w:sz w:val="24"/>
        </w:rPr>
        <w:t xml:space="preserve"> </w:t>
      </w:r>
      <w:r w:rsidRPr="00013A4B" w:rsidR="00013A4B">
        <w:rPr>
          <w:rFonts w:ascii="Helvetica" w:hAnsi="Helvetica"/>
          <w:b/>
          <w:color w:val="000000"/>
          <w:sz w:val="24"/>
        </w:rPr>
        <w:t>Local Appeals to Single-Family Mortgage Limits</w:t>
      </w:r>
    </w:p>
    <w:p w:rsidRPr="00013A4B" w:rsidR="00013A4B" w:rsidP="00013A4B" w:rsidRDefault="00013A4B" w14:paraId="01C40C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rPr>
          <w:rFonts w:ascii="Helvetica" w:hAnsi="Helvetica"/>
          <w:b/>
          <w:color w:val="000000"/>
          <w:sz w:val="24"/>
          <w:szCs w:val="24"/>
        </w:rPr>
      </w:pPr>
      <w:r w:rsidRPr="00013A4B">
        <w:rPr>
          <w:rFonts w:ascii="Helvetica" w:hAnsi="Helvetica"/>
          <w:b/>
          <w:color w:val="000000"/>
          <w:sz w:val="24"/>
          <w:szCs w:val="24"/>
        </w:rPr>
        <w:t>OMB Control Number 2502-0302</w:t>
      </w:r>
    </w:p>
    <w:p w:rsidRPr="00013A4B" w:rsidR="00013A4B" w:rsidP="00013A4B" w:rsidRDefault="00013A4B" w14:paraId="59179A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Helvetica" w:hAnsi="Helvetica"/>
          <w:b/>
          <w:color w:val="000000"/>
          <w:sz w:val="24"/>
          <w:szCs w:val="24"/>
        </w:rPr>
      </w:pPr>
    </w:p>
    <w:p w:rsidRPr="00013A4B" w:rsidR="00013A4B" w:rsidP="00013A4B" w:rsidRDefault="00013A4B" w14:paraId="797F5B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b/>
          <w:color w:val="000000"/>
          <w:sz w:val="24"/>
          <w:szCs w:val="24"/>
        </w:rPr>
      </w:pPr>
      <w:r w:rsidRPr="00013A4B">
        <w:rPr>
          <w:b/>
          <w:color w:val="000000"/>
          <w:sz w:val="24"/>
          <w:szCs w:val="24"/>
        </w:rPr>
        <w:t xml:space="preserve">A. </w:t>
      </w:r>
      <w:r w:rsidRPr="00013A4B">
        <w:rPr>
          <w:b/>
          <w:color w:val="000000"/>
          <w:sz w:val="24"/>
          <w:szCs w:val="24"/>
        </w:rPr>
        <w:tab/>
      </w:r>
      <w:bookmarkStart w:name="_Hlk65501206" w:id="0"/>
      <w:r w:rsidRPr="00013A4B">
        <w:rPr>
          <w:b/>
          <w:color w:val="000000"/>
          <w:sz w:val="24"/>
          <w:szCs w:val="24"/>
        </w:rPr>
        <w:t>JUSTIFICATION</w:t>
      </w:r>
    </w:p>
    <w:p w:rsidRPr="00013A4B" w:rsidR="00013A4B" w:rsidP="00013A4B" w:rsidRDefault="00013A4B" w14:paraId="25DA5A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color w:val="000000"/>
          <w:sz w:val="24"/>
          <w:szCs w:val="24"/>
        </w:rPr>
      </w:pPr>
    </w:p>
    <w:p w:rsidRPr="00013A4B" w:rsidR="00013A4B" w:rsidP="002308F9" w:rsidRDefault="00013A4B" w14:paraId="44D9D81E" w14:textId="77777777">
      <w:pPr>
        <w:numPr>
          <w:ilvl w:val="0"/>
          <w:numId w:val="2"/>
        </w:numPr>
        <w:overflowPunct/>
        <w:autoSpaceDE/>
        <w:autoSpaceDN/>
        <w:adjustRightInd/>
        <w:textAlignment w:val="auto"/>
        <w:rPr>
          <w:sz w:val="24"/>
          <w:szCs w:val="24"/>
        </w:rPr>
      </w:pPr>
      <w:r w:rsidRPr="00013A4B">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Pr="00013A4B" w:rsidR="00013A4B" w:rsidP="00013A4B" w:rsidRDefault="00013A4B" w14:paraId="7444BD7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Pr="00013A4B" w:rsidR="00013A4B" w:rsidP="00013A4B" w:rsidRDefault="00013A4B" w14:paraId="0C25F592" w14:textId="27AEA3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r w:rsidRPr="00013A4B">
        <w:rPr>
          <w:color w:val="000000"/>
          <w:sz w:val="24"/>
          <w:szCs w:val="24"/>
        </w:rPr>
        <w:t>Section 203</w:t>
      </w:r>
      <w:r w:rsidR="006023FE">
        <w:rPr>
          <w:color w:val="000000"/>
          <w:sz w:val="24"/>
          <w:szCs w:val="24"/>
        </w:rPr>
        <w:t xml:space="preserve"> </w:t>
      </w:r>
      <w:r w:rsidRPr="00013A4B">
        <w:rPr>
          <w:color w:val="000000"/>
          <w:sz w:val="24"/>
          <w:szCs w:val="24"/>
        </w:rPr>
        <w:t>of the National Housing Act (12 U.S.C. 170</w:t>
      </w:r>
      <w:r w:rsidR="006D2D14">
        <w:rPr>
          <w:color w:val="000000"/>
          <w:sz w:val="24"/>
          <w:szCs w:val="24"/>
        </w:rPr>
        <w:t>9</w:t>
      </w:r>
      <w:r w:rsidRPr="00013A4B">
        <w:rPr>
          <w:color w:val="000000"/>
          <w:sz w:val="24"/>
          <w:szCs w:val="24"/>
        </w:rPr>
        <w:t xml:space="preserve">) authorizes the Secretary of Department of Housing and Urban Development (HUD) to insure </w:t>
      </w:r>
      <w:r w:rsidR="006D2D14">
        <w:rPr>
          <w:color w:val="000000"/>
          <w:sz w:val="24"/>
          <w:szCs w:val="24"/>
        </w:rPr>
        <w:t xml:space="preserve">single family </w:t>
      </w:r>
      <w:r w:rsidRPr="00013A4B">
        <w:rPr>
          <w:color w:val="000000"/>
          <w:sz w:val="24"/>
          <w:szCs w:val="24"/>
        </w:rPr>
        <w:t xml:space="preserve">mortgages offered to him and sets eligibility parameters. The parameters include limits to the mortgage amounts that Federal Housing Authority (FHA) may insure, which is governed by section 203(b)(2) of the National Housing Act and section 305(a)(2) of the Federal Home Loan Mortgage Corporation Act (12 U.S.C. 1454(a)(2)).  </w:t>
      </w:r>
    </w:p>
    <w:p w:rsidRPr="00013A4B" w:rsidR="00013A4B" w:rsidP="00013A4B" w:rsidRDefault="00013A4B" w14:paraId="274AAC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textAlignment w:val="auto"/>
        <w:rPr>
          <w:color w:val="000000"/>
          <w:sz w:val="24"/>
          <w:szCs w:val="24"/>
        </w:rPr>
      </w:pPr>
    </w:p>
    <w:p w:rsidRPr="00013A4B" w:rsidR="00013A4B" w:rsidP="00013A4B" w:rsidRDefault="00013A4B" w14:paraId="76C6530C" w14:textId="33F004A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textAlignment w:val="auto"/>
        <w:rPr>
          <w:color w:val="000000"/>
          <w:sz w:val="24"/>
          <w:szCs w:val="24"/>
        </w:rPr>
      </w:pPr>
      <w:r w:rsidRPr="00013A4B">
        <w:rPr>
          <w:color w:val="000000"/>
          <w:sz w:val="24"/>
          <w:szCs w:val="24"/>
        </w:rPr>
        <w:t xml:space="preserve">The parameters for mortgage limits are tied to median home prices reflected in the sales price data for home sales across the country. The statutes are codified at 24 CFR Sec. 203.18b and include an appeal process from the public. Any interested party may submit a request for the mortgage limits to be increased in a particular area if they believe that the present limit does not accurately reflect the median house prices in that locale. Any request for an increase must be accompanied by sufficient housing sales price data to justify higher limits. Typically, this data includes housing sales data extracted from multiple listing services (MLS) that includes all or nearly all one-family dwelling and condominium sales in the area for a specified </w:t>
      </w:r>
      <w:proofErr w:type="gramStart"/>
      <w:r w:rsidRPr="00013A4B">
        <w:rPr>
          <w:color w:val="000000"/>
          <w:sz w:val="24"/>
          <w:szCs w:val="24"/>
        </w:rPr>
        <w:t>period of time</w:t>
      </w:r>
      <w:proofErr w:type="gramEnd"/>
      <w:r w:rsidR="00EE2B9B">
        <w:rPr>
          <w:color w:val="000000"/>
          <w:sz w:val="24"/>
          <w:szCs w:val="24"/>
        </w:rPr>
        <w:t xml:space="preserve"> </w:t>
      </w:r>
      <w:r w:rsidRPr="00013A4B">
        <w:rPr>
          <w:color w:val="000000"/>
          <w:sz w:val="24"/>
          <w:szCs w:val="24"/>
        </w:rPr>
        <w:t>and those involving two or more family units.</w:t>
      </w:r>
    </w:p>
    <w:p w:rsidRPr="00013A4B" w:rsidR="00013A4B" w:rsidP="00013A4B" w:rsidRDefault="00013A4B" w14:paraId="316CF80F" w14:textId="77777777">
      <w:pPr>
        <w:tabs>
          <w:tab w:val="left" w:pos="360"/>
        </w:tabs>
        <w:overflowPunct/>
        <w:autoSpaceDE/>
        <w:autoSpaceDN/>
        <w:adjustRightInd/>
        <w:textAlignment w:val="auto"/>
        <w:rPr>
          <w:color w:val="000000"/>
          <w:sz w:val="24"/>
          <w:szCs w:val="24"/>
        </w:rPr>
      </w:pPr>
    </w:p>
    <w:p w:rsidRPr="00013A4B" w:rsidR="00013A4B" w:rsidP="002308F9" w:rsidRDefault="00013A4B" w14:paraId="3C75254D" w14:textId="77777777">
      <w:pPr>
        <w:numPr>
          <w:ilvl w:val="0"/>
          <w:numId w:val="2"/>
        </w:numPr>
        <w:overflowPunct/>
        <w:autoSpaceDE/>
        <w:autoSpaceDN/>
        <w:adjustRightInd/>
        <w:textAlignment w:val="auto"/>
        <w:rPr>
          <w:sz w:val="24"/>
          <w:szCs w:val="24"/>
        </w:rPr>
      </w:pPr>
      <w:r w:rsidRPr="00013A4B">
        <w:rPr>
          <w:sz w:val="24"/>
          <w:szCs w:val="24"/>
        </w:rPr>
        <w:t>Indicate how, by whom, and for what purpose the information is to be used. Except for a new collection, indicate the actual use the agency has made of the information received from the current collection.</w:t>
      </w:r>
    </w:p>
    <w:p w:rsidRPr="00013A4B" w:rsidR="00013A4B" w:rsidP="00013A4B" w:rsidRDefault="00013A4B" w14:paraId="7524CA3E" w14:textId="77777777">
      <w:pPr>
        <w:overflowPunct/>
        <w:autoSpaceDE/>
        <w:autoSpaceDN/>
        <w:adjustRightInd/>
        <w:ind w:left="720"/>
        <w:textAlignment w:val="auto"/>
        <w:rPr>
          <w:color w:val="000000"/>
          <w:sz w:val="24"/>
          <w:szCs w:val="24"/>
        </w:rPr>
      </w:pPr>
    </w:p>
    <w:p w:rsidRPr="00013A4B" w:rsidR="00013A4B" w:rsidP="00013A4B" w:rsidRDefault="00013A4B" w14:paraId="1F6FB379" w14:textId="77777777">
      <w:pPr>
        <w:overflowPunct/>
        <w:autoSpaceDE/>
        <w:autoSpaceDN/>
        <w:adjustRightInd/>
        <w:ind w:left="720"/>
        <w:textAlignment w:val="auto"/>
        <w:rPr>
          <w:color w:val="000000"/>
          <w:sz w:val="24"/>
          <w:szCs w:val="24"/>
        </w:rPr>
      </w:pPr>
      <w:r w:rsidRPr="00013A4B">
        <w:rPr>
          <w:color w:val="000000"/>
          <w:sz w:val="24"/>
          <w:szCs w:val="24"/>
        </w:rPr>
        <w:t>These requests are usually submitted by housing industry groups, such as homebuilders, real estate</w:t>
      </w:r>
    </w:p>
    <w:p w:rsidRPr="00013A4B" w:rsidR="00013A4B" w:rsidP="00013A4B" w:rsidRDefault="00013A4B" w14:paraId="1B44E1AE" w14:textId="77777777">
      <w:pPr>
        <w:overflowPunct/>
        <w:autoSpaceDE/>
        <w:autoSpaceDN/>
        <w:adjustRightInd/>
        <w:ind w:left="720"/>
        <w:textAlignment w:val="auto"/>
        <w:rPr>
          <w:color w:val="000000"/>
          <w:sz w:val="24"/>
          <w:szCs w:val="24"/>
        </w:rPr>
      </w:pPr>
      <w:r w:rsidRPr="00013A4B">
        <w:rPr>
          <w:color w:val="000000"/>
          <w:sz w:val="24"/>
          <w:szCs w:val="24"/>
        </w:rPr>
        <w:t xml:space="preserve">professionals, and mortgage lenders.  Most often, the housing sales price data is necessary to support a </w:t>
      </w:r>
    </w:p>
    <w:p w:rsidRPr="00013A4B" w:rsidR="00013A4B" w:rsidP="00013A4B" w:rsidRDefault="00013A4B" w14:paraId="3C9296F2" w14:textId="77777777">
      <w:pPr>
        <w:overflowPunct/>
        <w:autoSpaceDE/>
        <w:autoSpaceDN/>
        <w:adjustRightInd/>
        <w:ind w:left="720"/>
        <w:textAlignment w:val="auto"/>
        <w:rPr>
          <w:color w:val="000000"/>
          <w:sz w:val="24"/>
          <w:szCs w:val="24"/>
        </w:rPr>
      </w:pPr>
      <w:r w:rsidRPr="00013A4B">
        <w:rPr>
          <w:color w:val="000000"/>
          <w:sz w:val="24"/>
          <w:szCs w:val="24"/>
        </w:rPr>
        <w:t xml:space="preserve">request for a higher mortgage limit, which may be obtained from existing local industry sources, such as the MLS.    </w:t>
      </w:r>
    </w:p>
    <w:p w:rsidRPr="00013A4B" w:rsidR="00013A4B" w:rsidP="00013A4B" w:rsidRDefault="00013A4B" w14:paraId="5EB5875F" w14:textId="77777777">
      <w:pPr>
        <w:tabs>
          <w:tab w:val="left" w:pos="360"/>
          <w:tab w:val="left" w:pos="720"/>
        </w:tabs>
        <w:overflowPunct/>
        <w:autoSpaceDE/>
        <w:autoSpaceDN/>
        <w:adjustRightInd/>
        <w:textAlignment w:val="auto"/>
        <w:rPr>
          <w:color w:val="000000"/>
          <w:sz w:val="24"/>
          <w:szCs w:val="24"/>
        </w:rPr>
      </w:pPr>
    </w:p>
    <w:p w:rsidRPr="00013A4B" w:rsidR="00013A4B" w:rsidP="002308F9" w:rsidRDefault="00013A4B" w14:paraId="75172FF5" w14:textId="77777777">
      <w:pPr>
        <w:numPr>
          <w:ilvl w:val="0"/>
          <w:numId w:val="2"/>
        </w:numPr>
        <w:overflowPunct/>
        <w:autoSpaceDE/>
        <w:autoSpaceDN/>
        <w:adjustRightInd/>
        <w:contextualSpacing/>
        <w:textAlignment w:val="auto"/>
        <w:rPr>
          <w:sz w:val="24"/>
          <w:szCs w:val="24"/>
        </w:rPr>
      </w:pPr>
      <w:r w:rsidRPr="00013A4B">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13A4B" w:rsidR="00013A4B" w:rsidP="00013A4B" w:rsidRDefault="00013A4B" w14:paraId="1597D227" w14:textId="77777777">
      <w:pPr>
        <w:overflowPunct/>
        <w:ind w:left="720"/>
        <w:textAlignment w:val="auto"/>
        <w:rPr>
          <w:color w:val="000000"/>
          <w:sz w:val="24"/>
          <w:szCs w:val="24"/>
        </w:rPr>
      </w:pPr>
    </w:p>
    <w:p w:rsidRPr="00013A4B" w:rsidR="00013A4B" w:rsidP="00013A4B" w:rsidRDefault="00013A4B" w14:paraId="7C65D74A" w14:textId="77777777">
      <w:pPr>
        <w:overflowPunct/>
        <w:ind w:left="720"/>
        <w:textAlignment w:val="auto"/>
        <w:rPr>
          <w:color w:val="000000"/>
          <w:sz w:val="24"/>
          <w:szCs w:val="24"/>
        </w:rPr>
      </w:pPr>
      <w:r w:rsidRPr="00013A4B">
        <w:rPr>
          <w:color w:val="000000"/>
          <w:sz w:val="24"/>
          <w:szCs w:val="24"/>
        </w:rPr>
        <w:t>All requests are submitted by mail exclusively to FHA’s Santa Ana Homeownership Center (HOC), located in Santa Ana, California.</w:t>
      </w:r>
    </w:p>
    <w:p w:rsidRPr="00013A4B" w:rsidR="00013A4B" w:rsidP="00013A4B" w:rsidRDefault="00013A4B" w14:paraId="6A0129C4" w14:textId="77777777">
      <w:pPr>
        <w:overflowPunct/>
        <w:ind w:left="360"/>
        <w:textAlignment w:val="auto"/>
        <w:rPr>
          <w:color w:val="000000"/>
          <w:sz w:val="24"/>
          <w:szCs w:val="24"/>
        </w:rPr>
      </w:pPr>
    </w:p>
    <w:p w:rsidRPr="00013A4B" w:rsidR="00013A4B" w:rsidP="002308F9" w:rsidRDefault="00013A4B" w14:paraId="49AC3605" w14:textId="77777777">
      <w:pPr>
        <w:numPr>
          <w:ilvl w:val="0"/>
          <w:numId w:val="2"/>
        </w:numPr>
        <w:tabs>
          <w:tab w:val="left" w:pos="720"/>
        </w:tabs>
        <w:overflowPunct/>
        <w:autoSpaceDE/>
        <w:autoSpaceDN/>
        <w:adjustRightInd/>
        <w:textAlignment w:val="auto"/>
        <w:rPr>
          <w:sz w:val="24"/>
          <w:szCs w:val="24"/>
        </w:rPr>
      </w:pPr>
      <w:r w:rsidRPr="00013A4B">
        <w:rPr>
          <w:sz w:val="24"/>
          <w:szCs w:val="24"/>
        </w:rPr>
        <w:t>Describe the effort to identify duplication. Show specifically why any similar information already available cannot be used or modified for use for the purposes described in Item 2 above.</w:t>
      </w:r>
    </w:p>
    <w:p w:rsidRPr="00013A4B" w:rsidR="00013A4B" w:rsidP="00013A4B" w:rsidRDefault="00013A4B" w14:paraId="6EA13448" w14:textId="77777777">
      <w:pPr>
        <w:overflowPunct/>
        <w:autoSpaceDE/>
        <w:autoSpaceDN/>
        <w:adjustRightInd/>
        <w:ind w:left="720"/>
        <w:textAlignment w:val="auto"/>
        <w:rPr>
          <w:color w:val="000000"/>
          <w:sz w:val="24"/>
          <w:szCs w:val="24"/>
        </w:rPr>
      </w:pPr>
    </w:p>
    <w:p w:rsidRPr="00013A4B" w:rsidR="00013A4B" w:rsidP="00013A4B" w:rsidRDefault="00013A4B" w14:paraId="395F9F86" w14:textId="77777777">
      <w:pPr>
        <w:overflowPunct/>
        <w:autoSpaceDE/>
        <w:autoSpaceDN/>
        <w:adjustRightInd/>
        <w:ind w:left="720"/>
        <w:textAlignment w:val="auto"/>
        <w:rPr>
          <w:color w:val="000000"/>
          <w:sz w:val="24"/>
          <w:szCs w:val="24"/>
        </w:rPr>
      </w:pPr>
      <w:r w:rsidRPr="00013A4B">
        <w:rPr>
          <w:color w:val="000000"/>
          <w:sz w:val="24"/>
          <w:szCs w:val="24"/>
        </w:rPr>
        <w:t xml:space="preserve">No similar information is available. Each request for appeal of FHA’s loan limits contains supporting </w:t>
      </w:r>
    </w:p>
    <w:p w:rsidRPr="00013A4B" w:rsidR="00013A4B" w:rsidP="00013A4B" w:rsidRDefault="00013A4B" w14:paraId="2477AAC7" w14:textId="77777777">
      <w:pPr>
        <w:tabs>
          <w:tab w:val="left" w:pos="360"/>
        </w:tabs>
        <w:overflowPunct/>
        <w:autoSpaceDE/>
        <w:autoSpaceDN/>
        <w:adjustRightInd/>
        <w:ind w:left="720"/>
        <w:textAlignment w:val="auto"/>
        <w:rPr>
          <w:color w:val="000000"/>
          <w:sz w:val="24"/>
          <w:szCs w:val="24"/>
        </w:rPr>
      </w:pPr>
      <w:r w:rsidRPr="00013A4B">
        <w:rPr>
          <w:color w:val="000000"/>
          <w:sz w:val="24"/>
          <w:szCs w:val="24"/>
        </w:rPr>
        <w:t xml:space="preserve">documentation for a specific jurisdiction, county, township, etc.  </w:t>
      </w:r>
    </w:p>
    <w:p w:rsidRPr="00E01852" w:rsidR="00827360" w:rsidP="00013A4B" w:rsidRDefault="00827360" w14:paraId="0D598C70" w14:textId="1DDF5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A038E4" w:rsidP="008A1C00" w:rsidRDefault="00A038E4" w14:paraId="663ABE66" w14:textId="76A747FC">
      <w:pPr>
        <w:spacing w:line="240" w:lineRule="atLeast"/>
        <w:rPr>
          <w:sz w:val="24"/>
          <w:szCs w:val="24"/>
        </w:rPr>
      </w:pPr>
    </w:p>
    <w:p w:rsidRPr="001C056E" w:rsidR="001C056E" w:rsidP="002308F9" w:rsidRDefault="001C056E" w14:paraId="55200986" w14:textId="77777777">
      <w:pPr>
        <w:numPr>
          <w:ilvl w:val="0"/>
          <w:numId w:val="2"/>
        </w:numPr>
        <w:overflowPunct/>
        <w:autoSpaceDE/>
        <w:autoSpaceDN/>
        <w:adjustRightInd/>
        <w:textAlignment w:val="auto"/>
        <w:rPr>
          <w:sz w:val="24"/>
          <w:szCs w:val="24"/>
        </w:rPr>
      </w:pPr>
      <w:r w:rsidRPr="001C056E">
        <w:rPr>
          <w:sz w:val="24"/>
          <w:szCs w:val="24"/>
        </w:rPr>
        <w:t xml:space="preserve">If the collection of information impacts small businesses or other small entities (Item 5 of OMB Form 83-I), describe any methods used to minimize burden.  </w:t>
      </w:r>
    </w:p>
    <w:p w:rsidRPr="001C056E" w:rsidR="001C056E" w:rsidP="001C056E" w:rsidRDefault="001C056E" w14:paraId="491A443A" w14:textId="77777777">
      <w:pPr>
        <w:overflowPunct/>
        <w:autoSpaceDE/>
        <w:autoSpaceDN/>
        <w:adjustRightInd/>
        <w:ind w:left="720"/>
        <w:textAlignment w:val="auto"/>
        <w:rPr>
          <w:color w:val="000000"/>
          <w:sz w:val="24"/>
          <w:szCs w:val="24"/>
        </w:rPr>
      </w:pPr>
    </w:p>
    <w:p w:rsidRPr="001C056E" w:rsidR="001C056E" w:rsidP="001C056E" w:rsidRDefault="001C056E" w14:paraId="0FB84A27" w14:textId="77777777">
      <w:pPr>
        <w:overflowPunct/>
        <w:autoSpaceDE/>
        <w:autoSpaceDN/>
        <w:adjustRightInd/>
        <w:ind w:left="720"/>
        <w:textAlignment w:val="auto"/>
        <w:rPr>
          <w:color w:val="000000"/>
          <w:sz w:val="24"/>
          <w:szCs w:val="24"/>
        </w:rPr>
      </w:pPr>
      <w:r w:rsidRPr="001C056E">
        <w:rPr>
          <w:color w:val="000000"/>
          <w:sz w:val="24"/>
          <w:szCs w:val="24"/>
        </w:rPr>
        <w:t xml:space="preserve">This information collection will have no significant impact on small businesses or other small entities. </w:t>
      </w:r>
    </w:p>
    <w:p w:rsidRPr="001C056E" w:rsidR="001C056E" w:rsidP="001C056E" w:rsidRDefault="001C056E" w14:paraId="2C016EEB" w14:textId="77777777">
      <w:pPr>
        <w:overflowPunct/>
        <w:autoSpaceDE/>
        <w:autoSpaceDN/>
        <w:adjustRightInd/>
        <w:ind w:left="720"/>
        <w:textAlignment w:val="auto"/>
        <w:rPr>
          <w:color w:val="000000"/>
          <w:sz w:val="24"/>
          <w:szCs w:val="24"/>
        </w:rPr>
      </w:pPr>
      <w:r w:rsidRPr="001C056E">
        <w:rPr>
          <w:color w:val="000000"/>
          <w:sz w:val="24"/>
          <w:szCs w:val="24"/>
        </w:rPr>
        <w:t xml:space="preserve">Generally, the requests come to HUD from housing industry groups, such as homebuilders, real estate </w:t>
      </w:r>
    </w:p>
    <w:p w:rsidRPr="001C056E" w:rsidR="001C056E" w:rsidP="001C056E" w:rsidRDefault="001C056E" w14:paraId="4E09026A" w14:textId="77777777">
      <w:pPr>
        <w:tabs>
          <w:tab w:val="left" w:pos="360"/>
        </w:tabs>
        <w:overflowPunct/>
        <w:autoSpaceDE/>
        <w:autoSpaceDN/>
        <w:adjustRightInd/>
        <w:ind w:left="720"/>
        <w:textAlignment w:val="auto"/>
        <w:rPr>
          <w:color w:val="000000"/>
          <w:sz w:val="24"/>
          <w:szCs w:val="24"/>
        </w:rPr>
      </w:pPr>
      <w:r w:rsidRPr="001C056E">
        <w:rPr>
          <w:color w:val="000000"/>
          <w:sz w:val="24"/>
          <w:szCs w:val="24"/>
        </w:rPr>
        <w:t>professionals, and mortgage lenders, and not from small entities.</w:t>
      </w:r>
    </w:p>
    <w:p w:rsidRPr="001C056E" w:rsidR="001C056E" w:rsidP="001C056E" w:rsidRDefault="001C056E" w14:paraId="4AAE7C91" w14:textId="77777777">
      <w:pPr>
        <w:overflowPunct/>
        <w:autoSpaceDE/>
        <w:autoSpaceDN/>
        <w:adjustRightInd/>
        <w:textAlignment w:val="auto"/>
        <w:rPr>
          <w:color w:val="000000"/>
          <w:sz w:val="24"/>
          <w:szCs w:val="24"/>
        </w:rPr>
      </w:pPr>
    </w:p>
    <w:p w:rsidRPr="001C056E" w:rsidR="001C056E" w:rsidP="002308F9" w:rsidRDefault="001C056E" w14:paraId="22ED9B46" w14:textId="77777777">
      <w:pPr>
        <w:numPr>
          <w:ilvl w:val="0"/>
          <w:numId w:val="2"/>
        </w:numPr>
        <w:overflowPunct/>
        <w:autoSpaceDE/>
        <w:autoSpaceDN/>
        <w:adjustRightInd/>
        <w:textAlignment w:val="auto"/>
        <w:rPr>
          <w:sz w:val="24"/>
          <w:szCs w:val="24"/>
        </w:rPr>
      </w:pPr>
      <w:r w:rsidRPr="001C056E">
        <w:rPr>
          <w:sz w:val="24"/>
          <w:szCs w:val="24"/>
        </w:rPr>
        <w:t xml:space="preserve">Describe the consequences to Federal program or policy activities if the collection is not conducted or is conducted less frequently, as well as any technical or legal obstacles to reducing burden. </w:t>
      </w:r>
    </w:p>
    <w:p w:rsidRPr="001C056E" w:rsidR="001C056E" w:rsidP="001C056E" w:rsidRDefault="001C056E" w14:paraId="106A82AE" w14:textId="77777777">
      <w:pPr>
        <w:tabs>
          <w:tab w:val="left" w:pos="360"/>
        </w:tabs>
        <w:overflowPunct/>
        <w:autoSpaceDE/>
        <w:autoSpaceDN/>
        <w:adjustRightInd/>
        <w:ind w:left="720"/>
        <w:textAlignment w:val="auto"/>
        <w:rPr>
          <w:color w:val="000000"/>
          <w:sz w:val="24"/>
          <w:szCs w:val="24"/>
        </w:rPr>
      </w:pPr>
    </w:p>
    <w:p w:rsidRPr="001C056E" w:rsidR="001C056E" w:rsidP="001C056E" w:rsidRDefault="001C056E" w14:paraId="6124142B" w14:textId="77777777">
      <w:pPr>
        <w:tabs>
          <w:tab w:val="left" w:pos="360"/>
        </w:tabs>
        <w:overflowPunct/>
        <w:autoSpaceDE/>
        <w:autoSpaceDN/>
        <w:adjustRightInd/>
        <w:ind w:left="720"/>
        <w:textAlignment w:val="auto"/>
        <w:rPr>
          <w:color w:val="000000"/>
          <w:sz w:val="24"/>
          <w:szCs w:val="24"/>
        </w:rPr>
      </w:pPr>
      <w:r w:rsidRPr="001C056E">
        <w:rPr>
          <w:color w:val="000000"/>
          <w:sz w:val="24"/>
          <w:szCs w:val="24"/>
        </w:rPr>
        <w:t xml:space="preserve">This information is collected only when a housing industry group submits an appeal to the current year’s </w:t>
      </w:r>
    </w:p>
    <w:p w:rsidRPr="001C056E" w:rsidR="001C056E" w:rsidP="001C056E" w:rsidRDefault="001C056E" w14:paraId="40268FFC" w14:textId="77777777">
      <w:pPr>
        <w:tabs>
          <w:tab w:val="left" w:pos="360"/>
        </w:tabs>
        <w:overflowPunct/>
        <w:autoSpaceDE/>
        <w:autoSpaceDN/>
        <w:adjustRightInd/>
        <w:ind w:left="720"/>
        <w:textAlignment w:val="auto"/>
        <w:rPr>
          <w:color w:val="000000"/>
          <w:sz w:val="24"/>
          <w:szCs w:val="24"/>
        </w:rPr>
      </w:pPr>
      <w:r w:rsidRPr="001C056E">
        <w:rPr>
          <w:color w:val="000000"/>
          <w:sz w:val="24"/>
          <w:szCs w:val="24"/>
        </w:rPr>
        <w:t>loan limit.</w:t>
      </w:r>
    </w:p>
    <w:p w:rsidRPr="001C056E" w:rsidR="001C056E" w:rsidP="001C056E" w:rsidRDefault="001C056E" w14:paraId="226E92A3" w14:textId="77777777">
      <w:pPr>
        <w:tabs>
          <w:tab w:val="left" w:pos="360"/>
        </w:tabs>
        <w:overflowPunct/>
        <w:autoSpaceDE/>
        <w:autoSpaceDN/>
        <w:adjustRightInd/>
        <w:ind w:left="90"/>
        <w:textAlignment w:val="auto"/>
        <w:rPr>
          <w:color w:val="000000"/>
          <w:sz w:val="24"/>
          <w:szCs w:val="24"/>
        </w:rPr>
      </w:pPr>
    </w:p>
    <w:p w:rsidRPr="001C056E" w:rsidR="001C056E" w:rsidP="002308F9" w:rsidRDefault="001C056E" w14:paraId="06FC33C3" w14:textId="77777777">
      <w:pPr>
        <w:numPr>
          <w:ilvl w:val="0"/>
          <w:numId w:val="2"/>
        </w:numPr>
        <w:overflowPunct/>
        <w:autoSpaceDE/>
        <w:autoSpaceDN/>
        <w:adjustRightInd/>
        <w:contextualSpacing/>
        <w:textAlignment w:val="auto"/>
        <w:rPr>
          <w:sz w:val="24"/>
          <w:szCs w:val="24"/>
        </w:rPr>
      </w:pPr>
      <w:r w:rsidRPr="001C056E">
        <w:rPr>
          <w:sz w:val="24"/>
          <w:szCs w:val="24"/>
        </w:rPr>
        <w:t>Explain any special circumstances that would cause an information collection to be conducted in a manner:</w:t>
      </w:r>
    </w:p>
    <w:p w:rsidRPr="001C056E" w:rsidR="001C056E" w:rsidP="001C056E" w:rsidRDefault="001C056E" w14:paraId="145A6A54" w14:textId="77777777">
      <w:pPr>
        <w:tabs>
          <w:tab w:val="left" w:pos="360"/>
        </w:tabs>
        <w:overflowPunct/>
        <w:autoSpaceDE/>
        <w:autoSpaceDN/>
        <w:adjustRightInd/>
        <w:ind w:left="720"/>
        <w:textAlignment w:val="auto"/>
        <w:rPr>
          <w:color w:val="000000"/>
          <w:sz w:val="24"/>
          <w:szCs w:val="24"/>
        </w:rPr>
      </w:pPr>
    </w:p>
    <w:p w:rsidRPr="001C056E" w:rsidR="001C056E" w:rsidP="001C056E" w:rsidRDefault="001C056E" w14:paraId="6BADCB9D" w14:textId="77777777">
      <w:pPr>
        <w:overflowPunct/>
        <w:autoSpaceDE/>
        <w:autoSpaceDN/>
        <w:adjustRightInd/>
        <w:textAlignment w:val="auto"/>
        <w:rPr>
          <w:color w:val="000000"/>
          <w:sz w:val="24"/>
          <w:szCs w:val="24"/>
        </w:rPr>
      </w:pPr>
      <w:r w:rsidRPr="001C056E">
        <w:rPr>
          <w:sz w:val="24"/>
          <w:szCs w:val="24"/>
        </w:rPr>
        <w:t xml:space="preserve">            * </w:t>
      </w:r>
      <w:proofErr w:type="gramStart"/>
      <w:r w:rsidRPr="001C056E">
        <w:rPr>
          <w:sz w:val="24"/>
          <w:szCs w:val="24"/>
        </w:rPr>
        <w:t>requiring</w:t>
      </w:r>
      <w:proofErr w:type="gramEnd"/>
      <w:r w:rsidRPr="001C056E">
        <w:rPr>
          <w:sz w:val="24"/>
          <w:szCs w:val="24"/>
        </w:rPr>
        <w:t xml:space="preserve"> respondents to report information to the agency more often than quarterly;</w:t>
      </w:r>
    </w:p>
    <w:p w:rsidRPr="001C056E" w:rsidR="001C056E" w:rsidP="002308F9" w:rsidRDefault="001C056E" w14:paraId="05694199"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report information more than quarter.</w:t>
      </w:r>
    </w:p>
    <w:p w:rsidRPr="001C056E" w:rsidR="001C056E" w:rsidP="001C056E" w:rsidRDefault="001C056E" w14:paraId="32062BED" w14:textId="77777777">
      <w:pPr>
        <w:overflowPunct/>
        <w:autoSpaceDE/>
        <w:autoSpaceDN/>
        <w:adjustRightInd/>
        <w:ind w:left="1080"/>
        <w:contextualSpacing/>
        <w:textAlignment w:val="auto"/>
        <w:rPr>
          <w:color w:val="000000"/>
          <w:sz w:val="24"/>
          <w:szCs w:val="24"/>
        </w:rPr>
      </w:pPr>
    </w:p>
    <w:p w:rsidRPr="001C056E" w:rsidR="001C056E" w:rsidP="001C056E" w:rsidRDefault="001C056E" w14:paraId="31CFF66B" w14:textId="77777777">
      <w:pPr>
        <w:tabs>
          <w:tab w:val="left" w:pos="360"/>
        </w:tabs>
        <w:overflowPunct/>
        <w:autoSpaceDE/>
        <w:autoSpaceDN/>
        <w:adjustRightInd/>
        <w:ind w:left="864" w:hanging="864"/>
        <w:textAlignment w:val="auto"/>
        <w:rPr>
          <w:sz w:val="24"/>
          <w:szCs w:val="24"/>
        </w:rPr>
      </w:pPr>
      <w:r w:rsidRPr="001C056E">
        <w:rPr>
          <w:sz w:val="24"/>
          <w:szCs w:val="24"/>
        </w:rPr>
        <w:t xml:space="preserve">            * </w:t>
      </w:r>
      <w:proofErr w:type="gramStart"/>
      <w:r w:rsidRPr="001C056E">
        <w:rPr>
          <w:sz w:val="24"/>
          <w:szCs w:val="24"/>
        </w:rPr>
        <w:t>requiring</w:t>
      </w:r>
      <w:proofErr w:type="gramEnd"/>
      <w:r w:rsidRPr="001C056E">
        <w:rPr>
          <w:sz w:val="24"/>
          <w:szCs w:val="24"/>
        </w:rPr>
        <w:t xml:space="preserve"> respondents to prepare a written response to a collection of information in fewer than 30   days after receipt of it;</w:t>
      </w:r>
    </w:p>
    <w:p w:rsidRPr="001C056E" w:rsidR="001C056E" w:rsidP="002308F9" w:rsidRDefault="001C056E" w14:paraId="122D401D"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prepare a written response in less than 30 days.</w:t>
      </w:r>
    </w:p>
    <w:p w:rsidRPr="001C056E" w:rsidR="001C056E" w:rsidP="001C056E" w:rsidRDefault="001C056E" w14:paraId="6D0158D2" w14:textId="77777777">
      <w:pPr>
        <w:overflowPunct/>
        <w:autoSpaceDE/>
        <w:autoSpaceDN/>
        <w:adjustRightInd/>
        <w:ind w:left="1080"/>
        <w:contextualSpacing/>
        <w:textAlignment w:val="auto"/>
        <w:rPr>
          <w:color w:val="000000"/>
          <w:sz w:val="24"/>
          <w:szCs w:val="24"/>
        </w:rPr>
      </w:pPr>
    </w:p>
    <w:p w:rsidRPr="001C056E" w:rsidR="001C056E" w:rsidP="001C056E" w:rsidRDefault="001C056E" w14:paraId="67B96AA5" w14:textId="77777777">
      <w:pPr>
        <w:overflowPunct/>
        <w:autoSpaceDE/>
        <w:autoSpaceDN/>
        <w:adjustRightInd/>
        <w:textAlignment w:val="auto"/>
        <w:rPr>
          <w:sz w:val="24"/>
          <w:szCs w:val="24"/>
        </w:rPr>
      </w:pPr>
      <w:r w:rsidRPr="001C056E">
        <w:rPr>
          <w:sz w:val="24"/>
          <w:szCs w:val="24"/>
        </w:rPr>
        <w:t xml:space="preserve">            * </w:t>
      </w:r>
      <w:proofErr w:type="gramStart"/>
      <w:r w:rsidRPr="001C056E">
        <w:rPr>
          <w:sz w:val="24"/>
          <w:szCs w:val="24"/>
        </w:rPr>
        <w:t>requiring</w:t>
      </w:r>
      <w:proofErr w:type="gramEnd"/>
      <w:r w:rsidRPr="001C056E">
        <w:rPr>
          <w:sz w:val="24"/>
          <w:szCs w:val="24"/>
        </w:rPr>
        <w:t xml:space="preserve"> respondents to submit more than an original and two copies of any document; </w:t>
      </w:r>
    </w:p>
    <w:p w:rsidRPr="001C056E" w:rsidR="001C056E" w:rsidP="002308F9" w:rsidRDefault="001C056E" w14:paraId="4F3D2D9B"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submit more than an original and two copies of any document.</w:t>
      </w:r>
    </w:p>
    <w:p w:rsidRPr="001C056E" w:rsidR="001C056E" w:rsidP="001C056E" w:rsidRDefault="001C056E" w14:paraId="790B8233" w14:textId="77777777">
      <w:pPr>
        <w:overflowPunct/>
        <w:autoSpaceDE/>
        <w:autoSpaceDN/>
        <w:adjustRightInd/>
        <w:ind w:left="1080"/>
        <w:contextualSpacing/>
        <w:textAlignment w:val="auto"/>
        <w:rPr>
          <w:color w:val="000000"/>
          <w:sz w:val="24"/>
          <w:szCs w:val="24"/>
        </w:rPr>
      </w:pPr>
    </w:p>
    <w:p w:rsidRPr="001C056E" w:rsidR="001C056E" w:rsidP="001C056E" w:rsidRDefault="001C056E" w14:paraId="498ED823" w14:textId="77777777">
      <w:pPr>
        <w:overflowPunct/>
        <w:autoSpaceDE/>
        <w:autoSpaceDN/>
        <w:adjustRightInd/>
        <w:ind w:left="864" w:hanging="288"/>
        <w:textAlignment w:val="auto"/>
        <w:rPr>
          <w:color w:val="000000"/>
          <w:sz w:val="24"/>
          <w:szCs w:val="24"/>
        </w:rPr>
      </w:pPr>
      <w:r w:rsidRPr="001C056E">
        <w:rPr>
          <w:sz w:val="24"/>
          <w:szCs w:val="24"/>
        </w:rPr>
        <w:t xml:space="preserve">  * requiring respondents to retain records, other than health, medical, government contract, grant-in-</w:t>
      </w:r>
      <w:proofErr w:type="gramStart"/>
      <w:r w:rsidRPr="001C056E">
        <w:rPr>
          <w:sz w:val="24"/>
          <w:szCs w:val="24"/>
        </w:rPr>
        <w:t xml:space="preserve">aid,   </w:t>
      </w:r>
      <w:proofErr w:type="gramEnd"/>
      <w:r w:rsidRPr="001C056E">
        <w:rPr>
          <w:sz w:val="24"/>
          <w:szCs w:val="24"/>
        </w:rPr>
        <w:t xml:space="preserve"> or tax records, for more than three years;</w:t>
      </w:r>
    </w:p>
    <w:p w:rsidRPr="001C056E" w:rsidR="001C056E" w:rsidP="002308F9" w:rsidRDefault="001C056E" w14:paraId="08068911"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retain records more than three years.</w:t>
      </w:r>
    </w:p>
    <w:p w:rsidRPr="001C056E" w:rsidR="001C056E" w:rsidP="001C056E" w:rsidRDefault="001C056E" w14:paraId="7DC4F630" w14:textId="77777777">
      <w:pPr>
        <w:overflowPunct/>
        <w:autoSpaceDE/>
        <w:autoSpaceDN/>
        <w:adjustRightInd/>
        <w:ind w:left="1080"/>
        <w:contextualSpacing/>
        <w:textAlignment w:val="auto"/>
        <w:rPr>
          <w:color w:val="000000"/>
          <w:sz w:val="24"/>
          <w:szCs w:val="24"/>
        </w:rPr>
      </w:pPr>
    </w:p>
    <w:p w:rsidRPr="001C056E" w:rsidR="001C056E" w:rsidP="001C056E" w:rsidRDefault="001C056E" w14:paraId="0825854E" w14:textId="77777777">
      <w:pPr>
        <w:overflowPunct/>
        <w:autoSpaceDE/>
        <w:autoSpaceDN/>
        <w:adjustRightInd/>
        <w:ind w:left="864" w:hanging="864"/>
        <w:textAlignment w:val="auto"/>
        <w:rPr>
          <w:sz w:val="24"/>
          <w:szCs w:val="24"/>
        </w:rPr>
      </w:pPr>
      <w:r w:rsidRPr="001C056E">
        <w:rPr>
          <w:sz w:val="24"/>
          <w:szCs w:val="24"/>
        </w:rPr>
        <w:t xml:space="preserve">            * in connection with a statistical survey, that is not designed to produce valid and reliable results </w:t>
      </w:r>
      <w:proofErr w:type="gramStart"/>
      <w:r w:rsidRPr="001C056E">
        <w:rPr>
          <w:sz w:val="24"/>
          <w:szCs w:val="24"/>
        </w:rPr>
        <w:t>that  can</w:t>
      </w:r>
      <w:proofErr w:type="gramEnd"/>
      <w:r w:rsidRPr="001C056E">
        <w:rPr>
          <w:sz w:val="24"/>
          <w:szCs w:val="24"/>
        </w:rPr>
        <w:t xml:space="preserve"> be generalized to the universe of study;</w:t>
      </w:r>
    </w:p>
    <w:p w:rsidRPr="001C056E" w:rsidR="001C056E" w:rsidP="002308F9" w:rsidRDefault="001C056E" w14:paraId="2277AA2D"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provide a statistical survey.</w:t>
      </w:r>
    </w:p>
    <w:p w:rsidRPr="001C056E" w:rsidR="001C056E" w:rsidP="001C056E" w:rsidRDefault="001C056E" w14:paraId="63C83399" w14:textId="77777777">
      <w:pPr>
        <w:overflowPunct/>
        <w:autoSpaceDE/>
        <w:autoSpaceDN/>
        <w:adjustRightInd/>
        <w:textAlignment w:val="auto"/>
        <w:rPr>
          <w:color w:val="000000"/>
          <w:sz w:val="24"/>
          <w:szCs w:val="24"/>
        </w:rPr>
      </w:pPr>
    </w:p>
    <w:p w:rsidRPr="001C056E" w:rsidR="001C056E" w:rsidP="001C056E" w:rsidRDefault="001C056E" w14:paraId="127057B7" w14:textId="77777777">
      <w:pPr>
        <w:overflowPunct/>
        <w:autoSpaceDE/>
        <w:autoSpaceDN/>
        <w:adjustRightInd/>
        <w:ind w:left="576" w:hanging="576"/>
        <w:textAlignment w:val="auto"/>
        <w:rPr>
          <w:sz w:val="24"/>
          <w:szCs w:val="24"/>
        </w:rPr>
      </w:pPr>
      <w:r w:rsidRPr="001C056E">
        <w:rPr>
          <w:sz w:val="24"/>
          <w:szCs w:val="24"/>
        </w:rPr>
        <w:t xml:space="preserve">            * </w:t>
      </w:r>
      <w:proofErr w:type="gramStart"/>
      <w:r w:rsidRPr="001C056E">
        <w:rPr>
          <w:sz w:val="24"/>
          <w:szCs w:val="24"/>
        </w:rPr>
        <w:t>requiring</w:t>
      </w:r>
      <w:proofErr w:type="gramEnd"/>
      <w:r w:rsidRPr="001C056E">
        <w:rPr>
          <w:sz w:val="24"/>
          <w:szCs w:val="24"/>
        </w:rPr>
        <w:t xml:space="preserve"> the use of a statistical data classification that has not been reviewed and approved by OMB;</w:t>
      </w:r>
    </w:p>
    <w:p w:rsidRPr="001C056E" w:rsidR="001C056E" w:rsidP="002308F9" w:rsidRDefault="001C056E" w14:paraId="7AE1C6DE"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use statistical data not approved by OMB.</w:t>
      </w:r>
    </w:p>
    <w:p w:rsidRPr="001C056E" w:rsidR="001C056E" w:rsidP="001C056E" w:rsidRDefault="001C056E" w14:paraId="4297261D" w14:textId="77777777">
      <w:pPr>
        <w:overflowPunct/>
        <w:autoSpaceDE/>
        <w:autoSpaceDN/>
        <w:adjustRightInd/>
        <w:ind w:left="576" w:hanging="576"/>
        <w:textAlignment w:val="auto"/>
        <w:rPr>
          <w:sz w:val="24"/>
          <w:szCs w:val="24"/>
        </w:rPr>
      </w:pPr>
    </w:p>
    <w:p w:rsidRPr="001C056E" w:rsidR="001C056E" w:rsidP="001C056E" w:rsidRDefault="001C056E" w14:paraId="3B9DFCEE" w14:textId="77777777">
      <w:pPr>
        <w:overflowPunct/>
        <w:autoSpaceDE/>
        <w:autoSpaceDN/>
        <w:adjustRightInd/>
        <w:ind w:left="864" w:hanging="144"/>
        <w:contextualSpacing/>
        <w:textAlignment w:val="auto"/>
        <w:rPr>
          <w:sz w:val="24"/>
          <w:szCs w:val="24"/>
        </w:rPr>
      </w:pPr>
      <w:r w:rsidRPr="001C056E">
        <w:rPr>
          <w:sz w:val="24"/>
          <w:szCs w:val="24"/>
        </w:rPr>
        <w:t xml:space="preserve">* </w:t>
      </w:r>
      <w:proofErr w:type="gramStart"/>
      <w:r w:rsidRPr="001C056E">
        <w:rPr>
          <w:sz w:val="24"/>
          <w:szCs w:val="24"/>
        </w:rPr>
        <w:t>that</w:t>
      </w:r>
      <w:proofErr w:type="gramEnd"/>
      <w:r w:rsidRPr="001C056E">
        <w:rPr>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C056E" w:rsidR="001C056E" w:rsidP="002308F9" w:rsidRDefault="001C056E" w14:paraId="36FCFA7F" w14:textId="77777777">
      <w:pPr>
        <w:numPr>
          <w:ilvl w:val="0"/>
          <w:numId w:val="3"/>
        </w:numPr>
        <w:overflowPunct/>
        <w:autoSpaceDE/>
        <w:autoSpaceDN/>
        <w:adjustRightInd/>
        <w:ind w:left="1224"/>
        <w:contextualSpacing/>
        <w:textAlignment w:val="auto"/>
        <w:rPr>
          <w:color w:val="000000"/>
          <w:sz w:val="24"/>
          <w:szCs w:val="24"/>
        </w:rPr>
      </w:pPr>
      <w:r w:rsidRPr="001C056E">
        <w:rPr>
          <w:color w:val="000000"/>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w:t>
      </w:r>
    </w:p>
    <w:p w:rsidRPr="001C056E" w:rsidR="001C056E" w:rsidP="001C056E" w:rsidRDefault="001C056E" w14:paraId="2222B148" w14:textId="77777777">
      <w:pPr>
        <w:overflowPunct/>
        <w:autoSpaceDE/>
        <w:autoSpaceDN/>
        <w:adjustRightInd/>
        <w:ind w:left="1080"/>
        <w:contextualSpacing/>
        <w:textAlignment w:val="auto"/>
        <w:rPr>
          <w:color w:val="000000"/>
          <w:sz w:val="24"/>
          <w:szCs w:val="24"/>
        </w:rPr>
      </w:pPr>
    </w:p>
    <w:p w:rsidRPr="001C056E" w:rsidR="001C056E" w:rsidP="001C056E" w:rsidRDefault="001C056E" w14:paraId="27F7D426" w14:textId="77777777">
      <w:pPr>
        <w:overflowPunct/>
        <w:autoSpaceDE/>
        <w:autoSpaceDN/>
        <w:adjustRightInd/>
        <w:ind w:left="864" w:hanging="144"/>
        <w:contextualSpacing/>
        <w:textAlignment w:val="auto"/>
        <w:rPr>
          <w:color w:val="000000"/>
          <w:sz w:val="24"/>
          <w:szCs w:val="24"/>
        </w:rPr>
      </w:pPr>
      <w:r w:rsidRPr="001C056E">
        <w:rPr>
          <w:sz w:val="24"/>
          <w:szCs w:val="24"/>
        </w:rPr>
        <w:t xml:space="preserve">* </w:t>
      </w:r>
      <w:proofErr w:type="gramStart"/>
      <w:r w:rsidRPr="001C056E">
        <w:rPr>
          <w:sz w:val="24"/>
          <w:szCs w:val="24"/>
        </w:rPr>
        <w:t>requiring</w:t>
      </w:r>
      <w:proofErr w:type="gramEnd"/>
      <w:r w:rsidRPr="001C056E">
        <w:rPr>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E66101" w:rsidR="009D6C74" w:rsidP="002308F9" w:rsidRDefault="001C056E" w14:paraId="48FB023D" w14:textId="0B6A0B9D">
      <w:pPr>
        <w:pStyle w:val="ListParagraph"/>
        <w:numPr>
          <w:ilvl w:val="0"/>
          <w:numId w:val="3"/>
        </w:numPr>
        <w:ind w:left="1224"/>
        <w:rPr>
          <w:sz w:val="24"/>
        </w:rPr>
      </w:pPr>
      <w:bookmarkStart w:name="_Hlk503969280" w:id="1"/>
      <w:r w:rsidRPr="00E66101">
        <w:rPr>
          <w:color w:val="000000"/>
          <w:sz w:val="24"/>
          <w:szCs w:val="24"/>
        </w:rPr>
        <w:t xml:space="preserve">respondents are not required </w:t>
      </w:r>
      <w:bookmarkEnd w:id="1"/>
      <w:r w:rsidRPr="00E66101">
        <w:rPr>
          <w:color w:val="000000"/>
          <w:sz w:val="24"/>
          <w:szCs w:val="24"/>
        </w:rPr>
        <w:t>to submit proprietary trade secrets or other confidential information, unless the agency can demonstrate that it has instituted procedures to protect the information’s</w:t>
      </w:r>
      <w:r w:rsidRPr="00E66101" w:rsidR="00C16DC7">
        <w:rPr>
          <w:color w:val="000000"/>
          <w:sz w:val="24"/>
          <w:szCs w:val="24"/>
        </w:rPr>
        <w:t xml:space="preserve"> confidentiality</w:t>
      </w:r>
      <w:r w:rsidRPr="00E66101" w:rsidR="00442CB1">
        <w:rPr>
          <w:color w:val="000000"/>
          <w:sz w:val="24"/>
          <w:szCs w:val="24"/>
        </w:rPr>
        <w:t xml:space="preserve"> to the extent permitted by law.</w:t>
      </w:r>
    </w:p>
    <w:p w:rsidR="009D6C74" w:rsidP="00C87B35" w:rsidRDefault="009D6C74" w14:paraId="6091C0FD"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Pr="00265C5D" w:rsidR="00265C5D" w:rsidP="002308F9" w:rsidRDefault="00265C5D" w14:paraId="5A114BBD" w14:textId="267596D3">
      <w:pPr>
        <w:numPr>
          <w:ilvl w:val="0"/>
          <w:numId w:val="2"/>
        </w:numPr>
        <w:tabs>
          <w:tab w:val="left" w:pos="360"/>
        </w:tabs>
        <w:overflowPunct/>
        <w:autoSpaceDE/>
        <w:autoSpaceDN/>
        <w:adjustRightInd/>
        <w:textAlignment w:val="auto"/>
        <w:rPr>
          <w:sz w:val="24"/>
          <w:szCs w:val="24"/>
        </w:rPr>
      </w:pPr>
      <w:r w:rsidRPr="00265C5D">
        <w:rPr>
          <w:sz w:val="24"/>
          <w:szCs w:val="24"/>
        </w:rPr>
        <w:lastRenderedPageBreak/>
        <w:t xml:space="preserve">In accordance with 5 CFR 1320.8(d), the agency’s notice soliciting public comments was announced in the </w:t>
      </w:r>
      <w:r w:rsidRPr="00265C5D">
        <w:rPr>
          <w:i/>
          <w:iCs/>
          <w:sz w:val="24"/>
          <w:szCs w:val="24"/>
        </w:rPr>
        <w:t>Federal Register</w:t>
      </w:r>
      <w:r w:rsidRPr="00265C5D">
        <w:rPr>
          <w:sz w:val="24"/>
          <w:szCs w:val="24"/>
        </w:rPr>
        <w:t xml:space="preserve"> on </w:t>
      </w:r>
      <w:r w:rsidR="00F32CC3">
        <w:rPr>
          <w:sz w:val="24"/>
          <w:szCs w:val="24"/>
        </w:rPr>
        <w:t>Friday, May 7</w:t>
      </w:r>
      <w:r w:rsidRPr="00265C5D">
        <w:rPr>
          <w:sz w:val="24"/>
          <w:szCs w:val="24"/>
        </w:rPr>
        <w:t>,</w:t>
      </w:r>
      <w:r w:rsidR="00F32CC3">
        <w:rPr>
          <w:sz w:val="24"/>
          <w:szCs w:val="24"/>
        </w:rPr>
        <w:t xml:space="preserve"> 2021</w:t>
      </w:r>
      <w:r w:rsidRPr="00265C5D">
        <w:rPr>
          <w:sz w:val="24"/>
          <w:szCs w:val="24"/>
        </w:rPr>
        <w:t xml:space="preserve"> </w:t>
      </w:r>
      <w:r w:rsidR="00326126">
        <w:rPr>
          <w:sz w:val="24"/>
          <w:szCs w:val="24"/>
        </w:rPr>
        <w:t>(</w:t>
      </w:r>
      <w:r w:rsidRPr="00265C5D">
        <w:rPr>
          <w:sz w:val="24"/>
          <w:szCs w:val="24"/>
        </w:rPr>
        <w:t>Vol.</w:t>
      </w:r>
      <w:r w:rsidR="00F32CC3">
        <w:rPr>
          <w:sz w:val="24"/>
          <w:szCs w:val="24"/>
        </w:rPr>
        <w:t>:</w:t>
      </w:r>
      <w:r w:rsidRPr="00265C5D">
        <w:rPr>
          <w:sz w:val="24"/>
          <w:szCs w:val="24"/>
        </w:rPr>
        <w:t xml:space="preserve"> </w:t>
      </w:r>
      <w:r w:rsidR="00F32CC3">
        <w:rPr>
          <w:sz w:val="24"/>
          <w:szCs w:val="24"/>
        </w:rPr>
        <w:t>86</w:t>
      </w:r>
      <w:r w:rsidRPr="00265C5D">
        <w:rPr>
          <w:sz w:val="24"/>
          <w:szCs w:val="24"/>
        </w:rPr>
        <w:t>, No</w:t>
      </w:r>
      <w:r w:rsidR="00F32CC3">
        <w:rPr>
          <w:sz w:val="24"/>
          <w:szCs w:val="24"/>
        </w:rPr>
        <w:t>.:87</w:t>
      </w:r>
      <w:r w:rsidRPr="00265C5D">
        <w:rPr>
          <w:sz w:val="24"/>
          <w:szCs w:val="24"/>
        </w:rPr>
        <w:t>, Page</w:t>
      </w:r>
      <w:r w:rsidR="00F32CC3">
        <w:rPr>
          <w:sz w:val="24"/>
          <w:szCs w:val="24"/>
        </w:rPr>
        <w:t xml:space="preserve"> 24654</w:t>
      </w:r>
      <w:r w:rsidR="00326126">
        <w:rPr>
          <w:sz w:val="24"/>
          <w:szCs w:val="24"/>
        </w:rPr>
        <w:t>)</w:t>
      </w:r>
      <w:r w:rsidRPr="00265C5D">
        <w:rPr>
          <w:sz w:val="24"/>
          <w:szCs w:val="24"/>
        </w:rPr>
        <w:t xml:space="preserve">.  </w:t>
      </w:r>
      <w:r w:rsidR="00F32CC3">
        <w:rPr>
          <w:sz w:val="24"/>
          <w:szCs w:val="24"/>
        </w:rPr>
        <w:t xml:space="preserve">No </w:t>
      </w:r>
      <w:r w:rsidR="00326126">
        <w:rPr>
          <w:sz w:val="24"/>
          <w:szCs w:val="24"/>
        </w:rPr>
        <w:t>C</w:t>
      </w:r>
      <w:r w:rsidRPr="00265C5D">
        <w:rPr>
          <w:sz w:val="24"/>
          <w:szCs w:val="24"/>
        </w:rPr>
        <w:t>omment</w:t>
      </w:r>
      <w:r w:rsidR="00F32CC3">
        <w:rPr>
          <w:sz w:val="24"/>
          <w:szCs w:val="24"/>
        </w:rPr>
        <w:t>s received.</w:t>
      </w:r>
    </w:p>
    <w:p w:rsidRPr="00265C5D" w:rsidR="00265C5D" w:rsidP="00265C5D" w:rsidRDefault="00265C5D" w14:paraId="6493886B" w14:textId="77777777">
      <w:pPr>
        <w:tabs>
          <w:tab w:val="left" w:pos="360"/>
        </w:tabs>
        <w:overflowPunct/>
        <w:autoSpaceDE/>
        <w:autoSpaceDN/>
        <w:adjustRightInd/>
        <w:ind w:left="720"/>
        <w:textAlignment w:val="auto"/>
        <w:rPr>
          <w:sz w:val="24"/>
          <w:szCs w:val="24"/>
        </w:rPr>
      </w:pPr>
    </w:p>
    <w:p w:rsidRPr="00265C5D" w:rsidR="00265C5D" w:rsidP="002308F9" w:rsidRDefault="00265C5D" w14:paraId="0AE56D41" w14:textId="77777777">
      <w:pPr>
        <w:numPr>
          <w:ilvl w:val="0"/>
          <w:numId w:val="2"/>
        </w:numPr>
        <w:tabs>
          <w:tab w:val="left" w:pos="360"/>
          <w:tab w:val="left" w:pos="720"/>
        </w:tabs>
        <w:overflowPunct/>
        <w:autoSpaceDE/>
        <w:autoSpaceDN/>
        <w:adjustRightInd/>
        <w:textAlignment w:val="auto"/>
        <w:rPr>
          <w:color w:val="000000"/>
          <w:sz w:val="24"/>
          <w:szCs w:val="24"/>
        </w:rPr>
      </w:pPr>
      <w:r w:rsidRPr="00265C5D">
        <w:rPr>
          <w:color w:val="000000"/>
          <w:sz w:val="24"/>
          <w:szCs w:val="24"/>
        </w:rPr>
        <w:t>There are no payments or gifts to respondents.</w:t>
      </w:r>
    </w:p>
    <w:p w:rsidRPr="00265C5D" w:rsidR="00265C5D" w:rsidP="00265C5D" w:rsidRDefault="00265C5D" w14:paraId="1E9D1E2C" w14:textId="77777777">
      <w:pPr>
        <w:tabs>
          <w:tab w:val="left" w:pos="360"/>
        </w:tabs>
        <w:overflowPunct/>
        <w:autoSpaceDE/>
        <w:autoSpaceDN/>
        <w:adjustRightInd/>
        <w:ind w:left="90"/>
        <w:textAlignment w:val="auto"/>
        <w:rPr>
          <w:color w:val="000000"/>
          <w:sz w:val="24"/>
          <w:szCs w:val="24"/>
        </w:rPr>
      </w:pPr>
    </w:p>
    <w:p w:rsidRPr="00265C5D" w:rsidR="00265C5D" w:rsidP="002308F9" w:rsidRDefault="00265C5D" w14:paraId="0C9B435F" w14:textId="77777777">
      <w:pPr>
        <w:numPr>
          <w:ilvl w:val="0"/>
          <w:numId w:val="2"/>
        </w:numPr>
        <w:tabs>
          <w:tab w:val="left" w:pos="360"/>
        </w:tabs>
        <w:overflowPunct/>
        <w:autoSpaceDE/>
        <w:autoSpaceDN/>
        <w:adjustRightInd/>
        <w:textAlignment w:val="auto"/>
        <w:rPr>
          <w:color w:val="000000"/>
          <w:sz w:val="24"/>
          <w:szCs w:val="24"/>
        </w:rPr>
      </w:pPr>
      <w:r w:rsidRPr="00265C5D">
        <w:rPr>
          <w:color w:val="000000"/>
          <w:sz w:val="24"/>
          <w:szCs w:val="24"/>
        </w:rPr>
        <w:t>No assurances of confidentiality are provided to respondents.</w:t>
      </w:r>
    </w:p>
    <w:p w:rsidRPr="00265C5D" w:rsidR="00265C5D" w:rsidP="00265C5D" w:rsidRDefault="00265C5D" w14:paraId="3B744EA1" w14:textId="77777777">
      <w:pPr>
        <w:tabs>
          <w:tab w:val="left" w:pos="360"/>
        </w:tabs>
        <w:overflowPunct/>
        <w:autoSpaceDE/>
        <w:autoSpaceDN/>
        <w:adjustRightInd/>
        <w:textAlignment w:val="auto"/>
        <w:rPr>
          <w:color w:val="000000"/>
          <w:sz w:val="24"/>
          <w:szCs w:val="24"/>
        </w:rPr>
      </w:pPr>
    </w:p>
    <w:p w:rsidRPr="00265C5D" w:rsidR="00265C5D" w:rsidP="002308F9" w:rsidRDefault="00265C5D" w14:paraId="77F95C63" w14:textId="77777777">
      <w:pPr>
        <w:numPr>
          <w:ilvl w:val="0"/>
          <w:numId w:val="2"/>
        </w:numPr>
        <w:tabs>
          <w:tab w:val="left" w:pos="360"/>
        </w:tabs>
        <w:overflowPunct/>
        <w:autoSpaceDE/>
        <w:autoSpaceDN/>
        <w:adjustRightInd/>
        <w:textAlignment w:val="auto"/>
        <w:rPr>
          <w:color w:val="000000"/>
          <w:sz w:val="24"/>
          <w:szCs w:val="24"/>
        </w:rPr>
      </w:pPr>
      <w:r w:rsidRPr="00265C5D">
        <w:rPr>
          <w:color w:val="000000"/>
          <w:sz w:val="24"/>
          <w:szCs w:val="24"/>
        </w:rPr>
        <w:t>No questions of a sensitive nature are asked of respondents.</w:t>
      </w:r>
    </w:p>
    <w:p w:rsidRPr="00265C5D" w:rsidR="00265C5D" w:rsidP="00265C5D" w:rsidRDefault="00265C5D" w14:paraId="345A435E" w14:textId="77777777">
      <w:pPr>
        <w:tabs>
          <w:tab w:val="left" w:pos="360"/>
        </w:tabs>
        <w:overflowPunct/>
        <w:autoSpaceDE/>
        <w:autoSpaceDN/>
        <w:adjustRightInd/>
        <w:textAlignment w:val="auto"/>
        <w:rPr>
          <w:color w:val="000000"/>
          <w:sz w:val="24"/>
          <w:szCs w:val="24"/>
        </w:rPr>
      </w:pPr>
    </w:p>
    <w:p w:rsidRPr="00265C5D" w:rsidR="00265C5D" w:rsidP="002308F9" w:rsidRDefault="00265C5D" w14:paraId="05D73B4D" w14:textId="77777777">
      <w:pPr>
        <w:numPr>
          <w:ilvl w:val="0"/>
          <w:numId w:val="2"/>
        </w:numPr>
        <w:tabs>
          <w:tab w:val="left" w:pos="360"/>
        </w:tabs>
        <w:overflowPunct/>
        <w:autoSpaceDE/>
        <w:autoSpaceDN/>
        <w:adjustRightInd/>
        <w:textAlignment w:val="auto"/>
        <w:rPr>
          <w:color w:val="000000"/>
          <w:sz w:val="24"/>
          <w:szCs w:val="24"/>
        </w:rPr>
      </w:pPr>
      <w:r w:rsidRPr="00265C5D">
        <w:rPr>
          <w:color w:val="000000"/>
          <w:sz w:val="24"/>
          <w:szCs w:val="24"/>
        </w:rPr>
        <w:t>Estimate of the respondent burden and cost of the collection of information:</w:t>
      </w:r>
    </w:p>
    <w:p w:rsidRPr="00265C5D" w:rsidR="00265C5D" w:rsidP="00265C5D" w:rsidRDefault="00265C5D" w14:paraId="2D0ABDC2" w14:textId="77777777">
      <w:pPr>
        <w:tabs>
          <w:tab w:val="left" w:pos="360"/>
        </w:tabs>
        <w:overflowPunct/>
        <w:autoSpaceDE/>
        <w:autoSpaceDN/>
        <w:adjustRightInd/>
        <w:ind w:left="90"/>
        <w:textAlignment w:val="auto"/>
        <w:rPr>
          <w:color w:val="000000"/>
          <w:sz w:val="24"/>
          <w:szCs w:val="24"/>
        </w:rPr>
      </w:pPr>
    </w:p>
    <w:tbl>
      <w:tblPr>
        <w:tblpPr w:leftFromText="180" w:rightFromText="180" w:vertAnchor="text" w:horzAnchor="margin" w:tblpXSpec="center" w:tblpY="19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65"/>
        <w:gridCol w:w="1584"/>
        <w:gridCol w:w="1400"/>
        <w:gridCol w:w="1321"/>
        <w:gridCol w:w="1260"/>
        <w:gridCol w:w="1137"/>
        <w:gridCol w:w="1077"/>
        <w:gridCol w:w="1386"/>
      </w:tblGrid>
      <w:tr w:rsidRPr="00265C5D" w:rsidR="00265C5D" w:rsidTr="004B21ED" w14:paraId="6B673F93" w14:textId="77777777">
        <w:tc>
          <w:tcPr>
            <w:tcW w:w="1365" w:type="dxa"/>
            <w:vAlign w:val="center"/>
          </w:tcPr>
          <w:p w:rsidRPr="00265C5D" w:rsidR="00265C5D" w:rsidP="00265C5D" w:rsidRDefault="00265C5D" w14:paraId="101E8B94" w14:textId="77777777">
            <w:pPr>
              <w:overflowPunct/>
              <w:autoSpaceDE/>
              <w:autoSpaceDN/>
              <w:adjustRightInd/>
              <w:ind w:left="60"/>
              <w:contextualSpacing/>
              <w:jc w:val="center"/>
              <w:textAlignment w:val="auto"/>
              <w:rPr>
                <w:b/>
                <w:color w:val="000000"/>
                <w:sz w:val="24"/>
                <w:szCs w:val="24"/>
              </w:rPr>
            </w:pPr>
            <w:r w:rsidRPr="00265C5D">
              <w:rPr>
                <w:b/>
                <w:color w:val="000000"/>
                <w:sz w:val="24"/>
                <w:szCs w:val="24"/>
              </w:rPr>
              <w:t>Information Collection</w:t>
            </w:r>
          </w:p>
        </w:tc>
        <w:tc>
          <w:tcPr>
            <w:tcW w:w="1584" w:type="dxa"/>
            <w:vAlign w:val="center"/>
          </w:tcPr>
          <w:p w:rsidRPr="00265C5D" w:rsidR="00265C5D" w:rsidP="00265C5D" w:rsidRDefault="00265C5D" w14:paraId="7EDD66E8" w14:textId="77777777">
            <w:pPr>
              <w:overflowPunct/>
              <w:autoSpaceDE/>
              <w:autoSpaceDN/>
              <w:adjustRightInd/>
              <w:ind w:left="61"/>
              <w:contextualSpacing/>
              <w:jc w:val="center"/>
              <w:textAlignment w:val="auto"/>
              <w:rPr>
                <w:b/>
                <w:color w:val="000000"/>
                <w:sz w:val="24"/>
                <w:szCs w:val="24"/>
              </w:rPr>
            </w:pPr>
            <w:r w:rsidRPr="00265C5D">
              <w:rPr>
                <w:b/>
                <w:color w:val="000000"/>
                <w:sz w:val="24"/>
                <w:szCs w:val="24"/>
              </w:rPr>
              <w:t>Number of Respondents</w:t>
            </w:r>
          </w:p>
          <w:p w:rsidRPr="00265C5D" w:rsidR="00265C5D" w:rsidP="00265C5D" w:rsidRDefault="00265C5D" w14:paraId="0EC1D0B0" w14:textId="77777777">
            <w:pPr>
              <w:overflowPunct/>
              <w:autoSpaceDE/>
              <w:autoSpaceDN/>
              <w:adjustRightInd/>
              <w:ind w:left="61"/>
              <w:contextualSpacing/>
              <w:jc w:val="center"/>
              <w:textAlignment w:val="auto"/>
              <w:rPr>
                <w:b/>
                <w:color w:val="000000"/>
                <w:sz w:val="24"/>
                <w:szCs w:val="24"/>
              </w:rPr>
            </w:pPr>
            <w:r w:rsidRPr="00265C5D">
              <w:rPr>
                <w:b/>
                <w:color w:val="000000"/>
                <w:sz w:val="24"/>
                <w:szCs w:val="24"/>
              </w:rPr>
              <w:t>(Requests from 2018-2020)</w:t>
            </w:r>
          </w:p>
        </w:tc>
        <w:tc>
          <w:tcPr>
            <w:tcW w:w="1400" w:type="dxa"/>
            <w:vAlign w:val="center"/>
          </w:tcPr>
          <w:p w:rsidRPr="00265C5D" w:rsidR="00265C5D" w:rsidP="00265C5D" w:rsidRDefault="00265C5D" w14:paraId="3C6FB3E6" w14:textId="77777777">
            <w:pPr>
              <w:overflowPunct/>
              <w:autoSpaceDE/>
              <w:autoSpaceDN/>
              <w:adjustRightInd/>
              <w:ind w:left="76"/>
              <w:contextualSpacing/>
              <w:jc w:val="center"/>
              <w:textAlignment w:val="auto"/>
              <w:rPr>
                <w:b/>
                <w:color w:val="000000"/>
                <w:sz w:val="24"/>
                <w:szCs w:val="24"/>
              </w:rPr>
            </w:pPr>
            <w:r w:rsidRPr="00265C5D">
              <w:rPr>
                <w:b/>
                <w:color w:val="000000"/>
                <w:sz w:val="24"/>
                <w:szCs w:val="24"/>
              </w:rPr>
              <w:t>Frequency of Response</w:t>
            </w:r>
          </w:p>
        </w:tc>
        <w:tc>
          <w:tcPr>
            <w:tcW w:w="1321" w:type="dxa"/>
            <w:vAlign w:val="center"/>
          </w:tcPr>
          <w:p w:rsidRPr="00265C5D" w:rsidR="00265C5D" w:rsidP="00265C5D" w:rsidRDefault="00265C5D" w14:paraId="24554EBB" w14:textId="77777777">
            <w:pPr>
              <w:overflowPunct/>
              <w:autoSpaceDE/>
              <w:autoSpaceDN/>
              <w:adjustRightInd/>
              <w:ind w:left="31"/>
              <w:contextualSpacing/>
              <w:jc w:val="center"/>
              <w:textAlignment w:val="auto"/>
              <w:rPr>
                <w:b/>
                <w:color w:val="000000"/>
                <w:sz w:val="24"/>
                <w:szCs w:val="24"/>
              </w:rPr>
            </w:pPr>
            <w:r w:rsidRPr="00265C5D">
              <w:rPr>
                <w:b/>
                <w:color w:val="000000"/>
                <w:sz w:val="24"/>
                <w:szCs w:val="24"/>
              </w:rPr>
              <w:t>Responses Per Annum</w:t>
            </w:r>
          </w:p>
        </w:tc>
        <w:tc>
          <w:tcPr>
            <w:tcW w:w="1260" w:type="dxa"/>
            <w:vAlign w:val="center"/>
          </w:tcPr>
          <w:p w:rsidRPr="00265C5D" w:rsidR="00265C5D" w:rsidP="00265C5D" w:rsidRDefault="00265C5D" w14:paraId="77BA1D0B" w14:textId="77777777">
            <w:pPr>
              <w:overflowPunct/>
              <w:autoSpaceDE/>
              <w:autoSpaceDN/>
              <w:adjustRightInd/>
              <w:ind w:left="76"/>
              <w:contextualSpacing/>
              <w:jc w:val="center"/>
              <w:textAlignment w:val="auto"/>
              <w:rPr>
                <w:b/>
                <w:color w:val="000000"/>
                <w:sz w:val="24"/>
                <w:szCs w:val="24"/>
              </w:rPr>
            </w:pPr>
            <w:r w:rsidRPr="00265C5D">
              <w:rPr>
                <w:b/>
                <w:color w:val="000000"/>
                <w:sz w:val="24"/>
                <w:szCs w:val="24"/>
              </w:rPr>
              <w:t>Burden Hours Per Response</w:t>
            </w:r>
          </w:p>
        </w:tc>
        <w:tc>
          <w:tcPr>
            <w:tcW w:w="1137" w:type="dxa"/>
            <w:vAlign w:val="center"/>
          </w:tcPr>
          <w:p w:rsidRPr="00265C5D" w:rsidR="00265C5D" w:rsidP="00265C5D" w:rsidRDefault="00265C5D" w14:paraId="39F92948" w14:textId="77777777">
            <w:pPr>
              <w:overflowPunct/>
              <w:autoSpaceDE/>
              <w:autoSpaceDN/>
              <w:adjustRightInd/>
              <w:ind w:left="121"/>
              <w:contextualSpacing/>
              <w:jc w:val="center"/>
              <w:textAlignment w:val="auto"/>
              <w:rPr>
                <w:b/>
                <w:color w:val="000000"/>
                <w:sz w:val="24"/>
                <w:szCs w:val="24"/>
              </w:rPr>
            </w:pPr>
            <w:r w:rsidRPr="00265C5D">
              <w:rPr>
                <w:b/>
                <w:color w:val="000000"/>
                <w:sz w:val="24"/>
                <w:szCs w:val="24"/>
              </w:rPr>
              <w:t>Annual Burden Hours</w:t>
            </w:r>
          </w:p>
        </w:tc>
        <w:tc>
          <w:tcPr>
            <w:tcW w:w="1077" w:type="dxa"/>
            <w:vAlign w:val="center"/>
          </w:tcPr>
          <w:p w:rsidRPr="00265C5D" w:rsidR="00265C5D" w:rsidP="00265C5D" w:rsidRDefault="00265C5D" w14:paraId="26B1736B" w14:textId="77777777">
            <w:pPr>
              <w:overflowPunct/>
              <w:autoSpaceDE/>
              <w:autoSpaceDN/>
              <w:adjustRightInd/>
              <w:ind w:left="121"/>
              <w:contextualSpacing/>
              <w:jc w:val="center"/>
              <w:textAlignment w:val="auto"/>
              <w:rPr>
                <w:b/>
                <w:color w:val="000000"/>
                <w:sz w:val="24"/>
                <w:szCs w:val="24"/>
              </w:rPr>
            </w:pPr>
            <w:r w:rsidRPr="00265C5D">
              <w:rPr>
                <w:b/>
                <w:color w:val="000000"/>
                <w:sz w:val="24"/>
                <w:szCs w:val="24"/>
              </w:rPr>
              <w:t>Hourly Cost</w:t>
            </w:r>
          </w:p>
        </w:tc>
        <w:tc>
          <w:tcPr>
            <w:tcW w:w="1386" w:type="dxa"/>
            <w:vAlign w:val="center"/>
          </w:tcPr>
          <w:p w:rsidRPr="00265C5D" w:rsidR="00265C5D" w:rsidP="00265C5D" w:rsidRDefault="00265C5D" w14:paraId="00A5958F" w14:textId="77777777">
            <w:pPr>
              <w:overflowPunct/>
              <w:autoSpaceDE/>
              <w:autoSpaceDN/>
              <w:adjustRightInd/>
              <w:ind w:left="46"/>
              <w:contextualSpacing/>
              <w:jc w:val="center"/>
              <w:textAlignment w:val="auto"/>
              <w:rPr>
                <w:b/>
                <w:color w:val="000000"/>
                <w:sz w:val="24"/>
                <w:szCs w:val="24"/>
              </w:rPr>
            </w:pPr>
            <w:r w:rsidRPr="00265C5D">
              <w:rPr>
                <w:b/>
                <w:color w:val="000000"/>
                <w:sz w:val="24"/>
                <w:szCs w:val="24"/>
              </w:rPr>
              <w:t>Total Annual Cost</w:t>
            </w:r>
          </w:p>
        </w:tc>
      </w:tr>
      <w:tr w:rsidRPr="00265C5D" w:rsidR="00265C5D" w:rsidTr="004B21ED" w14:paraId="33983859" w14:textId="77777777">
        <w:tc>
          <w:tcPr>
            <w:tcW w:w="1365" w:type="dxa"/>
          </w:tcPr>
          <w:p w:rsidRPr="00265C5D" w:rsidR="00265C5D" w:rsidP="00265C5D" w:rsidRDefault="00265C5D" w14:paraId="72FEE62F" w14:textId="77777777">
            <w:pPr>
              <w:overflowPunct/>
              <w:autoSpaceDE/>
              <w:autoSpaceDN/>
              <w:adjustRightInd/>
              <w:ind w:left="60"/>
              <w:contextualSpacing/>
              <w:textAlignment w:val="auto"/>
              <w:rPr>
                <w:color w:val="000000"/>
                <w:sz w:val="24"/>
                <w:szCs w:val="24"/>
              </w:rPr>
            </w:pPr>
            <w:r w:rsidRPr="00265C5D">
              <w:rPr>
                <w:color w:val="000000"/>
                <w:sz w:val="24"/>
                <w:szCs w:val="24"/>
              </w:rPr>
              <w:t>Local Appeals to Mortgage Limits</w:t>
            </w:r>
          </w:p>
        </w:tc>
        <w:tc>
          <w:tcPr>
            <w:tcW w:w="1584" w:type="dxa"/>
            <w:vAlign w:val="center"/>
          </w:tcPr>
          <w:p w:rsidRPr="00265C5D" w:rsidR="00265C5D" w:rsidP="00265C5D" w:rsidRDefault="00265C5D" w14:paraId="37D18127" w14:textId="77777777">
            <w:pPr>
              <w:overflowPunct/>
              <w:autoSpaceDE/>
              <w:autoSpaceDN/>
              <w:adjustRightInd/>
              <w:ind w:left="61"/>
              <w:contextualSpacing/>
              <w:jc w:val="center"/>
              <w:textAlignment w:val="auto"/>
              <w:rPr>
                <w:sz w:val="24"/>
                <w:szCs w:val="24"/>
              </w:rPr>
            </w:pPr>
            <w:r w:rsidRPr="00265C5D">
              <w:rPr>
                <w:sz w:val="24"/>
                <w:szCs w:val="24"/>
              </w:rPr>
              <w:t>182</w:t>
            </w:r>
          </w:p>
        </w:tc>
        <w:tc>
          <w:tcPr>
            <w:tcW w:w="1400" w:type="dxa"/>
            <w:vAlign w:val="center"/>
          </w:tcPr>
          <w:p w:rsidRPr="00265C5D" w:rsidR="00265C5D" w:rsidP="00265C5D" w:rsidRDefault="00265C5D" w14:paraId="7B54742E" w14:textId="77777777">
            <w:pPr>
              <w:overflowPunct/>
              <w:autoSpaceDE/>
              <w:autoSpaceDN/>
              <w:adjustRightInd/>
              <w:ind w:left="76"/>
              <w:contextualSpacing/>
              <w:jc w:val="center"/>
              <w:textAlignment w:val="auto"/>
              <w:rPr>
                <w:sz w:val="24"/>
                <w:szCs w:val="24"/>
              </w:rPr>
            </w:pPr>
            <w:r w:rsidRPr="00265C5D">
              <w:rPr>
                <w:sz w:val="24"/>
                <w:szCs w:val="24"/>
              </w:rPr>
              <w:t>1</w:t>
            </w:r>
          </w:p>
        </w:tc>
        <w:tc>
          <w:tcPr>
            <w:tcW w:w="1321" w:type="dxa"/>
            <w:vAlign w:val="center"/>
          </w:tcPr>
          <w:p w:rsidRPr="00265C5D" w:rsidR="00265C5D" w:rsidP="00265C5D" w:rsidRDefault="00265C5D" w14:paraId="71F9FFB2" w14:textId="77777777">
            <w:pPr>
              <w:overflowPunct/>
              <w:autoSpaceDE/>
              <w:autoSpaceDN/>
              <w:adjustRightInd/>
              <w:ind w:left="31"/>
              <w:contextualSpacing/>
              <w:jc w:val="center"/>
              <w:textAlignment w:val="auto"/>
              <w:rPr>
                <w:sz w:val="24"/>
                <w:szCs w:val="24"/>
              </w:rPr>
            </w:pPr>
            <w:r w:rsidRPr="00265C5D">
              <w:rPr>
                <w:sz w:val="24"/>
                <w:szCs w:val="24"/>
              </w:rPr>
              <w:t>182</w:t>
            </w:r>
          </w:p>
        </w:tc>
        <w:tc>
          <w:tcPr>
            <w:tcW w:w="1260" w:type="dxa"/>
            <w:vAlign w:val="center"/>
          </w:tcPr>
          <w:p w:rsidRPr="00265C5D" w:rsidR="00265C5D" w:rsidP="00265C5D" w:rsidRDefault="00265C5D" w14:paraId="1ED33A97" w14:textId="77777777">
            <w:pPr>
              <w:overflowPunct/>
              <w:autoSpaceDE/>
              <w:autoSpaceDN/>
              <w:adjustRightInd/>
              <w:ind w:left="76"/>
              <w:contextualSpacing/>
              <w:jc w:val="center"/>
              <w:textAlignment w:val="auto"/>
              <w:rPr>
                <w:sz w:val="24"/>
                <w:szCs w:val="24"/>
              </w:rPr>
            </w:pPr>
            <w:r w:rsidRPr="00265C5D">
              <w:rPr>
                <w:sz w:val="24"/>
                <w:szCs w:val="24"/>
              </w:rPr>
              <w:t>7</w:t>
            </w:r>
          </w:p>
        </w:tc>
        <w:tc>
          <w:tcPr>
            <w:tcW w:w="1137" w:type="dxa"/>
            <w:vAlign w:val="center"/>
          </w:tcPr>
          <w:p w:rsidRPr="00265C5D" w:rsidR="00265C5D" w:rsidP="00265C5D" w:rsidRDefault="00265C5D" w14:paraId="287B6E20" w14:textId="77777777">
            <w:pPr>
              <w:overflowPunct/>
              <w:autoSpaceDE/>
              <w:autoSpaceDN/>
              <w:adjustRightInd/>
              <w:ind w:left="121"/>
              <w:contextualSpacing/>
              <w:jc w:val="center"/>
              <w:textAlignment w:val="auto"/>
              <w:rPr>
                <w:sz w:val="24"/>
                <w:szCs w:val="24"/>
              </w:rPr>
            </w:pPr>
            <w:r w:rsidRPr="00265C5D">
              <w:rPr>
                <w:sz w:val="24"/>
                <w:szCs w:val="24"/>
              </w:rPr>
              <w:t>1274</w:t>
            </w:r>
          </w:p>
        </w:tc>
        <w:tc>
          <w:tcPr>
            <w:tcW w:w="1077" w:type="dxa"/>
            <w:vAlign w:val="center"/>
          </w:tcPr>
          <w:p w:rsidRPr="00265C5D" w:rsidR="00265C5D" w:rsidP="00265C5D" w:rsidRDefault="00265C5D" w14:paraId="223C8F1A" w14:textId="77777777">
            <w:pPr>
              <w:overflowPunct/>
              <w:autoSpaceDE/>
              <w:autoSpaceDN/>
              <w:adjustRightInd/>
              <w:ind w:left="121"/>
              <w:contextualSpacing/>
              <w:jc w:val="center"/>
              <w:textAlignment w:val="auto"/>
              <w:rPr>
                <w:sz w:val="24"/>
                <w:szCs w:val="24"/>
              </w:rPr>
            </w:pPr>
            <w:r w:rsidRPr="00265C5D">
              <w:rPr>
                <w:sz w:val="24"/>
                <w:szCs w:val="24"/>
              </w:rPr>
              <w:t>$32.52</w:t>
            </w:r>
          </w:p>
        </w:tc>
        <w:tc>
          <w:tcPr>
            <w:tcW w:w="1386" w:type="dxa"/>
            <w:vAlign w:val="center"/>
          </w:tcPr>
          <w:p w:rsidRPr="00265C5D" w:rsidR="00265C5D" w:rsidP="00265C5D" w:rsidRDefault="00265C5D" w14:paraId="084AAB3F" w14:textId="77777777">
            <w:pPr>
              <w:overflowPunct/>
              <w:autoSpaceDE/>
              <w:autoSpaceDN/>
              <w:adjustRightInd/>
              <w:ind w:left="46"/>
              <w:contextualSpacing/>
              <w:jc w:val="center"/>
              <w:textAlignment w:val="auto"/>
              <w:rPr>
                <w:sz w:val="24"/>
                <w:szCs w:val="24"/>
              </w:rPr>
            </w:pPr>
            <w:r w:rsidRPr="00265C5D">
              <w:rPr>
                <w:sz w:val="24"/>
                <w:szCs w:val="24"/>
              </w:rPr>
              <w:t>$41,430.48</w:t>
            </w:r>
          </w:p>
        </w:tc>
      </w:tr>
    </w:tbl>
    <w:p w:rsidRPr="00265C5D" w:rsidR="00265C5D" w:rsidP="00265C5D" w:rsidRDefault="00265C5D" w14:paraId="71B68B77" w14:textId="77777777">
      <w:pPr>
        <w:overflowPunct/>
        <w:autoSpaceDE/>
        <w:autoSpaceDN/>
        <w:adjustRightInd/>
        <w:spacing w:after="160" w:line="252" w:lineRule="auto"/>
        <w:ind w:left="720"/>
        <w:textAlignment w:val="auto"/>
        <w:rPr>
          <w:color w:val="000000"/>
        </w:rPr>
      </w:pPr>
      <w:r w:rsidRPr="00265C5D">
        <w:t>The hourly cost is based on an estimate of the average salary of homebuilders, real estate professionals, and mortgage lenders, of approximately $67,640 per year U.S. Department of Labor, Bureau of Labor Statistics website (</w:t>
      </w:r>
      <w:hyperlink w:history="1" r:id="rId7">
        <w:r w:rsidRPr="00265C5D">
          <w:rPr>
            <w:color w:val="0563C1"/>
          </w:rPr>
          <w:t>https://www.bls.gov/oes/current/oes_nat.htm</w:t>
        </w:r>
      </w:hyperlink>
      <w:r w:rsidRPr="00265C5D">
        <w:t>).</w:t>
      </w:r>
    </w:p>
    <w:p w:rsidRPr="00265C5D" w:rsidR="00265C5D" w:rsidP="00265C5D" w:rsidRDefault="00265C5D" w14:paraId="03114BF8" w14:textId="77777777">
      <w:pPr>
        <w:overflowPunct/>
        <w:autoSpaceDE/>
        <w:autoSpaceDN/>
        <w:adjustRightInd/>
        <w:textAlignment w:val="auto"/>
        <w:rPr>
          <w:color w:val="000000"/>
          <w:sz w:val="24"/>
          <w:szCs w:val="24"/>
        </w:rPr>
      </w:pPr>
    </w:p>
    <w:p w:rsidRPr="00265C5D" w:rsidR="00265C5D" w:rsidP="00265C5D" w:rsidRDefault="00265C5D" w14:paraId="499C26C2" w14:textId="027F98BF">
      <w:pPr>
        <w:overflowPunct/>
        <w:autoSpaceDE/>
        <w:autoSpaceDN/>
        <w:adjustRightInd/>
        <w:ind w:left="720"/>
        <w:textAlignment w:val="auto"/>
        <w:rPr>
          <w:color w:val="000000"/>
          <w:sz w:val="24"/>
          <w:szCs w:val="24"/>
        </w:rPr>
      </w:pPr>
      <w:r w:rsidRPr="00265C5D">
        <w:rPr>
          <w:color w:val="000000"/>
          <w:sz w:val="24"/>
          <w:szCs w:val="24"/>
        </w:rPr>
        <w:t xml:space="preserve">There are </w:t>
      </w:r>
      <w:r w:rsidRPr="00AF3ECF">
        <w:rPr>
          <w:sz w:val="24"/>
          <w:szCs w:val="24"/>
        </w:rPr>
        <w:t>3,23</w:t>
      </w:r>
      <w:r w:rsidRPr="00AF3ECF" w:rsidR="00AF3ECF">
        <w:rPr>
          <w:sz w:val="24"/>
          <w:szCs w:val="24"/>
        </w:rPr>
        <w:t>3</w:t>
      </w:r>
      <w:r w:rsidRPr="00AF3ECF">
        <w:rPr>
          <w:sz w:val="24"/>
          <w:szCs w:val="24"/>
        </w:rPr>
        <w:t xml:space="preserve"> </w:t>
      </w:r>
      <w:r w:rsidRPr="00265C5D">
        <w:rPr>
          <w:color w:val="000000"/>
          <w:sz w:val="24"/>
          <w:szCs w:val="24"/>
        </w:rPr>
        <w:t>counties and areas, each with its loan limit that could be appealed. Members of the public that would likely submit an appeal request include FHA-approved lenders (</w:t>
      </w:r>
      <w:r w:rsidRPr="00753C0D">
        <w:rPr>
          <w:sz w:val="24"/>
          <w:szCs w:val="24"/>
        </w:rPr>
        <w:t xml:space="preserve">approximately 2,312) </w:t>
      </w:r>
      <w:r w:rsidRPr="00265C5D">
        <w:rPr>
          <w:color w:val="000000"/>
          <w:sz w:val="24"/>
          <w:szCs w:val="24"/>
        </w:rPr>
        <w:t xml:space="preserve">and an unknown number of real estate professionals and advocacy groups.  </w:t>
      </w:r>
    </w:p>
    <w:p w:rsidRPr="00265C5D" w:rsidR="00265C5D" w:rsidP="00265C5D" w:rsidRDefault="00265C5D" w14:paraId="0687CD21" w14:textId="77777777">
      <w:pPr>
        <w:overflowPunct/>
        <w:autoSpaceDE/>
        <w:autoSpaceDN/>
        <w:adjustRightInd/>
        <w:ind w:left="720"/>
        <w:textAlignment w:val="auto"/>
        <w:rPr>
          <w:color w:val="000000"/>
          <w:sz w:val="24"/>
          <w:szCs w:val="24"/>
        </w:rPr>
      </w:pPr>
    </w:p>
    <w:p w:rsidRPr="00265C5D" w:rsidR="00265C5D" w:rsidP="00265C5D" w:rsidRDefault="00265C5D" w14:paraId="22D51DA4" w14:textId="27EC9501">
      <w:pPr>
        <w:overflowPunct/>
        <w:autoSpaceDE/>
        <w:autoSpaceDN/>
        <w:adjustRightInd/>
        <w:ind w:left="720"/>
        <w:textAlignment w:val="auto"/>
        <w:rPr>
          <w:sz w:val="24"/>
          <w:szCs w:val="24"/>
        </w:rPr>
      </w:pPr>
      <w:r w:rsidRPr="00265C5D">
        <w:rPr>
          <w:sz w:val="24"/>
          <w:szCs w:val="24"/>
        </w:rPr>
        <w:t xml:space="preserve">HUD received 182 requests for loan limit increases during years 2018 through 2020.  Of these, five appeals were received and analyzed during the calendar year 2018, two in 2019 and 175 in 2020. The increase in 2020 was because out of the 175 appeals received, 173 were from members of the public who sent the same appeal letter. The total volume of appeal requests is low, primarily due to the accuracy of the data and the variety of data sources, allowing HUD efficient and accurate compliance with the legal framework on calculating the limits. </w:t>
      </w:r>
    </w:p>
    <w:p w:rsidRPr="00265C5D" w:rsidR="00265C5D" w:rsidP="00265C5D" w:rsidRDefault="00265C5D" w14:paraId="64DEEE53" w14:textId="77777777">
      <w:pPr>
        <w:overflowPunct/>
        <w:autoSpaceDE/>
        <w:autoSpaceDN/>
        <w:adjustRightInd/>
        <w:ind w:left="720"/>
        <w:contextualSpacing/>
        <w:textAlignment w:val="auto"/>
        <w:rPr>
          <w:color w:val="000000"/>
          <w:sz w:val="24"/>
          <w:szCs w:val="24"/>
        </w:rPr>
      </w:pPr>
    </w:p>
    <w:p w:rsidRPr="00265C5D" w:rsidR="00265C5D" w:rsidP="00265C5D" w:rsidRDefault="00265C5D" w14:paraId="5769C682" w14:textId="77777777">
      <w:pPr>
        <w:overflowPunct/>
        <w:autoSpaceDE/>
        <w:autoSpaceDN/>
        <w:adjustRightInd/>
        <w:ind w:left="720"/>
        <w:textAlignment w:val="auto"/>
        <w:rPr>
          <w:color w:val="000000"/>
          <w:sz w:val="24"/>
          <w:szCs w:val="24"/>
        </w:rPr>
      </w:pPr>
      <w:r w:rsidRPr="00265C5D">
        <w:rPr>
          <w:color w:val="000000"/>
          <w:sz w:val="24"/>
          <w:szCs w:val="24"/>
        </w:rPr>
        <w:t xml:space="preserve">Based on its most recent volume of appeal requests, HUD estimates that it could receive </w:t>
      </w:r>
      <w:r w:rsidRPr="00265C5D">
        <w:rPr>
          <w:sz w:val="24"/>
          <w:szCs w:val="24"/>
        </w:rPr>
        <w:t xml:space="preserve">182 </w:t>
      </w:r>
      <w:r w:rsidRPr="00265C5D">
        <w:rPr>
          <w:color w:val="000000"/>
          <w:sz w:val="24"/>
          <w:szCs w:val="24"/>
        </w:rPr>
        <w:t xml:space="preserve">appeals to increase local loan limits.  HUD will seek a reduction in regulatory costs and burden and consider a public benefit for allowing any person or entity an opportunity to request an increase to the loan limits based on additional data that may be available. </w:t>
      </w:r>
    </w:p>
    <w:p w:rsidRPr="00265C5D" w:rsidR="00265C5D" w:rsidP="00265C5D" w:rsidRDefault="00265C5D" w14:paraId="0FF159B2" w14:textId="77777777">
      <w:pPr>
        <w:overflowPunct/>
        <w:autoSpaceDE/>
        <w:autoSpaceDN/>
        <w:adjustRightInd/>
        <w:textAlignment w:val="auto"/>
        <w:rPr>
          <w:color w:val="000000"/>
          <w:sz w:val="24"/>
          <w:szCs w:val="24"/>
        </w:rPr>
      </w:pPr>
    </w:p>
    <w:p w:rsidRPr="00265C5D" w:rsidR="00265C5D" w:rsidP="002308F9" w:rsidRDefault="00265C5D" w14:paraId="390ACDCB" w14:textId="77777777">
      <w:pPr>
        <w:numPr>
          <w:ilvl w:val="0"/>
          <w:numId w:val="2"/>
        </w:numPr>
        <w:tabs>
          <w:tab w:val="left" w:pos="360"/>
        </w:tabs>
        <w:overflowPunct/>
        <w:autoSpaceDE/>
        <w:autoSpaceDN/>
        <w:adjustRightInd/>
        <w:textAlignment w:val="auto"/>
        <w:rPr>
          <w:color w:val="000000"/>
          <w:sz w:val="24"/>
          <w:szCs w:val="24"/>
        </w:rPr>
      </w:pPr>
      <w:r w:rsidRPr="00265C5D">
        <w:rPr>
          <w:color w:val="000000"/>
          <w:sz w:val="24"/>
          <w:szCs w:val="24"/>
        </w:rPr>
        <w:t>There are no additional costs to respondents or record keepers resulting from this information collection.</w:t>
      </w:r>
    </w:p>
    <w:p w:rsidRPr="00265C5D" w:rsidR="00265C5D" w:rsidP="00265C5D" w:rsidRDefault="00265C5D" w14:paraId="6E85AD33" w14:textId="77777777">
      <w:pPr>
        <w:tabs>
          <w:tab w:val="left" w:pos="360"/>
          <w:tab w:val="left" w:pos="720"/>
        </w:tabs>
        <w:overflowPunct/>
        <w:autoSpaceDE/>
        <w:autoSpaceDN/>
        <w:adjustRightInd/>
        <w:textAlignment w:val="auto"/>
        <w:rPr>
          <w:color w:val="000000"/>
          <w:sz w:val="24"/>
          <w:szCs w:val="24"/>
        </w:rPr>
      </w:pPr>
    </w:p>
    <w:p w:rsidRPr="00265C5D" w:rsidR="00265C5D" w:rsidP="002308F9" w:rsidRDefault="00265C5D" w14:paraId="1952702C" w14:textId="77777777">
      <w:pPr>
        <w:numPr>
          <w:ilvl w:val="0"/>
          <w:numId w:val="2"/>
        </w:numPr>
        <w:tabs>
          <w:tab w:val="left" w:pos="720"/>
        </w:tabs>
        <w:overflowPunct/>
        <w:autoSpaceDE/>
        <w:autoSpaceDN/>
        <w:adjustRightInd/>
        <w:contextualSpacing/>
        <w:textAlignment w:val="auto"/>
        <w:rPr>
          <w:color w:val="000000"/>
          <w:sz w:val="24"/>
          <w:szCs w:val="24"/>
        </w:rPr>
      </w:pPr>
      <w:r w:rsidRPr="00265C5D">
        <w:rPr>
          <w:color w:val="000000"/>
          <w:sz w:val="24"/>
          <w:szCs w:val="24"/>
        </w:rPr>
        <w:t>Federal government burden and cost:</w:t>
      </w:r>
    </w:p>
    <w:p w:rsidRPr="00265C5D" w:rsidR="00265C5D" w:rsidP="00265C5D" w:rsidRDefault="00265C5D" w14:paraId="0AA5F82B" w14:textId="77777777">
      <w:pPr>
        <w:tabs>
          <w:tab w:val="left" w:pos="360"/>
        </w:tabs>
        <w:overflowPunct/>
        <w:autoSpaceDE/>
        <w:autoSpaceDN/>
        <w:adjustRightInd/>
        <w:textAlignment w:val="auto"/>
        <w:rPr>
          <w:color w:val="000000"/>
          <w:sz w:val="24"/>
          <w:szCs w:val="24"/>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66"/>
        <w:gridCol w:w="1925"/>
        <w:gridCol w:w="1748"/>
        <w:gridCol w:w="1076"/>
        <w:gridCol w:w="1167"/>
        <w:gridCol w:w="1493"/>
      </w:tblGrid>
      <w:tr w:rsidRPr="00265C5D" w:rsidR="00265C5D" w:rsidTr="004B21ED" w14:paraId="35F44ABC" w14:textId="77777777">
        <w:tc>
          <w:tcPr>
            <w:tcW w:w="2759" w:type="dxa"/>
          </w:tcPr>
          <w:p w:rsidRPr="00265C5D" w:rsidR="00265C5D" w:rsidP="00265C5D" w:rsidRDefault="00265C5D" w14:paraId="1C2E353B" w14:textId="77777777">
            <w:pPr>
              <w:overflowPunct/>
              <w:autoSpaceDE/>
              <w:autoSpaceDN/>
              <w:adjustRightInd/>
              <w:ind w:left="135"/>
              <w:contextualSpacing/>
              <w:jc w:val="center"/>
              <w:textAlignment w:val="auto"/>
              <w:rPr>
                <w:color w:val="000000"/>
                <w:sz w:val="24"/>
                <w:szCs w:val="24"/>
              </w:rPr>
            </w:pPr>
            <w:r w:rsidRPr="00265C5D">
              <w:rPr>
                <w:color w:val="000000"/>
                <w:sz w:val="24"/>
                <w:szCs w:val="24"/>
              </w:rPr>
              <w:t>Information Collection</w:t>
            </w:r>
          </w:p>
        </w:tc>
        <w:tc>
          <w:tcPr>
            <w:tcW w:w="1962" w:type="dxa"/>
          </w:tcPr>
          <w:p w:rsidRPr="00265C5D" w:rsidR="00265C5D" w:rsidP="00265C5D" w:rsidRDefault="00265C5D" w14:paraId="33BCE756" w14:textId="77777777">
            <w:pPr>
              <w:overflowPunct/>
              <w:autoSpaceDE/>
              <w:autoSpaceDN/>
              <w:adjustRightInd/>
              <w:ind w:left="241"/>
              <w:contextualSpacing/>
              <w:jc w:val="center"/>
              <w:textAlignment w:val="auto"/>
              <w:rPr>
                <w:color w:val="000000"/>
                <w:sz w:val="24"/>
                <w:szCs w:val="24"/>
              </w:rPr>
            </w:pPr>
            <w:r w:rsidRPr="00265C5D">
              <w:rPr>
                <w:color w:val="000000"/>
                <w:sz w:val="24"/>
                <w:szCs w:val="24"/>
              </w:rPr>
              <w:t>Responses Per Annum</w:t>
            </w:r>
          </w:p>
          <w:p w:rsidRPr="00265C5D" w:rsidR="00265C5D" w:rsidP="00265C5D" w:rsidRDefault="00265C5D" w14:paraId="71038BFB" w14:textId="77777777">
            <w:pPr>
              <w:overflowPunct/>
              <w:autoSpaceDE/>
              <w:autoSpaceDN/>
              <w:adjustRightInd/>
              <w:ind w:left="241"/>
              <w:contextualSpacing/>
              <w:jc w:val="center"/>
              <w:textAlignment w:val="auto"/>
              <w:rPr>
                <w:color w:val="000000"/>
                <w:sz w:val="24"/>
                <w:szCs w:val="24"/>
              </w:rPr>
            </w:pPr>
            <w:r w:rsidRPr="00265C5D">
              <w:rPr>
                <w:color w:val="000000"/>
                <w:sz w:val="24"/>
                <w:szCs w:val="24"/>
              </w:rPr>
              <w:t>2020-2020</w:t>
            </w:r>
          </w:p>
        </w:tc>
        <w:tc>
          <w:tcPr>
            <w:tcW w:w="1783" w:type="dxa"/>
          </w:tcPr>
          <w:p w:rsidRPr="00265C5D" w:rsidR="00265C5D" w:rsidP="00265C5D" w:rsidRDefault="00265C5D" w14:paraId="301E0FCD" w14:textId="77777777">
            <w:pPr>
              <w:overflowPunct/>
              <w:autoSpaceDE/>
              <w:autoSpaceDN/>
              <w:adjustRightInd/>
              <w:ind w:left="181"/>
              <w:contextualSpacing/>
              <w:jc w:val="center"/>
              <w:textAlignment w:val="auto"/>
              <w:rPr>
                <w:color w:val="000000"/>
                <w:sz w:val="24"/>
                <w:szCs w:val="24"/>
              </w:rPr>
            </w:pPr>
            <w:r w:rsidRPr="00265C5D">
              <w:rPr>
                <w:color w:val="000000"/>
                <w:sz w:val="24"/>
                <w:szCs w:val="24"/>
              </w:rPr>
              <w:t>Burden Hour Per Response</w:t>
            </w:r>
          </w:p>
        </w:tc>
        <w:tc>
          <w:tcPr>
            <w:tcW w:w="1079" w:type="dxa"/>
          </w:tcPr>
          <w:p w:rsidRPr="00265C5D" w:rsidR="00265C5D" w:rsidP="00265C5D" w:rsidRDefault="00265C5D" w14:paraId="0C50E971" w14:textId="77777777">
            <w:pPr>
              <w:overflowPunct/>
              <w:autoSpaceDE/>
              <w:autoSpaceDN/>
              <w:adjustRightInd/>
              <w:ind w:left="121"/>
              <w:contextualSpacing/>
              <w:jc w:val="center"/>
              <w:textAlignment w:val="auto"/>
              <w:rPr>
                <w:color w:val="000000"/>
                <w:sz w:val="24"/>
                <w:szCs w:val="24"/>
              </w:rPr>
            </w:pPr>
            <w:r w:rsidRPr="00265C5D">
              <w:rPr>
                <w:color w:val="000000"/>
                <w:sz w:val="24"/>
                <w:szCs w:val="24"/>
              </w:rPr>
              <w:t>Annual Hours</w:t>
            </w:r>
          </w:p>
        </w:tc>
        <w:tc>
          <w:tcPr>
            <w:tcW w:w="1167" w:type="dxa"/>
          </w:tcPr>
          <w:p w:rsidRPr="00265C5D" w:rsidR="00265C5D" w:rsidP="00265C5D" w:rsidRDefault="00265C5D" w14:paraId="17184FD9" w14:textId="77777777">
            <w:pPr>
              <w:overflowPunct/>
              <w:autoSpaceDE/>
              <w:autoSpaceDN/>
              <w:adjustRightInd/>
              <w:ind w:left="271"/>
              <w:contextualSpacing/>
              <w:jc w:val="center"/>
              <w:textAlignment w:val="auto"/>
              <w:rPr>
                <w:color w:val="000000"/>
                <w:sz w:val="24"/>
                <w:szCs w:val="24"/>
              </w:rPr>
            </w:pPr>
            <w:r w:rsidRPr="00265C5D">
              <w:rPr>
                <w:color w:val="000000"/>
                <w:sz w:val="24"/>
                <w:szCs w:val="24"/>
              </w:rPr>
              <w:t>Hourly Cost</w:t>
            </w:r>
          </w:p>
        </w:tc>
        <w:tc>
          <w:tcPr>
            <w:tcW w:w="1325" w:type="dxa"/>
          </w:tcPr>
          <w:p w:rsidRPr="00265C5D" w:rsidR="00265C5D" w:rsidP="00265C5D" w:rsidRDefault="00265C5D" w14:paraId="1ABBE95D" w14:textId="77777777">
            <w:pPr>
              <w:overflowPunct/>
              <w:autoSpaceDE/>
              <w:autoSpaceDN/>
              <w:adjustRightInd/>
              <w:ind w:left="196"/>
              <w:contextualSpacing/>
              <w:jc w:val="center"/>
              <w:textAlignment w:val="auto"/>
              <w:rPr>
                <w:color w:val="000000"/>
                <w:sz w:val="24"/>
                <w:szCs w:val="24"/>
              </w:rPr>
            </w:pPr>
            <w:r w:rsidRPr="00265C5D">
              <w:rPr>
                <w:color w:val="000000"/>
                <w:sz w:val="24"/>
                <w:szCs w:val="24"/>
              </w:rPr>
              <w:t>Total Annual Cost</w:t>
            </w:r>
          </w:p>
        </w:tc>
      </w:tr>
      <w:tr w:rsidRPr="00265C5D" w:rsidR="00265C5D" w:rsidTr="004B21ED" w14:paraId="435A114E" w14:textId="77777777">
        <w:tc>
          <w:tcPr>
            <w:tcW w:w="2759" w:type="dxa"/>
          </w:tcPr>
          <w:p w:rsidRPr="00265C5D" w:rsidR="00265C5D" w:rsidP="00265C5D" w:rsidRDefault="00265C5D" w14:paraId="77E3DFBE" w14:textId="77777777">
            <w:pPr>
              <w:overflowPunct/>
              <w:autoSpaceDE/>
              <w:autoSpaceDN/>
              <w:adjustRightInd/>
              <w:ind w:left="135"/>
              <w:textAlignment w:val="auto"/>
              <w:rPr>
                <w:color w:val="000000"/>
                <w:sz w:val="24"/>
                <w:szCs w:val="24"/>
              </w:rPr>
            </w:pPr>
            <w:r w:rsidRPr="00265C5D">
              <w:rPr>
                <w:color w:val="000000"/>
                <w:sz w:val="24"/>
                <w:szCs w:val="24"/>
              </w:rPr>
              <w:t>Local Appeals to Mortgage Limits</w:t>
            </w:r>
          </w:p>
        </w:tc>
        <w:tc>
          <w:tcPr>
            <w:tcW w:w="1962" w:type="dxa"/>
          </w:tcPr>
          <w:p w:rsidRPr="00265C5D" w:rsidR="00265C5D" w:rsidP="00265C5D" w:rsidRDefault="00265C5D" w14:paraId="7C0B66DE" w14:textId="77777777">
            <w:pPr>
              <w:overflowPunct/>
              <w:autoSpaceDE/>
              <w:autoSpaceDN/>
              <w:adjustRightInd/>
              <w:ind w:left="241"/>
              <w:contextualSpacing/>
              <w:jc w:val="center"/>
              <w:textAlignment w:val="auto"/>
              <w:rPr>
                <w:sz w:val="24"/>
                <w:szCs w:val="24"/>
              </w:rPr>
            </w:pPr>
            <w:r w:rsidRPr="00265C5D">
              <w:rPr>
                <w:sz w:val="24"/>
                <w:szCs w:val="24"/>
              </w:rPr>
              <w:t>175</w:t>
            </w:r>
          </w:p>
        </w:tc>
        <w:tc>
          <w:tcPr>
            <w:tcW w:w="1783" w:type="dxa"/>
          </w:tcPr>
          <w:p w:rsidRPr="00265C5D" w:rsidR="00265C5D" w:rsidP="00265C5D" w:rsidRDefault="00265C5D" w14:paraId="5C7653C0" w14:textId="77777777">
            <w:pPr>
              <w:overflowPunct/>
              <w:autoSpaceDE/>
              <w:autoSpaceDN/>
              <w:adjustRightInd/>
              <w:ind w:left="181"/>
              <w:contextualSpacing/>
              <w:jc w:val="center"/>
              <w:textAlignment w:val="auto"/>
              <w:rPr>
                <w:sz w:val="24"/>
                <w:szCs w:val="24"/>
              </w:rPr>
            </w:pPr>
            <w:r w:rsidRPr="00265C5D">
              <w:rPr>
                <w:sz w:val="24"/>
                <w:szCs w:val="24"/>
              </w:rPr>
              <w:t>2</w:t>
            </w:r>
          </w:p>
        </w:tc>
        <w:tc>
          <w:tcPr>
            <w:tcW w:w="1079" w:type="dxa"/>
          </w:tcPr>
          <w:p w:rsidRPr="00265C5D" w:rsidR="00265C5D" w:rsidP="00265C5D" w:rsidRDefault="00265C5D" w14:paraId="4277C564" w14:textId="77777777">
            <w:pPr>
              <w:overflowPunct/>
              <w:autoSpaceDE/>
              <w:autoSpaceDN/>
              <w:adjustRightInd/>
              <w:ind w:left="121"/>
              <w:contextualSpacing/>
              <w:jc w:val="center"/>
              <w:textAlignment w:val="auto"/>
              <w:rPr>
                <w:sz w:val="24"/>
                <w:szCs w:val="24"/>
              </w:rPr>
            </w:pPr>
            <w:r w:rsidRPr="00265C5D">
              <w:rPr>
                <w:sz w:val="24"/>
                <w:szCs w:val="24"/>
              </w:rPr>
              <w:t>350</w:t>
            </w:r>
          </w:p>
        </w:tc>
        <w:tc>
          <w:tcPr>
            <w:tcW w:w="1167" w:type="dxa"/>
          </w:tcPr>
          <w:p w:rsidRPr="00265C5D" w:rsidR="00265C5D" w:rsidP="00265C5D" w:rsidRDefault="00265C5D" w14:paraId="07DC629A" w14:textId="77777777">
            <w:pPr>
              <w:overflowPunct/>
              <w:autoSpaceDE/>
              <w:autoSpaceDN/>
              <w:adjustRightInd/>
              <w:ind w:left="271"/>
              <w:contextualSpacing/>
              <w:jc w:val="center"/>
              <w:textAlignment w:val="auto"/>
              <w:rPr>
                <w:sz w:val="24"/>
                <w:szCs w:val="24"/>
              </w:rPr>
            </w:pPr>
            <w:r w:rsidRPr="00265C5D">
              <w:rPr>
                <w:sz w:val="24"/>
                <w:szCs w:val="24"/>
              </w:rPr>
              <w:t>$50.09</w:t>
            </w:r>
          </w:p>
        </w:tc>
        <w:tc>
          <w:tcPr>
            <w:tcW w:w="1325" w:type="dxa"/>
          </w:tcPr>
          <w:p w:rsidRPr="00265C5D" w:rsidR="00265C5D" w:rsidP="00265C5D" w:rsidRDefault="00265C5D" w14:paraId="2CBF562F" w14:textId="77777777">
            <w:pPr>
              <w:overflowPunct/>
              <w:autoSpaceDE/>
              <w:autoSpaceDN/>
              <w:adjustRightInd/>
              <w:ind w:left="196"/>
              <w:contextualSpacing/>
              <w:jc w:val="center"/>
              <w:textAlignment w:val="auto"/>
              <w:rPr>
                <w:sz w:val="24"/>
                <w:szCs w:val="24"/>
              </w:rPr>
            </w:pPr>
            <w:r w:rsidRPr="00265C5D">
              <w:rPr>
                <w:sz w:val="24"/>
                <w:szCs w:val="24"/>
              </w:rPr>
              <w:t>$17,531.50</w:t>
            </w:r>
          </w:p>
        </w:tc>
      </w:tr>
    </w:tbl>
    <w:p w:rsidRPr="00265C5D" w:rsidR="00265C5D" w:rsidP="00265C5D" w:rsidRDefault="00265C5D" w14:paraId="7156BB12" w14:textId="77777777">
      <w:pPr>
        <w:tabs>
          <w:tab w:val="left" w:pos="360"/>
        </w:tabs>
        <w:textAlignment w:val="auto"/>
      </w:pPr>
      <w:r w:rsidRPr="00265C5D">
        <w:rPr>
          <w:sz w:val="24"/>
          <w:szCs w:val="24"/>
        </w:rPr>
        <w:t xml:space="preserve">                   </w:t>
      </w:r>
      <w:r w:rsidRPr="00265C5D">
        <w:t>The hourly cost is based on the annual salary of a GS-13/1 employee in the Santa Ana HOC, of $104,182.</w:t>
      </w:r>
    </w:p>
    <w:p w:rsidR="009D6C74" w:rsidP="00265C5D" w:rsidRDefault="009D6C74" w14:paraId="07ADC235" w14:textId="33A7C77A">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Pr="00DC1714" w:rsidR="00DC1714" w:rsidP="00DC1714" w:rsidRDefault="00DC1714" w14:paraId="77B5F83E" w14:textId="78D4723F">
      <w:pPr>
        <w:overflowPunct/>
        <w:autoSpaceDE/>
        <w:autoSpaceDN/>
        <w:adjustRightInd/>
        <w:ind w:left="720"/>
        <w:textAlignment w:val="auto"/>
        <w:rPr>
          <w:color w:val="000000"/>
          <w:sz w:val="24"/>
          <w:szCs w:val="24"/>
        </w:rPr>
      </w:pPr>
      <w:r w:rsidRPr="00DC1714">
        <w:rPr>
          <w:color w:val="000000"/>
          <w:sz w:val="24"/>
          <w:szCs w:val="24"/>
        </w:rPr>
        <w:lastRenderedPageBreak/>
        <w:t xml:space="preserve">During the </w:t>
      </w:r>
      <w:r w:rsidRPr="00DC1714">
        <w:rPr>
          <w:sz w:val="24"/>
          <w:szCs w:val="24"/>
        </w:rPr>
        <w:t>years 201</w:t>
      </w:r>
      <w:r w:rsidR="00A50ED7">
        <w:rPr>
          <w:sz w:val="24"/>
          <w:szCs w:val="24"/>
        </w:rPr>
        <w:t>9</w:t>
      </w:r>
      <w:r w:rsidRPr="00DC1714">
        <w:rPr>
          <w:sz w:val="24"/>
          <w:szCs w:val="24"/>
        </w:rPr>
        <w:t xml:space="preserve"> through 2020, HUD received 182 appeal </w:t>
      </w:r>
      <w:r w:rsidRPr="00DC1714">
        <w:rPr>
          <w:color w:val="000000"/>
          <w:sz w:val="24"/>
          <w:szCs w:val="24"/>
        </w:rPr>
        <w:t xml:space="preserve">requests, which were evaluated by the HOCs. This count was recently verified by Santa Ana Homeownership Center (HOC). </w:t>
      </w:r>
    </w:p>
    <w:p w:rsidRPr="00DC1714" w:rsidR="00DC1714" w:rsidP="00DC1714" w:rsidRDefault="00DC1714" w14:paraId="1B015EC2" w14:textId="77777777">
      <w:pPr>
        <w:tabs>
          <w:tab w:val="left" w:pos="360"/>
        </w:tabs>
        <w:ind w:firstLine="60"/>
        <w:textAlignment w:val="auto"/>
        <w:rPr>
          <w:color w:val="000000"/>
          <w:sz w:val="24"/>
          <w:szCs w:val="24"/>
        </w:rPr>
      </w:pPr>
    </w:p>
    <w:p w:rsidRPr="00DC1714" w:rsidR="00DC1714" w:rsidP="002308F9" w:rsidRDefault="00DC1714" w14:paraId="1E9CF240" w14:textId="59EE535F">
      <w:pPr>
        <w:numPr>
          <w:ilvl w:val="0"/>
          <w:numId w:val="2"/>
        </w:numPr>
        <w:overflowPunct/>
        <w:autoSpaceDE/>
        <w:autoSpaceDN/>
        <w:adjustRightInd/>
        <w:textAlignment w:val="auto"/>
        <w:rPr>
          <w:sz w:val="24"/>
          <w:szCs w:val="24"/>
        </w:rPr>
      </w:pPr>
      <w:r w:rsidRPr="00DC1714">
        <w:rPr>
          <w:color w:val="000000"/>
          <w:sz w:val="24"/>
          <w:szCs w:val="24"/>
        </w:rPr>
        <w:t xml:space="preserve"> Due to the accuracy and variety of the data HUD uses to set Single Family loan limits, the number of appeals HUD received was low during calendar years </w:t>
      </w:r>
      <w:r w:rsidRPr="00DC1714">
        <w:rPr>
          <w:sz w:val="24"/>
          <w:szCs w:val="24"/>
        </w:rPr>
        <w:t>201</w:t>
      </w:r>
      <w:r w:rsidR="00A50ED7">
        <w:rPr>
          <w:sz w:val="24"/>
          <w:szCs w:val="24"/>
        </w:rPr>
        <w:t>9</w:t>
      </w:r>
      <w:r w:rsidRPr="00DC1714">
        <w:rPr>
          <w:sz w:val="24"/>
          <w:szCs w:val="24"/>
        </w:rPr>
        <w:t xml:space="preserve"> through 202</w:t>
      </w:r>
      <w:r w:rsidR="00A50ED7">
        <w:rPr>
          <w:sz w:val="24"/>
          <w:szCs w:val="24"/>
        </w:rPr>
        <w:t>1</w:t>
      </w:r>
      <w:r w:rsidRPr="00DC1714">
        <w:rPr>
          <w:sz w:val="24"/>
          <w:szCs w:val="24"/>
        </w:rPr>
        <w:t xml:space="preserve">.  </w:t>
      </w:r>
    </w:p>
    <w:p w:rsidRPr="00DC1714" w:rsidR="00DC1714" w:rsidP="00DC1714" w:rsidRDefault="00DC1714" w14:paraId="06063674" w14:textId="77777777">
      <w:pPr>
        <w:overflowPunct/>
        <w:spacing w:line="240" w:lineRule="atLeast"/>
        <w:ind w:left="360"/>
        <w:contextualSpacing/>
        <w:textAlignment w:val="auto"/>
        <w:rPr>
          <w:color w:val="000000"/>
          <w:sz w:val="24"/>
          <w:szCs w:val="24"/>
        </w:rPr>
      </w:pPr>
    </w:p>
    <w:p w:rsidRPr="00DC1714" w:rsidR="00DC1714" w:rsidP="002308F9" w:rsidRDefault="00DC1714" w14:paraId="3763B245" w14:textId="77777777">
      <w:pPr>
        <w:numPr>
          <w:ilvl w:val="0"/>
          <w:numId w:val="2"/>
        </w:numPr>
        <w:overflowPunct/>
        <w:autoSpaceDE/>
        <w:autoSpaceDN/>
        <w:adjustRightInd/>
        <w:textAlignment w:val="auto"/>
        <w:rPr>
          <w:color w:val="000000"/>
          <w:sz w:val="24"/>
          <w:szCs w:val="24"/>
        </w:rPr>
      </w:pPr>
      <w:r w:rsidRPr="00DC1714">
        <w:rPr>
          <w:color w:val="000000"/>
          <w:sz w:val="24"/>
          <w:szCs w:val="24"/>
        </w:rPr>
        <w:t>The results of this information collection will not be published.</w:t>
      </w:r>
    </w:p>
    <w:p w:rsidRPr="00DC1714" w:rsidR="00DC1714" w:rsidP="00DC1714" w:rsidRDefault="00DC1714" w14:paraId="06BAC867" w14:textId="77777777">
      <w:pPr>
        <w:tabs>
          <w:tab w:val="left" w:pos="360"/>
          <w:tab w:val="left" w:pos="720"/>
        </w:tabs>
        <w:overflowPunct/>
        <w:autoSpaceDE/>
        <w:autoSpaceDN/>
        <w:adjustRightInd/>
        <w:textAlignment w:val="auto"/>
        <w:rPr>
          <w:color w:val="000000"/>
          <w:sz w:val="24"/>
          <w:szCs w:val="24"/>
        </w:rPr>
      </w:pPr>
    </w:p>
    <w:p w:rsidRPr="00DC1714" w:rsidR="00DC1714" w:rsidP="002308F9" w:rsidRDefault="00DC1714" w14:paraId="46A6C7E6" w14:textId="77777777">
      <w:pPr>
        <w:numPr>
          <w:ilvl w:val="0"/>
          <w:numId w:val="2"/>
        </w:numPr>
        <w:overflowPunct/>
        <w:autoSpaceDE/>
        <w:autoSpaceDN/>
        <w:adjustRightInd/>
        <w:contextualSpacing/>
        <w:textAlignment w:val="auto"/>
        <w:rPr>
          <w:color w:val="000000"/>
          <w:sz w:val="24"/>
          <w:szCs w:val="24"/>
        </w:rPr>
      </w:pPr>
      <w:r w:rsidRPr="00DC1714">
        <w:rPr>
          <w:color w:val="000000"/>
          <w:sz w:val="24"/>
          <w:szCs w:val="24"/>
        </w:rPr>
        <w:t xml:space="preserve">There are no exceptions to the certification statement identified in </w:t>
      </w:r>
      <w:r w:rsidRPr="00DC1714">
        <w:rPr>
          <w:sz w:val="24"/>
          <w:szCs w:val="24"/>
        </w:rPr>
        <w:t xml:space="preserve">item 19 of the </w:t>
      </w:r>
      <w:r w:rsidRPr="00DC1714">
        <w:rPr>
          <w:color w:val="000000"/>
          <w:sz w:val="24"/>
          <w:szCs w:val="24"/>
        </w:rPr>
        <w:t>OMB 83-I.</w:t>
      </w:r>
    </w:p>
    <w:p w:rsidRPr="00DC1714" w:rsidR="00DC1714" w:rsidP="00DC1714" w:rsidRDefault="00DC1714" w14:paraId="074F8A0A" w14:textId="77777777">
      <w:pPr>
        <w:tabs>
          <w:tab w:val="left" w:pos="360"/>
          <w:tab w:val="left" w:pos="720"/>
        </w:tabs>
        <w:overflowPunct/>
        <w:autoSpaceDE/>
        <w:autoSpaceDN/>
        <w:adjustRightInd/>
        <w:textAlignment w:val="auto"/>
        <w:rPr>
          <w:color w:val="000000"/>
          <w:sz w:val="24"/>
          <w:szCs w:val="24"/>
        </w:rPr>
      </w:pPr>
    </w:p>
    <w:p w:rsidRPr="00DC1714" w:rsidR="00DC1714" w:rsidP="00DC1714" w:rsidRDefault="00DC1714" w14:paraId="116F600D" w14:textId="77777777">
      <w:pPr>
        <w:tabs>
          <w:tab w:val="left" w:pos="360"/>
          <w:tab w:val="left" w:pos="720"/>
        </w:tabs>
        <w:overflowPunct/>
        <w:autoSpaceDE/>
        <w:autoSpaceDN/>
        <w:adjustRightInd/>
        <w:textAlignment w:val="auto"/>
        <w:rPr>
          <w:b/>
          <w:bCs/>
          <w:color w:val="000000"/>
          <w:sz w:val="24"/>
          <w:szCs w:val="24"/>
        </w:rPr>
      </w:pPr>
      <w:r w:rsidRPr="00DC1714">
        <w:rPr>
          <w:b/>
          <w:bCs/>
          <w:color w:val="000000"/>
          <w:sz w:val="24"/>
          <w:szCs w:val="24"/>
        </w:rPr>
        <w:t>B.</w:t>
      </w:r>
      <w:r w:rsidRPr="00DC1714">
        <w:rPr>
          <w:b/>
          <w:bCs/>
          <w:color w:val="000000"/>
          <w:sz w:val="24"/>
          <w:szCs w:val="24"/>
        </w:rPr>
        <w:tab/>
        <w:t>Collections of Information Employing Statistical Methods.</w:t>
      </w:r>
    </w:p>
    <w:p w:rsidRPr="00DC1714" w:rsidR="00DC1714" w:rsidP="00DC1714" w:rsidRDefault="00DC1714" w14:paraId="78C491F6" w14:textId="77777777">
      <w:pPr>
        <w:tabs>
          <w:tab w:val="left" w:pos="360"/>
          <w:tab w:val="left" w:pos="720"/>
        </w:tabs>
        <w:overflowPunct/>
        <w:autoSpaceDE/>
        <w:autoSpaceDN/>
        <w:adjustRightInd/>
        <w:textAlignment w:val="auto"/>
        <w:rPr>
          <w:b/>
          <w:bCs/>
          <w:color w:val="000000"/>
          <w:sz w:val="24"/>
          <w:szCs w:val="24"/>
        </w:rPr>
      </w:pPr>
    </w:p>
    <w:p w:rsidRPr="00DC1714" w:rsidR="00DC1714" w:rsidP="00DC1714" w:rsidRDefault="00DC1714" w14:paraId="28206FE6" w14:textId="77777777">
      <w:pPr>
        <w:tabs>
          <w:tab w:val="left" w:pos="360"/>
          <w:tab w:val="left" w:pos="720"/>
        </w:tabs>
        <w:overflowPunct/>
        <w:autoSpaceDE/>
        <w:autoSpaceDN/>
        <w:adjustRightInd/>
        <w:textAlignment w:val="auto"/>
        <w:rPr>
          <w:color w:val="000000"/>
          <w:sz w:val="24"/>
          <w:szCs w:val="24"/>
        </w:rPr>
      </w:pPr>
      <w:r w:rsidRPr="00DC1714">
        <w:rPr>
          <w:b/>
          <w:bCs/>
          <w:color w:val="000000"/>
          <w:sz w:val="24"/>
          <w:szCs w:val="24"/>
        </w:rPr>
        <w:tab/>
      </w:r>
      <w:r w:rsidRPr="00DC1714">
        <w:rPr>
          <w:color w:val="000000"/>
          <w:sz w:val="24"/>
          <w:szCs w:val="24"/>
        </w:rPr>
        <w:t>This collection of information does not employ statistical methods.</w:t>
      </w:r>
    </w:p>
    <w:p w:rsidRPr="00DC1714" w:rsidR="00DC1714" w:rsidP="00DC1714" w:rsidRDefault="00DC1714" w14:paraId="7F7182D3" w14:textId="77777777">
      <w:pPr>
        <w:tabs>
          <w:tab w:val="left" w:pos="360"/>
          <w:tab w:val="left" w:pos="720"/>
        </w:tabs>
        <w:overflowPunct/>
        <w:autoSpaceDE/>
        <w:autoSpaceDN/>
        <w:adjustRightInd/>
        <w:textAlignment w:val="auto"/>
        <w:rPr>
          <w:color w:val="000000"/>
          <w:sz w:val="24"/>
          <w:szCs w:val="24"/>
        </w:rPr>
      </w:pPr>
    </w:p>
    <w:p w:rsidRPr="00803DCB" w:rsidR="00DC1714" w:rsidP="00DC1714" w:rsidRDefault="00DC1714" w14:paraId="17E62B0E" w14:textId="77777777">
      <w:pPr>
        <w:tabs>
          <w:tab w:val="left" w:pos="360"/>
          <w:tab w:val="left" w:pos="720"/>
        </w:tabs>
        <w:rPr>
          <w:color w:val="000000" w:themeColor="text1"/>
        </w:rPr>
      </w:pPr>
    </w:p>
    <w:p w:rsidR="00DC1714" w:rsidP="00265C5D" w:rsidRDefault="00DC1714" w14:paraId="469C7015"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sectPr w:rsidR="00DC1714" w:rsidSect="00E200F4">
      <w:footerReference w:type="even" r:id="rId8"/>
      <w:footerReference w:type="default" r:id="rId9"/>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3D2A" w14:textId="77777777" w:rsidR="00EB7A52" w:rsidRDefault="00EB7A52">
      <w:r>
        <w:separator/>
      </w:r>
    </w:p>
  </w:endnote>
  <w:endnote w:type="continuationSeparator" w:id="0">
    <w:p w14:paraId="29DDA797" w14:textId="77777777" w:rsidR="00EB7A52" w:rsidRDefault="00EB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20B9" w14:textId="77777777"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3E384D">
      <w:rPr>
        <w:rStyle w:val="PageNumber"/>
        <w:noProof/>
      </w:rPr>
      <w:t>5</w:t>
    </w:r>
    <w:r>
      <w:rPr>
        <w:rStyle w:val="PageNumber"/>
      </w:rPr>
      <w:fldChar w:fldCharType="end"/>
    </w:r>
  </w:p>
  <w:p w14:paraId="00DE20B1" w14:textId="77777777" w:rsidR="003E384D" w:rsidRDefault="003E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2615" w14:textId="77777777"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1162B5">
      <w:rPr>
        <w:rStyle w:val="PageNumber"/>
        <w:noProof/>
      </w:rPr>
      <w:t>2</w:t>
    </w:r>
    <w:r>
      <w:rPr>
        <w:rStyle w:val="PageNumber"/>
      </w:rPr>
      <w:fldChar w:fldCharType="end"/>
    </w:r>
  </w:p>
  <w:p w14:paraId="6D40E49E" w14:textId="77777777" w:rsidR="003E384D" w:rsidRDefault="003E384D">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1D65" w14:textId="77777777" w:rsidR="00EB7A52" w:rsidRDefault="00EB7A52">
      <w:r>
        <w:separator/>
      </w:r>
    </w:p>
  </w:footnote>
  <w:footnote w:type="continuationSeparator" w:id="0">
    <w:p w14:paraId="3C8A5DE0" w14:textId="77777777" w:rsidR="00EB7A52" w:rsidRDefault="00EB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544AE"/>
    <w:multiLevelType w:val="hybridMultilevel"/>
    <w:tmpl w:val="1CEA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50C32"/>
    <w:multiLevelType w:val="hybridMultilevel"/>
    <w:tmpl w:val="1BA27612"/>
    <w:lvl w:ilvl="0" w:tplc="04090001">
      <w:start w:val="1"/>
      <w:numFmt w:val="bullet"/>
      <w:lvlText w:val=""/>
      <w:lvlJc w:val="left"/>
      <w:pPr>
        <w:ind w:left="423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1A80020"/>
    <w:multiLevelType w:val="hybridMultilevel"/>
    <w:tmpl w:val="1446435A"/>
    <w:lvl w:ilvl="0" w:tplc="6A281942">
      <w:start w:val="2"/>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E9"/>
    <w:rsid w:val="0000258E"/>
    <w:rsid w:val="000075DA"/>
    <w:rsid w:val="000132F4"/>
    <w:rsid w:val="00013A4B"/>
    <w:rsid w:val="00013F7E"/>
    <w:rsid w:val="000311FB"/>
    <w:rsid w:val="00066566"/>
    <w:rsid w:val="000B7E34"/>
    <w:rsid w:val="000D172F"/>
    <w:rsid w:val="001035E9"/>
    <w:rsid w:val="00110038"/>
    <w:rsid w:val="00111A81"/>
    <w:rsid w:val="0011486A"/>
    <w:rsid w:val="001162B5"/>
    <w:rsid w:val="00120DA0"/>
    <w:rsid w:val="00132564"/>
    <w:rsid w:val="00135E0A"/>
    <w:rsid w:val="0014707C"/>
    <w:rsid w:val="00163B3F"/>
    <w:rsid w:val="001A2629"/>
    <w:rsid w:val="001B43C6"/>
    <w:rsid w:val="001C056E"/>
    <w:rsid w:val="001C75E3"/>
    <w:rsid w:val="001E049E"/>
    <w:rsid w:val="001E3D03"/>
    <w:rsid w:val="0021668D"/>
    <w:rsid w:val="00216723"/>
    <w:rsid w:val="00220357"/>
    <w:rsid w:val="00225FCB"/>
    <w:rsid w:val="002308F9"/>
    <w:rsid w:val="00233A53"/>
    <w:rsid w:val="00240207"/>
    <w:rsid w:val="00255035"/>
    <w:rsid w:val="00265C5D"/>
    <w:rsid w:val="00283A38"/>
    <w:rsid w:val="002902D7"/>
    <w:rsid w:val="00295A2F"/>
    <w:rsid w:val="002A7802"/>
    <w:rsid w:val="002B2366"/>
    <w:rsid w:val="002E07DF"/>
    <w:rsid w:val="0030185C"/>
    <w:rsid w:val="003159B2"/>
    <w:rsid w:val="00321CE4"/>
    <w:rsid w:val="0032294A"/>
    <w:rsid w:val="00326126"/>
    <w:rsid w:val="00330E9E"/>
    <w:rsid w:val="0034501D"/>
    <w:rsid w:val="00396D70"/>
    <w:rsid w:val="003B62D6"/>
    <w:rsid w:val="003E384D"/>
    <w:rsid w:val="00420E9F"/>
    <w:rsid w:val="004328DF"/>
    <w:rsid w:val="00442CB1"/>
    <w:rsid w:val="00444AAD"/>
    <w:rsid w:val="00445892"/>
    <w:rsid w:val="00450F24"/>
    <w:rsid w:val="00483163"/>
    <w:rsid w:val="00492415"/>
    <w:rsid w:val="004929AC"/>
    <w:rsid w:val="00493E6D"/>
    <w:rsid w:val="00496D94"/>
    <w:rsid w:val="004974D6"/>
    <w:rsid w:val="004D1A64"/>
    <w:rsid w:val="00535F7C"/>
    <w:rsid w:val="00551F1E"/>
    <w:rsid w:val="005B40D8"/>
    <w:rsid w:val="005D611B"/>
    <w:rsid w:val="005E7AA3"/>
    <w:rsid w:val="00601BDA"/>
    <w:rsid w:val="006023FE"/>
    <w:rsid w:val="00611079"/>
    <w:rsid w:val="00627A19"/>
    <w:rsid w:val="00657A42"/>
    <w:rsid w:val="0068438B"/>
    <w:rsid w:val="006D2D14"/>
    <w:rsid w:val="00701F80"/>
    <w:rsid w:val="00707959"/>
    <w:rsid w:val="00707FED"/>
    <w:rsid w:val="00730D8F"/>
    <w:rsid w:val="00732F12"/>
    <w:rsid w:val="0074499D"/>
    <w:rsid w:val="00752952"/>
    <w:rsid w:val="00753C0D"/>
    <w:rsid w:val="00757C44"/>
    <w:rsid w:val="007B34E5"/>
    <w:rsid w:val="007E2CB7"/>
    <w:rsid w:val="007E5884"/>
    <w:rsid w:val="00827360"/>
    <w:rsid w:val="00831D22"/>
    <w:rsid w:val="00832791"/>
    <w:rsid w:val="00873E1A"/>
    <w:rsid w:val="00874780"/>
    <w:rsid w:val="008864FF"/>
    <w:rsid w:val="008970BA"/>
    <w:rsid w:val="008A1C00"/>
    <w:rsid w:val="008B0CC1"/>
    <w:rsid w:val="008C180E"/>
    <w:rsid w:val="008C26F5"/>
    <w:rsid w:val="008D37E5"/>
    <w:rsid w:val="008E3BA6"/>
    <w:rsid w:val="00922A2F"/>
    <w:rsid w:val="009713AE"/>
    <w:rsid w:val="0098086E"/>
    <w:rsid w:val="0098751D"/>
    <w:rsid w:val="00995963"/>
    <w:rsid w:val="009D4936"/>
    <w:rsid w:val="009D6C74"/>
    <w:rsid w:val="009E471B"/>
    <w:rsid w:val="009E61C3"/>
    <w:rsid w:val="009F21E7"/>
    <w:rsid w:val="009F49E5"/>
    <w:rsid w:val="00A038E4"/>
    <w:rsid w:val="00A2399E"/>
    <w:rsid w:val="00A50ED7"/>
    <w:rsid w:val="00A56112"/>
    <w:rsid w:val="00A95A9E"/>
    <w:rsid w:val="00AB60E9"/>
    <w:rsid w:val="00AE015F"/>
    <w:rsid w:val="00AF33AA"/>
    <w:rsid w:val="00AF3ECF"/>
    <w:rsid w:val="00AF77AA"/>
    <w:rsid w:val="00B11CB8"/>
    <w:rsid w:val="00B50FB5"/>
    <w:rsid w:val="00BA0A70"/>
    <w:rsid w:val="00BA3A0D"/>
    <w:rsid w:val="00BA5E20"/>
    <w:rsid w:val="00BB2A0C"/>
    <w:rsid w:val="00BD3E2F"/>
    <w:rsid w:val="00BF7920"/>
    <w:rsid w:val="00BF7DC8"/>
    <w:rsid w:val="00C16DC7"/>
    <w:rsid w:val="00C231E9"/>
    <w:rsid w:val="00C76924"/>
    <w:rsid w:val="00C87B35"/>
    <w:rsid w:val="00C94F0D"/>
    <w:rsid w:val="00CB0B3E"/>
    <w:rsid w:val="00CB71D8"/>
    <w:rsid w:val="00CF6391"/>
    <w:rsid w:val="00D83029"/>
    <w:rsid w:val="00DB55F6"/>
    <w:rsid w:val="00DC1714"/>
    <w:rsid w:val="00DC4DD4"/>
    <w:rsid w:val="00DC77A5"/>
    <w:rsid w:val="00DE4CAE"/>
    <w:rsid w:val="00DF448B"/>
    <w:rsid w:val="00E01852"/>
    <w:rsid w:val="00E0619C"/>
    <w:rsid w:val="00E06D7E"/>
    <w:rsid w:val="00E200F4"/>
    <w:rsid w:val="00E37B74"/>
    <w:rsid w:val="00E37D41"/>
    <w:rsid w:val="00E66101"/>
    <w:rsid w:val="00EA3C9C"/>
    <w:rsid w:val="00EA53E3"/>
    <w:rsid w:val="00EA54BA"/>
    <w:rsid w:val="00EB7A52"/>
    <w:rsid w:val="00EE0844"/>
    <w:rsid w:val="00EE2B9B"/>
    <w:rsid w:val="00EF00C1"/>
    <w:rsid w:val="00F05072"/>
    <w:rsid w:val="00F16966"/>
    <w:rsid w:val="00F25C73"/>
    <w:rsid w:val="00F32CC3"/>
    <w:rsid w:val="00F43C9F"/>
    <w:rsid w:val="00F4429B"/>
    <w:rsid w:val="00F6111D"/>
    <w:rsid w:val="00F65538"/>
    <w:rsid w:val="00F7289B"/>
    <w:rsid w:val="00F90919"/>
    <w:rsid w:val="00F923BE"/>
    <w:rsid w:val="00FB3C5F"/>
    <w:rsid w:val="00FB59D3"/>
    <w:rsid w:val="00FC1090"/>
    <w:rsid w:val="00FC2C20"/>
    <w:rsid w:val="00FE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7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1"/>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E0844"/>
    <w:rPr>
      <w:sz w:val="16"/>
      <w:szCs w:val="16"/>
    </w:rPr>
  </w:style>
  <w:style w:type="paragraph" w:styleId="CommentText">
    <w:name w:val="annotation text"/>
    <w:basedOn w:val="Normal"/>
    <w:link w:val="CommentTextChar"/>
    <w:semiHidden/>
    <w:unhideWhenUsed/>
    <w:rsid w:val="00EE0844"/>
  </w:style>
  <w:style w:type="character" w:customStyle="1" w:styleId="CommentTextChar">
    <w:name w:val="Comment Text Char"/>
    <w:basedOn w:val="DefaultParagraphFont"/>
    <w:link w:val="CommentText"/>
    <w:semiHidden/>
    <w:rsid w:val="00EE0844"/>
  </w:style>
  <w:style w:type="paragraph" w:styleId="CommentSubject">
    <w:name w:val="annotation subject"/>
    <w:basedOn w:val="CommentText"/>
    <w:next w:val="CommentText"/>
    <w:link w:val="CommentSubjectChar"/>
    <w:semiHidden/>
    <w:unhideWhenUsed/>
    <w:rsid w:val="00EE0844"/>
    <w:rPr>
      <w:b/>
      <w:bCs/>
    </w:rPr>
  </w:style>
  <w:style w:type="character" w:customStyle="1" w:styleId="CommentSubjectChar">
    <w:name w:val="Comment Subject Char"/>
    <w:basedOn w:val="CommentTextChar"/>
    <w:link w:val="CommentSubject"/>
    <w:semiHidden/>
    <w:rsid w:val="00EE0844"/>
    <w:rPr>
      <w:b/>
      <w:bCs/>
    </w:rPr>
  </w:style>
  <w:style w:type="paragraph" w:styleId="BalloonText">
    <w:name w:val="Balloon Text"/>
    <w:basedOn w:val="Normal"/>
    <w:link w:val="BalloonTextChar"/>
    <w:semiHidden/>
    <w:unhideWhenUsed/>
    <w:rsid w:val="00EE0844"/>
    <w:rPr>
      <w:rFonts w:ascii="Segoe UI" w:hAnsi="Segoe UI" w:cs="Segoe UI"/>
      <w:sz w:val="18"/>
      <w:szCs w:val="18"/>
    </w:rPr>
  </w:style>
  <w:style w:type="character" w:customStyle="1" w:styleId="BalloonTextChar">
    <w:name w:val="Balloon Text Char"/>
    <w:basedOn w:val="DefaultParagraphFont"/>
    <w:link w:val="BalloonText"/>
    <w:semiHidden/>
    <w:rsid w:val="00EE0844"/>
    <w:rPr>
      <w:rFonts w:ascii="Segoe UI" w:hAnsi="Segoe UI" w:cs="Segoe UI"/>
      <w:sz w:val="18"/>
      <w:szCs w:val="18"/>
    </w:rPr>
  </w:style>
  <w:style w:type="paragraph" w:styleId="ListParagraph">
    <w:name w:val="List Paragraph"/>
    <w:basedOn w:val="Normal"/>
    <w:uiPriority w:val="34"/>
    <w:qFormat/>
    <w:rsid w:val="00827360"/>
    <w:pPr>
      <w:ind w:left="720"/>
      <w:contextualSpacing/>
    </w:pPr>
  </w:style>
  <w:style w:type="character" w:styleId="Hyperlink">
    <w:name w:val="Hyperlink"/>
    <w:basedOn w:val="DefaultParagraphFont"/>
    <w:uiPriority w:val="99"/>
    <w:semiHidden/>
    <w:unhideWhenUsed/>
    <w:rsid w:val="00827360"/>
    <w:rPr>
      <w:color w:val="0563C1"/>
      <w:u w:val="single"/>
    </w:rPr>
  </w:style>
  <w:style w:type="character" w:styleId="FollowedHyperlink">
    <w:name w:val="FollowedHyperlink"/>
    <w:basedOn w:val="DefaultParagraphFont"/>
    <w:semiHidden/>
    <w:unhideWhenUsed/>
    <w:rsid w:val="00FB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2021-09-23T14:03:00Z</dcterms:created>
  <dcterms:modified xsi:type="dcterms:W3CDTF">2021-09-23T14:03:00Z</dcterms:modified>
</cp:coreProperties>
</file>