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04876" w:rsidR="00904876" w:rsidP="00904876" w:rsidRDefault="00904876" w14:paraId="1DF38263" w14:textId="2B7EDD48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876">
        <w:rPr>
          <w:rFonts w:ascii="Times New Roman" w:hAnsi="Times New Roman" w:cs="Times New Roman"/>
          <w:sz w:val="24"/>
          <w:szCs w:val="24"/>
        </w:rPr>
        <w:t xml:space="preserve">Regulatory Waiver Reporting on HUD Public Housing and Section 8 Requirements by Public Housing Agencies During Calendar Year 2020 and Calendar Year 2021 due to Presidentially Declared Major Disasters </w:t>
      </w:r>
    </w:p>
    <w:p w:rsidR="00904876" w:rsidRDefault="00904876" w14:paraId="627DEC9F" w14:textId="21DDDA85"/>
    <w:p w:rsidR="00904876" w:rsidP="00904876" w:rsidRDefault="00904876" w14:paraId="66EDC22B" w14:textId="7286B6FF">
      <w:pPr>
        <w:pStyle w:val="BlockText"/>
        <w:spacing w:after="0" w:line="240" w:lineRule="auto"/>
        <w:ind w:right="-72"/>
        <w:jc w:val="left"/>
        <w:rPr>
          <w:rFonts w:ascii="Times New Roman" w:hAnsi="Times New Roman"/>
          <w:sz w:val="24"/>
          <w:szCs w:val="24"/>
        </w:rPr>
      </w:pPr>
      <w:r w:rsidRPr="004D21D8">
        <w:rPr>
          <w:rFonts w:ascii="Times New Roman" w:hAnsi="Times New Roman"/>
          <w:sz w:val="24"/>
          <w:szCs w:val="24"/>
        </w:rPr>
        <w:t xml:space="preserve">Use this checklist to identify </w:t>
      </w:r>
      <w:r w:rsidR="00370C04">
        <w:rPr>
          <w:rFonts w:ascii="Times New Roman" w:hAnsi="Times New Roman"/>
          <w:sz w:val="24"/>
          <w:szCs w:val="24"/>
        </w:rPr>
        <w:t xml:space="preserve">flexibilities and </w:t>
      </w:r>
      <w:r w:rsidRPr="004D21D8">
        <w:rPr>
          <w:rFonts w:ascii="Times New Roman" w:hAnsi="Times New Roman"/>
          <w:sz w:val="24"/>
          <w:szCs w:val="24"/>
        </w:rPr>
        <w:t>waivers</w:t>
      </w:r>
      <w:r w:rsidR="00310856">
        <w:rPr>
          <w:rFonts w:ascii="Times New Roman" w:hAnsi="Times New Roman"/>
          <w:sz w:val="24"/>
          <w:szCs w:val="24"/>
        </w:rPr>
        <w:t xml:space="preserve"> used</w:t>
      </w:r>
      <w:r w:rsidRPr="004D21D8">
        <w:rPr>
          <w:rFonts w:ascii="Times New Roman" w:hAnsi="Times New Roman"/>
          <w:sz w:val="24"/>
          <w:szCs w:val="24"/>
        </w:rPr>
        <w:t xml:space="preserve"> </w:t>
      </w:r>
      <w:r w:rsidR="00310856">
        <w:rPr>
          <w:rFonts w:ascii="Times New Roman" w:hAnsi="Times New Roman"/>
          <w:sz w:val="24"/>
          <w:szCs w:val="24"/>
        </w:rPr>
        <w:t>p</w:t>
      </w:r>
      <w:r w:rsidRPr="004D21D8">
        <w:rPr>
          <w:rFonts w:ascii="Times New Roman" w:hAnsi="Times New Roman"/>
          <w:sz w:val="24"/>
          <w:szCs w:val="24"/>
        </w:rPr>
        <w:t xml:space="preserve">ursuant to </w:t>
      </w:r>
      <w:r>
        <w:rPr>
          <w:rFonts w:ascii="Times New Roman" w:hAnsi="Times New Roman"/>
          <w:b/>
          <w:bCs/>
          <w:sz w:val="24"/>
          <w:szCs w:val="24"/>
        </w:rPr>
        <w:t>the above referenced Federal Register Notice published on XXXXXXXX (this date is currently on hold)</w:t>
      </w:r>
      <w:r w:rsidRPr="004D21D8">
        <w:rPr>
          <w:rFonts w:ascii="Times New Roman" w:hAnsi="Times New Roman"/>
          <w:sz w:val="24"/>
          <w:szCs w:val="24"/>
        </w:rPr>
        <w:t xml:space="preserve"> and the </w:t>
      </w:r>
      <w:r w:rsidR="00310856">
        <w:rPr>
          <w:rFonts w:ascii="Times New Roman" w:hAnsi="Times New Roman"/>
          <w:sz w:val="24"/>
          <w:szCs w:val="24"/>
        </w:rPr>
        <w:t xml:space="preserve">start </w:t>
      </w:r>
      <w:r w:rsidRPr="004D21D8">
        <w:rPr>
          <w:rFonts w:ascii="Times New Roman" w:hAnsi="Times New Roman"/>
          <w:sz w:val="24"/>
          <w:szCs w:val="24"/>
        </w:rPr>
        <w:t xml:space="preserve">date </w:t>
      </w:r>
      <w:r w:rsidR="00310856">
        <w:rPr>
          <w:rFonts w:ascii="Times New Roman" w:hAnsi="Times New Roman"/>
          <w:sz w:val="24"/>
          <w:szCs w:val="24"/>
        </w:rPr>
        <w:t xml:space="preserve">for when </w:t>
      </w:r>
      <w:r w:rsidRPr="004D21D8">
        <w:rPr>
          <w:rFonts w:ascii="Times New Roman" w:hAnsi="Times New Roman"/>
          <w:sz w:val="24"/>
          <w:szCs w:val="24"/>
        </w:rPr>
        <w:t xml:space="preserve">the waiver was </w:t>
      </w:r>
      <w:r w:rsidR="00310856">
        <w:rPr>
          <w:rFonts w:ascii="Times New Roman" w:hAnsi="Times New Roman"/>
          <w:sz w:val="24"/>
          <w:szCs w:val="24"/>
        </w:rPr>
        <w:t>first used</w:t>
      </w:r>
      <w:r w:rsidRPr="004D21D8">
        <w:rPr>
          <w:rFonts w:ascii="Times New Roman" w:hAnsi="Times New Roman"/>
          <w:sz w:val="24"/>
          <w:szCs w:val="24"/>
        </w:rPr>
        <w:t xml:space="preserve">. </w:t>
      </w:r>
      <w:r w:rsidR="00370C04">
        <w:rPr>
          <w:rFonts w:ascii="Times New Roman" w:hAnsi="Times New Roman"/>
          <w:sz w:val="24"/>
          <w:szCs w:val="24"/>
        </w:rPr>
        <w:t xml:space="preserve">Refer to </w:t>
      </w:r>
      <w:r w:rsidR="008F62CC">
        <w:rPr>
          <w:rFonts w:ascii="Times New Roman" w:hAnsi="Times New Roman"/>
          <w:sz w:val="24"/>
          <w:szCs w:val="24"/>
        </w:rPr>
        <w:t xml:space="preserve">[MDD </w:t>
      </w:r>
      <w:r w:rsidR="00370C04">
        <w:rPr>
          <w:rFonts w:ascii="Times New Roman" w:hAnsi="Times New Roman"/>
          <w:sz w:val="24"/>
          <w:szCs w:val="24"/>
        </w:rPr>
        <w:t xml:space="preserve">Fed. Reg. </w:t>
      </w:r>
      <w:r w:rsidR="00310F4A">
        <w:rPr>
          <w:rFonts w:ascii="Times New Roman" w:hAnsi="Times New Roman"/>
          <w:sz w:val="24"/>
          <w:szCs w:val="24"/>
        </w:rPr>
        <w:t>6050-N-04</w:t>
      </w:r>
      <w:r w:rsidR="008F62CC">
        <w:rPr>
          <w:rFonts w:ascii="Times New Roman" w:hAnsi="Times New Roman"/>
          <w:sz w:val="24"/>
          <w:szCs w:val="24"/>
        </w:rPr>
        <w:t>]</w:t>
      </w:r>
      <w:r w:rsidR="00370C04">
        <w:rPr>
          <w:rFonts w:ascii="Times New Roman" w:hAnsi="Times New Roman"/>
          <w:sz w:val="24"/>
          <w:szCs w:val="24"/>
        </w:rPr>
        <w:t xml:space="preserve"> for </w:t>
      </w:r>
      <w:r w:rsidR="00BC618E">
        <w:rPr>
          <w:rFonts w:ascii="Times New Roman" w:hAnsi="Times New Roman"/>
          <w:sz w:val="24"/>
          <w:szCs w:val="24"/>
        </w:rPr>
        <w:t xml:space="preserve">a </w:t>
      </w:r>
      <w:r w:rsidR="00370C04">
        <w:rPr>
          <w:rFonts w:ascii="Times New Roman" w:hAnsi="Times New Roman"/>
          <w:sz w:val="24"/>
          <w:szCs w:val="24"/>
        </w:rPr>
        <w:t>description of the flexibilities and waivers that may receive expedited HUD review</w:t>
      </w:r>
      <w:r w:rsidR="00BC618E">
        <w:rPr>
          <w:rFonts w:ascii="Times New Roman" w:hAnsi="Times New Roman"/>
          <w:sz w:val="24"/>
          <w:szCs w:val="24"/>
        </w:rPr>
        <w:t xml:space="preserve"> as well as their period of availability. </w:t>
      </w:r>
      <w:r w:rsidRPr="004D21D8">
        <w:rPr>
          <w:rFonts w:ascii="Times New Roman" w:hAnsi="Times New Roman"/>
          <w:sz w:val="24"/>
          <w:szCs w:val="24"/>
        </w:rPr>
        <w:t>For assistance, contact your local Public Housing Field Office.</w:t>
      </w:r>
    </w:p>
    <w:p w:rsidR="00904876" w:rsidP="00904876" w:rsidRDefault="00904876" w14:paraId="4A3ED5A5" w14:textId="77777777">
      <w:pPr>
        <w:pStyle w:val="BlockText"/>
        <w:spacing w:after="0" w:line="240" w:lineRule="auto"/>
        <w:ind w:right="-72"/>
        <w:jc w:val="left"/>
        <w:rPr>
          <w:rFonts w:ascii="Times New Roman" w:hAnsi="Times New Roman"/>
          <w:sz w:val="24"/>
          <w:szCs w:val="24"/>
        </w:rPr>
      </w:pPr>
    </w:p>
    <w:p w:rsidR="00904876" w:rsidP="00904876" w:rsidRDefault="00904876" w14:paraId="6796F59A" w14:textId="0835062F">
      <w:pPr>
        <w:pStyle w:val="BlockText"/>
        <w:spacing w:after="0" w:line="240" w:lineRule="auto"/>
        <w:ind w:right="-72"/>
        <w:jc w:val="left"/>
        <w:rPr>
          <w:rFonts w:ascii="Times New Roman" w:hAnsi="Times New Roman"/>
          <w:sz w:val="24"/>
          <w:szCs w:val="24"/>
        </w:rPr>
      </w:pPr>
      <w:r w:rsidRPr="004D21D8">
        <w:rPr>
          <w:rFonts w:ascii="Times New Roman" w:hAnsi="Times New Roman"/>
          <w:spacing w:val="-2"/>
          <w:sz w:val="24"/>
          <w:szCs w:val="24"/>
        </w:rPr>
        <w:t xml:space="preserve">Public reporting burden for this collection of information is estimated to average </w:t>
      </w:r>
      <w:r>
        <w:rPr>
          <w:rFonts w:ascii="Times New Roman" w:hAnsi="Times New Roman"/>
          <w:spacing w:val="-2"/>
          <w:sz w:val="24"/>
          <w:szCs w:val="24"/>
        </w:rPr>
        <w:t xml:space="preserve">one hour </w:t>
      </w:r>
      <w:r w:rsidRPr="004D21D8">
        <w:rPr>
          <w:rFonts w:ascii="Times New Roman" w:hAnsi="Times New Roman"/>
          <w:spacing w:val="-2"/>
          <w:sz w:val="24"/>
          <w:szCs w:val="24"/>
        </w:rPr>
        <w:t>per response, including the time for reviewing instructions,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D21D8">
        <w:rPr>
          <w:rFonts w:ascii="Times New Roman" w:hAnsi="Times New Roman"/>
          <w:spacing w:val="-2"/>
          <w:sz w:val="24"/>
          <w:szCs w:val="24"/>
        </w:rPr>
        <w:t>searching existing data sources, gathering and maintaining the data needed, and completing and reviewing the collection of information. This agency may not conduct or sponsor, and a person is not required to respond to, a collection of information unless that collection displays a valid OMB control number</w:t>
      </w:r>
      <w:r w:rsidRPr="004D21D8">
        <w:rPr>
          <w:rFonts w:ascii="Times New Roman" w:hAnsi="Times New Roman"/>
          <w:sz w:val="24"/>
          <w:szCs w:val="24"/>
        </w:rPr>
        <w:t xml:space="preserve">.  </w:t>
      </w:r>
      <w:r w:rsidR="00C336E2">
        <w:rPr>
          <w:rFonts w:ascii="Times New Roman" w:hAnsi="Times New Roman"/>
          <w:sz w:val="24"/>
          <w:szCs w:val="24"/>
        </w:rPr>
        <w:t xml:space="preserve">The contents of this form </w:t>
      </w:r>
      <w:proofErr w:type="gramStart"/>
      <w:r w:rsidR="00C336E2">
        <w:rPr>
          <w:rFonts w:ascii="Times New Roman" w:hAnsi="Times New Roman"/>
          <w:sz w:val="24"/>
          <w:szCs w:val="24"/>
        </w:rPr>
        <w:t>is</w:t>
      </w:r>
      <w:proofErr w:type="gramEnd"/>
      <w:r w:rsidR="00C336E2">
        <w:rPr>
          <w:rFonts w:ascii="Times New Roman" w:hAnsi="Times New Roman"/>
          <w:sz w:val="24"/>
          <w:szCs w:val="24"/>
        </w:rPr>
        <w:t xml:space="preserve"> pursuant to </w:t>
      </w:r>
      <w:r w:rsidRPr="004D21D8" w:rsidR="00C336E2">
        <w:rPr>
          <w:rFonts w:ascii="Times New Roman" w:hAnsi="Times New Roman"/>
          <w:sz w:val="24"/>
          <w:szCs w:val="24"/>
        </w:rPr>
        <w:t>FR-6050-N-04</w:t>
      </w:r>
      <w:r w:rsidR="00C336E2">
        <w:rPr>
          <w:rFonts w:ascii="Times New Roman" w:hAnsi="Times New Roman"/>
          <w:sz w:val="24"/>
          <w:szCs w:val="24"/>
        </w:rPr>
        <w:t xml:space="preserve"> and </w:t>
      </w:r>
      <w:r w:rsidRPr="004D21D8">
        <w:rPr>
          <w:rFonts w:ascii="Times New Roman" w:hAnsi="Times New Roman"/>
          <w:sz w:val="24"/>
          <w:szCs w:val="24"/>
        </w:rPr>
        <w:t xml:space="preserve">HUD’s discretionary authority in Section 106 of the Department of Housing and Urban Development Reform Act of 1989 </w:t>
      </w:r>
      <w:r w:rsidR="00C336E2">
        <w:rPr>
          <w:rFonts w:ascii="Times New Roman" w:hAnsi="Times New Roman"/>
          <w:sz w:val="24"/>
          <w:szCs w:val="24"/>
        </w:rPr>
        <w:t xml:space="preserve">to grant certain regulatory waivers </w:t>
      </w:r>
      <w:r w:rsidRPr="004D21D8">
        <w:rPr>
          <w:rFonts w:ascii="Times New Roman" w:hAnsi="Times New Roman"/>
          <w:sz w:val="24"/>
          <w:szCs w:val="24"/>
        </w:rPr>
        <w:t xml:space="preserve">consistent with 24 CFR 5.110. </w:t>
      </w:r>
      <w:r w:rsidR="00310856">
        <w:rPr>
          <w:rFonts w:ascii="Times New Roman" w:hAnsi="Times New Roman"/>
          <w:sz w:val="24"/>
          <w:szCs w:val="24"/>
        </w:rPr>
        <w:t xml:space="preserve">PHAs benefit from using these waivers to relieve administrative and regulatory burdens during a Major Disaster Declaration (MDD). </w:t>
      </w:r>
      <w:r w:rsidRPr="004D21D8" w:rsidR="00310856">
        <w:rPr>
          <w:rFonts w:ascii="Times New Roman" w:hAnsi="Times New Roman"/>
          <w:sz w:val="24"/>
          <w:szCs w:val="24"/>
        </w:rPr>
        <w:t>HUD use</w:t>
      </w:r>
      <w:r w:rsidR="00310856">
        <w:rPr>
          <w:rFonts w:ascii="Times New Roman" w:hAnsi="Times New Roman"/>
          <w:sz w:val="24"/>
          <w:szCs w:val="24"/>
        </w:rPr>
        <w:t>s</w:t>
      </w:r>
      <w:r w:rsidRPr="004D21D8" w:rsidR="00310856">
        <w:rPr>
          <w:rFonts w:ascii="Times New Roman" w:hAnsi="Times New Roman"/>
          <w:sz w:val="24"/>
          <w:szCs w:val="24"/>
        </w:rPr>
        <w:t xml:space="preserve"> the information to inform responses to future emergencies. </w:t>
      </w:r>
    </w:p>
    <w:p w:rsidR="00904876" w:rsidP="00904876" w:rsidRDefault="00904876" w14:paraId="7D3E92E6" w14:textId="649670D2">
      <w:pPr>
        <w:pStyle w:val="BlockText"/>
        <w:spacing w:after="0" w:line="240" w:lineRule="auto"/>
        <w:ind w:right="-72"/>
        <w:jc w:val="left"/>
        <w:rPr>
          <w:rFonts w:ascii="Times New Roman" w:hAnsi="Times New Roman"/>
          <w:sz w:val="24"/>
          <w:szCs w:val="24"/>
        </w:rPr>
      </w:pPr>
    </w:p>
    <w:p w:rsidR="00904876" w:rsidP="00904876" w:rsidRDefault="00904876" w14:paraId="7A731E73" w14:textId="3F479EF6">
      <w:pPr>
        <w:pStyle w:val="BlockText"/>
        <w:spacing w:after="0" w:line="240" w:lineRule="auto"/>
        <w:ind w:right="-7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PHA:</w:t>
      </w:r>
    </w:p>
    <w:p w:rsidR="00904876" w:rsidP="00904876" w:rsidRDefault="00904876" w14:paraId="39AA07C7" w14:textId="4AF930EA">
      <w:pPr>
        <w:pStyle w:val="BlockText"/>
        <w:spacing w:after="0" w:line="240" w:lineRule="auto"/>
        <w:ind w:right="-72"/>
        <w:jc w:val="left"/>
        <w:rPr>
          <w:rFonts w:ascii="Times New Roman" w:hAnsi="Times New Roman"/>
          <w:sz w:val="24"/>
          <w:szCs w:val="24"/>
        </w:rPr>
      </w:pPr>
    </w:p>
    <w:p w:rsidRPr="004D21D8" w:rsidR="00904876" w:rsidP="00904876" w:rsidRDefault="00904876" w14:paraId="54D64FC2" w14:textId="2B80D935">
      <w:pPr>
        <w:pStyle w:val="BlockText"/>
        <w:spacing w:after="0" w:line="240" w:lineRule="auto"/>
        <w:ind w:right="-7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 Number:</w:t>
      </w:r>
    </w:p>
    <w:p w:rsidR="00DD267A" w:rsidRDefault="00DD267A" w14:paraId="5033FB84" w14:textId="43901FB0"/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896"/>
        <w:gridCol w:w="7474"/>
        <w:gridCol w:w="1350"/>
      </w:tblGrid>
      <w:tr w:rsidRPr="003B3251" w:rsidR="00904876" w:rsidTr="003B3251" w14:paraId="4023EE73" w14:textId="77777777">
        <w:tc>
          <w:tcPr>
            <w:tcW w:w="896" w:type="dxa"/>
          </w:tcPr>
          <w:p w:rsidRPr="003B3251" w:rsidR="00904876" w:rsidP="00987A3A" w:rsidRDefault="00904876" w14:paraId="7B6E9492" w14:textId="3A30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37741875" w:id="0"/>
            <w:r w:rsidRPr="003B3251">
              <w:rPr>
                <w:rFonts w:ascii="Times New Roman" w:hAnsi="Times New Roman" w:cs="Times New Roman"/>
                <w:sz w:val="24"/>
                <w:szCs w:val="24"/>
              </w:rPr>
              <w:t>Check:</w:t>
            </w:r>
          </w:p>
        </w:tc>
        <w:tc>
          <w:tcPr>
            <w:tcW w:w="7474" w:type="dxa"/>
          </w:tcPr>
          <w:p w:rsidRPr="003B3251" w:rsidR="00904876" w:rsidP="00987A3A" w:rsidRDefault="00B01120" w14:paraId="1B66A27B" w14:textId="3F84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[MDD </w:t>
            </w:r>
            <w:r w:rsidRPr="003B3251" w:rsidR="006E1FBE">
              <w:rPr>
                <w:rFonts w:ascii="Times New Roman" w:hAnsi="Times New Roman" w:cs="Times New Roman"/>
                <w:sz w:val="24"/>
                <w:szCs w:val="24"/>
              </w:rPr>
              <w:t xml:space="preserve">Fed. Reg. </w:t>
            </w:r>
            <w:r w:rsidRPr="003B3251" w:rsidR="00310F4A">
              <w:rPr>
                <w:rFonts w:ascii="Times New Roman" w:hAnsi="Times New Roman" w:cs="Times New Roman"/>
                <w:sz w:val="24"/>
                <w:szCs w:val="24"/>
              </w:rPr>
              <w:t>6050-N-04</w:t>
            </w:r>
            <w:r w:rsidRPr="003B3251" w:rsidR="00BF44F3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3B3251" w:rsidR="006E1FBE">
              <w:rPr>
                <w:rFonts w:ascii="Times New Roman" w:hAnsi="Times New Roman" w:cs="Times New Roman"/>
                <w:sz w:val="24"/>
                <w:szCs w:val="24"/>
              </w:rPr>
              <w:t xml:space="preserve">Reference and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Regulatory Citation</w:t>
            </w:r>
          </w:p>
        </w:tc>
        <w:tc>
          <w:tcPr>
            <w:tcW w:w="1350" w:type="dxa"/>
          </w:tcPr>
          <w:p w:rsidRPr="003B3251" w:rsidR="00904876" w:rsidP="00310856" w:rsidRDefault="00310856" w14:paraId="4B741A5B" w14:textId="754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Start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Pr="003B3251" w:rsidR="00904876" w:rsidTr="003B3251" w14:paraId="35FF767F" w14:textId="77777777">
        <w:tc>
          <w:tcPr>
            <w:tcW w:w="896" w:type="dxa"/>
          </w:tcPr>
          <w:p w:rsidRPr="003B3251" w:rsidR="00904876" w:rsidP="002B1A5B" w:rsidRDefault="00904876" w14:paraId="3D7F80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6E1FBE" w14:paraId="454CB4E0" w14:textId="74A1D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II.A.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905.306 (Extension of deadline for obligation and expenditure of Capital Funds)</w:t>
            </w:r>
            <w:r w:rsidRPr="003B3251" w:rsid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(Office of Capital Improvements)</w:t>
            </w:r>
          </w:p>
        </w:tc>
        <w:tc>
          <w:tcPr>
            <w:tcW w:w="1350" w:type="dxa"/>
          </w:tcPr>
          <w:p w:rsidRPr="003B3251" w:rsidR="00904876" w:rsidP="002B1A5B" w:rsidRDefault="00904876" w14:paraId="2AC3D6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10CEC720" w14:textId="77777777">
        <w:tc>
          <w:tcPr>
            <w:tcW w:w="896" w:type="dxa"/>
          </w:tcPr>
          <w:p w:rsidRPr="003B3251" w:rsidR="00904876" w:rsidP="002B1A5B" w:rsidRDefault="00904876" w14:paraId="4333A4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0B7F31" w14:paraId="0D153F39" w14:textId="3E7F9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>§ II.</w:t>
            </w:r>
            <w:r w:rsidRPr="003B3251" w:rsidR="00DB79C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990.145(b) (Public housing dwelling units with approved vacancies). (REAC – Public Housing Financial Management Division)</w:t>
            </w:r>
          </w:p>
        </w:tc>
        <w:tc>
          <w:tcPr>
            <w:tcW w:w="1350" w:type="dxa"/>
          </w:tcPr>
          <w:p w:rsidRPr="003B3251" w:rsidR="00904876" w:rsidP="002B1A5B" w:rsidRDefault="00904876" w14:paraId="03272B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2736BA54" w14:textId="77777777">
        <w:tc>
          <w:tcPr>
            <w:tcW w:w="896" w:type="dxa"/>
          </w:tcPr>
          <w:p w:rsidRPr="003B3251" w:rsidR="00904876" w:rsidP="002B1A5B" w:rsidRDefault="00904876" w14:paraId="67B9DE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0B7F31" w14:paraId="54EBEC80" w14:textId="1D11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III.A.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5.801(c) and 5.801(d)(1) (Uniform financial reporting standards; Filing of financial reports; Reporting compliance dates).  (Real Estate Assessment Center)</w:t>
            </w:r>
          </w:p>
        </w:tc>
        <w:tc>
          <w:tcPr>
            <w:tcW w:w="1350" w:type="dxa"/>
          </w:tcPr>
          <w:p w:rsidRPr="003B3251" w:rsidR="00904876" w:rsidP="002B1A5B" w:rsidRDefault="00904876" w14:paraId="79DCD0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06CA518D" w14:textId="77777777">
        <w:tc>
          <w:tcPr>
            <w:tcW w:w="896" w:type="dxa"/>
          </w:tcPr>
          <w:p w:rsidRPr="003B3251" w:rsidR="00904876" w:rsidP="002B1A5B" w:rsidRDefault="00904876" w14:paraId="7996F2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0B7F31" w14:paraId="00B7E4A8" w14:textId="01B2E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III.B.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part 902 (Public Housing Assessment System).  (Real Estate Assessment Center)</w:t>
            </w:r>
          </w:p>
        </w:tc>
        <w:tc>
          <w:tcPr>
            <w:tcW w:w="1350" w:type="dxa"/>
          </w:tcPr>
          <w:p w:rsidRPr="003B3251" w:rsidR="00904876" w:rsidP="002B1A5B" w:rsidRDefault="00904876" w14:paraId="29CBB4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34F4AB4F" w14:textId="77777777">
        <w:tc>
          <w:tcPr>
            <w:tcW w:w="896" w:type="dxa"/>
          </w:tcPr>
          <w:p w:rsidRPr="003B3251" w:rsidR="00904876" w:rsidP="002B1A5B" w:rsidRDefault="00904876" w14:paraId="1AA73A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1B52EB" w14:paraId="34974434" w14:textId="5869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III.C.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905.322(b) (Fiscal closeout).  (Office of Capital Improvements)</w:t>
            </w:r>
          </w:p>
        </w:tc>
        <w:tc>
          <w:tcPr>
            <w:tcW w:w="1350" w:type="dxa"/>
          </w:tcPr>
          <w:p w:rsidRPr="003B3251" w:rsidR="00904876" w:rsidP="002B1A5B" w:rsidRDefault="00904876" w14:paraId="2A2051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2B662477" w14:textId="77777777">
        <w:tc>
          <w:tcPr>
            <w:tcW w:w="896" w:type="dxa"/>
          </w:tcPr>
          <w:p w:rsidRPr="003B3251" w:rsidR="00904876" w:rsidP="002B1A5B" w:rsidRDefault="00904876" w14:paraId="295CD7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1B52EB" w14:paraId="2D73D979" w14:textId="25191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III.D.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905.314(b)–(c) (Cost and other limitations; Maximum project cost; TDC limit)</w:t>
            </w:r>
            <w:r w:rsidRPr="003B3251" w:rsid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(Office of Capital Improvements)</w:t>
            </w:r>
          </w:p>
        </w:tc>
        <w:tc>
          <w:tcPr>
            <w:tcW w:w="1350" w:type="dxa"/>
          </w:tcPr>
          <w:p w:rsidRPr="003B3251" w:rsidR="00904876" w:rsidP="002B1A5B" w:rsidRDefault="00904876" w14:paraId="506AC7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Pr="003B3251" w:rsidR="00904876" w:rsidTr="003B3251" w14:paraId="546E583E" w14:textId="77777777">
        <w:tc>
          <w:tcPr>
            <w:tcW w:w="896" w:type="dxa"/>
          </w:tcPr>
          <w:p w:rsidRPr="003B3251" w:rsidR="00904876" w:rsidP="002B1A5B" w:rsidRDefault="00904876" w14:paraId="0891BD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1B52EB" w14:paraId="09FE52A6" w14:textId="78A2F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III.E.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905.314(j) (Cost and other limitations; Types of labor)</w:t>
            </w:r>
            <w:r w:rsidRPr="003B3251" w:rsid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(Office of Capital Improvements)</w:t>
            </w:r>
          </w:p>
        </w:tc>
        <w:tc>
          <w:tcPr>
            <w:tcW w:w="1350" w:type="dxa"/>
          </w:tcPr>
          <w:p w:rsidRPr="003B3251" w:rsidR="00904876" w:rsidP="002B1A5B" w:rsidRDefault="00904876" w14:paraId="7CB55A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098F2AE9" w14:textId="77777777">
        <w:tc>
          <w:tcPr>
            <w:tcW w:w="896" w:type="dxa"/>
          </w:tcPr>
          <w:p w:rsidRPr="003B3251" w:rsidR="00904876" w:rsidP="002B1A5B" w:rsidRDefault="00904876" w14:paraId="283C1F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1B52EB" w14:paraId="4A415EF5" w14:textId="3AB8E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III.F.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905.400(i)(5) (Capital Fund Formula; Replacement Housing Factor to reflect formula needs for projects with demolition or disposition occurring on or after October 1, 1998, and prior to September 2013)</w:t>
            </w:r>
            <w:r w:rsidRPr="003B3251" w:rsid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(Office of Capital Improvements)</w:t>
            </w:r>
          </w:p>
        </w:tc>
        <w:tc>
          <w:tcPr>
            <w:tcW w:w="1350" w:type="dxa"/>
          </w:tcPr>
          <w:p w:rsidRPr="003B3251" w:rsidR="00904876" w:rsidP="002B1A5B" w:rsidRDefault="00904876" w14:paraId="48E4B8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41F72733" w14:textId="77777777">
        <w:tc>
          <w:tcPr>
            <w:tcW w:w="896" w:type="dxa"/>
          </w:tcPr>
          <w:p w:rsidRPr="003B3251" w:rsidR="00904876" w:rsidP="002B1A5B" w:rsidRDefault="00904876" w14:paraId="546DEB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1B52EB" w14:paraId="55538544" w14:textId="64A4C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III.G.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960.</w:t>
            </w: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>202(c)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(1) (Tenant selection policies) and 24 CFR 982.54(a) (Administrative plan)</w:t>
            </w:r>
            <w:r w:rsidRPr="003B3251" w:rsid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(Housing Voucher Management and Operations; Public Housing Management and Occupancy)</w:t>
            </w:r>
          </w:p>
        </w:tc>
        <w:tc>
          <w:tcPr>
            <w:tcW w:w="1350" w:type="dxa"/>
          </w:tcPr>
          <w:p w:rsidRPr="003B3251" w:rsidR="00904876" w:rsidP="002B1A5B" w:rsidRDefault="00904876" w14:paraId="002C63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73BD206E" w14:textId="77777777">
        <w:tc>
          <w:tcPr>
            <w:tcW w:w="896" w:type="dxa"/>
          </w:tcPr>
          <w:p w:rsidRPr="003B3251" w:rsidR="00904876" w:rsidP="002B1A5B" w:rsidRDefault="00904876" w14:paraId="41A7B8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1B52EB" w14:paraId="2A42BB33" w14:textId="0D7DD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III.H.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982.206(a)(2) (Waiting List; Opening and closing; Public notice).  (Housing Voucher Management and Operations)</w:t>
            </w:r>
          </w:p>
        </w:tc>
        <w:tc>
          <w:tcPr>
            <w:tcW w:w="1350" w:type="dxa"/>
          </w:tcPr>
          <w:p w:rsidRPr="003B3251" w:rsidR="00904876" w:rsidP="002B1A5B" w:rsidRDefault="00904876" w14:paraId="5D146D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06C256E4" w14:textId="77777777">
        <w:tc>
          <w:tcPr>
            <w:tcW w:w="896" w:type="dxa"/>
          </w:tcPr>
          <w:p w:rsidRPr="003B3251" w:rsidR="00904876" w:rsidP="002B1A5B" w:rsidRDefault="00904876" w14:paraId="39920F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1B52EB" w14:paraId="14A4F08D" w14:textId="32EC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III.I.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982.503(c) (</w:t>
            </w:r>
            <w:r w:rsidRPr="003B3251" w:rsidR="00904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HUD approval of exception payment standard amount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).  (Housing Voucher Management and Operations)</w:t>
            </w:r>
          </w:p>
        </w:tc>
        <w:tc>
          <w:tcPr>
            <w:tcW w:w="1350" w:type="dxa"/>
          </w:tcPr>
          <w:p w:rsidRPr="003B3251" w:rsidR="00904876" w:rsidP="002B1A5B" w:rsidRDefault="00904876" w14:paraId="16AD05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46AB6FE3" w14:textId="77777777">
        <w:tc>
          <w:tcPr>
            <w:tcW w:w="896" w:type="dxa"/>
          </w:tcPr>
          <w:p w:rsidRPr="003B3251" w:rsidR="00904876" w:rsidP="002B1A5B" w:rsidRDefault="00904876" w14:paraId="688C2E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1B52EB" w14:paraId="5524F100" w14:textId="4303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III.J. </w:t>
            </w:r>
            <w:r w:rsidRPr="003B3251" w:rsidR="00904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CFR 982.401(d) (Housing quality standards; Space and security).  (Housing Voucher Management and Operations)</w:t>
            </w:r>
          </w:p>
        </w:tc>
        <w:tc>
          <w:tcPr>
            <w:tcW w:w="1350" w:type="dxa"/>
          </w:tcPr>
          <w:p w:rsidRPr="003B3251" w:rsidR="00904876" w:rsidP="002B1A5B" w:rsidRDefault="00904876" w14:paraId="053E6B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781E8CA9" w14:textId="77777777">
        <w:tc>
          <w:tcPr>
            <w:tcW w:w="896" w:type="dxa"/>
          </w:tcPr>
          <w:p w:rsidRPr="003B3251" w:rsidR="00904876" w:rsidP="002B1A5B" w:rsidRDefault="00904876" w14:paraId="39F042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1B52EB" w14:paraId="065A16BD" w14:textId="0DF3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III.K. </w:t>
            </w:r>
            <w:r w:rsidRPr="003B3251" w:rsidR="00904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CFR 982.633(a) (Occupancy of home)</w:t>
            </w:r>
            <w:r w:rsidRPr="003B3251" w:rsidR="003B3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B3251" w:rsidR="00904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(Housing Voucher Management and Operations)</w:t>
            </w:r>
          </w:p>
        </w:tc>
        <w:tc>
          <w:tcPr>
            <w:tcW w:w="1350" w:type="dxa"/>
          </w:tcPr>
          <w:p w:rsidRPr="003B3251" w:rsidR="00904876" w:rsidP="002B1A5B" w:rsidRDefault="00904876" w14:paraId="4926FF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4C4A25FB" w14:textId="77777777">
        <w:tc>
          <w:tcPr>
            <w:tcW w:w="896" w:type="dxa"/>
          </w:tcPr>
          <w:p w:rsidRPr="003B3251" w:rsidR="00904876" w:rsidP="002B1A5B" w:rsidRDefault="00904876" w14:paraId="47072A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37742806" w:id="1"/>
          </w:p>
        </w:tc>
        <w:tc>
          <w:tcPr>
            <w:tcW w:w="7474" w:type="dxa"/>
          </w:tcPr>
          <w:p w:rsidRPr="003B3251" w:rsidR="00904876" w:rsidP="002B1A5B" w:rsidRDefault="001B52EB" w14:paraId="4185CC87" w14:textId="28448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III.L.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984.303(d) (</w:t>
            </w: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Family Self-Sufficiency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Contract of participation; contract extension)</w:t>
            </w:r>
            <w:r w:rsidRPr="003B3251" w:rsid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3251" w:rsidR="00C609B4">
              <w:rPr>
                <w:rFonts w:ascii="Times New Roman" w:hAnsi="Times New Roman" w:cs="Times New Roman"/>
                <w:sz w:val="24"/>
                <w:szCs w:val="24"/>
              </w:rPr>
              <w:t>Office of Public Housing Investment)</w:t>
            </w:r>
          </w:p>
        </w:tc>
        <w:tc>
          <w:tcPr>
            <w:tcW w:w="1350" w:type="dxa"/>
          </w:tcPr>
          <w:p w:rsidRPr="003B3251" w:rsidR="00904876" w:rsidP="002B1A5B" w:rsidRDefault="00904876" w14:paraId="45042D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904876" w:rsidTr="003B3251" w14:paraId="14A85293" w14:textId="77777777">
        <w:tc>
          <w:tcPr>
            <w:tcW w:w="896" w:type="dxa"/>
          </w:tcPr>
          <w:p w:rsidRPr="003B3251" w:rsidR="00904876" w:rsidP="002B1A5B" w:rsidRDefault="00904876" w14:paraId="72E3CC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904876" w:rsidP="002B1A5B" w:rsidRDefault="001B52EB" w14:paraId="7D3388AE" w14:textId="490DB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§ III.M.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24 CFR 985</w:t>
            </w:r>
            <w:r w:rsidRPr="003B3251" w:rsidDel="00C609B4" w:rsidR="00C60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(Section 8 Management Assessment Program (SEMAP))</w:t>
            </w:r>
            <w:r w:rsidRPr="003B3251" w:rsid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>(Housing Voucher Management and Operations)</w:t>
            </w:r>
          </w:p>
        </w:tc>
        <w:tc>
          <w:tcPr>
            <w:tcW w:w="1350" w:type="dxa"/>
          </w:tcPr>
          <w:p w:rsidRPr="003B3251" w:rsidR="00904876" w:rsidP="002B1A5B" w:rsidRDefault="00904876" w14:paraId="3D0F72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Pr="003B3251" w:rsidR="00904876" w:rsidTr="003B3251" w14:paraId="5FB3419E" w14:textId="77777777">
        <w:tc>
          <w:tcPr>
            <w:tcW w:w="896" w:type="dxa"/>
          </w:tcPr>
          <w:p w:rsidRPr="003B3251" w:rsidR="00904876" w:rsidP="002B1A5B" w:rsidRDefault="00904876" w14:paraId="6F1363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310F4A" w:rsidP="002B1A5B" w:rsidRDefault="00C609B4" w14:paraId="460021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III.N. </w:t>
            </w:r>
            <w:r w:rsidRPr="003B3251" w:rsidR="00904876">
              <w:rPr>
                <w:rFonts w:ascii="Times New Roman" w:hAnsi="Times New Roman" w:cs="Times New Roman"/>
                <w:sz w:val="24"/>
                <w:szCs w:val="24"/>
              </w:rPr>
              <w:t xml:space="preserve">Waivers not identified in </w:t>
            </w:r>
            <w:r w:rsidRPr="003B3251" w:rsidR="006E50A6">
              <w:rPr>
                <w:rFonts w:ascii="Times New Roman" w:hAnsi="Times New Roman" w:cs="Times New Roman"/>
                <w:sz w:val="24"/>
                <w:szCs w:val="24"/>
              </w:rPr>
              <w:t>XX-XX-XXXX</w:t>
            </w:r>
            <w:r w:rsidRPr="003B3251" w:rsidR="00310F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Pr="003B3251" w:rsidR="00904876" w:rsidP="002B1A5B" w:rsidRDefault="00310F4A" w14:paraId="632DFF40" w14:textId="2DCCE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If your agency is requesting a wavier not listed above, please reference the regulatory citation and item in </w:t>
            </w:r>
            <w:r w:rsidRPr="003B3251" w:rsidR="009C3DC6">
              <w:rPr>
                <w:rFonts w:ascii="Times New Roman" w:hAnsi="Times New Roman" w:cs="Times New Roman"/>
                <w:sz w:val="24"/>
                <w:szCs w:val="24"/>
              </w:rPr>
              <w:t xml:space="preserve">row(s) </w:t>
            </w: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 xml:space="preserve">below. If </w:t>
            </w:r>
            <w:r w:rsidRPr="003B3251" w:rsidR="009C3DC6">
              <w:rPr>
                <w:rFonts w:ascii="Times New Roman" w:hAnsi="Times New Roman" w:cs="Times New Roman"/>
                <w:sz w:val="24"/>
                <w:szCs w:val="24"/>
              </w:rPr>
              <w:t>there is not enough space on this form, write “See Attached”</w:t>
            </w:r>
            <w:r w:rsidRPr="003B3251" w:rsid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251" w:rsidR="009C3DC6">
              <w:rPr>
                <w:rFonts w:ascii="Times New Roman" w:hAnsi="Times New Roman" w:cs="Times New Roman"/>
                <w:sz w:val="24"/>
                <w:szCs w:val="24"/>
              </w:rPr>
              <w:t>Use a blank sheet. Indicate PHA Name, PHA Number on the top of the attachment</w:t>
            </w:r>
            <w:r w:rsidRPr="003B3251" w:rsid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251" w:rsidR="009C3DC6">
              <w:rPr>
                <w:rFonts w:ascii="Times New Roman" w:hAnsi="Times New Roman" w:cs="Times New Roman"/>
                <w:sz w:val="24"/>
                <w:szCs w:val="24"/>
              </w:rPr>
              <w:t>List the information required for each regulation requested</w:t>
            </w:r>
            <w:r w:rsidRPr="003B3251" w:rsid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251" w:rsidR="009C3DC6">
              <w:rPr>
                <w:rFonts w:ascii="Times New Roman" w:hAnsi="Times New Roman" w:cs="Times New Roman"/>
                <w:sz w:val="24"/>
                <w:szCs w:val="24"/>
              </w:rPr>
              <w:t>Sign the form and attachment</w:t>
            </w:r>
            <w:r w:rsidRPr="003B3251" w:rsid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</w:tcPr>
          <w:p w:rsidRPr="003B3251" w:rsidR="00904876" w:rsidP="002B1A5B" w:rsidRDefault="00904876" w14:paraId="76A62A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B3251" w:rsidR="00C609B4" w:rsidTr="003B3251" w14:paraId="1846D418" w14:textId="77777777">
        <w:tc>
          <w:tcPr>
            <w:tcW w:w="896" w:type="dxa"/>
          </w:tcPr>
          <w:p w:rsidRPr="003B3251" w:rsidR="00C609B4" w:rsidP="00293F23" w:rsidRDefault="00C609B4" w14:paraId="67C3D0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</w:tcPr>
          <w:p w:rsidRPr="003B3251" w:rsidR="00C609B4" w:rsidP="00293F23" w:rsidRDefault="00C609B4" w14:paraId="5E319770" w14:textId="3E9B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>§ IV. Notice PIH 2012–10, Section 8(c) (Verification of the Social Security Number (SSN))</w:t>
            </w:r>
            <w:r w:rsidRPr="003B3251" w:rsidR="003B32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3251">
              <w:rPr>
                <w:rFonts w:ascii="Times New Roman" w:hAnsi="Times New Roman" w:cs="Times New Roman"/>
                <w:sz w:val="24"/>
                <w:szCs w:val="24"/>
              </w:rPr>
              <w:t>(Real Estate Assessment Center)</w:t>
            </w:r>
          </w:p>
        </w:tc>
        <w:tc>
          <w:tcPr>
            <w:tcW w:w="1350" w:type="dxa"/>
          </w:tcPr>
          <w:p w:rsidRPr="003B3251" w:rsidR="00C609B4" w:rsidP="00293F23" w:rsidRDefault="00C609B4" w14:paraId="2F8B91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598" w:rsidP="00377598" w:rsidRDefault="00377598" w14:paraId="13D1B0B4" w14:textId="77777777"/>
    <w:p w:rsidR="00904876" w:rsidP="00904876" w:rsidRDefault="00904876" w14:paraId="6A588F10" w14:textId="77777777"/>
    <w:p w:rsidR="00904876" w:rsidP="00904876" w:rsidRDefault="00904876" w14:paraId="62753772" w14:textId="77777777"/>
    <w:p w:rsidRPr="009E6666" w:rsidR="00904876" w:rsidP="00904876" w:rsidRDefault="00904876" w14:paraId="497215FF" w14:textId="77777777">
      <w:pPr>
        <w:rPr>
          <w:rFonts w:ascii="Times New Roman" w:hAnsi="Times New Roman" w:cs="Times New Roman"/>
          <w:sz w:val="24"/>
          <w:szCs w:val="24"/>
        </w:rPr>
      </w:pPr>
    </w:p>
    <w:p w:rsidRPr="009E6666" w:rsidR="00904876" w:rsidP="00904876" w:rsidRDefault="00904876" w14:paraId="38C2BDD7" w14:textId="77777777">
      <w:pPr>
        <w:pBdr>
          <w:bottom w:val="single" w:color="auto" w:sz="12" w:space="1"/>
        </w:pBdr>
        <w:rPr>
          <w:rFonts w:ascii="Times New Roman" w:hAnsi="Times New Roman" w:cs="Times New Roman"/>
          <w:sz w:val="24"/>
          <w:szCs w:val="24"/>
        </w:rPr>
      </w:pPr>
    </w:p>
    <w:p w:rsidRPr="009E6666" w:rsidR="00904876" w:rsidP="00904876" w:rsidRDefault="00904876" w14:paraId="21F9B1A8" w14:textId="77777777">
      <w:pPr>
        <w:rPr>
          <w:rFonts w:ascii="Times New Roman" w:hAnsi="Times New Roman" w:cs="Times New Roman"/>
          <w:sz w:val="24"/>
          <w:szCs w:val="24"/>
        </w:rPr>
      </w:pPr>
      <w:r w:rsidRPr="009E6666">
        <w:rPr>
          <w:rFonts w:ascii="Times New Roman" w:hAnsi="Times New Roman" w:cs="Times New Roman"/>
          <w:sz w:val="24"/>
          <w:szCs w:val="24"/>
        </w:rPr>
        <w:t>Signature of Authorized Official</w:t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  <w:t>Date</w:t>
      </w:r>
    </w:p>
    <w:p w:rsidRPr="009E6666" w:rsidR="00904876" w:rsidP="00904876" w:rsidRDefault="00904876" w14:paraId="032137A0" w14:textId="77777777">
      <w:pPr>
        <w:rPr>
          <w:rFonts w:ascii="Times New Roman" w:hAnsi="Times New Roman" w:cs="Times New Roman"/>
          <w:sz w:val="24"/>
          <w:szCs w:val="24"/>
        </w:rPr>
      </w:pPr>
      <w:r w:rsidRPr="009E6666">
        <w:rPr>
          <w:rFonts w:ascii="Times New Roman" w:hAnsi="Times New Roman" w:cs="Times New Roman"/>
          <w:sz w:val="24"/>
          <w:szCs w:val="24"/>
        </w:rPr>
        <w:t>Email:</w:t>
      </w:r>
    </w:p>
    <w:p w:rsidR="000430FF" w:rsidRDefault="00904876" w14:paraId="3EFEF89E" w14:textId="6BD27C37">
      <w:r w:rsidRPr="009E6666">
        <w:rPr>
          <w:rFonts w:ascii="Times New Roman" w:hAnsi="Times New Roman" w:cs="Times New Roman"/>
          <w:sz w:val="24"/>
          <w:szCs w:val="24"/>
        </w:rPr>
        <w:t>Phone:</w:t>
      </w:r>
    </w:p>
    <w:sectPr w:rsidR="000430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99B16" w14:textId="77777777" w:rsidR="00CE0EAB" w:rsidRDefault="00CE0EAB" w:rsidP="00BD0E93">
      <w:pPr>
        <w:spacing w:after="0" w:line="240" w:lineRule="auto"/>
      </w:pPr>
      <w:r>
        <w:separator/>
      </w:r>
    </w:p>
  </w:endnote>
  <w:endnote w:type="continuationSeparator" w:id="0">
    <w:p w14:paraId="76162140" w14:textId="77777777" w:rsidR="00CE0EAB" w:rsidRDefault="00CE0EAB" w:rsidP="00BD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1F6C" w14:textId="7B37A0CF" w:rsidR="00691294" w:rsidRDefault="00691294" w:rsidP="00691294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form HUD-5884</w:t>
    </w:r>
  </w:p>
  <w:p w14:paraId="50172B18" w14:textId="0A3F61C1" w:rsidR="00691294" w:rsidRDefault="00691294">
    <w:pPr>
      <w:pStyle w:val="Footer"/>
    </w:pPr>
  </w:p>
  <w:p w14:paraId="2474A5D1" w14:textId="77777777" w:rsidR="00691294" w:rsidRDefault="00691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D96DD" w14:textId="77777777" w:rsidR="00CE0EAB" w:rsidRDefault="00CE0EAB" w:rsidP="00BD0E93">
      <w:pPr>
        <w:spacing w:after="0" w:line="240" w:lineRule="auto"/>
      </w:pPr>
      <w:r>
        <w:separator/>
      </w:r>
    </w:p>
  </w:footnote>
  <w:footnote w:type="continuationSeparator" w:id="0">
    <w:p w14:paraId="747B8E1B" w14:textId="77777777" w:rsidR="00CE0EAB" w:rsidRDefault="00CE0EAB" w:rsidP="00BD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4EB9A" w14:textId="04443305" w:rsidR="00691294" w:rsidRDefault="00691294" w:rsidP="00691294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OMB Approval No. 2577-0292</w:t>
    </w:r>
  </w:p>
  <w:p w14:paraId="329CEE9C" w14:textId="4765FBA4" w:rsidR="00691294" w:rsidRPr="00691294" w:rsidRDefault="00691294" w:rsidP="00691294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Expiration Date 12/31/2020</w:t>
    </w:r>
  </w:p>
  <w:p w14:paraId="2D7327B7" w14:textId="77777777" w:rsidR="00691294" w:rsidRDefault="00691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67EAB"/>
    <w:multiLevelType w:val="hybridMultilevel"/>
    <w:tmpl w:val="8E8AB90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7A"/>
    <w:rsid w:val="00001D73"/>
    <w:rsid w:val="00010FE1"/>
    <w:rsid w:val="00014EE2"/>
    <w:rsid w:val="00021A96"/>
    <w:rsid w:val="000430FF"/>
    <w:rsid w:val="0006183B"/>
    <w:rsid w:val="00083345"/>
    <w:rsid w:val="000B634D"/>
    <w:rsid w:val="000B7F31"/>
    <w:rsid w:val="00101C92"/>
    <w:rsid w:val="00115426"/>
    <w:rsid w:val="001A73CC"/>
    <w:rsid w:val="001B52EB"/>
    <w:rsid w:val="001D4DC9"/>
    <w:rsid w:val="001E2DA9"/>
    <w:rsid w:val="002568B9"/>
    <w:rsid w:val="00267F94"/>
    <w:rsid w:val="002711A8"/>
    <w:rsid w:val="0027637F"/>
    <w:rsid w:val="00276B7F"/>
    <w:rsid w:val="002C260B"/>
    <w:rsid w:val="002F4F6D"/>
    <w:rsid w:val="00310856"/>
    <w:rsid w:val="00310F4A"/>
    <w:rsid w:val="0032005C"/>
    <w:rsid w:val="00325B5E"/>
    <w:rsid w:val="0033432C"/>
    <w:rsid w:val="00370C04"/>
    <w:rsid w:val="00377598"/>
    <w:rsid w:val="003805D7"/>
    <w:rsid w:val="003B3251"/>
    <w:rsid w:val="003E66F1"/>
    <w:rsid w:val="00487C6F"/>
    <w:rsid w:val="00487D2C"/>
    <w:rsid w:val="004A2BD3"/>
    <w:rsid w:val="00504A9D"/>
    <w:rsid w:val="00523328"/>
    <w:rsid w:val="00541C58"/>
    <w:rsid w:val="0055342B"/>
    <w:rsid w:val="005C0EFA"/>
    <w:rsid w:val="005E4041"/>
    <w:rsid w:val="0060528D"/>
    <w:rsid w:val="0064256A"/>
    <w:rsid w:val="00652917"/>
    <w:rsid w:val="00673280"/>
    <w:rsid w:val="00691294"/>
    <w:rsid w:val="006E183B"/>
    <w:rsid w:val="006E1FBE"/>
    <w:rsid w:val="006E3132"/>
    <w:rsid w:val="006E50A6"/>
    <w:rsid w:val="006F6A8E"/>
    <w:rsid w:val="007563BF"/>
    <w:rsid w:val="007D2D77"/>
    <w:rsid w:val="007D69CC"/>
    <w:rsid w:val="00830D7C"/>
    <w:rsid w:val="008678D5"/>
    <w:rsid w:val="00893D0F"/>
    <w:rsid w:val="00897824"/>
    <w:rsid w:val="008B3ED3"/>
    <w:rsid w:val="008B7C5E"/>
    <w:rsid w:val="008E3002"/>
    <w:rsid w:val="008F62CC"/>
    <w:rsid w:val="00904876"/>
    <w:rsid w:val="00941C47"/>
    <w:rsid w:val="00975D64"/>
    <w:rsid w:val="00987A3A"/>
    <w:rsid w:val="009C3DC6"/>
    <w:rsid w:val="00A13C16"/>
    <w:rsid w:val="00A22920"/>
    <w:rsid w:val="00A55CD0"/>
    <w:rsid w:val="00A60B96"/>
    <w:rsid w:val="00A94284"/>
    <w:rsid w:val="00AC438C"/>
    <w:rsid w:val="00B01120"/>
    <w:rsid w:val="00B14DF1"/>
    <w:rsid w:val="00BC618E"/>
    <w:rsid w:val="00BD0E93"/>
    <w:rsid w:val="00BF44F3"/>
    <w:rsid w:val="00C336E2"/>
    <w:rsid w:val="00C609B4"/>
    <w:rsid w:val="00C66B63"/>
    <w:rsid w:val="00CB3734"/>
    <w:rsid w:val="00CB4708"/>
    <w:rsid w:val="00CE0EAB"/>
    <w:rsid w:val="00CF433C"/>
    <w:rsid w:val="00D1239D"/>
    <w:rsid w:val="00D62655"/>
    <w:rsid w:val="00D81235"/>
    <w:rsid w:val="00D936C0"/>
    <w:rsid w:val="00DA308E"/>
    <w:rsid w:val="00DB6998"/>
    <w:rsid w:val="00DB79CC"/>
    <w:rsid w:val="00DC43F6"/>
    <w:rsid w:val="00DD267A"/>
    <w:rsid w:val="00E374C8"/>
    <w:rsid w:val="00E70DA0"/>
    <w:rsid w:val="00E8234D"/>
    <w:rsid w:val="00E973E8"/>
    <w:rsid w:val="00EA5D39"/>
    <w:rsid w:val="00EC6472"/>
    <w:rsid w:val="00EE0CF0"/>
    <w:rsid w:val="00EF02B0"/>
    <w:rsid w:val="00EF0C65"/>
    <w:rsid w:val="00EF0E09"/>
    <w:rsid w:val="00F528EA"/>
    <w:rsid w:val="00F56A46"/>
    <w:rsid w:val="00F74653"/>
    <w:rsid w:val="00FA143F"/>
    <w:rsid w:val="00FA49D4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331F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E93"/>
  </w:style>
  <w:style w:type="paragraph" w:styleId="Footer">
    <w:name w:val="footer"/>
    <w:basedOn w:val="Normal"/>
    <w:link w:val="FooterChar"/>
    <w:uiPriority w:val="99"/>
    <w:unhideWhenUsed/>
    <w:rsid w:val="00BD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E93"/>
  </w:style>
  <w:style w:type="paragraph" w:styleId="BalloonText">
    <w:name w:val="Balloon Text"/>
    <w:basedOn w:val="Normal"/>
    <w:link w:val="BalloonTextChar"/>
    <w:uiPriority w:val="99"/>
    <w:semiHidden/>
    <w:unhideWhenUsed/>
    <w:rsid w:val="00A5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C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2D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D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438C"/>
    <w:pPr>
      <w:ind w:left="720"/>
      <w:contextualSpacing/>
    </w:pPr>
  </w:style>
  <w:style w:type="paragraph" w:styleId="Revision">
    <w:name w:val="Revision"/>
    <w:hidden/>
    <w:uiPriority w:val="99"/>
    <w:semiHidden/>
    <w:rsid w:val="00D626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2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655"/>
    <w:rPr>
      <w:b/>
      <w:bCs/>
      <w:sz w:val="20"/>
      <w:szCs w:val="20"/>
    </w:rPr>
  </w:style>
  <w:style w:type="paragraph" w:styleId="BlockText">
    <w:name w:val="Block Text"/>
    <w:basedOn w:val="Normal"/>
    <w:rsid w:val="00F56A46"/>
    <w:pPr>
      <w:overflowPunct w:val="0"/>
      <w:autoSpaceDE w:val="0"/>
      <w:autoSpaceDN w:val="0"/>
      <w:adjustRightInd w:val="0"/>
      <w:spacing w:after="60" w:line="180" w:lineRule="exact"/>
      <w:ind w:left="-115" w:right="-115"/>
      <w:jc w:val="both"/>
      <w:textAlignment w:val="baseline"/>
    </w:pPr>
    <w:rPr>
      <w:rFonts w:ascii="Arial" w:eastAsia="Times New Roman" w:hAnsi="Arial" w:cs="Times New Roman"/>
      <w:color w:val="000000"/>
      <w:sz w:val="16"/>
      <w:szCs w:val="20"/>
    </w:rPr>
  </w:style>
  <w:style w:type="paragraph" w:styleId="BodyText">
    <w:name w:val="Body Text"/>
    <w:basedOn w:val="Normal"/>
    <w:link w:val="BodyTextChar"/>
    <w:rsid w:val="00904876"/>
    <w:pPr>
      <w:keepLines/>
      <w:tabs>
        <w:tab w:val="left" w:pos="-720"/>
      </w:tabs>
      <w:suppressAutoHyphens/>
      <w:spacing w:after="200" w:line="480" w:lineRule="auto"/>
    </w:pPr>
    <w:rPr>
      <w:rFonts w:ascii="Courier" w:eastAsiaTheme="minorEastAsia" w:hAnsi="Courier"/>
    </w:rPr>
  </w:style>
  <w:style w:type="character" w:customStyle="1" w:styleId="BodyTextChar">
    <w:name w:val="Body Text Char"/>
    <w:basedOn w:val="DefaultParagraphFont"/>
    <w:link w:val="BodyText"/>
    <w:rsid w:val="00904876"/>
    <w:rPr>
      <w:rFonts w:ascii="Courier" w:eastAsiaTheme="minorEastAsia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9759-D9ED-1D42-9432-8CBC0EAB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2020-09-09T12:45:00Z</dcterms:created>
  <dcterms:modified xsi:type="dcterms:W3CDTF">2020-12-10T12:56:00Z</dcterms:modified>
</cp:coreProperties>
</file>