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1829" w:rsidP="00F04B7B" w:rsidRDefault="00F04B7B" w14:paraId="7131D91B" w14:textId="77777777">
      <w:pPr>
        <w:jc w:val="center"/>
        <w:rPr>
          <w:b/>
        </w:rPr>
      </w:pPr>
      <w:r w:rsidRPr="00B3029E">
        <w:rPr>
          <w:b/>
        </w:rPr>
        <w:t>SUPPORTING STATEMENT</w:t>
      </w:r>
    </w:p>
    <w:p w:rsidR="00812E72" w:rsidP="00812E72" w:rsidRDefault="00812E72" w14:paraId="2062DE77" w14:textId="77777777">
      <w:pPr>
        <w:tabs>
          <w:tab w:val="left" w:pos="720"/>
          <w:tab w:val="center" w:pos="4680"/>
        </w:tabs>
        <w:suppressAutoHyphens/>
        <w:rPr>
          <w:b/>
        </w:rPr>
      </w:pPr>
    </w:p>
    <w:p w:rsidR="00B95357" w:rsidP="00812E72" w:rsidRDefault="00731E23" w14:paraId="0BFD463D" w14:textId="77777777">
      <w:pPr>
        <w:tabs>
          <w:tab w:val="left" w:pos="720"/>
          <w:tab w:val="center" w:pos="4680"/>
        </w:tabs>
        <w:suppressAutoHyphens/>
      </w:pPr>
      <w:r>
        <w:t xml:space="preserve">1.  </w:t>
      </w:r>
      <w:r w:rsidR="00A26D4A">
        <w:t>The Federal Communications Commission (“Commission”) is requesting that the Office of Management and Budget (</w:t>
      </w:r>
      <w:r w:rsidR="006C62F3">
        <w:t>“</w:t>
      </w:r>
      <w:r w:rsidR="00A26D4A">
        <w:t>OMB</w:t>
      </w:r>
      <w:r w:rsidR="006C62F3">
        <w:t>”</w:t>
      </w:r>
      <w:r w:rsidR="00A26D4A">
        <w:t xml:space="preserve">) approve </w:t>
      </w:r>
      <w:r w:rsidR="00B3029E">
        <w:t>a</w:t>
      </w:r>
      <w:r w:rsidR="003346EB">
        <w:t xml:space="preserve">n extension </w:t>
      </w:r>
      <w:r w:rsidRPr="00F030A0" w:rsidR="00B3029E">
        <w:t>of the information collection titled, “Surrenders of A</w:t>
      </w:r>
      <w:r w:rsidRPr="00F030A0" w:rsidR="00A26D4A">
        <w:t>uthorizations</w:t>
      </w:r>
      <w:r w:rsidRPr="00F030A0" w:rsidR="005A0E65">
        <w:t xml:space="preserve"> </w:t>
      </w:r>
      <w:r w:rsidRPr="00F030A0" w:rsidR="00A26D4A">
        <w:t xml:space="preserve">for </w:t>
      </w:r>
      <w:r w:rsidRPr="00F030A0" w:rsidR="00B3029E">
        <w:t>I</w:t>
      </w:r>
      <w:r w:rsidRPr="00F030A0" w:rsidR="00A26D4A">
        <w:t xml:space="preserve">nternational </w:t>
      </w:r>
      <w:r w:rsidRPr="00F030A0" w:rsidR="00B3029E">
        <w:t>Carrier, Space Station and E</w:t>
      </w:r>
      <w:r w:rsidRPr="00F030A0" w:rsidR="00A26D4A">
        <w:t xml:space="preserve">arth </w:t>
      </w:r>
      <w:r w:rsidRPr="00F030A0" w:rsidR="00B3029E">
        <w:t>S</w:t>
      </w:r>
      <w:r w:rsidRPr="00F030A0" w:rsidR="00A26D4A">
        <w:t>tation</w:t>
      </w:r>
      <w:r w:rsidRPr="00F030A0" w:rsidR="002C54F7">
        <w:t xml:space="preserve"> </w:t>
      </w:r>
      <w:r w:rsidRPr="00F030A0" w:rsidR="00B3029E">
        <w:t>L</w:t>
      </w:r>
      <w:r w:rsidRPr="00F030A0" w:rsidR="002C54F7">
        <w:t>icensees</w:t>
      </w:r>
      <w:r w:rsidRPr="00F030A0" w:rsidR="00A26D4A">
        <w:t>.</w:t>
      </w:r>
      <w:r w:rsidRPr="00F030A0" w:rsidR="00B3029E">
        <w:t>”</w:t>
      </w:r>
      <w:r w:rsidRPr="00F030A0" w:rsidR="00A26D4A">
        <w:t xml:space="preserve">  </w:t>
      </w:r>
      <w:r w:rsidRPr="00F030A0" w:rsidR="005A0E65">
        <w:t xml:space="preserve">A surrender of authorization is the licensee’s voluntary cancellation of a license (or authorization) to provide international telecommunications services, such as discontinuing </w:t>
      </w:r>
      <w:r w:rsidRPr="00F030A0" w:rsidR="00654E39">
        <w:t xml:space="preserve">the </w:t>
      </w:r>
      <w:r w:rsidRPr="00F030A0" w:rsidR="005A0E65">
        <w:t xml:space="preserve">operation of a space station.  </w:t>
      </w:r>
    </w:p>
    <w:p w:rsidRPr="00F030A0" w:rsidR="005641D5" w:rsidP="00812E72" w:rsidRDefault="005641D5" w14:paraId="0E7C3ED2" w14:textId="77777777">
      <w:pPr>
        <w:tabs>
          <w:tab w:val="left" w:pos="720"/>
          <w:tab w:val="center" w:pos="4680"/>
        </w:tabs>
        <w:suppressAutoHyphens/>
      </w:pPr>
    </w:p>
    <w:p w:rsidRPr="00812E72" w:rsidR="00812E72" w:rsidP="00812E72" w:rsidRDefault="00812E72" w14:paraId="4F82BBA8" w14:textId="77777777">
      <w:pPr>
        <w:tabs>
          <w:tab w:val="left" w:pos="720"/>
          <w:tab w:val="center" w:pos="4680"/>
        </w:tabs>
        <w:suppressAutoHyphens/>
        <w:rPr>
          <w:u w:val="single"/>
        </w:rPr>
      </w:pPr>
      <w:r w:rsidRPr="00812E72">
        <w:rPr>
          <w:u w:val="single"/>
        </w:rPr>
        <w:t>Background Information</w:t>
      </w:r>
    </w:p>
    <w:p w:rsidR="00665074" w:rsidP="00A26D4A" w:rsidRDefault="00665074" w14:paraId="6565ECCD" w14:textId="77777777">
      <w:pPr>
        <w:tabs>
          <w:tab w:val="left" w:pos="720"/>
          <w:tab w:val="center" w:pos="4680"/>
        </w:tabs>
        <w:suppressAutoHyphens/>
      </w:pPr>
    </w:p>
    <w:p w:rsidR="00A26D4A" w:rsidP="00A26D4A" w:rsidRDefault="00665074" w14:paraId="123A6D56" w14:textId="77777777">
      <w:pPr>
        <w:tabs>
          <w:tab w:val="left" w:pos="720"/>
          <w:tab w:val="center" w:pos="4680"/>
        </w:tabs>
        <w:suppressAutoHyphens/>
      </w:pPr>
      <w:r>
        <w:t>T</w:t>
      </w:r>
      <w:r w:rsidR="00A26D4A">
        <w:t xml:space="preserve">his </w:t>
      </w:r>
      <w:r w:rsidR="00775A8C">
        <w:t xml:space="preserve">information collection was </w:t>
      </w:r>
      <w:r w:rsidR="00A26D4A">
        <w:t xml:space="preserve">initiated as a result of the Commission’s release of a Public Notice (DA 06-569) on March 15, 2006 titled, “International Bureau Announces New and Improved Filing Modules Within Its </w:t>
      </w:r>
      <w:r w:rsidR="00D953BD">
        <w:t>IBFS</w:t>
      </w:r>
      <w:r w:rsidR="00A26D4A">
        <w:t xml:space="preserve"> Electronic Filing System:  Surrender of Authorization and Improved Space Station Milestone Filing.”  The Public Notice announced the International Bureau’s launching of an </w:t>
      </w:r>
      <w:r w:rsidR="006C62F3">
        <w:t>electronic (“</w:t>
      </w:r>
      <w:r w:rsidR="00A26D4A">
        <w:t>e-filing</w:t>
      </w:r>
      <w:r w:rsidR="006C62F3">
        <w:t>”)</w:t>
      </w:r>
      <w:r w:rsidR="00A26D4A">
        <w:t xml:space="preserve"> module for surrendering authorizations and an improved milestone filing module for satellite space stations within its </w:t>
      </w:r>
      <w:r w:rsidR="00D953BD">
        <w:t>IBFS</w:t>
      </w:r>
      <w:r w:rsidR="00A26D4A">
        <w:t xml:space="preserve"> consolidated licensing and electronic filing system.  (Note:  The OMB approved the electronic filing of milestones under OMB Control No. 3060-</w:t>
      </w:r>
      <w:r w:rsidR="000C2EAE">
        <w:t>0678</w:t>
      </w:r>
      <w:r w:rsidR="00A26D4A">
        <w:t>).</w:t>
      </w:r>
    </w:p>
    <w:p w:rsidR="007A659A" w:rsidP="00A26D4A" w:rsidRDefault="007A659A" w14:paraId="66812F31" w14:textId="77777777">
      <w:pPr>
        <w:tabs>
          <w:tab w:val="left" w:pos="720"/>
          <w:tab w:val="center" w:pos="4680"/>
        </w:tabs>
        <w:suppressAutoHyphens/>
      </w:pPr>
    </w:p>
    <w:p w:rsidR="005F4356" w:rsidP="00A26D4A" w:rsidRDefault="00133BCC" w14:paraId="04FC586D" w14:textId="77777777">
      <w:pPr>
        <w:tabs>
          <w:tab w:val="left" w:pos="720"/>
          <w:tab w:val="center" w:pos="4680"/>
        </w:tabs>
        <w:suppressAutoHyphens/>
      </w:pPr>
      <w:r>
        <w:t xml:space="preserve">Before </w:t>
      </w:r>
      <w:r w:rsidR="001D29CA">
        <w:t xml:space="preserve">IBFS was modified to include the </w:t>
      </w:r>
      <w:r w:rsidR="0036626E">
        <w:t xml:space="preserve">e-filing </w:t>
      </w:r>
      <w:r w:rsidR="001D29CA">
        <w:t xml:space="preserve">module, licensees notified the Commission of surrenders of authorizations by letter.  This was a time-consuming process for Commission staff because numerous surrenders of authorization may be included in one letter and, therefore, required careful review by the staff to ensure that all surrenders of authorizations were announced to the public via Public Notice.  Furthermore, </w:t>
      </w:r>
      <w:r w:rsidR="00D5585C">
        <w:t xml:space="preserve">the Commission has experienced periodic disruptions of regular mail delivery due to the threat of contamination.  These disruptions caused delays up to fourteen days in the processing of applicants’ mailed filings.  </w:t>
      </w:r>
    </w:p>
    <w:p w:rsidR="001D29CA" w:rsidP="00A26D4A" w:rsidRDefault="00D5585C" w14:paraId="5FD8F71B" w14:textId="77777777">
      <w:pPr>
        <w:tabs>
          <w:tab w:val="left" w:pos="720"/>
          <w:tab w:val="center" w:pos="4680"/>
        </w:tabs>
        <w:suppressAutoHyphens/>
      </w:pPr>
      <w:r>
        <w:t xml:space="preserve">E-filing eliminates the problems associated with the </w:t>
      </w:r>
      <w:r w:rsidR="00941FA4">
        <w:t xml:space="preserve">Commission’s delayed receipt of </w:t>
      </w:r>
      <w:r>
        <w:t>surrenders of authorizations</w:t>
      </w:r>
      <w:r w:rsidR="00941FA4">
        <w:t xml:space="preserve"> by mail</w:t>
      </w:r>
      <w:r>
        <w:t>.</w:t>
      </w:r>
    </w:p>
    <w:p w:rsidR="00D5585C" w:rsidP="00A26D4A" w:rsidRDefault="00D5585C" w14:paraId="218CB8C7" w14:textId="77777777">
      <w:pPr>
        <w:tabs>
          <w:tab w:val="left" w:pos="720"/>
          <w:tab w:val="center" w:pos="4680"/>
        </w:tabs>
        <w:suppressAutoHyphens/>
      </w:pPr>
    </w:p>
    <w:p w:rsidR="00654E39" w:rsidP="00A26D4A" w:rsidRDefault="00654E39" w14:paraId="2E996856" w14:textId="77777777">
      <w:pPr>
        <w:tabs>
          <w:tab w:val="left" w:pos="720"/>
          <w:tab w:val="center" w:pos="4680"/>
        </w:tabs>
        <w:suppressAutoHyphens/>
      </w:pPr>
      <w:r>
        <w:t>E-filing has numerous benefits for licensees, Commission staff and the general public.</w:t>
      </w:r>
    </w:p>
    <w:p w:rsidR="001D29CA" w:rsidP="00A26D4A" w:rsidRDefault="00654E39" w14:paraId="4E446E01" w14:textId="77777777">
      <w:pPr>
        <w:tabs>
          <w:tab w:val="left" w:pos="720"/>
          <w:tab w:val="center" w:pos="4680"/>
        </w:tabs>
        <w:suppressAutoHyphens/>
      </w:pPr>
      <w:r>
        <w:t>For instance, t</w:t>
      </w:r>
      <w:r w:rsidR="001D29CA">
        <w:t>he e-filing module allows licensees to mak</w:t>
      </w:r>
      <w:r w:rsidR="00A36F0F">
        <w:t>e filings more rapidly and efficien</w:t>
      </w:r>
      <w:r w:rsidR="001D29CA">
        <w:t xml:space="preserve">tly than the paper filing option.  E-filing eliminates the delays associated with manual processing for Commission staff.  The information is available immediately to Commission staff and members of the public without the need for staff to scan or otherwise convert paper filings into computerized form.  </w:t>
      </w:r>
      <w:r w:rsidR="005205AE">
        <w:t xml:space="preserve">Furthermore, </w:t>
      </w:r>
      <w:r w:rsidR="00E3144F">
        <w:t>e</w:t>
      </w:r>
      <w:r w:rsidR="005205AE">
        <w:t>-filing th</w:t>
      </w:r>
      <w:r w:rsidR="00BE1F27">
        <w:t>r</w:t>
      </w:r>
      <w:r w:rsidR="005205AE">
        <w:t xml:space="preserve">ough </w:t>
      </w:r>
      <w:r w:rsidR="00D953BD">
        <w:t>IBFS</w:t>
      </w:r>
      <w:r w:rsidR="005205AE">
        <w:t xml:space="preserve"> makes applications almost immediately available to interested parties and the general public over the Internet.  </w:t>
      </w:r>
      <w:r w:rsidR="00800949">
        <w:t>The availability of this information 24 hours a day</w:t>
      </w:r>
      <w:r w:rsidR="00EE49FF">
        <w:t xml:space="preserve"> and</w:t>
      </w:r>
      <w:r w:rsidR="00295F05">
        <w:t xml:space="preserve"> </w:t>
      </w:r>
      <w:r w:rsidR="00800949">
        <w:t>7 days a week is important to keep the public informed of the discontinuance of international telecommunications services.</w:t>
      </w:r>
    </w:p>
    <w:p w:rsidR="003C11C8" w:rsidP="00A26D4A" w:rsidRDefault="003C11C8" w14:paraId="323CF022" w14:textId="77777777">
      <w:pPr>
        <w:tabs>
          <w:tab w:val="left" w:pos="720"/>
          <w:tab w:val="center" w:pos="4680"/>
        </w:tabs>
        <w:suppressAutoHyphens/>
      </w:pPr>
    </w:p>
    <w:p w:rsidR="00E46F12" w:rsidP="00A26D4A" w:rsidRDefault="003C11C8" w14:paraId="66D52509" w14:textId="77777777">
      <w:pPr>
        <w:tabs>
          <w:tab w:val="left" w:pos="720"/>
          <w:tab w:val="center" w:pos="4680"/>
        </w:tabs>
        <w:suppressAutoHyphens/>
      </w:pPr>
      <w:r>
        <w:t>There are no specific Commission rules pertaining to surrenders of authorizations because it is voluntary on the part of the licensee.</w:t>
      </w:r>
      <w:r w:rsidR="00677DE8">
        <w:t xml:space="preserve">  However, the Commission established policies for </w:t>
      </w:r>
      <w:r w:rsidR="00F46468">
        <w:t xml:space="preserve">processing </w:t>
      </w:r>
      <w:r w:rsidR="00677DE8">
        <w:t xml:space="preserve">surrenders of authorizations </w:t>
      </w:r>
      <w:r w:rsidR="00F46468">
        <w:t xml:space="preserve">electronically </w:t>
      </w:r>
      <w:r w:rsidR="00677DE8">
        <w:t>as stated in the Public Notice (DA 06-569).</w:t>
      </w:r>
      <w:r w:rsidR="00512468">
        <w:t xml:space="preserve">  Additionally, 47 CFR 1.1006 pertains to electronic filing of applications in the International Bureau Filing System (IBFS)</w:t>
      </w:r>
      <w:r w:rsidR="002F49F5">
        <w:t xml:space="preserve">. </w:t>
      </w:r>
    </w:p>
    <w:p w:rsidR="002F49F5" w:rsidP="00A26D4A" w:rsidRDefault="002F49F5" w14:paraId="19FABE90" w14:textId="77777777">
      <w:pPr>
        <w:tabs>
          <w:tab w:val="left" w:pos="720"/>
          <w:tab w:val="center" w:pos="4680"/>
        </w:tabs>
        <w:suppressAutoHyphens/>
      </w:pPr>
    </w:p>
    <w:p w:rsidR="00677DE8" w:rsidP="00A26D4A" w:rsidRDefault="00512468" w14:paraId="436D4A31" w14:textId="77777777">
      <w:pPr>
        <w:tabs>
          <w:tab w:val="left" w:pos="720"/>
          <w:tab w:val="center" w:pos="4680"/>
        </w:tabs>
        <w:suppressAutoHyphens/>
      </w:pPr>
      <w:r>
        <w:t>47 CFR 63.20 and 47 CFR 63.53 address electronic filing of Section 214-related applications.</w:t>
      </w:r>
    </w:p>
    <w:p w:rsidR="0073795D" w:rsidP="00A26D4A" w:rsidRDefault="0073795D" w14:paraId="52C41643" w14:textId="77777777">
      <w:pPr>
        <w:tabs>
          <w:tab w:val="left" w:pos="720"/>
          <w:tab w:val="center" w:pos="4680"/>
        </w:tabs>
        <w:suppressAutoHyphens/>
      </w:pPr>
    </w:p>
    <w:p w:rsidR="0073795D" w:rsidP="00A26D4A" w:rsidRDefault="0073795D" w14:paraId="4796E7B9" w14:textId="77777777">
      <w:pPr>
        <w:tabs>
          <w:tab w:val="left" w:pos="720"/>
          <w:tab w:val="center" w:pos="4680"/>
        </w:tabs>
        <w:suppressAutoHyphens/>
      </w:pPr>
      <w:r>
        <w:t>The statutory authority for this information collection is contained in 47 U.S.C. Sections 154(i), 157(a), 161, 303(c), 303(f), 303(g) and 303(r).</w:t>
      </w:r>
    </w:p>
    <w:p w:rsidR="003C11C8" w:rsidP="00A26D4A" w:rsidRDefault="00677DE8" w14:paraId="034486D1" w14:textId="77777777">
      <w:pPr>
        <w:tabs>
          <w:tab w:val="left" w:pos="720"/>
          <w:tab w:val="center" w:pos="4680"/>
        </w:tabs>
        <w:suppressAutoHyphens/>
        <w:rPr>
          <w:vanish/>
        </w:rPr>
      </w:pPr>
      <w:r>
        <w:rPr>
          <w:vanish/>
        </w:rPr>
        <w:t>ow</w:t>
      </w:r>
    </w:p>
    <w:p w:rsidR="00677DE8" w:rsidP="00A26D4A" w:rsidRDefault="00677DE8" w14:paraId="76F4B4E6" w14:textId="77777777">
      <w:pPr>
        <w:tabs>
          <w:tab w:val="left" w:pos="720"/>
          <w:tab w:val="center" w:pos="4680"/>
        </w:tabs>
        <w:suppressAutoHyphens/>
        <w:rPr>
          <w:vanish/>
        </w:rPr>
      </w:pPr>
    </w:p>
    <w:p w:rsidR="00677DE8" w:rsidP="00A26D4A" w:rsidRDefault="00677DE8" w14:paraId="24CCC582" w14:textId="77777777">
      <w:pPr>
        <w:tabs>
          <w:tab w:val="left" w:pos="720"/>
          <w:tab w:val="center" w:pos="4680"/>
        </w:tabs>
        <w:suppressAutoHyphens/>
        <w:rPr>
          <w:vanish/>
        </w:rPr>
      </w:pPr>
    </w:p>
    <w:p w:rsidR="00677DE8" w:rsidP="00A26D4A" w:rsidRDefault="00677DE8" w14:paraId="5EC1D0A2" w14:textId="77777777">
      <w:pPr>
        <w:tabs>
          <w:tab w:val="left" w:pos="720"/>
          <w:tab w:val="center" w:pos="4680"/>
        </w:tabs>
        <w:suppressAutoHyphens/>
        <w:rPr>
          <w:vanish/>
        </w:rPr>
      </w:pPr>
    </w:p>
    <w:p w:rsidR="00677DE8" w:rsidP="00A26D4A" w:rsidRDefault="00677DE8" w14:paraId="4C6DD0D6" w14:textId="77777777">
      <w:pPr>
        <w:tabs>
          <w:tab w:val="left" w:pos="720"/>
          <w:tab w:val="center" w:pos="4680"/>
        </w:tabs>
        <w:suppressAutoHyphens/>
        <w:rPr>
          <w:vanish/>
        </w:rPr>
      </w:pPr>
    </w:p>
    <w:p w:rsidRPr="00677DE8" w:rsidR="00677DE8" w:rsidP="00A26D4A" w:rsidRDefault="00677DE8" w14:paraId="2BF1707E" w14:textId="77777777">
      <w:pPr>
        <w:tabs>
          <w:tab w:val="left" w:pos="720"/>
          <w:tab w:val="center" w:pos="4680"/>
        </w:tabs>
        <w:suppressAutoHyphens/>
        <w:rPr>
          <w:vanish/>
        </w:rPr>
      </w:pPr>
    </w:p>
    <w:p w:rsidR="0061096D" w:rsidP="00A26D4A" w:rsidRDefault="0061096D" w14:paraId="687567F0" w14:textId="77777777">
      <w:pPr>
        <w:tabs>
          <w:tab w:val="left" w:pos="720"/>
          <w:tab w:val="center" w:pos="4680"/>
        </w:tabs>
        <w:suppressAutoHyphens/>
      </w:pPr>
    </w:p>
    <w:p w:rsidR="0061096D" w:rsidP="0061096D" w:rsidRDefault="00B50D05" w14:paraId="7B215E0A" w14:textId="77777777">
      <w:r>
        <w:t>Th</w:t>
      </w:r>
      <w:r w:rsidR="0061096D">
        <w:t>is information collection does not affect individuals or households; thus there are no impacts under Privacy Act.</w:t>
      </w:r>
    </w:p>
    <w:p w:rsidR="006071D9" w:rsidP="00A26D4A" w:rsidRDefault="006071D9" w14:paraId="4A21AF80" w14:textId="77777777">
      <w:pPr>
        <w:tabs>
          <w:tab w:val="left" w:pos="720"/>
          <w:tab w:val="center" w:pos="4680"/>
        </w:tabs>
        <w:suppressAutoHyphens/>
      </w:pPr>
    </w:p>
    <w:p w:rsidR="00564E71" w:rsidP="00A26D4A" w:rsidRDefault="00564E71" w14:paraId="0956A3BC" w14:textId="77777777">
      <w:pPr>
        <w:tabs>
          <w:tab w:val="left" w:pos="720"/>
          <w:tab w:val="center" w:pos="4680"/>
        </w:tabs>
        <w:suppressAutoHyphens/>
      </w:pPr>
      <w:r>
        <w:t>2.</w:t>
      </w:r>
      <w:r w:rsidR="006340B5">
        <w:t xml:space="preserve">    Licensees file surrenders of authorizations </w:t>
      </w:r>
      <w:r w:rsidR="00D9500A">
        <w:t xml:space="preserve">with the Commission on a voluntary basis.  This information is used by Commission staff to </w:t>
      </w:r>
      <w:r w:rsidR="00582034">
        <w:t xml:space="preserve">issue Public Notices to </w:t>
      </w:r>
      <w:r w:rsidR="00D9500A">
        <w:t xml:space="preserve">announce the surrenders of authorization to the general public.  </w:t>
      </w:r>
      <w:r w:rsidR="00820C11">
        <w:t xml:space="preserve">The Commission’s release of Public Notices is critical to keeping </w:t>
      </w:r>
      <w:r w:rsidR="00D9500A">
        <w:t>the general public abreast of the licensees’ discontinuance of telecommunications services.</w:t>
      </w:r>
    </w:p>
    <w:p w:rsidR="00564E71" w:rsidP="00A26D4A" w:rsidRDefault="00564E71" w14:paraId="5BD41BCB" w14:textId="77777777">
      <w:pPr>
        <w:tabs>
          <w:tab w:val="left" w:pos="720"/>
          <w:tab w:val="center" w:pos="4680"/>
        </w:tabs>
        <w:suppressAutoHyphens/>
      </w:pPr>
    </w:p>
    <w:p w:rsidR="0098748B" w:rsidP="00A26D4A" w:rsidRDefault="00564E71" w14:paraId="733B12EF" w14:textId="77777777">
      <w:pPr>
        <w:tabs>
          <w:tab w:val="left" w:pos="720"/>
          <w:tab w:val="center" w:pos="4680"/>
        </w:tabs>
        <w:suppressAutoHyphens/>
      </w:pPr>
      <w:r>
        <w:t xml:space="preserve">3.    </w:t>
      </w:r>
      <w:r w:rsidR="00B42924">
        <w:t xml:space="preserve">This Supporting Statement reflects that a total of </w:t>
      </w:r>
      <w:r w:rsidR="00424E61">
        <w:t xml:space="preserve">95 </w:t>
      </w:r>
      <w:r w:rsidR="00B42924">
        <w:t xml:space="preserve">percent </w:t>
      </w:r>
      <w:r w:rsidR="00525060">
        <w:t xml:space="preserve">of all licensees file surrenders of authorization </w:t>
      </w:r>
      <w:r w:rsidR="00B42924">
        <w:t>with the Commission electronically</w:t>
      </w:r>
      <w:r w:rsidRPr="00B15305" w:rsidR="00B15305">
        <w:t xml:space="preserve"> </w:t>
      </w:r>
      <w:r w:rsidR="00133BCC">
        <w:t xml:space="preserve">in the </w:t>
      </w:r>
      <w:r w:rsidR="00B15305">
        <w:t>IBFS electronic filing system</w:t>
      </w:r>
      <w:r w:rsidR="00B42924">
        <w:t>.</w:t>
      </w:r>
      <w:r w:rsidR="0057149D">
        <w:t xml:space="preserve">  </w:t>
      </w:r>
      <w:r w:rsidR="00E07941">
        <w:t>Appro</w:t>
      </w:r>
      <w:r w:rsidR="00525060">
        <w:t xml:space="preserve">ximately 5 percent of surrenders of authorization </w:t>
      </w:r>
      <w:r w:rsidR="00E07941">
        <w:t xml:space="preserve">are filed with the Commission in paper form.  </w:t>
      </w:r>
    </w:p>
    <w:p w:rsidR="00473068" w:rsidP="00A26D4A" w:rsidRDefault="00473068" w14:paraId="3C525302" w14:textId="77777777">
      <w:pPr>
        <w:tabs>
          <w:tab w:val="left" w:pos="720"/>
          <w:tab w:val="center" w:pos="4680"/>
        </w:tabs>
        <w:suppressAutoHyphens/>
      </w:pPr>
    </w:p>
    <w:p w:rsidR="00063F13" w:rsidP="00063F13" w:rsidRDefault="00063F13" w14:paraId="3D475B0E" w14:textId="77777777">
      <w:r>
        <w:t>4.   The agency does not impose similar information collection requirements on the respondents.</w:t>
      </w:r>
    </w:p>
    <w:p w:rsidR="00063F13" w:rsidP="00063F13" w:rsidRDefault="00063F13" w14:paraId="757CEE11" w14:textId="77777777"/>
    <w:p w:rsidR="00063F13" w:rsidP="00063F13" w:rsidRDefault="00063F13" w14:paraId="54C5F50A" w14:textId="77777777">
      <w:r>
        <w:t>5.   In conformance with the PRA, the Commission is making an effort to minimize the burden on all respondents, regardless of size.  The Commission has limited the information collection requirements to those that are absolutely necessary fo</w:t>
      </w:r>
      <w:r w:rsidR="003F1A84">
        <w:t>r evaluating and processing surrenders of authorizations</w:t>
      </w:r>
      <w:r>
        <w:t>.  This informa</w:t>
      </w:r>
      <w:r w:rsidR="00440B0E">
        <w:t xml:space="preserve">tion collection does not have a </w:t>
      </w:r>
      <w:r w:rsidR="00BB2184">
        <w:t xml:space="preserve">substantial </w:t>
      </w:r>
      <w:r>
        <w:t>impact on small entities.</w:t>
      </w:r>
    </w:p>
    <w:p w:rsidR="00407568" w:rsidP="00063F13" w:rsidRDefault="00407568" w14:paraId="49566C01" w14:textId="77777777"/>
    <w:p w:rsidR="000B67E9" w:rsidP="000B67E9" w:rsidRDefault="000B67E9" w14:paraId="137A475F" w14:textId="77777777">
      <w:pPr>
        <w:tabs>
          <w:tab w:val="left" w:pos="720"/>
          <w:tab w:val="center" w:pos="4680"/>
        </w:tabs>
        <w:suppressAutoHyphens/>
      </w:pPr>
      <w:r>
        <w:t xml:space="preserve">6.   Without this collection of information, licensees would be required to submit surrenders of authorizations to the Commission by letter which is more time consuming than submitting such requests to the Commission electronically.  In addition, Commission staff would spend an extensive amount of time processing surrenders of authorizations received by letter.  The collection of information saves time for both licensees and Commission staff since they are received in </w:t>
      </w:r>
      <w:r w:rsidR="00D953BD">
        <w:t>IBFS</w:t>
      </w:r>
      <w:r>
        <w:t xml:space="preserve"> electronically and include only the information that is essential to process the requests in a timely manner.  Furthermore, the e-filing module expedites the Commission staff’s announcement of surrenders of authorizations via Public Notice.</w:t>
      </w:r>
    </w:p>
    <w:p w:rsidR="00A30A15" w:rsidP="0075413E" w:rsidRDefault="00A30A15" w14:paraId="5510B54B" w14:textId="77777777"/>
    <w:p w:rsidR="0075413E" w:rsidP="0075413E" w:rsidRDefault="0075413E" w14:paraId="7D07D768" w14:textId="77777777">
      <w:r>
        <w:t xml:space="preserve">7.   The </w:t>
      </w:r>
      <w:r w:rsidR="0073795D">
        <w:t>information collection</w:t>
      </w:r>
      <w:r>
        <w:t xml:space="preserve"> does not propose any new or amended information collection requirements that are not consistent with the general information collection guidelines in 5 CFR § 1320.</w:t>
      </w:r>
    </w:p>
    <w:p w:rsidR="002107B8" w:rsidP="0075413E" w:rsidRDefault="002107B8" w14:paraId="30DFB6D4" w14:textId="77777777"/>
    <w:p w:rsidR="0075413E" w:rsidP="0075413E" w:rsidRDefault="0075413E" w14:paraId="1175BB36" w14:textId="1066BC12">
      <w:r>
        <w:t>8.   On</w:t>
      </w:r>
      <w:r w:rsidR="00825C47">
        <w:t xml:space="preserve"> </w:t>
      </w:r>
      <w:r w:rsidR="00306B18">
        <w:t>July 12, 2021</w:t>
      </w:r>
      <w:r w:rsidR="00780DCA">
        <w:t xml:space="preserve">, </w:t>
      </w:r>
      <w:r>
        <w:t xml:space="preserve">the Commission </w:t>
      </w:r>
      <w:r w:rsidR="0017405B">
        <w:t xml:space="preserve">published a 60-day notice in the Federal Register </w:t>
      </w:r>
      <w:r w:rsidR="008A4918">
        <w:t>(</w:t>
      </w:r>
      <w:r w:rsidR="00306B18">
        <w:t xml:space="preserve">86 </w:t>
      </w:r>
      <w:r w:rsidR="008A4918">
        <w:t xml:space="preserve">FR </w:t>
      </w:r>
      <w:r w:rsidR="00306B18">
        <w:t>36547</w:t>
      </w:r>
      <w:r w:rsidR="00787630">
        <w:t xml:space="preserve">) </w:t>
      </w:r>
      <w:r w:rsidR="005118E3">
        <w:t xml:space="preserve">in order </w:t>
      </w:r>
      <w:r w:rsidR="0017405B">
        <w:t xml:space="preserve">to solicit </w:t>
      </w:r>
      <w:r w:rsidRPr="00F030A0" w:rsidR="0017405B">
        <w:t>comments from the public</w:t>
      </w:r>
      <w:r w:rsidRPr="00F030A0" w:rsidR="00B12051">
        <w:t xml:space="preserve"> on the information collection requirements contained in this collection</w:t>
      </w:r>
      <w:r w:rsidRPr="00F030A0" w:rsidR="0017405B">
        <w:t xml:space="preserve">.  </w:t>
      </w:r>
      <w:r w:rsidR="0017405B">
        <w:t>No comments were received from the public.</w:t>
      </w:r>
    </w:p>
    <w:p w:rsidR="0017405B" w:rsidP="0075413E" w:rsidRDefault="0017405B" w14:paraId="6C9BB213" w14:textId="77777777"/>
    <w:p w:rsidR="00DC020B" w:rsidP="00DC020B" w:rsidRDefault="006A78AB" w14:paraId="2C0B6A3B" w14:textId="77777777">
      <w:r>
        <w:t>9.      The r</w:t>
      </w:r>
      <w:r w:rsidR="00DC020B">
        <w:t>espondents will not receive any payments or gifts.</w:t>
      </w:r>
    </w:p>
    <w:p w:rsidR="00DC020B" w:rsidP="00DC020B" w:rsidRDefault="00DC020B" w14:paraId="4CF71F7E" w14:textId="77777777"/>
    <w:p w:rsidR="00DC020B" w:rsidP="00DC020B" w:rsidRDefault="006A78AB" w14:paraId="3F7FF83E" w14:textId="77777777">
      <w:r>
        <w:t xml:space="preserve">10.    </w:t>
      </w:r>
      <w:r w:rsidR="00DC020B">
        <w:t>There is no need for confidentiality</w:t>
      </w:r>
      <w:r w:rsidR="0073795D">
        <w:t xml:space="preserve"> with this information collection</w:t>
      </w:r>
      <w:r w:rsidR="00DC020B">
        <w:t>.</w:t>
      </w:r>
    </w:p>
    <w:p w:rsidR="00DC020B" w:rsidP="00DC020B" w:rsidRDefault="00DC020B" w14:paraId="2B6349B4" w14:textId="77777777"/>
    <w:p w:rsidR="00DC020B" w:rsidP="00DC020B" w:rsidRDefault="006A78AB" w14:paraId="1B0F3671" w14:textId="77777777">
      <w:r>
        <w:t xml:space="preserve">11.     </w:t>
      </w:r>
      <w:r w:rsidR="00DC020B">
        <w:t>This information collection does not address any matters of a private or sensitive nature.</w:t>
      </w:r>
    </w:p>
    <w:p w:rsidR="00DC020B" w:rsidP="00DC020B" w:rsidRDefault="00DC020B" w14:paraId="31A83B6F" w14:textId="77777777">
      <w:pPr>
        <w:tabs>
          <w:tab w:val="left" w:pos="-720"/>
        </w:tabs>
        <w:suppressAutoHyphens/>
        <w:rPr>
          <w:spacing w:val="-3"/>
        </w:rPr>
      </w:pPr>
    </w:p>
    <w:p w:rsidR="00DC020B" w:rsidP="00DC020B" w:rsidRDefault="00266483" w14:paraId="1DFCD583" w14:textId="77777777">
      <w:pPr>
        <w:tabs>
          <w:tab w:val="left" w:pos="-720"/>
        </w:tabs>
        <w:suppressAutoHyphens/>
        <w:rPr>
          <w:spacing w:val="-3"/>
        </w:rPr>
      </w:pPr>
      <w:r>
        <w:rPr>
          <w:spacing w:val="-3"/>
        </w:rPr>
        <w:t xml:space="preserve">12.  </w:t>
      </w:r>
      <w:r w:rsidR="00624485">
        <w:rPr>
          <w:spacing w:val="-3"/>
          <w:u w:val="single"/>
        </w:rPr>
        <w:t xml:space="preserve">Total Estimate of Annual Respondents and </w:t>
      </w:r>
      <w:r w:rsidR="0082545E">
        <w:rPr>
          <w:spacing w:val="-3"/>
          <w:u w:val="single"/>
        </w:rPr>
        <w:t xml:space="preserve">Annual </w:t>
      </w:r>
      <w:r w:rsidR="00624485">
        <w:rPr>
          <w:spacing w:val="-3"/>
          <w:u w:val="single"/>
        </w:rPr>
        <w:t>Burden Hours</w:t>
      </w:r>
      <w:r w:rsidR="00DC020B">
        <w:rPr>
          <w:spacing w:val="-3"/>
        </w:rPr>
        <w:t>:</w:t>
      </w:r>
    </w:p>
    <w:p w:rsidR="00DC020B" w:rsidP="00DC020B" w:rsidRDefault="00DC020B" w14:paraId="0797C14F" w14:textId="77777777">
      <w:pPr>
        <w:tabs>
          <w:tab w:val="left" w:pos="-720"/>
        </w:tabs>
        <w:suppressAutoHyphens/>
        <w:rPr>
          <w:spacing w:val="-3"/>
        </w:rPr>
      </w:pPr>
    </w:p>
    <w:p w:rsidR="00257626" w:rsidP="00DC020B" w:rsidRDefault="00257626" w14:paraId="63DFA872" w14:textId="77777777">
      <w:pPr>
        <w:tabs>
          <w:tab w:val="left" w:pos="-720"/>
        </w:tabs>
        <w:suppressAutoHyphens/>
        <w:rPr>
          <w:spacing w:val="-3"/>
        </w:rPr>
      </w:pPr>
      <w:r>
        <w:rPr>
          <w:spacing w:val="-3"/>
        </w:rPr>
        <w:t xml:space="preserve">This Supporting Statement reflects </w:t>
      </w:r>
      <w:r w:rsidRPr="00B12051">
        <w:rPr>
          <w:b/>
          <w:spacing w:val="-3"/>
        </w:rPr>
        <w:t>8 respondents</w:t>
      </w:r>
      <w:r w:rsidR="00214967">
        <w:rPr>
          <w:rStyle w:val="FootnoteReference"/>
          <w:b/>
          <w:spacing w:val="-3"/>
        </w:rPr>
        <w:footnoteReference w:id="1"/>
      </w:r>
      <w:r w:rsidR="00B12051">
        <w:rPr>
          <w:spacing w:val="-3"/>
        </w:rPr>
        <w:t xml:space="preserve"> and </w:t>
      </w:r>
      <w:r w:rsidRPr="00B12051" w:rsidR="00B12051">
        <w:rPr>
          <w:b/>
          <w:spacing w:val="-3"/>
        </w:rPr>
        <w:t xml:space="preserve">8 </w:t>
      </w:r>
      <w:r>
        <w:rPr>
          <w:spacing w:val="-3"/>
        </w:rPr>
        <w:t>Section 214 surrenders of authorization</w:t>
      </w:r>
      <w:r w:rsidR="00B12051">
        <w:rPr>
          <w:spacing w:val="-3"/>
        </w:rPr>
        <w:t xml:space="preserve"> filings</w:t>
      </w:r>
      <w:r>
        <w:rPr>
          <w:spacing w:val="-3"/>
        </w:rPr>
        <w:t>.</w:t>
      </w:r>
    </w:p>
    <w:p w:rsidR="00CC4973" w:rsidP="00DC020B" w:rsidRDefault="00CC4973" w14:paraId="164E18D3" w14:textId="77777777">
      <w:pPr>
        <w:tabs>
          <w:tab w:val="left" w:pos="-720"/>
        </w:tabs>
        <w:suppressAutoHyphens/>
        <w:rPr>
          <w:spacing w:val="-3"/>
        </w:rPr>
      </w:pPr>
    </w:p>
    <w:p w:rsidR="00DC020B" w:rsidP="00DC020B" w:rsidRDefault="00DC020B" w14:paraId="4D1B1059" w14:textId="77777777">
      <w:pPr>
        <w:tabs>
          <w:tab w:val="left" w:pos="-720"/>
        </w:tabs>
        <w:suppressAutoHyphens/>
        <w:rPr>
          <w:spacing w:val="-3"/>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48"/>
        <w:gridCol w:w="1890"/>
        <w:gridCol w:w="1440"/>
        <w:gridCol w:w="1350"/>
        <w:gridCol w:w="1260"/>
      </w:tblGrid>
      <w:tr w:rsidR="00DC020B" w14:paraId="742374D4" w14:textId="77777777">
        <w:tblPrEx>
          <w:tblCellMar>
            <w:top w:w="0" w:type="dxa"/>
            <w:bottom w:w="0" w:type="dxa"/>
          </w:tblCellMar>
        </w:tblPrEx>
        <w:tc>
          <w:tcPr>
            <w:tcW w:w="3348" w:type="dxa"/>
            <w:shd w:val="clear" w:color="auto" w:fill="C0C0C0"/>
          </w:tcPr>
          <w:p w:rsidR="00DC020B" w:rsidP="00DC020B" w:rsidRDefault="00DC020B" w14:paraId="224EFAEE" w14:textId="77777777">
            <w:pPr>
              <w:jc w:val="center"/>
              <w:rPr>
                <w:b/>
              </w:rPr>
            </w:pPr>
          </w:p>
          <w:p w:rsidR="00DC020B" w:rsidP="00DC020B" w:rsidRDefault="00DC020B" w14:paraId="4AFD32B5" w14:textId="77777777">
            <w:pPr>
              <w:jc w:val="center"/>
              <w:rPr>
                <w:b/>
              </w:rPr>
            </w:pPr>
          </w:p>
          <w:p w:rsidR="00DC020B" w:rsidP="00DC020B" w:rsidRDefault="00DC020B" w14:paraId="6E8F3712" w14:textId="77777777">
            <w:pPr>
              <w:jc w:val="center"/>
              <w:rPr>
                <w:b/>
              </w:rPr>
            </w:pPr>
            <w:r>
              <w:rPr>
                <w:b/>
              </w:rPr>
              <w:t xml:space="preserve">Explanation </w:t>
            </w:r>
          </w:p>
          <w:p w:rsidR="00DC020B" w:rsidP="00DC020B" w:rsidRDefault="00DC020B" w14:paraId="0740AE45" w14:textId="77777777">
            <w:pPr>
              <w:jc w:val="center"/>
              <w:rPr>
                <w:b/>
              </w:rPr>
            </w:pPr>
            <w:r>
              <w:rPr>
                <w:b/>
              </w:rPr>
              <w:t>of Burden Estimate</w:t>
            </w:r>
          </w:p>
        </w:tc>
        <w:tc>
          <w:tcPr>
            <w:tcW w:w="1890" w:type="dxa"/>
            <w:shd w:val="clear" w:color="auto" w:fill="C0C0C0"/>
          </w:tcPr>
          <w:p w:rsidR="00DC020B" w:rsidP="00DC020B" w:rsidRDefault="00DC020B" w14:paraId="576A42F0" w14:textId="77777777">
            <w:pPr>
              <w:jc w:val="center"/>
              <w:rPr>
                <w:b/>
              </w:rPr>
            </w:pPr>
          </w:p>
          <w:p w:rsidR="00DC020B" w:rsidP="00DC020B" w:rsidRDefault="00DC020B" w14:paraId="2296E208" w14:textId="77777777">
            <w:pPr>
              <w:jc w:val="center"/>
              <w:rPr>
                <w:b/>
              </w:rPr>
            </w:pPr>
          </w:p>
          <w:p w:rsidR="00DC020B" w:rsidP="00DC020B" w:rsidRDefault="00DC020B" w14:paraId="116A1584" w14:textId="77777777">
            <w:pPr>
              <w:jc w:val="center"/>
              <w:rPr>
                <w:b/>
              </w:rPr>
            </w:pPr>
            <w:r>
              <w:rPr>
                <w:b/>
              </w:rPr>
              <w:t>Number of Respon</w:t>
            </w:r>
            <w:r w:rsidR="0073795D">
              <w:rPr>
                <w:b/>
              </w:rPr>
              <w:t>ses</w:t>
            </w:r>
          </w:p>
        </w:tc>
        <w:tc>
          <w:tcPr>
            <w:tcW w:w="1440" w:type="dxa"/>
            <w:shd w:val="clear" w:color="auto" w:fill="C0C0C0"/>
          </w:tcPr>
          <w:p w:rsidR="00DC020B" w:rsidP="00DC020B" w:rsidRDefault="00DC020B" w14:paraId="2DC81CCE" w14:textId="77777777">
            <w:pPr>
              <w:jc w:val="center"/>
              <w:rPr>
                <w:b/>
              </w:rPr>
            </w:pPr>
          </w:p>
          <w:p w:rsidR="00DC020B" w:rsidP="00DC020B" w:rsidRDefault="00DC020B" w14:paraId="7105D8FC" w14:textId="77777777">
            <w:pPr>
              <w:jc w:val="center"/>
              <w:rPr>
                <w:b/>
              </w:rPr>
            </w:pPr>
          </w:p>
          <w:p w:rsidR="00DC020B" w:rsidP="00DC020B" w:rsidRDefault="00DC020B" w14:paraId="086226B3" w14:textId="77777777">
            <w:pPr>
              <w:jc w:val="center"/>
              <w:rPr>
                <w:b/>
              </w:rPr>
            </w:pPr>
            <w:r>
              <w:rPr>
                <w:b/>
              </w:rPr>
              <w:t>Frequency</w:t>
            </w:r>
          </w:p>
          <w:p w:rsidR="00DC020B" w:rsidP="00DC020B" w:rsidRDefault="00DC020B" w14:paraId="38734AEA" w14:textId="77777777">
            <w:pPr>
              <w:jc w:val="center"/>
              <w:rPr>
                <w:b/>
              </w:rPr>
            </w:pPr>
            <w:r>
              <w:rPr>
                <w:b/>
              </w:rPr>
              <w:t>of Response</w:t>
            </w:r>
          </w:p>
        </w:tc>
        <w:tc>
          <w:tcPr>
            <w:tcW w:w="1350" w:type="dxa"/>
            <w:shd w:val="clear" w:color="auto" w:fill="C0C0C0"/>
          </w:tcPr>
          <w:p w:rsidR="00DC020B" w:rsidP="00DC020B" w:rsidRDefault="00DC020B" w14:paraId="3A0DBB17" w14:textId="77777777">
            <w:pPr>
              <w:jc w:val="center"/>
              <w:rPr>
                <w:b/>
              </w:rPr>
            </w:pPr>
          </w:p>
          <w:p w:rsidR="00DC020B" w:rsidP="00DC020B" w:rsidRDefault="00DC020B" w14:paraId="3BCF3128" w14:textId="77777777">
            <w:pPr>
              <w:jc w:val="center"/>
              <w:rPr>
                <w:b/>
              </w:rPr>
            </w:pPr>
            <w:r>
              <w:rPr>
                <w:b/>
              </w:rPr>
              <w:t>Time</w:t>
            </w:r>
          </w:p>
          <w:p w:rsidR="00DC020B" w:rsidP="00DC020B" w:rsidRDefault="00DC020B" w14:paraId="169D902B" w14:textId="77777777">
            <w:pPr>
              <w:jc w:val="center"/>
              <w:rPr>
                <w:b/>
              </w:rPr>
            </w:pPr>
            <w:r>
              <w:rPr>
                <w:b/>
              </w:rPr>
              <w:t>Per</w:t>
            </w:r>
          </w:p>
          <w:p w:rsidR="00DC020B" w:rsidP="00DC020B" w:rsidRDefault="00DC020B" w14:paraId="35B083C9" w14:textId="77777777">
            <w:pPr>
              <w:jc w:val="center"/>
              <w:rPr>
                <w:b/>
              </w:rPr>
            </w:pPr>
            <w:r>
              <w:rPr>
                <w:b/>
              </w:rPr>
              <w:t>Response</w:t>
            </w:r>
          </w:p>
        </w:tc>
        <w:tc>
          <w:tcPr>
            <w:tcW w:w="1260" w:type="dxa"/>
            <w:shd w:val="clear" w:color="auto" w:fill="C0C0C0"/>
          </w:tcPr>
          <w:p w:rsidR="00DC020B" w:rsidP="00DC020B" w:rsidRDefault="00DC020B" w14:paraId="4FBC7868" w14:textId="77777777">
            <w:pPr>
              <w:jc w:val="center"/>
              <w:rPr>
                <w:b/>
              </w:rPr>
            </w:pPr>
            <w:r>
              <w:rPr>
                <w:b/>
              </w:rPr>
              <w:t>Total</w:t>
            </w:r>
          </w:p>
          <w:p w:rsidR="00DC020B" w:rsidP="00DC020B" w:rsidRDefault="00DC020B" w14:paraId="0C640514" w14:textId="77777777">
            <w:pPr>
              <w:jc w:val="center"/>
              <w:rPr>
                <w:b/>
              </w:rPr>
            </w:pPr>
            <w:r>
              <w:rPr>
                <w:b/>
              </w:rPr>
              <w:t>Annual Burden Hours</w:t>
            </w:r>
          </w:p>
        </w:tc>
      </w:tr>
      <w:tr w:rsidR="00DC020B" w14:paraId="12B87547" w14:textId="77777777">
        <w:tblPrEx>
          <w:tblCellMar>
            <w:top w:w="0" w:type="dxa"/>
            <w:bottom w:w="0" w:type="dxa"/>
          </w:tblCellMar>
        </w:tblPrEx>
        <w:tc>
          <w:tcPr>
            <w:tcW w:w="3348" w:type="dxa"/>
          </w:tcPr>
          <w:p w:rsidR="00F346B2" w:rsidP="00DC020B" w:rsidRDefault="00F346B2" w14:paraId="0F45DB6F" w14:textId="77777777">
            <w:r>
              <w:t>Section 214 surrenders of authorization</w:t>
            </w:r>
          </w:p>
        </w:tc>
        <w:tc>
          <w:tcPr>
            <w:tcW w:w="1890" w:type="dxa"/>
          </w:tcPr>
          <w:p w:rsidR="00DC020B" w:rsidP="00DC020B" w:rsidRDefault="00011840" w14:paraId="05FFF2E4" w14:textId="77777777">
            <w:pPr>
              <w:jc w:val="center"/>
            </w:pPr>
            <w:r>
              <w:t>8</w:t>
            </w:r>
          </w:p>
        </w:tc>
        <w:tc>
          <w:tcPr>
            <w:tcW w:w="1440" w:type="dxa"/>
          </w:tcPr>
          <w:p w:rsidR="00A73B52" w:rsidP="00DC020B" w:rsidRDefault="00A73B52" w14:paraId="4715C5D5" w14:textId="77777777">
            <w:pPr>
              <w:jc w:val="center"/>
            </w:pPr>
            <w:r>
              <w:t>1</w:t>
            </w:r>
          </w:p>
          <w:p w:rsidR="00DC020B" w:rsidP="00DC020B" w:rsidRDefault="00A73B52" w14:paraId="29534E47" w14:textId="77777777">
            <w:pPr>
              <w:jc w:val="center"/>
            </w:pPr>
            <w:r>
              <w:t>On occasion</w:t>
            </w:r>
          </w:p>
        </w:tc>
        <w:tc>
          <w:tcPr>
            <w:tcW w:w="1350" w:type="dxa"/>
          </w:tcPr>
          <w:p w:rsidRPr="00A73B52" w:rsidR="00DC020B" w:rsidP="00DC020B" w:rsidRDefault="00A73B52" w14:paraId="7BEEC1B9" w14:textId="77777777">
            <w:pPr>
              <w:jc w:val="center"/>
              <w:rPr>
                <w:vanish/>
              </w:rPr>
            </w:pPr>
            <w:r>
              <w:t xml:space="preserve">1 </w:t>
            </w:r>
            <w:r>
              <w:rPr>
                <w:vanish/>
              </w:rPr>
              <w:t>ouHhkkkk</w:t>
            </w:r>
            <w:r w:rsidR="00B05C3A">
              <w:t>Hour</w:t>
            </w:r>
          </w:p>
        </w:tc>
        <w:tc>
          <w:tcPr>
            <w:tcW w:w="1260" w:type="dxa"/>
          </w:tcPr>
          <w:p w:rsidR="00DC020B" w:rsidP="00DC020B" w:rsidRDefault="00011840" w14:paraId="118ABE6F" w14:textId="77777777">
            <w:pPr>
              <w:jc w:val="center"/>
            </w:pPr>
            <w:r>
              <w:t>8</w:t>
            </w:r>
          </w:p>
        </w:tc>
      </w:tr>
      <w:tr w:rsidR="00DC020B" w14:paraId="5FB811D1" w14:textId="77777777">
        <w:tblPrEx>
          <w:tblCellMar>
            <w:top w:w="0" w:type="dxa"/>
            <w:bottom w:w="0" w:type="dxa"/>
          </w:tblCellMar>
        </w:tblPrEx>
        <w:tc>
          <w:tcPr>
            <w:tcW w:w="3348" w:type="dxa"/>
          </w:tcPr>
          <w:p w:rsidRPr="00890FB3" w:rsidR="00DC020B" w:rsidP="000F5679" w:rsidRDefault="00890FB3" w14:paraId="4977ED2C" w14:textId="77777777">
            <w:pPr>
              <w:jc w:val="right"/>
              <w:rPr>
                <w:b/>
                <w:bCs/>
              </w:rPr>
            </w:pPr>
            <w:r w:rsidRPr="00890FB3">
              <w:rPr>
                <w:b/>
                <w:bCs/>
              </w:rPr>
              <w:t>Totals:</w:t>
            </w:r>
          </w:p>
        </w:tc>
        <w:tc>
          <w:tcPr>
            <w:tcW w:w="1890" w:type="dxa"/>
          </w:tcPr>
          <w:p w:rsidRPr="00B12051" w:rsidR="00DC020B" w:rsidP="00DC020B" w:rsidRDefault="00257626" w14:paraId="18D29CA9" w14:textId="77777777">
            <w:pPr>
              <w:jc w:val="center"/>
              <w:rPr>
                <w:b/>
              </w:rPr>
            </w:pPr>
            <w:r w:rsidRPr="00B12051">
              <w:rPr>
                <w:b/>
              </w:rPr>
              <w:t>8</w:t>
            </w:r>
          </w:p>
          <w:p w:rsidR="00890FB3" w:rsidP="00DC020B" w:rsidRDefault="00890FB3" w14:paraId="62D0B38B" w14:textId="77777777">
            <w:pPr>
              <w:jc w:val="center"/>
            </w:pPr>
          </w:p>
        </w:tc>
        <w:tc>
          <w:tcPr>
            <w:tcW w:w="1440" w:type="dxa"/>
          </w:tcPr>
          <w:p w:rsidR="00DC020B" w:rsidP="00DC020B" w:rsidRDefault="00A73B52" w14:paraId="7B84C584" w14:textId="77777777">
            <w:pPr>
              <w:jc w:val="center"/>
            </w:pPr>
            <w:r>
              <w:t>1</w:t>
            </w:r>
          </w:p>
          <w:p w:rsidR="00A73B52" w:rsidP="00DC020B" w:rsidRDefault="00A73B52" w14:paraId="2F9A59FB" w14:textId="77777777">
            <w:pPr>
              <w:jc w:val="center"/>
            </w:pPr>
            <w:r>
              <w:t>On occasion</w:t>
            </w:r>
          </w:p>
          <w:p w:rsidR="00A73B52" w:rsidP="00DC020B" w:rsidRDefault="00A73B52" w14:paraId="4F7AC3EE" w14:textId="77777777">
            <w:pPr>
              <w:jc w:val="center"/>
            </w:pPr>
          </w:p>
        </w:tc>
        <w:tc>
          <w:tcPr>
            <w:tcW w:w="1350" w:type="dxa"/>
          </w:tcPr>
          <w:p w:rsidR="00DC020B" w:rsidP="00DC020B" w:rsidRDefault="00B05C3A" w14:paraId="33BB61D2" w14:textId="77777777">
            <w:pPr>
              <w:jc w:val="center"/>
            </w:pPr>
            <w:r>
              <w:t>1 Hour</w:t>
            </w:r>
          </w:p>
        </w:tc>
        <w:tc>
          <w:tcPr>
            <w:tcW w:w="1260" w:type="dxa"/>
          </w:tcPr>
          <w:p w:rsidRPr="00B12051" w:rsidR="00DC020B" w:rsidP="00DC020B" w:rsidRDefault="00AA2407" w14:paraId="36A47F65" w14:textId="77777777">
            <w:pPr>
              <w:jc w:val="center"/>
              <w:rPr>
                <w:b/>
              </w:rPr>
            </w:pPr>
            <w:r w:rsidRPr="00B12051">
              <w:rPr>
                <w:b/>
              </w:rPr>
              <w:t>8</w:t>
            </w:r>
          </w:p>
        </w:tc>
      </w:tr>
    </w:tbl>
    <w:p w:rsidR="00543047" w:rsidP="00C3761A" w:rsidRDefault="00543047" w14:paraId="33906DBF" w14:textId="77777777">
      <w:pPr>
        <w:tabs>
          <w:tab w:val="left" w:pos="-720"/>
        </w:tabs>
        <w:suppressAutoHyphens/>
        <w:rPr>
          <w:spacing w:val="-3"/>
        </w:rPr>
      </w:pPr>
    </w:p>
    <w:p w:rsidR="00C3761A" w:rsidP="00C3761A" w:rsidRDefault="005F1F7E" w14:paraId="46CF04AA" w14:textId="77777777">
      <w:pPr>
        <w:tabs>
          <w:tab w:val="left" w:pos="-720"/>
        </w:tabs>
        <w:suppressAutoHyphens/>
        <w:rPr>
          <w:spacing w:val="-3"/>
        </w:rPr>
      </w:pPr>
      <w:r>
        <w:rPr>
          <w:spacing w:val="-3"/>
        </w:rPr>
        <w:t xml:space="preserve">13.    </w:t>
      </w:r>
      <w:r w:rsidRPr="003D5B5E" w:rsidR="00C3761A">
        <w:rPr>
          <w:spacing w:val="-3"/>
          <w:u w:val="single"/>
        </w:rPr>
        <w:t>Estimate of the Total Annual Cost Burden to Respondents</w:t>
      </w:r>
      <w:r w:rsidRPr="006D4427" w:rsidR="00C3761A">
        <w:rPr>
          <w:spacing w:val="-3"/>
        </w:rPr>
        <w:t>:</w:t>
      </w:r>
    </w:p>
    <w:p w:rsidR="000D11F1" w:rsidP="00C3761A" w:rsidRDefault="000D11F1" w14:paraId="0EF2C427" w14:textId="77777777">
      <w:pPr>
        <w:tabs>
          <w:tab w:val="left" w:pos="-720"/>
        </w:tabs>
        <w:suppressAutoHyphens/>
        <w:rPr>
          <w:spacing w:val="-3"/>
        </w:rPr>
      </w:pPr>
    </w:p>
    <w:p w:rsidRPr="006D4427" w:rsidR="000D11F1" w:rsidP="00C3761A" w:rsidRDefault="000D11F1" w14:paraId="125BD035" w14:textId="77777777">
      <w:pPr>
        <w:tabs>
          <w:tab w:val="left" w:pos="-720"/>
        </w:tabs>
        <w:suppressAutoHyphens/>
        <w:rPr>
          <w:spacing w:val="-3"/>
        </w:rPr>
      </w:pPr>
      <w:r>
        <w:rPr>
          <w:spacing w:val="-3"/>
        </w:rPr>
        <w:t>There are no applications fees since the surrenders of authorizations are voluntary on the part of the licensees.  There are no outside legal or engineering fees associated with filing the requests.  Therefore</w:t>
      </w:r>
      <w:r w:rsidR="003F4FCE">
        <w:rPr>
          <w:spacing w:val="-3"/>
        </w:rPr>
        <w:t>,</w:t>
      </w:r>
      <w:r>
        <w:rPr>
          <w:spacing w:val="-3"/>
        </w:rPr>
        <w:t xml:space="preserve"> the total annual cost burden to respondents is </w:t>
      </w:r>
      <w:r w:rsidRPr="000D11F1">
        <w:rPr>
          <w:b/>
          <w:bCs/>
          <w:spacing w:val="-3"/>
          <w:u w:val="single"/>
        </w:rPr>
        <w:t>zero ($0).</w:t>
      </w:r>
    </w:p>
    <w:p w:rsidR="00C3761A" w:rsidP="0075413E" w:rsidRDefault="00C3761A" w14:paraId="674F3208" w14:textId="77777777"/>
    <w:p w:rsidR="005E234F" w:rsidP="004F1092" w:rsidRDefault="00543047" w14:paraId="643F4042" w14:textId="77777777">
      <w:r>
        <w:br w:type="page"/>
      </w:r>
      <w:r w:rsidR="005F1F7E">
        <w:lastRenderedPageBreak/>
        <w:t xml:space="preserve">14.    </w:t>
      </w:r>
      <w:r w:rsidR="005E234F">
        <w:rPr>
          <w:u w:val="single"/>
        </w:rPr>
        <w:t>Total e</w:t>
      </w:r>
      <w:r w:rsidRPr="003D5B5E" w:rsidR="005F1F7E">
        <w:rPr>
          <w:u w:val="single"/>
        </w:rPr>
        <w:t>stimate of Annualized Cost to the Federal Government</w:t>
      </w:r>
    </w:p>
    <w:p w:rsidR="007F627B" w:rsidP="007F627B" w:rsidRDefault="007F627B" w14:paraId="69911EA2" w14:textId="77777777"/>
    <w:p w:rsidRPr="003C758B" w:rsidR="007F627B" w:rsidP="007F627B" w:rsidRDefault="007F627B" w14:paraId="7F5113F3" w14:textId="77777777">
      <w:pPr>
        <w:rPr>
          <w:b/>
          <w:bCs/>
        </w:rPr>
      </w:pPr>
      <w:r>
        <w:t xml:space="preserve">The total estimated annualized cost to the Federal government is </w:t>
      </w:r>
      <w:r w:rsidRPr="005012AC" w:rsidR="005012AC">
        <w:rPr>
          <w:b/>
          <w:bCs/>
          <w:u w:val="single"/>
        </w:rPr>
        <w:t>$</w:t>
      </w:r>
      <w:r w:rsidR="009725FF">
        <w:rPr>
          <w:b/>
          <w:bCs/>
          <w:u w:val="single"/>
        </w:rPr>
        <w:t>261.20</w:t>
      </w:r>
      <w:r w:rsidR="005012AC">
        <w:rPr>
          <w:bCs/>
        </w:rPr>
        <w:t xml:space="preserve">. </w:t>
      </w:r>
      <w:r>
        <w:t xml:space="preserve"> Please see the chart below for details.</w:t>
      </w:r>
    </w:p>
    <w:p w:rsidR="000B7EBB" w:rsidP="005F1F7E" w:rsidRDefault="000B7EBB" w14:paraId="64774F14" w14:textId="77777777">
      <w:pPr>
        <w:tabs>
          <w:tab w:val="left" w:pos="-720"/>
          <w:tab w:val="left" w:pos="0"/>
        </w:tabs>
        <w:suppressAutoHyphens/>
        <w:ind w:left="182" w:hanging="182"/>
      </w:pPr>
    </w:p>
    <w:tbl>
      <w:tblPr>
        <w:tblW w:w="1152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0"/>
        <w:gridCol w:w="2160"/>
        <w:gridCol w:w="1620"/>
        <w:gridCol w:w="1260"/>
        <w:gridCol w:w="1260"/>
        <w:gridCol w:w="1620"/>
      </w:tblGrid>
      <w:tr w:rsidR="001A17D9" w:rsidTr="00B34F18" w14:paraId="1ED51776" w14:textId="77777777">
        <w:tblPrEx>
          <w:tblCellMar>
            <w:top w:w="0" w:type="dxa"/>
            <w:bottom w:w="0" w:type="dxa"/>
          </w:tblCellMar>
        </w:tblPrEx>
        <w:tc>
          <w:tcPr>
            <w:tcW w:w="3600" w:type="dxa"/>
            <w:shd w:val="clear" w:color="auto" w:fill="C0C0C0"/>
          </w:tcPr>
          <w:p w:rsidR="001A17D9" w:rsidP="00795669" w:rsidRDefault="001A17D9" w14:paraId="5021B191" w14:textId="77777777">
            <w:pPr>
              <w:jc w:val="center"/>
              <w:rPr>
                <w:b/>
              </w:rPr>
            </w:pPr>
          </w:p>
          <w:p w:rsidR="001A17D9" w:rsidP="00795669" w:rsidRDefault="001A17D9" w14:paraId="37A5F8D1" w14:textId="77777777">
            <w:pPr>
              <w:jc w:val="center"/>
              <w:rPr>
                <w:b/>
              </w:rPr>
            </w:pPr>
          </w:p>
          <w:p w:rsidR="001A17D9" w:rsidP="00795669" w:rsidRDefault="001A17D9" w14:paraId="75474E67" w14:textId="77777777">
            <w:pPr>
              <w:jc w:val="center"/>
              <w:rPr>
                <w:b/>
              </w:rPr>
            </w:pPr>
          </w:p>
          <w:p w:rsidR="001A17D9" w:rsidP="00795669" w:rsidRDefault="001A17D9" w14:paraId="4B97B583" w14:textId="77777777">
            <w:pPr>
              <w:jc w:val="center"/>
              <w:rPr>
                <w:b/>
              </w:rPr>
            </w:pPr>
            <w:r>
              <w:rPr>
                <w:b/>
              </w:rPr>
              <w:t>Staff Member</w:t>
            </w:r>
          </w:p>
        </w:tc>
        <w:tc>
          <w:tcPr>
            <w:tcW w:w="2160" w:type="dxa"/>
            <w:shd w:val="clear" w:color="auto" w:fill="C0C0C0"/>
          </w:tcPr>
          <w:p w:rsidR="001A17D9" w:rsidP="00795669" w:rsidRDefault="001A17D9" w14:paraId="161B323E" w14:textId="77777777">
            <w:pPr>
              <w:jc w:val="center"/>
              <w:rPr>
                <w:b/>
              </w:rPr>
            </w:pPr>
            <w:r>
              <w:rPr>
                <w:b/>
              </w:rPr>
              <w:t>Estimated</w:t>
            </w:r>
          </w:p>
          <w:p w:rsidR="001A17D9" w:rsidP="00795669" w:rsidRDefault="001A17D9" w14:paraId="2C632B39" w14:textId="77777777">
            <w:pPr>
              <w:jc w:val="center"/>
              <w:rPr>
                <w:b/>
              </w:rPr>
            </w:pPr>
            <w:r>
              <w:rPr>
                <w:b/>
              </w:rPr>
              <w:t>Number of Surrenders/</w:t>
            </w:r>
          </w:p>
          <w:p w:rsidR="001A17D9" w:rsidP="00795669" w:rsidRDefault="001A17D9" w14:paraId="737DF41C" w14:textId="77777777">
            <w:pPr>
              <w:jc w:val="center"/>
              <w:rPr>
                <w:b/>
              </w:rPr>
            </w:pPr>
            <w:r>
              <w:rPr>
                <w:b/>
              </w:rPr>
              <w:t>Responses  Processed Annually</w:t>
            </w:r>
          </w:p>
        </w:tc>
        <w:tc>
          <w:tcPr>
            <w:tcW w:w="1620" w:type="dxa"/>
            <w:shd w:val="clear" w:color="auto" w:fill="C0C0C0"/>
          </w:tcPr>
          <w:p w:rsidR="001A17D9" w:rsidP="006459DA" w:rsidRDefault="001A17D9" w14:paraId="420ABE2C" w14:textId="77777777">
            <w:pPr>
              <w:jc w:val="center"/>
              <w:rPr>
                <w:b/>
              </w:rPr>
            </w:pPr>
          </w:p>
          <w:p w:rsidR="001A17D9" w:rsidP="006459DA" w:rsidRDefault="001A17D9" w14:paraId="312E7C52" w14:textId="77777777">
            <w:pPr>
              <w:jc w:val="center"/>
              <w:rPr>
                <w:b/>
              </w:rPr>
            </w:pPr>
          </w:p>
          <w:p w:rsidR="001A17D9" w:rsidP="006459DA" w:rsidRDefault="001A17D9" w14:paraId="5F642390" w14:textId="77777777">
            <w:pPr>
              <w:jc w:val="center"/>
              <w:rPr>
                <w:b/>
              </w:rPr>
            </w:pPr>
            <w:r>
              <w:rPr>
                <w:b/>
              </w:rPr>
              <w:t>Frequency</w:t>
            </w:r>
          </w:p>
          <w:p w:rsidR="001A17D9" w:rsidP="006459DA" w:rsidRDefault="001A17D9" w14:paraId="1FB539FC" w14:textId="77777777">
            <w:pPr>
              <w:jc w:val="center"/>
              <w:rPr>
                <w:b/>
              </w:rPr>
            </w:pPr>
            <w:r>
              <w:rPr>
                <w:b/>
              </w:rPr>
              <w:t>of Response</w:t>
            </w:r>
          </w:p>
        </w:tc>
        <w:tc>
          <w:tcPr>
            <w:tcW w:w="1260" w:type="dxa"/>
            <w:shd w:val="clear" w:color="auto" w:fill="C0C0C0"/>
          </w:tcPr>
          <w:p w:rsidR="001818A5" w:rsidP="00795669" w:rsidRDefault="001818A5" w14:paraId="067E36E4" w14:textId="77777777">
            <w:pPr>
              <w:jc w:val="center"/>
              <w:rPr>
                <w:b/>
              </w:rPr>
            </w:pPr>
          </w:p>
          <w:p w:rsidR="001A17D9" w:rsidP="00795669" w:rsidRDefault="001A17D9" w14:paraId="330C811A" w14:textId="77777777">
            <w:pPr>
              <w:jc w:val="center"/>
              <w:rPr>
                <w:b/>
              </w:rPr>
            </w:pPr>
            <w:r>
              <w:rPr>
                <w:b/>
              </w:rPr>
              <w:t xml:space="preserve">Staff </w:t>
            </w:r>
          </w:p>
          <w:p w:rsidR="001A17D9" w:rsidP="00795669" w:rsidRDefault="001A17D9" w14:paraId="01C185BC" w14:textId="77777777">
            <w:pPr>
              <w:jc w:val="center"/>
              <w:rPr>
                <w:b/>
              </w:rPr>
            </w:pPr>
            <w:r>
              <w:rPr>
                <w:b/>
              </w:rPr>
              <w:t xml:space="preserve">Member Hourly </w:t>
            </w:r>
          </w:p>
          <w:p w:rsidR="001A17D9" w:rsidP="00795669" w:rsidRDefault="001A17D9" w14:paraId="7834351E" w14:textId="77777777">
            <w:pPr>
              <w:jc w:val="center"/>
              <w:rPr>
                <w:b/>
              </w:rPr>
            </w:pPr>
            <w:r>
              <w:rPr>
                <w:b/>
              </w:rPr>
              <w:t>Salary</w:t>
            </w:r>
          </w:p>
        </w:tc>
        <w:tc>
          <w:tcPr>
            <w:tcW w:w="1260" w:type="dxa"/>
            <w:shd w:val="clear" w:color="auto" w:fill="C0C0C0"/>
          </w:tcPr>
          <w:p w:rsidR="001A17D9" w:rsidP="00795669" w:rsidRDefault="001A17D9" w14:paraId="05E6A61B" w14:textId="77777777">
            <w:pPr>
              <w:jc w:val="center"/>
              <w:rPr>
                <w:b/>
              </w:rPr>
            </w:pPr>
          </w:p>
          <w:p w:rsidR="001A17D9" w:rsidP="00795669" w:rsidRDefault="001A17D9" w14:paraId="7C7F1B11" w14:textId="77777777">
            <w:pPr>
              <w:jc w:val="center"/>
              <w:rPr>
                <w:b/>
              </w:rPr>
            </w:pPr>
          </w:p>
          <w:p w:rsidR="001A17D9" w:rsidP="00795669" w:rsidRDefault="001A17D9" w14:paraId="333E6366" w14:textId="77777777">
            <w:pPr>
              <w:jc w:val="center"/>
              <w:rPr>
                <w:b/>
              </w:rPr>
            </w:pPr>
            <w:r>
              <w:rPr>
                <w:b/>
              </w:rPr>
              <w:t>Time</w:t>
            </w:r>
          </w:p>
          <w:p w:rsidR="001A17D9" w:rsidP="00795669" w:rsidRDefault="001A17D9" w14:paraId="7B77FC38" w14:textId="77777777">
            <w:pPr>
              <w:jc w:val="center"/>
              <w:rPr>
                <w:b/>
              </w:rPr>
            </w:pPr>
            <w:r>
              <w:rPr>
                <w:b/>
              </w:rPr>
              <w:t>Per</w:t>
            </w:r>
          </w:p>
          <w:p w:rsidR="001A17D9" w:rsidP="00795669" w:rsidRDefault="001A17D9" w14:paraId="4513EB14" w14:textId="77777777">
            <w:pPr>
              <w:jc w:val="center"/>
              <w:rPr>
                <w:b/>
              </w:rPr>
            </w:pPr>
            <w:r>
              <w:rPr>
                <w:b/>
              </w:rPr>
              <w:t>Response</w:t>
            </w:r>
          </w:p>
        </w:tc>
        <w:tc>
          <w:tcPr>
            <w:tcW w:w="1620" w:type="dxa"/>
            <w:shd w:val="clear" w:color="auto" w:fill="C0C0C0"/>
          </w:tcPr>
          <w:p w:rsidR="001A17D9" w:rsidP="00795669" w:rsidRDefault="001A17D9" w14:paraId="282E2620" w14:textId="77777777">
            <w:pPr>
              <w:jc w:val="center"/>
              <w:rPr>
                <w:b/>
              </w:rPr>
            </w:pPr>
          </w:p>
          <w:p w:rsidR="001A17D9" w:rsidP="00795669" w:rsidRDefault="001A17D9" w14:paraId="0D795486" w14:textId="77777777">
            <w:pPr>
              <w:jc w:val="center"/>
              <w:rPr>
                <w:b/>
              </w:rPr>
            </w:pPr>
          </w:p>
          <w:p w:rsidR="001A17D9" w:rsidP="00795669" w:rsidRDefault="001A17D9" w14:paraId="02AC4351" w14:textId="77777777">
            <w:pPr>
              <w:jc w:val="center"/>
              <w:rPr>
                <w:b/>
              </w:rPr>
            </w:pPr>
            <w:r>
              <w:rPr>
                <w:b/>
              </w:rPr>
              <w:t>Total</w:t>
            </w:r>
          </w:p>
          <w:p w:rsidR="001A17D9" w:rsidP="00795669" w:rsidRDefault="001A17D9" w14:paraId="259F3B77" w14:textId="77777777">
            <w:pPr>
              <w:jc w:val="center"/>
              <w:rPr>
                <w:b/>
              </w:rPr>
            </w:pPr>
            <w:r>
              <w:rPr>
                <w:b/>
              </w:rPr>
              <w:t>Annual</w:t>
            </w:r>
          </w:p>
          <w:p w:rsidR="001A17D9" w:rsidP="00795669" w:rsidRDefault="001A17D9" w14:paraId="68B9112F" w14:textId="77777777">
            <w:pPr>
              <w:jc w:val="center"/>
              <w:rPr>
                <w:b/>
              </w:rPr>
            </w:pPr>
            <w:r>
              <w:rPr>
                <w:b/>
              </w:rPr>
              <w:t xml:space="preserve">Costs </w:t>
            </w:r>
          </w:p>
        </w:tc>
      </w:tr>
      <w:tr w:rsidR="001A17D9" w:rsidTr="00B34F18" w14:paraId="4F226E1F" w14:textId="77777777">
        <w:tblPrEx>
          <w:tblCellMar>
            <w:top w:w="0" w:type="dxa"/>
            <w:bottom w:w="0" w:type="dxa"/>
          </w:tblCellMar>
        </w:tblPrEx>
        <w:tc>
          <w:tcPr>
            <w:tcW w:w="3600" w:type="dxa"/>
          </w:tcPr>
          <w:p w:rsidR="001A17D9" w:rsidP="00795669" w:rsidRDefault="001A17D9" w14:paraId="6FF1C61B" w14:textId="77777777">
            <w:r>
              <w:t>(1) GS-9/Step 5 Industry Analyst</w:t>
            </w:r>
            <w:r w:rsidR="0020278C">
              <w:t xml:space="preserve"> @ $</w:t>
            </w:r>
            <w:r w:rsidR="00DD005A">
              <w:t>3</w:t>
            </w:r>
            <w:r w:rsidR="00731E23">
              <w:t>2.65</w:t>
            </w:r>
            <w:r>
              <w:t xml:space="preserve"> per hour </w:t>
            </w:r>
          </w:p>
          <w:p w:rsidR="001A17D9" w:rsidP="00795669" w:rsidRDefault="001A17D9" w14:paraId="2949FB83" w14:textId="77777777">
            <w:r>
              <w:t>(8 Section 214 surrenders processed annually)</w:t>
            </w:r>
          </w:p>
          <w:p w:rsidR="001A17D9" w:rsidP="00795669" w:rsidRDefault="001A17D9" w14:paraId="16429441" w14:textId="77777777"/>
        </w:tc>
        <w:tc>
          <w:tcPr>
            <w:tcW w:w="2160" w:type="dxa"/>
          </w:tcPr>
          <w:p w:rsidR="001A17D9" w:rsidP="00795669" w:rsidRDefault="001A17D9" w14:paraId="133E35EB" w14:textId="77777777">
            <w:pPr>
              <w:jc w:val="center"/>
            </w:pPr>
          </w:p>
          <w:p w:rsidR="001A17D9" w:rsidP="00795669" w:rsidRDefault="001A17D9" w14:paraId="54A7239B" w14:textId="77777777">
            <w:pPr>
              <w:jc w:val="center"/>
            </w:pPr>
          </w:p>
          <w:p w:rsidR="001A17D9" w:rsidP="00795669" w:rsidRDefault="001A17D9" w14:paraId="2B0DC3BB" w14:textId="77777777">
            <w:pPr>
              <w:jc w:val="center"/>
            </w:pPr>
            <w:r>
              <w:t>8 surrenders</w:t>
            </w:r>
          </w:p>
        </w:tc>
        <w:tc>
          <w:tcPr>
            <w:tcW w:w="1620" w:type="dxa"/>
          </w:tcPr>
          <w:p w:rsidR="001A17D9" w:rsidP="006459DA" w:rsidRDefault="001A17D9" w14:paraId="4A1AAF48" w14:textId="77777777">
            <w:pPr>
              <w:jc w:val="center"/>
            </w:pPr>
            <w:r>
              <w:t>1</w:t>
            </w:r>
          </w:p>
          <w:p w:rsidR="001A17D9" w:rsidP="006459DA" w:rsidRDefault="001A17D9" w14:paraId="7CC32888" w14:textId="77777777">
            <w:pPr>
              <w:jc w:val="center"/>
            </w:pPr>
            <w:r>
              <w:t>On occasion</w:t>
            </w:r>
          </w:p>
          <w:p w:rsidR="001A17D9" w:rsidP="006459DA" w:rsidRDefault="001A17D9" w14:paraId="65F6DF44" w14:textId="77777777">
            <w:pPr>
              <w:jc w:val="center"/>
            </w:pPr>
            <w:r>
              <w:t xml:space="preserve">(As received in </w:t>
            </w:r>
            <w:r w:rsidR="008F2155">
              <w:t>I</w:t>
            </w:r>
            <w:r>
              <w:t>BFS)</w:t>
            </w:r>
          </w:p>
          <w:p w:rsidR="001A17D9" w:rsidP="006459DA" w:rsidRDefault="001A17D9" w14:paraId="4AE02944" w14:textId="77777777">
            <w:pPr>
              <w:jc w:val="center"/>
            </w:pPr>
          </w:p>
        </w:tc>
        <w:tc>
          <w:tcPr>
            <w:tcW w:w="1260" w:type="dxa"/>
          </w:tcPr>
          <w:p w:rsidR="001A17D9" w:rsidP="00795669" w:rsidRDefault="001A17D9" w14:paraId="149BEF52" w14:textId="77777777">
            <w:pPr>
              <w:jc w:val="center"/>
            </w:pPr>
          </w:p>
          <w:p w:rsidR="001A17D9" w:rsidP="00795669" w:rsidRDefault="001A17D9" w14:paraId="3D38D98E" w14:textId="77777777">
            <w:pPr>
              <w:jc w:val="center"/>
            </w:pPr>
          </w:p>
          <w:p w:rsidR="001A17D9" w:rsidP="009921F4" w:rsidRDefault="009921F4" w14:paraId="48FF0257" w14:textId="77777777">
            <w:pPr>
              <w:jc w:val="center"/>
            </w:pPr>
            <w:r>
              <w:t>$</w:t>
            </w:r>
            <w:r w:rsidR="00215788">
              <w:t>3</w:t>
            </w:r>
            <w:r w:rsidR="0057033E">
              <w:t>2.65</w:t>
            </w:r>
            <w:r>
              <w:t>/</w:t>
            </w:r>
            <w:r w:rsidR="001A17D9">
              <w:t>/hr.</w:t>
            </w:r>
          </w:p>
        </w:tc>
        <w:tc>
          <w:tcPr>
            <w:tcW w:w="1260" w:type="dxa"/>
          </w:tcPr>
          <w:p w:rsidR="001A17D9" w:rsidP="00795669" w:rsidRDefault="001A17D9" w14:paraId="7A0990B4" w14:textId="77777777">
            <w:pPr>
              <w:jc w:val="center"/>
            </w:pPr>
          </w:p>
          <w:p w:rsidR="001A17D9" w:rsidP="00795669" w:rsidRDefault="001A17D9" w14:paraId="5C014612" w14:textId="77777777">
            <w:pPr>
              <w:jc w:val="center"/>
            </w:pPr>
          </w:p>
          <w:p w:rsidRPr="00A73B52" w:rsidR="001A17D9" w:rsidP="00795669" w:rsidRDefault="001A17D9" w14:paraId="37EA03F8" w14:textId="77777777">
            <w:pPr>
              <w:jc w:val="center"/>
              <w:rPr>
                <w:vanish/>
              </w:rPr>
            </w:pPr>
            <w:r>
              <w:t xml:space="preserve">1 </w:t>
            </w:r>
            <w:r>
              <w:rPr>
                <w:vanish/>
              </w:rPr>
              <w:t>ouHhkkkk</w:t>
            </w:r>
            <w:r>
              <w:t>Hour</w:t>
            </w:r>
          </w:p>
        </w:tc>
        <w:tc>
          <w:tcPr>
            <w:tcW w:w="1620" w:type="dxa"/>
          </w:tcPr>
          <w:p w:rsidR="001A17D9" w:rsidP="00795669" w:rsidRDefault="001A17D9" w14:paraId="27A71C5C" w14:textId="77777777">
            <w:pPr>
              <w:jc w:val="center"/>
              <w:rPr>
                <w:bCs/>
              </w:rPr>
            </w:pPr>
          </w:p>
          <w:p w:rsidR="001A17D9" w:rsidP="00795669" w:rsidRDefault="001A17D9" w14:paraId="50F7B20A" w14:textId="77777777">
            <w:pPr>
              <w:jc w:val="center"/>
              <w:rPr>
                <w:bCs/>
              </w:rPr>
            </w:pPr>
          </w:p>
          <w:p w:rsidR="001A17D9" w:rsidP="00795669" w:rsidRDefault="001A17D9" w14:paraId="49760173" w14:textId="77777777">
            <w:pPr>
              <w:jc w:val="center"/>
            </w:pPr>
            <w:r w:rsidRPr="00783B62">
              <w:rPr>
                <w:bCs/>
              </w:rPr>
              <w:t>$</w:t>
            </w:r>
            <w:r w:rsidR="004478E4">
              <w:rPr>
                <w:bCs/>
              </w:rPr>
              <w:t>2</w:t>
            </w:r>
            <w:r w:rsidR="00C61C29">
              <w:rPr>
                <w:bCs/>
              </w:rPr>
              <w:t>61.20</w:t>
            </w:r>
          </w:p>
        </w:tc>
      </w:tr>
      <w:tr w:rsidR="001A17D9" w:rsidTr="00B34F18" w14:paraId="51F84664" w14:textId="77777777">
        <w:tblPrEx>
          <w:tblCellMar>
            <w:top w:w="0" w:type="dxa"/>
            <w:bottom w:w="0" w:type="dxa"/>
          </w:tblCellMar>
        </w:tblPrEx>
        <w:trPr>
          <w:trHeight w:val="1709"/>
        </w:trPr>
        <w:tc>
          <w:tcPr>
            <w:tcW w:w="3600" w:type="dxa"/>
          </w:tcPr>
          <w:p w:rsidR="001A17D9" w:rsidP="00795669" w:rsidRDefault="001A17D9" w14:paraId="76E770D4" w14:textId="77777777">
            <w:pPr>
              <w:jc w:val="right"/>
              <w:rPr>
                <w:b/>
                <w:bCs/>
              </w:rPr>
            </w:pPr>
          </w:p>
          <w:p w:rsidRPr="00890FB3" w:rsidR="001A17D9" w:rsidP="00795669" w:rsidRDefault="001A17D9" w14:paraId="27E05F7E" w14:textId="77777777">
            <w:pPr>
              <w:jc w:val="right"/>
              <w:rPr>
                <w:b/>
                <w:bCs/>
              </w:rPr>
            </w:pPr>
            <w:r w:rsidRPr="00890FB3">
              <w:rPr>
                <w:b/>
                <w:bCs/>
              </w:rPr>
              <w:t>Total:</w:t>
            </w:r>
          </w:p>
        </w:tc>
        <w:tc>
          <w:tcPr>
            <w:tcW w:w="2160" w:type="dxa"/>
          </w:tcPr>
          <w:p w:rsidRPr="00F02C65" w:rsidR="001A17D9" w:rsidP="00795669" w:rsidRDefault="001A17D9" w14:paraId="65BC1C98" w14:textId="77777777">
            <w:pPr>
              <w:jc w:val="center"/>
              <w:rPr>
                <w:bCs/>
              </w:rPr>
            </w:pPr>
          </w:p>
          <w:p w:rsidRPr="00EF1DDD" w:rsidR="001A17D9" w:rsidP="00B82555" w:rsidRDefault="001A17D9" w14:paraId="7CA1D96B" w14:textId="77777777">
            <w:pPr>
              <w:jc w:val="center"/>
              <w:rPr>
                <w:b/>
              </w:rPr>
            </w:pPr>
          </w:p>
        </w:tc>
        <w:tc>
          <w:tcPr>
            <w:tcW w:w="1620" w:type="dxa"/>
          </w:tcPr>
          <w:p w:rsidR="001A17D9" w:rsidP="006459DA" w:rsidRDefault="001A17D9" w14:paraId="681ED4C8" w14:textId="77777777">
            <w:pPr>
              <w:jc w:val="center"/>
            </w:pPr>
            <w:r>
              <w:t>1</w:t>
            </w:r>
          </w:p>
          <w:p w:rsidR="001A17D9" w:rsidP="006459DA" w:rsidRDefault="001A17D9" w14:paraId="01D5E0B1" w14:textId="77777777">
            <w:pPr>
              <w:jc w:val="center"/>
            </w:pPr>
            <w:r>
              <w:t>On occasion</w:t>
            </w:r>
          </w:p>
          <w:p w:rsidR="001A17D9" w:rsidP="006459DA" w:rsidRDefault="001A17D9" w14:paraId="05198639" w14:textId="77777777">
            <w:pPr>
              <w:jc w:val="center"/>
            </w:pPr>
          </w:p>
        </w:tc>
        <w:tc>
          <w:tcPr>
            <w:tcW w:w="1260" w:type="dxa"/>
          </w:tcPr>
          <w:p w:rsidR="001A17D9" w:rsidP="00795669" w:rsidRDefault="001A17D9" w14:paraId="3F3EFAB9" w14:textId="77777777">
            <w:pPr>
              <w:jc w:val="center"/>
            </w:pPr>
          </w:p>
        </w:tc>
        <w:tc>
          <w:tcPr>
            <w:tcW w:w="1260" w:type="dxa"/>
          </w:tcPr>
          <w:p w:rsidR="001A17D9" w:rsidP="00795669" w:rsidRDefault="001A17D9" w14:paraId="6E2556A6" w14:textId="77777777">
            <w:pPr>
              <w:jc w:val="center"/>
            </w:pPr>
          </w:p>
          <w:p w:rsidR="001A17D9" w:rsidP="00795669" w:rsidRDefault="001A17D9" w14:paraId="297A0BDA" w14:textId="77777777">
            <w:pPr>
              <w:jc w:val="center"/>
            </w:pPr>
            <w:r>
              <w:t>1 Hour</w:t>
            </w:r>
          </w:p>
        </w:tc>
        <w:tc>
          <w:tcPr>
            <w:tcW w:w="1620" w:type="dxa"/>
          </w:tcPr>
          <w:p w:rsidR="001A17D9" w:rsidP="00100AF2" w:rsidRDefault="001A17D9" w14:paraId="4A257340" w14:textId="77777777">
            <w:pPr>
              <w:jc w:val="center"/>
              <w:rPr>
                <w:b/>
                <w:bCs/>
              </w:rPr>
            </w:pPr>
          </w:p>
          <w:p w:rsidRPr="00B50D05" w:rsidR="001A17D9" w:rsidP="00100AF2" w:rsidRDefault="00EA694B" w14:paraId="19C33BEA" w14:textId="77777777">
            <w:pPr>
              <w:jc w:val="center"/>
              <w:rPr>
                <w:b/>
                <w:bCs/>
              </w:rPr>
            </w:pPr>
            <w:r>
              <w:rPr>
                <w:b/>
                <w:bCs/>
              </w:rPr>
              <w:t>$</w:t>
            </w:r>
            <w:r w:rsidR="004478E4">
              <w:rPr>
                <w:b/>
                <w:bCs/>
              </w:rPr>
              <w:t>2</w:t>
            </w:r>
            <w:r w:rsidR="00C61C29">
              <w:rPr>
                <w:b/>
                <w:bCs/>
              </w:rPr>
              <w:t>61.20</w:t>
            </w:r>
          </w:p>
          <w:p w:rsidRPr="003C758B" w:rsidR="001A17D9" w:rsidP="00795669" w:rsidRDefault="001A17D9" w14:paraId="71DE356E" w14:textId="77777777">
            <w:pPr>
              <w:jc w:val="center"/>
              <w:rPr>
                <w:b/>
                <w:bCs/>
              </w:rPr>
            </w:pPr>
          </w:p>
          <w:p w:rsidR="001A17D9" w:rsidP="00795669" w:rsidRDefault="001A17D9" w14:paraId="74B4AA5A" w14:textId="77777777">
            <w:pPr>
              <w:jc w:val="center"/>
            </w:pPr>
          </w:p>
        </w:tc>
      </w:tr>
    </w:tbl>
    <w:p w:rsidR="004239CD" w:rsidP="004239CD" w:rsidRDefault="004239CD" w14:paraId="3CB1425F" w14:textId="77777777">
      <w:pPr>
        <w:tabs>
          <w:tab w:val="left" w:pos="-720"/>
          <w:tab w:val="left" w:pos="0"/>
        </w:tabs>
        <w:suppressAutoHyphens/>
        <w:jc w:val="both"/>
        <w:rPr>
          <w:b/>
          <w:bCs/>
        </w:rPr>
      </w:pPr>
    </w:p>
    <w:p w:rsidRPr="00615317" w:rsidR="00B12051" w:rsidP="00B12051" w:rsidRDefault="005F1F7E" w14:paraId="774BFA65" w14:textId="77777777">
      <w:pPr>
        <w:tabs>
          <w:tab w:val="left" w:pos="-720"/>
          <w:tab w:val="left" w:pos="0"/>
        </w:tabs>
        <w:suppressAutoHyphens/>
        <w:jc w:val="both"/>
      </w:pPr>
      <w:r>
        <w:t>15</w:t>
      </w:r>
      <w:r w:rsidRPr="00615317">
        <w:t xml:space="preserve">.    </w:t>
      </w:r>
      <w:r w:rsidR="000752A5">
        <w:t>There are no program changes or adjustments in this information collection</w:t>
      </w:r>
      <w:r w:rsidRPr="00615317" w:rsidR="001B771F">
        <w:t>.</w:t>
      </w:r>
      <w:r w:rsidRPr="00615317" w:rsidR="002F49F5">
        <w:t xml:space="preserve"> </w:t>
      </w:r>
    </w:p>
    <w:p w:rsidRPr="00615317" w:rsidR="00B12051" w:rsidP="00B12051" w:rsidRDefault="00B12051" w14:paraId="38D1E443" w14:textId="77777777">
      <w:pPr>
        <w:tabs>
          <w:tab w:val="left" w:pos="-720"/>
          <w:tab w:val="left" w:pos="0"/>
        </w:tabs>
        <w:suppressAutoHyphens/>
        <w:jc w:val="both"/>
      </w:pPr>
    </w:p>
    <w:p w:rsidR="005F1F7E" w:rsidP="005F1F7E" w:rsidRDefault="005F1F7E" w14:paraId="672EA3A5" w14:textId="77777777">
      <w:pPr>
        <w:tabs>
          <w:tab w:val="left" w:pos="-1440"/>
          <w:tab w:val="left" w:pos="-720"/>
          <w:tab w:val="left" w:pos="0"/>
          <w:tab w:val="left" w:pos="720"/>
          <w:tab w:val="left" w:pos="1440"/>
          <w:tab w:val="left" w:pos="2160"/>
          <w:tab w:val="left" w:pos="2880"/>
          <w:tab w:val="left" w:pos="6660"/>
          <w:tab w:val="decimal" w:pos="7920"/>
        </w:tabs>
        <w:suppressAutoHyphens/>
      </w:pPr>
      <w:r>
        <w:t xml:space="preserve">16.   </w:t>
      </w:r>
      <w:r w:rsidR="00484E62">
        <w:t xml:space="preserve"> </w:t>
      </w:r>
      <w:r>
        <w:t>The data will not be published for statistical use.</w:t>
      </w:r>
    </w:p>
    <w:p w:rsidR="005F1F7E" w:rsidP="005F1F7E" w:rsidRDefault="005F1F7E" w14:paraId="0348F1D2" w14:textId="77777777">
      <w:pPr>
        <w:tabs>
          <w:tab w:val="left" w:pos="-1440"/>
          <w:tab w:val="left" w:pos="-720"/>
          <w:tab w:val="left" w:pos="0"/>
          <w:tab w:val="left" w:pos="720"/>
          <w:tab w:val="left" w:pos="1440"/>
          <w:tab w:val="left" w:pos="2160"/>
          <w:tab w:val="left" w:pos="2880"/>
          <w:tab w:val="left" w:pos="6660"/>
          <w:tab w:val="decimal" w:pos="7920"/>
        </w:tabs>
        <w:suppressAutoHyphens/>
      </w:pPr>
    </w:p>
    <w:p w:rsidR="005F1F7E" w:rsidP="005F1F7E" w:rsidRDefault="005F1F7E" w14:paraId="2071C8F4" w14:textId="77777777">
      <w:r>
        <w:t xml:space="preserve">17.   </w:t>
      </w:r>
      <w:r w:rsidR="003C647C">
        <w:t>We are not seeking approval to not display the expiration date for OMB approval of the information collection.</w:t>
      </w:r>
    </w:p>
    <w:p w:rsidR="005F1F7E" w:rsidP="005F1F7E" w:rsidRDefault="005F1F7E" w14:paraId="4836ECF1" w14:textId="77777777"/>
    <w:p w:rsidR="005F1F7E" w:rsidP="005F1F7E" w:rsidRDefault="005F1F7E" w14:paraId="7E2CC226" w14:textId="77777777">
      <w:pPr>
        <w:tabs>
          <w:tab w:val="left" w:pos="-1440"/>
          <w:tab w:val="left" w:pos="-720"/>
          <w:tab w:val="left" w:pos="0"/>
          <w:tab w:val="left" w:pos="720"/>
          <w:tab w:val="left" w:pos="1440"/>
          <w:tab w:val="left" w:pos="2160"/>
          <w:tab w:val="left" w:pos="2880"/>
          <w:tab w:val="left" w:pos="6660"/>
          <w:tab w:val="decimal" w:pos="7920"/>
        </w:tabs>
        <w:suppressAutoHyphens/>
      </w:pPr>
      <w:r>
        <w:t xml:space="preserve">18.    </w:t>
      </w:r>
      <w:r w:rsidR="003C647C">
        <w:t>There are no exceptions to the certification statement.</w:t>
      </w:r>
    </w:p>
    <w:p w:rsidR="00407568" w:rsidP="005F1F7E" w:rsidRDefault="00407568" w14:paraId="16211B87" w14:textId="77777777">
      <w:pPr>
        <w:tabs>
          <w:tab w:val="left" w:pos="-1440"/>
          <w:tab w:val="left" w:pos="-720"/>
          <w:tab w:val="left" w:pos="0"/>
          <w:tab w:val="left" w:pos="720"/>
          <w:tab w:val="left" w:pos="1440"/>
          <w:tab w:val="left" w:pos="2160"/>
          <w:tab w:val="left" w:pos="2880"/>
          <w:tab w:val="left" w:pos="6660"/>
          <w:tab w:val="decimal" w:pos="7920"/>
        </w:tabs>
        <w:suppressAutoHyphens/>
        <w:rPr>
          <w:b/>
        </w:rPr>
      </w:pPr>
    </w:p>
    <w:p w:rsidRPr="00CA4DEC" w:rsidR="005F1F7E" w:rsidP="005F1F7E" w:rsidRDefault="005F1F7E" w14:paraId="0F29B6EE" w14:textId="77777777">
      <w:pPr>
        <w:tabs>
          <w:tab w:val="left" w:pos="-1440"/>
          <w:tab w:val="left" w:pos="-720"/>
          <w:tab w:val="left" w:pos="0"/>
          <w:tab w:val="left" w:pos="720"/>
          <w:tab w:val="left" w:pos="1440"/>
          <w:tab w:val="left" w:pos="2160"/>
          <w:tab w:val="left" w:pos="2880"/>
          <w:tab w:val="left" w:pos="6660"/>
          <w:tab w:val="decimal" w:pos="7920"/>
        </w:tabs>
        <w:suppressAutoHyphens/>
        <w:rPr>
          <w:b/>
          <w:u w:val="single"/>
        </w:rPr>
      </w:pPr>
      <w:r>
        <w:rPr>
          <w:b/>
        </w:rPr>
        <w:t>B.</w:t>
      </w:r>
      <w:r>
        <w:rPr>
          <w:b/>
        </w:rPr>
        <w:tab/>
      </w:r>
      <w:r w:rsidRPr="00CA4DEC">
        <w:rPr>
          <w:b/>
          <w:u w:val="single"/>
        </w:rPr>
        <w:t>Collections of Information Employing Statistical Methods</w:t>
      </w:r>
      <w:r>
        <w:rPr>
          <w:b/>
          <w:u w:val="single"/>
        </w:rPr>
        <w:t>:</w:t>
      </w:r>
    </w:p>
    <w:p w:rsidR="005F1F7E" w:rsidP="005F1F7E" w:rsidRDefault="005F1F7E" w14:paraId="4E5B745E" w14:textId="77777777">
      <w:pPr>
        <w:tabs>
          <w:tab w:val="left" w:pos="-1440"/>
          <w:tab w:val="left" w:pos="-720"/>
          <w:tab w:val="left" w:pos="0"/>
          <w:tab w:val="left" w:pos="720"/>
          <w:tab w:val="left" w:pos="1440"/>
          <w:tab w:val="left" w:pos="2160"/>
          <w:tab w:val="left" w:pos="2880"/>
          <w:tab w:val="left" w:pos="6660"/>
          <w:tab w:val="decimal" w:pos="7920"/>
        </w:tabs>
        <w:suppressAutoHyphens/>
        <w:rPr>
          <w:b/>
        </w:rPr>
      </w:pPr>
    </w:p>
    <w:p w:rsidR="005F1F7E" w:rsidP="00E957EC" w:rsidRDefault="005F1F7E" w14:paraId="258C24EC" w14:textId="77777777">
      <w:pPr>
        <w:tabs>
          <w:tab w:val="left" w:pos="-1440"/>
          <w:tab w:val="left" w:pos="-720"/>
          <w:tab w:val="left" w:pos="0"/>
          <w:tab w:val="left" w:pos="720"/>
          <w:tab w:val="left" w:pos="1440"/>
          <w:tab w:val="left" w:pos="2160"/>
          <w:tab w:val="left" w:pos="2880"/>
          <w:tab w:val="left" w:pos="6660"/>
          <w:tab w:val="decimal" w:pos="7920"/>
        </w:tabs>
        <w:suppressAutoHyphens/>
      </w:pPr>
      <w:r>
        <w:t>No statistical methods are employed.</w:t>
      </w:r>
    </w:p>
    <w:sectPr w:rsidR="005F1F7E" w:rsidSect="00B34F18">
      <w:headerReference w:type="default" r:id="rId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B12D3" w14:textId="77777777" w:rsidR="00DF4808" w:rsidRDefault="00DF4808">
      <w:r>
        <w:separator/>
      </w:r>
    </w:p>
  </w:endnote>
  <w:endnote w:type="continuationSeparator" w:id="0">
    <w:p w14:paraId="76882D2F" w14:textId="77777777" w:rsidR="00DF4808" w:rsidRDefault="00DF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B42B" w14:textId="77777777" w:rsidR="003624BB" w:rsidRDefault="003624BB" w:rsidP="004F10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26B54E" w14:textId="77777777" w:rsidR="003624BB" w:rsidRDefault="00362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CB1FE" w14:textId="77777777" w:rsidR="003624BB" w:rsidRDefault="003624BB" w:rsidP="004F10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31EF">
      <w:rPr>
        <w:rStyle w:val="PageNumber"/>
        <w:noProof/>
      </w:rPr>
      <w:t>1</w:t>
    </w:r>
    <w:r>
      <w:rPr>
        <w:rStyle w:val="PageNumber"/>
      </w:rPr>
      <w:fldChar w:fldCharType="end"/>
    </w:r>
  </w:p>
  <w:p w14:paraId="568548B8" w14:textId="77777777" w:rsidR="003624BB" w:rsidRDefault="00362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1455C" w14:textId="77777777" w:rsidR="00DF4808" w:rsidRDefault="00DF4808">
      <w:r>
        <w:separator/>
      </w:r>
    </w:p>
  </w:footnote>
  <w:footnote w:type="continuationSeparator" w:id="0">
    <w:p w14:paraId="406D155E" w14:textId="77777777" w:rsidR="00DF4808" w:rsidRDefault="00DF4808">
      <w:r>
        <w:continuationSeparator/>
      </w:r>
    </w:p>
  </w:footnote>
  <w:footnote w:id="1">
    <w:p w14:paraId="46576A99" w14:textId="77777777" w:rsidR="00214967" w:rsidRDefault="00214967">
      <w:pPr>
        <w:pStyle w:val="FootnoteText"/>
      </w:pPr>
      <w:r>
        <w:rPr>
          <w:rStyle w:val="FootnoteReference"/>
        </w:rPr>
        <w:footnoteRef/>
      </w:r>
      <w:r>
        <w:t xml:space="preserve"> This collection of information continues to need OMB approval because they make up the majority of their universe of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588B" w14:textId="77777777" w:rsidR="003624BB" w:rsidRPr="00331A83" w:rsidRDefault="003624BB" w:rsidP="00D629F7">
    <w:pPr>
      <w:pStyle w:val="Header"/>
      <w:rPr>
        <w:b/>
        <w:bCs/>
      </w:rPr>
    </w:pPr>
    <w:r w:rsidRPr="00331A83">
      <w:rPr>
        <w:b/>
        <w:bCs/>
      </w:rPr>
      <w:t xml:space="preserve">Surrenders of Authorizations for International </w:t>
    </w:r>
    <w:r>
      <w:rPr>
        <w:b/>
        <w:bCs/>
      </w:rPr>
      <w:tab/>
      <w:t>OMB Control No. 3060-1095</w:t>
    </w:r>
  </w:p>
  <w:p w14:paraId="04C9982D" w14:textId="77777777" w:rsidR="003624BB" w:rsidRDefault="003624BB" w:rsidP="00D629F7">
    <w:pPr>
      <w:pStyle w:val="Header"/>
      <w:rPr>
        <w:b/>
        <w:bCs/>
      </w:rPr>
    </w:pPr>
    <w:r>
      <w:rPr>
        <w:b/>
        <w:bCs/>
      </w:rPr>
      <w:t xml:space="preserve">Carrier, </w:t>
    </w:r>
    <w:r w:rsidRPr="00331A83">
      <w:rPr>
        <w:b/>
        <w:bCs/>
      </w:rPr>
      <w:t>Space Station and Earth Station Licensees</w:t>
    </w:r>
    <w:r>
      <w:rPr>
        <w:b/>
        <w:bCs/>
      </w:rPr>
      <w:tab/>
    </w:r>
    <w:r w:rsidR="00731E23">
      <w:rPr>
        <w:b/>
        <w:bCs/>
      </w:rPr>
      <w:t>September</w:t>
    </w:r>
    <w:r w:rsidR="000C376D">
      <w:rPr>
        <w:b/>
        <w:bCs/>
      </w:rPr>
      <w:t xml:space="preserve"> 2021</w:t>
    </w:r>
  </w:p>
  <w:p w14:paraId="44DFBB5B" w14:textId="77777777" w:rsidR="003624BB" w:rsidRDefault="003624BB" w:rsidP="00D629F7">
    <w:pPr>
      <w:pStyle w:val="Header"/>
      <w:rPr>
        <w:b/>
        <w:bCs/>
      </w:rPr>
    </w:pPr>
  </w:p>
  <w:p w14:paraId="56237710" w14:textId="77777777" w:rsidR="003624BB" w:rsidRPr="00331A83" w:rsidRDefault="003624BB" w:rsidP="00331A83">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C263A"/>
    <w:multiLevelType w:val="hybridMultilevel"/>
    <w:tmpl w:val="A6F6B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29"/>
    <w:rsid w:val="000011BC"/>
    <w:rsid w:val="000023E5"/>
    <w:rsid w:val="00007619"/>
    <w:rsid w:val="0000774B"/>
    <w:rsid w:val="0001023A"/>
    <w:rsid w:val="00011840"/>
    <w:rsid w:val="000173BC"/>
    <w:rsid w:val="00020388"/>
    <w:rsid w:val="00024833"/>
    <w:rsid w:val="00040BEA"/>
    <w:rsid w:val="00043FB8"/>
    <w:rsid w:val="00044528"/>
    <w:rsid w:val="000531EF"/>
    <w:rsid w:val="00053911"/>
    <w:rsid w:val="00056888"/>
    <w:rsid w:val="00060D1F"/>
    <w:rsid w:val="000611F5"/>
    <w:rsid w:val="00063F13"/>
    <w:rsid w:val="000752A5"/>
    <w:rsid w:val="0009608B"/>
    <w:rsid w:val="000A1FDA"/>
    <w:rsid w:val="000A3847"/>
    <w:rsid w:val="000A7521"/>
    <w:rsid w:val="000B110C"/>
    <w:rsid w:val="000B67E9"/>
    <w:rsid w:val="000B7EBB"/>
    <w:rsid w:val="000C2A7F"/>
    <w:rsid w:val="000C2EAE"/>
    <w:rsid w:val="000C376D"/>
    <w:rsid w:val="000D11F1"/>
    <w:rsid w:val="000D12EE"/>
    <w:rsid w:val="000D2F43"/>
    <w:rsid w:val="000E3BE6"/>
    <w:rsid w:val="000F228B"/>
    <w:rsid w:val="000F29A0"/>
    <w:rsid w:val="000F5594"/>
    <w:rsid w:val="000F5679"/>
    <w:rsid w:val="000F61E2"/>
    <w:rsid w:val="00100AF2"/>
    <w:rsid w:val="00103E2F"/>
    <w:rsid w:val="00117C10"/>
    <w:rsid w:val="001228E4"/>
    <w:rsid w:val="00133BCC"/>
    <w:rsid w:val="00135405"/>
    <w:rsid w:val="00136C32"/>
    <w:rsid w:val="00152EFB"/>
    <w:rsid w:val="00155382"/>
    <w:rsid w:val="001611C1"/>
    <w:rsid w:val="00167D99"/>
    <w:rsid w:val="0017405B"/>
    <w:rsid w:val="00175574"/>
    <w:rsid w:val="00180677"/>
    <w:rsid w:val="001818A5"/>
    <w:rsid w:val="0018419B"/>
    <w:rsid w:val="001847B5"/>
    <w:rsid w:val="00191C2A"/>
    <w:rsid w:val="0019740A"/>
    <w:rsid w:val="001A17D9"/>
    <w:rsid w:val="001A21EE"/>
    <w:rsid w:val="001B771F"/>
    <w:rsid w:val="001C1AB9"/>
    <w:rsid w:val="001D29CA"/>
    <w:rsid w:val="001E007F"/>
    <w:rsid w:val="001E0E13"/>
    <w:rsid w:val="001E41E4"/>
    <w:rsid w:val="001E6245"/>
    <w:rsid w:val="001E6AD3"/>
    <w:rsid w:val="001F15F5"/>
    <w:rsid w:val="001F289E"/>
    <w:rsid w:val="001F3A6B"/>
    <w:rsid w:val="001F55FD"/>
    <w:rsid w:val="0020278C"/>
    <w:rsid w:val="002107B8"/>
    <w:rsid w:val="00214967"/>
    <w:rsid w:val="00215788"/>
    <w:rsid w:val="002218CD"/>
    <w:rsid w:val="002233CA"/>
    <w:rsid w:val="00224E83"/>
    <w:rsid w:val="00225979"/>
    <w:rsid w:val="00225E7B"/>
    <w:rsid w:val="00230346"/>
    <w:rsid w:val="00231CF8"/>
    <w:rsid w:val="00235F5C"/>
    <w:rsid w:val="00237E73"/>
    <w:rsid w:val="00251766"/>
    <w:rsid w:val="002535EC"/>
    <w:rsid w:val="00254BD8"/>
    <w:rsid w:val="00257626"/>
    <w:rsid w:val="00266483"/>
    <w:rsid w:val="002711A5"/>
    <w:rsid w:val="002721AE"/>
    <w:rsid w:val="0027299B"/>
    <w:rsid w:val="00283B99"/>
    <w:rsid w:val="0029064F"/>
    <w:rsid w:val="00295F05"/>
    <w:rsid w:val="002A02D3"/>
    <w:rsid w:val="002A2B95"/>
    <w:rsid w:val="002B2CFE"/>
    <w:rsid w:val="002C090A"/>
    <w:rsid w:val="002C310C"/>
    <w:rsid w:val="002C4F3F"/>
    <w:rsid w:val="002C54F7"/>
    <w:rsid w:val="002D2BB4"/>
    <w:rsid w:val="002D35B1"/>
    <w:rsid w:val="002D6A47"/>
    <w:rsid w:val="002E7025"/>
    <w:rsid w:val="002F458F"/>
    <w:rsid w:val="002F49F5"/>
    <w:rsid w:val="003004AE"/>
    <w:rsid w:val="00306B18"/>
    <w:rsid w:val="00306F8D"/>
    <w:rsid w:val="003235C6"/>
    <w:rsid w:val="00331A83"/>
    <w:rsid w:val="003321B2"/>
    <w:rsid w:val="003346EB"/>
    <w:rsid w:val="00337446"/>
    <w:rsid w:val="003444CB"/>
    <w:rsid w:val="00356639"/>
    <w:rsid w:val="00361E95"/>
    <w:rsid w:val="003624BB"/>
    <w:rsid w:val="0036417C"/>
    <w:rsid w:val="0036626E"/>
    <w:rsid w:val="0037404F"/>
    <w:rsid w:val="00380278"/>
    <w:rsid w:val="00382B13"/>
    <w:rsid w:val="00390173"/>
    <w:rsid w:val="00394B93"/>
    <w:rsid w:val="003963B6"/>
    <w:rsid w:val="003B1493"/>
    <w:rsid w:val="003B5335"/>
    <w:rsid w:val="003C11C8"/>
    <w:rsid w:val="003C1D84"/>
    <w:rsid w:val="003C647C"/>
    <w:rsid w:val="003C68A1"/>
    <w:rsid w:val="003C758B"/>
    <w:rsid w:val="003D5B5E"/>
    <w:rsid w:val="003E0970"/>
    <w:rsid w:val="003E1595"/>
    <w:rsid w:val="003E5016"/>
    <w:rsid w:val="003E59DC"/>
    <w:rsid w:val="003E7DE2"/>
    <w:rsid w:val="003F1A84"/>
    <w:rsid w:val="003F4202"/>
    <w:rsid w:val="003F4FCE"/>
    <w:rsid w:val="0040100C"/>
    <w:rsid w:val="00403D13"/>
    <w:rsid w:val="00407568"/>
    <w:rsid w:val="00412DD6"/>
    <w:rsid w:val="004131E8"/>
    <w:rsid w:val="004179F4"/>
    <w:rsid w:val="004239CD"/>
    <w:rsid w:val="00424E61"/>
    <w:rsid w:val="00427811"/>
    <w:rsid w:val="00433740"/>
    <w:rsid w:val="00440B0E"/>
    <w:rsid w:val="00443828"/>
    <w:rsid w:val="004478E4"/>
    <w:rsid w:val="0045454F"/>
    <w:rsid w:val="00454A67"/>
    <w:rsid w:val="00454C0F"/>
    <w:rsid w:val="00460E3F"/>
    <w:rsid w:val="00473068"/>
    <w:rsid w:val="00474249"/>
    <w:rsid w:val="0048077E"/>
    <w:rsid w:val="00480BB0"/>
    <w:rsid w:val="00484E62"/>
    <w:rsid w:val="004912E0"/>
    <w:rsid w:val="004A12E4"/>
    <w:rsid w:val="004A4DB4"/>
    <w:rsid w:val="004A68B1"/>
    <w:rsid w:val="004B12F7"/>
    <w:rsid w:val="004B330D"/>
    <w:rsid w:val="004B41F7"/>
    <w:rsid w:val="004C57C6"/>
    <w:rsid w:val="004C77B6"/>
    <w:rsid w:val="004D48AB"/>
    <w:rsid w:val="004E5526"/>
    <w:rsid w:val="004F1092"/>
    <w:rsid w:val="004F10AA"/>
    <w:rsid w:val="004F51CD"/>
    <w:rsid w:val="004F5584"/>
    <w:rsid w:val="005012AC"/>
    <w:rsid w:val="0050280A"/>
    <w:rsid w:val="005118E3"/>
    <w:rsid w:val="00512156"/>
    <w:rsid w:val="00512468"/>
    <w:rsid w:val="005132C9"/>
    <w:rsid w:val="00514FDF"/>
    <w:rsid w:val="005205AE"/>
    <w:rsid w:val="00525060"/>
    <w:rsid w:val="00535BB4"/>
    <w:rsid w:val="00536ED0"/>
    <w:rsid w:val="005416EA"/>
    <w:rsid w:val="00543047"/>
    <w:rsid w:val="0054405D"/>
    <w:rsid w:val="00545419"/>
    <w:rsid w:val="00560B08"/>
    <w:rsid w:val="005641D5"/>
    <w:rsid w:val="00564E71"/>
    <w:rsid w:val="0056658C"/>
    <w:rsid w:val="0057033E"/>
    <w:rsid w:val="0057149D"/>
    <w:rsid w:val="00581D14"/>
    <w:rsid w:val="00582034"/>
    <w:rsid w:val="0058781B"/>
    <w:rsid w:val="00594C75"/>
    <w:rsid w:val="005967F9"/>
    <w:rsid w:val="0059710D"/>
    <w:rsid w:val="00597A09"/>
    <w:rsid w:val="005A0E65"/>
    <w:rsid w:val="005A1B27"/>
    <w:rsid w:val="005B00D2"/>
    <w:rsid w:val="005B0560"/>
    <w:rsid w:val="005B496C"/>
    <w:rsid w:val="005B6029"/>
    <w:rsid w:val="005B7202"/>
    <w:rsid w:val="005D2BE9"/>
    <w:rsid w:val="005E0C9C"/>
    <w:rsid w:val="005E12AE"/>
    <w:rsid w:val="005E234F"/>
    <w:rsid w:val="005E78E4"/>
    <w:rsid w:val="005F0B9E"/>
    <w:rsid w:val="005F1F7E"/>
    <w:rsid w:val="005F2B55"/>
    <w:rsid w:val="005F3A46"/>
    <w:rsid w:val="005F4356"/>
    <w:rsid w:val="006057A6"/>
    <w:rsid w:val="006071D9"/>
    <w:rsid w:val="0061096D"/>
    <w:rsid w:val="00615317"/>
    <w:rsid w:val="00616969"/>
    <w:rsid w:val="00616BF5"/>
    <w:rsid w:val="00624485"/>
    <w:rsid w:val="006330C8"/>
    <w:rsid w:val="006340B5"/>
    <w:rsid w:val="00641829"/>
    <w:rsid w:val="006459DA"/>
    <w:rsid w:val="00654E39"/>
    <w:rsid w:val="00655ED4"/>
    <w:rsid w:val="00665074"/>
    <w:rsid w:val="006773C1"/>
    <w:rsid w:val="00677DE8"/>
    <w:rsid w:val="0069414A"/>
    <w:rsid w:val="006A1B66"/>
    <w:rsid w:val="006A78AB"/>
    <w:rsid w:val="006B425E"/>
    <w:rsid w:val="006C62F3"/>
    <w:rsid w:val="006D05AC"/>
    <w:rsid w:val="006D3F65"/>
    <w:rsid w:val="006E1D2E"/>
    <w:rsid w:val="006E2396"/>
    <w:rsid w:val="006E75A4"/>
    <w:rsid w:val="006F18EF"/>
    <w:rsid w:val="006F2DDE"/>
    <w:rsid w:val="0070000C"/>
    <w:rsid w:val="00702354"/>
    <w:rsid w:val="00717C88"/>
    <w:rsid w:val="0072043F"/>
    <w:rsid w:val="00724D81"/>
    <w:rsid w:val="00731E23"/>
    <w:rsid w:val="00734904"/>
    <w:rsid w:val="00734A37"/>
    <w:rsid w:val="0073795D"/>
    <w:rsid w:val="00737E46"/>
    <w:rsid w:val="00744DED"/>
    <w:rsid w:val="00745CAF"/>
    <w:rsid w:val="00752725"/>
    <w:rsid w:val="0075413E"/>
    <w:rsid w:val="00756460"/>
    <w:rsid w:val="00764304"/>
    <w:rsid w:val="00765EAB"/>
    <w:rsid w:val="0077107F"/>
    <w:rsid w:val="0077289B"/>
    <w:rsid w:val="00775A8C"/>
    <w:rsid w:val="007775A5"/>
    <w:rsid w:val="0078034A"/>
    <w:rsid w:val="007808E9"/>
    <w:rsid w:val="00780DCA"/>
    <w:rsid w:val="00783B62"/>
    <w:rsid w:val="00787630"/>
    <w:rsid w:val="00787903"/>
    <w:rsid w:val="0079519B"/>
    <w:rsid w:val="00795669"/>
    <w:rsid w:val="007A659A"/>
    <w:rsid w:val="007C4B14"/>
    <w:rsid w:val="007E28C5"/>
    <w:rsid w:val="007F0AD4"/>
    <w:rsid w:val="007F0F3F"/>
    <w:rsid w:val="007F627B"/>
    <w:rsid w:val="007F74F5"/>
    <w:rsid w:val="00800949"/>
    <w:rsid w:val="008035F9"/>
    <w:rsid w:val="008040AE"/>
    <w:rsid w:val="008117C7"/>
    <w:rsid w:val="00812E72"/>
    <w:rsid w:val="00812E7E"/>
    <w:rsid w:val="00814899"/>
    <w:rsid w:val="008159FD"/>
    <w:rsid w:val="00816F71"/>
    <w:rsid w:val="0081751C"/>
    <w:rsid w:val="00820C11"/>
    <w:rsid w:val="0082545E"/>
    <w:rsid w:val="00825C47"/>
    <w:rsid w:val="008330D0"/>
    <w:rsid w:val="00842991"/>
    <w:rsid w:val="00842D2D"/>
    <w:rsid w:val="0085429B"/>
    <w:rsid w:val="0087464F"/>
    <w:rsid w:val="00890FB3"/>
    <w:rsid w:val="00897279"/>
    <w:rsid w:val="008A275C"/>
    <w:rsid w:val="008A416F"/>
    <w:rsid w:val="008A4918"/>
    <w:rsid w:val="008A7943"/>
    <w:rsid w:val="008B1583"/>
    <w:rsid w:val="008B4687"/>
    <w:rsid w:val="008B513B"/>
    <w:rsid w:val="008C0320"/>
    <w:rsid w:val="008D2E67"/>
    <w:rsid w:val="008F1A01"/>
    <w:rsid w:val="008F2155"/>
    <w:rsid w:val="00906623"/>
    <w:rsid w:val="00923CB5"/>
    <w:rsid w:val="00930C26"/>
    <w:rsid w:val="0093296B"/>
    <w:rsid w:val="00932EB7"/>
    <w:rsid w:val="009336DB"/>
    <w:rsid w:val="00935DD3"/>
    <w:rsid w:val="00941FA4"/>
    <w:rsid w:val="00942C16"/>
    <w:rsid w:val="00961C4C"/>
    <w:rsid w:val="00966906"/>
    <w:rsid w:val="00972559"/>
    <w:rsid w:val="009725FF"/>
    <w:rsid w:val="00986158"/>
    <w:rsid w:val="0098748B"/>
    <w:rsid w:val="009921F4"/>
    <w:rsid w:val="00994B0D"/>
    <w:rsid w:val="009972C6"/>
    <w:rsid w:val="00997A9C"/>
    <w:rsid w:val="009A083A"/>
    <w:rsid w:val="009A2E30"/>
    <w:rsid w:val="009C153B"/>
    <w:rsid w:val="009C5DF1"/>
    <w:rsid w:val="009C5E2E"/>
    <w:rsid w:val="009C67CB"/>
    <w:rsid w:val="009D1DC7"/>
    <w:rsid w:val="009E188F"/>
    <w:rsid w:val="009E757C"/>
    <w:rsid w:val="009E7E5D"/>
    <w:rsid w:val="009F0D8F"/>
    <w:rsid w:val="009F179D"/>
    <w:rsid w:val="009F4BD5"/>
    <w:rsid w:val="00A02910"/>
    <w:rsid w:val="00A13DAA"/>
    <w:rsid w:val="00A13EBB"/>
    <w:rsid w:val="00A15E33"/>
    <w:rsid w:val="00A241BA"/>
    <w:rsid w:val="00A26D4A"/>
    <w:rsid w:val="00A30A15"/>
    <w:rsid w:val="00A316D5"/>
    <w:rsid w:val="00A33C82"/>
    <w:rsid w:val="00A35806"/>
    <w:rsid w:val="00A36F0F"/>
    <w:rsid w:val="00A3710E"/>
    <w:rsid w:val="00A3774D"/>
    <w:rsid w:val="00A37CD6"/>
    <w:rsid w:val="00A4098E"/>
    <w:rsid w:val="00A43D60"/>
    <w:rsid w:val="00A517A3"/>
    <w:rsid w:val="00A52810"/>
    <w:rsid w:val="00A65928"/>
    <w:rsid w:val="00A73B52"/>
    <w:rsid w:val="00A818A7"/>
    <w:rsid w:val="00A834BE"/>
    <w:rsid w:val="00A8751D"/>
    <w:rsid w:val="00A9757A"/>
    <w:rsid w:val="00A977A6"/>
    <w:rsid w:val="00AA2407"/>
    <w:rsid w:val="00AB1C63"/>
    <w:rsid w:val="00AB22E8"/>
    <w:rsid w:val="00AC630A"/>
    <w:rsid w:val="00AC7A9E"/>
    <w:rsid w:val="00AD1079"/>
    <w:rsid w:val="00AD5231"/>
    <w:rsid w:val="00AE21D6"/>
    <w:rsid w:val="00AF0A96"/>
    <w:rsid w:val="00AF5075"/>
    <w:rsid w:val="00AF6FF8"/>
    <w:rsid w:val="00B01C19"/>
    <w:rsid w:val="00B0525B"/>
    <w:rsid w:val="00B05C3A"/>
    <w:rsid w:val="00B064D0"/>
    <w:rsid w:val="00B12051"/>
    <w:rsid w:val="00B15305"/>
    <w:rsid w:val="00B16C1B"/>
    <w:rsid w:val="00B178F1"/>
    <w:rsid w:val="00B17C37"/>
    <w:rsid w:val="00B235B9"/>
    <w:rsid w:val="00B3029E"/>
    <w:rsid w:val="00B34F18"/>
    <w:rsid w:val="00B4082C"/>
    <w:rsid w:val="00B42924"/>
    <w:rsid w:val="00B44392"/>
    <w:rsid w:val="00B44E8B"/>
    <w:rsid w:val="00B452D2"/>
    <w:rsid w:val="00B50D05"/>
    <w:rsid w:val="00B515D1"/>
    <w:rsid w:val="00B519C2"/>
    <w:rsid w:val="00B613B0"/>
    <w:rsid w:val="00B637DA"/>
    <w:rsid w:val="00B65391"/>
    <w:rsid w:val="00B75134"/>
    <w:rsid w:val="00B75559"/>
    <w:rsid w:val="00B765CB"/>
    <w:rsid w:val="00B82555"/>
    <w:rsid w:val="00B8364B"/>
    <w:rsid w:val="00B844B8"/>
    <w:rsid w:val="00B95357"/>
    <w:rsid w:val="00B96C7B"/>
    <w:rsid w:val="00BA5AA1"/>
    <w:rsid w:val="00BA77F8"/>
    <w:rsid w:val="00BA7ED7"/>
    <w:rsid w:val="00BB00ED"/>
    <w:rsid w:val="00BB2184"/>
    <w:rsid w:val="00BB4A6E"/>
    <w:rsid w:val="00BB744D"/>
    <w:rsid w:val="00BB7BB7"/>
    <w:rsid w:val="00BC2524"/>
    <w:rsid w:val="00BC290A"/>
    <w:rsid w:val="00BC6856"/>
    <w:rsid w:val="00BE1D6E"/>
    <w:rsid w:val="00BE1F27"/>
    <w:rsid w:val="00BE5452"/>
    <w:rsid w:val="00BF0FF6"/>
    <w:rsid w:val="00BF5D9E"/>
    <w:rsid w:val="00C0676B"/>
    <w:rsid w:val="00C07C98"/>
    <w:rsid w:val="00C1186A"/>
    <w:rsid w:val="00C1280F"/>
    <w:rsid w:val="00C16561"/>
    <w:rsid w:val="00C21918"/>
    <w:rsid w:val="00C25638"/>
    <w:rsid w:val="00C3425B"/>
    <w:rsid w:val="00C34942"/>
    <w:rsid w:val="00C3761A"/>
    <w:rsid w:val="00C532DB"/>
    <w:rsid w:val="00C54577"/>
    <w:rsid w:val="00C54601"/>
    <w:rsid w:val="00C54615"/>
    <w:rsid w:val="00C61544"/>
    <w:rsid w:val="00C61C29"/>
    <w:rsid w:val="00C74FB2"/>
    <w:rsid w:val="00C75546"/>
    <w:rsid w:val="00C90C00"/>
    <w:rsid w:val="00C95B03"/>
    <w:rsid w:val="00CA3341"/>
    <w:rsid w:val="00CA35DA"/>
    <w:rsid w:val="00CA7155"/>
    <w:rsid w:val="00CA7D27"/>
    <w:rsid w:val="00CB13B8"/>
    <w:rsid w:val="00CB1407"/>
    <w:rsid w:val="00CB1DCC"/>
    <w:rsid w:val="00CC2160"/>
    <w:rsid w:val="00CC2C18"/>
    <w:rsid w:val="00CC4973"/>
    <w:rsid w:val="00CC7E63"/>
    <w:rsid w:val="00CD4266"/>
    <w:rsid w:val="00CE2D96"/>
    <w:rsid w:val="00CF74E8"/>
    <w:rsid w:val="00D04215"/>
    <w:rsid w:val="00D07B86"/>
    <w:rsid w:val="00D1256D"/>
    <w:rsid w:val="00D15A70"/>
    <w:rsid w:val="00D15BEF"/>
    <w:rsid w:val="00D16DE5"/>
    <w:rsid w:val="00D22165"/>
    <w:rsid w:val="00D24929"/>
    <w:rsid w:val="00D25E9D"/>
    <w:rsid w:val="00D41732"/>
    <w:rsid w:val="00D50646"/>
    <w:rsid w:val="00D5089B"/>
    <w:rsid w:val="00D51C0D"/>
    <w:rsid w:val="00D5585C"/>
    <w:rsid w:val="00D56520"/>
    <w:rsid w:val="00D629F7"/>
    <w:rsid w:val="00D645E6"/>
    <w:rsid w:val="00D6538A"/>
    <w:rsid w:val="00D659D8"/>
    <w:rsid w:val="00D66416"/>
    <w:rsid w:val="00D7004C"/>
    <w:rsid w:val="00D735D4"/>
    <w:rsid w:val="00D738E6"/>
    <w:rsid w:val="00D739D5"/>
    <w:rsid w:val="00D8217F"/>
    <w:rsid w:val="00D87381"/>
    <w:rsid w:val="00D9500A"/>
    <w:rsid w:val="00D953BD"/>
    <w:rsid w:val="00D9558A"/>
    <w:rsid w:val="00DA4C09"/>
    <w:rsid w:val="00DB72DE"/>
    <w:rsid w:val="00DC020B"/>
    <w:rsid w:val="00DC4985"/>
    <w:rsid w:val="00DC61D9"/>
    <w:rsid w:val="00DC66AD"/>
    <w:rsid w:val="00DC744D"/>
    <w:rsid w:val="00DD005A"/>
    <w:rsid w:val="00DD277D"/>
    <w:rsid w:val="00DD4C82"/>
    <w:rsid w:val="00DE4813"/>
    <w:rsid w:val="00DF13AF"/>
    <w:rsid w:val="00DF157E"/>
    <w:rsid w:val="00DF1D58"/>
    <w:rsid w:val="00DF283B"/>
    <w:rsid w:val="00DF4808"/>
    <w:rsid w:val="00E07941"/>
    <w:rsid w:val="00E207E0"/>
    <w:rsid w:val="00E221FD"/>
    <w:rsid w:val="00E3144F"/>
    <w:rsid w:val="00E3357A"/>
    <w:rsid w:val="00E33EA3"/>
    <w:rsid w:val="00E41D59"/>
    <w:rsid w:val="00E46F12"/>
    <w:rsid w:val="00E55675"/>
    <w:rsid w:val="00E5797C"/>
    <w:rsid w:val="00E61285"/>
    <w:rsid w:val="00E63E15"/>
    <w:rsid w:val="00E7560C"/>
    <w:rsid w:val="00E831E2"/>
    <w:rsid w:val="00E83923"/>
    <w:rsid w:val="00E92666"/>
    <w:rsid w:val="00E9292D"/>
    <w:rsid w:val="00E957EC"/>
    <w:rsid w:val="00E97759"/>
    <w:rsid w:val="00EA280F"/>
    <w:rsid w:val="00EA37FC"/>
    <w:rsid w:val="00EA4272"/>
    <w:rsid w:val="00EA694B"/>
    <w:rsid w:val="00EB203A"/>
    <w:rsid w:val="00EB68DE"/>
    <w:rsid w:val="00ED0EC6"/>
    <w:rsid w:val="00ED3FAD"/>
    <w:rsid w:val="00EE137B"/>
    <w:rsid w:val="00EE49FF"/>
    <w:rsid w:val="00EE75A9"/>
    <w:rsid w:val="00EF1DDD"/>
    <w:rsid w:val="00F02C65"/>
    <w:rsid w:val="00F030A0"/>
    <w:rsid w:val="00F0350E"/>
    <w:rsid w:val="00F04805"/>
    <w:rsid w:val="00F04B7B"/>
    <w:rsid w:val="00F06507"/>
    <w:rsid w:val="00F12CEB"/>
    <w:rsid w:val="00F16694"/>
    <w:rsid w:val="00F17B8C"/>
    <w:rsid w:val="00F32478"/>
    <w:rsid w:val="00F33875"/>
    <w:rsid w:val="00F33E3D"/>
    <w:rsid w:val="00F346B2"/>
    <w:rsid w:val="00F43BF4"/>
    <w:rsid w:val="00F46468"/>
    <w:rsid w:val="00F502EF"/>
    <w:rsid w:val="00F50813"/>
    <w:rsid w:val="00F55546"/>
    <w:rsid w:val="00F55C79"/>
    <w:rsid w:val="00F66278"/>
    <w:rsid w:val="00F80C9B"/>
    <w:rsid w:val="00F8752E"/>
    <w:rsid w:val="00F96FB9"/>
    <w:rsid w:val="00FA1581"/>
    <w:rsid w:val="00FA1F03"/>
    <w:rsid w:val="00FB4821"/>
    <w:rsid w:val="00FB6F62"/>
    <w:rsid w:val="00FC34A1"/>
    <w:rsid w:val="00FD14BB"/>
    <w:rsid w:val="00FD1587"/>
    <w:rsid w:val="00FD18AF"/>
    <w:rsid w:val="00FE4BC3"/>
    <w:rsid w:val="00FE5D7F"/>
    <w:rsid w:val="00FE6BFB"/>
    <w:rsid w:val="00FF0F53"/>
    <w:rsid w:val="00FF613F"/>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86E431"/>
  <w15:chartTrackingRefBased/>
  <w15:docId w15:val="{6FC879FD-1456-41E5-B935-1D4420C4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31A83"/>
    <w:pPr>
      <w:tabs>
        <w:tab w:val="center" w:pos="4320"/>
        <w:tab w:val="right" w:pos="8640"/>
      </w:tabs>
    </w:pPr>
  </w:style>
  <w:style w:type="paragraph" w:styleId="Footer">
    <w:name w:val="footer"/>
    <w:basedOn w:val="Normal"/>
    <w:rsid w:val="00331A83"/>
    <w:pPr>
      <w:tabs>
        <w:tab w:val="center" w:pos="4320"/>
        <w:tab w:val="right" w:pos="8640"/>
      </w:tabs>
    </w:pPr>
  </w:style>
  <w:style w:type="paragraph" w:styleId="BalloonText">
    <w:name w:val="Balloon Text"/>
    <w:basedOn w:val="Normal"/>
    <w:semiHidden/>
    <w:rsid w:val="00382B13"/>
    <w:rPr>
      <w:rFonts w:ascii="Tahoma" w:hAnsi="Tahoma"/>
      <w:sz w:val="16"/>
      <w:szCs w:val="16"/>
    </w:rPr>
  </w:style>
  <w:style w:type="paragraph" w:styleId="FootnoteText">
    <w:name w:val="footnote text"/>
    <w:basedOn w:val="Normal"/>
    <w:semiHidden/>
    <w:rsid w:val="005A0E65"/>
    <w:rPr>
      <w:sz w:val="20"/>
      <w:szCs w:val="20"/>
    </w:rPr>
  </w:style>
  <w:style w:type="character" w:styleId="FootnoteReference">
    <w:name w:val="footnote reference"/>
    <w:semiHidden/>
    <w:rsid w:val="005A0E65"/>
    <w:rPr>
      <w:vertAlign w:val="superscript"/>
    </w:rPr>
  </w:style>
  <w:style w:type="character" w:styleId="PageNumber">
    <w:name w:val="page number"/>
    <w:basedOn w:val="DefaultParagraphFont"/>
    <w:rsid w:val="004F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5B60-2CEE-49AC-809F-F218254F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Cheryl.Williams</dc:creator>
  <cp:keywords/>
  <cp:lastModifiedBy>Cathy Williams</cp:lastModifiedBy>
  <cp:revision>2</cp:revision>
  <cp:lastPrinted>2017-09-05T18:41:00Z</cp:lastPrinted>
  <dcterms:created xsi:type="dcterms:W3CDTF">2021-09-17T00:35:00Z</dcterms:created>
  <dcterms:modified xsi:type="dcterms:W3CDTF">2021-09-17T00:35:00Z</dcterms:modified>
</cp:coreProperties>
</file>