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460F4" w:rsidR="00611B6B" w:rsidP="00E2213C" w:rsidRDefault="00E2213C" w14:paraId="137E72E6" w14:textId="77777777">
      <w:pPr>
        <w:rPr>
          <w:b/>
          <w:szCs w:val="22"/>
        </w:rPr>
      </w:pPr>
      <w:r w:rsidRPr="00AD0D71">
        <w:rPr>
          <w:b/>
          <w:szCs w:val="22"/>
        </w:rPr>
        <w:t>Inmate Calling Service</w:t>
      </w:r>
      <w:r w:rsidRPr="00F95991" w:rsidR="00131FA8">
        <w:rPr>
          <w:b/>
          <w:szCs w:val="22"/>
        </w:rPr>
        <w:t>s</w:t>
      </w:r>
      <w:r w:rsidRPr="00AB1E80">
        <w:rPr>
          <w:b/>
          <w:szCs w:val="22"/>
        </w:rPr>
        <w:t xml:space="preserve"> </w:t>
      </w:r>
      <w:r w:rsidRPr="00AB1E80" w:rsidR="00611B6B">
        <w:rPr>
          <w:b/>
          <w:szCs w:val="22"/>
        </w:rPr>
        <w:t xml:space="preserve">(ICS) </w:t>
      </w:r>
      <w:r w:rsidRPr="00AB1E80">
        <w:rPr>
          <w:b/>
          <w:szCs w:val="22"/>
        </w:rPr>
        <w:t xml:space="preserve">Provider Annual </w:t>
      </w:r>
      <w:r w:rsidRPr="004460F4" w:rsidR="00611B6B">
        <w:rPr>
          <w:b/>
          <w:szCs w:val="22"/>
        </w:rPr>
        <w:tab/>
      </w:r>
      <w:r w:rsidRPr="004460F4" w:rsidR="00611B6B">
        <w:rPr>
          <w:b/>
          <w:szCs w:val="22"/>
        </w:rPr>
        <w:tab/>
      </w:r>
      <w:r w:rsidRPr="004460F4" w:rsidR="00611B6B">
        <w:rPr>
          <w:b/>
          <w:szCs w:val="22"/>
        </w:rPr>
        <w:tab/>
      </w:r>
      <w:r w:rsidRPr="004460F4" w:rsidR="00430D37">
        <w:rPr>
          <w:b/>
          <w:szCs w:val="22"/>
        </w:rPr>
        <w:tab/>
      </w:r>
      <w:r w:rsidRPr="004460F4" w:rsidR="00430D37">
        <w:rPr>
          <w:b/>
          <w:szCs w:val="22"/>
        </w:rPr>
        <w:tab/>
      </w:r>
      <w:r w:rsidRPr="004460F4" w:rsidR="00611B6B">
        <w:rPr>
          <w:b/>
          <w:szCs w:val="22"/>
        </w:rPr>
        <w:t>3060-</w:t>
      </w:r>
      <w:r w:rsidR="00845E1B">
        <w:rPr>
          <w:b/>
          <w:szCs w:val="22"/>
        </w:rPr>
        <w:t>1222</w:t>
      </w:r>
    </w:p>
    <w:p w:rsidR="00CA439C" w:rsidP="00E2213C" w:rsidRDefault="00E2213C" w14:paraId="1809F3DA" w14:textId="33FD2B17">
      <w:pPr>
        <w:rPr>
          <w:b/>
          <w:szCs w:val="22"/>
        </w:rPr>
      </w:pPr>
      <w:r w:rsidRPr="004460F4">
        <w:rPr>
          <w:b/>
          <w:szCs w:val="22"/>
        </w:rPr>
        <w:t>Reporting, Certification, Consumer Disclosure,</w:t>
      </w:r>
      <w:r w:rsidR="00965693">
        <w:rPr>
          <w:b/>
          <w:szCs w:val="22"/>
        </w:rPr>
        <w:tab/>
      </w:r>
      <w:r w:rsidR="00965693">
        <w:rPr>
          <w:b/>
          <w:szCs w:val="22"/>
        </w:rPr>
        <w:tab/>
      </w:r>
      <w:r w:rsidR="00965693">
        <w:rPr>
          <w:b/>
          <w:szCs w:val="22"/>
        </w:rPr>
        <w:tab/>
      </w:r>
      <w:r w:rsidR="00965693">
        <w:rPr>
          <w:b/>
          <w:szCs w:val="22"/>
        </w:rPr>
        <w:tab/>
      </w:r>
      <w:r w:rsidR="00294480">
        <w:rPr>
          <w:b/>
          <w:szCs w:val="22"/>
        </w:rPr>
        <w:t xml:space="preserve">   </w:t>
      </w:r>
      <w:r w:rsidR="00777C29">
        <w:rPr>
          <w:b/>
          <w:szCs w:val="22"/>
        </w:rPr>
        <w:t xml:space="preserve"> December </w:t>
      </w:r>
      <w:r w:rsidR="00B72FBB">
        <w:rPr>
          <w:b/>
          <w:szCs w:val="22"/>
        </w:rPr>
        <w:t>2021</w:t>
      </w:r>
    </w:p>
    <w:p w:rsidRPr="004460F4" w:rsidR="00E2213C" w:rsidP="00E2213C" w:rsidRDefault="00CA439C" w14:paraId="750A8BF6" w14:textId="17FE9519">
      <w:pPr>
        <w:rPr>
          <w:b/>
          <w:szCs w:val="22"/>
          <w:u w:val="single"/>
        </w:rPr>
      </w:pPr>
      <w:r>
        <w:rPr>
          <w:b/>
          <w:szCs w:val="22"/>
        </w:rPr>
        <w:t xml:space="preserve">and Waiver </w:t>
      </w:r>
      <w:r w:rsidR="001565D2">
        <w:rPr>
          <w:b/>
          <w:szCs w:val="22"/>
        </w:rPr>
        <w:t xml:space="preserve">Request </w:t>
      </w:r>
      <w:r w:rsidR="004F5E30">
        <w:rPr>
          <w:b/>
          <w:szCs w:val="22"/>
        </w:rPr>
        <w:t>R</w:t>
      </w:r>
      <w:r>
        <w:rPr>
          <w:b/>
          <w:szCs w:val="22"/>
        </w:rPr>
        <w:t>equirements</w:t>
      </w:r>
      <w:r w:rsidRPr="004460F4" w:rsidR="00E2213C">
        <w:rPr>
          <w:b/>
          <w:szCs w:val="22"/>
        </w:rPr>
        <w:tab/>
      </w:r>
      <w:r w:rsidRPr="004460F4" w:rsidR="00E2213C">
        <w:rPr>
          <w:b/>
          <w:szCs w:val="22"/>
        </w:rPr>
        <w:tab/>
      </w:r>
      <w:r w:rsidR="0086266C">
        <w:rPr>
          <w:b/>
          <w:szCs w:val="22"/>
        </w:rPr>
        <w:t xml:space="preserve">    </w:t>
      </w:r>
      <w:r w:rsidR="00205709">
        <w:rPr>
          <w:b/>
          <w:szCs w:val="22"/>
        </w:rPr>
        <w:tab/>
      </w:r>
      <w:r>
        <w:rPr>
          <w:b/>
          <w:szCs w:val="22"/>
        </w:rPr>
        <w:tab/>
      </w:r>
      <w:r>
        <w:rPr>
          <w:b/>
          <w:szCs w:val="22"/>
        </w:rPr>
        <w:tab/>
      </w:r>
      <w:r>
        <w:rPr>
          <w:b/>
          <w:szCs w:val="22"/>
        </w:rPr>
        <w:tab/>
      </w:r>
      <w:r>
        <w:rPr>
          <w:b/>
          <w:szCs w:val="22"/>
        </w:rPr>
        <w:tab/>
      </w:r>
      <w:r>
        <w:rPr>
          <w:b/>
          <w:szCs w:val="22"/>
        </w:rPr>
        <w:tab/>
      </w:r>
    </w:p>
    <w:p w:rsidRPr="004460F4" w:rsidR="00E2213C" w:rsidP="00E2213C" w:rsidRDefault="00E2213C" w14:paraId="30A8553A" w14:textId="77777777">
      <w:pPr>
        <w:rPr>
          <w:b/>
          <w:szCs w:val="22"/>
        </w:rPr>
      </w:pPr>
      <w:r w:rsidRPr="004460F4">
        <w:rPr>
          <w:b/>
          <w:szCs w:val="22"/>
        </w:rPr>
        <w:t xml:space="preserve">WC Docket No. 12-375, FCC </w:t>
      </w:r>
      <w:r w:rsidR="00540872">
        <w:rPr>
          <w:b/>
          <w:szCs w:val="22"/>
        </w:rPr>
        <w:t>21-60</w:t>
      </w:r>
    </w:p>
    <w:p w:rsidRPr="004460F4" w:rsidR="00810818" w:rsidP="00E2213C" w:rsidRDefault="00810818" w14:paraId="44DA6B76" w14:textId="77777777">
      <w:pPr>
        <w:jc w:val="right"/>
        <w:rPr>
          <w:b/>
          <w:szCs w:val="22"/>
          <w:u w:val="single"/>
        </w:rPr>
      </w:pPr>
    </w:p>
    <w:p w:rsidRPr="004460F4" w:rsidR="007E0735" w:rsidP="006C0317" w:rsidRDefault="007E0735" w14:paraId="0A595C19" w14:textId="77777777">
      <w:pPr>
        <w:pStyle w:val="Heading3"/>
        <w:numPr>
          <w:ilvl w:val="0"/>
          <w:numId w:val="0"/>
        </w:numPr>
        <w:ind w:left="1440"/>
        <w:jc w:val="center"/>
        <w:rPr>
          <w:b w:val="0"/>
          <w:szCs w:val="22"/>
        </w:rPr>
      </w:pPr>
      <w:r w:rsidRPr="004460F4">
        <w:rPr>
          <w:szCs w:val="22"/>
        </w:rPr>
        <w:t>SUPPORTING STATEMENT</w:t>
      </w:r>
    </w:p>
    <w:p w:rsidRPr="004460F4" w:rsidR="007A4A45" w:rsidP="007A4A45" w:rsidRDefault="007A4A45" w14:paraId="212ED079" w14:textId="77777777">
      <w:pPr>
        <w:rPr>
          <w:szCs w:val="22"/>
        </w:rPr>
      </w:pPr>
    </w:p>
    <w:p w:rsidRPr="004460F4" w:rsidR="007A4A45" w:rsidP="00CA240C" w:rsidRDefault="0085271E" w14:paraId="1C007DF0" w14:textId="16FA3DA8">
      <w:pPr>
        <w:pStyle w:val="Numberedparagraphs"/>
        <w:numPr>
          <w:ilvl w:val="0"/>
          <w:numId w:val="0"/>
        </w:numPr>
        <w:tabs>
          <w:tab w:val="clear" w:pos="1440"/>
          <w:tab w:val="left" w:pos="720"/>
        </w:tabs>
        <w:rPr>
          <w:szCs w:val="22"/>
        </w:rPr>
      </w:pPr>
      <w:r>
        <w:rPr>
          <w:szCs w:val="22"/>
        </w:rPr>
        <w:tab/>
      </w:r>
      <w:r w:rsidRPr="004460F4" w:rsidR="007A4A45">
        <w:rPr>
          <w:szCs w:val="22"/>
        </w:rPr>
        <w:t>This submission is being made pursuant to 44 U.S.C. §</w:t>
      </w:r>
      <w:r w:rsidR="00B05097">
        <w:t> </w:t>
      </w:r>
      <w:r w:rsidRPr="004460F4" w:rsidR="007A4A45">
        <w:rPr>
          <w:szCs w:val="22"/>
        </w:rPr>
        <w:t>3507 of</w:t>
      </w:r>
      <w:r w:rsidRPr="004460F4" w:rsidR="004153C5">
        <w:rPr>
          <w:szCs w:val="22"/>
        </w:rPr>
        <w:t xml:space="preserve"> the</w:t>
      </w:r>
      <w:r w:rsidRPr="004460F4" w:rsidR="007A4A45">
        <w:rPr>
          <w:szCs w:val="22"/>
        </w:rPr>
        <w:t xml:space="preserve"> Paperwork Reduction Act of 1995 to </w:t>
      </w:r>
      <w:r w:rsidR="00845E1B">
        <w:rPr>
          <w:szCs w:val="22"/>
        </w:rPr>
        <w:t xml:space="preserve">revise an </w:t>
      </w:r>
      <w:r w:rsidRPr="004460F4" w:rsidR="007A4A45">
        <w:rPr>
          <w:szCs w:val="22"/>
        </w:rPr>
        <w:t xml:space="preserve">existing </w:t>
      </w:r>
      <w:r w:rsidR="00845E1B">
        <w:rPr>
          <w:szCs w:val="22"/>
        </w:rPr>
        <w:t xml:space="preserve">information collection in order to obtain the </w:t>
      </w:r>
      <w:r w:rsidRPr="004460F4" w:rsidR="007A4A45">
        <w:rPr>
          <w:szCs w:val="22"/>
        </w:rPr>
        <w:t xml:space="preserve">Office of Management and Budget (OMB) approval </w:t>
      </w:r>
      <w:r w:rsidR="00845E1B">
        <w:rPr>
          <w:szCs w:val="22"/>
        </w:rPr>
        <w:t xml:space="preserve">for </w:t>
      </w:r>
      <w:r w:rsidRPr="004460F4" w:rsidR="007A4A45">
        <w:rPr>
          <w:szCs w:val="22"/>
        </w:rPr>
        <w:t>the full three-year clearance</w:t>
      </w:r>
      <w:bookmarkStart w:name="_Hlk79445181" w:id="0"/>
      <w:r w:rsidR="001C4D5C">
        <w:rPr>
          <w:szCs w:val="22"/>
        </w:rPr>
        <w:t>.</w:t>
      </w:r>
    </w:p>
    <w:bookmarkEnd w:id="0"/>
    <w:p w:rsidRPr="00AB1E80" w:rsidR="00B9212C" w:rsidP="00B9212C" w:rsidRDefault="00B9212C" w14:paraId="59EC1AB5" w14:textId="77777777">
      <w:pPr>
        <w:pStyle w:val="ListParagraph"/>
        <w:numPr>
          <w:ilvl w:val="0"/>
          <w:numId w:val="11"/>
        </w:numPr>
        <w:rPr>
          <w:b/>
          <w:szCs w:val="22"/>
          <w:u w:val="single"/>
        </w:rPr>
      </w:pPr>
      <w:r w:rsidRPr="00AB1E80">
        <w:rPr>
          <w:b/>
          <w:szCs w:val="22"/>
          <w:u w:val="single"/>
        </w:rPr>
        <w:t>Justification:</w:t>
      </w:r>
    </w:p>
    <w:p w:rsidRPr="004460F4" w:rsidR="00B9212C" w:rsidP="00B9212C" w:rsidRDefault="00B9212C" w14:paraId="51C96646" w14:textId="77777777">
      <w:pPr>
        <w:pStyle w:val="ListParagraph"/>
        <w:rPr>
          <w:szCs w:val="22"/>
        </w:rPr>
      </w:pPr>
    </w:p>
    <w:p w:rsidRPr="00AC68A8" w:rsidR="00F358ED" w:rsidP="00BA50EC" w:rsidRDefault="00F358ED" w14:paraId="36656113" w14:textId="77777777">
      <w:pPr>
        <w:rPr>
          <w:b/>
          <w:szCs w:val="22"/>
        </w:rPr>
      </w:pPr>
      <w:r w:rsidRPr="00AC68A8">
        <w:rPr>
          <w:b/>
          <w:i/>
          <w:szCs w:val="22"/>
        </w:rPr>
        <w:t>Circumstances that make the collection necessary</w:t>
      </w:r>
      <w:r w:rsidRPr="00AC68A8">
        <w:rPr>
          <w:b/>
          <w:szCs w:val="22"/>
        </w:rPr>
        <w:t>:</w:t>
      </w:r>
    </w:p>
    <w:p w:rsidRPr="004460F4" w:rsidR="007E0735" w:rsidP="007E0735" w:rsidRDefault="007E0735" w14:paraId="6A49E0FA" w14:textId="77777777">
      <w:pPr>
        <w:pStyle w:val="ParaNum"/>
        <w:numPr>
          <w:ilvl w:val="0"/>
          <w:numId w:val="0"/>
        </w:numPr>
        <w:tabs>
          <w:tab w:val="left" w:pos="1440"/>
        </w:tabs>
        <w:spacing w:after="0"/>
        <w:rPr>
          <w:szCs w:val="22"/>
        </w:rPr>
      </w:pPr>
    </w:p>
    <w:p w:rsidR="00585311" w:rsidP="00BD4B01" w:rsidRDefault="007E0735" w14:paraId="18739298" w14:textId="6D34BAF8">
      <w:pPr>
        <w:ind w:firstLine="720"/>
        <w:rPr>
          <w:szCs w:val="22"/>
        </w:rPr>
      </w:pPr>
      <w:r w:rsidRPr="004460F4">
        <w:rPr>
          <w:szCs w:val="22"/>
        </w:rPr>
        <w:t xml:space="preserve">1.  </w:t>
      </w:r>
      <w:r w:rsidR="00C14039">
        <w:rPr>
          <w:szCs w:val="22"/>
        </w:rPr>
        <w:t>Inmate Calling Services (</w:t>
      </w:r>
      <w:r w:rsidR="00055E4A">
        <w:rPr>
          <w:szCs w:val="22"/>
        </w:rPr>
        <w:t>ICS</w:t>
      </w:r>
      <w:r w:rsidR="00C14039">
        <w:rPr>
          <w:szCs w:val="22"/>
        </w:rPr>
        <w:t>)</w:t>
      </w:r>
      <w:r w:rsidR="00055E4A">
        <w:rPr>
          <w:szCs w:val="22"/>
        </w:rPr>
        <w:t xml:space="preserve"> </w:t>
      </w:r>
      <w:r w:rsidRPr="004460F4" w:rsidR="00FF6908">
        <w:rPr>
          <w:szCs w:val="22"/>
        </w:rPr>
        <w:t xml:space="preserve">allow </w:t>
      </w:r>
      <w:r w:rsidR="00A10ECF">
        <w:rPr>
          <w:szCs w:val="22"/>
        </w:rPr>
        <w:t>incarcerated people</w:t>
      </w:r>
      <w:r w:rsidRPr="004460F4" w:rsidR="00FF6908">
        <w:rPr>
          <w:szCs w:val="22"/>
        </w:rPr>
        <w:t xml:space="preserve"> to make calls to individuals outside the correctional facilit</w:t>
      </w:r>
      <w:r w:rsidRPr="004460F4" w:rsidR="009063AF">
        <w:rPr>
          <w:szCs w:val="22"/>
        </w:rPr>
        <w:t>ies</w:t>
      </w:r>
      <w:r w:rsidRPr="004460F4" w:rsidR="00FF6908">
        <w:rPr>
          <w:szCs w:val="22"/>
        </w:rPr>
        <w:t xml:space="preserve"> where </w:t>
      </w:r>
      <w:r w:rsidRPr="004460F4" w:rsidR="009063AF">
        <w:rPr>
          <w:szCs w:val="22"/>
        </w:rPr>
        <w:t>they are</w:t>
      </w:r>
      <w:r w:rsidRPr="004460F4" w:rsidR="00FF6908">
        <w:rPr>
          <w:szCs w:val="22"/>
        </w:rPr>
        <w:t xml:space="preserve"> being held, regardless of the technology used to deliver the service.  </w:t>
      </w:r>
      <w:r w:rsidRPr="004460F4" w:rsidR="0026132B">
        <w:rPr>
          <w:szCs w:val="22"/>
        </w:rPr>
        <w:t xml:space="preserve">Section 201 of the Communications Act of 1934 Act, as amended </w:t>
      </w:r>
      <w:r w:rsidRPr="004460F4" w:rsidR="009063AF">
        <w:rPr>
          <w:szCs w:val="22"/>
        </w:rPr>
        <w:t>(</w:t>
      </w:r>
      <w:r w:rsidR="00734E07">
        <w:rPr>
          <w:szCs w:val="22"/>
        </w:rPr>
        <w:t xml:space="preserve">the </w:t>
      </w:r>
      <w:r w:rsidRPr="004460F4" w:rsidR="009063AF">
        <w:rPr>
          <w:szCs w:val="22"/>
        </w:rPr>
        <w:t xml:space="preserve">Act), </w:t>
      </w:r>
      <w:r w:rsidRPr="004460F4" w:rsidR="0026132B">
        <w:rPr>
          <w:szCs w:val="22"/>
        </w:rPr>
        <w:t xml:space="preserve">47 U.S.C. </w:t>
      </w:r>
      <w:r w:rsidRPr="004460F4" w:rsidR="007A7A22">
        <w:rPr>
          <w:szCs w:val="22"/>
        </w:rPr>
        <w:t>§</w:t>
      </w:r>
      <w:r w:rsidR="00846EF6">
        <w:rPr>
          <w:szCs w:val="22"/>
        </w:rPr>
        <w:t> </w:t>
      </w:r>
      <w:r w:rsidRPr="00AB1E80" w:rsidR="0026132B">
        <w:rPr>
          <w:szCs w:val="22"/>
        </w:rPr>
        <w:t>201</w:t>
      </w:r>
      <w:r w:rsidR="00640B4E">
        <w:rPr>
          <w:szCs w:val="22"/>
        </w:rPr>
        <w:t>(b)</w:t>
      </w:r>
      <w:r w:rsidRPr="00AB1E80" w:rsidR="0026132B">
        <w:rPr>
          <w:szCs w:val="22"/>
        </w:rPr>
        <w:t xml:space="preserve">, requires that </w:t>
      </w:r>
      <w:r w:rsidRPr="00AB1E80" w:rsidR="00BB5F7C">
        <w:rPr>
          <w:szCs w:val="22"/>
        </w:rPr>
        <w:t xml:space="preserve">ICS </w:t>
      </w:r>
      <w:r w:rsidRPr="004460F4" w:rsidR="0026132B">
        <w:rPr>
          <w:szCs w:val="22"/>
        </w:rPr>
        <w:t xml:space="preserve">providers’ </w:t>
      </w:r>
      <w:r w:rsidRPr="004460F4" w:rsidR="004153C5">
        <w:rPr>
          <w:szCs w:val="22"/>
        </w:rPr>
        <w:t xml:space="preserve">interstate and international </w:t>
      </w:r>
      <w:r w:rsidRPr="004460F4" w:rsidR="0026132B">
        <w:rPr>
          <w:szCs w:val="22"/>
        </w:rPr>
        <w:t>rates and practices be just and reasonable.</w:t>
      </w:r>
      <w:r w:rsidRPr="004460F4" w:rsidR="009063AF">
        <w:rPr>
          <w:szCs w:val="22"/>
        </w:rPr>
        <w:t xml:space="preserve"> </w:t>
      </w:r>
      <w:r w:rsidRPr="004460F4" w:rsidR="0026132B">
        <w:rPr>
          <w:szCs w:val="22"/>
        </w:rPr>
        <w:t xml:space="preserve"> Section 276 of the Act, 47 U.S.C. </w:t>
      </w:r>
      <w:r w:rsidRPr="004460F4" w:rsidR="007A7A22">
        <w:rPr>
          <w:szCs w:val="22"/>
        </w:rPr>
        <w:t>§</w:t>
      </w:r>
      <w:r w:rsidR="001D190E">
        <w:rPr>
          <w:szCs w:val="22"/>
        </w:rPr>
        <w:t> </w:t>
      </w:r>
      <w:r w:rsidRPr="00AB1E80" w:rsidR="0026132B">
        <w:rPr>
          <w:szCs w:val="22"/>
        </w:rPr>
        <w:t xml:space="preserve">276, requires that payphone service providers (including </w:t>
      </w:r>
      <w:r w:rsidRPr="004460F4" w:rsidR="0026132B">
        <w:rPr>
          <w:szCs w:val="22"/>
        </w:rPr>
        <w:t>ICS providers) be fairly compensated</w:t>
      </w:r>
      <w:r w:rsidRPr="004460F4" w:rsidR="00FE7DC4">
        <w:rPr>
          <w:szCs w:val="22"/>
        </w:rPr>
        <w:t xml:space="preserve"> for completed calls</w:t>
      </w:r>
      <w:r w:rsidRPr="004460F4" w:rsidR="0026132B">
        <w:rPr>
          <w:szCs w:val="22"/>
        </w:rPr>
        <w:t>.</w:t>
      </w:r>
      <w:r w:rsidR="002C09DB">
        <w:rPr>
          <w:szCs w:val="22"/>
        </w:rPr>
        <w:t xml:space="preserve">  </w:t>
      </w:r>
    </w:p>
    <w:p w:rsidRPr="00447E7B" w:rsidR="00447E7B" w:rsidP="002A425B" w:rsidRDefault="00447E7B" w14:paraId="6305CC49" w14:textId="77777777">
      <w:pPr>
        <w:rPr>
          <w:b/>
          <w:i/>
          <w:szCs w:val="22"/>
        </w:rPr>
      </w:pPr>
    </w:p>
    <w:p w:rsidR="00BD73E9" w:rsidP="00BD73E9" w:rsidRDefault="00BD73E9" w14:paraId="4078AEDD" w14:textId="24CBC5AA">
      <w:pPr>
        <w:pStyle w:val="ParaNumChar1"/>
        <w:tabs>
          <w:tab w:val="clear" w:pos="1080"/>
          <w:tab w:val="clear" w:pos="1440"/>
          <w:tab w:val="left" w:pos="720"/>
        </w:tabs>
        <w:ind w:firstLine="0"/>
        <w:rPr>
          <w:szCs w:val="22"/>
        </w:rPr>
      </w:pPr>
      <w:r>
        <w:rPr>
          <w:szCs w:val="22"/>
        </w:rPr>
        <w:tab/>
      </w:r>
      <w:r w:rsidRPr="000C1163" w:rsidR="000C1163">
        <w:rPr>
          <w:i/>
          <w:szCs w:val="22"/>
        </w:rPr>
        <w:t>Annual Report</w:t>
      </w:r>
      <w:r w:rsidR="0070336D">
        <w:rPr>
          <w:i/>
          <w:szCs w:val="22"/>
        </w:rPr>
        <w:t>s</w:t>
      </w:r>
      <w:r w:rsidR="000C1163">
        <w:rPr>
          <w:szCs w:val="22"/>
        </w:rPr>
        <w:t xml:space="preserve">.  </w:t>
      </w:r>
      <w:r>
        <w:rPr>
          <w:szCs w:val="22"/>
        </w:rPr>
        <w:t xml:space="preserve">In the </w:t>
      </w:r>
      <w:r>
        <w:rPr>
          <w:i/>
          <w:szCs w:val="22"/>
        </w:rPr>
        <w:t xml:space="preserve">2015 ICS </w:t>
      </w:r>
      <w:r w:rsidRPr="004460F4">
        <w:rPr>
          <w:i/>
          <w:szCs w:val="22"/>
        </w:rPr>
        <w:t>Order,</w:t>
      </w:r>
      <w:r w:rsidRPr="009F3BD2">
        <w:rPr>
          <w:rStyle w:val="FootnoteReference"/>
        </w:rPr>
        <w:footnoteReference w:id="2"/>
      </w:r>
      <w:r w:rsidRPr="00AB1E80">
        <w:rPr>
          <w:szCs w:val="22"/>
        </w:rPr>
        <w:t xml:space="preserve"> </w:t>
      </w:r>
      <w:r>
        <w:rPr>
          <w:szCs w:val="22"/>
        </w:rPr>
        <w:t xml:space="preserve">the Commission </w:t>
      </w:r>
      <w:r w:rsidRPr="004460F4">
        <w:rPr>
          <w:szCs w:val="22"/>
        </w:rPr>
        <w:t>undertook comprehensive reform of the ICS marketplace.</w:t>
      </w:r>
      <w:r w:rsidRPr="00AB1E80">
        <w:rPr>
          <w:szCs w:val="22"/>
        </w:rPr>
        <w:t xml:space="preserve">  </w:t>
      </w:r>
      <w:r w:rsidRPr="004460F4">
        <w:rPr>
          <w:szCs w:val="22"/>
        </w:rPr>
        <w:t xml:space="preserve">To enable the Commission to </w:t>
      </w:r>
      <w:bookmarkStart w:name="_Hlk27407176" w:id="1"/>
      <w:r>
        <w:rPr>
          <w:szCs w:val="22"/>
        </w:rPr>
        <w:t xml:space="preserve">monitor </w:t>
      </w:r>
      <w:r w:rsidRPr="004460F4">
        <w:rPr>
          <w:szCs w:val="22"/>
        </w:rPr>
        <w:t xml:space="preserve">and track trends in the </w:t>
      </w:r>
      <w:r w:rsidRPr="00CA240C">
        <w:rPr>
          <w:szCs w:val="22"/>
        </w:rPr>
        <w:t xml:space="preserve">ICS marketplace, </w:t>
      </w:r>
      <w:r>
        <w:rPr>
          <w:szCs w:val="22"/>
        </w:rPr>
        <w:t xml:space="preserve">increase provider transparency, </w:t>
      </w:r>
      <w:r w:rsidRPr="00CA240C">
        <w:rPr>
          <w:szCs w:val="22"/>
        </w:rPr>
        <w:t xml:space="preserve">and </w:t>
      </w:r>
      <w:r>
        <w:rPr>
          <w:szCs w:val="22"/>
        </w:rPr>
        <w:t xml:space="preserve">ensure </w:t>
      </w:r>
      <w:r w:rsidRPr="00CA240C">
        <w:rPr>
          <w:szCs w:val="22"/>
        </w:rPr>
        <w:t>compliance with the</w:t>
      </w:r>
      <w:bookmarkEnd w:id="1"/>
      <w:r>
        <w:rPr>
          <w:szCs w:val="22"/>
        </w:rPr>
        <w:t xml:space="preserve"> Commission’s rules</w:t>
      </w:r>
      <w:r w:rsidRPr="00CA240C">
        <w:rPr>
          <w:szCs w:val="22"/>
        </w:rPr>
        <w:t xml:space="preserve">, the Commission required all ICS providers to file </w:t>
      </w:r>
      <w:r>
        <w:rPr>
          <w:szCs w:val="22"/>
        </w:rPr>
        <w:t>A</w:t>
      </w:r>
      <w:r w:rsidRPr="00CA240C">
        <w:rPr>
          <w:szCs w:val="22"/>
        </w:rPr>
        <w:t xml:space="preserve">nnual </w:t>
      </w:r>
      <w:r>
        <w:rPr>
          <w:szCs w:val="22"/>
        </w:rPr>
        <w:t>R</w:t>
      </w:r>
      <w:r w:rsidRPr="00CA240C">
        <w:rPr>
          <w:szCs w:val="22"/>
        </w:rPr>
        <w:t xml:space="preserve">eports providing </w:t>
      </w:r>
      <w:r w:rsidR="00C14039">
        <w:rPr>
          <w:szCs w:val="22"/>
        </w:rPr>
        <w:t xml:space="preserve">ICS rate </w:t>
      </w:r>
      <w:r w:rsidRPr="00CA240C">
        <w:rPr>
          <w:szCs w:val="22"/>
        </w:rPr>
        <w:t>data and other information on their ICS operations.</w:t>
      </w:r>
      <w:r w:rsidRPr="00CA240C">
        <w:rPr>
          <w:rStyle w:val="FootnoteReference"/>
          <w:szCs w:val="22"/>
        </w:rPr>
        <w:footnoteReference w:id="3"/>
      </w:r>
      <w:r w:rsidRPr="00CA240C">
        <w:rPr>
          <w:szCs w:val="22"/>
        </w:rPr>
        <w:t xml:space="preserve"> </w:t>
      </w:r>
      <w:r>
        <w:rPr>
          <w:szCs w:val="22"/>
        </w:rPr>
        <w:t xml:space="preserve"> </w:t>
      </w:r>
      <w:r w:rsidRPr="004460F4">
        <w:rPr>
          <w:szCs w:val="22"/>
        </w:rPr>
        <w:t xml:space="preserve">Pursuant to the authority delegated to it by the Commission in the </w:t>
      </w:r>
      <w:r w:rsidRPr="004460F4">
        <w:rPr>
          <w:i/>
          <w:szCs w:val="22"/>
        </w:rPr>
        <w:t>2015 Order</w:t>
      </w:r>
      <w:r w:rsidRPr="004460F4">
        <w:rPr>
          <w:szCs w:val="22"/>
        </w:rPr>
        <w:t>,</w:t>
      </w:r>
      <w:r>
        <w:rPr>
          <w:rStyle w:val="FootnoteReference"/>
          <w:szCs w:val="22"/>
        </w:rPr>
        <w:footnoteReference w:id="4"/>
      </w:r>
      <w:r w:rsidRPr="004460F4">
        <w:rPr>
          <w:szCs w:val="22"/>
        </w:rPr>
        <w:t xml:space="preserve"> the Wireline Competition Bureau (Bureau) created </w:t>
      </w:r>
      <w:r w:rsidR="008C1FA0">
        <w:rPr>
          <w:szCs w:val="22"/>
        </w:rPr>
        <w:t xml:space="preserve">a </w:t>
      </w:r>
      <w:r w:rsidRPr="004460F4">
        <w:rPr>
          <w:szCs w:val="22"/>
        </w:rPr>
        <w:t xml:space="preserve">standardized </w:t>
      </w:r>
      <w:r>
        <w:rPr>
          <w:szCs w:val="22"/>
        </w:rPr>
        <w:t xml:space="preserve">reporting </w:t>
      </w:r>
      <w:r w:rsidRPr="004460F4">
        <w:rPr>
          <w:bCs/>
          <w:szCs w:val="22"/>
        </w:rPr>
        <w:t xml:space="preserve">template </w:t>
      </w:r>
      <w:r>
        <w:rPr>
          <w:bCs/>
          <w:szCs w:val="22"/>
        </w:rPr>
        <w:t xml:space="preserve">(FCC Form 2301(a)) as well as instructions to guide providers through the reporting process. </w:t>
      </w:r>
      <w:r w:rsidR="008C1FA0">
        <w:rPr>
          <w:bCs/>
          <w:szCs w:val="22"/>
        </w:rPr>
        <w:t xml:space="preserve"> </w:t>
      </w:r>
      <w:r w:rsidRPr="004460F4">
        <w:rPr>
          <w:bCs/>
          <w:szCs w:val="22"/>
        </w:rPr>
        <w:t xml:space="preserve">The </w:t>
      </w:r>
      <w:r>
        <w:rPr>
          <w:bCs/>
          <w:szCs w:val="22"/>
        </w:rPr>
        <w:t xml:space="preserve">instructions explain </w:t>
      </w:r>
      <w:r w:rsidRPr="004460F4">
        <w:rPr>
          <w:bCs/>
          <w:szCs w:val="22"/>
        </w:rPr>
        <w:t xml:space="preserve">the reporting requirements and </w:t>
      </w:r>
      <w:r w:rsidRPr="004460F4">
        <w:rPr>
          <w:szCs w:val="22"/>
        </w:rPr>
        <w:t xml:space="preserve">reduce the </w:t>
      </w:r>
      <w:r w:rsidRPr="004460F4">
        <w:rPr>
          <w:bCs/>
          <w:szCs w:val="22"/>
        </w:rPr>
        <w:t>burden of the data collection.</w:t>
      </w:r>
    </w:p>
    <w:p w:rsidR="000C1163" w:rsidP="00BD73E9" w:rsidRDefault="000C1163" w14:paraId="69B833A6" w14:textId="66BF8FDE">
      <w:pPr>
        <w:pStyle w:val="ParaNumChar1"/>
        <w:tabs>
          <w:tab w:val="clear" w:pos="1080"/>
          <w:tab w:val="clear" w:pos="1440"/>
          <w:tab w:val="left" w:pos="720"/>
        </w:tabs>
        <w:ind w:firstLine="0"/>
        <w:rPr>
          <w:szCs w:val="22"/>
        </w:rPr>
      </w:pPr>
      <w:r>
        <w:rPr>
          <w:szCs w:val="22"/>
        </w:rPr>
        <w:tab/>
      </w:r>
      <w:r w:rsidRPr="000C1163">
        <w:rPr>
          <w:i/>
          <w:szCs w:val="22"/>
        </w:rPr>
        <w:t>Certification</w:t>
      </w:r>
      <w:r w:rsidR="0070336D">
        <w:rPr>
          <w:i/>
          <w:szCs w:val="22"/>
        </w:rPr>
        <w:t xml:space="preserve"> Requirement</w:t>
      </w:r>
      <w:r>
        <w:rPr>
          <w:szCs w:val="22"/>
        </w:rPr>
        <w:t xml:space="preserve">.  The Commission also required that an officer of each ICS provider certify annually as to the accuracy of the data and other information submitted in the provider’s Annual Report.  </w:t>
      </w:r>
      <w:r w:rsidRPr="004460F4" w:rsidR="008C1FA0">
        <w:rPr>
          <w:szCs w:val="22"/>
        </w:rPr>
        <w:t xml:space="preserve">Pursuant to </w:t>
      </w:r>
      <w:r w:rsidR="008C1FA0">
        <w:rPr>
          <w:szCs w:val="22"/>
        </w:rPr>
        <w:t xml:space="preserve">its delegated </w:t>
      </w:r>
      <w:r w:rsidRPr="004460F4" w:rsidR="008C1FA0">
        <w:rPr>
          <w:szCs w:val="22"/>
        </w:rPr>
        <w:t>authority</w:t>
      </w:r>
      <w:r w:rsidR="008C1FA0">
        <w:rPr>
          <w:szCs w:val="22"/>
        </w:rPr>
        <w:t>,</w:t>
      </w:r>
      <w:r w:rsidR="008C1FA0">
        <w:rPr>
          <w:rStyle w:val="FootnoteReference"/>
          <w:szCs w:val="22"/>
        </w:rPr>
        <w:footnoteReference w:id="5"/>
      </w:r>
      <w:r w:rsidRPr="004460F4" w:rsidR="008C1FA0">
        <w:rPr>
          <w:szCs w:val="22"/>
        </w:rPr>
        <w:t xml:space="preserve"> </w:t>
      </w:r>
      <w:r w:rsidR="00CB6449">
        <w:rPr>
          <w:szCs w:val="22"/>
        </w:rPr>
        <w:t xml:space="preserve">the </w:t>
      </w:r>
      <w:r w:rsidRPr="004460F4" w:rsidR="008C1FA0">
        <w:rPr>
          <w:szCs w:val="22"/>
        </w:rPr>
        <w:t xml:space="preserve">Bureau created </w:t>
      </w:r>
      <w:r w:rsidR="00F059EA">
        <w:rPr>
          <w:szCs w:val="22"/>
        </w:rPr>
        <w:t xml:space="preserve">a </w:t>
      </w:r>
      <w:r w:rsidR="00CB6449">
        <w:rPr>
          <w:szCs w:val="22"/>
        </w:rPr>
        <w:t xml:space="preserve">form </w:t>
      </w:r>
      <w:r w:rsidR="008C1FA0">
        <w:rPr>
          <w:bCs/>
          <w:szCs w:val="22"/>
        </w:rPr>
        <w:t>(FCC Form 2301(</w:t>
      </w:r>
      <w:r w:rsidR="00294480">
        <w:rPr>
          <w:bCs/>
          <w:szCs w:val="22"/>
        </w:rPr>
        <w:t>b</w:t>
      </w:r>
      <w:r w:rsidR="008C1FA0">
        <w:rPr>
          <w:bCs/>
          <w:szCs w:val="22"/>
        </w:rPr>
        <w:t xml:space="preserve">)) </w:t>
      </w:r>
      <w:r w:rsidR="00CB6449">
        <w:rPr>
          <w:bCs/>
          <w:szCs w:val="22"/>
        </w:rPr>
        <w:t>and related instructions</w:t>
      </w:r>
      <w:r w:rsidR="00F059EA">
        <w:rPr>
          <w:bCs/>
          <w:szCs w:val="22"/>
        </w:rPr>
        <w:t xml:space="preserve"> for this certification</w:t>
      </w:r>
      <w:r w:rsidR="00AC6A1D">
        <w:rPr>
          <w:bCs/>
          <w:szCs w:val="22"/>
        </w:rPr>
        <w:t>, which also requires that the officer certify as</w:t>
      </w:r>
      <w:r w:rsidR="00F059EA">
        <w:rPr>
          <w:szCs w:val="22"/>
        </w:rPr>
        <w:t xml:space="preserve"> to the provider’s compliance with the Commission’s ICS rules</w:t>
      </w:r>
      <w:r w:rsidR="00AC6A1D">
        <w:rPr>
          <w:szCs w:val="22"/>
        </w:rPr>
        <w:t>.</w:t>
      </w:r>
    </w:p>
    <w:p w:rsidR="000C1163" w:rsidP="00BD73E9" w:rsidRDefault="000C1163" w14:paraId="42282078" w14:textId="5B724C3F">
      <w:pPr>
        <w:pStyle w:val="ParaNumChar1"/>
        <w:tabs>
          <w:tab w:val="clear" w:pos="1080"/>
          <w:tab w:val="clear" w:pos="1440"/>
          <w:tab w:val="left" w:pos="720"/>
        </w:tabs>
        <w:ind w:firstLine="0"/>
        <w:rPr>
          <w:szCs w:val="22"/>
        </w:rPr>
      </w:pPr>
      <w:r>
        <w:rPr>
          <w:szCs w:val="22"/>
        </w:rPr>
        <w:tab/>
      </w:r>
      <w:r w:rsidRPr="000C1163">
        <w:rPr>
          <w:i/>
          <w:szCs w:val="22"/>
        </w:rPr>
        <w:t>Consumer Disclosure Requirement</w:t>
      </w:r>
      <w:r w:rsidR="00353536">
        <w:rPr>
          <w:i/>
          <w:szCs w:val="22"/>
        </w:rPr>
        <w:t>s</w:t>
      </w:r>
      <w:r>
        <w:rPr>
          <w:szCs w:val="22"/>
        </w:rPr>
        <w:t>.  The Commission</w:t>
      </w:r>
      <w:r w:rsidR="00C14039">
        <w:rPr>
          <w:szCs w:val="22"/>
        </w:rPr>
        <w:t xml:space="preserve"> further</w:t>
      </w:r>
      <w:r>
        <w:rPr>
          <w:szCs w:val="22"/>
        </w:rPr>
        <w:t xml:space="preserve"> </w:t>
      </w:r>
      <w:r w:rsidRPr="004460F4" w:rsidR="00517CC9">
        <w:rPr>
          <w:szCs w:val="22"/>
        </w:rPr>
        <w:t>required ICS providers to disclose to consumers their interstate, intrastate, and international rates and ancillary service charges</w:t>
      </w:r>
      <w:r w:rsidR="00EF0645">
        <w:rPr>
          <w:szCs w:val="22"/>
        </w:rPr>
        <w:t xml:space="preserve"> on their websites </w:t>
      </w:r>
      <w:r w:rsidR="00517CC9">
        <w:rPr>
          <w:szCs w:val="22"/>
        </w:rPr>
        <w:t>or in another reasonable manner readily available to consumers.</w:t>
      </w:r>
      <w:r w:rsidR="00517CC9">
        <w:rPr>
          <w:rStyle w:val="FootnoteReference"/>
          <w:szCs w:val="22"/>
        </w:rPr>
        <w:footnoteReference w:id="6"/>
      </w:r>
      <w:r w:rsidR="00517CC9">
        <w:rPr>
          <w:szCs w:val="22"/>
        </w:rPr>
        <w:t xml:space="preserve">  </w:t>
      </w:r>
      <w:r w:rsidRPr="004460F4" w:rsidR="00517CC9">
        <w:rPr>
          <w:szCs w:val="22"/>
        </w:rPr>
        <w:t xml:space="preserve">The Commission did not dictate the precise form of the consumer disclosure, but stated that it would evaluate disclosures for reasonableness based on a number of factors, including disclosure of information regarding all material </w:t>
      </w:r>
      <w:r w:rsidRPr="004460F4" w:rsidR="00517CC9">
        <w:rPr>
          <w:szCs w:val="22"/>
        </w:rPr>
        <w:lastRenderedPageBreak/>
        <w:t>charges and use of plain language that can be readily understood by end users.</w:t>
      </w:r>
      <w:r>
        <w:rPr>
          <w:szCs w:val="22"/>
        </w:rPr>
        <w:t xml:space="preserve"> </w:t>
      </w:r>
    </w:p>
    <w:p w:rsidRPr="00B9102C" w:rsidR="00BD73E9" w:rsidP="00BD73E9" w:rsidRDefault="00BD73E9" w14:paraId="70D935C4" w14:textId="1C5B22B8">
      <w:pPr>
        <w:pStyle w:val="ParaNumChar1"/>
        <w:tabs>
          <w:tab w:val="clear" w:pos="1080"/>
          <w:tab w:val="clear" w:pos="1440"/>
          <w:tab w:val="left" w:pos="720"/>
        </w:tabs>
        <w:ind w:firstLine="0"/>
        <w:rPr>
          <w:szCs w:val="22"/>
        </w:rPr>
      </w:pPr>
      <w:r>
        <w:rPr>
          <w:szCs w:val="22"/>
        </w:rPr>
        <w:tab/>
        <w:t>As part of the continued administration of this data collection, the Commission in 2020 revised this collection to amend the instructions and template for the Annual Reports in order to improve the quality of the information collected.</w:t>
      </w:r>
      <w:r>
        <w:rPr>
          <w:rStyle w:val="FootnoteReference"/>
          <w:szCs w:val="22"/>
        </w:rPr>
        <w:footnoteReference w:id="7"/>
      </w:r>
      <w:r>
        <w:rPr>
          <w:szCs w:val="22"/>
        </w:rPr>
        <w:t xml:space="preserve"> </w:t>
      </w:r>
      <w:r w:rsidR="002414D1">
        <w:rPr>
          <w:szCs w:val="22"/>
        </w:rPr>
        <w:t xml:space="preserve"> </w:t>
      </w:r>
      <w:r>
        <w:rPr>
          <w:szCs w:val="22"/>
        </w:rPr>
        <w:t>These revisions reflected formal and informal input from ICS providers</w:t>
      </w:r>
      <w:r w:rsidR="00294480">
        <w:rPr>
          <w:szCs w:val="22"/>
        </w:rPr>
        <w:t>,</w:t>
      </w:r>
      <w:r>
        <w:rPr>
          <w:szCs w:val="22"/>
        </w:rPr>
        <w:t xml:space="preserve"> as well as the Commission’s staff experience in analyzing the Annual Reports.  The amended instructions </w:t>
      </w:r>
      <w:r w:rsidR="00294480">
        <w:rPr>
          <w:szCs w:val="22"/>
        </w:rPr>
        <w:t xml:space="preserve">were </w:t>
      </w:r>
      <w:r>
        <w:rPr>
          <w:szCs w:val="22"/>
        </w:rPr>
        <w:t xml:space="preserve">clearer </w:t>
      </w:r>
      <w:r w:rsidR="00294480">
        <w:rPr>
          <w:szCs w:val="22"/>
        </w:rPr>
        <w:t xml:space="preserve">than the original instructions </w:t>
      </w:r>
      <w:r>
        <w:rPr>
          <w:szCs w:val="22"/>
        </w:rPr>
        <w:t xml:space="preserve">and </w:t>
      </w:r>
      <w:r w:rsidR="00294480">
        <w:rPr>
          <w:szCs w:val="22"/>
        </w:rPr>
        <w:t xml:space="preserve">resulted in </w:t>
      </w:r>
      <w:r>
        <w:rPr>
          <w:szCs w:val="22"/>
        </w:rPr>
        <w:t>A</w:t>
      </w:r>
      <w:r w:rsidRPr="004460F4">
        <w:rPr>
          <w:szCs w:val="22"/>
        </w:rPr>
        <w:t xml:space="preserve">nnual </w:t>
      </w:r>
      <w:r>
        <w:rPr>
          <w:szCs w:val="22"/>
        </w:rPr>
        <w:t>R</w:t>
      </w:r>
      <w:r w:rsidRPr="004460F4">
        <w:rPr>
          <w:szCs w:val="22"/>
        </w:rPr>
        <w:t>eport</w:t>
      </w:r>
      <w:r>
        <w:rPr>
          <w:szCs w:val="22"/>
        </w:rPr>
        <w:t xml:space="preserve">s </w:t>
      </w:r>
      <w:r w:rsidR="00294480">
        <w:rPr>
          <w:szCs w:val="22"/>
        </w:rPr>
        <w:t xml:space="preserve">that were </w:t>
      </w:r>
      <w:r>
        <w:rPr>
          <w:szCs w:val="22"/>
        </w:rPr>
        <w:t xml:space="preserve">easier to understand and </w:t>
      </w:r>
      <w:r w:rsidRPr="004460F4">
        <w:rPr>
          <w:szCs w:val="22"/>
        </w:rPr>
        <w:t>analyze</w:t>
      </w:r>
      <w:r>
        <w:rPr>
          <w:szCs w:val="22"/>
        </w:rPr>
        <w:t>.</w:t>
      </w:r>
    </w:p>
    <w:p w:rsidR="00473B5E" w:rsidP="00B9212C" w:rsidRDefault="00BD73E9" w14:paraId="1AC06688" w14:textId="4D385E8C">
      <w:pPr>
        <w:pStyle w:val="ParaNumChar1"/>
        <w:tabs>
          <w:tab w:val="clear" w:pos="1080"/>
          <w:tab w:val="clear" w:pos="1440"/>
          <w:tab w:val="left" w:pos="720"/>
        </w:tabs>
        <w:ind w:firstLine="0"/>
        <w:rPr>
          <w:szCs w:val="22"/>
        </w:rPr>
      </w:pPr>
      <w:r>
        <w:rPr>
          <w:szCs w:val="22"/>
        </w:rPr>
        <w:tab/>
        <w:t xml:space="preserve">On May 24, 2021, the Commission released the </w:t>
      </w:r>
      <w:r w:rsidRPr="002F23A4">
        <w:rPr>
          <w:i/>
          <w:szCs w:val="22"/>
        </w:rPr>
        <w:t xml:space="preserve">2021 </w:t>
      </w:r>
      <w:r w:rsidRPr="00CD0EAF">
        <w:rPr>
          <w:i/>
          <w:szCs w:val="22"/>
        </w:rPr>
        <w:t>ICS</w:t>
      </w:r>
      <w:r w:rsidRPr="002F23A4">
        <w:rPr>
          <w:i/>
          <w:szCs w:val="22"/>
        </w:rPr>
        <w:t xml:space="preserve"> Order</w:t>
      </w:r>
      <w:r>
        <w:rPr>
          <w:szCs w:val="22"/>
        </w:rPr>
        <w:t>,</w:t>
      </w:r>
      <w:r>
        <w:rPr>
          <w:rStyle w:val="FootnoteReference"/>
          <w:szCs w:val="22"/>
        </w:rPr>
        <w:footnoteReference w:id="8"/>
      </w:r>
      <w:r>
        <w:rPr>
          <w:szCs w:val="22"/>
        </w:rPr>
        <w:t xml:space="preserve"> in which it continued its reform of the ICS marketplace.  The Commission revised its rules by adopting, </w:t>
      </w:r>
      <w:r w:rsidRPr="00D82691">
        <w:rPr>
          <w:i/>
          <w:szCs w:val="22"/>
        </w:rPr>
        <w:t>inter alia</w:t>
      </w:r>
      <w:r>
        <w:rPr>
          <w:szCs w:val="22"/>
        </w:rPr>
        <w:t>, lower interim rate caps for interstate calls, new interim rate caps for international calls, and a rate cap structure that requires ICS providers to differentiate between legally</w:t>
      </w:r>
      <w:r w:rsidR="0063331F">
        <w:rPr>
          <w:szCs w:val="22"/>
        </w:rPr>
        <w:t>-</w:t>
      </w:r>
      <w:r>
        <w:rPr>
          <w:szCs w:val="22"/>
        </w:rPr>
        <w:t>mandated and contractually</w:t>
      </w:r>
      <w:r w:rsidR="0063331F">
        <w:rPr>
          <w:szCs w:val="22"/>
        </w:rPr>
        <w:t>-</w:t>
      </w:r>
      <w:r w:rsidR="00FA2453">
        <w:rPr>
          <w:szCs w:val="22"/>
        </w:rPr>
        <w:t xml:space="preserve">prescribed </w:t>
      </w:r>
      <w:r>
        <w:rPr>
          <w:szCs w:val="22"/>
        </w:rPr>
        <w:t xml:space="preserve">site commissions. </w:t>
      </w:r>
      <w:r w:rsidR="00577140">
        <w:rPr>
          <w:szCs w:val="22"/>
        </w:rPr>
        <w:t xml:space="preserve"> </w:t>
      </w:r>
      <w:r w:rsidR="00521908">
        <w:rPr>
          <w:szCs w:val="22"/>
        </w:rPr>
        <w:t>The reforms also included expanded consumer disclosure requirements</w:t>
      </w:r>
      <w:r w:rsidR="00294480">
        <w:rPr>
          <w:szCs w:val="22"/>
        </w:rPr>
        <w:t>,</w:t>
      </w:r>
      <w:r w:rsidR="00521908">
        <w:rPr>
          <w:szCs w:val="22"/>
        </w:rPr>
        <w:t xml:space="preserve"> as well as new reporting requirements for ICS providers seeking waiver of the Commission’s interstate and international rate caps. </w:t>
      </w:r>
      <w:r w:rsidR="00375B34">
        <w:rPr>
          <w:szCs w:val="22"/>
        </w:rPr>
        <w:t xml:space="preserve"> </w:t>
      </w:r>
    </w:p>
    <w:p w:rsidR="00935F0A" w:rsidP="00AC536F" w:rsidRDefault="00473B5E" w14:paraId="43F934B5" w14:textId="2428DBE5">
      <w:pPr>
        <w:pStyle w:val="ParaNumChar1"/>
        <w:tabs>
          <w:tab w:val="clear" w:pos="1080"/>
          <w:tab w:val="clear" w:pos="1440"/>
          <w:tab w:val="left" w:pos="720"/>
        </w:tabs>
        <w:ind w:firstLine="0"/>
        <w:rPr>
          <w:sz w:val="20"/>
        </w:rPr>
      </w:pPr>
      <w:r>
        <w:rPr>
          <w:i/>
          <w:szCs w:val="22"/>
        </w:rPr>
        <w:tab/>
      </w:r>
      <w:r w:rsidRPr="004460F4">
        <w:rPr>
          <w:i/>
          <w:szCs w:val="22"/>
        </w:rPr>
        <w:t xml:space="preserve">Consumer </w:t>
      </w:r>
      <w:r w:rsidR="00577140">
        <w:rPr>
          <w:i/>
          <w:szCs w:val="22"/>
        </w:rPr>
        <w:t xml:space="preserve">Disclosure </w:t>
      </w:r>
      <w:r>
        <w:rPr>
          <w:i/>
          <w:szCs w:val="22"/>
        </w:rPr>
        <w:t>Requirement</w:t>
      </w:r>
      <w:r w:rsidR="00D235A3">
        <w:rPr>
          <w:i/>
          <w:szCs w:val="22"/>
        </w:rPr>
        <w:t>s</w:t>
      </w:r>
      <w:r>
        <w:rPr>
          <w:szCs w:val="22"/>
        </w:rPr>
        <w:t xml:space="preserve">. </w:t>
      </w:r>
      <w:r w:rsidR="0077620F">
        <w:rPr>
          <w:szCs w:val="22"/>
        </w:rPr>
        <w:t xml:space="preserve"> </w:t>
      </w:r>
      <w:r w:rsidR="000F26DC">
        <w:rPr>
          <w:szCs w:val="22"/>
        </w:rPr>
        <w:t xml:space="preserve">The rules adopted in the </w:t>
      </w:r>
      <w:r w:rsidRPr="002F23A4" w:rsidR="000F26DC">
        <w:rPr>
          <w:i/>
          <w:szCs w:val="22"/>
        </w:rPr>
        <w:t xml:space="preserve">2021 </w:t>
      </w:r>
      <w:r w:rsidRPr="00CD0EAF" w:rsidR="000F26DC">
        <w:rPr>
          <w:i/>
          <w:szCs w:val="22"/>
        </w:rPr>
        <w:t>ICS</w:t>
      </w:r>
      <w:r w:rsidRPr="002F23A4" w:rsidR="000F26DC">
        <w:rPr>
          <w:i/>
          <w:szCs w:val="22"/>
        </w:rPr>
        <w:t xml:space="preserve"> Order</w:t>
      </w:r>
      <w:r w:rsidR="000F26DC">
        <w:rPr>
          <w:szCs w:val="22"/>
        </w:rPr>
        <w:t xml:space="preserve"> </w:t>
      </w:r>
      <w:r w:rsidR="00D14BEB">
        <w:rPr>
          <w:szCs w:val="22"/>
        </w:rPr>
        <w:t xml:space="preserve">limit the amounts ICS providers </w:t>
      </w:r>
      <w:r w:rsidR="00071B2A">
        <w:rPr>
          <w:szCs w:val="22"/>
        </w:rPr>
        <w:t xml:space="preserve">may </w:t>
      </w:r>
      <w:r w:rsidR="00D14BEB">
        <w:rPr>
          <w:szCs w:val="22"/>
        </w:rPr>
        <w:t>charge consumers for</w:t>
      </w:r>
      <w:r w:rsidR="000F26DC">
        <w:rPr>
          <w:szCs w:val="22"/>
        </w:rPr>
        <w:t xml:space="preserve"> site commissions payments that ICS providers make to institutions that operate prisons or jails with average daily populations of 1,000 or greater</w:t>
      </w:r>
      <w:r w:rsidR="00D14BEB">
        <w:rPr>
          <w:szCs w:val="22"/>
        </w:rPr>
        <w:t xml:space="preserve">. </w:t>
      </w:r>
      <w:r w:rsidR="000F26DC">
        <w:rPr>
          <w:szCs w:val="22"/>
        </w:rPr>
        <w:t xml:space="preserve"> </w:t>
      </w:r>
      <w:r w:rsidR="00D14BEB">
        <w:rPr>
          <w:szCs w:val="22"/>
        </w:rPr>
        <w:t xml:space="preserve">Those rules specify that any such charges </w:t>
      </w:r>
      <w:r w:rsidR="00294480">
        <w:rPr>
          <w:szCs w:val="22"/>
        </w:rPr>
        <w:t xml:space="preserve">must be recovered through </w:t>
      </w:r>
      <w:r w:rsidR="00D14BEB">
        <w:rPr>
          <w:szCs w:val="22"/>
        </w:rPr>
        <w:t xml:space="preserve">one of two types of </w:t>
      </w:r>
      <w:r w:rsidR="00CD16CE">
        <w:rPr>
          <w:szCs w:val="22"/>
        </w:rPr>
        <w:t>rate components</w:t>
      </w:r>
      <w:r w:rsidR="00D14BEB">
        <w:rPr>
          <w:szCs w:val="22"/>
        </w:rPr>
        <w:t xml:space="preserve">—either a </w:t>
      </w:r>
      <w:r w:rsidRPr="00B35B06" w:rsidR="004E5F49">
        <w:rPr>
          <w:szCs w:val="22"/>
        </w:rPr>
        <w:t>legally</w:t>
      </w:r>
      <w:r w:rsidR="004E5F49">
        <w:rPr>
          <w:szCs w:val="22"/>
        </w:rPr>
        <w:t>-</w:t>
      </w:r>
      <w:r w:rsidRPr="00B35B06" w:rsidR="00D14BEB">
        <w:rPr>
          <w:szCs w:val="22"/>
        </w:rPr>
        <w:t xml:space="preserve">mandated facility rate component or </w:t>
      </w:r>
      <w:r w:rsidR="00D14BEB">
        <w:rPr>
          <w:szCs w:val="22"/>
        </w:rPr>
        <w:t xml:space="preserve">a </w:t>
      </w:r>
      <w:r w:rsidRPr="00B35B06" w:rsidR="00D14BEB">
        <w:rPr>
          <w:szCs w:val="22"/>
        </w:rPr>
        <w:t>contractually</w:t>
      </w:r>
      <w:r w:rsidR="004E5F49">
        <w:rPr>
          <w:szCs w:val="22"/>
        </w:rPr>
        <w:t>-</w:t>
      </w:r>
      <w:r w:rsidRPr="00B35B06" w:rsidR="00D14BEB">
        <w:rPr>
          <w:szCs w:val="22"/>
        </w:rPr>
        <w:t>prescribed facility rate componen</w:t>
      </w:r>
      <w:r w:rsidR="00D14BEB">
        <w:rPr>
          <w:szCs w:val="22"/>
        </w:rPr>
        <w:t>t.</w:t>
      </w:r>
      <w:r w:rsidR="0059607A">
        <w:rPr>
          <w:szCs w:val="22"/>
        </w:rPr>
        <w:t xml:space="preserve"> </w:t>
      </w:r>
      <w:r w:rsidR="00D14BEB">
        <w:rPr>
          <w:szCs w:val="22"/>
        </w:rPr>
        <w:t xml:space="preserve"> The expanded consumer disclosure requirements </w:t>
      </w:r>
      <w:r w:rsidR="00A41A32">
        <w:rPr>
          <w:szCs w:val="22"/>
        </w:rPr>
        <w:t xml:space="preserve">adopted in the </w:t>
      </w:r>
      <w:r w:rsidR="00A41A32">
        <w:rPr>
          <w:i/>
          <w:iCs/>
          <w:szCs w:val="22"/>
        </w:rPr>
        <w:t xml:space="preserve">2021 ICS Order </w:t>
      </w:r>
      <w:r w:rsidR="00D14BEB">
        <w:rPr>
          <w:szCs w:val="22"/>
        </w:rPr>
        <w:t xml:space="preserve">require that ICS </w:t>
      </w:r>
      <w:r w:rsidRPr="00B35B06" w:rsidR="00B35B06">
        <w:rPr>
          <w:szCs w:val="22"/>
        </w:rPr>
        <w:t>providers clearly label the</w:t>
      </w:r>
      <w:r w:rsidR="00935F0A">
        <w:rPr>
          <w:szCs w:val="22"/>
        </w:rPr>
        <w:t xml:space="preserve">se </w:t>
      </w:r>
      <w:r w:rsidRPr="00B35B06" w:rsidR="00B35B06">
        <w:rPr>
          <w:szCs w:val="22"/>
        </w:rPr>
        <w:t>rate component</w:t>
      </w:r>
      <w:r w:rsidR="00935F0A">
        <w:rPr>
          <w:szCs w:val="22"/>
        </w:rPr>
        <w:t>s</w:t>
      </w:r>
      <w:r w:rsidRPr="00B35B06" w:rsidR="00B35B06">
        <w:rPr>
          <w:szCs w:val="22"/>
        </w:rPr>
        <w:t xml:space="preserve"> as</w:t>
      </w:r>
      <w:r w:rsidR="00935F0A">
        <w:rPr>
          <w:szCs w:val="22"/>
        </w:rPr>
        <w:t xml:space="preserve"> </w:t>
      </w:r>
      <w:r w:rsidRPr="00B35B06" w:rsidR="00B35B06">
        <w:rPr>
          <w:szCs w:val="22"/>
        </w:rPr>
        <w:t>separate line item</w:t>
      </w:r>
      <w:r w:rsidR="00935F0A">
        <w:rPr>
          <w:szCs w:val="22"/>
        </w:rPr>
        <w:t>s</w:t>
      </w:r>
      <w:r w:rsidRPr="00B35B06" w:rsidR="00B35B06">
        <w:rPr>
          <w:szCs w:val="22"/>
        </w:rPr>
        <w:t xml:space="preserve"> on consumer bills.</w:t>
      </w:r>
      <w:r w:rsidR="00994A41">
        <w:rPr>
          <w:rStyle w:val="FootnoteReference"/>
          <w:szCs w:val="22"/>
        </w:rPr>
        <w:footnoteReference w:id="9"/>
      </w:r>
      <w:r w:rsidRPr="00B35B06" w:rsidR="00B35B06">
        <w:rPr>
          <w:szCs w:val="22"/>
        </w:rPr>
        <w:t xml:space="preserve">  </w:t>
      </w:r>
      <w:r w:rsidR="00C8251A">
        <w:rPr>
          <w:szCs w:val="22"/>
        </w:rPr>
        <w:t xml:space="preserve">The Commission </w:t>
      </w:r>
      <w:r w:rsidR="00935F0A">
        <w:rPr>
          <w:szCs w:val="22"/>
        </w:rPr>
        <w:t xml:space="preserve">specified that that </w:t>
      </w:r>
      <w:r w:rsidR="00071B2A">
        <w:rPr>
          <w:szCs w:val="22"/>
        </w:rPr>
        <w:t xml:space="preserve">these </w:t>
      </w:r>
      <w:r w:rsidR="00935F0A">
        <w:rPr>
          <w:szCs w:val="22"/>
        </w:rPr>
        <w:t>rate component</w:t>
      </w:r>
      <w:r w:rsidR="00071B2A">
        <w:rPr>
          <w:szCs w:val="22"/>
        </w:rPr>
        <w:t xml:space="preserve">s </w:t>
      </w:r>
      <w:r w:rsidR="00935F0A">
        <w:rPr>
          <w:szCs w:val="22"/>
        </w:rPr>
        <w:t xml:space="preserve">would be considered </w:t>
      </w:r>
      <w:r w:rsidR="0001349F">
        <w:rPr>
          <w:szCs w:val="22"/>
        </w:rPr>
        <w:t>clearly label</w:t>
      </w:r>
      <w:r w:rsidR="00935F0A">
        <w:rPr>
          <w:szCs w:val="22"/>
        </w:rPr>
        <w:t>ed only if:</w:t>
      </w:r>
      <w:r w:rsidRPr="00DD2B63" w:rsidR="00935F0A">
        <w:rPr>
          <w:sz w:val="20"/>
        </w:rPr>
        <w:t xml:space="preserve"> </w:t>
      </w:r>
    </w:p>
    <w:p w:rsidRPr="003E24F0" w:rsidR="00935F0A" w:rsidP="00E818CE" w:rsidRDefault="00935F0A" w14:paraId="405BEEB7" w14:textId="1EE02198">
      <w:pPr>
        <w:pStyle w:val="ParaNumChar1"/>
        <w:tabs>
          <w:tab w:val="clear" w:pos="1080"/>
          <w:tab w:val="clear" w:pos="1440"/>
          <w:tab w:val="left" w:pos="720"/>
        </w:tabs>
        <w:ind w:left="720" w:firstLine="0"/>
        <w:rPr>
          <w:szCs w:val="22"/>
        </w:rPr>
      </w:pPr>
      <w:r w:rsidRPr="003E24F0">
        <w:rPr>
          <w:szCs w:val="22"/>
        </w:rPr>
        <w:t xml:space="preserve">(1) </w:t>
      </w:r>
      <w:r w:rsidRPr="003E24F0" w:rsidR="00071B2A">
        <w:rPr>
          <w:szCs w:val="22"/>
        </w:rPr>
        <w:t>The</w:t>
      </w:r>
      <w:r w:rsidRPr="003E24F0">
        <w:rPr>
          <w:szCs w:val="22"/>
        </w:rPr>
        <w:t xml:space="preserve"> </w:t>
      </w:r>
      <w:r w:rsidRPr="003E24F0" w:rsidR="00071B2A">
        <w:rPr>
          <w:szCs w:val="22"/>
        </w:rPr>
        <w:t xml:space="preserve">bill </w:t>
      </w:r>
      <w:r w:rsidRPr="003E24F0">
        <w:rPr>
          <w:szCs w:val="22"/>
        </w:rPr>
        <w:t>identif</w:t>
      </w:r>
      <w:r w:rsidRPr="003E24F0" w:rsidR="00071B2A">
        <w:rPr>
          <w:szCs w:val="22"/>
        </w:rPr>
        <w:t>ies</w:t>
      </w:r>
      <w:r w:rsidRPr="003E24F0">
        <w:rPr>
          <w:szCs w:val="22"/>
        </w:rPr>
        <w:t xml:space="preserve"> the Provider’s obligation to pay a </w:t>
      </w:r>
      <w:r w:rsidRPr="003E24F0" w:rsidR="0065747C">
        <w:rPr>
          <w:szCs w:val="22"/>
        </w:rPr>
        <w:t>S</w:t>
      </w:r>
      <w:r w:rsidRPr="003E24F0">
        <w:rPr>
          <w:szCs w:val="22"/>
        </w:rPr>
        <w:t xml:space="preserve">ite Commission as either </w:t>
      </w:r>
      <w:r w:rsidR="00A3066B">
        <w:rPr>
          <w:szCs w:val="22"/>
        </w:rPr>
        <w:t>(</w:t>
      </w:r>
      <w:r w:rsidR="008944EA">
        <w:rPr>
          <w:szCs w:val="22"/>
        </w:rPr>
        <w:t>i</w:t>
      </w:r>
      <w:r w:rsidR="00A3066B">
        <w:rPr>
          <w:szCs w:val="22"/>
        </w:rPr>
        <w:t xml:space="preserve">) </w:t>
      </w:r>
      <w:r w:rsidRPr="003E24F0">
        <w:rPr>
          <w:szCs w:val="22"/>
        </w:rPr>
        <w:t xml:space="preserve">imposed by state statutes or laws or regulations that are adopted pursuant to state administrative procedure </w:t>
      </w:r>
      <w:r w:rsidR="00AB0E80">
        <w:rPr>
          <w:szCs w:val="22"/>
        </w:rPr>
        <w:t>statutes</w:t>
      </w:r>
      <w:r w:rsidRPr="003E24F0" w:rsidR="00A3066B">
        <w:rPr>
          <w:szCs w:val="22"/>
        </w:rPr>
        <w:t xml:space="preserve"> </w:t>
      </w:r>
      <w:r w:rsidRPr="003E24F0">
        <w:rPr>
          <w:szCs w:val="22"/>
        </w:rPr>
        <w:t xml:space="preserve">where there is notice and opportunity for public comment that operates independently of the contracting process between Correctional </w:t>
      </w:r>
      <w:r w:rsidRPr="003E24F0" w:rsidR="00033827">
        <w:rPr>
          <w:szCs w:val="22"/>
        </w:rPr>
        <w:t>I</w:t>
      </w:r>
      <w:r w:rsidRPr="003E24F0">
        <w:rPr>
          <w:szCs w:val="22"/>
        </w:rPr>
        <w:t>nstitutions and Providers or</w:t>
      </w:r>
      <w:r w:rsidR="00A3066B">
        <w:rPr>
          <w:szCs w:val="22"/>
        </w:rPr>
        <w:t xml:space="preserve"> (</w:t>
      </w:r>
      <w:r w:rsidR="008944EA">
        <w:rPr>
          <w:szCs w:val="22"/>
        </w:rPr>
        <w:t>ii</w:t>
      </w:r>
      <w:r w:rsidR="00A3066B">
        <w:rPr>
          <w:szCs w:val="22"/>
        </w:rPr>
        <w:t>)</w:t>
      </w:r>
      <w:r w:rsidRPr="003E24F0">
        <w:rPr>
          <w:szCs w:val="22"/>
        </w:rPr>
        <w:t xml:space="preserve"> subject to a contract with the Correctional Facility; </w:t>
      </w:r>
    </w:p>
    <w:p w:rsidRPr="003E24F0" w:rsidR="00935F0A" w:rsidP="00E818CE" w:rsidRDefault="00935F0A" w14:paraId="6C58A394" w14:textId="50AA149A">
      <w:pPr>
        <w:pStyle w:val="ParaNumChar1"/>
        <w:tabs>
          <w:tab w:val="clear" w:pos="1080"/>
          <w:tab w:val="clear" w:pos="1440"/>
          <w:tab w:val="left" w:pos="720"/>
        </w:tabs>
        <w:ind w:left="720" w:firstLine="0"/>
        <w:rPr>
          <w:szCs w:val="22"/>
        </w:rPr>
      </w:pPr>
      <w:r w:rsidRPr="003E24F0">
        <w:rPr>
          <w:szCs w:val="22"/>
        </w:rPr>
        <w:t xml:space="preserve">(2) Where the Site Commission is imposed by state statute, or law or regulation adopted pursuant to state administrative procedure statutes where there is notice and an opportunity for public comment and that operates independently of the contracting process between correctional institutions and providers, </w:t>
      </w:r>
      <w:r w:rsidRPr="003E24F0" w:rsidR="00071B2A">
        <w:rPr>
          <w:szCs w:val="22"/>
        </w:rPr>
        <w:t xml:space="preserve">the bill </w:t>
      </w:r>
      <w:r w:rsidRPr="003E24F0">
        <w:rPr>
          <w:szCs w:val="22"/>
        </w:rPr>
        <w:t>specif</w:t>
      </w:r>
      <w:r w:rsidRPr="003E24F0" w:rsidR="00071B2A">
        <w:rPr>
          <w:szCs w:val="22"/>
        </w:rPr>
        <w:t>ies</w:t>
      </w:r>
      <w:r w:rsidRPr="003E24F0">
        <w:rPr>
          <w:szCs w:val="22"/>
        </w:rPr>
        <w:t xml:space="preserve"> the relevant statute, law or regulation; </w:t>
      </w:r>
    </w:p>
    <w:p w:rsidRPr="003E24F0" w:rsidR="00935F0A" w:rsidP="00E818CE" w:rsidRDefault="00935F0A" w14:paraId="4D3D5F5C" w14:textId="1B881469">
      <w:pPr>
        <w:pStyle w:val="ParaNumChar1"/>
        <w:tabs>
          <w:tab w:val="clear" w:pos="1080"/>
          <w:tab w:val="clear" w:pos="1440"/>
          <w:tab w:val="left" w:pos="720"/>
        </w:tabs>
        <w:ind w:left="720" w:firstLine="0"/>
        <w:rPr>
          <w:szCs w:val="22"/>
        </w:rPr>
      </w:pPr>
      <w:r w:rsidRPr="003E24F0">
        <w:rPr>
          <w:szCs w:val="22"/>
        </w:rPr>
        <w:t xml:space="preserve">(3) </w:t>
      </w:r>
      <w:r w:rsidRPr="003E24F0" w:rsidR="00071B2A">
        <w:rPr>
          <w:szCs w:val="22"/>
        </w:rPr>
        <w:t>The bill i</w:t>
      </w:r>
      <w:r w:rsidRPr="003E24F0">
        <w:rPr>
          <w:szCs w:val="22"/>
        </w:rPr>
        <w:t>dentif</w:t>
      </w:r>
      <w:r w:rsidRPr="003E24F0" w:rsidR="00071B2A">
        <w:rPr>
          <w:szCs w:val="22"/>
        </w:rPr>
        <w:t>ies</w:t>
      </w:r>
      <w:r w:rsidRPr="003E24F0">
        <w:rPr>
          <w:szCs w:val="22"/>
        </w:rPr>
        <w:t xml:space="preserve"> the amount of the </w:t>
      </w:r>
      <w:r w:rsidR="00A3066B">
        <w:rPr>
          <w:szCs w:val="22"/>
        </w:rPr>
        <w:t>S</w:t>
      </w:r>
      <w:r w:rsidRPr="003E24F0">
        <w:rPr>
          <w:szCs w:val="22"/>
        </w:rPr>
        <w:t xml:space="preserve">ite </w:t>
      </w:r>
      <w:r w:rsidR="00A3066B">
        <w:rPr>
          <w:szCs w:val="22"/>
        </w:rPr>
        <w:t>C</w:t>
      </w:r>
      <w:r w:rsidRPr="003E24F0">
        <w:rPr>
          <w:szCs w:val="22"/>
        </w:rPr>
        <w:t xml:space="preserve">ommission payment, expressed as a per-minute or per-call charge, a percentage of revenue, or a flat fee; and </w:t>
      </w:r>
    </w:p>
    <w:p w:rsidR="00473B5E" w:rsidP="00E818CE" w:rsidRDefault="00935F0A" w14:paraId="622A2D38" w14:textId="4E83D3C4">
      <w:pPr>
        <w:pStyle w:val="ParaNumChar1"/>
        <w:tabs>
          <w:tab w:val="clear" w:pos="1080"/>
          <w:tab w:val="clear" w:pos="1440"/>
          <w:tab w:val="left" w:pos="720"/>
        </w:tabs>
        <w:ind w:left="720" w:firstLine="0"/>
        <w:rPr>
          <w:szCs w:val="22"/>
        </w:rPr>
      </w:pPr>
      <w:r w:rsidRPr="003E24F0">
        <w:rPr>
          <w:szCs w:val="22"/>
        </w:rPr>
        <w:t xml:space="preserve">(4) </w:t>
      </w:r>
      <w:r w:rsidRPr="003E24F0" w:rsidR="00071B2A">
        <w:rPr>
          <w:szCs w:val="22"/>
        </w:rPr>
        <w:t>The bill i</w:t>
      </w:r>
      <w:r w:rsidRPr="003E24F0">
        <w:rPr>
          <w:szCs w:val="22"/>
        </w:rPr>
        <w:t>dentif</w:t>
      </w:r>
      <w:r w:rsidRPr="003E24F0" w:rsidR="00071B2A">
        <w:rPr>
          <w:szCs w:val="22"/>
        </w:rPr>
        <w:t>ies</w:t>
      </w:r>
      <w:r w:rsidRPr="003E24F0">
        <w:rPr>
          <w:szCs w:val="22"/>
        </w:rPr>
        <w:t xml:space="preserve"> the amount</w:t>
      </w:r>
      <w:r w:rsidR="00A3066B">
        <w:rPr>
          <w:szCs w:val="22"/>
        </w:rPr>
        <w:t xml:space="preserve"> of Site Commission-related charges</w:t>
      </w:r>
      <w:r w:rsidRPr="003E24F0">
        <w:rPr>
          <w:szCs w:val="22"/>
        </w:rPr>
        <w:t xml:space="preserve"> </w:t>
      </w:r>
      <w:r w:rsidR="00A3066B">
        <w:rPr>
          <w:szCs w:val="22"/>
        </w:rPr>
        <w:t xml:space="preserve">assessed </w:t>
      </w:r>
      <w:r w:rsidRPr="003E24F0">
        <w:rPr>
          <w:szCs w:val="22"/>
        </w:rPr>
        <w:t>to the Consumer for the call or calls on the bill</w:t>
      </w:r>
      <w:r w:rsidR="0059607A">
        <w:rPr>
          <w:szCs w:val="22"/>
        </w:rPr>
        <w:t>.</w:t>
      </w:r>
      <w:r w:rsidR="00F25F56">
        <w:rPr>
          <w:rStyle w:val="FootnoteReference"/>
          <w:szCs w:val="22"/>
        </w:rPr>
        <w:footnoteReference w:id="10"/>
      </w:r>
      <w:r w:rsidRPr="00CC6159" w:rsidR="00CC6159">
        <w:t xml:space="preserve"> </w:t>
      </w:r>
      <w:r w:rsidR="00CC6159">
        <w:t xml:space="preserve"> </w:t>
      </w:r>
    </w:p>
    <w:p w:rsidR="00852AC0" w:rsidP="0001349F" w:rsidRDefault="0001349F" w14:paraId="0715B7EE" w14:textId="587488DE">
      <w:pPr>
        <w:pStyle w:val="ParaNumChar1"/>
        <w:tabs>
          <w:tab w:val="clear" w:pos="1080"/>
          <w:tab w:val="clear" w:pos="1440"/>
          <w:tab w:val="left" w:pos="720"/>
        </w:tabs>
        <w:ind w:firstLine="0"/>
        <w:rPr>
          <w:szCs w:val="22"/>
        </w:rPr>
      </w:pPr>
      <w:r>
        <w:rPr>
          <w:szCs w:val="22"/>
        </w:rPr>
        <w:tab/>
      </w:r>
      <w:r w:rsidR="00071B2A">
        <w:rPr>
          <w:szCs w:val="22"/>
        </w:rPr>
        <w:t xml:space="preserve">The rules adopted in the </w:t>
      </w:r>
      <w:r w:rsidRPr="002F23A4" w:rsidR="00071B2A">
        <w:rPr>
          <w:i/>
          <w:szCs w:val="22"/>
        </w:rPr>
        <w:t xml:space="preserve">2021 </w:t>
      </w:r>
      <w:r w:rsidRPr="00CD0EAF" w:rsidR="00071B2A">
        <w:rPr>
          <w:i/>
          <w:szCs w:val="22"/>
        </w:rPr>
        <w:t>ICS</w:t>
      </w:r>
      <w:r w:rsidRPr="002F23A4" w:rsidR="00071B2A">
        <w:rPr>
          <w:i/>
          <w:szCs w:val="22"/>
        </w:rPr>
        <w:t xml:space="preserve"> Order</w:t>
      </w:r>
      <w:r w:rsidR="00071B2A">
        <w:rPr>
          <w:szCs w:val="22"/>
        </w:rPr>
        <w:t xml:space="preserve"> </w:t>
      </w:r>
      <w:r w:rsidR="00AC51EA">
        <w:rPr>
          <w:szCs w:val="22"/>
        </w:rPr>
        <w:t xml:space="preserve">also </w:t>
      </w:r>
      <w:r w:rsidR="00071B2A">
        <w:rPr>
          <w:szCs w:val="22"/>
        </w:rPr>
        <w:t xml:space="preserve">limit the amounts ICS providers may charge </w:t>
      </w:r>
      <w:r w:rsidR="00071B2A">
        <w:rPr>
          <w:szCs w:val="22"/>
        </w:rPr>
        <w:lastRenderedPageBreak/>
        <w:t xml:space="preserve">consumers for international calls.  </w:t>
      </w:r>
      <w:r w:rsidR="003D0DB9">
        <w:rPr>
          <w:szCs w:val="22"/>
        </w:rPr>
        <w:t xml:space="preserve">The </w:t>
      </w:r>
      <w:r>
        <w:rPr>
          <w:szCs w:val="22"/>
        </w:rPr>
        <w:t xml:space="preserve">Commission required </w:t>
      </w:r>
      <w:r w:rsidR="00071B2A">
        <w:rPr>
          <w:szCs w:val="22"/>
        </w:rPr>
        <w:t xml:space="preserve">ICS </w:t>
      </w:r>
      <w:r>
        <w:rPr>
          <w:szCs w:val="22"/>
        </w:rPr>
        <w:t xml:space="preserve">providers </w:t>
      </w:r>
      <w:r w:rsidR="00AC51EA">
        <w:rPr>
          <w:szCs w:val="22"/>
        </w:rPr>
        <w:t xml:space="preserve">to </w:t>
      </w:r>
      <w:r>
        <w:rPr>
          <w:szCs w:val="22"/>
        </w:rPr>
        <w:t>clearly label all</w:t>
      </w:r>
      <w:r w:rsidR="00071B2A">
        <w:rPr>
          <w:szCs w:val="22"/>
        </w:rPr>
        <w:t xml:space="preserve"> </w:t>
      </w:r>
      <w:r w:rsidR="00696B34">
        <w:rPr>
          <w:szCs w:val="22"/>
        </w:rPr>
        <w:t xml:space="preserve">charges for international calls </w:t>
      </w:r>
      <w:r>
        <w:rPr>
          <w:szCs w:val="22"/>
        </w:rPr>
        <w:t>as separate line item</w:t>
      </w:r>
      <w:r w:rsidR="00071B2A">
        <w:rPr>
          <w:szCs w:val="22"/>
        </w:rPr>
        <w:t>s</w:t>
      </w:r>
      <w:r>
        <w:rPr>
          <w:szCs w:val="22"/>
        </w:rPr>
        <w:t xml:space="preserve"> </w:t>
      </w:r>
      <w:r w:rsidR="0060073C">
        <w:rPr>
          <w:szCs w:val="22"/>
        </w:rPr>
        <w:t xml:space="preserve">on </w:t>
      </w:r>
      <w:r w:rsidR="00C678F4">
        <w:rPr>
          <w:szCs w:val="22"/>
        </w:rPr>
        <w:t>c</w:t>
      </w:r>
      <w:r w:rsidR="0060073C">
        <w:rPr>
          <w:szCs w:val="22"/>
        </w:rPr>
        <w:t>onsumer bills.</w:t>
      </w:r>
      <w:r w:rsidR="002E14B6">
        <w:rPr>
          <w:rStyle w:val="FootnoteReference"/>
          <w:szCs w:val="22"/>
        </w:rPr>
        <w:footnoteReference w:id="11"/>
      </w:r>
      <w:r w:rsidR="0060073C">
        <w:rPr>
          <w:szCs w:val="22"/>
        </w:rPr>
        <w:t xml:space="preserve">  </w:t>
      </w:r>
      <w:r w:rsidR="00071B2A">
        <w:rPr>
          <w:szCs w:val="22"/>
        </w:rPr>
        <w:t>The Commission specified that the bills</w:t>
      </w:r>
      <w:r w:rsidR="0060073C">
        <w:rPr>
          <w:szCs w:val="22"/>
        </w:rPr>
        <w:t xml:space="preserve"> </w:t>
      </w:r>
      <w:r w:rsidR="00AC51EA">
        <w:rPr>
          <w:szCs w:val="22"/>
        </w:rPr>
        <w:t xml:space="preserve">must </w:t>
      </w:r>
      <w:r w:rsidR="0060073C">
        <w:rPr>
          <w:szCs w:val="22"/>
        </w:rPr>
        <w:t xml:space="preserve">identify the amount charged to the </w:t>
      </w:r>
      <w:r w:rsidR="00C678F4">
        <w:rPr>
          <w:szCs w:val="22"/>
        </w:rPr>
        <w:t>c</w:t>
      </w:r>
      <w:r w:rsidR="0060073C">
        <w:rPr>
          <w:szCs w:val="22"/>
        </w:rPr>
        <w:t xml:space="preserve">onsumer for the </w:t>
      </w:r>
      <w:r w:rsidR="00C678F4">
        <w:rPr>
          <w:szCs w:val="22"/>
        </w:rPr>
        <w:t>i</w:t>
      </w:r>
      <w:r w:rsidR="0060073C">
        <w:rPr>
          <w:szCs w:val="22"/>
        </w:rPr>
        <w:t xml:space="preserve">nternational </w:t>
      </w:r>
      <w:r w:rsidR="00872185">
        <w:rPr>
          <w:szCs w:val="22"/>
        </w:rPr>
        <w:t>c</w:t>
      </w:r>
      <w:r w:rsidR="0060073C">
        <w:rPr>
          <w:szCs w:val="22"/>
        </w:rPr>
        <w:t xml:space="preserve">all, including the </w:t>
      </w:r>
      <w:r w:rsidR="0098500E">
        <w:rPr>
          <w:szCs w:val="22"/>
        </w:rPr>
        <w:t xml:space="preserve">amounts </w:t>
      </w:r>
      <w:r w:rsidR="0060073C">
        <w:rPr>
          <w:szCs w:val="22"/>
        </w:rPr>
        <w:t xml:space="preserve">paid by the provider to its underlying international providers to terminate the </w:t>
      </w:r>
      <w:r w:rsidR="00C678F4">
        <w:rPr>
          <w:szCs w:val="22"/>
        </w:rPr>
        <w:t>i</w:t>
      </w:r>
      <w:r w:rsidR="0060073C">
        <w:rPr>
          <w:szCs w:val="22"/>
        </w:rPr>
        <w:t xml:space="preserve">nternational </w:t>
      </w:r>
      <w:r w:rsidR="00C678F4">
        <w:rPr>
          <w:szCs w:val="22"/>
        </w:rPr>
        <w:t>c</w:t>
      </w:r>
      <w:r w:rsidR="0060073C">
        <w:rPr>
          <w:szCs w:val="22"/>
        </w:rPr>
        <w:t>all to the international destination of the call.</w:t>
      </w:r>
      <w:r w:rsidR="00714162">
        <w:rPr>
          <w:rStyle w:val="FootnoteReference"/>
          <w:szCs w:val="22"/>
        </w:rPr>
        <w:footnoteReference w:id="12"/>
      </w:r>
      <w:r w:rsidR="00A827F7">
        <w:rPr>
          <w:szCs w:val="22"/>
        </w:rPr>
        <w:t xml:space="preserve">  </w:t>
      </w:r>
    </w:p>
    <w:p w:rsidR="00A41A32" w:rsidP="00A41A32" w:rsidRDefault="009F2A3F" w14:paraId="63D29177" w14:textId="11B72503">
      <w:pPr>
        <w:pStyle w:val="ParaNumChar1"/>
        <w:tabs>
          <w:tab w:val="clear" w:pos="1080"/>
          <w:tab w:val="clear" w:pos="1440"/>
          <w:tab w:val="left" w:pos="720"/>
        </w:tabs>
        <w:ind w:firstLine="0"/>
        <w:rPr>
          <w:szCs w:val="22"/>
        </w:rPr>
      </w:pPr>
      <w:r>
        <w:rPr>
          <w:szCs w:val="22"/>
        </w:rPr>
        <w:tab/>
      </w:r>
      <w:bookmarkStart w:name="_Hlk76965549" w:id="2"/>
      <w:r w:rsidR="00AC51EA">
        <w:rPr>
          <w:szCs w:val="22"/>
        </w:rPr>
        <w:t>In addition, t</w:t>
      </w:r>
      <w:r>
        <w:rPr>
          <w:szCs w:val="22"/>
        </w:rPr>
        <w:t xml:space="preserve">he rules adopted in the </w:t>
      </w:r>
      <w:r w:rsidRPr="002F23A4">
        <w:rPr>
          <w:i/>
          <w:szCs w:val="22"/>
        </w:rPr>
        <w:t xml:space="preserve">2021 </w:t>
      </w:r>
      <w:r w:rsidRPr="00CD0EAF">
        <w:rPr>
          <w:i/>
          <w:szCs w:val="22"/>
        </w:rPr>
        <w:t>ICS</w:t>
      </w:r>
      <w:r w:rsidRPr="002F23A4">
        <w:rPr>
          <w:i/>
          <w:szCs w:val="22"/>
        </w:rPr>
        <w:t xml:space="preserve"> Order</w:t>
      </w:r>
      <w:r>
        <w:rPr>
          <w:szCs w:val="22"/>
        </w:rPr>
        <w:t xml:space="preserve"> require </w:t>
      </w:r>
      <w:r w:rsidRPr="00B35B06">
        <w:rPr>
          <w:szCs w:val="22"/>
        </w:rPr>
        <w:t xml:space="preserve">providers </w:t>
      </w:r>
      <w:r w:rsidR="00AC51EA">
        <w:rPr>
          <w:szCs w:val="22"/>
        </w:rPr>
        <w:t xml:space="preserve">to </w:t>
      </w:r>
      <w:r w:rsidRPr="00B35B06">
        <w:rPr>
          <w:szCs w:val="22"/>
        </w:rPr>
        <w:t xml:space="preserve">separately disclose </w:t>
      </w:r>
      <w:r w:rsidR="00A41A32">
        <w:rPr>
          <w:szCs w:val="22"/>
        </w:rPr>
        <w:t xml:space="preserve">on </w:t>
      </w:r>
      <w:r w:rsidR="00AC51EA">
        <w:rPr>
          <w:szCs w:val="22"/>
        </w:rPr>
        <w:t xml:space="preserve">their </w:t>
      </w:r>
      <w:r w:rsidR="00A41A32">
        <w:rPr>
          <w:szCs w:val="22"/>
        </w:rPr>
        <w:t>website</w:t>
      </w:r>
      <w:r w:rsidR="00AC51EA">
        <w:rPr>
          <w:szCs w:val="22"/>
        </w:rPr>
        <w:t>s,</w:t>
      </w:r>
      <w:r w:rsidR="00A41A32">
        <w:rPr>
          <w:szCs w:val="22"/>
        </w:rPr>
        <w:t xml:space="preserve"> or in another reasonable </w:t>
      </w:r>
      <w:r w:rsidR="008E6105">
        <w:rPr>
          <w:szCs w:val="22"/>
        </w:rPr>
        <w:t>m</w:t>
      </w:r>
      <w:r w:rsidR="002B02BA">
        <w:rPr>
          <w:szCs w:val="22"/>
        </w:rPr>
        <w:t>anner</w:t>
      </w:r>
      <w:r w:rsidR="00AC51EA">
        <w:rPr>
          <w:szCs w:val="22"/>
        </w:rPr>
        <w:t xml:space="preserve"> </w:t>
      </w:r>
      <w:r w:rsidR="00A41A32">
        <w:rPr>
          <w:szCs w:val="22"/>
        </w:rPr>
        <w:t>readily available to consumers</w:t>
      </w:r>
      <w:r w:rsidR="00AC51EA">
        <w:rPr>
          <w:szCs w:val="22"/>
        </w:rPr>
        <w:t>,</w:t>
      </w:r>
      <w:r w:rsidR="00A41A32">
        <w:rPr>
          <w:szCs w:val="22"/>
        </w:rPr>
        <w:t xml:space="preserve"> any</w:t>
      </w:r>
      <w:r w:rsidRPr="00B35B06" w:rsidR="00A41A32">
        <w:rPr>
          <w:szCs w:val="22"/>
        </w:rPr>
        <w:t xml:space="preserve"> </w:t>
      </w:r>
      <w:r w:rsidRPr="00B35B06">
        <w:rPr>
          <w:szCs w:val="22"/>
        </w:rPr>
        <w:t xml:space="preserve">rate component </w:t>
      </w:r>
      <w:r w:rsidR="00A41A32">
        <w:rPr>
          <w:szCs w:val="22"/>
        </w:rPr>
        <w:t xml:space="preserve">it charges consumers </w:t>
      </w:r>
      <w:r w:rsidRPr="00B35B06">
        <w:rPr>
          <w:szCs w:val="22"/>
        </w:rPr>
        <w:t>for terminating calls to each country where that provider terminates international calls.</w:t>
      </w:r>
      <w:bookmarkStart w:name="_Hlk76965476" w:id="3"/>
      <w:bookmarkStart w:name="_Hlk76965599" w:id="4"/>
      <w:bookmarkStart w:name="_Hlk76965654" w:id="5"/>
      <w:r>
        <w:rPr>
          <w:rStyle w:val="FootnoteReference"/>
          <w:szCs w:val="22"/>
        </w:rPr>
        <w:footnoteReference w:id="13"/>
      </w:r>
      <w:bookmarkEnd w:id="3"/>
      <w:r w:rsidRPr="00B35B06">
        <w:rPr>
          <w:szCs w:val="22"/>
        </w:rPr>
        <w:t xml:space="preserve"> </w:t>
      </w:r>
      <w:bookmarkEnd w:id="4"/>
      <w:r w:rsidRPr="00B35B06">
        <w:rPr>
          <w:szCs w:val="22"/>
        </w:rPr>
        <w:t xml:space="preserve"> </w:t>
      </w:r>
      <w:bookmarkEnd w:id="5"/>
      <w:r w:rsidR="007D7F03">
        <w:rPr>
          <w:szCs w:val="22"/>
        </w:rPr>
        <w:t>For convenience we refer to this requirement as a website disclosure requirement.</w:t>
      </w:r>
    </w:p>
    <w:bookmarkEnd w:id="2"/>
    <w:p w:rsidRPr="00FE3990" w:rsidR="007E5C81" w:rsidP="008F14A2" w:rsidRDefault="009F2A3F" w14:paraId="49ADD40D" w14:textId="267A0D95">
      <w:pPr>
        <w:pStyle w:val="ParaNumChar1"/>
        <w:tabs>
          <w:tab w:val="clear" w:pos="1080"/>
          <w:tab w:val="clear" w:pos="1440"/>
          <w:tab w:val="left" w:pos="720"/>
        </w:tabs>
        <w:ind w:firstLine="0"/>
        <w:rPr>
          <w:szCs w:val="22"/>
        </w:rPr>
      </w:pPr>
      <w:r>
        <w:rPr>
          <w:szCs w:val="22"/>
        </w:rPr>
        <w:tab/>
      </w:r>
      <w:bookmarkStart w:name="_Hlk17106034" w:id="6"/>
      <w:r w:rsidRPr="00352282" w:rsidR="00352282">
        <w:rPr>
          <w:i/>
          <w:szCs w:val="22"/>
        </w:rPr>
        <w:t xml:space="preserve">Waiver </w:t>
      </w:r>
      <w:bookmarkEnd w:id="6"/>
      <w:r w:rsidR="00BC2D30">
        <w:rPr>
          <w:i/>
          <w:szCs w:val="22"/>
        </w:rPr>
        <w:t xml:space="preserve">Request </w:t>
      </w:r>
      <w:r w:rsidR="004123F4">
        <w:rPr>
          <w:i/>
          <w:szCs w:val="22"/>
        </w:rPr>
        <w:t>R</w:t>
      </w:r>
      <w:r w:rsidR="00B84A4F">
        <w:rPr>
          <w:i/>
          <w:szCs w:val="22"/>
        </w:rPr>
        <w:t>equirement</w:t>
      </w:r>
      <w:r w:rsidR="00D235A3">
        <w:rPr>
          <w:i/>
          <w:szCs w:val="22"/>
        </w:rPr>
        <w:t>s</w:t>
      </w:r>
      <w:r w:rsidR="00B8498D">
        <w:rPr>
          <w:szCs w:val="22"/>
        </w:rPr>
        <w:t xml:space="preserve">.  </w:t>
      </w:r>
      <w:r w:rsidR="00A82B74">
        <w:rPr>
          <w:szCs w:val="22"/>
        </w:rPr>
        <w:t xml:space="preserve">The </w:t>
      </w:r>
      <w:r w:rsidR="00DB1A0D">
        <w:rPr>
          <w:szCs w:val="22"/>
        </w:rPr>
        <w:t xml:space="preserve">Commission specified </w:t>
      </w:r>
      <w:r w:rsidR="00017734">
        <w:rPr>
          <w:szCs w:val="22"/>
        </w:rPr>
        <w:t xml:space="preserve">that </w:t>
      </w:r>
      <w:r w:rsidR="00DB391D">
        <w:rPr>
          <w:szCs w:val="22"/>
        </w:rPr>
        <w:t xml:space="preserve">a </w:t>
      </w:r>
      <w:r w:rsidR="00DB1A0D">
        <w:rPr>
          <w:szCs w:val="22"/>
        </w:rPr>
        <w:t>p</w:t>
      </w:r>
      <w:r w:rsidR="00FE68E8">
        <w:rPr>
          <w:szCs w:val="22"/>
        </w:rPr>
        <w:t>rovider</w:t>
      </w:r>
      <w:r w:rsidR="005F0F13">
        <w:rPr>
          <w:szCs w:val="22"/>
        </w:rPr>
        <w:t xml:space="preserve"> </w:t>
      </w:r>
      <w:r w:rsidRPr="00BA26AF" w:rsidR="005F0F13">
        <w:rPr>
          <w:szCs w:val="22"/>
        </w:rPr>
        <w:t>may</w:t>
      </w:r>
      <w:r w:rsidR="005F0F13">
        <w:rPr>
          <w:szCs w:val="22"/>
        </w:rPr>
        <w:t xml:space="preserve"> seek a waiver </w:t>
      </w:r>
      <w:r w:rsidR="00FE68E8">
        <w:rPr>
          <w:szCs w:val="22"/>
        </w:rPr>
        <w:t xml:space="preserve">of </w:t>
      </w:r>
      <w:r w:rsidR="00AC51EA">
        <w:rPr>
          <w:szCs w:val="22"/>
        </w:rPr>
        <w:t xml:space="preserve">the </w:t>
      </w:r>
      <w:r w:rsidR="00FE68E8">
        <w:rPr>
          <w:szCs w:val="22"/>
        </w:rPr>
        <w:t xml:space="preserve">interim rate caps </w:t>
      </w:r>
      <w:r w:rsidR="007E5C81">
        <w:rPr>
          <w:szCs w:val="22"/>
        </w:rPr>
        <w:t xml:space="preserve">and </w:t>
      </w:r>
      <w:r w:rsidR="005F0F13">
        <w:rPr>
          <w:szCs w:val="22"/>
        </w:rPr>
        <w:t xml:space="preserve">ancillary service charge </w:t>
      </w:r>
      <w:r w:rsidR="00EF56F2">
        <w:rPr>
          <w:szCs w:val="22"/>
        </w:rPr>
        <w:t xml:space="preserve">fee caps if </w:t>
      </w:r>
      <w:r w:rsidR="00AC51EA">
        <w:rPr>
          <w:szCs w:val="22"/>
        </w:rPr>
        <w:t xml:space="preserve">those </w:t>
      </w:r>
      <w:r w:rsidR="00EF56F2">
        <w:rPr>
          <w:szCs w:val="22"/>
        </w:rPr>
        <w:t>caps prevent the provider from recovering the costs of providing interstate or international inmate calling services at a correctional facility or at the correctional facilities covered by a contract.</w:t>
      </w:r>
      <w:r w:rsidR="00EE6453">
        <w:rPr>
          <w:rStyle w:val="FootnoteReference"/>
          <w:szCs w:val="22"/>
        </w:rPr>
        <w:footnoteReference w:id="14"/>
      </w:r>
      <w:r w:rsidR="000E2777">
        <w:rPr>
          <w:szCs w:val="22"/>
        </w:rPr>
        <w:t xml:space="preserve">  </w:t>
      </w:r>
      <w:r w:rsidR="00AC51EA">
        <w:rPr>
          <w:szCs w:val="22"/>
        </w:rPr>
        <w:t xml:space="preserve">A </w:t>
      </w:r>
      <w:r w:rsidRPr="00375B34" w:rsidR="007E5C81">
        <w:rPr>
          <w:szCs w:val="22"/>
        </w:rPr>
        <w:t>provider</w:t>
      </w:r>
      <w:r w:rsidRPr="00375B34" w:rsidR="008F14A2">
        <w:rPr>
          <w:szCs w:val="22"/>
        </w:rPr>
        <w:t xml:space="preserve"> </w:t>
      </w:r>
      <w:r w:rsidRPr="00375B34" w:rsidR="00DB3E37">
        <w:rPr>
          <w:szCs w:val="22"/>
        </w:rPr>
        <w:t>seek</w:t>
      </w:r>
      <w:r w:rsidRPr="00375B34" w:rsidR="007E5C81">
        <w:rPr>
          <w:szCs w:val="22"/>
        </w:rPr>
        <w:t>ing such</w:t>
      </w:r>
      <w:r w:rsidRPr="00375B34" w:rsidR="00DB3E37">
        <w:rPr>
          <w:szCs w:val="22"/>
        </w:rPr>
        <w:t xml:space="preserve"> a waiver</w:t>
      </w:r>
      <w:r w:rsidRPr="00375B34" w:rsidR="007E5C81">
        <w:rPr>
          <w:szCs w:val="22"/>
        </w:rPr>
        <w:t xml:space="preserve"> must submit, </w:t>
      </w:r>
      <w:r w:rsidRPr="00FE3990" w:rsidR="007E5C81">
        <w:rPr>
          <w:szCs w:val="22"/>
        </w:rPr>
        <w:t xml:space="preserve">at a minimum: </w:t>
      </w:r>
    </w:p>
    <w:p w:rsidRPr="00FE3990" w:rsidR="007E5C81" w:rsidP="00E818CE" w:rsidRDefault="007E5C81" w14:paraId="7D3A10F0" w14:textId="57F54B9B">
      <w:pPr>
        <w:pStyle w:val="ParaNumChar1"/>
        <w:tabs>
          <w:tab w:val="clear" w:pos="1080"/>
          <w:tab w:val="clear" w:pos="1440"/>
          <w:tab w:val="left" w:pos="720"/>
        </w:tabs>
        <w:ind w:left="720" w:firstLine="0"/>
        <w:rPr>
          <w:szCs w:val="22"/>
        </w:rPr>
      </w:pPr>
      <w:r w:rsidRPr="00FE3990">
        <w:rPr>
          <w:szCs w:val="22"/>
        </w:rPr>
        <w:t xml:space="preserve">(1) </w:t>
      </w:r>
      <w:r w:rsidR="00154A7E">
        <w:rPr>
          <w:szCs w:val="22"/>
        </w:rPr>
        <w:t xml:space="preserve"> </w:t>
      </w:r>
      <w:r w:rsidRPr="00FE3990">
        <w:rPr>
          <w:szCs w:val="22"/>
        </w:rPr>
        <w:t xml:space="preserve">The provider’s total company costs, including the nonrecurring costs of the assets it uses to provide inmate calling services, and its recurring operating expenses for those services at the correctional facility or under the contract; </w:t>
      </w:r>
    </w:p>
    <w:p w:rsidR="004F7A28" w:rsidP="00E818CE" w:rsidRDefault="00AC51EA" w14:paraId="2577137C" w14:textId="786261C1">
      <w:pPr>
        <w:pStyle w:val="ParaNumChar1"/>
        <w:tabs>
          <w:tab w:val="clear" w:pos="1080"/>
          <w:tab w:val="clear" w:pos="1440"/>
          <w:tab w:val="left" w:pos="720"/>
        </w:tabs>
        <w:ind w:left="720" w:firstLine="0"/>
        <w:rPr>
          <w:szCs w:val="22"/>
        </w:rPr>
      </w:pPr>
      <w:r>
        <w:rPr>
          <w:szCs w:val="22"/>
        </w:rPr>
        <w:t xml:space="preserve">(2) </w:t>
      </w:r>
      <w:r w:rsidR="00154A7E">
        <w:rPr>
          <w:szCs w:val="22"/>
        </w:rPr>
        <w:t xml:space="preserve"> </w:t>
      </w:r>
      <w:r w:rsidRPr="00FE3990" w:rsidR="007E5C81">
        <w:rPr>
          <w:szCs w:val="22"/>
        </w:rPr>
        <w:t xml:space="preserve">The methods the provider used to identify its direct costs of providing interstate and international inmate calling services, to allocate its indirect costs among its inmate calling services contracts and correctional facilities; </w:t>
      </w:r>
    </w:p>
    <w:p w:rsidR="00F30A2B" w:rsidP="00E818CE" w:rsidRDefault="00F30A2B" w14:paraId="6430E843" w14:textId="5C0A6687">
      <w:pPr>
        <w:pStyle w:val="ParaNumChar1"/>
        <w:tabs>
          <w:tab w:val="clear" w:pos="1080"/>
          <w:tab w:val="clear" w:pos="1440"/>
          <w:tab w:val="left" w:pos="720"/>
        </w:tabs>
        <w:ind w:left="720" w:firstLine="0"/>
        <w:rPr>
          <w:szCs w:val="22"/>
        </w:rPr>
      </w:pPr>
      <w:r>
        <w:rPr>
          <w:szCs w:val="22"/>
        </w:rPr>
        <w:t>(</w:t>
      </w:r>
      <w:r w:rsidR="00AC51EA">
        <w:rPr>
          <w:szCs w:val="22"/>
        </w:rPr>
        <w:t>3</w:t>
      </w:r>
      <w:r w:rsidR="004F7A28">
        <w:rPr>
          <w:szCs w:val="22"/>
        </w:rPr>
        <w:t xml:space="preserve">) </w:t>
      </w:r>
      <w:r w:rsidR="00604B23">
        <w:rPr>
          <w:szCs w:val="22"/>
        </w:rPr>
        <w:t xml:space="preserve"> </w:t>
      </w:r>
      <w:r w:rsidR="004F7A28">
        <w:rPr>
          <w:szCs w:val="22"/>
        </w:rPr>
        <w:t>T</w:t>
      </w:r>
      <w:r w:rsidRPr="00FE3990" w:rsidR="007E5C81">
        <w:rPr>
          <w:szCs w:val="22"/>
        </w:rPr>
        <w:t xml:space="preserve">he provider’s demand for interstate and international inmate calling services at the correctional facility or at each correctional facility covered by the contract; </w:t>
      </w:r>
    </w:p>
    <w:p w:rsidR="004433A4" w:rsidP="00E818CE" w:rsidRDefault="00F30A2B" w14:paraId="318CC00D" w14:textId="767A7CFB">
      <w:pPr>
        <w:pStyle w:val="ParaNumChar1"/>
        <w:tabs>
          <w:tab w:val="clear" w:pos="1080"/>
          <w:tab w:val="clear" w:pos="1440"/>
          <w:tab w:val="left" w:pos="720"/>
        </w:tabs>
        <w:ind w:left="720" w:firstLine="0"/>
        <w:rPr>
          <w:szCs w:val="22"/>
        </w:rPr>
      </w:pPr>
      <w:r>
        <w:rPr>
          <w:szCs w:val="22"/>
        </w:rPr>
        <w:t>(</w:t>
      </w:r>
      <w:r w:rsidR="00AC51EA">
        <w:rPr>
          <w:szCs w:val="22"/>
        </w:rPr>
        <w:t>4</w:t>
      </w:r>
      <w:r>
        <w:rPr>
          <w:szCs w:val="22"/>
        </w:rPr>
        <w:t>)  T</w:t>
      </w:r>
      <w:r w:rsidRPr="00FE3990" w:rsidR="007E5C81">
        <w:rPr>
          <w:szCs w:val="22"/>
        </w:rPr>
        <w:t xml:space="preserve">he revenue or other compensation the provider receives from the provision of interstate and international inmate calling services, including the allowable portion of any permissible ancillary service charges attributable to interstate or international inmate calling services, at the correctional facility or at each correctional facility covered by the contract; </w:t>
      </w:r>
    </w:p>
    <w:p w:rsidR="00E071EF" w:rsidP="00E818CE" w:rsidRDefault="004433A4" w14:paraId="65AD52BA" w14:textId="5419B2FA">
      <w:pPr>
        <w:pStyle w:val="ParaNumChar1"/>
        <w:tabs>
          <w:tab w:val="clear" w:pos="1080"/>
          <w:tab w:val="clear" w:pos="1440"/>
          <w:tab w:val="left" w:pos="720"/>
        </w:tabs>
        <w:ind w:left="720" w:firstLine="0"/>
        <w:rPr>
          <w:szCs w:val="22"/>
        </w:rPr>
      </w:pPr>
      <w:r>
        <w:rPr>
          <w:szCs w:val="22"/>
        </w:rPr>
        <w:t>(</w:t>
      </w:r>
      <w:r w:rsidR="00AC51EA">
        <w:rPr>
          <w:szCs w:val="22"/>
        </w:rPr>
        <w:t>5</w:t>
      </w:r>
      <w:r>
        <w:rPr>
          <w:szCs w:val="22"/>
        </w:rPr>
        <w:t>)  A</w:t>
      </w:r>
      <w:r w:rsidRPr="00FE3990" w:rsidR="007E5C81">
        <w:rPr>
          <w:szCs w:val="22"/>
        </w:rPr>
        <w:t xml:space="preserve"> complete and unredacted copy of the contract for the correctional facility or correctional facilities, and any amendments to such contract; </w:t>
      </w:r>
    </w:p>
    <w:p w:rsidR="00E071EF" w:rsidP="00E818CE" w:rsidRDefault="00E071EF" w14:paraId="39183B9E" w14:textId="78F3FC28">
      <w:pPr>
        <w:pStyle w:val="ParaNumChar1"/>
        <w:tabs>
          <w:tab w:val="clear" w:pos="1080"/>
          <w:tab w:val="clear" w:pos="1440"/>
          <w:tab w:val="left" w:pos="720"/>
        </w:tabs>
        <w:ind w:left="720" w:firstLine="0"/>
        <w:rPr>
          <w:szCs w:val="22"/>
        </w:rPr>
      </w:pPr>
      <w:r>
        <w:rPr>
          <w:szCs w:val="22"/>
        </w:rPr>
        <w:t>(</w:t>
      </w:r>
      <w:r w:rsidR="00AC51EA">
        <w:rPr>
          <w:szCs w:val="22"/>
        </w:rPr>
        <w:t>6</w:t>
      </w:r>
      <w:r>
        <w:rPr>
          <w:szCs w:val="22"/>
        </w:rPr>
        <w:t>)  C</w:t>
      </w:r>
      <w:r w:rsidRPr="00FE3990" w:rsidR="007E5C81">
        <w:rPr>
          <w:szCs w:val="22"/>
        </w:rPr>
        <w:t xml:space="preserve">opies of the initial request for proposals and any amendments thereto, the provider’s bid in response to that request, and responses to any amendments (or a statement that the provider no longer has access to those documents because they were executed prior to the effective date of the rule); </w:t>
      </w:r>
    </w:p>
    <w:p w:rsidR="00E071EF" w:rsidP="00E818CE" w:rsidRDefault="00E071EF" w14:paraId="5CF2C04A" w14:textId="431D747B">
      <w:pPr>
        <w:pStyle w:val="ParaNumChar1"/>
        <w:tabs>
          <w:tab w:val="clear" w:pos="1080"/>
          <w:tab w:val="clear" w:pos="1440"/>
          <w:tab w:val="left" w:pos="720"/>
        </w:tabs>
        <w:ind w:left="720" w:firstLine="0"/>
        <w:rPr>
          <w:szCs w:val="22"/>
        </w:rPr>
      </w:pPr>
      <w:r>
        <w:rPr>
          <w:szCs w:val="22"/>
        </w:rPr>
        <w:t>(</w:t>
      </w:r>
      <w:r w:rsidR="00AC51EA">
        <w:rPr>
          <w:szCs w:val="22"/>
        </w:rPr>
        <w:t>7</w:t>
      </w:r>
      <w:r>
        <w:rPr>
          <w:szCs w:val="22"/>
        </w:rPr>
        <w:t>)  A</w:t>
      </w:r>
      <w:r w:rsidRPr="00FE3990" w:rsidR="007E5C81">
        <w:rPr>
          <w:szCs w:val="22"/>
        </w:rPr>
        <w:t xml:space="preserve"> written explanation of how and why the circumstances associated with that correctional facility or contract differ from the circumstances at similar correctional facilities the provider </w:t>
      </w:r>
      <w:r w:rsidRPr="00FE3990" w:rsidR="007E5C81">
        <w:rPr>
          <w:szCs w:val="22"/>
        </w:rPr>
        <w:lastRenderedPageBreak/>
        <w:t xml:space="preserve">serves, and from other correctional facilities covered by the same contract, if applicable; </w:t>
      </w:r>
      <w:r>
        <w:rPr>
          <w:szCs w:val="22"/>
        </w:rPr>
        <w:t>and</w:t>
      </w:r>
    </w:p>
    <w:p w:rsidR="007E5C81" w:rsidP="00E818CE" w:rsidRDefault="00E071EF" w14:paraId="5B4F974C" w14:textId="72F32FB7">
      <w:pPr>
        <w:pStyle w:val="ParaNumChar1"/>
        <w:tabs>
          <w:tab w:val="clear" w:pos="1080"/>
          <w:tab w:val="clear" w:pos="1440"/>
          <w:tab w:val="left" w:pos="720"/>
        </w:tabs>
        <w:ind w:left="720" w:firstLine="0"/>
        <w:rPr>
          <w:szCs w:val="22"/>
        </w:rPr>
      </w:pPr>
      <w:r>
        <w:rPr>
          <w:szCs w:val="22"/>
        </w:rPr>
        <w:t>(</w:t>
      </w:r>
      <w:r w:rsidR="00AC51EA">
        <w:rPr>
          <w:szCs w:val="22"/>
        </w:rPr>
        <w:t>8</w:t>
      </w:r>
      <w:r>
        <w:rPr>
          <w:szCs w:val="22"/>
        </w:rPr>
        <w:t>)  An</w:t>
      </w:r>
      <w:r w:rsidRPr="00FE3990" w:rsidR="007E5C81">
        <w:rPr>
          <w:szCs w:val="22"/>
        </w:rPr>
        <w:t xml:space="preserve"> attestation from a company officer with knowledge of the underlying information that all of the information the provider submits in support of its waiver request is complete and correct</w:t>
      </w:r>
      <w:r w:rsidRPr="00FE3990" w:rsidR="008F14A2">
        <w:rPr>
          <w:szCs w:val="22"/>
        </w:rPr>
        <w:t>.</w:t>
      </w:r>
      <w:r w:rsidRPr="00FE3990" w:rsidR="008F14A2">
        <w:rPr>
          <w:rStyle w:val="FootnoteReference"/>
          <w:szCs w:val="22"/>
        </w:rPr>
        <w:footnoteReference w:id="15"/>
      </w:r>
      <w:r w:rsidRPr="00FE3990" w:rsidR="00652C97">
        <w:rPr>
          <w:szCs w:val="22"/>
        </w:rPr>
        <w:t xml:space="preserve"> </w:t>
      </w:r>
      <w:r w:rsidR="00652C97">
        <w:rPr>
          <w:szCs w:val="22"/>
        </w:rPr>
        <w:t xml:space="preserve"> </w:t>
      </w:r>
    </w:p>
    <w:p w:rsidRPr="008F14A2" w:rsidR="00257F3A" w:rsidP="008F14A2" w:rsidRDefault="00652C97" w14:paraId="673DDF3B" w14:textId="5D3AD483">
      <w:pPr>
        <w:pStyle w:val="ParaNumChar1"/>
        <w:tabs>
          <w:tab w:val="clear" w:pos="1080"/>
          <w:tab w:val="clear" w:pos="1440"/>
          <w:tab w:val="left" w:pos="720"/>
        </w:tabs>
        <w:ind w:firstLine="0"/>
        <w:rPr>
          <w:szCs w:val="22"/>
        </w:rPr>
      </w:pPr>
      <w:r>
        <w:rPr>
          <w:szCs w:val="22"/>
        </w:rPr>
        <w:t>T</w:t>
      </w:r>
      <w:r w:rsidR="00257F3A">
        <w:rPr>
          <w:szCs w:val="22"/>
        </w:rPr>
        <w:t xml:space="preserve">he Commission </w:t>
      </w:r>
      <w:r w:rsidR="007E623B">
        <w:rPr>
          <w:szCs w:val="22"/>
        </w:rPr>
        <w:t xml:space="preserve">also </w:t>
      </w:r>
      <w:r w:rsidR="008865EA">
        <w:rPr>
          <w:szCs w:val="22"/>
        </w:rPr>
        <w:t xml:space="preserve">required </w:t>
      </w:r>
      <w:r w:rsidR="00D22E21">
        <w:rPr>
          <w:szCs w:val="22"/>
        </w:rPr>
        <w:t xml:space="preserve">that </w:t>
      </w:r>
      <w:r w:rsidR="008865EA">
        <w:rPr>
          <w:szCs w:val="22"/>
        </w:rPr>
        <w:t>providers seeking waiver</w:t>
      </w:r>
      <w:r w:rsidR="007E5C81">
        <w:rPr>
          <w:szCs w:val="22"/>
        </w:rPr>
        <w:t>s</w:t>
      </w:r>
      <w:r w:rsidR="008865EA">
        <w:rPr>
          <w:szCs w:val="22"/>
        </w:rPr>
        <w:t xml:space="preserve"> </w:t>
      </w:r>
      <w:r w:rsidR="006615D7">
        <w:rPr>
          <w:szCs w:val="22"/>
        </w:rPr>
        <w:t xml:space="preserve">of </w:t>
      </w:r>
      <w:r w:rsidR="007E5C81">
        <w:rPr>
          <w:szCs w:val="22"/>
        </w:rPr>
        <w:t xml:space="preserve">its interim rate caps or its ancillary service charge fee caps </w:t>
      </w:r>
      <w:r w:rsidR="008865EA">
        <w:rPr>
          <w:szCs w:val="22"/>
        </w:rPr>
        <w:t>must provide any additional information requested by the Commission during the course of its review.</w:t>
      </w:r>
      <w:r w:rsidR="008865EA">
        <w:rPr>
          <w:rStyle w:val="FootnoteReference"/>
          <w:szCs w:val="22"/>
        </w:rPr>
        <w:footnoteReference w:id="16"/>
      </w:r>
      <w:r w:rsidR="00D22E21">
        <w:rPr>
          <w:szCs w:val="22"/>
        </w:rPr>
        <w:t xml:space="preserve">  </w:t>
      </w:r>
    </w:p>
    <w:p w:rsidRPr="004460F4" w:rsidR="0046762C" w:rsidP="00CC163B" w:rsidRDefault="00AA7716" w14:paraId="4BA9B5FF" w14:textId="4370EA4A">
      <w:pPr>
        <w:ind w:firstLine="720"/>
        <w:rPr>
          <w:bCs/>
          <w:szCs w:val="22"/>
        </w:rPr>
      </w:pPr>
      <w:r w:rsidRPr="004460F4">
        <w:rPr>
          <w:bCs/>
          <w:szCs w:val="22"/>
        </w:rPr>
        <w:t xml:space="preserve">We estimate that </w:t>
      </w:r>
      <w:r w:rsidRPr="004460F4" w:rsidR="007A7A22">
        <w:rPr>
          <w:bCs/>
          <w:szCs w:val="22"/>
        </w:rPr>
        <w:t>appro</w:t>
      </w:r>
      <w:r w:rsidR="008A5EA2">
        <w:rPr>
          <w:bCs/>
          <w:szCs w:val="22"/>
        </w:rPr>
        <w:t>xi</w:t>
      </w:r>
      <w:r w:rsidRPr="004460F4" w:rsidR="007A7A22">
        <w:rPr>
          <w:bCs/>
          <w:szCs w:val="22"/>
        </w:rPr>
        <w:t>mately</w:t>
      </w:r>
      <w:r w:rsidR="007F5DE4">
        <w:rPr>
          <w:bCs/>
          <w:szCs w:val="22"/>
        </w:rPr>
        <w:t xml:space="preserve"> </w:t>
      </w:r>
      <w:r w:rsidR="00177BBE">
        <w:rPr>
          <w:bCs/>
          <w:szCs w:val="22"/>
        </w:rPr>
        <w:t>20</w:t>
      </w:r>
      <w:r w:rsidRPr="004460F4" w:rsidR="007A7A22">
        <w:rPr>
          <w:bCs/>
          <w:szCs w:val="22"/>
        </w:rPr>
        <w:t xml:space="preserve"> </w:t>
      </w:r>
      <w:r w:rsidRPr="004460F4" w:rsidR="00F26176">
        <w:rPr>
          <w:bCs/>
          <w:szCs w:val="22"/>
        </w:rPr>
        <w:t xml:space="preserve">ICS providers will </w:t>
      </w:r>
      <w:r w:rsidR="007F5DE4">
        <w:rPr>
          <w:bCs/>
          <w:szCs w:val="22"/>
        </w:rPr>
        <w:t>be required to</w:t>
      </w:r>
      <w:r w:rsidR="00FD6EB6">
        <w:rPr>
          <w:bCs/>
          <w:szCs w:val="22"/>
        </w:rPr>
        <w:t xml:space="preserve"> comply with the </w:t>
      </w:r>
      <w:r w:rsidR="00164A3E">
        <w:rPr>
          <w:bCs/>
          <w:szCs w:val="22"/>
        </w:rPr>
        <w:t xml:space="preserve">annual reporting, certification, </w:t>
      </w:r>
      <w:r w:rsidR="00325BA2">
        <w:rPr>
          <w:bCs/>
          <w:szCs w:val="22"/>
        </w:rPr>
        <w:t xml:space="preserve">and </w:t>
      </w:r>
      <w:r w:rsidR="00FD6EB6">
        <w:rPr>
          <w:bCs/>
          <w:szCs w:val="22"/>
        </w:rPr>
        <w:t>consumer disclosure</w:t>
      </w:r>
      <w:r w:rsidR="004F3418">
        <w:rPr>
          <w:bCs/>
          <w:szCs w:val="22"/>
        </w:rPr>
        <w:t xml:space="preserve"> requirements</w:t>
      </w:r>
      <w:r w:rsidR="007F5DE4">
        <w:rPr>
          <w:bCs/>
          <w:szCs w:val="22"/>
        </w:rPr>
        <w:t>.  W</w:t>
      </w:r>
      <w:r w:rsidR="001F72BD">
        <w:rPr>
          <w:bCs/>
          <w:szCs w:val="22"/>
        </w:rPr>
        <w:t xml:space="preserve">hile the </w:t>
      </w:r>
      <w:r w:rsidR="00286F8D">
        <w:rPr>
          <w:bCs/>
          <w:szCs w:val="22"/>
        </w:rPr>
        <w:t xml:space="preserve">number of providers </w:t>
      </w:r>
      <w:r w:rsidR="00643628">
        <w:rPr>
          <w:bCs/>
          <w:szCs w:val="22"/>
        </w:rPr>
        <w:t>which may elect</w:t>
      </w:r>
      <w:r w:rsidR="00286F8D">
        <w:rPr>
          <w:bCs/>
          <w:szCs w:val="22"/>
        </w:rPr>
        <w:t xml:space="preserve"> to seek waiver of our rules is difficult to quantify </w:t>
      </w:r>
      <w:r w:rsidR="00CF4DC3">
        <w:rPr>
          <w:bCs/>
          <w:szCs w:val="22"/>
        </w:rPr>
        <w:t>before those rules take effect, w</w:t>
      </w:r>
      <w:r w:rsidR="007F5DE4">
        <w:rPr>
          <w:bCs/>
          <w:szCs w:val="22"/>
        </w:rPr>
        <w:t xml:space="preserve">e estimate that </w:t>
      </w:r>
      <w:r w:rsidR="00CF4DC3">
        <w:rPr>
          <w:bCs/>
          <w:szCs w:val="22"/>
        </w:rPr>
        <w:t>a</w:t>
      </w:r>
      <w:r w:rsidR="00325BA2">
        <w:rPr>
          <w:bCs/>
          <w:szCs w:val="22"/>
        </w:rPr>
        <w:t xml:space="preserve">nywhere from </w:t>
      </w:r>
      <w:r w:rsidR="00CF4DC3">
        <w:rPr>
          <w:bCs/>
          <w:szCs w:val="22"/>
        </w:rPr>
        <w:t xml:space="preserve">zero to </w:t>
      </w:r>
      <w:r w:rsidR="006C3295">
        <w:rPr>
          <w:bCs/>
          <w:szCs w:val="22"/>
        </w:rPr>
        <w:t xml:space="preserve">three </w:t>
      </w:r>
      <w:r w:rsidR="007F5DE4">
        <w:rPr>
          <w:bCs/>
          <w:szCs w:val="22"/>
        </w:rPr>
        <w:t xml:space="preserve">providers </w:t>
      </w:r>
      <w:r w:rsidR="00B45EA7">
        <w:rPr>
          <w:bCs/>
          <w:szCs w:val="22"/>
        </w:rPr>
        <w:t>may</w:t>
      </w:r>
      <w:r w:rsidR="007F5DE4">
        <w:rPr>
          <w:bCs/>
          <w:szCs w:val="22"/>
        </w:rPr>
        <w:t xml:space="preserve"> seek waiver of the Commission’s rate caps or ancillary service charge caps annually</w:t>
      </w:r>
      <w:r w:rsidR="00FD6EB6">
        <w:rPr>
          <w:bCs/>
          <w:szCs w:val="22"/>
        </w:rPr>
        <w:t>.</w:t>
      </w:r>
      <w:r w:rsidR="00E72CB8">
        <w:rPr>
          <w:bCs/>
          <w:szCs w:val="22"/>
        </w:rPr>
        <w:t xml:space="preserve">  To be conservative, </w:t>
      </w:r>
      <w:r w:rsidR="00325BA2">
        <w:rPr>
          <w:bCs/>
          <w:szCs w:val="22"/>
        </w:rPr>
        <w:t xml:space="preserve">we </w:t>
      </w:r>
      <w:r w:rsidR="00643628">
        <w:rPr>
          <w:bCs/>
          <w:szCs w:val="22"/>
        </w:rPr>
        <w:t xml:space="preserve">calculate our burden estimate </w:t>
      </w:r>
      <w:r w:rsidR="00D44552">
        <w:rPr>
          <w:bCs/>
          <w:szCs w:val="22"/>
        </w:rPr>
        <w:t xml:space="preserve">for </w:t>
      </w:r>
      <w:r w:rsidR="00252A9C">
        <w:rPr>
          <w:bCs/>
          <w:szCs w:val="22"/>
        </w:rPr>
        <w:t xml:space="preserve">the waiver requirements </w:t>
      </w:r>
      <w:r w:rsidR="00325BA2">
        <w:rPr>
          <w:bCs/>
          <w:szCs w:val="22"/>
        </w:rPr>
        <w:t xml:space="preserve">based on </w:t>
      </w:r>
      <w:r w:rsidR="006D6433">
        <w:rPr>
          <w:bCs/>
          <w:szCs w:val="22"/>
        </w:rPr>
        <w:t>the upper end of this range</w:t>
      </w:r>
      <w:r w:rsidR="00325BA2">
        <w:rPr>
          <w:bCs/>
          <w:szCs w:val="22"/>
        </w:rPr>
        <w:t xml:space="preserve"> (i.e., by assuming that three providers will seek waivers each year)</w:t>
      </w:r>
      <w:r w:rsidR="001732EB">
        <w:rPr>
          <w:bCs/>
          <w:szCs w:val="22"/>
        </w:rPr>
        <w:t>.</w:t>
      </w:r>
    </w:p>
    <w:p w:rsidRPr="004460F4" w:rsidR="00AA7716" w:rsidP="00713380" w:rsidRDefault="00AA7716" w14:paraId="48B7D020" w14:textId="77777777">
      <w:pPr>
        <w:rPr>
          <w:bCs/>
          <w:szCs w:val="22"/>
        </w:rPr>
      </w:pPr>
    </w:p>
    <w:p w:rsidRPr="004460F4" w:rsidR="003345D4" w:rsidP="00B9212C" w:rsidRDefault="007E0735" w14:paraId="4EB84952" w14:textId="6E1E6F05">
      <w:pPr>
        <w:pStyle w:val="ParaNumChar1"/>
        <w:tabs>
          <w:tab w:val="clear" w:pos="1080"/>
          <w:tab w:val="clear" w:pos="1440"/>
          <w:tab w:val="left" w:pos="720"/>
        </w:tabs>
        <w:ind w:firstLine="0"/>
        <w:rPr>
          <w:szCs w:val="22"/>
        </w:rPr>
      </w:pPr>
      <w:r w:rsidRPr="004460F4">
        <w:rPr>
          <w:szCs w:val="22"/>
        </w:rPr>
        <w:tab/>
        <w:t xml:space="preserve">Statutory authority for this information collection is contained in </w:t>
      </w:r>
      <w:r w:rsidR="006C3295">
        <w:rPr>
          <w:szCs w:val="22"/>
        </w:rPr>
        <w:t>sections</w:t>
      </w:r>
      <w:r w:rsidRPr="004460F4">
        <w:rPr>
          <w:szCs w:val="22"/>
        </w:rPr>
        <w:t xml:space="preserve"> 1, 4(i)</w:t>
      </w:r>
      <w:r w:rsidR="00CD72EB">
        <w:rPr>
          <w:szCs w:val="22"/>
        </w:rPr>
        <w:t>-</w:t>
      </w:r>
      <w:r w:rsidRPr="004460F4">
        <w:rPr>
          <w:szCs w:val="22"/>
        </w:rPr>
        <w:t>4(j), 201</w:t>
      </w:r>
      <w:r w:rsidR="00CD72EB">
        <w:rPr>
          <w:szCs w:val="22"/>
        </w:rPr>
        <w:t>(b)</w:t>
      </w:r>
      <w:r w:rsidRPr="004460F4">
        <w:rPr>
          <w:szCs w:val="22"/>
        </w:rPr>
        <w:t xml:space="preserve">, </w:t>
      </w:r>
      <w:r w:rsidR="00CD72EB">
        <w:rPr>
          <w:szCs w:val="22"/>
        </w:rPr>
        <w:t xml:space="preserve">218, </w:t>
      </w:r>
      <w:r w:rsidR="006C3295">
        <w:rPr>
          <w:szCs w:val="22"/>
        </w:rPr>
        <w:t xml:space="preserve">220, </w:t>
      </w:r>
      <w:r w:rsidRPr="004460F4">
        <w:rPr>
          <w:szCs w:val="22"/>
        </w:rPr>
        <w:t xml:space="preserve">225, </w:t>
      </w:r>
      <w:r w:rsidR="006C3295">
        <w:rPr>
          <w:szCs w:val="22"/>
        </w:rPr>
        <w:t xml:space="preserve">255, </w:t>
      </w:r>
      <w:r w:rsidRPr="004460F4">
        <w:rPr>
          <w:szCs w:val="22"/>
        </w:rPr>
        <w:t xml:space="preserve">276, </w:t>
      </w:r>
      <w:r w:rsidR="00CD72EB">
        <w:rPr>
          <w:szCs w:val="22"/>
        </w:rPr>
        <w:t xml:space="preserve">403, </w:t>
      </w:r>
      <w:r w:rsidRPr="004460F4">
        <w:rPr>
          <w:szCs w:val="22"/>
        </w:rPr>
        <w:t xml:space="preserve">and </w:t>
      </w:r>
      <w:r w:rsidR="00CD72EB">
        <w:rPr>
          <w:szCs w:val="22"/>
        </w:rPr>
        <w:t xml:space="preserve">716 </w:t>
      </w:r>
      <w:r w:rsidRPr="004460F4">
        <w:rPr>
          <w:szCs w:val="22"/>
        </w:rPr>
        <w:t>of the Communications Act of 1934, as amended, 47 U.S.C. §§</w:t>
      </w:r>
      <w:r w:rsidR="00B05097">
        <w:t> </w:t>
      </w:r>
      <w:r w:rsidRPr="004460F4">
        <w:rPr>
          <w:szCs w:val="22"/>
        </w:rPr>
        <w:t>151, 154(i</w:t>
      </w:r>
      <w:r w:rsidR="006C3295">
        <w:rPr>
          <w:szCs w:val="22"/>
        </w:rPr>
        <w:t>-</w:t>
      </w:r>
      <w:r w:rsidR="00705BC0">
        <w:rPr>
          <w:szCs w:val="22"/>
        </w:rPr>
        <w:t>(j)</w:t>
      </w:r>
      <w:r w:rsidRPr="004460F4">
        <w:rPr>
          <w:szCs w:val="22"/>
        </w:rPr>
        <w:t>, 201</w:t>
      </w:r>
      <w:r w:rsidR="00CD72EB">
        <w:rPr>
          <w:szCs w:val="22"/>
        </w:rPr>
        <w:t>(b)</w:t>
      </w:r>
      <w:r w:rsidRPr="004460F4">
        <w:rPr>
          <w:szCs w:val="22"/>
        </w:rPr>
        <w:t xml:space="preserve">, </w:t>
      </w:r>
      <w:r w:rsidR="00CD72EB">
        <w:rPr>
          <w:szCs w:val="22"/>
        </w:rPr>
        <w:t xml:space="preserve">218, </w:t>
      </w:r>
      <w:r w:rsidR="006C3295">
        <w:rPr>
          <w:szCs w:val="22"/>
        </w:rPr>
        <w:t xml:space="preserve">220, </w:t>
      </w:r>
      <w:r w:rsidRPr="004460F4">
        <w:rPr>
          <w:szCs w:val="22"/>
        </w:rPr>
        <w:t xml:space="preserve">225, </w:t>
      </w:r>
      <w:r w:rsidR="006C3295">
        <w:rPr>
          <w:szCs w:val="22"/>
        </w:rPr>
        <w:t xml:space="preserve">255, </w:t>
      </w:r>
      <w:r w:rsidRPr="004460F4">
        <w:rPr>
          <w:szCs w:val="22"/>
        </w:rPr>
        <w:t>276</w:t>
      </w:r>
      <w:r w:rsidR="00705BC0">
        <w:rPr>
          <w:szCs w:val="22"/>
        </w:rPr>
        <w:t>,</w:t>
      </w:r>
      <w:r w:rsidRPr="004460F4">
        <w:rPr>
          <w:szCs w:val="22"/>
        </w:rPr>
        <w:t xml:space="preserve"> </w:t>
      </w:r>
      <w:r w:rsidR="00CD72EB">
        <w:rPr>
          <w:szCs w:val="22"/>
        </w:rPr>
        <w:t xml:space="preserve">403 </w:t>
      </w:r>
      <w:r w:rsidRPr="004460F4">
        <w:rPr>
          <w:szCs w:val="22"/>
        </w:rPr>
        <w:t xml:space="preserve">and </w:t>
      </w:r>
      <w:r w:rsidR="006C3295">
        <w:rPr>
          <w:szCs w:val="22"/>
        </w:rPr>
        <w:t>617</w:t>
      </w:r>
      <w:r w:rsidRPr="004460F4">
        <w:rPr>
          <w:szCs w:val="22"/>
        </w:rPr>
        <w:t xml:space="preserve">. </w:t>
      </w:r>
    </w:p>
    <w:p w:rsidRPr="004460F4" w:rsidR="00E2213C" w:rsidP="00AB4BAF" w:rsidRDefault="00326FEB" w14:paraId="0EE1A5A2" w14:textId="77777777">
      <w:pPr>
        <w:spacing w:after="120"/>
        <w:ind w:firstLine="720"/>
        <w:rPr>
          <w:szCs w:val="22"/>
        </w:rPr>
      </w:pPr>
      <w:r w:rsidRPr="004460F4">
        <w:rPr>
          <w:szCs w:val="22"/>
        </w:rPr>
        <w:t>This information collection does not affect individuals or households; thus, there are no impacts under the Privacy Act.</w:t>
      </w:r>
    </w:p>
    <w:p w:rsidRPr="00AB1E80" w:rsidR="007E0735" w:rsidP="00EB2A74" w:rsidRDefault="009256BF" w14:paraId="589F44A8" w14:textId="74638D6D">
      <w:pPr>
        <w:pStyle w:val="Numberedparagraphs"/>
        <w:numPr>
          <w:ilvl w:val="0"/>
          <w:numId w:val="0"/>
        </w:numPr>
        <w:tabs>
          <w:tab w:val="clear" w:pos="1440"/>
          <w:tab w:val="left" w:pos="720"/>
        </w:tabs>
      </w:pPr>
      <w:r w:rsidRPr="004460F4">
        <w:rPr>
          <w:szCs w:val="22"/>
        </w:rPr>
        <w:tab/>
        <w:t xml:space="preserve">2.  </w:t>
      </w:r>
      <w:bookmarkStart w:name="_Hlk14172746" w:id="8"/>
      <w:r w:rsidRPr="004460F4" w:rsidR="0029304C">
        <w:rPr>
          <w:szCs w:val="22"/>
        </w:rPr>
        <w:t>The information requirements set forth below ensure that the Commission has access to the information it needs to fulfill its</w:t>
      </w:r>
      <w:r w:rsidR="00EF19DE">
        <w:rPr>
          <w:szCs w:val="22"/>
        </w:rPr>
        <w:t xml:space="preserve"> statutory and</w:t>
      </w:r>
      <w:r w:rsidRPr="004460F4" w:rsidR="0029304C">
        <w:rPr>
          <w:szCs w:val="22"/>
        </w:rPr>
        <w:t xml:space="preserve"> regulatory duties</w:t>
      </w:r>
      <w:r w:rsidRPr="004460F4" w:rsidR="003D4CB7">
        <w:rPr>
          <w:szCs w:val="22"/>
        </w:rPr>
        <w:t>,</w:t>
      </w:r>
      <w:r w:rsidRPr="004460F4" w:rsidR="0029304C">
        <w:rPr>
          <w:szCs w:val="22"/>
        </w:rPr>
        <w:t xml:space="preserve"> while minimizing the burden on ICS providers.</w:t>
      </w:r>
      <w:r w:rsidRPr="004460F4" w:rsidR="006D646C">
        <w:rPr>
          <w:szCs w:val="22"/>
        </w:rPr>
        <w:t xml:space="preserve"> </w:t>
      </w:r>
      <w:r w:rsidR="00C007D9">
        <w:rPr>
          <w:szCs w:val="22"/>
        </w:rPr>
        <w:t xml:space="preserve"> </w:t>
      </w:r>
      <w:r w:rsidRPr="004460F4" w:rsidR="006D646C">
        <w:rPr>
          <w:szCs w:val="22"/>
        </w:rPr>
        <w:t xml:space="preserve">Requiring ICS providers to file annual reports </w:t>
      </w:r>
      <w:r w:rsidRPr="004460F4" w:rsidR="00D039F8">
        <w:rPr>
          <w:szCs w:val="22"/>
        </w:rPr>
        <w:t xml:space="preserve">and certifications </w:t>
      </w:r>
      <w:r w:rsidRPr="004460F4" w:rsidR="006D646C">
        <w:rPr>
          <w:szCs w:val="22"/>
        </w:rPr>
        <w:t xml:space="preserve">and </w:t>
      </w:r>
      <w:r w:rsidRPr="004460F4" w:rsidR="00D039F8">
        <w:rPr>
          <w:szCs w:val="22"/>
        </w:rPr>
        <w:t xml:space="preserve">to </w:t>
      </w:r>
      <w:r w:rsidRPr="004460F4" w:rsidR="006D646C">
        <w:rPr>
          <w:szCs w:val="22"/>
        </w:rPr>
        <w:t xml:space="preserve">disclose their rates to consumers </w:t>
      </w:r>
      <w:r w:rsidRPr="00035D86" w:rsidR="00194C59">
        <w:rPr>
          <w:szCs w:val="22"/>
        </w:rPr>
        <w:t xml:space="preserve">will help the Commission discharge </w:t>
      </w:r>
      <w:r w:rsidRPr="00035D86" w:rsidR="006D646C">
        <w:rPr>
          <w:szCs w:val="22"/>
        </w:rPr>
        <w:t>its</w:t>
      </w:r>
      <w:r w:rsidRPr="00035D86" w:rsidR="007A7A22">
        <w:rPr>
          <w:szCs w:val="22"/>
        </w:rPr>
        <w:t xml:space="preserve"> statutory</w:t>
      </w:r>
      <w:r w:rsidRPr="00035D86" w:rsidR="006D646C">
        <w:rPr>
          <w:szCs w:val="22"/>
        </w:rPr>
        <w:t xml:space="preserve"> mandate</w:t>
      </w:r>
      <w:r w:rsidRPr="00035D86" w:rsidR="007A7A22">
        <w:rPr>
          <w:szCs w:val="22"/>
        </w:rPr>
        <w:t>s</w:t>
      </w:r>
      <w:r w:rsidRPr="00035D86" w:rsidR="006D646C">
        <w:rPr>
          <w:szCs w:val="22"/>
        </w:rPr>
        <w:t xml:space="preserve"> </w:t>
      </w:r>
      <w:r w:rsidRPr="00035D86" w:rsidR="007A7A22">
        <w:rPr>
          <w:szCs w:val="22"/>
        </w:rPr>
        <w:t>regarding ICS</w:t>
      </w:r>
      <w:r w:rsidRPr="00EC3A4C" w:rsidR="006D646C">
        <w:rPr>
          <w:szCs w:val="22"/>
        </w:rPr>
        <w:t>.</w:t>
      </w:r>
      <w:r w:rsidRPr="00EC3A4C" w:rsidR="00E67A94">
        <w:rPr>
          <w:szCs w:val="22"/>
        </w:rPr>
        <w:t xml:space="preserve"> </w:t>
      </w:r>
      <w:r w:rsidR="00C669FB">
        <w:rPr>
          <w:szCs w:val="22"/>
        </w:rPr>
        <w:t xml:space="preserve"> </w:t>
      </w:r>
      <w:r w:rsidRPr="00EC3A4C" w:rsidR="00E67A94">
        <w:rPr>
          <w:szCs w:val="22"/>
        </w:rPr>
        <w:t xml:space="preserve">The annual reports </w:t>
      </w:r>
      <w:r w:rsidRPr="00EC3A4C" w:rsidR="00C12D01">
        <w:rPr>
          <w:szCs w:val="22"/>
        </w:rPr>
        <w:t xml:space="preserve">also </w:t>
      </w:r>
      <w:r w:rsidRPr="00EC3A4C" w:rsidR="0085271E">
        <w:rPr>
          <w:szCs w:val="22"/>
        </w:rPr>
        <w:t xml:space="preserve">will </w:t>
      </w:r>
      <w:r w:rsidRPr="00EC3A4C" w:rsidR="00E67A94">
        <w:rPr>
          <w:szCs w:val="22"/>
        </w:rPr>
        <w:t xml:space="preserve">provide </w:t>
      </w:r>
      <w:r w:rsidR="00A10ECF">
        <w:rPr>
          <w:szCs w:val="22"/>
        </w:rPr>
        <w:t>incarcerated people</w:t>
      </w:r>
      <w:r w:rsidRPr="00EC3A4C" w:rsidR="00E67A94">
        <w:rPr>
          <w:szCs w:val="22"/>
        </w:rPr>
        <w:t xml:space="preserve">, their families, </w:t>
      </w:r>
      <w:r w:rsidRPr="00EC3A4C" w:rsidR="002507CA">
        <w:rPr>
          <w:szCs w:val="22"/>
        </w:rPr>
        <w:t>t</w:t>
      </w:r>
      <w:r w:rsidRPr="00EC3A4C" w:rsidR="00E67A94">
        <w:rPr>
          <w:szCs w:val="22"/>
        </w:rPr>
        <w:t xml:space="preserve">heir representatives, </w:t>
      </w:r>
      <w:r w:rsidRPr="00EC3A4C" w:rsidR="002507CA">
        <w:rPr>
          <w:szCs w:val="22"/>
        </w:rPr>
        <w:t xml:space="preserve">and the general public </w:t>
      </w:r>
      <w:r w:rsidRPr="00EC3A4C" w:rsidR="00E67A94">
        <w:rPr>
          <w:szCs w:val="22"/>
        </w:rPr>
        <w:t>with access to information affecting the provision of interstate and international ICS.</w:t>
      </w:r>
      <w:bookmarkEnd w:id="8"/>
    </w:p>
    <w:p w:rsidR="00BC2D30" w:rsidP="00660AA1" w:rsidRDefault="00D22E21" w14:paraId="2050B4AC" w14:textId="6C4A217A">
      <w:pPr>
        <w:pStyle w:val="ParaNum"/>
        <w:widowControl/>
        <w:numPr>
          <w:ilvl w:val="0"/>
          <w:numId w:val="0"/>
        </w:numPr>
        <w:ind w:firstLine="720"/>
        <w:rPr>
          <w:szCs w:val="22"/>
        </w:rPr>
      </w:pPr>
      <w:bookmarkStart w:name="_Hlk17281999" w:id="9"/>
      <w:r>
        <w:rPr>
          <w:szCs w:val="22"/>
        </w:rPr>
        <w:t>The expanded consumer disclosure requirements</w:t>
      </w:r>
      <w:r w:rsidR="00353536">
        <w:rPr>
          <w:szCs w:val="22"/>
        </w:rPr>
        <w:t xml:space="preserve"> (i.e., the </w:t>
      </w:r>
      <w:r w:rsidR="007D7F03">
        <w:rPr>
          <w:szCs w:val="22"/>
        </w:rPr>
        <w:t xml:space="preserve">website </w:t>
      </w:r>
      <w:r w:rsidR="00165FA4">
        <w:rPr>
          <w:szCs w:val="22"/>
        </w:rPr>
        <w:t xml:space="preserve">disclosure </w:t>
      </w:r>
      <w:r w:rsidR="00353536">
        <w:rPr>
          <w:szCs w:val="22"/>
        </w:rPr>
        <w:t>requirement</w:t>
      </w:r>
      <w:r>
        <w:rPr>
          <w:szCs w:val="22"/>
        </w:rPr>
        <w:t xml:space="preserve"> </w:t>
      </w:r>
      <w:r w:rsidR="00165FA4">
        <w:rPr>
          <w:szCs w:val="22"/>
        </w:rPr>
        <w:t xml:space="preserve">for international termination charges and the consumer billing requirements) </w:t>
      </w:r>
      <w:r>
        <w:rPr>
          <w:szCs w:val="22"/>
        </w:rPr>
        <w:t>are</w:t>
      </w:r>
      <w:r w:rsidRPr="004460F4">
        <w:rPr>
          <w:szCs w:val="22"/>
        </w:rPr>
        <w:t xml:space="preserve"> essential consumer protection mechanism</w:t>
      </w:r>
      <w:r>
        <w:rPr>
          <w:szCs w:val="22"/>
        </w:rPr>
        <w:t>s</w:t>
      </w:r>
      <w:r w:rsidR="00165FA4">
        <w:rPr>
          <w:szCs w:val="22"/>
        </w:rPr>
        <w:t xml:space="preserve">.  </w:t>
      </w:r>
      <w:r w:rsidR="009829CF">
        <w:rPr>
          <w:szCs w:val="22"/>
        </w:rPr>
        <w:t>This website disclosure</w:t>
      </w:r>
      <w:r w:rsidR="00165FA4">
        <w:rPr>
          <w:szCs w:val="22"/>
        </w:rPr>
        <w:t xml:space="preserve"> requirement </w:t>
      </w:r>
      <w:r w:rsidR="00BC2D30">
        <w:rPr>
          <w:szCs w:val="22"/>
        </w:rPr>
        <w:t xml:space="preserve">will </w:t>
      </w:r>
      <w:r w:rsidRPr="004460F4" w:rsidR="00423F09">
        <w:rPr>
          <w:szCs w:val="22"/>
        </w:rPr>
        <w:t xml:space="preserve">help ensure that ICS </w:t>
      </w:r>
      <w:r w:rsidR="00B05EFF">
        <w:rPr>
          <w:szCs w:val="22"/>
        </w:rPr>
        <w:t xml:space="preserve">consumers </w:t>
      </w:r>
      <w:r w:rsidR="00165FA4">
        <w:rPr>
          <w:szCs w:val="22"/>
        </w:rPr>
        <w:t>understand</w:t>
      </w:r>
      <w:r w:rsidRPr="004460F4" w:rsidR="00165FA4">
        <w:rPr>
          <w:szCs w:val="22"/>
        </w:rPr>
        <w:t xml:space="preserve"> </w:t>
      </w:r>
      <w:r w:rsidRPr="004460F4" w:rsidR="00423F09">
        <w:rPr>
          <w:szCs w:val="22"/>
        </w:rPr>
        <w:t xml:space="preserve">the providers’ rates </w:t>
      </w:r>
      <w:r w:rsidR="00165FA4">
        <w:rPr>
          <w:szCs w:val="22"/>
        </w:rPr>
        <w:t xml:space="preserve">for international calls </w:t>
      </w:r>
      <w:r w:rsidRPr="004460F4" w:rsidR="005A151D">
        <w:rPr>
          <w:szCs w:val="22"/>
        </w:rPr>
        <w:t xml:space="preserve">and </w:t>
      </w:r>
      <w:r w:rsidRPr="004460F4" w:rsidR="00423F09">
        <w:rPr>
          <w:szCs w:val="22"/>
        </w:rPr>
        <w:t xml:space="preserve">can make informed decisions on whether to proceed with </w:t>
      </w:r>
      <w:r w:rsidR="00165FA4">
        <w:rPr>
          <w:szCs w:val="22"/>
        </w:rPr>
        <w:t>those</w:t>
      </w:r>
      <w:r w:rsidRPr="004460F4" w:rsidR="00165FA4">
        <w:rPr>
          <w:szCs w:val="22"/>
        </w:rPr>
        <w:t xml:space="preserve"> </w:t>
      </w:r>
      <w:r w:rsidRPr="004460F4" w:rsidR="00423F09">
        <w:rPr>
          <w:szCs w:val="22"/>
        </w:rPr>
        <w:t>calls.</w:t>
      </w:r>
      <w:r w:rsidRPr="004460F4" w:rsidR="003835FC">
        <w:rPr>
          <w:szCs w:val="22"/>
        </w:rPr>
        <w:t xml:space="preserve">  </w:t>
      </w:r>
      <w:r w:rsidR="00165FA4">
        <w:rPr>
          <w:szCs w:val="22"/>
        </w:rPr>
        <w:t xml:space="preserve">The consumer billing </w:t>
      </w:r>
      <w:r>
        <w:rPr>
          <w:szCs w:val="22"/>
        </w:rPr>
        <w:t>requirement</w:t>
      </w:r>
      <w:r w:rsidR="009829CF">
        <w:rPr>
          <w:szCs w:val="22"/>
        </w:rPr>
        <w:t>s</w:t>
      </w:r>
      <w:r w:rsidR="00165FA4">
        <w:rPr>
          <w:szCs w:val="22"/>
        </w:rPr>
        <w:t xml:space="preserve"> </w:t>
      </w:r>
      <w:r>
        <w:rPr>
          <w:szCs w:val="22"/>
        </w:rPr>
        <w:t xml:space="preserve">will help consumers understand whether the providers’ charges for </w:t>
      </w:r>
      <w:r w:rsidR="009829CF">
        <w:rPr>
          <w:szCs w:val="22"/>
        </w:rPr>
        <w:t xml:space="preserve">interstate and international </w:t>
      </w:r>
      <w:r>
        <w:rPr>
          <w:szCs w:val="22"/>
        </w:rPr>
        <w:t xml:space="preserve">calling services comply with the Commission’s rate cap rules.  </w:t>
      </w:r>
    </w:p>
    <w:p w:rsidRPr="004460F4" w:rsidR="008A402C" w:rsidP="00660AA1" w:rsidRDefault="008A402C" w14:paraId="7119C6A2" w14:textId="684CCD1F">
      <w:pPr>
        <w:pStyle w:val="ParaNum"/>
        <w:widowControl/>
        <w:numPr>
          <w:ilvl w:val="0"/>
          <w:numId w:val="0"/>
        </w:numPr>
        <w:ind w:firstLine="720"/>
        <w:rPr>
          <w:szCs w:val="22"/>
        </w:rPr>
      </w:pPr>
      <w:r>
        <w:rPr>
          <w:szCs w:val="22"/>
        </w:rPr>
        <w:t xml:space="preserve">The </w:t>
      </w:r>
      <w:r w:rsidR="00BC2D30">
        <w:rPr>
          <w:szCs w:val="22"/>
        </w:rPr>
        <w:t xml:space="preserve">requirements for </w:t>
      </w:r>
      <w:r>
        <w:rPr>
          <w:szCs w:val="22"/>
        </w:rPr>
        <w:t>waive</w:t>
      </w:r>
      <w:r w:rsidR="00660AA1">
        <w:rPr>
          <w:szCs w:val="22"/>
        </w:rPr>
        <w:t xml:space="preserve">r </w:t>
      </w:r>
      <w:r w:rsidR="00BC2D30">
        <w:rPr>
          <w:szCs w:val="22"/>
        </w:rPr>
        <w:t xml:space="preserve">requests </w:t>
      </w:r>
      <w:r w:rsidR="00D22E21">
        <w:rPr>
          <w:szCs w:val="22"/>
        </w:rPr>
        <w:t>will ensure that the Commission will have the information it needs to</w:t>
      </w:r>
      <w:r w:rsidR="00BC2D30">
        <w:rPr>
          <w:szCs w:val="22"/>
        </w:rPr>
        <w:t xml:space="preserve"> evaluate requests for waiver of the Commission’s rate cap and ancillary charge rules.  Knowing those requirements in advance will help an ICS provider evaluate whether to seek such a waiver and, in the event the provider decides to go forward with a waiver request, </w:t>
      </w:r>
      <w:r w:rsidR="007F5DE4">
        <w:rPr>
          <w:szCs w:val="22"/>
        </w:rPr>
        <w:t>include in its request the information that is most likely to be decisionally significant.</w:t>
      </w:r>
      <w:r w:rsidR="00BC2D30">
        <w:rPr>
          <w:szCs w:val="22"/>
        </w:rPr>
        <w:t xml:space="preserve"> </w:t>
      </w:r>
    </w:p>
    <w:bookmarkEnd w:id="9"/>
    <w:p w:rsidRPr="004460F4" w:rsidR="007E0735" w:rsidP="007E0735" w:rsidRDefault="007E0735" w14:paraId="04E625D9" w14:textId="306F2387">
      <w:pPr>
        <w:pStyle w:val="Numberedparagraphs"/>
        <w:numPr>
          <w:ilvl w:val="0"/>
          <w:numId w:val="0"/>
        </w:numPr>
        <w:tabs>
          <w:tab w:val="clear" w:pos="1440"/>
          <w:tab w:val="left" w:pos="720"/>
        </w:tabs>
        <w:rPr>
          <w:szCs w:val="22"/>
        </w:rPr>
      </w:pPr>
      <w:r w:rsidRPr="004460F4">
        <w:rPr>
          <w:szCs w:val="22"/>
        </w:rPr>
        <w:tab/>
        <w:t xml:space="preserve">3.  </w:t>
      </w:r>
      <w:r w:rsidR="005145B1">
        <w:rPr>
          <w:szCs w:val="22"/>
        </w:rPr>
        <w:t xml:space="preserve">This collection involves the use of </w:t>
      </w:r>
      <w:r w:rsidR="003B1F05">
        <w:rPr>
          <w:szCs w:val="22"/>
        </w:rPr>
        <w:t xml:space="preserve">informational technology </w:t>
      </w:r>
      <w:r w:rsidR="005145B1">
        <w:rPr>
          <w:szCs w:val="22"/>
        </w:rPr>
        <w:t xml:space="preserve">to permit the electronic submission of </w:t>
      </w:r>
      <w:r w:rsidR="003B1F05">
        <w:rPr>
          <w:szCs w:val="22"/>
        </w:rPr>
        <w:t xml:space="preserve">responses.  In particular, the Commission directed staff to develop a standardized template for the submission of </w:t>
      </w:r>
      <w:r w:rsidR="00C669FB">
        <w:rPr>
          <w:szCs w:val="22"/>
        </w:rPr>
        <w:t>the annual reports</w:t>
      </w:r>
      <w:r w:rsidR="003B1F05">
        <w:rPr>
          <w:szCs w:val="22"/>
        </w:rPr>
        <w:t xml:space="preserve"> and to provide instructions to simplify compliance with, and reduce the burden of, the information requirements</w:t>
      </w:r>
      <w:r w:rsidR="00C669FB">
        <w:rPr>
          <w:szCs w:val="22"/>
        </w:rPr>
        <w:t xml:space="preserve"> related to those reports</w:t>
      </w:r>
      <w:r w:rsidR="003B1F05">
        <w:rPr>
          <w:szCs w:val="22"/>
        </w:rPr>
        <w:t xml:space="preserve">.  The template includes </w:t>
      </w:r>
      <w:r w:rsidR="003B1F05">
        <w:rPr>
          <w:szCs w:val="22"/>
        </w:rPr>
        <w:lastRenderedPageBreak/>
        <w:t>instructions and text fields for respondents to use to report the required data.  Providers are directed to file their annual reports and certifications electronically using the Commission’s Electronic Comment Filing System (ECFS).</w:t>
      </w:r>
      <w:r w:rsidR="0086577C">
        <w:rPr>
          <w:szCs w:val="22"/>
        </w:rPr>
        <w:t xml:space="preserve">  </w:t>
      </w:r>
      <w:r w:rsidRPr="00D50856" w:rsidR="0086577C">
        <w:rPr>
          <w:szCs w:val="22"/>
        </w:rPr>
        <w:t>They also will file their support for any request for waiver of the interstate or international rate caps or ancillary service charge fee caps using ECFS.</w:t>
      </w:r>
    </w:p>
    <w:p w:rsidRPr="004460F4" w:rsidR="007E0735" w:rsidP="007E0735" w:rsidRDefault="007E0735" w14:paraId="0C46A604" w14:textId="06900FDF">
      <w:pPr>
        <w:pStyle w:val="Numberedparagraphs"/>
        <w:numPr>
          <w:ilvl w:val="0"/>
          <w:numId w:val="0"/>
        </w:numPr>
        <w:tabs>
          <w:tab w:val="clear" w:pos="1440"/>
          <w:tab w:val="left" w:pos="720"/>
        </w:tabs>
        <w:rPr>
          <w:szCs w:val="22"/>
        </w:rPr>
      </w:pPr>
      <w:r w:rsidRPr="004460F4">
        <w:rPr>
          <w:szCs w:val="22"/>
        </w:rPr>
        <w:tab/>
        <w:t xml:space="preserve">4.  The Commission is not aware of any similar information already available that can be used or modified for the purposes </w:t>
      </w:r>
      <w:r w:rsidR="005E48D0">
        <w:rPr>
          <w:szCs w:val="22"/>
        </w:rPr>
        <w:t>of</w:t>
      </w:r>
      <w:r w:rsidR="002D632D">
        <w:rPr>
          <w:szCs w:val="22"/>
        </w:rPr>
        <w:t xml:space="preserve"> the new collections </w:t>
      </w:r>
      <w:r w:rsidRPr="004460F4">
        <w:rPr>
          <w:szCs w:val="22"/>
        </w:rPr>
        <w:t xml:space="preserve">described in Item 2 above.  </w:t>
      </w:r>
      <w:r w:rsidRPr="004460F4" w:rsidR="00BC09EA">
        <w:rPr>
          <w:szCs w:val="22"/>
        </w:rPr>
        <w:t xml:space="preserve">Specifically, </w:t>
      </w:r>
      <w:r w:rsidRPr="004460F4" w:rsidR="00745159">
        <w:rPr>
          <w:szCs w:val="22"/>
        </w:rPr>
        <w:t>prior to the</w:t>
      </w:r>
      <w:r w:rsidR="00E560C6">
        <w:rPr>
          <w:szCs w:val="22"/>
        </w:rPr>
        <w:t xml:space="preserve"> data collections established in the</w:t>
      </w:r>
      <w:r w:rsidRPr="004460F4" w:rsidR="00745159">
        <w:rPr>
          <w:szCs w:val="22"/>
        </w:rPr>
        <w:t xml:space="preserve"> </w:t>
      </w:r>
      <w:r w:rsidRPr="00030522" w:rsidR="00030522">
        <w:rPr>
          <w:i/>
          <w:szCs w:val="22"/>
        </w:rPr>
        <w:t>2021 ICS Order</w:t>
      </w:r>
      <w:r w:rsidRPr="004460F4" w:rsidR="00745159">
        <w:rPr>
          <w:szCs w:val="22"/>
        </w:rPr>
        <w:t>, ICS providers were not required to file such data with the Commission</w:t>
      </w:r>
      <w:r w:rsidR="00AC6A1D">
        <w:rPr>
          <w:szCs w:val="22"/>
        </w:rPr>
        <w:t xml:space="preserve"> or otherwise</w:t>
      </w:r>
      <w:r w:rsidR="00EE427A">
        <w:rPr>
          <w:szCs w:val="22"/>
        </w:rPr>
        <w:t xml:space="preserve"> provide the data to consumers</w:t>
      </w:r>
      <w:r w:rsidRPr="004460F4" w:rsidR="00745159">
        <w:rPr>
          <w:szCs w:val="22"/>
        </w:rPr>
        <w:t>.</w:t>
      </w:r>
    </w:p>
    <w:p w:rsidR="00845E1B" w:rsidP="006437B7" w:rsidRDefault="006437B7" w14:paraId="0D5B9311" w14:textId="100F657A">
      <w:pPr>
        <w:pStyle w:val="Numberedparagraphs"/>
        <w:numPr>
          <w:ilvl w:val="0"/>
          <w:numId w:val="0"/>
        </w:numPr>
        <w:tabs>
          <w:tab w:val="left" w:pos="720"/>
        </w:tabs>
        <w:ind w:left="180"/>
        <w:rPr>
          <w:szCs w:val="22"/>
        </w:rPr>
      </w:pPr>
      <w:r>
        <w:rPr>
          <w:szCs w:val="22"/>
        </w:rPr>
        <w:tab/>
      </w:r>
      <w:r w:rsidRPr="004460F4" w:rsidR="007E0735">
        <w:rPr>
          <w:szCs w:val="22"/>
        </w:rPr>
        <w:t>5.  Because the Commission</w:t>
      </w:r>
      <w:r w:rsidR="005008B4">
        <w:rPr>
          <w:szCs w:val="22"/>
        </w:rPr>
        <w:t xml:space="preserve"> </w:t>
      </w:r>
      <w:r w:rsidRPr="004460F4" w:rsidR="007E0735">
        <w:rPr>
          <w:szCs w:val="22"/>
        </w:rPr>
        <w:t>requir</w:t>
      </w:r>
      <w:r w:rsidR="005008B4">
        <w:rPr>
          <w:szCs w:val="22"/>
        </w:rPr>
        <w:t>es</w:t>
      </w:r>
      <w:r w:rsidRPr="004460F4" w:rsidR="007E0735">
        <w:rPr>
          <w:szCs w:val="22"/>
        </w:rPr>
        <w:t xml:space="preserve"> all ICS providers to </w:t>
      </w:r>
      <w:r w:rsidR="009E5E9C">
        <w:rPr>
          <w:szCs w:val="22"/>
        </w:rPr>
        <w:t xml:space="preserve">comply with the </w:t>
      </w:r>
      <w:r w:rsidR="008C781D">
        <w:rPr>
          <w:szCs w:val="22"/>
        </w:rPr>
        <w:t xml:space="preserve">annual reporting and certification rules and the </w:t>
      </w:r>
      <w:r w:rsidR="009E5E9C">
        <w:rPr>
          <w:szCs w:val="22"/>
        </w:rPr>
        <w:t>consumer disclosure rule</w:t>
      </w:r>
      <w:r w:rsidR="00C669FB">
        <w:rPr>
          <w:szCs w:val="22"/>
        </w:rPr>
        <w:t>s</w:t>
      </w:r>
      <w:r w:rsidRPr="004460F4" w:rsidR="007E0735">
        <w:rPr>
          <w:szCs w:val="22"/>
        </w:rPr>
        <w:t>, th</w:t>
      </w:r>
      <w:r w:rsidR="00AD4F58">
        <w:rPr>
          <w:szCs w:val="22"/>
        </w:rPr>
        <w:t>os</w:t>
      </w:r>
      <w:r w:rsidRPr="004460F4" w:rsidR="007E0735">
        <w:rPr>
          <w:szCs w:val="22"/>
        </w:rPr>
        <w:t>e requirement</w:t>
      </w:r>
      <w:r w:rsidR="009E5E9C">
        <w:rPr>
          <w:szCs w:val="22"/>
        </w:rPr>
        <w:t>s</w:t>
      </w:r>
      <w:r w:rsidRPr="004460F4" w:rsidR="007E0735">
        <w:rPr>
          <w:szCs w:val="22"/>
        </w:rPr>
        <w:t xml:space="preserve"> will affect smaller as well as larger ICS providers.  </w:t>
      </w:r>
      <w:r w:rsidRPr="00D50856" w:rsidR="00AD4F58">
        <w:rPr>
          <w:szCs w:val="22"/>
        </w:rPr>
        <w:t xml:space="preserve">Similarly, the requirements for waiver requests will apply to all ICS providers that seek waivers of the </w:t>
      </w:r>
      <w:r w:rsidRPr="00D50856" w:rsidR="00146B94">
        <w:rPr>
          <w:szCs w:val="22"/>
        </w:rPr>
        <w:t>Commission’s</w:t>
      </w:r>
      <w:r w:rsidRPr="00D50856" w:rsidR="00AD4F58">
        <w:rPr>
          <w:szCs w:val="22"/>
        </w:rPr>
        <w:t xml:space="preserve"> rate cap and ancillary service charge fee caps.</w:t>
      </w:r>
      <w:r w:rsidR="00AD4F58">
        <w:rPr>
          <w:szCs w:val="22"/>
        </w:rPr>
        <w:t xml:space="preserve">  </w:t>
      </w:r>
      <w:r w:rsidRPr="004460F4" w:rsidR="007E0735">
        <w:rPr>
          <w:szCs w:val="22"/>
        </w:rPr>
        <w:t>The Commission</w:t>
      </w:r>
      <w:r w:rsidR="003D4DB4">
        <w:rPr>
          <w:szCs w:val="22"/>
        </w:rPr>
        <w:t>’s</w:t>
      </w:r>
      <w:r w:rsidRPr="004460F4" w:rsidR="007E0735">
        <w:rPr>
          <w:szCs w:val="22"/>
        </w:rPr>
        <w:t xml:space="preserve"> </w:t>
      </w:r>
      <w:r w:rsidR="00AD4F58">
        <w:rPr>
          <w:szCs w:val="22"/>
        </w:rPr>
        <w:t>requ</w:t>
      </w:r>
      <w:r w:rsidR="00E1338D">
        <w:rPr>
          <w:szCs w:val="22"/>
        </w:rPr>
        <w:t>i</w:t>
      </w:r>
      <w:r w:rsidR="00AD4F58">
        <w:rPr>
          <w:szCs w:val="22"/>
        </w:rPr>
        <w:t>rements</w:t>
      </w:r>
      <w:r w:rsidR="009E5E9C">
        <w:rPr>
          <w:szCs w:val="22"/>
        </w:rPr>
        <w:t xml:space="preserve"> are</w:t>
      </w:r>
      <w:r w:rsidRPr="004460F4" w:rsidR="007E0735">
        <w:rPr>
          <w:szCs w:val="22"/>
        </w:rPr>
        <w:t xml:space="preserve"> competitively neutral and not unduly burdensome for any set of </w:t>
      </w:r>
      <w:r w:rsidRPr="004460F4" w:rsidR="00770E2D">
        <w:rPr>
          <w:szCs w:val="22"/>
        </w:rPr>
        <w:t>providers</w:t>
      </w:r>
      <w:r w:rsidRPr="004460F4" w:rsidR="007E0735">
        <w:rPr>
          <w:szCs w:val="22"/>
        </w:rPr>
        <w:t xml:space="preserve">. </w:t>
      </w:r>
    </w:p>
    <w:p w:rsidR="004817AC" w:rsidP="006437B7" w:rsidRDefault="00845E1B" w14:paraId="0D259BB7" w14:textId="37D3BA00">
      <w:pPr>
        <w:pStyle w:val="Numberedparagraphs"/>
        <w:numPr>
          <w:ilvl w:val="0"/>
          <w:numId w:val="0"/>
        </w:numPr>
        <w:tabs>
          <w:tab w:val="left" w:pos="720"/>
        </w:tabs>
        <w:ind w:left="180"/>
        <w:rPr>
          <w:szCs w:val="22"/>
        </w:rPr>
      </w:pPr>
      <w:r>
        <w:rPr>
          <w:szCs w:val="22"/>
        </w:rPr>
        <w:tab/>
      </w:r>
      <w:r w:rsidRPr="004460F4" w:rsidR="007E0735">
        <w:rPr>
          <w:szCs w:val="22"/>
        </w:rPr>
        <w:t xml:space="preserve">6.  </w:t>
      </w:r>
      <w:r w:rsidRPr="004460F4" w:rsidR="00387192">
        <w:rPr>
          <w:szCs w:val="22"/>
        </w:rPr>
        <w:t>Collecting</w:t>
      </w:r>
      <w:r w:rsidRPr="004460F4" w:rsidR="007E0735">
        <w:rPr>
          <w:szCs w:val="22"/>
        </w:rPr>
        <w:t xml:space="preserve"> the </w:t>
      </w:r>
      <w:r w:rsidR="00646C17">
        <w:rPr>
          <w:szCs w:val="22"/>
        </w:rPr>
        <w:t>information</w:t>
      </w:r>
      <w:r w:rsidRPr="004460F4" w:rsidR="007E0735">
        <w:rPr>
          <w:szCs w:val="22"/>
        </w:rPr>
        <w:t xml:space="preserve"> on a less frequent basis</w:t>
      </w:r>
      <w:r w:rsidRPr="004460F4" w:rsidR="00FF3566">
        <w:rPr>
          <w:szCs w:val="22"/>
        </w:rPr>
        <w:t>,</w:t>
      </w:r>
      <w:r w:rsidRPr="004460F4" w:rsidR="007E0735">
        <w:rPr>
          <w:szCs w:val="22"/>
        </w:rPr>
        <w:t xml:space="preserve"> or not at all</w:t>
      </w:r>
      <w:r w:rsidRPr="004460F4" w:rsidR="00FF3566">
        <w:rPr>
          <w:szCs w:val="22"/>
        </w:rPr>
        <w:t>,</w:t>
      </w:r>
      <w:r w:rsidRPr="004460F4" w:rsidR="007E0735">
        <w:rPr>
          <w:szCs w:val="22"/>
        </w:rPr>
        <w:t xml:space="preserve"> would undermine the Commission’s efforts to ensure</w:t>
      </w:r>
      <w:r w:rsidRPr="004460F4" w:rsidR="003F701F">
        <w:rPr>
          <w:szCs w:val="22"/>
        </w:rPr>
        <w:t xml:space="preserve"> that </w:t>
      </w:r>
      <w:r w:rsidR="009E5E9C">
        <w:rPr>
          <w:szCs w:val="22"/>
        </w:rPr>
        <w:t xml:space="preserve">interstate and international </w:t>
      </w:r>
      <w:r w:rsidRPr="004460F4" w:rsidR="003F701F">
        <w:rPr>
          <w:szCs w:val="22"/>
        </w:rPr>
        <w:t xml:space="preserve">ICS </w:t>
      </w:r>
      <w:r w:rsidRPr="00085F84" w:rsidR="003F701F">
        <w:rPr>
          <w:szCs w:val="22"/>
        </w:rPr>
        <w:t>is provided at</w:t>
      </w:r>
      <w:r w:rsidRPr="00085F84" w:rsidR="007E0735">
        <w:rPr>
          <w:szCs w:val="22"/>
        </w:rPr>
        <w:t xml:space="preserve"> </w:t>
      </w:r>
      <w:r w:rsidRPr="00085F84" w:rsidR="00152BFD">
        <w:rPr>
          <w:szCs w:val="22"/>
        </w:rPr>
        <w:t>just</w:t>
      </w:r>
      <w:r w:rsidRPr="00085F84" w:rsidR="009E5E9C">
        <w:rPr>
          <w:szCs w:val="22"/>
        </w:rPr>
        <w:t xml:space="preserve"> and </w:t>
      </w:r>
      <w:r w:rsidRPr="00085F84" w:rsidR="00152BFD">
        <w:rPr>
          <w:szCs w:val="22"/>
        </w:rPr>
        <w:t>reasonable</w:t>
      </w:r>
      <w:r w:rsidRPr="00085F84" w:rsidR="009E5E9C">
        <w:rPr>
          <w:szCs w:val="22"/>
        </w:rPr>
        <w:t xml:space="preserve"> </w:t>
      </w:r>
      <w:r w:rsidRPr="00085F84" w:rsidR="003F701F">
        <w:rPr>
          <w:szCs w:val="22"/>
        </w:rPr>
        <w:t>rates</w:t>
      </w:r>
      <w:r w:rsidRPr="00085F84" w:rsidR="00D137E9">
        <w:rPr>
          <w:szCs w:val="22"/>
        </w:rPr>
        <w:t xml:space="preserve"> and</w:t>
      </w:r>
      <w:r w:rsidRPr="00085F84" w:rsidR="003F701F">
        <w:rPr>
          <w:szCs w:val="22"/>
        </w:rPr>
        <w:t xml:space="preserve"> to ensure that any ancillary services charges associated with </w:t>
      </w:r>
      <w:r w:rsidRPr="00085F84" w:rsidR="009E5E9C">
        <w:rPr>
          <w:szCs w:val="22"/>
        </w:rPr>
        <w:t xml:space="preserve">interstate and international </w:t>
      </w:r>
      <w:r w:rsidRPr="00085F84" w:rsidR="003F701F">
        <w:rPr>
          <w:szCs w:val="22"/>
        </w:rPr>
        <w:t xml:space="preserve">ICS are also </w:t>
      </w:r>
      <w:r w:rsidRPr="00085F84" w:rsidR="00152BFD">
        <w:rPr>
          <w:szCs w:val="22"/>
        </w:rPr>
        <w:t>just</w:t>
      </w:r>
      <w:r w:rsidRPr="00085F84" w:rsidR="009E5E9C">
        <w:rPr>
          <w:szCs w:val="22"/>
        </w:rPr>
        <w:t xml:space="preserve"> and </w:t>
      </w:r>
      <w:r w:rsidRPr="00085F84" w:rsidR="003F701F">
        <w:rPr>
          <w:szCs w:val="22"/>
        </w:rPr>
        <w:t>reasonable</w:t>
      </w:r>
      <w:r w:rsidRPr="00085F84" w:rsidR="007E0735">
        <w:rPr>
          <w:szCs w:val="22"/>
        </w:rPr>
        <w:t xml:space="preserve">.  It would also deprive consumers and other affected parties of the ability to monitor ICS </w:t>
      </w:r>
      <w:r w:rsidRPr="00085F84" w:rsidR="001A2055">
        <w:rPr>
          <w:szCs w:val="22"/>
        </w:rPr>
        <w:t xml:space="preserve">quality, </w:t>
      </w:r>
      <w:r w:rsidRPr="00085F84" w:rsidR="007E0735">
        <w:rPr>
          <w:szCs w:val="22"/>
        </w:rPr>
        <w:t>rates</w:t>
      </w:r>
      <w:r w:rsidRPr="00085F84" w:rsidR="001A2055">
        <w:rPr>
          <w:szCs w:val="22"/>
        </w:rPr>
        <w:t>, and fees</w:t>
      </w:r>
      <w:r w:rsidRPr="00085F84" w:rsidR="00873901">
        <w:rPr>
          <w:szCs w:val="22"/>
        </w:rPr>
        <w:t>.</w:t>
      </w:r>
      <w:r w:rsidRPr="00085F84" w:rsidR="00937004">
        <w:rPr>
          <w:szCs w:val="22"/>
        </w:rPr>
        <w:t xml:space="preserve"> </w:t>
      </w:r>
      <w:r w:rsidR="00646C17">
        <w:rPr>
          <w:szCs w:val="22"/>
        </w:rPr>
        <w:t xml:space="preserve"> </w:t>
      </w:r>
      <w:r w:rsidRPr="00085F84" w:rsidR="00B136F6">
        <w:rPr>
          <w:szCs w:val="22"/>
        </w:rPr>
        <w:t xml:space="preserve">Finally, not requiring ICS providers to inform customers </w:t>
      </w:r>
      <w:r w:rsidR="00646C17">
        <w:rPr>
          <w:szCs w:val="22"/>
        </w:rPr>
        <w:t xml:space="preserve">fully </w:t>
      </w:r>
      <w:r w:rsidRPr="00085F84" w:rsidR="00B136F6">
        <w:rPr>
          <w:szCs w:val="22"/>
        </w:rPr>
        <w:t xml:space="preserve">of </w:t>
      </w:r>
      <w:r w:rsidR="00646C17">
        <w:rPr>
          <w:szCs w:val="22"/>
        </w:rPr>
        <w:t>providers</w:t>
      </w:r>
      <w:r w:rsidR="008C781D">
        <w:rPr>
          <w:szCs w:val="22"/>
        </w:rPr>
        <w:t>’</w:t>
      </w:r>
      <w:r w:rsidRPr="00085F84" w:rsidR="00646C17">
        <w:rPr>
          <w:szCs w:val="22"/>
        </w:rPr>
        <w:t xml:space="preserve"> </w:t>
      </w:r>
      <w:r w:rsidR="00646C17">
        <w:rPr>
          <w:szCs w:val="22"/>
        </w:rPr>
        <w:t>charges</w:t>
      </w:r>
      <w:r w:rsidRPr="00085F84" w:rsidR="00646C17">
        <w:rPr>
          <w:szCs w:val="22"/>
        </w:rPr>
        <w:t xml:space="preserve"> </w:t>
      </w:r>
      <w:r w:rsidRPr="00085F84" w:rsidR="00B136F6">
        <w:rPr>
          <w:szCs w:val="22"/>
        </w:rPr>
        <w:t>would prevent customers from making informed decisions on whether to proceed with ICS call</w:t>
      </w:r>
      <w:r w:rsidRPr="00085F84" w:rsidR="00241DC3">
        <w:rPr>
          <w:szCs w:val="22"/>
        </w:rPr>
        <w:t>s.</w:t>
      </w:r>
    </w:p>
    <w:p w:rsidRPr="004817AC" w:rsidR="007E0735" w:rsidP="009D38D4" w:rsidRDefault="009D38D4" w14:paraId="76D37938" w14:textId="77777777">
      <w:pPr>
        <w:pStyle w:val="Numberedparagraphs"/>
        <w:numPr>
          <w:ilvl w:val="0"/>
          <w:numId w:val="0"/>
        </w:numPr>
        <w:tabs>
          <w:tab w:val="clear" w:pos="1440"/>
          <w:tab w:val="left" w:pos="720"/>
        </w:tabs>
        <w:ind w:left="180"/>
        <w:rPr>
          <w:szCs w:val="22"/>
        </w:rPr>
      </w:pPr>
      <w:r>
        <w:rPr>
          <w:szCs w:val="22"/>
        </w:rPr>
        <w:tab/>
      </w:r>
      <w:r w:rsidRPr="004817AC" w:rsidR="007E0735">
        <w:rPr>
          <w:szCs w:val="22"/>
        </w:rPr>
        <w:t xml:space="preserve">7.  No other special circumstances will apply to this information collection. </w:t>
      </w:r>
    </w:p>
    <w:p w:rsidR="00023F2E" w:rsidP="008B6F62" w:rsidRDefault="007E0735" w14:paraId="632DE5E5" w14:textId="486F80B3">
      <w:pPr>
        <w:pStyle w:val="Numberedparagraphs"/>
        <w:numPr>
          <w:ilvl w:val="0"/>
          <w:numId w:val="0"/>
        </w:numPr>
        <w:tabs>
          <w:tab w:val="clear" w:pos="1440"/>
          <w:tab w:val="left" w:pos="720"/>
        </w:tabs>
        <w:rPr>
          <w:szCs w:val="22"/>
        </w:rPr>
      </w:pPr>
      <w:r w:rsidRPr="00937004">
        <w:rPr>
          <w:szCs w:val="22"/>
        </w:rPr>
        <w:tab/>
        <w:t xml:space="preserve">8.  </w:t>
      </w:r>
      <w:bookmarkStart w:name="_Hlk26368662" w:id="10"/>
      <w:r w:rsidRPr="007F09AB" w:rsidR="00945D76">
        <w:rPr>
          <w:szCs w:val="22"/>
        </w:rPr>
        <w:t>Pursuant to 5</w:t>
      </w:r>
      <w:r w:rsidR="00C7321A">
        <w:rPr>
          <w:szCs w:val="22"/>
        </w:rPr>
        <w:t xml:space="preserve"> </w:t>
      </w:r>
      <w:r w:rsidR="007561F0">
        <w:rPr>
          <w:szCs w:val="22"/>
        </w:rPr>
        <w:t>CFR</w:t>
      </w:r>
      <w:r w:rsidRPr="007F09AB" w:rsidR="00945D76">
        <w:rPr>
          <w:szCs w:val="22"/>
        </w:rPr>
        <w:t xml:space="preserve"> §</w:t>
      </w:r>
      <w:r w:rsidR="00B05097">
        <w:t> </w:t>
      </w:r>
      <w:r w:rsidRPr="007F09AB" w:rsidR="00945D76">
        <w:rPr>
          <w:szCs w:val="22"/>
        </w:rPr>
        <w:t xml:space="preserve">1320.8(d), </w:t>
      </w:r>
      <w:r w:rsidRPr="00B717D0" w:rsidR="00945D76">
        <w:rPr>
          <w:szCs w:val="22"/>
        </w:rPr>
        <w:t>on August 25, 2021</w:t>
      </w:r>
      <w:r w:rsidRPr="007F09AB" w:rsidR="00945D76">
        <w:rPr>
          <w:szCs w:val="22"/>
        </w:rPr>
        <w:t xml:space="preserve">, the Commission published a 60-day notice in the Federal Register to solicit public comment on these reporting and certification requirements.  </w:t>
      </w:r>
      <w:r w:rsidRPr="007F09AB" w:rsidR="00945D76">
        <w:rPr>
          <w:i/>
          <w:szCs w:val="22"/>
        </w:rPr>
        <w:t>See</w:t>
      </w:r>
      <w:r w:rsidRPr="007F09AB" w:rsidR="00945D76">
        <w:rPr>
          <w:szCs w:val="22"/>
        </w:rPr>
        <w:t xml:space="preserve"> </w:t>
      </w:r>
      <w:r w:rsidRPr="00B717D0" w:rsidR="00945D76">
        <w:rPr>
          <w:szCs w:val="22"/>
        </w:rPr>
        <w:t>Federal Communications Commission, Information Collection Being Reviewed by the Federal Communications Commission, 86 Fed. Reg. 47496 (Aug. 25, 2021)</w:t>
      </w:r>
      <w:r w:rsidRPr="007F09AB" w:rsidR="00945D76">
        <w:rPr>
          <w:szCs w:val="22"/>
        </w:rPr>
        <w:t xml:space="preserve">.  </w:t>
      </w:r>
      <w:r w:rsidR="00023F2E">
        <w:rPr>
          <w:szCs w:val="22"/>
        </w:rPr>
        <w:t>We received c</w:t>
      </w:r>
      <w:r w:rsidRPr="007F09AB" w:rsidR="00945D76">
        <w:rPr>
          <w:szCs w:val="22"/>
        </w:rPr>
        <w:t>omments from two parties</w:t>
      </w:r>
      <w:r w:rsidR="00BD2C6F">
        <w:rPr>
          <w:szCs w:val="22"/>
        </w:rPr>
        <w:t>—</w:t>
      </w:r>
      <w:r w:rsidRPr="007F09AB" w:rsidR="00945D76">
        <w:rPr>
          <w:szCs w:val="22"/>
        </w:rPr>
        <w:t>Global Tel*Link Corporation (GTL)</w:t>
      </w:r>
      <w:r w:rsidR="00214A63">
        <w:rPr>
          <w:szCs w:val="22"/>
        </w:rPr>
        <w:t xml:space="preserve"> and</w:t>
      </w:r>
      <w:r w:rsidRPr="00214A63" w:rsidR="00214A63">
        <w:rPr>
          <w:szCs w:val="22"/>
        </w:rPr>
        <w:t xml:space="preserve"> </w:t>
      </w:r>
      <w:r w:rsidRPr="007F09AB" w:rsidR="00214A63">
        <w:rPr>
          <w:szCs w:val="22"/>
        </w:rPr>
        <w:t>Pay Tel Communications, Inc. (</w:t>
      </w:r>
      <w:r w:rsidR="003F4884">
        <w:rPr>
          <w:szCs w:val="22"/>
        </w:rPr>
        <w:t>Pay Tel</w:t>
      </w:r>
      <w:r w:rsidRPr="007F09AB" w:rsidR="00214A63">
        <w:rPr>
          <w:szCs w:val="22"/>
        </w:rPr>
        <w:t>)</w:t>
      </w:r>
      <w:r w:rsidR="00BD2C6F">
        <w:rPr>
          <w:szCs w:val="22"/>
        </w:rPr>
        <w:t xml:space="preserve">.  GTL’s comments address only </w:t>
      </w:r>
      <w:r w:rsidR="00B00D4F">
        <w:rPr>
          <w:szCs w:val="22"/>
        </w:rPr>
        <w:t xml:space="preserve">the expanded consumer disclosure requirements adopted in the </w:t>
      </w:r>
      <w:r w:rsidR="00B00D4F">
        <w:rPr>
          <w:i/>
          <w:iCs/>
          <w:szCs w:val="22"/>
        </w:rPr>
        <w:t>2021 ICS Order</w:t>
      </w:r>
      <w:r w:rsidR="00BD2C6F">
        <w:rPr>
          <w:szCs w:val="22"/>
        </w:rPr>
        <w:t xml:space="preserve">, and </w:t>
      </w:r>
      <w:r w:rsidR="003F4884">
        <w:rPr>
          <w:szCs w:val="22"/>
        </w:rPr>
        <w:t>Pay Tel</w:t>
      </w:r>
      <w:r w:rsidR="00BD2C6F">
        <w:rPr>
          <w:szCs w:val="22"/>
        </w:rPr>
        <w:t>’s comments address only the portion of those requirements applicable to international ICS calls.</w:t>
      </w:r>
    </w:p>
    <w:p w:rsidRPr="007F09AB" w:rsidR="00727994" w:rsidP="00A41A32" w:rsidRDefault="00727994" w14:paraId="58B7A72B" w14:textId="10D77FCA">
      <w:pPr>
        <w:pStyle w:val="Numberedparagraphs"/>
        <w:numPr>
          <w:ilvl w:val="0"/>
          <w:numId w:val="41"/>
        </w:numPr>
        <w:tabs>
          <w:tab w:val="clear" w:pos="1440"/>
          <w:tab w:val="left" w:pos="720"/>
          <w:tab w:val="left" w:pos="3900"/>
        </w:tabs>
        <w:rPr>
          <w:i/>
          <w:szCs w:val="22"/>
        </w:rPr>
      </w:pPr>
      <w:r w:rsidRPr="007F09AB">
        <w:rPr>
          <w:i/>
          <w:szCs w:val="22"/>
        </w:rPr>
        <w:t xml:space="preserve">Need for the </w:t>
      </w:r>
      <w:r>
        <w:rPr>
          <w:i/>
          <w:szCs w:val="22"/>
        </w:rPr>
        <w:t>Expanded Consumer Disclosure Requirements</w:t>
      </w:r>
    </w:p>
    <w:p w:rsidRPr="007F09AB" w:rsidR="00727994" w:rsidP="00727994" w:rsidRDefault="00727994" w14:paraId="1894FFC1" w14:textId="1C04395E">
      <w:pPr>
        <w:pStyle w:val="Numberedparagraphs"/>
        <w:numPr>
          <w:ilvl w:val="2"/>
          <w:numId w:val="0"/>
        </w:numPr>
        <w:tabs>
          <w:tab w:val="left" w:pos="720"/>
        </w:tabs>
        <w:rPr>
          <w:szCs w:val="22"/>
        </w:rPr>
      </w:pPr>
      <w:r>
        <w:rPr>
          <w:szCs w:val="22"/>
        </w:rPr>
        <w:tab/>
      </w:r>
      <w:r w:rsidRPr="00585CED">
        <w:rPr>
          <w:i/>
          <w:iCs/>
          <w:szCs w:val="22"/>
        </w:rPr>
        <w:t>Arguments</w:t>
      </w:r>
      <w:r>
        <w:rPr>
          <w:szCs w:val="22"/>
        </w:rPr>
        <w:t xml:space="preserve">.  </w:t>
      </w:r>
      <w:r w:rsidRPr="007F09AB">
        <w:rPr>
          <w:szCs w:val="22"/>
        </w:rPr>
        <w:t xml:space="preserve">GTL claims that </w:t>
      </w:r>
      <w:r w:rsidR="00C0543D">
        <w:rPr>
          <w:szCs w:val="22"/>
        </w:rPr>
        <w:t xml:space="preserve">the </w:t>
      </w:r>
      <w:r>
        <w:rPr>
          <w:szCs w:val="22"/>
        </w:rPr>
        <w:t xml:space="preserve">consumer disclosure requirements adopted in the </w:t>
      </w:r>
      <w:r>
        <w:rPr>
          <w:i/>
          <w:iCs/>
          <w:szCs w:val="22"/>
        </w:rPr>
        <w:t xml:space="preserve">2021 ICS Order </w:t>
      </w:r>
      <w:r>
        <w:rPr>
          <w:szCs w:val="22"/>
        </w:rPr>
        <w:t>are unnecessary because the C</w:t>
      </w:r>
      <w:r w:rsidRPr="007F09AB">
        <w:rPr>
          <w:szCs w:val="22"/>
        </w:rPr>
        <w:t xml:space="preserve">ommission’s existing </w:t>
      </w:r>
      <w:r>
        <w:rPr>
          <w:szCs w:val="22"/>
        </w:rPr>
        <w:t xml:space="preserve">ICS </w:t>
      </w:r>
      <w:r w:rsidRPr="007F09AB">
        <w:rPr>
          <w:szCs w:val="22"/>
        </w:rPr>
        <w:t>rule</w:t>
      </w:r>
      <w:r w:rsidRPr="005E409E">
        <w:rPr>
          <w:szCs w:val="22"/>
        </w:rPr>
        <w:t>s</w:t>
      </w:r>
      <w:r>
        <w:rPr>
          <w:szCs w:val="22"/>
        </w:rPr>
        <w:t xml:space="preserve"> already meet the Commission’s transparency objectives and because it is less burdensome for providers to post information on their websites </w:t>
      </w:r>
      <w:r w:rsidR="00C0543D">
        <w:rPr>
          <w:szCs w:val="22"/>
        </w:rPr>
        <w:t xml:space="preserve">than </w:t>
      </w:r>
      <w:r>
        <w:rPr>
          <w:szCs w:val="22"/>
        </w:rPr>
        <w:t>to disclose information on consumer bills.</w:t>
      </w:r>
      <w:r>
        <w:rPr>
          <w:rStyle w:val="FootnoteReference"/>
          <w:szCs w:val="22"/>
        </w:rPr>
        <w:footnoteReference w:id="17"/>
      </w:r>
      <w:r>
        <w:rPr>
          <w:szCs w:val="22"/>
        </w:rPr>
        <w:t xml:space="preserve">  Specifically, GTL argues that, in comparison to the new consumer disclosure rules, the Commission’s </w:t>
      </w:r>
      <w:r w:rsidRPr="0037078A">
        <w:rPr>
          <w:szCs w:val="22"/>
        </w:rPr>
        <w:t>rate and ancillary service charge</w:t>
      </w:r>
      <w:r>
        <w:rPr>
          <w:szCs w:val="22"/>
        </w:rPr>
        <w:t xml:space="preserve"> </w:t>
      </w:r>
      <w:r w:rsidRPr="00795E8E">
        <w:rPr>
          <w:szCs w:val="22"/>
        </w:rPr>
        <w:t>caps</w:t>
      </w:r>
      <w:r>
        <w:rPr>
          <w:szCs w:val="22"/>
        </w:rPr>
        <w:t xml:space="preserve">, ICS-related </w:t>
      </w:r>
      <w:r w:rsidRPr="00795E8E">
        <w:rPr>
          <w:szCs w:val="22"/>
        </w:rPr>
        <w:t xml:space="preserve">consumer disclosures, Truth-in-Billing rules, Internet-posting requirements, investigative authority, and </w:t>
      </w:r>
      <w:r w:rsidRPr="0037078A">
        <w:rPr>
          <w:szCs w:val="22"/>
        </w:rPr>
        <w:t>complaint processes</w:t>
      </w:r>
      <w:r>
        <w:rPr>
          <w:szCs w:val="22"/>
        </w:rPr>
        <w:t xml:space="preserve"> collectively provide a </w:t>
      </w:r>
      <w:r w:rsidRPr="005E409E">
        <w:rPr>
          <w:szCs w:val="22"/>
        </w:rPr>
        <w:t>“reliable and less burdensome</w:t>
      </w:r>
      <w:r>
        <w:rPr>
          <w:szCs w:val="22"/>
        </w:rPr>
        <w:t xml:space="preserve"> way to facilitate transparency in ICS rates and charges.”</w:t>
      </w:r>
      <w:r w:rsidR="003D4DB4">
        <w:rPr>
          <w:rStyle w:val="FootnoteReference"/>
          <w:szCs w:val="22"/>
        </w:rPr>
        <w:footnoteReference w:id="18"/>
      </w:r>
      <w:r>
        <w:rPr>
          <w:szCs w:val="22"/>
        </w:rPr>
        <w:t xml:space="preserve">  </w:t>
      </w:r>
      <w:r w:rsidRPr="005E409E">
        <w:rPr>
          <w:szCs w:val="22"/>
        </w:rPr>
        <w:t>GTL</w:t>
      </w:r>
      <w:r>
        <w:rPr>
          <w:szCs w:val="22"/>
        </w:rPr>
        <w:t xml:space="preserve"> </w:t>
      </w:r>
      <w:r w:rsidRPr="005E409E">
        <w:rPr>
          <w:szCs w:val="22"/>
        </w:rPr>
        <w:t>contends that</w:t>
      </w:r>
      <w:r>
        <w:rPr>
          <w:szCs w:val="22"/>
        </w:rPr>
        <w:t xml:space="preserve"> the Commission should therefore reevaluate </w:t>
      </w:r>
      <w:r w:rsidR="002F225D">
        <w:rPr>
          <w:szCs w:val="22"/>
        </w:rPr>
        <w:t xml:space="preserve">the potential burden </w:t>
      </w:r>
      <w:r w:rsidR="005D58FF">
        <w:rPr>
          <w:szCs w:val="22"/>
        </w:rPr>
        <w:t xml:space="preserve">of </w:t>
      </w:r>
      <w:r>
        <w:rPr>
          <w:szCs w:val="22"/>
        </w:rPr>
        <w:t xml:space="preserve">its rules requiring providers to identify, as separate line items on consumer bills, the amounts providers charge consumers to recover site commissions and international termination </w:t>
      </w:r>
      <w:r>
        <w:rPr>
          <w:szCs w:val="22"/>
        </w:rPr>
        <w:lastRenderedPageBreak/>
        <w:t>payments.</w:t>
      </w:r>
      <w:r>
        <w:rPr>
          <w:rStyle w:val="FootnoteReference"/>
          <w:sz w:val="22"/>
          <w:szCs w:val="22"/>
        </w:rPr>
        <w:footnoteReference w:id="19"/>
      </w:r>
      <w:r>
        <w:rPr>
          <w:szCs w:val="22"/>
        </w:rPr>
        <w:t xml:space="preserve"> </w:t>
      </w:r>
    </w:p>
    <w:p w:rsidR="00727994" w:rsidP="00727994" w:rsidRDefault="00727994" w14:paraId="27244E81" w14:textId="03853A2C">
      <w:pPr>
        <w:pStyle w:val="Numberedparagraphs"/>
        <w:numPr>
          <w:ilvl w:val="2"/>
          <w:numId w:val="0"/>
        </w:numPr>
        <w:tabs>
          <w:tab w:val="clear" w:pos="1440"/>
          <w:tab w:val="left" w:pos="720"/>
          <w:tab w:val="left" w:pos="3900"/>
        </w:tabs>
        <w:rPr>
          <w:szCs w:val="22"/>
        </w:rPr>
      </w:pPr>
      <w:r w:rsidRPr="007F09AB">
        <w:rPr>
          <w:i/>
          <w:szCs w:val="22"/>
        </w:rPr>
        <w:tab/>
        <w:t>Response.</w:t>
      </w:r>
      <w:r w:rsidRPr="007F09AB">
        <w:rPr>
          <w:szCs w:val="22"/>
        </w:rPr>
        <w:t xml:space="preserve">  </w:t>
      </w:r>
      <w:r>
        <w:rPr>
          <w:szCs w:val="22"/>
        </w:rPr>
        <w:t>The</w:t>
      </w:r>
      <w:r w:rsidRPr="00941261">
        <w:rPr>
          <w:szCs w:val="22"/>
        </w:rPr>
        <w:t xml:space="preserve"> rules </w:t>
      </w:r>
      <w:r>
        <w:rPr>
          <w:szCs w:val="22"/>
        </w:rPr>
        <w:t xml:space="preserve">adopted in the </w:t>
      </w:r>
      <w:r>
        <w:rPr>
          <w:i/>
          <w:iCs/>
          <w:szCs w:val="22"/>
        </w:rPr>
        <w:t xml:space="preserve">2021 ICS Order </w:t>
      </w:r>
      <w:r w:rsidRPr="00941261">
        <w:rPr>
          <w:szCs w:val="22"/>
        </w:rPr>
        <w:t>require</w:t>
      </w:r>
      <w:r>
        <w:rPr>
          <w:szCs w:val="22"/>
        </w:rPr>
        <w:t xml:space="preserve"> the disclosure of very </w:t>
      </w:r>
      <w:r w:rsidRPr="00941261">
        <w:rPr>
          <w:szCs w:val="22"/>
        </w:rPr>
        <w:t>specific</w:t>
      </w:r>
      <w:r>
        <w:rPr>
          <w:szCs w:val="22"/>
        </w:rPr>
        <w:t xml:space="preserve"> information regarding any charges imposed on consumers to recover the providers’ site commission and international termination payments.  Contrary to GTL’s position, these disclosures </w:t>
      </w:r>
      <w:r w:rsidRPr="00941261">
        <w:rPr>
          <w:szCs w:val="22"/>
        </w:rPr>
        <w:t>are in no way duplicative of the preexisting disclosur</w:t>
      </w:r>
      <w:r>
        <w:rPr>
          <w:szCs w:val="22"/>
        </w:rPr>
        <w:t>es mandated by other Commission rules</w:t>
      </w:r>
      <w:r w:rsidRPr="00941261">
        <w:rPr>
          <w:szCs w:val="22"/>
        </w:rPr>
        <w:t xml:space="preserve">.  </w:t>
      </w:r>
      <w:r>
        <w:rPr>
          <w:szCs w:val="22"/>
        </w:rPr>
        <w:t>Instead, the new rules</w:t>
      </w:r>
      <w:r w:rsidR="00617F45">
        <w:rPr>
          <w:szCs w:val="22"/>
        </w:rPr>
        <w:t xml:space="preserve"> complement the other disclosure rules by </w:t>
      </w:r>
      <w:r>
        <w:rPr>
          <w:szCs w:val="22"/>
        </w:rPr>
        <w:t>requir</w:t>
      </w:r>
      <w:r w:rsidR="00617F45">
        <w:rPr>
          <w:szCs w:val="22"/>
        </w:rPr>
        <w:t>ing</w:t>
      </w:r>
      <w:r>
        <w:rPr>
          <w:szCs w:val="22"/>
        </w:rPr>
        <w:t xml:space="preserve"> providers to disclose on any bills furnished to consumers the amounts </w:t>
      </w:r>
      <w:r w:rsidR="008C781D">
        <w:rPr>
          <w:szCs w:val="22"/>
        </w:rPr>
        <w:t xml:space="preserve">the consumers </w:t>
      </w:r>
      <w:r>
        <w:rPr>
          <w:szCs w:val="22"/>
        </w:rPr>
        <w:t xml:space="preserve">are charged </w:t>
      </w:r>
      <w:r w:rsidR="00347F39">
        <w:rPr>
          <w:szCs w:val="22"/>
        </w:rPr>
        <w:t xml:space="preserve">for </w:t>
      </w:r>
      <w:r>
        <w:rPr>
          <w:szCs w:val="22"/>
        </w:rPr>
        <w:t>site commission</w:t>
      </w:r>
      <w:r w:rsidR="00347F39">
        <w:rPr>
          <w:szCs w:val="22"/>
        </w:rPr>
        <w:t>s</w:t>
      </w:r>
      <w:r>
        <w:rPr>
          <w:szCs w:val="22"/>
        </w:rPr>
        <w:t xml:space="preserve"> </w:t>
      </w:r>
      <w:r w:rsidR="00347F39">
        <w:rPr>
          <w:szCs w:val="22"/>
        </w:rPr>
        <w:t xml:space="preserve">and </w:t>
      </w:r>
      <w:r>
        <w:rPr>
          <w:szCs w:val="22"/>
        </w:rPr>
        <w:t>international termination, broken down into categories identifying the reasons for those charges.</w:t>
      </w:r>
      <w:r w:rsidR="00AA3A43">
        <w:rPr>
          <w:rStyle w:val="FootnoteReference"/>
          <w:szCs w:val="22"/>
        </w:rPr>
        <w:footnoteReference w:id="20"/>
      </w:r>
      <w:r>
        <w:rPr>
          <w:szCs w:val="22"/>
        </w:rPr>
        <w:t xml:space="preserve">  This information is indispensable for consumers </w:t>
      </w:r>
      <w:r w:rsidR="00347F39">
        <w:rPr>
          <w:szCs w:val="22"/>
        </w:rPr>
        <w:t xml:space="preserve">who wish to </w:t>
      </w:r>
      <w:r>
        <w:rPr>
          <w:szCs w:val="22"/>
        </w:rPr>
        <w:t xml:space="preserve">determine whether the amounts they are being </w:t>
      </w:r>
      <w:r w:rsidR="00617F45">
        <w:rPr>
          <w:szCs w:val="22"/>
        </w:rPr>
        <w:t>billed</w:t>
      </w:r>
      <w:r>
        <w:rPr>
          <w:szCs w:val="22"/>
        </w:rPr>
        <w:t xml:space="preserve"> for providers’ site commission and international termination payments are consistent with Commission rules.</w:t>
      </w:r>
      <w:r>
        <w:rPr>
          <w:rStyle w:val="FootnoteReference"/>
          <w:szCs w:val="22"/>
        </w:rPr>
        <w:footnoteReference w:id="21"/>
      </w:r>
      <w:r>
        <w:rPr>
          <w:szCs w:val="22"/>
        </w:rPr>
        <w:t xml:space="preserve">  While, as GTL suggests, providers might find it less burdensome to disclose this information only on their websites, that approach would make it necessary for consumers to access those websites each time they want to verify the charges on their bills.  The resulting burden on consumers would far exceed the burden the consumer disclosure rules impose on providers.</w:t>
      </w:r>
      <w:r w:rsidDel="006C0317" w:rsidR="006C0317">
        <w:rPr>
          <w:rStyle w:val="FootnoteReference"/>
          <w:szCs w:val="22"/>
        </w:rPr>
        <w:t xml:space="preserve"> </w:t>
      </w:r>
    </w:p>
    <w:p w:rsidR="00A37EB8" w:rsidP="006C0317" w:rsidRDefault="00A37EB8" w14:paraId="6A7B811C" w14:textId="19694123">
      <w:pPr>
        <w:pStyle w:val="Numberedparagraphs"/>
        <w:numPr>
          <w:ilvl w:val="2"/>
          <w:numId w:val="0"/>
        </w:numPr>
        <w:tabs>
          <w:tab w:val="clear" w:pos="1440"/>
          <w:tab w:val="left" w:pos="720"/>
          <w:tab w:val="left" w:pos="3900"/>
        </w:tabs>
        <w:rPr>
          <w:szCs w:val="22"/>
        </w:rPr>
      </w:pPr>
      <w:r>
        <w:rPr>
          <w:iCs/>
          <w:szCs w:val="22"/>
        </w:rPr>
        <w:tab/>
      </w:r>
      <w:r>
        <w:rPr>
          <w:szCs w:val="22"/>
        </w:rPr>
        <w:t xml:space="preserve">We </w:t>
      </w:r>
      <w:r>
        <w:rPr>
          <w:iCs/>
          <w:szCs w:val="22"/>
        </w:rPr>
        <w:t xml:space="preserve">reject GTL’s </w:t>
      </w:r>
      <w:r w:rsidR="009833DE">
        <w:rPr>
          <w:iCs/>
          <w:szCs w:val="22"/>
        </w:rPr>
        <w:t xml:space="preserve">suggestion </w:t>
      </w:r>
      <w:r>
        <w:rPr>
          <w:iCs/>
          <w:szCs w:val="22"/>
        </w:rPr>
        <w:t xml:space="preserve">that the existence of </w:t>
      </w:r>
      <w:r w:rsidR="00347F39">
        <w:rPr>
          <w:szCs w:val="22"/>
        </w:rPr>
        <w:t>other disclosure rules aimed at increasing the transparency of ICS providers’ operations to consumers</w:t>
      </w:r>
      <w:r w:rsidR="00347F39">
        <w:rPr>
          <w:iCs/>
          <w:szCs w:val="22"/>
        </w:rPr>
        <w:t xml:space="preserve"> </w:t>
      </w:r>
      <w:r>
        <w:rPr>
          <w:iCs/>
          <w:szCs w:val="22"/>
        </w:rPr>
        <w:t xml:space="preserve">somehow </w:t>
      </w:r>
      <w:r w:rsidR="003D4DB4">
        <w:rPr>
          <w:iCs/>
          <w:szCs w:val="22"/>
        </w:rPr>
        <w:t xml:space="preserve">bars </w:t>
      </w:r>
      <w:r>
        <w:rPr>
          <w:iCs/>
          <w:szCs w:val="22"/>
        </w:rPr>
        <w:t xml:space="preserve">the Commission from requiring additional disclosure or otherwise </w:t>
      </w:r>
      <w:r w:rsidR="003E3BD0">
        <w:rPr>
          <w:iCs/>
          <w:szCs w:val="22"/>
        </w:rPr>
        <w:t xml:space="preserve">forecloses </w:t>
      </w:r>
      <w:r>
        <w:rPr>
          <w:iCs/>
          <w:szCs w:val="22"/>
        </w:rPr>
        <w:t>adoption of the expanded consumer disclosure rules</w:t>
      </w:r>
      <w:r w:rsidR="00347F39">
        <w:rPr>
          <w:iCs/>
          <w:szCs w:val="22"/>
        </w:rPr>
        <w:t xml:space="preserve"> at issue here</w:t>
      </w:r>
      <w:r>
        <w:rPr>
          <w:iCs/>
          <w:szCs w:val="22"/>
        </w:rPr>
        <w:t>.</w:t>
      </w:r>
      <w:r>
        <w:rPr>
          <w:rStyle w:val="FootnoteReference"/>
          <w:iCs/>
          <w:szCs w:val="22"/>
        </w:rPr>
        <w:footnoteReference w:id="22"/>
      </w:r>
      <w:r>
        <w:rPr>
          <w:iCs/>
          <w:szCs w:val="22"/>
        </w:rPr>
        <w:t xml:space="preserve">  </w:t>
      </w:r>
      <w:r w:rsidR="00347F39">
        <w:rPr>
          <w:iCs/>
          <w:szCs w:val="22"/>
        </w:rPr>
        <w:t xml:space="preserve">As stated above, the expanded consumer disclosure rules adopted in the </w:t>
      </w:r>
      <w:r w:rsidR="00347F39">
        <w:rPr>
          <w:i/>
          <w:szCs w:val="22"/>
        </w:rPr>
        <w:t>2021 ICS Order</w:t>
      </w:r>
      <w:r w:rsidRPr="004C3766" w:rsidR="00347F39">
        <w:rPr>
          <w:szCs w:val="22"/>
        </w:rPr>
        <w:t xml:space="preserve"> </w:t>
      </w:r>
      <w:r w:rsidR="00347F39">
        <w:rPr>
          <w:szCs w:val="22"/>
        </w:rPr>
        <w:t>complement, rather than duplicate,</w:t>
      </w:r>
      <w:r w:rsidRPr="00347F39" w:rsidR="00347F39">
        <w:rPr>
          <w:iCs/>
          <w:szCs w:val="22"/>
        </w:rPr>
        <w:t xml:space="preserve"> </w:t>
      </w:r>
      <w:r w:rsidR="00347F39">
        <w:rPr>
          <w:iCs/>
          <w:szCs w:val="22"/>
        </w:rPr>
        <w:t>those preexisting disclosure rules</w:t>
      </w:r>
      <w:r w:rsidR="00347F39">
        <w:rPr>
          <w:szCs w:val="22"/>
        </w:rPr>
        <w:t xml:space="preserve">.  </w:t>
      </w:r>
      <w:r>
        <w:rPr>
          <w:szCs w:val="22"/>
        </w:rPr>
        <w:t>I</w:t>
      </w:r>
      <w:r w:rsidRPr="00585CED">
        <w:rPr>
          <w:szCs w:val="22"/>
        </w:rPr>
        <w:t xml:space="preserve">t is a well-established principle of administrative law that an agency’s adoption of a requisite regulation does not foreclose </w:t>
      </w:r>
      <w:r w:rsidR="00347F39">
        <w:rPr>
          <w:szCs w:val="22"/>
        </w:rPr>
        <w:t xml:space="preserve">it from </w:t>
      </w:r>
      <w:r w:rsidRPr="00585CED">
        <w:rPr>
          <w:szCs w:val="22"/>
        </w:rPr>
        <w:t>promulgat</w:t>
      </w:r>
      <w:r w:rsidR="00347F39">
        <w:rPr>
          <w:szCs w:val="22"/>
        </w:rPr>
        <w:t>ing</w:t>
      </w:r>
      <w:r w:rsidRPr="00585CED">
        <w:rPr>
          <w:szCs w:val="22"/>
        </w:rPr>
        <w:t xml:space="preserve"> other regulations addressing the same general subject matter</w:t>
      </w:r>
      <w:r>
        <w:rPr>
          <w:szCs w:val="22"/>
        </w:rPr>
        <w:t>.</w:t>
      </w:r>
      <w:r>
        <w:rPr>
          <w:rStyle w:val="FootnoteReference"/>
          <w:iCs/>
          <w:sz w:val="22"/>
          <w:szCs w:val="22"/>
        </w:rPr>
        <w:footnoteReference w:id="23"/>
      </w:r>
      <w:r>
        <w:rPr>
          <w:iCs/>
          <w:szCs w:val="22"/>
        </w:rPr>
        <w:t xml:space="preserve">  </w:t>
      </w:r>
      <w:r w:rsidRPr="005776EA">
        <w:rPr>
          <w:szCs w:val="22"/>
        </w:rPr>
        <w:t>T</w:t>
      </w:r>
      <w:r w:rsidRPr="00347F39">
        <w:rPr>
          <w:szCs w:val="22"/>
        </w:rPr>
        <w:t xml:space="preserve">he Commission’s authority to </w:t>
      </w:r>
      <w:r w:rsidR="00527799">
        <w:rPr>
          <w:szCs w:val="22"/>
        </w:rPr>
        <w:t>“</w:t>
      </w:r>
      <w:r w:rsidRPr="00347F39">
        <w:rPr>
          <w:szCs w:val="22"/>
        </w:rPr>
        <w:t xml:space="preserve">regulate the manner in which a carrier bills and collects for its own interstate offerings, because such billing is an </w:t>
      </w:r>
      <w:r w:rsidRPr="0061780C">
        <w:rPr>
          <w:szCs w:val="22"/>
        </w:rPr>
        <w:t>integral part of that carrier’s communications service”</w:t>
      </w:r>
      <w:r w:rsidRPr="00D50856">
        <w:rPr>
          <w:szCs w:val="22"/>
        </w:rPr>
        <w:t xml:space="preserve"> </w:t>
      </w:r>
      <w:r w:rsidRPr="00D50856" w:rsidR="00527799">
        <w:rPr>
          <w:szCs w:val="22"/>
        </w:rPr>
        <w:t>is clear and unchallenged.</w:t>
      </w:r>
      <w:r w:rsidRPr="00D50856" w:rsidR="00527799">
        <w:rPr>
          <w:rStyle w:val="FootnoteReference"/>
          <w:sz w:val="22"/>
          <w:szCs w:val="22"/>
        </w:rPr>
        <w:footnoteReference w:id="24"/>
      </w:r>
      <w:r w:rsidRPr="00D50856">
        <w:rPr>
          <w:szCs w:val="22"/>
        </w:rPr>
        <w:t xml:space="preserve"> </w:t>
      </w:r>
      <w:r w:rsidRPr="00D50856" w:rsidR="009833DE">
        <w:rPr>
          <w:szCs w:val="22"/>
        </w:rPr>
        <w:t xml:space="preserve"> </w:t>
      </w:r>
      <w:r w:rsidRPr="00FC1C5C" w:rsidR="009833DE">
        <w:rPr>
          <w:szCs w:val="22"/>
        </w:rPr>
        <w:t xml:space="preserve">The Commission’s adoption of the expanded consumer disclosure requirements falls well </w:t>
      </w:r>
      <w:r w:rsidR="009833DE">
        <w:rPr>
          <w:szCs w:val="22"/>
        </w:rPr>
        <w:t>within that authority.</w:t>
      </w:r>
    </w:p>
    <w:p w:rsidR="00994E6D" w:rsidP="00A41A32" w:rsidRDefault="00AA3A43" w14:paraId="068F0D6C" w14:textId="441032C2">
      <w:pPr>
        <w:pStyle w:val="Numberedparagraphs"/>
        <w:numPr>
          <w:ilvl w:val="0"/>
          <w:numId w:val="41"/>
        </w:numPr>
        <w:tabs>
          <w:tab w:val="clear" w:pos="1440"/>
          <w:tab w:val="left" w:pos="720"/>
          <w:tab w:val="left" w:pos="3900"/>
        </w:tabs>
        <w:rPr>
          <w:i/>
          <w:iCs/>
          <w:szCs w:val="22"/>
        </w:rPr>
      </w:pPr>
      <w:r>
        <w:rPr>
          <w:i/>
          <w:iCs/>
          <w:szCs w:val="22"/>
        </w:rPr>
        <w:t>Burdens Associated with</w:t>
      </w:r>
      <w:r w:rsidR="00994E6D">
        <w:rPr>
          <w:i/>
          <w:iCs/>
          <w:szCs w:val="22"/>
        </w:rPr>
        <w:t xml:space="preserve"> Consumer </w:t>
      </w:r>
      <w:r w:rsidR="00E47281">
        <w:rPr>
          <w:i/>
          <w:iCs/>
          <w:szCs w:val="22"/>
        </w:rPr>
        <w:t xml:space="preserve">Billing </w:t>
      </w:r>
      <w:r w:rsidR="00994E6D">
        <w:rPr>
          <w:i/>
          <w:iCs/>
          <w:szCs w:val="22"/>
        </w:rPr>
        <w:t>Requirements</w:t>
      </w:r>
    </w:p>
    <w:p w:rsidRPr="005C0896" w:rsidR="00617F45" w:rsidP="00A16836" w:rsidRDefault="009F6A95" w14:paraId="40A6041F" w14:textId="6ADECC67">
      <w:pPr>
        <w:pStyle w:val="Numberedparagraphs"/>
        <w:numPr>
          <w:ilvl w:val="2"/>
          <w:numId w:val="0"/>
        </w:numPr>
        <w:tabs>
          <w:tab w:val="clear" w:pos="1440"/>
          <w:tab w:val="left" w:pos="720"/>
        </w:tabs>
      </w:pPr>
      <w:r>
        <w:rPr>
          <w:i/>
          <w:iCs/>
          <w:szCs w:val="22"/>
        </w:rPr>
        <w:tab/>
      </w:r>
      <w:r w:rsidR="00994E6D">
        <w:rPr>
          <w:i/>
          <w:iCs/>
          <w:szCs w:val="22"/>
        </w:rPr>
        <w:t xml:space="preserve">Arguments.  </w:t>
      </w:r>
      <w:r w:rsidR="00994E6D">
        <w:rPr>
          <w:szCs w:val="22"/>
        </w:rPr>
        <w:t xml:space="preserve">GTL contends that the Commission failed to consider </w:t>
      </w:r>
      <w:r w:rsidR="00617F45">
        <w:rPr>
          <w:szCs w:val="22"/>
        </w:rPr>
        <w:t xml:space="preserve">the burdens on providers from </w:t>
      </w:r>
      <w:r w:rsidRPr="005C0896" w:rsidR="00617F45">
        <w:rPr>
          <w:szCs w:val="22"/>
        </w:rPr>
        <w:t>identify</w:t>
      </w:r>
      <w:r w:rsidR="00617F45">
        <w:rPr>
          <w:szCs w:val="22"/>
        </w:rPr>
        <w:t xml:space="preserve">ing </w:t>
      </w:r>
      <w:r w:rsidRPr="005C0896" w:rsidR="00617F45">
        <w:rPr>
          <w:szCs w:val="22"/>
        </w:rPr>
        <w:t>site commission payments and amounts paid to underlying international service</w:t>
      </w:r>
      <w:r w:rsidR="00617F45">
        <w:rPr>
          <w:szCs w:val="22"/>
        </w:rPr>
        <w:t xml:space="preserve"> </w:t>
      </w:r>
      <w:r w:rsidRPr="005C0896" w:rsidR="00617F45">
        <w:rPr>
          <w:szCs w:val="22"/>
        </w:rPr>
        <w:t>providers as</w:t>
      </w:r>
      <w:r w:rsidR="00617F45">
        <w:rPr>
          <w:szCs w:val="22"/>
        </w:rPr>
        <w:t xml:space="preserve"> </w:t>
      </w:r>
      <w:r w:rsidRPr="005C0896" w:rsidR="00617F45">
        <w:rPr>
          <w:szCs w:val="22"/>
        </w:rPr>
        <w:lastRenderedPageBreak/>
        <w:t>separate line items on Consumer bills</w:t>
      </w:r>
      <w:r w:rsidR="00617F45">
        <w:rPr>
          <w:szCs w:val="22"/>
        </w:rPr>
        <w:t>.</w:t>
      </w:r>
      <w:r w:rsidR="00617F45">
        <w:rPr>
          <w:rStyle w:val="FootnoteReference"/>
          <w:szCs w:val="22"/>
        </w:rPr>
        <w:footnoteReference w:id="25"/>
      </w:r>
      <w:r w:rsidRPr="005C0896" w:rsidR="00617F45">
        <w:rPr>
          <w:szCs w:val="22"/>
        </w:rPr>
        <w:t xml:space="preserve"> </w:t>
      </w:r>
      <w:r w:rsidR="006F45C5">
        <w:rPr>
          <w:szCs w:val="22"/>
        </w:rPr>
        <w:t xml:space="preserve"> GTL </w:t>
      </w:r>
      <w:r w:rsidR="0061780C">
        <w:rPr>
          <w:szCs w:val="22"/>
        </w:rPr>
        <w:t xml:space="preserve">argues </w:t>
      </w:r>
      <w:r w:rsidR="006F45C5">
        <w:rPr>
          <w:szCs w:val="22"/>
        </w:rPr>
        <w:t xml:space="preserve">that most ICS consumers “do not receive ‘bills’ in the traditional sense” and suggests that it may not be technically possible for providers to reconfigure their internal systems to provide “separate line items on Consumer Bills” setting forth </w:t>
      </w:r>
      <w:r w:rsidR="005C0896">
        <w:rPr>
          <w:szCs w:val="22"/>
        </w:rPr>
        <w:t>the required information regarding any charges imposed on consumers to recover the providers’ site commission and international termination payments.</w:t>
      </w:r>
      <w:r w:rsidRPr="00585CED" w:rsidR="006F45C5">
        <w:rPr>
          <w:rStyle w:val="FootnoteReference"/>
          <w:iCs/>
          <w:sz w:val="22"/>
          <w:szCs w:val="22"/>
        </w:rPr>
        <w:footnoteReference w:id="26"/>
      </w:r>
      <w:r w:rsidR="006F45C5">
        <w:rPr>
          <w:szCs w:val="22"/>
        </w:rPr>
        <w:t xml:space="preserve">  </w:t>
      </w:r>
      <w:r w:rsidR="003F4884">
        <w:rPr>
          <w:szCs w:val="22"/>
        </w:rPr>
        <w:t xml:space="preserve">Pay Tel argues that the new consumer billing requirement for international termination charges </w:t>
      </w:r>
      <w:r w:rsidRPr="00D9717C" w:rsidR="003F4884">
        <w:rPr>
          <w:szCs w:val="22"/>
        </w:rPr>
        <w:t xml:space="preserve">imposes </w:t>
      </w:r>
      <w:r w:rsidR="003F4884">
        <w:rPr>
          <w:szCs w:val="22"/>
        </w:rPr>
        <w:t>an</w:t>
      </w:r>
      <w:r w:rsidRPr="00D9717C" w:rsidR="003F4884">
        <w:rPr>
          <w:szCs w:val="22"/>
        </w:rPr>
        <w:t xml:space="preserve"> </w:t>
      </w:r>
      <w:r w:rsidR="003F4884">
        <w:rPr>
          <w:szCs w:val="22"/>
        </w:rPr>
        <w:t>“</w:t>
      </w:r>
      <w:r w:rsidRPr="00D9717C" w:rsidR="003F4884">
        <w:rPr>
          <w:szCs w:val="22"/>
        </w:rPr>
        <w:t>implied obligation to generate a traditional bill</w:t>
      </w:r>
      <w:r w:rsidR="003F4884">
        <w:rPr>
          <w:szCs w:val="22"/>
        </w:rPr>
        <w:t>”</w:t>
      </w:r>
      <w:r w:rsidRPr="00D9717C" w:rsidR="003F4884">
        <w:rPr>
          <w:szCs w:val="22"/>
        </w:rPr>
        <w:t xml:space="preserve"> for each </w:t>
      </w:r>
      <w:r w:rsidR="003F4884">
        <w:rPr>
          <w:szCs w:val="22"/>
        </w:rPr>
        <w:t>of its debit calling customers</w:t>
      </w:r>
      <w:r w:rsidRPr="00D9717C" w:rsidR="003F4884">
        <w:rPr>
          <w:szCs w:val="22"/>
        </w:rPr>
        <w:t xml:space="preserve">, which </w:t>
      </w:r>
      <w:r w:rsidR="003F4884">
        <w:rPr>
          <w:szCs w:val="22"/>
        </w:rPr>
        <w:t>Pay Tel claims “</w:t>
      </w:r>
      <w:r w:rsidRPr="00D9717C" w:rsidR="003F4884">
        <w:rPr>
          <w:szCs w:val="22"/>
        </w:rPr>
        <w:t>is simply not feasible</w:t>
      </w:r>
      <w:r w:rsidR="003F4884">
        <w:rPr>
          <w:szCs w:val="22"/>
        </w:rPr>
        <w:t xml:space="preserve">” </w:t>
      </w:r>
      <w:r w:rsidRPr="00D9717C" w:rsidR="003F4884">
        <w:rPr>
          <w:szCs w:val="22"/>
        </w:rPr>
        <w:t>for t</w:t>
      </w:r>
      <w:r w:rsidR="003F4884">
        <w:rPr>
          <w:szCs w:val="22"/>
        </w:rPr>
        <w:t>hat</w:t>
      </w:r>
      <w:r w:rsidRPr="00D9717C" w:rsidR="003F4884">
        <w:rPr>
          <w:szCs w:val="22"/>
        </w:rPr>
        <w:t xml:space="preserve"> type of calling.</w:t>
      </w:r>
      <w:r w:rsidR="003F4884">
        <w:rPr>
          <w:rStyle w:val="FootnoteReference"/>
          <w:szCs w:val="22"/>
        </w:rPr>
        <w:footnoteReference w:id="27"/>
      </w:r>
    </w:p>
    <w:p w:rsidR="003F4884" w:rsidP="0052346B" w:rsidRDefault="009F6A95" w14:paraId="34C98C03" w14:textId="064AA300">
      <w:pPr>
        <w:pStyle w:val="Numberedparagraphs"/>
        <w:numPr>
          <w:ilvl w:val="2"/>
          <w:numId w:val="0"/>
        </w:numPr>
        <w:tabs>
          <w:tab w:val="clear" w:pos="1440"/>
          <w:tab w:val="left" w:pos="720"/>
        </w:tabs>
        <w:rPr>
          <w:iCs/>
          <w:szCs w:val="22"/>
        </w:rPr>
      </w:pPr>
      <w:r>
        <w:rPr>
          <w:i/>
          <w:iCs/>
          <w:szCs w:val="22"/>
        </w:rPr>
        <w:tab/>
      </w:r>
      <w:r w:rsidR="005C0896">
        <w:rPr>
          <w:i/>
          <w:iCs/>
          <w:szCs w:val="22"/>
        </w:rPr>
        <w:t xml:space="preserve">Response.  </w:t>
      </w:r>
      <w:r w:rsidR="00727994">
        <w:rPr>
          <w:szCs w:val="22"/>
        </w:rPr>
        <w:t xml:space="preserve">GTL’s </w:t>
      </w:r>
      <w:r w:rsidR="00E8729A">
        <w:rPr>
          <w:szCs w:val="22"/>
        </w:rPr>
        <w:t>and Pay</w:t>
      </w:r>
      <w:r w:rsidR="00AF2EBE">
        <w:rPr>
          <w:szCs w:val="22"/>
        </w:rPr>
        <w:t xml:space="preserve"> </w:t>
      </w:r>
      <w:r w:rsidR="00E8729A">
        <w:rPr>
          <w:szCs w:val="22"/>
        </w:rPr>
        <w:t xml:space="preserve">Tel’s </w:t>
      </w:r>
      <w:r w:rsidR="00727994">
        <w:rPr>
          <w:szCs w:val="22"/>
        </w:rPr>
        <w:t xml:space="preserve">arguments regarding the burdens associated with the expanded consumer disclosure requirements reflect </w:t>
      </w:r>
      <w:r w:rsidR="005C0896">
        <w:rPr>
          <w:szCs w:val="22"/>
        </w:rPr>
        <w:t xml:space="preserve">a misunderstanding </w:t>
      </w:r>
      <w:r w:rsidR="0052346B">
        <w:rPr>
          <w:szCs w:val="22"/>
        </w:rPr>
        <w:t xml:space="preserve">of the Commission rules.  </w:t>
      </w:r>
      <w:r w:rsidR="0052346B">
        <w:rPr>
          <w:iCs/>
          <w:szCs w:val="22"/>
        </w:rPr>
        <w:t>Th</w:t>
      </w:r>
      <w:r w:rsidR="00E8729A">
        <w:rPr>
          <w:iCs/>
          <w:szCs w:val="22"/>
        </w:rPr>
        <w:t>ose</w:t>
      </w:r>
      <w:r w:rsidR="0052346B">
        <w:rPr>
          <w:iCs/>
          <w:szCs w:val="22"/>
        </w:rPr>
        <w:t xml:space="preserve"> rules do not, at this time, require that providers generate customer bills that they would not otherwise generate.  Instead, </w:t>
      </w:r>
      <w:r w:rsidR="0061780C">
        <w:rPr>
          <w:iCs/>
          <w:szCs w:val="22"/>
        </w:rPr>
        <w:t xml:space="preserve">the </w:t>
      </w:r>
      <w:r w:rsidR="0052346B">
        <w:rPr>
          <w:iCs/>
          <w:szCs w:val="22"/>
        </w:rPr>
        <w:t xml:space="preserve">rules </w:t>
      </w:r>
      <w:r w:rsidR="00E8729A">
        <w:rPr>
          <w:iCs/>
          <w:szCs w:val="22"/>
        </w:rPr>
        <w:t xml:space="preserve">simply </w:t>
      </w:r>
      <w:r w:rsidR="0052346B">
        <w:rPr>
          <w:iCs/>
          <w:szCs w:val="22"/>
        </w:rPr>
        <w:t>require that whe</w:t>
      </w:r>
      <w:r w:rsidR="0061780C">
        <w:rPr>
          <w:iCs/>
          <w:szCs w:val="22"/>
        </w:rPr>
        <w:t>n</w:t>
      </w:r>
      <w:r w:rsidR="0052346B">
        <w:rPr>
          <w:iCs/>
          <w:szCs w:val="22"/>
        </w:rPr>
        <w:t xml:space="preserve"> a provider generates a</w:t>
      </w:r>
      <w:r w:rsidR="00E8729A">
        <w:rPr>
          <w:iCs/>
          <w:szCs w:val="22"/>
        </w:rPr>
        <w:t xml:space="preserve">n electronic or paper </w:t>
      </w:r>
      <w:r w:rsidR="0052346B">
        <w:rPr>
          <w:iCs/>
          <w:szCs w:val="22"/>
        </w:rPr>
        <w:t xml:space="preserve">billing statement, </w:t>
      </w:r>
      <w:r w:rsidR="003F4884">
        <w:rPr>
          <w:iCs/>
          <w:szCs w:val="22"/>
        </w:rPr>
        <w:t>it</w:t>
      </w:r>
      <w:r w:rsidR="0052346B">
        <w:rPr>
          <w:iCs/>
          <w:szCs w:val="22"/>
        </w:rPr>
        <w:t xml:space="preserve"> must include the requisite disclosures.  </w:t>
      </w:r>
      <w:r w:rsidR="0061780C">
        <w:rPr>
          <w:iCs/>
          <w:szCs w:val="22"/>
        </w:rPr>
        <w:t xml:space="preserve">Thus, </w:t>
      </w:r>
      <w:r w:rsidR="008566B0">
        <w:rPr>
          <w:iCs/>
          <w:szCs w:val="22"/>
        </w:rPr>
        <w:t xml:space="preserve">GTL’s and Pay Tel’s arguments </w:t>
      </w:r>
      <w:r w:rsidR="0061780C">
        <w:rPr>
          <w:iCs/>
          <w:szCs w:val="22"/>
        </w:rPr>
        <w:t xml:space="preserve">regarding </w:t>
      </w:r>
      <w:r w:rsidR="008566B0">
        <w:rPr>
          <w:iCs/>
          <w:szCs w:val="22"/>
        </w:rPr>
        <w:t>the lack of traditional billing relationship</w:t>
      </w:r>
      <w:r w:rsidR="0061780C">
        <w:rPr>
          <w:iCs/>
          <w:szCs w:val="22"/>
        </w:rPr>
        <w:t>s</w:t>
      </w:r>
      <w:r w:rsidR="008566B0">
        <w:rPr>
          <w:iCs/>
          <w:szCs w:val="22"/>
        </w:rPr>
        <w:t xml:space="preserve"> miss the mark; it is beyond dispute that providers are generating billing statements in at least some circumstances, given that they are charging consumers for paper billing statements under the Commission’s ancillary service charges rules.</w:t>
      </w:r>
      <w:r w:rsidR="008566B0">
        <w:rPr>
          <w:rStyle w:val="FootnoteReference"/>
          <w:iCs/>
          <w:sz w:val="22"/>
          <w:szCs w:val="22"/>
        </w:rPr>
        <w:footnoteReference w:id="28"/>
      </w:r>
      <w:r w:rsidR="008566B0">
        <w:rPr>
          <w:iCs/>
          <w:szCs w:val="22"/>
        </w:rPr>
        <w:t xml:space="preserve">  </w:t>
      </w:r>
      <w:r w:rsidR="00201FDD">
        <w:rPr>
          <w:iCs/>
          <w:szCs w:val="22"/>
        </w:rPr>
        <w:t xml:space="preserve">The </w:t>
      </w:r>
      <w:r w:rsidRPr="00FF7016" w:rsidR="00201FDD">
        <w:rPr>
          <w:iCs/>
          <w:szCs w:val="22"/>
        </w:rPr>
        <w:t xml:space="preserve">new </w:t>
      </w:r>
      <w:r w:rsidR="00201FDD">
        <w:rPr>
          <w:iCs/>
          <w:szCs w:val="22"/>
        </w:rPr>
        <w:t xml:space="preserve">consumer billing </w:t>
      </w:r>
      <w:r w:rsidRPr="00FF7016" w:rsidR="00201FDD">
        <w:rPr>
          <w:iCs/>
          <w:szCs w:val="22"/>
        </w:rPr>
        <w:t>rules</w:t>
      </w:r>
      <w:r w:rsidR="0061780C">
        <w:rPr>
          <w:iCs/>
          <w:szCs w:val="22"/>
        </w:rPr>
        <w:t xml:space="preserve"> do not require providers to produce bills beyond those they already provide</w:t>
      </w:r>
      <w:r w:rsidR="00DC2525">
        <w:rPr>
          <w:iCs/>
          <w:szCs w:val="22"/>
        </w:rPr>
        <w:t>;</w:t>
      </w:r>
      <w:r w:rsidR="0061780C">
        <w:rPr>
          <w:iCs/>
          <w:szCs w:val="22"/>
        </w:rPr>
        <w:t xml:space="preserve"> they</w:t>
      </w:r>
      <w:r w:rsidRPr="00FF7016" w:rsidR="00201FDD">
        <w:rPr>
          <w:iCs/>
          <w:szCs w:val="22"/>
        </w:rPr>
        <w:t xml:space="preserve"> </w:t>
      </w:r>
      <w:r w:rsidR="00201FDD">
        <w:rPr>
          <w:iCs/>
          <w:szCs w:val="22"/>
        </w:rPr>
        <w:t>simply</w:t>
      </w:r>
      <w:r w:rsidRPr="00FF7016" w:rsidR="00201FDD">
        <w:rPr>
          <w:iCs/>
          <w:szCs w:val="22"/>
        </w:rPr>
        <w:t xml:space="preserve"> require </w:t>
      </w:r>
      <w:r w:rsidR="00201FDD">
        <w:rPr>
          <w:iCs/>
          <w:szCs w:val="22"/>
        </w:rPr>
        <w:t xml:space="preserve">that providers must add new </w:t>
      </w:r>
      <w:r w:rsidRPr="00FF7016" w:rsidR="00201FDD">
        <w:rPr>
          <w:iCs/>
          <w:szCs w:val="22"/>
        </w:rPr>
        <w:t xml:space="preserve">disclosures </w:t>
      </w:r>
      <w:r w:rsidR="00201FDD">
        <w:rPr>
          <w:iCs/>
          <w:szCs w:val="22"/>
        </w:rPr>
        <w:t xml:space="preserve">to </w:t>
      </w:r>
      <w:r w:rsidR="0061780C">
        <w:rPr>
          <w:iCs/>
          <w:szCs w:val="22"/>
        </w:rPr>
        <w:t xml:space="preserve">those </w:t>
      </w:r>
      <w:r w:rsidRPr="00FF7016" w:rsidR="00201FDD">
        <w:rPr>
          <w:iCs/>
          <w:szCs w:val="22"/>
        </w:rPr>
        <w:t>bills</w:t>
      </w:r>
      <w:r w:rsidR="0061780C">
        <w:rPr>
          <w:iCs/>
          <w:szCs w:val="22"/>
        </w:rPr>
        <w:t>, or to other consumer bills</w:t>
      </w:r>
      <w:r w:rsidR="00201FDD">
        <w:rPr>
          <w:iCs/>
          <w:szCs w:val="22"/>
        </w:rPr>
        <w:t xml:space="preserve"> that they may generate.</w:t>
      </w:r>
    </w:p>
    <w:p w:rsidR="00646462" w:rsidP="00FC1C5C" w:rsidRDefault="009F6A95" w14:paraId="204BD482" w14:textId="63D806FD">
      <w:pPr>
        <w:pStyle w:val="Numberedparagraphs"/>
        <w:numPr>
          <w:ilvl w:val="2"/>
          <w:numId w:val="0"/>
        </w:numPr>
        <w:tabs>
          <w:tab w:val="clear" w:pos="1440"/>
          <w:tab w:val="left" w:pos="720"/>
        </w:tabs>
        <w:rPr>
          <w:iCs/>
          <w:szCs w:val="22"/>
        </w:rPr>
      </w:pPr>
      <w:r>
        <w:rPr>
          <w:iCs/>
          <w:szCs w:val="22"/>
        </w:rPr>
        <w:tab/>
      </w:r>
      <w:r w:rsidR="00FC1C5C">
        <w:rPr>
          <w:iCs/>
          <w:szCs w:val="22"/>
        </w:rPr>
        <w:t>We reject GTL’s argument that providers will not be able to revamp their billing systems to include the requisite information on their site commission and international termination charges on any consumer bills they generate.  As GTL admits, it would not be “unduly burdensome” for providers to post that information on their websites.</w:t>
      </w:r>
      <w:r w:rsidR="00FC1C5C">
        <w:rPr>
          <w:rStyle w:val="FootnoteReference"/>
          <w:iCs/>
          <w:szCs w:val="22"/>
        </w:rPr>
        <w:footnoteReference w:id="29"/>
      </w:r>
      <w:r w:rsidR="00FC1C5C">
        <w:rPr>
          <w:iCs/>
          <w:szCs w:val="22"/>
        </w:rPr>
        <w:t xml:space="preserve">  Incorporating that information into electronic and paper billing statements also should not be unduly burdensome and, </w:t>
      </w:r>
      <w:r>
        <w:rPr>
          <w:iCs/>
          <w:szCs w:val="22"/>
        </w:rPr>
        <w:t>as discussed above</w:t>
      </w:r>
      <w:r w:rsidR="00FC1C5C">
        <w:rPr>
          <w:iCs/>
          <w:szCs w:val="22"/>
        </w:rPr>
        <w:t xml:space="preserve">, the benefit to consumers will far outweigh the burden on providers.  </w:t>
      </w:r>
      <w:r w:rsidR="0061780C">
        <w:rPr>
          <w:iCs/>
          <w:szCs w:val="22"/>
        </w:rPr>
        <w:t xml:space="preserve">It is also worth noting that </w:t>
      </w:r>
      <w:r w:rsidR="00646462">
        <w:rPr>
          <w:iCs/>
          <w:szCs w:val="22"/>
        </w:rPr>
        <w:t xml:space="preserve">our burden estimate </w:t>
      </w:r>
      <w:r w:rsidR="008C797D">
        <w:rPr>
          <w:iCs/>
          <w:szCs w:val="22"/>
        </w:rPr>
        <w:t xml:space="preserve">almost certainly substantially </w:t>
      </w:r>
      <w:r w:rsidR="00646462">
        <w:rPr>
          <w:iCs/>
          <w:szCs w:val="22"/>
        </w:rPr>
        <w:t xml:space="preserve">overstates the </w:t>
      </w:r>
      <w:r w:rsidR="00201FDD">
        <w:rPr>
          <w:iCs/>
          <w:szCs w:val="22"/>
        </w:rPr>
        <w:t xml:space="preserve">actual burden on providers.  </w:t>
      </w:r>
      <w:r w:rsidR="00E8729A">
        <w:rPr>
          <w:iCs/>
          <w:szCs w:val="22"/>
        </w:rPr>
        <w:t xml:space="preserve">Because we are </w:t>
      </w:r>
      <w:r w:rsidR="0061780C">
        <w:rPr>
          <w:iCs/>
          <w:szCs w:val="22"/>
        </w:rPr>
        <w:t>not sure</w:t>
      </w:r>
      <w:r w:rsidR="00E8729A">
        <w:rPr>
          <w:iCs/>
          <w:szCs w:val="22"/>
        </w:rPr>
        <w:t xml:space="preserve"> how many ICS consumers will receive electronic or paper billing statements, our </w:t>
      </w:r>
      <w:r w:rsidR="0061780C">
        <w:rPr>
          <w:iCs/>
          <w:szCs w:val="22"/>
        </w:rPr>
        <w:t xml:space="preserve">burden </w:t>
      </w:r>
      <w:r w:rsidR="00E8729A">
        <w:rPr>
          <w:iCs/>
          <w:szCs w:val="22"/>
        </w:rPr>
        <w:t xml:space="preserve">estimate assumes that each ICS provider that chooses to impose site commission and international termination charges on consumers will make the requisite disclosures </w:t>
      </w:r>
      <w:r w:rsidR="008566B0">
        <w:rPr>
          <w:iCs/>
          <w:szCs w:val="22"/>
        </w:rPr>
        <w:t>to each of those consumers.</w:t>
      </w:r>
      <w:r w:rsidR="00FC1C5C">
        <w:rPr>
          <w:iCs/>
          <w:szCs w:val="22"/>
        </w:rPr>
        <w:t xml:space="preserve">  If, as GTL and Pay Tel suggest, many of their customers do not currently receive bills</w:t>
      </w:r>
      <w:r w:rsidR="0002143D">
        <w:rPr>
          <w:iCs/>
          <w:szCs w:val="22"/>
        </w:rPr>
        <w:t xml:space="preserve">, </w:t>
      </w:r>
      <w:r>
        <w:rPr>
          <w:iCs/>
          <w:szCs w:val="22"/>
        </w:rPr>
        <w:t xml:space="preserve">the providers’ </w:t>
      </w:r>
      <w:r w:rsidR="0002143D">
        <w:rPr>
          <w:iCs/>
          <w:szCs w:val="22"/>
        </w:rPr>
        <w:t>actual burdens will be significantly lower than our estimate.</w:t>
      </w:r>
      <w:r w:rsidR="00FC1C5C">
        <w:rPr>
          <w:iCs/>
          <w:szCs w:val="22"/>
        </w:rPr>
        <w:t xml:space="preserve"> </w:t>
      </w:r>
    </w:p>
    <w:p w:rsidRPr="007F09AB" w:rsidR="002A32BC" w:rsidP="00A41A32" w:rsidRDefault="002A32BC" w14:paraId="7E430DF7" w14:textId="77777777">
      <w:pPr>
        <w:pStyle w:val="Numberedparagraphs"/>
        <w:numPr>
          <w:ilvl w:val="0"/>
          <w:numId w:val="41"/>
        </w:numPr>
        <w:tabs>
          <w:tab w:val="clear" w:pos="1440"/>
          <w:tab w:val="left" w:pos="720"/>
          <w:tab w:val="left" w:pos="3900"/>
        </w:tabs>
        <w:rPr>
          <w:i/>
          <w:szCs w:val="22"/>
        </w:rPr>
      </w:pPr>
      <w:r>
        <w:rPr>
          <w:i/>
          <w:szCs w:val="22"/>
        </w:rPr>
        <w:t xml:space="preserve">Consumer </w:t>
      </w:r>
      <w:r w:rsidRPr="0043604A">
        <w:rPr>
          <w:i/>
          <w:iCs/>
          <w:szCs w:val="22"/>
        </w:rPr>
        <w:t>Billing</w:t>
      </w:r>
      <w:r>
        <w:rPr>
          <w:i/>
          <w:szCs w:val="22"/>
        </w:rPr>
        <w:t xml:space="preserve"> </w:t>
      </w:r>
      <w:r w:rsidRPr="002A32BC">
        <w:rPr>
          <w:i/>
          <w:iCs/>
          <w:szCs w:val="22"/>
        </w:rPr>
        <w:t>Disclosures</w:t>
      </w:r>
      <w:r>
        <w:rPr>
          <w:i/>
          <w:szCs w:val="22"/>
        </w:rPr>
        <w:t xml:space="preserve"> Concerning International Termination Costs</w:t>
      </w:r>
    </w:p>
    <w:p w:rsidRPr="00352D3F" w:rsidR="002A32BC" w:rsidP="00A41A32" w:rsidRDefault="002A32BC" w14:paraId="6D7BBE34" w14:textId="0A09FCB6">
      <w:pPr>
        <w:pStyle w:val="Numberedparagraphs"/>
        <w:numPr>
          <w:ilvl w:val="0"/>
          <w:numId w:val="0"/>
        </w:numPr>
        <w:tabs>
          <w:tab w:val="clear" w:pos="1440"/>
          <w:tab w:val="left" w:pos="720"/>
        </w:tabs>
        <w:rPr>
          <w:iCs/>
          <w:szCs w:val="22"/>
        </w:rPr>
      </w:pPr>
      <w:r>
        <w:rPr>
          <w:i/>
          <w:szCs w:val="22"/>
        </w:rPr>
        <w:tab/>
        <w:t xml:space="preserve">Arguments.  </w:t>
      </w:r>
      <w:r>
        <w:rPr>
          <w:iCs/>
          <w:szCs w:val="22"/>
        </w:rPr>
        <w:t xml:space="preserve">GTL and Pay Tel argue that disclosing information regarding their charges for </w:t>
      </w:r>
      <w:r w:rsidR="004B3329">
        <w:rPr>
          <w:iCs/>
          <w:szCs w:val="22"/>
        </w:rPr>
        <w:t xml:space="preserve">terminating international calls on consumer bills </w:t>
      </w:r>
      <w:r>
        <w:rPr>
          <w:iCs/>
          <w:szCs w:val="22"/>
        </w:rPr>
        <w:t xml:space="preserve">will require significant </w:t>
      </w:r>
      <w:r w:rsidRPr="002A32BC">
        <w:rPr>
          <w:szCs w:val="22"/>
        </w:rPr>
        <w:t>system</w:t>
      </w:r>
      <w:r>
        <w:rPr>
          <w:iCs/>
          <w:szCs w:val="22"/>
        </w:rPr>
        <w:t xml:space="preserve"> changes and reprogramming in order to separately disclose these charges</w:t>
      </w:r>
      <w:r w:rsidR="004B3329">
        <w:rPr>
          <w:iCs/>
          <w:szCs w:val="22"/>
        </w:rPr>
        <w:t>.</w:t>
      </w:r>
      <w:r w:rsidR="004B3329">
        <w:rPr>
          <w:rStyle w:val="FootnoteReference"/>
          <w:iCs/>
          <w:szCs w:val="22"/>
        </w:rPr>
        <w:footnoteReference w:id="30"/>
      </w:r>
      <w:r w:rsidR="004B3329">
        <w:rPr>
          <w:iCs/>
          <w:szCs w:val="22"/>
        </w:rPr>
        <w:t xml:space="preserve">   </w:t>
      </w:r>
      <w:r>
        <w:rPr>
          <w:iCs/>
          <w:szCs w:val="22"/>
        </w:rPr>
        <w:t xml:space="preserve">Pay Tel contends the new </w:t>
      </w:r>
      <w:r w:rsidR="004B3329">
        <w:rPr>
          <w:iCs/>
          <w:szCs w:val="22"/>
        </w:rPr>
        <w:t xml:space="preserve">billing rules </w:t>
      </w:r>
      <w:r w:rsidR="00323638">
        <w:rPr>
          <w:iCs/>
          <w:szCs w:val="22"/>
        </w:rPr>
        <w:t xml:space="preserve">for </w:t>
      </w:r>
      <w:r>
        <w:rPr>
          <w:iCs/>
          <w:szCs w:val="22"/>
        </w:rPr>
        <w:t xml:space="preserve"> international service providers </w:t>
      </w:r>
      <w:r w:rsidRPr="007F1C0B">
        <w:rPr>
          <w:iCs/>
          <w:szCs w:val="22"/>
        </w:rPr>
        <w:t>will “impose significant new paperwork burdens on providers and do</w:t>
      </w:r>
      <w:r>
        <w:rPr>
          <w:iCs/>
          <w:szCs w:val="22"/>
        </w:rPr>
        <w:t xml:space="preserve">[] </w:t>
      </w:r>
      <w:r w:rsidRPr="007F1C0B">
        <w:rPr>
          <w:iCs/>
          <w:szCs w:val="22"/>
        </w:rPr>
        <w:t xml:space="preserve">not </w:t>
      </w:r>
      <w:r w:rsidRPr="007F1C0B">
        <w:rPr>
          <w:iCs/>
          <w:szCs w:val="22"/>
        </w:rPr>
        <w:lastRenderedPageBreak/>
        <w:t>reflect the actual manner” in which services are provided</w:t>
      </w:r>
      <w:r>
        <w:rPr>
          <w:iCs/>
          <w:szCs w:val="22"/>
        </w:rPr>
        <w:t>.</w:t>
      </w:r>
      <w:r>
        <w:rPr>
          <w:rStyle w:val="FootnoteReference"/>
          <w:iCs/>
          <w:sz w:val="22"/>
          <w:szCs w:val="22"/>
        </w:rPr>
        <w:footnoteReference w:id="31"/>
      </w:r>
      <w:r>
        <w:rPr>
          <w:iCs/>
          <w:szCs w:val="22"/>
        </w:rPr>
        <w:t xml:space="preserve">  Similarly, Pay Tel also argues that the burdens involved in the disclosure of international call termination charges are disproportionate to the implementation costs involved.</w:t>
      </w:r>
      <w:r>
        <w:rPr>
          <w:rStyle w:val="FootnoteReference"/>
          <w:iCs/>
          <w:sz w:val="22"/>
          <w:szCs w:val="22"/>
        </w:rPr>
        <w:footnoteReference w:id="32"/>
      </w:r>
      <w:r>
        <w:rPr>
          <w:iCs/>
          <w:szCs w:val="22"/>
        </w:rPr>
        <w:t xml:space="preserve">  In particular, Pay Tel argues that this requirement is impractical, in light of the thousands of “constantly changing” charges </w:t>
      </w:r>
      <w:r w:rsidR="008C797D">
        <w:rPr>
          <w:iCs/>
          <w:szCs w:val="22"/>
        </w:rPr>
        <w:t xml:space="preserve">at </w:t>
      </w:r>
      <w:r>
        <w:rPr>
          <w:iCs/>
          <w:szCs w:val="22"/>
        </w:rPr>
        <w:t>issue.</w:t>
      </w:r>
      <w:r>
        <w:rPr>
          <w:rStyle w:val="FootnoteReference"/>
          <w:iCs/>
          <w:sz w:val="22"/>
          <w:szCs w:val="22"/>
        </w:rPr>
        <w:footnoteReference w:id="33"/>
      </w:r>
      <w:r>
        <w:rPr>
          <w:iCs/>
          <w:szCs w:val="22"/>
        </w:rPr>
        <w:t xml:space="preserve">  Pay Tel also argues that disclosure of international termination charges as a separate line item will cause consumer confusion, and offer the consumer no additional information.</w:t>
      </w:r>
      <w:r>
        <w:rPr>
          <w:rStyle w:val="FootnoteReference"/>
          <w:iCs/>
          <w:sz w:val="22"/>
          <w:szCs w:val="22"/>
        </w:rPr>
        <w:footnoteReference w:id="34"/>
      </w:r>
    </w:p>
    <w:p w:rsidRPr="002A32BC" w:rsidR="002A32BC" w:rsidP="00FC1C5C" w:rsidRDefault="002A32BC" w14:paraId="642C8939" w14:textId="6E2730D1">
      <w:pPr>
        <w:pStyle w:val="Numberedparagraphs"/>
        <w:numPr>
          <w:ilvl w:val="2"/>
          <w:numId w:val="0"/>
        </w:numPr>
        <w:tabs>
          <w:tab w:val="clear" w:pos="1440"/>
          <w:tab w:val="left" w:pos="720"/>
        </w:tabs>
        <w:rPr>
          <w:szCs w:val="22"/>
        </w:rPr>
      </w:pPr>
      <w:r>
        <w:rPr>
          <w:i/>
          <w:szCs w:val="22"/>
        </w:rPr>
        <w:tab/>
      </w:r>
      <w:r w:rsidRPr="007F09AB">
        <w:rPr>
          <w:i/>
          <w:szCs w:val="22"/>
        </w:rPr>
        <w:t xml:space="preserve">Response.  </w:t>
      </w:r>
      <w:r w:rsidR="00323638">
        <w:rPr>
          <w:iCs/>
          <w:szCs w:val="22"/>
        </w:rPr>
        <w:t xml:space="preserve">To a large extent, GTL’s and Pay Tel’s arguments </w:t>
      </w:r>
      <w:r w:rsidR="00BD3A1E">
        <w:rPr>
          <w:iCs/>
          <w:szCs w:val="22"/>
        </w:rPr>
        <w:t>against</w:t>
      </w:r>
      <w:r w:rsidR="00323638">
        <w:rPr>
          <w:iCs/>
          <w:szCs w:val="22"/>
        </w:rPr>
        <w:t xml:space="preserve"> disclosing on consumer </w:t>
      </w:r>
      <w:r w:rsidR="00323638">
        <w:rPr>
          <w:szCs w:val="22"/>
        </w:rPr>
        <w:t>bills any</w:t>
      </w:r>
      <w:r>
        <w:rPr>
          <w:szCs w:val="22"/>
        </w:rPr>
        <w:t xml:space="preserve"> international call termination charges that they elect to pass through to consumers </w:t>
      </w:r>
      <w:r w:rsidR="00323638">
        <w:rPr>
          <w:szCs w:val="22"/>
        </w:rPr>
        <w:t xml:space="preserve">reflect their </w:t>
      </w:r>
      <w:r w:rsidR="00BD3A1E">
        <w:rPr>
          <w:szCs w:val="22"/>
        </w:rPr>
        <w:t xml:space="preserve">misunderstanding of the underlying Commission rules.  </w:t>
      </w:r>
      <w:bookmarkStart w:name="_Hlk89433035" w:id="11"/>
      <w:r w:rsidR="00BD3A1E">
        <w:rPr>
          <w:szCs w:val="22"/>
        </w:rPr>
        <w:t xml:space="preserve">As we explain above, however, those </w:t>
      </w:r>
      <w:r w:rsidR="00BD3A1E">
        <w:rPr>
          <w:iCs/>
          <w:szCs w:val="22"/>
        </w:rPr>
        <w:t xml:space="preserve">rules </w:t>
      </w:r>
      <w:r w:rsidR="008C797D">
        <w:rPr>
          <w:iCs/>
          <w:szCs w:val="22"/>
        </w:rPr>
        <w:t xml:space="preserve">do not require providers to generate bills where they are not already doing so.  Rather, the rules </w:t>
      </w:r>
      <w:r w:rsidR="00BD3A1E">
        <w:rPr>
          <w:iCs/>
          <w:szCs w:val="22"/>
        </w:rPr>
        <w:t>simply</w:t>
      </w:r>
      <w:r w:rsidRPr="00FF7016" w:rsidR="00BD3A1E">
        <w:rPr>
          <w:iCs/>
          <w:szCs w:val="22"/>
        </w:rPr>
        <w:t xml:space="preserve"> require </w:t>
      </w:r>
      <w:r w:rsidR="00BD3A1E">
        <w:rPr>
          <w:iCs/>
          <w:szCs w:val="22"/>
        </w:rPr>
        <w:t xml:space="preserve">providers </w:t>
      </w:r>
      <w:r w:rsidR="008C797D">
        <w:rPr>
          <w:iCs/>
          <w:szCs w:val="22"/>
        </w:rPr>
        <w:t xml:space="preserve">to </w:t>
      </w:r>
      <w:r w:rsidR="00BD3A1E">
        <w:rPr>
          <w:iCs/>
          <w:szCs w:val="22"/>
        </w:rPr>
        <w:t xml:space="preserve">add new </w:t>
      </w:r>
      <w:r w:rsidRPr="00FF7016" w:rsidR="00BD3A1E">
        <w:rPr>
          <w:iCs/>
          <w:szCs w:val="22"/>
        </w:rPr>
        <w:t xml:space="preserve">disclosures </w:t>
      </w:r>
      <w:r w:rsidR="00BD3A1E">
        <w:rPr>
          <w:iCs/>
          <w:szCs w:val="22"/>
        </w:rPr>
        <w:t xml:space="preserve">to </w:t>
      </w:r>
      <w:r w:rsidR="008C797D">
        <w:rPr>
          <w:iCs/>
          <w:szCs w:val="22"/>
        </w:rPr>
        <w:t xml:space="preserve">consumer </w:t>
      </w:r>
      <w:r w:rsidRPr="00FF7016" w:rsidR="00BD3A1E">
        <w:rPr>
          <w:iCs/>
          <w:szCs w:val="22"/>
        </w:rPr>
        <w:t>bills</w:t>
      </w:r>
      <w:r w:rsidR="00BD3A1E">
        <w:rPr>
          <w:iCs/>
          <w:szCs w:val="22"/>
        </w:rPr>
        <w:t xml:space="preserve"> that they may otherwise generate</w:t>
      </w:r>
      <w:r w:rsidR="00B66ABC">
        <w:rPr>
          <w:iCs/>
          <w:szCs w:val="22"/>
        </w:rPr>
        <w:t xml:space="preserve"> if, as applicable to international calling, the providers choose to pass on their international call termination charges to consumers</w:t>
      </w:r>
      <w:r w:rsidR="00BD3A1E">
        <w:rPr>
          <w:iCs/>
          <w:szCs w:val="22"/>
        </w:rPr>
        <w:t xml:space="preserve">. </w:t>
      </w:r>
      <w:r w:rsidR="00B66ABC">
        <w:rPr>
          <w:iCs/>
          <w:szCs w:val="22"/>
        </w:rPr>
        <w:t xml:space="preserve"> </w:t>
      </w:r>
      <w:r>
        <w:rPr>
          <w:szCs w:val="22"/>
        </w:rPr>
        <w:t xml:space="preserve">As we </w:t>
      </w:r>
      <w:r w:rsidR="00B66ABC">
        <w:rPr>
          <w:szCs w:val="22"/>
        </w:rPr>
        <w:t>also explain</w:t>
      </w:r>
      <w:r>
        <w:rPr>
          <w:szCs w:val="22"/>
        </w:rPr>
        <w:t xml:space="preserve"> above, these international disclosures </w:t>
      </w:r>
      <w:r w:rsidR="00B66ABC">
        <w:rPr>
          <w:szCs w:val="22"/>
        </w:rPr>
        <w:t>will provide</w:t>
      </w:r>
      <w:r>
        <w:rPr>
          <w:szCs w:val="22"/>
        </w:rPr>
        <w:t xml:space="preserve"> the consumer additional information that is not already available</w:t>
      </w:r>
      <w:r w:rsidR="00B66ABC">
        <w:rPr>
          <w:szCs w:val="22"/>
        </w:rPr>
        <w:t xml:space="preserve"> and the benefits </w:t>
      </w:r>
      <w:r>
        <w:rPr>
          <w:szCs w:val="22"/>
        </w:rPr>
        <w:t xml:space="preserve">of providing that information </w:t>
      </w:r>
      <w:r w:rsidRPr="00957395">
        <w:rPr>
          <w:szCs w:val="22"/>
        </w:rPr>
        <w:t>significantly outweigh any incremental burden on ICS providers from</w:t>
      </w:r>
      <w:r w:rsidR="00C60E85">
        <w:rPr>
          <w:szCs w:val="22"/>
        </w:rPr>
        <w:t xml:space="preserve"> separately</w:t>
      </w:r>
      <w:r w:rsidRPr="00957395">
        <w:rPr>
          <w:szCs w:val="22"/>
        </w:rPr>
        <w:t xml:space="preserve"> </w:t>
      </w:r>
      <w:r w:rsidR="00C60E85">
        <w:rPr>
          <w:szCs w:val="22"/>
        </w:rPr>
        <w:t>disclosing their international call termination charges</w:t>
      </w:r>
      <w:r w:rsidRPr="00957395">
        <w:rPr>
          <w:szCs w:val="22"/>
        </w:rPr>
        <w:t>.</w:t>
      </w:r>
      <w:r w:rsidR="00016B2A">
        <w:rPr>
          <w:szCs w:val="22"/>
        </w:rPr>
        <w:t xml:space="preserve">  N</w:t>
      </w:r>
      <w:r>
        <w:rPr>
          <w:szCs w:val="22"/>
        </w:rPr>
        <w:t xml:space="preserve">either GTL nor Pay Tel denies that providers must routinely track and record international call termination charges </w:t>
      </w:r>
      <w:r w:rsidR="007E3D77">
        <w:rPr>
          <w:szCs w:val="22"/>
        </w:rPr>
        <w:t>if they are</w:t>
      </w:r>
      <w:r>
        <w:rPr>
          <w:szCs w:val="22"/>
        </w:rPr>
        <w:t xml:space="preserve"> to accurately bill their customers.</w:t>
      </w:r>
      <w:r>
        <w:rPr>
          <w:rStyle w:val="FootnoteReference"/>
          <w:sz w:val="22"/>
          <w:szCs w:val="22"/>
        </w:rPr>
        <w:footnoteReference w:id="35"/>
      </w:r>
      <w:r>
        <w:rPr>
          <w:iCs/>
          <w:szCs w:val="22"/>
        </w:rPr>
        <w:t xml:space="preserve">  </w:t>
      </w:r>
      <w:r>
        <w:rPr>
          <w:szCs w:val="22"/>
        </w:rPr>
        <w:t xml:space="preserve">Further, Pay Tel’s concern about </w:t>
      </w:r>
      <w:r w:rsidR="00016B2A">
        <w:rPr>
          <w:szCs w:val="22"/>
        </w:rPr>
        <w:t>disclosing</w:t>
      </w:r>
      <w:r>
        <w:rPr>
          <w:szCs w:val="22"/>
        </w:rPr>
        <w:t xml:space="preserve"> every fluctuation of the international calling termination charge is unfounded; </w:t>
      </w:r>
      <w:r w:rsidR="00016B2A">
        <w:rPr>
          <w:szCs w:val="22"/>
        </w:rPr>
        <w:t>the Commission’s</w:t>
      </w:r>
      <w:r>
        <w:rPr>
          <w:szCs w:val="22"/>
        </w:rPr>
        <w:t xml:space="preserve"> rules require only that a provider must </w:t>
      </w:r>
      <w:r w:rsidR="00016B2A">
        <w:rPr>
          <w:szCs w:val="22"/>
        </w:rPr>
        <w:t>disclose its actual charges to consumers</w:t>
      </w:r>
      <w:r w:rsidR="008C797D">
        <w:rPr>
          <w:szCs w:val="22"/>
        </w:rPr>
        <w:t xml:space="preserve"> and that those charges </w:t>
      </w:r>
      <w:r w:rsidR="00016B2A">
        <w:rPr>
          <w:szCs w:val="22"/>
        </w:rPr>
        <w:t>reflect</w:t>
      </w:r>
      <w:r>
        <w:rPr>
          <w:szCs w:val="22"/>
        </w:rPr>
        <w:t xml:space="preserve"> the three-month average rate </w:t>
      </w:r>
      <w:r w:rsidR="008C797D">
        <w:rPr>
          <w:szCs w:val="22"/>
        </w:rPr>
        <w:t xml:space="preserve">the ICS provider </w:t>
      </w:r>
      <w:r>
        <w:rPr>
          <w:szCs w:val="22"/>
        </w:rPr>
        <w:t xml:space="preserve">paid to </w:t>
      </w:r>
      <w:r w:rsidR="008C797D">
        <w:rPr>
          <w:szCs w:val="22"/>
        </w:rPr>
        <w:t xml:space="preserve">its </w:t>
      </w:r>
      <w:r w:rsidR="00016B2A">
        <w:rPr>
          <w:szCs w:val="22"/>
        </w:rPr>
        <w:t>international call termination providers</w:t>
      </w:r>
      <w:r>
        <w:rPr>
          <w:szCs w:val="22"/>
        </w:rPr>
        <w:t>.</w:t>
      </w:r>
      <w:r>
        <w:rPr>
          <w:rStyle w:val="FootnoteReference"/>
          <w:sz w:val="22"/>
          <w:szCs w:val="22"/>
        </w:rPr>
        <w:footnoteReference w:id="36"/>
      </w:r>
      <w:bookmarkEnd w:id="11"/>
    </w:p>
    <w:p w:rsidR="0052346B" w:rsidP="00A41A32" w:rsidRDefault="0002143D" w14:paraId="78D86E95" w14:textId="3F423972">
      <w:pPr>
        <w:pStyle w:val="Numberedparagraphs"/>
        <w:numPr>
          <w:ilvl w:val="0"/>
          <w:numId w:val="41"/>
        </w:numPr>
        <w:tabs>
          <w:tab w:val="clear" w:pos="1440"/>
          <w:tab w:val="left" w:pos="720"/>
          <w:tab w:val="left" w:pos="3900"/>
        </w:tabs>
        <w:rPr>
          <w:i/>
          <w:iCs/>
          <w:szCs w:val="22"/>
        </w:rPr>
      </w:pPr>
      <w:r w:rsidRPr="003F73E1">
        <w:rPr>
          <w:i/>
          <w:iCs/>
          <w:szCs w:val="22"/>
        </w:rPr>
        <w:t>Other Arguments</w:t>
      </w:r>
    </w:p>
    <w:p w:rsidR="00895D78" w:rsidP="00895D78" w:rsidRDefault="007E3D77" w14:paraId="4F4DBF38" w14:textId="6D77BCF9">
      <w:pPr>
        <w:pStyle w:val="Numberedparagraphs"/>
        <w:numPr>
          <w:ilvl w:val="2"/>
          <w:numId w:val="0"/>
        </w:numPr>
        <w:tabs>
          <w:tab w:val="clear" w:pos="1440"/>
          <w:tab w:val="left" w:pos="720"/>
        </w:tabs>
        <w:rPr>
          <w:iCs/>
          <w:szCs w:val="22"/>
        </w:rPr>
      </w:pPr>
      <w:r>
        <w:rPr>
          <w:i/>
          <w:iCs/>
          <w:szCs w:val="22"/>
        </w:rPr>
        <w:tab/>
      </w:r>
      <w:r w:rsidR="0002143D">
        <w:rPr>
          <w:i/>
          <w:iCs/>
          <w:szCs w:val="22"/>
        </w:rPr>
        <w:t xml:space="preserve">Arguments.  </w:t>
      </w:r>
      <w:r w:rsidR="0002143D">
        <w:rPr>
          <w:szCs w:val="22"/>
        </w:rPr>
        <w:t xml:space="preserve">GTL makes a number of additional arguments regarding the expanded consumer disclosure requirements adopted in the </w:t>
      </w:r>
      <w:r w:rsidR="0002143D">
        <w:rPr>
          <w:i/>
          <w:iCs/>
          <w:szCs w:val="22"/>
        </w:rPr>
        <w:t>2021 ICS Order</w:t>
      </w:r>
      <w:r w:rsidR="0002143D">
        <w:rPr>
          <w:szCs w:val="22"/>
        </w:rPr>
        <w:t xml:space="preserve">.  For instance, GTL </w:t>
      </w:r>
      <w:r w:rsidR="0002143D">
        <w:rPr>
          <w:iCs/>
          <w:szCs w:val="22"/>
        </w:rPr>
        <w:t xml:space="preserve">contends that the legislative history of the </w:t>
      </w:r>
      <w:r w:rsidRPr="009A5E8F" w:rsidR="0002143D">
        <w:rPr>
          <w:iCs/>
          <w:szCs w:val="22"/>
        </w:rPr>
        <w:t>Telephone Operator Consumer Service</w:t>
      </w:r>
      <w:r w:rsidR="0002143D">
        <w:rPr>
          <w:iCs/>
          <w:szCs w:val="22"/>
        </w:rPr>
        <w:t xml:space="preserve">s </w:t>
      </w:r>
      <w:r w:rsidRPr="009A5E8F" w:rsidR="0002143D">
        <w:rPr>
          <w:iCs/>
          <w:szCs w:val="22"/>
        </w:rPr>
        <w:t>Improvement Act o</w:t>
      </w:r>
      <w:r w:rsidR="0002143D">
        <w:rPr>
          <w:iCs/>
          <w:szCs w:val="22"/>
        </w:rPr>
        <w:t xml:space="preserve">f </w:t>
      </w:r>
      <w:r w:rsidRPr="009A5E8F" w:rsidR="0002143D">
        <w:rPr>
          <w:iCs/>
          <w:szCs w:val="22"/>
        </w:rPr>
        <w:t>199</w:t>
      </w:r>
      <w:r w:rsidR="0002143D">
        <w:rPr>
          <w:iCs/>
          <w:szCs w:val="22"/>
        </w:rPr>
        <w:t>0</w:t>
      </w:r>
      <w:r w:rsidRPr="00895D78" w:rsidR="00895D78">
        <w:rPr>
          <w:iCs/>
        </w:rPr>
        <w:t xml:space="preserve"> </w:t>
      </w:r>
      <w:r w:rsidR="00895D78">
        <w:rPr>
          <w:iCs/>
        </w:rPr>
        <w:t>(</w:t>
      </w:r>
      <w:r w:rsidRPr="00B05097" w:rsidR="00895D78">
        <w:rPr>
          <w:iCs/>
        </w:rPr>
        <w:t>TOCSIA</w:t>
      </w:r>
      <w:r w:rsidR="00895D78">
        <w:rPr>
          <w:iCs/>
        </w:rPr>
        <w:t xml:space="preserve">) </w:t>
      </w:r>
      <w:r w:rsidR="0002143D">
        <w:rPr>
          <w:iCs/>
          <w:szCs w:val="22"/>
        </w:rPr>
        <w:t xml:space="preserve">and the Commission’s </w:t>
      </w:r>
      <w:r w:rsidR="00895D78">
        <w:rPr>
          <w:iCs/>
          <w:szCs w:val="22"/>
        </w:rPr>
        <w:t xml:space="preserve">rules </w:t>
      </w:r>
      <w:r w:rsidR="0002143D">
        <w:rPr>
          <w:iCs/>
          <w:szCs w:val="22"/>
        </w:rPr>
        <w:t xml:space="preserve">implementing </w:t>
      </w:r>
      <w:r w:rsidRPr="00B05097" w:rsidR="00895D78">
        <w:rPr>
          <w:iCs/>
        </w:rPr>
        <w:t>TOCSIA</w:t>
      </w:r>
      <w:r w:rsidR="00895D78">
        <w:rPr>
          <w:iCs/>
          <w:szCs w:val="22"/>
        </w:rPr>
        <w:t xml:space="preserve"> make the expanded </w:t>
      </w:r>
      <w:r w:rsidR="0002143D">
        <w:rPr>
          <w:iCs/>
          <w:szCs w:val="22"/>
        </w:rPr>
        <w:t>consumer disclosure requirements “</w:t>
      </w:r>
      <w:r w:rsidRPr="00D97FA2" w:rsidR="0002143D">
        <w:rPr>
          <w:iCs/>
          <w:szCs w:val="22"/>
        </w:rPr>
        <w:t>inapplicable”</w:t>
      </w:r>
      <w:r w:rsidR="0002143D">
        <w:rPr>
          <w:iCs/>
          <w:szCs w:val="22"/>
        </w:rPr>
        <w:t xml:space="preserve"> to inmate calling services.</w:t>
      </w:r>
      <w:r w:rsidRPr="0083661E" w:rsidR="0002143D">
        <w:rPr>
          <w:szCs w:val="22"/>
          <w:vertAlign w:val="superscript"/>
        </w:rPr>
        <w:footnoteReference w:id="37"/>
      </w:r>
      <w:r w:rsidR="0002143D">
        <w:rPr>
          <w:iCs/>
          <w:szCs w:val="22"/>
        </w:rPr>
        <w:t xml:space="preserve">  </w:t>
      </w:r>
      <w:r w:rsidR="00895D78">
        <w:rPr>
          <w:iCs/>
          <w:szCs w:val="22"/>
        </w:rPr>
        <w:t>GTL likewise argues that d</w:t>
      </w:r>
      <w:r w:rsidRPr="00352D3F" w:rsidR="00895D78">
        <w:rPr>
          <w:iCs/>
          <w:szCs w:val="22"/>
        </w:rPr>
        <w:t>isclosure of the Facility-Related Rate Component</w:t>
      </w:r>
      <w:r w:rsidR="00895D78">
        <w:rPr>
          <w:iCs/>
          <w:szCs w:val="22"/>
        </w:rPr>
        <w:t xml:space="preserve"> </w:t>
      </w:r>
      <w:r w:rsidRPr="00352D3F" w:rsidR="00895D78">
        <w:rPr>
          <w:iCs/>
          <w:szCs w:val="22"/>
        </w:rPr>
        <w:t>“as a separate line item on Consumer bills” does not align with</w:t>
      </w:r>
      <w:r w:rsidR="00895D78">
        <w:rPr>
          <w:iCs/>
          <w:szCs w:val="22"/>
        </w:rPr>
        <w:t xml:space="preserve"> the Commission’s</w:t>
      </w:r>
      <w:r w:rsidRPr="00352D3F" w:rsidR="00895D78">
        <w:rPr>
          <w:iCs/>
          <w:szCs w:val="22"/>
        </w:rPr>
        <w:t xml:space="preserve"> other requirements</w:t>
      </w:r>
      <w:r w:rsidR="00895D78">
        <w:rPr>
          <w:iCs/>
          <w:szCs w:val="22"/>
        </w:rPr>
        <w:t xml:space="preserve"> and w</w:t>
      </w:r>
      <w:r w:rsidRPr="00352D3F" w:rsidR="00895D78">
        <w:rPr>
          <w:iCs/>
          <w:szCs w:val="22"/>
        </w:rPr>
        <w:t xml:space="preserve">ill cause </w:t>
      </w:r>
      <w:r w:rsidR="00895D78">
        <w:rPr>
          <w:iCs/>
          <w:szCs w:val="22"/>
        </w:rPr>
        <w:t xml:space="preserve">consumer </w:t>
      </w:r>
      <w:r w:rsidRPr="00352D3F" w:rsidR="00895D78">
        <w:rPr>
          <w:iCs/>
          <w:szCs w:val="22"/>
        </w:rPr>
        <w:t>confusion</w:t>
      </w:r>
      <w:r w:rsidR="00895D78">
        <w:rPr>
          <w:iCs/>
          <w:szCs w:val="22"/>
        </w:rPr>
        <w:t>.</w:t>
      </w:r>
      <w:r w:rsidR="00895D78">
        <w:rPr>
          <w:rStyle w:val="FootnoteReference"/>
          <w:iCs/>
          <w:sz w:val="22"/>
          <w:szCs w:val="22"/>
        </w:rPr>
        <w:footnoteReference w:id="38"/>
      </w:r>
      <w:r w:rsidR="00895D78">
        <w:rPr>
          <w:iCs/>
          <w:szCs w:val="22"/>
        </w:rPr>
        <w:t xml:space="preserve">  </w:t>
      </w:r>
    </w:p>
    <w:p w:rsidR="00895D78" w:rsidP="00011D7C" w:rsidRDefault="00895D78" w14:paraId="4418D93B" w14:textId="71911051">
      <w:pPr>
        <w:pStyle w:val="Numberedparagraphs"/>
        <w:numPr>
          <w:ilvl w:val="2"/>
          <w:numId w:val="0"/>
        </w:numPr>
        <w:tabs>
          <w:tab w:val="clear" w:pos="1440"/>
          <w:tab w:val="left" w:pos="720"/>
        </w:tabs>
        <w:rPr>
          <w:iCs/>
          <w:szCs w:val="22"/>
        </w:rPr>
      </w:pPr>
      <w:r>
        <w:rPr>
          <w:iCs/>
          <w:szCs w:val="22"/>
        </w:rPr>
        <w:tab/>
      </w:r>
      <w:r w:rsidRPr="00352D3F">
        <w:rPr>
          <w:i/>
          <w:szCs w:val="22"/>
        </w:rPr>
        <w:t>Response</w:t>
      </w:r>
      <w:r>
        <w:rPr>
          <w:iCs/>
          <w:szCs w:val="22"/>
        </w:rPr>
        <w:t xml:space="preserve">.  </w:t>
      </w:r>
      <w:r w:rsidR="00355860">
        <w:rPr>
          <w:iCs/>
          <w:szCs w:val="22"/>
        </w:rPr>
        <w:t>GTL’s additional arguments are, in effect, arguments that the Commission improperly exercised its discretion or otherwise erred in adopting the expanded consumer disclosure requirements</w:t>
      </w:r>
      <w:r w:rsidR="00EF2BE7">
        <w:rPr>
          <w:iCs/>
          <w:szCs w:val="22"/>
        </w:rPr>
        <w:t>.   As such, those arguments</w:t>
      </w:r>
      <w:r w:rsidR="00355860">
        <w:rPr>
          <w:szCs w:val="22"/>
        </w:rPr>
        <w:t xml:space="preserve"> should have no bearing on O</w:t>
      </w:r>
      <w:r w:rsidR="008C797D">
        <w:rPr>
          <w:szCs w:val="22"/>
        </w:rPr>
        <w:t>MB</w:t>
      </w:r>
      <w:r w:rsidR="00355860">
        <w:rPr>
          <w:szCs w:val="22"/>
        </w:rPr>
        <w:t>’s review of the paperwork burdens associated with those requirements.</w:t>
      </w:r>
      <w:r w:rsidR="00FA1B7E">
        <w:rPr>
          <w:szCs w:val="22"/>
        </w:rPr>
        <w:t xml:space="preserve">  In any event, neither TOCSIA, its legislative history, nor the </w:t>
      </w:r>
      <w:r w:rsidR="00FA1B7E">
        <w:rPr>
          <w:iCs/>
          <w:szCs w:val="22"/>
        </w:rPr>
        <w:t xml:space="preserve">Commission’s </w:t>
      </w:r>
      <w:r w:rsidR="00FA1B7E">
        <w:rPr>
          <w:iCs/>
          <w:szCs w:val="22"/>
        </w:rPr>
        <w:lastRenderedPageBreak/>
        <w:t xml:space="preserve">rules implementing </w:t>
      </w:r>
      <w:r w:rsidRPr="00B05097" w:rsidR="00FA1B7E">
        <w:rPr>
          <w:iCs/>
        </w:rPr>
        <w:t>TOCSIA</w:t>
      </w:r>
      <w:r w:rsidR="00FA1B7E">
        <w:rPr>
          <w:iCs/>
        </w:rPr>
        <w:t xml:space="preserve"> address the question </w:t>
      </w:r>
      <w:r w:rsidR="008C797D">
        <w:rPr>
          <w:iCs/>
        </w:rPr>
        <w:t xml:space="preserve">of </w:t>
      </w:r>
      <w:r w:rsidR="00FA1B7E">
        <w:rPr>
          <w:iCs/>
        </w:rPr>
        <w:t xml:space="preserve">whether the </w:t>
      </w:r>
      <w:r w:rsidR="00FA1B7E">
        <w:rPr>
          <w:iCs/>
          <w:szCs w:val="22"/>
        </w:rPr>
        <w:t xml:space="preserve">expanded consumer disclosure requirements </w:t>
      </w:r>
      <w:r w:rsidR="00011D7C">
        <w:rPr>
          <w:iCs/>
          <w:szCs w:val="22"/>
        </w:rPr>
        <w:t>were necessary to ensure that the providers’ rates and practices for interstate and international inmate calling services are just and reasonable</w:t>
      </w:r>
      <w:r w:rsidR="00FA1B7E">
        <w:rPr>
          <w:iCs/>
        </w:rPr>
        <w:t xml:space="preserve">.  </w:t>
      </w:r>
      <w:r w:rsidR="00011D7C">
        <w:rPr>
          <w:iCs/>
        </w:rPr>
        <w:t>T</w:t>
      </w:r>
      <w:r w:rsidR="00FA1B7E">
        <w:rPr>
          <w:iCs/>
        </w:rPr>
        <w:t xml:space="preserve">he Commission </w:t>
      </w:r>
      <w:r w:rsidR="00011D7C">
        <w:rPr>
          <w:iCs/>
        </w:rPr>
        <w:t xml:space="preserve">resolved that question when it adopted the expanded consumer disclosure requirements in the </w:t>
      </w:r>
      <w:r w:rsidR="00011D7C">
        <w:rPr>
          <w:i/>
        </w:rPr>
        <w:t>2021 ICS Order</w:t>
      </w:r>
      <w:r w:rsidR="00011D7C">
        <w:rPr>
          <w:iCs/>
        </w:rPr>
        <w:t xml:space="preserve">, and GTL provides </w:t>
      </w:r>
      <w:r w:rsidR="00CC2367">
        <w:rPr>
          <w:iCs/>
        </w:rPr>
        <w:t xml:space="preserve">no </w:t>
      </w:r>
      <w:r w:rsidR="00011D7C">
        <w:rPr>
          <w:iCs/>
        </w:rPr>
        <w:t xml:space="preserve">reason for doubting the reasonableness of that determination.  Nor does GTL </w:t>
      </w:r>
      <w:r>
        <w:rPr>
          <w:iCs/>
          <w:szCs w:val="22"/>
        </w:rPr>
        <w:t xml:space="preserve">articulate how or why </w:t>
      </w:r>
      <w:r w:rsidR="00011D7C">
        <w:rPr>
          <w:iCs/>
          <w:szCs w:val="22"/>
        </w:rPr>
        <w:t>the expanded</w:t>
      </w:r>
      <w:r>
        <w:rPr>
          <w:iCs/>
          <w:szCs w:val="22"/>
        </w:rPr>
        <w:t xml:space="preserve"> disclosure </w:t>
      </w:r>
      <w:r w:rsidR="00011D7C">
        <w:rPr>
          <w:iCs/>
          <w:szCs w:val="22"/>
        </w:rPr>
        <w:t xml:space="preserve">requirements </w:t>
      </w:r>
      <w:r>
        <w:rPr>
          <w:iCs/>
          <w:szCs w:val="22"/>
        </w:rPr>
        <w:t xml:space="preserve">will create consumer confusion.  To the contrary, </w:t>
      </w:r>
      <w:r w:rsidR="00011D7C">
        <w:rPr>
          <w:iCs/>
          <w:szCs w:val="22"/>
        </w:rPr>
        <w:t>those</w:t>
      </w:r>
      <w:r>
        <w:rPr>
          <w:iCs/>
          <w:szCs w:val="22"/>
        </w:rPr>
        <w:t xml:space="preserve"> requirement</w:t>
      </w:r>
      <w:r w:rsidR="00011D7C">
        <w:rPr>
          <w:iCs/>
          <w:szCs w:val="22"/>
        </w:rPr>
        <w:t>s</w:t>
      </w:r>
      <w:r>
        <w:rPr>
          <w:iCs/>
          <w:szCs w:val="22"/>
        </w:rPr>
        <w:t xml:space="preserve"> promote transparency and </w:t>
      </w:r>
      <w:r w:rsidR="00011D7C">
        <w:rPr>
          <w:iCs/>
          <w:szCs w:val="22"/>
        </w:rPr>
        <w:t xml:space="preserve">will help </w:t>
      </w:r>
      <w:r>
        <w:rPr>
          <w:iCs/>
          <w:szCs w:val="22"/>
        </w:rPr>
        <w:t xml:space="preserve">consumers ascertain </w:t>
      </w:r>
      <w:r w:rsidR="003F73E1">
        <w:rPr>
          <w:iCs/>
          <w:szCs w:val="22"/>
        </w:rPr>
        <w:t xml:space="preserve">what they are being charged for </w:t>
      </w:r>
      <w:r w:rsidR="003F73E1">
        <w:rPr>
          <w:szCs w:val="22"/>
        </w:rPr>
        <w:t xml:space="preserve">site commission and international termination payments and whether those charges are consistent with </w:t>
      </w:r>
      <w:r w:rsidR="005B627A">
        <w:rPr>
          <w:szCs w:val="22"/>
        </w:rPr>
        <w:t xml:space="preserve">the new </w:t>
      </w:r>
      <w:r w:rsidR="003F73E1">
        <w:rPr>
          <w:szCs w:val="22"/>
        </w:rPr>
        <w:t>Commission rules</w:t>
      </w:r>
      <w:r w:rsidR="005B627A">
        <w:rPr>
          <w:szCs w:val="22"/>
        </w:rPr>
        <w:t xml:space="preserve"> adopted in the </w:t>
      </w:r>
      <w:r w:rsidRPr="00B347D2" w:rsidR="005B627A">
        <w:rPr>
          <w:i/>
          <w:iCs/>
          <w:szCs w:val="22"/>
        </w:rPr>
        <w:t>2021 ICS Order</w:t>
      </w:r>
      <w:r>
        <w:rPr>
          <w:iCs/>
          <w:szCs w:val="22"/>
        </w:rPr>
        <w:t xml:space="preserve">.  </w:t>
      </w:r>
    </w:p>
    <w:bookmarkEnd w:id="10"/>
    <w:p w:rsidRPr="004460F4" w:rsidR="007E0735" w:rsidP="007E0735" w:rsidRDefault="007E0735" w14:paraId="503B3755" w14:textId="77777777">
      <w:pPr>
        <w:pStyle w:val="Numberedparagraphs"/>
        <w:numPr>
          <w:ilvl w:val="0"/>
          <w:numId w:val="0"/>
        </w:numPr>
        <w:tabs>
          <w:tab w:val="clear" w:pos="1440"/>
          <w:tab w:val="left" w:pos="720"/>
        </w:tabs>
        <w:rPr>
          <w:szCs w:val="22"/>
        </w:rPr>
      </w:pPr>
      <w:r w:rsidRPr="004460F4">
        <w:rPr>
          <w:szCs w:val="22"/>
        </w:rPr>
        <w:tab/>
        <w:t>9.  The Commission does not anticipate providing any payment or gift to respondents.</w:t>
      </w:r>
    </w:p>
    <w:p w:rsidRPr="004460F4" w:rsidR="007E0735" w:rsidP="007E0735" w:rsidRDefault="007E0735" w14:paraId="0AC69A0A" w14:textId="476021B4">
      <w:pPr>
        <w:pStyle w:val="Numberedparagraphs"/>
        <w:numPr>
          <w:ilvl w:val="0"/>
          <w:numId w:val="0"/>
        </w:numPr>
        <w:tabs>
          <w:tab w:val="clear" w:pos="1440"/>
          <w:tab w:val="left" w:pos="720"/>
        </w:tabs>
        <w:rPr>
          <w:szCs w:val="22"/>
        </w:rPr>
      </w:pPr>
      <w:r w:rsidRPr="004460F4">
        <w:rPr>
          <w:szCs w:val="22"/>
        </w:rPr>
        <w:tab/>
        <w:t>10.  The</w:t>
      </w:r>
      <w:r w:rsidR="0063588A">
        <w:rPr>
          <w:szCs w:val="22"/>
        </w:rPr>
        <w:t xml:space="preserve"> </w:t>
      </w:r>
      <w:r w:rsidR="0063588A">
        <w:rPr>
          <w:i/>
          <w:szCs w:val="22"/>
        </w:rPr>
        <w:t>P</w:t>
      </w:r>
      <w:r w:rsidRPr="004460F4" w:rsidR="00CF71C4">
        <w:rPr>
          <w:i/>
          <w:szCs w:val="22"/>
        </w:rPr>
        <w:t>r</w:t>
      </w:r>
      <w:r w:rsidRPr="004460F4" w:rsidR="00884782">
        <w:rPr>
          <w:i/>
          <w:szCs w:val="22"/>
        </w:rPr>
        <w:t xml:space="preserve">otective </w:t>
      </w:r>
      <w:r w:rsidRPr="004460F4" w:rsidR="00CF71C4">
        <w:rPr>
          <w:i/>
          <w:szCs w:val="22"/>
        </w:rPr>
        <w:t>O</w:t>
      </w:r>
      <w:r w:rsidRPr="004460F4" w:rsidR="00884782">
        <w:rPr>
          <w:i/>
          <w:szCs w:val="22"/>
        </w:rPr>
        <w:t>rder</w:t>
      </w:r>
      <w:r w:rsidRPr="00AB1E80" w:rsidR="00884782">
        <w:rPr>
          <w:szCs w:val="22"/>
        </w:rPr>
        <w:t xml:space="preserve"> in </w:t>
      </w:r>
      <w:r w:rsidR="00146B94">
        <w:rPr>
          <w:szCs w:val="22"/>
        </w:rPr>
        <w:t>the Commission’s ICS</w:t>
      </w:r>
      <w:r w:rsidRPr="00AB1E80" w:rsidR="00146B94">
        <w:rPr>
          <w:szCs w:val="22"/>
        </w:rPr>
        <w:t xml:space="preserve"> </w:t>
      </w:r>
      <w:r w:rsidRPr="00AB1E80" w:rsidR="00884782">
        <w:rPr>
          <w:szCs w:val="22"/>
        </w:rPr>
        <w:t>proceeding</w:t>
      </w:r>
      <w:r w:rsidRPr="00AB1E80">
        <w:rPr>
          <w:szCs w:val="22"/>
        </w:rPr>
        <w:t xml:space="preserve"> </w:t>
      </w:r>
      <w:r w:rsidRPr="00AB1E80" w:rsidR="00884782">
        <w:rPr>
          <w:szCs w:val="22"/>
        </w:rPr>
        <w:t>provides</w:t>
      </w:r>
      <w:r w:rsidRPr="004460F4">
        <w:rPr>
          <w:szCs w:val="22"/>
        </w:rPr>
        <w:t xml:space="preserve"> confidential treatment for the proprietary information submitted by ICS providers in response </w:t>
      </w:r>
      <w:r w:rsidR="00A60F59">
        <w:rPr>
          <w:szCs w:val="22"/>
        </w:rPr>
        <w:t>to Commission directives</w:t>
      </w:r>
      <w:r w:rsidRPr="004460F4">
        <w:rPr>
          <w:szCs w:val="22"/>
        </w:rPr>
        <w:t>.</w:t>
      </w:r>
      <w:r w:rsidR="00B05037">
        <w:rPr>
          <w:rStyle w:val="FootnoteReference"/>
          <w:sz w:val="22"/>
          <w:szCs w:val="22"/>
        </w:rPr>
        <w:footnoteReference w:id="39"/>
      </w:r>
      <w:r w:rsidRPr="00AB1E80">
        <w:rPr>
          <w:szCs w:val="22"/>
        </w:rPr>
        <w:t xml:space="preserve">  </w:t>
      </w:r>
      <w:r w:rsidRPr="00AB1E80" w:rsidR="00884782">
        <w:rPr>
          <w:szCs w:val="22"/>
        </w:rPr>
        <w:t xml:space="preserve">The Commission will </w:t>
      </w:r>
      <w:r w:rsidR="00CF71C4">
        <w:rPr>
          <w:szCs w:val="22"/>
        </w:rPr>
        <w:t xml:space="preserve">treat as presumptively </w:t>
      </w:r>
      <w:r w:rsidRPr="004460F4" w:rsidR="00884782">
        <w:rPr>
          <w:szCs w:val="22"/>
        </w:rPr>
        <w:t>confidential any particular information identified as confidential by the provider</w:t>
      </w:r>
      <w:r w:rsidR="00CF71C4">
        <w:rPr>
          <w:szCs w:val="22"/>
        </w:rPr>
        <w:t xml:space="preserve"> in accordance with </w:t>
      </w:r>
      <w:r w:rsidRPr="00AB1E80" w:rsidR="00AC7A68">
        <w:rPr>
          <w:szCs w:val="22"/>
        </w:rPr>
        <w:t>the Freedom of Information Act and Commission rules.</w:t>
      </w:r>
      <w:r w:rsidRPr="004460F4" w:rsidR="00AC7A68">
        <w:rPr>
          <w:szCs w:val="22"/>
        </w:rPr>
        <w:t xml:space="preserve"> </w:t>
      </w:r>
      <w:r w:rsidRPr="004460F4" w:rsidR="00884782">
        <w:rPr>
          <w:szCs w:val="22"/>
        </w:rPr>
        <w:t xml:space="preserve"> Each confidential document should be stamped and submitted to the Secretary’s Office with an accompanying cover letter, as specified by </w:t>
      </w:r>
      <w:r w:rsidR="0063588A">
        <w:rPr>
          <w:szCs w:val="22"/>
        </w:rPr>
        <w:t xml:space="preserve">the </w:t>
      </w:r>
      <w:r w:rsidRPr="004460F4" w:rsidR="00884782">
        <w:rPr>
          <w:i/>
          <w:szCs w:val="22"/>
        </w:rPr>
        <w:t>Protective Order</w:t>
      </w:r>
      <w:r w:rsidRPr="004460F4" w:rsidR="00884782">
        <w:rPr>
          <w:szCs w:val="22"/>
        </w:rPr>
        <w:t xml:space="preserve">.  </w:t>
      </w:r>
      <w:r w:rsidRPr="004460F4">
        <w:rPr>
          <w:szCs w:val="22"/>
        </w:rPr>
        <w:t xml:space="preserve">This is standard practice when the Commission seeks competitively sensitive information for ratemaking or other purposes.  </w:t>
      </w:r>
    </w:p>
    <w:p w:rsidRPr="004460F4" w:rsidR="00A92A86" w:rsidP="007E0735" w:rsidRDefault="007E0735" w14:paraId="0010232A" w14:textId="77777777">
      <w:pPr>
        <w:pStyle w:val="Numberedparagraphs"/>
        <w:numPr>
          <w:ilvl w:val="0"/>
          <w:numId w:val="0"/>
        </w:numPr>
        <w:tabs>
          <w:tab w:val="clear" w:pos="1440"/>
          <w:tab w:val="left" w:pos="720"/>
        </w:tabs>
        <w:rPr>
          <w:szCs w:val="22"/>
        </w:rPr>
      </w:pPr>
      <w:r w:rsidRPr="004460F4">
        <w:rPr>
          <w:szCs w:val="22"/>
        </w:rPr>
        <w:tab/>
        <w:t>11.  The information collection does not address any matters of a sensitive nature.</w:t>
      </w:r>
      <w:r w:rsidRPr="004460F4">
        <w:rPr>
          <w:szCs w:val="22"/>
        </w:rPr>
        <w:tab/>
      </w:r>
    </w:p>
    <w:p w:rsidRPr="004460F4" w:rsidR="007D5317" w:rsidP="007E0735" w:rsidRDefault="001946D2" w14:paraId="49FDEE49" w14:textId="10E74708">
      <w:pPr>
        <w:pStyle w:val="Numberedparagraphs"/>
        <w:numPr>
          <w:ilvl w:val="0"/>
          <w:numId w:val="0"/>
        </w:numPr>
        <w:tabs>
          <w:tab w:val="clear" w:pos="1440"/>
          <w:tab w:val="left" w:pos="720"/>
        </w:tabs>
        <w:rPr>
          <w:szCs w:val="22"/>
        </w:rPr>
      </w:pPr>
      <w:r w:rsidRPr="004460F4">
        <w:rPr>
          <w:szCs w:val="22"/>
        </w:rPr>
        <w:tab/>
      </w:r>
      <w:r w:rsidRPr="004460F4" w:rsidR="007E0735">
        <w:rPr>
          <w:szCs w:val="22"/>
        </w:rPr>
        <w:t xml:space="preserve">12.  The following represents the hour burden on the collections of information discussed herein. </w:t>
      </w:r>
    </w:p>
    <w:p w:rsidR="00B91FFE" w:rsidP="00334EFE" w:rsidRDefault="007D5317" w14:paraId="1CCB0F0E" w14:textId="2EBD3DF6">
      <w:pPr>
        <w:pStyle w:val="Numberedparagraphs"/>
        <w:numPr>
          <w:ilvl w:val="0"/>
          <w:numId w:val="0"/>
        </w:numPr>
        <w:tabs>
          <w:tab w:val="clear" w:pos="1440"/>
          <w:tab w:val="left" w:pos="720"/>
        </w:tabs>
        <w:rPr>
          <w:bCs/>
          <w:szCs w:val="22"/>
        </w:rPr>
      </w:pPr>
      <w:r>
        <w:rPr>
          <w:b/>
          <w:szCs w:val="22"/>
        </w:rPr>
        <w:t>a.</w:t>
      </w:r>
      <w:r>
        <w:rPr>
          <w:b/>
          <w:szCs w:val="22"/>
        </w:rPr>
        <w:tab/>
      </w:r>
      <w:r w:rsidRPr="00B91FFE" w:rsidR="009979A3">
        <w:rPr>
          <w:b/>
          <w:szCs w:val="22"/>
          <w:u w:val="single"/>
        </w:rPr>
        <w:t>Reporting Requirement (</w:t>
      </w:r>
      <w:r w:rsidR="00DD2210">
        <w:rPr>
          <w:b/>
          <w:szCs w:val="22"/>
          <w:u w:val="single"/>
        </w:rPr>
        <w:t>A</w:t>
      </w:r>
      <w:r w:rsidRPr="00B91FFE" w:rsidR="009979A3">
        <w:rPr>
          <w:b/>
          <w:szCs w:val="22"/>
          <w:u w:val="single"/>
        </w:rPr>
        <w:t>nnual Reports)</w:t>
      </w:r>
      <w:r w:rsidRPr="00EE3220" w:rsidR="009979A3">
        <w:rPr>
          <w:b/>
          <w:szCs w:val="22"/>
        </w:rPr>
        <w:t>:</w:t>
      </w:r>
      <w:r w:rsidRPr="003E24F0">
        <w:rPr>
          <w:bCs/>
          <w:szCs w:val="22"/>
        </w:rPr>
        <w:tab/>
      </w:r>
    </w:p>
    <w:p w:rsidRPr="00B91FFE" w:rsidR="009979A3" w:rsidP="00334EFE" w:rsidRDefault="00B91FFE" w14:paraId="732C62B1" w14:textId="7AA32994">
      <w:pPr>
        <w:pStyle w:val="Numberedparagraphs"/>
        <w:numPr>
          <w:ilvl w:val="0"/>
          <w:numId w:val="0"/>
        </w:numPr>
        <w:tabs>
          <w:tab w:val="clear" w:pos="1440"/>
          <w:tab w:val="left" w:pos="720"/>
        </w:tabs>
        <w:rPr>
          <w:bCs/>
          <w:szCs w:val="22"/>
        </w:rPr>
      </w:pPr>
      <w:r>
        <w:rPr>
          <w:bCs/>
          <w:szCs w:val="22"/>
        </w:rPr>
        <w:tab/>
      </w:r>
      <w:r w:rsidRPr="00B91FFE" w:rsidR="009979A3">
        <w:rPr>
          <w:bCs/>
          <w:szCs w:val="22"/>
        </w:rPr>
        <w:t xml:space="preserve">(1)  </w:t>
      </w:r>
      <w:r w:rsidRPr="00B91FFE" w:rsidR="009979A3">
        <w:rPr>
          <w:bCs/>
          <w:szCs w:val="22"/>
          <w:u w:val="single"/>
        </w:rPr>
        <w:t>Number of respondents</w:t>
      </w:r>
      <w:r w:rsidRPr="00B91FFE" w:rsidR="009979A3">
        <w:rPr>
          <w:bCs/>
          <w:szCs w:val="22"/>
        </w:rPr>
        <w:t xml:space="preserve">:  </w:t>
      </w:r>
      <w:r w:rsidRPr="00B91FFE" w:rsidR="00FB334B">
        <w:rPr>
          <w:bCs/>
          <w:szCs w:val="22"/>
        </w:rPr>
        <w:t>Approximately</w:t>
      </w:r>
      <w:r w:rsidR="00830484">
        <w:rPr>
          <w:bCs/>
          <w:szCs w:val="22"/>
        </w:rPr>
        <w:t xml:space="preserve"> </w:t>
      </w:r>
      <w:r w:rsidR="00B97D32">
        <w:rPr>
          <w:bCs/>
          <w:szCs w:val="22"/>
        </w:rPr>
        <w:t>20</w:t>
      </w:r>
      <w:r w:rsidR="00830484">
        <w:rPr>
          <w:bCs/>
          <w:szCs w:val="22"/>
        </w:rPr>
        <w:t>.</w:t>
      </w:r>
    </w:p>
    <w:p w:rsidRPr="00B91FFE" w:rsidR="009979A3" w:rsidP="00334EFE" w:rsidRDefault="009979A3" w14:paraId="25524C37" w14:textId="607F19EF">
      <w:pPr>
        <w:pStyle w:val="Numberedparagraphs"/>
        <w:numPr>
          <w:ilvl w:val="0"/>
          <w:numId w:val="0"/>
        </w:numPr>
        <w:tabs>
          <w:tab w:val="clear" w:pos="1440"/>
          <w:tab w:val="left" w:pos="720"/>
        </w:tabs>
        <w:rPr>
          <w:bCs/>
          <w:szCs w:val="22"/>
        </w:rPr>
      </w:pPr>
      <w:r w:rsidRPr="00B91FFE">
        <w:rPr>
          <w:bCs/>
          <w:szCs w:val="22"/>
        </w:rPr>
        <w:tab/>
        <w:t xml:space="preserve">(2)  </w:t>
      </w:r>
      <w:r w:rsidRPr="00B91FFE">
        <w:rPr>
          <w:bCs/>
          <w:szCs w:val="22"/>
          <w:u w:val="single"/>
        </w:rPr>
        <w:t>Frequency of response</w:t>
      </w:r>
      <w:r w:rsidRPr="00B91FFE">
        <w:rPr>
          <w:bCs/>
          <w:szCs w:val="22"/>
        </w:rPr>
        <w:t>:</w:t>
      </w:r>
      <w:r w:rsidRPr="00B91FFE" w:rsidR="00FB334B">
        <w:rPr>
          <w:bCs/>
          <w:szCs w:val="22"/>
        </w:rPr>
        <w:t xml:space="preserve">  Annual.</w:t>
      </w:r>
    </w:p>
    <w:p w:rsidRPr="00B91FFE" w:rsidR="009979A3" w:rsidP="00334EFE" w:rsidRDefault="009979A3" w14:paraId="38AC2373" w14:textId="0712D9BE">
      <w:pPr>
        <w:pStyle w:val="Numberedparagraphs"/>
        <w:numPr>
          <w:ilvl w:val="0"/>
          <w:numId w:val="0"/>
        </w:numPr>
        <w:tabs>
          <w:tab w:val="clear" w:pos="1440"/>
          <w:tab w:val="left" w:pos="720"/>
        </w:tabs>
        <w:rPr>
          <w:bCs/>
          <w:szCs w:val="22"/>
        </w:rPr>
      </w:pPr>
      <w:r w:rsidRPr="00B91FFE">
        <w:rPr>
          <w:bCs/>
          <w:szCs w:val="22"/>
        </w:rPr>
        <w:tab/>
        <w:t xml:space="preserve">(3)  </w:t>
      </w:r>
      <w:r w:rsidRPr="00B91FFE">
        <w:rPr>
          <w:bCs/>
          <w:szCs w:val="22"/>
          <w:u w:val="single"/>
        </w:rPr>
        <w:t>Total number of responses annually</w:t>
      </w:r>
      <w:r w:rsidRPr="00B91FFE">
        <w:rPr>
          <w:bCs/>
          <w:szCs w:val="22"/>
        </w:rPr>
        <w:t xml:space="preserve">:  Approximately </w:t>
      </w:r>
      <w:r w:rsidR="00B97D32">
        <w:rPr>
          <w:bCs/>
          <w:szCs w:val="22"/>
        </w:rPr>
        <w:t>20</w:t>
      </w:r>
      <w:r w:rsidRPr="00B91FFE">
        <w:rPr>
          <w:bCs/>
          <w:szCs w:val="22"/>
        </w:rPr>
        <w:t>.</w:t>
      </w:r>
    </w:p>
    <w:p w:rsidRPr="00B91FFE" w:rsidR="009979A3" w:rsidP="00334EFE" w:rsidRDefault="009979A3" w14:paraId="777786BE" w14:textId="7938016C">
      <w:pPr>
        <w:pStyle w:val="Numberedparagraphs"/>
        <w:numPr>
          <w:ilvl w:val="0"/>
          <w:numId w:val="0"/>
        </w:numPr>
        <w:tabs>
          <w:tab w:val="clear" w:pos="1440"/>
          <w:tab w:val="left" w:pos="720"/>
        </w:tabs>
        <w:rPr>
          <w:bCs/>
          <w:szCs w:val="22"/>
        </w:rPr>
      </w:pPr>
      <w:r w:rsidRPr="00B91FFE">
        <w:rPr>
          <w:bCs/>
          <w:szCs w:val="22"/>
        </w:rPr>
        <w:tab/>
        <w:t xml:space="preserve">(4)  </w:t>
      </w:r>
      <w:r w:rsidRPr="00B91FFE">
        <w:rPr>
          <w:bCs/>
          <w:szCs w:val="22"/>
          <w:u w:val="single"/>
        </w:rPr>
        <w:t>Estimated Time per Response</w:t>
      </w:r>
      <w:r w:rsidRPr="00B91FFE">
        <w:rPr>
          <w:bCs/>
          <w:szCs w:val="22"/>
        </w:rPr>
        <w:t>:</w:t>
      </w:r>
      <w:r w:rsidRPr="00B91FFE" w:rsidR="00FB334B">
        <w:rPr>
          <w:bCs/>
          <w:szCs w:val="22"/>
        </w:rPr>
        <w:t xml:space="preserve">  </w:t>
      </w:r>
      <w:r w:rsidR="000D39D1">
        <w:rPr>
          <w:bCs/>
          <w:szCs w:val="22"/>
        </w:rPr>
        <w:t xml:space="preserve">Approximately </w:t>
      </w:r>
      <w:r w:rsidR="001F21CC">
        <w:rPr>
          <w:bCs/>
          <w:szCs w:val="22"/>
        </w:rPr>
        <w:t xml:space="preserve">80 </w:t>
      </w:r>
      <w:r w:rsidRPr="00B91FFE" w:rsidR="00FB334B">
        <w:rPr>
          <w:bCs/>
          <w:szCs w:val="22"/>
        </w:rPr>
        <w:t>hours.</w:t>
      </w:r>
    </w:p>
    <w:p w:rsidRPr="00B91FFE" w:rsidR="00CE7BBD" w:rsidP="00FB334B" w:rsidRDefault="007D5317" w14:paraId="24F99491" w14:textId="36E55675">
      <w:pPr>
        <w:pStyle w:val="Numberedparagraphs"/>
        <w:numPr>
          <w:ilvl w:val="0"/>
          <w:numId w:val="0"/>
        </w:numPr>
        <w:tabs>
          <w:tab w:val="clear" w:pos="1440"/>
          <w:tab w:val="left" w:pos="720"/>
        </w:tabs>
        <w:ind w:left="720"/>
        <w:rPr>
          <w:bCs/>
          <w:szCs w:val="22"/>
        </w:rPr>
      </w:pPr>
      <w:r>
        <w:rPr>
          <w:bCs/>
          <w:szCs w:val="22"/>
        </w:rPr>
        <w:tab/>
      </w:r>
      <w:r w:rsidR="00B97D32">
        <w:rPr>
          <w:bCs/>
          <w:szCs w:val="22"/>
        </w:rPr>
        <w:t>20</w:t>
      </w:r>
      <w:r w:rsidRPr="00B91FFE" w:rsidR="00CE7BBD">
        <w:rPr>
          <w:bCs/>
          <w:szCs w:val="22"/>
        </w:rPr>
        <w:t xml:space="preserve"> x </w:t>
      </w:r>
      <w:r w:rsidR="000D39D1">
        <w:rPr>
          <w:bCs/>
          <w:szCs w:val="22"/>
        </w:rPr>
        <w:t xml:space="preserve">approximately </w:t>
      </w:r>
      <w:r w:rsidR="008F71AD">
        <w:rPr>
          <w:bCs/>
          <w:szCs w:val="22"/>
        </w:rPr>
        <w:t>80</w:t>
      </w:r>
      <w:r w:rsidRPr="00B91FFE" w:rsidR="00CE7BBD">
        <w:rPr>
          <w:bCs/>
          <w:szCs w:val="22"/>
        </w:rPr>
        <w:t xml:space="preserve"> hours per response x 1 response </w:t>
      </w:r>
      <w:r w:rsidR="008F71AD">
        <w:rPr>
          <w:bCs/>
          <w:szCs w:val="22"/>
        </w:rPr>
        <w:t xml:space="preserve">per respondent </w:t>
      </w:r>
      <w:r w:rsidRPr="00B91FFE" w:rsidR="00CE7BBD">
        <w:rPr>
          <w:bCs/>
          <w:szCs w:val="22"/>
        </w:rPr>
        <w:t xml:space="preserve">= </w:t>
      </w:r>
      <w:r w:rsidR="00B97D32">
        <w:rPr>
          <w:bCs/>
          <w:szCs w:val="22"/>
        </w:rPr>
        <w:t>1,600</w:t>
      </w:r>
      <w:r w:rsidR="0054114F">
        <w:rPr>
          <w:bCs/>
          <w:szCs w:val="22"/>
        </w:rPr>
        <w:t xml:space="preserve"> </w:t>
      </w:r>
      <w:r w:rsidR="0030102E">
        <w:rPr>
          <w:bCs/>
          <w:szCs w:val="22"/>
        </w:rPr>
        <w:t>hours</w:t>
      </w:r>
      <w:r w:rsidRPr="00B91FFE" w:rsidR="00CE7BBD">
        <w:rPr>
          <w:bCs/>
          <w:szCs w:val="22"/>
        </w:rPr>
        <w:t>.</w:t>
      </w:r>
    </w:p>
    <w:p w:rsidRPr="00B91FFE" w:rsidR="00CE7BBD" w:rsidP="00334EFE" w:rsidRDefault="00CE7BBD" w14:paraId="020C1AEB" w14:textId="749B7D4C">
      <w:pPr>
        <w:pStyle w:val="Numberedparagraphs"/>
        <w:numPr>
          <w:ilvl w:val="0"/>
          <w:numId w:val="0"/>
        </w:numPr>
        <w:tabs>
          <w:tab w:val="clear" w:pos="1440"/>
          <w:tab w:val="left" w:pos="720"/>
        </w:tabs>
        <w:rPr>
          <w:bCs/>
          <w:szCs w:val="22"/>
        </w:rPr>
      </w:pPr>
      <w:r w:rsidRPr="00B91FFE">
        <w:rPr>
          <w:bCs/>
          <w:szCs w:val="22"/>
        </w:rPr>
        <w:tab/>
        <w:t xml:space="preserve">(5)  </w:t>
      </w:r>
      <w:r w:rsidRPr="00B91FFE">
        <w:rPr>
          <w:bCs/>
          <w:szCs w:val="22"/>
          <w:u w:val="single"/>
        </w:rPr>
        <w:t>Total annual burden</w:t>
      </w:r>
      <w:r w:rsidRPr="00B91FFE">
        <w:rPr>
          <w:bCs/>
          <w:szCs w:val="22"/>
        </w:rPr>
        <w:t xml:space="preserve">:  </w:t>
      </w:r>
      <w:r w:rsidRPr="004C0C38" w:rsidR="004C0C38">
        <w:rPr>
          <w:b/>
          <w:szCs w:val="22"/>
        </w:rPr>
        <w:t>1,600 hours</w:t>
      </w:r>
      <w:r w:rsidR="004C0C38">
        <w:rPr>
          <w:bCs/>
          <w:szCs w:val="22"/>
        </w:rPr>
        <w:t>.</w:t>
      </w:r>
    </w:p>
    <w:p w:rsidRPr="00B91FFE" w:rsidR="00CE7BBD" w:rsidP="00FB334B" w:rsidRDefault="00CE7BBD" w14:paraId="604CF372" w14:textId="0C0DAB9F">
      <w:pPr>
        <w:pStyle w:val="Numberedparagraphs"/>
        <w:numPr>
          <w:ilvl w:val="0"/>
          <w:numId w:val="0"/>
        </w:numPr>
        <w:tabs>
          <w:tab w:val="clear" w:pos="1440"/>
          <w:tab w:val="left" w:pos="720"/>
        </w:tabs>
        <w:ind w:left="1440"/>
        <w:rPr>
          <w:bCs/>
          <w:szCs w:val="22"/>
        </w:rPr>
      </w:pPr>
      <w:r w:rsidRPr="00B91FFE">
        <w:rPr>
          <w:bCs/>
          <w:szCs w:val="22"/>
        </w:rPr>
        <w:t xml:space="preserve">The Commission estimates that </w:t>
      </w:r>
      <w:r w:rsidRPr="00B91FFE" w:rsidR="00FB334B">
        <w:rPr>
          <w:bCs/>
          <w:szCs w:val="22"/>
        </w:rPr>
        <w:t>approximate</w:t>
      </w:r>
      <w:r w:rsidR="00F76586">
        <w:rPr>
          <w:bCs/>
          <w:szCs w:val="22"/>
        </w:rPr>
        <w:t>ly</w:t>
      </w:r>
      <w:r w:rsidRPr="00B91FFE" w:rsidR="00FB334B">
        <w:rPr>
          <w:bCs/>
          <w:szCs w:val="22"/>
        </w:rPr>
        <w:t xml:space="preserve"> </w:t>
      </w:r>
      <w:r w:rsidR="000278B1">
        <w:rPr>
          <w:bCs/>
          <w:szCs w:val="22"/>
        </w:rPr>
        <w:t>20</w:t>
      </w:r>
      <w:r w:rsidRPr="00B91FFE" w:rsidR="00FB334B">
        <w:rPr>
          <w:bCs/>
          <w:szCs w:val="22"/>
        </w:rPr>
        <w:t xml:space="preserve"> ICS providers will require </w:t>
      </w:r>
      <w:r w:rsidR="000D39D1">
        <w:rPr>
          <w:bCs/>
          <w:szCs w:val="22"/>
        </w:rPr>
        <w:t xml:space="preserve">approximately </w:t>
      </w:r>
      <w:r w:rsidR="001F21CC">
        <w:rPr>
          <w:bCs/>
          <w:szCs w:val="22"/>
        </w:rPr>
        <w:t>80</w:t>
      </w:r>
      <w:r w:rsidRPr="00B91FFE" w:rsidR="00FB334B">
        <w:rPr>
          <w:bCs/>
          <w:szCs w:val="22"/>
        </w:rPr>
        <w:t xml:space="preserve"> hours </w:t>
      </w:r>
      <w:r w:rsidR="0091384B">
        <w:rPr>
          <w:bCs/>
          <w:szCs w:val="22"/>
        </w:rPr>
        <w:t xml:space="preserve">each </w:t>
      </w:r>
      <w:r w:rsidRPr="00B91FFE" w:rsidR="00FB334B">
        <w:rPr>
          <w:bCs/>
          <w:szCs w:val="22"/>
        </w:rPr>
        <w:t>of reporting time.</w:t>
      </w:r>
    </w:p>
    <w:p w:rsidRPr="00B91FFE" w:rsidR="00FB334B" w:rsidP="00FB334B" w:rsidRDefault="00FB334B" w14:paraId="5E079CEF" w14:textId="0C22D090">
      <w:pPr>
        <w:pStyle w:val="Numberedparagraphs"/>
        <w:numPr>
          <w:ilvl w:val="0"/>
          <w:numId w:val="0"/>
        </w:numPr>
        <w:tabs>
          <w:tab w:val="clear" w:pos="1440"/>
          <w:tab w:val="left" w:pos="720"/>
        </w:tabs>
        <w:ind w:left="720"/>
        <w:rPr>
          <w:bCs/>
          <w:szCs w:val="22"/>
        </w:rPr>
      </w:pPr>
      <w:r w:rsidRPr="00B91FFE">
        <w:rPr>
          <w:bCs/>
          <w:szCs w:val="22"/>
        </w:rPr>
        <w:t xml:space="preserve">(6)  </w:t>
      </w:r>
      <w:r w:rsidRPr="00B91FFE">
        <w:rPr>
          <w:bCs/>
          <w:szCs w:val="22"/>
          <w:u w:val="single"/>
        </w:rPr>
        <w:t>Total estimate of “in-house” costs to respondents</w:t>
      </w:r>
      <w:r w:rsidRPr="00CC3072">
        <w:rPr>
          <w:b/>
          <w:szCs w:val="22"/>
        </w:rPr>
        <w:t>:  $</w:t>
      </w:r>
      <w:r w:rsidRPr="00CC3072" w:rsidR="00CC3072">
        <w:rPr>
          <w:b/>
          <w:szCs w:val="22"/>
        </w:rPr>
        <w:t>90,096</w:t>
      </w:r>
      <w:r w:rsidR="00CC3072">
        <w:rPr>
          <w:bCs/>
          <w:szCs w:val="22"/>
        </w:rPr>
        <w:t>.</w:t>
      </w:r>
    </w:p>
    <w:p w:rsidRPr="00B91FFE" w:rsidR="00FB334B" w:rsidP="00FB334B" w:rsidRDefault="00FB334B" w14:paraId="525D2C34" w14:textId="5D6244A5">
      <w:pPr>
        <w:pStyle w:val="Numberedparagraphs"/>
        <w:numPr>
          <w:ilvl w:val="0"/>
          <w:numId w:val="0"/>
        </w:numPr>
        <w:tabs>
          <w:tab w:val="clear" w:pos="1440"/>
          <w:tab w:val="left" w:pos="720"/>
        </w:tabs>
        <w:ind w:left="720"/>
        <w:rPr>
          <w:bCs/>
          <w:szCs w:val="22"/>
        </w:rPr>
      </w:pPr>
      <w:r w:rsidRPr="00B91FFE">
        <w:rPr>
          <w:bCs/>
          <w:szCs w:val="22"/>
        </w:rPr>
        <w:t xml:space="preserve">(7)  </w:t>
      </w:r>
      <w:r w:rsidRPr="00B91FFE">
        <w:rPr>
          <w:bCs/>
          <w:szCs w:val="22"/>
          <w:u w:val="single"/>
        </w:rPr>
        <w:t>Explanation of calculation</w:t>
      </w:r>
      <w:r w:rsidRPr="00B91FFE">
        <w:rPr>
          <w:bCs/>
          <w:szCs w:val="22"/>
        </w:rPr>
        <w:t>:</w:t>
      </w:r>
    </w:p>
    <w:p w:rsidRPr="00B91FFE" w:rsidR="00FB334B" w:rsidP="00FB334B" w:rsidRDefault="00FB334B" w14:paraId="1DF055A5" w14:textId="251BC33D">
      <w:pPr>
        <w:pStyle w:val="Numberedparagraphs"/>
        <w:numPr>
          <w:ilvl w:val="0"/>
          <w:numId w:val="0"/>
        </w:numPr>
        <w:tabs>
          <w:tab w:val="clear" w:pos="1440"/>
          <w:tab w:val="left" w:pos="720"/>
        </w:tabs>
        <w:ind w:left="1440"/>
        <w:rPr>
          <w:bCs/>
          <w:szCs w:val="22"/>
        </w:rPr>
      </w:pPr>
      <w:r w:rsidRPr="00B91FFE">
        <w:rPr>
          <w:bCs/>
          <w:szCs w:val="22"/>
        </w:rPr>
        <w:t xml:space="preserve">The Commission estimates that approximately </w:t>
      </w:r>
      <w:r w:rsidR="000278B1">
        <w:rPr>
          <w:bCs/>
          <w:szCs w:val="22"/>
        </w:rPr>
        <w:t>20</w:t>
      </w:r>
      <w:r w:rsidRPr="00B91FFE">
        <w:rPr>
          <w:bCs/>
          <w:szCs w:val="22"/>
        </w:rPr>
        <w:t xml:space="preserve"> ICS providers will be subject to this reporting requirement.</w:t>
      </w:r>
    </w:p>
    <w:p w:rsidR="002D71AF" w:rsidP="00FE3990" w:rsidRDefault="004C711A" w14:paraId="23FF5050" w14:textId="4E5BD879">
      <w:pPr>
        <w:pStyle w:val="Numberedparagraphs"/>
        <w:numPr>
          <w:ilvl w:val="0"/>
          <w:numId w:val="0"/>
        </w:numPr>
        <w:tabs>
          <w:tab w:val="clear" w:pos="1440"/>
          <w:tab w:val="left" w:pos="720"/>
        </w:tabs>
        <w:ind w:left="1440"/>
      </w:pPr>
      <w:bookmarkStart w:name="_Hlk79443509" w:id="12"/>
      <w:r w:rsidRPr="004C711A">
        <w:rPr>
          <w:bCs/>
          <w:szCs w:val="22"/>
        </w:rPr>
        <w:t>The Commission estimates that respondents will use</w:t>
      </w:r>
      <w:r w:rsidR="001B7ECF">
        <w:rPr>
          <w:bCs/>
          <w:szCs w:val="22"/>
        </w:rPr>
        <w:t xml:space="preserve"> </w:t>
      </w:r>
      <w:r w:rsidR="00EF09B5">
        <w:rPr>
          <w:bCs/>
          <w:szCs w:val="22"/>
        </w:rPr>
        <w:t xml:space="preserve">personnel </w:t>
      </w:r>
      <w:r w:rsidRPr="004C711A">
        <w:rPr>
          <w:bCs/>
          <w:szCs w:val="22"/>
        </w:rPr>
        <w:t xml:space="preserve">comparable in pay to a </w:t>
      </w:r>
      <w:r w:rsidRPr="004C711A">
        <w:rPr>
          <w:bCs/>
          <w:szCs w:val="22"/>
        </w:rPr>
        <w:lastRenderedPageBreak/>
        <w:t>GS 13/Step 5 employee earning $56.31 per hour</w:t>
      </w:r>
      <w:bookmarkEnd w:id="12"/>
      <w:r w:rsidR="001B7ECF">
        <w:rPr>
          <w:bCs/>
          <w:szCs w:val="22"/>
        </w:rPr>
        <w:t>.</w:t>
      </w:r>
    </w:p>
    <w:p w:rsidRPr="004460F4" w:rsidR="007E0735" w:rsidP="00FE3990" w:rsidRDefault="00FB334B" w14:paraId="26ACB2D6" w14:textId="677A294E">
      <w:pPr>
        <w:pStyle w:val="Numberedparagraphs"/>
        <w:numPr>
          <w:ilvl w:val="0"/>
          <w:numId w:val="0"/>
        </w:numPr>
        <w:tabs>
          <w:tab w:val="clear" w:pos="1440"/>
          <w:tab w:val="left" w:pos="720"/>
        </w:tabs>
        <w:ind w:left="1440"/>
      </w:pPr>
      <w:r w:rsidRPr="00B91FFE">
        <w:rPr>
          <w:bCs/>
          <w:szCs w:val="22"/>
        </w:rPr>
        <w:t xml:space="preserve">Thus, </w:t>
      </w:r>
      <w:r w:rsidR="00A409CD">
        <w:rPr>
          <w:bCs/>
          <w:szCs w:val="22"/>
        </w:rPr>
        <w:t>1,</w:t>
      </w:r>
      <w:r w:rsidR="00AE7F8A">
        <w:rPr>
          <w:bCs/>
          <w:szCs w:val="22"/>
        </w:rPr>
        <w:t>6</w:t>
      </w:r>
      <w:r w:rsidR="00B969F0">
        <w:rPr>
          <w:bCs/>
          <w:szCs w:val="22"/>
        </w:rPr>
        <w:t>0</w:t>
      </w:r>
      <w:r w:rsidR="00A409CD">
        <w:rPr>
          <w:bCs/>
          <w:szCs w:val="22"/>
        </w:rPr>
        <w:t>0</w:t>
      </w:r>
      <w:r w:rsidR="00E37F80">
        <w:rPr>
          <w:bCs/>
          <w:szCs w:val="22"/>
        </w:rPr>
        <w:t xml:space="preserve"> </w:t>
      </w:r>
      <w:r w:rsidRPr="00B91FFE">
        <w:rPr>
          <w:bCs/>
          <w:szCs w:val="22"/>
        </w:rPr>
        <w:t>hours x $</w:t>
      </w:r>
      <w:r w:rsidR="00E37F80">
        <w:rPr>
          <w:bCs/>
          <w:szCs w:val="22"/>
        </w:rPr>
        <w:t>5</w:t>
      </w:r>
      <w:r w:rsidR="004C711A">
        <w:rPr>
          <w:bCs/>
          <w:szCs w:val="22"/>
        </w:rPr>
        <w:t>6.31</w:t>
      </w:r>
      <w:r w:rsidR="00E37F80">
        <w:rPr>
          <w:bCs/>
          <w:szCs w:val="22"/>
        </w:rPr>
        <w:t xml:space="preserve"> per hour</w:t>
      </w:r>
      <w:r w:rsidRPr="00B91FFE">
        <w:rPr>
          <w:bCs/>
          <w:szCs w:val="22"/>
        </w:rPr>
        <w:t xml:space="preserve"> = </w:t>
      </w:r>
      <w:r w:rsidR="001851FA">
        <w:rPr>
          <w:bCs/>
          <w:szCs w:val="22"/>
        </w:rPr>
        <w:t>$</w:t>
      </w:r>
      <w:r w:rsidR="00CC3072">
        <w:rPr>
          <w:bCs/>
          <w:szCs w:val="22"/>
        </w:rPr>
        <w:t>90,096.</w:t>
      </w:r>
    </w:p>
    <w:p w:rsidRPr="00AB1E80" w:rsidR="007E0735" w:rsidP="007E0735" w:rsidRDefault="000F1303" w14:paraId="4A558D44" w14:textId="487F5917">
      <w:pPr>
        <w:keepLines/>
        <w:tabs>
          <w:tab w:val="left" w:pos="-720"/>
        </w:tabs>
        <w:suppressAutoHyphens/>
        <w:rPr>
          <w:b/>
          <w:spacing w:val="-3"/>
          <w:szCs w:val="22"/>
        </w:rPr>
      </w:pPr>
      <w:bookmarkStart w:name="_Hlk76650929" w:id="13"/>
      <w:r>
        <w:rPr>
          <w:b/>
          <w:spacing w:val="-3"/>
          <w:szCs w:val="22"/>
        </w:rPr>
        <w:t>b.</w:t>
      </w:r>
      <w:r>
        <w:rPr>
          <w:b/>
          <w:spacing w:val="-3"/>
          <w:szCs w:val="22"/>
        </w:rPr>
        <w:tab/>
      </w:r>
      <w:r w:rsidRPr="004460F4" w:rsidR="00C65260">
        <w:rPr>
          <w:b/>
          <w:spacing w:val="-3"/>
          <w:szCs w:val="22"/>
          <w:u w:val="single"/>
        </w:rPr>
        <w:t xml:space="preserve">Certification </w:t>
      </w:r>
      <w:r w:rsidR="00462E09">
        <w:rPr>
          <w:b/>
          <w:spacing w:val="-3"/>
          <w:szCs w:val="22"/>
          <w:u w:val="single"/>
        </w:rPr>
        <w:t xml:space="preserve">of </w:t>
      </w:r>
      <w:r w:rsidR="00167BC1">
        <w:rPr>
          <w:b/>
          <w:spacing w:val="-3"/>
          <w:szCs w:val="22"/>
          <w:u w:val="single"/>
        </w:rPr>
        <w:t xml:space="preserve">Information and Data in the </w:t>
      </w:r>
      <w:r w:rsidR="00462E09">
        <w:rPr>
          <w:b/>
          <w:spacing w:val="-3"/>
          <w:szCs w:val="22"/>
          <w:u w:val="single"/>
        </w:rPr>
        <w:t>Annual Report</w:t>
      </w:r>
      <w:r w:rsidR="00D15538">
        <w:rPr>
          <w:b/>
          <w:spacing w:val="-3"/>
          <w:szCs w:val="22"/>
          <w:u w:val="single"/>
        </w:rPr>
        <w:t>s</w:t>
      </w:r>
      <w:r w:rsidR="00462E09">
        <w:rPr>
          <w:b/>
          <w:spacing w:val="-3"/>
          <w:szCs w:val="22"/>
          <w:u w:val="single"/>
        </w:rPr>
        <w:t>:</w:t>
      </w:r>
    </w:p>
    <w:p w:rsidRPr="004460F4" w:rsidR="007E0735" w:rsidP="007E0735" w:rsidRDefault="007E0735" w14:paraId="4F193528" w14:textId="77777777">
      <w:pPr>
        <w:keepLines/>
        <w:tabs>
          <w:tab w:val="left" w:pos="-720"/>
        </w:tabs>
        <w:suppressAutoHyphens/>
        <w:rPr>
          <w:spacing w:val="-3"/>
          <w:szCs w:val="22"/>
        </w:rPr>
      </w:pPr>
    </w:p>
    <w:p w:rsidRPr="00F46FB3" w:rsidR="007E0735" w:rsidP="00F46FB3" w:rsidRDefault="007E0735" w14:paraId="15191600" w14:textId="7016E859">
      <w:pPr>
        <w:pStyle w:val="ListParagraph"/>
        <w:keepLines/>
        <w:numPr>
          <w:ilvl w:val="0"/>
          <w:numId w:val="31"/>
        </w:numPr>
        <w:tabs>
          <w:tab w:val="left" w:pos="-720"/>
        </w:tabs>
        <w:suppressAutoHyphens/>
        <w:rPr>
          <w:spacing w:val="-3"/>
          <w:szCs w:val="22"/>
        </w:rPr>
      </w:pPr>
      <w:r w:rsidRPr="00F46FB3">
        <w:rPr>
          <w:spacing w:val="-3"/>
          <w:szCs w:val="22"/>
          <w:u w:val="single"/>
        </w:rPr>
        <w:t>Number of respondents</w:t>
      </w:r>
      <w:r w:rsidRPr="00F46FB3">
        <w:rPr>
          <w:spacing w:val="-3"/>
          <w:szCs w:val="22"/>
        </w:rPr>
        <w:t xml:space="preserve">:  Approximately </w:t>
      </w:r>
      <w:r w:rsidR="008E1B23">
        <w:rPr>
          <w:spacing w:val="-3"/>
          <w:szCs w:val="22"/>
        </w:rPr>
        <w:t>20</w:t>
      </w:r>
      <w:r w:rsidRPr="00F46FB3">
        <w:rPr>
          <w:spacing w:val="-3"/>
          <w:szCs w:val="22"/>
        </w:rPr>
        <w:t>.</w:t>
      </w:r>
    </w:p>
    <w:p w:rsidRPr="004460F4" w:rsidR="007E0735" w:rsidP="007E0735" w:rsidRDefault="007E0735" w14:paraId="7E6DC900" w14:textId="77777777">
      <w:pPr>
        <w:keepLines/>
        <w:tabs>
          <w:tab w:val="left" w:pos="-720"/>
        </w:tabs>
        <w:suppressAutoHyphens/>
        <w:rPr>
          <w:spacing w:val="-3"/>
          <w:szCs w:val="22"/>
        </w:rPr>
      </w:pPr>
    </w:p>
    <w:p w:rsidRPr="004460F4" w:rsidR="007E0735" w:rsidP="007E0735" w:rsidRDefault="007E0735" w14:paraId="54C4FE62" w14:textId="581FC641">
      <w:pPr>
        <w:keepLines/>
        <w:tabs>
          <w:tab w:val="left" w:pos="-720"/>
        </w:tabs>
        <w:suppressAutoHyphens/>
        <w:rPr>
          <w:spacing w:val="-3"/>
          <w:szCs w:val="22"/>
        </w:rPr>
      </w:pPr>
      <w:r w:rsidRPr="004460F4">
        <w:rPr>
          <w:spacing w:val="-3"/>
          <w:szCs w:val="22"/>
        </w:rPr>
        <w:tab/>
        <w:t xml:space="preserve">(2)  </w:t>
      </w:r>
      <w:r w:rsidRPr="004460F4">
        <w:rPr>
          <w:spacing w:val="-3"/>
          <w:szCs w:val="22"/>
          <w:u w:val="single"/>
        </w:rPr>
        <w:t>Frequency of response</w:t>
      </w:r>
      <w:r w:rsidRPr="004460F4">
        <w:rPr>
          <w:spacing w:val="-3"/>
          <w:szCs w:val="22"/>
        </w:rPr>
        <w:t xml:space="preserve">:  </w:t>
      </w:r>
      <w:r w:rsidRPr="004460F4" w:rsidR="00F41E80">
        <w:rPr>
          <w:spacing w:val="-3"/>
          <w:szCs w:val="22"/>
        </w:rPr>
        <w:t>Annual</w:t>
      </w:r>
      <w:r w:rsidRPr="004460F4">
        <w:rPr>
          <w:spacing w:val="-3"/>
          <w:szCs w:val="22"/>
        </w:rPr>
        <w:t xml:space="preserve">.  </w:t>
      </w:r>
    </w:p>
    <w:p w:rsidRPr="004460F4" w:rsidR="007E0735" w:rsidP="007E0735" w:rsidRDefault="007E0735" w14:paraId="245FD955" w14:textId="77777777">
      <w:pPr>
        <w:tabs>
          <w:tab w:val="left" w:pos="-720"/>
        </w:tabs>
        <w:suppressAutoHyphens/>
        <w:rPr>
          <w:spacing w:val="-3"/>
          <w:szCs w:val="22"/>
        </w:rPr>
      </w:pPr>
    </w:p>
    <w:p w:rsidRPr="004460F4" w:rsidR="007E0735" w:rsidP="007E0735" w:rsidRDefault="007E0735" w14:paraId="0C2162A8" w14:textId="56059DA7">
      <w:pPr>
        <w:tabs>
          <w:tab w:val="left" w:pos="-720"/>
        </w:tabs>
        <w:suppressAutoHyphens/>
        <w:rPr>
          <w:spacing w:val="-3"/>
          <w:szCs w:val="22"/>
        </w:rPr>
      </w:pPr>
      <w:r w:rsidRPr="004460F4">
        <w:rPr>
          <w:spacing w:val="-3"/>
          <w:szCs w:val="22"/>
        </w:rPr>
        <w:tab/>
        <w:t xml:space="preserve">(3)  </w:t>
      </w:r>
      <w:r w:rsidRPr="004460F4">
        <w:rPr>
          <w:spacing w:val="-3"/>
          <w:szCs w:val="22"/>
          <w:u w:val="single"/>
        </w:rPr>
        <w:t>Total number of responses annually</w:t>
      </w:r>
      <w:r w:rsidRPr="004460F4">
        <w:rPr>
          <w:spacing w:val="-3"/>
          <w:szCs w:val="22"/>
        </w:rPr>
        <w:t xml:space="preserve">:  Approximately </w:t>
      </w:r>
      <w:r w:rsidR="008E1B23">
        <w:rPr>
          <w:spacing w:val="-3"/>
          <w:szCs w:val="22"/>
        </w:rPr>
        <w:t>20</w:t>
      </w:r>
      <w:r w:rsidRPr="004460F4">
        <w:rPr>
          <w:spacing w:val="-3"/>
          <w:szCs w:val="22"/>
        </w:rPr>
        <w:t>.</w:t>
      </w:r>
    </w:p>
    <w:p w:rsidRPr="004460F4" w:rsidR="007E0735" w:rsidP="007E0735" w:rsidRDefault="007E0735" w14:paraId="77D27329" w14:textId="77777777">
      <w:pPr>
        <w:tabs>
          <w:tab w:val="left" w:pos="-720"/>
        </w:tabs>
        <w:suppressAutoHyphens/>
        <w:rPr>
          <w:spacing w:val="-3"/>
          <w:szCs w:val="22"/>
        </w:rPr>
      </w:pPr>
    </w:p>
    <w:p w:rsidRPr="004460F4" w:rsidR="007E0735" w:rsidP="007E0735" w:rsidRDefault="007E0735" w14:paraId="5F98EB92" w14:textId="7E64A533">
      <w:pPr>
        <w:tabs>
          <w:tab w:val="left" w:pos="-720"/>
        </w:tabs>
        <w:suppressAutoHyphens/>
        <w:rPr>
          <w:spacing w:val="-3"/>
          <w:szCs w:val="22"/>
        </w:rPr>
      </w:pPr>
      <w:r w:rsidRPr="004460F4">
        <w:rPr>
          <w:spacing w:val="-3"/>
          <w:szCs w:val="22"/>
        </w:rPr>
        <w:tab/>
        <w:t xml:space="preserve">(4)  </w:t>
      </w:r>
      <w:r w:rsidRPr="004460F4">
        <w:rPr>
          <w:spacing w:val="-3"/>
          <w:szCs w:val="22"/>
          <w:u w:val="single"/>
        </w:rPr>
        <w:t xml:space="preserve">Estimated Time </w:t>
      </w:r>
      <w:r w:rsidRPr="004460F4" w:rsidR="00073508">
        <w:rPr>
          <w:spacing w:val="-3"/>
          <w:szCs w:val="22"/>
          <w:u w:val="single"/>
        </w:rPr>
        <w:t>per</w:t>
      </w:r>
      <w:r w:rsidRPr="004460F4">
        <w:rPr>
          <w:spacing w:val="-3"/>
          <w:szCs w:val="22"/>
          <w:u w:val="single"/>
        </w:rPr>
        <w:t xml:space="preserve"> Response</w:t>
      </w:r>
      <w:r w:rsidRPr="004460F4" w:rsidR="00A92A86">
        <w:rPr>
          <w:spacing w:val="-3"/>
          <w:szCs w:val="22"/>
        </w:rPr>
        <w:t xml:space="preserve">:  </w:t>
      </w:r>
      <w:r w:rsidR="000D39D1">
        <w:rPr>
          <w:spacing w:val="-3"/>
          <w:szCs w:val="22"/>
        </w:rPr>
        <w:t xml:space="preserve">Approximately </w:t>
      </w:r>
      <w:r w:rsidRPr="004460F4" w:rsidR="00B305EF">
        <w:rPr>
          <w:spacing w:val="-3"/>
          <w:szCs w:val="22"/>
        </w:rPr>
        <w:t xml:space="preserve">5 </w:t>
      </w:r>
      <w:r w:rsidRPr="004460F4">
        <w:rPr>
          <w:spacing w:val="-3"/>
          <w:szCs w:val="22"/>
        </w:rPr>
        <w:t>hours.</w:t>
      </w:r>
    </w:p>
    <w:p w:rsidRPr="004460F4" w:rsidR="007E0735" w:rsidP="007E0735" w:rsidRDefault="007E0735" w14:paraId="08922DAA" w14:textId="77777777">
      <w:pPr>
        <w:tabs>
          <w:tab w:val="left" w:pos="-720"/>
        </w:tabs>
        <w:suppressAutoHyphens/>
        <w:rPr>
          <w:spacing w:val="-3"/>
          <w:szCs w:val="22"/>
        </w:rPr>
      </w:pPr>
    </w:p>
    <w:p w:rsidRPr="004460F4" w:rsidR="007E0735" w:rsidP="007E0735" w:rsidRDefault="007E0735" w14:paraId="6AEE7C44" w14:textId="03883036">
      <w:pPr>
        <w:tabs>
          <w:tab w:val="left" w:pos="-720"/>
        </w:tabs>
        <w:suppressAutoHyphens/>
        <w:rPr>
          <w:spacing w:val="-3"/>
          <w:szCs w:val="22"/>
        </w:rPr>
      </w:pPr>
      <w:r w:rsidRPr="004460F4">
        <w:rPr>
          <w:spacing w:val="-3"/>
          <w:szCs w:val="22"/>
        </w:rPr>
        <w:tab/>
      </w:r>
      <w:r w:rsidRPr="004460F4">
        <w:rPr>
          <w:spacing w:val="-3"/>
          <w:szCs w:val="22"/>
        </w:rPr>
        <w:tab/>
      </w:r>
      <w:r w:rsidR="008529D6">
        <w:rPr>
          <w:spacing w:val="-3"/>
          <w:szCs w:val="22"/>
        </w:rPr>
        <w:t>20</w:t>
      </w:r>
      <w:r w:rsidRPr="004460F4" w:rsidR="00A019AC">
        <w:rPr>
          <w:spacing w:val="-3"/>
          <w:szCs w:val="22"/>
        </w:rPr>
        <w:t xml:space="preserve"> </w:t>
      </w:r>
      <w:r w:rsidRPr="004460F4" w:rsidR="00A92A86">
        <w:rPr>
          <w:spacing w:val="-3"/>
          <w:szCs w:val="22"/>
        </w:rPr>
        <w:t xml:space="preserve">x </w:t>
      </w:r>
      <w:r w:rsidRPr="004460F4" w:rsidR="00B305EF">
        <w:rPr>
          <w:spacing w:val="-3"/>
          <w:szCs w:val="22"/>
        </w:rPr>
        <w:t>5</w:t>
      </w:r>
      <w:r w:rsidRPr="004460F4" w:rsidR="00A92A86">
        <w:rPr>
          <w:spacing w:val="-3"/>
          <w:szCs w:val="22"/>
        </w:rPr>
        <w:t xml:space="preserve"> </w:t>
      </w:r>
      <w:r w:rsidRPr="004460F4">
        <w:rPr>
          <w:spacing w:val="-3"/>
          <w:szCs w:val="22"/>
        </w:rPr>
        <w:t xml:space="preserve">hours per response x 1 response per year per respondent = </w:t>
      </w:r>
      <w:r w:rsidR="008529D6">
        <w:rPr>
          <w:spacing w:val="-3"/>
          <w:szCs w:val="22"/>
        </w:rPr>
        <w:t>100 hours</w:t>
      </w:r>
      <w:r w:rsidR="000D39D1">
        <w:rPr>
          <w:spacing w:val="-3"/>
          <w:szCs w:val="22"/>
        </w:rPr>
        <w:t>.</w:t>
      </w:r>
    </w:p>
    <w:p w:rsidRPr="004460F4" w:rsidR="007E0735" w:rsidP="007E0735" w:rsidRDefault="007E0735" w14:paraId="5A222EAB" w14:textId="77777777">
      <w:pPr>
        <w:tabs>
          <w:tab w:val="left" w:pos="-720"/>
        </w:tabs>
        <w:suppressAutoHyphens/>
        <w:rPr>
          <w:spacing w:val="-3"/>
          <w:szCs w:val="22"/>
        </w:rPr>
      </w:pPr>
    </w:p>
    <w:p w:rsidRPr="004460F4" w:rsidR="007E0735" w:rsidP="007E0735" w:rsidRDefault="007E0735" w14:paraId="6C653A99" w14:textId="307DFB0B">
      <w:pPr>
        <w:tabs>
          <w:tab w:val="left" w:pos="-720"/>
        </w:tabs>
        <w:suppressAutoHyphens/>
        <w:rPr>
          <w:spacing w:val="-3"/>
          <w:szCs w:val="22"/>
        </w:rPr>
      </w:pPr>
      <w:r w:rsidRPr="004460F4">
        <w:rPr>
          <w:spacing w:val="-3"/>
          <w:szCs w:val="22"/>
        </w:rPr>
        <w:tab/>
        <w:t xml:space="preserve">(5)  </w:t>
      </w:r>
      <w:r w:rsidRPr="004460F4">
        <w:rPr>
          <w:spacing w:val="-3"/>
          <w:szCs w:val="22"/>
          <w:u w:val="single"/>
        </w:rPr>
        <w:t>Total annual burden</w:t>
      </w:r>
      <w:r w:rsidRPr="004460F4">
        <w:rPr>
          <w:spacing w:val="-3"/>
          <w:szCs w:val="22"/>
        </w:rPr>
        <w:t xml:space="preserve">:  </w:t>
      </w:r>
      <w:r w:rsidR="00164C7C">
        <w:rPr>
          <w:spacing w:val="-3"/>
          <w:szCs w:val="22"/>
        </w:rPr>
        <w:t xml:space="preserve">Approximately </w:t>
      </w:r>
      <w:r w:rsidR="008529D6">
        <w:rPr>
          <w:b/>
          <w:spacing w:val="-3"/>
          <w:szCs w:val="22"/>
        </w:rPr>
        <w:t>100</w:t>
      </w:r>
      <w:r w:rsidR="006D46FD">
        <w:rPr>
          <w:b/>
          <w:spacing w:val="-3"/>
          <w:szCs w:val="22"/>
        </w:rPr>
        <w:t xml:space="preserve"> </w:t>
      </w:r>
      <w:r w:rsidRPr="004460F4">
        <w:rPr>
          <w:b/>
          <w:spacing w:val="-3"/>
          <w:szCs w:val="22"/>
        </w:rPr>
        <w:t>hours</w:t>
      </w:r>
      <w:r w:rsidRPr="004460F4">
        <w:rPr>
          <w:spacing w:val="-3"/>
          <w:szCs w:val="22"/>
        </w:rPr>
        <w:t>.</w:t>
      </w:r>
    </w:p>
    <w:p w:rsidRPr="004460F4" w:rsidR="007E0735" w:rsidP="007E0735" w:rsidRDefault="007E0735" w14:paraId="0285EFAE" w14:textId="77777777">
      <w:pPr>
        <w:tabs>
          <w:tab w:val="left" w:pos="-720"/>
        </w:tabs>
        <w:suppressAutoHyphens/>
        <w:rPr>
          <w:spacing w:val="-3"/>
          <w:szCs w:val="22"/>
        </w:rPr>
      </w:pPr>
    </w:p>
    <w:p w:rsidRPr="004460F4" w:rsidR="007E0735" w:rsidP="007E0735" w:rsidRDefault="007E0735" w14:paraId="67488F7F" w14:textId="183460BD">
      <w:pPr>
        <w:tabs>
          <w:tab w:val="left" w:pos="-720"/>
        </w:tabs>
        <w:suppressAutoHyphens/>
        <w:ind w:left="1440"/>
        <w:rPr>
          <w:spacing w:val="-3"/>
          <w:szCs w:val="22"/>
        </w:rPr>
      </w:pPr>
      <w:r w:rsidRPr="004460F4">
        <w:rPr>
          <w:spacing w:val="-3"/>
          <w:szCs w:val="22"/>
        </w:rPr>
        <w:t xml:space="preserve">The Commission estimates that approximately </w:t>
      </w:r>
      <w:r w:rsidR="008E1B23">
        <w:rPr>
          <w:spacing w:val="-3"/>
          <w:szCs w:val="22"/>
        </w:rPr>
        <w:t>20</w:t>
      </w:r>
      <w:r w:rsidRPr="004460F4" w:rsidR="00A019AC">
        <w:rPr>
          <w:spacing w:val="-3"/>
          <w:szCs w:val="22"/>
        </w:rPr>
        <w:t xml:space="preserve"> </w:t>
      </w:r>
      <w:r w:rsidRPr="004460F4" w:rsidR="00BE0E62">
        <w:rPr>
          <w:spacing w:val="-3"/>
          <w:szCs w:val="22"/>
        </w:rPr>
        <w:t>ICS</w:t>
      </w:r>
      <w:r w:rsidRPr="004460F4">
        <w:rPr>
          <w:spacing w:val="-3"/>
          <w:szCs w:val="22"/>
        </w:rPr>
        <w:t xml:space="preserve"> providers will require </w:t>
      </w:r>
      <w:r w:rsidR="000D39D1">
        <w:rPr>
          <w:spacing w:val="-3"/>
          <w:szCs w:val="22"/>
        </w:rPr>
        <w:t xml:space="preserve">approximately </w:t>
      </w:r>
      <w:r w:rsidR="006C2ABB">
        <w:rPr>
          <w:spacing w:val="-3"/>
          <w:szCs w:val="22"/>
        </w:rPr>
        <w:t>5</w:t>
      </w:r>
      <w:r w:rsidRPr="004460F4" w:rsidR="00985F5C">
        <w:rPr>
          <w:spacing w:val="-3"/>
          <w:szCs w:val="22"/>
        </w:rPr>
        <w:t xml:space="preserve"> hours </w:t>
      </w:r>
      <w:r w:rsidRPr="004460F4">
        <w:rPr>
          <w:spacing w:val="-3"/>
          <w:szCs w:val="22"/>
        </w:rPr>
        <w:t xml:space="preserve">of time </w:t>
      </w:r>
      <w:r w:rsidR="0091384B">
        <w:rPr>
          <w:spacing w:val="-3"/>
          <w:szCs w:val="22"/>
        </w:rPr>
        <w:t xml:space="preserve">each </w:t>
      </w:r>
      <w:r w:rsidRPr="004460F4">
        <w:rPr>
          <w:spacing w:val="-3"/>
          <w:szCs w:val="22"/>
        </w:rPr>
        <w:t xml:space="preserve">per annual filing.  </w:t>
      </w:r>
    </w:p>
    <w:p w:rsidRPr="004460F4" w:rsidR="007E0735" w:rsidP="007E0735" w:rsidRDefault="007E0735" w14:paraId="65B5D833" w14:textId="77777777">
      <w:pPr>
        <w:tabs>
          <w:tab w:val="left" w:pos="-720"/>
        </w:tabs>
        <w:suppressAutoHyphens/>
        <w:ind w:left="1440"/>
        <w:rPr>
          <w:spacing w:val="-3"/>
          <w:szCs w:val="22"/>
        </w:rPr>
      </w:pPr>
    </w:p>
    <w:p w:rsidRPr="004460F4" w:rsidR="007E0735" w:rsidP="007E0735" w:rsidRDefault="00A92A86" w14:paraId="0C33FDF0" w14:textId="2E45E94B">
      <w:pPr>
        <w:tabs>
          <w:tab w:val="left" w:pos="-720"/>
        </w:tabs>
        <w:suppressAutoHyphens/>
        <w:ind w:left="1440"/>
        <w:rPr>
          <w:spacing w:val="-3"/>
          <w:szCs w:val="22"/>
        </w:rPr>
      </w:pPr>
      <w:r w:rsidRPr="004460F4">
        <w:rPr>
          <w:spacing w:val="-3"/>
          <w:szCs w:val="22"/>
        </w:rPr>
        <w:t xml:space="preserve">Approximately </w:t>
      </w:r>
      <w:r w:rsidR="008E1B23">
        <w:rPr>
          <w:spacing w:val="-3"/>
          <w:szCs w:val="22"/>
        </w:rPr>
        <w:t>20</w:t>
      </w:r>
      <w:r w:rsidRPr="004460F4" w:rsidR="00A019AC">
        <w:rPr>
          <w:spacing w:val="-3"/>
          <w:szCs w:val="22"/>
        </w:rPr>
        <w:t xml:space="preserve"> </w:t>
      </w:r>
      <w:r w:rsidRPr="004460F4" w:rsidR="007E0735">
        <w:rPr>
          <w:spacing w:val="-3"/>
          <w:szCs w:val="22"/>
        </w:rPr>
        <w:t>respondents an</w:t>
      </w:r>
      <w:r w:rsidRPr="004460F4">
        <w:rPr>
          <w:spacing w:val="-3"/>
          <w:szCs w:val="22"/>
        </w:rPr>
        <w:t xml:space="preserve">nually x 1 response annually x </w:t>
      </w:r>
      <w:r w:rsidR="006C2ABB">
        <w:rPr>
          <w:spacing w:val="-3"/>
          <w:szCs w:val="22"/>
        </w:rPr>
        <w:t>5</w:t>
      </w:r>
      <w:r w:rsidRPr="004460F4">
        <w:rPr>
          <w:spacing w:val="-3"/>
          <w:szCs w:val="22"/>
        </w:rPr>
        <w:t xml:space="preserve"> hours per response = </w:t>
      </w:r>
      <w:r w:rsidR="008529D6">
        <w:rPr>
          <w:spacing w:val="-3"/>
          <w:szCs w:val="22"/>
        </w:rPr>
        <w:t xml:space="preserve">100 </w:t>
      </w:r>
      <w:r w:rsidRPr="004460F4" w:rsidR="007E0735">
        <w:rPr>
          <w:spacing w:val="-3"/>
          <w:szCs w:val="22"/>
        </w:rPr>
        <w:t>hours.</w:t>
      </w:r>
    </w:p>
    <w:p w:rsidRPr="004460F4" w:rsidR="007E0735" w:rsidP="007E0735" w:rsidRDefault="007E0735" w14:paraId="41A198C2" w14:textId="77777777">
      <w:pPr>
        <w:tabs>
          <w:tab w:val="left" w:pos="-720"/>
        </w:tabs>
        <w:suppressAutoHyphens/>
        <w:rPr>
          <w:spacing w:val="-3"/>
          <w:szCs w:val="22"/>
        </w:rPr>
      </w:pPr>
    </w:p>
    <w:p w:rsidRPr="004460F4" w:rsidR="007E0735" w:rsidP="007E0735" w:rsidRDefault="007E0735" w14:paraId="6F6E29A2" w14:textId="6C1493A2">
      <w:pPr>
        <w:tabs>
          <w:tab w:val="left" w:pos="-720"/>
        </w:tabs>
        <w:suppressAutoHyphens/>
        <w:rPr>
          <w:spacing w:val="-3"/>
          <w:szCs w:val="22"/>
        </w:rPr>
      </w:pPr>
      <w:r w:rsidRPr="004460F4">
        <w:rPr>
          <w:spacing w:val="-3"/>
          <w:szCs w:val="22"/>
        </w:rPr>
        <w:tab/>
        <w:t xml:space="preserve">(6)  </w:t>
      </w:r>
      <w:r w:rsidRPr="004460F4">
        <w:rPr>
          <w:spacing w:val="-3"/>
          <w:szCs w:val="22"/>
          <w:u w:val="single"/>
        </w:rPr>
        <w:t>Total estimate of “in</w:t>
      </w:r>
      <w:r w:rsidRPr="004460F4" w:rsidR="00D17D63">
        <w:rPr>
          <w:spacing w:val="-3"/>
          <w:szCs w:val="22"/>
          <w:u w:val="single"/>
        </w:rPr>
        <w:t>-</w:t>
      </w:r>
      <w:r w:rsidRPr="004460F4">
        <w:rPr>
          <w:spacing w:val="-3"/>
          <w:szCs w:val="22"/>
          <w:u w:val="single"/>
        </w:rPr>
        <w:t>house” cost to respondents</w:t>
      </w:r>
      <w:r w:rsidRPr="00CC3072">
        <w:rPr>
          <w:b/>
          <w:bCs/>
          <w:spacing w:val="-3"/>
          <w:szCs w:val="22"/>
          <w:u w:val="single"/>
        </w:rPr>
        <w:t>:</w:t>
      </w:r>
      <w:r w:rsidRPr="00CC3072">
        <w:rPr>
          <w:b/>
          <w:bCs/>
          <w:spacing w:val="-3"/>
          <w:szCs w:val="22"/>
        </w:rPr>
        <w:t xml:space="preserve">  </w:t>
      </w:r>
      <w:bookmarkStart w:name="_Hlk79444475" w:id="14"/>
      <w:r w:rsidRPr="00CC3072">
        <w:rPr>
          <w:b/>
          <w:bCs/>
          <w:szCs w:val="22"/>
        </w:rPr>
        <w:t>$</w:t>
      </w:r>
      <w:r w:rsidRPr="00CC3072" w:rsidR="00DD3995">
        <w:rPr>
          <w:b/>
          <w:bCs/>
          <w:szCs w:val="22"/>
        </w:rPr>
        <w:t>12,500</w:t>
      </w:r>
      <w:bookmarkEnd w:id="14"/>
      <w:r w:rsidR="00D72D11">
        <w:rPr>
          <w:szCs w:val="22"/>
        </w:rPr>
        <w:t>.</w:t>
      </w:r>
    </w:p>
    <w:p w:rsidRPr="004460F4" w:rsidR="007E0735" w:rsidP="007E0735" w:rsidRDefault="007E0735" w14:paraId="70401FEA" w14:textId="77777777">
      <w:pPr>
        <w:tabs>
          <w:tab w:val="left" w:pos="-720"/>
        </w:tabs>
        <w:suppressAutoHyphens/>
        <w:rPr>
          <w:spacing w:val="-3"/>
          <w:szCs w:val="22"/>
        </w:rPr>
      </w:pPr>
    </w:p>
    <w:p w:rsidRPr="004460F4" w:rsidR="007E0735" w:rsidP="007E0735" w:rsidRDefault="007E0735" w14:paraId="67153BC8" w14:textId="6C70A85B">
      <w:pPr>
        <w:tabs>
          <w:tab w:val="left" w:pos="-720"/>
        </w:tabs>
        <w:suppressAutoHyphens/>
        <w:rPr>
          <w:szCs w:val="22"/>
        </w:rPr>
      </w:pPr>
      <w:r w:rsidRPr="004460F4">
        <w:rPr>
          <w:szCs w:val="22"/>
        </w:rPr>
        <w:tab/>
        <w:t xml:space="preserve">(7)  </w:t>
      </w:r>
      <w:r w:rsidRPr="004460F4">
        <w:rPr>
          <w:szCs w:val="22"/>
          <w:u w:val="single"/>
        </w:rPr>
        <w:t>Explanation of the calculation</w:t>
      </w:r>
      <w:r w:rsidRPr="004460F4">
        <w:rPr>
          <w:szCs w:val="22"/>
        </w:rPr>
        <w:t xml:space="preserve">:  </w:t>
      </w:r>
    </w:p>
    <w:p w:rsidRPr="004460F4" w:rsidR="007E0735" w:rsidP="007E0735" w:rsidRDefault="007E0735" w14:paraId="34A35786" w14:textId="77777777">
      <w:pPr>
        <w:tabs>
          <w:tab w:val="left" w:pos="-720"/>
        </w:tabs>
        <w:suppressAutoHyphens/>
        <w:rPr>
          <w:szCs w:val="22"/>
        </w:rPr>
      </w:pPr>
    </w:p>
    <w:p w:rsidRPr="004460F4" w:rsidR="007E0735" w:rsidP="007E0735" w:rsidRDefault="007E0735" w14:paraId="796190C9" w14:textId="31BD76CF">
      <w:pPr>
        <w:tabs>
          <w:tab w:val="left" w:pos="-720"/>
        </w:tabs>
        <w:suppressAutoHyphens/>
        <w:ind w:left="1440"/>
        <w:rPr>
          <w:szCs w:val="22"/>
        </w:rPr>
      </w:pPr>
      <w:r w:rsidRPr="004460F4">
        <w:rPr>
          <w:szCs w:val="22"/>
        </w:rPr>
        <w:t xml:space="preserve">The Commission estimates that </w:t>
      </w:r>
      <w:r w:rsidR="008E1B23">
        <w:rPr>
          <w:szCs w:val="22"/>
        </w:rPr>
        <w:t>20</w:t>
      </w:r>
      <w:r w:rsidRPr="004460F4" w:rsidR="00A019AC">
        <w:rPr>
          <w:szCs w:val="22"/>
        </w:rPr>
        <w:t xml:space="preserve"> </w:t>
      </w:r>
      <w:r w:rsidRPr="004460F4">
        <w:rPr>
          <w:szCs w:val="22"/>
        </w:rPr>
        <w:t xml:space="preserve">ICS providers will be subject to this </w:t>
      </w:r>
      <w:r w:rsidRPr="004460F4" w:rsidR="00B45F9C">
        <w:rPr>
          <w:szCs w:val="22"/>
        </w:rPr>
        <w:t xml:space="preserve">certification </w:t>
      </w:r>
      <w:r w:rsidRPr="004460F4">
        <w:rPr>
          <w:szCs w:val="22"/>
        </w:rPr>
        <w:t>requirement.</w:t>
      </w:r>
    </w:p>
    <w:p w:rsidRPr="004460F4" w:rsidR="007E0735" w:rsidP="007E0735" w:rsidRDefault="007E0735" w14:paraId="2EFC5872" w14:textId="77777777">
      <w:pPr>
        <w:tabs>
          <w:tab w:val="left" w:pos="-720"/>
        </w:tabs>
        <w:suppressAutoHyphens/>
        <w:rPr>
          <w:szCs w:val="22"/>
        </w:rPr>
      </w:pPr>
    </w:p>
    <w:p w:rsidR="00164C7C" w:rsidP="007E0735" w:rsidRDefault="007E0735" w14:paraId="3C0F04AA" w14:textId="3FF6F065">
      <w:pPr>
        <w:tabs>
          <w:tab w:val="left" w:pos="-720"/>
        </w:tabs>
        <w:suppressAutoHyphens/>
        <w:ind w:left="1440"/>
        <w:rPr>
          <w:szCs w:val="22"/>
        </w:rPr>
      </w:pPr>
      <w:r w:rsidRPr="004460F4">
        <w:rPr>
          <w:szCs w:val="22"/>
        </w:rPr>
        <w:t xml:space="preserve">We </w:t>
      </w:r>
      <w:r w:rsidR="006F7C73">
        <w:rPr>
          <w:szCs w:val="22"/>
        </w:rPr>
        <w:t>estimate</w:t>
      </w:r>
      <w:r w:rsidRPr="004460F4">
        <w:rPr>
          <w:szCs w:val="22"/>
        </w:rPr>
        <w:t xml:space="preserve"> that respondents will use </w:t>
      </w:r>
      <w:r w:rsidRPr="004460F4" w:rsidR="00FC796C">
        <w:rPr>
          <w:szCs w:val="22"/>
        </w:rPr>
        <w:t>5</w:t>
      </w:r>
      <w:r w:rsidRPr="004460F4" w:rsidR="00DD740A">
        <w:rPr>
          <w:szCs w:val="22"/>
        </w:rPr>
        <w:t xml:space="preserve"> </w:t>
      </w:r>
      <w:r w:rsidRPr="004460F4">
        <w:rPr>
          <w:szCs w:val="22"/>
        </w:rPr>
        <w:t xml:space="preserve">hours of an officer </w:t>
      </w:r>
      <w:r w:rsidR="00164C7C">
        <w:rPr>
          <w:szCs w:val="22"/>
        </w:rPr>
        <w:t>of the company’s time (</w:t>
      </w:r>
      <w:r w:rsidRPr="004460F4">
        <w:rPr>
          <w:szCs w:val="22"/>
        </w:rPr>
        <w:t xml:space="preserve">rate of </w:t>
      </w:r>
      <w:r w:rsidR="00B67D48">
        <w:rPr>
          <w:szCs w:val="22"/>
        </w:rPr>
        <w:t xml:space="preserve">approximately </w:t>
      </w:r>
      <w:r w:rsidRPr="004460F4">
        <w:rPr>
          <w:szCs w:val="22"/>
        </w:rPr>
        <w:t>$1</w:t>
      </w:r>
      <w:r w:rsidRPr="004460F4" w:rsidR="00DD740A">
        <w:rPr>
          <w:szCs w:val="22"/>
        </w:rPr>
        <w:t>25</w:t>
      </w:r>
      <w:r w:rsidRPr="004460F4">
        <w:rPr>
          <w:szCs w:val="22"/>
        </w:rPr>
        <w:t xml:space="preserve">/hour) to satisfy this </w:t>
      </w:r>
      <w:r w:rsidRPr="004460F4" w:rsidR="00B45F9C">
        <w:rPr>
          <w:szCs w:val="22"/>
        </w:rPr>
        <w:t xml:space="preserve">certification </w:t>
      </w:r>
      <w:r w:rsidRPr="004460F4">
        <w:rPr>
          <w:szCs w:val="22"/>
        </w:rPr>
        <w:t xml:space="preserve">requirement.  </w:t>
      </w:r>
    </w:p>
    <w:p w:rsidR="00164C7C" w:rsidP="007E0735" w:rsidRDefault="00164C7C" w14:paraId="5F1ACD0A" w14:textId="77777777">
      <w:pPr>
        <w:tabs>
          <w:tab w:val="left" w:pos="-720"/>
        </w:tabs>
        <w:suppressAutoHyphens/>
        <w:ind w:left="1440"/>
        <w:rPr>
          <w:szCs w:val="22"/>
        </w:rPr>
      </w:pPr>
    </w:p>
    <w:p w:rsidRPr="004460F4" w:rsidR="007E0735" w:rsidP="007E0735" w:rsidRDefault="007E0735" w14:paraId="21D9D6C5" w14:textId="2238F46B">
      <w:pPr>
        <w:tabs>
          <w:tab w:val="left" w:pos="-720"/>
        </w:tabs>
        <w:suppressAutoHyphens/>
        <w:ind w:left="1440"/>
        <w:rPr>
          <w:szCs w:val="22"/>
        </w:rPr>
      </w:pPr>
      <w:r w:rsidRPr="004460F4">
        <w:rPr>
          <w:szCs w:val="22"/>
        </w:rPr>
        <w:t>Thus</w:t>
      </w:r>
      <w:r w:rsidRPr="004460F4" w:rsidR="00B45F9C">
        <w:rPr>
          <w:szCs w:val="22"/>
        </w:rPr>
        <w:t>,</w:t>
      </w:r>
      <w:r w:rsidRPr="004460F4">
        <w:rPr>
          <w:szCs w:val="22"/>
        </w:rPr>
        <w:t xml:space="preserve"> </w:t>
      </w:r>
      <w:r w:rsidR="00D72D11">
        <w:rPr>
          <w:szCs w:val="22"/>
        </w:rPr>
        <w:t xml:space="preserve">approximately </w:t>
      </w:r>
      <w:r w:rsidR="008529D6">
        <w:rPr>
          <w:szCs w:val="22"/>
        </w:rPr>
        <w:t>100</w:t>
      </w:r>
      <w:r w:rsidR="00083CE7">
        <w:rPr>
          <w:szCs w:val="22"/>
        </w:rPr>
        <w:t xml:space="preserve"> </w:t>
      </w:r>
      <w:r w:rsidRPr="004460F4">
        <w:rPr>
          <w:szCs w:val="22"/>
        </w:rPr>
        <w:t>hours per year x $1</w:t>
      </w:r>
      <w:r w:rsidRPr="004460F4" w:rsidR="00DD740A">
        <w:rPr>
          <w:szCs w:val="22"/>
        </w:rPr>
        <w:t>25</w:t>
      </w:r>
      <w:r w:rsidRPr="004460F4">
        <w:rPr>
          <w:szCs w:val="22"/>
        </w:rPr>
        <w:t xml:space="preserve"> = $</w:t>
      </w:r>
      <w:r w:rsidR="00DD3995">
        <w:rPr>
          <w:szCs w:val="22"/>
        </w:rPr>
        <w:t>12,500</w:t>
      </w:r>
      <w:r w:rsidR="00D72D11">
        <w:rPr>
          <w:szCs w:val="22"/>
        </w:rPr>
        <w:t>.</w:t>
      </w:r>
      <w:r w:rsidRPr="00164C7C" w:rsidR="00164C7C">
        <w:t xml:space="preserve"> </w:t>
      </w:r>
    </w:p>
    <w:bookmarkEnd w:id="13"/>
    <w:p w:rsidRPr="004460F4" w:rsidR="007E0735" w:rsidP="007E0735" w:rsidRDefault="007E0735" w14:paraId="3D1116BD" w14:textId="77777777">
      <w:pPr>
        <w:tabs>
          <w:tab w:val="left" w:pos="-720"/>
        </w:tabs>
        <w:suppressAutoHyphens/>
        <w:rPr>
          <w:szCs w:val="22"/>
        </w:rPr>
      </w:pPr>
    </w:p>
    <w:p w:rsidR="00C773EA" w:rsidP="007E0735" w:rsidRDefault="001327A8" w14:paraId="20AB2DB3" w14:textId="1C8A647E">
      <w:pPr>
        <w:keepLines/>
        <w:tabs>
          <w:tab w:val="left" w:pos="-720"/>
        </w:tabs>
        <w:suppressAutoHyphens/>
        <w:rPr>
          <w:b/>
          <w:spacing w:val="-3"/>
          <w:szCs w:val="22"/>
          <w:u w:val="single"/>
        </w:rPr>
      </w:pPr>
      <w:r>
        <w:rPr>
          <w:b/>
          <w:spacing w:val="-3"/>
          <w:szCs w:val="22"/>
        </w:rPr>
        <w:t>c</w:t>
      </w:r>
      <w:r w:rsidRPr="004460F4" w:rsidR="007E0735">
        <w:rPr>
          <w:b/>
          <w:spacing w:val="-3"/>
          <w:szCs w:val="22"/>
        </w:rPr>
        <w:t>.</w:t>
      </w:r>
      <w:r w:rsidR="00CF71C4">
        <w:rPr>
          <w:b/>
          <w:spacing w:val="-3"/>
          <w:szCs w:val="22"/>
        </w:rPr>
        <w:t xml:space="preserve"> </w:t>
      </w:r>
      <w:r w:rsidRPr="00AB1E80" w:rsidR="00D136C4">
        <w:rPr>
          <w:b/>
          <w:spacing w:val="-3"/>
          <w:szCs w:val="22"/>
        </w:rPr>
        <w:t xml:space="preserve"> </w:t>
      </w:r>
      <w:r w:rsidR="000F1303">
        <w:rPr>
          <w:b/>
          <w:spacing w:val="-3"/>
          <w:szCs w:val="22"/>
        </w:rPr>
        <w:tab/>
      </w:r>
      <w:r w:rsidRPr="004460F4" w:rsidR="001A1A75">
        <w:rPr>
          <w:b/>
          <w:spacing w:val="-3"/>
          <w:szCs w:val="22"/>
          <w:u w:val="single"/>
        </w:rPr>
        <w:t xml:space="preserve">Consumer </w:t>
      </w:r>
      <w:r w:rsidR="001963D3">
        <w:rPr>
          <w:b/>
          <w:spacing w:val="-3"/>
          <w:szCs w:val="22"/>
          <w:u w:val="single"/>
        </w:rPr>
        <w:t>Disclosure</w:t>
      </w:r>
      <w:r w:rsidR="008427B9">
        <w:rPr>
          <w:b/>
          <w:spacing w:val="-3"/>
          <w:szCs w:val="22"/>
          <w:u w:val="single"/>
        </w:rPr>
        <w:t xml:space="preserve"> Requirements</w:t>
      </w:r>
      <w:r w:rsidR="00D957BC">
        <w:rPr>
          <w:b/>
          <w:spacing w:val="-3"/>
          <w:szCs w:val="22"/>
          <w:u w:val="single"/>
        </w:rPr>
        <w:t>:</w:t>
      </w:r>
    </w:p>
    <w:p w:rsidRPr="00C773EA" w:rsidR="0009154E" w:rsidP="007E0735" w:rsidRDefault="0009154E" w14:paraId="1320CAE5" w14:textId="77777777">
      <w:pPr>
        <w:keepLines/>
        <w:tabs>
          <w:tab w:val="left" w:pos="-720"/>
        </w:tabs>
        <w:suppressAutoHyphens/>
        <w:rPr>
          <w:bCs/>
          <w:spacing w:val="-3"/>
          <w:szCs w:val="22"/>
          <w:u w:val="single"/>
        </w:rPr>
      </w:pPr>
    </w:p>
    <w:p w:rsidRPr="00E93B32" w:rsidR="00183BF5" w:rsidP="008852A0" w:rsidRDefault="00381CBD" w14:paraId="0D179B44" w14:textId="3899913F">
      <w:pPr>
        <w:pStyle w:val="ListParagraph"/>
        <w:keepLines/>
        <w:numPr>
          <w:ilvl w:val="0"/>
          <w:numId w:val="32"/>
        </w:numPr>
        <w:tabs>
          <w:tab w:val="left" w:pos="-720"/>
        </w:tabs>
        <w:suppressAutoHyphens/>
        <w:rPr>
          <w:spacing w:val="-3"/>
          <w:szCs w:val="22"/>
        </w:rPr>
      </w:pPr>
      <w:r w:rsidRPr="008852A0">
        <w:rPr>
          <w:b/>
          <w:spacing w:val="-3"/>
          <w:szCs w:val="22"/>
          <w:u w:val="single"/>
        </w:rPr>
        <w:t xml:space="preserve">Consumer </w:t>
      </w:r>
      <w:r w:rsidRPr="008852A0" w:rsidR="004A470C">
        <w:rPr>
          <w:b/>
          <w:spacing w:val="-3"/>
          <w:szCs w:val="22"/>
          <w:u w:val="single"/>
        </w:rPr>
        <w:t xml:space="preserve">Disclosure of </w:t>
      </w:r>
      <w:r w:rsidRPr="008852A0" w:rsidR="00AB737D">
        <w:rPr>
          <w:b/>
          <w:spacing w:val="-3"/>
          <w:szCs w:val="22"/>
          <w:u w:val="single"/>
        </w:rPr>
        <w:t>Interstate, Intrastate, and International Rates and Ancillary Service Charges</w:t>
      </w:r>
      <w:r w:rsidRPr="008852A0" w:rsidR="00982927">
        <w:rPr>
          <w:b/>
          <w:spacing w:val="-3"/>
          <w:szCs w:val="22"/>
        </w:rPr>
        <w:t>:</w:t>
      </w:r>
      <w:r w:rsidRPr="00E93B32" w:rsidR="00183BF5">
        <w:rPr>
          <w:spacing w:val="-3"/>
          <w:szCs w:val="22"/>
        </w:rPr>
        <w:tab/>
      </w:r>
    </w:p>
    <w:p w:rsidRPr="004460F4" w:rsidR="0009154E" w:rsidP="0009154E" w:rsidRDefault="0009154E" w14:paraId="418F57B5" w14:textId="77777777">
      <w:pPr>
        <w:keepLines/>
        <w:tabs>
          <w:tab w:val="left" w:pos="-720"/>
        </w:tabs>
        <w:suppressAutoHyphens/>
        <w:ind w:left="720"/>
        <w:rPr>
          <w:spacing w:val="-3"/>
          <w:szCs w:val="22"/>
        </w:rPr>
      </w:pPr>
    </w:p>
    <w:p w:rsidRPr="004460F4" w:rsidR="00183BF5" w:rsidP="00183BF5" w:rsidRDefault="00183BF5" w14:paraId="5DAC2C95" w14:textId="4800264C">
      <w:pPr>
        <w:keepLines/>
        <w:tabs>
          <w:tab w:val="left" w:pos="-720"/>
        </w:tabs>
        <w:suppressAutoHyphens/>
        <w:rPr>
          <w:spacing w:val="-3"/>
          <w:szCs w:val="22"/>
        </w:rPr>
      </w:pPr>
      <w:r w:rsidRPr="004460F4">
        <w:rPr>
          <w:spacing w:val="-3"/>
          <w:szCs w:val="22"/>
        </w:rPr>
        <w:tab/>
        <w:t xml:space="preserve">(1)  </w:t>
      </w:r>
      <w:r w:rsidRPr="004460F4">
        <w:rPr>
          <w:spacing w:val="-3"/>
          <w:szCs w:val="22"/>
          <w:u w:val="single"/>
        </w:rPr>
        <w:t>Number of respondents</w:t>
      </w:r>
      <w:r w:rsidRPr="004460F4">
        <w:rPr>
          <w:spacing w:val="-3"/>
          <w:szCs w:val="22"/>
        </w:rPr>
        <w:t xml:space="preserve">:  Approximately </w:t>
      </w:r>
      <w:r w:rsidR="008E1B23">
        <w:rPr>
          <w:spacing w:val="-3"/>
          <w:szCs w:val="22"/>
        </w:rPr>
        <w:t>20</w:t>
      </w:r>
      <w:r w:rsidRPr="004460F4">
        <w:rPr>
          <w:spacing w:val="-3"/>
          <w:szCs w:val="22"/>
        </w:rPr>
        <w:t>.</w:t>
      </w:r>
    </w:p>
    <w:p w:rsidRPr="004460F4" w:rsidR="00183BF5" w:rsidP="00183BF5" w:rsidRDefault="00183BF5" w14:paraId="313748C4" w14:textId="77777777">
      <w:pPr>
        <w:keepLines/>
        <w:tabs>
          <w:tab w:val="left" w:pos="-720"/>
        </w:tabs>
        <w:suppressAutoHyphens/>
        <w:rPr>
          <w:spacing w:val="-3"/>
          <w:szCs w:val="22"/>
        </w:rPr>
      </w:pPr>
    </w:p>
    <w:p w:rsidRPr="004460F4" w:rsidR="00183BF5" w:rsidP="00E61CDE" w:rsidRDefault="00183BF5" w14:paraId="30EF4B9D" w14:textId="21F8DEBE">
      <w:pPr>
        <w:keepLines/>
        <w:tabs>
          <w:tab w:val="left" w:pos="-720"/>
        </w:tabs>
        <w:suppressAutoHyphens/>
        <w:ind w:left="720"/>
        <w:rPr>
          <w:spacing w:val="-3"/>
          <w:szCs w:val="22"/>
        </w:rPr>
      </w:pPr>
      <w:r w:rsidRPr="004460F4">
        <w:rPr>
          <w:spacing w:val="-3"/>
          <w:szCs w:val="22"/>
        </w:rPr>
        <w:t xml:space="preserve">(2)  </w:t>
      </w:r>
      <w:r w:rsidRPr="004460F4">
        <w:rPr>
          <w:spacing w:val="-3"/>
          <w:szCs w:val="22"/>
          <w:u w:val="single"/>
        </w:rPr>
        <w:t>Frequency of response</w:t>
      </w:r>
      <w:r w:rsidRPr="004460F4">
        <w:rPr>
          <w:spacing w:val="-3"/>
          <w:szCs w:val="22"/>
        </w:rPr>
        <w:t xml:space="preserve">:  </w:t>
      </w:r>
      <w:r w:rsidR="00A16DFD">
        <w:rPr>
          <w:spacing w:val="-3"/>
          <w:szCs w:val="22"/>
        </w:rPr>
        <w:t>Ongoing t</w:t>
      </w:r>
      <w:r w:rsidR="00A21C05">
        <w:rPr>
          <w:spacing w:val="-3"/>
          <w:szCs w:val="22"/>
        </w:rPr>
        <w:t xml:space="preserve">hird party </w:t>
      </w:r>
      <w:r w:rsidR="008427B9">
        <w:rPr>
          <w:spacing w:val="-3"/>
          <w:szCs w:val="22"/>
        </w:rPr>
        <w:t>d</w:t>
      </w:r>
      <w:r w:rsidR="00A21C05">
        <w:rPr>
          <w:spacing w:val="-3"/>
          <w:szCs w:val="22"/>
        </w:rPr>
        <w:t xml:space="preserve">isclosure </w:t>
      </w:r>
      <w:r w:rsidR="008427B9">
        <w:rPr>
          <w:spacing w:val="-3"/>
          <w:szCs w:val="22"/>
        </w:rPr>
        <w:t>r</w:t>
      </w:r>
      <w:r w:rsidR="00A21C05">
        <w:rPr>
          <w:spacing w:val="-3"/>
          <w:szCs w:val="22"/>
        </w:rPr>
        <w:t>equireme</w:t>
      </w:r>
      <w:r w:rsidR="002B65EC">
        <w:rPr>
          <w:spacing w:val="-3"/>
          <w:szCs w:val="22"/>
        </w:rPr>
        <w:t>nt.</w:t>
      </w:r>
    </w:p>
    <w:p w:rsidRPr="004460F4" w:rsidR="00183BF5" w:rsidP="00183BF5" w:rsidRDefault="00183BF5" w14:paraId="673499A7" w14:textId="77777777">
      <w:pPr>
        <w:tabs>
          <w:tab w:val="left" w:pos="-720"/>
        </w:tabs>
        <w:suppressAutoHyphens/>
        <w:rPr>
          <w:spacing w:val="-3"/>
          <w:szCs w:val="22"/>
        </w:rPr>
      </w:pPr>
    </w:p>
    <w:p w:rsidRPr="004460F4" w:rsidR="00183BF5" w:rsidP="00183BF5" w:rsidRDefault="00183BF5" w14:paraId="67F790C7" w14:textId="0843222E">
      <w:pPr>
        <w:tabs>
          <w:tab w:val="left" w:pos="-720"/>
        </w:tabs>
        <w:suppressAutoHyphens/>
        <w:rPr>
          <w:spacing w:val="-3"/>
          <w:szCs w:val="22"/>
        </w:rPr>
      </w:pPr>
      <w:r w:rsidRPr="004460F4">
        <w:rPr>
          <w:spacing w:val="-3"/>
          <w:szCs w:val="22"/>
        </w:rPr>
        <w:tab/>
        <w:t xml:space="preserve">(3)  </w:t>
      </w:r>
      <w:r w:rsidRPr="004460F4">
        <w:rPr>
          <w:spacing w:val="-3"/>
          <w:szCs w:val="22"/>
          <w:u w:val="single"/>
        </w:rPr>
        <w:t>Total number of responses annually</w:t>
      </w:r>
      <w:r w:rsidRPr="004460F4">
        <w:rPr>
          <w:spacing w:val="-3"/>
          <w:szCs w:val="22"/>
        </w:rPr>
        <w:t xml:space="preserve">:  Approximately </w:t>
      </w:r>
      <w:r w:rsidR="008E1B23">
        <w:rPr>
          <w:spacing w:val="-3"/>
          <w:szCs w:val="22"/>
        </w:rPr>
        <w:t>20</w:t>
      </w:r>
      <w:r w:rsidRPr="004460F4">
        <w:rPr>
          <w:spacing w:val="-3"/>
          <w:szCs w:val="22"/>
        </w:rPr>
        <w:t>.</w:t>
      </w:r>
    </w:p>
    <w:p w:rsidRPr="004460F4" w:rsidR="00183BF5" w:rsidP="00183BF5" w:rsidRDefault="00183BF5" w14:paraId="1F7A1ED3" w14:textId="77777777">
      <w:pPr>
        <w:tabs>
          <w:tab w:val="left" w:pos="-720"/>
        </w:tabs>
        <w:suppressAutoHyphens/>
        <w:rPr>
          <w:spacing w:val="-3"/>
          <w:szCs w:val="22"/>
        </w:rPr>
      </w:pPr>
    </w:p>
    <w:p w:rsidR="00C1012D" w:rsidP="005070CD" w:rsidRDefault="00183BF5" w14:paraId="2AFD5A26" w14:textId="1282F38A">
      <w:pPr>
        <w:tabs>
          <w:tab w:val="left" w:pos="-720"/>
        </w:tabs>
        <w:suppressAutoHyphens/>
        <w:ind w:left="720"/>
        <w:rPr>
          <w:szCs w:val="22"/>
        </w:rPr>
      </w:pPr>
      <w:r w:rsidRPr="004460F4">
        <w:rPr>
          <w:spacing w:val="-3"/>
          <w:szCs w:val="22"/>
        </w:rPr>
        <w:t xml:space="preserve">(4)  </w:t>
      </w:r>
      <w:r w:rsidRPr="004460F4">
        <w:rPr>
          <w:spacing w:val="-3"/>
          <w:szCs w:val="22"/>
          <w:u w:val="single"/>
        </w:rPr>
        <w:t xml:space="preserve">Estimated Time </w:t>
      </w:r>
      <w:r w:rsidRPr="004460F4" w:rsidR="00073508">
        <w:rPr>
          <w:spacing w:val="-3"/>
          <w:szCs w:val="22"/>
          <w:u w:val="single"/>
        </w:rPr>
        <w:t>per</w:t>
      </w:r>
      <w:r w:rsidRPr="004460F4">
        <w:rPr>
          <w:spacing w:val="-3"/>
          <w:szCs w:val="22"/>
          <w:u w:val="single"/>
        </w:rPr>
        <w:t xml:space="preserve"> Response</w:t>
      </w:r>
      <w:r w:rsidRPr="004460F4" w:rsidR="00D601EE">
        <w:rPr>
          <w:spacing w:val="-3"/>
          <w:szCs w:val="22"/>
        </w:rPr>
        <w:t xml:space="preserve">:  </w:t>
      </w:r>
      <w:r w:rsidRPr="004460F4" w:rsidR="00904581">
        <w:rPr>
          <w:spacing w:val="-3"/>
          <w:szCs w:val="22"/>
        </w:rPr>
        <w:t xml:space="preserve">Approximately </w:t>
      </w:r>
      <w:r w:rsidR="008F754F">
        <w:rPr>
          <w:spacing w:val="-3"/>
          <w:szCs w:val="22"/>
        </w:rPr>
        <w:t xml:space="preserve">20 </w:t>
      </w:r>
      <w:r w:rsidRPr="004460F4">
        <w:rPr>
          <w:spacing w:val="-3"/>
          <w:szCs w:val="22"/>
        </w:rPr>
        <w:t>hours.</w:t>
      </w:r>
      <w:r w:rsidRPr="004460F4" w:rsidR="008F7AFE">
        <w:rPr>
          <w:szCs w:val="22"/>
        </w:rPr>
        <w:t xml:space="preserve">  </w:t>
      </w:r>
    </w:p>
    <w:p w:rsidR="00C1012D" w:rsidP="005070CD" w:rsidRDefault="00C1012D" w14:paraId="547820F2" w14:textId="77777777">
      <w:pPr>
        <w:tabs>
          <w:tab w:val="left" w:pos="-720"/>
        </w:tabs>
        <w:suppressAutoHyphens/>
        <w:ind w:left="720"/>
        <w:rPr>
          <w:szCs w:val="22"/>
        </w:rPr>
      </w:pPr>
    </w:p>
    <w:p w:rsidRPr="002470D7" w:rsidR="00183BF5" w:rsidP="005070CD" w:rsidRDefault="00B5163F" w14:paraId="1F94C626" w14:textId="15C2AF4A">
      <w:pPr>
        <w:tabs>
          <w:tab w:val="left" w:pos="-720"/>
        </w:tabs>
        <w:suppressAutoHyphens/>
        <w:ind w:left="720"/>
        <w:rPr>
          <w:szCs w:val="22"/>
        </w:rPr>
      </w:pPr>
      <w:r w:rsidRPr="004460F4">
        <w:rPr>
          <w:szCs w:val="22"/>
        </w:rPr>
        <w:t xml:space="preserve">We estimate that </w:t>
      </w:r>
      <w:r w:rsidRPr="004460F4" w:rsidR="00D50157">
        <w:rPr>
          <w:szCs w:val="22"/>
        </w:rPr>
        <w:t xml:space="preserve">compliance will require approximately </w:t>
      </w:r>
      <w:r w:rsidR="00A64DA9">
        <w:rPr>
          <w:szCs w:val="22"/>
        </w:rPr>
        <w:t>20</w:t>
      </w:r>
      <w:r w:rsidRPr="004460F4" w:rsidR="00B305EF">
        <w:rPr>
          <w:szCs w:val="22"/>
        </w:rPr>
        <w:t xml:space="preserve"> </w:t>
      </w:r>
      <w:r w:rsidRPr="004460F4" w:rsidR="00D50157">
        <w:rPr>
          <w:szCs w:val="22"/>
        </w:rPr>
        <w:t>hours per provider</w:t>
      </w:r>
      <w:r w:rsidRPr="004460F4" w:rsidR="007F05B9">
        <w:rPr>
          <w:szCs w:val="22"/>
        </w:rPr>
        <w:t xml:space="preserve"> annually</w:t>
      </w:r>
      <w:r w:rsidR="00DF3261">
        <w:rPr>
          <w:szCs w:val="22"/>
        </w:rPr>
        <w:t>.</w:t>
      </w:r>
    </w:p>
    <w:p w:rsidRPr="002470D7" w:rsidR="00183BF5" w:rsidP="00183BF5" w:rsidRDefault="00183BF5" w14:paraId="2982584D" w14:textId="77777777">
      <w:pPr>
        <w:tabs>
          <w:tab w:val="left" w:pos="-720"/>
        </w:tabs>
        <w:suppressAutoHyphens/>
        <w:rPr>
          <w:spacing w:val="-3"/>
          <w:szCs w:val="22"/>
          <w:highlight w:val="yellow"/>
        </w:rPr>
      </w:pPr>
    </w:p>
    <w:p w:rsidRPr="004460F4" w:rsidR="00183BF5" w:rsidP="00306CAB" w:rsidRDefault="004412A3" w14:paraId="08825A2B" w14:textId="0C192403">
      <w:pPr>
        <w:tabs>
          <w:tab w:val="left" w:pos="-720"/>
          <w:tab w:val="left" w:pos="990"/>
        </w:tabs>
        <w:suppressAutoHyphens/>
        <w:ind w:left="720"/>
        <w:rPr>
          <w:spacing w:val="-3"/>
          <w:szCs w:val="22"/>
        </w:rPr>
      </w:pPr>
      <w:r w:rsidRPr="00A50732">
        <w:rPr>
          <w:spacing w:val="-3"/>
          <w:szCs w:val="22"/>
        </w:rPr>
        <w:lastRenderedPageBreak/>
        <w:tab/>
      </w:r>
      <w:r w:rsidRPr="00A50732" w:rsidR="00306CAB">
        <w:rPr>
          <w:spacing w:val="-3"/>
          <w:szCs w:val="22"/>
        </w:rPr>
        <w:tab/>
      </w:r>
      <w:r w:rsidR="008E1B23">
        <w:rPr>
          <w:spacing w:val="-3"/>
          <w:szCs w:val="22"/>
        </w:rPr>
        <w:t>20</w:t>
      </w:r>
      <w:r w:rsidRPr="00A50732" w:rsidR="00031A49">
        <w:rPr>
          <w:spacing w:val="-3"/>
          <w:szCs w:val="22"/>
        </w:rPr>
        <w:t xml:space="preserve"> </w:t>
      </w:r>
      <w:r w:rsidRPr="00A50732" w:rsidR="006205BF">
        <w:rPr>
          <w:spacing w:val="-3"/>
          <w:szCs w:val="22"/>
        </w:rPr>
        <w:t xml:space="preserve">respondents </w:t>
      </w:r>
      <w:r w:rsidRPr="00A50732" w:rsidR="00031A49">
        <w:rPr>
          <w:spacing w:val="-3"/>
          <w:szCs w:val="22"/>
        </w:rPr>
        <w:t xml:space="preserve">x </w:t>
      </w:r>
      <w:r w:rsidR="00505C1A">
        <w:rPr>
          <w:spacing w:val="-3"/>
          <w:szCs w:val="22"/>
        </w:rPr>
        <w:t>20</w:t>
      </w:r>
      <w:r w:rsidRPr="00A50732" w:rsidR="00B305EF">
        <w:rPr>
          <w:spacing w:val="-3"/>
          <w:szCs w:val="22"/>
        </w:rPr>
        <w:t xml:space="preserve"> </w:t>
      </w:r>
      <w:r w:rsidRPr="00A50732" w:rsidR="00183BF5">
        <w:rPr>
          <w:spacing w:val="-3"/>
          <w:szCs w:val="22"/>
        </w:rPr>
        <w:t>hours per response x 1 respo</w:t>
      </w:r>
      <w:r w:rsidRPr="00A50732" w:rsidR="00031A49">
        <w:rPr>
          <w:spacing w:val="-3"/>
          <w:szCs w:val="22"/>
        </w:rPr>
        <w:t xml:space="preserve">nse per year per respondent = </w:t>
      </w:r>
      <w:r w:rsidR="0054114F">
        <w:rPr>
          <w:spacing w:val="-3"/>
          <w:szCs w:val="22"/>
        </w:rPr>
        <w:t>4</w:t>
      </w:r>
      <w:r w:rsidR="001C3563">
        <w:rPr>
          <w:spacing w:val="-3"/>
          <w:szCs w:val="22"/>
        </w:rPr>
        <w:t>00</w:t>
      </w:r>
      <w:r w:rsidRPr="00A50732" w:rsidR="000B2D17">
        <w:rPr>
          <w:spacing w:val="-3"/>
          <w:szCs w:val="22"/>
        </w:rPr>
        <w:t xml:space="preserve"> </w:t>
      </w:r>
      <w:r w:rsidRPr="00A50732" w:rsidR="00183BF5">
        <w:rPr>
          <w:spacing w:val="-3"/>
          <w:szCs w:val="22"/>
        </w:rPr>
        <w:t>hours.</w:t>
      </w:r>
    </w:p>
    <w:p w:rsidRPr="004460F4" w:rsidR="00183BF5" w:rsidP="00183BF5" w:rsidRDefault="00183BF5" w14:paraId="0BC9CF15" w14:textId="77777777">
      <w:pPr>
        <w:tabs>
          <w:tab w:val="left" w:pos="-720"/>
        </w:tabs>
        <w:suppressAutoHyphens/>
        <w:rPr>
          <w:spacing w:val="-3"/>
          <w:szCs w:val="22"/>
        </w:rPr>
      </w:pPr>
    </w:p>
    <w:p w:rsidRPr="004460F4" w:rsidR="00183BF5" w:rsidP="00183BF5" w:rsidRDefault="00183BF5" w14:paraId="581A1997" w14:textId="44C5AAC8">
      <w:pPr>
        <w:tabs>
          <w:tab w:val="left" w:pos="-720"/>
        </w:tabs>
        <w:suppressAutoHyphens/>
        <w:rPr>
          <w:spacing w:val="-3"/>
          <w:szCs w:val="22"/>
        </w:rPr>
      </w:pPr>
      <w:r w:rsidRPr="004460F4">
        <w:rPr>
          <w:spacing w:val="-3"/>
          <w:szCs w:val="22"/>
        </w:rPr>
        <w:tab/>
        <w:t xml:space="preserve">(5)  </w:t>
      </w:r>
      <w:r w:rsidRPr="004460F4">
        <w:rPr>
          <w:spacing w:val="-3"/>
          <w:szCs w:val="22"/>
          <w:u w:val="single"/>
        </w:rPr>
        <w:t>Total annual burden</w:t>
      </w:r>
      <w:r w:rsidRPr="004460F4">
        <w:rPr>
          <w:spacing w:val="-3"/>
          <w:szCs w:val="22"/>
        </w:rPr>
        <w:t xml:space="preserve">:  </w:t>
      </w:r>
      <w:r w:rsidRPr="007A005D" w:rsidR="00992695">
        <w:rPr>
          <w:b/>
          <w:bCs/>
          <w:spacing w:val="-3"/>
          <w:szCs w:val="22"/>
        </w:rPr>
        <w:t>A</w:t>
      </w:r>
      <w:r w:rsidRPr="007A005D" w:rsidR="002E1B8D">
        <w:rPr>
          <w:b/>
          <w:bCs/>
          <w:spacing w:val="-3"/>
          <w:szCs w:val="22"/>
        </w:rPr>
        <w:t>p</w:t>
      </w:r>
      <w:r w:rsidRPr="007A005D" w:rsidR="00992695">
        <w:rPr>
          <w:b/>
          <w:bCs/>
          <w:spacing w:val="-3"/>
          <w:szCs w:val="22"/>
        </w:rPr>
        <w:t>proximately</w:t>
      </w:r>
      <w:r w:rsidRPr="007A005D" w:rsidR="002E1B8D">
        <w:rPr>
          <w:b/>
          <w:bCs/>
          <w:spacing w:val="-3"/>
          <w:szCs w:val="22"/>
        </w:rPr>
        <w:t xml:space="preserve"> </w:t>
      </w:r>
      <w:r w:rsidR="00D47AC8">
        <w:rPr>
          <w:b/>
          <w:bCs/>
          <w:spacing w:val="-3"/>
          <w:szCs w:val="22"/>
        </w:rPr>
        <w:t>400</w:t>
      </w:r>
      <w:r w:rsidRPr="007A005D" w:rsidR="000B2D17">
        <w:rPr>
          <w:b/>
          <w:bCs/>
          <w:spacing w:val="-3"/>
          <w:szCs w:val="22"/>
        </w:rPr>
        <w:t xml:space="preserve"> </w:t>
      </w:r>
      <w:r w:rsidRPr="007A005D">
        <w:rPr>
          <w:b/>
          <w:bCs/>
          <w:spacing w:val="-3"/>
          <w:szCs w:val="22"/>
        </w:rPr>
        <w:t>hours</w:t>
      </w:r>
      <w:r w:rsidRPr="004460F4">
        <w:rPr>
          <w:spacing w:val="-3"/>
          <w:szCs w:val="22"/>
        </w:rPr>
        <w:t>.</w:t>
      </w:r>
    </w:p>
    <w:p w:rsidRPr="004460F4" w:rsidR="00183BF5" w:rsidP="004460F4" w:rsidRDefault="00183BF5" w14:paraId="7C54A233" w14:textId="77777777">
      <w:pPr>
        <w:tabs>
          <w:tab w:val="left" w:pos="-720"/>
        </w:tabs>
        <w:suppressAutoHyphens/>
        <w:rPr>
          <w:spacing w:val="-3"/>
          <w:szCs w:val="22"/>
        </w:rPr>
      </w:pPr>
    </w:p>
    <w:p w:rsidRPr="004460F4" w:rsidR="00C634BF" w:rsidP="00B71ED6" w:rsidRDefault="00C634BF" w14:paraId="55DF7164" w14:textId="63914B31">
      <w:pPr>
        <w:tabs>
          <w:tab w:val="left" w:pos="-720"/>
        </w:tabs>
        <w:suppressAutoHyphens/>
        <w:ind w:left="1440"/>
        <w:rPr>
          <w:spacing w:val="-3"/>
          <w:szCs w:val="22"/>
        </w:rPr>
      </w:pPr>
      <w:r w:rsidRPr="004460F4">
        <w:rPr>
          <w:spacing w:val="-3"/>
          <w:szCs w:val="22"/>
        </w:rPr>
        <w:t xml:space="preserve">The Commission estimates that approximately </w:t>
      </w:r>
      <w:r w:rsidR="008E1B23">
        <w:rPr>
          <w:spacing w:val="-3"/>
          <w:szCs w:val="22"/>
        </w:rPr>
        <w:t>20</w:t>
      </w:r>
      <w:r w:rsidRPr="004460F4" w:rsidR="00EA55AF">
        <w:rPr>
          <w:spacing w:val="-3"/>
          <w:szCs w:val="22"/>
        </w:rPr>
        <w:t xml:space="preserve"> ICS providers will require approximately </w:t>
      </w:r>
      <w:r w:rsidR="00982927">
        <w:rPr>
          <w:spacing w:val="-3"/>
          <w:szCs w:val="22"/>
        </w:rPr>
        <w:t>20</w:t>
      </w:r>
      <w:r w:rsidRPr="004460F4" w:rsidR="00B305EF">
        <w:rPr>
          <w:spacing w:val="-3"/>
          <w:szCs w:val="22"/>
        </w:rPr>
        <w:t xml:space="preserve"> </w:t>
      </w:r>
      <w:r w:rsidRPr="004460F4">
        <w:rPr>
          <w:spacing w:val="-3"/>
          <w:szCs w:val="22"/>
        </w:rPr>
        <w:t xml:space="preserve">hours </w:t>
      </w:r>
      <w:r w:rsidRPr="004460F4" w:rsidR="006B0EB7">
        <w:rPr>
          <w:spacing w:val="-3"/>
          <w:szCs w:val="22"/>
        </w:rPr>
        <w:t>each to comply with this requirement</w:t>
      </w:r>
      <w:r w:rsidR="005A59F7">
        <w:rPr>
          <w:spacing w:val="-3"/>
          <w:szCs w:val="22"/>
        </w:rPr>
        <w:t>.</w:t>
      </w:r>
    </w:p>
    <w:p w:rsidRPr="004460F4" w:rsidR="00C634BF" w:rsidP="00C634BF" w:rsidRDefault="00C634BF" w14:paraId="780DF4B3" w14:textId="77777777">
      <w:pPr>
        <w:tabs>
          <w:tab w:val="left" w:pos="-720"/>
        </w:tabs>
        <w:suppressAutoHyphens/>
        <w:ind w:left="1440"/>
        <w:rPr>
          <w:spacing w:val="-3"/>
          <w:szCs w:val="22"/>
        </w:rPr>
      </w:pPr>
    </w:p>
    <w:p w:rsidRPr="004460F4" w:rsidR="00183BF5" w:rsidP="004412A3" w:rsidRDefault="00EA55AF" w14:paraId="4A715C08" w14:textId="2B44371B">
      <w:pPr>
        <w:tabs>
          <w:tab w:val="left" w:pos="-720"/>
        </w:tabs>
        <w:suppressAutoHyphens/>
        <w:ind w:left="1440"/>
        <w:rPr>
          <w:spacing w:val="-3"/>
          <w:szCs w:val="22"/>
        </w:rPr>
      </w:pPr>
      <w:r w:rsidRPr="004460F4">
        <w:rPr>
          <w:spacing w:val="-3"/>
          <w:szCs w:val="22"/>
        </w:rPr>
        <w:t xml:space="preserve">Approximately </w:t>
      </w:r>
      <w:r w:rsidR="008E1B23">
        <w:rPr>
          <w:spacing w:val="-3"/>
          <w:szCs w:val="22"/>
        </w:rPr>
        <w:t>20</w:t>
      </w:r>
      <w:r w:rsidRPr="004460F4" w:rsidR="00183BF5">
        <w:rPr>
          <w:spacing w:val="-3"/>
          <w:szCs w:val="22"/>
        </w:rPr>
        <w:t xml:space="preserve"> respondents x </w:t>
      </w:r>
      <w:r w:rsidRPr="004460F4" w:rsidR="00985F5C">
        <w:rPr>
          <w:spacing w:val="-3"/>
          <w:szCs w:val="22"/>
        </w:rPr>
        <w:t>a</w:t>
      </w:r>
      <w:r w:rsidRPr="004460F4">
        <w:rPr>
          <w:spacing w:val="-3"/>
          <w:szCs w:val="22"/>
        </w:rPr>
        <w:t>pproximately 1 response</w:t>
      </w:r>
      <w:r w:rsidR="00521A23">
        <w:rPr>
          <w:spacing w:val="-3"/>
          <w:szCs w:val="22"/>
        </w:rPr>
        <w:t xml:space="preserve"> per year per respondent</w:t>
      </w:r>
      <w:r w:rsidRPr="004460F4" w:rsidR="00183BF5">
        <w:rPr>
          <w:spacing w:val="-3"/>
          <w:szCs w:val="22"/>
        </w:rPr>
        <w:t xml:space="preserve"> x</w:t>
      </w:r>
      <w:r w:rsidRPr="004460F4" w:rsidR="001C4F67">
        <w:rPr>
          <w:spacing w:val="-3"/>
          <w:szCs w:val="22"/>
        </w:rPr>
        <w:t xml:space="preserve"> </w:t>
      </w:r>
      <w:r w:rsidRPr="004460F4" w:rsidR="00166DFE">
        <w:rPr>
          <w:spacing w:val="-3"/>
          <w:szCs w:val="22"/>
        </w:rPr>
        <w:t xml:space="preserve">approximately </w:t>
      </w:r>
      <w:r w:rsidR="00982927">
        <w:rPr>
          <w:spacing w:val="-3"/>
          <w:szCs w:val="22"/>
        </w:rPr>
        <w:t>20</w:t>
      </w:r>
      <w:r w:rsidR="00B24A27">
        <w:rPr>
          <w:spacing w:val="-3"/>
          <w:szCs w:val="22"/>
        </w:rPr>
        <w:t xml:space="preserve"> </w:t>
      </w:r>
      <w:r w:rsidRPr="004460F4" w:rsidR="00183BF5">
        <w:rPr>
          <w:spacing w:val="-3"/>
          <w:szCs w:val="22"/>
        </w:rPr>
        <w:t xml:space="preserve">hours per response = </w:t>
      </w:r>
      <w:r w:rsidRPr="004460F4">
        <w:rPr>
          <w:spacing w:val="-3"/>
          <w:szCs w:val="22"/>
        </w:rPr>
        <w:t>approximately</w:t>
      </w:r>
      <w:r w:rsidRPr="004460F4" w:rsidR="002E1B8D">
        <w:rPr>
          <w:spacing w:val="-3"/>
          <w:szCs w:val="22"/>
        </w:rPr>
        <w:t xml:space="preserve"> </w:t>
      </w:r>
      <w:r w:rsidR="00762486">
        <w:rPr>
          <w:spacing w:val="-3"/>
          <w:szCs w:val="22"/>
        </w:rPr>
        <w:t>400</w:t>
      </w:r>
      <w:r w:rsidRPr="004460F4" w:rsidR="00B305EF">
        <w:rPr>
          <w:spacing w:val="-3"/>
          <w:szCs w:val="22"/>
        </w:rPr>
        <w:t xml:space="preserve"> </w:t>
      </w:r>
      <w:r w:rsidRPr="004460F4" w:rsidR="00183BF5">
        <w:rPr>
          <w:spacing w:val="-3"/>
          <w:szCs w:val="22"/>
        </w:rPr>
        <w:t>hours.</w:t>
      </w:r>
    </w:p>
    <w:p w:rsidRPr="004460F4" w:rsidR="00183BF5" w:rsidP="00183BF5" w:rsidRDefault="00183BF5" w14:paraId="79E4730C" w14:textId="77777777">
      <w:pPr>
        <w:tabs>
          <w:tab w:val="left" w:pos="-720"/>
        </w:tabs>
        <w:suppressAutoHyphens/>
        <w:rPr>
          <w:spacing w:val="-3"/>
          <w:szCs w:val="22"/>
        </w:rPr>
      </w:pPr>
    </w:p>
    <w:p w:rsidRPr="004460F4" w:rsidR="00183BF5" w:rsidP="00183BF5" w:rsidRDefault="00183BF5" w14:paraId="4C1E92E3" w14:textId="6E359697">
      <w:pPr>
        <w:tabs>
          <w:tab w:val="left" w:pos="-720"/>
        </w:tabs>
        <w:suppressAutoHyphens/>
        <w:rPr>
          <w:spacing w:val="-3"/>
          <w:szCs w:val="22"/>
        </w:rPr>
      </w:pPr>
      <w:r w:rsidRPr="004460F4">
        <w:rPr>
          <w:spacing w:val="-3"/>
          <w:szCs w:val="22"/>
        </w:rPr>
        <w:tab/>
        <w:t xml:space="preserve">(6)  </w:t>
      </w:r>
      <w:r w:rsidRPr="004460F4">
        <w:rPr>
          <w:spacing w:val="-3"/>
          <w:szCs w:val="22"/>
          <w:u w:val="single"/>
        </w:rPr>
        <w:t>Total estimate of “</w:t>
      </w:r>
      <w:r w:rsidRPr="004460F4" w:rsidR="002E1B8D">
        <w:rPr>
          <w:spacing w:val="-3"/>
          <w:szCs w:val="22"/>
          <w:u w:val="single"/>
        </w:rPr>
        <w:t>in-</w:t>
      </w:r>
      <w:r w:rsidRPr="004460F4">
        <w:rPr>
          <w:spacing w:val="-3"/>
          <w:szCs w:val="22"/>
          <w:u w:val="single"/>
        </w:rPr>
        <w:t>house” cost to respondents:</w:t>
      </w:r>
      <w:r w:rsidRPr="004460F4">
        <w:rPr>
          <w:spacing w:val="-3"/>
          <w:szCs w:val="22"/>
        </w:rPr>
        <w:t xml:space="preserve">  </w:t>
      </w:r>
      <w:r w:rsidRPr="004460F4">
        <w:rPr>
          <w:b/>
          <w:szCs w:val="22"/>
        </w:rPr>
        <w:t>$</w:t>
      </w:r>
      <w:r w:rsidR="00B15A33">
        <w:rPr>
          <w:b/>
          <w:szCs w:val="22"/>
        </w:rPr>
        <w:t>22,524.</w:t>
      </w:r>
    </w:p>
    <w:p w:rsidRPr="004460F4" w:rsidR="00183BF5" w:rsidP="00183BF5" w:rsidRDefault="00183BF5" w14:paraId="4BF5EE4C" w14:textId="77777777">
      <w:pPr>
        <w:tabs>
          <w:tab w:val="left" w:pos="-720"/>
        </w:tabs>
        <w:suppressAutoHyphens/>
        <w:rPr>
          <w:spacing w:val="-3"/>
          <w:szCs w:val="22"/>
        </w:rPr>
      </w:pPr>
    </w:p>
    <w:p w:rsidRPr="004460F4" w:rsidR="00183BF5" w:rsidP="00183BF5" w:rsidRDefault="00183BF5" w14:paraId="34C3BFAA" w14:textId="18DF1A31">
      <w:pPr>
        <w:tabs>
          <w:tab w:val="left" w:pos="-720"/>
        </w:tabs>
        <w:suppressAutoHyphens/>
        <w:rPr>
          <w:szCs w:val="22"/>
        </w:rPr>
      </w:pPr>
      <w:r w:rsidRPr="004460F4">
        <w:rPr>
          <w:szCs w:val="22"/>
        </w:rPr>
        <w:tab/>
        <w:t xml:space="preserve">(7)  </w:t>
      </w:r>
      <w:r w:rsidRPr="004460F4">
        <w:rPr>
          <w:szCs w:val="22"/>
          <w:u w:val="single"/>
        </w:rPr>
        <w:t>Explanation of the calculation</w:t>
      </w:r>
      <w:r w:rsidRPr="004460F4">
        <w:rPr>
          <w:szCs w:val="22"/>
        </w:rPr>
        <w:t xml:space="preserve">:  </w:t>
      </w:r>
    </w:p>
    <w:p w:rsidRPr="004460F4" w:rsidR="00183BF5" w:rsidP="00183BF5" w:rsidRDefault="00183BF5" w14:paraId="549C9F5E" w14:textId="77777777">
      <w:pPr>
        <w:tabs>
          <w:tab w:val="left" w:pos="-720"/>
        </w:tabs>
        <w:suppressAutoHyphens/>
        <w:rPr>
          <w:szCs w:val="22"/>
        </w:rPr>
      </w:pPr>
    </w:p>
    <w:p w:rsidRPr="004460F4" w:rsidR="00183BF5" w:rsidP="00183BF5" w:rsidRDefault="00183BF5" w14:paraId="179AC559" w14:textId="7D97813B">
      <w:pPr>
        <w:tabs>
          <w:tab w:val="left" w:pos="-720"/>
        </w:tabs>
        <w:suppressAutoHyphens/>
        <w:ind w:left="1440"/>
        <w:rPr>
          <w:szCs w:val="22"/>
        </w:rPr>
      </w:pPr>
      <w:r w:rsidRPr="004460F4">
        <w:rPr>
          <w:szCs w:val="22"/>
        </w:rPr>
        <w:t xml:space="preserve">The Commission estimates that </w:t>
      </w:r>
      <w:r w:rsidR="008E1B23">
        <w:rPr>
          <w:szCs w:val="22"/>
        </w:rPr>
        <w:t>20</w:t>
      </w:r>
      <w:r w:rsidRPr="004460F4">
        <w:rPr>
          <w:szCs w:val="22"/>
        </w:rPr>
        <w:t xml:space="preserve"> ICS providers will be subject to the consumer disclosure requirement.</w:t>
      </w:r>
    </w:p>
    <w:p w:rsidRPr="004460F4" w:rsidR="00183BF5" w:rsidP="00183BF5" w:rsidRDefault="00183BF5" w14:paraId="2791A5E6" w14:textId="77777777">
      <w:pPr>
        <w:tabs>
          <w:tab w:val="left" w:pos="-720"/>
        </w:tabs>
        <w:suppressAutoHyphens/>
        <w:rPr>
          <w:szCs w:val="22"/>
        </w:rPr>
      </w:pPr>
    </w:p>
    <w:p w:rsidR="000C6E5D" w:rsidP="000C6E5D" w:rsidRDefault="000C6E5D" w14:paraId="081E5258" w14:textId="1D82EB63">
      <w:pPr>
        <w:tabs>
          <w:tab w:val="left" w:pos="-720"/>
        </w:tabs>
        <w:suppressAutoHyphens/>
        <w:ind w:left="1440"/>
        <w:rPr>
          <w:szCs w:val="22"/>
        </w:rPr>
      </w:pPr>
      <w:bookmarkStart w:name="_Hlk79392331" w:id="15"/>
      <w:bookmarkStart w:name="_Hlk79441515" w:id="16"/>
      <w:r w:rsidRPr="000C6E5D">
        <w:rPr>
          <w:szCs w:val="22"/>
        </w:rPr>
        <w:t>The Commission estimates that respondents will use personnel comparable in pay to a G</w:t>
      </w:r>
      <w:r>
        <w:rPr>
          <w:szCs w:val="22"/>
        </w:rPr>
        <w:t>S</w:t>
      </w:r>
      <w:r w:rsidRPr="000C6E5D">
        <w:rPr>
          <w:szCs w:val="22"/>
        </w:rPr>
        <w:t xml:space="preserve"> 1</w:t>
      </w:r>
      <w:r>
        <w:rPr>
          <w:szCs w:val="22"/>
        </w:rPr>
        <w:t>3</w:t>
      </w:r>
      <w:r w:rsidRPr="000C6E5D">
        <w:rPr>
          <w:szCs w:val="22"/>
        </w:rPr>
        <w:t>/Step 5 employee earning $</w:t>
      </w:r>
      <w:r>
        <w:rPr>
          <w:szCs w:val="22"/>
        </w:rPr>
        <w:t>56.31</w:t>
      </w:r>
      <w:r w:rsidRPr="000C6E5D">
        <w:rPr>
          <w:szCs w:val="22"/>
        </w:rPr>
        <w:t xml:space="preserve"> per hour.  Thus:</w:t>
      </w:r>
      <w:bookmarkEnd w:id="15"/>
    </w:p>
    <w:p w:rsidR="000C6E5D" w:rsidP="000C6E5D" w:rsidRDefault="000C6E5D" w14:paraId="2ECF1EC7" w14:textId="5ADC92CE">
      <w:pPr>
        <w:tabs>
          <w:tab w:val="left" w:pos="-720"/>
        </w:tabs>
        <w:suppressAutoHyphens/>
        <w:ind w:left="1440"/>
        <w:rPr>
          <w:szCs w:val="22"/>
        </w:rPr>
      </w:pPr>
    </w:p>
    <w:p w:rsidR="000C414E" w:rsidP="00D0488A" w:rsidRDefault="008852A0" w14:paraId="13A8379E" w14:textId="64D6B120">
      <w:pPr>
        <w:tabs>
          <w:tab w:val="left" w:pos="-720"/>
        </w:tabs>
        <w:suppressAutoHyphens/>
        <w:rPr>
          <w:szCs w:val="22"/>
        </w:rPr>
      </w:pPr>
      <w:r>
        <w:rPr>
          <w:szCs w:val="22"/>
        </w:rPr>
        <w:tab/>
      </w:r>
      <w:r>
        <w:rPr>
          <w:szCs w:val="22"/>
        </w:rPr>
        <w:tab/>
      </w:r>
      <w:r w:rsidR="000C6E5D">
        <w:rPr>
          <w:szCs w:val="22"/>
        </w:rPr>
        <w:t xml:space="preserve">400 hours x $56.31 </w:t>
      </w:r>
      <w:r w:rsidR="004C711A">
        <w:rPr>
          <w:szCs w:val="22"/>
        </w:rPr>
        <w:t>= $</w:t>
      </w:r>
      <w:r w:rsidR="00B15A33">
        <w:rPr>
          <w:szCs w:val="22"/>
        </w:rPr>
        <w:t>22,524.</w:t>
      </w:r>
      <w:bookmarkEnd w:id="16"/>
    </w:p>
    <w:p w:rsidR="00311B8F" w:rsidP="00D0488A" w:rsidRDefault="00311B8F" w14:paraId="1B55F46A" w14:textId="77777777">
      <w:pPr>
        <w:tabs>
          <w:tab w:val="left" w:pos="-720"/>
        </w:tabs>
        <w:suppressAutoHyphens/>
        <w:rPr>
          <w:szCs w:val="22"/>
        </w:rPr>
      </w:pPr>
    </w:p>
    <w:p w:rsidRPr="008852A0" w:rsidR="008E5ED5" w:rsidP="008852A0" w:rsidRDefault="00E06DEF" w14:paraId="4F9F3E7A" w14:textId="044AABF4">
      <w:pPr>
        <w:pStyle w:val="ListParagraph"/>
        <w:numPr>
          <w:ilvl w:val="0"/>
          <w:numId w:val="32"/>
        </w:numPr>
        <w:tabs>
          <w:tab w:val="left" w:pos="-720"/>
        </w:tabs>
        <w:suppressAutoHyphens/>
        <w:rPr>
          <w:szCs w:val="22"/>
        </w:rPr>
      </w:pPr>
      <w:r w:rsidRPr="008852A0">
        <w:rPr>
          <w:b/>
          <w:bCs/>
          <w:szCs w:val="22"/>
          <w:u w:val="single"/>
        </w:rPr>
        <w:t xml:space="preserve">Consumer Disclosure </w:t>
      </w:r>
      <w:r w:rsidRPr="008852A0" w:rsidR="008E5ED5">
        <w:rPr>
          <w:b/>
          <w:bCs/>
          <w:szCs w:val="22"/>
          <w:u w:val="single"/>
        </w:rPr>
        <w:t xml:space="preserve">Billing </w:t>
      </w:r>
      <w:r w:rsidRPr="00605888" w:rsidR="008E5ED5">
        <w:rPr>
          <w:b/>
          <w:bCs/>
          <w:szCs w:val="22"/>
          <w:u w:val="single"/>
        </w:rPr>
        <w:t>Requirement</w:t>
      </w:r>
      <w:r w:rsidRPr="00605888" w:rsidR="00605888">
        <w:rPr>
          <w:b/>
          <w:bCs/>
          <w:szCs w:val="22"/>
          <w:u w:val="single"/>
        </w:rPr>
        <w:t>s</w:t>
      </w:r>
      <w:r w:rsidRPr="00597805" w:rsidR="00373FD2">
        <w:rPr>
          <w:b/>
          <w:bCs/>
          <w:szCs w:val="22"/>
        </w:rPr>
        <w:t>:</w:t>
      </w:r>
    </w:p>
    <w:p w:rsidR="008E5ED5" w:rsidP="00373FD2" w:rsidRDefault="008E5ED5" w14:paraId="6CB76D7E" w14:textId="77777777">
      <w:pPr>
        <w:tabs>
          <w:tab w:val="left" w:pos="-720"/>
        </w:tabs>
        <w:suppressAutoHyphens/>
        <w:rPr>
          <w:szCs w:val="22"/>
        </w:rPr>
      </w:pPr>
    </w:p>
    <w:p w:rsidRPr="008E5ED5" w:rsidR="008E5ED5" w:rsidP="008E5ED5" w:rsidRDefault="008E5ED5" w14:paraId="4A7E5059" w14:textId="41FC7CAD">
      <w:pPr>
        <w:tabs>
          <w:tab w:val="left" w:pos="-720"/>
        </w:tabs>
        <w:suppressAutoHyphens/>
        <w:ind w:left="1440"/>
        <w:rPr>
          <w:szCs w:val="22"/>
        </w:rPr>
      </w:pPr>
      <w:r w:rsidRPr="008E5ED5">
        <w:rPr>
          <w:szCs w:val="22"/>
        </w:rPr>
        <w:t xml:space="preserve">(1)  Number of respondents:  Approximately </w:t>
      </w:r>
      <w:r w:rsidR="008E1B23">
        <w:rPr>
          <w:szCs w:val="22"/>
        </w:rPr>
        <w:t>20</w:t>
      </w:r>
      <w:r w:rsidRPr="008E5ED5">
        <w:rPr>
          <w:szCs w:val="22"/>
        </w:rPr>
        <w:t>.</w:t>
      </w:r>
    </w:p>
    <w:p w:rsidRPr="008E5ED5" w:rsidR="008E5ED5" w:rsidP="008E5ED5" w:rsidRDefault="008E5ED5" w14:paraId="6ADD4065" w14:textId="77777777">
      <w:pPr>
        <w:tabs>
          <w:tab w:val="left" w:pos="-720"/>
        </w:tabs>
        <w:suppressAutoHyphens/>
        <w:ind w:left="1440"/>
        <w:rPr>
          <w:szCs w:val="22"/>
        </w:rPr>
      </w:pPr>
    </w:p>
    <w:p w:rsidRPr="008E5ED5" w:rsidR="008E5ED5" w:rsidP="008E5ED5" w:rsidRDefault="008E5ED5" w14:paraId="44FC4945" w14:textId="0E47DF81">
      <w:pPr>
        <w:tabs>
          <w:tab w:val="left" w:pos="-720"/>
        </w:tabs>
        <w:suppressAutoHyphens/>
        <w:ind w:left="1440"/>
        <w:rPr>
          <w:szCs w:val="22"/>
        </w:rPr>
      </w:pPr>
      <w:r w:rsidRPr="008E5ED5">
        <w:rPr>
          <w:szCs w:val="22"/>
        </w:rPr>
        <w:t xml:space="preserve">(2)  Frequency of response:  Third party disclosure requirement. </w:t>
      </w:r>
    </w:p>
    <w:p w:rsidRPr="008E5ED5" w:rsidR="008E5ED5" w:rsidP="008E5ED5" w:rsidRDefault="008E5ED5" w14:paraId="1D93A92C" w14:textId="77777777">
      <w:pPr>
        <w:tabs>
          <w:tab w:val="left" w:pos="-720"/>
        </w:tabs>
        <w:suppressAutoHyphens/>
        <w:ind w:left="1440"/>
        <w:rPr>
          <w:szCs w:val="22"/>
        </w:rPr>
      </w:pPr>
    </w:p>
    <w:p w:rsidRPr="008E5ED5" w:rsidR="008E5ED5" w:rsidP="008E5ED5" w:rsidRDefault="008E5ED5" w14:paraId="44CDACF0" w14:textId="5B5147B1">
      <w:pPr>
        <w:tabs>
          <w:tab w:val="left" w:pos="-720"/>
        </w:tabs>
        <w:suppressAutoHyphens/>
        <w:ind w:left="1440"/>
        <w:rPr>
          <w:szCs w:val="22"/>
        </w:rPr>
      </w:pPr>
      <w:r w:rsidRPr="008E5ED5">
        <w:rPr>
          <w:szCs w:val="22"/>
        </w:rPr>
        <w:t>(3)  Total number of responses annually:  Approximately</w:t>
      </w:r>
      <w:r w:rsidR="008E1B23">
        <w:rPr>
          <w:szCs w:val="22"/>
        </w:rPr>
        <w:t xml:space="preserve"> 20</w:t>
      </w:r>
      <w:r w:rsidR="000759E2">
        <w:rPr>
          <w:szCs w:val="22"/>
        </w:rPr>
        <w:t>.</w:t>
      </w:r>
    </w:p>
    <w:p w:rsidRPr="008E5ED5" w:rsidR="008E5ED5" w:rsidP="008E5ED5" w:rsidRDefault="008E5ED5" w14:paraId="2170569F" w14:textId="77777777">
      <w:pPr>
        <w:tabs>
          <w:tab w:val="left" w:pos="-720"/>
        </w:tabs>
        <w:suppressAutoHyphens/>
        <w:ind w:left="1440"/>
        <w:rPr>
          <w:szCs w:val="22"/>
        </w:rPr>
      </w:pPr>
    </w:p>
    <w:p w:rsidRPr="008E5ED5" w:rsidR="008E5ED5" w:rsidP="008E5ED5" w:rsidRDefault="008E5ED5" w14:paraId="6DB7C6A9" w14:textId="5838448A">
      <w:pPr>
        <w:tabs>
          <w:tab w:val="left" w:pos="-720"/>
        </w:tabs>
        <w:suppressAutoHyphens/>
        <w:ind w:left="1440"/>
        <w:rPr>
          <w:szCs w:val="22"/>
        </w:rPr>
      </w:pPr>
      <w:r w:rsidRPr="008E5ED5">
        <w:rPr>
          <w:szCs w:val="22"/>
        </w:rPr>
        <w:t xml:space="preserve">(4)  Estimated Time per Response:  Approximately </w:t>
      </w:r>
      <w:r w:rsidR="000759E2">
        <w:rPr>
          <w:szCs w:val="22"/>
        </w:rPr>
        <w:t>3</w:t>
      </w:r>
      <w:r w:rsidRPr="008E5ED5">
        <w:rPr>
          <w:szCs w:val="22"/>
        </w:rPr>
        <w:t xml:space="preserve">0 hours.  </w:t>
      </w:r>
    </w:p>
    <w:p w:rsidRPr="008E5ED5" w:rsidR="008E5ED5" w:rsidP="008E5ED5" w:rsidRDefault="008E5ED5" w14:paraId="3E4D2460" w14:textId="77777777">
      <w:pPr>
        <w:tabs>
          <w:tab w:val="left" w:pos="-720"/>
        </w:tabs>
        <w:suppressAutoHyphens/>
        <w:ind w:left="1440"/>
        <w:rPr>
          <w:szCs w:val="22"/>
        </w:rPr>
      </w:pPr>
    </w:p>
    <w:p w:rsidRPr="008E5ED5" w:rsidR="008E5ED5" w:rsidP="0009154E" w:rsidRDefault="008E5ED5" w14:paraId="0E0E4667" w14:textId="15E77D72">
      <w:pPr>
        <w:tabs>
          <w:tab w:val="left" w:pos="-720"/>
        </w:tabs>
        <w:suppressAutoHyphens/>
        <w:ind w:left="1440"/>
        <w:rPr>
          <w:szCs w:val="22"/>
        </w:rPr>
      </w:pPr>
      <w:r w:rsidRPr="008E5ED5">
        <w:rPr>
          <w:szCs w:val="22"/>
        </w:rPr>
        <w:t xml:space="preserve">We estimate that compliance will require approximately </w:t>
      </w:r>
      <w:r w:rsidR="000759E2">
        <w:rPr>
          <w:szCs w:val="22"/>
        </w:rPr>
        <w:t>3</w:t>
      </w:r>
      <w:r w:rsidRPr="008E5ED5">
        <w:rPr>
          <w:szCs w:val="22"/>
        </w:rPr>
        <w:t xml:space="preserve">0 hours per provider </w:t>
      </w:r>
      <w:r w:rsidR="005B7D95">
        <w:rPr>
          <w:szCs w:val="22"/>
        </w:rPr>
        <w:t>per year.</w:t>
      </w:r>
    </w:p>
    <w:p w:rsidRPr="008E5ED5" w:rsidR="008E5ED5" w:rsidP="008E5ED5" w:rsidRDefault="008E5ED5" w14:paraId="54AFA1E7" w14:textId="77777777">
      <w:pPr>
        <w:tabs>
          <w:tab w:val="left" w:pos="-720"/>
        </w:tabs>
        <w:suppressAutoHyphens/>
        <w:ind w:left="1440"/>
        <w:rPr>
          <w:szCs w:val="22"/>
        </w:rPr>
      </w:pPr>
    </w:p>
    <w:p w:rsidRPr="008E5ED5" w:rsidR="008E5ED5" w:rsidP="008E5ED5" w:rsidRDefault="008E5ED5" w14:paraId="70E2F581" w14:textId="01AA49EA">
      <w:pPr>
        <w:tabs>
          <w:tab w:val="left" w:pos="-720"/>
        </w:tabs>
        <w:suppressAutoHyphens/>
        <w:ind w:left="1440"/>
        <w:rPr>
          <w:szCs w:val="22"/>
        </w:rPr>
      </w:pPr>
      <w:r w:rsidRPr="008E5ED5">
        <w:rPr>
          <w:szCs w:val="22"/>
        </w:rPr>
        <w:t xml:space="preserve">(5)  Total annual burden:  </w:t>
      </w:r>
      <w:r w:rsidR="0054114F">
        <w:rPr>
          <w:b/>
          <w:bCs/>
          <w:szCs w:val="22"/>
        </w:rPr>
        <w:t>60</w:t>
      </w:r>
      <w:r w:rsidRPr="00F81954" w:rsidR="007D2758">
        <w:rPr>
          <w:b/>
          <w:bCs/>
          <w:szCs w:val="22"/>
        </w:rPr>
        <w:t>0</w:t>
      </w:r>
      <w:r w:rsidRPr="00F81954">
        <w:rPr>
          <w:b/>
          <w:bCs/>
          <w:szCs w:val="22"/>
        </w:rPr>
        <w:t xml:space="preserve"> hours</w:t>
      </w:r>
      <w:r w:rsidRPr="008E5ED5">
        <w:rPr>
          <w:szCs w:val="22"/>
        </w:rPr>
        <w:t>.</w:t>
      </w:r>
    </w:p>
    <w:p w:rsidRPr="008E5ED5" w:rsidR="008E5ED5" w:rsidP="008E5ED5" w:rsidRDefault="008E5ED5" w14:paraId="4DF146DB" w14:textId="77777777">
      <w:pPr>
        <w:tabs>
          <w:tab w:val="left" w:pos="-720"/>
        </w:tabs>
        <w:suppressAutoHyphens/>
        <w:ind w:left="1440"/>
        <w:rPr>
          <w:szCs w:val="22"/>
        </w:rPr>
      </w:pPr>
    </w:p>
    <w:p w:rsidRPr="008E5ED5" w:rsidR="008E5ED5" w:rsidP="008E5ED5" w:rsidRDefault="008E5ED5" w14:paraId="3C38161A" w14:textId="5D3A3FDD">
      <w:pPr>
        <w:tabs>
          <w:tab w:val="left" w:pos="-720"/>
        </w:tabs>
        <w:suppressAutoHyphens/>
        <w:ind w:left="1440"/>
        <w:rPr>
          <w:szCs w:val="22"/>
        </w:rPr>
      </w:pPr>
      <w:r w:rsidRPr="008E5ED5">
        <w:rPr>
          <w:szCs w:val="22"/>
        </w:rPr>
        <w:t xml:space="preserve">The Commission estimates that approximately </w:t>
      </w:r>
      <w:r w:rsidR="008E1B23">
        <w:rPr>
          <w:szCs w:val="22"/>
        </w:rPr>
        <w:t>20</w:t>
      </w:r>
      <w:r w:rsidRPr="008E5ED5">
        <w:rPr>
          <w:szCs w:val="22"/>
        </w:rPr>
        <w:t xml:space="preserve"> ICS providers will require approximately </w:t>
      </w:r>
      <w:r w:rsidR="000759E2">
        <w:rPr>
          <w:szCs w:val="22"/>
        </w:rPr>
        <w:t>30</w:t>
      </w:r>
      <w:r w:rsidRPr="008E5ED5">
        <w:rPr>
          <w:szCs w:val="22"/>
        </w:rPr>
        <w:t xml:space="preserve"> hours each to comply with this requirement.  </w:t>
      </w:r>
    </w:p>
    <w:p w:rsidRPr="008E5ED5" w:rsidR="008E5ED5" w:rsidP="008E5ED5" w:rsidRDefault="008E5ED5" w14:paraId="4EB4B56B" w14:textId="77777777">
      <w:pPr>
        <w:tabs>
          <w:tab w:val="left" w:pos="-720"/>
        </w:tabs>
        <w:suppressAutoHyphens/>
        <w:ind w:left="1440"/>
        <w:rPr>
          <w:szCs w:val="22"/>
        </w:rPr>
      </w:pPr>
    </w:p>
    <w:p w:rsidRPr="008E5ED5" w:rsidR="008E5ED5" w:rsidP="008E5ED5" w:rsidRDefault="008E5ED5" w14:paraId="05A098C6" w14:textId="269DF67C">
      <w:pPr>
        <w:tabs>
          <w:tab w:val="left" w:pos="-720"/>
        </w:tabs>
        <w:suppressAutoHyphens/>
        <w:ind w:left="1440"/>
        <w:rPr>
          <w:szCs w:val="22"/>
        </w:rPr>
      </w:pPr>
      <w:r w:rsidRPr="008E5ED5">
        <w:rPr>
          <w:szCs w:val="22"/>
        </w:rPr>
        <w:t xml:space="preserve">Approximately </w:t>
      </w:r>
      <w:r w:rsidR="008E1B23">
        <w:rPr>
          <w:szCs w:val="22"/>
        </w:rPr>
        <w:t>20</w:t>
      </w:r>
      <w:r w:rsidRPr="008E5ED5">
        <w:rPr>
          <w:szCs w:val="22"/>
        </w:rPr>
        <w:t xml:space="preserve"> respondents x approximately </w:t>
      </w:r>
      <w:r w:rsidR="000759E2">
        <w:rPr>
          <w:szCs w:val="22"/>
        </w:rPr>
        <w:t xml:space="preserve">1 </w:t>
      </w:r>
      <w:r w:rsidRPr="008E5ED5">
        <w:rPr>
          <w:szCs w:val="22"/>
        </w:rPr>
        <w:t xml:space="preserve">response </w:t>
      </w:r>
      <w:r w:rsidR="000759E2">
        <w:rPr>
          <w:szCs w:val="22"/>
        </w:rPr>
        <w:t>per year per respondent</w:t>
      </w:r>
      <w:r w:rsidRPr="008E5ED5">
        <w:rPr>
          <w:szCs w:val="22"/>
        </w:rPr>
        <w:t xml:space="preserve"> x approximately </w:t>
      </w:r>
      <w:r w:rsidR="00E06DEF">
        <w:rPr>
          <w:szCs w:val="22"/>
        </w:rPr>
        <w:t>3</w:t>
      </w:r>
      <w:r w:rsidRPr="008E5ED5">
        <w:rPr>
          <w:szCs w:val="22"/>
        </w:rPr>
        <w:t xml:space="preserve">0 hours per response = approximately </w:t>
      </w:r>
      <w:r w:rsidR="0054114F">
        <w:rPr>
          <w:szCs w:val="22"/>
        </w:rPr>
        <w:t>60</w:t>
      </w:r>
      <w:r w:rsidR="007D2758">
        <w:rPr>
          <w:szCs w:val="22"/>
        </w:rPr>
        <w:t xml:space="preserve">0 </w:t>
      </w:r>
      <w:r w:rsidRPr="008E5ED5">
        <w:rPr>
          <w:szCs w:val="22"/>
        </w:rPr>
        <w:t>hours.</w:t>
      </w:r>
    </w:p>
    <w:p w:rsidRPr="008E5ED5" w:rsidR="008E5ED5" w:rsidP="008E5ED5" w:rsidRDefault="008E5ED5" w14:paraId="7D11A1AB" w14:textId="77777777">
      <w:pPr>
        <w:tabs>
          <w:tab w:val="left" w:pos="-720"/>
        </w:tabs>
        <w:suppressAutoHyphens/>
        <w:ind w:left="1440"/>
        <w:rPr>
          <w:szCs w:val="22"/>
        </w:rPr>
      </w:pPr>
    </w:p>
    <w:p w:rsidRPr="008E5ED5" w:rsidR="008E5ED5" w:rsidP="008E5ED5" w:rsidRDefault="008E5ED5" w14:paraId="287410BD" w14:textId="7CE23912">
      <w:pPr>
        <w:tabs>
          <w:tab w:val="left" w:pos="-720"/>
        </w:tabs>
        <w:suppressAutoHyphens/>
        <w:ind w:left="1440"/>
        <w:rPr>
          <w:szCs w:val="22"/>
        </w:rPr>
      </w:pPr>
      <w:r w:rsidRPr="008E5ED5">
        <w:rPr>
          <w:szCs w:val="22"/>
        </w:rPr>
        <w:t xml:space="preserve">(6)  Total estimate of “in-house” cost to respondents:  </w:t>
      </w:r>
      <w:bookmarkStart w:name="_Hlk79444545" w:id="17"/>
      <w:r w:rsidRPr="00F81954">
        <w:rPr>
          <w:b/>
          <w:bCs/>
          <w:szCs w:val="22"/>
        </w:rPr>
        <w:t>$</w:t>
      </w:r>
      <w:r w:rsidR="00B85B08">
        <w:rPr>
          <w:b/>
          <w:bCs/>
          <w:szCs w:val="22"/>
        </w:rPr>
        <w:t>33,786</w:t>
      </w:r>
      <w:bookmarkEnd w:id="17"/>
      <w:r w:rsidR="00452E1B">
        <w:rPr>
          <w:b/>
          <w:bCs/>
          <w:szCs w:val="22"/>
        </w:rPr>
        <w:t>.</w:t>
      </w:r>
    </w:p>
    <w:p w:rsidRPr="008E5ED5" w:rsidR="008E5ED5" w:rsidP="008E5ED5" w:rsidRDefault="008E5ED5" w14:paraId="07B2E0A1" w14:textId="77777777">
      <w:pPr>
        <w:tabs>
          <w:tab w:val="left" w:pos="-720"/>
        </w:tabs>
        <w:suppressAutoHyphens/>
        <w:ind w:left="1440"/>
        <w:rPr>
          <w:szCs w:val="22"/>
        </w:rPr>
      </w:pPr>
    </w:p>
    <w:p w:rsidRPr="008E5ED5" w:rsidR="008E5ED5" w:rsidP="008E5ED5" w:rsidRDefault="008E5ED5" w14:paraId="74603C47" w14:textId="0DB4680C">
      <w:pPr>
        <w:tabs>
          <w:tab w:val="left" w:pos="-720"/>
        </w:tabs>
        <w:suppressAutoHyphens/>
        <w:ind w:left="1440"/>
        <w:rPr>
          <w:szCs w:val="22"/>
        </w:rPr>
      </w:pPr>
      <w:r w:rsidRPr="008E5ED5">
        <w:rPr>
          <w:szCs w:val="22"/>
        </w:rPr>
        <w:t xml:space="preserve">(7)  Explanation of the calculation:  </w:t>
      </w:r>
    </w:p>
    <w:p w:rsidRPr="008E5ED5" w:rsidR="008E5ED5" w:rsidP="008E5ED5" w:rsidRDefault="008E5ED5" w14:paraId="2AF56E0C" w14:textId="77777777">
      <w:pPr>
        <w:tabs>
          <w:tab w:val="left" w:pos="-720"/>
        </w:tabs>
        <w:suppressAutoHyphens/>
        <w:ind w:left="1440"/>
        <w:rPr>
          <w:szCs w:val="22"/>
        </w:rPr>
      </w:pPr>
    </w:p>
    <w:p w:rsidRPr="008E5ED5" w:rsidR="008E5ED5" w:rsidP="008E5ED5" w:rsidRDefault="008E5ED5" w14:paraId="248B9EBF" w14:textId="2A4C385D">
      <w:pPr>
        <w:tabs>
          <w:tab w:val="left" w:pos="-720"/>
        </w:tabs>
        <w:suppressAutoHyphens/>
        <w:ind w:left="1440"/>
        <w:rPr>
          <w:szCs w:val="22"/>
        </w:rPr>
      </w:pPr>
      <w:r w:rsidRPr="008E5ED5">
        <w:rPr>
          <w:szCs w:val="22"/>
        </w:rPr>
        <w:t xml:space="preserve">The Commission estimates that </w:t>
      </w:r>
      <w:r w:rsidR="008E1B23">
        <w:rPr>
          <w:szCs w:val="22"/>
        </w:rPr>
        <w:t>20</w:t>
      </w:r>
      <w:r w:rsidRPr="008E5ED5">
        <w:rPr>
          <w:szCs w:val="22"/>
        </w:rPr>
        <w:t xml:space="preserve"> ICS providers will be subject to the consumer disclosure </w:t>
      </w:r>
      <w:r w:rsidR="00E06DEF">
        <w:rPr>
          <w:szCs w:val="22"/>
        </w:rPr>
        <w:t xml:space="preserve">billing </w:t>
      </w:r>
      <w:r w:rsidRPr="008E5ED5">
        <w:rPr>
          <w:szCs w:val="22"/>
        </w:rPr>
        <w:t>requirement.</w:t>
      </w:r>
    </w:p>
    <w:p w:rsidRPr="008E5ED5" w:rsidR="008E5ED5" w:rsidP="008E5ED5" w:rsidRDefault="008E5ED5" w14:paraId="1B55DDCE" w14:textId="77777777">
      <w:pPr>
        <w:tabs>
          <w:tab w:val="left" w:pos="-720"/>
        </w:tabs>
        <w:suppressAutoHyphens/>
        <w:ind w:left="1440"/>
        <w:rPr>
          <w:szCs w:val="22"/>
        </w:rPr>
      </w:pPr>
    </w:p>
    <w:p w:rsidR="001851FA" w:rsidP="001851FA" w:rsidRDefault="001851FA" w14:paraId="449E1F02" w14:textId="77777777">
      <w:pPr>
        <w:tabs>
          <w:tab w:val="left" w:pos="-720"/>
        </w:tabs>
        <w:suppressAutoHyphens/>
        <w:ind w:left="1440"/>
        <w:rPr>
          <w:szCs w:val="22"/>
        </w:rPr>
      </w:pPr>
      <w:r w:rsidRPr="001851FA">
        <w:rPr>
          <w:szCs w:val="22"/>
        </w:rPr>
        <w:t>The Commission estimates that respondents will use personnel comparable in pay to a GS 1</w:t>
      </w:r>
      <w:r>
        <w:rPr>
          <w:szCs w:val="22"/>
        </w:rPr>
        <w:t>3</w:t>
      </w:r>
      <w:r w:rsidRPr="001851FA">
        <w:rPr>
          <w:szCs w:val="22"/>
        </w:rPr>
        <w:t xml:space="preserve">/Step 5 employee earning $56.31 per hour.  </w:t>
      </w:r>
    </w:p>
    <w:p w:rsidR="001851FA" w:rsidP="001851FA" w:rsidRDefault="001851FA" w14:paraId="1FAAFBF4" w14:textId="77777777">
      <w:pPr>
        <w:tabs>
          <w:tab w:val="left" w:pos="-720"/>
        </w:tabs>
        <w:suppressAutoHyphens/>
        <w:ind w:left="1440"/>
        <w:rPr>
          <w:szCs w:val="22"/>
        </w:rPr>
      </w:pPr>
    </w:p>
    <w:p w:rsidRPr="001851FA" w:rsidR="001851FA" w:rsidP="001851FA" w:rsidRDefault="001851FA" w14:paraId="7AFD41DC" w14:textId="5475A2B2">
      <w:pPr>
        <w:tabs>
          <w:tab w:val="left" w:pos="-720"/>
        </w:tabs>
        <w:suppressAutoHyphens/>
        <w:ind w:left="1440"/>
        <w:rPr>
          <w:szCs w:val="22"/>
        </w:rPr>
      </w:pPr>
      <w:r w:rsidRPr="001851FA">
        <w:rPr>
          <w:szCs w:val="22"/>
        </w:rPr>
        <w:t>Thus</w:t>
      </w:r>
      <w:r>
        <w:rPr>
          <w:szCs w:val="22"/>
        </w:rPr>
        <w:t xml:space="preserve">, </w:t>
      </w:r>
      <w:r w:rsidR="00B85B08">
        <w:rPr>
          <w:szCs w:val="22"/>
        </w:rPr>
        <w:t>600</w:t>
      </w:r>
      <w:r>
        <w:rPr>
          <w:szCs w:val="22"/>
        </w:rPr>
        <w:t xml:space="preserve"> hours x $56.31 = $</w:t>
      </w:r>
      <w:r w:rsidR="00B85B08">
        <w:rPr>
          <w:szCs w:val="22"/>
        </w:rPr>
        <w:t>33,786</w:t>
      </w:r>
      <w:r>
        <w:rPr>
          <w:szCs w:val="22"/>
        </w:rPr>
        <w:t>.</w:t>
      </w:r>
    </w:p>
    <w:p w:rsidR="00113C0C" w:rsidP="002A1372" w:rsidRDefault="001851FA" w14:paraId="32982438" w14:textId="3FDE0532">
      <w:pPr>
        <w:tabs>
          <w:tab w:val="left" w:pos="-720"/>
        </w:tabs>
        <w:suppressAutoHyphens/>
        <w:rPr>
          <w:szCs w:val="22"/>
        </w:rPr>
      </w:pPr>
      <w:r w:rsidRPr="001851FA">
        <w:rPr>
          <w:szCs w:val="22"/>
        </w:rPr>
        <w:tab/>
      </w:r>
    </w:p>
    <w:p w:rsidR="00113C0C" w:rsidP="00113C0C" w:rsidRDefault="00113C0C" w14:paraId="11B257A8" w14:textId="77777777">
      <w:pPr>
        <w:tabs>
          <w:tab w:val="left" w:pos="-720"/>
        </w:tabs>
        <w:suppressAutoHyphens/>
        <w:rPr>
          <w:szCs w:val="22"/>
        </w:rPr>
      </w:pPr>
    </w:p>
    <w:p w:rsidRPr="003C6852" w:rsidR="0091356E" w:rsidP="0091356E" w:rsidRDefault="00FB1A1E" w14:paraId="01D97D4F" w14:textId="7E9D222D">
      <w:pPr>
        <w:keepLines/>
        <w:tabs>
          <w:tab w:val="left" w:pos="-720"/>
        </w:tabs>
        <w:suppressAutoHyphens/>
        <w:rPr>
          <w:b/>
          <w:spacing w:val="-3"/>
          <w:szCs w:val="22"/>
          <w:u w:val="single"/>
        </w:rPr>
      </w:pPr>
      <w:r>
        <w:rPr>
          <w:b/>
          <w:spacing w:val="-3"/>
          <w:szCs w:val="22"/>
        </w:rPr>
        <w:t>d</w:t>
      </w:r>
      <w:r w:rsidR="0091356E">
        <w:rPr>
          <w:b/>
          <w:spacing w:val="-3"/>
          <w:szCs w:val="22"/>
        </w:rPr>
        <w:t xml:space="preserve">.  </w:t>
      </w:r>
      <w:r w:rsidRPr="003357DD">
        <w:rPr>
          <w:b/>
          <w:spacing w:val="-3"/>
          <w:szCs w:val="22"/>
        </w:rPr>
        <w:tab/>
      </w:r>
      <w:r w:rsidRPr="003357DD" w:rsidR="004267F3">
        <w:rPr>
          <w:b/>
          <w:spacing w:val="-3"/>
          <w:szCs w:val="22"/>
          <w:u w:val="single"/>
        </w:rPr>
        <w:t xml:space="preserve">Waiver Request </w:t>
      </w:r>
      <w:r w:rsidRPr="00997B91" w:rsidR="001E60F3">
        <w:rPr>
          <w:b/>
          <w:spacing w:val="-3"/>
          <w:szCs w:val="22"/>
          <w:u w:val="single"/>
        </w:rPr>
        <w:t>Reporting Requirement</w:t>
      </w:r>
      <w:r w:rsidR="003357DD">
        <w:rPr>
          <w:b/>
          <w:spacing w:val="-3"/>
          <w:szCs w:val="22"/>
          <w:u w:val="single"/>
        </w:rPr>
        <w:t>:</w:t>
      </w:r>
    </w:p>
    <w:p w:rsidRPr="004460F4" w:rsidR="0091356E" w:rsidP="0091356E" w:rsidRDefault="0091356E" w14:paraId="0FA8F8CC" w14:textId="77777777">
      <w:pPr>
        <w:keepLines/>
        <w:tabs>
          <w:tab w:val="left" w:pos="-720"/>
        </w:tabs>
        <w:suppressAutoHyphens/>
        <w:rPr>
          <w:spacing w:val="-3"/>
          <w:szCs w:val="22"/>
        </w:rPr>
      </w:pPr>
      <w:r w:rsidRPr="004460F4">
        <w:rPr>
          <w:spacing w:val="-3"/>
          <w:szCs w:val="22"/>
        </w:rPr>
        <w:tab/>
      </w:r>
    </w:p>
    <w:p w:rsidRPr="004460F4" w:rsidR="0091356E" w:rsidP="0091356E" w:rsidRDefault="0091356E" w14:paraId="605D6D52" w14:textId="047098C6">
      <w:pPr>
        <w:keepLines/>
        <w:tabs>
          <w:tab w:val="left" w:pos="-720"/>
        </w:tabs>
        <w:suppressAutoHyphens/>
        <w:rPr>
          <w:spacing w:val="-3"/>
          <w:szCs w:val="22"/>
        </w:rPr>
      </w:pPr>
      <w:r w:rsidRPr="004460F4">
        <w:rPr>
          <w:spacing w:val="-3"/>
          <w:szCs w:val="22"/>
        </w:rPr>
        <w:tab/>
        <w:t xml:space="preserve">(1)  </w:t>
      </w:r>
      <w:r w:rsidRPr="004460F4">
        <w:rPr>
          <w:spacing w:val="-3"/>
          <w:szCs w:val="22"/>
          <w:u w:val="single"/>
        </w:rPr>
        <w:t>Number of respondents</w:t>
      </w:r>
      <w:r w:rsidRPr="004460F4">
        <w:rPr>
          <w:spacing w:val="-3"/>
          <w:szCs w:val="22"/>
        </w:rPr>
        <w:t xml:space="preserve">:  Approximately </w:t>
      </w:r>
      <w:r w:rsidR="00044FA7">
        <w:rPr>
          <w:spacing w:val="-3"/>
          <w:szCs w:val="22"/>
        </w:rPr>
        <w:t>3</w:t>
      </w:r>
      <w:r w:rsidRPr="004460F4">
        <w:rPr>
          <w:spacing w:val="-3"/>
          <w:szCs w:val="22"/>
        </w:rPr>
        <w:t>.</w:t>
      </w:r>
    </w:p>
    <w:p w:rsidRPr="004460F4" w:rsidR="0091356E" w:rsidP="0091356E" w:rsidRDefault="0091356E" w14:paraId="7B37D101" w14:textId="77777777">
      <w:pPr>
        <w:keepLines/>
        <w:tabs>
          <w:tab w:val="left" w:pos="-720"/>
        </w:tabs>
        <w:suppressAutoHyphens/>
        <w:rPr>
          <w:spacing w:val="-3"/>
          <w:szCs w:val="22"/>
        </w:rPr>
      </w:pPr>
    </w:p>
    <w:p w:rsidRPr="004460F4" w:rsidR="0091356E" w:rsidP="0091356E" w:rsidRDefault="0091356E" w14:paraId="275A1AFC" w14:textId="78E18DEE">
      <w:pPr>
        <w:keepLines/>
        <w:tabs>
          <w:tab w:val="left" w:pos="-720"/>
        </w:tabs>
        <w:suppressAutoHyphens/>
        <w:ind w:left="720"/>
        <w:rPr>
          <w:spacing w:val="-3"/>
          <w:szCs w:val="22"/>
        </w:rPr>
      </w:pPr>
      <w:r w:rsidRPr="004460F4">
        <w:rPr>
          <w:spacing w:val="-3"/>
          <w:szCs w:val="22"/>
        </w:rPr>
        <w:t>(</w:t>
      </w:r>
      <w:r w:rsidR="001C64C2">
        <w:rPr>
          <w:spacing w:val="-3"/>
          <w:szCs w:val="22"/>
        </w:rPr>
        <w:t>2</w:t>
      </w:r>
      <w:r w:rsidRPr="004460F4">
        <w:rPr>
          <w:spacing w:val="-3"/>
          <w:szCs w:val="22"/>
        </w:rPr>
        <w:t xml:space="preserve">)  </w:t>
      </w:r>
      <w:r w:rsidRPr="004460F4">
        <w:rPr>
          <w:spacing w:val="-3"/>
          <w:szCs w:val="22"/>
          <w:u w:val="single"/>
        </w:rPr>
        <w:t>Frequency of response</w:t>
      </w:r>
      <w:r w:rsidRPr="004460F4">
        <w:rPr>
          <w:spacing w:val="-3"/>
          <w:szCs w:val="22"/>
        </w:rPr>
        <w:t xml:space="preserve">:  </w:t>
      </w:r>
      <w:r w:rsidR="002470D7">
        <w:rPr>
          <w:spacing w:val="-3"/>
          <w:szCs w:val="22"/>
        </w:rPr>
        <w:t>On occasion reporting requirement</w:t>
      </w:r>
      <w:r w:rsidR="005D0730">
        <w:rPr>
          <w:spacing w:val="-3"/>
          <w:szCs w:val="22"/>
        </w:rPr>
        <w:t xml:space="preserve"> as </w:t>
      </w:r>
      <w:r w:rsidR="00E80A4A">
        <w:rPr>
          <w:spacing w:val="-3"/>
          <w:szCs w:val="22"/>
        </w:rPr>
        <w:t>requested</w:t>
      </w:r>
      <w:r w:rsidR="005D0730">
        <w:rPr>
          <w:spacing w:val="-3"/>
          <w:szCs w:val="22"/>
        </w:rPr>
        <w:t xml:space="preserve"> by filer</w:t>
      </w:r>
      <w:r w:rsidR="003C6852">
        <w:rPr>
          <w:spacing w:val="-3"/>
          <w:szCs w:val="22"/>
        </w:rPr>
        <w:t>.</w:t>
      </w:r>
    </w:p>
    <w:p w:rsidRPr="004460F4" w:rsidR="0091356E" w:rsidP="0091356E" w:rsidRDefault="0091356E" w14:paraId="46CA06B2" w14:textId="77777777">
      <w:pPr>
        <w:tabs>
          <w:tab w:val="left" w:pos="-720"/>
        </w:tabs>
        <w:suppressAutoHyphens/>
        <w:rPr>
          <w:spacing w:val="-3"/>
          <w:szCs w:val="22"/>
        </w:rPr>
      </w:pPr>
    </w:p>
    <w:p w:rsidRPr="001C64C2" w:rsidR="001C64C2" w:rsidP="001C64C2" w:rsidRDefault="0091356E" w14:paraId="4057B774" w14:textId="1F4D4FCF">
      <w:pPr>
        <w:pStyle w:val="ListParagraph"/>
        <w:numPr>
          <w:ilvl w:val="0"/>
          <w:numId w:val="34"/>
        </w:numPr>
        <w:tabs>
          <w:tab w:val="left" w:pos="-720"/>
        </w:tabs>
        <w:suppressAutoHyphens/>
        <w:rPr>
          <w:spacing w:val="-3"/>
          <w:szCs w:val="22"/>
        </w:rPr>
      </w:pPr>
      <w:r w:rsidRPr="001C64C2">
        <w:rPr>
          <w:spacing w:val="-3"/>
          <w:szCs w:val="22"/>
          <w:u w:val="single"/>
        </w:rPr>
        <w:t>Total number of responses annually</w:t>
      </w:r>
      <w:r w:rsidRPr="001C64C2">
        <w:rPr>
          <w:spacing w:val="-3"/>
          <w:szCs w:val="22"/>
        </w:rPr>
        <w:t xml:space="preserve">:  Approximately </w:t>
      </w:r>
      <w:r w:rsidRPr="001C64C2" w:rsidR="00DC69E8">
        <w:rPr>
          <w:spacing w:val="-3"/>
          <w:szCs w:val="22"/>
        </w:rPr>
        <w:t>3</w:t>
      </w:r>
      <w:r w:rsidR="007F0C83">
        <w:rPr>
          <w:spacing w:val="-3"/>
          <w:szCs w:val="22"/>
        </w:rPr>
        <w:t>.</w:t>
      </w:r>
    </w:p>
    <w:p w:rsidR="001C64C2" w:rsidP="001C64C2" w:rsidRDefault="001C64C2" w14:paraId="746DB4DB" w14:textId="77777777">
      <w:pPr>
        <w:pStyle w:val="ListParagraph"/>
        <w:tabs>
          <w:tab w:val="left" w:pos="-720"/>
        </w:tabs>
        <w:suppressAutoHyphens/>
        <w:ind w:left="1080"/>
        <w:rPr>
          <w:spacing w:val="-3"/>
          <w:szCs w:val="22"/>
        </w:rPr>
      </w:pPr>
    </w:p>
    <w:p w:rsidRPr="001C64C2" w:rsidR="0091356E" w:rsidP="001C64C2" w:rsidRDefault="0091356E" w14:paraId="5F16E6FF" w14:textId="39002002">
      <w:pPr>
        <w:tabs>
          <w:tab w:val="left" w:pos="-720"/>
        </w:tabs>
        <w:suppressAutoHyphens/>
        <w:ind w:left="720"/>
        <w:rPr>
          <w:spacing w:val="-3"/>
          <w:szCs w:val="22"/>
        </w:rPr>
      </w:pPr>
      <w:r w:rsidRPr="001C64C2">
        <w:rPr>
          <w:spacing w:val="-3"/>
          <w:szCs w:val="22"/>
        </w:rPr>
        <w:t>(</w:t>
      </w:r>
      <w:r w:rsidR="001C64C2">
        <w:rPr>
          <w:spacing w:val="-3"/>
          <w:szCs w:val="22"/>
        </w:rPr>
        <w:t>4</w:t>
      </w:r>
      <w:r w:rsidRPr="001C64C2">
        <w:rPr>
          <w:spacing w:val="-3"/>
          <w:szCs w:val="22"/>
        </w:rPr>
        <w:t xml:space="preserve">)  </w:t>
      </w:r>
      <w:r w:rsidRPr="001C64C2">
        <w:rPr>
          <w:spacing w:val="-3"/>
          <w:szCs w:val="22"/>
          <w:u w:val="single"/>
        </w:rPr>
        <w:t>Estimated Time per Response</w:t>
      </w:r>
      <w:r w:rsidRPr="001C64C2">
        <w:rPr>
          <w:spacing w:val="-3"/>
          <w:szCs w:val="22"/>
        </w:rPr>
        <w:t>:  Approximately</w:t>
      </w:r>
      <w:r w:rsidRPr="001C64C2" w:rsidR="004A6A8E">
        <w:rPr>
          <w:spacing w:val="-3"/>
          <w:szCs w:val="22"/>
        </w:rPr>
        <w:t xml:space="preserve"> </w:t>
      </w:r>
      <w:r w:rsidRPr="001C64C2" w:rsidR="006166E1">
        <w:rPr>
          <w:spacing w:val="-3"/>
          <w:szCs w:val="22"/>
        </w:rPr>
        <w:t xml:space="preserve">80 </w:t>
      </w:r>
      <w:r w:rsidRPr="001C64C2" w:rsidR="000558A8">
        <w:rPr>
          <w:spacing w:val="-3"/>
          <w:szCs w:val="22"/>
        </w:rPr>
        <w:t>hours</w:t>
      </w:r>
      <w:r w:rsidRPr="001C64C2" w:rsidR="00A60E8A">
        <w:rPr>
          <w:spacing w:val="-3"/>
          <w:szCs w:val="22"/>
        </w:rPr>
        <w:t xml:space="preserve"> per provider</w:t>
      </w:r>
      <w:r w:rsidRPr="001C64C2" w:rsidR="004A6A8E">
        <w:rPr>
          <w:spacing w:val="-3"/>
          <w:szCs w:val="22"/>
        </w:rPr>
        <w:t>.</w:t>
      </w:r>
      <w:r w:rsidRPr="001C64C2" w:rsidR="00544193">
        <w:rPr>
          <w:spacing w:val="-3"/>
          <w:szCs w:val="22"/>
        </w:rPr>
        <w:t xml:space="preserve">  </w:t>
      </w:r>
    </w:p>
    <w:p w:rsidRPr="004460F4" w:rsidR="005112CE" w:rsidP="00E80A4A" w:rsidRDefault="005112CE" w14:paraId="69B4473E" w14:textId="77777777">
      <w:pPr>
        <w:tabs>
          <w:tab w:val="left" w:pos="-720"/>
          <w:tab w:val="left" w:pos="990"/>
        </w:tabs>
        <w:suppressAutoHyphens/>
        <w:rPr>
          <w:spacing w:val="-3"/>
          <w:szCs w:val="22"/>
        </w:rPr>
      </w:pPr>
    </w:p>
    <w:p w:rsidRPr="004460F4" w:rsidR="0091356E" w:rsidP="0091356E" w:rsidRDefault="0091356E" w14:paraId="0CA8A273" w14:textId="77F97652">
      <w:pPr>
        <w:tabs>
          <w:tab w:val="left" w:pos="-720"/>
        </w:tabs>
        <w:suppressAutoHyphens/>
        <w:rPr>
          <w:spacing w:val="-3"/>
          <w:szCs w:val="22"/>
        </w:rPr>
      </w:pPr>
      <w:r w:rsidRPr="004460F4">
        <w:rPr>
          <w:spacing w:val="-3"/>
          <w:szCs w:val="22"/>
        </w:rPr>
        <w:tab/>
        <w:t xml:space="preserve">(5)  </w:t>
      </w:r>
      <w:r w:rsidRPr="004460F4">
        <w:rPr>
          <w:spacing w:val="-3"/>
          <w:szCs w:val="22"/>
          <w:u w:val="single"/>
        </w:rPr>
        <w:t>Total annual burden</w:t>
      </w:r>
      <w:r w:rsidRPr="004460F4">
        <w:rPr>
          <w:spacing w:val="-3"/>
          <w:szCs w:val="22"/>
        </w:rPr>
        <w:t>:  Approximately</w:t>
      </w:r>
      <w:r w:rsidR="00DC69E8">
        <w:rPr>
          <w:spacing w:val="-3"/>
          <w:szCs w:val="22"/>
        </w:rPr>
        <w:t xml:space="preserve"> </w:t>
      </w:r>
      <w:r w:rsidRPr="008852A0" w:rsidR="00DC69E8">
        <w:rPr>
          <w:b/>
          <w:bCs/>
          <w:spacing w:val="-3"/>
          <w:szCs w:val="22"/>
        </w:rPr>
        <w:t>240</w:t>
      </w:r>
      <w:r w:rsidRPr="008852A0">
        <w:rPr>
          <w:b/>
          <w:bCs/>
          <w:spacing w:val="-3"/>
          <w:szCs w:val="22"/>
        </w:rPr>
        <w:t xml:space="preserve"> </w:t>
      </w:r>
      <w:r w:rsidRPr="004460F4">
        <w:rPr>
          <w:b/>
          <w:spacing w:val="-3"/>
          <w:szCs w:val="22"/>
        </w:rPr>
        <w:t>hours</w:t>
      </w:r>
      <w:r w:rsidRPr="004460F4">
        <w:rPr>
          <w:spacing w:val="-3"/>
          <w:szCs w:val="22"/>
        </w:rPr>
        <w:t>.</w:t>
      </w:r>
    </w:p>
    <w:p w:rsidRPr="004460F4" w:rsidR="0091356E" w:rsidP="0091356E" w:rsidRDefault="0091356E" w14:paraId="3C6CD923" w14:textId="77777777">
      <w:pPr>
        <w:tabs>
          <w:tab w:val="left" w:pos="-720"/>
        </w:tabs>
        <w:suppressAutoHyphens/>
        <w:rPr>
          <w:spacing w:val="-3"/>
          <w:szCs w:val="22"/>
        </w:rPr>
      </w:pPr>
    </w:p>
    <w:p w:rsidR="0091356E" w:rsidP="0091356E" w:rsidRDefault="0091356E" w14:paraId="56A23EBA" w14:textId="0190C730">
      <w:pPr>
        <w:tabs>
          <w:tab w:val="left" w:pos="-720"/>
        </w:tabs>
        <w:suppressAutoHyphens/>
        <w:ind w:left="1440"/>
        <w:rPr>
          <w:spacing w:val="-3"/>
          <w:szCs w:val="22"/>
        </w:rPr>
      </w:pPr>
      <w:r w:rsidRPr="004460F4">
        <w:rPr>
          <w:spacing w:val="-3"/>
          <w:szCs w:val="22"/>
        </w:rPr>
        <w:t xml:space="preserve">The Commission estimates that approximately </w:t>
      </w:r>
      <w:r w:rsidR="00167BC1">
        <w:rPr>
          <w:spacing w:val="-3"/>
          <w:szCs w:val="22"/>
        </w:rPr>
        <w:t>three</w:t>
      </w:r>
      <w:r w:rsidRPr="004460F4">
        <w:rPr>
          <w:spacing w:val="-3"/>
          <w:szCs w:val="22"/>
        </w:rPr>
        <w:t xml:space="preserve"> ICS providers will require approximately </w:t>
      </w:r>
      <w:r w:rsidR="00167BC1">
        <w:rPr>
          <w:spacing w:val="-3"/>
          <w:szCs w:val="22"/>
        </w:rPr>
        <w:t>80</w:t>
      </w:r>
      <w:r w:rsidR="00657D30">
        <w:rPr>
          <w:spacing w:val="-3"/>
          <w:szCs w:val="22"/>
        </w:rPr>
        <w:t xml:space="preserve"> </w:t>
      </w:r>
      <w:r w:rsidRPr="004460F4">
        <w:rPr>
          <w:spacing w:val="-3"/>
          <w:szCs w:val="22"/>
        </w:rPr>
        <w:t>hours each to comply with this requirement</w:t>
      </w:r>
      <w:r w:rsidR="00687115">
        <w:rPr>
          <w:spacing w:val="-3"/>
          <w:szCs w:val="22"/>
        </w:rPr>
        <w:t xml:space="preserve"> annually</w:t>
      </w:r>
      <w:r w:rsidRPr="004460F4">
        <w:rPr>
          <w:spacing w:val="-3"/>
          <w:szCs w:val="22"/>
        </w:rPr>
        <w:t xml:space="preserve">.  </w:t>
      </w:r>
    </w:p>
    <w:p w:rsidRPr="004460F4" w:rsidR="003C5D1D" w:rsidP="0091356E" w:rsidRDefault="003C5D1D" w14:paraId="059AD6E9" w14:textId="77777777">
      <w:pPr>
        <w:tabs>
          <w:tab w:val="left" w:pos="-720"/>
        </w:tabs>
        <w:suppressAutoHyphens/>
        <w:ind w:left="1440"/>
        <w:rPr>
          <w:spacing w:val="-3"/>
          <w:szCs w:val="22"/>
        </w:rPr>
      </w:pPr>
    </w:p>
    <w:p w:rsidR="0091356E" w:rsidP="001851FA" w:rsidRDefault="0091356E" w14:paraId="17F01DFE" w14:textId="16307EB0">
      <w:pPr>
        <w:tabs>
          <w:tab w:val="left" w:pos="-720"/>
        </w:tabs>
        <w:suppressAutoHyphens/>
        <w:ind w:left="1440"/>
        <w:rPr>
          <w:spacing w:val="-3"/>
          <w:szCs w:val="22"/>
        </w:rPr>
      </w:pPr>
      <w:r w:rsidRPr="004460F4">
        <w:rPr>
          <w:spacing w:val="-3"/>
          <w:szCs w:val="22"/>
        </w:rPr>
        <w:t xml:space="preserve">Approximately </w:t>
      </w:r>
      <w:r w:rsidR="00DC69E8">
        <w:rPr>
          <w:spacing w:val="-3"/>
          <w:szCs w:val="22"/>
        </w:rPr>
        <w:t>3</w:t>
      </w:r>
      <w:r w:rsidRPr="004460F4">
        <w:rPr>
          <w:spacing w:val="-3"/>
          <w:szCs w:val="22"/>
        </w:rPr>
        <w:t xml:space="preserve"> respondents x approximately </w:t>
      </w:r>
      <w:r w:rsidR="00DC69E8">
        <w:rPr>
          <w:spacing w:val="-3"/>
          <w:szCs w:val="22"/>
        </w:rPr>
        <w:t>1</w:t>
      </w:r>
      <w:r w:rsidR="00A743F3">
        <w:rPr>
          <w:spacing w:val="-3"/>
          <w:szCs w:val="22"/>
        </w:rPr>
        <w:t xml:space="preserve"> </w:t>
      </w:r>
      <w:r w:rsidRPr="004460F4">
        <w:rPr>
          <w:spacing w:val="-3"/>
          <w:szCs w:val="22"/>
        </w:rPr>
        <w:t xml:space="preserve">response annually x approximately </w:t>
      </w:r>
      <w:r w:rsidR="00DC69E8">
        <w:rPr>
          <w:spacing w:val="-3"/>
          <w:szCs w:val="22"/>
        </w:rPr>
        <w:t>80</w:t>
      </w:r>
      <w:r w:rsidR="003D6299">
        <w:rPr>
          <w:spacing w:val="-3"/>
          <w:szCs w:val="22"/>
        </w:rPr>
        <w:t xml:space="preserve"> </w:t>
      </w:r>
      <w:r w:rsidRPr="004460F4">
        <w:rPr>
          <w:spacing w:val="-3"/>
          <w:szCs w:val="22"/>
        </w:rPr>
        <w:t xml:space="preserve">hours per response = approximately </w:t>
      </w:r>
      <w:r w:rsidR="00DC69E8">
        <w:rPr>
          <w:spacing w:val="-3"/>
          <w:szCs w:val="22"/>
        </w:rPr>
        <w:t>240</w:t>
      </w:r>
      <w:r w:rsidRPr="004460F4">
        <w:rPr>
          <w:spacing w:val="-3"/>
          <w:szCs w:val="22"/>
        </w:rPr>
        <w:t xml:space="preserve"> hours.</w:t>
      </w:r>
    </w:p>
    <w:p w:rsidRPr="004460F4" w:rsidR="00317379" w:rsidP="001851FA" w:rsidRDefault="00317379" w14:paraId="5D78D48B" w14:textId="77777777">
      <w:pPr>
        <w:tabs>
          <w:tab w:val="left" w:pos="-720"/>
        </w:tabs>
        <w:suppressAutoHyphens/>
        <w:ind w:left="1440"/>
        <w:rPr>
          <w:spacing w:val="-3"/>
          <w:szCs w:val="22"/>
        </w:rPr>
      </w:pPr>
    </w:p>
    <w:p w:rsidRPr="004460F4" w:rsidR="0091356E" w:rsidP="0091356E" w:rsidRDefault="0091356E" w14:paraId="71BB6A58" w14:textId="29C437A2">
      <w:pPr>
        <w:tabs>
          <w:tab w:val="left" w:pos="-720"/>
        </w:tabs>
        <w:suppressAutoHyphens/>
        <w:rPr>
          <w:spacing w:val="-3"/>
          <w:szCs w:val="22"/>
        </w:rPr>
      </w:pPr>
      <w:r w:rsidRPr="004460F4">
        <w:rPr>
          <w:spacing w:val="-3"/>
          <w:szCs w:val="22"/>
        </w:rPr>
        <w:tab/>
        <w:t xml:space="preserve">(6)  </w:t>
      </w:r>
      <w:r w:rsidRPr="004460F4">
        <w:rPr>
          <w:spacing w:val="-3"/>
          <w:szCs w:val="22"/>
          <w:u w:val="single"/>
        </w:rPr>
        <w:t>Total estimate of “in-house” cost to respondents:</w:t>
      </w:r>
      <w:r w:rsidRPr="004460F4">
        <w:rPr>
          <w:spacing w:val="-3"/>
          <w:szCs w:val="22"/>
        </w:rPr>
        <w:t xml:space="preserve">  </w:t>
      </w:r>
      <w:bookmarkStart w:name="_Hlk79444566" w:id="18"/>
      <w:r w:rsidRPr="004460F4">
        <w:rPr>
          <w:b/>
          <w:szCs w:val="22"/>
        </w:rPr>
        <w:t>$</w:t>
      </w:r>
      <w:bookmarkEnd w:id="18"/>
      <w:r w:rsidR="004C16F9">
        <w:rPr>
          <w:b/>
          <w:szCs w:val="22"/>
        </w:rPr>
        <w:t>30,000.00</w:t>
      </w:r>
      <w:r w:rsidR="008A2F17">
        <w:rPr>
          <w:b/>
          <w:szCs w:val="22"/>
        </w:rPr>
        <w:t>.</w:t>
      </w:r>
    </w:p>
    <w:p w:rsidRPr="004460F4" w:rsidR="0091356E" w:rsidP="0091356E" w:rsidRDefault="0091356E" w14:paraId="3DEBA057" w14:textId="77777777">
      <w:pPr>
        <w:tabs>
          <w:tab w:val="left" w:pos="-720"/>
        </w:tabs>
        <w:suppressAutoHyphens/>
        <w:rPr>
          <w:spacing w:val="-3"/>
          <w:szCs w:val="22"/>
        </w:rPr>
      </w:pPr>
    </w:p>
    <w:p w:rsidR="0091356E" w:rsidP="0091356E" w:rsidRDefault="0091356E" w14:paraId="57B48F00" w14:textId="7415EC6B">
      <w:pPr>
        <w:tabs>
          <w:tab w:val="left" w:pos="-720"/>
        </w:tabs>
        <w:suppressAutoHyphens/>
        <w:rPr>
          <w:szCs w:val="22"/>
        </w:rPr>
      </w:pPr>
      <w:r w:rsidRPr="004460F4">
        <w:rPr>
          <w:szCs w:val="22"/>
        </w:rPr>
        <w:tab/>
        <w:t xml:space="preserve">(7)  </w:t>
      </w:r>
      <w:r w:rsidRPr="004460F4">
        <w:rPr>
          <w:szCs w:val="22"/>
          <w:u w:val="single"/>
        </w:rPr>
        <w:t>Explanation of the calculation</w:t>
      </w:r>
      <w:r w:rsidRPr="004460F4">
        <w:rPr>
          <w:szCs w:val="22"/>
        </w:rPr>
        <w:t xml:space="preserve">:  </w:t>
      </w:r>
    </w:p>
    <w:p w:rsidRPr="004460F4" w:rsidR="008976A2" w:rsidP="0091356E" w:rsidRDefault="008976A2" w14:paraId="081BAC80" w14:textId="77777777">
      <w:pPr>
        <w:tabs>
          <w:tab w:val="left" w:pos="-720"/>
        </w:tabs>
        <w:suppressAutoHyphens/>
        <w:rPr>
          <w:szCs w:val="22"/>
        </w:rPr>
      </w:pPr>
    </w:p>
    <w:p w:rsidR="0002125D" w:rsidP="0048776F" w:rsidRDefault="0091356E" w14:paraId="440C251D" w14:textId="27FA5F86">
      <w:pPr>
        <w:tabs>
          <w:tab w:val="left" w:pos="-720"/>
        </w:tabs>
        <w:suppressAutoHyphens/>
        <w:ind w:left="1440"/>
        <w:rPr>
          <w:szCs w:val="22"/>
        </w:rPr>
      </w:pPr>
      <w:r w:rsidRPr="004460F4">
        <w:rPr>
          <w:szCs w:val="22"/>
        </w:rPr>
        <w:t xml:space="preserve">We </w:t>
      </w:r>
      <w:r w:rsidR="00DC69E8">
        <w:rPr>
          <w:szCs w:val="22"/>
        </w:rPr>
        <w:t>estimate</w:t>
      </w:r>
      <w:r w:rsidRPr="004460F4">
        <w:rPr>
          <w:szCs w:val="22"/>
        </w:rPr>
        <w:t xml:space="preserve"> that respondents will use approximately </w:t>
      </w:r>
      <w:r w:rsidR="00DC69E8">
        <w:rPr>
          <w:szCs w:val="22"/>
        </w:rPr>
        <w:t>80</w:t>
      </w:r>
      <w:r w:rsidR="00B067DE">
        <w:rPr>
          <w:szCs w:val="22"/>
        </w:rPr>
        <w:t xml:space="preserve"> hours o</w:t>
      </w:r>
      <w:r w:rsidR="0002125D">
        <w:rPr>
          <w:szCs w:val="22"/>
        </w:rPr>
        <w:t>f</w:t>
      </w:r>
      <w:r w:rsidR="00C93094">
        <w:rPr>
          <w:szCs w:val="22"/>
        </w:rPr>
        <w:t xml:space="preserve"> professional personnel</w:t>
      </w:r>
      <w:r w:rsidR="00597805">
        <w:rPr>
          <w:szCs w:val="22"/>
        </w:rPr>
        <w:t xml:space="preserve"> </w:t>
      </w:r>
      <w:r w:rsidR="00C93094">
        <w:rPr>
          <w:szCs w:val="22"/>
        </w:rPr>
        <w:t xml:space="preserve">(rate of </w:t>
      </w:r>
      <w:r w:rsidR="00605888">
        <w:rPr>
          <w:szCs w:val="22"/>
        </w:rPr>
        <w:t>approximately $125</w:t>
      </w:r>
      <w:r w:rsidRPr="0002125D" w:rsidR="0002125D">
        <w:rPr>
          <w:szCs w:val="22"/>
        </w:rPr>
        <w:t xml:space="preserve"> per </w:t>
      </w:r>
      <w:r w:rsidR="00DC69E8">
        <w:rPr>
          <w:szCs w:val="22"/>
        </w:rPr>
        <w:t>hour</w:t>
      </w:r>
      <w:r w:rsidR="00C93094">
        <w:rPr>
          <w:szCs w:val="22"/>
        </w:rPr>
        <w:t>) to satisfy this waiver request requirement.</w:t>
      </w:r>
    </w:p>
    <w:p w:rsidR="0002125D" w:rsidP="0048776F" w:rsidRDefault="0002125D" w14:paraId="7D66EE21" w14:textId="77777777">
      <w:pPr>
        <w:tabs>
          <w:tab w:val="left" w:pos="-720"/>
        </w:tabs>
        <w:suppressAutoHyphens/>
        <w:ind w:left="1440"/>
        <w:rPr>
          <w:szCs w:val="22"/>
        </w:rPr>
      </w:pPr>
    </w:p>
    <w:p w:rsidR="00113C0C" w:rsidP="0048776F" w:rsidRDefault="0091356E" w14:paraId="5B502F40" w14:textId="25EF61F2">
      <w:pPr>
        <w:tabs>
          <w:tab w:val="left" w:pos="-720"/>
        </w:tabs>
        <w:suppressAutoHyphens/>
        <w:ind w:left="1440"/>
        <w:rPr>
          <w:szCs w:val="22"/>
        </w:rPr>
      </w:pPr>
      <w:r w:rsidRPr="00AB1E80">
        <w:rPr>
          <w:szCs w:val="22"/>
        </w:rPr>
        <w:t>Thus</w:t>
      </w:r>
      <w:r w:rsidR="003D6CB8">
        <w:rPr>
          <w:szCs w:val="22"/>
        </w:rPr>
        <w:t xml:space="preserve">, </w:t>
      </w:r>
      <w:r w:rsidR="0070245F">
        <w:rPr>
          <w:szCs w:val="22"/>
        </w:rPr>
        <w:t>240</w:t>
      </w:r>
      <w:r w:rsidRPr="004460F4">
        <w:rPr>
          <w:szCs w:val="22"/>
        </w:rPr>
        <w:t xml:space="preserve"> hours per year x </w:t>
      </w:r>
      <w:r w:rsidR="00A82656">
        <w:rPr>
          <w:szCs w:val="22"/>
        </w:rPr>
        <w:t>$</w:t>
      </w:r>
      <w:r w:rsidR="00462DD5">
        <w:rPr>
          <w:szCs w:val="22"/>
        </w:rPr>
        <w:t>125.00</w:t>
      </w:r>
      <w:r w:rsidRPr="004460F4">
        <w:rPr>
          <w:szCs w:val="22"/>
        </w:rPr>
        <w:t xml:space="preserve"> = $</w:t>
      </w:r>
      <w:r w:rsidR="00462DD5">
        <w:rPr>
          <w:szCs w:val="22"/>
        </w:rPr>
        <w:t>30,000.00</w:t>
      </w:r>
      <w:r w:rsidR="008A2F17">
        <w:rPr>
          <w:szCs w:val="22"/>
        </w:rPr>
        <w:t>.</w:t>
      </w:r>
    </w:p>
    <w:p w:rsidRPr="00AB1E80" w:rsidR="00113C0C" w:rsidP="00E63DCE" w:rsidRDefault="00113C0C" w14:paraId="2E319B8B" w14:textId="77777777">
      <w:pPr>
        <w:tabs>
          <w:tab w:val="left" w:pos="-720"/>
        </w:tabs>
        <w:suppressAutoHyphens/>
        <w:ind w:left="1440"/>
        <w:rPr>
          <w:szCs w:val="22"/>
        </w:rPr>
      </w:pPr>
    </w:p>
    <w:p w:rsidRPr="00D50856" w:rsidR="007E0735" w:rsidP="007E0735" w:rsidRDefault="00763527" w14:paraId="7D7AB5B5" w14:textId="64BEA3AC">
      <w:pPr>
        <w:keepLines/>
        <w:tabs>
          <w:tab w:val="left" w:pos="-720"/>
        </w:tabs>
        <w:suppressAutoHyphens/>
        <w:rPr>
          <w:b/>
          <w:spacing w:val="-3"/>
          <w:szCs w:val="22"/>
        </w:rPr>
      </w:pPr>
      <w:r w:rsidRPr="004460F4">
        <w:rPr>
          <w:b/>
          <w:spacing w:val="-3"/>
          <w:szCs w:val="22"/>
        </w:rPr>
        <w:tab/>
      </w:r>
      <w:r w:rsidRPr="00D50856" w:rsidR="007E0735">
        <w:rPr>
          <w:b/>
          <w:spacing w:val="-3"/>
          <w:szCs w:val="22"/>
          <w:u w:val="single"/>
        </w:rPr>
        <w:t>Total Annual Burden Hours:</w:t>
      </w:r>
    </w:p>
    <w:p w:rsidRPr="004460F4" w:rsidR="007E0735" w:rsidP="007E0735" w:rsidRDefault="007E0735" w14:paraId="6799D783" w14:textId="77777777">
      <w:pPr>
        <w:tabs>
          <w:tab w:val="left" w:pos="-720"/>
        </w:tabs>
        <w:suppressAutoHyphens/>
        <w:rPr>
          <w:b/>
          <w:spacing w:val="-3"/>
          <w:szCs w:val="22"/>
        </w:rPr>
      </w:pPr>
    </w:p>
    <w:p w:rsidR="00777DC3" w:rsidP="007E0735" w:rsidRDefault="007E0735" w14:paraId="375BD404" w14:textId="421EDF36">
      <w:pPr>
        <w:tabs>
          <w:tab w:val="left" w:pos="-720"/>
        </w:tabs>
        <w:suppressAutoHyphens/>
        <w:ind w:left="1440"/>
        <w:rPr>
          <w:spacing w:val="-3"/>
          <w:szCs w:val="22"/>
        </w:rPr>
      </w:pPr>
      <w:r w:rsidRPr="004460F4">
        <w:rPr>
          <w:spacing w:val="-3"/>
          <w:szCs w:val="22"/>
        </w:rPr>
        <w:t>(</w:t>
      </w:r>
      <w:r w:rsidRPr="004460F4" w:rsidR="00F41E80">
        <w:rPr>
          <w:spacing w:val="-3"/>
          <w:szCs w:val="22"/>
        </w:rPr>
        <w:t>a)</w:t>
      </w:r>
      <w:r w:rsidRPr="004460F4" w:rsidR="00F41E80">
        <w:rPr>
          <w:spacing w:val="-3"/>
          <w:szCs w:val="22"/>
        </w:rPr>
        <w:tab/>
        <w:t>Re</w:t>
      </w:r>
      <w:r w:rsidRPr="004460F4" w:rsidR="003B712A">
        <w:rPr>
          <w:spacing w:val="-3"/>
          <w:szCs w:val="22"/>
        </w:rPr>
        <w:t>porting</w:t>
      </w:r>
      <w:r w:rsidRPr="004460F4" w:rsidR="00F41E80">
        <w:rPr>
          <w:spacing w:val="-3"/>
          <w:szCs w:val="22"/>
        </w:rPr>
        <w:t xml:space="preserve"> Requirement</w:t>
      </w:r>
      <w:r w:rsidR="00C47AAF">
        <w:rPr>
          <w:spacing w:val="-3"/>
          <w:szCs w:val="22"/>
        </w:rPr>
        <w:t xml:space="preserve"> (Annual Reports)</w:t>
      </w:r>
      <w:r w:rsidR="0070245F">
        <w:rPr>
          <w:spacing w:val="-3"/>
          <w:szCs w:val="22"/>
        </w:rPr>
        <w:t>:</w:t>
      </w:r>
      <w:r w:rsidR="003D2931">
        <w:rPr>
          <w:spacing w:val="-3"/>
          <w:szCs w:val="22"/>
        </w:rPr>
        <w:tab/>
      </w:r>
      <w:r w:rsidRPr="003D2931" w:rsidR="003D2931">
        <w:rPr>
          <w:b/>
          <w:bCs/>
          <w:spacing w:val="-3"/>
          <w:szCs w:val="22"/>
        </w:rPr>
        <w:t>1,600</w:t>
      </w:r>
      <w:r w:rsidR="00B26CBE">
        <w:rPr>
          <w:b/>
          <w:bCs/>
          <w:spacing w:val="-3"/>
          <w:szCs w:val="22"/>
        </w:rPr>
        <w:t>.</w:t>
      </w:r>
      <w:r w:rsidRPr="004460F4" w:rsidR="003B712A">
        <w:rPr>
          <w:spacing w:val="-3"/>
          <w:szCs w:val="22"/>
        </w:rPr>
        <w:tab/>
      </w:r>
      <w:r w:rsidRPr="004460F4" w:rsidR="00763527">
        <w:rPr>
          <w:spacing w:val="-3"/>
          <w:szCs w:val="22"/>
        </w:rPr>
        <w:t xml:space="preserve"> </w:t>
      </w:r>
    </w:p>
    <w:p w:rsidRPr="00AB1E80" w:rsidR="007E0735" w:rsidP="007E0735" w:rsidRDefault="00763527" w14:paraId="13EDB90C" w14:textId="3F7645AD">
      <w:pPr>
        <w:tabs>
          <w:tab w:val="left" w:pos="-720"/>
        </w:tabs>
        <w:suppressAutoHyphens/>
        <w:ind w:left="1440"/>
        <w:rPr>
          <w:spacing w:val="-3"/>
          <w:szCs w:val="22"/>
        </w:rPr>
      </w:pPr>
      <w:r w:rsidRPr="004460F4">
        <w:rPr>
          <w:spacing w:val="-3"/>
          <w:szCs w:val="22"/>
        </w:rPr>
        <w:t xml:space="preserve">  </w:t>
      </w:r>
      <w:r w:rsidR="00CF71C4">
        <w:rPr>
          <w:spacing w:val="-3"/>
          <w:szCs w:val="22"/>
        </w:rPr>
        <w:tab/>
      </w:r>
    </w:p>
    <w:p w:rsidR="003D2931" w:rsidP="007E0735" w:rsidRDefault="007E0735" w14:paraId="023DB021" w14:textId="3565EF23">
      <w:pPr>
        <w:tabs>
          <w:tab w:val="left" w:pos="-720"/>
        </w:tabs>
        <w:suppressAutoHyphens/>
        <w:ind w:left="1440"/>
        <w:rPr>
          <w:spacing w:val="-3"/>
          <w:szCs w:val="22"/>
        </w:rPr>
      </w:pPr>
      <w:r w:rsidRPr="004460F4">
        <w:rPr>
          <w:spacing w:val="-3"/>
          <w:szCs w:val="22"/>
        </w:rPr>
        <w:t>(b)</w:t>
      </w:r>
      <w:r w:rsidRPr="004460F4">
        <w:rPr>
          <w:spacing w:val="-3"/>
          <w:szCs w:val="22"/>
        </w:rPr>
        <w:tab/>
      </w:r>
      <w:r w:rsidRPr="004460F4" w:rsidR="003B712A">
        <w:rPr>
          <w:spacing w:val="-3"/>
          <w:szCs w:val="22"/>
        </w:rPr>
        <w:t xml:space="preserve">Certification </w:t>
      </w:r>
      <w:r w:rsidRPr="004460F4">
        <w:rPr>
          <w:spacing w:val="-3"/>
          <w:szCs w:val="22"/>
        </w:rPr>
        <w:t>Requirement:</w:t>
      </w:r>
      <w:r w:rsidR="003D2931">
        <w:rPr>
          <w:spacing w:val="-3"/>
          <w:szCs w:val="22"/>
        </w:rPr>
        <w:tab/>
      </w:r>
      <w:r w:rsidR="003D2931">
        <w:rPr>
          <w:spacing w:val="-3"/>
          <w:szCs w:val="22"/>
        </w:rPr>
        <w:tab/>
      </w:r>
      <w:r w:rsidR="003D2931">
        <w:rPr>
          <w:spacing w:val="-3"/>
          <w:szCs w:val="22"/>
        </w:rPr>
        <w:tab/>
        <w:t xml:space="preserve">   </w:t>
      </w:r>
      <w:r w:rsidRPr="003D2931" w:rsidR="003D2931">
        <w:rPr>
          <w:b/>
          <w:bCs/>
          <w:spacing w:val="-3"/>
          <w:szCs w:val="22"/>
        </w:rPr>
        <w:t>100</w:t>
      </w:r>
      <w:r w:rsidR="00B26CBE">
        <w:rPr>
          <w:b/>
          <w:bCs/>
          <w:spacing w:val="-3"/>
          <w:szCs w:val="22"/>
        </w:rPr>
        <w:t>.</w:t>
      </w:r>
      <w:r w:rsidR="003D2931">
        <w:rPr>
          <w:spacing w:val="-3"/>
          <w:szCs w:val="22"/>
        </w:rPr>
        <w:tab/>
      </w:r>
    </w:p>
    <w:p w:rsidR="003D2931" w:rsidP="007E0735" w:rsidRDefault="003D2931" w14:paraId="6DA64BA2" w14:textId="2293E75C">
      <w:pPr>
        <w:tabs>
          <w:tab w:val="left" w:pos="-720"/>
        </w:tabs>
        <w:suppressAutoHyphens/>
        <w:ind w:left="1440"/>
        <w:rPr>
          <w:spacing w:val="-3"/>
          <w:szCs w:val="22"/>
        </w:rPr>
      </w:pPr>
      <w:r>
        <w:rPr>
          <w:spacing w:val="-3"/>
          <w:szCs w:val="22"/>
        </w:rPr>
        <w:tab/>
      </w:r>
      <w:r>
        <w:rPr>
          <w:spacing w:val="-3"/>
          <w:szCs w:val="22"/>
        </w:rPr>
        <w:tab/>
        <w:t xml:space="preserve">   </w:t>
      </w:r>
      <w:r>
        <w:rPr>
          <w:spacing w:val="-3"/>
          <w:szCs w:val="22"/>
        </w:rPr>
        <w:tab/>
        <w:t xml:space="preserve">  </w:t>
      </w:r>
      <w:r w:rsidRPr="004460F4" w:rsidR="003B712A">
        <w:rPr>
          <w:spacing w:val="-3"/>
          <w:szCs w:val="22"/>
        </w:rPr>
        <w:tab/>
      </w:r>
      <w:r w:rsidRPr="004460F4" w:rsidR="003B712A">
        <w:rPr>
          <w:spacing w:val="-3"/>
          <w:szCs w:val="22"/>
        </w:rPr>
        <w:tab/>
      </w:r>
      <w:r w:rsidR="00AA4BC6">
        <w:rPr>
          <w:spacing w:val="-3"/>
          <w:szCs w:val="22"/>
        </w:rPr>
        <w:t xml:space="preserve"> </w:t>
      </w:r>
      <w:r w:rsidRPr="004460F4" w:rsidR="003B712A">
        <w:rPr>
          <w:spacing w:val="-3"/>
          <w:szCs w:val="22"/>
        </w:rPr>
        <w:t xml:space="preserve"> </w:t>
      </w:r>
      <w:r>
        <w:rPr>
          <w:spacing w:val="-3"/>
          <w:szCs w:val="22"/>
        </w:rPr>
        <w:t xml:space="preserve"> </w:t>
      </w:r>
      <w:r w:rsidRPr="004460F4" w:rsidR="003B712A">
        <w:rPr>
          <w:spacing w:val="-3"/>
          <w:szCs w:val="22"/>
        </w:rPr>
        <w:t xml:space="preserve"> </w:t>
      </w:r>
      <w:r w:rsidRPr="00AB1E80" w:rsidR="00183BF5">
        <w:rPr>
          <w:spacing w:val="-3"/>
          <w:szCs w:val="22"/>
          <w:u w:val="single"/>
        </w:rPr>
        <w:br/>
      </w:r>
      <w:r w:rsidRPr="00AB1E80" w:rsidR="00183BF5">
        <w:rPr>
          <w:spacing w:val="-3"/>
          <w:szCs w:val="22"/>
        </w:rPr>
        <w:t>(c)        Consumer Disclosure Requirement</w:t>
      </w:r>
      <w:r w:rsidR="00A47701">
        <w:rPr>
          <w:spacing w:val="-3"/>
          <w:szCs w:val="22"/>
        </w:rPr>
        <w:t>s</w:t>
      </w:r>
      <w:r w:rsidRPr="00AB1E80" w:rsidR="00183BF5">
        <w:rPr>
          <w:spacing w:val="-3"/>
          <w:szCs w:val="22"/>
        </w:rPr>
        <w:t>:</w:t>
      </w:r>
      <w:r>
        <w:rPr>
          <w:spacing w:val="-3"/>
          <w:szCs w:val="22"/>
        </w:rPr>
        <w:tab/>
      </w:r>
    </w:p>
    <w:p w:rsidR="007E0735" w:rsidP="007E0735" w:rsidRDefault="003D2931" w14:paraId="21E0CFE3" w14:textId="6E5FD61F">
      <w:pPr>
        <w:tabs>
          <w:tab w:val="left" w:pos="-720"/>
        </w:tabs>
        <w:suppressAutoHyphens/>
        <w:ind w:left="1440"/>
        <w:rPr>
          <w:spacing w:val="-3"/>
          <w:szCs w:val="22"/>
        </w:rPr>
      </w:pPr>
      <w:r>
        <w:rPr>
          <w:spacing w:val="-3"/>
          <w:szCs w:val="22"/>
        </w:rPr>
        <w:tab/>
      </w:r>
    </w:p>
    <w:p w:rsidR="00777DC3" w:rsidP="00317379" w:rsidRDefault="00317379" w14:paraId="0356666F" w14:textId="28703A05">
      <w:pPr>
        <w:tabs>
          <w:tab w:val="left" w:pos="-720"/>
        </w:tabs>
        <w:suppressAutoHyphens/>
        <w:rPr>
          <w:spacing w:val="-3"/>
          <w:szCs w:val="22"/>
        </w:rPr>
      </w:pPr>
      <w:r>
        <w:rPr>
          <w:spacing w:val="-3"/>
          <w:szCs w:val="22"/>
        </w:rPr>
        <w:tab/>
      </w:r>
      <w:r>
        <w:rPr>
          <w:spacing w:val="-3"/>
          <w:szCs w:val="22"/>
        </w:rPr>
        <w:tab/>
      </w:r>
      <w:r>
        <w:rPr>
          <w:spacing w:val="-3"/>
          <w:szCs w:val="22"/>
        </w:rPr>
        <w:tab/>
      </w:r>
      <w:r w:rsidR="00332D41">
        <w:rPr>
          <w:spacing w:val="-3"/>
          <w:szCs w:val="22"/>
        </w:rPr>
        <w:t>-</w:t>
      </w:r>
      <w:r w:rsidR="006D309A">
        <w:rPr>
          <w:spacing w:val="-3"/>
          <w:szCs w:val="22"/>
        </w:rPr>
        <w:t xml:space="preserve"> </w:t>
      </w:r>
      <w:r w:rsidR="003D2931">
        <w:rPr>
          <w:spacing w:val="-3"/>
          <w:szCs w:val="22"/>
        </w:rPr>
        <w:t xml:space="preserve">Disclosure of </w:t>
      </w:r>
      <w:r w:rsidRPr="003D2931" w:rsidR="003D2931">
        <w:rPr>
          <w:spacing w:val="-3"/>
          <w:szCs w:val="22"/>
        </w:rPr>
        <w:t>Interstate, Intrastate</w:t>
      </w:r>
      <w:r>
        <w:rPr>
          <w:spacing w:val="-3"/>
          <w:szCs w:val="22"/>
        </w:rPr>
        <w:t xml:space="preserve"> and </w:t>
      </w:r>
      <w:r>
        <w:rPr>
          <w:spacing w:val="-3"/>
          <w:szCs w:val="22"/>
        </w:rPr>
        <w:tab/>
      </w:r>
      <w:r w:rsidR="00332D41">
        <w:rPr>
          <w:spacing w:val="-3"/>
          <w:szCs w:val="22"/>
        </w:rPr>
        <w:tab/>
        <w:t xml:space="preserve">    </w:t>
      </w:r>
      <w:r w:rsidRPr="00332D41" w:rsidR="00332D41">
        <w:rPr>
          <w:b/>
          <w:bCs/>
          <w:spacing w:val="-3"/>
          <w:szCs w:val="22"/>
        </w:rPr>
        <w:t>400</w:t>
      </w:r>
      <w:r w:rsidR="00B26CBE">
        <w:rPr>
          <w:b/>
          <w:bCs/>
          <w:spacing w:val="-3"/>
          <w:szCs w:val="22"/>
        </w:rPr>
        <w:t>.</w:t>
      </w:r>
    </w:p>
    <w:p w:rsidR="00317379" w:rsidP="00D97BE7" w:rsidRDefault="003D2931" w14:paraId="3A6FA035" w14:textId="1F1F7F81">
      <w:pPr>
        <w:tabs>
          <w:tab w:val="left" w:pos="-720"/>
        </w:tabs>
        <w:suppressAutoHyphens/>
        <w:ind w:left="2880" w:hanging="720"/>
        <w:rPr>
          <w:spacing w:val="-3"/>
          <w:szCs w:val="22"/>
        </w:rPr>
      </w:pPr>
      <w:r w:rsidRPr="003D2931">
        <w:rPr>
          <w:spacing w:val="-3"/>
          <w:szCs w:val="22"/>
        </w:rPr>
        <w:t>International Rates and Ancillary Service Charg</w:t>
      </w:r>
      <w:r w:rsidR="00B95856">
        <w:rPr>
          <w:spacing w:val="-3"/>
          <w:szCs w:val="22"/>
        </w:rPr>
        <w:t xml:space="preserve">es </w:t>
      </w:r>
    </w:p>
    <w:p w:rsidR="00B95856" w:rsidP="00D97BE7" w:rsidRDefault="00B95856" w14:paraId="66A92E70" w14:textId="7F7EB195">
      <w:pPr>
        <w:tabs>
          <w:tab w:val="left" w:pos="-720"/>
        </w:tabs>
        <w:suppressAutoHyphens/>
        <w:ind w:left="2880" w:hanging="720"/>
        <w:rPr>
          <w:spacing w:val="-3"/>
          <w:szCs w:val="22"/>
        </w:rPr>
      </w:pPr>
      <w:r>
        <w:rPr>
          <w:spacing w:val="-3"/>
          <w:szCs w:val="22"/>
        </w:rPr>
        <w:t xml:space="preserve">      </w:t>
      </w:r>
    </w:p>
    <w:p w:rsidRPr="00B95856" w:rsidR="003D2931" w:rsidP="00D97BE7" w:rsidRDefault="00B95856" w14:paraId="1F57969B" w14:textId="03D4A90C">
      <w:pPr>
        <w:tabs>
          <w:tab w:val="left" w:pos="-720"/>
        </w:tabs>
        <w:suppressAutoHyphens/>
        <w:ind w:left="2880" w:hanging="720"/>
        <w:rPr>
          <w:spacing w:val="-3"/>
          <w:szCs w:val="22"/>
        </w:rPr>
      </w:pPr>
      <w:r>
        <w:rPr>
          <w:spacing w:val="-3"/>
          <w:szCs w:val="22"/>
        </w:rPr>
        <w:t xml:space="preserve">- Consumer Disclosure Billing Requirement               </w:t>
      </w:r>
      <w:r w:rsidR="00B85B08">
        <w:rPr>
          <w:b/>
          <w:bCs/>
          <w:spacing w:val="-3"/>
          <w:szCs w:val="22"/>
        </w:rPr>
        <w:t>60</w:t>
      </w:r>
      <w:r w:rsidRPr="00B95856">
        <w:rPr>
          <w:b/>
          <w:bCs/>
          <w:spacing w:val="-3"/>
          <w:szCs w:val="22"/>
        </w:rPr>
        <w:t>0</w:t>
      </w:r>
      <w:r w:rsidR="00B74053">
        <w:rPr>
          <w:b/>
          <w:bCs/>
          <w:spacing w:val="-3"/>
          <w:szCs w:val="22"/>
        </w:rPr>
        <w:t>.</w:t>
      </w:r>
      <w:r>
        <w:rPr>
          <w:spacing w:val="-3"/>
          <w:szCs w:val="22"/>
        </w:rPr>
        <w:tab/>
      </w:r>
    </w:p>
    <w:p w:rsidR="003D2931" w:rsidP="003D2931" w:rsidRDefault="003D2931" w14:paraId="7A11EA15" w14:textId="77777777">
      <w:pPr>
        <w:tabs>
          <w:tab w:val="left" w:pos="-720"/>
        </w:tabs>
        <w:suppressAutoHyphens/>
        <w:rPr>
          <w:spacing w:val="-3"/>
          <w:szCs w:val="22"/>
        </w:rPr>
      </w:pPr>
    </w:p>
    <w:p w:rsidR="004E4D76" w:rsidP="007E0735" w:rsidRDefault="004E4D76" w14:paraId="4893F8BA" w14:textId="166B2B7E">
      <w:pPr>
        <w:tabs>
          <w:tab w:val="left" w:pos="-720"/>
        </w:tabs>
        <w:suppressAutoHyphens/>
        <w:ind w:left="1440"/>
        <w:rPr>
          <w:spacing w:val="-3"/>
          <w:szCs w:val="22"/>
        </w:rPr>
      </w:pPr>
      <w:r>
        <w:rPr>
          <w:spacing w:val="-3"/>
          <w:szCs w:val="22"/>
        </w:rPr>
        <w:t>(d)</w:t>
      </w:r>
      <w:r>
        <w:rPr>
          <w:spacing w:val="-3"/>
          <w:szCs w:val="22"/>
        </w:rPr>
        <w:tab/>
      </w:r>
      <w:r w:rsidR="00A47701">
        <w:rPr>
          <w:spacing w:val="-3"/>
          <w:szCs w:val="22"/>
        </w:rPr>
        <w:t xml:space="preserve">Waiver Request </w:t>
      </w:r>
      <w:r w:rsidR="00B219B5">
        <w:rPr>
          <w:spacing w:val="-3"/>
          <w:szCs w:val="22"/>
        </w:rPr>
        <w:t>Reporting Requirement</w:t>
      </w:r>
      <w:r w:rsidR="00B74B77">
        <w:rPr>
          <w:spacing w:val="-3"/>
          <w:szCs w:val="22"/>
        </w:rPr>
        <w:t>:</w:t>
      </w:r>
      <w:r w:rsidR="003D2931">
        <w:rPr>
          <w:spacing w:val="-3"/>
          <w:szCs w:val="22"/>
        </w:rPr>
        <w:tab/>
      </w:r>
      <w:r w:rsidR="003D2931">
        <w:rPr>
          <w:spacing w:val="-3"/>
          <w:szCs w:val="22"/>
        </w:rPr>
        <w:tab/>
      </w:r>
      <w:r w:rsidR="008F749C">
        <w:rPr>
          <w:spacing w:val="-3"/>
          <w:szCs w:val="22"/>
        </w:rPr>
        <w:t xml:space="preserve">   </w:t>
      </w:r>
      <w:r w:rsidR="00332D41">
        <w:rPr>
          <w:spacing w:val="-3"/>
          <w:szCs w:val="22"/>
        </w:rPr>
        <w:t xml:space="preserve"> </w:t>
      </w:r>
      <w:r w:rsidRPr="008F749C" w:rsidR="008F749C">
        <w:rPr>
          <w:b/>
          <w:bCs/>
          <w:spacing w:val="-3"/>
          <w:szCs w:val="22"/>
        </w:rPr>
        <w:t>240</w:t>
      </w:r>
      <w:r w:rsidR="00B74053">
        <w:rPr>
          <w:b/>
          <w:bCs/>
          <w:spacing w:val="-3"/>
          <w:szCs w:val="22"/>
        </w:rPr>
        <w:t>.</w:t>
      </w:r>
      <w:r w:rsidR="003D2931">
        <w:rPr>
          <w:spacing w:val="-3"/>
          <w:szCs w:val="22"/>
        </w:rPr>
        <w:tab/>
      </w:r>
    </w:p>
    <w:p w:rsidRPr="00AB1E80" w:rsidR="004E4D76" w:rsidP="007E0735" w:rsidRDefault="004E4D76" w14:paraId="6FB9D96D" w14:textId="77777777">
      <w:pPr>
        <w:tabs>
          <w:tab w:val="left" w:pos="-720"/>
        </w:tabs>
        <w:suppressAutoHyphens/>
        <w:ind w:left="1440"/>
        <w:rPr>
          <w:spacing w:val="-3"/>
          <w:szCs w:val="22"/>
        </w:rPr>
      </w:pPr>
    </w:p>
    <w:p w:rsidRPr="004460F4" w:rsidR="007E0735" w:rsidP="007E0735" w:rsidRDefault="007E0735" w14:paraId="47D70CFA" w14:textId="77777777">
      <w:pPr>
        <w:tabs>
          <w:tab w:val="left" w:pos="-720"/>
        </w:tabs>
        <w:suppressAutoHyphens/>
        <w:rPr>
          <w:b/>
          <w:spacing w:val="-3"/>
          <w:szCs w:val="22"/>
        </w:rPr>
      </w:pPr>
      <w:r w:rsidRPr="004460F4">
        <w:rPr>
          <w:b/>
          <w:spacing w:val="-3"/>
          <w:szCs w:val="22"/>
        </w:rPr>
        <w:tab/>
      </w:r>
      <w:r w:rsidRPr="004460F4">
        <w:rPr>
          <w:b/>
          <w:spacing w:val="-3"/>
          <w:szCs w:val="22"/>
        </w:rPr>
        <w:tab/>
      </w:r>
      <w:r w:rsidRPr="004460F4">
        <w:rPr>
          <w:b/>
          <w:spacing w:val="-3"/>
          <w:szCs w:val="22"/>
        </w:rPr>
        <w:tab/>
        <w:t xml:space="preserve"> </w:t>
      </w:r>
    </w:p>
    <w:p w:rsidRPr="00AB1E80" w:rsidR="001946D2" w:rsidP="007E0735" w:rsidRDefault="001946D2" w14:paraId="2019BFB2" w14:textId="31FFC0C8">
      <w:pPr>
        <w:tabs>
          <w:tab w:val="left" w:pos="-720"/>
        </w:tabs>
        <w:suppressAutoHyphens/>
        <w:ind w:left="720"/>
        <w:rPr>
          <w:b/>
          <w:spacing w:val="-3"/>
          <w:szCs w:val="22"/>
        </w:rPr>
      </w:pPr>
      <w:r w:rsidRPr="004460F4">
        <w:rPr>
          <w:b/>
          <w:spacing w:val="-3"/>
          <w:szCs w:val="22"/>
        </w:rPr>
        <w:t xml:space="preserve">Total Respondents:  </w:t>
      </w:r>
      <w:r w:rsidR="00521B88">
        <w:rPr>
          <w:b/>
          <w:spacing w:val="-3"/>
          <w:szCs w:val="22"/>
        </w:rPr>
        <w:t>20</w:t>
      </w:r>
      <w:r w:rsidR="00B74053">
        <w:rPr>
          <w:b/>
          <w:spacing w:val="-3"/>
          <w:szCs w:val="22"/>
        </w:rPr>
        <w:t>.</w:t>
      </w:r>
    </w:p>
    <w:p w:rsidR="00E34679" w:rsidP="007E0735" w:rsidRDefault="001946D2" w14:paraId="387F1BE6" w14:textId="3B9399C4">
      <w:pPr>
        <w:tabs>
          <w:tab w:val="left" w:pos="-720"/>
        </w:tabs>
        <w:suppressAutoHyphens/>
        <w:ind w:left="720"/>
        <w:rPr>
          <w:b/>
          <w:spacing w:val="-3"/>
          <w:szCs w:val="22"/>
        </w:rPr>
      </w:pPr>
      <w:r w:rsidRPr="00AB1E80">
        <w:rPr>
          <w:b/>
          <w:spacing w:val="-3"/>
          <w:szCs w:val="22"/>
        </w:rPr>
        <w:t>Total Responses</w:t>
      </w:r>
      <w:r w:rsidR="00B13E33">
        <w:rPr>
          <w:b/>
          <w:spacing w:val="-3"/>
          <w:szCs w:val="22"/>
        </w:rPr>
        <w:t xml:space="preserve">: </w:t>
      </w:r>
      <w:r w:rsidR="002C4EF3">
        <w:rPr>
          <w:b/>
          <w:spacing w:val="-3"/>
          <w:szCs w:val="22"/>
        </w:rPr>
        <w:t xml:space="preserve"> </w:t>
      </w:r>
      <w:r w:rsidR="00512143">
        <w:rPr>
          <w:b/>
          <w:spacing w:val="-3"/>
          <w:szCs w:val="22"/>
        </w:rPr>
        <w:t>2</w:t>
      </w:r>
      <w:r w:rsidR="000A56A3">
        <w:rPr>
          <w:b/>
          <w:spacing w:val="-3"/>
          <w:szCs w:val="22"/>
        </w:rPr>
        <w:t xml:space="preserve">0 </w:t>
      </w:r>
      <w:r w:rsidR="00FD1187">
        <w:rPr>
          <w:b/>
          <w:spacing w:val="-3"/>
          <w:szCs w:val="22"/>
        </w:rPr>
        <w:t>+ 3 = 23</w:t>
      </w:r>
      <w:r w:rsidR="00B74053">
        <w:rPr>
          <w:b/>
          <w:spacing w:val="-3"/>
          <w:szCs w:val="22"/>
        </w:rPr>
        <w:t>.</w:t>
      </w:r>
    </w:p>
    <w:p w:rsidRPr="00AB1E80" w:rsidR="001946D2" w:rsidP="007A005D" w:rsidRDefault="007A005D" w14:paraId="0769F2CC" w14:textId="5DCE75B3">
      <w:pPr>
        <w:tabs>
          <w:tab w:val="left" w:pos="-720"/>
        </w:tabs>
        <w:suppressAutoHyphens/>
        <w:rPr>
          <w:spacing w:val="-3"/>
          <w:szCs w:val="22"/>
        </w:rPr>
      </w:pPr>
      <w:r>
        <w:rPr>
          <w:b/>
          <w:spacing w:val="-3"/>
          <w:szCs w:val="22"/>
        </w:rPr>
        <w:tab/>
      </w:r>
      <w:r w:rsidRPr="00AB1E80" w:rsidR="001946D2">
        <w:rPr>
          <w:b/>
          <w:spacing w:val="-3"/>
          <w:szCs w:val="22"/>
        </w:rPr>
        <w:t xml:space="preserve">Total In-House Costs:  </w:t>
      </w:r>
      <w:r w:rsidRPr="00400915" w:rsidR="00400915">
        <w:rPr>
          <w:b/>
          <w:spacing w:val="-3"/>
          <w:szCs w:val="22"/>
        </w:rPr>
        <w:t>$90,096</w:t>
      </w:r>
      <w:r w:rsidR="00400915">
        <w:rPr>
          <w:b/>
          <w:spacing w:val="-3"/>
          <w:szCs w:val="22"/>
        </w:rPr>
        <w:t xml:space="preserve"> + </w:t>
      </w:r>
      <w:r w:rsidRPr="00400915" w:rsidR="00400915">
        <w:rPr>
          <w:b/>
          <w:spacing w:val="-3"/>
          <w:szCs w:val="22"/>
        </w:rPr>
        <w:t>$12,500</w:t>
      </w:r>
      <w:r w:rsidR="00400915">
        <w:rPr>
          <w:b/>
          <w:spacing w:val="-3"/>
          <w:szCs w:val="22"/>
        </w:rPr>
        <w:t xml:space="preserve"> + </w:t>
      </w:r>
      <w:r w:rsidRPr="00400915" w:rsidR="00400915">
        <w:rPr>
          <w:b/>
          <w:spacing w:val="-3"/>
          <w:szCs w:val="22"/>
        </w:rPr>
        <w:t>$22,524</w:t>
      </w:r>
      <w:r w:rsidR="00400915">
        <w:rPr>
          <w:b/>
          <w:spacing w:val="-3"/>
          <w:szCs w:val="22"/>
        </w:rPr>
        <w:t xml:space="preserve"> + </w:t>
      </w:r>
      <w:r w:rsidRPr="00400915" w:rsidR="00400915">
        <w:rPr>
          <w:b/>
          <w:spacing w:val="-3"/>
          <w:szCs w:val="22"/>
        </w:rPr>
        <w:t>$</w:t>
      </w:r>
      <w:r w:rsidR="00704BA0">
        <w:rPr>
          <w:b/>
          <w:spacing w:val="-3"/>
          <w:szCs w:val="22"/>
        </w:rPr>
        <w:t>33,786</w:t>
      </w:r>
      <w:r w:rsidR="00400915">
        <w:rPr>
          <w:b/>
          <w:spacing w:val="-3"/>
          <w:szCs w:val="22"/>
        </w:rPr>
        <w:t xml:space="preserve"> + </w:t>
      </w:r>
      <w:r w:rsidRPr="00400915" w:rsidR="00400915">
        <w:rPr>
          <w:b/>
          <w:spacing w:val="-3"/>
          <w:szCs w:val="22"/>
        </w:rPr>
        <w:t>$</w:t>
      </w:r>
      <w:r w:rsidR="00462DD5">
        <w:rPr>
          <w:b/>
          <w:spacing w:val="-3"/>
          <w:szCs w:val="22"/>
        </w:rPr>
        <w:t>30,000</w:t>
      </w:r>
      <w:r w:rsidR="00400915">
        <w:rPr>
          <w:b/>
          <w:spacing w:val="-3"/>
          <w:szCs w:val="22"/>
        </w:rPr>
        <w:t xml:space="preserve"> = $</w:t>
      </w:r>
      <w:r w:rsidR="00462DD5">
        <w:rPr>
          <w:b/>
          <w:spacing w:val="-3"/>
          <w:szCs w:val="22"/>
        </w:rPr>
        <w:t>18</w:t>
      </w:r>
      <w:r w:rsidR="00704BA0">
        <w:rPr>
          <w:b/>
          <w:spacing w:val="-3"/>
          <w:szCs w:val="22"/>
        </w:rPr>
        <w:t>8</w:t>
      </w:r>
      <w:r w:rsidR="00462DD5">
        <w:rPr>
          <w:b/>
          <w:spacing w:val="-3"/>
          <w:szCs w:val="22"/>
        </w:rPr>
        <w:t>,</w:t>
      </w:r>
      <w:r w:rsidR="00704BA0">
        <w:rPr>
          <w:b/>
          <w:spacing w:val="-3"/>
          <w:szCs w:val="22"/>
        </w:rPr>
        <w:t>906</w:t>
      </w:r>
      <w:r w:rsidR="00D416BB">
        <w:rPr>
          <w:b/>
          <w:spacing w:val="-3"/>
          <w:szCs w:val="22"/>
        </w:rPr>
        <w:t>.</w:t>
      </w:r>
    </w:p>
    <w:p w:rsidRPr="00AB1E80" w:rsidR="007E0735" w:rsidP="007E0735" w:rsidRDefault="007E0735" w14:paraId="06943668" w14:textId="7ADB32AE">
      <w:pPr>
        <w:tabs>
          <w:tab w:val="left" w:pos="-720"/>
        </w:tabs>
        <w:suppressAutoHyphens/>
        <w:ind w:left="720"/>
        <w:rPr>
          <w:b/>
          <w:spacing w:val="-3"/>
          <w:szCs w:val="22"/>
        </w:rPr>
      </w:pPr>
      <w:r w:rsidRPr="00AB1E80">
        <w:rPr>
          <w:b/>
          <w:spacing w:val="-3"/>
          <w:szCs w:val="22"/>
        </w:rPr>
        <w:t>Total Annual Burden Hours</w:t>
      </w:r>
      <w:r w:rsidR="00C47AAF">
        <w:rPr>
          <w:b/>
          <w:spacing w:val="-3"/>
          <w:szCs w:val="22"/>
        </w:rPr>
        <w:t xml:space="preserve">:  </w:t>
      </w:r>
      <w:r w:rsidR="001B56E5">
        <w:rPr>
          <w:b/>
          <w:spacing w:val="-3"/>
          <w:szCs w:val="22"/>
        </w:rPr>
        <w:t xml:space="preserve">1,600 + </w:t>
      </w:r>
      <w:r w:rsidR="004D3A27">
        <w:rPr>
          <w:b/>
          <w:spacing w:val="-3"/>
          <w:szCs w:val="22"/>
        </w:rPr>
        <w:t xml:space="preserve">100 + 400 + </w:t>
      </w:r>
      <w:r w:rsidR="00B85B08">
        <w:rPr>
          <w:b/>
          <w:spacing w:val="-3"/>
          <w:szCs w:val="22"/>
        </w:rPr>
        <w:t>60</w:t>
      </w:r>
      <w:r w:rsidR="004D3A27">
        <w:rPr>
          <w:b/>
          <w:spacing w:val="-3"/>
          <w:szCs w:val="22"/>
        </w:rPr>
        <w:t xml:space="preserve">0 +240 = </w:t>
      </w:r>
      <w:r w:rsidR="006C1385">
        <w:rPr>
          <w:b/>
          <w:spacing w:val="-3"/>
          <w:szCs w:val="22"/>
        </w:rPr>
        <w:t>2,</w:t>
      </w:r>
      <w:r w:rsidR="00B85B08">
        <w:rPr>
          <w:b/>
          <w:spacing w:val="-3"/>
          <w:szCs w:val="22"/>
        </w:rPr>
        <w:t>940</w:t>
      </w:r>
      <w:r w:rsidR="006C1385">
        <w:rPr>
          <w:b/>
          <w:spacing w:val="-3"/>
          <w:szCs w:val="22"/>
        </w:rPr>
        <w:t>.</w:t>
      </w:r>
    </w:p>
    <w:p w:rsidRPr="004460F4" w:rsidR="007E0735" w:rsidP="007E0735" w:rsidRDefault="007E0735" w14:paraId="7EF7F364" w14:textId="77777777">
      <w:pPr>
        <w:tabs>
          <w:tab w:val="left" w:pos="-720"/>
        </w:tabs>
        <w:suppressAutoHyphens/>
        <w:rPr>
          <w:b/>
          <w:spacing w:val="-3"/>
          <w:szCs w:val="22"/>
        </w:rPr>
      </w:pPr>
    </w:p>
    <w:p w:rsidRPr="004460F4" w:rsidR="007E0735" w:rsidP="007E0735" w:rsidRDefault="007E0735" w14:paraId="09414BB4" w14:textId="77777777">
      <w:pPr>
        <w:pStyle w:val="Numberedparagraphs"/>
        <w:numPr>
          <w:ilvl w:val="0"/>
          <w:numId w:val="0"/>
        </w:numPr>
        <w:tabs>
          <w:tab w:val="clear" w:pos="1440"/>
        </w:tabs>
        <w:ind w:firstLine="720"/>
        <w:rPr>
          <w:szCs w:val="22"/>
        </w:rPr>
      </w:pPr>
      <w:r w:rsidRPr="004460F4">
        <w:rPr>
          <w:spacing w:val="-3"/>
          <w:szCs w:val="22"/>
        </w:rPr>
        <w:t>13.  E</w:t>
      </w:r>
      <w:r w:rsidRPr="004460F4">
        <w:rPr>
          <w:szCs w:val="22"/>
        </w:rPr>
        <w:t>stimated operations and maintenance (O&amp;M) costs of respondents resulting from the collection of information:</w:t>
      </w:r>
    </w:p>
    <w:p w:rsidRPr="004460F4" w:rsidR="00443F78" w:rsidP="007E0735" w:rsidRDefault="007E0735" w14:paraId="2901DBFC" w14:textId="77777777">
      <w:pPr>
        <w:pStyle w:val="Numberedparagraphs"/>
        <w:numPr>
          <w:ilvl w:val="0"/>
          <w:numId w:val="0"/>
        </w:numPr>
        <w:tabs>
          <w:tab w:val="clear" w:pos="1440"/>
          <w:tab w:val="left" w:pos="720"/>
        </w:tabs>
        <w:rPr>
          <w:szCs w:val="22"/>
        </w:rPr>
      </w:pPr>
      <w:r w:rsidRPr="004460F4">
        <w:rPr>
          <w:szCs w:val="22"/>
        </w:rPr>
        <w:tab/>
        <w:t>(a)</w:t>
      </w:r>
      <w:r w:rsidRPr="004460F4">
        <w:rPr>
          <w:szCs w:val="22"/>
        </w:rPr>
        <w:tab/>
      </w:r>
      <w:r w:rsidRPr="004460F4">
        <w:rPr>
          <w:szCs w:val="22"/>
          <w:u w:val="single"/>
        </w:rPr>
        <w:t>Total capital start-up costs component annualized over its expected useful life:</w:t>
      </w:r>
      <w:r w:rsidRPr="004460F4">
        <w:rPr>
          <w:szCs w:val="22"/>
        </w:rPr>
        <w:t xml:space="preserve"> $0.  </w:t>
      </w:r>
    </w:p>
    <w:p w:rsidRPr="004460F4" w:rsidR="007E0735" w:rsidP="007E0735" w:rsidRDefault="00443F78" w14:paraId="476110BD" w14:textId="2DC8AFB6">
      <w:pPr>
        <w:pStyle w:val="Numberedparagraphs"/>
        <w:numPr>
          <w:ilvl w:val="0"/>
          <w:numId w:val="0"/>
        </w:numPr>
        <w:tabs>
          <w:tab w:val="clear" w:pos="1440"/>
          <w:tab w:val="left" w:pos="720"/>
        </w:tabs>
        <w:rPr>
          <w:szCs w:val="22"/>
        </w:rPr>
      </w:pPr>
      <w:r w:rsidRPr="004460F4">
        <w:rPr>
          <w:szCs w:val="22"/>
        </w:rPr>
        <w:tab/>
      </w:r>
      <w:r w:rsidRPr="004460F4" w:rsidR="007E0735">
        <w:rPr>
          <w:szCs w:val="22"/>
        </w:rPr>
        <w:t xml:space="preserve">The collections will not result in additional capital expenditures such as computers or software.  </w:t>
      </w:r>
      <w:r w:rsidR="00687115">
        <w:rPr>
          <w:szCs w:val="22"/>
        </w:rPr>
        <w:t xml:space="preserve">Providers, however, </w:t>
      </w:r>
      <w:r w:rsidR="00B13E33">
        <w:rPr>
          <w:szCs w:val="22"/>
        </w:rPr>
        <w:t>may</w:t>
      </w:r>
      <w:r w:rsidR="00687115">
        <w:rPr>
          <w:szCs w:val="22"/>
        </w:rPr>
        <w:t xml:space="preserve"> need to update existing software to comply with the </w:t>
      </w:r>
      <w:r w:rsidRPr="003E24F0" w:rsidR="00687115">
        <w:rPr>
          <w:szCs w:val="22"/>
        </w:rPr>
        <w:t xml:space="preserve">requirement that ICS providers clearly label </w:t>
      </w:r>
      <w:r w:rsidR="00687115">
        <w:rPr>
          <w:szCs w:val="22"/>
        </w:rPr>
        <w:t>ce</w:t>
      </w:r>
      <w:r w:rsidR="00D111C6">
        <w:rPr>
          <w:szCs w:val="22"/>
        </w:rPr>
        <w:t>rtain</w:t>
      </w:r>
      <w:r w:rsidRPr="003E24F0" w:rsidR="00687115">
        <w:rPr>
          <w:szCs w:val="22"/>
        </w:rPr>
        <w:t xml:space="preserve"> rate components as separate line items on consumer bills</w:t>
      </w:r>
      <w:r w:rsidR="00D111C6">
        <w:rPr>
          <w:szCs w:val="22"/>
        </w:rPr>
        <w:t>.</w:t>
      </w:r>
    </w:p>
    <w:p w:rsidRPr="004460F4" w:rsidR="007E0735" w:rsidP="007E0735" w:rsidRDefault="007E0735" w14:paraId="71CBF35B" w14:textId="77777777">
      <w:pPr>
        <w:pStyle w:val="Numberedparagraphs"/>
        <w:numPr>
          <w:ilvl w:val="0"/>
          <w:numId w:val="0"/>
        </w:numPr>
        <w:tabs>
          <w:tab w:val="clear" w:pos="1440"/>
          <w:tab w:val="left" w:pos="720"/>
        </w:tabs>
        <w:rPr>
          <w:szCs w:val="22"/>
        </w:rPr>
      </w:pPr>
      <w:r w:rsidRPr="004460F4">
        <w:rPr>
          <w:szCs w:val="22"/>
        </w:rPr>
        <w:tab/>
        <w:t>(b)</w:t>
      </w:r>
      <w:r w:rsidRPr="004460F4">
        <w:rPr>
          <w:szCs w:val="22"/>
        </w:rPr>
        <w:tab/>
      </w:r>
      <w:r w:rsidRPr="004460F4">
        <w:rPr>
          <w:szCs w:val="22"/>
          <w:u w:val="single"/>
        </w:rPr>
        <w:t>Total operation and maintenance and purchase of services component:</w:t>
      </w:r>
      <w:r w:rsidRPr="004460F4">
        <w:rPr>
          <w:szCs w:val="22"/>
        </w:rPr>
        <w:t xml:space="preserve">  $0.</w:t>
      </w:r>
    </w:p>
    <w:p w:rsidRPr="004460F4" w:rsidR="007E0735" w:rsidP="007E0735" w:rsidRDefault="007E0735" w14:paraId="3843DBF3" w14:textId="77777777">
      <w:pPr>
        <w:pStyle w:val="Numberedparagraphs"/>
        <w:numPr>
          <w:ilvl w:val="0"/>
          <w:numId w:val="0"/>
        </w:numPr>
        <w:tabs>
          <w:tab w:val="clear" w:pos="1440"/>
          <w:tab w:val="left" w:pos="720"/>
        </w:tabs>
        <w:rPr>
          <w:szCs w:val="22"/>
        </w:rPr>
      </w:pPr>
      <w:r w:rsidRPr="004460F4">
        <w:rPr>
          <w:szCs w:val="22"/>
        </w:rPr>
        <w:tab/>
        <w:t>(c)</w:t>
      </w:r>
      <w:r w:rsidRPr="004460F4">
        <w:rPr>
          <w:szCs w:val="22"/>
        </w:rPr>
        <w:tab/>
      </w:r>
      <w:r w:rsidRPr="004460F4">
        <w:rPr>
          <w:szCs w:val="22"/>
          <w:u w:val="single"/>
        </w:rPr>
        <w:t>Total annualized cost requested</w:t>
      </w:r>
      <w:r w:rsidRPr="004460F4">
        <w:rPr>
          <w:szCs w:val="22"/>
        </w:rPr>
        <w:t xml:space="preserve">:  </w:t>
      </w:r>
      <w:r w:rsidRPr="004460F4">
        <w:rPr>
          <w:b/>
          <w:szCs w:val="22"/>
        </w:rPr>
        <w:t>$0</w:t>
      </w:r>
      <w:r w:rsidRPr="004460F4">
        <w:rPr>
          <w:szCs w:val="22"/>
        </w:rPr>
        <w:t>.</w:t>
      </w:r>
    </w:p>
    <w:p w:rsidRPr="004460F4" w:rsidR="007E0735" w:rsidP="007E0735" w:rsidRDefault="007E0735" w14:paraId="1E59D6B7" w14:textId="77777777">
      <w:pPr>
        <w:pStyle w:val="Numberedparagraphs"/>
        <w:numPr>
          <w:ilvl w:val="0"/>
          <w:numId w:val="0"/>
        </w:numPr>
        <w:tabs>
          <w:tab w:val="clear" w:pos="1440"/>
        </w:tabs>
        <w:ind w:firstLine="720"/>
        <w:rPr>
          <w:szCs w:val="22"/>
        </w:rPr>
      </w:pPr>
      <w:r w:rsidRPr="004460F4">
        <w:rPr>
          <w:szCs w:val="22"/>
        </w:rPr>
        <w:t>14.  There are unlikely to be any additional costs to the Commission because the data will be submitted by ICS providers in WC Docket No. 12-375 via the Commission’s Electronic Comment Filing System, requiring no additional Commission resources to process or publish.</w:t>
      </w:r>
    </w:p>
    <w:p w:rsidR="00B7333E" w:rsidP="00B7333E" w:rsidRDefault="007E0735" w14:paraId="617C06A2" w14:textId="7B56244F">
      <w:pPr>
        <w:pStyle w:val="Numberedparagraphs"/>
        <w:numPr>
          <w:ilvl w:val="0"/>
          <w:numId w:val="0"/>
        </w:numPr>
        <w:tabs>
          <w:tab w:val="clear" w:pos="1440"/>
        </w:tabs>
        <w:ind w:firstLine="720"/>
        <w:rPr>
          <w:szCs w:val="22"/>
        </w:rPr>
      </w:pPr>
      <w:r w:rsidRPr="004460F4">
        <w:rPr>
          <w:szCs w:val="22"/>
        </w:rPr>
        <w:t xml:space="preserve">15.  </w:t>
      </w:r>
      <w:r w:rsidR="00845E1B">
        <w:rPr>
          <w:szCs w:val="22"/>
        </w:rPr>
        <w:t>Since the last submission to OMB, t</w:t>
      </w:r>
      <w:r w:rsidRPr="00BA594A" w:rsidR="003E4D0A">
        <w:rPr>
          <w:szCs w:val="22"/>
        </w:rPr>
        <w:t>he Commission is reporting a program change</w:t>
      </w:r>
      <w:r w:rsidR="00B7333E">
        <w:rPr>
          <w:szCs w:val="22"/>
        </w:rPr>
        <w:t>/increase</w:t>
      </w:r>
      <w:r w:rsidRPr="00BA594A" w:rsidR="003E4D0A">
        <w:rPr>
          <w:szCs w:val="22"/>
        </w:rPr>
        <w:t xml:space="preserve"> to this collection</w:t>
      </w:r>
      <w:r w:rsidR="00B7333E">
        <w:rPr>
          <w:szCs w:val="22"/>
        </w:rPr>
        <w:t xml:space="preserve"> as a result of the requirements of the </w:t>
      </w:r>
      <w:r w:rsidRPr="00B7333E" w:rsidR="00B7333E">
        <w:rPr>
          <w:i/>
          <w:iCs/>
          <w:szCs w:val="22"/>
        </w:rPr>
        <w:t>2021 ICS Order</w:t>
      </w:r>
      <w:r w:rsidR="00597805">
        <w:rPr>
          <w:szCs w:val="22"/>
        </w:rPr>
        <w:t>.  T</w:t>
      </w:r>
      <w:r w:rsidR="00B7333E">
        <w:rPr>
          <w:szCs w:val="22"/>
        </w:rPr>
        <w:t>he burden hours have increased from 2,000 to 2,</w:t>
      </w:r>
      <w:r w:rsidR="00154C4F">
        <w:rPr>
          <w:szCs w:val="22"/>
        </w:rPr>
        <w:t>94</w:t>
      </w:r>
      <w:r w:rsidR="00B7333E">
        <w:rPr>
          <w:szCs w:val="22"/>
        </w:rPr>
        <w:t>0 (+</w:t>
      </w:r>
      <w:r w:rsidR="00154C4F">
        <w:rPr>
          <w:szCs w:val="22"/>
        </w:rPr>
        <w:t>940</w:t>
      </w:r>
      <w:r w:rsidR="00B7333E">
        <w:rPr>
          <w:szCs w:val="22"/>
        </w:rPr>
        <w:t>) because of the expansion of the</w:t>
      </w:r>
      <w:r w:rsidRPr="00B7333E" w:rsidR="00B7333E">
        <w:t xml:space="preserve"> </w:t>
      </w:r>
      <w:r w:rsidRPr="00B7333E" w:rsidR="00B7333E">
        <w:rPr>
          <w:szCs w:val="22"/>
        </w:rPr>
        <w:t>consumer disclosure requirement</w:t>
      </w:r>
      <w:r w:rsidR="00DC20E5">
        <w:rPr>
          <w:szCs w:val="22"/>
        </w:rPr>
        <w:t>s</w:t>
      </w:r>
      <w:r w:rsidRPr="00B7333E" w:rsidR="00B7333E">
        <w:rPr>
          <w:szCs w:val="22"/>
        </w:rPr>
        <w:t xml:space="preserve"> and </w:t>
      </w:r>
      <w:r w:rsidR="00B7333E">
        <w:rPr>
          <w:szCs w:val="22"/>
        </w:rPr>
        <w:t xml:space="preserve">the addition of a </w:t>
      </w:r>
      <w:r w:rsidRPr="00B7333E" w:rsidR="00B7333E">
        <w:rPr>
          <w:szCs w:val="22"/>
        </w:rPr>
        <w:t xml:space="preserve">requirement for </w:t>
      </w:r>
      <w:r w:rsidR="00B7333E">
        <w:rPr>
          <w:szCs w:val="22"/>
        </w:rPr>
        <w:t xml:space="preserve">ICS </w:t>
      </w:r>
      <w:r w:rsidRPr="00B7333E" w:rsidR="00B7333E">
        <w:rPr>
          <w:szCs w:val="22"/>
        </w:rPr>
        <w:t>providers seeking waiver of the Commission’s interstate and international rate caps</w:t>
      </w:r>
      <w:r w:rsidR="00597805">
        <w:rPr>
          <w:szCs w:val="22"/>
        </w:rPr>
        <w:t xml:space="preserve"> </w:t>
      </w:r>
      <w:r w:rsidRPr="00597805" w:rsidR="00597805">
        <w:rPr>
          <w:szCs w:val="22"/>
        </w:rPr>
        <w:t>or</w:t>
      </w:r>
      <w:r w:rsidR="00317379">
        <w:rPr>
          <w:szCs w:val="22"/>
        </w:rPr>
        <w:t xml:space="preserve"> its </w:t>
      </w:r>
      <w:r w:rsidRPr="00597805" w:rsidR="00597805">
        <w:rPr>
          <w:szCs w:val="22"/>
        </w:rPr>
        <w:t>ancillary service charge fee caps</w:t>
      </w:r>
      <w:r w:rsidRPr="00B7333E" w:rsidR="00B7333E">
        <w:rPr>
          <w:szCs w:val="22"/>
        </w:rPr>
        <w:t xml:space="preserve">.  </w:t>
      </w:r>
      <w:r w:rsidR="00332D41">
        <w:rPr>
          <w:szCs w:val="22"/>
        </w:rPr>
        <w:t xml:space="preserve">The expansion of the consumer disclosure requirements resulted in an increase of </w:t>
      </w:r>
      <w:r w:rsidR="00154C4F">
        <w:rPr>
          <w:szCs w:val="22"/>
        </w:rPr>
        <w:t>30</w:t>
      </w:r>
      <w:r w:rsidR="00C70995">
        <w:rPr>
          <w:szCs w:val="22"/>
        </w:rPr>
        <w:t>0</w:t>
      </w:r>
      <w:r w:rsidR="00332D41">
        <w:rPr>
          <w:szCs w:val="22"/>
        </w:rPr>
        <w:t xml:space="preserve"> burden hours</w:t>
      </w:r>
      <w:r w:rsidR="00C70995">
        <w:rPr>
          <w:szCs w:val="22"/>
        </w:rPr>
        <w:t xml:space="preserve"> (</w:t>
      </w:r>
      <w:r w:rsidR="00332D41">
        <w:rPr>
          <w:szCs w:val="22"/>
        </w:rPr>
        <w:t>from 300 to</w:t>
      </w:r>
      <w:r w:rsidR="00C70995">
        <w:rPr>
          <w:szCs w:val="22"/>
        </w:rPr>
        <w:t xml:space="preserve"> </w:t>
      </w:r>
      <w:r w:rsidR="00154C4F">
        <w:rPr>
          <w:szCs w:val="22"/>
        </w:rPr>
        <w:t>60</w:t>
      </w:r>
      <w:r w:rsidR="00C70995">
        <w:rPr>
          <w:szCs w:val="22"/>
        </w:rPr>
        <w:t>0)</w:t>
      </w:r>
      <w:r w:rsidR="00332D41">
        <w:rPr>
          <w:szCs w:val="22"/>
        </w:rPr>
        <w:t>, and the addition of the waiver request requirement resulted in a 240</w:t>
      </w:r>
      <w:r w:rsidR="00154C4F">
        <w:rPr>
          <w:szCs w:val="22"/>
        </w:rPr>
        <w:t xml:space="preserve"> </w:t>
      </w:r>
      <w:r w:rsidR="00332D41">
        <w:rPr>
          <w:szCs w:val="22"/>
        </w:rPr>
        <w:t>hour increase in burden hours.</w:t>
      </w:r>
      <w:r w:rsidR="009B3163">
        <w:rPr>
          <w:szCs w:val="22"/>
        </w:rPr>
        <w:t xml:space="preserve"> </w:t>
      </w:r>
      <w:r w:rsidR="00FD1187">
        <w:rPr>
          <w:szCs w:val="22"/>
        </w:rPr>
        <w:t xml:space="preserve"> The number of respondents </w:t>
      </w:r>
      <w:r w:rsidR="00C05D4B">
        <w:rPr>
          <w:szCs w:val="22"/>
        </w:rPr>
        <w:t xml:space="preserve">has </w:t>
      </w:r>
      <w:r w:rsidR="00FD1187">
        <w:rPr>
          <w:szCs w:val="22"/>
        </w:rPr>
        <w:t xml:space="preserve">not changed, but the number of responses has increased to 23 </w:t>
      </w:r>
      <w:r w:rsidR="00C05D4B">
        <w:rPr>
          <w:szCs w:val="22"/>
        </w:rPr>
        <w:t>(+</w:t>
      </w:r>
      <w:r w:rsidR="00FD1187">
        <w:rPr>
          <w:szCs w:val="22"/>
        </w:rPr>
        <w:t xml:space="preserve">3) because of the addition of the waiver </w:t>
      </w:r>
      <w:r w:rsidR="007407CF">
        <w:rPr>
          <w:szCs w:val="22"/>
        </w:rPr>
        <w:t xml:space="preserve">request reporting </w:t>
      </w:r>
      <w:r w:rsidR="00FD1187">
        <w:rPr>
          <w:szCs w:val="22"/>
        </w:rPr>
        <w:t>requirement</w:t>
      </w:r>
      <w:r w:rsidR="009B3163">
        <w:rPr>
          <w:szCs w:val="22"/>
        </w:rPr>
        <w:t>, to the extent providers seek to obtain a waiver</w:t>
      </w:r>
      <w:r w:rsidR="00FD1187">
        <w:rPr>
          <w:szCs w:val="22"/>
        </w:rPr>
        <w:t>.</w:t>
      </w:r>
    </w:p>
    <w:p w:rsidRPr="00AB1E80" w:rsidR="007E0735" w:rsidP="004460F4" w:rsidRDefault="007E0735" w14:paraId="41CE502E" w14:textId="77777777">
      <w:pPr>
        <w:pStyle w:val="Numberedparagraphs"/>
        <w:numPr>
          <w:ilvl w:val="0"/>
          <w:numId w:val="0"/>
        </w:numPr>
        <w:tabs>
          <w:tab w:val="clear" w:pos="1440"/>
        </w:tabs>
        <w:ind w:firstLine="720"/>
        <w:rPr>
          <w:szCs w:val="22"/>
        </w:rPr>
      </w:pPr>
      <w:r w:rsidRPr="004460F4">
        <w:rPr>
          <w:szCs w:val="22"/>
        </w:rPr>
        <w:t>16.  The Commission does not anticipate publishing any of the information collected.  Rather, the ICS provider</w:t>
      </w:r>
      <w:r w:rsidR="00AB1E80">
        <w:rPr>
          <w:szCs w:val="22"/>
        </w:rPr>
        <w:t>s’ annual reports and</w:t>
      </w:r>
      <w:r w:rsidRPr="00AB1E80">
        <w:rPr>
          <w:szCs w:val="22"/>
        </w:rPr>
        <w:t xml:space="preserve"> certifications will be available for public review via the Commission’s ECFS.</w:t>
      </w:r>
    </w:p>
    <w:p w:rsidRPr="004460F4" w:rsidR="007E0735" w:rsidP="004460F4" w:rsidRDefault="007E0735" w14:paraId="22E6D4FF" w14:textId="77777777">
      <w:pPr>
        <w:pStyle w:val="Numberedparagraphs"/>
        <w:numPr>
          <w:ilvl w:val="0"/>
          <w:numId w:val="0"/>
        </w:numPr>
        <w:tabs>
          <w:tab w:val="clear" w:pos="1440"/>
        </w:tabs>
        <w:ind w:firstLine="720"/>
        <w:rPr>
          <w:szCs w:val="22"/>
        </w:rPr>
      </w:pPr>
      <w:r w:rsidRPr="004460F4">
        <w:rPr>
          <w:szCs w:val="22"/>
        </w:rPr>
        <w:t>17.  The Commission is not seeking approval not to display an OMB expiration date.</w:t>
      </w:r>
    </w:p>
    <w:p w:rsidRPr="00AB1E80" w:rsidR="00BA7DEE" w:rsidP="00354239" w:rsidRDefault="007E0735" w14:paraId="0C85FDC7" w14:textId="3011555B">
      <w:pPr>
        <w:pStyle w:val="Numberedparagraphs"/>
        <w:numPr>
          <w:ilvl w:val="0"/>
          <w:numId w:val="0"/>
        </w:numPr>
        <w:tabs>
          <w:tab w:val="clear" w:pos="1440"/>
        </w:tabs>
        <w:ind w:firstLine="720"/>
        <w:rPr>
          <w:szCs w:val="22"/>
        </w:rPr>
      </w:pPr>
      <w:r w:rsidRPr="004460F4">
        <w:rPr>
          <w:szCs w:val="22"/>
        </w:rPr>
        <w:t xml:space="preserve">18.  </w:t>
      </w:r>
      <w:r w:rsidR="00845E1B">
        <w:rPr>
          <w:szCs w:val="22"/>
        </w:rPr>
        <w:t xml:space="preserve">There are no exceptions to the </w:t>
      </w:r>
      <w:r w:rsidR="006518C0">
        <w:rPr>
          <w:szCs w:val="22"/>
        </w:rPr>
        <w:t xml:space="preserve">Certification Statement. </w:t>
      </w:r>
    </w:p>
    <w:p w:rsidRPr="004460F4" w:rsidR="007E0735" w:rsidP="007E0735" w:rsidRDefault="007E0735" w14:paraId="0B65652E" w14:textId="77777777">
      <w:pPr>
        <w:rPr>
          <w:b/>
          <w:szCs w:val="22"/>
        </w:rPr>
      </w:pPr>
      <w:r w:rsidRPr="004460F4">
        <w:rPr>
          <w:b/>
          <w:szCs w:val="22"/>
        </w:rPr>
        <w:t xml:space="preserve">B.  </w:t>
      </w:r>
      <w:r w:rsidRPr="004460F4">
        <w:rPr>
          <w:b/>
          <w:szCs w:val="22"/>
        </w:rPr>
        <w:tab/>
      </w:r>
      <w:r w:rsidRPr="004460F4">
        <w:rPr>
          <w:b/>
          <w:szCs w:val="22"/>
          <w:u w:val="single"/>
        </w:rPr>
        <w:t>Collections of Information Employing Statistical Methods:</w:t>
      </w:r>
    </w:p>
    <w:p w:rsidRPr="004460F4" w:rsidR="007E0735" w:rsidP="007E0735" w:rsidRDefault="007E0735" w14:paraId="4BE75DCB" w14:textId="77777777">
      <w:pPr>
        <w:rPr>
          <w:szCs w:val="22"/>
        </w:rPr>
      </w:pPr>
    </w:p>
    <w:p w:rsidRPr="004460F4" w:rsidR="007E0735" w:rsidP="00B136F6" w:rsidRDefault="00DC538F" w14:paraId="0606048C" w14:textId="474C3A54">
      <w:pPr>
        <w:pStyle w:val="Numberedparagraphs"/>
        <w:numPr>
          <w:ilvl w:val="0"/>
          <w:numId w:val="0"/>
        </w:numPr>
        <w:tabs>
          <w:tab w:val="clear" w:pos="1440"/>
        </w:tabs>
        <w:ind w:firstLine="720"/>
        <w:rPr>
          <w:szCs w:val="22"/>
        </w:rPr>
      </w:pPr>
      <w:r>
        <w:rPr>
          <w:szCs w:val="22"/>
        </w:rPr>
        <w:t xml:space="preserve">19.  </w:t>
      </w:r>
      <w:r w:rsidRPr="004460F4" w:rsidR="007E0735">
        <w:rPr>
          <w:szCs w:val="22"/>
        </w:rPr>
        <w:t>The Commission does not anticipate that the proposed collection of information will employ statistical methods.</w:t>
      </w:r>
    </w:p>
    <w:sectPr w:rsidRPr="004460F4" w:rsidR="007E0735" w:rsidSect="00306CAB">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CE7FCE" w14:textId="77777777" w:rsidR="001E62E6" w:rsidRDefault="001E62E6" w:rsidP="00C72C3F">
      <w:r>
        <w:separator/>
      </w:r>
    </w:p>
  </w:endnote>
  <w:endnote w:type="continuationSeparator" w:id="0">
    <w:p w14:paraId="57E1D430" w14:textId="77777777" w:rsidR="001E62E6" w:rsidRDefault="001E62E6" w:rsidP="00C72C3F">
      <w:r>
        <w:continuationSeparator/>
      </w:r>
    </w:p>
  </w:endnote>
  <w:endnote w:type="continuationNotice" w:id="1">
    <w:p w14:paraId="5175E139" w14:textId="77777777" w:rsidR="001E62E6" w:rsidRDefault="001E62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E2D40" w14:textId="77777777" w:rsidR="009926EA" w:rsidRDefault="009926EA" w:rsidP="00432BA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FADBEC" w14:textId="77777777" w:rsidR="009926EA" w:rsidRDefault="009926EA" w:rsidP="001F76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15363962"/>
      <w:docPartObj>
        <w:docPartGallery w:val="Page Numbers (Bottom of Page)"/>
        <w:docPartUnique/>
      </w:docPartObj>
    </w:sdtPr>
    <w:sdtEndPr>
      <w:rPr>
        <w:rStyle w:val="PageNumber"/>
      </w:rPr>
    </w:sdtEndPr>
    <w:sdtContent>
      <w:p w14:paraId="068FA5EA" w14:textId="77777777" w:rsidR="009926EA" w:rsidRDefault="009926EA" w:rsidP="00432BA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FDCB662" w14:textId="77777777" w:rsidR="009926EA" w:rsidRPr="00CA240C" w:rsidRDefault="009926EA" w:rsidP="001F7620">
    <w:pPr>
      <w:pStyle w:val="Footer"/>
      <w:ind w:right="360"/>
      <w:jc w:val="center"/>
      <w:rPr>
        <w:szCs w:val="22"/>
      </w:rPr>
    </w:pPr>
  </w:p>
  <w:p w14:paraId="614DA62A" w14:textId="77777777" w:rsidR="009926EA" w:rsidRPr="00CA240C" w:rsidRDefault="009926EA">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1B729A" w14:textId="77777777" w:rsidR="001E62E6" w:rsidRDefault="001E62E6" w:rsidP="00C72C3F">
      <w:r>
        <w:separator/>
      </w:r>
    </w:p>
  </w:footnote>
  <w:footnote w:type="continuationSeparator" w:id="0">
    <w:p w14:paraId="6FDA4327" w14:textId="77777777" w:rsidR="001E62E6" w:rsidRDefault="001E62E6" w:rsidP="00C72C3F">
      <w:r>
        <w:continuationSeparator/>
      </w:r>
    </w:p>
  </w:footnote>
  <w:footnote w:type="continuationNotice" w:id="1">
    <w:p w14:paraId="2F43A7FC" w14:textId="77777777" w:rsidR="001E62E6" w:rsidRDefault="001E62E6"/>
  </w:footnote>
  <w:footnote w:id="2">
    <w:p w14:paraId="0B3C16E9" w14:textId="6288AAA2" w:rsidR="009926EA" w:rsidRPr="003522C7" w:rsidRDefault="009926EA" w:rsidP="003522C7">
      <w:pPr>
        <w:autoSpaceDE w:val="0"/>
        <w:autoSpaceDN w:val="0"/>
        <w:adjustRightInd w:val="0"/>
        <w:spacing w:after="120"/>
        <w:rPr>
          <w:sz w:val="20"/>
        </w:rPr>
      </w:pPr>
      <w:r w:rsidRPr="00B05097">
        <w:rPr>
          <w:rStyle w:val="FootnoteReference"/>
        </w:rPr>
        <w:footnoteRef/>
      </w:r>
      <w:r w:rsidRPr="00B05097">
        <w:rPr>
          <w:i/>
          <w:sz w:val="20"/>
        </w:rPr>
        <w:t xml:space="preserve"> Rates for Interstate Inmate Calling Services</w:t>
      </w:r>
      <w:r w:rsidRPr="001F7E3E">
        <w:rPr>
          <w:sz w:val="20"/>
        </w:rPr>
        <w:t xml:space="preserve">, WC Docket No. 12-375, Second Report and Order and Third Further Notice of Proposed Rulemaking, 30 FCC Rcd 12763 (2015) </w:t>
      </w:r>
      <w:r w:rsidRPr="00121968">
        <w:rPr>
          <w:sz w:val="20"/>
        </w:rPr>
        <w:t>(</w:t>
      </w:r>
      <w:r w:rsidRPr="00121968">
        <w:rPr>
          <w:i/>
          <w:sz w:val="20"/>
        </w:rPr>
        <w:t xml:space="preserve">2015 ICS </w:t>
      </w:r>
      <w:r w:rsidRPr="003F5159">
        <w:rPr>
          <w:i/>
          <w:sz w:val="20"/>
        </w:rPr>
        <w:t>Order</w:t>
      </w:r>
      <w:r w:rsidRPr="003F5159">
        <w:rPr>
          <w:sz w:val="20"/>
        </w:rPr>
        <w:t>).</w:t>
      </w:r>
    </w:p>
  </w:footnote>
  <w:footnote w:id="3">
    <w:p w14:paraId="26C9D117" w14:textId="1424E71D" w:rsidR="009926EA" w:rsidRPr="003522C7" w:rsidRDefault="009926EA" w:rsidP="003522C7">
      <w:pPr>
        <w:autoSpaceDE w:val="0"/>
        <w:autoSpaceDN w:val="0"/>
        <w:adjustRightInd w:val="0"/>
        <w:spacing w:after="120"/>
        <w:rPr>
          <w:sz w:val="20"/>
        </w:rPr>
      </w:pPr>
      <w:r w:rsidRPr="00B05097">
        <w:rPr>
          <w:rStyle w:val="FootnoteReference"/>
        </w:rPr>
        <w:footnoteRef/>
      </w:r>
      <w:r w:rsidRPr="00B05097">
        <w:rPr>
          <w:sz w:val="20"/>
        </w:rPr>
        <w:t xml:space="preserve"> </w:t>
      </w:r>
      <w:r w:rsidRPr="00B05097">
        <w:rPr>
          <w:i/>
          <w:sz w:val="20"/>
        </w:rPr>
        <w:t>2015 ICS Order</w:t>
      </w:r>
      <w:r w:rsidRPr="001F7E3E">
        <w:rPr>
          <w:sz w:val="20"/>
        </w:rPr>
        <w:t>, 30 FCC Rcd 12763, 12892, paras. 9, 267-68</w:t>
      </w:r>
      <w:r w:rsidRPr="001F7E3E">
        <w:rPr>
          <w:rFonts w:eastAsiaTheme="minorHAnsi"/>
          <w:i/>
          <w:color w:val="231F20"/>
          <w:sz w:val="20"/>
        </w:rPr>
        <w:t xml:space="preserve">; see also </w:t>
      </w:r>
      <w:r w:rsidRPr="001F7E3E">
        <w:rPr>
          <w:sz w:val="20"/>
        </w:rPr>
        <w:t>47 CFR §</w:t>
      </w:r>
      <w:r w:rsidRPr="003522C7">
        <w:rPr>
          <w:sz w:val="20"/>
        </w:rPr>
        <w:t xml:space="preserve"> 64.6060(a).  </w:t>
      </w:r>
    </w:p>
  </w:footnote>
  <w:footnote w:id="4">
    <w:p w14:paraId="393BBC30" w14:textId="66C2F5A9" w:rsidR="009926EA" w:rsidRPr="003522C7" w:rsidRDefault="009926EA" w:rsidP="003522C7">
      <w:pPr>
        <w:pStyle w:val="FootnoteText"/>
      </w:pPr>
      <w:r w:rsidRPr="00B05097">
        <w:rPr>
          <w:rStyle w:val="FootnoteReference"/>
        </w:rPr>
        <w:footnoteRef/>
      </w:r>
      <w:r w:rsidRPr="00B05097">
        <w:t xml:space="preserve"> </w:t>
      </w:r>
      <w:r w:rsidRPr="00B05097">
        <w:rPr>
          <w:i/>
        </w:rPr>
        <w:t>2015 ICS Order</w:t>
      </w:r>
      <w:r w:rsidRPr="001F7E3E">
        <w:t>, 30 FCC Rcd at 12891, para. 267.</w:t>
      </w:r>
    </w:p>
  </w:footnote>
  <w:footnote w:id="5">
    <w:p w14:paraId="4246E2E9" w14:textId="3628CF9C" w:rsidR="009926EA" w:rsidRDefault="009926EA">
      <w:pPr>
        <w:pStyle w:val="FootnoteText"/>
      </w:pPr>
      <w:r>
        <w:rPr>
          <w:rStyle w:val="FootnoteReference"/>
        </w:rPr>
        <w:footnoteRef/>
      </w:r>
      <w:r>
        <w:t xml:space="preserve"> </w:t>
      </w:r>
      <w:r w:rsidRPr="00B05097">
        <w:rPr>
          <w:i/>
        </w:rPr>
        <w:t>2015 ICS Order</w:t>
      </w:r>
      <w:r w:rsidRPr="001F7E3E">
        <w:t>, 30 FCC Rcd at 12891, para. 267</w:t>
      </w:r>
      <w:r>
        <w:t>.</w:t>
      </w:r>
    </w:p>
  </w:footnote>
  <w:footnote w:id="6">
    <w:p w14:paraId="0D6B45CA" w14:textId="1B1F2A49" w:rsidR="009926EA" w:rsidRPr="00B05097" w:rsidRDefault="009926EA" w:rsidP="003522C7">
      <w:pPr>
        <w:pStyle w:val="FootnoteText"/>
      </w:pPr>
      <w:r w:rsidRPr="00B05097">
        <w:rPr>
          <w:rStyle w:val="FootnoteReference"/>
        </w:rPr>
        <w:footnoteRef/>
      </w:r>
      <w:r w:rsidRPr="00B05097">
        <w:t xml:space="preserve"> 47 CFR </w:t>
      </w:r>
      <w:r>
        <w:t>§ </w:t>
      </w:r>
      <w:r w:rsidRPr="00B05097">
        <w:t>64.6110.</w:t>
      </w:r>
    </w:p>
  </w:footnote>
  <w:footnote w:id="7">
    <w:p w14:paraId="0CD9316C" w14:textId="500150C9" w:rsidR="009926EA" w:rsidRPr="003522C7" w:rsidRDefault="009926EA" w:rsidP="003522C7">
      <w:pPr>
        <w:pStyle w:val="FootnoteText"/>
      </w:pPr>
      <w:r w:rsidRPr="00B05097">
        <w:rPr>
          <w:rStyle w:val="FootnoteReference"/>
        </w:rPr>
        <w:footnoteRef/>
      </w:r>
      <w:r w:rsidRPr="00B05097">
        <w:t xml:space="preserve"> </w:t>
      </w:r>
      <w:r w:rsidRPr="00B05097">
        <w:rPr>
          <w:i/>
        </w:rPr>
        <w:t>See</w:t>
      </w:r>
      <w:r w:rsidRPr="001F7E3E">
        <w:t xml:space="preserve"> OMB Control Number 3060-1222, December 2019 Supporting Statement (</w:t>
      </w:r>
      <w:r w:rsidRPr="00121968">
        <w:t>revision approved by OMB on Jan. 1, 2020)</w:t>
      </w:r>
      <w:r>
        <w:t>;</w:t>
      </w:r>
      <w:r w:rsidRPr="003F5159">
        <w:rPr>
          <w:i/>
          <w:iCs/>
        </w:rPr>
        <w:t xml:space="preserve"> Wireline Competition Bureau Announces OMB Renewal of Information </w:t>
      </w:r>
      <w:r w:rsidRPr="00DD71DE">
        <w:rPr>
          <w:i/>
          <w:iCs/>
        </w:rPr>
        <w:t>Collection Concerning Inmate Calling Services</w:t>
      </w:r>
      <w:r w:rsidRPr="003522C7">
        <w:t>, WC Docket No. 12-375, Public Notice, 35 FCC Rcd 1456 (WCB 2020).</w:t>
      </w:r>
    </w:p>
  </w:footnote>
  <w:footnote w:id="8">
    <w:p w14:paraId="3EA7169D" w14:textId="159C6800" w:rsidR="009926EA" w:rsidRPr="003522C7" w:rsidRDefault="009926EA" w:rsidP="003522C7">
      <w:pPr>
        <w:pStyle w:val="FootnoteText"/>
        <w:rPr>
          <w:iCs/>
        </w:rPr>
      </w:pPr>
      <w:r w:rsidRPr="00B05097">
        <w:rPr>
          <w:rStyle w:val="FootnoteReference"/>
        </w:rPr>
        <w:footnoteRef/>
      </w:r>
      <w:r w:rsidRPr="00B05097">
        <w:t xml:space="preserve"> </w:t>
      </w:r>
      <w:r w:rsidRPr="00B05097">
        <w:rPr>
          <w:i/>
        </w:rPr>
        <w:t>Rates for Interstate Inmate Calling Services</w:t>
      </w:r>
      <w:r w:rsidRPr="001F7E3E">
        <w:t>, WC Docket No. 12-375, Third Report and Order, Order on Reconsideration, and Fifth Further Notic</w:t>
      </w:r>
      <w:r w:rsidRPr="00121968">
        <w:t xml:space="preserve">e of Proposed Rulemaking, </w:t>
      </w:r>
      <w:r>
        <w:t>36 FCC Rcd 9519</w:t>
      </w:r>
      <w:r w:rsidRPr="00121968">
        <w:t xml:space="preserve"> (2021) (</w:t>
      </w:r>
      <w:r w:rsidRPr="00121968">
        <w:rPr>
          <w:i/>
        </w:rPr>
        <w:t>2021 ICS Order</w:t>
      </w:r>
      <w:r w:rsidRPr="003F5159">
        <w:rPr>
          <w:iCs/>
        </w:rPr>
        <w:t>)</w:t>
      </w:r>
      <w:r>
        <w:rPr>
          <w:iCs/>
        </w:rPr>
        <w:t>.</w:t>
      </w:r>
    </w:p>
  </w:footnote>
  <w:footnote w:id="9">
    <w:p w14:paraId="6823630F" w14:textId="72CDB9FA" w:rsidR="009926EA" w:rsidRPr="003522C7" w:rsidRDefault="009926EA" w:rsidP="003522C7">
      <w:pPr>
        <w:pStyle w:val="FootnoteText"/>
      </w:pPr>
      <w:r w:rsidRPr="00B05097">
        <w:rPr>
          <w:rStyle w:val="FootnoteReference"/>
        </w:rPr>
        <w:footnoteRef/>
      </w:r>
      <w:r w:rsidRPr="00B05097">
        <w:t xml:space="preserve"> </w:t>
      </w:r>
      <w:r w:rsidRPr="00B05097">
        <w:rPr>
          <w:i/>
          <w:iCs/>
        </w:rPr>
        <w:t xml:space="preserve">Id. </w:t>
      </w:r>
      <w:r w:rsidRPr="001F7E3E">
        <w:t>(in the event of OMB approval, this</w:t>
      </w:r>
      <w:r w:rsidRPr="00121968">
        <w:t xml:space="preserve"> section will be codified as 47 </w:t>
      </w:r>
      <w:r>
        <w:t>CFR</w:t>
      </w:r>
      <w:r w:rsidRPr="003F5159">
        <w:t xml:space="preserve"> §</w:t>
      </w:r>
      <w:r w:rsidRPr="003522C7">
        <w:t> 64.6110(b)).</w:t>
      </w:r>
    </w:p>
  </w:footnote>
  <w:footnote w:id="10">
    <w:p w14:paraId="1FC10042" w14:textId="05B818E6" w:rsidR="009926EA" w:rsidRPr="003522C7" w:rsidRDefault="009926EA" w:rsidP="003522C7">
      <w:pPr>
        <w:pStyle w:val="ParaNumChar1"/>
        <w:tabs>
          <w:tab w:val="clear" w:pos="1080"/>
          <w:tab w:val="clear" w:pos="1440"/>
          <w:tab w:val="left" w:pos="720"/>
        </w:tabs>
        <w:spacing w:after="120"/>
        <w:ind w:firstLine="0"/>
        <w:rPr>
          <w:sz w:val="20"/>
        </w:rPr>
      </w:pPr>
      <w:r w:rsidRPr="00B05097">
        <w:rPr>
          <w:rStyle w:val="FootnoteReference"/>
        </w:rPr>
        <w:footnoteRef/>
      </w:r>
      <w:r w:rsidRPr="00B05097">
        <w:rPr>
          <w:sz w:val="20"/>
        </w:rPr>
        <w:t xml:space="preserve"> </w:t>
      </w:r>
      <w:r w:rsidRPr="00B05097">
        <w:rPr>
          <w:i/>
          <w:iCs/>
          <w:sz w:val="20"/>
        </w:rPr>
        <w:t>Id.</w:t>
      </w:r>
      <w:r w:rsidRPr="001F7E3E">
        <w:rPr>
          <w:i/>
          <w:iCs/>
          <w:sz w:val="20"/>
        </w:rPr>
        <w:t xml:space="preserve"> </w:t>
      </w:r>
      <w:r w:rsidRPr="001F7E3E">
        <w:rPr>
          <w:sz w:val="20"/>
        </w:rPr>
        <w:t>(in the event of OMB approval, this</w:t>
      </w:r>
      <w:r w:rsidRPr="00121968">
        <w:rPr>
          <w:sz w:val="20"/>
        </w:rPr>
        <w:t xml:space="preserve"> section will be codified as 47 </w:t>
      </w:r>
      <w:r>
        <w:rPr>
          <w:sz w:val="20"/>
        </w:rPr>
        <w:t>CFR</w:t>
      </w:r>
      <w:r w:rsidRPr="003F5159">
        <w:rPr>
          <w:sz w:val="20"/>
        </w:rPr>
        <w:t xml:space="preserve"> </w:t>
      </w:r>
      <w:r w:rsidRPr="00DD71DE">
        <w:rPr>
          <w:sz w:val="20"/>
        </w:rPr>
        <w:t>§</w:t>
      </w:r>
      <w:r w:rsidRPr="003522C7">
        <w:rPr>
          <w:sz w:val="20"/>
        </w:rPr>
        <w:t xml:space="preserve"> 64.6110(b)(1)-(4)).  </w:t>
      </w:r>
    </w:p>
  </w:footnote>
  <w:footnote w:id="11">
    <w:p w14:paraId="2BA93CB9" w14:textId="3ABE4094" w:rsidR="009926EA" w:rsidRPr="003522C7" w:rsidRDefault="009926EA" w:rsidP="003522C7">
      <w:pPr>
        <w:pStyle w:val="FootnoteText"/>
      </w:pPr>
      <w:r w:rsidRPr="00B05097">
        <w:rPr>
          <w:rStyle w:val="FootnoteReference"/>
        </w:rPr>
        <w:footnoteRef/>
      </w:r>
      <w:r w:rsidRPr="00B05097">
        <w:t xml:space="preserve"> </w:t>
      </w:r>
      <w:r w:rsidRPr="00B05097">
        <w:rPr>
          <w:i/>
          <w:iCs/>
        </w:rPr>
        <w:t xml:space="preserve">Id. </w:t>
      </w:r>
      <w:r w:rsidRPr="001F7E3E">
        <w:t xml:space="preserve">(in the event of OMB approval, this section will be </w:t>
      </w:r>
      <w:r w:rsidRPr="00121968">
        <w:t xml:space="preserve">codified as 47 </w:t>
      </w:r>
      <w:r>
        <w:t>CFR</w:t>
      </w:r>
      <w:r w:rsidRPr="003F5159">
        <w:t xml:space="preserve"> § </w:t>
      </w:r>
      <w:r w:rsidRPr="00DD71DE">
        <w:t>64.6110</w:t>
      </w:r>
      <w:r w:rsidRPr="003522C7">
        <w:t>(c)).</w:t>
      </w:r>
    </w:p>
  </w:footnote>
  <w:footnote w:id="12">
    <w:p w14:paraId="3A229C91" w14:textId="203E31F5" w:rsidR="009926EA" w:rsidRPr="003522C7" w:rsidRDefault="009926EA" w:rsidP="003522C7">
      <w:pPr>
        <w:pStyle w:val="FootnoteText"/>
      </w:pPr>
      <w:r w:rsidRPr="00B05097">
        <w:rPr>
          <w:rStyle w:val="FootnoteReference"/>
        </w:rPr>
        <w:footnoteRef/>
      </w:r>
      <w:r w:rsidRPr="00B05097">
        <w:t xml:space="preserve"> </w:t>
      </w:r>
      <w:r w:rsidRPr="00B05097">
        <w:rPr>
          <w:i/>
          <w:iCs/>
        </w:rPr>
        <w:t>Id</w:t>
      </w:r>
      <w:r w:rsidRPr="001F7E3E">
        <w:t>.</w:t>
      </w:r>
    </w:p>
  </w:footnote>
  <w:footnote w:id="13">
    <w:p w14:paraId="6B8AF3F1" w14:textId="04FD53F9" w:rsidR="009926EA" w:rsidRPr="003522C7" w:rsidRDefault="009926EA" w:rsidP="003522C7">
      <w:pPr>
        <w:pStyle w:val="FootnoteText"/>
      </w:pPr>
      <w:r w:rsidRPr="00B05097">
        <w:rPr>
          <w:rStyle w:val="FootnoteReference"/>
        </w:rPr>
        <w:footnoteRef/>
      </w:r>
      <w:r w:rsidRPr="00B05097">
        <w:t xml:space="preserve"> </w:t>
      </w:r>
      <w:r w:rsidRPr="00B05097">
        <w:rPr>
          <w:i/>
          <w:iCs/>
        </w:rPr>
        <w:t xml:space="preserve">Id. </w:t>
      </w:r>
      <w:r w:rsidRPr="001F7E3E">
        <w:t xml:space="preserve">(in the event of OMB approval, this section will be codified as 47 </w:t>
      </w:r>
      <w:r>
        <w:t>CFR</w:t>
      </w:r>
      <w:r w:rsidRPr="001F7E3E">
        <w:t xml:space="preserve"> §</w:t>
      </w:r>
      <w:r w:rsidRPr="00121968">
        <w:t> </w:t>
      </w:r>
      <w:r w:rsidRPr="003522C7">
        <w:t>64.6110(a)).</w:t>
      </w:r>
    </w:p>
  </w:footnote>
  <w:footnote w:id="14">
    <w:p w14:paraId="782253CC" w14:textId="7A2BEDBD" w:rsidR="009926EA" w:rsidRPr="003522C7" w:rsidRDefault="009926EA" w:rsidP="003522C7">
      <w:pPr>
        <w:pStyle w:val="FootnoteText"/>
      </w:pPr>
      <w:r w:rsidRPr="00B05097">
        <w:rPr>
          <w:rStyle w:val="FootnoteReference"/>
        </w:rPr>
        <w:footnoteRef/>
      </w:r>
      <w:r w:rsidRPr="00B05097">
        <w:t xml:space="preserve"> </w:t>
      </w:r>
      <w:r w:rsidRPr="00B05097">
        <w:rPr>
          <w:i/>
          <w:iCs/>
        </w:rPr>
        <w:t xml:space="preserve">Id. </w:t>
      </w:r>
      <w:r w:rsidRPr="001F7E3E">
        <w:t xml:space="preserve">(in the event of OMB approval, this section will be codified as 47 </w:t>
      </w:r>
      <w:r>
        <w:t>CFR</w:t>
      </w:r>
      <w:r w:rsidRPr="001F7E3E">
        <w:t xml:space="preserve"> §</w:t>
      </w:r>
      <w:r w:rsidRPr="00121968">
        <w:t> </w:t>
      </w:r>
      <w:r w:rsidRPr="003522C7">
        <w:t>64.6120(a)</w:t>
      </w:r>
      <w:r>
        <w:t>)</w:t>
      </w:r>
      <w:r w:rsidRPr="003522C7">
        <w:t>.</w:t>
      </w:r>
    </w:p>
    <w:p w14:paraId="43F12F28" w14:textId="77777777" w:rsidR="009926EA" w:rsidRPr="003522C7" w:rsidRDefault="009926EA" w:rsidP="003522C7">
      <w:pPr>
        <w:pStyle w:val="FootnoteText"/>
      </w:pPr>
    </w:p>
  </w:footnote>
  <w:footnote w:id="15">
    <w:p w14:paraId="4A339F3F" w14:textId="6BED1E05" w:rsidR="009926EA" w:rsidRPr="003522C7" w:rsidRDefault="009926EA" w:rsidP="003522C7">
      <w:pPr>
        <w:pStyle w:val="ParaNumChar1"/>
        <w:tabs>
          <w:tab w:val="clear" w:pos="1080"/>
          <w:tab w:val="clear" w:pos="1440"/>
          <w:tab w:val="left" w:pos="720"/>
        </w:tabs>
        <w:spacing w:after="120"/>
        <w:ind w:firstLine="0"/>
        <w:rPr>
          <w:sz w:val="20"/>
        </w:rPr>
      </w:pPr>
      <w:r w:rsidRPr="00B05097">
        <w:rPr>
          <w:rStyle w:val="FootnoteReference"/>
        </w:rPr>
        <w:footnoteRef/>
      </w:r>
      <w:r w:rsidRPr="00B05097">
        <w:rPr>
          <w:sz w:val="20"/>
        </w:rPr>
        <w:t xml:space="preserve"> </w:t>
      </w:r>
      <w:bookmarkStart w:id="7" w:name="_Hlk74809470"/>
      <w:r w:rsidR="00CD30B3" w:rsidRPr="00CD30B3">
        <w:rPr>
          <w:i/>
          <w:iCs/>
          <w:sz w:val="20"/>
        </w:rPr>
        <w:t>Id</w:t>
      </w:r>
      <w:r w:rsidR="00CD30B3">
        <w:rPr>
          <w:sz w:val="20"/>
        </w:rPr>
        <w:t xml:space="preserve">. (in the event of OMB approval, this section will be codified as </w:t>
      </w:r>
      <w:r>
        <w:rPr>
          <w:sz w:val="20"/>
        </w:rPr>
        <w:t xml:space="preserve">47 CFR </w:t>
      </w:r>
      <w:r w:rsidRPr="00B05097">
        <w:rPr>
          <w:sz w:val="20"/>
        </w:rPr>
        <w:t>§</w:t>
      </w:r>
      <w:r w:rsidRPr="003522C7">
        <w:rPr>
          <w:sz w:val="20"/>
        </w:rPr>
        <w:t> 64.6120</w:t>
      </w:r>
      <w:bookmarkEnd w:id="7"/>
      <w:r w:rsidRPr="003522C7">
        <w:rPr>
          <w:sz w:val="20"/>
        </w:rPr>
        <w:t>(b)(1)-(4)</w:t>
      </w:r>
      <w:r w:rsidR="00CD30B3">
        <w:rPr>
          <w:sz w:val="20"/>
        </w:rPr>
        <w:t>)</w:t>
      </w:r>
      <w:r w:rsidRPr="003522C7">
        <w:rPr>
          <w:sz w:val="20"/>
        </w:rPr>
        <w:t xml:space="preserve">. </w:t>
      </w:r>
    </w:p>
  </w:footnote>
  <w:footnote w:id="16">
    <w:p w14:paraId="3971015D" w14:textId="376442E2" w:rsidR="009926EA" w:rsidRPr="00705E92" w:rsidRDefault="009926EA" w:rsidP="003522C7">
      <w:pPr>
        <w:pStyle w:val="FootnoteText"/>
      </w:pPr>
      <w:r w:rsidRPr="00B05097">
        <w:rPr>
          <w:rStyle w:val="FootnoteReference"/>
        </w:rPr>
        <w:footnoteRef/>
      </w:r>
      <w:r w:rsidRPr="00B05097">
        <w:t xml:space="preserve"> </w:t>
      </w:r>
      <w:r w:rsidR="00CD30B3" w:rsidRPr="00CD30B3">
        <w:rPr>
          <w:i/>
          <w:iCs/>
        </w:rPr>
        <w:t>Id</w:t>
      </w:r>
      <w:r w:rsidR="00CD30B3">
        <w:t xml:space="preserve">.  (in the event of OMB approval, this section will be codified as </w:t>
      </w:r>
      <w:r>
        <w:t xml:space="preserve">47 CFR </w:t>
      </w:r>
      <w:r w:rsidRPr="00B05097">
        <w:t>§ </w:t>
      </w:r>
      <w:r w:rsidRPr="003522C7">
        <w:t>64.</w:t>
      </w:r>
      <w:r>
        <w:t>6</w:t>
      </w:r>
      <w:r w:rsidRPr="003522C7">
        <w:t>120(c)</w:t>
      </w:r>
      <w:r w:rsidR="00CD30B3">
        <w:t>)</w:t>
      </w:r>
      <w:r w:rsidRPr="003522C7">
        <w:t>.</w:t>
      </w:r>
    </w:p>
  </w:footnote>
  <w:footnote w:id="17">
    <w:p w14:paraId="75DB150B" w14:textId="77777777" w:rsidR="009926EA" w:rsidRDefault="009926EA" w:rsidP="00727994">
      <w:pPr>
        <w:pStyle w:val="FootnoteText"/>
      </w:pPr>
      <w:r>
        <w:rPr>
          <w:rStyle w:val="FootnoteReference"/>
        </w:rPr>
        <w:footnoteRef/>
      </w:r>
      <w:r>
        <w:t xml:space="preserve"> GTL Comments at 3-10.</w:t>
      </w:r>
    </w:p>
  </w:footnote>
  <w:footnote w:id="18">
    <w:p w14:paraId="635E7F64" w14:textId="2D4791BE" w:rsidR="009926EA" w:rsidRDefault="009926EA">
      <w:pPr>
        <w:pStyle w:val="FootnoteText"/>
      </w:pPr>
      <w:r>
        <w:rPr>
          <w:rStyle w:val="FootnoteReference"/>
        </w:rPr>
        <w:footnoteRef/>
      </w:r>
      <w:r>
        <w:t xml:space="preserve"> GTL Comments at 3-4.</w:t>
      </w:r>
    </w:p>
  </w:footnote>
  <w:footnote w:id="19">
    <w:p w14:paraId="70C350C9" w14:textId="77777777" w:rsidR="009926EA" w:rsidRPr="001F7E3E" w:rsidRDefault="009926EA" w:rsidP="00727994">
      <w:pPr>
        <w:pStyle w:val="FootnoteText"/>
      </w:pPr>
      <w:r w:rsidRPr="00B05097">
        <w:rPr>
          <w:rStyle w:val="FootnoteReference"/>
        </w:rPr>
        <w:footnoteRef/>
      </w:r>
      <w:r w:rsidRPr="00B05097">
        <w:t xml:space="preserve"> </w:t>
      </w:r>
      <w:r w:rsidRPr="001F7E3E">
        <w:rPr>
          <w:i/>
          <w:iCs/>
        </w:rPr>
        <w:t>See, e.g.</w:t>
      </w:r>
      <w:r w:rsidRPr="001F7E3E">
        <w:t xml:space="preserve">, GTL Comments at </w:t>
      </w:r>
      <w:r>
        <w:t>10.</w:t>
      </w:r>
      <w:r w:rsidRPr="001F7E3E">
        <w:t xml:space="preserve"> </w:t>
      </w:r>
    </w:p>
  </w:footnote>
  <w:footnote w:id="20">
    <w:p w14:paraId="533D954A" w14:textId="6AB226DB" w:rsidR="009926EA" w:rsidRDefault="009926EA">
      <w:pPr>
        <w:pStyle w:val="FootnoteText"/>
      </w:pPr>
      <w:r>
        <w:rPr>
          <w:rStyle w:val="FootnoteReference"/>
        </w:rPr>
        <w:footnoteRef/>
      </w:r>
      <w:r>
        <w:t xml:space="preserve"> For instance, w</w:t>
      </w:r>
      <w:r w:rsidRPr="00FC1C5C">
        <w:t xml:space="preserve">hile GTL </w:t>
      </w:r>
      <w:r>
        <w:t>asserts</w:t>
      </w:r>
      <w:r w:rsidRPr="00FC1C5C">
        <w:t xml:space="preserve"> that</w:t>
      </w:r>
      <w:r>
        <w:t xml:space="preserve"> it posts</w:t>
      </w:r>
      <w:r w:rsidRPr="00FC1C5C">
        <w:t xml:space="preserve"> </w:t>
      </w:r>
      <w:r>
        <w:t xml:space="preserve">its </w:t>
      </w:r>
      <w:r w:rsidRPr="00FC1C5C">
        <w:t xml:space="preserve">international calling </w:t>
      </w:r>
      <w:r>
        <w:t>rates on its website</w:t>
      </w:r>
      <w:r w:rsidRPr="00FC1C5C">
        <w:t xml:space="preserve"> </w:t>
      </w:r>
      <w:r>
        <w:t xml:space="preserve">as required by the Commission’s preexisting rules, those postings do not provide the </w:t>
      </w:r>
      <w:r w:rsidRPr="00FC1C5C">
        <w:t xml:space="preserve">same level of detail </w:t>
      </w:r>
      <w:r>
        <w:t xml:space="preserve">that our expanded consumer disclosure rules </w:t>
      </w:r>
      <w:r w:rsidRPr="00FC1C5C">
        <w:t xml:space="preserve">require </w:t>
      </w:r>
      <w:r>
        <w:t xml:space="preserve">for international calls.  </w:t>
      </w:r>
      <w:r w:rsidRPr="00FC1C5C">
        <w:rPr>
          <w:i/>
          <w:iCs/>
        </w:rPr>
        <w:t>See</w:t>
      </w:r>
      <w:r w:rsidRPr="001F7E3E">
        <w:t xml:space="preserve"> GTL Comments at 4-5 (stating that GTL makes certain information available at two websites, </w:t>
      </w:r>
      <w:hyperlink r:id="rId1" w:history="1">
        <w:r w:rsidRPr="001F7E3E">
          <w:rPr>
            <w:rStyle w:val="Hyperlink"/>
            <w:rFonts w:eastAsia="Batang"/>
          </w:rPr>
          <w:t>www.connectnetwork.com</w:t>
        </w:r>
      </w:hyperlink>
      <w:r w:rsidRPr="00B05097">
        <w:rPr>
          <w:rFonts w:eastAsia="Batang"/>
        </w:rPr>
        <w:t xml:space="preserve"> and </w:t>
      </w:r>
      <w:hyperlink r:id="rId2" w:history="1">
        <w:r w:rsidRPr="001F7E3E">
          <w:rPr>
            <w:rStyle w:val="Hyperlink"/>
            <w:rFonts w:eastAsia="Batang"/>
          </w:rPr>
          <w:t>www.gettingout.com</w:t>
        </w:r>
      </w:hyperlink>
      <w:r w:rsidRPr="00FC1C5C">
        <w:t xml:space="preserve">). </w:t>
      </w:r>
    </w:p>
  </w:footnote>
  <w:footnote w:id="21">
    <w:p w14:paraId="0FFF30B9" w14:textId="5CD7C6FA" w:rsidR="009926EA" w:rsidRPr="00023F2E" w:rsidRDefault="009926EA" w:rsidP="00727994">
      <w:pPr>
        <w:pStyle w:val="FootnoteText"/>
      </w:pPr>
      <w:r>
        <w:rPr>
          <w:rStyle w:val="FootnoteReference"/>
        </w:rPr>
        <w:footnoteRef/>
      </w:r>
      <w:r>
        <w:t xml:space="preserve"> </w:t>
      </w:r>
      <w:r>
        <w:rPr>
          <w:i/>
          <w:iCs/>
        </w:rPr>
        <w:t>See 2021 ICS Order</w:t>
      </w:r>
      <w:r>
        <w:t>, 35 FCC Rcd at 9589, para. 160 (“</w:t>
      </w:r>
      <w:r w:rsidRPr="00917CE6">
        <w:t>Absent information separately breaking out the facility-related rate component of the service charge, and some identifier tying the charge to the relevant category under the Commission’s rules, customers will be substantially less able to evaluate their bills and monitor whether they are receiving the protections of Commission rate caps to which they are entitled.</w:t>
      </w:r>
      <w:r>
        <w:t>”)</w:t>
      </w:r>
      <w:r w:rsidRPr="00917CE6">
        <w:t xml:space="preserve">  </w:t>
      </w:r>
    </w:p>
  </w:footnote>
  <w:footnote w:id="22">
    <w:p w14:paraId="6929C9F1" w14:textId="21747B30" w:rsidR="009926EA" w:rsidRPr="00585CED" w:rsidRDefault="009926EA" w:rsidP="00A37EB8">
      <w:pPr>
        <w:pStyle w:val="FootnoteText"/>
      </w:pPr>
      <w:r>
        <w:rPr>
          <w:rStyle w:val="FootnoteReference"/>
        </w:rPr>
        <w:footnoteRef/>
      </w:r>
      <w:r>
        <w:t xml:space="preserve"> </w:t>
      </w:r>
      <w:r>
        <w:rPr>
          <w:i/>
          <w:iCs/>
        </w:rPr>
        <w:t xml:space="preserve">See </w:t>
      </w:r>
      <w:r>
        <w:t>GTL Comments at 3-5.</w:t>
      </w:r>
    </w:p>
  </w:footnote>
  <w:footnote w:id="23">
    <w:p w14:paraId="24F9A086" w14:textId="6CAE1CB9" w:rsidR="009926EA" w:rsidRPr="003522C7" w:rsidRDefault="009926EA" w:rsidP="00A37EB8">
      <w:pPr>
        <w:spacing w:after="120"/>
        <w:rPr>
          <w:sz w:val="20"/>
        </w:rPr>
      </w:pPr>
      <w:r w:rsidRPr="00B05097">
        <w:rPr>
          <w:rStyle w:val="FootnoteReference"/>
        </w:rPr>
        <w:footnoteRef/>
      </w:r>
      <w:r w:rsidRPr="00B05097">
        <w:rPr>
          <w:sz w:val="20"/>
        </w:rPr>
        <w:t xml:space="preserve"> </w:t>
      </w:r>
      <w:r w:rsidRPr="00121968">
        <w:rPr>
          <w:i/>
          <w:iCs/>
          <w:sz w:val="20"/>
        </w:rPr>
        <w:t>See generally</w:t>
      </w:r>
      <w:r w:rsidRPr="00121968">
        <w:rPr>
          <w:sz w:val="20"/>
        </w:rPr>
        <w:t xml:space="preserve"> </w:t>
      </w:r>
      <w:r w:rsidRPr="00121968">
        <w:rPr>
          <w:i/>
          <w:iCs/>
          <w:sz w:val="20"/>
        </w:rPr>
        <w:t>Ry. Lab. Executives' Ass'n v. Nat'l Mediation Bd</w:t>
      </w:r>
      <w:r w:rsidRPr="00121968">
        <w:rPr>
          <w:sz w:val="20"/>
        </w:rPr>
        <w:t xml:space="preserve">., 29 F.3d 655, 671 (D.C. Cir.), </w:t>
      </w:r>
      <w:r w:rsidRPr="00121968">
        <w:rPr>
          <w:i/>
          <w:iCs/>
          <w:sz w:val="20"/>
        </w:rPr>
        <w:t>amended</w:t>
      </w:r>
      <w:r w:rsidRPr="00121968">
        <w:rPr>
          <w:sz w:val="20"/>
        </w:rPr>
        <w:t>, 38 F.3d 1224 (D.C. Cir. 1994) (</w:t>
      </w:r>
      <w:r w:rsidRPr="00121968">
        <w:rPr>
          <w:color w:val="000000"/>
          <w:sz w:val="20"/>
          <w:shd w:val="clear" w:color="auto" w:fill="FFFFFF"/>
        </w:rPr>
        <w:t xml:space="preserve">“The </w:t>
      </w:r>
      <w:r w:rsidRPr="00121968">
        <w:rPr>
          <w:color w:val="000000"/>
          <w:sz w:val="20"/>
          <w:bdr w:val="none" w:sz="0" w:space="0" w:color="auto" w:frame="1"/>
        </w:rPr>
        <w:t>duty</w:t>
      </w:r>
      <w:r w:rsidRPr="00121968">
        <w:rPr>
          <w:i/>
          <w:iCs/>
          <w:color w:val="000000"/>
          <w:sz w:val="20"/>
          <w:bdr w:val="none" w:sz="0" w:space="0" w:color="auto" w:frame="1"/>
        </w:rPr>
        <w:t xml:space="preserve"> </w:t>
      </w:r>
      <w:r w:rsidRPr="00121968">
        <w:rPr>
          <w:color w:val="000000"/>
          <w:sz w:val="20"/>
          <w:shd w:val="clear" w:color="auto" w:fill="FFFFFF"/>
        </w:rPr>
        <w:t xml:space="preserve">to act under certain carefully defined circumstances simply does not subsume the </w:t>
      </w:r>
      <w:r w:rsidRPr="003F5159">
        <w:rPr>
          <w:color w:val="000000"/>
          <w:sz w:val="20"/>
          <w:bdr w:val="none" w:sz="0" w:space="0" w:color="auto" w:frame="1"/>
          <w:shd w:val="clear" w:color="auto" w:fill="FFFFFF"/>
        </w:rPr>
        <w:t>discretion</w:t>
      </w:r>
      <w:r w:rsidRPr="003F5159">
        <w:rPr>
          <w:color w:val="000000"/>
          <w:sz w:val="20"/>
          <w:shd w:val="clear" w:color="auto" w:fill="FFFFFF"/>
        </w:rPr>
        <w:t xml:space="preserve"> to act under other, wholly different, circumstances, unless the statute bears such a reading.”</w:t>
      </w:r>
      <w:r w:rsidRPr="00DD71DE">
        <w:rPr>
          <w:sz w:val="20"/>
        </w:rPr>
        <w:t xml:space="preserve">) </w:t>
      </w:r>
      <w:r w:rsidRPr="003522C7">
        <w:rPr>
          <w:sz w:val="20"/>
        </w:rPr>
        <w:t>(emphasis omitted)</w:t>
      </w:r>
      <w:r>
        <w:rPr>
          <w:sz w:val="20"/>
        </w:rPr>
        <w:t>.</w:t>
      </w:r>
    </w:p>
  </w:footnote>
  <w:footnote w:id="24">
    <w:p w14:paraId="5A8F7C36" w14:textId="14839FC9" w:rsidR="009926EA" w:rsidRDefault="009926EA">
      <w:pPr>
        <w:pStyle w:val="FootnoteText"/>
      </w:pPr>
      <w:r>
        <w:rPr>
          <w:rStyle w:val="FootnoteReference"/>
        </w:rPr>
        <w:footnoteRef/>
      </w:r>
      <w:r>
        <w:t xml:space="preserve"> </w:t>
      </w:r>
      <w:r w:rsidRPr="003F5159">
        <w:rPr>
          <w:i/>
          <w:iCs/>
        </w:rPr>
        <w:t>See 2021 ICS Order</w:t>
      </w:r>
      <w:r w:rsidRPr="003F5159">
        <w:t xml:space="preserve">, </w:t>
      </w:r>
      <w:r>
        <w:t>36</w:t>
      </w:r>
      <w:r w:rsidRPr="003F5159">
        <w:t xml:space="preserve"> FCC Rcd at </w:t>
      </w:r>
      <w:r>
        <w:t>9589</w:t>
      </w:r>
      <w:r w:rsidRPr="003F5159">
        <w:t>, para. 161 n.483 (</w:t>
      </w:r>
      <w:r>
        <w:t>quoting</w:t>
      </w:r>
      <w:r w:rsidRPr="003F5159">
        <w:t xml:space="preserve"> </w:t>
      </w:r>
      <w:r w:rsidRPr="003F5159">
        <w:rPr>
          <w:i/>
          <w:iCs/>
        </w:rPr>
        <w:t>Truth-In-Billing</w:t>
      </w:r>
      <w:r w:rsidRPr="00734BA1">
        <w:rPr>
          <w:i/>
          <w:iCs/>
        </w:rPr>
        <w:t xml:space="preserve"> and Billing Format</w:t>
      </w:r>
      <w:r w:rsidRPr="00734BA1">
        <w:t>, CC Docket No. 98-170, First Report and Order and Further Notice of Proposed Rulemaking, 14 FCC Rcd 7492, 7507, para. 25 (1999))</w:t>
      </w:r>
      <w:r>
        <w:t xml:space="preserve">; </w:t>
      </w:r>
      <w:r w:rsidRPr="006C0317">
        <w:rPr>
          <w:i/>
          <w:iCs/>
        </w:rPr>
        <w:t>see generally</w:t>
      </w:r>
      <w:r>
        <w:t xml:space="preserve"> GTL Comments at 10; Pay Tel Comments at 4.</w:t>
      </w:r>
    </w:p>
  </w:footnote>
  <w:footnote w:id="25">
    <w:p w14:paraId="447C3C73" w14:textId="79C30A6A" w:rsidR="009926EA" w:rsidRDefault="009926EA">
      <w:pPr>
        <w:pStyle w:val="FootnoteText"/>
      </w:pPr>
      <w:r>
        <w:rPr>
          <w:rStyle w:val="FootnoteReference"/>
        </w:rPr>
        <w:footnoteRef/>
      </w:r>
      <w:r>
        <w:t xml:space="preserve"> GTL Comments at 7-8.</w:t>
      </w:r>
    </w:p>
  </w:footnote>
  <w:footnote w:id="26">
    <w:p w14:paraId="385EB8F3" w14:textId="6C351438" w:rsidR="009926EA" w:rsidRPr="00B05097" w:rsidRDefault="009926EA" w:rsidP="006F45C5">
      <w:pPr>
        <w:pStyle w:val="FootnoteText"/>
      </w:pPr>
      <w:r w:rsidRPr="00B05097">
        <w:rPr>
          <w:rStyle w:val="FootnoteReference"/>
        </w:rPr>
        <w:footnoteRef/>
      </w:r>
      <w:r w:rsidRPr="00B05097">
        <w:t xml:space="preserve"> GTL Comments at 5</w:t>
      </w:r>
      <w:r>
        <w:t>, 7-8</w:t>
      </w:r>
      <w:r w:rsidRPr="00B05097">
        <w:t xml:space="preserve">. </w:t>
      </w:r>
    </w:p>
  </w:footnote>
  <w:footnote w:id="27">
    <w:p w14:paraId="79908F2C" w14:textId="45CC64BC" w:rsidR="009926EA" w:rsidRDefault="009926EA">
      <w:pPr>
        <w:pStyle w:val="FootnoteText"/>
      </w:pPr>
      <w:r>
        <w:rPr>
          <w:rStyle w:val="FootnoteReference"/>
        </w:rPr>
        <w:footnoteRef/>
      </w:r>
      <w:r>
        <w:t xml:space="preserve"> Pay Tel Comments at 3.</w:t>
      </w:r>
    </w:p>
  </w:footnote>
  <w:footnote w:id="28">
    <w:p w14:paraId="6A9D9D8B" w14:textId="4A3923D0" w:rsidR="009926EA" w:rsidRDefault="009926EA" w:rsidP="008566B0">
      <w:pPr>
        <w:pStyle w:val="FootnoteText"/>
      </w:pPr>
      <w:r>
        <w:rPr>
          <w:rStyle w:val="FootnoteReference"/>
        </w:rPr>
        <w:footnoteRef/>
      </w:r>
      <w:r>
        <w:t xml:space="preserve"> </w:t>
      </w:r>
      <w:r w:rsidRPr="003F5159">
        <w:rPr>
          <w:i/>
          <w:iCs/>
        </w:rPr>
        <w:t>See generally</w:t>
      </w:r>
      <w:r>
        <w:t xml:space="preserve"> </w:t>
      </w:r>
      <w:r w:rsidRPr="00917CE6" w:rsidDel="000A509E">
        <w:rPr>
          <w:i/>
          <w:iCs/>
        </w:rPr>
        <w:t>Rates for Inmate Calling Services</w:t>
      </w:r>
      <w:r w:rsidRPr="00917CE6" w:rsidDel="000A509E">
        <w:t xml:space="preserve">, WC Docket No. 12-375, Second Report and Order and Third Further Notice of Proposed Rulemaking, 30 FCC Rcd 12763, </w:t>
      </w:r>
      <w:r>
        <w:t>12849</w:t>
      </w:r>
      <w:r w:rsidRPr="00917CE6" w:rsidDel="000A509E">
        <w:t xml:space="preserve">, para. </w:t>
      </w:r>
      <w:r>
        <w:t>169</w:t>
      </w:r>
      <w:r w:rsidRPr="00917CE6" w:rsidDel="000A509E">
        <w:t xml:space="preserve"> (2015)</w:t>
      </w:r>
      <w:r w:rsidRPr="00917CE6">
        <w:t xml:space="preserve"> </w:t>
      </w:r>
      <w:r>
        <w:t xml:space="preserve">(limiting paper billing statement fees); </w:t>
      </w:r>
      <w:r>
        <w:rPr>
          <w:color w:val="000000"/>
          <w:shd w:val="clear" w:color="auto" w:fill="FFFFFF"/>
        </w:rPr>
        <w:t>Annual Report of Global Tel*Link Corporation, for 2020, WC Docket No. 12-375, at Tab III. Ancillary Fees (filed Apr. 1, 2021) (GTL 2020 Annual Report)</w:t>
      </w:r>
      <w:r>
        <w:t xml:space="preserve"> (reporting collection of paper billing statement charges).</w:t>
      </w:r>
    </w:p>
  </w:footnote>
  <w:footnote w:id="29">
    <w:p w14:paraId="49BE0E80" w14:textId="77777777" w:rsidR="009926EA" w:rsidRDefault="009926EA" w:rsidP="00FC1C5C">
      <w:pPr>
        <w:pStyle w:val="FootnoteText"/>
      </w:pPr>
      <w:r>
        <w:rPr>
          <w:rStyle w:val="FootnoteReference"/>
        </w:rPr>
        <w:footnoteRef/>
      </w:r>
      <w:r>
        <w:t xml:space="preserve"> GTL Comments at 9.  </w:t>
      </w:r>
    </w:p>
  </w:footnote>
  <w:footnote w:id="30">
    <w:p w14:paraId="24B003A2" w14:textId="1E362943" w:rsidR="009926EA" w:rsidRDefault="009926EA">
      <w:pPr>
        <w:pStyle w:val="FootnoteText"/>
      </w:pPr>
      <w:r>
        <w:rPr>
          <w:rStyle w:val="FootnoteReference"/>
        </w:rPr>
        <w:footnoteRef/>
      </w:r>
      <w:r>
        <w:t xml:space="preserve"> </w:t>
      </w:r>
      <w:r w:rsidRPr="00B05097">
        <w:t xml:space="preserve">GTL Comments at 8; </w:t>
      </w:r>
      <w:r>
        <w:t>Pay Tel</w:t>
      </w:r>
      <w:r w:rsidRPr="001F7E3E">
        <w:t xml:space="preserve"> Comments at 3</w:t>
      </w:r>
      <w:r>
        <w:t>.</w:t>
      </w:r>
    </w:p>
  </w:footnote>
  <w:footnote w:id="31">
    <w:p w14:paraId="4A43D796" w14:textId="0509DD64" w:rsidR="009926EA" w:rsidRPr="00121968" w:rsidRDefault="009926EA" w:rsidP="002A32BC">
      <w:pPr>
        <w:pStyle w:val="FootnoteText"/>
      </w:pPr>
      <w:r w:rsidRPr="00B05097">
        <w:rPr>
          <w:rStyle w:val="FootnoteReference"/>
        </w:rPr>
        <w:footnoteRef/>
      </w:r>
      <w:r w:rsidRPr="00B05097">
        <w:t xml:space="preserve"> </w:t>
      </w:r>
      <w:r>
        <w:t>Pay Tel</w:t>
      </w:r>
      <w:r w:rsidRPr="001F7E3E">
        <w:t xml:space="preserve"> Comments at 3 (alleging that these changes require </w:t>
      </w:r>
      <w:r w:rsidRPr="001F7E3E">
        <w:rPr>
          <w:iCs/>
        </w:rPr>
        <w:t>“fundamental system modifications across the board”</w:t>
      </w:r>
      <w:r w:rsidRPr="00121968">
        <w:t>).</w:t>
      </w:r>
    </w:p>
  </w:footnote>
  <w:footnote w:id="32">
    <w:p w14:paraId="27B26DFC" w14:textId="15B50A28" w:rsidR="009926EA" w:rsidRPr="00121968" w:rsidRDefault="009926EA" w:rsidP="002A32BC">
      <w:pPr>
        <w:pStyle w:val="FootnoteText"/>
      </w:pPr>
      <w:r w:rsidRPr="00B05097">
        <w:rPr>
          <w:rStyle w:val="FootnoteReference"/>
        </w:rPr>
        <w:footnoteRef/>
      </w:r>
      <w:r w:rsidRPr="00B05097">
        <w:t xml:space="preserve"> </w:t>
      </w:r>
      <w:r>
        <w:t>Pay Tel</w:t>
      </w:r>
      <w:r w:rsidRPr="001F7E3E">
        <w:t xml:space="preserve"> Comments at 2 (arguing that the burdens of making </w:t>
      </w:r>
      <w:r>
        <w:t>international</w:t>
      </w:r>
      <w:r w:rsidRPr="001F7E3E">
        <w:t xml:space="preserve"> disclosure outweigh the call volume, which accounts for “0.069% of its total paid minutes-of-use”).</w:t>
      </w:r>
    </w:p>
  </w:footnote>
  <w:footnote w:id="33">
    <w:p w14:paraId="033223E2" w14:textId="77777777" w:rsidR="009926EA" w:rsidRPr="001F7E3E" w:rsidRDefault="009926EA" w:rsidP="002A32BC">
      <w:pPr>
        <w:pStyle w:val="FootnoteText"/>
      </w:pPr>
      <w:r w:rsidRPr="00B05097">
        <w:rPr>
          <w:rStyle w:val="FootnoteReference"/>
        </w:rPr>
        <w:footnoteRef/>
      </w:r>
      <w:r w:rsidRPr="00B05097">
        <w:t xml:space="preserve"> </w:t>
      </w:r>
      <w:r>
        <w:t>Pay Tel</w:t>
      </w:r>
      <w:r w:rsidRPr="00B05097">
        <w:t xml:space="preserve"> Comments at 3.</w:t>
      </w:r>
    </w:p>
  </w:footnote>
  <w:footnote w:id="34">
    <w:p w14:paraId="35974595" w14:textId="77777777" w:rsidR="009926EA" w:rsidRPr="001F7E3E" w:rsidRDefault="009926EA" w:rsidP="002A32BC">
      <w:pPr>
        <w:pStyle w:val="FootnoteText"/>
      </w:pPr>
      <w:r w:rsidRPr="00B05097">
        <w:rPr>
          <w:rStyle w:val="FootnoteReference"/>
        </w:rPr>
        <w:footnoteRef/>
      </w:r>
      <w:r w:rsidRPr="00B05097">
        <w:t xml:space="preserve"> </w:t>
      </w:r>
      <w:r>
        <w:t>Pay Tel</w:t>
      </w:r>
      <w:r w:rsidRPr="00B05097">
        <w:t xml:space="preserve"> Comments at 3.</w:t>
      </w:r>
    </w:p>
  </w:footnote>
  <w:footnote w:id="35">
    <w:p w14:paraId="545736AD" w14:textId="7658D0A7" w:rsidR="009926EA" w:rsidRPr="00121968" w:rsidRDefault="009926EA" w:rsidP="002A32BC">
      <w:pPr>
        <w:pStyle w:val="FootnoteText"/>
      </w:pPr>
      <w:r w:rsidRPr="00B05097">
        <w:rPr>
          <w:rStyle w:val="FootnoteReference"/>
        </w:rPr>
        <w:footnoteRef/>
      </w:r>
      <w:r w:rsidRPr="00B05097">
        <w:t xml:space="preserve"> </w:t>
      </w:r>
      <w:r w:rsidRPr="001F7E3E">
        <w:rPr>
          <w:i/>
          <w:iCs/>
        </w:rPr>
        <w:t>See generally</w:t>
      </w:r>
      <w:r w:rsidRPr="001F7E3E">
        <w:t xml:space="preserve"> </w:t>
      </w:r>
      <w:r w:rsidRPr="001F7E3E">
        <w:rPr>
          <w:rFonts w:eastAsia="Batang"/>
          <w:i/>
          <w:iCs/>
        </w:rPr>
        <w:t>2021 ICS Order</w:t>
      </w:r>
      <w:r w:rsidRPr="001F7E3E">
        <w:rPr>
          <w:rFonts w:eastAsia="Batang"/>
        </w:rPr>
        <w:t xml:space="preserve">, </w:t>
      </w:r>
      <w:r w:rsidRPr="00B270E7">
        <w:t>36</w:t>
      </w:r>
      <w:r w:rsidRPr="003F5159">
        <w:t xml:space="preserve"> FCC Rcd at </w:t>
      </w:r>
      <w:r>
        <w:rPr>
          <w:rFonts w:eastAsia="Batang"/>
        </w:rPr>
        <w:t>9599</w:t>
      </w:r>
      <w:r w:rsidRPr="00121968">
        <w:rPr>
          <w:rFonts w:eastAsia="Batang"/>
        </w:rPr>
        <w:t xml:space="preserve">, </w:t>
      </w:r>
      <w:r>
        <w:rPr>
          <w:rFonts w:eastAsia="Batang"/>
        </w:rPr>
        <w:t>para.</w:t>
      </w:r>
      <w:r w:rsidRPr="00121968">
        <w:rPr>
          <w:rFonts w:eastAsia="Batang"/>
        </w:rPr>
        <w:t xml:space="preserve"> 183.</w:t>
      </w:r>
    </w:p>
  </w:footnote>
  <w:footnote w:id="36">
    <w:p w14:paraId="30D97133" w14:textId="6BEF0FE4" w:rsidR="009926EA" w:rsidRPr="008D71E5" w:rsidRDefault="009926EA" w:rsidP="002A32BC">
      <w:pPr>
        <w:pStyle w:val="FootnoteText"/>
      </w:pPr>
      <w:r w:rsidRPr="008D71E5">
        <w:rPr>
          <w:rStyle w:val="FootnoteReference"/>
        </w:rPr>
        <w:footnoteRef/>
      </w:r>
      <w:r w:rsidRPr="008D71E5">
        <w:t xml:space="preserve"> </w:t>
      </w:r>
      <w:r w:rsidRPr="006C0317">
        <w:rPr>
          <w:i/>
          <w:iCs/>
        </w:rPr>
        <w:t>See</w:t>
      </w:r>
      <w:r w:rsidRPr="008D71E5">
        <w:t xml:space="preserve"> </w:t>
      </w:r>
      <w:r w:rsidRPr="006C0317">
        <w:rPr>
          <w:color w:val="000000"/>
        </w:rPr>
        <w:t>47 CFR § 64.6030(e)</w:t>
      </w:r>
      <w:r w:rsidRPr="008D71E5">
        <w:t>.</w:t>
      </w:r>
    </w:p>
  </w:footnote>
  <w:footnote w:id="37">
    <w:p w14:paraId="6F7DE08F" w14:textId="43D71782" w:rsidR="009926EA" w:rsidRPr="00B05097" w:rsidRDefault="009926EA" w:rsidP="0002143D">
      <w:pPr>
        <w:pStyle w:val="FootnoteText"/>
      </w:pPr>
      <w:r w:rsidRPr="00B05097">
        <w:rPr>
          <w:rStyle w:val="FootnoteReference"/>
        </w:rPr>
        <w:footnoteRef/>
      </w:r>
      <w:r w:rsidRPr="00B05097">
        <w:t xml:space="preserve"> GTL Comments at 6-7</w:t>
      </w:r>
      <w:r>
        <w:t xml:space="preserve"> (citing 47 U.S.C. </w:t>
      </w:r>
      <w:r w:rsidRPr="00B05097">
        <w:rPr>
          <w:rFonts w:eastAsia="Batang"/>
        </w:rPr>
        <w:t>§</w:t>
      </w:r>
      <w:r>
        <w:rPr>
          <w:rFonts w:eastAsia="Batang"/>
        </w:rPr>
        <w:t xml:space="preserve"> 226 and </w:t>
      </w:r>
      <w:r w:rsidRPr="00B05097">
        <w:t xml:space="preserve">47 </w:t>
      </w:r>
      <w:r>
        <w:t>CFR</w:t>
      </w:r>
      <w:r w:rsidRPr="00B05097">
        <w:t xml:space="preserve"> </w:t>
      </w:r>
      <w:r w:rsidRPr="00B05097">
        <w:rPr>
          <w:rFonts w:eastAsia="Batang"/>
        </w:rPr>
        <w:t>§</w:t>
      </w:r>
      <w:r w:rsidRPr="00B05097">
        <w:t> </w:t>
      </w:r>
      <w:r w:rsidRPr="003522C7">
        <w:rPr>
          <w:rFonts w:eastAsia="Batang"/>
        </w:rPr>
        <w:t>64.710(</w:t>
      </w:r>
      <w:r>
        <w:rPr>
          <w:rFonts w:eastAsia="Batang"/>
        </w:rPr>
        <w:t>b</w:t>
      </w:r>
      <w:r w:rsidRPr="003522C7">
        <w:rPr>
          <w:rFonts w:eastAsia="Batang"/>
        </w:rPr>
        <w:t>)</w:t>
      </w:r>
      <w:r>
        <w:rPr>
          <w:rFonts w:eastAsia="Batang"/>
        </w:rPr>
        <w:t>(1))</w:t>
      </w:r>
      <w:r w:rsidRPr="003522C7">
        <w:rPr>
          <w:rFonts w:eastAsia="Batang"/>
        </w:rPr>
        <w:t>.</w:t>
      </w:r>
    </w:p>
  </w:footnote>
  <w:footnote w:id="38">
    <w:p w14:paraId="5E721A12" w14:textId="77777777" w:rsidR="009926EA" w:rsidRPr="00B05097" w:rsidRDefault="009926EA" w:rsidP="00895D78">
      <w:pPr>
        <w:pStyle w:val="FootnoteText"/>
      </w:pPr>
      <w:r w:rsidRPr="00B05097">
        <w:rPr>
          <w:rStyle w:val="FootnoteReference"/>
        </w:rPr>
        <w:footnoteRef/>
      </w:r>
      <w:r w:rsidRPr="00B05097">
        <w:t xml:space="preserve"> GTL Comments at 7.  </w:t>
      </w:r>
    </w:p>
  </w:footnote>
  <w:footnote w:id="39">
    <w:p w14:paraId="3F4E1F95" w14:textId="53E14A0F" w:rsidR="009926EA" w:rsidRPr="003522C7" w:rsidRDefault="009926EA" w:rsidP="003522C7">
      <w:pPr>
        <w:pStyle w:val="FootnoteText"/>
      </w:pPr>
      <w:r w:rsidRPr="00B05097">
        <w:rPr>
          <w:rStyle w:val="FootnoteReference"/>
        </w:rPr>
        <w:footnoteRef/>
      </w:r>
      <w:r w:rsidRPr="00B05097">
        <w:t xml:space="preserve"> </w:t>
      </w:r>
      <w:r w:rsidRPr="001F7E3E">
        <w:rPr>
          <w:i/>
          <w:iCs/>
        </w:rPr>
        <w:t>Rates for Inmate Calling Services</w:t>
      </w:r>
      <w:r w:rsidRPr="001F7E3E">
        <w:t xml:space="preserve">, WC Docket No. 12-375, </w:t>
      </w:r>
      <w:r w:rsidRPr="00121968">
        <w:t xml:space="preserve">Protective Order, 28 FCC Rcd 16954 (WCB 2013); </w:t>
      </w:r>
      <w:r w:rsidRPr="003F5159">
        <w:rPr>
          <w:i/>
          <w:iCs/>
        </w:rPr>
        <w:t>see also</w:t>
      </w:r>
      <w:r w:rsidRPr="00734BA1">
        <w:t xml:space="preserve"> </w:t>
      </w:r>
      <w:r w:rsidRPr="00734BA1">
        <w:rPr>
          <w:i/>
          <w:iCs/>
        </w:rPr>
        <w:t>Rates for Interstate Inmate Calling Services</w:t>
      </w:r>
      <w:r w:rsidRPr="00734BA1">
        <w:t>, WC Docket No. 12-375, 35 FCC Rcd 9267 (WCB 2020) (</w:t>
      </w:r>
      <w:r w:rsidRPr="00DD71DE">
        <w:t>mandating</w:t>
      </w:r>
      <w:r w:rsidRPr="003522C7">
        <w:t xml:space="preserve"> non-confidential treatment of certain types of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36A66"/>
    <w:multiLevelType w:val="hybridMultilevel"/>
    <w:tmpl w:val="C0809F3E"/>
    <w:lvl w:ilvl="0" w:tplc="04090015">
      <w:start w:val="1"/>
      <w:numFmt w:val="upperLetter"/>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3B1491A"/>
    <w:multiLevelType w:val="hybridMultilevel"/>
    <w:tmpl w:val="B4FA866C"/>
    <w:lvl w:ilvl="0" w:tplc="4F2CB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96AE5"/>
    <w:multiLevelType w:val="hybridMultilevel"/>
    <w:tmpl w:val="F4B6749C"/>
    <w:lvl w:ilvl="0" w:tplc="FC6AF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4B453C"/>
    <w:multiLevelType w:val="singleLevel"/>
    <w:tmpl w:val="40A8E97A"/>
    <w:lvl w:ilvl="0">
      <w:start w:val="1"/>
      <w:numFmt w:val="decimal"/>
      <w:lvlText w:val="%1."/>
      <w:lvlJc w:val="left"/>
      <w:pPr>
        <w:tabs>
          <w:tab w:val="num" w:pos="1080"/>
        </w:tabs>
        <w:ind w:left="0" w:firstLine="720"/>
      </w:pPr>
    </w:lvl>
  </w:abstractNum>
  <w:abstractNum w:abstractNumId="4" w15:restartNumberingAfterBreak="0">
    <w:nsid w:val="1A1553CD"/>
    <w:multiLevelType w:val="hybridMultilevel"/>
    <w:tmpl w:val="92A68A2C"/>
    <w:lvl w:ilvl="0" w:tplc="5FB87836">
      <w:start w:val="3"/>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5737A6"/>
    <w:multiLevelType w:val="hybridMultilevel"/>
    <w:tmpl w:val="D1D8CB6E"/>
    <w:lvl w:ilvl="0" w:tplc="E8D025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D82F19"/>
    <w:multiLevelType w:val="hybridMultilevel"/>
    <w:tmpl w:val="BCE63B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192563"/>
    <w:multiLevelType w:val="multilevel"/>
    <w:tmpl w:val="16A408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8246F3"/>
    <w:multiLevelType w:val="singleLevel"/>
    <w:tmpl w:val="B1F45678"/>
    <w:lvl w:ilvl="0">
      <w:start w:val="1"/>
      <w:numFmt w:val="decimal"/>
      <w:lvlText w:val="%1."/>
      <w:lvlJc w:val="left"/>
      <w:pPr>
        <w:tabs>
          <w:tab w:val="num" w:pos="1080"/>
        </w:tabs>
        <w:ind w:left="0" w:firstLine="720"/>
      </w:pPr>
    </w:lvl>
  </w:abstractNum>
  <w:abstractNum w:abstractNumId="10" w15:restartNumberingAfterBreak="0">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2DB3779D"/>
    <w:multiLevelType w:val="hybridMultilevel"/>
    <w:tmpl w:val="14823210"/>
    <w:lvl w:ilvl="0" w:tplc="B6CE8754">
      <w:start w:val="6"/>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24A00B5"/>
    <w:multiLevelType w:val="hybridMultilevel"/>
    <w:tmpl w:val="703058AC"/>
    <w:lvl w:ilvl="0" w:tplc="D706812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6D83D08"/>
    <w:multiLevelType w:val="multilevel"/>
    <w:tmpl w:val="A0567AA2"/>
    <w:lvl w:ilvl="0">
      <w:start w:val="1"/>
      <w:numFmt w:val="upperRoman"/>
      <w:suff w:val="nothing"/>
      <w:lvlText w:val="%1.  "/>
      <w:lvlJc w:val="left"/>
      <w:pPr>
        <w:ind w:left="0" w:firstLine="0"/>
      </w:pPr>
      <w:rPr>
        <w:rFonts w:ascii="Times New Roman" w:hAnsi="Times New Roman" w:hint="default"/>
        <w:b/>
        <w:i w:val="0"/>
        <w:sz w:val="22"/>
      </w:rPr>
    </w:lvl>
    <w:lvl w:ilvl="1">
      <w:start w:val="1"/>
      <w:numFmt w:val="upperLetter"/>
      <w:lvlText w:val="%2."/>
      <w:lvlJc w:val="left"/>
      <w:pPr>
        <w:tabs>
          <w:tab w:val="num" w:pos="1080"/>
        </w:tabs>
        <w:ind w:left="720" w:firstLine="0"/>
      </w:pPr>
    </w:lvl>
    <w:lvl w:ilvl="2">
      <w:start w:val="2"/>
      <w:numFmt w:val="decimal"/>
      <w:lvlRestart w:val="0"/>
      <w:pStyle w:val="Numberedparagraphs"/>
      <w:lvlText w:val="%3."/>
      <w:lvlJc w:val="left"/>
      <w:pPr>
        <w:tabs>
          <w:tab w:val="num" w:pos="1260"/>
        </w:tabs>
        <w:ind w:left="180" w:firstLine="720"/>
      </w:pPr>
      <w:rPr>
        <w:rFonts w:ascii="Times New Roman" w:eastAsia="Times New Roman" w:hAnsi="Times New Roman" w:cs="Times New Roman"/>
        <w:b w:val="0"/>
        <w:i w:val="0"/>
        <w:sz w:val="22"/>
      </w:r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467403DD"/>
    <w:multiLevelType w:val="hybridMultilevel"/>
    <w:tmpl w:val="BCE63B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634E05"/>
    <w:multiLevelType w:val="hybridMultilevel"/>
    <w:tmpl w:val="D95E861E"/>
    <w:lvl w:ilvl="0" w:tplc="2042C534">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F256FF"/>
    <w:multiLevelType w:val="hybridMultilevel"/>
    <w:tmpl w:val="951CFC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551557A9"/>
    <w:multiLevelType w:val="hybridMultilevel"/>
    <w:tmpl w:val="7C2868F2"/>
    <w:lvl w:ilvl="0" w:tplc="A7E810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6B76128"/>
    <w:multiLevelType w:val="hybridMultilevel"/>
    <w:tmpl w:val="96F24634"/>
    <w:lvl w:ilvl="0" w:tplc="B302C7E8">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08728D"/>
    <w:multiLevelType w:val="hybridMultilevel"/>
    <w:tmpl w:val="53A2C534"/>
    <w:lvl w:ilvl="0" w:tplc="93CA35C6">
      <w:start w:val="6"/>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BC608C7"/>
    <w:multiLevelType w:val="hybridMultilevel"/>
    <w:tmpl w:val="2F1CC4F4"/>
    <w:lvl w:ilvl="0" w:tplc="B3BCC2D6">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C96DA2"/>
    <w:multiLevelType w:val="hybridMultilevel"/>
    <w:tmpl w:val="BCE63B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E8481B"/>
    <w:multiLevelType w:val="hybridMultilevel"/>
    <w:tmpl w:val="A1C0C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5" w15:restartNumberingAfterBreak="0">
    <w:nsid w:val="6ACE2AFA"/>
    <w:multiLevelType w:val="hybridMultilevel"/>
    <w:tmpl w:val="47EEE210"/>
    <w:lvl w:ilvl="0" w:tplc="63541F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AD5540"/>
    <w:multiLevelType w:val="hybridMultilevel"/>
    <w:tmpl w:val="3996ADA0"/>
    <w:lvl w:ilvl="0" w:tplc="9C9EF3D8">
      <w:start w:val="202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7"/>
  </w:num>
  <w:num w:numId="3">
    <w:abstractNumId w:val="20"/>
  </w:num>
  <w:num w:numId="4">
    <w:abstractNumId w:val="12"/>
  </w:num>
  <w:num w:numId="5">
    <w:abstractNumId w:val="5"/>
  </w:num>
  <w:num w:numId="6">
    <w:abstractNumId w:val="24"/>
  </w:num>
  <w:num w:numId="7">
    <w:abstractNumId w:val="19"/>
  </w:num>
  <w:num w:numId="8">
    <w:abstractNumId w:val="23"/>
  </w:num>
  <w:num w:numId="9">
    <w:abstractNumId w:val="0"/>
  </w:num>
  <w:num w:numId="10">
    <w:abstractNumId w:val="21"/>
  </w:num>
  <w:num w:numId="11">
    <w:abstractNumId w:val="22"/>
  </w:num>
  <w:num w:numId="12">
    <w:abstractNumId w:val="25"/>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26"/>
  </w:num>
  <w:num w:numId="29">
    <w:abstractNumId w:val="18"/>
  </w:num>
  <w:num w:numId="30">
    <w:abstractNumId w:val="15"/>
  </w:num>
  <w:num w:numId="31">
    <w:abstractNumId w:val="2"/>
  </w:num>
  <w:num w:numId="32">
    <w:abstractNumId w:val="16"/>
  </w:num>
  <w:num w:numId="33">
    <w:abstractNumId w:val="11"/>
  </w:num>
  <w:num w:numId="34">
    <w:abstractNumId w:val="4"/>
  </w:num>
  <w:num w:numId="35">
    <w:abstractNumId w:val="8"/>
  </w:num>
  <w:num w:numId="36">
    <w:abstractNumId w:val="10"/>
  </w:num>
  <w:num w:numId="37">
    <w:abstractNumId w:val="17"/>
  </w:num>
  <w:num w:numId="38">
    <w:abstractNumId w:val="9"/>
  </w:num>
  <w:num w:numId="39">
    <w:abstractNumId w:val="3"/>
  </w:num>
  <w:num w:numId="40">
    <w:abstractNumId w:val="13"/>
  </w:num>
  <w:num w:numId="41">
    <w:abstractNumId w:val="14"/>
  </w:num>
  <w:num w:numId="42">
    <w:abstractNumId w:val="13"/>
  </w:num>
  <w:num w:numId="43">
    <w:abstractNumId w:val="13"/>
  </w:num>
  <w:num w:numId="44">
    <w:abstractNumId w:val="6"/>
  </w:num>
  <w:num w:numId="45">
    <w:abstractNumId w:val="13"/>
  </w:num>
  <w:num w:numId="46">
    <w:abstractNumId w:val="13"/>
  </w:num>
  <w:num w:numId="47">
    <w:abstractNumId w:val="13"/>
  </w:num>
  <w:num w:numId="48">
    <w:abstractNumId w:val="13"/>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linkStyle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735"/>
    <w:rsid w:val="000023F2"/>
    <w:rsid w:val="00003469"/>
    <w:rsid w:val="00003C05"/>
    <w:rsid w:val="0000460F"/>
    <w:rsid w:val="00010AF4"/>
    <w:rsid w:val="00011D7C"/>
    <w:rsid w:val="0001349F"/>
    <w:rsid w:val="0001401B"/>
    <w:rsid w:val="00015695"/>
    <w:rsid w:val="00015BEB"/>
    <w:rsid w:val="0001604C"/>
    <w:rsid w:val="00016B2A"/>
    <w:rsid w:val="0001755F"/>
    <w:rsid w:val="00017734"/>
    <w:rsid w:val="000203C5"/>
    <w:rsid w:val="00020514"/>
    <w:rsid w:val="0002125D"/>
    <w:rsid w:val="0002143D"/>
    <w:rsid w:val="00022705"/>
    <w:rsid w:val="000231F7"/>
    <w:rsid w:val="00023A56"/>
    <w:rsid w:val="00023F2E"/>
    <w:rsid w:val="000244DC"/>
    <w:rsid w:val="000256E9"/>
    <w:rsid w:val="00025B60"/>
    <w:rsid w:val="00026533"/>
    <w:rsid w:val="00026C7D"/>
    <w:rsid w:val="000270C4"/>
    <w:rsid w:val="00027408"/>
    <w:rsid w:val="000278B1"/>
    <w:rsid w:val="00030522"/>
    <w:rsid w:val="00030A44"/>
    <w:rsid w:val="00030AC2"/>
    <w:rsid w:val="00031A49"/>
    <w:rsid w:val="00032FBD"/>
    <w:rsid w:val="00033109"/>
    <w:rsid w:val="00033827"/>
    <w:rsid w:val="0003428C"/>
    <w:rsid w:val="00034E6B"/>
    <w:rsid w:val="00035B66"/>
    <w:rsid w:val="00035D86"/>
    <w:rsid w:val="0003674F"/>
    <w:rsid w:val="00036C3E"/>
    <w:rsid w:val="00040D88"/>
    <w:rsid w:val="000410FE"/>
    <w:rsid w:val="000440EB"/>
    <w:rsid w:val="00044FA7"/>
    <w:rsid w:val="00045055"/>
    <w:rsid w:val="0004511E"/>
    <w:rsid w:val="0004515D"/>
    <w:rsid w:val="000476AD"/>
    <w:rsid w:val="0005146E"/>
    <w:rsid w:val="0005170F"/>
    <w:rsid w:val="00051E08"/>
    <w:rsid w:val="000534FD"/>
    <w:rsid w:val="000537D2"/>
    <w:rsid w:val="00053CCB"/>
    <w:rsid w:val="000558A8"/>
    <w:rsid w:val="00055974"/>
    <w:rsid w:val="00055E2D"/>
    <w:rsid w:val="00055E4A"/>
    <w:rsid w:val="000562CD"/>
    <w:rsid w:val="00057923"/>
    <w:rsid w:val="0006009E"/>
    <w:rsid w:val="000600B6"/>
    <w:rsid w:val="00060B40"/>
    <w:rsid w:val="00061D8E"/>
    <w:rsid w:val="00061E3D"/>
    <w:rsid w:val="00062010"/>
    <w:rsid w:val="0006218A"/>
    <w:rsid w:val="000633C8"/>
    <w:rsid w:val="00063A4F"/>
    <w:rsid w:val="0006415C"/>
    <w:rsid w:val="00065AAD"/>
    <w:rsid w:val="00066BD3"/>
    <w:rsid w:val="00066CCB"/>
    <w:rsid w:val="00067718"/>
    <w:rsid w:val="00070841"/>
    <w:rsid w:val="00071504"/>
    <w:rsid w:val="00071945"/>
    <w:rsid w:val="00071B2A"/>
    <w:rsid w:val="000720A7"/>
    <w:rsid w:val="00072EA1"/>
    <w:rsid w:val="00072FE6"/>
    <w:rsid w:val="00073508"/>
    <w:rsid w:val="000740E9"/>
    <w:rsid w:val="000759E2"/>
    <w:rsid w:val="00075D2E"/>
    <w:rsid w:val="00077520"/>
    <w:rsid w:val="00081A45"/>
    <w:rsid w:val="00081B8D"/>
    <w:rsid w:val="000823A8"/>
    <w:rsid w:val="000835A7"/>
    <w:rsid w:val="00083CE7"/>
    <w:rsid w:val="00084A04"/>
    <w:rsid w:val="00084DE5"/>
    <w:rsid w:val="000858BC"/>
    <w:rsid w:val="00085CCC"/>
    <w:rsid w:val="00085F84"/>
    <w:rsid w:val="00086ADF"/>
    <w:rsid w:val="00087B72"/>
    <w:rsid w:val="000902A8"/>
    <w:rsid w:val="0009154E"/>
    <w:rsid w:val="0009284F"/>
    <w:rsid w:val="00092BA7"/>
    <w:rsid w:val="00092EC3"/>
    <w:rsid w:val="00094398"/>
    <w:rsid w:val="00094A8E"/>
    <w:rsid w:val="000959D4"/>
    <w:rsid w:val="00095C2D"/>
    <w:rsid w:val="00095F19"/>
    <w:rsid w:val="00096135"/>
    <w:rsid w:val="00096821"/>
    <w:rsid w:val="000A0423"/>
    <w:rsid w:val="000A0ABE"/>
    <w:rsid w:val="000A0B76"/>
    <w:rsid w:val="000A3E3E"/>
    <w:rsid w:val="000A43FB"/>
    <w:rsid w:val="000A4D0C"/>
    <w:rsid w:val="000A50AC"/>
    <w:rsid w:val="000A56A3"/>
    <w:rsid w:val="000A6111"/>
    <w:rsid w:val="000A73AF"/>
    <w:rsid w:val="000A7661"/>
    <w:rsid w:val="000B0385"/>
    <w:rsid w:val="000B0F32"/>
    <w:rsid w:val="000B2D17"/>
    <w:rsid w:val="000B51F4"/>
    <w:rsid w:val="000B71A9"/>
    <w:rsid w:val="000C1163"/>
    <w:rsid w:val="000C1C8F"/>
    <w:rsid w:val="000C2392"/>
    <w:rsid w:val="000C28F8"/>
    <w:rsid w:val="000C414E"/>
    <w:rsid w:val="000C525E"/>
    <w:rsid w:val="000C5AE1"/>
    <w:rsid w:val="000C6212"/>
    <w:rsid w:val="000C6E5D"/>
    <w:rsid w:val="000C718B"/>
    <w:rsid w:val="000C75FC"/>
    <w:rsid w:val="000C7B0E"/>
    <w:rsid w:val="000C7B92"/>
    <w:rsid w:val="000D08F4"/>
    <w:rsid w:val="000D14FC"/>
    <w:rsid w:val="000D39D1"/>
    <w:rsid w:val="000D5BB4"/>
    <w:rsid w:val="000D6411"/>
    <w:rsid w:val="000D675B"/>
    <w:rsid w:val="000D6E50"/>
    <w:rsid w:val="000E0C41"/>
    <w:rsid w:val="000E18BD"/>
    <w:rsid w:val="000E1E08"/>
    <w:rsid w:val="000E2777"/>
    <w:rsid w:val="000E2FCD"/>
    <w:rsid w:val="000E3070"/>
    <w:rsid w:val="000E3225"/>
    <w:rsid w:val="000E36B6"/>
    <w:rsid w:val="000E3A08"/>
    <w:rsid w:val="000E4E68"/>
    <w:rsid w:val="000E5959"/>
    <w:rsid w:val="000E6484"/>
    <w:rsid w:val="000E7967"/>
    <w:rsid w:val="000F0C41"/>
    <w:rsid w:val="000F0E1C"/>
    <w:rsid w:val="000F1303"/>
    <w:rsid w:val="000F15C0"/>
    <w:rsid w:val="000F2188"/>
    <w:rsid w:val="000F26DC"/>
    <w:rsid w:val="000F2994"/>
    <w:rsid w:val="000F2F62"/>
    <w:rsid w:val="000F6908"/>
    <w:rsid w:val="000F75DE"/>
    <w:rsid w:val="00100279"/>
    <w:rsid w:val="00100344"/>
    <w:rsid w:val="00101C6B"/>
    <w:rsid w:val="001026CB"/>
    <w:rsid w:val="0010660A"/>
    <w:rsid w:val="0010673F"/>
    <w:rsid w:val="0010760F"/>
    <w:rsid w:val="001076F9"/>
    <w:rsid w:val="001125FD"/>
    <w:rsid w:val="001130FC"/>
    <w:rsid w:val="00113419"/>
    <w:rsid w:val="00113C0C"/>
    <w:rsid w:val="00113DD9"/>
    <w:rsid w:val="001153CA"/>
    <w:rsid w:val="00115EDD"/>
    <w:rsid w:val="00115EE8"/>
    <w:rsid w:val="00116721"/>
    <w:rsid w:val="00116B97"/>
    <w:rsid w:val="00116F53"/>
    <w:rsid w:val="001203EF"/>
    <w:rsid w:val="001212F3"/>
    <w:rsid w:val="00121942"/>
    <w:rsid w:val="00121968"/>
    <w:rsid w:val="0012328D"/>
    <w:rsid w:val="001237C8"/>
    <w:rsid w:val="001238E0"/>
    <w:rsid w:val="00125B7E"/>
    <w:rsid w:val="001263DB"/>
    <w:rsid w:val="00126F3E"/>
    <w:rsid w:val="00130322"/>
    <w:rsid w:val="00130CEA"/>
    <w:rsid w:val="00131FA8"/>
    <w:rsid w:val="001327A8"/>
    <w:rsid w:val="00132DD6"/>
    <w:rsid w:val="0013430A"/>
    <w:rsid w:val="00135102"/>
    <w:rsid w:val="00135A53"/>
    <w:rsid w:val="00135C2F"/>
    <w:rsid w:val="001362E7"/>
    <w:rsid w:val="00137377"/>
    <w:rsid w:val="0014049D"/>
    <w:rsid w:val="00140DD4"/>
    <w:rsid w:val="00141125"/>
    <w:rsid w:val="001414A9"/>
    <w:rsid w:val="00142630"/>
    <w:rsid w:val="001436C9"/>
    <w:rsid w:val="001450A4"/>
    <w:rsid w:val="001451E0"/>
    <w:rsid w:val="0014586D"/>
    <w:rsid w:val="00145999"/>
    <w:rsid w:val="00145F7B"/>
    <w:rsid w:val="0014606F"/>
    <w:rsid w:val="0014675A"/>
    <w:rsid w:val="001467D9"/>
    <w:rsid w:val="00146B94"/>
    <w:rsid w:val="00146BD4"/>
    <w:rsid w:val="00147195"/>
    <w:rsid w:val="001476BC"/>
    <w:rsid w:val="00150212"/>
    <w:rsid w:val="00150D56"/>
    <w:rsid w:val="001511A4"/>
    <w:rsid w:val="00151538"/>
    <w:rsid w:val="00151825"/>
    <w:rsid w:val="00151BD2"/>
    <w:rsid w:val="001523D8"/>
    <w:rsid w:val="00152BFD"/>
    <w:rsid w:val="0015371B"/>
    <w:rsid w:val="00153C31"/>
    <w:rsid w:val="00154025"/>
    <w:rsid w:val="001542A5"/>
    <w:rsid w:val="00154A7E"/>
    <w:rsid w:val="00154C4F"/>
    <w:rsid w:val="00154CB0"/>
    <w:rsid w:val="00154F0B"/>
    <w:rsid w:val="001565D2"/>
    <w:rsid w:val="001579BD"/>
    <w:rsid w:val="001614A2"/>
    <w:rsid w:val="0016241F"/>
    <w:rsid w:val="00162CC6"/>
    <w:rsid w:val="001645DE"/>
    <w:rsid w:val="00164A3E"/>
    <w:rsid w:val="00164A8B"/>
    <w:rsid w:val="00164B8F"/>
    <w:rsid w:val="00164C7C"/>
    <w:rsid w:val="00165996"/>
    <w:rsid w:val="00165FA4"/>
    <w:rsid w:val="0016668B"/>
    <w:rsid w:val="00166DFE"/>
    <w:rsid w:val="00167ACD"/>
    <w:rsid w:val="00167BC1"/>
    <w:rsid w:val="00170511"/>
    <w:rsid w:val="001732EB"/>
    <w:rsid w:val="001737FE"/>
    <w:rsid w:val="00174255"/>
    <w:rsid w:val="00175166"/>
    <w:rsid w:val="001755DC"/>
    <w:rsid w:val="00176DDA"/>
    <w:rsid w:val="001770F8"/>
    <w:rsid w:val="00177BBE"/>
    <w:rsid w:val="00180AFD"/>
    <w:rsid w:val="001810F8"/>
    <w:rsid w:val="001814EE"/>
    <w:rsid w:val="00181D64"/>
    <w:rsid w:val="00181FA2"/>
    <w:rsid w:val="00182113"/>
    <w:rsid w:val="00182782"/>
    <w:rsid w:val="00183BF5"/>
    <w:rsid w:val="00184ACB"/>
    <w:rsid w:val="001851FA"/>
    <w:rsid w:val="00185E13"/>
    <w:rsid w:val="00186BB8"/>
    <w:rsid w:val="00186CAC"/>
    <w:rsid w:val="001870FA"/>
    <w:rsid w:val="001872B4"/>
    <w:rsid w:val="0018790C"/>
    <w:rsid w:val="001900B9"/>
    <w:rsid w:val="001913BA"/>
    <w:rsid w:val="00191AB8"/>
    <w:rsid w:val="001946D2"/>
    <w:rsid w:val="001948F2"/>
    <w:rsid w:val="00194C59"/>
    <w:rsid w:val="00194E5E"/>
    <w:rsid w:val="00195FD3"/>
    <w:rsid w:val="001960CD"/>
    <w:rsid w:val="001963D3"/>
    <w:rsid w:val="00196CF0"/>
    <w:rsid w:val="00197A0E"/>
    <w:rsid w:val="001A1A75"/>
    <w:rsid w:val="001A2055"/>
    <w:rsid w:val="001A3135"/>
    <w:rsid w:val="001A3239"/>
    <w:rsid w:val="001A394E"/>
    <w:rsid w:val="001A398B"/>
    <w:rsid w:val="001A4021"/>
    <w:rsid w:val="001A4CBF"/>
    <w:rsid w:val="001A5942"/>
    <w:rsid w:val="001A5DAE"/>
    <w:rsid w:val="001A7026"/>
    <w:rsid w:val="001B03B0"/>
    <w:rsid w:val="001B0DCC"/>
    <w:rsid w:val="001B0EDD"/>
    <w:rsid w:val="001B24C4"/>
    <w:rsid w:val="001B395D"/>
    <w:rsid w:val="001B3FA0"/>
    <w:rsid w:val="001B40C1"/>
    <w:rsid w:val="001B56E5"/>
    <w:rsid w:val="001B7B01"/>
    <w:rsid w:val="001B7ECF"/>
    <w:rsid w:val="001C2215"/>
    <w:rsid w:val="001C2467"/>
    <w:rsid w:val="001C3563"/>
    <w:rsid w:val="001C44F9"/>
    <w:rsid w:val="001C4554"/>
    <w:rsid w:val="001C492E"/>
    <w:rsid w:val="001C4D5C"/>
    <w:rsid w:val="001C4F67"/>
    <w:rsid w:val="001C64C2"/>
    <w:rsid w:val="001C6A7F"/>
    <w:rsid w:val="001D0EFA"/>
    <w:rsid w:val="001D126D"/>
    <w:rsid w:val="001D190E"/>
    <w:rsid w:val="001D4AD7"/>
    <w:rsid w:val="001D4CA2"/>
    <w:rsid w:val="001D5C33"/>
    <w:rsid w:val="001D6C17"/>
    <w:rsid w:val="001D6CD5"/>
    <w:rsid w:val="001E0039"/>
    <w:rsid w:val="001E057F"/>
    <w:rsid w:val="001E0801"/>
    <w:rsid w:val="001E2BD7"/>
    <w:rsid w:val="001E3B70"/>
    <w:rsid w:val="001E4515"/>
    <w:rsid w:val="001E5811"/>
    <w:rsid w:val="001E589B"/>
    <w:rsid w:val="001E609E"/>
    <w:rsid w:val="001E60F3"/>
    <w:rsid w:val="001E62E6"/>
    <w:rsid w:val="001E7413"/>
    <w:rsid w:val="001F0C91"/>
    <w:rsid w:val="001F17D0"/>
    <w:rsid w:val="001F21CC"/>
    <w:rsid w:val="001F23C8"/>
    <w:rsid w:val="001F4768"/>
    <w:rsid w:val="001F4D14"/>
    <w:rsid w:val="001F52CD"/>
    <w:rsid w:val="001F52F8"/>
    <w:rsid w:val="001F5803"/>
    <w:rsid w:val="001F72BD"/>
    <w:rsid w:val="001F7620"/>
    <w:rsid w:val="001F7E3E"/>
    <w:rsid w:val="0020021D"/>
    <w:rsid w:val="00200589"/>
    <w:rsid w:val="00201FDD"/>
    <w:rsid w:val="00202977"/>
    <w:rsid w:val="00203A8F"/>
    <w:rsid w:val="00204475"/>
    <w:rsid w:val="00205709"/>
    <w:rsid w:val="0021050B"/>
    <w:rsid w:val="00211000"/>
    <w:rsid w:val="002114E8"/>
    <w:rsid w:val="00211E8D"/>
    <w:rsid w:val="002125C9"/>
    <w:rsid w:val="00212C7D"/>
    <w:rsid w:val="00213406"/>
    <w:rsid w:val="002141B2"/>
    <w:rsid w:val="00214A63"/>
    <w:rsid w:val="00215FF1"/>
    <w:rsid w:val="002166FA"/>
    <w:rsid w:val="002169E2"/>
    <w:rsid w:val="002178B4"/>
    <w:rsid w:val="00220F9B"/>
    <w:rsid w:val="002216AE"/>
    <w:rsid w:val="00221A66"/>
    <w:rsid w:val="0022274B"/>
    <w:rsid w:val="002229C4"/>
    <w:rsid w:val="0022325C"/>
    <w:rsid w:val="0022480A"/>
    <w:rsid w:val="00224EDC"/>
    <w:rsid w:val="00225529"/>
    <w:rsid w:val="00226C84"/>
    <w:rsid w:val="0023096A"/>
    <w:rsid w:val="00231416"/>
    <w:rsid w:val="00231EBE"/>
    <w:rsid w:val="00232240"/>
    <w:rsid w:val="002327DA"/>
    <w:rsid w:val="00232E2B"/>
    <w:rsid w:val="002348B0"/>
    <w:rsid w:val="00235977"/>
    <w:rsid w:val="00240B54"/>
    <w:rsid w:val="00240EA1"/>
    <w:rsid w:val="002411AD"/>
    <w:rsid w:val="0024125D"/>
    <w:rsid w:val="002414D1"/>
    <w:rsid w:val="0024198A"/>
    <w:rsid w:val="00241D9F"/>
    <w:rsid w:val="00241DC3"/>
    <w:rsid w:val="00245EE5"/>
    <w:rsid w:val="00246B04"/>
    <w:rsid w:val="002470D7"/>
    <w:rsid w:val="002507CA"/>
    <w:rsid w:val="00250CF5"/>
    <w:rsid w:val="002515CE"/>
    <w:rsid w:val="00252A9C"/>
    <w:rsid w:val="00252BBD"/>
    <w:rsid w:val="0025308F"/>
    <w:rsid w:val="00254139"/>
    <w:rsid w:val="00255597"/>
    <w:rsid w:val="00255ECD"/>
    <w:rsid w:val="00256152"/>
    <w:rsid w:val="00256CE5"/>
    <w:rsid w:val="0025760D"/>
    <w:rsid w:val="00257F3A"/>
    <w:rsid w:val="0026132B"/>
    <w:rsid w:val="00261E89"/>
    <w:rsid w:val="002644BA"/>
    <w:rsid w:val="00264AE7"/>
    <w:rsid w:val="002701FC"/>
    <w:rsid w:val="00271EB4"/>
    <w:rsid w:val="002735A3"/>
    <w:rsid w:val="00273820"/>
    <w:rsid w:val="00276000"/>
    <w:rsid w:val="00276033"/>
    <w:rsid w:val="0027689B"/>
    <w:rsid w:val="002774A2"/>
    <w:rsid w:val="00281529"/>
    <w:rsid w:val="00281C59"/>
    <w:rsid w:val="0028319C"/>
    <w:rsid w:val="002831D7"/>
    <w:rsid w:val="00284012"/>
    <w:rsid w:val="002843B2"/>
    <w:rsid w:val="00284B0B"/>
    <w:rsid w:val="00284E18"/>
    <w:rsid w:val="00284F42"/>
    <w:rsid w:val="0028550E"/>
    <w:rsid w:val="0028571D"/>
    <w:rsid w:val="00286E70"/>
    <w:rsid w:val="00286F11"/>
    <w:rsid w:val="00286F8D"/>
    <w:rsid w:val="00287012"/>
    <w:rsid w:val="0029063B"/>
    <w:rsid w:val="0029304C"/>
    <w:rsid w:val="002939E1"/>
    <w:rsid w:val="00294480"/>
    <w:rsid w:val="002950C2"/>
    <w:rsid w:val="002951A3"/>
    <w:rsid w:val="00296EE8"/>
    <w:rsid w:val="0029774E"/>
    <w:rsid w:val="002979F9"/>
    <w:rsid w:val="002A0A37"/>
    <w:rsid w:val="002A1372"/>
    <w:rsid w:val="002A1710"/>
    <w:rsid w:val="002A2C53"/>
    <w:rsid w:val="002A32BC"/>
    <w:rsid w:val="002A366E"/>
    <w:rsid w:val="002A425B"/>
    <w:rsid w:val="002A51B1"/>
    <w:rsid w:val="002A591A"/>
    <w:rsid w:val="002A5CC3"/>
    <w:rsid w:val="002A69B7"/>
    <w:rsid w:val="002B001C"/>
    <w:rsid w:val="002B02BA"/>
    <w:rsid w:val="002B2013"/>
    <w:rsid w:val="002B4A07"/>
    <w:rsid w:val="002B5636"/>
    <w:rsid w:val="002B65EC"/>
    <w:rsid w:val="002B6F3A"/>
    <w:rsid w:val="002C03EC"/>
    <w:rsid w:val="002C09DB"/>
    <w:rsid w:val="002C25D2"/>
    <w:rsid w:val="002C3886"/>
    <w:rsid w:val="002C3A77"/>
    <w:rsid w:val="002C3D23"/>
    <w:rsid w:val="002C4EF3"/>
    <w:rsid w:val="002C5590"/>
    <w:rsid w:val="002C6D41"/>
    <w:rsid w:val="002C7A09"/>
    <w:rsid w:val="002C7B9A"/>
    <w:rsid w:val="002C7E3E"/>
    <w:rsid w:val="002D1BF2"/>
    <w:rsid w:val="002D1FF3"/>
    <w:rsid w:val="002D2049"/>
    <w:rsid w:val="002D28A9"/>
    <w:rsid w:val="002D4BB7"/>
    <w:rsid w:val="002D632D"/>
    <w:rsid w:val="002D71AF"/>
    <w:rsid w:val="002E078A"/>
    <w:rsid w:val="002E0F5C"/>
    <w:rsid w:val="002E14B6"/>
    <w:rsid w:val="002E1B8D"/>
    <w:rsid w:val="002E4B70"/>
    <w:rsid w:val="002E573C"/>
    <w:rsid w:val="002E5B79"/>
    <w:rsid w:val="002E781D"/>
    <w:rsid w:val="002E7907"/>
    <w:rsid w:val="002F225D"/>
    <w:rsid w:val="002F23A4"/>
    <w:rsid w:val="002F312B"/>
    <w:rsid w:val="002F3135"/>
    <w:rsid w:val="002F474E"/>
    <w:rsid w:val="002F4F13"/>
    <w:rsid w:val="002F69FE"/>
    <w:rsid w:val="002F761A"/>
    <w:rsid w:val="0030045E"/>
    <w:rsid w:val="0030102E"/>
    <w:rsid w:val="00301443"/>
    <w:rsid w:val="00306AF9"/>
    <w:rsid w:val="00306CAB"/>
    <w:rsid w:val="00310023"/>
    <w:rsid w:val="003102A5"/>
    <w:rsid w:val="00311987"/>
    <w:rsid w:val="00311B8F"/>
    <w:rsid w:val="00313D68"/>
    <w:rsid w:val="00315030"/>
    <w:rsid w:val="00316292"/>
    <w:rsid w:val="00317379"/>
    <w:rsid w:val="00317654"/>
    <w:rsid w:val="003201B3"/>
    <w:rsid w:val="00320CC8"/>
    <w:rsid w:val="00322228"/>
    <w:rsid w:val="00323638"/>
    <w:rsid w:val="00325BA2"/>
    <w:rsid w:val="00326C66"/>
    <w:rsid w:val="00326E1C"/>
    <w:rsid w:val="00326FEB"/>
    <w:rsid w:val="00332008"/>
    <w:rsid w:val="003323D3"/>
    <w:rsid w:val="00332D41"/>
    <w:rsid w:val="003331EE"/>
    <w:rsid w:val="003345D4"/>
    <w:rsid w:val="003348B9"/>
    <w:rsid w:val="00334EFE"/>
    <w:rsid w:val="00335744"/>
    <w:rsid w:val="0033578E"/>
    <w:rsid w:val="003357DD"/>
    <w:rsid w:val="00335D3D"/>
    <w:rsid w:val="00336972"/>
    <w:rsid w:val="00337264"/>
    <w:rsid w:val="00337A48"/>
    <w:rsid w:val="00341160"/>
    <w:rsid w:val="00341B43"/>
    <w:rsid w:val="00341BEA"/>
    <w:rsid w:val="00342300"/>
    <w:rsid w:val="00343277"/>
    <w:rsid w:val="00343285"/>
    <w:rsid w:val="003439EC"/>
    <w:rsid w:val="00346388"/>
    <w:rsid w:val="0034731A"/>
    <w:rsid w:val="00347810"/>
    <w:rsid w:val="00347F39"/>
    <w:rsid w:val="00350171"/>
    <w:rsid w:val="00350EBA"/>
    <w:rsid w:val="00352282"/>
    <w:rsid w:val="003522C7"/>
    <w:rsid w:val="00352F56"/>
    <w:rsid w:val="003532AB"/>
    <w:rsid w:val="00353522"/>
    <w:rsid w:val="00353536"/>
    <w:rsid w:val="00354239"/>
    <w:rsid w:val="00355860"/>
    <w:rsid w:val="00355F5A"/>
    <w:rsid w:val="00356317"/>
    <w:rsid w:val="00357A72"/>
    <w:rsid w:val="00357CEA"/>
    <w:rsid w:val="00361355"/>
    <w:rsid w:val="0036180E"/>
    <w:rsid w:val="00363591"/>
    <w:rsid w:val="0036407B"/>
    <w:rsid w:val="003641B2"/>
    <w:rsid w:val="0036430C"/>
    <w:rsid w:val="003647F0"/>
    <w:rsid w:val="00364F41"/>
    <w:rsid w:val="0036504E"/>
    <w:rsid w:val="003650B1"/>
    <w:rsid w:val="00365DEF"/>
    <w:rsid w:val="00366145"/>
    <w:rsid w:val="00370080"/>
    <w:rsid w:val="00370ABC"/>
    <w:rsid w:val="0037145F"/>
    <w:rsid w:val="0037183B"/>
    <w:rsid w:val="00371ADD"/>
    <w:rsid w:val="0037256F"/>
    <w:rsid w:val="00373FD2"/>
    <w:rsid w:val="00374FDA"/>
    <w:rsid w:val="00375B34"/>
    <w:rsid w:val="003760F0"/>
    <w:rsid w:val="003762A5"/>
    <w:rsid w:val="0037793B"/>
    <w:rsid w:val="00377C35"/>
    <w:rsid w:val="00377CBC"/>
    <w:rsid w:val="003818BB"/>
    <w:rsid w:val="00381CBD"/>
    <w:rsid w:val="0038286E"/>
    <w:rsid w:val="00382BA5"/>
    <w:rsid w:val="003835FC"/>
    <w:rsid w:val="003836EE"/>
    <w:rsid w:val="00383D50"/>
    <w:rsid w:val="00384034"/>
    <w:rsid w:val="00385762"/>
    <w:rsid w:val="00385C0F"/>
    <w:rsid w:val="00387192"/>
    <w:rsid w:val="00390644"/>
    <w:rsid w:val="00390E1F"/>
    <w:rsid w:val="00390EB1"/>
    <w:rsid w:val="00390ED2"/>
    <w:rsid w:val="003919FD"/>
    <w:rsid w:val="00391C12"/>
    <w:rsid w:val="00393297"/>
    <w:rsid w:val="00394157"/>
    <w:rsid w:val="00394880"/>
    <w:rsid w:val="00396CB1"/>
    <w:rsid w:val="00397499"/>
    <w:rsid w:val="003978EC"/>
    <w:rsid w:val="003A0972"/>
    <w:rsid w:val="003A1813"/>
    <w:rsid w:val="003A1D2C"/>
    <w:rsid w:val="003A2431"/>
    <w:rsid w:val="003A379A"/>
    <w:rsid w:val="003A457A"/>
    <w:rsid w:val="003A48E4"/>
    <w:rsid w:val="003A5F11"/>
    <w:rsid w:val="003B168F"/>
    <w:rsid w:val="003B1F05"/>
    <w:rsid w:val="003B2606"/>
    <w:rsid w:val="003B289D"/>
    <w:rsid w:val="003B2CFC"/>
    <w:rsid w:val="003B30BE"/>
    <w:rsid w:val="003B56D1"/>
    <w:rsid w:val="003B5DBD"/>
    <w:rsid w:val="003B712A"/>
    <w:rsid w:val="003B78EB"/>
    <w:rsid w:val="003B7D4A"/>
    <w:rsid w:val="003C2C08"/>
    <w:rsid w:val="003C36C7"/>
    <w:rsid w:val="003C4F41"/>
    <w:rsid w:val="003C5D1D"/>
    <w:rsid w:val="003C6852"/>
    <w:rsid w:val="003C7C87"/>
    <w:rsid w:val="003C7E0A"/>
    <w:rsid w:val="003C7F7D"/>
    <w:rsid w:val="003D0DB9"/>
    <w:rsid w:val="003D25A5"/>
    <w:rsid w:val="003D2931"/>
    <w:rsid w:val="003D2E01"/>
    <w:rsid w:val="003D4B90"/>
    <w:rsid w:val="003D4BC9"/>
    <w:rsid w:val="003D4CB7"/>
    <w:rsid w:val="003D4DB4"/>
    <w:rsid w:val="003D5CE0"/>
    <w:rsid w:val="003D6299"/>
    <w:rsid w:val="003D6CB8"/>
    <w:rsid w:val="003D6D05"/>
    <w:rsid w:val="003D771E"/>
    <w:rsid w:val="003E24F0"/>
    <w:rsid w:val="003E2AF3"/>
    <w:rsid w:val="003E31BD"/>
    <w:rsid w:val="003E3674"/>
    <w:rsid w:val="003E38F8"/>
    <w:rsid w:val="003E3BD0"/>
    <w:rsid w:val="003E3EFA"/>
    <w:rsid w:val="003E43ED"/>
    <w:rsid w:val="003E4D0A"/>
    <w:rsid w:val="003E59F8"/>
    <w:rsid w:val="003E5B54"/>
    <w:rsid w:val="003E6652"/>
    <w:rsid w:val="003E6CA2"/>
    <w:rsid w:val="003F012B"/>
    <w:rsid w:val="003F027E"/>
    <w:rsid w:val="003F0561"/>
    <w:rsid w:val="003F0792"/>
    <w:rsid w:val="003F143D"/>
    <w:rsid w:val="003F1A5A"/>
    <w:rsid w:val="003F4793"/>
    <w:rsid w:val="003F4884"/>
    <w:rsid w:val="003F5159"/>
    <w:rsid w:val="003F5D0F"/>
    <w:rsid w:val="003F5F43"/>
    <w:rsid w:val="003F63AF"/>
    <w:rsid w:val="003F6ADD"/>
    <w:rsid w:val="003F701F"/>
    <w:rsid w:val="003F7029"/>
    <w:rsid w:val="003F73E1"/>
    <w:rsid w:val="003F7DA0"/>
    <w:rsid w:val="0040049D"/>
    <w:rsid w:val="00400915"/>
    <w:rsid w:val="00400A02"/>
    <w:rsid w:val="004018F1"/>
    <w:rsid w:val="00402382"/>
    <w:rsid w:val="00402416"/>
    <w:rsid w:val="0040259F"/>
    <w:rsid w:val="00402A00"/>
    <w:rsid w:val="00402A52"/>
    <w:rsid w:val="00402A53"/>
    <w:rsid w:val="004036B3"/>
    <w:rsid w:val="004036D6"/>
    <w:rsid w:val="00403878"/>
    <w:rsid w:val="00405121"/>
    <w:rsid w:val="00406599"/>
    <w:rsid w:val="004067EE"/>
    <w:rsid w:val="004070FD"/>
    <w:rsid w:val="004111EF"/>
    <w:rsid w:val="004123F4"/>
    <w:rsid w:val="004127AC"/>
    <w:rsid w:val="00412E8B"/>
    <w:rsid w:val="004134EC"/>
    <w:rsid w:val="004151E8"/>
    <w:rsid w:val="004153C5"/>
    <w:rsid w:val="004166ED"/>
    <w:rsid w:val="00420ACA"/>
    <w:rsid w:val="00420D5A"/>
    <w:rsid w:val="00421736"/>
    <w:rsid w:val="00422B67"/>
    <w:rsid w:val="00423B3E"/>
    <w:rsid w:val="00423F09"/>
    <w:rsid w:val="004259BB"/>
    <w:rsid w:val="0042624D"/>
    <w:rsid w:val="004267F3"/>
    <w:rsid w:val="0042763C"/>
    <w:rsid w:val="00430D37"/>
    <w:rsid w:val="0043125F"/>
    <w:rsid w:val="004312E1"/>
    <w:rsid w:val="0043215D"/>
    <w:rsid w:val="004326E7"/>
    <w:rsid w:val="00432BAA"/>
    <w:rsid w:val="0043319F"/>
    <w:rsid w:val="0043604A"/>
    <w:rsid w:val="00436F39"/>
    <w:rsid w:val="0043766E"/>
    <w:rsid w:val="004412A3"/>
    <w:rsid w:val="00441524"/>
    <w:rsid w:val="0044188B"/>
    <w:rsid w:val="00441954"/>
    <w:rsid w:val="00442C2D"/>
    <w:rsid w:val="00442E32"/>
    <w:rsid w:val="004433A4"/>
    <w:rsid w:val="0044340B"/>
    <w:rsid w:val="00443B0C"/>
    <w:rsid w:val="00443F78"/>
    <w:rsid w:val="00444241"/>
    <w:rsid w:val="00444714"/>
    <w:rsid w:val="00444860"/>
    <w:rsid w:val="00444942"/>
    <w:rsid w:val="004453A1"/>
    <w:rsid w:val="004460F4"/>
    <w:rsid w:val="00446781"/>
    <w:rsid w:val="00446B10"/>
    <w:rsid w:val="00447230"/>
    <w:rsid w:val="00447638"/>
    <w:rsid w:val="00447E7B"/>
    <w:rsid w:val="004505BF"/>
    <w:rsid w:val="00451AF1"/>
    <w:rsid w:val="00451EEA"/>
    <w:rsid w:val="00451FFC"/>
    <w:rsid w:val="0045218F"/>
    <w:rsid w:val="00452E1B"/>
    <w:rsid w:val="004532BE"/>
    <w:rsid w:val="00453E91"/>
    <w:rsid w:val="00454112"/>
    <w:rsid w:val="00455B31"/>
    <w:rsid w:val="0046043E"/>
    <w:rsid w:val="00460660"/>
    <w:rsid w:val="004610DC"/>
    <w:rsid w:val="0046233C"/>
    <w:rsid w:val="00462DD5"/>
    <w:rsid w:val="00462E09"/>
    <w:rsid w:val="0046484D"/>
    <w:rsid w:val="0046497C"/>
    <w:rsid w:val="004649CC"/>
    <w:rsid w:val="004650FD"/>
    <w:rsid w:val="00465987"/>
    <w:rsid w:val="0046616A"/>
    <w:rsid w:val="0046618B"/>
    <w:rsid w:val="00466382"/>
    <w:rsid w:val="0046755C"/>
    <w:rsid w:val="0046762C"/>
    <w:rsid w:val="00467F55"/>
    <w:rsid w:val="00472A28"/>
    <w:rsid w:val="00473340"/>
    <w:rsid w:val="00473B5E"/>
    <w:rsid w:val="00474DC0"/>
    <w:rsid w:val="0047516C"/>
    <w:rsid w:val="0047588F"/>
    <w:rsid w:val="004764B5"/>
    <w:rsid w:val="00480DB7"/>
    <w:rsid w:val="004812CA"/>
    <w:rsid w:val="004817AC"/>
    <w:rsid w:val="0048326A"/>
    <w:rsid w:val="004842B9"/>
    <w:rsid w:val="004844A3"/>
    <w:rsid w:val="00486409"/>
    <w:rsid w:val="004864B3"/>
    <w:rsid w:val="004864C9"/>
    <w:rsid w:val="0048776F"/>
    <w:rsid w:val="00490A96"/>
    <w:rsid w:val="004914F0"/>
    <w:rsid w:val="0049182B"/>
    <w:rsid w:val="00491DA2"/>
    <w:rsid w:val="00492D5A"/>
    <w:rsid w:val="00492E0A"/>
    <w:rsid w:val="00492E3D"/>
    <w:rsid w:val="0049317E"/>
    <w:rsid w:val="00494109"/>
    <w:rsid w:val="00494BAF"/>
    <w:rsid w:val="0049608E"/>
    <w:rsid w:val="0049646B"/>
    <w:rsid w:val="004974E5"/>
    <w:rsid w:val="00497504"/>
    <w:rsid w:val="00497727"/>
    <w:rsid w:val="004A069A"/>
    <w:rsid w:val="004A0C0A"/>
    <w:rsid w:val="004A3194"/>
    <w:rsid w:val="004A3D20"/>
    <w:rsid w:val="004A470C"/>
    <w:rsid w:val="004A5356"/>
    <w:rsid w:val="004A6A8E"/>
    <w:rsid w:val="004B132E"/>
    <w:rsid w:val="004B167E"/>
    <w:rsid w:val="004B1E0F"/>
    <w:rsid w:val="004B2786"/>
    <w:rsid w:val="004B3329"/>
    <w:rsid w:val="004B4904"/>
    <w:rsid w:val="004B71D1"/>
    <w:rsid w:val="004B72D6"/>
    <w:rsid w:val="004B78D6"/>
    <w:rsid w:val="004B7D01"/>
    <w:rsid w:val="004C035A"/>
    <w:rsid w:val="004C04D2"/>
    <w:rsid w:val="004C0521"/>
    <w:rsid w:val="004C0C38"/>
    <w:rsid w:val="004C16F9"/>
    <w:rsid w:val="004C175F"/>
    <w:rsid w:val="004C2414"/>
    <w:rsid w:val="004C3766"/>
    <w:rsid w:val="004C403B"/>
    <w:rsid w:val="004C4593"/>
    <w:rsid w:val="004C4797"/>
    <w:rsid w:val="004C4DBC"/>
    <w:rsid w:val="004C707A"/>
    <w:rsid w:val="004C711A"/>
    <w:rsid w:val="004C720C"/>
    <w:rsid w:val="004D0D1F"/>
    <w:rsid w:val="004D18C3"/>
    <w:rsid w:val="004D2369"/>
    <w:rsid w:val="004D3A27"/>
    <w:rsid w:val="004D4CB4"/>
    <w:rsid w:val="004D4D1D"/>
    <w:rsid w:val="004D4F59"/>
    <w:rsid w:val="004E1E5C"/>
    <w:rsid w:val="004E1EBD"/>
    <w:rsid w:val="004E35C0"/>
    <w:rsid w:val="004E416D"/>
    <w:rsid w:val="004E464B"/>
    <w:rsid w:val="004E4CCF"/>
    <w:rsid w:val="004E4D76"/>
    <w:rsid w:val="004E5F49"/>
    <w:rsid w:val="004E6998"/>
    <w:rsid w:val="004E72C9"/>
    <w:rsid w:val="004F112E"/>
    <w:rsid w:val="004F3418"/>
    <w:rsid w:val="004F3846"/>
    <w:rsid w:val="004F433D"/>
    <w:rsid w:val="004F535A"/>
    <w:rsid w:val="004F589C"/>
    <w:rsid w:val="004F597F"/>
    <w:rsid w:val="004F5A0C"/>
    <w:rsid w:val="004F5E30"/>
    <w:rsid w:val="004F7A28"/>
    <w:rsid w:val="00500677"/>
    <w:rsid w:val="00500862"/>
    <w:rsid w:val="005008B4"/>
    <w:rsid w:val="00500DAB"/>
    <w:rsid w:val="005011EB"/>
    <w:rsid w:val="0050284B"/>
    <w:rsid w:val="00502FCF"/>
    <w:rsid w:val="005046C1"/>
    <w:rsid w:val="005050BB"/>
    <w:rsid w:val="00505C1A"/>
    <w:rsid w:val="005070CD"/>
    <w:rsid w:val="0050725B"/>
    <w:rsid w:val="00507BF4"/>
    <w:rsid w:val="00507DED"/>
    <w:rsid w:val="0051080B"/>
    <w:rsid w:val="00510A8F"/>
    <w:rsid w:val="005112CE"/>
    <w:rsid w:val="00511DE3"/>
    <w:rsid w:val="00512143"/>
    <w:rsid w:val="005145B1"/>
    <w:rsid w:val="005147EC"/>
    <w:rsid w:val="0051641F"/>
    <w:rsid w:val="005174B1"/>
    <w:rsid w:val="00517CC9"/>
    <w:rsid w:val="005205EC"/>
    <w:rsid w:val="00521908"/>
    <w:rsid w:val="00521A23"/>
    <w:rsid w:val="00521B88"/>
    <w:rsid w:val="00521EA5"/>
    <w:rsid w:val="00522FC3"/>
    <w:rsid w:val="005232FD"/>
    <w:rsid w:val="0052346B"/>
    <w:rsid w:val="0052356C"/>
    <w:rsid w:val="005261D0"/>
    <w:rsid w:val="00526EBF"/>
    <w:rsid w:val="00527799"/>
    <w:rsid w:val="00527902"/>
    <w:rsid w:val="00532E96"/>
    <w:rsid w:val="00533EB5"/>
    <w:rsid w:val="0053403D"/>
    <w:rsid w:val="005342CC"/>
    <w:rsid w:val="0053435B"/>
    <w:rsid w:val="00540872"/>
    <w:rsid w:val="0054114F"/>
    <w:rsid w:val="005411F7"/>
    <w:rsid w:val="005424F2"/>
    <w:rsid w:val="00542E05"/>
    <w:rsid w:val="00543391"/>
    <w:rsid w:val="005435C7"/>
    <w:rsid w:val="00543E2D"/>
    <w:rsid w:val="00544193"/>
    <w:rsid w:val="00544A46"/>
    <w:rsid w:val="00544E9C"/>
    <w:rsid w:val="00545DAD"/>
    <w:rsid w:val="00546896"/>
    <w:rsid w:val="0054720F"/>
    <w:rsid w:val="00547393"/>
    <w:rsid w:val="00551511"/>
    <w:rsid w:val="00551930"/>
    <w:rsid w:val="0055274B"/>
    <w:rsid w:val="00552BED"/>
    <w:rsid w:val="005535E0"/>
    <w:rsid w:val="0055532E"/>
    <w:rsid w:val="0055577B"/>
    <w:rsid w:val="00560D1E"/>
    <w:rsid w:val="005613D9"/>
    <w:rsid w:val="00562134"/>
    <w:rsid w:val="0056302F"/>
    <w:rsid w:val="00563A4C"/>
    <w:rsid w:val="00565190"/>
    <w:rsid w:val="00566AF3"/>
    <w:rsid w:val="00566B91"/>
    <w:rsid w:val="005674C0"/>
    <w:rsid w:val="00567EEE"/>
    <w:rsid w:val="00567FFD"/>
    <w:rsid w:val="0057069C"/>
    <w:rsid w:val="00570C88"/>
    <w:rsid w:val="00572BA5"/>
    <w:rsid w:val="00573664"/>
    <w:rsid w:val="005736D0"/>
    <w:rsid w:val="00573747"/>
    <w:rsid w:val="00573E28"/>
    <w:rsid w:val="00574FD5"/>
    <w:rsid w:val="00575A7B"/>
    <w:rsid w:val="00576FFE"/>
    <w:rsid w:val="00577140"/>
    <w:rsid w:val="005776EA"/>
    <w:rsid w:val="00577724"/>
    <w:rsid w:val="00577F39"/>
    <w:rsid w:val="0058004B"/>
    <w:rsid w:val="005802B9"/>
    <w:rsid w:val="00581178"/>
    <w:rsid w:val="005825A4"/>
    <w:rsid w:val="00583FCD"/>
    <w:rsid w:val="005844D9"/>
    <w:rsid w:val="00584C93"/>
    <w:rsid w:val="00585311"/>
    <w:rsid w:val="00585747"/>
    <w:rsid w:val="00586D6A"/>
    <w:rsid w:val="005870F1"/>
    <w:rsid w:val="00587D66"/>
    <w:rsid w:val="0059000D"/>
    <w:rsid w:val="005904D2"/>
    <w:rsid w:val="00590803"/>
    <w:rsid w:val="00590EE8"/>
    <w:rsid w:val="00591A1B"/>
    <w:rsid w:val="00592B89"/>
    <w:rsid w:val="0059336B"/>
    <w:rsid w:val="00594BEE"/>
    <w:rsid w:val="00594C58"/>
    <w:rsid w:val="005957F7"/>
    <w:rsid w:val="005958B5"/>
    <w:rsid w:val="00595BB8"/>
    <w:rsid w:val="0059607A"/>
    <w:rsid w:val="00596794"/>
    <w:rsid w:val="00597437"/>
    <w:rsid w:val="00597805"/>
    <w:rsid w:val="005A0A93"/>
    <w:rsid w:val="005A12B5"/>
    <w:rsid w:val="005A151D"/>
    <w:rsid w:val="005A22D2"/>
    <w:rsid w:val="005A2BBD"/>
    <w:rsid w:val="005A404E"/>
    <w:rsid w:val="005A59F7"/>
    <w:rsid w:val="005A7E8A"/>
    <w:rsid w:val="005B016F"/>
    <w:rsid w:val="005B1584"/>
    <w:rsid w:val="005B18A7"/>
    <w:rsid w:val="005B1C6B"/>
    <w:rsid w:val="005B2848"/>
    <w:rsid w:val="005B3B7B"/>
    <w:rsid w:val="005B55D7"/>
    <w:rsid w:val="005B5BC0"/>
    <w:rsid w:val="005B5C20"/>
    <w:rsid w:val="005B5F78"/>
    <w:rsid w:val="005B619F"/>
    <w:rsid w:val="005B627A"/>
    <w:rsid w:val="005B63CB"/>
    <w:rsid w:val="005B63F6"/>
    <w:rsid w:val="005B655C"/>
    <w:rsid w:val="005B722B"/>
    <w:rsid w:val="005B7D95"/>
    <w:rsid w:val="005C0896"/>
    <w:rsid w:val="005C21E4"/>
    <w:rsid w:val="005C2778"/>
    <w:rsid w:val="005C29AC"/>
    <w:rsid w:val="005C3AE3"/>
    <w:rsid w:val="005C3D8A"/>
    <w:rsid w:val="005C5204"/>
    <w:rsid w:val="005C6DA5"/>
    <w:rsid w:val="005C6E13"/>
    <w:rsid w:val="005D0320"/>
    <w:rsid w:val="005D0586"/>
    <w:rsid w:val="005D0730"/>
    <w:rsid w:val="005D1E29"/>
    <w:rsid w:val="005D1E56"/>
    <w:rsid w:val="005D335E"/>
    <w:rsid w:val="005D3D2A"/>
    <w:rsid w:val="005D52B2"/>
    <w:rsid w:val="005D58FF"/>
    <w:rsid w:val="005D673F"/>
    <w:rsid w:val="005D689B"/>
    <w:rsid w:val="005D689E"/>
    <w:rsid w:val="005D78C7"/>
    <w:rsid w:val="005E1B35"/>
    <w:rsid w:val="005E1DD4"/>
    <w:rsid w:val="005E282B"/>
    <w:rsid w:val="005E48D0"/>
    <w:rsid w:val="005E71E7"/>
    <w:rsid w:val="005F0F13"/>
    <w:rsid w:val="005F2FF3"/>
    <w:rsid w:val="005F3316"/>
    <w:rsid w:val="005F3B21"/>
    <w:rsid w:val="005F470C"/>
    <w:rsid w:val="005F5AB2"/>
    <w:rsid w:val="005F7197"/>
    <w:rsid w:val="005F795A"/>
    <w:rsid w:val="005F7980"/>
    <w:rsid w:val="006000B0"/>
    <w:rsid w:val="0060073C"/>
    <w:rsid w:val="006008E8"/>
    <w:rsid w:val="00601A77"/>
    <w:rsid w:val="00602678"/>
    <w:rsid w:val="006027EA"/>
    <w:rsid w:val="0060378D"/>
    <w:rsid w:val="00603E78"/>
    <w:rsid w:val="006046B5"/>
    <w:rsid w:val="00604B23"/>
    <w:rsid w:val="00605888"/>
    <w:rsid w:val="006071D2"/>
    <w:rsid w:val="006075C1"/>
    <w:rsid w:val="006108EE"/>
    <w:rsid w:val="00611063"/>
    <w:rsid w:val="00611B6B"/>
    <w:rsid w:val="0061274C"/>
    <w:rsid w:val="006129A5"/>
    <w:rsid w:val="00613A35"/>
    <w:rsid w:val="00613EC3"/>
    <w:rsid w:val="00614982"/>
    <w:rsid w:val="00614D56"/>
    <w:rsid w:val="00614E14"/>
    <w:rsid w:val="00615133"/>
    <w:rsid w:val="0061544B"/>
    <w:rsid w:val="00615662"/>
    <w:rsid w:val="006157FE"/>
    <w:rsid w:val="00615D1B"/>
    <w:rsid w:val="006166E1"/>
    <w:rsid w:val="0061780C"/>
    <w:rsid w:val="00617C12"/>
    <w:rsid w:val="00617F45"/>
    <w:rsid w:val="006205BF"/>
    <w:rsid w:val="006215CB"/>
    <w:rsid w:val="006218FE"/>
    <w:rsid w:val="00621DAE"/>
    <w:rsid w:val="00622B7B"/>
    <w:rsid w:val="006232B9"/>
    <w:rsid w:val="0062372B"/>
    <w:rsid w:val="0062432F"/>
    <w:rsid w:val="00625B20"/>
    <w:rsid w:val="00625F87"/>
    <w:rsid w:val="00627570"/>
    <w:rsid w:val="006276CB"/>
    <w:rsid w:val="006305F9"/>
    <w:rsid w:val="0063071F"/>
    <w:rsid w:val="00630BB3"/>
    <w:rsid w:val="006310EF"/>
    <w:rsid w:val="0063177E"/>
    <w:rsid w:val="00632469"/>
    <w:rsid w:val="00632F76"/>
    <w:rsid w:val="0063331F"/>
    <w:rsid w:val="00635268"/>
    <w:rsid w:val="0063588A"/>
    <w:rsid w:val="0063599B"/>
    <w:rsid w:val="00635EFD"/>
    <w:rsid w:val="00637086"/>
    <w:rsid w:val="0063747D"/>
    <w:rsid w:val="00640B4E"/>
    <w:rsid w:val="0064247A"/>
    <w:rsid w:val="00642872"/>
    <w:rsid w:val="00643628"/>
    <w:rsid w:val="006437B7"/>
    <w:rsid w:val="00645190"/>
    <w:rsid w:val="00645326"/>
    <w:rsid w:val="00646462"/>
    <w:rsid w:val="00646C17"/>
    <w:rsid w:val="0065091B"/>
    <w:rsid w:val="0065093E"/>
    <w:rsid w:val="006509C7"/>
    <w:rsid w:val="006516AB"/>
    <w:rsid w:val="006518C0"/>
    <w:rsid w:val="00652C97"/>
    <w:rsid w:val="00652D18"/>
    <w:rsid w:val="0065525A"/>
    <w:rsid w:val="00656B0A"/>
    <w:rsid w:val="0065747C"/>
    <w:rsid w:val="00657D30"/>
    <w:rsid w:val="00657DB4"/>
    <w:rsid w:val="00660AA1"/>
    <w:rsid w:val="006615D7"/>
    <w:rsid w:val="00661954"/>
    <w:rsid w:val="00662A40"/>
    <w:rsid w:val="00662BDF"/>
    <w:rsid w:val="00662BF2"/>
    <w:rsid w:val="00664135"/>
    <w:rsid w:val="00664376"/>
    <w:rsid w:val="00665964"/>
    <w:rsid w:val="0066727F"/>
    <w:rsid w:val="00667923"/>
    <w:rsid w:val="00671450"/>
    <w:rsid w:val="006718D7"/>
    <w:rsid w:val="00671E70"/>
    <w:rsid w:val="00671F91"/>
    <w:rsid w:val="006724C0"/>
    <w:rsid w:val="00672AFB"/>
    <w:rsid w:val="00672DE4"/>
    <w:rsid w:val="006730E6"/>
    <w:rsid w:val="006741B6"/>
    <w:rsid w:val="0067458D"/>
    <w:rsid w:val="0067765F"/>
    <w:rsid w:val="006779F8"/>
    <w:rsid w:val="00677CC2"/>
    <w:rsid w:val="0068301C"/>
    <w:rsid w:val="006830D3"/>
    <w:rsid w:val="00683CEC"/>
    <w:rsid w:val="0068538A"/>
    <w:rsid w:val="00685A16"/>
    <w:rsid w:val="00685CB0"/>
    <w:rsid w:val="00685E31"/>
    <w:rsid w:val="00686640"/>
    <w:rsid w:val="00687115"/>
    <w:rsid w:val="00687F9F"/>
    <w:rsid w:val="0069257D"/>
    <w:rsid w:val="006926C7"/>
    <w:rsid w:val="00693A4B"/>
    <w:rsid w:val="00693ACE"/>
    <w:rsid w:val="00695DAB"/>
    <w:rsid w:val="00696B34"/>
    <w:rsid w:val="006A0270"/>
    <w:rsid w:val="006A10B3"/>
    <w:rsid w:val="006A11A2"/>
    <w:rsid w:val="006A1D73"/>
    <w:rsid w:val="006A1EF5"/>
    <w:rsid w:val="006A28E8"/>
    <w:rsid w:val="006A3091"/>
    <w:rsid w:val="006A32C4"/>
    <w:rsid w:val="006A4740"/>
    <w:rsid w:val="006A511A"/>
    <w:rsid w:val="006A6B9F"/>
    <w:rsid w:val="006A6E50"/>
    <w:rsid w:val="006A70D1"/>
    <w:rsid w:val="006A7142"/>
    <w:rsid w:val="006A736A"/>
    <w:rsid w:val="006B0772"/>
    <w:rsid w:val="006B0EB7"/>
    <w:rsid w:val="006B1746"/>
    <w:rsid w:val="006B1DCC"/>
    <w:rsid w:val="006B29E8"/>
    <w:rsid w:val="006B2AE3"/>
    <w:rsid w:val="006B2CED"/>
    <w:rsid w:val="006B30C7"/>
    <w:rsid w:val="006B54B4"/>
    <w:rsid w:val="006B6AE4"/>
    <w:rsid w:val="006B6FBB"/>
    <w:rsid w:val="006B7561"/>
    <w:rsid w:val="006C0317"/>
    <w:rsid w:val="006C1385"/>
    <w:rsid w:val="006C1DD8"/>
    <w:rsid w:val="006C2228"/>
    <w:rsid w:val="006C227A"/>
    <w:rsid w:val="006C2379"/>
    <w:rsid w:val="006C2ABB"/>
    <w:rsid w:val="006C31C1"/>
    <w:rsid w:val="006C3295"/>
    <w:rsid w:val="006C4481"/>
    <w:rsid w:val="006C4AEC"/>
    <w:rsid w:val="006C4ED5"/>
    <w:rsid w:val="006C5490"/>
    <w:rsid w:val="006C558D"/>
    <w:rsid w:val="006C685C"/>
    <w:rsid w:val="006C6C66"/>
    <w:rsid w:val="006D1310"/>
    <w:rsid w:val="006D309A"/>
    <w:rsid w:val="006D3167"/>
    <w:rsid w:val="006D335A"/>
    <w:rsid w:val="006D359B"/>
    <w:rsid w:val="006D46FD"/>
    <w:rsid w:val="006D53F3"/>
    <w:rsid w:val="006D587E"/>
    <w:rsid w:val="006D5B47"/>
    <w:rsid w:val="006D6433"/>
    <w:rsid w:val="006D646C"/>
    <w:rsid w:val="006D6738"/>
    <w:rsid w:val="006D6924"/>
    <w:rsid w:val="006D6E14"/>
    <w:rsid w:val="006D7336"/>
    <w:rsid w:val="006D7357"/>
    <w:rsid w:val="006D7DD9"/>
    <w:rsid w:val="006E053B"/>
    <w:rsid w:val="006E0DF4"/>
    <w:rsid w:val="006E0F97"/>
    <w:rsid w:val="006E1675"/>
    <w:rsid w:val="006E1EF0"/>
    <w:rsid w:val="006E3DA3"/>
    <w:rsid w:val="006E41FE"/>
    <w:rsid w:val="006E65EE"/>
    <w:rsid w:val="006E6D54"/>
    <w:rsid w:val="006E6ED5"/>
    <w:rsid w:val="006E735D"/>
    <w:rsid w:val="006E78ED"/>
    <w:rsid w:val="006F194C"/>
    <w:rsid w:val="006F1A9B"/>
    <w:rsid w:val="006F2C99"/>
    <w:rsid w:val="006F45C5"/>
    <w:rsid w:val="006F52EA"/>
    <w:rsid w:val="006F545D"/>
    <w:rsid w:val="006F78BE"/>
    <w:rsid w:val="006F7C73"/>
    <w:rsid w:val="00700AEA"/>
    <w:rsid w:val="007013E6"/>
    <w:rsid w:val="0070245F"/>
    <w:rsid w:val="00702605"/>
    <w:rsid w:val="00702FC6"/>
    <w:rsid w:val="0070336D"/>
    <w:rsid w:val="00704BA0"/>
    <w:rsid w:val="00705309"/>
    <w:rsid w:val="00705BC0"/>
    <w:rsid w:val="00705E92"/>
    <w:rsid w:val="0070628F"/>
    <w:rsid w:val="00710160"/>
    <w:rsid w:val="00710176"/>
    <w:rsid w:val="007103AF"/>
    <w:rsid w:val="007105F3"/>
    <w:rsid w:val="00710FAE"/>
    <w:rsid w:val="00711BB9"/>
    <w:rsid w:val="00711FDE"/>
    <w:rsid w:val="00712F9F"/>
    <w:rsid w:val="00713380"/>
    <w:rsid w:val="00714162"/>
    <w:rsid w:val="007148FF"/>
    <w:rsid w:val="00717B14"/>
    <w:rsid w:val="007207E4"/>
    <w:rsid w:val="00721191"/>
    <w:rsid w:val="00722107"/>
    <w:rsid w:val="007221FA"/>
    <w:rsid w:val="00722332"/>
    <w:rsid w:val="00724932"/>
    <w:rsid w:val="0072532F"/>
    <w:rsid w:val="007255D1"/>
    <w:rsid w:val="007268D5"/>
    <w:rsid w:val="00727861"/>
    <w:rsid w:val="00727994"/>
    <w:rsid w:val="00730349"/>
    <w:rsid w:val="007307D2"/>
    <w:rsid w:val="00730E82"/>
    <w:rsid w:val="00733934"/>
    <w:rsid w:val="007348AB"/>
    <w:rsid w:val="00734BA1"/>
    <w:rsid w:val="00734E07"/>
    <w:rsid w:val="007365F4"/>
    <w:rsid w:val="007407CF"/>
    <w:rsid w:val="00740A94"/>
    <w:rsid w:val="0074118B"/>
    <w:rsid w:val="0074211D"/>
    <w:rsid w:val="007437AA"/>
    <w:rsid w:val="007446F6"/>
    <w:rsid w:val="00745159"/>
    <w:rsid w:val="007454ED"/>
    <w:rsid w:val="007463E2"/>
    <w:rsid w:val="007528B1"/>
    <w:rsid w:val="00752BC4"/>
    <w:rsid w:val="007534D3"/>
    <w:rsid w:val="00753632"/>
    <w:rsid w:val="00753682"/>
    <w:rsid w:val="007561F0"/>
    <w:rsid w:val="00757DFB"/>
    <w:rsid w:val="00761D53"/>
    <w:rsid w:val="00762486"/>
    <w:rsid w:val="007624E1"/>
    <w:rsid w:val="00762DEB"/>
    <w:rsid w:val="0076313E"/>
    <w:rsid w:val="00763527"/>
    <w:rsid w:val="00763612"/>
    <w:rsid w:val="007659EE"/>
    <w:rsid w:val="00766733"/>
    <w:rsid w:val="0076718C"/>
    <w:rsid w:val="00770470"/>
    <w:rsid w:val="00770687"/>
    <w:rsid w:val="00770E2D"/>
    <w:rsid w:val="007710A4"/>
    <w:rsid w:val="00771493"/>
    <w:rsid w:val="0077264C"/>
    <w:rsid w:val="007726CC"/>
    <w:rsid w:val="007735FE"/>
    <w:rsid w:val="00774458"/>
    <w:rsid w:val="00774B18"/>
    <w:rsid w:val="007754E6"/>
    <w:rsid w:val="0077571B"/>
    <w:rsid w:val="0077620F"/>
    <w:rsid w:val="007762DD"/>
    <w:rsid w:val="0077664D"/>
    <w:rsid w:val="007776B4"/>
    <w:rsid w:val="00777C29"/>
    <w:rsid w:val="00777DC3"/>
    <w:rsid w:val="0078013F"/>
    <w:rsid w:val="007834B7"/>
    <w:rsid w:val="007838A0"/>
    <w:rsid w:val="00786A73"/>
    <w:rsid w:val="00787F33"/>
    <w:rsid w:val="00790B3A"/>
    <w:rsid w:val="007912EB"/>
    <w:rsid w:val="00792E84"/>
    <w:rsid w:val="0079341B"/>
    <w:rsid w:val="0079488E"/>
    <w:rsid w:val="00796D26"/>
    <w:rsid w:val="007A005D"/>
    <w:rsid w:val="007A1345"/>
    <w:rsid w:val="007A1491"/>
    <w:rsid w:val="007A180D"/>
    <w:rsid w:val="007A18BE"/>
    <w:rsid w:val="007A1EAE"/>
    <w:rsid w:val="007A25FF"/>
    <w:rsid w:val="007A3567"/>
    <w:rsid w:val="007A3B65"/>
    <w:rsid w:val="007A4A45"/>
    <w:rsid w:val="007A537B"/>
    <w:rsid w:val="007A57A8"/>
    <w:rsid w:val="007A64AC"/>
    <w:rsid w:val="007A7A22"/>
    <w:rsid w:val="007B02D8"/>
    <w:rsid w:val="007B0838"/>
    <w:rsid w:val="007B0852"/>
    <w:rsid w:val="007B0EC8"/>
    <w:rsid w:val="007B1AFB"/>
    <w:rsid w:val="007B2C55"/>
    <w:rsid w:val="007B39AD"/>
    <w:rsid w:val="007B427F"/>
    <w:rsid w:val="007B4B53"/>
    <w:rsid w:val="007B4B95"/>
    <w:rsid w:val="007B520F"/>
    <w:rsid w:val="007B5725"/>
    <w:rsid w:val="007B5F3A"/>
    <w:rsid w:val="007B72CA"/>
    <w:rsid w:val="007C01BE"/>
    <w:rsid w:val="007C0E8E"/>
    <w:rsid w:val="007C13F8"/>
    <w:rsid w:val="007C468B"/>
    <w:rsid w:val="007C4950"/>
    <w:rsid w:val="007C5460"/>
    <w:rsid w:val="007C5C5A"/>
    <w:rsid w:val="007D0624"/>
    <w:rsid w:val="007D1FAA"/>
    <w:rsid w:val="007D2758"/>
    <w:rsid w:val="007D37BE"/>
    <w:rsid w:val="007D3B73"/>
    <w:rsid w:val="007D494D"/>
    <w:rsid w:val="007D4E7C"/>
    <w:rsid w:val="007D5317"/>
    <w:rsid w:val="007D5857"/>
    <w:rsid w:val="007D7054"/>
    <w:rsid w:val="007D7DDC"/>
    <w:rsid w:val="007D7F03"/>
    <w:rsid w:val="007E01FC"/>
    <w:rsid w:val="007E0735"/>
    <w:rsid w:val="007E07E9"/>
    <w:rsid w:val="007E0CC4"/>
    <w:rsid w:val="007E0DF7"/>
    <w:rsid w:val="007E2525"/>
    <w:rsid w:val="007E3D77"/>
    <w:rsid w:val="007E43F8"/>
    <w:rsid w:val="007E4A94"/>
    <w:rsid w:val="007E52AE"/>
    <w:rsid w:val="007E5C81"/>
    <w:rsid w:val="007E623B"/>
    <w:rsid w:val="007E6313"/>
    <w:rsid w:val="007E63C2"/>
    <w:rsid w:val="007E7F80"/>
    <w:rsid w:val="007F05B9"/>
    <w:rsid w:val="007F0C83"/>
    <w:rsid w:val="007F1E7A"/>
    <w:rsid w:val="007F1F15"/>
    <w:rsid w:val="007F2843"/>
    <w:rsid w:val="007F44FD"/>
    <w:rsid w:val="007F5109"/>
    <w:rsid w:val="007F58F3"/>
    <w:rsid w:val="007F5DE4"/>
    <w:rsid w:val="007F5E65"/>
    <w:rsid w:val="007F6195"/>
    <w:rsid w:val="008012F4"/>
    <w:rsid w:val="008016D2"/>
    <w:rsid w:val="00801DB2"/>
    <w:rsid w:val="0080228B"/>
    <w:rsid w:val="00802336"/>
    <w:rsid w:val="008025AF"/>
    <w:rsid w:val="00803E18"/>
    <w:rsid w:val="008048F8"/>
    <w:rsid w:val="008053C1"/>
    <w:rsid w:val="008058D3"/>
    <w:rsid w:val="00807703"/>
    <w:rsid w:val="0081003C"/>
    <w:rsid w:val="00810818"/>
    <w:rsid w:val="0081092F"/>
    <w:rsid w:val="00810E9A"/>
    <w:rsid w:val="0081123A"/>
    <w:rsid w:val="0081137B"/>
    <w:rsid w:val="00811381"/>
    <w:rsid w:val="0081348F"/>
    <w:rsid w:val="0081559B"/>
    <w:rsid w:val="0081629A"/>
    <w:rsid w:val="0081640F"/>
    <w:rsid w:val="0081720F"/>
    <w:rsid w:val="00820664"/>
    <w:rsid w:val="008219B5"/>
    <w:rsid w:val="008220FF"/>
    <w:rsid w:val="008221B2"/>
    <w:rsid w:val="00823AA0"/>
    <w:rsid w:val="00824470"/>
    <w:rsid w:val="00824D29"/>
    <w:rsid w:val="00824E5E"/>
    <w:rsid w:val="00826139"/>
    <w:rsid w:val="00830057"/>
    <w:rsid w:val="00830484"/>
    <w:rsid w:val="008310D5"/>
    <w:rsid w:val="00831E96"/>
    <w:rsid w:val="00833341"/>
    <w:rsid w:val="008345A4"/>
    <w:rsid w:val="00834D64"/>
    <w:rsid w:val="00835C81"/>
    <w:rsid w:val="008360A3"/>
    <w:rsid w:val="008360E2"/>
    <w:rsid w:val="0083716F"/>
    <w:rsid w:val="00840D6C"/>
    <w:rsid w:val="00840F59"/>
    <w:rsid w:val="00841D89"/>
    <w:rsid w:val="008427B9"/>
    <w:rsid w:val="00842DB3"/>
    <w:rsid w:val="00844E13"/>
    <w:rsid w:val="00845BC8"/>
    <w:rsid w:val="00845CB9"/>
    <w:rsid w:val="00845E1B"/>
    <w:rsid w:val="00846EF6"/>
    <w:rsid w:val="00851058"/>
    <w:rsid w:val="00851480"/>
    <w:rsid w:val="00851AA0"/>
    <w:rsid w:val="00851CE0"/>
    <w:rsid w:val="008524E1"/>
    <w:rsid w:val="0085271E"/>
    <w:rsid w:val="008529D6"/>
    <w:rsid w:val="00852AC0"/>
    <w:rsid w:val="00852D58"/>
    <w:rsid w:val="00852D68"/>
    <w:rsid w:val="00853CE7"/>
    <w:rsid w:val="008557D8"/>
    <w:rsid w:val="008566B0"/>
    <w:rsid w:val="00856815"/>
    <w:rsid w:val="0085703A"/>
    <w:rsid w:val="00857391"/>
    <w:rsid w:val="008615EA"/>
    <w:rsid w:val="0086266C"/>
    <w:rsid w:val="0086386C"/>
    <w:rsid w:val="0086432D"/>
    <w:rsid w:val="0086577C"/>
    <w:rsid w:val="00870B60"/>
    <w:rsid w:val="00872185"/>
    <w:rsid w:val="00873901"/>
    <w:rsid w:val="00873CD8"/>
    <w:rsid w:val="0087469D"/>
    <w:rsid w:val="00874770"/>
    <w:rsid w:val="00874CBF"/>
    <w:rsid w:val="00874D41"/>
    <w:rsid w:val="00875FAA"/>
    <w:rsid w:val="00880557"/>
    <w:rsid w:val="00881E9F"/>
    <w:rsid w:val="00884782"/>
    <w:rsid w:val="00884966"/>
    <w:rsid w:val="008852A0"/>
    <w:rsid w:val="0088598E"/>
    <w:rsid w:val="008865EA"/>
    <w:rsid w:val="00886BBD"/>
    <w:rsid w:val="00886EC2"/>
    <w:rsid w:val="00887BA5"/>
    <w:rsid w:val="0089018D"/>
    <w:rsid w:val="0089054A"/>
    <w:rsid w:val="00891BA4"/>
    <w:rsid w:val="00892464"/>
    <w:rsid w:val="00892B6C"/>
    <w:rsid w:val="0089429C"/>
    <w:rsid w:val="008944EA"/>
    <w:rsid w:val="00895D78"/>
    <w:rsid w:val="008976A2"/>
    <w:rsid w:val="00897ACE"/>
    <w:rsid w:val="00897B87"/>
    <w:rsid w:val="008A06EB"/>
    <w:rsid w:val="008A2F17"/>
    <w:rsid w:val="008A402C"/>
    <w:rsid w:val="008A450D"/>
    <w:rsid w:val="008A5248"/>
    <w:rsid w:val="008A5AB1"/>
    <w:rsid w:val="008A5EA2"/>
    <w:rsid w:val="008A6D74"/>
    <w:rsid w:val="008A732D"/>
    <w:rsid w:val="008A7650"/>
    <w:rsid w:val="008A7AA3"/>
    <w:rsid w:val="008B0542"/>
    <w:rsid w:val="008B08E4"/>
    <w:rsid w:val="008B2CF2"/>
    <w:rsid w:val="008B3F37"/>
    <w:rsid w:val="008B4243"/>
    <w:rsid w:val="008B4449"/>
    <w:rsid w:val="008B4B47"/>
    <w:rsid w:val="008B5118"/>
    <w:rsid w:val="008B59D5"/>
    <w:rsid w:val="008B60CA"/>
    <w:rsid w:val="008B6272"/>
    <w:rsid w:val="008B6597"/>
    <w:rsid w:val="008B6A62"/>
    <w:rsid w:val="008B6C42"/>
    <w:rsid w:val="008B6F62"/>
    <w:rsid w:val="008B715E"/>
    <w:rsid w:val="008B7301"/>
    <w:rsid w:val="008C1FA0"/>
    <w:rsid w:val="008C2B0B"/>
    <w:rsid w:val="008C3604"/>
    <w:rsid w:val="008C5F70"/>
    <w:rsid w:val="008C5FD1"/>
    <w:rsid w:val="008C781D"/>
    <w:rsid w:val="008C797D"/>
    <w:rsid w:val="008C7F21"/>
    <w:rsid w:val="008D15BF"/>
    <w:rsid w:val="008D2AA5"/>
    <w:rsid w:val="008D3CC2"/>
    <w:rsid w:val="008D3F1E"/>
    <w:rsid w:val="008D6033"/>
    <w:rsid w:val="008D6884"/>
    <w:rsid w:val="008D71E5"/>
    <w:rsid w:val="008D7821"/>
    <w:rsid w:val="008E16F4"/>
    <w:rsid w:val="008E1B23"/>
    <w:rsid w:val="008E256D"/>
    <w:rsid w:val="008E28A5"/>
    <w:rsid w:val="008E2C58"/>
    <w:rsid w:val="008E3843"/>
    <w:rsid w:val="008E48A9"/>
    <w:rsid w:val="008E4932"/>
    <w:rsid w:val="008E5ED5"/>
    <w:rsid w:val="008E6105"/>
    <w:rsid w:val="008E64FD"/>
    <w:rsid w:val="008E7877"/>
    <w:rsid w:val="008F012C"/>
    <w:rsid w:val="008F03B2"/>
    <w:rsid w:val="008F0DB6"/>
    <w:rsid w:val="008F0DF2"/>
    <w:rsid w:val="008F0F57"/>
    <w:rsid w:val="008F14A2"/>
    <w:rsid w:val="008F40F4"/>
    <w:rsid w:val="008F4E19"/>
    <w:rsid w:val="008F5A9E"/>
    <w:rsid w:val="008F6B4A"/>
    <w:rsid w:val="008F71AD"/>
    <w:rsid w:val="008F749C"/>
    <w:rsid w:val="008F754F"/>
    <w:rsid w:val="008F7AFE"/>
    <w:rsid w:val="00900AA4"/>
    <w:rsid w:val="00900D9D"/>
    <w:rsid w:val="00904581"/>
    <w:rsid w:val="00905510"/>
    <w:rsid w:val="009058EC"/>
    <w:rsid w:val="00905ECA"/>
    <w:rsid w:val="009063AF"/>
    <w:rsid w:val="0090652D"/>
    <w:rsid w:val="0091029E"/>
    <w:rsid w:val="00910798"/>
    <w:rsid w:val="0091106A"/>
    <w:rsid w:val="0091113A"/>
    <w:rsid w:val="00911377"/>
    <w:rsid w:val="00911973"/>
    <w:rsid w:val="00911B11"/>
    <w:rsid w:val="00911DA8"/>
    <w:rsid w:val="009121A2"/>
    <w:rsid w:val="0091356E"/>
    <w:rsid w:val="0091384B"/>
    <w:rsid w:val="00913CE8"/>
    <w:rsid w:val="009202FD"/>
    <w:rsid w:val="009209B0"/>
    <w:rsid w:val="009224A0"/>
    <w:rsid w:val="00923039"/>
    <w:rsid w:val="0092414B"/>
    <w:rsid w:val="00924315"/>
    <w:rsid w:val="009256BF"/>
    <w:rsid w:val="009258A5"/>
    <w:rsid w:val="00927BB4"/>
    <w:rsid w:val="00927FE5"/>
    <w:rsid w:val="009322E6"/>
    <w:rsid w:val="009328FE"/>
    <w:rsid w:val="00933FAF"/>
    <w:rsid w:val="00934268"/>
    <w:rsid w:val="00935A66"/>
    <w:rsid w:val="00935F0A"/>
    <w:rsid w:val="00936568"/>
    <w:rsid w:val="0093682A"/>
    <w:rsid w:val="00936EEA"/>
    <w:rsid w:val="00937004"/>
    <w:rsid w:val="0093712D"/>
    <w:rsid w:val="0093767E"/>
    <w:rsid w:val="00937BF9"/>
    <w:rsid w:val="00940ED7"/>
    <w:rsid w:val="0094100F"/>
    <w:rsid w:val="00941498"/>
    <w:rsid w:val="009421B0"/>
    <w:rsid w:val="00942BF8"/>
    <w:rsid w:val="009432C2"/>
    <w:rsid w:val="009448B8"/>
    <w:rsid w:val="00945CFE"/>
    <w:rsid w:val="00945D76"/>
    <w:rsid w:val="00946667"/>
    <w:rsid w:val="00946BAD"/>
    <w:rsid w:val="00946E43"/>
    <w:rsid w:val="00947B73"/>
    <w:rsid w:val="00950B13"/>
    <w:rsid w:val="009520AB"/>
    <w:rsid w:val="00952374"/>
    <w:rsid w:val="00952B63"/>
    <w:rsid w:val="009546D0"/>
    <w:rsid w:val="009552BA"/>
    <w:rsid w:val="00955806"/>
    <w:rsid w:val="00955DB2"/>
    <w:rsid w:val="00955E57"/>
    <w:rsid w:val="0095669B"/>
    <w:rsid w:val="009569A4"/>
    <w:rsid w:val="00956BD5"/>
    <w:rsid w:val="00960A39"/>
    <w:rsid w:val="00961CFD"/>
    <w:rsid w:val="00962D13"/>
    <w:rsid w:val="00963140"/>
    <w:rsid w:val="00963AC1"/>
    <w:rsid w:val="00963B2E"/>
    <w:rsid w:val="00963B60"/>
    <w:rsid w:val="00963F31"/>
    <w:rsid w:val="00964474"/>
    <w:rsid w:val="00965693"/>
    <w:rsid w:val="00965934"/>
    <w:rsid w:val="00971611"/>
    <w:rsid w:val="00973C62"/>
    <w:rsid w:val="00973E3D"/>
    <w:rsid w:val="009746B3"/>
    <w:rsid w:val="0097585C"/>
    <w:rsid w:val="0097676F"/>
    <w:rsid w:val="0098247C"/>
    <w:rsid w:val="00982927"/>
    <w:rsid w:val="009829CF"/>
    <w:rsid w:val="009833DE"/>
    <w:rsid w:val="0098500E"/>
    <w:rsid w:val="00985DF6"/>
    <w:rsid w:val="00985F5C"/>
    <w:rsid w:val="0098615E"/>
    <w:rsid w:val="009869EF"/>
    <w:rsid w:val="00987390"/>
    <w:rsid w:val="00987989"/>
    <w:rsid w:val="009909DE"/>
    <w:rsid w:val="00990DFC"/>
    <w:rsid w:val="00990E94"/>
    <w:rsid w:val="009913B1"/>
    <w:rsid w:val="00992387"/>
    <w:rsid w:val="00992695"/>
    <w:rsid w:val="009926EA"/>
    <w:rsid w:val="00992B8D"/>
    <w:rsid w:val="009931B4"/>
    <w:rsid w:val="009933F5"/>
    <w:rsid w:val="00993512"/>
    <w:rsid w:val="009935BD"/>
    <w:rsid w:val="00994633"/>
    <w:rsid w:val="00994A41"/>
    <w:rsid w:val="00994D20"/>
    <w:rsid w:val="00994E6D"/>
    <w:rsid w:val="0099582E"/>
    <w:rsid w:val="0099601B"/>
    <w:rsid w:val="009962D8"/>
    <w:rsid w:val="009968CA"/>
    <w:rsid w:val="009979A3"/>
    <w:rsid w:val="00997B91"/>
    <w:rsid w:val="009A2C7B"/>
    <w:rsid w:val="009A3611"/>
    <w:rsid w:val="009A3735"/>
    <w:rsid w:val="009A3A4E"/>
    <w:rsid w:val="009A43C8"/>
    <w:rsid w:val="009A4A23"/>
    <w:rsid w:val="009A6500"/>
    <w:rsid w:val="009A6538"/>
    <w:rsid w:val="009A6D77"/>
    <w:rsid w:val="009A6E30"/>
    <w:rsid w:val="009A72D3"/>
    <w:rsid w:val="009B04F0"/>
    <w:rsid w:val="009B0753"/>
    <w:rsid w:val="009B2069"/>
    <w:rsid w:val="009B26C3"/>
    <w:rsid w:val="009B2AE3"/>
    <w:rsid w:val="009B3139"/>
    <w:rsid w:val="009B3163"/>
    <w:rsid w:val="009B3189"/>
    <w:rsid w:val="009B54AD"/>
    <w:rsid w:val="009B5614"/>
    <w:rsid w:val="009B5939"/>
    <w:rsid w:val="009B6DD8"/>
    <w:rsid w:val="009B759C"/>
    <w:rsid w:val="009C0056"/>
    <w:rsid w:val="009C064F"/>
    <w:rsid w:val="009C17A4"/>
    <w:rsid w:val="009C1E8D"/>
    <w:rsid w:val="009C21C2"/>
    <w:rsid w:val="009C31F9"/>
    <w:rsid w:val="009C3C4C"/>
    <w:rsid w:val="009C6C93"/>
    <w:rsid w:val="009C7891"/>
    <w:rsid w:val="009D013D"/>
    <w:rsid w:val="009D0CAF"/>
    <w:rsid w:val="009D1E3E"/>
    <w:rsid w:val="009D2639"/>
    <w:rsid w:val="009D2F58"/>
    <w:rsid w:val="009D38D4"/>
    <w:rsid w:val="009D4B76"/>
    <w:rsid w:val="009D5858"/>
    <w:rsid w:val="009D630B"/>
    <w:rsid w:val="009D73CF"/>
    <w:rsid w:val="009E14F3"/>
    <w:rsid w:val="009E300C"/>
    <w:rsid w:val="009E403F"/>
    <w:rsid w:val="009E4351"/>
    <w:rsid w:val="009E4745"/>
    <w:rsid w:val="009E5BAD"/>
    <w:rsid w:val="009E5E9C"/>
    <w:rsid w:val="009E616B"/>
    <w:rsid w:val="009E725E"/>
    <w:rsid w:val="009F13BE"/>
    <w:rsid w:val="009F2A3F"/>
    <w:rsid w:val="009F3235"/>
    <w:rsid w:val="009F38FA"/>
    <w:rsid w:val="009F3BD2"/>
    <w:rsid w:val="009F3C96"/>
    <w:rsid w:val="009F4D26"/>
    <w:rsid w:val="009F5630"/>
    <w:rsid w:val="009F5E31"/>
    <w:rsid w:val="009F6A95"/>
    <w:rsid w:val="009F785E"/>
    <w:rsid w:val="00A01079"/>
    <w:rsid w:val="00A019AC"/>
    <w:rsid w:val="00A01B8E"/>
    <w:rsid w:val="00A02FEA"/>
    <w:rsid w:val="00A03F5D"/>
    <w:rsid w:val="00A041FF"/>
    <w:rsid w:val="00A04E38"/>
    <w:rsid w:val="00A058FB"/>
    <w:rsid w:val="00A068B9"/>
    <w:rsid w:val="00A06C41"/>
    <w:rsid w:val="00A0711C"/>
    <w:rsid w:val="00A07144"/>
    <w:rsid w:val="00A102A0"/>
    <w:rsid w:val="00A10546"/>
    <w:rsid w:val="00A10ECF"/>
    <w:rsid w:val="00A11417"/>
    <w:rsid w:val="00A11A17"/>
    <w:rsid w:val="00A11D77"/>
    <w:rsid w:val="00A13721"/>
    <w:rsid w:val="00A15A51"/>
    <w:rsid w:val="00A1616C"/>
    <w:rsid w:val="00A16349"/>
    <w:rsid w:val="00A16836"/>
    <w:rsid w:val="00A16DFD"/>
    <w:rsid w:val="00A210C2"/>
    <w:rsid w:val="00A21C05"/>
    <w:rsid w:val="00A228D4"/>
    <w:rsid w:val="00A23058"/>
    <w:rsid w:val="00A2370C"/>
    <w:rsid w:val="00A239A0"/>
    <w:rsid w:val="00A23A44"/>
    <w:rsid w:val="00A25460"/>
    <w:rsid w:val="00A2646E"/>
    <w:rsid w:val="00A26F28"/>
    <w:rsid w:val="00A27BF5"/>
    <w:rsid w:val="00A3066B"/>
    <w:rsid w:val="00A308EE"/>
    <w:rsid w:val="00A312B6"/>
    <w:rsid w:val="00A31B83"/>
    <w:rsid w:val="00A34695"/>
    <w:rsid w:val="00A34B71"/>
    <w:rsid w:val="00A36615"/>
    <w:rsid w:val="00A37432"/>
    <w:rsid w:val="00A37784"/>
    <w:rsid w:val="00A37C63"/>
    <w:rsid w:val="00A37DE9"/>
    <w:rsid w:val="00A37EB8"/>
    <w:rsid w:val="00A4078D"/>
    <w:rsid w:val="00A409CD"/>
    <w:rsid w:val="00A415A7"/>
    <w:rsid w:val="00A41A32"/>
    <w:rsid w:val="00A42D55"/>
    <w:rsid w:val="00A43451"/>
    <w:rsid w:val="00A46898"/>
    <w:rsid w:val="00A47701"/>
    <w:rsid w:val="00A5024E"/>
    <w:rsid w:val="00A502CC"/>
    <w:rsid w:val="00A5038C"/>
    <w:rsid w:val="00A5043B"/>
    <w:rsid w:val="00A50732"/>
    <w:rsid w:val="00A50876"/>
    <w:rsid w:val="00A519D9"/>
    <w:rsid w:val="00A52D6F"/>
    <w:rsid w:val="00A52DDD"/>
    <w:rsid w:val="00A52F06"/>
    <w:rsid w:val="00A52F8B"/>
    <w:rsid w:val="00A537D0"/>
    <w:rsid w:val="00A54776"/>
    <w:rsid w:val="00A54F78"/>
    <w:rsid w:val="00A5590E"/>
    <w:rsid w:val="00A56CA4"/>
    <w:rsid w:val="00A57169"/>
    <w:rsid w:val="00A5724B"/>
    <w:rsid w:val="00A5745A"/>
    <w:rsid w:val="00A5756D"/>
    <w:rsid w:val="00A60E8A"/>
    <w:rsid w:val="00A60F59"/>
    <w:rsid w:val="00A613AA"/>
    <w:rsid w:val="00A64064"/>
    <w:rsid w:val="00A640F9"/>
    <w:rsid w:val="00A64123"/>
    <w:rsid w:val="00A64DA9"/>
    <w:rsid w:val="00A65E9B"/>
    <w:rsid w:val="00A6612C"/>
    <w:rsid w:val="00A6619B"/>
    <w:rsid w:val="00A67DFF"/>
    <w:rsid w:val="00A706C9"/>
    <w:rsid w:val="00A711EA"/>
    <w:rsid w:val="00A71505"/>
    <w:rsid w:val="00A717B1"/>
    <w:rsid w:val="00A72A8F"/>
    <w:rsid w:val="00A72B28"/>
    <w:rsid w:val="00A72E4C"/>
    <w:rsid w:val="00A72F7B"/>
    <w:rsid w:val="00A73032"/>
    <w:rsid w:val="00A743F3"/>
    <w:rsid w:val="00A754F6"/>
    <w:rsid w:val="00A7570B"/>
    <w:rsid w:val="00A75989"/>
    <w:rsid w:val="00A767EB"/>
    <w:rsid w:val="00A769C1"/>
    <w:rsid w:val="00A80909"/>
    <w:rsid w:val="00A82195"/>
    <w:rsid w:val="00A82656"/>
    <w:rsid w:val="00A827F7"/>
    <w:rsid w:val="00A82B74"/>
    <w:rsid w:val="00A8391D"/>
    <w:rsid w:val="00A84D6B"/>
    <w:rsid w:val="00A87E8D"/>
    <w:rsid w:val="00A90038"/>
    <w:rsid w:val="00A90813"/>
    <w:rsid w:val="00A92A86"/>
    <w:rsid w:val="00A94885"/>
    <w:rsid w:val="00A94CD2"/>
    <w:rsid w:val="00A95D7A"/>
    <w:rsid w:val="00A95EF0"/>
    <w:rsid w:val="00A96005"/>
    <w:rsid w:val="00A977FE"/>
    <w:rsid w:val="00AA01AD"/>
    <w:rsid w:val="00AA07CF"/>
    <w:rsid w:val="00AA0889"/>
    <w:rsid w:val="00AA0988"/>
    <w:rsid w:val="00AA15C9"/>
    <w:rsid w:val="00AA2F8D"/>
    <w:rsid w:val="00AA30D5"/>
    <w:rsid w:val="00AA3245"/>
    <w:rsid w:val="00AA3A43"/>
    <w:rsid w:val="00AA4BC6"/>
    <w:rsid w:val="00AA5D7D"/>
    <w:rsid w:val="00AA67BA"/>
    <w:rsid w:val="00AA7716"/>
    <w:rsid w:val="00AB0859"/>
    <w:rsid w:val="00AB0E80"/>
    <w:rsid w:val="00AB1461"/>
    <w:rsid w:val="00AB1E80"/>
    <w:rsid w:val="00AB2A40"/>
    <w:rsid w:val="00AB2E21"/>
    <w:rsid w:val="00AB3590"/>
    <w:rsid w:val="00AB4BAF"/>
    <w:rsid w:val="00AB5AE2"/>
    <w:rsid w:val="00AB6116"/>
    <w:rsid w:val="00AB627C"/>
    <w:rsid w:val="00AB6551"/>
    <w:rsid w:val="00AB65B2"/>
    <w:rsid w:val="00AB737D"/>
    <w:rsid w:val="00AC19AC"/>
    <w:rsid w:val="00AC2853"/>
    <w:rsid w:val="00AC3CDB"/>
    <w:rsid w:val="00AC51EA"/>
    <w:rsid w:val="00AC536F"/>
    <w:rsid w:val="00AC5B85"/>
    <w:rsid w:val="00AC68A8"/>
    <w:rsid w:val="00AC6A1D"/>
    <w:rsid w:val="00AC6B50"/>
    <w:rsid w:val="00AC706C"/>
    <w:rsid w:val="00AC7A68"/>
    <w:rsid w:val="00AD0413"/>
    <w:rsid w:val="00AD0D71"/>
    <w:rsid w:val="00AD18FA"/>
    <w:rsid w:val="00AD1E31"/>
    <w:rsid w:val="00AD376D"/>
    <w:rsid w:val="00AD39C1"/>
    <w:rsid w:val="00AD4F58"/>
    <w:rsid w:val="00AD7059"/>
    <w:rsid w:val="00AD751A"/>
    <w:rsid w:val="00AD7A92"/>
    <w:rsid w:val="00AD7ADA"/>
    <w:rsid w:val="00AE034D"/>
    <w:rsid w:val="00AE0529"/>
    <w:rsid w:val="00AE098B"/>
    <w:rsid w:val="00AE1317"/>
    <w:rsid w:val="00AE2773"/>
    <w:rsid w:val="00AE2D14"/>
    <w:rsid w:val="00AE4A4D"/>
    <w:rsid w:val="00AE7F8A"/>
    <w:rsid w:val="00AF1F9B"/>
    <w:rsid w:val="00AF2EBE"/>
    <w:rsid w:val="00AF2F1D"/>
    <w:rsid w:val="00AF2FAB"/>
    <w:rsid w:val="00AF3351"/>
    <w:rsid w:val="00AF5339"/>
    <w:rsid w:val="00AF5817"/>
    <w:rsid w:val="00AF5C11"/>
    <w:rsid w:val="00AF5E66"/>
    <w:rsid w:val="00AF669B"/>
    <w:rsid w:val="00AF66AA"/>
    <w:rsid w:val="00B00D4F"/>
    <w:rsid w:val="00B01FAC"/>
    <w:rsid w:val="00B020F6"/>
    <w:rsid w:val="00B02BBF"/>
    <w:rsid w:val="00B031EF"/>
    <w:rsid w:val="00B039F2"/>
    <w:rsid w:val="00B04131"/>
    <w:rsid w:val="00B0463C"/>
    <w:rsid w:val="00B05037"/>
    <w:rsid w:val="00B05097"/>
    <w:rsid w:val="00B05353"/>
    <w:rsid w:val="00B0598A"/>
    <w:rsid w:val="00B05EFF"/>
    <w:rsid w:val="00B063E4"/>
    <w:rsid w:val="00B0643B"/>
    <w:rsid w:val="00B067C7"/>
    <w:rsid w:val="00B067DE"/>
    <w:rsid w:val="00B06BB6"/>
    <w:rsid w:val="00B10929"/>
    <w:rsid w:val="00B10B6C"/>
    <w:rsid w:val="00B11EF0"/>
    <w:rsid w:val="00B136F6"/>
    <w:rsid w:val="00B13E33"/>
    <w:rsid w:val="00B14E49"/>
    <w:rsid w:val="00B15629"/>
    <w:rsid w:val="00B1567C"/>
    <w:rsid w:val="00B15A33"/>
    <w:rsid w:val="00B16658"/>
    <w:rsid w:val="00B17A19"/>
    <w:rsid w:val="00B17EE2"/>
    <w:rsid w:val="00B219B5"/>
    <w:rsid w:val="00B22590"/>
    <w:rsid w:val="00B22E2D"/>
    <w:rsid w:val="00B22F10"/>
    <w:rsid w:val="00B24A27"/>
    <w:rsid w:val="00B24D36"/>
    <w:rsid w:val="00B26CBE"/>
    <w:rsid w:val="00B26F30"/>
    <w:rsid w:val="00B270E7"/>
    <w:rsid w:val="00B2772C"/>
    <w:rsid w:val="00B30360"/>
    <w:rsid w:val="00B305EF"/>
    <w:rsid w:val="00B32969"/>
    <w:rsid w:val="00B32EAF"/>
    <w:rsid w:val="00B3300D"/>
    <w:rsid w:val="00B332EA"/>
    <w:rsid w:val="00B334CF"/>
    <w:rsid w:val="00B3426A"/>
    <w:rsid w:val="00B347D2"/>
    <w:rsid w:val="00B348DE"/>
    <w:rsid w:val="00B34B3E"/>
    <w:rsid w:val="00B35B06"/>
    <w:rsid w:val="00B35C92"/>
    <w:rsid w:val="00B4023C"/>
    <w:rsid w:val="00B40564"/>
    <w:rsid w:val="00B409A9"/>
    <w:rsid w:val="00B429C3"/>
    <w:rsid w:val="00B42E85"/>
    <w:rsid w:val="00B43B05"/>
    <w:rsid w:val="00B44021"/>
    <w:rsid w:val="00B45470"/>
    <w:rsid w:val="00B45BAD"/>
    <w:rsid w:val="00B45EA7"/>
    <w:rsid w:val="00B45F9C"/>
    <w:rsid w:val="00B47C32"/>
    <w:rsid w:val="00B5163F"/>
    <w:rsid w:val="00B51CBA"/>
    <w:rsid w:val="00B54043"/>
    <w:rsid w:val="00B55865"/>
    <w:rsid w:val="00B5589D"/>
    <w:rsid w:val="00B607EE"/>
    <w:rsid w:val="00B60F12"/>
    <w:rsid w:val="00B61578"/>
    <w:rsid w:val="00B631BD"/>
    <w:rsid w:val="00B63FCE"/>
    <w:rsid w:val="00B64F39"/>
    <w:rsid w:val="00B64FDD"/>
    <w:rsid w:val="00B66ABC"/>
    <w:rsid w:val="00B67B55"/>
    <w:rsid w:val="00B67B7C"/>
    <w:rsid w:val="00B67D48"/>
    <w:rsid w:val="00B709DF"/>
    <w:rsid w:val="00B710F8"/>
    <w:rsid w:val="00B71ED6"/>
    <w:rsid w:val="00B721CB"/>
    <w:rsid w:val="00B72278"/>
    <w:rsid w:val="00B72FBB"/>
    <w:rsid w:val="00B7333E"/>
    <w:rsid w:val="00B738CC"/>
    <w:rsid w:val="00B73A68"/>
    <w:rsid w:val="00B74053"/>
    <w:rsid w:val="00B74B77"/>
    <w:rsid w:val="00B770CC"/>
    <w:rsid w:val="00B77975"/>
    <w:rsid w:val="00B81D03"/>
    <w:rsid w:val="00B81D7A"/>
    <w:rsid w:val="00B833AF"/>
    <w:rsid w:val="00B83E29"/>
    <w:rsid w:val="00B841DD"/>
    <w:rsid w:val="00B8498D"/>
    <w:rsid w:val="00B84A4F"/>
    <w:rsid w:val="00B84D01"/>
    <w:rsid w:val="00B85536"/>
    <w:rsid w:val="00B8583D"/>
    <w:rsid w:val="00B85B08"/>
    <w:rsid w:val="00B90205"/>
    <w:rsid w:val="00B90B7D"/>
    <w:rsid w:val="00B9102C"/>
    <w:rsid w:val="00B91F5B"/>
    <w:rsid w:val="00B91FFE"/>
    <w:rsid w:val="00B9212C"/>
    <w:rsid w:val="00B9292D"/>
    <w:rsid w:val="00B92C6A"/>
    <w:rsid w:val="00B9439A"/>
    <w:rsid w:val="00B94519"/>
    <w:rsid w:val="00B95027"/>
    <w:rsid w:val="00B95856"/>
    <w:rsid w:val="00B964FC"/>
    <w:rsid w:val="00B969F0"/>
    <w:rsid w:val="00B978D7"/>
    <w:rsid w:val="00B97D32"/>
    <w:rsid w:val="00B97F21"/>
    <w:rsid w:val="00BA20FF"/>
    <w:rsid w:val="00BA23C0"/>
    <w:rsid w:val="00BA26AF"/>
    <w:rsid w:val="00BA3B6B"/>
    <w:rsid w:val="00BA50EC"/>
    <w:rsid w:val="00BA594A"/>
    <w:rsid w:val="00BA6905"/>
    <w:rsid w:val="00BA7C09"/>
    <w:rsid w:val="00BA7DEE"/>
    <w:rsid w:val="00BB24E8"/>
    <w:rsid w:val="00BB2D21"/>
    <w:rsid w:val="00BB35EF"/>
    <w:rsid w:val="00BB3716"/>
    <w:rsid w:val="00BB3744"/>
    <w:rsid w:val="00BB4153"/>
    <w:rsid w:val="00BB4C23"/>
    <w:rsid w:val="00BB51C2"/>
    <w:rsid w:val="00BB5F7C"/>
    <w:rsid w:val="00BB5FBD"/>
    <w:rsid w:val="00BB66E1"/>
    <w:rsid w:val="00BB7E69"/>
    <w:rsid w:val="00BC09EA"/>
    <w:rsid w:val="00BC2075"/>
    <w:rsid w:val="00BC243B"/>
    <w:rsid w:val="00BC2664"/>
    <w:rsid w:val="00BC26C2"/>
    <w:rsid w:val="00BC2D30"/>
    <w:rsid w:val="00BC2D3B"/>
    <w:rsid w:val="00BC3330"/>
    <w:rsid w:val="00BC352C"/>
    <w:rsid w:val="00BC3AD5"/>
    <w:rsid w:val="00BC49E9"/>
    <w:rsid w:val="00BC55F4"/>
    <w:rsid w:val="00BC764C"/>
    <w:rsid w:val="00BD244E"/>
    <w:rsid w:val="00BD2C6F"/>
    <w:rsid w:val="00BD3A1E"/>
    <w:rsid w:val="00BD3F7D"/>
    <w:rsid w:val="00BD4B01"/>
    <w:rsid w:val="00BD577C"/>
    <w:rsid w:val="00BD5864"/>
    <w:rsid w:val="00BD6727"/>
    <w:rsid w:val="00BD6E08"/>
    <w:rsid w:val="00BD73E9"/>
    <w:rsid w:val="00BD7984"/>
    <w:rsid w:val="00BE0E62"/>
    <w:rsid w:val="00BE1FC3"/>
    <w:rsid w:val="00BE2A13"/>
    <w:rsid w:val="00BE2C2C"/>
    <w:rsid w:val="00BE2DF1"/>
    <w:rsid w:val="00BE4235"/>
    <w:rsid w:val="00BE5DD1"/>
    <w:rsid w:val="00BE6085"/>
    <w:rsid w:val="00BF0B98"/>
    <w:rsid w:val="00BF2577"/>
    <w:rsid w:val="00BF33BB"/>
    <w:rsid w:val="00BF6DB7"/>
    <w:rsid w:val="00C0034F"/>
    <w:rsid w:val="00C007D9"/>
    <w:rsid w:val="00C011B0"/>
    <w:rsid w:val="00C02024"/>
    <w:rsid w:val="00C02639"/>
    <w:rsid w:val="00C02FB7"/>
    <w:rsid w:val="00C03465"/>
    <w:rsid w:val="00C043C0"/>
    <w:rsid w:val="00C05186"/>
    <w:rsid w:val="00C0543D"/>
    <w:rsid w:val="00C057B2"/>
    <w:rsid w:val="00C05D4B"/>
    <w:rsid w:val="00C078E9"/>
    <w:rsid w:val="00C07C65"/>
    <w:rsid w:val="00C1012D"/>
    <w:rsid w:val="00C102A8"/>
    <w:rsid w:val="00C105BB"/>
    <w:rsid w:val="00C1128E"/>
    <w:rsid w:val="00C115D3"/>
    <w:rsid w:val="00C12D00"/>
    <w:rsid w:val="00C12D01"/>
    <w:rsid w:val="00C132A0"/>
    <w:rsid w:val="00C14039"/>
    <w:rsid w:val="00C14195"/>
    <w:rsid w:val="00C14EDC"/>
    <w:rsid w:val="00C15E53"/>
    <w:rsid w:val="00C16D38"/>
    <w:rsid w:val="00C16EB1"/>
    <w:rsid w:val="00C16F9B"/>
    <w:rsid w:val="00C20C5E"/>
    <w:rsid w:val="00C2123A"/>
    <w:rsid w:val="00C21DF7"/>
    <w:rsid w:val="00C230BA"/>
    <w:rsid w:val="00C247B0"/>
    <w:rsid w:val="00C25AC4"/>
    <w:rsid w:val="00C260A2"/>
    <w:rsid w:val="00C2637D"/>
    <w:rsid w:val="00C26BF3"/>
    <w:rsid w:val="00C271F1"/>
    <w:rsid w:val="00C27202"/>
    <w:rsid w:val="00C3069B"/>
    <w:rsid w:val="00C31413"/>
    <w:rsid w:val="00C3161E"/>
    <w:rsid w:val="00C3190C"/>
    <w:rsid w:val="00C32330"/>
    <w:rsid w:val="00C33063"/>
    <w:rsid w:val="00C35CD4"/>
    <w:rsid w:val="00C36081"/>
    <w:rsid w:val="00C37F79"/>
    <w:rsid w:val="00C402FB"/>
    <w:rsid w:val="00C411A1"/>
    <w:rsid w:val="00C417EA"/>
    <w:rsid w:val="00C421DB"/>
    <w:rsid w:val="00C42734"/>
    <w:rsid w:val="00C4347F"/>
    <w:rsid w:val="00C44FF8"/>
    <w:rsid w:val="00C458FA"/>
    <w:rsid w:val="00C45B55"/>
    <w:rsid w:val="00C4637A"/>
    <w:rsid w:val="00C46CF4"/>
    <w:rsid w:val="00C47AAF"/>
    <w:rsid w:val="00C50530"/>
    <w:rsid w:val="00C50AE6"/>
    <w:rsid w:val="00C51196"/>
    <w:rsid w:val="00C53D20"/>
    <w:rsid w:val="00C5474D"/>
    <w:rsid w:val="00C574C0"/>
    <w:rsid w:val="00C57D4F"/>
    <w:rsid w:val="00C6009E"/>
    <w:rsid w:val="00C60E85"/>
    <w:rsid w:val="00C614D3"/>
    <w:rsid w:val="00C634BF"/>
    <w:rsid w:val="00C64C49"/>
    <w:rsid w:val="00C64C56"/>
    <w:rsid w:val="00C65260"/>
    <w:rsid w:val="00C66140"/>
    <w:rsid w:val="00C669FB"/>
    <w:rsid w:val="00C678F4"/>
    <w:rsid w:val="00C70995"/>
    <w:rsid w:val="00C70BCC"/>
    <w:rsid w:val="00C7105A"/>
    <w:rsid w:val="00C71230"/>
    <w:rsid w:val="00C715D4"/>
    <w:rsid w:val="00C72C3F"/>
    <w:rsid w:val="00C72CC7"/>
    <w:rsid w:val="00C7318F"/>
    <w:rsid w:val="00C7321A"/>
    <w:rsid w:val="00C74315"/>
    <w:rsid w:val="00C754D1"/>
    <w:rsid w:val="00C773EA"/>
    <w:rsid w:val="00C80DDD"/>
    <w:rsid w:val="00C81473"/>
    <w:rsid w:val="00C81E17"/>
    <w:rsid w:val="00C81FDA"/>
    <w:rsid w:val="00C824ED"/>
    <w:rsid w:val="00C8251A"/>
    <w:rsid w:val="00C82A34"/>
    <w:rsid w:val="00C8337A"/>
    <w:rsid w:val="00C83558"/>
    <w:rsid w:val="00C84048"/>
    <w:rsid w:val="00C841D3"/>
    <w:rsid w:val="00C86D97"/>
    <w:rsid w:val="00C90A0A"/>
    <w:rsid w:val="00C93094"/>
    <w:rsid w:val="00C93795"/>
    <w:rsid w:val="00C950D2"/>
    <w:rsid w:val="00C9626E"/>
    <w:rsid w:val="00C97A34"/>
    <w:rsid w:val="00CA0954"/>
    <w:rsid w:val="00CA09AF"/>
    <w:rsid w:val="00CA1DE6"/>
    <w:rsid w:val="00CA1EC0"/>
    <w:rsid w:val="00CA240C"/>
    <w:rsid w:val="00CA331F"/>
    <w:rsid w:val="00CA3358"/>
    <w:rsid w:val="00CA393B"/>
    <w:rsid w:val="00CA439C"/>
    <w:rsid w:val="00CA4943"/>
    <w:rsid w:val="00CA4DFF"/>
    <w:rsid w:val="00CA51F1"/>
    <w:rsid w:val="00CA5A96"/>
    <w:rsid w:val="00CB04C5"/>
    <w:rsid w:val="00CB0F98"/>
    <w:rsid w:val="00CB151A"/>
    <w:rsid w:val="00CB21C8"/>
    <w:rsid w:val="00CB2931"/>
    <w:rsid w:val="00CB2F7C"/>
    <w:rsid w:val="00CB31AD"/>
    <w:rsid w:val="00CB401F"/>
    <w:rsid w:val="00CB4181"/>
    <w:rsid w:val="00CB4FBF"/>
    <w:rsid w:val="00CB520C"/>
    <w:rsid w:val="00CB591B"/>
    <w:rsid w:val="00CB6449"/>
    <w:rsid w:val="00CB7654"/>
    <w:rsid w:val="00CB77F2"/>
    <w:rsid w:val="00CB7CA2"/>
    <w:rsid w:val="00CB7CC3"/>
    <w:rsid w:val="00CC06DD"/>
    <w:rsid w:val="00CC070C"/>
    <w:rsid w:val="00CC163B"/>
    <w:rsid w:val="00CC16CE"/>
    <w:rsid w:val="00CC18FF"/>
    <w:rsid w:val="00CC1966"/>
    <w:rsid w:val="00CC1A01"/>
    <w:rsid w:val="00CC2367"/>
    <w:rsid w:val="00CC2DE2"/>
    <w:rsid w:val="00CC3072"/>
    <w:rsid w:val="00CC3086"/>
    <w:rsid w:val="00CC3E29"/>
    <w:rsid w:val="00CC4CE3"/>
    <w:rsid w:val="00CC5387"/>
    <w:rsid w:val="00CC5CA5"/>
    <w:rsid w:val="00CC6159"/>
    <w:rsid w:val="00CC7A3E"/>
    <w:rsid w:val="00CD0EAF"/>
    <w:rsid w:val="00CD163A"/>
    <w:rsid w:val="00CD16CE"/>
    <w:rsid w:val="00CD30B3"/>
    <w:rsid w:val="00CD3B3A"/>
    <w:rsid w:val="00CD3BD3"/>
    <w:rsid w:val="00CD4643"/>
    <w:rsid w:val="00CD5EF5"/>
    <w:rsid w:val="00CD6BDD"/>
    <w:rsid w:val="00CD6E0E"/>
    <w:rsid w:val="00CD711F"/>
    <w:rsid w:val="00CD72C6"/>
    <w:rsid w:val="00CD72EB"/>
    <w:rsid w:val="00CD7382"/>
    <w:rsid w:val="00CD73E8"/>
    <w:rsid w:val="00CE042A"/>
    <w:rsid w:val="00CE063A"/>
    <w:rsid w:val="00CE08CA"/>
    <w:rsid w:val="00CE120F"/>
    <w:rsid w:val="00CE1236"/>
    <w:rsid w:val="00CE12E8"/>
    <w:rsid w:val="00CE1B36"/>
    <w:rsid w:val="00CE1F86"/>
    <w:rsid w:val="00CE27A4"/>
    <w:rsid w:val="00CE2EB8"/>
    <w:rsid w:val="00CE578D"/>
    <w:rsid w:val="00CE76AA"/>
    <w:rsid w:val="00CE7BBD"/>
    <w:rsid w:val="00CF0566"/>
    <w:rsid w:val="00CF0A79"/>
    <w:rsid w:val="00CF21D0"/>
    <w:rsid w:val="00CF2A19"/>
    <w:rsid w:val="00CF3D52"/>
    <w:rsid w:val="00CF4DC3"/>
    <w:rsid w:val="00CF5B48"/>
    <w:rsid w:val="00CF5B8C"/>
    <w:rsid w:val="00CF71C4"/>
    <w:rsid w:val="00D00281"/>
    <w:rsid w:val="00D00FEF"/>
    <w:rsid w:val="00D01027"/>
    <w:rsid w:val="00D0315C"/>
    <w:rsid w:val="00D0395F"/>
    <w:rsid w:val="00D039F8"/>
    <w:rsid w:val="00D0488A"/>
    <w:rsid w:val="00D04A7A"/>
    <w:rsid w:val="00D04B4C"/>
    <w:rsid w:val="00D06092"/>
    <w:rsid w:val="00D06263"/>
    <w:rsid w:val="00D063FA"/>
    <w:rsid w:val="00D0682B"/>
    <w:rsid w:val="00D06D7F"/>
    <w:rsid w:val="00D06F25"/>
    <w:rsid w:val="00D07A7E"/>
    <w:rsid w:val="00D105A3"/>
    <w:rsid w:val="00D111C6"/>
    <w:rsid w:val="00D12287"/>
    <w:rsid w:val="00D123F2"/>
    <w:rsid w:val="00D12D99"/>
    <w:rsid w:val="00D136C4"/>
    <w:rsid w:val="00D137E9"/>
    <w:rsid w:val="00D13BA5"/>
    <w:rsid w:val="00D13E06"/>
    <w:rsid w:val="00D13FB7"/>
    <w:rsid w:val="00D14BEB"/>
    <w:rsid w:val="00D15538"/>
    <w:rsid w:val="00D15C96"/>
    <w:rsid w:val="00D1683E"/>
    <w:rsid w:val="00D16C2F"/>
    <w:rsid w:val="00D17D0B"/>
    <w:rsid w:val="00D17D63"/>
    <w:rsid w:val="00D208A2"/>
    <w:rsid w:val="00D20F4C"/>
    <w:rsid w:val="00D22517"/>
    <w:rsid w:val="00D22E21"/>
    <w:rsid w:val="00D22FD4"/>
    <w:rsid w:val="00D232F6"/>
    <w:rsid w:val="00D2345C"/>
    <w:rsid w:val="00D235A3"/>
    <w:rsid w:val="00D23DE6"/>
    <w:rsid w:val="00D244BC"/>
    <w:rsid w:val="00D25081"/>
    <w:rsid w:val="00D2541B"/>
    <w:rsid w:val="00D254A9"/>
    <w:rsid w:val="00D26196"/>
    <w:rsid w:val="00D2779E"/>
    <w:rsid w:val="00D30B02"/>
    <w:rsid w:val="00D30F4D"/>
    <w:rsid w:val="00D321FC"/>
    <w:rsid w:val="00D326D4"/>
    <w:rsid w:val="00D33B1B"/>
    <w:rsid w:val="00D34D19"/>
    <w:rsid w:val="00D34D4E"/>
    <w:rsid w:val="00D350BF"/>
    <w:rsid w:val="00D3520F"/>
    <w:rsid w:val="00D3604C"/>
    <w:rsid w:val="00D3758E"/>
    <w:rsid w:val="00D376B7"/>
    <w:rsid w:val="00D37AD6"/>
    <w:rsid w:val="00D37B48"/>
    <w:rsid w:val="00D37EC6"/>
    <w:rsid w:val="00D4021E"/>
    <w:rsid w:val="00D40299"/>
    <w:rsid w:val="00D416BB"/>
    <w:rsid w:val="00D41B3A"/>
    <w:rsid w:val="00D44552"/>
    <w:rsid w:val="00D467B6"/>
    <w:rsid w:val="00D47AC8"/>
    <w:rsid w:val="00D50157"/>
    <w:rsid w:val="00D50856"/>
    <w:rsid w:val="00D51B1E"/>
    <w:rsid w:val="00D51FEC"/>
    <w:rsid w:val="00D53B96"/>
    <w:rsid w:val="00D54B67"/>
    <w:rsid w:val="00D54DB3"/>
    <w:rsid w:val="00D55DA4"/>
    <w:rsid w:val="00D56E08"/>
    <w:rsid w:val="00D57102"/>
    <w:rsid w:val="00D5715B"/>
    <w:rsid w:val="00D57247"/>
    <w:rsid w:val="00D57D4C"/>
    <w:rsid w:val="00D601EE"/>
    <w:rsid w:val="00D633B7"/>
    <w:rsid w:val="00D63B77"/>
    <w:rsid w:val="00D65905"/>
    <w:rsid w:val="00D65C27"/>
    <w:rsid w:val="00D67BDF"/>
    <w:rsid w:val="00D708AA"/>
    <w:rsid w:val="00D70AFB"/>
    <w:rsid w:val="00D726C5"/>
    <w:rsid w:val="00D72D11"/>
    <w:rsid w:val="00D7324D"/>
    <w:rsid w:val="00D73399"/>
    <w:rsid w:val="00D7465E"/>
    <w:rsid w:val="00D74AD5"/>
    <w:rsid w:val="00D75AAC"/>
    <w:rsid w:val="00D75C36"/>
    <w:rsid w:val="00D75DDF"/>
    <w:rsid w:val="00D76571"/>
    <w:rsid w:val="00D778E5"/>
    <w:rsid w:val="00D809A8"/>
    <w:rsid w:val="00D80CCB"/>
    <w:rsid w:val="00D810B2"/>
    <w:rsid w:val="00D8180D"/>
    <w:rsid w:val="00D81929"/>
    <w:rsid w:val="00D82F19"/>
    <w:rsid w:val="00D85D53"/>
    <w:rsid w:val="00D92593"/>
    <w:rsid w:val="00D94F0C"/>
    <w:rsid w:val="00D957BC"/>
    <w:rsid w:val="00D96394"/>
    <w:rsid w:val="00D97674"/>
    <w:rsid w:val="00D97A48"/>
    <w:rsid w:val="00D97BE7"/>
    <w:rsid w:val="00DA0FC4"/>
    <w:rsid w:val="00DA1AB7"/>
    <w:rsid w:val="00DA2A5C"/>
    <w:rsid w:val="00DA2BE4"/>
    <w:rsid w:val="00DA2D88"/>
    <w:rsid w:val="00DA3A07"/>
    <w:rsid w:val="00DA55BA"/>
    <w:rsid w:val="00DA7D48"/>
    <w:rsid w:val="00DB003C"/>
    <w:rsid w:val="00DB1A0D"/>
    <w:rsid w:val="00DB1D92"/>
    <w:rsid w:val="00DB38F4"/>
    <w:rsid w:val="00DB391D"/>
    <w:rsid w:val="00DB3E37"/>
    <w:rsid w:val="00DB6143"/>
    <w:rsid w:val="00DB73E4"/>
    <w:rsid w:val="00DB76C2"/>
    <w:rsid w:val="00DC17D9"/>
    <w:rsid w:val="00DC1A4D"/>
    <w:rsid w:val="00DC20E5"/>
    <w:rsid w:val="00DC2525"/>
    <w:rsid w:val="00DC2F9D"/>
    <w:rsid w:val="00DC4B45"/>
    <w:rsid w:val="00DC51B7"/>
    <w:rsid w:val="00DC538F"/>
    <w:rsid w:val="00DC69E8"/>
    <w:rsid w:val="00DC7578"/>
    <w:rsid w:val="00DD04D9"/>
    <w:rsid w:val="00DD074D"/>
    <w:rsid w:val="00DD1A83"/>
    <w:rsid w:val="00DD2210"/>
    <w:rsid w:val="00DD29D3"/>
    <w:rsid w:val="00DD2B63"/>
    <w:rsid w:val="00DD3067"/>
    <w:rsid w:val="00DD3995"/>
    <w:rsid w:val="00DD41D0"/>
    <w:rsid w:val="00DD71DE"/>
    <w:rsid w:val="00DD740A"/>
    <w:rsid w:val="00DE1F76"/>
    <w:rsid w:val="00DE2D16"/>
    <w:rsid w:val="00DE36AA"/>
    <w:rsid w:val="00DE7666"/>
    <w:rsid w:val="00DF1A36"/>
    <w:rsid w:val="00DF3261"/>
    <w:rsid w:val="00DF3669"/>
    <w:rsid w:val="00DF39CE"/>
    <w:rsid w:val="00DF3D38"/>
    <w:rsid w:val="00DF41E9"/>
    <w:rsid w:val="00DF5230"/>
    <w:rsid w:val="00DF7843"/>
    <w:rsid w:val="00DF7F69"/>
    <w:rsid w:val="00E00D8A"/>
    <w:rsid w:val="00E01A83"/>
    <w:rsid w:val="00E03809"/>
    <w:rsid w:val="00E05CFD"/>
    <w:rsid w:val="00E06025"/>
    <w:rsid w:val="00E06475"/>
    <w:rsid w:val="00E06910"/>
    <w:rsid w:val="00E06DEF"/>
    <w:rsid w:val="00E071EF"/>
    <w:rsid w:val="00E10387"/>
    <w:rsid w:val="00E1147C"/>
    <w:rsid w:val="00E11B0E"/>
    <w:rsid w:val="00E1338D"/>
    <w:rsid w:val="00E1379B"/>
    <w:rsid w:val="00E13C82"/>
    <w:rsid w:val="00E13CCF"/>
    <w:rsid w:val="00E142E5"/>
    <w:rsid w:val="00E14F50"/>
    <w:rsid w:val="00E14F54"/>
    <w:rsid w:val="00E15B79"/>
    <w:rsid w:val="00E16166"/>
    <w:rsid w:val="00E1644B"/>
    <w:rsid w:val="00E17BF4"/>
    <w:rsid w:val="00E20D13"/>
    <w:rsid w:val="00E21E22"/>
    <w:rsid w:val="00E2213C"/>
    <w:rsid w:val="00E229FB"/>
    <w:rsid w:val="00E24938"/>
    <w:rsid w:val="00E25E2A"/>
    <w:rsid w:val="00E269AA"/>
    <w:rsid w:val="00E27EF0"/>
    <w:rsid w:val="00E27F9C"/>
    <w:rsid w:val="00E30CE5"/>
    <w:rsid w:val="00E30F72"/>
    <w:rsid w:val="00E3107F"/>
    <w:rsid w:val="00E3130F"/>
    <w:rsid w:val="00E3359B"/>
    <w:rsid w:val="00E34679"/>
    <w:rsid w:val="00E357FA"/>
    <w:rsid w:val="00E36357"/>
    <w:rsid w:val="00E36EE1"/>
    <w:rsid w:val="00E37F80"/>
    <w:rsid w:val="00E41374"/>
    <w:rsid w:val="00E41469"/>
    <w:rsid w:val="00E41AC3"/>
    <w:rsid w:val="00E41BB8"/>
    <w:rsid w:val="00E41CCA"/>
    <w:rsid w:val="00E41E10"/>
    <w:rsid w:val="00E41E36"/>
    <w:rsid w:val="00E431D2"/>
    <w:rsid w:val="00E43328"/>
    <w:rsid w:val="00E4531D"/>
    <w:rsid w:val="00E45631"/>
    <w:rsid w:val="00E46E5F"/>
    <w:rsid w:val="00E47281"/>
    <w:rsid w:val="00E502B6"/>
    <w:rsid w:val="00E537C9"/>
    <w:rsid w:val="00E5386F"/>
    <w:rsid w:val="00E53954"/>
    <w:rsid w:val="00E53CFF"/>
    <w:rsid w:val="00E544DA"/>
    <w:rsid w:val="00E54C38"/>
    <w:rsid w:val="00E55186"/>
    <w:rsid w:val="00E55798"/>
    <w:rsid w:val="00E55CD2"/>
    <w:rsid w:val="00E560C6"/>
    <w:rsid w:val="00E56B46"/>
    <w:rsid w:val="00E5757A"/>
    <w:rsid w:val="00E601FA"/>
    <w:rsid w:val="00E607E3"/>
    <w:rsid w:val="00E6185D"/>
    <w:rsid w:val="00E61CDE"/>
    <w:rsid w:val="00E6330C"/>
    <w:rsid w:val="00E63910"/>
    <w:rsid w:val="00E63DCE"/>
    <w:rsid w:val="00E652F4"/>
    <w:rsid w:val="00E657B8"/>
    <w:rsid w:val="00E66192"/>
    <w:rsid w:val="00E664FD"/>
    <w:rsid w:val="00E66B69"/>
    <w:rsid w:val="00E67A94"/>
    <w:rsid w:val="00E7168C"/>
    <w:rsid w:val="00E72579"/>
    <w:rsid w:val="00E72CB8"/>
    <w:rsid w:val="00E7308E"/>
    <w:rsid w:val="00E76C92"/>
    <w:rsid w:val="00E80A4A"/>
    <w:rsid w:val="00E818CE"/>
    <w:rsid w:val="00E83E3C"/>
    <w:rsid w:val="00E84EAB"/>
    <w:rsid w:val="00E852E5"/>
    <w:rsid w:val="00E86974"/>
    <w:rsid w:val="00E8729A"/>
    <w:rsid w:val="00E87955"/>
    <w:rsid w:val="00E87ED5"/>
    <w:rsid w:val="00E903F0"/>
    <w:rsid w:val="00E90EAA"/>
    <w:rsid w:val="00E90FEE"/>
    <w:rsid w:val="00E91FA5"/>
    <w:rsid w:val="00E92236"/>
    <w:rsid w:val="00E93B32"/>
    <w:rsid w:val="00E952CE"/>
    <w:rsid w:val="00E960B4"/>
    <w:rsid w:val="00E96232"/>
    <w:rsid w:val="00EA03C2"/>
    <w:rsid w:val="00EA065D"/>
    <w:rsid w:val="00EA14FE"/>
    <w:rsid w:val="00EA15F3"/>
    <w:rsid w:val="00EA2550"/>
    <w:rsid w:val="00EA29B1"/>
    <w:rsid w:val="00EA2C6A"/>
    <w:rsid w:val="00EA2DDD"/>
    <w:rsid w:val="00EA3205"/>
    <w:rsid w:val="00EA498A"/>
    <w:rsid w:val="00EA55AF"/>
    <w:rsid w:val="00EA5B00"/>
    <w:rsid w:val="00EA5F2E"/>
    <w:rsid w:val="00EA64EA"/>
    <w:rsid w:val="00EA69B7"/>
    <w:rsid w:val="00EA7773"/>
    <w:rsid w:val="00EB04CF"/>
    <w:rsid w:val="00EB29BA"/>
    <w:rsid w:val="00EB2A74"/>
    <w:rsid w:val="00EB2C24"/>
    <w:rsid w:val="00EB2CDF"/>
    <w:rsid w:val="00EB361D"/>
    <w:rsid w:val="00EB3808"/>
    <w:rsid w:val="00EB3CBE"/>
    <w:rsid w:val="00EB3DE2"/>
    <w:rsid w:val="00EB41C9"/>
    <w:rsid w:val="00EB4C0F"/>
    <w:rsid w:val="00EB6545"/>
    <w:rsid w:val="00EC0277"/>
    <w:rsid w:val="00EC2FA1"/>
    <w:rsid w:val="00EC3A4C"/>
    <w:rsid w:val="00EC4DB5"/>
    <w:rsid w:val="00EC5298"/>
    <w:rsid w:val="00EC54A5"/>
    <w:rsid w:val="00EC6333"/>
    <w:rsid w:val="00ED1458"/>
    <w:rsid w:val="00ED165E"/>
    <w:rsid w:val="00ED224D"/>
    <w:rsid w:val="00ED2410"/>
    <w:rsid w:val="00ED2522"/>
    <w:rsid w:val="00ED3067"/>
    <w:rsid w:val="00ED33C9"/>
    <w:rsid w:val="00ED371E"/>
    <w:rsid w:val="00ED48CC"/>
    <w:rsid w:val="00ED5A0F"/>
    <w:rsid w:val="00ED5F04"/>
    <w:rsid w:val="00ED6353"/>
    <w:rsid w:val="00ED6465"/>
    <w:rsid w:val="00ED75F5"/>
    <w:rsid w:val="00EE07AC"/>
    <w:rsid w:val="00EE0D9C"/>
    <w:rsid w:val="00EE0E40"/>
    <w:rsid w:val="00EE18B8"/>
    <w:rsid w:val="00EE1B5F"/>
    <w:rsid w:val="00EE2182"/>
    <w:rsid w:val="00EE21C5"/>
    <w:rsid w:val="00EE3220"/>
    <w:rsid w:val="00EE3C60"/>
    <w:rsid w:val="00EE427A"/>
    <w:rsid w:val="00EE6453"/>
    <w:rsid w:val="00EE6AEE"/>
    <w:rsid w:val="00EE7D3D"/>
    <w:rsid w:val="00EF0474"/>
    <w:rsid w:val="00EF0645"/>
    <w:rsid w:val="00EF09B5"/>
    <w:rsid w:val="00EF0DB4"/>
    <w:rsid w:val="00EF19DE"/>
    <w:rsid w:val="00EF1AF4"/>
    <w:rsid w:val="00EF2BE7"/>
    <w:rsid w:val="00EF42E3"/>
    <w:rsid w:val="00EF5122"/>
    <w:rsid w:val="00EF56F2"/>
    <w:rsid w:val="00EF74C9"/>
    <w:rsid w:val="00F000C6"/>
    <w:rsid w:val="00F00404"/>
    <w:rsid w:val="00F00560"/>
    <w:rsid w:val="00F010AD"/>
    <w:rsid w:val="00F024FE"/>
    <w:rsid w:val="00F03B9A"/>
    <w:rsid w:val="00F050B5"/>
    <w:rsid w:val="00F053E0"/>
    <w:rsid w:val="00F059EA"/>
    <w:rsid w:val="00F07025"/>
    <w:rsid w:val="00F1129C"/>
    <w:rsid w:val="00F12073"/>
    <w:rsid w:val="00F12995"/>
    <w:rsid w:val="00F13B5D"/>
    <w:rsid w:val="00F1417E"/>
    <w:rsid w:val="00F155F2"/>
    <w:rsid w:val="00F15D65"/>
    <w:rsid w:val="00F16111"/>
    <w:rsid w:val="00F16DF8"/>
    <w:rsid w:val="00F16E9D"/>
    <w:rsid w:val="00F17A7C"/>
    <w:rsid w:val="00F17DCB"/>
    <w:rsid w:val="00F20567"/>
    <w:rsid w:val="00F22F6B"/>
    <w:rsid w:val="00F24018"/>
    <w:rsid w:val="00F24796"/>
    <w:rsid w:val="00F25F56"/>
    <w:rsid w:val="00F26176"/>
    <w:rsid w:val="00F2630E"/>
    <w:rsid w:val="00F26E03"/>
    <w:rsid w:val="00F27898"/>
    <w:rsid w:val="00F27B01"/>
    <w:rsid w:val="00F30A2B"/>
    <w:rsid w:val="00F323F7"/>
    <w:rsid w:val="00F32BC3"/>
    <w:rsid w:val="00F33362"/>
    <w:rsid w:val="00F354C7"/>
    <w:rsid w:val="00F358ED"/>
    <w:rsid w:val="00F3613C"/>
    <w:rsid w:val="00F365FA"/>
    <w:rsid w:val="00F36686"/>
    <w:rsid w:val="00F37655"/>
    <w:rsid w:val="00F407E2"/>
    <w:rsid w:val="00F4088F"/>
    <w:rsid w:val="00F41E80"/>
    <w:rsid w:val="00F41FCA"/>
    <w:rsid w:val="00F42216"/>
    <w:rsid w:val="00F44070"/>
    <w:rsid w:val="00F443F3"/>
    <w:rsid w:val="00F46AFF"/>
    <w:rsid w:val="00F46FB3"/>
    <w:rsid w:val="00F511A8"/>
    <w:rsid w:val="00F51ABA"/>
    <w:rsid w:val="00F526D9"/>
    <w:rsid w:val="00F53E75"/>
    <w:rsid w:val="00F54B58"/>
    <w:rsid w:val="00F557AA"/>
    <w:rsid w:val="00F55E56"/>
    <w:rsid w:val="00F574B7"/>
    <w:rsid w:val="00F57D46"/>
    <w:rsid w:val="00F65469"/>
    <w:rsid w:val="00F6560A"/>
    <w:rsid w:val="00F66810"/>
    <w:rsid w:val="00F66BA4"/>
    <w:rsid w:val="00F66DCD"/>
    <w:rsid w:val="00F70D56"/>
    <w:rsid w:val="00F71A79"/>
    <w:rsid w:val="00F737BA"/>
    <w:rsid w:val="00F73D09"/>
    <w:rsid w:val="00F73E48"/>
    <w:rsid w:val="00F74A07"/>
    <w:rsid w:val="00F761D0"/>
    <w:rsid w:val="00F76586"/>
    <w:rsid w:val="00F76662"/>
    <w:rsid w:val="00F767A6"/>
    <w:rsid w:val="00F77ED3"/>
    <w:rsid w:val="00F80726"/>
    <w:rsid w:val="00F80DC1"/>
    <w:rsid w:val="00F80E9A"/>
    <w:rsid w:val="00F81954"/>
    <w:rsid w:val="00F81F00"/>
    <w:rsid w:val="00F82A85"/>
    <w:rsid w:val="00F82B9E"/>
    <w:rsid w:val="00F82CAB"/>
    <w:rsid w:val="00F82CCA"/>
    <w:rsid w:val="00F83AF1"/>
    <w:rsid w:val="00F83B75"/>
    <w:rsid w:val="00F843B6"/>
    <w:rsid w:val="00F87AEF"/>
    <w:rsid w:val="00F91ED3"/>
    <w:rsid w:val="00F922AA"/>
    <w:rsid w:val="00F93A48"/>
    <w:rsid w:val="00F93B01"/>
    <w:rsid w:val="00F93FE7"/>
    <w:rsid w:val="00F944B8"/>
    <w:rsid w:val="00F956CC"/>
    <w:rsid w:val="00F95985"/>
    <w:rsid w:val="00F95991"/>
    <w:rsid w:val="00F966EE"/>
    <w:rsid w:val="00F96CD6"/>
    <w:rsid w:val="00F97E9A"/>
    <w:rsid w:val="00FA01D2"/>
    <w:rsid w:val="00FA0904"/>
    <w:rsid w:val="00FA095E"/>
    <w:rsid w:val="00FA1B7E"/>
    <w:rsid w:val="00FA232D"/>
    <w:rsid w:val="00FA2453"/>
    <w:rsid w:val="00FA24EC"/>
    <w:rsid w:val="00FA2980"/>
    <w:rsid w:val="00FA5580"/>
    <w:rsid w:val="00FA5A43"/>
    <w:rsid w:val="00FA64A4"/>
    <w:rsid w:val="00FA6BB3"/>
    <w:rsid w:val="00FB05B5"/>
    <w:rsid w:val="00FB0830"/>
    <w:rsid w:val="00FB0928"/>
    <w:rsid w:val="00FB1A1E"/>
    <w:rsid w:val="00FB2064"/>
    <w:rsid w:val="00FB2154"/>
    <w:rsid w:val="00FB2DE0"/>
    <w:rsid w:val="00FB334B"/>
    <w:rsid w:val="00FB346F"/>
    <w:rsid w:val="00FB61FA"/>
    <w:rsid w:val="00FB69BD"/>
    <w:rsid w:val="00FB6C4D"/>
    <w:rsid w:val="00FB713D"/>
    <w:rsid w:val="00FB7562"/>
    <w:rsid w:val="00FC0F81"/>
    <w:rsid w:val="00FC170F"/>
    <w:rsid w:val="00FC1C5C"/>
    <w:rsid w:val="00FC1CA1"/>
    <w:rsid w:val="00FC275B"/>
    <w:rsid w:val="00FC2A54"/>
    <w:rsid w:val="00FC2B82"/>
    <w:rsid w:val="00FC311E"/>
    <w:rsid w:val="00FC3866"/>
    <w:rsid w:val="00FC470A"/>
    <w:rsid w:val="00FC5366"/>
    <w:rsid w:val="00FC5B27"/>
    <w:rsid w:val="00FC5BD2"/>
    <w:rsid w:val="00FC5DC1"/>
    <w:rsid w:val="00FC7953"/>
    <w:rsid w:val="00FC796C"/>
    <w:rsid w:val="00FD0207"/>
    <w:rsid w:val="00FD1187"/>
    <w:rsid w:val="00FD327B"/>
    <w:rsid w:val="00FD52FD"/>
    <w:rsid w:val="00FD6B3F"/>
    <w:rsid w:val="00FD6EB6"/>
    <w:rsid w:val="00FE16B4"/>
    <w:rsid w:val="00FE1BBB"/>
    <w:rsid w:val="00FE1F15"/>
    <w:rsid w:val="00FE1F51"/>
    <w:rsid w:val="00FE3990"/>
    <w:rsid w:val="00FE3EB5"/>
    <w:rsid w:val="00FE42F6"/>
    <w:rsid w:val="00FE68E8"/>
    <w:rsid w:val="00FE6E8C"/>
    <w:rsid w:val="00FE7DC4"/>
    <w:rsid w:val="00FF1A2B"/>
    <w:rsid w:val="00FF1BCC"/>
    <w:rsid w:val="00FF26B6"/>
    <w:rsid w:val="00FF3566"/>
    <w:rsid w:val="00FF3CCF"/>
    <w:rsid w:val="00FF3EDA"/>
    <w:rsid w:val="00FF444C"/>
    <w:rsid w:val="00FF63F1"/>
    <w:rsid w:val="00FF6908"/>
    <w:rsid w:val="00FF721E"/>
    <w:rsid w:val="00FF7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BB89AA"/>
  <w15:docId w15:val="{08C153C8-51F7-454C-9426-CB889D345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C29"/>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777C29"/>
    <w:pPr>
      <w:keepNext/>
      <w:numPr>
        <w:numId w:val="36"/>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777C29"/>
    <w:pPr>
      <w:keepNext/>
      <w:numPr>
        <w:ilvl w:val="1"/>
        <w:numId w:val="36"/>
      </w:numPr>
      <w:spacing w:after="120"/>
      <w:outlineLvl w:val="1"/>
    </w:pPr>
    <w:rPr>
      <w:b/>
    </w:rPr>
  </w:style>
  <w:style w:type="paragraph" w:styleId="Heading3">
    <w:name w:val="heading 3"/>
    <w:basedOn w:val="Normal"/>
    <w:next w:val="ParaNum"/>
    <w:link w:val="Heading3Char"/>
    <w:qFormat/>
    <w:rsid w:val="00777C29"/>
    <w:pPr>
      <w:keepNext/>
      <w:numPr>
        <w:ilvl w:val="2"/>
        <w:numId w:val="36"/>
      </w:numPr>
      <w:tabs>
        <w:tab w:val="left" w:pos="2160"/>
      </w:tabs>
      <w:spacing w:after="120"/>
      <w:outlineLvl w:val="2"/>
    </w:pPr>
    <w:rPr>
      <w:b/>
    </w:rPr>
  </w:style>
  <w:style w:type="paragraph" w:styleId="Heading4">
    <w:name w:val="heading 4"/>
    <w:basedOn w:val="Normal"/>
    <w:next w:val="ParaNum"/>
    <w:link w:val="Heading4Char"/>
    <w:qFormat/>
    <w:rsid w:val="00777C29"/>
    <w:pPr>
      <w:keepNext/>
      <w:numPr>
        <w:ilvl w:val="3"/>
        <w:numId w:val="36"/>
      </w:numPr>
      <w:tabs>
        <w:tab w:val="left" w:pos="2880"/>
      </w:tabs>
      <w:spacing w:after="120"/>
      <w:outlineLvl w:val="3"/>
    </w:pPr>
    <w:rPr>
      <w:b/>
    </w:rPr>
  </w:style>
  <w:style w:type="paragraph" w:styleId="Heading5">
    <w:name w:val="heading 5"/>
    <w:basedOn w:val="Normal"/>
    <w:next w:val="ParaNum"/>
    <w:link w:val="Heading5Char"/>
    <w:qFormat/>
    <w:rsid w:val="00777C29"/>
    <w:pPr>
      <w:keepNext/>
      <w:numPr>
        <w:ilvl w:val="4"/>
        <w:numId w:val="36"/>
      </w:numPr>
      <w:tabs>
        <w:tab w:val="left" w:pos="3600"/>
      </w:tabs>
      <w:suppressAutoHyphens/>
      <w:spacing w:after="120"/>
      <w:outlineLvl w:val="4"/>
    </w:pPr>
    <w:rPr>
      <w:b/>
    </w:rPr>
  </w:style>
  <w:style w:type="paragraph" w:styleId="Heading6">
    <w:name w:val="heading 6"/>
    <w:basedOn w:val="Normal"/>
    <w:next w:val="ParaNum"/>
    <w:link w:val="Heading6Char"/>
    <w:qFormat/>
    <w:rsid w:val="00777C29"/>
    <w:pPr>
      <w:numPr>
        <w:ilvl w:val="5"/>
        <w:numId w:val="36"/>
      </w:numPr>
      <w:tabs>
        <w:tab w:val="left" w:pos="4320"/>
      </w:tabs>
      <w:spacing w:after="120"/>
      <w:outlineLvl w:val="5"/>
    </w:pPr>
    <w:rPr>
      <w:b/>
    </w:rPr>
  </w:style>
  <w:style w:type="paragraph" w:styleId="Heading7">
    <w:name w:val="heading 7"/>
    <w:basedOn w:val="Normal"/>
    <w:next w:val="ParaNum"/>
    <w:link w:val="Heading7Char"/>
    <w:qFormat/>
    <w:rsid w:val="00777C29"/>
    <w:pPr>
      <w:numPr>
        <w:ilvl w:val="6"/>
        <w:numId w:val="36"/>
      </w:numPr>
      <w:tabs>
        <w:tab w:val="left" w:pos="5040"/>
      </w:tabs>
      <w:spacing w:after="120"/>
      <w:ind w:left="5040" w:hanging="720"/>
      <w:outlineLvl w:val="6"/>
    </w:pPr>
    <w:rPr>
      <w:b/>
    </w:rPr>
  </w:style>
  <w:style w:type="paragraph" w:styleId="Heading8">
    <w:name w:val="heading 8"/>
    <w:basedOn w:val="Normal"/>
    <w:next w:val="ParaNum"/>
    <w:link w:val="Heading8Char"/>
    <w:qFormat/>
    <w:rsid w:val="00777C29"/>
    <w:pPr>
      <w:numPr>
        <w:ilvl w:val="7"/>
        <w:numId w:val="36"/>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777C29"/>
    <w:pPr>
      <w:numPr>
        <w:ilvl w:val="8"/>
        <w:numId w:val="36"/>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777C2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77C29"/>
  </w:style>
  <w:style w:type="character" w:customStyle="1" w:styleId="Heading2Char">
    <w:name w:val="Heading 2 Char"/>
    <w:basedOn w:val="DefaultParagraphFont"/>
    <w:link w:val="Heading2"/>
    <w:rsid w:val="007E0735"/>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7E0735"/>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7E0735"/>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7E0735"/>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7E0735"/>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7E0735"/>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7E0735"/>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7E0735"/>
    <w:rPr>
      <w:rFonts w:ascii="Times New Roman" w:eastAsia="Times New Roman" w:hAnsi="Times New Roman" w:cs="Times New Roman"/>
      <w:b/>
      <w:snapToGrid w:val="0"/>
      <w:kern w:val="28"/>
      <w:szCs w:val="20"/>
    </w:rPr>
  </w:style>
  <w:style w:type="paragraph" w:customStyle="1" w:styleId="Numberedparagraphs">
    <w:name w:val="Numbered paragraphs"/>
    <w:basedOn w:val="Normal"/>
    <w:rsid w:val="007E0735"/>
    <w:pPr>
      <w:numPr>
        <w:ilvl w:val="2"/>
        <w:numId w:val="1"/>
      </w:numPr>
      <w:tabs>
        <w:tab w:val="left" w:pos="1440"/>
      </w:tabs>
      <w:spacing w:after="220"/>
    </w:pPr>
  </w:style>
  <w:style w:type="paragraph" w:customStyle="1" w:styleId="ParaNum">
    <w:name w:val="ParaNum"/>
    <w:basedOn w:val="Normal"/>
    <w:link w:val="ParaNumChar"/>
    <w:rsid w:val="00777C29"/>
    <w:pPr>
      <w:numPr>
        <w:numId w:val="6"/>
      </w:numPr>
      <w:tabs>
        <w:tab w:val="clear" w:pos="1080"/>
        <w:tab w:val="num" w:pos="1440"/>
      </w:tabs>
      <w:spacing w:after="120"/>
    </w:pPr>
  </w:style>
  <w:style w:type="paragraph" w:customStyle="1" w:styleId="ParaNumChar1">
    <w:name w:val="ParaNum Char1"/>
    <w:basedOn w:val="Normal"/>
    <w:link w:val="ParaNumChar1Char"/>
    <w:rsid w:val="007E0735"/>
    <w:pPr>
      <w:tabs>
        <w:tab w:val="num" w:pos="1080"/>
        <w:tab w:val="left" w:pos="1440"/>
      </w:tabs>
      <w:spacing w:after="220"/>
      <w:ind w:firstLine="720"/>
    </w:pPr>
  </w:style>
  <w:style w:type="character" w:customStyle="1" w:styleId="ParaNumChar1Char">
    <w:name w:val="ParaNum Char1 Char"/>
    <w:link w:val="ParaNumChar1"/>
    <w:rsid w:val="007E0735"/>
    <w:rPr>
      <w:rFonts w:ascii="Times New Roman" w:eastAsia="Times New Roman" w:hAnsi="Times New Roman" w:cs="Times New Roman"/>
      <w:szCs w:val="20"/>
    </w:rPr>
  </w:style>
  <w:style w:type="paragraph" w:styleId="Header">
    <w:name w:val="header"/>
    <w:basedOn w:val="Normal"/>
    <w:link w:val="HeaderChar"/>
    <w:autoRedefine/>
    <w:rsid w:val="00777C29"/>
    <w:pPr>
      <w:tabs>
        <w:tab w:val="center" w:pos="4680"/>
        <w:tab w:val="right" w:pos="9360"/>
      </w:tabs>
    </w:pPr>
    <w:rPr>
      <w:b/>
    </w:rPr>
  </w:style>
  <w:style w:type="character" w:customStyle="1" w:styleId="HeaderChar">
    <w:name w:val="Header Char"/>
    <w:basedOn w:val="DefaultParagraphFont"/>
    <w:link w:val="Header"/>
    <w:rsid w:val="00C72C3F"/>
    <w:rPr>
      <w:rFonts w:ascii="Times New Roman" w:eastAsia="Times New Roman" w:hAnsi="Times New Roman" w:cs="Times New Roman"/>
      <w:b/>
      <w:snapToGrid w:val="0"/>
      <w:kern w:val="28"/>
      <w:szCs w:val="20"/>
    </w:rPr>
  </w:style>
  <w:style w:type="paragraph" w:styleId="Footer">
    <w:name w:val="footer"/>
    <w:basedOn w:val="Normal"/>
    <w:link w:val="FooterChar"/>
    <w:uiPriority w:val="99"/>
    <w:rsid w:val="00777C29"/>
    <w:pPr>
      <w:tabs>
        <w:tab w:val="center" w:pos="4320"/>
        <w:tab w:val="right" w:pos="8640"/>
      </w:tabs>
    </w:pPr>
  </w:style>
  <w:style w:type="character" w:customStyle="1" w:styleId="FooterChar">
    <w:name w:val="Footer Char"/>
    <w:link w:val="Footer"/>
    <w:uiPriority w:val="99"/>
    <w:rsid w:val="00777C29"/>
    <w:rPr>
      <w:rFonts w:ascii="Times New Roman" w:eastAsia="Times New Roman" w:hAnsi="Times New Roman" w:cs="Times New Roman"/>
      <w:snapToGrid w:val="0"/>
      <w:kern w:val="28"/>
      <w:szCs w:val="20"/>
    </w:rPr>
  </w:style>
  <w:style w:type="paragraph" w:styleId="FootnoteText">
    <w:name w:val="footnote text"/>
    <w:aliases w:val="ALTS FOOTNOTE,fn,Footnote Text Char2 Char,Footnote Text Char3 Char1 Char,Footnote Text Char2 Char1 Char1 Char,Footnote Text Char3 Char1 Char Char Char,Footnote Text Char2 Char1 Char1 Char Char Char,fn Char1,f,Footnote Text Cha,fn ,fn Ch"/>
    <w:link w:val="FootnoteTextChar"/>
    <w:rsid w:val="00777C29"/>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ALTS FOOTNOTE Char,fn Char,Footnote Text Char2 Char Char,Footnote Text Char3 Char1 Char Char,Footnote Text Char2 Char1 Char1 Char Char,Footnote Text Char3 Char1 Char Char Char Char,Footnote Text Char2 Char1 Char1 Char Char Char Char"/>
    <w:basedOn w:val="DefaultParagraphFont"/>
    <w:link w:val="FootnoteText"/>
    <w:rsid w:val="009520AB"/>
    <w:rPr>
      <w:rFonts w:ascii="Times New Roman" w:eastAsia="Times New Roman" w:hAnsi="Times New Roman" w:cs="Times New Roman"/>
      <w:sz w:val="20"/>
      <w:szCs w:val="20"/>
    </w:rPr>
  </w:style>
  <w:style w:type="character" w:styleId="FootnoteReference">
    <w:name w:val="footnote reference"/>
    <w:aliases w:val="Style 12,(NECG) Footnote Reference,Style 13,Appel note de bas de p,Style 124,fr,o,Style 3,FR,Style 17,Footnote Reference/,Style 6,Style 7,Style 4,Footnote Reference1,Style 34,Style 9,Style 20,callout,-E Funotenzeichen,A,Ref,Style 1"/>
    <w:rsid w:val="00777C29"/>
    <w:rPr>
      <w:rFonts w:ascii="Times New Roman" w:hAnsi="Times New Roman"/>
      <w:dstrike w:val="0"/>
      <w:color w:val="auto"/>
      <w:sz w:val="20"/>
      <w:vertAlign w:val="superscript"/>
    </w:rPr>
  </w:style>
  <w:style w:type="character" w:styleId="CommentReference">
    <w:name w:val="annotation reference"/>
    <w:basedOn w:val="DefaultParagraphFont"/>
    <w:uiPriority w:val="99"/>
    <w:semiHidden/>
    <w:unhideWhenUsed/>
    <w:rsid w:val="00BC2D3B"/>
    <w:rPr>
      <w:sz w:val="16"/>
      <w:szCs w:val="16"/>
    </w:rPr>
  </w:style>
  <w:style w:type="paragraph" w:styleId="CommentText">
    <w:name w:val="annotation text"/>
    <w:basedOn w:val="Normal"/>
    <w:link w:val="CommentTextChar"/>
    <w:uiPriority w:val="99"/>
    <w:unhideWhenUsed/>
    <w:rsid w:val="00BC2D3B"/>
    <w:rPr>
      <w:sz w:val="20"/>
    </w:rPr>
  </w:style>
  <w:style w:type="character" w:customStyle="1" w:styleId="CommentTextChar">
    <w:name w:val="Comment Text Char"/>
    <w:basedOn w:val="DefaultParagraphFont"/>
    <w:link w:val="CommentText"/>
    <w:uiPriority w:val="99"/>
    <w:rsid w:val="00BC2D3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2D3B"/>
    <w:rPr>
      <w:b/>
      <w:bCs/>
    </w:rPr>
  </w:style>
  <w:style w:type="character" w:customStyle="1" w:styleId="CommentSubjectChar">
    <w:name w:val="Comment Subject Char"/>
    <w:basedOn w:val="CommentTextChar"/>
    <w:link w:val="CommentSubject"/>
    <w:uiPriority w:val="99"/>
    <w:semiHidden/>
    <w:rsid w:val="00BC2D3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C2D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D3B"/>
    <w:rPr>
      <w:rFonts w:ascii="Segoe UI" w:eastAsia="Times New Roman" w:hAnsi="Segoe UI" w:cs="Segoe UI"/>
      <w:sz w:val="18"/>
      <w:szCs w:val="18"/>
    </w:rPr>
  </w:style>
  <w:style w:type="character" w:customStyle="1" w:styleId="apple-converted-space">
    <w:name w:val="apple-converted-space"/>
    <w:basedOn w:val="DefaultParagraphFont"/>
    <w:rsid w:val="004864C9"/>
  </w:style>
  <w:style w:type="character" w:styleId="PageNumber">
    <w:name w:val="page number"/>
    <w:basedOn w:val="DefaultParagraphFont"/>
    <w:rsid w:val="00777C29"/>
  </w:style>
  <w:style w:type="paragraph" w:styleId="Revision">
    <w:name w:val="Revision"/>
    <w:hidden/>
    <w:uiPriority w:val="99"/>
    <w:semiHidden/>
    <w:rsid w:val="00D17D63"/>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D17D63"/>
    <w:pPr>
      <w:ind w:left="720"/>
      <w:contextualSpacing/>
    </w:pPr>
  </w:style>
  <w:style w:type="character" w:customStyle="1" w:styleId="ParaNumChar">
    <w:name w:val="ParaNum Char"/>
    <w:link w:val="ParaNum"/>
    <w:locked/>
    <w:rsid w:val="00A8391D"/>
    <w:rPr>
      <w:rFonts w:ascii="Times New Roman" w:eastAsia="Times New Roman" w:hAnsi="Times New Roman" w:cs="Times New Roman"/>
      <w:snapToGrid w:val="0"/>
      <w:kern w:val="28"/>
      <w:szCs w:val="20"/>
    </w:rPr>
  </w:style>
  <w:style w:type="character" w:styleId="Hyperlink">
    <w:name w:val="Hyperlink"/>
    <w:rsid w:val="00777C29"/>
    <w:rPr>
      <w:color w:val="0000FF"/>
      <w:u w:val="single"/>
    </w:rPr>
  </w:style>
  <w:style w:type="character" w:customStyle="1" w:styleId="UnresolvedMention1">
    <w:name w:val="Unresolved Mention1"/>
    <w:basedOn w:val="DefaultParagraphFont"/>
    <w:uiPriority w:val="99"/>
    <w:semiHidden/>
    <w:unhideWhenUsed/>
    <w:rsid w:val="00343277"/>
    <w:rPr>
      <w:color w:val="605E5C"/>
      <w:shd w:val="clear" w:color="auto" w:fill="E1DFDD"/>
    </w:rPr>
  </w:style>
  <w:style w:type="character" w:customStyle="1" w:styleId="DefaultFontHxMailStyle">
    <w:name w:val="Default Font HxMail Style"/>
    <w:basedOn w:val="DefaultParagraphFont"/>
    <w:rsid w:val="008B6F62"/>
    <w:rPr>
      <w:rFonts w:ascii="Times New Roman" w:hAnsi="Times New Roman" w:cs="Times New Roman" w:hint="default"/>
      <w:b w:val="0"/>
      <w:bCs w:val="0"/>
      <w:i w:val="0"/>
      <w:iCs w:val="0"/>
      <w:strike w:val="0"/>
      <w:dstrike w:val="0"/>
      <w:color w:val="auto"/>
      <w:u w:val="none"/>
      <w:effect w:val="none"/>
    </w:rPr>
  </w:style>
  <w:style w:type="character" w:customStyle="1" w:styleId="Heading1Char">
    <w:name w:val="Heading 1 Char"/>
    <w:basedOn w:val="DefaultParagraphFont"/>
    <w:link w:val="Heading1"/>
    <w:rsid w:val="00CB6449"/>
    <w:rPr>
      <w:rFonts w:ascii="Times New Roman Bold" w:eastAsia="Times New Roman" w:hAnsi="Times New Roman Bold" w:cs="Times New Roman"/>
      <w:b/>
      <w:caps/>
      <w:snapToGrid w:val="0"/>
      <w:kern w:val="28"/>
      <w:szCs w:val="20"/>
    </w:rPr>
  </w:style>
  <w:style w:type="paragraph" w:styleId="EndnoteText">
    <w:name w:val="endnote text"/>
    <w:basedOn w:val="Normal"/>
    <w:link w:val="EndnoteTextChar"/>
    <w:semiHidden/>
    <w:rsid w:val="00777C29"/>
    <w:rPr>
      <w:sz w:val="20"/>
    </w:rPr>
  </w:style>
  <w:style w:type="character" w:customStyle="1" w:styleId="EndnoteTextChar">
    <w:name w:val="Endnote Text Char"/>
    <w:basedOn w:val="DefaultParagraphFont"/>
    <w:link w:val="EndnoteText"/>
    <w:semiHidden/>
    <w:rsid w:val="00CB6449"/>
    <w:rPr>
      <w:rFonts w:ascii="Times New Roman" w:eastAsia="Times New Roman" w:hAnsi="Times New Roman" w:cs="Times New Roman"/>
      <w:snapToGrid w:val="0"/>
      <w:kern w:val="28"/>
      <w:sz w:val="20"/>
      <w:szCs w:val="20"/>
    </w:rPr>
  </w:style>
  <w:style w:type="character" w:styleId="EndnoteReference">
    <w:name w:val="endnote reference"/>
    <w:semiHidden/>
    <w:rsid w:val="00777C29"/>
    <w:rPr>
      <w:vertAlign w:val="superscript"/>
    </w:rPr>
  </w:style>
  <w:style w:type="paragraph" w:styleId="TOC1">
    <w:name w:val="toc 1"/>
    <w:basedOn w:val="Normal"/>
    <w:next w:val="Normal"/>
    <w:semiHidden/>
    <w:rsid w:val="00777C29"/>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777C29"/>
    <w:pPr>
      <w:tabs>
        <w:tab w:val="left" w:pos="720"/>
        <w:tab w:val="right" w:leader="dot" w:pos="9360"/>
      </w:tabs>
      <w:suppressAutoHyphens/>
      <w:ind w:left="720" w:right="720" w:hanging="360"/>
    </w:pPr>
    <w:rPr>
      <w:noProof/>
    </w:rPr>
  </w:style>
  <w:style w:type="paragraph" w:styleId="TOC3">
    <w:name w:val="toc 3"/>
    <w:basedOn w:val="Normal"/>
    <w:next w:val="Normal"/>
    <w:semiHidden/>
    <w:rsid w:val="00777C29"/>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777C29"/>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777C29"/>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777C29"/>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777C29"/>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777C29"/>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777C29"/>
    <w:pPr>
      <w:tabs>
        <w:tab w:val="left" w:pos="3240"/>
        <w:tab w:val="right" w:leader="dot" w:pos="9360"/>
      </w:tabs>
      <w:suppressAutoHyphens/>
      <w:ind w:left="3240" w:hanging="360"/>
    </w:pPr>
    <w:rPr>
      <w:noProof/>
    </w:rPr>
  </w:style>
  <w:style w:type="paragraph" w:styleId="TOAHeading">
    <w:name w:val="toa heading"/>
    <w:basedOn w:val="Normal"/>
    <w:next w:val="Normal"/>
    <w:semiHidden/>
    <w:rsid w:val="00777C29"/>
    <w:pPr>
      <w:tabs>
        <w:tab w:val="right" w:pos="9360"/>
      </w:tabs>
      <w:suppressAutoHyphens/>
    </w:pPr>
  </w:style>
  <w:style w:type="character" w:customStyle="1" w:styleId="EquationCaption">
    <w:name w:val="_Equation Caption"/>
    <w:rsid w:val="00777C29"/>
  </w:style>
  <w:style w:type="paragraph" w:styleId="BlockText">
    <w:name w:val="Block Text"/>
    <w:basedOn w:val="Normal"/>
    <w:rsid w:val="00777C29"/>
    <w:pPr>
      <w:spacing w:after="240"/>
      <w:ind w:left="1440" w:right="1440"/>
    </w:pPr>
  </w:style>
  <w:style w:type="paragraph" w:customStyle="1" w:styleId="Paratitle">
    <w:name w:val="Para title"/>
    <w:basedOn w:val="Normal"/>
    <w:rsid w:val="00777C29"/>
    <w:pPr>
      <w:tabs>
        <w:tab w:val="center" w:pos="9270"/>
      </w:tabs>
      <w:spacing w:after="240"/>
    </w:pPr>
    <w:rPr>
      <w:spacing w:val="-2"/>
    </w:rPr>
  </w:style>
  <w:style w:type="paragraph" w:customStyle="1" w:styleId="Bullet">
    <w:name w:val="Bullet"/>
    <w:basedOn w:val="Normal"/>
    <w:rsid w:val="00777C29"/>
    <w:pPr>
      <w:tabs>
        <w:tab w:val="left" w:pos="2160"/>
      </w:tabs>
      <w:spacing w:after="220"/>
      <w:ind w:left="2160" w:hanging="720"/>
    </w:pPr>
  </w:style>
  <w:style w:type="paragraph" w:customStyle="1" w:styleId="TableFormat">
    <w:name w:val="TableFormat"/>
    <w:basedOn w:val="Bullet"/>
    <w:rsid w:val="00777C29"/>
    <w:pPr>
      <w:tabs>
        <w:tab w:val="clear" w:pos="2160"/>
        <w:tab w:val="left" w:pos="5040"/>
      </w:tabs>
      <w:ind w:left="5040" w:hanging="3600"/>
    </w:pPr>
  </w:style>
  <w:style w:type="paragraph" w:customStyle="1" w:styleId="TOCTitle">
    <w:name w:val="TOC Title"/>
    <w:basedOn w:val="Normal"/>
    <w:rsid w:val="00777C29"/>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777C29"/>
    <w:pPr>
      <w:jc w:val="center"/>
    </w:pPr>
    <w:rPr>
      <w:rFonts w:ascii="Times New Roman Bold" w:hAnsi="Times New Roman Bold"/>
      <w:b/>
      <w:bCs/>
      <w:caps/>
      <w:szCs w:val="22"/>
    </w:rPr>
  </w:style>
  <w:style w:type="paragraph" w:customStyle="1" w:styleId="Default">
    <w:name w:val="Default"/>
    <w:rsid w:val="003F4884"/>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2F761A"/>
    <w:rPr>
      <w:color w:val="954F72" w:themeColor="followedHyperlink"/>
      <w:u w:val="single"/>
    </w:rPr>
  </w:style>
  <w:style w:type="character" w:styleId="UnresolvedMention">
    <w:name w:val="Unresolved Mention"/>
    <w:basedOn w:val="DefaultParagraphFont"/>
    <w:uiPriority w:val="99"/>
    <w:semiHidden/>
    <w:unhideWhenUsed/>
    <w:rsid w:val="00084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gettingout.com" TargetMode="External"/><Relationship Id="rId1" Type="http://schemas.openxmlformats.org/officeDocument/2006/relationships/hyperlink" Target="http://www.connectnetwork.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forms\OS%20Process\Orders%20TOC%20by%20Paragrap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317F197AF496468778D3AE75DF6235" ma:contentTypeVersion="5" ma:contentTypeDescription="Create a new document." ma:contentTypeScope="" ma:versionID="d3248bb1de370b191616365cae0900e4">
  <xsd:schema xmlns:xsd="http://www.w3.org/2001/XMLSchema" xmlns:xs="http://www.w3.org/2001/XMLSchema" xmlns:p="http://schemas.microsoft.com/office/2006/metadata/properties" xmlns:ns3="794fa9d4-8068-4c99-b108-795ab3339e93" xmlns:ns4="40be8c06-eb4c-4be5-b4ce-f259999f4503" targetNamespace="http://schemas.microsoft.com/office/2006/metadata/properties" ma:root="true" ma:fieldsID="2399872eba999e42d2c9826d95023c40" ns3:_="" ns4:_="">
    <xsd:import namespace="794fa9d4-8068-4c99-b108-795ab3339e93"/>
    <xsd:import namespace="40be8c06-eb4c-4be5-b4ce-f259999f45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fa9d4-8068-4c99-b108-795ab3339e9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be8c06-eb4c-4be5-b4ce-f259999f450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66A775-A60F-43BA-8F70-15BC8F09ED46}">
  <ds:schemaRefs>
    <ds:schemaRef ds:uri="http://schemas.microsoft.com/sharepoint/v3/contenttype/forms"/>
  </ds:schemaRefs>
</ds:datastoreItem>
</file>

<file path=customXml/itemProps2.xml><?xml version="1.0" encoding="utf-8"?>
<ds:datastoreItem xmlns:ds="http://schemas.openxmlformats.org/officeDocument/2006/customXml" ds:itemID="{6917A634-B4F6-40FE-9C1D-739A45093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fa9d4-8068-4c99-b108-795ab3339e93"/>
    <ds:schemaRef ds:uri="40be8c06-eb4c-4be5-b4ce-f259999f4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4DD763-C5C7-0D40-87D3-210B4AA328EA}">
  <ds:schemaRefs>
    <ds:schemaRef ds:uri="http://schemas.openxmlformats.org/officeDocument/2006/bibliography"/>
  </ds:schemaRefs>
</ds:datastoreItem>
</file>

<file path=customXml/itemProps4.xml><?xml version="1.0" encoding="utf-8"?>
<ds:datastoreItem xmlns:ds="http://schemas.openxmlformats.org/officeDocument/2006/customXml" ds:itemID="{9968BE3B-F7E7-4CA2-92D7-49A4C56658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Orders TOC by Paragraph</Template>
  <TotalTime>5</TotalTime>
  <Pages>13</Pages>
  <Words>5263</Words>
  <Characters>30001</Characters>
  <Application>Microsoft Office Word</Application>
  <DocSecurity>4</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35194</CharactersWithSpaces>
  <SharedDoc>false</SharedDoc>
  <HLinks>
    <vt:vector size="18" baseType="variant">
      <vt:variant>
        <vt:i4>2949178</vt:i4>
      </vt:variant>
      <vt:variant>
        <vt:i4>3</vt:i4>
      </vt:variant>
      <vt:variant>
        <vt:i4>0</vt:i4>
      </vt:variant>
      <vt:variant>
        <vt:i4>5</vt:i4>
      </vt:variant>
      <vt:variant>
        <vt:lpwstr>http://www.gettingout.com/</vt:lpwstr>
      </vt:variant>
      <vt:variant>
        <vt:lpwstr/>
      </vt:variant>
      <vt:variant>
        <vt:i4>3735586</vt:i4>
      </vt:variant>
      <vt:variant>
        <vt:i4>0</vt:i4>
      </vt:variant>
      <vt:variant>
        <vt:i4>0</vt:i4>
      </vt:variant>
      <vt:variant>
        <vt:i4>5</vt:i4>
      </vt:variant>
      <vt:variant>
        <vt:lpwstr>http://www.connectnetwork.com/</vt:lpwstr>
      </vt:variant>
      <vt:variant>
        <vt:lpwstr/>
      </vt:variant>
      <vt:variant>
        <vt:i4>3211371</vt:i4>
      </vt:variant>
      <vt:variant>
        <vt:i4>0</vt:i4>
      </vt:variant>
      <vt:variant>
        <vt:i4>0</vt:i4>
      </vt:variant>
      <vt:variant>
        <vt:i4>5</vt:i4>
      </vt:variant>
      <vt:variant>
        <vt:lpwstr>https://www.fcc.gov/edocs/search-results?t=quick&amp;dockets=12-375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Sanquist</dc:creator>
  <cp:keywords/>
  <dc:description/>
  <cp:lastModifiedBy>Nicole Ongele</cp:lastModifiedBy>
  <cp:revision>2</cp:revision>
  <cp:lastPrinted>2021-12-01T22:14:00Z</cp:lastPrinted>
  <dcterms:created xsi:type="dcterms:W3CDTF">2021-12-21T20:33:00Z</dcterms:created>
  <dcterms:modified xsi:type="dcterms:W3CDTF">2021-12-21T20:33:00Z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0x010100D4317F197AF496468778D3AE75DF6235</vt:lpwstr>
  </property>
</Properties>
</file>