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0A1A" w:rsidR="00C40A1A" w:rsidP="00C40A1A" w:rsidRDefault="00C40A1A">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sidRPr="00C40A1A">
        <w:rPr>
          <w:rFonts w:ascii="Times New Roman" w:hAnsi="Times New Roman"/>
          <w:szCs w:val="24"/>
        </w:rPr>
        <w:t>SUPPORTING STATEMENT</w:t>
      </w:r>
    </w:p>
    <w:p w:rsidRPr="00B37694" w:rsidR="00B37694" w:rsidP="00B37694" w:rsidRDefault="00B37694">
      <w:pPr>
        <w:widowControl/>
        <w:tabs>
          <w:tab w:val="center" w:pos="5112"/>
        </w:tabs>
        <w:jc w:val="center"/>
        <w:rPr>
          <w:rFonts w:ascii="Times New Roman" w:hAnsi="Times New Roman"/>
        </w:rPr>
      </w:pPr>
      <w:r w:rsidRPr="00B37694">
        <w:rPr>
          <w:rFonts w:ascii="Times New Roman" w:hAnsi="Times New Roman"/>
        </w:rPr>
        <w:t>RECORDKEEPING AND CONFIRMATION REQUIREMENTS</w:t>
      </w:r>
    </w:p>
    <w:p w:rsidRPr="00B37694" w:rsidR="00B37694" w:rsidP="00B37694" w:rsidRDefault="00B37694">
      <w:pPr>
        <w:widowControl/>
        <w:tabs>
          <w:tab w:val="center" w:pos="5112"/>
        </w:tabs>
        <w:jc w:val="center"/>
        <w:rPr>
          <w:rFonts w:ascii="Times New Roman" w:hAnsi="Times New Roman"/>
        </w:rPr>
      </w:pPr>
      <w:r w:rsidRPr="00B37694">
        <w:rPr>
          <w:rFonts w:ascii="Times New Roman" w:hAnsi="Times New Roman"/>
        </w:rPr>
        <w:t>FOR SECURITIES TRANSACTIONS</w:t>
      </w:r>
    </w:p>
    <w:p w:rsidRPr="00C40A1A" w:rsidR="00C40A1A" w:rsidP="00915517" w:rsidRDefault="00915517">
      <w:pPr>
        <w:tabs>
          <w:tab w:val="left" w:pos="0"/>
          <w:tab w:val="right" w:pos="2020"/>
        </w:tabs>
        <w:spacing w:line="360" w:lineRule="auto"/>
        <w:jc w:val="center"/>
        <w:rPr>
          <w:rFonts w:ascii="Times New Roman" w:hAnsi="Times New Roman"/>
          <w:szCs w:val="24"/>
        </w:rPr>
      </w:pPr>
      <w:r w:rsidRPr="00C40A1A">
        <w:rPr>
          <w:rFonts w:ascii="Times New Roman" w:hAnsi="Times New Roman"/>
          <w:szCs w:val="24"/>
        </w:rPr>
        <w:t xml:space="preserve"> </w:t>
      </w:r>
      <w:r w:rsidRPr="00C40A1A" w:rsidR="00C40A1A">
        <w:rPr>
          <w:rFonts w:ascii="Times New Roman" w:hAnsi="Times New Roman"/>
          <w:szCs w:val="24"/>
        </w:rPr>
        <w:t>(OMB Control No. 3064-0</w:t>
      </w:r>
      <w:r>
        <w:rPr>
          <w:rFonts w:ascii="Times New Roman" w:hAnsi="Times New Roman"/>
          <w:szCs w:val="24"/>
        </w:rPr>
        <w:t>0</w:t>
      </w:r>
      <w:r w:rsidR="00B37694">
        <w:rPr>
          <w:rFonts w:ascii="Times New Roman" w:hAnsi="Times New Roman"/>
          <w:szCs w:val="24"/>
        </w:rPr>
        <w:t>28</w:t>
      </w:r>
      <w:r w:rsidRPr="00C40A1A" w:rsidR="00C40A1A">
        <w:rPr>
          <w:rFonts w:ascii="Times New Roman" w:hAnsi="Times New Roman"/>
          <w:szCs w:val="24"/>
        </w:rPr>
        <w:t>)</w:t>
      </w: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r>
        <w:rPr>
          <w:rFonts w:ascii="Times New Roman" w:hAnsi="Times New Roman"/>
          <w:u w:val="single"/>
        </w:rPr>
        <w:t>INTRODUCTION</w:t>
      </w:r>
    </w:p>
    <w:p w:rsidR="00D07D24" w:rsidP="00583579" w:rsidRDefault="00D07D24">
      <w:pPr>
        <w:widowControl/>
        <w:autoSpaceDE w:val="0"/>
        <w:autoSpaceDN w:val="0"/>
        <w:adjustRightInd w:val="0"/>
        <w:rPr>
          <w:rFonts w:ascii="Times New Roman" w:hAnsi="Times New Roman"/>
          <w:szCs w:val="24"/>
        </w:rPr>
      </w:pPr>
    </w:p>
    <w:p w:rsidR="004A75C2" w:rsidP="00C40A1A" w:rsidRDefault="00C40A1A">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The FDIC is seeking OMB approval to renew, </w:t>
      </w:r>
      <w:r w:rsidR="00161F22">
        <w:rPr>
          <w:rFonts w:ascii="Times New Roman" w:hAnsi="Times New Roman"/>
          <w:szCs w:val="24"/>
        </w:rPr>
        <w:t>with</w:t>
      </w:r>
      <w:r>
        <w:rPr>
          <w:rFonts w:ascii="Times New Roman" w:hAnsi="Times New Roman"/>
          <w:szCs w:val="24"/>
        </w:rPr>
        <w:t xml:space="preserve"> revision, its information collection entitled, “</w:t>
      </w:r>
      <w:r w:rsidR="004A75C2">
        <w:rPr>
          <w:rFonts w:ascii="Times New Roman" w:hAnsi="Times New Roman"/>
          <w:szCs w:val="24"/>
        </w:rPr>
        <w:t>Recordkeeping and Confirmation Requirements for Securities Transactions</w:t>
      </w:r>
      <w:r>
        <w:rPr>
          <w:rFonts w:ascii="Times New Roman" w:hAnsi="Times New Roman"/>
          <w:szCs w:val="24"/>
        </w:rPr>
        <w:t>,” OMB N0. 3064-0</w:t>
      </w:r>
      <w:r w:rsidR="00915517">
        <w:rPr>
          <w:rFonts w:ascii="Times New Roman" w:hAnsi="Times New Roman"/>
          <w:szCs w:val="24"/>
        </w:rPr>
        <w:t>0</w:t>
      </w:r>
      <w:r w:rsidR="004A75C2">
        <w:rPr>
          <w:rFonts w:ascii="Times New Roman" w:hAnsi="Times New Roman"/>
          <w:szCs w:val="24"/>
        </w:rPr>
        <w:t>28</w:t>
      </w:r>
      <w:r>
        <w:rPr>
          <w:rFonts w:ascii="Times New Roman" w:hAnsi="Times New Roman"/>
          <w:szCs w:val="24"/>
        </w:rPr>
        <w:t xml:space="preserve">, </w:t>
      </w:r>
      <w:r w:rsidRPr="00725F92">
        <w:rPr>
          <w:rFonts w:ascii="Times New Roman" w:hAnsi="Times New Roman"/>
          <w:szCs w:val="24"/>
        </w:rPr>
        <w:t xml:space="preserve">which expires </w:t>
      </w:r>
      <w:r w:rsidRPr="00CC7B69">
        <w:rPr>
          <w:rFonts w:ascii="Times New Roman" w:hAnsi="Times New Roman"/>
          <w:spacing w:val="-3"/>
        </w:rPr>
        <w:t xml:space="preserve">on </w:t>
      </w:r>
      <w:r w:rsidR="00915517">
        <w:rPr>
          <w:rFonts w:ascii="Times New Roman" w:hAnsi="Times New Roman"/>
          <w:spacing w:val="-3"/>
        </w:rPr>
        <w:t>November 30</w:t>
      </w:r>
      <w:r>
        <w:rPr>
          <w:rFonts w:ascii="Times New Roman" w:hAnsi="Times New Roman"/>
          <w:spacing w:val="-3"/>
        </w:rPr>
        <w:t xml:space="preserve">, 2021.  </w:t>
      </w:r>
      <w:r w:rsidRPr="007E526E">
        <w:rPr>
          <w:rFonts w:ascii="Times New Roman" w:hAnsi="Times New Roman"/>
        </w:rPr>
        <w:t>There</w:t>
      </w:r>
      <w:r w:rsidRPr="007E526E">
        <w:rPr>
          <w:rFonts w:ascii="Times New Roman" w:hAnsi="Times New Roman"/>
          <w:spacing w:val="-6"/>
        </w:rPr>
        <w:t xml:space="preserve"> </w:t>
      </w:r>
      <w:r w:rsidRPr="007E526E">
        <w:rPr>
          <w:rFonts w:ascii="Times New Roman" w:hAnsi="Times New Roman"/>
        </w:rPr>
        <w:t>is no change</w:t>
      </w:r>
      <w:r w:rsidRPr="007E526E">
        <w:rPr>
          <w:rFonts w:ascii="Times New Roman" w:hAnsi="Times New Roman"/>
          <w:spacing w:val="-7"/>
        </w:rPr>
        <w:t xml:space="preserve"> </w:t>
      </w:r>
      <w:r w:rsidRPr="007E526E">
        <w:rPr>
          <w:rFonts w:ascii="Times New Roman" w:hAnsi="Times New Roman"/>
        </w:rPr>
        <w:t>in</w:t>
      </w:r>
      <w:r w:rsidRPr="007E526E">
        <w:rPr>
          <w:rFonts w:ascii="Times New Roman" w:hAnsi="Times New Roman"/>
          <w:spacing w:val="-2"/>
        </w:rPr>
        <w:t xml:space="preserve"> </w:t>
      </w:r>
      <w:r w:rsidRPr="007E526E">
        <w:rPr>
          <w:rFonts w:ascii="Times New Roman" w:hAnsi="Times New Roman"/>
        </w:rPr>
        <w:t>the</w:t>
      </w:r>
      <w:r w:rsidRPr="007E526E">
        <w:rPr>
          <w:rFonts w:ascii="Times New Roman" w:hAnsi="Times New Roman"/>
          <w:spacing w:val="-3"/>
        </w:rPr>
        <w:t xml:space="preserve"> </w:t>
      </w:r>
      <w:r w:rsidRPr="007E526E">
        <w:rPr>
          <w:rFonts w:ascii="Times New Roman" w:hAnsi="Times New Roman"/>
          <w:spacing w:val="-2"/>
        </w:rPr>
        <w:t>m</w:t>
      </w:r>
      <w:r w:rsidRPr="007E526E">
        <w:rPr>
          <w:rFonts w:ascii="Times New Roman" w:hAnsi="Times New Roman"/>
        </w:rPr>
        <w:t>ethod</w:t>
      </w:r>
      <w:r w:rsidRPr="007E526E">
        <w:rPr>
          <w:rFonts w:ascii="Times New Roman" w:hAnsi="Times New Roman"/>
          <w:spacing w:val="-7"/>
        </w:rPr>
        <w:t xml:space="preserve"> </w:t>
      </w:r>
      <w:r w:rsidRPr="007E526E">
        <w:rPr>
          <w:rFonts w:ascii="Times New Roman" w:hAnsi="Times New Roman"/>
        </w:rPr>
        <w:t>or substance</w:t>
      </w:r>
      <w:r w:rsidRPr="007E526E">
        <w:rPr>
          <w:rFonts w:ascii="Times New Roman" w:hAnsi="Times New Roman"/>
          <w:spacing w:val="-9"/>
        </w:rPr>
        <w:t xml:space="preserve"> </w:t>
      </w:r>
      <w:r w:rsidRPr="007E526E">
        <w:rPr>
          <w:rFonts w:ascii="Times New Roman" w:hAnsi="Times New Roman"/>
        </w:rPr>
        <w:t>of the</w:t>
      </w:r>
      <w:r w:rsidRPr="007E526E">
        <w:rPr>
          <w:rFonts w:ascii="Times New Roman" w:hAnsi="Times New Roman"/>
          <w:spacing w:val="-3"/>
        </w:rPr>
        <w:t xml:space="preserve"> </w:t>
      </w:r>
      <w:r w:rsidRPr="007E526E">
        <w:rPr>
          <w:rFonts w:ascii="Times New Roman" w:hAnsi="Times New Roman"/>
        </w:rPr>
        <w:t>collection.</w:t>
      </w:r>
      <w:r>
        <w:rPr>
          <w:rFonts w:ascii="Times New Roman" w:hAnsi="Times New Roman"/>
          <w:szCs w:val="24"/>
        </w:rPr>
        <w:t xml:space="preserve"> </w:t>
      </w:r>
    </w:p>
    <w:p w:rsidR="004A75C2" w:rsidP="00C40A1A" w:rsidRDefault="004A75C2">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Pr="00C40A1A" w:rsidR="00B10980" w:rsidP="00C40A1A" w:rsidRDefault="004A75C2">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sidRPr="004A75C2">
        <w:rPr>
          <w:rFonts w:ascii="Times New Roman" w:hAnsi="Times New Roman"/>
          <w:szCs w:val="24"/>
        </w:rPr>
        <w:t>The purpose of the regulation is to ensure that purchasers of securities in transactions effected by insured state nonmember banks are provided with adequate information concerning such transactions.  The regulation is also designed to ensure that insured state nonmember banks maintain adequate records and controls with respect to securities transactions</w:t>
      </w:r>
    </w:p>
    <w:p w:rsidR="00B10980" w:rsidP="00583579" w:rsidRDefault="00B10980">
      <w:pPr>
        <w:widowControl/>
        <w:autoSpaceDE w:val="0"/>
        <w:autoSpaceDN w:val="0"/>
        <w:adjustRightInd w:val="0"/>
        <w:rPr>
          <w:rFonts w:ascii="Times New Roman" w:hAnsi="Times New Roman"/>
        </w:rPr>
      </w:pPr>
    </w:p>
    <w:p w:rsidR="00F146F1" w:rsidP="0024672A" w:rsidRDefault="00F146F1">
      <w:pPr>
        <w:widowControl/>
        <w:numPr>
          <w:ilvl w:val="0"/>
          <w:numId w:val="2"/>
        </w:numPr>
        <w:rPr>
          <w:rFonts w:ascii="Times New Roman" w:hAnsi="Times New Roman"/>
        </w:rPr>
      </w:pPr>
      <w:r>
        <w:rPr>
          <w:rFonts w:ascii="Times New Roman" w:hAnsi="Times New Roman"/>
          <w:u w:val="single"/>
        </w:rPr>
        <w:t>JUSTIFICATION</w:t>
      </w:r>
    </w:p>
    <w:p w:rsidR="00F146F1" w:rsidRDefault="00F146F1">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C56C82">
        <w:rPr>
          <w:rFonts w:ascii="Times New Roman" w:hAnsi="Times New Roman"/>
          <w:bCs/>
          <w:iCs/>
          <w:u w:val="single"/>
        </w:rPr>
        <w:t>Circumstances tha</w:t>
      </w:r>
      <w:r>
        <w:rPr>
          <w:rFonts w:ascii="Times New Roman" w:hAnsi="Times New Roman"/>
          <w:bCs/>
          <w:iCs/>
          <w:u w:val="single"/>
        </w:rPr>
        <w:t>t make the collection necessary:</w:t>
      </w:r>
    </w:p>
    <w:p w:rsidR="00F146F1" w:rsidRDefault="00F146F1">
      <w:pPr>
        <w:widowControl/>
        <w:rPr>
          <w:rFonts w:ascii="Times New Roman" w:hAnsi="Times New Roman"/>
        </w:rPr>
      </w:pPr>
    </w:p>
    <w:p w:rsidRPr="004A75C2" w:rsidR="004A75C2" w:rsidP="004A75C2" w:rsidRDefault="004A75C2">
      <w:pPr>
        <w:widowControl/>
        <w:ind w:left="1440"/>
        <w:rPr>
          <w:rFonts w:ascii="Times New Roman" w:hAnsi="Times New Roman"/>
        </w:rPr>
      </w:pPr>
      <w:r w:rsidRPr="004A75C2">
        <w:rPr>
          <w:rFonts w:ascii="Times New Roman" w:hAnsi="Times New Roman"/>
        </w:rPr>
        <w:t xml:space="preserve">On June 30, 1977, the Securities and Exchange Commission (SEC) published its final report on bank securities activities pursuant to its mandate under section </w:t>
      </w:r>
      <w:proofErr w:type="gramStart"/>
      <w:r w:rsidRPr="004A75C2">
        <w:rPr>
          <w:rFonts w:ascii="Times New Roman" w:hAnsi="Times New Roman"/>
        </w:rPr>
        <w:t>11A(</w:t>
      </w:r>
      <w:proofErr w:type="gramEnd"/>
      <w:r w:rsidRPr="004A75C2">
        <w:rPr>
          <w:rFonts w:ascii="Times New Roman" w:hAnsi="Times New Roman"/>
        </w:rPr>
        <w:t>e) of the Securities Exchange Act of 1934.  The final report included a recommendation to Congress that the Federal banking agencies be mandated to issue and enforce specific rules and regulations governing the conduct of banks in effecting transactions in securities for the accounts of others.  This recommendation required that such rules and regulations cover all aspects of this activity including personnel competency standards, recordkeeping requirements, and confirmation requirements.</w:t>
      </w:r>
    </w:p>
    <w:p w:rsidRPr="004A75C2" w:rsidR="004A75C2" w:rsidP="004A75C2" w:rsidRDefault="004A75C2">
      <w:pPr>
        <w:widowControl/>
        <w:ind w:left="1440"/>
        <w:rPr>
          <w:rFonts w:ascii="Times New Roman" w:hAnsi="Times New Roman"/>
        </w:rPr>
      </w:pPr>
    </w:p>
    <w:p w:rsidRPr="00FA4D5D" w:rsidR="00FA4D5D" w:rsidP="004A75C2" w:rsidRDefault="004A75C2">
      <w:pPr>
        <w:widowControl/>
        <w:ind w:left="1440"/>
        <w:rPr>
          <w:rFonts w:ascii="Times New Roman" w:hAnsi="Times New Roman"/>
        </w:rPr>
      </w:pPr>
      <w:r w:rsidRPr="004A75C2">
        <w:rPr>
          <w:rFonts w:ascii="Times New Roman" w:hAnsi="Times New Roman"/>
        </w:rPr>
        <w:t>The FDIC developed its regulation 12 C.F.R. Part 344 to be responsive to the recommendations of the SEC final report.  The purpose of the regulation is to ensure that purchasers of securities in transactions effected by an insured state nonmember bank are provided adequate information concerning the transactions.  The regulation is also designed to ensure that insured state nonmember banks maintain adequate records and controls with respect to these securities transactions</w:t>
      </w:r>
      <w:r w:rsidRPr="00FA4D5D" w:rsidR="00FA4D5D">
        <w:rPr>
          <w:rFonts w:ascii="Times New Roman" w:hAnsi="Times New Roman"/>
        </w:rPr>
        <w:t xml:space="preserve">.     </w:t>
      </w:r>
    </w:p>
    <w:p w:rsidR="0024672A" w:rsidP="00FA4D5D" w:rsidRDefault="0024672A">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Use of information collected:</w:t>
      </w:r>
    </w:p>
    <w:p w:rsidR="00F146F1" w:rsidRDefault="00F146F1">
      <w:pPr>
        <w:widowControl/>
        <w:rPr>
          <w:rFonts w:ascii="Times New Roman" w:hAnsi="Times New Roman"/>
        </w:rPr>
      </w:pPr>
    </w:p>
    <w:p w:rsidRPr="004A75C2" w:rsidR="004A75C2" w:rsidP="004A75C2" w:rsidRDefault="004A75C2">
      <w:pPr>
        <w:widowControl/>
        <w:ind w:left="1440"/>
        <w:rPr>
          <w:rFonts w:ascii="Times New Roman" w:hAnsi="Times New Roman"/>
        </w:rPr>
      </w:pPr>
      <w:r w:rsidRPr="004A75C2">
        <w:rPr>
          <w:rFonts w:ascii="Times New Roman" w:hAnsi="Times New Roman"/>
        </w:rPr>
        <w:t xml:space="preserve">An increasing number of banks, both large and small, located in both urban and rural areas, are offering their customers the ability to purchase and sell securities through the bank.  This usually takes the form of a “discount brokerage” service which is advertised by the bank and which is conducted through the facilities of a </w:t>
      </w:r>
      <w:r w:rsidRPr="004A75C2">
        <w:rPr>
          <w:rFonts w:ascii="Times New Roman" w:hAnsi="Times New Roman"/>
        </w:rPr>
        <w:lastRenderedPageBreak/>
        <w:t xml:space="preserve">registered broker-dealer.  </w:t>
      </w:r>
      <w:r w:rsidRPr="00C2127E">
        <w:rPr>
          <w:rFonts w:ascii="Times New Roman" w:hAnsi="Times New Roman"/>
        </w:rPr>
        <w:t xml:space="preserve">It is estimated that </w:t>
      </w:r>
      <w:r w:rsidR="00C2127E">
        <w:rPr>
          <w:rFonts w:ascii="Times New Roman" w:hAnsi="Times New Roman"/>
        </w:rPr>
        <w:t>691</w:t>
      </w:r>
      <w:r w:rsidRPr="00C2127E">
        <w:rPr>
          <w:rFonts w:ascii="Times New Roman" w:hAnsi="Times New Roman"/>
        </w:rPr>
        <w:t xml:space="preserve"> FDIC</w:t>
      </w:r>
      <w:r w:rsidRPr="00C2127E">
        <w:rPr>
          <w:rFonts w:ascii="Times New Roman" w:hAnsi="Times New Roman"/>
        </w:rPr>
        <w:noBreakHyphen/>
        <w:t>supervised banks</w:t>
      </w:r>
      <w:r w:rsidRPr="004A75C2">
        <w:rPr>
          <w:rFonts w:ascii="Times New Roman" w:hAnsi="Times New Roman"/>
        </w:rPr>
        <w:t xml:space="preserve"> currently have some volume of income from securities brokerage activity.  </w:t>
      </w:r>
    </w:p>
    <w:p w:rsidRPr="004A75C2" w:rsidR="004A75C2" w:rsidP="004A75C2" w:rsidRDefault="004A75C2">
      <w:pPr>
        <w:widowControl/>
        <w:ind w:left="1440"/>
        <w:rPr>
          <w:rFonts w:ascii="Times New Roman" w:hAnsi="Times New Roman"/>
        </w:rPr>
      </w:pPr>
    </w:p>
    <w:p w:rsidRPr="004A75C2" w:rsidR="004A75C2" w:rsidP="004A75C2" w:rsidRDefault="004A75C2">
      <w:pPr>
        <w:widowControl/>
        <w:ind w:left="1440"/>
        <w:rPr>
          <w:rFonts w:ascii="Times New Roman" w:hAnsi="Times New Roman"/>
        </w:rPr>
      </w:pPr>
      <w:r w:rsidRPr="004A75C2">
        <w:rPr>
          <w:rFonts w:ascii="Times New Roman" w:hAnsi="Times New Roman"/>
        </w:rPr>
        <w:t xml:space="preserve">Trust departments of banks, already involved in investments for beneficiaries of various types of trust accounts, are also involved in the purchase and sale of securities.  </w:t>
      </w:r>
    </w:p>
    <w:p w:rsidRPr="004A75C2" w:rsidR="004A75C2" w:rsidP="004A75C2" w:rsidRDefault="004A75C2">
      <w:pPr>
        <w:widowControl/>
        <w:ind w:left="1440"/>
        <w:rPr>
          <w:rFonts w:ascii="Times New Roman" w:hAnsi="Times New Roman"/>
        </w:rPr>
      </w:pPr>
    </w:p>
    <w:p w:rsidRPr="004A75C2" w:rsidR="004A75C2" w:rsidP="004A75C2" w:rsidRDefault="004A75C2">
      <w:pPr>
        <w:widowControl/>
        <w:ind w:left="1440"/>
        <w:rPr>
          <w:rFonts w:ascii="Times New Roman" w:hAnsi="Times New Roman"/>
        </w:rPr>
      </w:pPr>
      <w:r w:rsidRPr="004A75C2">
        <w:rPr>
          <w:rFonts w:ascii="Times New Roman" w:hAnsi="Times New Roman"/>
        </w:rPr>
        <w:t>In addition, banks have for many years offered their customers -- as an accommodation -- the ability to redeem government bonds and purchase and sell securities.  These accommodation services have typically been offered to “small” customers and to those in areas where no securities brokers were located.  Usually the service was not advertised and the banks often charged no separate fee.</w:t>
      </w:r>
    </w:p>
    <w:p w:rsidRPr="004A75C2" w:rsidR="004A75C2" w:rsidP="004A75C2" w:rsidRDefault="004A75C2">
      <w:pPr>
        <w:widowControl/>
        <w:ind w:left="1440"/>
        <w:rPr>
          <w:rFonts w:ascii="Times New Roman" w:hAnsi="Times New Roman"/>
        </w:rPr>
      </w:pPr>
    </w:p>
    <w:p w:rsidR="00F146F1" w:rsidP="004A75C2" w:rsidRDefault="004A75C2">
      <w:pPr>
        <w:widowControl/>
        <w:ind w:left="1440"/>
        <w:rPr>
          <w:rFonts w:ascii="Times New Roman" w:hAnsi="Times New Roman"/>
        </w:rPr>
      </w:pPr>
      <w:r w:rsidRPr="004A75C2">
        <w:rPr>
          <w:rFonts w:ascii="Times New Roman" w:hAnsi="Times New Roman"/>
        </w:rPr>
        <w:t>The FDIC requires insured state nonmember banks to keep certain types of records and provide customers with written confirmations for securities transactions.  The past growth of these securities transaction activities, coupled with improved and standardized controls and customer information, was deemed necessary to ensure that the public received the highest possible quality of service and protection</w:t>
      </w:r>
      <w:r>
        <w:rPr>
          <w:rFonts w:ascii="Times New Roman" w:hAnsi="Times New Roman"/>
        </w:rPr>
        <w:t>.</w:t>
      </w:r>
    </w:p>
    <w:p w:rsidR="00FA4D5D" w:rsidP="00FA4D5D" w:rsidRDefault="00FA4D5D">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Consideration of the use of improved information technology:</w:t>
      </w:r>
    </w:p>
    <w:p w:rsidR="00F146F1" w:rsidRDefault="00F146F1">
      <w:pPr>
        <w:widowControl/>
        <w:rPr>
          <w:rFonts w:ascii="Times New Roman" w:hAnsi="Times New Roman"/>
        </w:rPr>
      </w:pPr>
    </w:p>
    <w:p w:rsidR="00F146F1" w:rsidRDefault="004A75C2">
      <w:pPr>
        <w:widowControl/>
        <w:ind w:left="1440"/>
        <w:rPr>
          <w:rFonts w:ascii="Times New Roman" w:hAnsi="Times New Roman"/>
        </w:rPr>
      </w:pPr>
      <w:r w:rsidRPr="004A75C2">
        <w:rPr>
          <w:rFonts w:ascii="Times New Roman" w:hAnsi="Times New Roman"/>
        </w:rPr>
        <w:t>Banks are free to use whatever technological methods are least burdensome for maintaining the required records and for sending the appropriate confirmation notices to their customers</w:t>
      </w:r>
      <w:r w:rsidRPr="00FA4D5D" w:rsidR="00FA4D5D">
        <w:rPr>
          <w:rFonts w:ascii="Times New Roman" w:hAnsi="Times New Roman"/>
        </w:rPr>
        <w:t>.</w:t>
      </w:r>
      <w:r w:rsidR="00F146F1">
        <w:rPr>
          <w:rFonts w:ascii="Times New Roman" w:hAnsi="Times New Roman"/>
        </w:rPr>
        <w:t xml:space="preserve">  </w:t>
      </w:r>
    </w:p>
    <w:p w:rsidR="00F146F1" w:rsidRDefault="00F146F1">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Efforts to identify duplication:</w:t>
      </w:r>
    </w:p>
    <w:p w:rsidR="00F146F1" w:rsidRDefault="00F146F1">
      <w:pPr>
        <w:widowControl/>
        <w:rPr>
          <w:rFonts w:ascii="Times New Roman" w:hAnsi="Times New Roman"/>
        </w:rPr>
      </w:pPr>
    </w:p>
    <w:p w:rsidR="00F146F1" w:rsidP="00FA4D5D" w:rsidRDefault="004A75C2">
      <w:pPr>
        <w:widowControl/>
        <w:ind w:left="1440"/>
        <w:rPr>
          <w:rFonts w:ascii="Times New Roman" w:hAnsi="Times New Roman"/>
        </w:rPr>
      </w:pPr>
      <w:r w:rsidRPr="004A75C2">
        <w:rPr>
          <w:rFonts w:ascii="Times New Roman" w:hAnsi="Times New Roman"/>
        </w:rPr>
        <w:t>Every effort has been made to avoid duplication.  There is no required format for maintaining the required records.  If the existing records of the bank contain the required information in an accurate, verifiable form, the information need not be duplicated.  The recordkeeping and confirmation requirements contained in 12 C.F.R. Part 344 do not duplicate requirements from any other source.  Insured state nonmember banks which effect securities transactions as broker-dealers registered under the Securities Exchange Act of 1934, or which conduct their securities activities through operating subsidiaries registered as broker-dealers, are regulated by the SEC and exempt from the requirements of 12 C.F.R. Part 344.  As noted in item 1, these requirements are (in-part) the result of recommendations made by the SEC in 1977.  The OCC and the Board impose similar requirements on their supervised institutions</w:t>
      </w:r>
      <w:r w:rsidRPr="00FA4D5D" w:rsidR="00FA4D5D">
        <w:rPr>
          <w:rFonts w:ascii="Times New Roman" w:hAnsi="Times New Roman"/>
        </w:rPr>
        <w:t>.</w:t>
      </w:r>
    </w:p>
    <w:p w:rsidR="00ED4700" w:rsidRDefault="00ED4700">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Methods used to minimize burden if the collection has a significant impact on a substantial number of small entities:</w:t>
      </w:r>
    </w:p>
    <w:p w:rsidR="00F146F1" w:rsidRDefault="00F146F1">
      <w:pPr>
        <w:widowControl/>
        <w:rPr>
          <w:rFonts w:ascii="Times New Roman" w:hAnsi="Times New Roman"/>
        </w:rPr>
      </w:pPr>
    </w:p>
    <w:p w:rsidRPr="004A75C2" w:rsidR="004A75C2" w:rsidP="004A75C2" w:rsidRDefault="004A75C2">
      <w:pPr>
        <w:ind w:left="1440"/>
        <w:rPr>
          <w:rFonts w:ascii="Times New Roman" w:hAnsi="Times New Roman"/>
          <w:color w:val="1F497D"/>
        </w:rPr>
      </w:pPr>
      <w:r w:rsidRPr="004A75C2">
        <w:rPr>
          <w:rFonts w:ascii="Times New Roman" w:hAnsi="Times New Roman"/>
        </w:rPr>
        <w:t>This collection does not have a significant impact on a substantial number of small entities</w:t>
      </w:r>
      <w:r w:rsidRPr="00C2127E">
        <w:rPr>
          <w:rFonts w:ascii="Times New Roman" w:hAnsi="Times New Roman"/>
        </w:rPr>
        <w:t xml:space="preserve">.  In particular, </w:t>
      </w:r>
      <w:r w:rsidRPr="00C2127E" w:rsidR="00DF6607">
        <w:rPr>
          <w:rFonts w:ascii="Times New Roman" w:hAnsi="Times New Roman"/>
          <w:szCs w:val="24"/>
        </w:rPr>
        <w:t xml:space="preserve">691 </w:t>
      </w:r>
      <w:r w:rsidRPr="00C2127E">
        <w:rPr>
          <w:rFonts w:ascii="Times New Roman" w:hAnsi="Times New Roman"/>
          <w:szCs w:val="24"/>
        </w:rPr>
        <w:t>FDIC</w:t>
      </w:r>
      <w:r w:rsidRPr="00C2127E">
        <w:rPr>
          <w:rFonts w:ascii="Times New Roman" w:hAnsi="Times New Roman"/>
          <w:szCs w:val="24"/>
        </w:rPr>
        <w:noBreakHyphen/>
        <w:t>supervised banks currently have some volume of income from securities brokerage activity</w:t>
      </w:r>
      <w:r w:rsidRPr="004A75C2">
        <w:rPr>
          <w:rFonts w:ascii="Times New Roman" w:hAnsi="Times New Roman"/>
          <w:szCs w:val="24"/>
        </w:rPr>
        <w:t xml:space="preserve">. </w:t>
      </w:r>
      <w:r w:rsidRPr="00DF6607" w:rsidR="00DF6607">
        <w:rPr>
          <w:rFonts w:ascii="Times New Roman" w:hAnsi="Times New Roman"/>
          <w:szCs w:val="24"/>
        </w:rPr>
        <w:t>383</w:t>
      </w:r>
      <w:r w:rsidRPr="004A75C2">
        <w:rPr>
          <w:rFonts w:ascii="Times New Roman" w:hAnsi="Times New Roman"/>
          <w:szCs w:val="24"/>
        </w:rPr>
        <w:t xml:space="preserve"> of these</w:t>
      </w:r>
      <w:r w:rsidRPr="004A75C2">
        <w:rPr>
          <w:rFonts w:ascii="Times New Roman" w:hAnsi="Times New Roman"/>
        </w:rPr>
        <w:t xml:space="preserve"> FDIC-</w:t>
      </w:r>
      <w:r w:rsidRPr="004A75C2">
        <w:rPr>
          <w:rFonts w:ascii="Times New Roman" w:hAnsi="Times New Roman"/>
        </w:rPr>
        <w:lastRenderedPageBreak/>
        <w:t>supervised institutions have total assets of less than $550 million therefore meeting the Small Business Administration’s definition of a “small entity.”</w:t>
      </w:r>
    </w:p>
    <w:p w:rsidRPr="004A75C2" w:rsidR="004A75C2" w:rsidP="004A75C2" w:rsidRDefault="004A75C2">
      <w:pPr>
        <w:widowControl/>
        <w:ind w:left="1440"/>
        <w:rPr>
          <w:rFonts w:ascii="Times New Roman" w:hAnsi="Times New Roman"/>
          <w:szCs w:val="24"/>
        </w:rPr>
      </w:pPr>
    </w:p>
    <w:p w:rsidRPr="004A75C2" w:rsidR="004A75C2" w:rsidP="004A75C2" w:rsidRDefault="004A75C2">
      <w:pPr>
        <w:widowControl/>
        <w:ind w:left="1440"/>
        <w:rPr>
          <w:rFonts w:ascii="Times New Roman" w:hAnsi="Times New Roman"/>
          <w:szCs w:val="24"/>
        </w:rPr>
      </w:pPr>
      <w:r w:rsidRPr="004A75C2">
        <w:rPr>
          <w:rFonts w:ascii="Times New Roman" w:hAnsi="Times New Roman"/>
          <w:szCs w:val="24"/>
        </w:rPr>
        <w:t>The following exemptions are granted by this regulation to small organizations to minimize burdens:</w:t>
      </w:r>
    </w:p>
    <w:p w:rsidRPr="004A75C2" w:rsidR="004A75C2" w:rsidP="004A75C2" w:rsidRDefault="004A75C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Pr="004A75C2" w:rsidR="004A75C2" w:rsidP="004A75C2" w:rsidRDefault="004A75C2">
      <w:pPr>
        <w:widowControl/>
        <w:ind w:left="2160" w:hanging="720"/>
        <w:rPr>
          <w:rFonts w:ascii="Times New Roman" w:hAnsi="Times New Roman"/>
          <w:szCs w:val="24"/>
        </w:rPr>
      </w:pPr>
      <w:r w:rsidRPr="004A75C2">
        <w:rPr>
          <w:rFonts w:ascii="Times New Roman" w:hAnsi="Times New Roman"/>
          <w:szCs w:val="24"/>
        </w:rPr>
        <w:t>(a)</w:t>
      </w:r>
      <w:r w:rsidRPr="004A75C2">
        <w:rPr>
          <w:rFonts w:ascii="Times New Roman" w:hAnsi="Times New Roman"/>
          <w:szCs w:val="24"/>
        </w:rPr>
        <w:tab/>
        <w:t>Transactions effected by broker-dealers that have entered into “networking arrangements” with banks are exempt from the recordkeeping and reporting requirements of this collection.</w:t>
      </w:r>
    </w:p>
    <w:p w:rsidRPr="004A75C2" w:rsidR="004A75C2" w:rsidP="004A75C2" w:rsidRDefault="004A75C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Pr="004A75C2" w:rsidR="004A75C2" w:rsidP="004A75C2" w:rsidRDefault="004A75C2">
      <w:pPr>
        <w:widowControl/>
        <w:ind w:left="2160" w:hanging="720"/>
        <w:rPr>
          <w:rFonts w:ascii="Times New Roman" w:hAnsi="Times New Roman"/>
          <w:szCs w:val="24"/>
        </w:rPr>
      </w:pPr>
      <w:r w:rsidRPr="004A75C2">
        <w:rPr>
          <w:rFonts w:ascii="Times New Roman" w:hAnsi="Times New Roman"/>
          <w:szCs w:val="24"/>
        </w:rPr>
        <w:t>(b)</w:t>
      </w:r>
      <w:r w:rsidRPr="004A75C2">
        <w:rPr>
          <w:rFonts w:ascii="Times New Roman" w:hAnsi="Times New Roman"/>
          <w:szCs w:val="24"/>
        </w:rPr>
        <w:tab/>
        <w:t>Banks need not generate their own customized confirmation forms.  If they use another bank or a broker-dealer to effectuate securities transactions, the bank may opt to merely provide its customer with a copy of the other organization's confirmation form.</w:t>
      </w:r>
    </w:p>
    <w:p w:rsidRPr="004A75C2" w:rsidR="004A75C2" w:rsidP="004A75C2" w:rsidRDefault="004A75C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Pr="004A75C2" w:rsidR="004A75C2" w:rsidP="004A75C2" w:rsidRDefault="004A75C2">
      <w:pPr>
        <w:widowControl/>
        <w:ind w:left="2160" w:hanging="720"/>
        <w:rPr>
          <w:rFonts w:ascii="Times New Roman" w:hAnsi="Times New Roman"/>
          <w:szCs w:val="24"/>
        </w:rPr>
      </w:pPr>
      <w:r w:rsidRPr="004A75C2">
        <w:rPr>
          <w:rFonts w:ascii="Times New Roman" w:hAnsi="Times New Roman"/>
          <w:szCs w:val="24"/>
        </w:rPr>
        <w:t>(c)</w:t>
      </w:r>
      <w:r w:rsidRPr="004A75C2">
        <w:rPr>
          <w:rFonts w:ascii="Times New Roman" w:hAnsi="Times New Roman"/>
          <w:szCs w:val="24"/>
        </w:rPr>
        <w:tab/>
        <w:t>Banks having fewer than 200 securities transactions for customers per year are exempt from the need to establish more elaborate records.  As such, they need not prepare or maintain account records for each customer, order tickets, or a record of broker/dealers used by the bank.</w:t>
      </w:r>
    </w:p>
    <w:p w:rsidRPr="004A75C2" w:rsidR="004A75C2" w:rsidP="004A75C2" w:rsidRDefault="004A75C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Pr="004A75C2" w:rsidR="004A75C2" w:rsidP="004A75C2" w:rsidRDefault="004A75C2">
      <w:pPr>
        <w:widowControl/>
        <w:ind w:left="2160" w:hanging="720"/>
        <w:rPr>
          <w:rFonts w:ascii="Times New Roman" w:hAnsi="Times New Roman"/>
          <w:szCs w:val="24"/>
        </w:rPr>
      </w:pPr>
      <w:r w:rsidRPr="004A75C2">
        <w:rPr>
          <w:rFonts w:ascii="Times New Roman" w:hAnsi="Times New Roman"/>
          <w:szCs w:val="24"/>
        </w:rPr>
        <w:t>(d)</w:t>
      </w:r>
      <w:r w:rsidRPr="004A75C2">
        <w:rPr>
          <w:rFonts w:ascii="Times New Roman" w:hAnsi="Times New Roman"/>
          <w:szCs w:val="24"/>
        </w:rPr>
        <w:tab/>
        <w:t>Banks which have fewer than 200 securities transactions for customers per year are exempt from the need to maintain written management policies and operational procedures.</w:t>
      </w:r>
    </w:p>
    <w:p w:rsidRPr="004A75C2" w:rsidR="004A75C2" w:rsidP="004A75C2" w:rsidRDefault="004A75C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00F146F1" w:rsidP="004A75C2" w:rsidRDefault="004A75C2">
      <w:pPr>
        <w:widowControl/>
        <w:ind w:left="2250" w:hanging="810"/>
        <w:rPr>
          <w:rFonts w:ascii="Times New Roman" w:hAnsi="Times New Roman"/>
          <w:szCs w:val="24"/>
        </w:rPr>
      </w:pPr>
      <w:r w:rsidRPr="004A75C2">
        <w:rPr>
          <w:rFonts w:ascii="Times New Roman" w:hAnsi="Times New Roman"/>
          <w:szCs w:val="24"/>
        </w:rPr>
        <w:t>(e)</w:t>
      </w:r>
      <w:r w:rsidRPr="004A75C2">
        <w:rPr>
          <w:rFonts w:ascii="Times New Roman" w:hAnsi="Times New Roman"/>
          <w:szCs w:val="24"/>
        </w:rPr>
        <w:tab/>
        <w:t>Bank officers and employees need not report any securities transactions if they aggregate less than $10,000 in any calendar quarter.  Even when more than $10,000 is involved, the figure is reduced by subtracting U.S. Government and Federal agency securities, as well as mutual fund and money market fund shares in arriving at the $10,000 reportable figure.</w:t>
      </w:r>
    </w:p>
    <w:p w:rsidR="004A75C2" w:rsidP="004A75C2" w:rsidRDefault="004A75C2">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Consequences to the Federal program if the collection were conducted less frequently:</w:t>
      </w:r>
    </w:p>
    <w:p w:rsidR="00F146F1" w:rsidRDefault="00F146F1">
      <w:pPr>
        <w:widowControl/>
        <w:rPr>
          <w:rFonts w:ascii="Times New Roman" w:hAnsi="Times New Roman"/>
        </w:rPr>
      </w:pPr>
    </w:p>
    <w:p w:rsidR="00F146F1" w:rsidRDefault="00E57520">
      <w:pPr>
        <w:widowControl/>
        <w:ind w:left="1440"/>
        <w:rPr>
          <w:rFonts w:ascii="Times New Roman" w:hAnsi="Times New Roman"/>
        </w:rPr>
      </w:pPr>
      <w:r w:rsidRPr="00E57520">
        <w:rPr>
          <w:rFonts w:ascii="Times New Roman" w:hAnsi="Times New Roman"/>
        </w:rPr>
        <w:t>Typically the bank is required to furnish the customer written notification within five business days from the date of the transaction.  Also, when the bank exercises investment discretion it must furnish the customer, at least once every three months, with an itemized statement that specifies funds and securities in the custody or possession of the bank at the end of the period.  These notification requirements are considered to be minimal to ensure that the customer adequately informed of the completion of each transaction and the status of the customer's account.</w:t>
      </w:r>
    </w:p>
    <w:p w:rsidR="00F146F1" w:rsidRDefault="00F146F1">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Special circumstances necessitating collection inconsistent with 5 CFR Part 1320.5(d)(2):</w:t>
      </w:r>
    </w:p>
    <w:p w:rsidR="00F146F1" w:rsidRDefault="00F146F1">
      <w:pPr>
        <w:widowControl/>
        <w:rPr>
          <w:rFonts w:ascii="Times New Roman" w:hAnsi="Times New Roman"/>
        </w:rPr>
      </w:pPr>
    </w:p>
    <w:p w:rsidR="00F146F1" w:rsidP="00820109" w:rsidRDefault="002423D4">
      <w:pPr>
        <w:widowControl/>
        <w:ind w:left="1440"/>
        <w:rPr>
          <w:rFonts w:ascii="Times New Roman" w:hAnsi="Times New Roman"/>
        </w:rPr>
      </w:pPr>
      <w:r w:rsidRPr="00366534">
        <w:rPr>
          <w:rFonts w:ascii="Times New Roman" w:hAnsi="Times New Roman"/>
        </w:rPr>
        <w:t>None.  The</w:t>
      </w:r>
      <w:r w:rsidRPr="00366534">
        <w:rPr>
          <w:rFonts w:ascii="Times New Roman" w:hAnsi="Times New Roman"/>
          <w:bCs/>
          <w:iCs/>
        </w:rPr>
        <w:t xml:space="preserve"> information is collected in a manner consistent with 5 CFR Part 1320.5(d</w:t>
      </w:r>
      <w:proofErr w:type="gramStart"/>
      <w:r w:rsidRPr="00366534">
        <w:rPr>
          <w:rFonts w:ascii="Times New Roman" w:hAnsi="Times New Roman"/>
          <w:bCs/>
          <w:iCs/>
        </w:rPr>
        <w:t>)(</w:t>
      </w:r>
      <w:proofErr w:type="gramEnd"/>
      <w:r w:rsidRPr="00366534">
        <w:rPr>
          <w:rFonts w:ascii="Times New Roman" w:hAnsi="Times New Roman"/>
          <w:bCs/>
          <w:iCs/>
        </w:rPr>
        <w:t>2).</w:t>
      </w:r>
    </w:p>
    <w:p w:rsidR="00F146F1" w:rsidRDefault="00F146F1">
      <w:pPr>
        <w:widowControl/>
        <w:ind w:left="576"/>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Efforts to consult with persons outside the agency:</w:t>
      </w:r>
    </w:p>
    <w:p w:rsidRPr="00280958" w:rsidR="00F146F1" w:rsidP="00280958" w:rsidRDefault="00F146F1">
      <w:pPr>
        <w:widowControl/>
        <w:ind w:left="1440"/>
        <w:rPr>
          <w:rFonts w:ascii="Times New Roman" w:hAnsi="Times New Roman"/>
        </w:rPr>
      </w:pPr>
    </w:p>
    <w:p w:rsidR="00F146F1" w:rsidP="00280958" w:rsidRDefault="002423D4">
      <w:pPr>
        <w:pStyle w:val="Footer"/>
        <w:widowControl/>
        <w:tabs>
          <w:tab w:val="clear" w:pos="4320"/>
          <w:tab w:val="clear" w:pos="8640"/>
        </w:tabs>
        <w:ind w:left="1440"/>
        <w:rPr>
          <w:rFonts w:ascii="Times New Roman" w:hAnsi="Times New Roman"/>
        </w:rPr>
      </w:pPr>
      <w:r w:rsidRPr="005E1A91">
        <w:rPr>
          <w:rFonts w:ascii="Times New Roman" w:hAnsi="Times New Roman"/>
        </w:rPr>
        <w:t xml:space="preserve">A 60-day notice seeking public comment on the </w:t>
      </w:r>
      <w:r>
        <w:rPr>
          <w:rFonts w:ascii="Times New Roman" w:hAnsi="Times New Roman"/>
        </w:rPr>
        <w:t>FDIC’s</w:t>
      </w:r>
      <w:r w:rsidRPr="005E1A91">
        <w:rPr>
          <w:rFonts w:ascii="Times New Roman" w:hAnsi="Times New Roman"/>
        </w:rPr>
        <w:t xml:space="preserve"> renewal of the information collection was published on </w:t>
      </w:r>
      <w:r w:rsidR="00712BA4">
        <w:rPr>
          <w:rFonts w:ascii="Times New Roman" w:hAnsi="Times New Roman"/>
        </w:rPr>
        <w:t>September</w:t>
      </w:r>
      <w:r w:rsidR="00E57520">
        <w:rPr>
          <w:rFonts w:ascii="Times New Roman" w:hAnsi="Times New Roman"/>
        </w:rPr>
        <w:t xml:space="preserve"> 27</w:t>
      </w:r>
      <w:r>
        <w:rPr>
          <w:rFonts w:ascii="Times New Roman" w:hAnsi="Times New Roman"/>
        </w:rPr>
        <w:t xml:space="preserve">, 2021 (86 FR </w:t>
      </w:r>
      <w:r w:rsidR="00712BA4">
        <w:rPr>
          <w:rFonts w:ascii="Times New Roman" w:hAnsi="Times New Roman"/>
        </w:rPr>
        <w:t>5</w:t>
      </w:r>
      <w:r w:rsidR="00E57520">
        <w:rPr>
          <w:rFonts w:ascii="Times New Roman" w:hAnsi="Times New Roman"/>
        </w:rPr>
        <w:t>3300</w:t>
      </w:r>
      <w:r>
        <w:rPr>
          <w:rFonts w:ascii="Times New Roman" w:hAnsi="Times New Roman"/>
        </w:rPr>
        <w:t>)</w:t>
      </w:r>
      <w:r w:rsidRPr="005E1A91">
        <w:rPr>
          <w:rFonts w:ascii="Times New Roman" w:hAnsi="Times New Roman"/>
        </w:rPr>
        <w:t>.  No comments were received.</w:t>
      </w:r>
      <w:r w:rsidRPr="00280958" w:rsidR="00280958">
        <w:rPr>
          <w:rFonts w:ascii="Times New Roman" w:hAnsi="Times New Roman"/>
        </w:rPr>
        <w:t xml:space="preserve"> </w:t>
      </w:r>
    </w:p>
    <w:p w:rsidRPr="00280958" w:rsidR="00280958" w:rsidP="00280958" w:rsidRDefault="00280958">
      <w:pPr>
        <w:pStyle w:val="Footer"/>
        <w:widowControl/>
        <w:tabs>
          <w:tab w:val="clear" w:pos="4320"/>
          <w:tab w:val="clear" w:pos="8640"/>
        </w:tabs>
        <w:ind w:left="1440"/>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Payment or gift to respondents:</w:t>
      </w:r>
    </w:p>
    <w:p w:rsidR="00F146F1" w:rsidRDefault="00F146F1">
      <w:pPr>
        <w:widowControl/>
        <w:rPr>
          <w:rFonts w:ascii="Times New Roman" w:hAnsi="Times New Roman"/>
        </w:rPr>
      </w:pPr>
    </w:p>
    <w:p w:rsidR="00F146F1" w:rsidRDefault="00712BA4">
      <w:pPr>
        <w:widowControl/>
        <w:ind w:left="720" w:firstLine="720"/>
        <w:rPr>
          <w:rFonts w:ascii="Times New Roman" w:hAnsi="Times New Roman"/>
        </w:rPr>
      </w:pPr>
      <w:r w:rsidRPr="00712BA4">
        <w:rPr>
          <w:rFonts w:ascii="Times New Roman" w:hAnsi="Times New Roman"/>
        </w:rPr>
        <w:t>Not applicable.</w:t>
      </w:r>
      <w:r w:rsidR="00F146F1">
        <w:rPr>
          <w:rFonts w:ascii="Times New Roman" w:hAnsi="Times New Roman"/>
        </w:rPr>
        <w:t xml:space="preserve"> </w:t>
      </w:r>
    </w:p>
    <w:p w:rsidR="00573F81" w:rsidP="00E57520" w:rsidRDefault="00573F81">
      <w:pPr>
        <w:widowControl/>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Any assurance of confidentiality:</w:t>
      </w:r>
    </w:p>
    <w:p w:rsidR="00F146F1" w:rsidRDefault="00F146F1">
      <w:pPr>
        <w:widowControl/>
        <w:ind w:left="576"/>
        <w:rPr>
          <w:rFonts w:ascii="Times New Roman" w:hAnsi="Times New Roman"/>
        </w:rPr>
      </w:pPr>
    </w:p>
    <w:p w:rsidR="00F146F1" w:rsidRDefault="00E57520">
      <w:pPr>
        <w:widowControl/>
        <w:ind w:left="1440"/>
        <w:rPr>
          <w:rFonts w:ascii="Times New Roman" w:hAnsi="Times New Roman"/>
        </w:rPr>
      </w:pPr>
      <w:r w:rsidRPr="00E57520">
        <w:rPr>
          <w:rFonts w:ascii="Times New Roman" w:hAnsi="Times New Roman"/>
        </w:rPr>
        <w:t>Any information deemed to be of a confidential nature would be exempt from public disclosure in accordance with the provisions of the Freedom of Information Act (5 U.S.C. 552).</w:t>
      </w:r>
      <w:r w:rsidR="00F146F1">
        <w:rPr>
          <w:rFonts w:ascii="Times New Roman" w:hAnsi="Times New Roman"/>
        </w:rPr>
        <w:t xml:space="preserve">  </w:t>
      </w:r>
    </w:p>
    <w:p w:rsidR="00F146F1" w:rsidRDefault="00F146F1">
      <w:pPr>
        <w:widowControl/>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Justification for questions of a sensitive nature:</w:t>
      </w:r>
    </w:p>
    <w:p w:rsidR="00F146F1" w:rsidRDefault="00F146F1">
      <w:pPr>
        <w:widowControl/>
        <w:rPr>
          <w:rFonts w:ascii="Times New Roman" w:hAnsi="Times New Roman"/>
        </w:rPr>
      </w:pPr>
    </w:p>
    <w:p w:rsidRPr="00B91D2F" w:rsidR="009D2562" w:rsidP="009D2562" w:rsidRDefault="00820109">
      <w:pPr>
        <w:widowControl/>
        <w:ind w:left="1440"/>
      </w:pPr>
      <w:r w:rsidRPr="00820109">
        <w:rPr>
          <w:rFonts w:ascii="Times New Roman" w:hAnsi="Times New Roman"/>
        </w:rPr>
        <w:t>No sensitive information is collected</w:t>
      </w:r>
      <w:r w:rsidR="00B91D2F">
        <w:rPr>
          <w:rStyle w:val="Hyperlink"/>
          <w:rFonts w:ascii="Times New Roman" w:hAnsi="Times New Roman"/>
          <w:szCs w:val="24"/>
          <w:u w:val="none"/>
        </w:rPr>
        <w:t>.</w:t>
      </w:r>
    </w:p>
    <w:p w:rsidR="002423D4" w:rsidP="00820109" w:rsidRDefault="002423D4">
      <w:pPr>
        <w:widowControl/>
        <w:rPr>
          <w:rFonts w:ascii="Times New Roman" w:hAnsi="Times New Roman" w:eastAsia="Calibri"/>
        </w:rPr>
      </w:pPr>
    </w:p>
    <w:p w:rsidRPr="009234BE" w:rsidR="00F146F1" w:rsidP="00F175D5" w:rsidRDefault="002423D4">
      <w:pPr>
        <w:widowControl/>
        <w:numPr>
          <w:ilvl w:val="0"/>
          <w:numId w:val="4"/>
        </w:numPr>
        <w:rPr>
          <w:rFonts w:ascii="Times New Roman" w:hAnsi="Times New Roman"/>
        </w:rPr>
      </w:pPr>
      <w:bookmarkStart w:name="_DV_M10" w:id="0"/>
      <w:bookmarkEnd w:id="0"/>
      <w:r w:rsidRPr="009234BE">
        <w:rPr>
          <w:rFonts w:ascii="Times New Roman" w:hAnsi="Times New Roman"/>
          <w:u w:val="single"/>
        </w:rPr>
        <w:t>Estimate of hour burden including annualized hourly costs:</w:t>
      </w:r>
    </w:p>
    <w:p w:rsidRPr="00820109" w:rsidR="00F146F1" w:rsidRDefault="00F146F1">
      <w:pPr>
        <w:widowControl/>
        <w:rPr>
          <w:rFonts w:ascii="Times New Roman" w:hAnsi="Times New Roman"/>
          <w:sz w:val="22"/>
          <w:szCs w:val="22"/>
        </w:rPr>
      </w:pPr>
    </w:p>
    <w:tbl>
      <w:tblPr>
        <w:tblW w:w="11019" w:type="dxa"/>
        <w:jc w:val="center"/>
        <w:tblLook w:val="04A0" w:firstRow="1" w:lastRow="0" w:firstColumn="1" w:lastColumn="0" w:noHBand="0" w:noVBand="1"/>
      </w:tblPr>
      <w:tblGrid>
        <w:gridCol w:w="2615"/>
        <w:gridCol w:w="1706"/>
        <w:gridCol w:w="1283"/>
        <w:gridCol w:w="1524"/>
        <w:gridCol w:w="1447"/>
        <w:gridCol w:w="1209"/>
        <w:gridCol w:w="1235"/>
      </w:tblGrid>
      <w:tr w:rsidRPr="00820109" w:rsidR="00820109" w:rsidTr="000F36F0">
        <w:trPr>
          <w:trHeight w:val="244"/>
          <w:jc w:val="center"/>
        </w:trPr>
        <w:tc>
          <w:tcPr>
            <w:tcW w:w="1101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rsidRPr="00820109" w:rsidR="00820109" w:rsidP="00B91D2F" w:rsidRDefault="00820109">
            <w:pPr>
              <w:widowControl/>
              <w:jc w:val="center"/>
              <w:rPr>
                <w:rFonts w:ascii="Times New Roman" w:hAnsi="Times New Roman"/>
                <w:b/>
                <w:bCs/>
                <w:snapToGrid/>
                <w:color w:val="000000"/>
                <w:sz w:val="22"/>
                <w:szCs w:val="22"/>
              </w:rPr>
            </w:pPr>
            <w:r w:rsidRPr="00820109">
              <w:rPr>
                <w:rFonts w:ascii="Times New Roman" w:hAnsi="Times New Roman"/>
                <w:b/>
                <w:bCs/>
                <w:snapToGrid/>
                <w:color w:val="000000"/>
                <w:sz w:val="22"/>
                <w:szCs w:val="22"/>
              </w:rPr>
              <w:t xml:space="preserve">Summary of Estimated Annual </w:t>
            </w:r>
            <w:r w:rsidR="007C18CB">
              <w:rPr>
                <w:rFonts w:ascii="Times New Roman" w:hAnsi="Times New Roman"/>
                <w:b/>
                <w:bCs/>
                <w:snapToGrid/>
                <w:color w:val="000000"/>
                <w:sz w:val="22"/>
                <w:szCs w:val="22"/>
              </w:rPr>
              <w:t xml:space="preserve">Implementation Burden </w:t>
            </w:r>
          </w:p>
        </w:tc>
      </w:tr>
      <w:tr w:rsidRPr="00820109" w:rsidR="00B91D2F" w:rsidTr="000F36F0">
        <w:trPr>
          <w:trHeight w:val="592"/>
          <w:jc w:val="center"/>
        </w:trPr>
        <w:tc>
          <w:tcPr>
            <w:tcW w:w="261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20109" w:rsidR="00820109" w:rsidP="00820109" w:rsidRDefault="00820109">
            <w:pPr>
              <w:widowControl/>
              <w:rPr>
                <w:rFonts w:ascii="Times New Roman" w:hAnsi="Times New Roman"/>
                <w:snapToGrid/>
                <w:color w:val="000000"/>
                <w:sz w:val="22"/>
                <w:szCs w:val="22"/>
              </w:rPr>
            </w:pPr>
            <w:r w:rsidRPr="00820109">
              <w:rPr>
                <w:rFonts w:ascii="Times New Roman" w:hAnsi="Times New Roman"/>
                <w:snapToGrid/>
                <w:color w:val="000000"/>
                <w:sz w:val="22"/>
                <w:szCs w:val="22"/>
              </w:rPr>
              <w:t>IC Description</w:t>
            </w:r>
          </w:p>
        </w:tc>
        <w:tc>
          <w:tcPr>
            <w:tcW w:w="1706" w:type="dxa"/>
            <w:tcBorders>
              <w:top w:val="single" w:color="auto" w:sz="4" w:space="0"/>
              <w:left w:val="nil"/>
              <w:bottom w:val="single" w:color="auto" w:sz="4" w:space="0"/>
              <w:right w:val="single" w:color="auto" w:sz="4" w:space="0"/>
            </w:tcBorders>
            <w:shd w:val="clear" w:color="auto" w:fill="auto"/>
            <w:vAlign w:val="center"/>
            <w:hideMark/>
          </w:tcPr>
          <w:p w:rsidRPr="00820109" w:rsidR="00820109" w:rsidP="00820109" w:rsidRDefault="00820109">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Type of Burden (Obligation to Respond)</w:t>
            </w:r>
          </w:p>
        </w:tc>
        <w:tc>
          <w:tcPr>
            <w:tcW w:w="1283" w:type="dxa"/>
            <w:tcBorders>
              <w:top w:val="single" w:color="auto" w:sz="4" w:space="0"/>
              <w:left w:val="nil"/>
              <w:bottom w:val="single" w:color="auto" w:sz="4" w:space="0"/>
              <w:right w:val="single" w:color="auto" w:sz="4" w:space="0"/>
            </w:tcBorders>
            <w:shd w:val="clear" w:color="auto" w:fill="auto"/>
            <w:vAlign w:val="center"/>
            <w:hideMark/>
          </w:tcPr>
          <w:p w:rsidRPr="00820109" w:rsidR="00820109" w:rsidP="00820109" w:rsidRDefault="00820109">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Frequency of Response</w:t>
            </w:r>
          </w:p>
        </w:tc>
        <w:tc>
          <w:tcPr>
            <w:tcW w:w="1524" w:type="dxa"/>
            <w:tcBorders>
              <w:top w:val="single" w:color="auto" w:sz="4" w:space="0"/>
              <w:left w:val="nil"/>
              <w:bottom w:val="single" w:color="auto" w:sz="4" w:space="0"/>
              <w:right w:val="single" w:color="auto" w:sz="4" w:space="0"/>
            </w:tcBorders>
            <w:shd w:val="clear" w:color="auto" w:fill="auto"/>
            <w:vAlign w:val="center"/>
            <w:hideMark/>
          </w:tcPr>
          <w:p w:rsidRPr="00820109" w:rsidR="00820109" w:rsidP="00820109" w:rsidRDefault="00820109">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Number of Respondents</w:t>
            </w:r>
          </w:p>
        </w:tc>
        <w:tc>
          <w:tcPr>
            <w:tcW w:w="1447" w:type="dxa"/>
            <w:tcBorders>
              <w:top w:val="single" w:color="auto" w:sz="4" w:space="0"/>
              <w:left w:val="nil"/>
              <w:bottom w:val="single" w:color="auto" w:sz="4" w:space="0"/>
              <w:right w:val="single" w:color="auto" w:sz="4" w:space="0"/>
            </w:tcBorders>
            <w:shd w:val="clear" w:color="auto" w:fill="auto"/>
            <w:vAlign w:val="center"/>
            <w:hideMark/>
          </w:tcPr>
          <w:p w:rsidRPr="00820109" w:rsidR="00820109" w:rsidP="00820109" w:rsidRDefault="00820109">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Number of Responses / Respondent</w:t>
            </w:r>
          </w:p>
        </w:tc>
        <w:tc>
          <w:tcPr>
            <w:tcW w:w="1209" w:type="dxa"/>
            <w:tcBorders>
              <w:top w:val="single" w:color="auto" w:sz="4" w:space="0"/>
              <w:left w:val="nil"/>
              <w:bottom w:val="single" w:color="auto" w:sz="4" w:space="0"/>
              <w:right w:val="single" w:color="auto" w:sz="4" w:space="0"/>
            </w:tcBorders>
            <w:shd w:val="clear" w:color="auto" w:fill="auto"/>
            <w:vAlign w:val="center"/>
            <w:hideMark/>
          </w:tcPr>
          <w:p w:rsidRPr="00820109" w:rsidR="00820109" w:rsidP="00820109" w:rsidRDefault="00820109">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Estimated Time per Response (Hours)</w:t>
            </w:r>
          </w:p>
        </w:tc>
        <w:tc>
          <w:tcPr>
            <w:tcW w:w="1233" w:type="dxa"/>
            <w:tcBorders>
              <w:top w:val="single" w:color="auto" w:sz="4" w:space="0"/>
              <w:left w:val="nil"/>
              <w:bottom w:val="single" w:color="auto" w:sz="4" w:space="0"/>
              <w:right w:val="single" w:color="auto" w:sz="4" w:space="0"/>
            </w:tcBorders>
            <w:shd w:val="clear" w:color="auto" w:fill="auto"/>
            <w:vAlign w:val="center"/>
            <w:hideMark/>
          </w:tcPr>
          <w:p w:rsidRPr="00820109" w:rsidR="00820109" w:rsidP="00820109" w:rsidRDefault="00820109">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Annual Burden  (Hours)</w:t>
            </w:r>
          </w:p>
        </w:tc>
      </w:tr>
      <w:tr w:rsidRPr="00820109" w:rsidR="00B91D2F" w:rsidTr="000F36F0">
        <w:trPr>
          <w:trHeight w:val="538"/>
          <w:jc w:val="center"/>
        </w:trPr>
        <w:tc>
          <w:tcPr>
            <w:tcW w:w="2615" w:type="dxa"/>
            <w:tcBorders>
              <w:top w:val="nil"/>
              <w:left w:val="single" w:color="auto" w:sz="4" w:space="0"/>
              <w:bottom w:val="single" w:color="auto" w:sz="4" w:space="0"/>
              <w:right w:val="single" w:color="auto" w:sz="4" w:space="0"/>
            </w:tcBorders>
            <w:shd w:val="clear" w:color="auto" w:fill="auto"/>
            <w:vAlign w:val="center"/>
            <w:hideMark/>
          </w:tcPr>
          <w:p w:rsidRPr="00820109" w:rsidR="00820109" w:rsidP="00820109" w:rsidRDefault="000F36F0">
            <w:pPr>
              <w:widowControl/>
              <w:rPr>
                <w:rFonts w:ascii="Times New Roman" w:hAnsi="Times New Roman"/>
                <w:snapToGrid/>
                <w:color w:val="000000"/>
                <w:sz w:val="22"/>
                <w:szCs w:val="22"/>
              </w:rPr>
            </w:pPr>
            <w:r w:rsidRPr="000F36F0">
              <w:rPr>
                <w:rFonts w:ascii="Source Sans Pro" w:hAnsi="Source Sans Pro" w:eastAsia="Source Sans Pro" w:cs="Source Sans Pro"/>
                <w:snapToGrid/>
                <w:sz w:val="20"/>
                <w:lang w:bidi="en-US"/>
              </w:rPr>
              <w:t>Maintain Securities Trading Policies and Procedures – 344.8</w:t>
            </w:r>
          </w:p>
        </w:tc>
        <w:tc>
          <w:tcPr>
            <w:tcW w:w="1706" w:type="dxa"/>
            <w:tcBorders>
              <w:top w:val="nil"/>
              <w:left w:val="nil"/>
              <w:bottom w:val="single" w:color="auto" w:sz="4" w:space="0"/>
              <w:right w:val="single" w:color="auto" w:sz="4" w:space="0"/>
            </w:tcBorders>
            <w:shd w:val="clear" w:color="auto" w:fill="auto"/>
            <w:noWrap/>
            <w:vAlign w:val="center"/>
            <w:hideMark/>
          </w:tcPr>
          <w:p w:rsidR="000F36F0" w:rsidP="00B91D2F" w:rsidRDefault="000F36F0">
            <w:pPr>
              <w:widowControl/>
              <w:jc w:val="center"/>
              <w:rPr>
                <w:rFonts w:ascii="Times New Roman" w:hAnsi="Times New Roman"/>
                <w:snapToGrid/>
                <w:color w:val="000000"/>
                <w:sz w:val="22"/>
                <w:szCs w:val="22"/>
              </w:rPr>
            </w:pPr>
            <w:r>
              <w:rPr>
                <w:rFonts w:ascii="Times New Roman" w:hAnsi="Times New Roman"/>
                <w:snapToGrid/>
                <w:color w:val="000000"/>
                <w:sz w:val="22"/>
                <w:szCs w:val="22"/>
              </w:rPr>
              <w:t>Recordkeeping</w:t>
            </w:r>
          </w:p>
          <w:p w:rsidRPr="00820109" w:rsidR="00820109" w:rsidP="00B91D2F" w:rsidRDefault="00820109">
            <w:pPr>
              <w:widowControl/>
              <w:jc w:val="center"/>
              <w:rPr>
                <w:rFonts w:ascii="Times New Roman" w:hAnsi="Times New Roman"/>
                <w:snapToGrid/>
                <w:color w:val="000000"/>
                <w:sz w:val="22"/>
                <w:szCs w:val="22"/>
              </w:rPr>
            </w:pPr>
            <w:r w:rsidRPr="00820109">
              <w:rPr>
                <w:rFonts w:ascii="Times New Roman" w:hAnsi="Times New Roman"/>
                <w:snapToGrid/>
                <w:color w:val="000000"/>
                <w:sz w:val="22"/>
                <w:szCs w:val="22"/>
              </w:rPr>
              <w:t>(Voluntary)</w:t>
            </w:r>
          </w:p>
        </w:tc>
        <w:tc>
          <w:tcPr>
            <w:tcW w:w="1283" w:type="dxa"/>
            <w:tcBorders>
              <w:top w:val="nil"/>
              <w:left w:val="nil"/>
              <w:bottom w:val="single" w:color="auto" w:sz="4" w:space="0"/>
              <w:right w:val="single" w:color="auto" w:sz="4" w:space="0"/>
            </w:tcBorders>
            <w:shd w:val="clear" w:color="auto" w:fill="auto"/>
            <w:noWrap/>
            <w:vAlign w:val="center"/>
          </w:tcPr>
          <w:p w:rsidRPr="00820109" w:rsidR="00820109" w:rsidP="00820109" w:rsidRDefault="00B91D2F">
            <w:pPr>
              <w:widowControl/>
              <w:jc w:val="center"/>
              <w:rPr>
                <w:rFonts w:ascii="Times New Roman" w:hAnsi="Times New Roman"/>
                <w:snapToGrid/>
                <w:color w:val="000000"/>
                <w:sz w:val="22"/>
                <w:szCs w:val="22"/>
              </w:rPr>
            </w:pPr>
            <w:r>
              <w:rPr>
                <w:rFonts w:ascii="Times New Roman" w:hAnsi="Times New Roman"/>
                <w:snapToGrid/>
                <w:color w:val="000000"/>
                <w:sz w:val="22"/>
                <w:szCs w:val="22"/>
              </w:rPr>
              <w:t>On Occasion</w:t>
            </w:r>
          </w:p>
        </w:tc>
        <w:tc>
          <w:tcPr>
            <w:tcW w:w="1524" w:type="dxa"/>
            <w:tcBorders>
              <w:top w:val="nil"/>
              <w:left w:val="nil"/>
              <w:bottom w:val="single" w:color="auto" w:sz="4" w:space="0"/>
              <w:right w:val="single" w:color="auto" w:sz="4" w:space="0"/>
            </w:tcBorders>
            <w:shd w:val="clear" w:color="auto" w:fill="auto"/>
            <w:noWrap/>
            <w:vAlign w:val="center"/>
          </w:tcPr>
          <w:p w:rsidRPr="00820109" w:rsidR="00820109" w:rsidP="00EE7AE6" w:rsidRDefault="000F36F0">
            <w:pPr>
              <w:widowControl/>
              <w:jc w:val="center"/>
              <w:rPr>
                <w:rFonts w:ascii="Times New Roman" w:hAnsi="Times New Roman"/>
                <w:snapToGrid/>
                <w:color w:val="000000"/>
                <w:sz w:val="22"/>
                <w:szCs w:val="22"/>
              </w:rPr>
            </w:pPr>
            <w:r>
              <w:rPr>
                <w:rFonts w:ascii="Times New Roman" w:hAnsi="Times New Roman"/>
                <w:snapToGrid/>
                <w:color w:val="000000"/>
                <w:sz w:val="22"/>
                <w:szCs w:val="22"/>
              </w:rPr>
              <w:t>691</w:t>
            </w:r>
          </w:p>
        </w:tc>
        <w:tc>
          <w:tcPr>
            <w:tcW w:w="1447" w:type="dxa"/>
            <w:tcBorders>
              <w:top w:val="nil"/>
              <w:left w:val="nil"/>
              <w:bottom w:val="single" w:color="auto" w:sz="4" w:space="0"/>
              <w:right w:val="single" w:color="auto" w:sz="4" w:space="0"/>
            </w:tcBorders>
            <w:shd w:val="clear" w:color="auto" w:fill="auto"/>
            <w:noWrap/>
            <w:vAlign w:val="center"/>
            <w:hideMark/>
          </w:tcPr>
          <w:p w:rsidRPr="00820109" w:rsidR="00820109" w:rsidP="00EE7AE6" w:rsidRDefault="00EE7AE6">
            <w:pPr>
              <w:widowControl/>
              <w:jc w:val="center"/>
              <w:rPr>
                <w:rFonts w:ascii="Times New Roman" w:hAnsi="Times New Roman"/>
                <w:snapToGrid/>
                <w:color w:val="000000"/>
                <w:sz w:val="22"/>
                <w:szCs w:val="22"/>
              </w:rPr>
            </w:pPr>
            <w:r>
              <w:rPr>
                <w:rFonts w:ascii="Times New Roman" w:hAnsi="Times New Roman"/>
                <w:snapToGrid/>
                <w:color w:val="000000"/>
                <w:sz w:val="22"/>
                <w:szCs w:val="22"/>
              </w:rPr>
              <w:t>1</w:t>
            </w:r>
          </w:p>
        </w:tc>
        <w:tc>
          <w:tcPr>
            <w:tcW w:w="1209" w:type="dxa"/>
            <w:tcBorders>
              <w:top w:val="nil"/>
              <w:left w:val="nil"/>
              <w:bottom w:val="single" w:color="auto" w:sz="4" w:space="0"/>
              <w:right w:val="single" w:color="auto" w:sz="4" w:space="0"/>
            </w:tcBorders>
            <w:shd w:val="clear" w:color="auto" w:fill="auto"/>
            <w:noWrap/>
            <w:vAlign w:val="center"/>
            <w:hideMark/>
          </w:tcPr>
          <w:p w:rsidRPr="00820109" w:rsidR="00820109" w:rsidP="00EE7AE6" w:rsidRDefault="000F36F0">
            <w:pPr>
              <w:widowControl/>
              <w:jc w:val="center"/>
              <w:rPr>
                <w:rFonts w:ascii="Times New Roman" w:hAnsi="Times New Roman"/>
                <w:snapToGrid/>
                <w:color w:val="000000"/>
                <w:sz w:val="22"/>
                <w:szCs w:val="22"/>
              </w:rPr>
            </w:pPr>
            <w:r>
              <w:rPr>
                <w:rFonts w:ascii="Times New Roman" w:hAnsi="Times New Roman"/>
                <w:snapToGrid/>
                <w:color w:val="000000"/>
                <w:sz w:val="22"/>
                <w:szCs w:val="22"/>
              </w:rPr>
              <w:t>1</w:t>
            </w:r>
          </w:p>
        </w:tc>
        <w:tc>
          <w:tcPr>
            <w:tcW w:w="1233" w:type="dxa"/>
            <w:tcBorders>
              <w:top w:val="nil"/>
              <w:left w:val="nil"/>
              <w:bottom w:val="single" w:color="auto" w:sz="4" w:space="0"/>
              <w:right w:val="single" w:color="auto" w:sz="4" w:space="0"/>
            </w:tcBorders>
            <w:shd w:val="clear" w:color="auto" w:fill="auto"/>
            <w:noWrap/>
            <w:vAlign w:val="center"/>
          </w:tcPr>
          <w:p w:rsidRPr="00820109" w:rsidR="00820109" w:rsidP="00EE7AE6" w:rsidRDefault="000F36F0">
            <w:pPr>
              <w:widowControl/>
              <w:jc w:val="center"/>
              <w:rPr>
                <w:rFonts w:ascii="Times New Roman" w:hAnsi="Times New Roman"/>
                <w:snapToGrid/>
                <w:color w:val="000000"/>
                <w:sz w:val="22"/>
                <w:szCs w:val="22"/>
              </w:rPr>
            </w:pPr>
            <w:r>
              <w:rPr>
                <w:rFonts w:ascii="Times New Roman" w:hAnsi="Times New Roman"/>
                <w:snapToGrid/>
                <w:color w:val="000000"/>
                <w:sz w:val="22"/>
                <w:szCs w:val="22"/>
              </w:rPr>
              <w:t>691</w:t>
            </w:r>
          </w:p>
        </w:tc>
      </w:tr>
      <w:tr w:rsidRPr="00820109" w:rsidR="00B91D2F" w:rsidTr="000F36F0">
        <w:trPr>
          <w:trHeight w:val="538"/>
          <w:jc w:val="center"/>
        </w:trPr>
        <w:tc>
          <w:tcPr>
            <w:tcW w:w="2615" w:type="dxa"/>
            <w:tcBorders>
              <w:top w:val="nil"/>
              <w:left w:val="single" w:color="auto" w:sz="4" w:space="0"/>
              <w:bottom w:val="single" w:color="auto" w:sz="4" w:space="0"/>
              <w:right w:val="single" w:color="auto" w:sz="4" w:space="0"/>
            </w:tcBorders>
            <w:shd w:val="clear" w:color="auto" w:fill="auto"/>
            <w:vAlign w:val="center"/>
          </w:tcPr>
          <w:p w:rsidR="00B91D2F" w:rsidP="00820109" w:rsidRDefault="000F36F0">
            <w:pPr>
              <w:widowControl/>
              <w:rPr>
                <w:rFonts w:ascii="Times New Roman" w:hAnsi="Times New Roman"/>
                <w:snapToGrid/>
                <w:color w:val="000000"/>
                <w:sz w:val="22"/>
                <w:szCs w:val="22"/>
              </w:rPr>
            </w:pPr>
            <w:r w:rsidRPr="000F36F0">
              <w:rPr>
                <w:rFonts w:ascii="Source Sans Pro" w:hAnsi="Source Sans Pro" w:eastAsia="Source Sans Pro" w:cs="Source Sans Pro"/>
                <w:snapToGrid/>
                <w:sz w:val="20"/>
                <w:lang w:bidi="en-US"/>
              </w:rPr>
              <w:t>Officer/Employee Filing of Reports of Personal Securities Trading Transactions – 344.9</w:t>
            </w:r>
          </w:p>
        </w:tc>
        <w:tc>
          <w:tcPr>
            <w:tcW w:w="1706" w:type="dxa"/>
            <w:tcBorders>
              <w:top w:val="nil"/>
              <w:left w:val="nil"/>
              <w:bottom w:val="single" w:color="auto" w:sz="4" w:space="0"/>
              <w:right w:val="single" w:color="auto" w:sz="4" w:space="0"/>
            </w:tcBorders>
            <w:shd w:val="clear" w:color="auto" w:fill="auto"/>
            <w:noWrap/>
            <w:vAlign w:val="center"/>
          </w:tcPr>
          <w:p w:rsidR="00B91D2F" w:rsidP="00820109" w:rsidRDefault="000F36F0">
            <w:pPr>
              <w:widowControl/>
              <w:jc w:val="center"/>
              <w:rPr>
                <w:rFonts w:ascii="Times New Roman" w:hAnsi="Times New Roman"/>
                <w:snapToGrid/>
                <w:color w:val="000000"/>
                <w:sz w:val="22"/>
                <w:szCs w:val="22"/>
              </w:rPr>
            </w:pPr>
            <w:r>
              <w:rPr>
                <w:rFonts w:ascii="Times New Roman" w:hAnsi="Times New Roman"/>
                <w:snapToGrid/>
                <w:color w:val="000000"/>
                <w:sz w:val="22"/>
                <w:szCs w:val="22"/>
              </w:rPr>
              <w:t xml:space="preserve">Third Party </w:t>
            </w:r>
          </w:p>
          <w:p w:rsidRPr="00820109" w:rsidR="000F36F0" w:rsidP="00820109" w:rsidRDefault="000F36F0">
            <w:pPr>
              <w:widowControl/>
              <w:jc w:val="center"/>
              <w:rPr>
                <w:rFonts w:ascii="Times New Roman" w:hAnsi="Times New Roman"/>
                <w:snapToGrid/>
                <w:color w:val="000000"/>
                <w:sz w:val="22"/>
                <w:szCs w:val="22"/>
              </w:rPr>
            </w:pPr>
            <w:r>
              <w:rPr>
                <w:rFonts w:ascii="Times New Roman" w:hAnsi="Times New Roman"/>
                <w:snapToGrid/>
                <w:color w:val="000000"/>
                <w:sz w:val="22"/>
                <w:szCs w:val="22"/>
              </w:rPr>
              <w:t>Disclosure</w:t>
            </w:r>
          </w:p>
        </w:tc>
        <w:tc>
          <w:tcPr>
            <w:tcW w:w="1283" w:type="dxa"/>
            <w:tcBorders>
              <w:top w:val="nil"/>
              <w:left w:val="nil"/>
              <w:bottom w:val="single" w:color="auto" w:sz="4" w:space="0"/>
              <w:right w:val="single" w:color="auto" w:sz="4" w:space="0"/>
            </w:tcBorders>
            <w:shd w:val="clear" w:color="auto" w:fill="auto"/>
            <w:noWrap/>
            <w:vAlign w:val="center"/>
          </w:tcPr>
          <w:p w:rsidRPr="00820109" w:rsidR="00B91D2F" w:rsidP="00820109" w:rsidRDefault="00B91D2F">
            <w:pPr>
              <w:widowControl/>
              <w:jc w:val="center"/>
              <w:rPr>
                <w:rFonts w:ascii="Times New Roman" w:hAnsi="Times New Roman"/>
                <w:snapToGrid/>
                <w:color w:val="000000"/>
                <w:sz w:val="22"/>
                <w:szCs w:val="22"/>
              </w:rPr>
            </w:pPr>
            <w:r>
              <w:rPr>
                <w:rFonts w:ascii="Times New Roman" w:hAnsi="Times New Roman"/>
                <w:snapToGrid/>
                <w:color w:val="000000"/>
                <w:sz w:val="22"/>
                <w:szCs w:val="22"/>
              </w:rPr>
              <w:t>On Occasion</w:t>
            </w:r>
          </w:p>
        </w:tc>
        <w:tc>
          <w:tcPr>
            <w:tcW w:w="1524" w:type="dxa"/>
            <w:tcBorders>
              <w:top w:val="nil"/>
              <w:left w:val="nil"/>
              <w:bottom w:val="single" w:color="auto" w:sz="4" w:space="0"/>
              <w:right w:val="single" w:color="auto" w:sz="4" w:space="0"/>
            </w:tcBorders>
            <w:shd w:val="clear" w:color="auto" w:fill="auto"/>
            <w:noWrap/>
            <w:vAlign w:val="center"/>
          </w:tcPr>
          <w:p w:rsidRPr="00820109" w:rsidR="00B91D2F" w:rsidP="00EE7AE6" w:rsidRDefault="000F36F0">
            <w:pPr>
              <w:widowControl/>
              <w:jc w:val="center"/>
              <w:rPr>
                <w:rFonts w:ascii="Times New Roman" w:hAnsi="Times New Roman"/>
                <w:snapToGrid/>
                <w:color w:val="000000"/>
                <w:sz w:val="22"/>
                <w:szCs w:val="22"/>
              </w:rPr>
            </w:pPr>
            <w:r>
              <w:rPr>
                <w:rFonts w:ascii="Times New Roman" w:hAnsi="Times New Roman"/>
                <w:snapToGrid/>
                <w:color w:val="000000"/>
                <w:sz w:val="22"/>
                <w:szCs w:val="22"/>
              </w:rPr>
              <w:t>2,073</w:t>
            </w:r>
          </w:p>
        </w:tc>
        <w:tc>
          <w:tcPr>
            <w:tcW w:w="1447" w:type="dxa"/>
            <w:tcBorders>
              <w:top w:val="nil"/>
              <w:left w:val="nil"/>
              <w:bottom w:val="single" w:color="auto" w:sz="4" w:space="0"/>
              <w:right w:val="single" w:color="auto" w:sz="4" w:space="0"/>
            </w:tcBorders>
            <w:shd w:val="clear" w:color="auto" w:fill="auto"/>
            <w:noWrap/>
            <w:vAlign w:val="center"/>
          </w:tcPr>
          <w:p w:rsidRPr="00820109" w:rsidR="00B91D2F" w:rsidP="00EE7AE6" w:rsidRDefault="000F36F0">
            <w:pPr>
              <w:widowControl/>
              <w:jc w:val="center"/>
              <w:rPr>
                <w:rFonts w:ascii="Times New Roman" w:hAnsi="Times New Roman"/>
                <w:snapToGrid/>
                <w:color w:val="000000"/>
                <w:sz w:val="22"/>
                <w:szCs w:val="22"/>
              </w:rPr>
            </w:pPr>
            <w:r>
              <w:rPr>
                <w:rFonts w:ascii="Times New Roman" w:hAnsi="Times New Roman"/>
                <w:snapToGrid/>
                <w:color w:val="000000"/>
                <w:sz w:val="22"/>
                <w:szCs w:val="22"/>
              </w:rPr>
              <w:t>4</w:t>
            </w:r>
          </w:p>
        </w:tc>
        <w:tc>
          <w:tcPr>
            <w:tcW w:w="1209" w:type="dxa"/>
            <w:tcBorders>
              <w:top w:val="nil"/>
              <w:left w:val="nil"/>
              <w:bottom w:val="single" w:color="auto" w:sz="4" w:space="0"/>
              <w:right w:val="single" w:color="auto" w:sz="4" w:space="0"/>
            </w:tcBorders>
            <w:shd w:val="clear" w:color="auto" w:fill="auto"/>
            <w:noWrap/>
            <w:vAlign w:val="center"/>
          </w:tcPr>
          <w:p w:rsidRPr="00820109" w:rsidR="00B91D2F" w:rsidP="00EE7AE6" w:rsidRDefault="000F36F0">
            <w:pPr>
              <w:widowControl/>
              <w:jc w:val="center"/>
              <w:rPr>
                <w:rFonts w:ascii="Times New Roman" w:hAnsi="Times New Roman"/>
                <w:snapToGrid/>
                <w:color w:val="000000"/>
                <w:sz w:val="22"/>
                <w:szCs w:val="22"/>
              </w:rPr>
            </w:pPr>
            <w:r>
              <w:rPr>
                <w:rFonts w:ascii="Times New Roman" w:hAnsi="Times New Roman"/>
                <w:snapToGrid/>
                <w:color w:val="000000"/>
                <w:sz w:val="22"/>
                <w:szCs w:val="22"/>
              </w:rPr>
              <w:t>1</w:t>
            </w:r>
          </w:p>
        </w:tc>
        <w:tc>
          <w:tcPr>
            <w:tcW w:w="1233" w:type="dxa"/>
            <w:tcBorders>
              <w:top w:val="nil"/>
              <w:left w:val="nil"/>
              <w:bottom w:val="single" w:color="auto" w:sz="4" w:space="0"/>
              <w:right w:val="single" w:color="auto" w:sz="4" w:space="0"/>
            </w:tcBorders>
            <w:shd w:val="clear" w:color="auto" w:fill="auto"/>
            <w:noWrap/>
            <w:vAlign w:val="center"/>
          </w:tcPr>
          <w:p w:rsidRPr="00820109" w:rsidR="00B91D2F" w:rsidP="00EE7AE6" w:rsidRDefault="000F36F0">
            <w:pPr>
              <w:widowControl/>
              <w:jc w:val="center"/>
              <w:rPr>
                <w:rFonts w:ascii="Times New Roman" w:hAnsi="Times New Roman"/>
                <w:snapToGrid/>
                <w:color w:val="000000"/>
                <w:sz w:val="22"/>
                <w:szCs w:val="22"/>
              </w:rPr>
            </w:pPr>
            <w:r>
              <w:rPr>
                <w:rFonts w:ascii="Times New Roman" w:hAnsi="Times New Roman"/>
                <w:snapToGrid/>
                <w:color w:val="000000"/>
                <w:sz w:val="22"/>
                <w:szCs w:val="22"/>
              </w:rPr>
              <w:t>8,292</w:t>
            </w:r>
          </w:p>
        </w:tc>
      </w:tr>
      <w:tr w:rsidRPr="00820109" w:rsidR="00820109" w:rsidTr="000F36F0">
        <w:trPr>
          <w:trHeight w:val="230"/>
          <w:jc w:val="center"/>
        </w:trPr>
        <w:tc>
          <w:tcPr>
            <w:tcW w:w="1101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820109" w:rsidR="00820109" w:rsidP="000F36F0" w:rsidRDefault="00820109">
            <w:pPr>
              <w:widowControl/>
              <w:rPr>
                <w:rFonts w:ascii="Times New Roman" w:hAnsi="Times New Roman"/>
                <w:snapToGrid/>
                <w:color w:val="000000"/>
                <w:sz w:val="22"/>
                <w:szCs w:val="22"/>
              </w:rPr>
            </w:pPr>
            <w:r w:rsidRPr="00820109">
              <w:rPr>
                <w:rFonts w:ascii="Times New Roman" w:hAnsi="Times New Roman"/>
                <w:snapToGrid/>
                <w:color w:val="000000"/>
                <w:sz w:val="22"/>
                <w:szCs w:val="22"/>
              </w:rPr>
              <w:t xml:space="preserve">Total Annual Burden Hours:     </w:t>
            </w:r>
            <w:r w:rsidR="00EE7AE6">
              <w:rPr>
                <w:rFonts w:ascii="Times New Roman" w:hAnsi="Times New Roman"/>
                <w:snapToGrid/>
                <w:color w:val="000000"/>
                <w:sz w:val="22"/>
                <w:szCs w:val="22"/>
              </w:rPr>
              <w:t xml:space="preserve">                                                                                                                   </w:t>
            </w:r>
            <w:r w:rsidR="000F36F0">
              <w:rPr>
                <w:rFonts w:ascii="Times New Roman" w:hAnsi="Times New Roman"/>
                <w:snapToGrid/>
                <w:color w:val="000000"/>
                <w:sz w:val="22"/>
                <w:szCs w:val="22"/>
              </w:rPr>
              <w:t xml:space="preserve">       8,983</w:t>
            </w:r>
            <w:r w:rsidRPr="00820109" w:rsidR="00EE7AE6">
              <w:rPr>
                <w:rFonts w:ascii="Times New Roman" w:hAnsi="Times New Roman"/>
                <w:snapToGrid/>
                <w:color w:val="000000"/>
                <w:sz w:val="22"/>
                <w:szCs w:val="22"/>
              </w:rPr>
              <w:t xml:space="preserve"> hours</w:t>
            </w:r>
            <w:r w:rsidRPr="00820109">
              <w:rPr>
                <w:rFonts w:ascii="Times New Roman" w:hAnsi="Times New Roman"/>
                <w:snapToGrid/>
                <w:color w:val="000000"/>
                <w:sz w:val="22"/>
                <w:szCs w:val="22"/>
              </w:rPr>
              <w:t xml:space="preserve">                                                                                                                                                                                                  </w:t>
            </w:r>
            <w:r w:rsidR="00B91D2F">
              <w:rPr>
                <w:rFonts w:ascii="Times New Roman" w:hAnsi="Times New Roman"/>
                <w:snapToGrid/>
                <w:color w:val="000000"/>
                <w:sz w:val="22"/>
                <w:szCs w:val="22"/>
              </w:rPr>
              <w:t xml:space="preserve">       </w:t>
            </w:r>
          </w:p>
        </w:tc>
      </w:tr>
      <w:tr w:rsidRPr="00820109" w:rsidR="00820109" w:rsidTr="000F36F0">
        <w:trPr>
          <w:trHeight w:val="85"/>
          <w:jc w:val="center"/>
        </w:trPr>
        <w:tc>
          <w:tcPr>
            <w:tcW w:w="1101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820109" w:rsidR="00820109" w:rsidP="00820109" w:rsidRDefault="00820109">
            <w:pPr>
              <w:widowControl/>
              <w:rPr>
                <w:rFonts w:ascii="Times New Roman" w:hAnsi="Times New Roman"/>
                <w:snapToGrid/>
                <w:color w:val="000000"/>
                <w:sz w:val="22"/>
                <w:szCs w:val="22"/>
              </w:rPr>
            </w:pPr>
            <w:r w:rsidRPr="00820109">
              <w:rPr>
                <w:rFonts w:ascii="Times New Roman" w:hAnsi="Times New Roman"/>
                <w:snapToGrid/>
                <w:color w:val="000000"/>
                <w:sz w:val="22"/>
                <w:szCs w:val="22"/>
              </w:rPr>
              <w:t xml:space="preserve">Source: FDIC. </w:t>
            </w:r>
          </w:p>
        </w:tc>
      </w:tr>
    </w:tbl>
    <w:p w:rsidR="00573F81" w:rsidP="009234BE" w:rsidRDefault="00573F81">
      <w:pPr>
        <w:tabs>
          <w:tab w:val="left" w:pos="-1440"/>
        </w:tabs>
        <w:spacing w:line="360" w:lineRule="auto"/>
        <w:ind w:left="1440"/>
        <w:contextualSpacing/>
        <w:rPr>
          <w:rFonts w:ascii="Times New Roman" w:hAnsi="Times New Roman"/>
        </w:rPr>
      </w:pPr>
    </w:p>
    <w:p w:rsidRPr="000F36F0" w:rsidR="000F36F0" w:rsidP="000F36F0" w:rsidRDefault="000F36F0">
      <w:pPr>
        <w:tabs>
          <w:tab w:val="left" w:pos="-1440"/>
        </w:tabs>
        <w:spacing w:line="360" w:lineRule="auto"/>
        <w:ind w:left="720"/>
        <w:contextualSpacing/>
        <w:rPr>
          <w:rFonts w:ascii="Times New Roman" w:hAnsi="Times New Roman"/>
          <w:u w:val="single"/>
          <w:lang w:bidi="en-US"/>
        </w:rPr>
      </w:pPr>
      <w:r w:rsidRPr="000F36F0">
        <w:rPr>
          <w:rFonts w:ascii="Times New Roman" w:hAnsi="Times New Roman"/>
          <w:u w:val="single"/>
          <w:lang w:bidi="en-US"/>
        </w:rPr>
        <w:t>Maintain Securities Trading Policies and Procedures – 344.8</w:t>
      </w:r>
    </w:p>
    <w:p w:rsidRPr="009234BE" w:rsidR="009234BE" w:rsidP="000F36F0" w:rsidRDefault="000F36F0">
      <w:pPr>
        <w:tabs>
          <w:tab w:val="left" w:pos="-1440"/>
        </w:tabs>
        <w:spacing w:line="360" w:lineRule="auto"/>
        <w:ind w:left="720"/>
        <w:contextualSpacing/>
        <w:rPr>
          <w:rFonts w:ascii="Times New Roman" w:hAnsi="Times New Roman"/>
        </w:rPr>
      </w:pPr>
      <w:r>
        <w:rPr>
          <w:rFonts w:ascii="Times New Roman" w:hAnsi="Times New Roman"/>
        </w:rPr>
        <w:t>E</w:t>
      </w:r>
      <w:r w:rsidRPr="009234BE" w:rsidR="009234BE">
        <w:rPr>
          <w:rFonts w:ascii="Times New Roman" w:hAnsi="Times New Roman"/>
        </w:rPr>
        <w:t xml:space="preserve">stimated annual burden: </w:t>
      </w:r>
      <w:r>
        <w:rPr>
          <w:rFonts w:ascii="Times New Roman" w:hAnsi="Times New Roman"/>
        </w:rPr>
        <w:t>691</w:t>
      </w:r>
      <w:r w:rsidR="00820109">
        <w:rPr>
          <w:rFonts w:ascii="Times New Roman" w:hAnsi="Times New Roman"/>
        </w:rPr>
        <w:t xml:space="preserve"> </w:t>
      </w:r>
      <w:r w:rsidRPr="009234BE" w:rsidR="00820109">
        <w:rPr>
          <w:rFonts w:ascii="Times New Roman" w:hAnsi="Times New Roman"/>
        </w:rPr>
        <w:t>hours</w:t>
      </w:r>
    </w:p>
    <w:p w:rsidR="009234BE" w:rsidP="000F36F0" w:rsidRDefault="000F36F0">
      <w:pPr>
        <w:tabs>
          <w:tab w:val="left" w:pos="-1440"/>
        </w:tabs>
        <w:spacing w:line="360" w:lineRule="auto"/>
        <w:ind w:left="720"/>
        <w:contextualSpacing/>
        <w:rPr>
          <w:rFonts w:ascii="Times New Roman" w:hAnsi="Times New Roman"/>
        </w:rPr>
      </w:pPr>
      <w:r>
        <w:rPr>
          <w:rFonts w:ascii="Times New Roman" w:hAnsi="Times New Roman"/>
        </w:rPr>
        <w:t>E</w:t>
      </w:r>
      <w:r w:rsidRPr="009234BE" w:rsidR="009234BE">
        <w:rPr>
          <w:rFonts w:ascii="Times New Roman" w:hAnsi="Times New Roman"/>
        </w:rPr>
        <w:t>stimated annual cost is:</w:t>
      </w:r>
      <w:r>
        <w:rPr>
          <w:rFonts w:ascii="Times New Roman" w:hAnsi="Times New Roman"/>
        </w:rPr>
        <w:t xml:space="preserve">  691</w:t>
      </w:r>
      <w:r w:rsidR="00820109">
        <w:rPr>
          <w:rFonts w:ascii="Times New Roman" w:hAnsi="Times New Roman"/>
        </w:rPr>
        <w:t xml:space="preserve"> </w:t>
      </w:r>
      <w:r w:rsidRPr="009234BE" w:rsidR="00820109">
        <w:rPr>
          <w:rFonts w:ascii="Times New Roman" w:hAnsi="Times New Roman"/>
        </w:rPr>
        <w:t>hours</w:t>
      </w:r>
      <w:r w:rsidRPr="009234BE" w:rsidR="009234BE">
        <w:rPr>
          <w:rFonts w:ascii="Times New Roman" w:hAnsi="Times New Roman"/>
        </w:rPr>
        <w:t xml:space="preserve"> x $</w:t>
      </w:r>
      <w:r>
        <w:rPr>
          <w:rFonts w:ascii="Times New Roman" w:hAnsi="Times New Roman"/>
        </w:rPr>
        <w:t>41</w:t>
      </w:r>
      <w:r w:rsidR="007C18CB">
        <w:rPr>
          <w:rFonts w:ascii="Times New Roman" w:hAnsi="Times New Roman"/>
        </w:rPr>
        <w:t>.</w:t>
      </w:r>
      <w:r>
        <w:rPr>
          <w:rFonts w:ascii="Times New Roman" w:hAnsi="Times New Roman"/>
        </w:rPr>
        <w:t>31</w:t>
      </w:r>
      <w:r w:rsidRPr="009234BE" w:rsidR="009234BE">
        <w:rPr>
          <w:rFonts w:ascii="Times New Roman" w:hAnsi="Times New Roman"/>
        </w:rPr>
        <w:t xml:space="preserve"> = $</w:t>
      </w:r>
      <w:r>
        <w:rPr>
          <w:rFonts w:ascii="Times New Roman" w:hAnsi="Times New Roman"/>
        </w:rPr>
        <w:t>28,545</w:t>
      </w:r>
    </w:p>
    <w:p w:rsidR="000F36F0" w:rsidP="009234BE" w:rsidRDefault="000F36F0">
      <w:pPr>
        <w:widowControl/>
        <w:ind w:left="720" w:firstLine="720"/>
        <w:rPr>
          <w:rFonts w:ascii="Times New Roman" w:hAnsi="Times New Roman"/>
        </w:rPr>
      </w:pPr>
    </w:p>
    <w:p w:rsidRPr="000F36F0" w:rsidR="000F36F0" w:rsidP="000F36F0" w:rsidRDefault="000F36F0">
      <w:pPr>
        <w:widowControl/>
        <w:ind w:firstLine="720"/>
        <w:rPr>
          <w:rFonts w:ascii="Times New Roman" w:hAnsi="Times New Roman"/>
          <w:u w:val="single"/>
          <w:lang w:bidi="en-US"/>
        </w:rPr>
      </w:pPr>
      <w:r w:rsidRPr="000F36F0">
        <w:rPr>
          <w:rFonts w:ascii="Times New Roman" w:hAnsi="Times New Roman"/>
          <w:u w:val="single"/>
          <w:lang w:bidi="en-US"/>
        </w:rPr>
        <w:t>Officer/Employee Filing of Reports of Personal Securities Trading Transactions – 344.9</w:t>
      </w:r>
    </w:p>
    <w:p w:rsidR="000F36F0" w:rsidP="000F36F0" w:rsidRDefault="000F36F0">
      <w:pPr>
        <w:widowControl/>
        <w:ind w:firstLine="720"/>
        <w:rPr>
          <w:rFonts w:ascii="Times New Roman" w:hAnsi="Times New Roman"/>
          <w:lang w:bidi="en-US"/>
        </w:rPr>
      </w:pPr>
    </w:p>
    <w:p w:rsidRPr="009234BE" w:rsidR="000F36F0" w:rsidP="000F36F0" w:rsidRDefault="000F36F0">
      <w:pPr>
        <w:tabs>
          <w:tab w:val="left" w:pos="-1440"/>
        </w:tabs>
        <w:spacing w:line="360" w:lineRule="auto"/>
        <w:ind w:left="720"/>
        <w:contextualSpacing/>
        <w:rPr>
          <w:rFonts w:ascii="Times New Roman" w:hAnsi="Times New Roman"/>
        </w:rPr>
      </w:pPr>
      <w:r>
        <w:rPr>
          <w:rFonts w:ascii="Times New Roman" w:hAnsi="Times New Roman"/>
        </w:rPr>
        <w:t>E</w:t>
      </w:r>
      <w:r w:rsidRPr="009234BE">
        <w:rPr>
          <w:rFonts w:ascii="Times New Roman" w:hAnsi="Times New Roman"/>
        </w:rPr>
        <w:t xml:space="preserve">stimated annual burden: </w:t>
      </w:r>
      <w:r>
        <w:rPr>
          <w:rFonts w:ascii="Times New Roman" w:hAnsi="Times New Roman"/>
        </w:rPr>
        <w:t xml:space="preserve">2,073 </w:t>
      </w:r>
      <w:r w:rsidRPr="009234BE">
        <w:rPr>
          <w:rFonts w:ascii="Times New Roman" w:hAnsi="Times New Roman"/>
        </w:rPr>
        <w:t>hours</w:t>
      </w:r>
    </w:p>
    <w:p w:rsidR="000F36F0" w:rsidP="000F36F0" w:rsidRDefault="000F36F0">
      <w:pPr>
        <w:tabs>
          <w:tab w:val="left" w:pos="-1440"/>
        </w:tabs>
        <w:spacing w:line="360" w:lineRule="auto"/>
        <w:ind w:left="720"/>
        <w:contextualSpacing/>
        <w:rPr>
          <w:rFonts w:ascii="Times New Roman" w:hAnsi="Times New Roman"/>
        </w:rPr>
      </w:pPr>
      <w:r>
        <w:rPr>
          <w:rFonts w:ascii="Times New Roman" w:hAnsi="Times New Roman"/>
        </w:rPr>
        <w:t>E</w:t>
      </w:r>
      <w:r w:rsidRPr="009234BE">
        <w:rPr>
          <w:rFonts w:ascii="Times New Roman" w:hAnsi="Times New Roman"/>
        </w:rPr>
        <w:t>stimated annual cost is:</w:t>
      </w:r>
      <w:r>
        <w:rPr>
          <w:rFonts w:ascii="Times New Roman" w:hAnsi="Times New Roman"/>
        </w:rPr>
        <w:t xml:space="preserve"> 2,073 </w:t>
      </w:r>
      <w:r w:rsidRPr="009234BE">
        <w:rPr>
          <w:rFonts w:ascii="Times New Roman" w:hAnsi="Times New Roman"/>
        </w:rPr>
        <w:t>hours x $</w:t>
      </w:r>
      <w:r>
        <w:rPr>
          <w:rFonts w:ascii="Times New Roman" w:hAnsi="Times New Roman"/>
        </w:rPr>
        <w:t>73.09</w:t>
      </w:r>
      <w:r w:rsidRPr="009234BE">
        <w:rPr>
          <w:rFonts w:ascii="Times New Roman" w:hAnsi="Times New Roman"/>
        </w:rPr>
        <w:t xml:space="preserve"> = $</w:t>
      </w:r>
      <w:r>
        <w:rPr>
          <w:rFonts w:ascii="Times New Roman" w:hAnsi="Times New Roman"/>
        </w:rPr>
        <w:t>606,062</w:t>
      </w:r>
    </w:p>
    <w:p w:rsidRPr="009234BE" w:rsidR="000F36F0" w:rsidP="000F36F0" w:rsidRDefault="000F36F0">
      <w:pPr>
        <w:tabs>
          <w:tab w:val="left" w:pos="-1440"/>
        </w:tabs>
        <w:spacing w:line="360" w:lineRule="auto"/>
        <w:ind w:left="720"/>
        <w:contextualSpacing/>
        <w:rPr>
          <w:rFonts w:ascii="Times New Roman" w:hAnsi="Times New Roman"/>
        </w:rPr>
      </w:pPr>
      <w:r>
        <w:rPr>
          <w:rFonts w:ascii="Times New Roman" w:hAnsi="Times New Roman"/>
        </w:rPr>
        <w:lastRenderedPageBreak/>
        <w:t>Total e</w:t>
      </w:r>
      <w:r w:rsidRPr="009234BE">
        <w:rPr>
          <w:rFonts w:ascii="Times New Roman" w:hAnsi="Times New Roman"/>
        </w:rPr>
        <w:t xml:space="preserve">stimated annual burden: </w:t>
      </w:r>
      <w:r>
        <w:rPr>
          <w:rFonts w:ascii="Times New Roman" w:hAnsi="Times New Roman"/>
        </w:rPr>
        <w:t xml:space="preserve">691 + 8,292 = 8,983 </w:t>
      </w:r>
      <w:r w:rsidRPr="009234BE">
        <w:rPr>
          <w:rFonts w:ascii="Times New Roman" w:hAnsi="Times New Roman"/>
        </w:rPr>
        <w:t>hours</w:t>
      </w:r>
    </w:p>
    <w:p w:rsidR="000F36F0" w:rsidP="000F36F0" w:rsidRDefault="00EC31FD">
      <w:pPr>
        <w:tabs>
          <w:tab w:val="left" w:pos="-1440"/>
        </w:tabs>
        <w:spacing w:line="360" w:lineRule="auto"/>
        <w:ind w:left="720"/>
        <w:contextualSpacing/>
        <w:rPr>
          <w:rFonts w:ascii="Times New Roman" w:hAnsi="Times New Roman"/>
        </w:rPr>
      </w:pPr>
      <w:r>
        <w:rPr>
          <w:rFonts w:ascii="Times New Roman" w:hAnsi="Times New Roman"/>
        </w:rPr>
        <w:t>Total e</w:t>
      </w:r>
      <w:r w:rsidRPr="009234BE" w:rsidR="000F36F0">
        <w:rPr>
          <w:rFonts w:ascii="Times New Roman" w:hAnsi="Times New Roman"/>
        </w:rPr>
        <w:t>stimated annual cost is:</w:t>
      </w:r>
      <w:r w:rsidR="000F36F0">
        <w:rPr>
          <w:rFonts w:ascii="Times New Roman" w:hAnsi="Times New Roman"/>
        </w:rPr>
        <w:t xml:space="preserve">  </w:t>
      </w:r>
      <w:r>
        <w:rPr>
          <w:rFonts w:ascii="Times New Roman" w:hAnsi="Times New Roman"/>
        </w:rPr>
        <w:t>$28,545</w:t>
      </w:r>
      <w:r w:rsidR="000F36F0">
        <w:rPr>
          <w:rFonts w:ascii="Times New Roman" w:hAnsi="Times New Roman"/>
        </w:rPr>
        <w:t xml:space="preserve"> </w:t>
      </w:r>
      <w:r>
        <w:rPr>
          <w:rFonts w:ascii="Times New Roman" w:hAnsi="Times New Roman"/>
        </w:rPr>
        <w:t>+</w:t>
      </w:r>
      <w:r w:rsidRPr="009234BE" w:rsidR="000F36F0">
        <w:rPr>
          <w:rFonts w:ascii="Times New Roman" w:hAnsi="Times New Roman"/>
        </w:rPr>
        <w:t xml:space="preserve"> $</w:t>
      </w:r>
      <w:r>
        <w:rPr>
          <w:rFonts w:ascii="Times New Roman" w:hAnsi="Times New Roman"/>
        </w:rPr>
        <w:t>606,062</w:t>
      </w:r>
      <w:r w:rsidRPr="009234BE" w:rsidR="000F36F0">
        <w:rPr>
          <w:rFonts w:ascii="Times New Roman" w:hAnsi="Times New Roman"/>
        </w:rPr>
        <w:t xml:space="preserve"> = $</w:t>
      </w:r>
      <w:r>
        <w:rPr>
          <w:rFonts w:ascii="Times New Roman" w:hAnsi="Times New Roman"/>
        </w:rPr>
        <w:t>634,607</w:t>
      </w:r>
    </w:p>
    <w:p w:rsidR="000F36F0" w:rsidP="00EC31FD" w:rsidRDefault="000F36F0">
      <w:pPr>
        <w:widowControl/>
        <w:rPr>
          <w:rFonts w:ascii="Times New Roman" w:hAnsi="Times New Roman"/>
        </w:rPr>
      </w:pPr>
    </w:p>
    <w:p w:rsidRPr="00EC31FD" w:rsidR="00EC31FD" w:rsidP="00EC31FD" w:rsidRDefault="00EC31FD">
      <w:pPr>
        <w:suppressAutoHyphens/>
        <w:autoSpaceDE w:val="0"/>
        <w:autoSpaceDN w:val="0"/>
        <w:ind w:right="-86"/>
        <w:jc w:val="center"/>
        <w:rPr>
          <w:rFonts w:ascii="Source Sans Pro" w:hAnsi="Source Sans Pro" w:eastAsia="Source Sans Pro" w:cs="Source Sans Pro"/>
          <w:b/>
          <w:snapToGrid/>
          <w:sz w:val="20"/>
          <w:lang w:bidi="en-US"/>
        </w:rPr>
      </w:pPr>
      <w:r w:rsidRPr="00EC31FD">
        <w:rPr>
          <w:rFonts w:ascii="Source Sans Pro" w:hAnsi="Source Sans Pro" w:eastAsia="Source Sans Pro" w:cs="Source Sans Pro"/>
          <w:b/>
          <w:snapToGrid/>
          <w:sz w:val="20"/>
          <w:lang w:bidi="en-US"/>
        </w:rPr>
        <w:t xml:space="preserve">Summary of Hourly Burden Cost Estimate for “Maintain Securities Trading Policies and Procedures -344.8” </w:t>
      </w: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84"/>
        <w:gridCol w:w="2103"/>
        <w:gridCol w:w="1175"/>
        <w:gridCol w:w="2382"/>
      </w:tblGrid>
      <w:tr w:rsidRPr="00EC31FD" w:rsidR="00EC31FD" w:rsidTr="00EC31FD">
        <w:trPr>
          <w:trHeight w:val="53"/>
        </w:trPr>
        <w:tc>
          <w:tcPr>
            <w:tcW w:w="0" w:type="auto"/>
            <w:tcBorders>
              <w:top w:val="single" w:color="auto" w:sz="6" w:space="0"/>
              <w:left w:val="single" w:color="auto" w:sz="6" w:space="0"/>
              <w:bottom w:val="single" w:color="auto" w:sz="6" w:space="0"/>
              <w:right w:val="single" w:color="auto" w:sz="6" w:space="0"/>
            </w:tcBorders>
            <w:shd w:val="clear" w:color="auto" w:fill="BFBFBF"/>
            <w:vAlign w:val="center"/>
            <w:hideMark/>
          </w:tcPr>
          <w:p w:rsidRPr="00EC31FD" w:rsidR="00EC31FD" w:rsidP="00EC31FD" w:rsidRDefault="00EC31FD">
            <w:pPr>
              <w:suppressAutoHyphens/>
              <w:autoSpaceDE w:val="0"/>
              <w:autoSpaceDN w:val="0"/>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Estimated Category of Personnel Responsible for Complying with the PRA Burden </w:t>
            </w:r>
          </w:p>
        </w:tc>
        <w:tc>
          <w:tcPr>
            <w:tcW w:w="0" w:type="auto"/>
            <w:tcBorders>
              <w:top w:val="single" w:color="auto" w:sz="6" w:space="0"/>
              <w:left w:val="single" w:color="auto" w:sz="6" w:space="0"/>
              <w:bottom w:val="single" w:color="auto" w:sz="6" w:space="0"/>
              <w:right w:val="single" w:color="auto" w:sz="6" w:space="0"/>
            </w:tcBorders>
            <w:shd w:val="clear" w:color="auto" w:fill="BFBFBF"/>
            <w:vAlign w:val="center"/>
            <w:hideMark/>
          </w:tcPr>
          <w:p w:rsidRPr="00EC31FD" w:rsidR="00EC31FD" w:rsidP="00EC31FD" w:rsidRDefault="00EC31FD">
            <w:pPr>
              <w:suppressAutoHyphens/>
              <w:autoSpaceDE w:val="0"/>
              <w:autoSpaceDN w:val="0"/>
              <w:jc w:val="center"/>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Total Estimated Hourly Compensation</w:t>
            </w:r>
          </w:p>
        </w:tc>
        <w:tc>
          <w:tcPr>
            <w:tcW w:w="0" w:type="auto"/>
            <w:tcBorders>
              <w:top w:val="single" w:color="auto" w:sz="6" w:space="0"/>
              <w:left w:val="single" w:color="auto" w:sz="6" w:space="0"/>
              <w:bottom w:val="single" w:color="auto" w:sz="6" w:space="0"/>
              <w:right w:val="single" w:color="auto" w:sz="6" w:space="0"/>
            </w:tcBorders>
            <w:shd w:val="clear" w:color="auto" w:fill="BFBFBF"/>
            <w:vAlign w:val="center"/>
            <w:hideMark/>
          </w:tcPr>
          <w:p w:rsidRPr="00EC31FD" w:rsidR="00EC31FD" w:rsidP="00EC31FD" w:rsidRDefault="00EC31FD">
            <w:pPr>
              <w:suppressAutoHyphens/>
              <w:autoSpaceDE w:val="0"/>
              <w:autoSpaceDN w:val="0"/>
              <w:jc w:val="center"/>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Estimated Weights</w:t>
            </w:r>
          </w:p>
        </w:tc>
        <w:tc>
          <w:tcPr>
            <w:tcW w:w="0" w:type="auto"/>
            <w:tcBorders>
              <w:top w:val="single" w:color="auto" w:sz="6" w:space="0"/>
              <w:left w:val="single" w:color="auto" w:sz="6" w:space="0"/>
              <w:bottom w:val="single" w:color="auto" w:sz="6" w:space="0"/>
              <w:right w:val="single" w:color="auto" w:sz="6" w:space="0"/>
            </w:tcBorders>
            <w:shd w:val="clear" w:color="auto" w:fill="BFBFBF"/>
            <w:vAlign w:val="center"/>
            <w:hideMark/>
          </w:tcPr>
          <w:p w:rsidRPr="00EC31FD" w:rsidR="00EC31FD" w:rsidP="00EC31FD" w:rsidRDefault="00EC31FD">
            <w:pPr>
              <w:suppressAutoHyphens/>
              <w:autoSpaceDE w:val="0"/>
              <w:autoSpaceDN w:val="0"/>
              <w:jc w:val="center"/>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Estimated Total Weighted Labor Cost Component</w:t>
            </w:r>
          </w:p>
        </w:tc>
      </w:tr>
      <w:tr w:rsidRPr="00EC31FD" w:rsidR="00EC31FD" w:rsidTr="00AC6C23">
        <w:trPr>
          <w:trHeight w:val="53"/>
        </w:trPr>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Executives and Managers</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$127.80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$0.00 </w:t>
            </w:r>
          </w:p>
        </w:tc>
      </w:tr>
      <w:tr w:rsidRPr="00EC31FD" w:rsidR="00EC31FD" w:rsidTr="00AC6C23">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Lawyers</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$152.86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$0.00 </w:t>
            </w:r>
          </w:p>
        </w:tc>
      </w:tr>
      <w:tr w:rsidRPr="00EC31FD" w:rsidR="00EC31FD" w:rsidTr="00AC6C23">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Compliance Officers</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$67.64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20%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$13.53 </w:t>
            </w:r>
          </w:p>
        </w:tc>
      </w:tr>
      <w:tr w:rsidRPr="00EC31FD" w:rsidR="00EC31FD" w:rsidTr="00AC6C23">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IT Specialists</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$94.28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$0.00 </w:t>
            </w:r>
          </w:p>
        </w:tc>
      </w:tr>
      <w:tr w:rsidRPr="00EC31FD" w:rsidR="00EC31FD" w:rsidTr="00AC6C23">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Financial Analysts</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$82.31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$0.00 </w:t>
            </w:r>
          </w:p>
        </w:tc>
      </w:tr>
      <w:tr w:rsidRPr="00EC31FD" w:rsidR="00EC31FD" w:rsidTr="00AC6C23">
        <w:trPr>
          <w:trHeight w:val="53"/>
        </w:trPr>
        <w:tc>
          <w:tcPr>
            <w:tcW w:w="0" w:type="auto"/>
            <w:tcBorders>
              <w:top w:val="single" w:color="auto" w:sz="6" w:space="0"/>
              <w:left w:val="single" w:color="auto" w:sz="6" w:space="0"/>
              <w:bottom w:val="nil"/>
              <w:right w:val="single" w:color="auto" w:sz="6" w:space="0"/>
            </w:tcBorders>
            <w:shd w:val="clear" w:color="auto" w:fill="auto"/>
            <w:vAlign w:val="center"/>
            <w:hideMark/>
          </w:tcPr>
          <w:p w:rsidRPr="00EC31FD" w:rsidR="00EC31FD" w:rsidP="00EC31FD" w:rsidRDefault="00EC31FD">
            <w:pPr>
              <w:suppressAutoHyphens/>
              <w:autoSpaceDE w:val="0"/>
              <w:autoSpaceDN w:val="0"/>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Clerical</w:t>
            </w:r>
          </w:p>
        </w:tc>
        <w:tc>
          <w:tcPr>
            <w:tcW w:w="0" w:type="auto"/>
            <w:tcBorders>
              <w:top w:val="single" w:color="auto" w:sz="6" w:space="0"/>
              <w:left w:val="single" w:color="auto" w:sz="6" w:space="0"/>
              <w:bottom w:val="nil"/>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$34.73 </w:t>
            </w:r>
          </w:p>
        </w:tc>
        <w:tc>
          <w:tcPr>
            <w:tcW w:w="0" w:type="auto"/>
            <w:tcBorders>
              <w:top w:val="single" w:color="auto" w:sz="6" w:space="0"/>
              <w:left w:val="single" w:color="auto" w:sz="6" w:space="0"/>
              <w:bottom w:val="nil"/>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80%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$27.78 </w:t>
            </w:r>
          </w:p>
        </w:tc>
      </w:tr>
      <w:tr w:rsidRPr="00EC31FD" w:rsidR="00EC31FD" w:rsidTr="00AC6C23">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Total Estimated Weighted Average Hourly Compensation Rate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100%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$41.31</w:t>
            </w:r>
          </w:p>
        </w:tc>
      </w:tr>
    </w:tbl>
    <w:p w:rsidRPr="00EC31FD" w:rsidR="00EC31FD" w:rsidP="00EC31FD" w:rsidRDefault="00EC31FD">
      <w:pPr>
        <w:suppressAutoHyphens/>
        <w:autoSpaceDE w:val="0"/>
        <w:autoSpaceDN w:val="0"/>
        <w:ind w:right="-86"/>
        <w:rPr>
          <w:rFonts w:ascii="Source Sans Pro" w:hAnsi="Source Sans Pro" w:eastAsia="Source Sans Pro" w:cs="Source Sans Pro"/>
          <w:snapToGrid/>
          <w:sz w:val="20"/>
          <w:lang w:bidi="en-US"/>
        </w:rPr>
      </w:pPr>
    </w:p>
    <w:p w:rsidRPr="00EC31FD" w:rsidR="00EC31FD" w:rsidP="00EC31FD" w:rsidRDefault="00EC31FD">
      <w:pPr>
        <w:suppressAutoHyphens/>
        <w:autoSpaceDE w:val="0"/>
        <w:autoSpaceDN w:val="0"/>
        <w:ind w:right="-86"/>
        <w:jc w:val="center"/>
        <w:rPr>
          <w:rFonts w:ascii="Source Sans Pro" w:hAnsi="Source Sans Pro" w:eastAsia="Source Sans Pro" w:cs="Source Sans Pro"/>
          <w:b/>
          <w:snapToGrid/>
          <w:sz w:val="20"/>
          <w:lang w:bidi="en-US"/>
        </w:rPr>
      </w:pPr>
      <w:r w:rsidRPr="00EC31FD">
        <w:rPr>
          <w:rFonts w:ascii="Source Sans Pro" w:hAnsi="Source Sans Pro" w:eastAsia="Source Sans Pro" w:cs="Source Sans Pro"/>
          <w:b/>
          <w:snapToGrid/>
          <w:sz w:val="20"/>
          <w:lang w:bidi="en-US"/>
        </w:rPr>
        <w:t xml:space="preserve">Summary of Hourly Burden Cost Estimate for “Provide Customer with Copy of Broker/Dealer Confirmation and Remuneration Received OR Written Notification or Alternative Notification -344.9” </w:t>
      </w: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84"/>
        <w:gridCol w:w="2103"/>
        <w:gridCol w:w="1175"/>
        <w:gridCol w:w="2382"/>
      </w:tblGrid>
      <w:tr w:rsidRPr="00EC31FD" w:rsidR="00EC31FD" w:rsidTr="00EC31FD">
        <w:trPr>
          <w:trHeight w:val="53"/>
        </w:trPr>
        <w:tc>
          <w:tcPr>
            <w:tcW w:w="0" w:type="auto"/>
            <w:tcBorders>
              <w:top w:val="single" w:color="auto" w:sz="6" w:space="0"/>
              <w:left w:val="single" w:color="auto" w:sz="6" w:space="0"/>
              <w:bottom w:val="single" w:color="auto" w:sz="6" w:space="0"/>
              <w:right w:val="single" w:color="auto" w:sz="6" w:space="0"/>
            </w:tcBorders>
            <w:shd w:val="clear" w:color="auto" w:fill="BFBFBF"/>
            <w:vAlign w:val="center"/>
            <w:hideMark/>
          </w:tcPr>
          <w:p w:rsidRPr="00EC31FD" w:rsidR="00EC31FD" w:rsidP="00EC31FD" w:rsidRDefault="00EC31FD">
            <w:pPr>
              <w:suppressAutoHyphens/>
              <w:autoSpaceDE w:val="0"/>
              <w:autoSpaceDN w:val="0"/>
              <w:ind w:right="-86"/>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Estimated Category of Personnel Responsible for Complying with the PRA Burden </w:t>
            </w:r>
          </w:p>
        </w:tc>
        <w:tc>
          <w:tcPr>
            <w:tcW w:w="0" w:type="auto"/>
            <w:tcBorders>
              <w:top w:val="single" w:color="auto" w:sz="6" w:space="0"/>
              <w:left w:val="single" w:color="auto" w:sz="6" w:space="0"/>
              <w:bottom w:val="single" w:color="auto" w:sz="6" w:space="0"/>
              <w:right w:val="single" w:color="auto" w:sz="6" w:space="0"/>
            </w:tcBorders>
            <w:shd w:val="clear" w:color="auto" w:fill="BFBFBF"/>
            <w:vAlign w:val="center"/>
            <w:hideMark/>
          </w:tcPr>
          <w:p w:rsidRPr="00EC31FD" w:rsidR="00EC31FD" w:rsidP="00EC31FD" w:rsidRDefault="00EC31FD">
            <w:pPr>
              <w:suppressAutoHyphens/>
              <w:autoSpaceDE w:val="0"/>
              <w:autoSpaceDN w:val="0"/>
              <w:ind w:right="-86"/>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Total Estimated Hourly Compensation</w:t>
            </w:r>
          </w:p>
        </w:tc>
        <w:tc>
          <w:tcPr>
            <w:tcW w:w="0" w:type="auto"/>
            <w:tcBorders>
              <w:top w:val="single" w:color="auto" w:sz="6" w:space="0"/>
              <w:left w:val="single" w:color="auto" w:sz="6" w:space="0"/>
              <w:bottom w:val="single" w:color="auto" w:sz="6" w:space="0"/>
              <w:right w:val="single" w:color="auto" w:sz="6" w:space="0"/>
            </w:tcBorders>
            <w:shd w:val="clear" w:color="auto" w:fill="BFBFBF"/>
            <w:vAlign w:val="center"/>
            <w:hideMark/>
          </w:tcPr>
          <w:p w:rsidRPr="00EC31FD" w:rsidR="00EC31FD" w:rsidP="00EC31FD" w:rsidRDefault="00EC31FD">
            <w:pPr>
              <w:suppressAutoHyphens/>
              <w:autoSpaceDE w:val="0"/>
              <w:autoSpaceDN w:val="0"/>
              <w:ind w:right="-86"/>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Estimated Weights</w:t>
            </w:r>
          </w:p>
        </w:tc>
        <w:tc>
          <w:tcPr>
            <w:tcW w:w="0" w:type="auto"/>
            <w:tcBorders>
              <w:top w:val="single" w:color="auto" w:sz="6" w:space="0"/>
              <w:left w:val="single" w:color="auto" w:sz="6" w:space="0"/>
              <w:bottom w:val="single" w:color="auto" w:sz="6" w:space="0"/>
              <w:right w:val="single" w:color="auto" w:sz="6" w:space="0"/>
            </w:tcBorders>
            <w:shd w:val="clear" w:color="auto" w:fill="BFBFBF"/>
            <w:vAlign w:val="center"/>
            <w:hideMark/>
          </w:tcPr>
          <w:p w:rsidRPr="00EC31FD" w:rsidR="00EC31FD" w:rsidP="00EC31FD" w:rsidRDefault="00EC31FD">
            <w:pPr>
              <w:suppressAutoHyphens/>
              <w:autoSpaceDE w:val="0"/>
              <w:autoSpaceDN w:val="0"/>
              <w:ind w:right="-86"/>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Estimated Total Weighted Labor Cost Component</w:t>
            </w:r>
          </w:p>
        </w:tc>
      </w:tr>
      <w:tr w:rsidRPr="00EC31FD" w:rsidR="00EC31FD" w:rsidTr="00AC6C23">
        <w:trPr>
          <w:trHeight w:val="53"/>
        </w:trPr>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ind w:right="-86"/>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Executives and Managers</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$127.80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20%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$25.56 </w:t>
            </w:r>
          </w:p>
        </w:tc>
      </w:tr>
      <w:tr w:rsidRPr="00EC31FD" w:rsidR="00EC31FD" w:rsidTr="00AC6C23">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ind w:right="-86"/>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Lawyers</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$152.86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$0.00 </w:t>
            </w:r>
          </w:p>
        </w:tc>
      </w:tr>
      <w:tr w:rsidRPr="00EC31FD" w:rsidR="00EC31FD" w:rsidTr="00AC6C23">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ind w:right="-86"/>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Compliance Officers</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$67.64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60%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$40.58 </w:t>
            </w:r>
          </w:p>
        </w:tc>
      </w:tr>
      <w:tr w:rsidRPr="00EC31FD" w:rsidR="00EC31FD" w:rsidTr="00AC6C23">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ind w:right="-86"/>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IT Specialists</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$94.28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$0.00 </w:t>
            </w:r>
          </w:p>
        </w:tc>
      </w:tr>
      <w:tr w:rsidRPr="00EC31FD" w:rsidR="00EC31FD" w:rsidTr="00AC6C23">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ind w:right="-86"/>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Financial Analysts</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$82.31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$0.00 </w:t>
            </w:r>
          </w:p>
        </w:tc>
      </w:tr>
      <w:tr w:rsidRPr="00EC31FD" w:rsidR="00EC31FD" w:rsidTr="00AC6C23">
        <w:trPr>
          <w:trHeight w:val="53"/>
        </w:trPr>
        <w:tc>
          <w:tcPr>
            <w:tcW w:w="0" w:type="auto"/>
            <w:tcBorders>
              <w:top w:val="single" w:color="auto" w:sz="6" w:space="0"/>
              <w:left w:val="single" w:color="auto" w:sz="6" w:space="0"/>
              <w:bottom w:val="nil"/>
              <w:right w:val="single" w:color="auto" w:sz="6" w:space="0"/>
            </w:tcBorders>
            <w:shd w:val="clear" w:color="auto" w:fill="auto"/>
            <w:vAlign w:val="center"/>
            <w:hideMark/>
          </w:tcPr>
          <w:p w:rsidRPr="00EC31FD" w:rsidR="00EC31FD" w:rsidP="00EC31FD" w:rsidRDefault="00EC31FD">
            <w:pPr>
              <w:suppressAutoHyphens/>
              <w:autoSpaceDE w:val="0"/>
              <w:autoSpaceDN w:val="0"/>
              <w:ind w:right="-86"/>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Clerical</w:t>
            </w:r>
          </w:p>
        </w:tc>
        <w:tc>
          <w:tcPr>
            <w:tcW w:w="0" w:type="auto"/>
            <w:tcBorders>
              <w:top w:val="single" w:color="auto" w:sz="6" w:space="0"/>
              <w:left w:val="single" w:color="auto" w:sz="6" w:space="0"/>
              <w:bottom w:val="nil"/>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$34.73 </w:t>
            </w:r>
          </w:p>
        </w:tc>
        <w:tc>
          <w:tcPr>
            <w:tcW w:w="0" w:type="auto"/>
            <w:tcBorders>
              <w:top w:val="single" w:color="auto" w:sz="6" w:space="0"/>
              <w:left w:val="single" w:color="auto" w:sz="6" w:space="0"/>
              <w:bottom w:val="nil"/>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20% </w:t>
            </w:r>
          </w:p>
        </w:tc>
        <w:tc>
          <w:tcPr>
            <w:tcW w:w="0" w:type="auto"/>
            <w:tcBorders>
              <w:top w:val="nil"/>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xml:space="preserve">$6.95 </w:t>
            </w:r>
          </w:p>
        </w:tc>
      </w:tr>
      <w:tr w:rsidRPr="00EC31FD" w:rsidR="00EC31FD" w:rsidTr="00AC6C23">
        <w:trPr>
          <w:trHeight w:val="53"/>
        </w:trPr>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ind w:right="-86"/>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Total Estimated Weighted Average Hourly Compensation Rate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100% </w:t>
            </w:r>
          </w:p>
        </w:tc>
        <w:tc>
          <w:tcPr>
            <w:tcW w:w="0" w:type="auto"/>
            <w:tcBorders>
              <w:top w:val="single" w:color="auto" w:sz="6" w:space="0"/>
              <w:left w:val="single" w:color="auto" w:sz="6" w:space="0"/>
              <w:bottom w:val="single" w:color="auto" w:sz="6" w:space="0"/>
              <w:right w:val="single" w:color="auto" w:sz="6" w:space="0"/>
            </w:tcBorders>
            <w:shd w:val="clear" w:color="auto" w:fill="auto"/>
            <w:vAlign w:val="center"/>
            <w:hideMark/>
          </w:tcPr>
          <w:p w:rsidRPr="00EC31FD" w:rsidR="00EC31FD" w:rsidP="00EC31FD" w:rsidRDefault="00EC31FD">
            <w:pPr>
              <w:suppressAutoHyphens/>
              <w:autoSpaceDE w:val="0"/>
              <w:autoSpaceDN w:val="0"/>
              <w:jc w:val="right"/>
              <w:rPr>
                <w:rFonts w:ascii="Source Sans Pro" w:hAnsi="Source Sans Pro" w:eastAsia="Source Sans Pro" w:cs="Source Sans Pro"/>
                <w:snapToGrid/>
                <w:sz w:val="20"/>
                <w:lang w:bidi="en-US"/>
              </w:rPr>
            </w:pPr>
            <w:r w:rsidRPr="00EC31FD">
              <w:rPr>
                <w:rFonts w:ascii="Source Sans Pro" w:hAnsi="Source Sans Pro" w:eastAsia="Source Sans Pro" w:cs="Source Sans Pro"/>
                <w:snapToGrid/>
                <w:sz w:val="20"/>
                <w:lang w:bidi="en-US"/>
              </w:rPr>
              <w:t>$73.09</w:t>
            </w:r>
          </w:p>
        </w:tc>
      </w:tr>
    </w:tbl>
    <w:p w:rsidR="009234BE" w:rsidP="00EC31FD" w:rsidRDefault="00EC31FD">
      <w:pPr>
        <w:widowControl/>
        <w:rPr>
          <w:rFonts w:ascii="Times New Roman" w:hAnsi="Times New Roman"/>
        </w:rPr>
      </w:pPr>
      <w:r w:rsidRPr="00EC31FD">
        <w:rPr>
          <w:rFonts w:ascii="Source Sans Pro" w:hAnsi="Source Sans Pro" w:eastAsia="Source Sans Pro" w:cs="Source Sans Pro"/>
          <w:snapToGrid/>
          <w:sz w:val="20"/>
          <w:lang w:bidi="en-US"/>
        </w:rPr>
        <w:t>Source: Bureau of Labor Statistics: "National Industry-Specific Occupational Employment and Wage Estimates:</w:t>
      </w:r>
    </w:p>
    <w:p w:rsidR="00820109" w:rsidRDefault="00820109">
      <w:pPr>
        <w:widowControl/>
        <w:ind w:left="1152" w:firstLine="288"/>
        <w:rPr>
          <w:rFonts w:ascii="Times New Roman" w:hAnsi="Times New Roman"/>
        </w:rPr>
      </w:pPr>
    </w:p>
    <w:p w:rsidRPr="002423D4" w:rsidR="00F146F1" w:rsidP="002423D4" w:rsidRDefault="002423D4">
      <w:pPr>
        <w:numPr>
          <w:ilvl w:val="0"/>
          <w:numId w:val="4"/>
        </w:numPr>
        <w:tabs>
          <w:tab w:val="left" w:pos="480"/>
          <w:tab w:val="left" w:pos="1080"/>
        </w:tabs>
        <w:suppressAutoHyphens/>
        <w:rPr>
          <w:rFonts w:ascii="Times New Roman" w:hAnsi="Times New Roman"/>
        </w:rPr>
      </w:pPr>
      <w:r w:rsidRPr="00366534">
        <w:rPr>
          <w:rFonts w:ascii="Times New Roman" w:hAnsi="Times New Roman"/>
          <w:u w:val="single"/>
        </w:rPr>
        <w:t>Estimate of start-up cost to respondents:</w:t>
      </w:r>
    </w:p>
    <w:p w:rsidR="00F146F1" w:rsidRDefault="00F146F1">
      <w:pPr>
        <w:widowControl/>
        <w:rPr>
          <w:rFonts w:ascii="Times New Roman" w:hAnsi="Times New Roman"/>
        </w:rPr>
      </w:pPr>
    </w:p>
    <w:p w:rsidR="00F146F1" w:rsidRDefault="002423D4">
      <w:pPr>
        <w:widowControl/>
        <w:ind w:left="720" w:firstLine="720"/>
        <w:rPr>
          <w:rFonts w:ascii="Times New Roman" w:hAnsi="Times New Roman"/>
        </w:rPr>
      </w:pPr>
      <w:r w:rsidRPr="00366534">
        <w:rPr>
          <w:rFonts w:ascii="Times New Roman" w:hAnsi="Times New Roman"/>
        </w:rPr>
        <w:t>There are no anticipated capital, start-up, or operating costs.</w:t>
      </w:r>
    </w:p>
    <w:p w:rsidR="00F146F1" w:rsidRDefault="00F146F1">
      <w:pPr>
        <w:widowControl/>
        <w:rPr>
          <w:rFonts w:ascii="Times New Roman" w:hAnsi="Times New Roman"/>
        </w:rPr>
      </w:pPr>
    </w:p>
    <w:p w:rsidR="00F146F1" w:rsidP="00F175D5" w:rsidRDefault="002423D4">
      <w:pPr>
        <w:widowControl/>
        <w:numPr>
          <w:ilvl w:val="0"/>
          <w:numId w:val="4"/>
        </w:numPr>
        <w:rPr>
          <w:rFonts w:ascii="Times New Roman" w:hAnsi="Times New Roman"/>
        </w:rPr>
      </w:pPr>
      <w:r w:rsidRPr="00243153">
        <w:rPr>
          <w:rFonts w:ascii="Times New Roman" w:hAnsi="Times New Roman"/>
          <w:color w:val="000000"/>
          <w:u w:val="single"/>
        </w:rPr>
        <w:t xml:space="preserve">Estimates of </w:t>
      </w:r>
      <w:r>
        <w:rPr>
          <w:rFonts w:ascii="Times New Roman" w:hAnsi="Times New Roman"/>
          <w:color w:val="000000"/>
          <w:u w:val="single"/>
        </w:rPr>
        <w:t>a</w:t>
      </w:r>
      <w:r w:rsidRPr="00243153">
        <w:rPr>
          <w:rFonts w:ascii="Times New Roman" w:hAnsi="Times New Roman"/>
          <w:color w:val="000000"/>
          <w:u w:val="single"/>
        </w:rPr>
        <w:t xml:space="preserve">nnualized </w:t>
      </w:r>
      <w:r>
        <w:rPr>
          <w:rFonts w:ascii="Times New Roman" w:hAnsi="Times New Roman"/>
          <w:color w:val="000000"/>
          <w:u w:val="single"/>
        </w:rPr>
        <w:t>c</w:t>
      </w:r>
      <w:r w:rsidRPr="00243153">
        <w:rPr>
          <w:rFonts w:ascii="Times New Roman" w:hAnsi="Times New Roman"/>
          <w:color w:val="000000"/>
          <w:u w:val="single"/>
        </w:rPr>
        <w:t xml:space="preserve">ost to the </w:t>
      </w:r>
      <w:r>
        <w:rPr>
          <w:rFonts w:ascii="Times New Roman" w:hAnsi="Times New Roman"/>
          <w:color w:val="000000"/>
          <w:u w:val="single"/>
        </w:rPr>
        <w:t>f</w:t>
      </w:r>
      <w:r w:rsidRPr="00243153">
        <w:rPr>
          <w:rFonts w:ascii="Times New Roman" w:hAnsi="Times New Roman"/>
          <w:color w:val="000000"/>
          <w:u w:val="single"/>
        </w:rPr>
        <w:t xml:space="preserve">ederal </w:t>
      </w:r>
      <w:r w:rsidRPr="00366534">
        <w:rPr>
          <w:rFonts w:ascii="Times New Roman" w:hAnsi="Times New Roman"/>
          <w:color w:val="000000"/>
          <w:u w:val="single"/>
        </w:rPr>
        <w:t>government:</w:t>
      </w:r>
    </w:p>
    <w:p w:rsidR="00F146F1" w:rsidRDefault="00F146F1">
      <w:pPr>
        <w:widowControl/>
        <w:rPr>
          <w:rFonts w:ascii="Times New Roman" w:hAnsi="Times New Roman"/>
        </w:rPr>
      </w:pPr>
    </w:p>
    <w:p w:rsidR="00F146F1" w:rsidRDefault="00F146F1">
      <w:pPr>
        <w:widowControl/>
        <w:ind w:left="1440"/>
        <w:rPr>
          <w:rFonts w:ascii="Times New Roman" w:hAnsi="Times New Roman"/>
        </w:rPr>
      </w:pPr>
      <w:r>
        <w:rPr>
          <w:rFonts w:ascii="Times New Roman" w:hAnsi="Times New Roman"/>
        </w:rPr>
        <w:t xml:space="preserve">None. </w:t>
      </w:r>
    </w:p>
    <w:p w:rsidR="00F146F1" w:rsidRDefault="00F146F1">
      <w:pPr>
        <w:widowControl/>
        <w:ind w:left="1440"/>
        <w:rPr>
          <w:rFonts w:ascii="Times New Roman" w:hAnsi="Times New Roman"/>
        </w:rPr>
      </w:pPr>
    </w:p>
    <w:p w:rsidRPr="009234BE" w:rsidR="00F146F1" w:rsidP="002423D4" w:rsidRDefault="002423D4">
      <w:pPr>
        <w:numPr>
          <w:ilvl w:val="0"/>
          <w:numId w:val="4"/>
        </w:numPr>
        <w:tabs>
          <w:tab w:val="left" w:pos="480"/>
          <w:tab w:val="left" w:pos="1080"/>
          <w:tab w:val="left" w:pos="1680"/>
        </w:tabs>
        <w:suppressAutoHyphens/>
        <w:rPr>
          <w:rFonts w:ascii="Times New Roman" w:hAnsi="Times New Roman"/>
        </w:rPr>
      </w:pPr>
      <w:r w:rsidRPr="009234BE">
        <w:rPr>
          <w:rFonts w:ascii="Times New Roman" w:hAnsi="Times New Roman"/>
          <w:u w:val="single"/>
        </w:rPr>
        <w:t>Analysis of change in burden:</w:t>
      </w:r>
    </w:p>
    <w:p w:rsidR="00F146F1" w:rsidRDefault="00F146F1">
      <w:pPr>
        <w:widowControl/>
        <w:rPr>
          <w:rFonts w:ascii="Times New Roman" w:hAnsi="Times New Roman"/>
        </w:rPr>
      </w:pPr>
    </w:p>
    <w:p w:rsidRPr="000455A1" w:rsidR="004D178A" w:rsidP="000455A1" w:rsidRDefault="000455A1">
      <w:pPr>
        <w:widowControl/>
        <w:ind w:left="1440"/>
      </w:pPr>
      <w:r w:rsidRPr="000455A1">
        <w:rPr>
          <w:rFonts w:ascii="Times New Roman" w:hAnsi="Times New Roman"/>
        </w:rPr>
        <w:t xml:space="preserve">Sections 344.4, 344.5, and 344.6 refer to reporting and third party disclosure burdens associated with confirmation of securities transactions. These burdens were estimated to total 42,840 hours per year for FDIC-supervised institutions in the previous renewal. </w:t>
      </w:r>
      <w:r>
        <w:rPr>
          <w:rFonts w:ascii="Times New Roman" w:hAnsi="Times New Roman"/>
        </w:rPr>
        <w:t>FDIC</w:t>
      </w:r>
      <w:r w:rsidRPr="000455A1">
        <w:rPr>
          <w:rFonts w:ascii="Times New Roman" w:hAnsi="Times New Roman"/>
        </w:rPr>
        <w:t xml:space="preserve"> believes these burdens are likely to be borne in the normal course of business.  Specifically, for fiduciary activities, the securities transaction and confirmation information</w:t>
      </w:r>
      <w:r w:rsidRPr="000455A1">
        <w:rPr>
          <w:rFonts w:ascii="Times New Roman" w:hAnsi="Times New Roman"/>
        </w:rPr>
        <w:t/>
      </w:r>
      <w:r w:rsidRPr="000455A1">
        <w:rPr>
          <w:rFonts w:ascii="Times New Roman" w:hAnsi="Times New Roman"/>
        </w:rPr>
        <w:t xml:space="preserve"> is maintained in the trust accounting system in the course of business and banks notify customers of securities </w:t>
      </w:r>
      <w:r w:rsidRPr="000455A1">
        <w:rPr>
          <w:rFonts w:ascii="Times New Roman" w:hAnsi="Times New Roman"/>
        </w:rPr>
        <w:lastRenderedPageBreak/>
        <w:t xml:space="preserve">transactions via periodic statements. The banks would do these things even if 12 CFR 344 were not in place.  </w:t>
      </w:r>
      <w:r w:rsidRPr="00820109" w:rsidR="009234BE">
        <w:rPr>
          <w:rFonts w:ascii="Times New Roman" w:hAnsi="Times New Roman"/>
        </w:rPr>
        <w:t xml:space="preserve">The </w:t>
      </w:r>
      <w:r w:rsidR="00820109">
        <w:rPr>
          <w:rFonts w:ascii="Times New Roman" w:hAnsi="Times New Roman"/>
        </w:rPr>
        <w:t>decrease</w:t>
      </w:r>
      <w:r>
        <w:rPr>
          <w:rFonts w:ascii="Times New Roman" w:hAnsi="Times New Roman"/>
        </w:rPr>
        <w:t xml:space="preserve"> in burden is the </w:t>
      </w:r>
      <w:r w:rsidRPr="00820109" w:rsidR="009234BE">
        <w:rPr>
          <w:rFonts w:ascii="Times New Roman" w:hAnsi="Times New Roman"/>
        </w:rPr>
        <w:t xml:space="preserve">result of </w:t>
      </w:r>
      <w:r w:rsidRPr="00820109" w:rsidR="00820109">
        <w:rPr>
          <w:rFonts w:ascii="Times New Roman" w:hAnsi="Times New Roman"/>
        </w:rPr>
        <w:t xml:space="preserve">the </w:t>
      </w:r>
      <w:r>
        <w:rPr>
          <w:rFonts w:ascii="Times New Roman" w:hAnsi="Times New Roman"/>
        </w:rPr>
        <w:t xml:space="preserve">foregoing and </w:t>
      </w:r>
      <w:r w:rsidRPr="00EC31FD" w:rsidR="00EC31FD">
        <w:rPr>
          <w:rFonts w:ascii="Times New Roman" w:hAnsi="Times New Roman"/>
          <w:lang w:bidi="en-US"/>
        </w:rPr>
        <w:t>the decrease in estimated number of respondents</w:t>
      </w:r>
      <w:r w:rsidR="00EC31FD">
        <w:rPr>
          <w:rFonts w:ascii="Times New Roman" w:hAnsi="Times New Roman"/>
          <w:lang w:bidi="en-US"/>
        </w:rPr>
        <w:t>,</w:t>
      </w:r>
      <w:r w:rsidR="004D178A">
        <w:rPr>
          <w:rFonts w:ascii="Times New Roman" w:hAnsi="Times New Roman"/>
        </w:rPr>
        <w:t xml:space="preserve"> </w:t>
      </w:r>
      <w:bookmarkStart w:name="_GoBack" w:id="1"/>
      <w:bookmarkEnd w:id="1"/>
    </w:p>
    <w:p w:rsidR="00D5774D" w:rsidP="003548EB" w:rsidRDefault="00D5774D">
      <w:pPr>
        <w:widowControl/>
        <w:ind w:left="1440"/>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Information regarding collections whose results are planned to be published for statistical use:</w:t>
      </w:r>
    </w:p>
    <w:p w:rsidR="00F146F1" w:rsidRDefault="00F146F1">
      <w:pPr>
        <w:widowControl/>
        <w:rPr>
          <w:rFonts w:ascii="Times New Roman" w:hAnsi="Times New Roman"/>
        </w:rPr>
      </w:pPr>
    </w:p>
    <w:p w:rsidR="00820109" w:rsidP="00573F81" w:rsidRDefault="00573F81">
      <w:pPr>
        <w:widowControl/>
        <w:ind w:left="1296" w:firstLine="144"/>
        <w:rPr>
          <w:rFonts w:ascii="Times New Roman" w:hAnsi="Times New Roman"/>
        </w:rPr>
      </w:pPr>
      <w:r w:rsidRPr="00573F81">
        <w:rPr>
          <w:rFonts w:ascii="Times New Roman" w:hAnsi="Times New Roman"/>
        </w:rPr>
        <w:t>Th</w:t>
      </w:r>
      <w:r w:rsidR="00EC31FD">
        <w:rPr>
          <w:rFonts w:ascii="Times New Roman" w:hAnsi="Times New Roman"/>
        </w:rPr>
        <w:t>e</w:t>
      </w:r>
      <w:r w:rsidRPr="00573F81">
        <w:rPr>
          <w:rFonts w:ascii="Times New Roman" w:hAnsi="Times New Roman"/>
        </w:rPr>
        <w:t xml:space="preserve"> information contained in this collection is not published</w:t>
      </w:r>
      <w:r w:rsidR="00C856F6">
        <w:rPr>
          <w:rFonts w:ascii="Times New Roman" w:hAnsi="Times New Roman"/>
        </w:rPr>
        <w:t>.</w:t>
      </w:r>
    </w:p>
    <w:p w:rsidR="00820109" w:rsidRDefault="00820109">
      <w:pPr>
        <w:widowControl/>
        <w:rPr>
          <w:rFonts w:ascii="Times New Roman" w:hAnsi="Times New Roman"/>
        </w:rPr>
      </w:pPr>
    </w:p>
    <w:p w:rsidR="00F146F1" w:rsidP="00F175D5" w:rsidRDefault="00C856F6">
      <w:pPr>
        <w:widowControl/>
        <w:numPr>
          <w:ilvl w:val="0"/>
          <w:numId w:val="4"/>
        </w:numPr>
        <w:rPr>
          <w:rFonts w:ascii="Times New Roman" w:hAnsi="Times New Roman"/>
        </w:rPr>
      </w:pPr>
      <w:r w:rsidRPr="00366534">
        <w:rPr>
          <w:rFonts w:ascii="Times New Roman" w:hAnsi="Times New Roman"/>
          <w:u w:val="single"/>
        </w:rPr>
        <w:t>Exceptions to expiration date display</w:t>
      </w:r>
      <w:r>
        <w:rPr>
          <w:rFonts w:ascii="Times New Roman" w:hAnsi="Times New Roman"/>
          <w:u w:val="single"/>
        </w:rPr>
        <w:t>:</w:t>
      </w:r>
    </w:p>
    <w:p w:rsidR="00F146F1" w:rsidRDefault="00F146F1">
      <w:pPr>
        <w:widowControl/>
        <w:rPr>
          <w:rFonts w:ascii="Times New Roman" w:hAnsi="Times New Roman"/>
        </w:rPr>
      </w:pPr>
    </w:p>
    <w:p w:rsidR="00F146F1" w:rsidP="00820109" w:rsidRDefault="00820109">
      <w:pPr>
        <w:widowControl/>
        <w:ind w:left="1296" w:firstLine="144"/>
        <w:rPr>
          <w:rFonts w:ascii="Times New Roman" w:hAnsi="Times New Roman"/>
        </w:rPr>
      </w:pPr>
      <w:r w:rsidRPr="00820109">
        <w:rPr>
          <w:rFonts w:ascii="Times New Roman" w:hAnsi="Times New Roman"/>
        </w:rPr>
        <w:t>Not applicable.</w:t>
      </w:r>
      <w:r w:rsidR="00F146F1">
        <w:rPr>
          <w:rFonts w:ascii="Times New Roman" w:hAnsi="Times New Roman"/>
        </w:rPr>
        <w:t xml:space="preserve"> </w:t>
      </w:r>
    </w:p>
    <w:p w:rsidR="00EC31FD" w:rsidP="00820109" w:rsidRDefault="00EC31FD">
      <w:pPr>
        <w:widowControl/>
        <w:ind w:left="1296" w:firstLine="144"/>
        <w:rPr>
          <w:rFonts w:ascii="Times New Roman" w:hAnsi="Times New Roman"/>
        </w:rPr>
      </w:pPr>
    </w:p>
    <w:p w:rsidR="00F146F1" w:rsidP="00F175D5" w:rsidRDefault="00C856F6">
      <w:pPr>
        <w:widowControl/>
        <w:numPr>
          <w:ilvl w:val="0"/>
          <w:numId w:val="4"/>
        </w:numPr>
        <w:rPr>
          <w:rFonts w:ascii="Times New Roman" w:hAnsi="Times New Roman"/>
        </w:rPr>
      </w:pPr>
      <w:r>
        <w:rPr>
          <w:rFonts w:ascii="Times New Roman" w:hAnsi="Times New Roman"/>
          <w:u w:val="single"/>
        </w:rPr>
        <w:t>Exceptions to c</w:t>
      </w:r>
      <w:r w:rsidRPr="00366534">
        <w:rPr>
          <w:rFonts w:ascii="Times New Roman" w:hAnsi="Times New Roman"/>
          <w:u w:val="single"/>
        </w:rPr>
        <w:t>ertification</w:t>
      </w:r>
      <w:r>
        <w:rPr>
          <w:rFonts w:ascii="Times New Roman" w:hAnsi="Times New Roman"/>
          <w:u w:val="single"/>
        </w:rPr>
        <w:t>:</w:t>
      </w:r>
    </w:p>
    <w:p w:rsidR="00F146F1" w:rsidRDefault="00F146F1">
      <w:pPr>
        <w:widowControl/>
        <w:rPr>
          <w:rFonts w:ascii="Times New Roman" w:hAnsi="Times New Roman"/>
        </w:rPr>
      </w:pPr>
    </w:p>
    <w:p w:rsidR="00F146F1" w:rsidRDefault="00F146F1">
      <w:pPr>
        <w:widowControl/>
        <w:ind w:left="1296" w:firstLine="144"/>
        <w:rPr>
          <w:rFonts w:ascii="Times New Roman" w:hAnsi="Times New Roman"/>
        </w:rPr>
      </w:pPr>
      <w:r>
        <w:rPr>
          <w:rFonts w:ascii="Times New Roman" w:hAnsi="Times New Roman"/>
        </w:rPr>
        <w:t xml:space="preserve">None. </w:t>
      </w:r>
    </w:p>
    <w:p w:rsidR="00F146F1" w:rsidRDefault="00F146F1">
      <w:pPr>
        <w:pStyle w:val="Footer"/>
        <w:widowControl/>
        <w:tabs>
          <w:tab w:val="clear" w:pos="4320"/>
          <w:tab w:val="clear" w:pos="8640"/>
        </w:tabs>
        <w:rPr>
          <w:rFonts w:ascii="Times New Roman" w:hAnsi="Times New Roman"/>
        </w:rPr>
      </w:pPr>
    </w:p>
    <w:p w:rsidR="00F146F1" w:rsidP="0024672A" w:rsidRDefault="00F146F1">
      <w:pPr>
        <w:widowControl/>
        <w:numPr>
          <w:ilvl w:val="0"/>
          <w:numId w:val="2"/>
        </w:numPr>
        <w:rPr>
          <w:rFonts w:ascii="Times New Roman" w:hAnsi="Times New Roman"/>
        </w:rPr>
      </w:pPr>
      <w:r>
        <w:rPr>
          <w:rFonts w:ascii="Times New Roman" w:hAnsi="Times New Roman"/>
          <w:u w:val="single"/>
        </w:rPr>
        <w:t>STATISTICAL METHODS</w:t>
      </w:r>
    </w:p>
    <w:p w:rsidR="00F146F1" w:rsidRDefault="00F146F1">
      <w:pPr>
        <w:widowControl/>
        <w:rPr>
          <w:rFonts w:ascii="Times New Roman" w:hAnsi="Times New Roman"/>
        </w:rPr>
      </w:pPr>
    </w:p>
    <w:p w:rsidR="00F146F1" w:rsidRDefault="00C856F6">
      <w:pPr>
        <w:ind w:firstLine="720"/>
      </w:pPr>
      <w:r>
        <w:rPr>
          <w:rFonts w:ascii="Times New Roman" w:hAnsi="Times New Roman"/>
        </w:rPr>
        <w:t>Statistical methods are not employed in this collection.</w:t>
      </w:r>
    </w:p>
    <w:sectPr w:rsidR="00F146F1" w:rsidSect="00B91D2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271" w:rsidRDefault="00360271" w:rsidP="00FE0498">
      <w:r>
        <w:separator/>
      </w:r>
    </w:p>
  </w:endnote>
  <w:endnote w:type="continuationSeparator" w:id="0">
    <w:p w:rsidR="00360271" w:rsidRDefault="00360271" w:rsidP="00FE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B6E" w:rsidRPr="00AB4B6E" w:rsidRDefault="00AB4B6E">
    <w:pPr>
      <w:pStyle w:val="Footer"/>
      <w:jc w:val="center"/>
      <w:rPr>
        <w:rFonts w:ascii="Times New Roman" w:hAnsi="Times New Roman"/>
      </w:rPr>
    </w:pPr>
    <w:r w:rsidRPr="00AB4B6E">
      <w:rPr>
        <w:rFonts w:ascii="Times New Roman" w:hAnsi="Times New Roman"/>
      </w:rPr>
      <w:fldChar w:fldCharType="begin"/>
    </w:r>
    <w:r w:rsidRPr="00AB4B6E">
      <w:rPr>
        <w:rFonts w:ascii="Times New Roman" w:hAnsi="Times New Roman"/>
      </w:rPr>
      <w:instrText xml:space="preserve"> PAGE   \* MERGEFORMAT </w:instrText>
    </w:r>
    <w:r w:rsidRPr="00AB4B6E">
      <w:rPr>
        <w:rFonts w:ascii="Times New Roman" w:hAnsi="Times New Roman"/>
      </w:rPr>
      <w:fldChar w:fldCharType="separate"/>
    </w:r>
    <w:r w:rsidR="000455A1">
      <w:rPr>
        <w:rFonts w:ascii="Times New Roman" w:hAnsi="Times New Roman"/>
        <w:noProof/>
      </w:rPr>
      <w:t>6</w:t>
    </w:r>
    <w:r w:rsidRPr="00AB4B6E">
      <w:rPr>
        <w:rFonts w:ascii="Times New Roman" w:hAnsi="Times New Roman"/>
        <w:noProof/>
      </w:rPr>
      <w:fldChar w:fldCharType="end"/>
    </w:r>
  </w:p>
  <w:p w:rsidR="00AB4B6E" w:rsidRDefault="00AB4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271" w:rsidRDefault="00360271" w:rsidP="00FE0498">
      <w:r>
        <w:separator/>
      </w:r>
    </w:p>
  </w:footnote>
  <w:footnote w:type="continuationSeparator" w:id="0">
    <w:p w:rsidR="00360271" w:rsidRDefault="00360271" w:rsidP="00FE0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23C"/>
    <w:multiLevelType w:val="hybridMultilevel"/>
    <w:tmpl w:val="6ED445DA"/>
    <w:lvl w:ilvl="0" w:tplc="AD0EA860">
      <w:start w:val="1"/>
      <w:numFmt w:val="decimal"/>
      <w:lvlText w:val="%1."/>
      <w:lvlJc w:val="left"/>
      <w:pPr>
        <w:ind w:left="1440" w:hanging="864"/>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2" w15:restartNumberingAfterBreak="0">
    <w:nsid w:val="24411919"/>
    <w:multiLevelType w:val="hybridMultilevel"/>
    <w:tmpl w:val="6E22AAEC"/>
    <w:lvl w:ilvl="0" w:tplc="AD0EA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446CD4"/>
    <w:multiLevelType w:val="hybridMultilevel"/>
    <w:tmpl w:val="BA4A5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E1733"/>
    <w:multiLevelType w:val="hybridMultilevel"/>
    <w:tmpl w:val="D4CE66DC"/>
    <w:lvl w:ilvl="0" w:tplc="906279D0">
      <w:start w:val="1"/>
      <w:numFmt w:val="decimal"/>
      <w:lvlText w:val="%1."/>
      <w:lvlJc w:val="left"/>
      <w:pPr>
        <w:ind w:left="720" w:hanging="360"/>
      </w:pPr>
      <w:rPr>
        <w:rFonts w:ascii="Source Sans Pro" w:eastAsia="Source Sans Pro" w:hAnsi="Source Sans Pro" w:cs="Source Sans P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7436B8"/>
    <w:multiLevelType w:val="hybridMultilevel"/>
    <w:tmpl w:val="FD229DEA"/>
    <w:lvl w:ilvl="0" w:tplc="AA9485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3A"/>
    <w:rsid w:val="000305E9"/>
    <w:rsid w:val="00041792"/>
    <w:rsid w:val="000455A1"/>
    <w:rsid w:val="000467FC"/>
    <w:rsid w:val="00091BEA"/>
    <w:rsid w:val="000E621B"/>
    <w:rsid w:val="000F36F0"/>
    <w:rsid w:val="000F78A5"/>
    <w:rsid w:val="00133277"/>
    <w:rsid w:val="00161F22"/>
    <w:rsid w:val="0019296B"/>
    <w:rsid w:val="001B6E46"/>
    <w:rsid w:val="001C1315"/>
    <w:rsid w:val="002259F8"/>
    <w:rsid w:val="002423D4"/>
    <w:rsid w:val="00244DE1"/>
    <w:rsid w:val="0024672A"/>
    <w:rsid w:val="00257FD9"/>
    <w:rsid w:val="00263676"/>
    <w:rsid w:val="00275749"/>
    <w:rsid w:val="002761FD"/>
    <w:rsid w:val="00280958"/>
    <w:rsid w:val="00293E01"/>
    <w:rsid w:val="002D08FA"/>
    <w:rsid w:val="002E7411"/>
    <w:rsid w:val="003548EB"/>
    <w:rsid w:val="00360271"/>
    <w:rsid w:val="00397D8A"/>
    <w:rsid w:val="003B6611"/>
    <w:rsid w:val="00403156"/>
    <w:rsid w:val="00440BFE"/>
    <w:rsid w:val="00450EA2"/>
    <w:rsid w:val="004610F8"/>
    <w:rsid w:val="004A1DB1"/>
    <w:rsid w:val="004A735C"/>
    <w:rsid w:val="004A75C2"/>
    <w:rsid w:val="004D178A"/>
    <w:rsid w:val="004D39FB"/>
    <w:rsid w:val="00573F81"/>
    <w:rsid w:val="00577D56"/>
    <w:rsid w:val="00583579"/>
    <w:rsid w:val="005C3A95"/>
    <w:rsid w:val="005D7D11"/>
    <w:rsid w:val="006004DF"/>
    <w:rsid w:val="00665011"/>
    <w:rsid w:val="00685D84"/>
    <w:rsid w:val="006C40EC"/>
    <w:rsid w:val="006D363B"/>
    <w:rsid w:val="006E7CE7"/>
    <w:rsid w:val="00712BA4"/>
    <w:rsid w:val="007C18CB"/>
    <w:rsid w:val="007C7C88"/>
    <w:rsid w:val="007E19E5"/>
    <w:rsid w:val="00820109"/>
    <w:rsid w:val="0086148F"/>
    <w:rsid w:val="008D5746"/>
    <w:rsid w:val="00915517"/>
    <w:rsid w:val="009234BE"/>
    <w:rsid w:val="00940034"/>
    <w:rsid w:val="009533E6"/>
    <w:rsid w:val="00966D55"/>
    <w:rsid w:val="009A2D61"/>
    <w:rsid w:val="009D2562"/>
    <w:rsid w:val="00A07FF0"/>
    <w:rsid w:val="00A352C5"/>
    <w:rsid w:val="00A64346"/>
    <w:rsid w:val="00A9693A"/>
    <w:rsid w:val="00AB4B6E"/>
    <w:rsid w:val="00AC65F4"/>
    <w:rsid w:val="00AC6C23"/>
    <w:rsid w:val="00AF457E"/>
    <w:rsid w:val="00B10980"/>
    <w:rsid w:val="00B37694"/>
    <w:rsid w:val="00B84F00"/>
    <w:rsid w:val="00B91D2F"/>
    <w:rsid w:val="00BD100A"/>
    <w:rsid w:val="00BE42C9"/>
    <w:rsid w:val="00C2127E"/>
    <w:rsid w:val="00C378BA"/>
    <w:rsid w:val="00C40A1A"/>
    <w:rsid w:val="00C47693"/>
    <w:rsid w:val="00C85089"/>
    <w:rsid w:val="00C856F6"/>
    <w:rsid w:val="00CC631A"/>
    <w:rsid w:val="00D07D24"/>
    <w:rsid w:val="00D463FB"/>
    <w:rsid w:val="00D5774D"/>
    <w:rsid w:val="00D61C76"/>
    <w:rsid w:val="00DB3B4B"/>
    <w:rsid w:val="00DE7B91"/>
    <w:rsid w:val="00DF6607"/>
    <w:rsid w:val="00E25D2F"/>
    <w:rsid w:val="00E57520"/>
    <w:rsid w:val="00E57EA2"/>
    <w:rsid w:val="00EC31FD"/>
    <w:rsid w:val="00ED4700"/>
    <w:rsid w:val="00EE7AE6"/>
    <w:rsid w:val="00EF4F6D"/>
    <w:rsid w:val="00F146F1"/>
    <w:rsid w:val="00F175D5"/>
    <w:rsid w:val="00F611B1"/>
    <w:rsid w:val="00F64A3B"/>
    <w:rsid w:val="00F85608"/>
    <w:rsid w:val="00FA0B60"/>
    <w:rsid w:val="00FA4D5D"/>
    <w:rsid w:val="00FA5B95"/>
    <w:rsid w:val="00FE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C7364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Hyperlink">
    <w:name w:val="Hyperlink"/>
    <w:uiPriority w:val="99"/>
    <w:unhideWhenUsed/>
    <w:rsid w:val="00FE0498"/>
    <w:rPr>
      <w:color w:val="0000FF"/>
      <w:u w:val="single"/>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locked/>
    <w:rsid w:val="00FE0498"/>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ALTS FOOTNOTE"/>
    <w:basedOn w:val="Normal"/>
    <w:link w:val="FootnoteTextChar"/>
    <w:uiPriority w:val="99"/>
    <w:unhideWhenUsed/>
    <w:qFormat/>
    <w:rsid w:val="00FE0498"/>
    <w:pPr>
      <w:widowControl/>
    </w:pPr>
    <w:rPr>
      <w:rFonts w:ascii="Times New Roman" w:hAnsi="Times New Roman"/>
      <w:snapToGrid/>
      <w:sz w:val="20"/>
    </w:rPr>
  </w:style>
  <w:style w:type="character" w:customStyle="1" w:styleId="FootnoteTextChar1">
    <w:name w:val="Footnote Text Char1"/>
    <w:rsid w:val="00FE0498"/>
    <w:rPr>
      <w:rFonts w:ascii="Courier" w:hAnsi="Courier"/>
      <w:snapToGrid w:val="0"/>
    </w:rPr>
  </w:style>
  <w:style w:type="paragraph" w:customStyle="1" w:styleId="Default">
    <w:name w:val="Default"/>
    <w:rsid w:val="00FE0498"/>
    <w:pPr>
      <w:autoSpaceDE w:val="0"/>
      <w:autoSpaceDN w:val="0"/>
      <w:adjustRightInd w:val="0"/>
    </w:pPr>
    <w:rPr>
      <w:color w:val="000000"/>
      <w:sz w:val="24"/>
      <w:szCs w:val="24"/>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Nota"/>
    <w:uiPriority w:val="99"/>
    <w:unhideWhenUsed/>
    <w:qFormat/>
    <w:rsid w:val="00FE0498"/>
    <w:rPr>
      <w:vertAlign w:val="superscript"/>
    </w:rPr>
  </w:style>
  <w:style w:type="character" w:styleId="FollowedHyperlink">
    <w:name w:val="FollowedHyperlink"/>
    <w:rsid w:val="000305E9"/>
    <w:rPr>
      <w:color w:val="800080"/>
      <w:u w:val="single"/>
    </w:rPr>
  </w:style>
  <w:style w:type="paragraph" w:styleId="BalloonText">
    <w:name w:val="Balloon Text"/>
    <w:basedOn w:val="Normal"/>
    <w:link w:val="BalloonTextChar"/>
    <w:rsid w:val="009533E6"/>
    <w:rPr>
      <w:rFonts w:ascii="Tahoma" w:hAnsi="Tahoma" w:cs="Tahoma"/>
      <w:sz w:val="16"/>
      <w:szCs w:val="16"/>
    </w:rPr>
  </w:style>
  <w:style w:type="character" w:customStyle="1" w:styleId="BalloonTextChar">
    <w:name w:val="Balloon Text Char"/>
    <w:link w:val="BalloonText"/>
    <w:rsid w:val="009533E6"/>
    <w:rPr>
      <w:rFonts w:ascii="Tahoma" w:hAnsi="Tahoma" w:cs="Tahoma"/>
      <w:snapToGrid w:val="0"/>
      <w:sz w:val="16"/>
      <w:szCs w:val="16"/>
    </w:rPr>
  </w:style>
  <w:style w:type="paragraph" w:styleId="Header">
    <w:name w:val="header"/>
    <w:basedOn w:val="Normal"/>
    <w:link w:val="HeaderChar"/>
    <w:rsid w:val="00AB4B6E"/>
    <w:pPr>
      <w:tabs>
        <w:tab w:val="center" w:pos="4680"/>
        <w:tab w:val="right" w:pos="9360"/>
      </w:tabs>
    </w:pPr>
  </w:style>
  <w:style w:type="character" w:customStyle="1" w:styleId="HeaderChar">
    <w:name w:val="Header Char"/>
    <w:link w:val="Header"/>
    <w:rsid w:val="00AB4B6E"/>
    <w:rPr>
      <w:rFonts w:ascii="Courier" w:hAnsi="Courier"/>
      <w:snapToGrid w:val="0"/>
      <w:sz w:val="24"/>
    </w:rPr>
  </w:style>
  <w:style w:type="character" w:customStyle="1" w:styleId="FooterChar">
    <w:name w:val="Footer Char"/>
    <w:link w:val="Footer"/>
    <w:uiPriority w:val="99"/>
    <w:rsid w:val="00AB4B6E"/>
    <w:rPr>
      <w:rFonts w:ascii="Courier" w:hAnsi="Courier"/>
      <w:snapToGrid w:val="0"/>
      <w:sz w:val="24"/>
    </w:rPr>
  </w:style>
  <w:style w:type="character" w:customStyle="1" w:styleId="normaltextrun">
    <w:name w:val="normaltextrun"/>
    <w:rsid w:val="009234BE"/>
  </w:style>
  <w:style w:type="character" w:customStyle="1" w:styleId="eop">
    <w:name w:val="eop"/>
    <w:rsid w:val="009234BE"/>
  </w:style>
  <w:style w:type="table" w:styleId="TableGrid">
    <w:name w:val="Table Grid"/>
    <w:basedOn w:val="TableNormal"/>
    <w:uiPriority w:val="39"/>
    <w:rsid w:val="00820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4D5D"/>
  </w:style>
  <w:style w:type="table" w:customStyle="1" w:styleId="TableGrid1">
    <w:name w:val="Table Grid1"/>
    <w:basedOn w:val="TableNormal"/>
    <w:next w:val="TableGrid"/>
    <w:uiPriority w:val="39"/>
    <w:rsid w:val="007C18CB"/>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A75C2"/>
    <w:rPr>
      <w:sz w:val="16"/>
      <w:szCs w:val="16"/>
    </w:rPr>
  </w:style>
  <w:style w:type="paragraph" w:styleId="CommentText">
    <w:name w:val="annotation text"/>
    <w:basedOn w:val="Normal"/>
    <w:link w:val="CommentTextChar"/>
    <w:rsid w:val="004A75C2"/>
    <w:rPr>
      <w:sz w:val="20"/>
    </w:rPr>
  </w:style>
  <w:style w:type="character" w:customStyle="1" w:styleId="CommentTextChar">
    <w:name w:val="Comment Text Char"/>
    <w:link w:val="CommentText"/>
    <w:rsid w:val="004A75C2"/>
    <w:rPr>
      <w:rFonts w:ascii="Courier" w:hAnsi="Courier"/>
      <w:snapToGrid w:val="0"/>
    </w:rPr>
  </w:style>
  <w:style w:type="paragraph" w:styleId="CommentSubject">
    <w:name w:val="annotation subject"/>
    <w:basedOn w:val="CommentText"/>
    <w:next w:val="CommentText"/>
    <w:link w:val="CommentSubjectChar"/>
    <w:rsid w:val="004A75C2"/>
    <w:rPr>
      <w:b/>
      <w:bCs/>
    </w:rPr>
  </w:style>
  <w:style w:type="character" w:customStyle="1" w:styleId="CommentSubjectChar">
    <w:name w:val="Comment Subject Char"/>
    <w:link w:val="CommentSubject"/>
    <w:rsid w:val="004A75C2"/>
    <w:rPr>
      <w:rFonts w:ascii="Courier" w:hAnsi="Courier"/>
      <w:b/>
      <w:bCs/>
      <w:snapToGrid w:val="0"/>
    </w:rPr>
  </w:style>
  <w:style w:type="paragraph" w:styleId="Revision">
    <w:name w:val="Revision"/>
    <w:hidden/>
    <w:uiPriority w:val="99"/>
    <w:semiHidden/>
    <w:rsid w:val="004A75C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5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1F55E-A1EF-4C17-A0AA-D179B059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2021-11-23T20:39:00Z</dcterms:created>
  <dcterms:modified xsi:type="dcterms:W3CDTF">2021-11-28T23:01:00Z</dcterms:modified>
</cp:coreProperties>
</file>