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02A1" w:rsidP="00601D7B" w:rsidRDefault="00CE2356" w14:paraId="3AC13B58" w14:textId="721DD7BC">
      <w:pPr>
        <w:jc w:val="center"/>
        <w:rPr>
          <w:rFonts w:ascii="Times New Roman" w:hAnsi="Times New Roman" w:cs="Times New Roman"/>
          <w:b/>
          <w:sz w:val="48"/>
          <w:szCs w:val="48"/>
        </w:rPr>
      </w:pPr>
      <w:r w:rsidRPr="007B5A85">
        <w:rPr>
          <w:rFonts w:ascii="Times New Roman" w:hAnsi="Times New Roman" w:cs="Times New Roman"/>
          <w:b/>
          <w:sz w:val="48"/>
          <w:szCs w:val="48"/>
        </w:rPr>
        <w:t xml:space="preserve">APPENDIX </w:t>
      </w:r>
      <w:r w:rsidRPr="007B5A85" w:rsidR="007B5A85">
        <w:rPr>
          <w:rFonts w:ascii="Times New Roman" w:hAnsi="Times New Roman" w:cs="Times New Roman"/>
          <w:b/>
          <w:sz w:val="48"/>
          <w:szCs w:val="48"/>
        </w:rPr>
        <w:t>C</w:t>
      </w:r>
      <w:r w:rsidRPr="007B5A85" w:rsidR="00601D7B">
        <w:rPr>
          <w:rFonts w:ascii="Times New Roman" w:hAnsi="Times New Roman" w:cs="Times New Roman"/>
          <w:b/>
          <w:sz w:val="48"/>
          <w:szCs w:val="48"/>
        </w:rPr>
        <w:t xml:space="preserve"> </w:t>
      </w:r>
    </w:p>
    <w:p w:rsidR="00B102A1" w:rsidP="00601D7B" w:rsidRDefault="00B102A1" w14:paraId="1DF5E920" w14:textId="7DFD4298">
      <w:pPr>
        <w:jc w:val="center"/>
        <w:rPr>
          <w:rFonts w:ascii="Times New Roman" w:hAnsi="Times New Roman" w:cs="Times New Roman"/>
          <w:b/>
          <w:sz w:val="48"/>
          <w:szCs w:val="48"/>
        </w:rPr>
      </w:pPr>
    </w:p>
    <w:p w:rsidR="00B102A1" w:rsidP="00601D7B" w:rsidRDefault="00B102A1" w14:paraId="77F0B67A" w14:textId="77777777">
      <w:pPr>
        <w:jc w:val="center"/>
        <w:rPr>
          <w:rFonts w:ascii="Times New Roman" w:hAnsi="Times New Roman" w:cs="Times New Roman"/>
          <w:b/>
          <w:sz w:val="48"/>
          <w:szCs w:val="48"/>
        </w:rPr>
      </w:pPr>
    </w:p>
    <w:p w:rsidR="002909D6" w:rsidP="00601D7B" w:rsidRDefault="00291115" w14:paraId="68214FB4" w14:textId="5E59E111">
      <w:pPr>
        <w:jc w:val="center"/>
        <w:rPr>
          <w:rFonts w:ascii="Times New Roman" w:hAnsi="Times New Roman" w:cs="Times New Roman"/>
          <w:b/>
          <w:sz w:val="48"/>
          <w:szCs w:val="48"/>
        </w:rPr>
      </w:pPr>
      <w:r>
        <w:rPr>
          <w:rFonts w:ascii="Times New Roman" w:hAnsi="Times New Roman" w:cs="Times New Roman"/>
          <w:b/>
          <w:sz w:val="48"/>
          <w:szCs w:val="48"/>
        </w:rPr>
        <w:t xml:space="preserve">The </w:t>
      </w:r>
      <w:r w:rsidRPr="007B5A85" w:rsidR="00CE2356">
        <w:rPr>
          <w:rFonts w:ascii="Times New Roman" w:hAnsi="Times New Roman" w:cs="Times New Roman"/>
          <w:b/>
          <w:sz w:val="48"/>
          <w:szCs w:val="48"/>
        </w:rPr>
        <w:t>NTEWS</w:t>
      </w:r>
      <w:r w:rsidRPr="007B5A85" w:rsidR="002909D6">
        <w:rPr>
          <w:rFonts w:ascii="Times New Roman" w:hAnsi="Times New Roman" w:cs="Times New Roman"/>
          <w:b/>
          <w:sz w:val="48"/>
          <w:szCs w:val="48"/>
        </w:rPr>
        <w:t xml:space="preserve"> </w:t>
      </w:r>
      <w:r w:rsidR="00D43F32">
        <w:rPr>
          <w:rFonts w:ascii="Times New Roman" w:hAnsi="Times New Roman" w:cs="Times New Roman"/>
          <w:b/>
          <w:sz w:val="48"/>
          <w:szCs w:val="48"/>
        </w:rPr>
        <w:t xml:space="preserve">Methodological </w:t>
      </w:r>
      <w:r w:rsidRPr="007B5A85" w:rsidR="002909D6">
        <w:rPr>
          <w:rFonts w:ascii="Times New Roman" w:hAnsi="Times New Roman" w:cs="Times New Roman"/>
          <w:b/>
          <w:sz w:val="48"/>
          <w:szCs w:val="48"/>
        </w:rPr>
        <w:t>Experiments</w:t>
      </w:r>
      <w:r w:rsidR="002909D6">
        <w:rPr>
          <w:rFonts w:ascii="Times New Roman" w:hAnsi="Times New Roman" w:cs="Times New Roman"/>
          <w:b/>
          <w:sz w:val="48"/>
          <w:szCs w:val="48"/>
        </w:rPr>
        <w:t xml:space="preserve"> </w:t>
      </w:r>
    </w:p>
    <w:p w:rsidR="00601D7B" w:rsidP="00CE2356" w:rsidRDefault="00601D7B" w14:paraId="43D20B16" w14:textId="77777777">
      <w:pPr>
        <w:jc w:val="center"/>
        <w:rPr>
          <w:rFonts w:ascii="Times New Roman" w:hAnsi="Times New Roman" w:cs="Times New Roman"/>
          <w:b/>
          <w:sz w:val="48"/>
          <w:szCs w:val="48"/>
        </w:rPr>
      </w:pPr>
    </w:p>
    <w:p w:rsidRPr="00715484" w:rsidR="00715484" w:rsidP="00CE2356" w:rsidRDefault="00C00CF8" w14:paraId="352C0E56" w14:textId="77777777">
      <w:pPr>
        <w:jc w:val="center"/>
        <w:rPr>
          <w:rFonts w:ascii="Times New Roman" w:hAnsi="Times New Roman" w:cs="Times New Roman"/>
          <w:bCs/>
          <w:i/>
          <w:iCs/>
          <w:sz w:val="24"/>
          <w:szCs w:val="24"/>
        </w:rPr>
      </w:pPr>
      <w:r w:rsidRPr="00715484">
        <w:rPr>
          <w:rFonts w:ascii="Times New Roman" w:hAnsi="Times New Roman" w:cs="Times New Roman"/>
          <w:bCs/>
          <w:i/>
          <w:iCs/>
          <w:sz w:val="24"/>
          <w:szCs w:val="24"/>
        </w:rPr>
        <w:t xml:space="preserve">Research Questions and Design Rationale for </w:t>
      </w:r>
    </w:p>
    <w:p w:rsidRPr="00715484" w:rsidR="00CE2356" w:rsidP="00CE2356" w:rsidRDefault="00AF70C9" w14:paraId="7A6334D8" w14:textId="3A32CC87">
      <w:pPr>
        <w:jc w:val="center"/>
        <w:rPr>
          <w:rFonts w:ascii="Times New Roman" w:hAnsi="Times New Roman" w:cs="Times New Roman"/>
          <w:bCs/>
          <w:i/>
          <w:iCs/>
          <w:sz w:val="24"/>
          <w:szCs w:val="24"/>
        </w:rPr>
      </w:pPr>
      <w:r w:rsidRPr="00715484">
        <w:rPr>
          <w:rFonts w:ascii="Times New Roman" w:hAnsi="Times New Roman" w:cs="Times New Roman"/>
          <w:bCs/>
          <w:i/>
          <w:iCs/>
          <w:sz w:val="24"/>
          <w:szCs w:val="24"/>
        </w:rPr>
        <w:t>Contact Strategy, Incentive</w:t>
      </w:r>
      <w:r w:rsidRPr="00715484" w:rsidR="005B40E2">
        <w:rPr>
          <w:rFonts w:ascii="Times New Roman" w:hAnsi="Times New Roman" w:cs="Times New Roman"/>
          <w:bCs/>
          <w:i/>
          <w:iCs/>
          <w:sz w:val="24"/>
          <w:szCs w:val="24"/>
        </w:rPr>
        <w:t xml:space="preserve">, and </w:t>
      </w:r>
      <w:r w:rsidRPr="00715484" w:rsidR="003F7371">
        <w:rPr>
          <w:rFonts w:ascii="Times New Roman" w:hAnsi="Times New Roman" w:cs="Times New Roman"/>
          <w:bCs/>
          <w:i/>
          <w:iCs/>
          <w:sz w:val="24"/>
          <w:szCs w:val="24"/>
        </w:rPr>
        <w:t>Seeded</w:t>
      </w:r>
      <w:r w:rsidR="007A52D4">
        <w:rPr>
          <w:rFonts w:ascii="Times New Roman" w:hAnsi="Times New Roman" w:cs="Times New Roman"/>
          <w:bCs/>
          <w:i/>
          <w:iCs/>
          <w:sz w:val="24"/>
          <w:szCs w:val="24"/>
        </w:rPr>
        <w:t>-</w:t>
      </w:r>
      <w:r w:rsidRPr="00715484" w:rsidR="003F7371">
        <w:rPr>
          <w:rFonts w:ascii="Times New Roman" w:hAnsi="Times New Roman" w:cs="Times New Roman"/>
          <w:bCs/>
          <w:i/>
          <w:iCs/>
          <w:sz w:val="24"/>
          <w:szCs w:val="24"/>
        </w:rPr>
        <w:t>Sample Experimentation</w:t>
      </w:r>
    </w:p>
    <w:p w:rsidR="00D43F32" w:rsidP="00CE2356" w:rsidRDefault="00543DAF" w14:paraId="6660A8E2" w14:textId="77777777">
      <w:pPr>
        <w:jc w:val="center"/>
        <w:rPr>
          <w:rFonts w:ascii="Times New Roman" w:hAnsi="Times New Roman" w:cs="Times New Roman"/>
          <w:sz w:val="24"/>
          <w:szCs w:val="24"/>
        </w:rPr>
        <w:sectPr w:rsidR="00D43F32" w:rsidSect="00D43F3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z w:val="24"/>
          <w:szCs w:val="24"/>
        </w:rPr>
        <w:br w:type="page"/>
      </w:r>
    </w:p>
    <w:p w:rsidR="00543DAF" w:rsidP="00CE2356" w:rsidRDefault="00543DAF" w14:paraId="0F70774B" w14:textId="2FDA57A2">
      <w:pPr>
        <w:jc w:val="center"/>
        <w:rPr>
          <w:rFonts w:ascii="Times New Roman" w:hAnsi="Times New Roman" w:cs="Times New Roman"/>
          <w:sz w:val="24"/>
          <w:szCs w:val="24"/>
        </w:rPr>
      </w:pPr>
    </w:p>
    <w:p w:rsidRPr="00B93559" w:rsidR="003F7371" w:rsidP="00035E70" w:rsidRDefault="00035E70" w14:paraId="3C902608" w14:textId="4B3274E0">
      <w:pPr>
        <w:rPr>
          <w:rFonts w:ascii="Times New Roman" w:hAnsi="Times New Roman" w:cs="Times New Roman"/>
          <w:sz w:val="24"/>
          <w:szCs w:val="24"/>
        </w:rPr>
      </w:pPr>
      <w:r w:rsidRPr="00035E70">
        <w:rPr>
          <w:rFonts w:ascii="Times New Roman" w:hAnsi="Times New Roman" w:cs="Times New Roman"/>
          <w:b/>
          <w:sz w:val="24"/>
          <w:szCs w:val="24"/>
          <w:u w:val="single"/>
        </w:rPr>
        <w:t>1.</w:t>
      </w:r>
      <w:r>
        <w:rPr>
          <w:rFonts w:ascii="Times New Roman" w:hAnsi="Times New Roman" w:cs="Times New Roman"/>
          <w:b/>
          <w:sz w:val="24"/>
          <w:szCs w:val="24"/>
          <w:u w:val="single"/>
        </w:rPr>
        <w:t xml:space="preserve"> Introduction and overview</w:t>
      </w:r>
      <w:r w:rsidRPr="00B93559">
        <w:rPr>
          <w:rFonts w:ascii="Times New Roman" w:hAnsi="Times New Roman" w:cs="Times New Roman"/>
          <w:b/>
          <w:sz w:val="24"/>
          <w:szCs w:val="24"/>
          <w:u w:val="single"/>
        </w:rPr>
        <w:t xml:space="preserve"> </w:t>
      </w:r>
    </w:p>
    <w:p w:rsidR="006A4F7F" w:rsidP="006A4F7F" w:rsidRDefault="000E0C9F" w14:paraId="08562E38" w14:textId="6CA9E69E">
      <w:pPr>
        <w:rPr>
          <w:rFonts w:ascii="Times New Roman" w:hAnsi="Times New Roman" w:cs="Times New Roman"/>
          <w:sz w:val="24"/>
          <w:szCs w:val="24"/>
        </w:rPr>
      </w:pPr>
      <w:r>
        <w:rPr>
          <w:rFonts w:ascii="Times New Roman" w:hAnsi="Times New Roman" w:cs="Times New Roman"/>
          <w:sz w:val="24"/>
          <w:szCs w:val="24"/>
        </w:rPr>
        <w:t xml:space="preserve">This appendix provides </w:t>
      </w:r>
      <w:r w:rsidR="0016788B">
        <w:rPr>
          <w:rFonts w:ascii="Times New Roman" w:hAnsi="Times New Roman" w:cs="Times New Roman"/>
          <w:sz w:val="24"/>
          <w:szCs w:val="24"/>
        </w:rPr>
        <w:t xml:space="preserve">specific </w:t>
      </w:r>
      <w:r>
        <w:rPr>
          <w:rFonts w:ascii="Times New Roman" w:hAnsi="Times New Roman" w:cs="Times New Roman"/>
          <w:sz w:val="24"/>
          <w:szCs w:val="24"/>
        </w:rPr>
        <w:t xml:space="preserve">detail on the rationale </w:t>
      </w:r>
      <w:r w:rsidR="00BF1D60">
        <w:rPr>
          <w:rFonts w:ascii="Times New Roman" w:hAnsi="Times New Roman" w:cs="Times New Roman"/>
          <w:sz w:val="24"/>
          <w:szCs w:val="24"/>
        </w:rPr>
        <w:t xml:space="preserve">for </w:t>
      </w:r>
      <w:r>
        <w:rPr>
          <w:rFonts w:ascii="Times New Roman" w:hAnsi="Times New Roman" w:cs="Times New Roman"/>
          <w:sz w:val="24"/>
          <w:szCs w:val="24"/>
        </w:rPr>
        <w:t xml:space="preserve">and design </w:t>
      </w:r>
      <w:r w:rsidR="00A02B93">
        <w:rPr>
          <w:rFonts w:ascii="Times New Roman" w:hAnsi="Times New Roman" w:cs="Times New Roman"/>
          <w:sz w:val="24"/>
          <w:szCs w:val="24"/>
        </w:rPr>
        <w:t>of</w:t>
      </w:r>
      <w:r>
        <w:rPr>
          <w:rFonts w:ascii="Times New Roman" w:hAnsi="Times New Roman" w:cs="Times New Roman"/>
          <w:sz w:val="24"/>
          <w:szCs w:val="24"/>
        </w:rPr>
        <w:t xml:space="preserve"> the </w:t>
      </w:r>
      <w:r w:rsidR="00A8599D">
        <w:rPr>
          <w:rFonts w:ascii="Times New Roman" w:hAnsi="Times New Roman" w:cs="Times New Roman"/>
          <w:sz w:val="24"/>
          <w:szCs w:val="24"/>
        </w:rPr>
        <w:t xml:space="preserve">methodological </w:t>
      </w:r>
      <w:r w:rsidR="00912F5C">
        <w:rPr>
          <w:rFonts w:ascii="Times New Roman" w:hAnsi="Times New Roman" w:cs="Times New Roman"/>
          <w:sz w:val="24"/>
          <w:szCs w:val="24"/>
        </w:rPr>
        <w:t>experiments</w:t>
      </w:r>
      <w:r w:rsidR="00A8599D">
        <w:rPr>
          <w:rFonts w:ascii="Times New Roman" w:hAnsi="Times New Roman" w:cs="Times New Roman"/>
          <w:sz w:val="24"/>
          <w:szCs w:val="24"/>
        </w:rPr>
        <w:t xml:space="preserve"> that will be incorporated into the </w:t>
      </w:r>
      <w:r w:rsidR="005A51AF">
        <w:rPr>
          <w:rFonts w:ascii="Times New Roman" w:hAnsi="Times New Roman" w:cs="Times New Roman"/>
          <w:sz w:val="24"/>
          <w:szCs w:val="24"/>
        </w:rPr>
        <w:t>initial</w:t>
      </w:r>
      <w:r w:rsidR="00291115">
        <w:rPr>
          <w:rFonts w:ascii="Times New Roman" w:hAnsi="Times New Roman" w:cs="Times New Roman"/>
          <w:sz w:val="24"/>
          <w:szCs w:val="24"/>
        </w:rPr>
        <w:t xml:space="preserve"> </w:t>
      </w:r>
      <w:r w:rsidR="00A50954">
        <w:rPr>
          <w:rFonts w:ascii="Times New Roman" w:hAnsi="Times New Roman" w:cs="Times New Roman"/>
          <w:sz w:val="24"/>
          <w:szCs w:val="24"/>
        </w:rPr>
        <w:t>National Training, Education, and Workforce Survey (NTEWS)</w:t>
      </w:r>
      <w:r w:rsidR="00A8599D">
        <w:rPr>
          <w:rFonts w:ascii="Times New Roman" w:hAnsi="Times New Roman" w:cs="Times New Roman"/>
          <w:sz w:val="24"/>
          <w:szCs w:val="24"/>
        </w:rPr>
        <w:t>.</w:t>
      </w:r>
      <w:r w:rsidR="005D7795">
        <w:rPr>
          <w:rFonts w:ascii="Times New Roman" w:hAnsi="Times New Roman" w:cs="Times New Roman"/>
          <w:sz w:val="24"/>
          <w:szCs w:val="24"/>
        </w:rPr>
        <w:t xml:space="preserve"> </w:t>
      </w:r>
    </w:p>
    <w:p w:rsidR="00555534" w:rsidP="006A4F7F" w:rsidRDefault="00F42C87" w14:paraId="33A56EC0" w14:textId="72C0103E">
      <w:pPr>
        <w:rPr>
          <w:rFonts w:ascii="Times New Roman" w:hAnsi="Times New Roman" w:cs="Times New Roman"/>
          <w:sz w:val="24"/>
          <w:szCs w:val="24"/>
        </w:rPr>
      </w:pPr>
      <w:r>
        <w:rPr>
          <w:rFonts w:ascii="Times New Roman" w:hAnsi="Times New Roman" w:cs="Times New Roman"/>
          <w:sz w:val="24"/>
          <w:szCs w:val="24"/>
        </w:rPr>
        <w:t xml:space="preserve">Because this </w:t>
      </w:r>
      <w:r w:rsidR="005A51AF">
        <w:rPr>
          <w:rFonts w:ascii="Times New Roman" w:hAnsi="Times New Roman" w:cs="Times New Roman"/>
          <w:sz w:val="24"/>
          <w:szCs w:val="24"/>
        </w:rPr>
        <w:t xml:space="preserve">survey </w:t>
      </w:r>
      <w:r>
        <w:rPr>
          <w:rFonts w:ascii="Times New Roman" w:hAnsi="Times New Roman" w:cs="Times New Roman"/>
          <w:sz w:val="24"/>
          <w:szCs w:val="24"/>
        </w:rPr>
        <w:t xml:space="preserve">is the first </w:t>
      </w:r>
      <w:r w:rsidR="00241D4F">
        <w:rPr>
          <w:rFonts w:ascii="Times New Roman" w:hAnsi="Times New Roman" w:cs="Times New Roman"/>
          <w:sz w:val="24"/>
          <w:szCs w:val="24"/>
        </w:rPr>
        <w:t xml:space="preserve">cycle </w:t>
      </w:r>
      <w:r>
        <w:rPr>
          <w:rFonts w:ascii="Times New Roman" w:hAnsi="Times New Roman" w:cs="Times New Roman"/>
          <w:sz w:val="24"/>
          <w:szCs w:val="24"/>
        </w:rPr>
        <w:t xml:space="preserve">of the NTEWS, </w:t>
      </w:r>
      <w:r w:rsidR="005A51AF">
        <w:rPr>
          <w:rFonts w:ascii="Times New Roman" w:hAnsi="Times New Roman" w:cs="Times New Roman"/>
          <w:sz w:val="24"/>
          <w:szCs w:val="24"/>
        </w:rPr>
        <w:t>NCSES plan</w:t>
      </w:r>
      <w:r w:rsidR="00324CAA">
        <w:rPr>
          <w:rFonts w:ascii="Times New Roman" w:hAnsi="Times New Roman" w:cs="Times New Roman"/>
          <w:sz w:val="24"/>
          <w:szCs w:val="24"/>
        </w:rPr>
        <w:t>s</w:t>
      </w:r>
      <w:r w:rsidR="005A51AF">
        <w:rPr>
          <w:rFonts w:ascii="Times New Roman" w:hAnsi="Times New Roman" w:cs="Times New Roman"/>
          <w:sz w:val="24"/>
          <w:szCs w:val="24"/>
        </w:rPr>
        <w:t xml:space="preserve"> to </w:t>
      </w:r>
      <w:r w:rsidR="00A16B17">
        <w:rPr>
          <w:rFonts w:ascii="Times New Roman" w:hAnsi="Times New Roman" w:cs="Times New Roman"/>
          <w:sz w:val="24"/>
          <w:szCs w:val="24"/>
        </w:rPr>
        <w:t>determine</w:t>
      </w:r>
      <w:r w:rsidR="005A51AF">
        <w:rPr>
          <w:rFonts w:ascii="Times New Roman" w:hAnsi="Times New Roman" w:cs="Times New Roman"/>
          <w:sz w:val="24"/>
          <w:szCs w:val="24"/>
        </w:rPr>
        <w:t xml:space="preserve"> </w:t>
      </w:r>
      <w:r w:rsidR="008D564B">
        <w:rPr>
          <w:rFonts w:ascii="Times New Roman" w:hAnsi="Times New Roman" w:cs="Times New Roman"/>
          <w:sz w:val="24"/>
          <w:szCs w:val="24"/>
        </w:rPr>
        <w:t xml:space="preserve">the optimal </w:t>
      </w:r>
      <w:r w:rsidR="002B3CCD">
        <w:rPr>
          <w:rFonts w:ascii="Times New Roman" w:hAnsi="Times New Roman" w:cs="Times New Roman"/>
          <w:sz w:val="24"/>
          <w:szCs w:val="24"/>
        </w:rPr>
        <w:t>design</w:t>
      </w:r>
      <w:r w:rsidR="004724BF">
        <w:rPr>
          <w:rFonts w:ascii="Times New Roman" w:hAnsi="Times New Roman" w:cs="Times New Roman"/>
          <w:sz w:val="24"/>
          <w:szCs w:val="24"/>
        </w:rPr>
        <w:t xml:space="preserve"> features</w:t>
      </w:r>
      <w:r w:rsidR="002B3CCD">
        <w:rPr>
          <w:rFonts w:ascii="Times New Roman" w:hAnsi="Times New Roman" w:cs="Times New Roman"/>
          <w:sz w:val="24"/>
          <w:szCs w:val="24"/>
        </w:rPr>
        <w:t xml:space="preserve"> for</w:t>
      </w:r>
      <w:r w:rsidR="001D4D19">
        <w:rPr>
          <w:rFonts w:ascii="Times New Roman" w:hAnsi="Times New Roman" w:cs="Times New Roman"/>
          <w:sz w:val="24"/>
          <w:szCs w:val="24"/>
        </w:rPr>
        <w:t xml:space="preserve"> </w:t>
      </w:r>
      <w:r w:rsidR="006101B2">
        <w:rPr>
          <w:rFonts w:ascii="Times New Roman" w:hAnsi="Times New Roman" w:cs="Times New Roman"/>
          <w:sz w:val="24"/>
          <w:szCs w:val="24"/>
        </w:rPr>
        <w:t xml:space="preserve">future </w:t>
      </w:r>
      <w:r w:rsidR="00241D4F">
        <w:rPr>
          <w:rFonts w:ascii="Times New Roman" w:hAnsi="Times New Roman" w:cs="Times New Roman"/>
          <w:sz w:val="24"/>
          <w:szCs w:val="24"/>
        </w:rPr>
        <w:t xml:space="preserve">cycles </w:t>
      </w:r>
      <w:r w:rsidR="001D4D19">
        <w:rPr>
          <w:rFonts w:ascii="Times New Roman" w:hAnsi="Times New Roman" w:cs="Times New Roman"/>
          <w:sz w:val="24"/>
          <w:szCs w:val="24"/>
        </w:rPr>
        <w:t>of</w:t>
      </w:r>
      <w:r w:rsidR="002B3CCD">
        <w:rPr>
          <w:rFonts w:ascii="Times New Roman" w:hAnsi="Times New Roman" w:cs="Times New Roman"/>
          <w:sz w:val="24"/>
          <w:szCs w:val="24"/>
        </w:rPr>
        <w:t xml:space="preserve"> the survey</w:t>
      </w:r>
      <w:r w:rsidR="004751D6">
        <w:rPr>
          <w:rFonts w:ascii="Times New Roman" w:hAnsi="Times New Roman" w:cs="Times New Roman"/>
          <w:sz w:val="24"/>
          <w:szCs w:val="24"/>
        </w:rPr>
        <w:t xml:space="preserve"> </w:t>
      </w:r>
      <w:r w:rsidR="00A16B17">
        <w:rPr>
          <w:rFonts w:ascii="Times New Roman" w:hAnsi="Times New Roman" w:cs="Times New Roman"/>
          <w:sz w:val="24"/>
          <w:szCs w:val="24"/>
        </w:rPr>
        <w:t>through two methodological experiments—</w:t>
      </w:r>
      <w:r w:rsidR="00751ABA">
        <w:rPr>
          <w:rFonts w:ascii="Times New Roman" w:hAnsi="Times New Roman" w:cs="Times New Roman"/>
          <w:sz w:val="24"/>
          <w:szCs w:val="24"/>
        </w:rPr>
        <w:t xml:space="preserve">one on contact strategies and one on </w:t>
      </w:r>
      <w:r w:rsidR="0010315E">
        <w:rPr>
          <w:rFonts w:ascii="Times New Roman" w:hAnsi="Times New Roman" w:cs="Times New Roman"/>
          <w:sz w:val="24"/>
          <w:szCs w:val="24"/>
        </w:rPr>
        <w:t xml:space="preserve">noncontingent </w:t>
      </w:r>
      <w:r w:rsidR="00751ABA">
        <w:rPr>
          <w:rFonts w:ascii="Times New Roman" w:hAnsi="Times New Roman" w:cs="Times New Roman"/>
          <w:sz w:val="24"/>
          <w:szCs w:val="24"/>
        </w:rPr>
        <w:t>incentives</w:t>
      </w:r>
      <w:r w:rsidR="00BB6429">
        <w:rPr>
          <w:rFonts w:ascii="Times New Roman" w:hAnsi="Times New Roman" w:cs="Times New Roman"/>
          <w:sz w:val="24"/>
          <w:szCs w:val="24"/>
        </w:rPr>
        <w:t xml:space="preserve">. </w:t>
      </w:r>
      <w:r w:rsidR="003D036E">
        <w:rPr>
          <w:rFonts w:ascii="Times New Roman" w:hAnsi="Times New Roman" w:cs="Times New Roman"/>
          <w:sz w:val="24"/>
          <w:szCs w:val="24"/>
        </w:rPr>
        <w:t>Both</w:t>
      </w:r>
      <w:r w:rsidR="00231B52">
        <w:rPr>
          <w:rFonts w:ascii="Times New Roman" w:hAnsi="Times New Roman" w:cs="Times New Roman"/>
          <w:sz w:val="24"/>
          <w:szCs w:val="24"/>
        </w:rPr>
        <w:t xml:space="preserve"> experiments </w:t>
      </w:r>
      <w:r w:rsidR="00A16B17">
        <w:rPr>
          <w:rFonts w:ascii="Times New Roman" w:hAnsi="Times New Roman" w:cs="Times New Roman"/>
          <w:sz w:val="24"/>
          <w:szCs w:val="24"/>
        </w:rPr>
        <w:t>seek</w:t>
      </w:r>
      <w:r w:rsidR="00231B52">
        <w:rPr>
          <w:rFonts w:ascii="Times New Roman" w:hAnsi="Times New Roman" w:cs="Times New Roman"/>
          <w:sz w:val="24"/>
          <w:szCs w:val="24"/>
        </w:rPr>
        <w:t xml:space="preserve"> to </w:t>
      </w:r>
      <w:r w:rsidR="000F6B4D">
        <w:rPr>
          <w:rFonts w:ascii="Times New Roman" w:hAnsi="Times New Roman" w:cs="Times New Roman"/>
          <w:sz w:val="24"/>
          <w:szCs w:val="24"/>
        </w:rPr>
        <w:t>identify data collection strategies</w:t>
      </w:r>
      <w:r w:rsidR="00232C07">
        <w:rPr>
          <w:rFonts w:ascii="Times New Roman" w:hAnsi="Times New Roman" w:cs="Times New Roman"/>
          <w:sz w:val="24"/>
          <w:szCs w:val="24"/>
        </w:rPr>
        <w:t xml:space="preserve"> that will </w:t>
      </w:r>
      <w:r w:rsidR="00792A7D">
        <w:rPr>
          <w:rFonts w:ascii="Times New Roman" w:hAnsi="Times New Roman" w:cs="Times New Roman"/>
          <w:sz w:val="24"/>
          <w:szCs w:val="24"/>
        </w:rPr>
        <w:t xml:space="preserve">minimize </w:t>
      </w:r>
      <w:r w:rsidR="00C0622F">
        <w:rPr>
          <w:rFonts w:ascii="Times New Roman" w:hAnsi="Times New Roman" w:cs="Times New Roman"/>
          <w:sz w:val="24"/>
          <w:szCs w:val="24"/>
        </w:rPr>
        <w:t>non</w:t>
      </w:r>
      <w:r w:rsidR="00792A7D">
        <w:rPr>
          <w:rFonts w:ascii="Times New Roman" w:hAnsi="Times New Roman" w:cs="Times New Roman"/>
          <w:sz w:val="24"/>
          <w:szCs w:val="24"/>
        </w:rPr>
        <w:t>response bias while maintaining cost-effectiveness</w:t>
      </w:r>
      <w:r w:rsidR="005A51AF">
        <w:rPr>
          <w:rFonts w:ascii="Times New Roman" w:hAnsi="Times New Roman" w:cs="Times New Roman"/>
          <w:sz w:val="24"/>
          <w:szCs w:val="24"/>
        </w:rPr>
        <w:t xml:space="preserve"> for the federal government</w:t>
      </w:r>
      <w:r w:rsidR="00FB486A">
        <w:rPr>
          <w:rFonts w:ascii="Times New Roman" w:hAnsi="Times New Roman" w:cs="Times New Roman"/>
          <w:sz w:val="24"/>
          <w:szCs w:val="24"/>
        </w:rPr>
        <w:t>.</w:t>
      </w:r>
      <w:r w:rsidR="00277855">
        <w:rPr>
          <w:rFonts w:ascii="Times New Roman" w:hAnsi="Times New Roman" w:cs="Times New Roman"/>
          <w:sz w:val="24"/>
          <w:szCs w:val="24"/>
        </w:rPr>
        <w:t xml:space="preserve"> </w:t>
      </w:r>
      <w:r w:rsidR="00E362CF">
        <w:rPr>
          <w:rFonts w:ascii="Times New Roman" w:hAnsi="Times New Roman" w:cs="Times New Roman"/>
          <w:sz w:val="24"/>
          <w:szCs w:val="24"/>
        </w:rPr>
        <w:t xml:space="preserve">Readers should note that the range of contact strategies and incentives </w:t>
      </w:r>
      <w:r w:rsidR="008707AE">
        <w:rPr>
          <w:rFonts w:ascii="Times New Roman" w:hAnsi="Times New Roman" w:cs="Times New Roman"/>
          <w:sz w:val="24"/>
          <w:szCs w:val="24"/>
        </w:rPr>
        <w:t>tested</w:t>
      </w:r>
      <w:r w:rsidR="00E362CF">
        <w:rPr>
          <w:rFonts w:ascii="Times New Roman" w:hAnsi="Times New Roman" w:cs="Times New Roman"/>
          <w:sz w:val="24"/>
          <w:szCs w:val="24"/>
        </w:rPr>
        <w:t xml:space="preserve"> in this 202</w:t>
      </w:r>
      <w:r w:rsidR="009D2C99">
        <w:rPr>
          <w:rFonts w:ascii="Times New Roman" w:hAnsi="Times New Roman" w:cs="Times New Roman"/>
          <w:sz w:val="24"/>
          <w:szCs w:val="24"/>
        </w:rPr>
        <w:t>2</w:t>
      </w:r>
      <w:r w:rsidR="00E362CF">
        <w:rPr>
          <w:rFonts w:ascii="Times New Roman" w:hAnsi="Times New Roman" w:cs="Times New Roman"/>
          <w:sz w:val="24"/>
          <w:szCs w:val="24"/>
        </w:rPr>
        <w:t xml:space="preserve"> administration is not what will be used in future NTEWS administrations. Rather, the broad range of contact strategies and incentives </w:t>
      </w:r>
      <w:r w:rsidR="008707AE">
        <w:rPr>
          <w:rFonts w:ascii="Times New Roman" w:hAnsi="Times New Roman" w:cs="Times New Roman"/>
          <w:sz w:val="24"/>
          <w:szCs w:val="24"/>
        </w:rPr>
        <w:t>tested</w:t>
      </w:r>
      <w:r w:rsidR="00E362CF">
        <w:rPr>
          <w:rFonts w:ascii="Times New Roman" w:hAnsi="Times New Roman" w:cs="Times New Roman"/>
          <w:sz w:val="24"/>
          <w:szCs w:val="24"/>
        </w:rPr>
        <w:t xml:space="preserve"> in this administration will provide the baseline information needed to determine the optimal allocation of contact strategies and incentives for future cycles. For example, analysts will use information from these experiments to minimize the use of monetary incentives in future administrations, using them only for sample members for which they are necessary in order to cost-effectively reduce nonresponse bias. </w:t>
      </w:r>
      <w:r w:rsidR="000000A7">
        <w:rPr>
          <w:rFonts w:ascii="Times New Roman" w:hAnsi="Times New Roman" w:cs="Times New Roman"/>
          <w:sz w:val="24"/>
          <w:szCs w:val="24"/>
        </w:rPr>
        <w:t xml:space="preserve">These experiments will </w:t>
      </w:r>
      <w:r w:rsidR="00A80681">
        <w:rPr>
          <w:rFonts w:ascii="Times New Roman" w:hAnsi="Times New Roman" w:cs="Times New Roman"/>
          <w:sz w:val="24"/>
          <w:szCs w:val="24"/>
        </w:rPr>
        <w:t xml:space="preserve">thus </w:t>
      </w:r>
      <w:r w:rsidR="000000A7">
        <w:rPr>
          <w:rFonts w:ascii="Times New Roman" w:hAnsi="Times New Roman" w:cs="Times New Roman"/>
          <w:sz w:val="24"/>
          <w:szCs w:val="24"/>
        </w:rPr>
        <w:t xml:space="preserve">provide the </w:t>
      </w:r>
      <w:r w:rsidR="00813342">
        <w:rPr>
          <w:rFonts w:ascii="Times New Roman" w:hAnsi="Times New Roman" w:cs="Times New Roman"/>
          <w:sz w:val="24"/>
          <w:szCs w:val="24"/>
        </w:rPr>
        <w:t xml:space="preserve">baseline data </w:t>
      </w:r>
      <w:r w:rsidR="000000A7">
        <w:rPr>
          <w:rFonts w:ascii="Times New Roman" w:hAnsi="Times New Roman" w:cs="Times New Roman"/>
          <w:sz w:val="24"/>
          <w:szCs w:val="24"/>
        </w:rPr>
        <w:t>needed for evidence-based decision</w:t>
      </w:r>
      <w:r w:rsidR="000B5780">
        <w:rPr>
          <w:rFonts w:ascii="Times New Roman" w:hAnsi="Times New Roman" w:cs="Times New Roman"/>
          <w:sz w:val="24"/>
          <w:szCs w:val="24"/>
        </w:rPr>
        <w:t xml:space="preserve"> </w:t>
      </w:r>
      <w:r w:rsidR="000000A7">
        <w:rPr>
          <w:rFonts w:ascii="Times New Roman" w:hAnsi="Times New Roman" w:cs="Times New Roman"/>
          <w:sz w:val="24"/>
          <w:szCs w:val="24"/>
        </w:rPr>
        <w:t>making for the methodological design of future NTEWS cycles.</w:t>
      </w:r>
      <w:r w:rsidR="008D12D3">
        <w:rPr>
          <w:rFonts w:ascii="Times New Roman" w:hAnsi="Times New Roman" w:cs="Times New Roman"/>
          <w:sz w:val="24"/>
          <w:szCs w:val="24"/>
        </w:rPr>
        <w:t xml:space="preserve"> </w:t>
      </w:r>
    </w:p>
    <w:p w:rsidR="00E85224" w:rsidP="006A4F7F" w:rsidRDefault="001426EB" w14:paraId="3F4A769A" w14:textId="47986104">
      <w:pPr>
        <w:rPr>
          <w:rFonts w:ascii="Times New Roman" w:hAnsi="Times New Roman" w:cs="Times New Roman"/>
          <w:sz w:val="24"/>
          <w:szCs w:val="24"/>
        </w:rPr>
      </w:pPr>
      <w:r>
        <w:rPr>
          <w:rFonts w:ascii="Times New Roman" w:hAnsi="Times New Roman" w:cs="Times New Roman"/>
          <w:sz w:val="24"/>
          <w:szCs w:val="24"/>
        </w:rPr>
        <w:t xml:space="preserve">Previous research, discussed in detail later in this appendix, has not clearly demonstrated the optimal design for a mixed-mode federal survey like NTEWS. </w:t>
      </w:r>
      <w:r w:rsidR="00E8522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60D6F">
        <w:rPr>
          <w:rFonts w:ascii="Times New Roman" w:hAnsi="Times New Roman" w:cs="Times New Roman"/>
          <w:sz w:val="24"/>
          <w:szCs w:val="24"/>
        </w:rPr>
        <w:t xml:space="preserve">NTEWS experimentation will </w:t>
      </w:r>
      <w:r w:rsidR="002837DF">
        <w:rPr>
          <w:rFonts w:ascii="Times New Roman" w:hAnsi="Times New Roman" w:cs="Times New Roman"/>
          <w:sz w:val="24"/>
          <w:szCs w:val="24"/>
        </w:rPr>
        <w:t>provide much-needed</w:t>
      </w:r>
      <w:r w:rsidR="00B0041C">
        <w:rPr>
          <w:rFonts w:ascii="Times New Roman" w:hAnsi="Times New Roman" w:cs="Times New Roman"/>
          <w:sz w:val="24"/>
          <w:szCs w:val="24"/>
        </w:rPr>
        <w:t xml:space="preserve"> evidence on best practices for nationally representative</w:t>
      </w:r>
      <w:r w:rsidR="000B5780">
        <w:rPr>
          <w:rFonts w:ascii="Times New Roman" w:hAnsi="Times New Roman" w:cs="Times New Roman"/>
          <w:sz w:val="24"/>
          <w:szCs w:val="24"/>
        </w:rPr>
        <w:t>,</w:t>
      </w:r>
      <w:r w:rsidR="00B0041C">
        <w:rPr>
          <w:rFonts w:ascii="Times New Roman" w:hAnsi="Times New Roman" w:cs="Times New Roman"/>
          <w:sz w:val="24"/>
          <w:szCs w:val="24"/>
        </w:rPr>
        <w:t xml:space="preserve"> mixed-mode surveys. Specifically, the findings from these experiments will </w:t>
      </w:r>
      <w:r w:rsidR="00C60D6F">
        <w:rPr>
          <w:rFonts w:ascii="Times New Roman" w:hAnsi="Times New Roman" w:cs="Times New Roman"/>
          <w:sz w:val="24"/>
          <w:szCs w:val="24"/>
        </w:rPr>
        <w:t xml:space="preserve">benefit </w:t>
      </w:r>
      <w:r w:rsidR="00A61F1A">
        <w:rPr>
          <w:rFonts w:ascii="Times New Roman" w:hAnsi="Times New Roman" w:cs="Times New Roman"/>
          <w:sz w:val="24"/>
          <w:szCs w:val="24"/>
        </w:rPr>
        <w:t>the broader federal statistical system</w:t>
      </w:r>
      <w:r w:rsidR="00C60D6F">
        <w:rPr>
          <w:rFonts w:ascii="Times New Roman" w:hAnsi="Times New Roman" w:cs="Times New Roman"/>
          <w:sz w:val="24"/>
          <w:szCs w:val="24"/>
        </w:rPr>
        <w:t xml:space="preserve"> by </w:t>
      </w:r>
      <w:r w:rsidR="00275033">
        <w:rPr>
          <w:rFonts w:ascii="Times New Roman" w:hAnsi="Times New Roman" w:cs="Times New Roman"/>
          <w:sz w:val="24"/>
          <w:szCs w:val="24"/>
        </w:rPr>
        <w:t>providing insight into the effect of alternative contact strategies and noncontingent</w:t>
      </w:r>
      <w:r w:rsidR="000B5780">
        <w:rPr>
          <w:rFonts w:ascii="Times New Roman" w:hAnsi="Times New Roman" w:cs="Times New Roman"/>
          <w:sz w:val="24"/>
          <w:szCs w:val="24"/>
        </w:rPr>
        <w:t xml:space="preserve"> </w:t>
      </w:r>
      <w:r w:rsidR="00275033">
        <w:rPr>
          <w:rFonts w:ascii="Times New Roman" w:hAnsi="Times New Roman" w:cs="Times New Roman"/>
          <w:sz w:val="24"/>
          <w:szCs w:val="24"/>
        </w:rPr>
        <w:t xml:space="preserve">incentive levels on </w:t>
      </w:r>
      <w:r w:rsidR="00B740BF">
        <w:rPr>
          <w:rFonts w:ascii="Times New Roman" w:hAnsi="Times New Roman" w:cs="Times New Roman"/>
          <w:sz w:val="24"/>
          <w:szCs w:val="24"/>
        </w:rPr>
        <w:t xml:space="preserve">reducing </w:t>
      </w:r>
      <w:r w:rsidR="00275033">
        <w:rPr>
          <w:rFonts w:ascii="Times New Roman" w:hAnsi="Times New Roman" w:cs="Times New Roman"/>
          <w:sz w:val="24"/>
          <w:szCs w:val="24"/>
        </w:rPr>
        <w:t>the risk of nonresponse bias</w:t>
      </w:r>
      <w:r w:rsidR="001A3E47">
        <w:rPr>
          <w:rFonts w:ascii="Times New Roman" w:hAnsi="Times New Roman" w:cs="Times New Roman"/>
          <w:sz w:val="24"/>
          <w:szCs w:val="24"/>
        </w:rPr>
        <w:t xml:space="preserve"> </w:t>
      </w:r>
      <w:r w:rsidR="00073E6C">
        <w:rPr>
          <w:rFonts w:ascii="Times New Roman" w:hAnsi="Times New Roman" w:cs="Times New Roman"/>
          <w:sz w:val="24"/>
          <w:szCs w:val="24"/>
        </w:rPr>
        <w:t>among the adult population</w:t>
      </w:r>
      <w:r w:rsidR="00275033">
        <w:rPr>
          <w:rFonts w:ascii="Times New Roman" w:hAnsi="Times New Roman" w:cs="Times New Roman"/>
          <w:sz w:val="24"/>
          <w:szCs w:val="24"/>
        </w:rPr>
        <w:t xml:space="preserve">. </w:t>
      </w:r>
      <w:r w:rsidR="00AD1E84">
        <w:rPr>
          <w:rFonts w:ascii="Times New Roman" w:hAnsi="Times New Roman" w:cs="Times New Roman"/>
          <w:sz w:val="24"/>
          <w:szCs w:val="24"/>
        </w:rPr>
        <w:t xml:space="preserve">Given continued declines in response rates, the identification of data collection approaches that can produce valid estimates for the U.S. population </w:t>
      </w:r>
      <w:r w:rsidR="008A426F">
        <w:rPr>
          <w:rFonts w:ascii="Times New Roman" w:hAnsi="Times New Roman" w:cs="Times New Roman"/>
          <w:sz w:val="24"/>
          <w:szCs w:val="24"/>
        </w:rPr>
        <w:t>even with relatively low response rates</w:t>
      </w:r>
      <w:r w:rsidR="00AD1E84">
        <w:rPr>
          <w:rFonts w:ascii="Times New Roman" w:hAnsi="Times New Roman" w:cs="Times New Roman"/>
          <w:sz w:val="24"/>
          <w:szCs w:val="24"/>
        </w:rPr>
        <w:t xml:space="preserve"> remains a continued priority across the federal statistical system. </w:t>
      </w:r>
      <w:r w:rsidR="00762D3F">
        <w:rPr>
          <w:rFonts w:ascii="Times New Roman" w:hAnsi="Times New Roman" w:cs="Times New Roman"/>
          <w:sz w:val="24"/>
          <w:szCs w:val="24"/>
        </w:rPr>
        <w:t xml:space="preserve">Because the </w:t>
      </w:r>
      <w:r w:rsidR="00EB176C">
        <w:rPr>
          <w:rFonts w:ascii="Times New Roman" w:hAnsi="Times New Roman" w:cs="Times New Roman"/>
          <w:sz w:val="24"/>
          <w:szCs w:val="24"/>
        </w:rPr>
        <w:t xml:space="preserve">nationally representative </w:t>
      </w:r>
      <w:r w:rsidR="00762D3F">
        <w:rPr>
          <w:rFonts w:ascii="Times New Roman" w:hAnsi="Times New Roman" w:cs="Times New Roman"/>
          <w:sz w:val="24"/>
          <w:szCs w:val="24"/>
        </w:rPr>
        <w:t>NTEWS sample will be drawn from respondents to the American Community Survey (ACS), a rich set of information will be available for all sample members (regardless of response status)</w:t>
      </w:r>
      <w:r w:rsidR="007E2313">
        <w:rPr>
          <w:rFonts w:ascii="Times New Roman" w:hAnsi="Times New Roman" w:cs="Times New Roman"/>
          <w:sz w:val="24"/>
          <w:szCs w:val="24"/>
        </w:rPr>
        <w:t>. This will permit a</w:t>
      </w:r>
      <w:r w:rsidR="00625869">
        <w:rPr>
          <w:rFonts w:ascii="Times New Roman" w:hAnsi="Times New Roman" w:cs="Times New Roman"/>
          <w:sz w:val="24"/>
          <w:szCs w:val="24"/>
        </w:rPr>
        <w:t xml:space="preserve"> much</w:t>
      </w:r>
      <w:r w:rsidR="007E2313">
        <w:rPr>
          <w:rFonts w:ascii="Times New Roman" w:hAnsi="Times New Roman" w:cs="Times New Roman"/>
          <w:sz w:val="24"/>
          <w:szCs w:val="24"/>
        </w:rPr>
        <w:t xml:space="preserve"> more comprehensive </w:t>
      </w:r>
      <w:r w:rsidR="004237E9">
        <w:rPr>
          <w:rFonts w:ascii="Times New Roman" w:hAnsi="Times New Roman" w:cs="Times New Roman"/>
          <w:sz w:val="24"/>
          <w:szCs w:val="24"/>
        </w:rPr>
        <w:t>nonresponse bias analysis</w:t>
      </w:r>
      <w:r w:rsidR="007E2313">
        <w:rPr>
          <w:rFonts w:ascii="Times New Roman" w:hAnsi="Times New Roman" w:cs="Times New Roman"/>
          <w:sz w:val="24"/>
          <w:szCs w:val="24"/>
        </w:rPr>
        <w:t xml:space="preserve"> than is typically possible for federal surveys, which are often drawn from frames </w:t>
      </w:r>
      <w:r w:rsidR="00C82430">
        <w:rPr>
          <w:rFonts w:ascii="Times New Roman" w:hAnsi="Times New Roman" w:cs="Times New Roman"/>
          <w:sz w:val="24"/>
          <w:szCs w:val="24"/>
        </w:rPr>
        <w:t>with</w:t>
      </w:r>
      <w:r w:rsidR="007E2313">
        <w:rPr>
          <w:rFonts w:ascii="Times New Roman" w:hAnsi="Times New Roman" w:cs="Times New Roman"/>
          <w:sz w:val="24"/>
          <w:szCs w:val="24"/>
        </w:rPr>
        <w:t xml:space="preserve"> less detailed or accurate</w:t>
      </w:r>
      <w:r w:rsidR="00C82430">
        <w:rPr>
          <w:rFonts w:ascii="Times New Roman" w:hAnsi="Times New Roman" w:cs="Times New Roman"/>
          <w:sz w:val="24"/>
          <w:szCs w:val="24"/>
        </w:rPr>
        <w:t xml:space="preserve"> information about</w:t>
      </w:r>
      <w:r w:rsidR="00027333">
        <w:rPr>
          <w:rFonts w:ascii="Times New Roman" w:hAnsi="Times New Roman" w:cs="Times New Roman"/>
          <w:sz w:val="24"/>
          <w:szCs w:val="24"/>
        </w:rPr>
        <w:t xml:space="preserve"> nonresponding</w:t>
      </w:r>
      <w:r w:rsidR="00C82430">
        <w:rPr>
          <w:rFonts w:ascii="Times New Roman" w:hAnsi="Times New Roman" w:cs="Times New Roman"/>
          <w:sz w:val="24"/>
          <w:szCs w:val="24"/>
        </w:rPr>
        <w:t xml:space="preserve"> sample members</w:t>
      </w:r>
      <w:r w:rsidR="007E2313">
        <w:rPr>
          <w:rFonts w:ascii="Times New Roman" w:hAnsi="Times New Roman" w:cs="Times New Roman"/>
          <w:sz w:val="24"/>
          <w:szCs w:val="24"/>
        </w:rPr>
        <w:t>.</w:t>
      </w:r>
      <w:r w:rsidR="00FA5109">
        <w:rPr>
          <w:rFonts w:ascii="Times New Roman" w:hAnsi="Times New Roman" w:cs="Times New Roman"/>
          <w:sz w:val="24"/>
          <w:szCs w:val="24"/>
        </w:rPr>
        <w:t xml:space="preserve"> </w:t>
      </w:r>
      <w:r w:rsidR="00F071C0">
        <w:rPr>
          <w:rFonts w:ascii="Times New Roman" w:hAnsi="Times New Roman" w:cs="Times New Roman"/>
          <w:sz w:val="24"/>
          <w:szCs w:val="24"/>
        </w:rPr>
        <w:t>Thus, th</w:t>
      </w:r>
      <w:r w:rsidR="004C32E0">
        <w:rPr>
          <w:rFonts w:ascii="Times New Roman" w:hAnsi="Times New Roman" w:cs="Times New Roman"/>
          <w:sz w:val="24"/>
          <w:szCs w:val="24"/>
        </w:rPr>
        <w:t>is</w:t>
      </w:r>
      <w:r w:rsidR="00F071C0">
        <w:rPr>
          <w:rFonts w:ascii="Times New Roman" w:hAnsi="Times New Roman" w:cs="Times New Roman"/>
          <w:sz w:val="24"/>
          <w:szCs w:val="24"/>
        </w:rPr>
        <w:t xml:space="preserve"> initial cycle of the NTEWS offers the opportunity to </w:t>
      </w:r>
      <w:r w:rsidR="00A61F1A">
        <w:rPr>
          <w:rFonts w:ascii="Times New Roman" w:hAnsi="Times New Roman" w:cs="Times New Roman"/>
          <w:sz w:val="24"/>
          <w:szCs w:val="24"/>
        </w:rPr>
        <w:t xml:space="preserve">generate insights </w:t>
      </w:r>
      <w:r w:rsidR="001A3E47">
        <w:rPr>
          <w:rFonts w:ascii="Times New Roman" w:hAnsi="Times New Roman" w:cs="Times New Roman"/>
          <w:sz w:val="24"/>
          <w:szCs w:val="24"/>
        </w:rPr>
        <w:t xml:space="preserve">that will be applicable not only to future NTEWS cycles, but also to other </w:t>
      </w:r>
      <w:r w:rsidR="002745F8">
        <w:rPr>
          <w:rFonts w:ascii="Times New Roman" w:hAnsi="Times New Roman" w:cs="Times New Roman"/>
          <w:sz w:val="24"/>
          <w:szCs w:val="24"/>
        </w:rPr>
        <w:t>federal household surveys.</w:t>
      </w:r>
    </w:p>
    <w:p w:rsidR="0096022D" w:rsidP="0096022D" w:rsidRDefault="0096022D" w14:paraId="765DA5B9" w14:textId="191674E7">
      <w:pPr>
        <w:rPr>
          <w:rFonts w:ascii="Times New Roman" w:hAnsi="Times New Roman" w:cs="Times New Roman"/>
          <w:sz w:val="24"/>
          <w:szCs w:val="24"/>
        </w:rPr>
      </w:pPr>
      <w:r>
        <w:rPr>
          <w:rFonts w:ascii="Times New Roman" w:hAnsi="Times New Roman" w:cs="Times New Roman"/>
          <w:sz w:val="24"/>
          <w:szCs w:val="24"/>
        </w:rPr>
        <w:t xml:space="preserve">In general, the methodological design of the NTEWS, and decisions about necessary experimentation, were informed by the experience of </w:t>
      </w:r>
      <w:r w:rsidRPr="005B69AE">
        <w:rPr>
          <w:rFonts w:ascii="Times New Roman" w:hAnsi="Times New Roman" w:cs="Times New Roman"/>
          <w:sz w:val="24"/>
          <w:szCs w:val="24"/>
        </w:rPr>
        <w:t>t</w:t>
      </w:r>
      <w:r>
        <w:rPr>
          <w:rFonts w:ascii="Times New Roman" w:hAnsi="Times New Roman" w:cs="Times New Roman"/>
          <w:sz w:val="24"/>
          <w:szCs w:val="24"/>
        </w:rPr>
        <w:t>hree</w:t>
      </w:r>
      <w:r w:rsidRPr="005B69AE">
        <w:rPr>
          <w:rFonts w:ascii="Times New Roman" w:hAnsi="Times New Roman" w:cs="Times New Roman"/>
          <w:sz w:val="24"/>
          <w:szCs w:val="24"/>
        </w:rPr>
        <w:t xml:space="preserve"> surveys </w:t>
      </w:r>
      <w:r>
        <w:rPr>
          <w:rFonts w:ascii="Times New Roman" w:hAnsi="Times New Roman" w:cs="Times New Roman"/>
          <w:sz w:val="24"/>
          <w:szCs w:val="24"/>
        </w:rPr>
        <w:t>from which the bulk of the NTEWS items were drawn or adapted</w:t>
      </w:r>
      <w:r w:rsidRPr="005B69AE">
        <w:rPr>
          <w:rFonts w:ascii="Times New Roman" w:hAnsi="Times New Roman" w:cs="Times New Roman"/>
          <w:sz w:val="24"/>
          <w:szCs w:val="24"/>
        </w:rPr>
        <w:t>:</w:t>
      </w:r>
    </w:p>
    <w:p w:rsidR="0096022D" w:rsidP="0096022D" w:rsidRDefault="0096022D" w14:paraId="01ABA192" w14:textId="1CCD742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w:t>
      </w:r>
      <w:r w:rsidRPr="00F71D32">
        <w:rPr>
          <w:rFonts w:ascii="Times New Roman" w:hAnsi="Times New Roman" w:cs="Times New Roman"/>
          <w:sz w:val="24"/>
          <w:szCs w:val="24"/>
        </w:rPr>
        <w:t xml:space="preserve">he Adult Training and Education Survey (ATES), </w:t>
      </w:r>
      <w:r>
        <w:rPr>
          <w:rFonts w:ascii="Times New Roman" w:hAnsi="Times New Roman" w:cs="Times New Roman"/>
          <w:sz w:val="24"/>
          <w:szCs w:val="24"/>
        </w:rPr>
        <w:t>originally a</w:t>
      </w:r>
      <w:r w:rsidRPr="00F71D32">
        <w:rPr>
          <w:rFonts w:ascii="Times New Roman" w:hAnsi="Times New Roman" w:cs="Times New Roman"/>
          <w:sz w:val="24"/>
          <w:szCs w:val="24"/>
        </w:rPr>
        <w:t xml:space="preserve"> topical module of the </w:t>
      </w:r>
      <w:r>
        <w:rPr>
          <w:rFonts w:ascii="Times New Roman" w:hAnsi="Times New Roman" w:cs="Times New Roman"/>
          <w:sz w:val="24"/>
          <w:szCs w:val="24"/>
        </w:rPr>
        <w:t xml:space="preserve">NCES </w:t>
      </w:r>
      <w:r w:rsidRPr="00F71D32">
        <w:rPr>
          <w:rFonts w:ascii="Times New Roman" w:hAnsi="Times New Roman" w:cs="Times New Roman"/>
          <w:sz w:val="24"/>
          <w:szCs w:val="24"/>
        </w:rPr>
        <w:t>National Household Education Survey</w:t>
      </w:r>
      <w:r w:rsidR="00EC240C">
        <w:rPr>
          <w:rFonts w:ascii="Times New Roman" w:hAnsi="Times New Roman" w:cs="Times New Roman"/>
          <w:sz w:val="24"/>
          <w:szCs w:val="24"/>
        </w:rPr>
        <w:t>s</w:t>
      </w:r>
      <w:r w:rsidRPr="00F71D32">
        <w:rPr>
          <w:rFonts w:ascii="Times New Roman" w:hAnsi="Times New Roman" w:cs="Times New Roman"/>
          <w:sz w:val="24"/>
          <w:szCs w:val="24"/>
        </w:rPr>
        <w:t xml:space="preserve"> (NHES)</w:t>
      </w:r>
      <w:r>
        <w:rPr>
          <w:rFonts w:ascii="Times New Roman" w:hAnsi="Times New Roman" w:cs="Times New Roman"/>
          <w:sz w:val="24"/>
          <w:szCs w:val="24"/>
        </w:rPr>
        <w:t xml:space="preserve"> program</w:t>
      </w:r>
      <w:r w:rsidRPr="00F71D32">
        <w:rPr>
          <w:rFonts w:ascii="Times New Roman" w:hAnsi="Times New Roman" w:cs="Times New Roman"/>
          <w:sz w:val="24"/>
          <w:szCs w:val="24"/>
        </w:rPr>
        <w:t>,</w:t>
      </w:r>
      <w:r>
        <w:rPr>
          <w:rFonts w:ascii="Times New Roman" w:hAnsi="Times New Roman" w:cs="Times New Roman"/>
          <w:sz w:val="24"/>
          <w:szCs w:val="24"/>
        </w:rPr>
        <w:t xml:space="preserve"> from which many items on licenses, certifications, work experience programs, and education were drawn. The </w:t>
      </w:r>
      <w:r>
        <w:rPr>
          <w:rFonts w:ascii="Times New Roman" w:hAnsi="Times New Roman" w:cs="Times New Roman"/>
          <w:sz w:val="24"/>
          <w:szCs w:val="24"/>
        </w:rPr>
        <w:lastRenderedPageBreak/>
        <w:t>ATES module of the NHES was discontinued after NCES and NCSES partnered to develop the NTEWS.</w:t>
      </w:r>
    </w:p>
    <w:p w:rsidR="0096022D" w:rsidP="0096022D" w:rsidRDefault="0096022D" w14:paraId="30621F27" w14:textId="1FC2B3C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w:t>
      </w:r>
      <w:r w:rsidRPr="00F71D32">
        <w:rPr>
          <w:rFonts w:ascii="Times New Roman" w:hAnsi="Times New Roman" w:cs="Times New Roman"/>
          <w:sz w:val="24"/>
          <w:szCs w:val="24"/>
        </w:rPr>
        <w:t>he National Survey of College Graduates (NSCG)</w:t>
      </w:r>
      <w:r w:rsidR="009353A4">
        <w:rPr>
          <w:rFonts w:ascii="Times New Roman" w:hAnsi="Times New Roman" w:cs="Times New Roman"/>
          <w:sz w:val="24"/>
          <w:szCs w:val="24"/>
        </w:rPr>
        <w:t>,</w:t>
      </w:r>
      <w:r>
        <w:rPr>
          <w:rFonts w:ascii="Times New Roman" w:hAnsi="Times New Roman" w:cs="Times New Roman"/>
          <w:sz w:val="24"/>
          <w:szCs w:val="24"/>
        </w:rPr>
        <w:t xml:space="preserve"> from which items related to work paths and some demographic items were drawn.</w:t>
      </w:r>
      <w:r w:rsidRPr="00F71D32">
        <w:rPr>
          <w:rFonts w:ascii="Times New Roman" w:hAnsi="Times New Roman" w:cs="Times New Roman"/>
          <w:sz w:val="24"/>
          <w:szCs w:val="24"/>
        </w:rPr>
        <w:t xml:space="preserve"> </w:t>
      </w:r>
      <w:r w:rsidR="00AB7542">
        <w:rPr>
          <w:rFonts w:ascii="Times New Roman" w:hAnsi="Times New Roman" w:cs="Times New Roman"/>
          <w:sz w:val="24"/>
          <w:szCs w:val="24"/>
        </w:rPr>
        <w:t>The NTEWS sampling methodology is based on the NSCG sample design.</w:t>
      </w:r>
    </w:p>
    <w:p w:rsidR="0096022D" w:rsidP="0096022D" w:rsidRDefault="0096022D" w14:paraId="3F51EF17" w14:textId="3B8F966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ACS, </w:t>
      </w:r>
      <w:r w:rsidR="00D66AB5">
        <w:rPr>
          <w:rFonts w:ascii="Times New Roman" w:hAnsi="Times New Roman" w:cs="Times New Roman"/>
          <w:sz w:val="24"/>
          <w:szCs w:val="24"/>
        </w:rPr>
        <w:t>which provides the sampling frame for the NTE</w:t>
      </w:r>
      <w:r w:rsidR="00AB7542">
        <w:rPr>
          <w:rFonts w:ascii="Times New Roman" w:hAnsi="Times New Roman" w:cs="Times New Roman"/>
          <w:sz w:val="24"/>
          <w:szCs w:val="24"/>
        </w:rPr>
        <w:t>W</w:t>
      </w:r>
      <w:r w:rsidR="00D66AB5">
        <w:rPr>
          <w:rFonts w:ascii="Times New Roman" w:hAnsi="Times New Roman" w:cs="Times New Roman"/>
          <w:sz w:val="24"/>
          <w:szCs w:val="24"/>
        </w:rPr>
        <w:t xml:space="preserve">S and </w:t>
      </w:r>
      <w:r>
        <w:rPr>
          <w:rFonts w:ascii="Times New Roman" w:hAnsi="Times New Roman" w:cs="Times New Roman"/>
          <w:sz w:val="24"/>
          <w:szCs w:val="24"/>
        </w:rPr>
        <w:t>on which many of the NTEWS demographic and employment items are based.</w:t>
      </w:r>
    </w:p>
    <w:p w:rsidR="0096022D" w:rsidP="006A4F7F" w:rsidRDefault="0096022D" w14:paraId="335F9ED8" w14:textId="0AA6EEFB">
      <w:pPr>
        <w:rPr>
          <w:rFonts w:ascii="Times New Roman" w:hAnsi="Times New Roman" w:cs="Times New Roman"/>
          <w:sz w:val="24"/>
          <w:szCs w:val="24"/>
        </w:rPr>
      </w:pPr>
      <w:r>
        <w:rPr>
          <w:rFonts w:ascii="Times New Roman" w:hAnsi="Times New Roman" w:cs="Times New Roman"/>
          <w:sz w:val="24"/>
          <w:szCs w:val="24"/>
        </w:rPr>
        <w:t>Note that, while the NSCG and the NTEWS are currently separate surveys targeting different populations</w:t>
      </w:r>
      <w:r w:rsidR="00AB7542">
        <w:rPr>
          <w:rFonts w:ascii="Times New Roman" w:hAnsi="Times New Roman" w:cs="Times New Roman"/>
          <w:sz w:val="24"/>
          <w:szCs w:val="24"/>
        </w:rPr>
        <w:t xml:space="preserve"> (NSCG targets </w:t>
      </w:r>
      <w:r w:rsidR="00DF398F">
        <w:rPr>
          <w:rFonts w:ascii="Times New Roman" w:hAnsi="Times New Roman" w:cs="Times New Roman"/>
          <w:sz w:val="24"/>
          <w:szCs w:val="24"/>
        </w:rPr>
        <w:t xml:space="preserve">a </w:t>
      </w:r>
      <w:r w:rsidR="003A490B">
        <w:rPr>
          <w:rFonts w:ascii="Times New Roman" w:hAnsi="Times New Roman" w:cs="Times New Roman"/>
          <w:sz w:val="24"/>
          <w:szCs w:val="24"/>
        </w:rPr>
        <w:t>sub</w:t>
      </w:r>
      <w:r w:rsidR="00DF398F">
        <w:rPr>
          <w:rFonts w:ascii="Times New Roman" w:hAnsi="Times New Roman" w:cs="Times New Roman"/>
          <w:sz w:val="24"/>
          <w:szCs w:val="24"/>
        </w:rPr>
        <w:t xml:space="preserve">population </w:t>
      </w:r>
      <w:r w:rsidR="00AB7542">
        <w:rPr>
          <w:rFonts w:ascii="Times New Roman" w:hAnsi="Times New Roman" w:cs="Times New Roman"/>
          <w:sz w:val="24"/>
          <w:szCs w:val="24"/>
        </w:rPr>
        <w:t>with bachelor’s degree or above and NTEWS those with a subbaccalaureate</w:t>
      </w:r>
      <w:r w:rsidR="002C5554">
        <w:rPr>
          <w:rFonts w:ascii="Times New Roman" w:hAnsi="Times New Roman" w:cs="Times New Roman"/>
          <w:sz w:val="24"/>
          <w:szCs w:val="24"/>
        </w:rPr>
        <w:t xml:space="preserve"> credential</w:t>
      </w:r>
      <w:r w:rsidR="00AB7542">
        <w:rPr>
          <w:rFonts w:ascii="Times New Roman" w:hAnsi="Times New Roman" w:cs="Times New Roman"/>
          <w:sz w:val="24"/>
          <w:szCs w:val="24"/>
        </w:rPr>
        <w:t>)</w:t>
      </w:r>
      <w:r>
        <w:rPr>
          <w:rFonts w:ascii="Times New Roman" w:hAnsi="Times New Roman" w:cs="Times New Roman"/>
          <w:sz w:val="24"/>
          <w:szCs w:val="24"/>
        </w:rPr>
        <w:t>, NCSES</w:t>
      </w:r>
      <w:r w:rsidR="002C5554">
        <w:rPr>
          <w:rFonts w:ascii="Times New Roman" w:hAnsi="Times New Roman" w:cs="Times New Roman"/>
          <w:sz w:val="24"/>
          <w:szCs w:val="24"/>
        </w:rPr>
        <w:t>’s</w:t>
      </w:r>
      <w:r w:rsidR="00AB7542">
        <w:rPr>
          <w:rFonts w:ascii="Times New Roman" w:hAnsi="Times New Roman" w:cs="Times New Roman"/>
          <w:sz w:val="24"/>
          <w:szCs w:val="24"/>
        </w:rPr>
        <w:t xml:space="preserve"> long-term strategy </w:t>
      </w:r>
      <w:r w:rsidR="002C5554">
        <w:rPr>
          <w:rFonts w:ascii="Times New Roman" w:hAnsi="Times New Roman" w:cs="Times New Roman"/>
          <w:sz w:val="24"/>
          <w:szCs w:val="24"/>
        </w:rPr>
        <w:t>is to</w:t>
      </w:r>
      <w:r w:rsidR="0026193E">
        <w:rPr>
          <w:rFonts w:ascii="Times New Roman" w:hAnsi="Times New Roman" w:cs="Times New Roman"/>
          <w:sz w:val="24"/>
          <w:szCs w:val="24"/>
        </w:rPr>
        <w:t xml:space="preserve"> examine the feasibility and potential benefit of</w:t>
      </w:r>
      <w:r w:rsidR="002C5554">
        <w:rPr>
          <w:rFonts w:ascii="Times New Roman" w:hAnsi="Times New Roman" w:cs="Times New Roman"/>
          <w:sz w:val="24"/>
          <w:szCs w:val="24"/>
        </w:rPr>
        <w:t xml:space="preserve"> merg</w:t>
      </w:r>
      <w:r w:rsidR="0026193E">
        <w:rPr>
          <w:rFonts w:ascii="Times New Roman" w:hAnsi="Times New Roman" w:cs="Times New Roman"/>
          <w:sz w:val="24"/>
          <w:szCs w:val="24"/>
        </w:rPr>
        <w:t>ing</w:t>
      </w:r>
      <w:r w:rsidR="00AB7542">
        <w:rPr>
          <w:rFonts w:ascii="Times New Roman" w:hAnsi="Times New Roman" w:cs="Times New Roman"/>
          <w:sz w:val="24"/>
          <w:szCs w:val="24"/>
        </w:rPr>
        <w:t xml:space="preserve"> the two surveys into one. Thus,</w:t>
      </w:r>
      <w:r w:rsidR="008331B0">
        <w:rPr>
          <w:rFonts w:ascii="Times New Roman" w:hAnsi="Times New Roman" w:cs="Times New Roman"/>
          <w:sz w:val="24"/>
          <w:szCs w:val="24"/>
        </w:rPr>
        <w:t xml:space="preserve"> </w:t>
      </w:r>
      <w:r w:rsidR="00C04E40">
        <w:rPr>
          <w:rFonts w:ascii="Times New Roman" w:hAnsi="Times New Roman" w:cs="Times New Roman"/>
          <w:sz w:val="24"/>
          <w:szCs w:val="24"/>
        </w:rPr>
        <w:t xml:space="preserve">the </w:t>
      </w:r>
      <w:r w:rsidR="00030D8B">
        <w:rPr>
          <w:rFonts w:ascii="Times New Roman" w:hAnsi="Times New Roman" w:cs="Times New Roman"/>
          <w:sz w:val="24"/>
          <w:szCs w:val="24"/>
        </w:rPr>
        <w:t xml:space="preserve">existing </w:t>
      </w:r>
      <w:r w:rsidR="00C04E40">
        <w:rPr>
          <w:rFonts w:ascii="Times New Roman" w:hAnsi="Times New Roman" w:cs="Times New Roman"/>
          <w:sz w:val="24"/>
          <w:szCs w:val="24"/>
        </w:rPr>
        <w:t xml:space="preserve">NSCG methodology, which has been tested over several </w:t>
      </w:r>
      <w:r w:rsidR="0067655E">
        <w:rPr>
          <w:rFonts w:ascii="Times New Roman" w:hAnsi="Times New Roman" w:cs="Times New Roman"/>
          <w:sz w:val="24"/>
          <w:szCs w:val="24"/>
        </w:rPr>
        <w:t xml:space="preserve">survey </w:t>
      </w:r>
      <w:r w:rsidR="00241D4F">
        <w:rPr>
          <w:rFonts w:ascii="Times New Roman" w:hAnsi="Times New Roman" w:cs="Times New Roman"/>
          <w:sz w:val="24"/>
          <w:szCs w:val="24"/>
        </w:rPr>
        <w:t>cycles</w:t>
      </w:r>
      <w:r w:rsidR="00C04E40">
        <w:rPr>
          <w:rFonts w:ascii="Times New Roman" w:hAnsi="Times New Roman" w:cs="Times New Roman"/>
          <w:sz w:val="24"/>
          <w:szCs w:val="24"/>
        </w:rPr>
        <w:t>, helped guide</w:t>
      </w:r>
      <w:r w:rsidR="00B347FC">
        <w:rPr>
          <w:rFonts w:ascii="Times New Roman" w:hAnsi="Times New Roman" w:cs="Times New Roman"/>
          <w:sz w:val="24"/>
          <w:szCs w:val="24"/>
        </w:rPr>
        <w:t xml:space="preserve"> most of</w:t>
      </w:r>
      <w:r w:rsidR="00C04E40">
        <w:rPr>
          <w:rFonts w:ascii="Times New Roman" w:hAnsi="Times New Roman" w:cs="Times New Roman"/>
          <w:sz w:val="24"/>
          <w:szCs w:val="24"/>
        </w:rPr>
        <w:t xml:space="preserve"> the experimental decisions made for the initial NTEWS </w:t>
      </w:r>
      <w:r w:rsidR="00241D4F">
        <w:rPr>
          <w:rFonts w:ascii="Times New Roman" w:hAnsi="Times New Roman" w:cs="Times New Roman"/>
          <w:sz w:val="24"/>
          <w:szCs w:val="24"/>
        </w:rPr>
        <w:t>cycle</w:t>
      </w:r>
      <w:r w:rsidR="00C04E40">
        <w:rPr>
          <w:rFonts w:ascii="Times New Roman" w:hAnsi="Times New Roman" w:cs="Times New Roman"/>
          <w:sz w:val="24"/>
          <w:szCs w:val="24"/>
        </w:rPr>
        <w:t xml:space="preserve">. </w:t>
      </w:r>
    </w:p>
    <w:p w:rsidRPr="00B93559" w:rsidR="003775A6" w:rsidRDefault="006A4F7F" w14:paraId="1DD891A2" w14:textId="69FB2EF5">
      <w:pPr>
        <w:rPr>
          <w:rFonts w:ascii="Times New Roman" w:hAnsi="Times New Roman" w:cs="Times New Roman"/>
          <w:i/>
          <w:iCs/>
          <w:sz w:val="24"/>
          <w:szCs w:val="24"/>
        </w:rPr>
      </w:pPr>
      <w:r>
        <w:rPr>
          <w:rFonts w:ascii="Times New Roman" w:hAnsi="Times New Roman" w:cs="Times New Roman"/>
          <w:i/>
          <w:iCs/>
          <w:sz w:val="24"/>
          <w:szCs w:val="24"/>
        </w:rPr>
        <w:t>1.1. R</w:t>
      </w:r>
      <w:r w:rsidRPr="00B93559" w:rsidR="003775A6">
        <w:rPr>
          <w:rFonts w:ascii="Times New Roman" w:hAnsi="Times New Roman" w:cs="Times New Roman"/>
          <w:i/>
          <w:iCs/>
          <w:sz w:val="24"/>
          <w:szCs w:val="24"/>
        </w:rPr>
        <w:t>andomized</w:t>
      </w:r>
      <w:r w:rsidR="00E623CD">
        <w:rPr>
          <w:rFonts w:ascii="Times New Roman" w:hAnsi="Times New Roman" w:cs="Times New Roman"/>
          <w:i/>
          <w:iCs/>
          <w:sz w:val="24"/>
          <w:szCs w:val="24"/>
        </w:rPr>
        <w:t>,</w:t>
      </w:r>
      <w:r w:rsidRPr="00B93559" w:rsidR="003775A6">
        <w:rPr>
          <w:rFonts w:ascii="Times New Roman" w:hAnsi="Times New Roman" w:cs="Times New Roman"/>
          <w:i/>
          <w:iCs/>
          <w:sz w:val="24"/>
          <w:szCs w:val="24"/>
        </w:rPr>
        <w:t xml:space="preserve"> methodological experiments in nationally representative sample</w:t>
      </w:r>
    </w:p>
    <w:p w:rsidR="00573C0C" w:rsidP="0067520B" w:rsidRDefault="00063D72" w14:paraId="0ECC3591" w14:textId="06481AC0">
      <w:pPr>
        <w:rPr>
          <w:rFonts w:ascii="Times New Roman" w:hAnsi="Times New Roman" w:cs="Times New Roman"/>
          <w:sz w:val="24"/>
          <w:szCs w:val="24"/>
        </w:rPr>
      </w:pPr>
      <w:r>
        <w:rPr>
          <w:rFonts w:ascii="Times New Roman" w:hAnsi="Times New Roman" w:cs="Times New Roman"/>
          <w:sz w:val="24"/>
          <w:szCs w:val="24"/>
        </w:rPr>
        <w:t xml:space="preserve">This initial NTEWS </w:t>
      </w:r>
      <w:r w:rsidR="00241D4F">
        <w:rPr>
          <w:rFonts w:ascii="Times New Roman" w:hAnsi="Times New Roman" w:cs="Times New Roman"/>
          <w:sz w:val="24"/>
          <w:szCs w:val="24"/>
        </w:rPr>
        <w:t>cycle</w:t>
      </w:r>
      <w:r w:rsidR="00942D36">
        <w:rPr>
          <w:rFonts w:ascii="Times New Roman" w:hAnsi="Times New Roman" w:cs="Times New Roman"/>
          <w:sz w:val="24"/>
          <w:szCs w:val="24"/>
        </w:rPr>
        <w:t xml:space="preserve">, which </w:t>
      </w:r>
      <w:r w:rsidR="009C2F24">
        <w:rPr>
          <w:rFonts w:ascii="Times New Roman" w:hAnsi="Times New Roman" w:cs="Times New Roman"/>
          <w:sz w:val="24"/>
          <w:szCs w:val="24"/>
        </w:rPr>
        <w:t xml:space="preserve">plans to </w:t>
      </w:r>
      <w:r w:rsidR="00942D36">
        <w:rPr>
          <w:rFonts w:ascii="Times New Roman" w:hAnsi="Times New Roman" w:cs="Times New Roman"/>
          <w:sz w:val="24"/>
          <w:szCs w:val="24"/>
        </w:rPr>
        <w:t xml:space="preserve">sample </w:t>
      </w:r>
      <w:r w:rsidR="00B92A0D">
        <w:rPr>
          <w:rFonts w:ascii="Times New Roman" w:hAnsi="Times New Roman" w:cs="Times New Roman"/>
          <w:sz w:val="24"/>
          <w:szCs w:val="24"/>
        </w:rPr>
        <w:t>43,200</w:t>
      </w:r>
      <w:r w:rsidR="00942D36">
        <w:rPr>
          <w:rFonts w:ascii="Times New Roman" w:hAnsi="Times New Roman" w:cs="Times New Roman"/>
          <w:sz w:val="24"/>
          <w:szCs w:val="24"/>
        </w:rPr>
        <w:t xml:space="preserve"> </w:t>
      </w:r>
      <w:r w:rsidR="00D56A04">
        <w:rPr>
          <w:rFonts w:ascii="Times New Roman" w:hAnsi="Times New Roman" w:cs="Times New Roman"/>
          <w:sz w:val="24"/>
          <w:szCs w:val="24"/>
        </w:rPr>
        <w:t>individuals</w:t>
      </w:r>
      <w:r w:rsidR="005E0BD6">
        <w:rPr>
          <w:rFonts w:ascii="Times New Roman" w:hAnsi="Times New Roman" w:cs="Times New Roman"/>
          <w:sz w:val="24"/>
          <w:szCs w:val="24"/>
        </w:rPr>
        <w:t xml:space="preserve"> </w:t>
      </w:r>
      <w:r w:rsidR="00942D36">
        <w:rPr>
          <w:rFonts w:ascii="Times New Roman" w:hAnsi="Times New Roman" w:cs="Times New Roman"/>
          <w:sz w:val="24"/>
          <w:szCs w:val="24"/>
        </w:rPr>
        <w:t xml:space="preserve">from </w:t>
      </w:r>
      <w:r w:rsidR="005D1A8D">
        <w:rPr>
          <w:rFonts w:ascii="Times New Roman" w:hAnsi="Times New Roman" w:cs="Times New Roman"/>
          <w:sz w:val="24"/>
          <w:szCs w:val="24"/>
        </w:rPr>
        <w:t>respondents to the 2018 ACS,</w:t>
      </w:r>
      <w:r w:rsidR="00034EDB">
        <w:rPr>
          <w:rFonts w:ascii="Times New Roman" w:hAnsi="Times New Roman" w:cs="Times New Roman"/>
          <w:sz w:val="24"/>
          <w:szCs w:val="24"/>
        </w:rPr>
        <w:t xml:space="preserve"> </w:t>
      </w:r>
      <w:r w:rsidR="00942449">
        <w:rPr>
          <w:rFonts w:ascii="Times New Roman" w:hAnsi="Times New Roman" w:cs="Times New Roman"/>
          <w:sz w:val="24"/>
          <w:szCs w:val="24"/>
        </w:rPr>
        <w:t xml:space="preserve">will </w:t>
      </w:r>
      <w:r w:rsidR="00271662">
        <w:rPr>
          <w:rFonts w:ascii="Times New Roman" w:hAnsi="Times New Roman" w:cs="Times New Roman"/>
          <w:sz w:val="24"/>
          <w:szCs w:val="24"/>
        </w:rPr>
        <w:t xml:space="preserve">implement </w:t>
      </w:r>
      <w:r w:rsidR="00034EDB">
        <w:rPr>
          <w:rFonts w:ascii="Times New Roman" w:hAnsi="Times New Roman" w:cs="Times New Roman"/>
          <w:sz w:val="24"/>
          <w:szCs w:val="24"/>
        </w:rPr>
        <w:t>two</w:t>
      </w:r>
      <w:r w:rsidR="00163CFC">
        <w:rPr>
          <w:rFonts w:ascii="Times New Roman" w:hAnsi="Times New Roman" w:cs="Times New Roman"/>
          <w:sz w:val="24"/>
          <w:szCs w:val="24"/>
        </w:rPr>
        <w:t xml:space="preserve"> randomized</w:t>
      </w:r>
      <w:r w:rsidR="00034EDB">
        <w:rPr>
          <w:rFonts w:ascii="Times New Roman" w:hAnsi="Times New Roman" w:cs="Times New Roman"/>
          <w:sz w:val="24"/>
          <w:szCs w:val="24"/>
        </w:rPr>
        <w:t xml:space="preserve"> methodological experiments:</w:t>
      </w:r>
    </w:p>
    <w:p w:rsidR="00034EDB" w:rsidP="00C5011D" w:rsidRDefault="00C5011D" w14:paraId="2B23AC35" w14:textId="28CD121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contact</w:t>
      </w:r>
      <w:r w:rsidR="00C41AF1">
        <w:rPr>
          <w:rFonts w:ascii="Times New Roman" w:hAnsi="Times New Roman" w:cs="Times New Roman"/>
          <w:b/>
          <w:sz w:val="24"/>
          <w:szCs w:val="24"/>
        </w:rPr>
        <w:t>-</w:t>
      </w:r>
      <w:r>
        <w:rPr>
          <w:rFonts w:ascii="Times New Roman" w:hAnsi="Times New Roman" w:cs="Times New Roman"/>
          <w:b/>
          <w:sz w:val="24"/>
          <w:szCs w:val="24"/>
        </w:rPr>
        <w:t>strategies</w:t>
      </w:r>
      <w:r>
        <w:rPr>
          <w:rFonts w:ascii="Times New Roman" w:hAnsi="Times New Roman" w:cs="Times New Roman"/>
          <w:sz w:val="24"/>
          <w:szCs w:val="24"/>
        </w:rPr>
        <w:t xml:space="preserve"> </w:t>
      </w:r>
      <w:r w:rsidRPr="00C54AB3">
        <w:rPr>
          <w:rFonts w:ascii="Times New Roman" w:hAnsi="Times New Roman" w:cs="Times New Roman"/>
          <w:b/>
          <w:bCs/>
          <w:sz w:val="24"/>
          <w:szCs w:val="24"/>
        </w:rPr>
        <w:t>experiment</w:t>
      </w:r>
      <w:r>
        <w:rPr>
          <w:rFonts w:ascii="Times New Roman" w:hAnsi="Times New Roman" w:cs="Times New Roman"/>
          <w:sz w:val="24"/>
          <w:szCs w:val="24"/>
        </w:rPr>
        <w:t xml:space="preserve"> to </w:t>
      </w:r>
      <w:r w:rsidR="008B5C08">
        <w:rPr>
          <w:rFonts w:ascii="Times New Roman" w:hAnsi="Times New Roman" w:cs="Times New Roman"/>
          <w:sz w:val="24"/>
          <w:szCs w:val="24"/>
        </w:rPr>
        <w:t xml:space="preserve">test </w:t>
      </w:r>
      <w:r w:rsidR="007017C9">
        <w:rPr>
          <w:rFonts w:ascii="Times New Roman" w:hAnsi="Times New Roman" w:cs="Times New Roman"/>
          <w:sz w:val="24"/>
          <w:szCs w:val="24"/>
        </w:rPr>
        <w:t>six</w:t>
      </w:r>
      <w:r w:rsidR="00B213BE">
        <w:rPr>
          <w:rFonts w:ascii="Times New Roman" w:hAnsi="Times New Roman" w:cs="Times New Roman"/>
          <w:sz w:val="24"/>
          <w:szCs w:val="24"/>
        </w:rPr>
        <w:t xml:space="preserve"> </w:t>
      </w:r>
      <w:r w:rsidR="008B5C08">
        <w:rPr>
          <w:rFonts w:ascii="Times New Roman" w:hAnsi="Times New Roman" w:cs="Times New Roman"/>
          <w:sz w:val="24"/>
          <w:szCs w:val="24"/>
        </w:rPr>
        <w:t xml:space="preserve">alternative sequences of </w:t>
      </w:r>
      <w:r w:rsidR="00AC304E">
        <w:rPr>
          <w:rFonts w:ascii="Times New Roman" w:hAnsi="Times New Roman" w:cs="Times New Roman"/>
          <w:sz w:val="24"/>
          <w:szCs w:val="24"/>
        </w:rPr>
        <w:t xml:space="preserve">the three </w:t>
      </w:r>
      <w:r w:rsidR="008B5C08">
        <w:rPr>
          <w:rFonts w:ascii="Times New Roman" w:hAnsi="Times New Roman" w:cs="Times New Roman"/>
          <w:sz w:val="24"/>
          <w:szCs w:val="24"/>
        </w:rPr>
        <w:t>response modes</w:t>
      </w:r>
      <w:r w:rsidR="00AC304E">
        <w:rPr>
          <w:rFonts w:ascii="Times New Roman" w:hAnsi="Times New Roman" w:cs="Times New Roman"/>
          <w:sz w:val="24"/>
          <w:szCs w:val="24"/>
        </w:rPr>
        <w:t xml:space="preserve"> that will be offered in the NTEWS (web, paper, and telephone)</w:t>
      </w:r>
      <w:r w:rsidR="008B5C08">
        <w:rPr>
          <w:rFonts w:ascii="Times New Roman" w:hAnsi="Times New Roman" w:cs="Times New Roman"/>
          <w:sz w:val="24"/>
          <w:szCs w:val="24"/>
        </w:rPr>
        <w:t>.</w:t>
      </w:r>
    </w:p>
    <w:p w:rsidR="006870B3" w:rsidP="00C5011D" w:rsidRDefault="008B5C08" w14:paraId="12C9B07A" w14:textId="5BE8F1D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noncontingent</w:t>
      </w:r>
      <w:r w:rsidR="00C41AF1">
        <w:rPr>
          <w:rFonts w:ascii="Times New Roman" w:hAnsi="Times New Roman" w:cs="Times New Roman"/>
          <w:b/>
          <w:sz w:val="24"/>
          <w:szCs w:val="24"/>
        </w:rPr>
        <w:t>-</w:t>
      </w:r>
      <w:r>
        <w:rPr>
          <w:rFonts w:ascii="Times New Roman" w:hAnsi="Times New Roman" w:cs="Times New Roman"/>
          <w:b/>
          <w:sz w:val="24"/>
          <w:szCs w:val="24"/>
        </w:rPr>
        <w:t>incentive</w:t>
      </w:r>
      <w:r>
        <w:rPr>
          <w:rFonts w:ascii="Times New Roman" w:hAnsi="Times New Roman" w:cs="Times New Roman"/>
          <w:sz w:val="24"/>
          <w:szCs w:val="24"/>
        </w:rPr>
        <w:t xml:space="preserve"> </w:t>
      </w:r>
      <w:r w:rsidRPr="00C54AB3">
        <w:rPr>
          <w:rFonts w:ascii="Times New Roman" w:hAnsi="Times New Roman" w:cs="Times New Roman"/>
          <w:b/>
          <w:bCs/>
          <w:sz w:val="24"/>
          <w:szCs w:val="24"/>
        </w:rPr>
        <w:t>experiment</w:t>
      </w:r>
      <w:r>
        <w:rPr>
          <w:rFonts w:ascii="Times New Roman" w:hAnsi="Times New Roman" w:cs="Times New Roman"/>
          <w:sz w:val="24"/>
          <w:szCs w:val="24"/>
        </w:rPr>
        <w:t xml:space="preserve"> to test </w:t>
      </w:r>
      <w:r w:rsidR="006553DA">
        <w:rPr>
          <w:rFonts w:ascii="Times New Roman" w:hAnsi="Times New Roman" w:cs="Times New Roman"/>
          <w:sz w:val="24"/>
          <w:szCs w:val="24"/>
        </w:rPr>
        <w:t>three</w:t>
      </w:r>
      <w:r w:rsidR="00C7178C">
        <w:rPr>
          <w:rFonts w:ascii="Times New Roman" w:hAnsi="Times New Roman" w:cs="Times New Roman"/>
          <w:sz w:val="24"/>
          <w:szCs w:val="24"/>
        </w:rPr>
        <w:t xml:space="preserve"> </w:t>
      </w:r>
      <w:r>
        <w:rPr>
          <w:rFonts w:ascii="Times New Roman" w:hAnsi="Times New Roman" w:cs="Times New Roman"/>
          <w:sz w:val="24"/>
          <w:szCs w:val="24"/>
        </w:rPr>
        <w:t xml:space="preserve">alternative dollar values </w:t>
      </w:r>
      <w:r w:rsidR="00DE0E51">
        <w:rPr>
          <w:rFonts w:ascii="Times New Roman" w:hAnsi="Times New Roman" w:cs="Times New Roman"/>
          <w:sz w:val="24"/>
          <w:szCs w:val="24"/>
        </w:rPr>
        <w:t>($</w:t>
      </w:r>
      <w:r w:rsidR="006553DA">
        <w:rPr>
          <w:rFonts w:ascii="Times New Roman" w:hAnsi="Times New Roman" w:cs="Times New Roman"/>
          <w:sz w:val="24"/>
          <w:szCs w:val="24"/>
        </w:rPr>
        <w:t>1</w:t>
      </w:r>
      <w:r w:rsidR="00DE0E51">
        <w:rPr>
          <w:rFonts w:ascii="Times New Roman" w:hAnsi="Times New Roman" w:cs="Times New Roman"/>
          <w:sz w:val="24"/>
          <w:szCs w:val="24"/>
        </w:rPr>
        <w:t>0</w:t>
      </w:r>
      <w:r w:rsidR="0071719B">
        <w:rPr>
          <w:rFonts w:ascii="Times New Roman" w:hAnsi="Times New Roman" w:cs="Times New Roman"/>
          <w:sz w:val="24"/>
          <w:szCs w:val="24"/>
        </w:rPr>
        <w:t>,</w:t>
      </w:r>
      <w:r w:rsidR="00AD7CDE">
        <w:rPr>
          <w:rFonts w:ascii="Times New Roman" w:hAnsi="Times New Roman" w:cs="Times New Roman"/>
          <w:sz w:val="24"/>
          <w:szCs w:val="24"/>
        </w:rPr>
        <w:t xml:space="preserve"> $20,</w:t>
      </w:r>
      <w:r w:rsidR="00DE0E51">
        <w:rPr>
          <w:rFonts w:ascii="Times New Roman" w:hAnsi="Times New Roman" w:cs="Times New Roman"/>
          <w:sz w:val="24"/>
          <w:szCs w:val="24"/>
        </w:rPr>
        <w:t xml:space="preserve"> $30) </w:t>
      </w:r>
      <w:r>
        <w:rPr>
          <w:rFonts w:ascii="Times New Roman" w:hAnsi="Times New Roman" w:cs="Times New Roman"/>
          <w:sz w:val="24"/>
          <w:szCs w:val="24"/>
        </w:rPr>
        <w:t>for a prepaid debit card</w:t>
      </w:r>
      <w:r w:rsidR="006553DA">
        <w:rPr>
          <w:rFonts w:ascii="Times New Roman" w:hAnsi="Times New Roman" w:cs="Times New Roman"/>
          <w:sz w:val="24"/>
          <w:szCs w:val="24"/>
        </w:rPr>
        <w:t>, as well as a no-incentive control group</w:t>
      </w:r>
      <w:r>
        <w:rPr>
          <w:rFonts w:ascii="Times New Roman" w:hAnsi="Times New Roman" w:cs="Times New Roman"/>
          <w:sz w:val="24"/>
          <w:szCs w:val="24"/>
        </w:rPr>
        <w:t>.</w:t>
      </w:r>
    </w:p>
    <w:p w:rsidR="00CF0544" w:rsidP="00D1457B" w:rsidRDefault="001B5E59" w14:paraId="7FE1692C" w14:textId="3D81616E">
      <w:pPr>
        <w:rPr>
          <w:rFonts w:ascii="Times New Roman" w:hAnsi="Times New Roman" w:cs="Times New Roman"/>
          <w:sz w:val="24"/>
          <w:szCs w:val="24"/>
        </w:rPr>
      </w:pPr>
      <w:r>
        <w:rPr>
          <w:rFonts w:ascii="Times New Roman" w:hAnsi="Times New Roman" w:cs="Times New Roman"/>
          <w:sz w:val="24"/>
          <w:szCs w:val="24"/>
        </w:rPr>
        <w:t>Both sets of treatment</w:t>
      </w:r>
      <w:r w:rsidR="00AF7F45">
        <w:rPr>
          <w:rFonts w:ascii="Times New Roman" w:hAnsi="Times New Roman" w:cs="Times New Roman"/>
          <w:sz w:val="24"/>
          <w:szCs w:val="24"/>
        </w:rPr>
        <w:t xml:space="preserve"> group</w:t>
      </w:r>
      <w:r>
        <w:rPr>
          <w:rFonts w:ascii="Times New Roman" w:hAnsi="Times New Roman" w:cs="Times New Roman"/>
          <w:sz w:val="24"/>
          <w:szCs w:val="24"/>
        </w:rPr>
        <w:t xml:space="preserve">s will be </w:t>
      </w:r>
      <w:r w:rsidR="00612222">
        <w:rPr>
          <w:rFonts w:ascii="Times New Roman" w:hAnsi="Times New Roman" w:cs="Times New Roman"/>
          <w:sz w:val="24"/>
          <w:szCs w:val="24"/>
        </w:rPr>
        <w:t>randomly assigned and fully crossed in a factorial design</w:t>
      </w:r>
      <w:r w:rsidR="00982527">
        <w:rPr>
          <w:rFonts w:ascii="Times New Roman" w:hAnsi="Times New Roman" w:cs="Times New Roman"/>
          <w:sz w:val="24"/>
          <w:szCs w:val="24"/>
        </w:rPr>
        <w:t xml:space="preserve">, allowing the effects of the </w:t>
      </w:r>
      <w:r w:rsidR="00896D01">
        <w:rPr>
          <w:rFonts w:ascii="Times New Roman" w:hAnsi="Times New Roman" w:cs="Times New Roman"/>
          <w:sz w:val="24"/>
          <w:szCs w:val="24"/>
        </w:rPr>
        <w:t xml:space="preserve">alternative </w:t>
      </w:r>
      <w:r w:rsidR="00982527">
        <w:rPr>
          <w:rFonts w:ascii="Times New Roman" w:hAnsi="Times New Roman" w:cs="Times New Roman"/>
          <w:sz w:val="24"/>
          <w:szCs w:val="24"/>
        </w:rPr>
        <w:t>contact strategies and noncontingent incentives to be examined independently</w:t>
      </w:r>
      <w:r w:rsidR="00612222">
        <w:rPr>
          <w:rFonts w:ascii="Times New Roman" w:hAnsi="Times New Roman" w:cs="Times New Roman"/>
          <w:sz w:val="24"/>
          <w:szCs w:val="24"/>
        </w:rPr>
        <w:t>.</w:t>
      </w:r>
      <w:r w:rsidR="003A55C1">
        <w:rPr>
          <w:rFonts w:ascii="Times New Roman" w:hAnsi="Times New Roman" w:cs="Times New Roman"/>
          <w:sz w:val="24"/>
          <w:szCs w:val="24"/>
        </w:rPr>
        <w:t xml:space="preserve"> </w:t>
      </w:r>
      <w:r w:rsidRPr="007D1253" w:rsidR="003A55C1">
        <w:rPr>
          <w:rFonts w:ascii="Times New Roman" w:hAnsi="Times New Roman" w:cs="Times New Roman"/>
          <w:sz w:val="28"/>
          <w:szCs w:val="28"/>
        </w:rPr>
        <w:t xml:space="preserve">Also, </w:t>
      </w:r>
      <w:r w:rsidRPr="007D1253" w:rsidR="003A55C1">
        <w:rPr>
          <w:rFonts w:ascii="Times New Roman" w:hAnsi="Times New Roman" w:cs="Times New Roman"/>
          <w:sz w:val="24"/>
          <w:szCs w:val="24"/>
        </w:rPr>
        <w:t>NCSES plans to examine any potential interaction effects between the contact and noncontingent incentives treatments</w:t>
      </w:r>
      <w:r w:rsidR="008E3A6E">
        <w:rPr>
          <w:rFonts w:ascii="Times New Roman" w:hAnsi="Times New Roman" w:cs="Times New Roman"/>
        </w:rPr>
        <w:t>.</w:t>
      </w:r>
    </w:p>
    <w:p w:rsidR="00D1457B" w:rsidP="00D1457B" w:rsidRDefault="009C2F24" w14:paraId="2B2BC2E2" w14:textId="31F7691F">
      <w:pPr>
        <w:rPr>
          <w:rFonts w:ascii="Times New Roman" w:hAnsi="Times New Roman" w:cs="Times New Roman"/>
          <w:sz w:val="24"/>
          <w:szCs w:val="24"/>
        </w:rPr>
      </w:pPr>
      <w:r>
        <w:rPr>
          <w:rFonts w:ascii="Times New Roman" w:hAnsi="Times New Roman" w:cs="Times New Roman"/>
          <w:sz w:val="24"/>
          <w:szCs w:val="24"/>
        </w:rPr>
        <w:t xml:space="preserve">Detailed discussions of these experiments—including their rationale </w:t>
      </w:r>
      <w:r w:rsidR="006E1522">
        <w:rPr>
          <w:rFonts w:ascii="Times New Roman" w:hAnsi="Times New Roman" w:cs="Times New Roman"/>
          <w:sz w:val="24"/>
          <w:szCs w:val="24"/>
        </w:rPr>
        <w:t xml:space="preserve">and </w:t>
      </w:r>
      <w:r>
        <w:rPr>
          <w:rFonts w:ascii="Times New Roman" w:hAnsi="Times New Roman" w:cs="Times New Roman"/>
          <w:sz w:val="24"/>
          <w:szCs w:val="24"/>
        </w:rPr>
        <w:t xml:space="preserve">methodological designs—are provided in sections 2 (for the contact-strategies experiment) and 3 (for the noncontingent-incentive experiment). </w:t>
      </w:r>
      <w:r w:rsidR="00240DE7">
        <w:rPr>
          <w:rFonts w:ascii="Times New Roman" w:hAnsi="Times New Roman" w:cs="Times New Roman"/>
          <w:sz w:val="24"/>
          <w:szCs w:val="24"/>
        </w:rPr>
        <w:t>Section 4 then shows expected sample sizes for each combination of contact-strategies and noncontingent-incentive treatments.</w:t>
      </w:r>
    </w:p>
    <w:p w:rsidR="00D1457B" w:rsidP="008B5C08" w:rsidRDefault="00C91079" w14:paraId="4C7CB1AF" w14:textId="781D376A">
      <w:pPr>
        <w:rPr>
          <w:rFonts w:ascii="Times New Roman" w:hAnsi="Times New Roman" w:cs="Times New Roman"/>
          <w:sz w:val="24"/>
          <w:szCs w:val="24"/>
        </w:rPr>
      </w:pPr>
      <w:r>
        <w:rPr>
          <w:rFonts w:ascii="Times New Roman" w:hAnsi="Times New Roman" w:cs="Times New Roman"/>
          <w:sz w:val="24"/>
          <w:szCs w:val="24"/>
        </w:rPr>
        <w:t>The following key research questions apply to both experiments:</w:t>
      </w:r>
    </w:p>
    <w:p w:rsidR="00B0247A" w:rsidP="00B0247A" w:rsidRDefault="00B0247A" w14:paraId="13E3D805" w14:textId="75E9B298">
      <w:pPr>
        <w:pStyle w:val="ListParagraph"/>
        <w:numPr>
          <w:ilvl w:val="0"/>
          <w:numId w:val="6"/>
        </w:numPr>
        <w:rPr>
          <w:rFonts w:ascii="Times New Roman" w:hAnsi="Times New Roman" w:cs="Times New Roman"/>
          <w:sz w:val="24"/>
          <w:szCs w:val="24"/>
        </w:rPr>
      </w:pPr>
      <w:r>
        <w:rPr>
          <w:rFonts w:ascii="Times New Roman" w:hAnsi="Times New Roman" w:cs="Times New Roman"/>
          <w:b/>
          <w:bCs/>
          <w:sz w:val="24"/>
          <w:szCs w:val="24"/>
        </w:rPr>
        <w:t>Nonresponse bias for key estimates</w:t>
      </w:r>
      <w:r>
        <w:rPr>
          <w:rFonts w:ascii="Times New Roman" w:hAnsi="Times New Roman" w:cs="Times New Roman"/>
          <w:sz w:val="24"/>
          <w:szCs w:val="24"/>
        </w:rPr>
        <w:t xml:space="preserve">: </w:t>
      </w:r>
      <w:r w:rsidR="00A36CE0">
        <w:rPr>
          <w:rFonts w:ascii="Times New Roman" w:hAnsi="Times New Roman" w:cs="Times New Roman"/>
          <w:sz w:val="24"/>
          <w:szCs w:val="24"/>
        </w:rPr>
        <w:t>D</w:t>
      </w:r>
      <w:r w:rsidRPr="009953E0" w:rsidR="009953E0">
        <w:rPr>
          <w:rFonts w:ascii="Times New Roman" w:hAnsi="Times New Roman" w:cs="Times New Roman"/>
          <w:sz w:val="24"/>
          <w:szCs w:val="24"/>
        </w:rPr>
        <w:t xml:space="preserve">o key survey estimates vary across </w:t>
      </w:r>
      <w:r w:rsidR="009953E0">
        <w:rPr>
          <w:rFonts w:ascii="Times New Roman" w:hAnsi="Times New Roman" w:cs="Times New Roman"/>
          <w:sz w:val="24"/>
          <w:szCs w:val="24"/>
        </w:rPr>
        <w:t>contact strategies and incentive levels</w:t>
      </w:r>
      <w:r w:rsidRPr="009953E0" w:rsidR="009953E0">
        <w:rPr>
          <w:rFonts w:ascii="Times New Roman" w:hAnsi="Times New Roman" w:cs="Times New Roman"/>
          <w:sz w:val="24"/>
          <w:szCs w:val="24"/>
        </w:rPr>
        <w:t xml:space="preserve">? Can these differences be explained by sampling error (noise) or by differences in demographic representation, which can be mitigated by conventional weighting adjustments? If differences remain after accounting for sampling variability and demographic representation, is there an optimal </w:t>
      </w:r>
      <w:r w:rsidR="009953E0">
        <w:rPr>
          <w:rFonts w:ascii="Times New Roman" w:hAnsi="Times New Roman" w:cs="Times New Roman"/>
          <w:sz w:val="24"/>
          <w:szCs w:val="24"/>
        </w:rPr>
        <w:t xml:space="preserve">contact strategy and/or incentive level </w:t>
      </w:r>
      <w:r w:rsidRPr="009953E0" w:rsidR="009953E0">
        <w:rPr>
          <w:rFonts w:ascii="Times New Roman" w:hAnsi="Times New Roman" w:cs="Times New Roman"/>
          <w:sz w:val="24"/>
          <w:szCs w:val="24"/>
        </w:rPr>
        <w:t>that leads to the highest level of reporting/least amount of bias for key estimates</w:t>
      </w:r>
      <w:r w:rsidR="009953E0">
        <w:rPr>
          <w:rFonts w:ascii="Times New Roman" w:hAnsi="Times New Roman" w:cs="Times New Roman"/>
          <w:sz w:val="24"/>
          <w:szCs w:val="24"/>
        </w:rPr>
        <w:t>?</w:t>
      </w:r>
    </w:p>
    <w:p w:rsidR="009953E0" w:rsidP="00B0247A" w:rsidRDefault="009953E0" w14:paraId="31EA05AA" w14:textId="4E96668C">
      <w:pPr>
        <w:pStyle w:val="ListParagraph"/>
        <w:numPr>
          <w:ilvl w:val="0"/>
          <w:numId w:val="6"/>
        </w:numPr>
        <w:rPr>
          <w:rFonts w:ascii="Times New Roman" w:hAnsi="Times New Roman" w:cs="Times New Roman"/>
          <w:sz w:val="24"/>
          <w:szCs w:val="24"/>
        </w:rPr>
      </w:pPr>
      <w:r>
        <w:rPr>
          <w:rFonts w:ascii="Times New Roman" w:hAnsi="Times New Roman" w:cs="Times New Roman"/>
          <w:b/>
          <w:bCs/>
          <w:sz w:val="24"/>
          <w:szCs w:val="24"/>
        </w:rPr>
        <w:t>Nonresponse rates for key subpopulations</w:t>
      </w:r>
      <w:r>
        <w:rPr>
          <w:rFonts w:ascii="Times New Roman" w:hAnsi="Times New Roman" w:cs="Times New Roman"/>
          <w:sz w:val="24"/>
          <w:szCs w:val="24"/>
        </w:rPr>
        <w:t xml:space="preserve">: </w:t>
      </w:r>
      <w:r w:rsidRPr="007C38D8" w:rsidR="007C38D8">
        <w:rPr>
          <w:rFonts w:ascii="Times New Roman" w:hAnsi="Times New Roman" w:cs="Times New Roman"/>
          <w:sz w:val="24"/>
          <w:szCs w:val="24"/>
        </w:rPr>
        <w:t>Which population groups of interest have lower-than</w:t>
      </w:r>
      <w:r w:rsidR="00E07376">
        <w:rPr>
          <w:rFonts w:ascii="Times New Roman" w:hAnsi="Times New Roman" w:cs="Times New Roman"/>
          <w:sz w:val="24"/>
          <w:szCs w:val="24"/>
        </w:rPr>
        <w:t>-</w:t>
      </w:r>
      <w:r w:rsidRPr="007C38D8" w:rsidR="007C38D8">
        <w:rPr>
          <w:rFonts w:ascii="Times New Roman" w:hAnsi="Times New Roman" w:cs="Times New Roman"/>
          <w:sz w:val="24"/>
          <w:szCs w:val="24"/>
        </w:rPr>
        <w:t xml:space="preserve"> and higher-than</w:t>
      </w:r>
      <w:r w:rsidR="00E07376">
        <w:rPr>
          <w:rFonts w:ascii="Times New Roman" w:hAnsi="Times New Roman" w:cs="Times New Roman"/>
          <w:sz w:val="24"/>
          <w:szCs w:val="24"/>
        </w:rPr>
        <w:t>-</w:t>
      </w:r>
      <w:r w:rsidRPr="007C38D8" w:rsidR="007C38D8">
        <w:rPr>
          <w:rFonts w:ascii="Times New Roman" w:hAnsi="Times New Roman" w:cs="Times New Roman"/>
          <w:sz w:val="24"/>
          <w:szCs w:val="24"/>
        </w:rPr>
        <w:t xml:space="preserve">average response rates to the NTEWS? What are the impacts </w:t>
      </w:r>
      <w:r w:rsidRPr="007C38D8" w:rsidR="007C38D8">
        <w:rPr>
          <w:rFonts w:ascii="Times New Roman" w:hAnsi="Times New Roman" w:cs="Times New Roman"/>
          <w:sz w:val="24"/>
          <w:szCs w:val="24"/>
        </w:rPr>
        <w:lastRenderedPageBreak/>
        <w:t xml:space="preserve">of </w:t>
      </w:r>
      <w:r w:rsidR="007C38D8">
        <w:rPr>
          <w:rFonts w:ascii="Times New Roman" w:hAnsi="Times New Roman" w:cs="Times New Roman"/>
          <w:sz w:val="24"/>
          <w:szCs w:val="24"/>
        </w:rPr>
        <w:t xml:space="preserve">contact strategies and </w:t>
      </w:r>
      <w:r w:rsidRPr="007C38D8" w:rsidR="007C38D8">
        <w:rPr>
          <w:rFonts w:ascii="Times New Roman" w:hAnsi="Times New Roman" w:cs="Times New Roman"/>
          <w:sz w:val="24"/>
          <w:szCs w:val="24"/>
        </w:rPr>
        <w:t>incentive levels on these response rates and corresponding weight adjustments related to estimates of uncertainty (standard errors)?</w:t>
      </w:r>
    </w:p>
    <w:p w:rsidRPr="00BE68CD" w:rsidR="007C38D8" w:rsidP="00BE68CD" w:rsidRDefault="007C38D8" w14:paraId="2868D49D" w14:textId="59508CCF">
      <w:pPr>
        <w:pStyle w:val="ListParagraph"/>
        <w:numPr>
          <w:ilvl w:val="0"/>
          <w:numId w:val="6"/>
        </w:numPr>
        <w:rPr>
          <w:rFonts w:ascii="Times New Roman" w:hAnsi="Times New Roman" w:cs="Times New Roman"/>
          <w:sz w:val="24"/>
          <w:szCs w:val="24"/>
        </w:rPr>
      </w:pPr>
      <w:r>
        <w:rPr>
          <w:rFonts w:ascii="Times New Roman" w:hAnsi="Times New Roman" w:cs="Times New Roman"/>
          <w:b/>
          <w:bCs/>
          <w:sz w:val="24"/>
          <w:szCs w:val="24"/>
        </w:rPr>
        <w:t>Predicting the likelihood of response using frame data</w:t>
      </w:r>
      <w:r>
        <w:rPr>
          <w:rFonts w:ascii="Times New Roman" w:hAnsi="Times New Roman" w:cs="Times New Roman"/>
          <w:sz w:val="24"/>
          <w:szCs w:val="24"/>
        </w:rPr>
        <w:t xml:space="preserve">: </w:t>
      </w:r>
      <w:r w:rsidRPr="00AC0991" w:rsidR="00AC0991">
        <w:rPr>
          <w:rFonts w:ascii="Times New Roman" w:hAnsi="Times New Roman" w:cs="Times New Roman"/>
          <w:sz w:val="24"/>
          <w:szCs w:val="24"/>
        </w:rPr>
        <w:t xml:space="preserve">To what extent can sample members for which a </w:t>
      </w:r>
      <w:r w:rsidR="00AC0991">
        <w:rPr>
          <w:rFonts w:ascii="Times New Roman" w:hAnsi="Times New Roman" w:cs="Times New Roman"/>
          <w:sz w:val="24"/>
          <w:szCs w:val="24"/>
        </w:rPr>
        <w:t>particular contact strategy or incentive level</w:t>
      </w:r>
      <w:r w:rsidR="00EA34A6">
        <w:rPr>
          <w:rFonts w:ascii="Times New Roman" w:hAnsi="Times New Roman" w:cs="Times New Roman"/>
          <w:sz w:val="24"/>
          <w:szCs w:val="24"/>
        </w:rPr>
        <w:t xml:space="preserve"> is</w:t>
      </w:r>
      <w:r w:rsidRPr="00AC0991" w:rsidR="00AC0991">
        <w:rPr>
          <w:rFonts w:ascii="Times New Roman" w:hAnsi="Times New Roman" w:cs="Times New Roman"/>
          <w:sz w:val="24"/>
          <w:szCs w:val="24"/>
        </w:rPr>
        <w:t xml:space="preserve"> effective (or ineffective) be reliably identified using the ACS frame data?</w:t>
      </w:r>
    </w:p>
    <w:p w:rsidR="00C91079" w:rsidP="008B5C08" w:rsidRDefault="001879D5" w14:paraId="5E45A7C1" w14:textId="006BFEA8">
      <w:pPr>
        <w:rPr>
          <w:rFonts w:ascii="Times New Roman" w:hAnsi="Times New Roman" w:cs="Times New Roman"/>
          <w:sz w:val="24"/>
          <w:szCs w:val="24"/>
        </w:rPr>
      </w:pPr>
      <w:r>
        <w:rPr>
          <w:rFonts w:ascii="Times New Roman" w:hAnsi="Times New Roman" w:cs="Times New Roman"/>
          <w:sz w:val="24"/>
          <w:szCs w:val="24"/>
        </w:rPr>
        <w:t xml:space="preserve">The overarching </w:t>
      </w:r>
      <w:r w:rsidR="00B10708">
        <w:rPr>
          <w:rFonts w:ascii="Times New Roman" w:hAnsi="Times New Roman" w:cs="Times New Roman"/>
          <w:sz w:val="24"/>
          <w:szCs w:val="24"/>
        </w:rPr>
        <w:t xml:space="preserve">motivation for these research questions is the need to identify an optimal data collection strategy that minimizes nonresponse bias while also minimizing, </w:t>
      </w:r>
      <w:r w:rsidR="002A191C">
        <w:rPr>
          <w:rFonts w:ascii="Times New Roman" w:hAnsi="Times New Roman" w:cs="Times New Roman"/>
          <w:sz w:val="24"/>
          <w:szCs w:val="24"/>
        </w:rPr>
        <w:t>as much as possible</w:t>
      </w:r>
      <w:r w:rsidR="00B10708">
        <w:rPr>
          <w:rFonts w:ascii="Times New Roman" w:hAnsi="Times New Roman" w:cs="Times New Roman"/>
          <w:sz w:val="24"/>
          <w:szCs w:val="24"/>
        </w:rPr>
        <w:t>, the cost to the federal government and the burden on the public.</w:t>
      </w:r>
      <w:r>
        <w:rPr>
          <w:rFonts w:ascii="Times New Roman" w:hAnsi="Times New Roman" w:cs="Times New Roman"/>
          <w:sz w:val="24"/>
          <w:szCs w:val="24"/>
        </w:rPr>
        <w:t xml:space="preserve"> </w:t>
      </w:r>
      <w:r w:rsidR="00944617">
        <w:rPr>
          <w:rFonts w:ascii="Times New Roman" w:hAnsi="Times New Roman" w:cs="Times New Roman"/>
          <w:i/>
          <w:iCs/>
          <w:sz w:val="24"/>
          <w:szCs w:val="24"/>
        </w:rPr>
        <w:t>N</w:t>
      </w:r>
      <w:r w:rsidR="00D63B5A">
        <w:rPr>
          <w:rFonts w:ascii="Times New Roman" w:hAnsi="Times New Roman" w:cs="Times New Roman"/>
          <w:i/>
          <w:iCs/>
          <w:sz w:val="24"/>
          <w:szCs w:val="24"/>
        </w:rPr>
        <w:t>onresponse bias</w:t>
      </w:r>
      <w:r w:rsidR="00944617">
        <w:rPr>
          <w:rFonts w:ascii="Times New Roman" w:hAnsi="Times New Roman" w:cs="Times New Roman"/>
          <w:sz w:val="24"/>
          <w:szCs w:val="24"/>
        </w:rPr>
        <w:t xml:space="preserve"> </w:t>
      </w:r>
      <w:r w:rsidR="005E2D89">
        <w:rPr>
          <w:rFonts w:ascii="Times New Roman" w:hAnsi="Times New Roman" w:cs="Times New Roman"/>
          <w:sz w:val="24"/>
          <w:szCs w:val="24"/>
        </w:rPr>
        <w:t xml:space="preserve">occurs when the composition of the </w:t>
      </w:r>
      <w:r w:rsidR="005E2D89">
        <w:rPr>
          <w:rFonts w:ascii="Times New Roman" w:hAnsi="Times New Roman" w:cs="Times New Roman"/>
          <w:i/>
          <w:iCs/>
          <w:sz w:val="24"/>
          <w:szCs w:val="24"/>
        </w:rPr>
        <w:t xml:space="preserve">responding </w:t>
      </w:r>
      <w:r w:rsidR="005E2D89">
        <w:rPr>
          <w:rFonts w:ascii="Times New Roman" w:hAnsi="Times New Roman" w:cs="Times New Roman"/>
          <w:sz w:val="24"/>
          <w:szCs w:val="24"/>
        </w:rPr>
        <w:t xml:space="preserve">sample differs systematically from that of the </w:t>
      </w:r>
      <w:r w:rsidR="00AA62DA">
        <w:rPr>
          <w:rFonts w:ascii="Times New Roman" w:hAnsi="Times New Roman" w:cs="Times New Roman"/>
          <w:sz w:val="24"/>
          <w:szCs w:val="24"/>
        </w:rPr>
        <w:t>target population</w:t>
      </w:r>
      <w:r w:rsidR="00A64DCE">
        <w:rPr>
          <w:rFonts w:ascii="Times New Roman" w:hAnsi="Times New Roman" w:cs="Times New Roman"/>
          <w:sz w:val="24"/>
          <w:szCs w:val="24"/>
        </w:rPr>
        <w:t xml:space="preserve"> due to</w:t>
      </w:r>
      <w:r w:rsidR="00F214A1">
        <w:rPr>
          <w:rFonts w:ascii="Times New Roman" w:hAnsi="Times New Roman" w:cs="Times New Roman"/>
          <w:sz w:val="24"/>
          <w:szCs w:val="24"/>
        </w:rPr>
        <w:t xml:space="preserve"> non-random</w:t>
      </w:r>
      <w:r w:rsidR="00A64DCE">
        <w:rPr>
          <w:rFonts w:ascii="Times New Roman" w:hAnsi="Times New Roman" w:cs="Times New Roman"/>
          <w:sz w:val="24"/>
          <w:szCs w:val="24"/>
        </w:rPr>
        <w:t xml:space="preserve"> </w:t>
      </w:r>
      <w:r w:rsidR="00311CBE">
        <w:rPr>
          <w:rFonts w:ascii="Times New Roman" w:hAnsi="Times New Roman" w:cs="Times New Roman"/>
          <w:sz w:val="24"/>
          <w:szCs w:val="24"/>
        </w:rPr>
        <w:t xml:space="preserve">variations in response rates across </w:t>
      </w:r>
      <w:r w:rsidR="00322FDD">
        <w:rPr>
          <w:rFonts w:ascii="Times New Roman" w:hAnsi="Times New Roman" w:cs="Times New Roman"/>
          <w:sz w:val="24"/>
          <w:szCs w:val="24"/>
        </w:rPr>
        <w:t xml:space="preserve">subgroups. </w:t>
      </w:r>
      <w:r w:rsidR="00531AB5">
        <w:rPr>
          <w:rFonts w:ascii="Times New Roman" w:hAnsi="Times New Roman" w:cs="Times New Roman"/>
          <w:sz w:val="24"/>
          <w:szCs w:val="24"/>
        </w:rPr>
        <w:t xml:space="preserve">This bias lowers the validity of the </w:t>
      </w:r>
      <w:r w:rsidR="00DB6927">
        <w:rPr>
          <w:rFonts w:ascii="Times New Roman" w:hAnsi="Times New Roman" w:cs="Times New Roman"/>
          <w:sz w:val="24"/>
          <w:szCs w:val="24"/>
        </w:rPr>
        <w:t xml:space="preserve">estimates and of comparisons across groups that include the biased estimates. </w:t>
      </w:r>
      <w:r w:rsidR="00154608">
        <w:rPr>
          <w:rFonts w:ascii="Times New Roman" w:hAnsi="Times New Roman" w:cs="Times New Roman"/>
          <w:sz w:val="24"/>
          <w:szCs w:val="24"/>
        </w:rPr>
        <w:t xml:space="preserve">For this reason, </w:t>
      </w:r>
      <w:r w:rsidR="009600EF">
        <w:rPr>
          <w:rFonts w:ascii="Times New Roman" w:hAnsi="Times New Roman" w:cs="Times New Roman"/>
          <w:sz w:val="24"/>
          <w:szCs w:val="24"/>
        </w:rPr>
        <w:t xml:space="preserve">the </w:t>
      </w:r>
      <w:r w:rsidR="00913A3E">
        <w:rPr>
          <w:rFonts w:ascii="Times New Roman" w:hAnsi="Times New Roman" w:cs="Times New Roman"/>
          <w:sz w:val="24"/>
          <w:szCs w:val="24"/>
        </w:rPr>
        <w:t>primary research question</w:t>
      </w:r>
      <w:r w:rsidR="00FD247E">
        <w:rPr>
          <w:rFonts w:ascii="Times New Roman" w:hAnsi="Times New Roman" w:cs="Times New Roman"/>
          <w:sz w:val="24"/>
          <w:szCs w:val="24"/>
        </w:rPr>
        <w:t>s</w:t>
      </w:r>
      <w:r w:rsidR="009600EF">
        <w:rPr>
          <w:rFonts w:ascii="Times New Roman" w:hAnsi="Times New Roman" w:cs="Times New Roman"/>
          <w:sz w:val="24"/>
          <w:szCs w:val="24"/>
        </w:rPr>
        <w:t xml:space="preserve"> for the NTEWS experiments encompass </w:t>
      </w:r>
      <w:r w:rsidR="00501D08">
        <w:rPr>
          <w:rFonts w:ascii="Times New Roman" w:hAnsi="Times New Roman" w:cs="Times New Roman"/>
          <w:sz w:val="24"/>
          <w:szCs w:val="24"/>
        </w:rPr>
        <w:t>the effects</w:t>
      </w:r>
      <w:r w:rsidR="009600EF">
        <w:rPr>
          <w:rFonts w:ascii="Times New Roman" w:hAnsi="Times New Roman" w:cs="Times New Roman"/>
          <w:sz w:val="24"/>
          <w:szCs w:val="24"/>
        </w:rPr>
        <w:t xml:space="preserve"> of</w:t>
      </w:r>
      <w:r w:rsidR="00501D08">
        <w:rPr>
          <w:rFonts w:ascii="Times New Roman" w:hAnsi="Times New Roman" w:cs="Times New Roman"/>
          <w:sz w:val="24"/>
          <w:szCs w:val="24"/>
        </w:rPr>
        <w:t xml:space="preserve"> alternative treatments</w:t>
      </w:r>
      <w:r w:rsidR="009600EF">
        <w:rPr>
          <w:rFonts w:ascii="Times New Roman" w:hAnsi="Times New Roman" w:cs="Times New Roman"/>
          <w:sz w:val="24"/>
          <w:szCs w:val="24"/>
        </w:rPr>
        <w:t xml:space="preserve"> </w:t>
      </w:r>
      <w:r w:rsidR="00F45011">
        <w:rPr>
          <w:rFonts w:ascii="Times New Roman" w:hAnsi="Times New Roman" w:cs="Times New Roman"/>
          <w:sz w:val="24"/>
          <w:szCs w:val="24"/>
        </w:rPr>
        <w:t>on the final composition of the responding sample</w:t>
      </w:r>
      <w:r w:rsidR="0008055B">
        <w:rPr>
          <w:rFonts w:ascii="Times New Roman" w:hAnsi="Times New Roman" w:cs="Times New Roman"/>
          <w:sz w:val="24"/>
          <w:szCs w:val="24"/>
        </w:rPr>
        <w:t xml:space="preserve"> (research question 1) and on the variability of response rates across subpopulations (research question 2)</w:t>
      </w:r>
      <w:r w:rsidR="00F45011">
        <w:rPr>
          <w:rFonts w:ascii="Times New Roman" w:hAnsi="Times New Roman" w:cs="Times New Roman"/>
          <w:sz w:val="24"/>
          <w:szCs w:val="24"/>
        </w:rPr>
        <w:t xml:space="preserve">. </w:t>
      </w:r>
      <w:r w:rsidR="000B622D">
        <w:rPr>
          <w:rFonts w:ascii="Times New Roman" w:hAnsi="Times New Roman" w:cs="Times New Roman"/>
          <w:sz w:val="24"/>
          <w:szCs w:val="24"/>
        </w:rPr>
        <w:t xml:space="preserve">The </w:t>
      </w:r>
      <w:r w:rsidR="001A21D1">
        <w:rPr>
          <w:rFonts w:ascii="Times New Roman" w:hAnsi="Times New Roman" w:cs="Times New Roman"/>
          <w:sz w:val="24"/>
          <w:szCs w:val="24"/>
        </w:rPr>
        <w:t>experiments are also</w:t>
      </w:r>
      <w:r w:rsidR="000B622D">
        <w:rPr>
          <w:rFonts w:ascii="Times New Roman" w:hAnsi="Times New Roman" w:cs="Times New Roman"/>
          <w:sz w:val="24"/>
          <w:szCs w:val="24"/>
        </w:rPr>
        <w:t xml:space="preserve"> </w:t>
      </w:r>
      <w:r w:rsidR="001A21D1">
        <w:rPr>
          <w:rFonts w:ascii="Times New Roman" w:hAnsi="Times New Roman" w:cs="Times New Roman"/>
          <w:sz w:val="24"/>
          <w:szCs w:val="24"/>
        </w:rPr>
        <w:t>designed</w:t>
      </w:r>
      <w:r w:rsidR="000B622D">
        <w:rPr>
          <w:rFonts w:ascii="Times New Roman" w:hAnsi="Times New Roman" w:cs="Times New Roman"/>
          <w:sz w:val="24"/>
          <w:szCs w:val="24"/>
        </w:rPr>
        <w:t xml:space="preserve"> to determine </w:t>
      </w:r>
      <w:r w:rsidR="006771C5">
        <w:rPr>
          <w:rFonts w:ascii="Times New Roman" w:hAnsi="Times New Roman" w:cs="Times New Roman"/>
          <w:sz w:val="24"/>
          <w:szCs w:val="24"/>
        </w:rPr>
        <w:t xml:space="preserve">whether nonresponse bias could be reduced in future NTEWS cycles by applying treatments differentially across key </w:t>
      </w:r>
      <w:r w:rsidR="00D21C4B">
        <w:rPr>
          <w:rFonts w:ascii="Times New Roman" w:hAnsi="Times New Roman" w:cs="Times New Roman"/>
          <w:sz w:val="24"/>
          <w:szCs w:val="24"/>
        </w:rPr>
        <w:t>subgroups</w:t>
      </w:r>
      <w:r w:rsidR="006771C5">
        <w:rPr>
          <w:rFonts w:ascii="Times New Roman" w:hAnsi="Times New Roman" w:cs="Times New Roman"/>
          <w:sz w:val="24"/>
          <w:szCs w:val="24"/>
        </w:rPr>
        <w:t xml:space="preserve"> (research question </w:t>
      </w:r>
      <w:r w:rsidR="0008055B">
        <w:rPr>
          <w:rFonts w:ascii="Times New Roman" w:hAnsi="Times New Roman" w:cs="Times New Roman"/>
          <w:sz w:val="24"/>
          <w:szCs w:val="24"/>
        </w:rPr>
        <w:t>3</w:t>
      </w:r>
      <w:r w:rsidR="006771C5">
        <w:rPr>
          <w:rFonts w:ascii="Times New Roman" w:hAnsi="Times New Roman" w:cs="Times New Roman"/>
          <w:sz w:val="24"/>
          <w:szCs w:val="24"/>
        </w:rPr>
        <w:t xml:space="preserve">). </w:t>
      </w:r>
    </w:p>
    <w:p w:rsidRPr="005E2D89" w:rsidR="007247FA" w:rsidP="008B5C08" w:rsidRDefault="001A0EC7" w14:paraId="0EC80955" w14:textId="305D2D0D">
      <w:pPr>
        <w:rPr>
          <w:rFonts w:ascii="Times New Roman" w:hAnsi="Times New Roman" w:cs="Times New Roman"/>
          <w:sz w:val="24"/>
          <w:szCs w:val="24"/>
        </w:rPr>
      </w:pPr>
      <w:r>
        <w:rPr>
          <w:rFonts w:ascii="Times New Roman" w:hAnsi="Times New Roman" w:cs="Times New Roman"/>
          <w:sz w:val="24"/>
          <w:szCs w:val="24"/>
        </w:rPr>
        <w:t xml:space="preserve">In </w:t>
      </w:r>
      <w:r w:rsidR="009D3AD5">
        <w:rPr>
          <w:rFonts w:ascii="Times New Roman" w:hAnsi="Times New Roman" w:cs="Times New Roman"/>
          <w:sz w:val="24"/>
          <w:szCs w:val="24"/>
        </w:rPr>
        <w:t xml:space="preserve">planning for </w:t>
      </w:r>
      <w:r w:rsidR="00BC3C3C">
        <w:rPr>
          <w:rFonts w:ascii="Times New Roman" w:hAnsi="Times New Roman" w:cs="Times New Roman"/>
          <w:sz w:val="24"/>
          <w:szCs w:val="24"/>
        </w:rPr>
        <w:t xml:space="preserve">future cycles of the NTEWS, NCSES will </w:t>
      </w:r>
      <w:r w:rsidR="00E17492">
        <w:rPr>
          <w:rFonts w:ascii="Times New Roman" w:hAnsi="Times New Roman" w:cs="Times New Roman"/>
          <w:sz w:val="24"/>
          <w:szCs w:val="24"/>
        </w:rPr>
        <w:t xml:space="preserve">use the results of these experiments to </w:t>
      </w:r>
      <w:r w:rsidR="009D3AD5">
        <w:rPr>
          <w:rFonts w:ascii="Times New Roman" w:hAnsi="Times New Roman" w:cs="Times New Roman"/>
          <w:sz w:val="24"/>
          <w:szCs w:val="24"/>
        </w:rPr>
        <w:t>identify a methodological design that best balances the goals of minimizing nonresponse bias, minimizing data collection costs, and producing estimates at an acceptable level of statistical reliability.</w:t>
      </w:r>
      <w:r w:rsidR="007835F2">
        <w:rPr>
          <w:rFonts w:ascii="Times New Roman" w:hAnsi="Times New Roman" w:cs="Times New Roman"/>
          <w:sz w:val="24"/>
          <w:szCs w:val="24"/>
        </w:rPr>
        <w:t xml:space="preserve"> In determining the proper balance, data quality will be of highest priority.</w:t>
      </w:r>
    </w:p>
    <w:p w:rsidRPr="00B93559" w:rsidR="003775A6" w:rsidP="00B93559" w:rsidRDefault="006A4F7F" w14:paraId="1EAC48EE" w14:textId="7A307D4F">
      <w:pPr>
        <w:pStyle w:val="ListParagraph"/>
        <w:numPr>
          <w:ilvl w:val="1"/>
          <w:numId w:val="13"/>
        </w:numPr>
        <w:rPr>
          <w:rFonts w:ascii="Times New Roman" w:hAnsi="Times New Roman" w:cs="Times New Roman"/>
          <w:i/>
          <w:iCs/>
          <w:sz w:val="24"/>
          <w:szCs w:val="24"/>
        </w:rPr>
      </w:pPr>
      <w:r>
        <w:rPr>
          <w:rFonts w:ascii="Times New Roman" w:hAnsi="Times New Roman" w:cs="Times New Roman"/>
          <w:i/>
          <w:iCs/>
          <w:sz w:val="24"/>
          <w:szCs w:val="24"/>
        </w:rPr>
        <w:t xml:space="preserve"> </w:t>
      </w:r>
      <w:r w:rsidRPr="00B93559" w:rsidR="003775A6">
        <w:rPr>
          <w:rFonts w:ascii="Times New Roman" w:hAnsi="Times New Roman" w:cs="Times New Roman"/>
          <w:i/>
          <w:iCs/>
          <w:sz w:val="24"/>
          <w:szCs w:val="24"/>
        </w:rPr>
        <w:t>Seeded sample evaluation</w:t>
      </w:r>
    </w:p>
    <w:p w:rsidR="008B5C08" w:rsidP="008B5C08" w:rsidRDefault="00392255" w14:paraId="6AF86D25" w14:textId="22A12B54">
      <w:pPr>
        <w:rPr>
          <w:rFonts w:ascii="Times New Roman" w:hAnsi="Times New Roman" w:cs="Times New Roman"/>
          <w:sz w:val="24"/>
          <w:szCs w:val="24"/>
        </w:rPr>
      </w:pPr>
      <w:r>
        <w:rPr>
          <w:rFonts w:ascii="Times New Roman" w:hAnsi="Times New Roman" w:cs="Times New Roman"/>
          <w:sz w:val="24"/>
          <w:szCs w:val="24"/>
        </w:rPr>
        <w:t xml:space="preserve">Additionally, separate from the </w:t>
      </w:r>
      <w:r w:rsidR="00BF1202">
        <w:rPr>
          <w:rFonts w:ascii="Times New Roman" w:hAnsi="Times New Roman" w:cs="Times New Roman"/>
          <w:sz w:val="24"/>
          <w:szCs w:val="24"/>
        </w:rPr>
        <w:t>nationally representative</w:t>
      </w:r>
      <w:r w:rsidR="00A623EB">
        <w:rPr>
          <w:rFonts w:ascii="Times New Roman" w:hAnsi="Times New Roman" w:cs="Times New Roman"/>
          <w:sz w:val="24"/>
          <w:szCs w:val="24"/>
        </w:rPr>
        <w:t xml:space="preserve"> production</w:t>
      </w:r>
      <w:r w:rsidR="00BF1202">
        <w:rPr>
          <w:rFonts w:ascii="Times New Roman" w:hAnsi="Times New Roman" w:cs="Times New Roman"/>
          <w:sz w:val="24"/>
          <w:szCs w:val="24"/>
        </w:rPr>
        <w:t xml:space="preserve"> sample</w:t>
      </w:r>
      <w:r w:rsidR="00E64A98">
        <w:rPr>
          <w:rFonts w:ascii="Times New Roman" w:hAnsi="Times New Roman" w:cs="Times New Roman"/>
          <w:sz w:val="24"/>
          <w:szCs w:val="24"/>
        </w:rPr>
        <w:t xml:space="preserve">, </w:t>
      </w:r>
      <w:r w:rsidR="00FD1E8E">
        <w:rPr>
          <w:rFonts w:ascii="Times New Roman" w:hAnsi="Times New Roman" w:cs="Times New Roman"/>
          <w:sz w:val="24"/>
          <w:szCs w:val="24"/>
        </w:rPr>
        <w:t xml:space="preserve">the </w:t>
      </w:r>
      <w:r w:rsidR="00770467">
        <w:rPr>
          <w:rFonts w:ascii="Times New Roman" w:hAnsi="Times New Roman" w:cs="Times New Roman"/>
          <w:sz w:val="24"/>
          <w:szCs w:val="24"/>
        </w:rPr>
        <w:t xml:space="preserve">initial fielding of the NTEWS </w:t>
      </w:r>
      <w:r w:rsidR="00FD1E8E">
        <w:rPr>
          <w:rFonts w:ascii="Times New Roman" w:hAnsi="Times New Roman" w:cs="Times New Roman"/>
          <w:sz w:val="24"/>
          <w:szCs w:val="24"/>
        </w:rPr>
        <w:t xml:space="preserve">will contain a </w:t>
      </w:r>
      <w:r w:rsidR="00283162">
        <w:rPr>
          <w:rFonts w:ascii="Times New Roman" w:hAnsi="Times New Roman" w:cs="Times New Roman"/>
          <w:sz w:val="24"/>
          <w:szCs w:val="24"/>
        </w:rPr>
        <w:t xml:space="preserve">convenience sample of </w:t>
      </w:r>
      <w:r w:rsidR="00EF7D84">
        <w:rPr>
          <w:rFonts w:ascii="Times New Roman" w:hAnsi="Times New Roman" w:cs="Times New Roman"/>
          <w:sz w:val="24"/>
          <w:szCs w:val="24"/>
        </w:rPr>
        <w:t xml:space="preserve">1,000 persons known to hold </w:t>
      </w:r>
      <w:r w:rsidR="003C1CF0">
        <w:rPr>
          <w:rFonts w:ascii="Times New Roman" w:hAnsi="Times New Roman" w:cs="Times New Roman"/>
          <w:sz w:val="24"/>
          <w:szCs w:val="24"/>
        </w:rPr>
        <w:t xml:space="preserve">a </w:t>
      </w:r>
      <w:r w:rsidR="00EF7D84">
        <w:rPr>
          <w:rFonts w:ascii="Times New Roman" w:hAnsi="Times New Roman" w:cs="Times New Roman"/>
          <w:sz w:val="24"/>
          <w:szCs w:val="24"/>
        </w:rPr>
        <w:t xml:space="preserve">postsecondary certificate. </w:t>
      </w:r>
      <w:r w:rsidR="00862FD8">
        <w:rPr>
          <w:rFonts w:ascii="Times New Roman" w:hAnsi="Times New Roman" w:cs="Times New Roman"/>
          <w:sz w:val="24"/>
          <w:szCs w:val="24"/>
        </w:rPr>
        <w:t xml:space="preserve">This sample is referred to as the </w:t>
      </w:r>
      <w:r w:rsidRPr="00803F8C" w:rsidR="00862FD8">
        <w:rPr>
          <w:rFonts w:ascii="Times New Roman" w:hAnsi="Times New Roman" w:cs="Times New Roman"/>
          <w:b/>
          <w:sz w:val="24"/>
          <w:szCs w:val="24"/>
        </w:rPr>
        <w:t>seeded sample</w:t>
      </w:r>
      <w:r w:rsidR="00C4733F">
        <w:rPr>
          <w:rFonts w:ascii="Times New Roman" w:hAnsi="Times New Roman" w:cs="Times New Roman"/>
          <w:sz w:val="24"/>
          <w:szCs w:val="24"/>
        </w:rPr>
        <w:t xml:space="preserve"> and is </w:t>
      </w:r>
      <w:r w:rsidR="00FD3550">
        <w:rPr>
          <w:rFonts w:ascii="Times New Roman" w:hAnsi="Times New Roman" w:cs="Times New Roman"/>
          <w:sz w:val="24"/>
          <w:szCs w:val="24"/>
        </w:rPr>
        <w:t xml:space="preserve">intended to </w:t>
      </w:r>
      <w:r w:rsidR="0019761D">
        <w:rPr>
          <w:rFonts w:ascii="Times New Roman" w:hAnsi="Times New Roman" w:cs="Times New Roman"/>
          <w:sz w:val="24"/>
          <w:szCs w:val="24"/>
        </w:rPr>
        <w:t>evaluate measurement error</w:t>
      </w:r>
      <w:r w:rsidR="00681CD8">
        <w:rPr>
          <w:rFonts w:ascii="Times New Roman" w:hAnsi="Times New Roman" w:cs="Times New Roman"/>
          <w:sz w:val="24"/>
          <w:szCs w:val="24"/>
        </w:rPr>
        <w:t xml:space="preserve"> in the postsecondary certificate item</w:t>
      </w:r>
      <w:r w:rsidR="00EF6BBB">
        <w:rPr>
          <w:rFonts w:ascii="Times New Roman" w:hAnsi="Times New Roman" w:cs="Times New Roman"/>
          <w:sz w:val="24"/>
          <w:szCs w:val="24"/>
        </w:rPr>
        <w:t>.</w:t>
      </w:r>
      <w:r w:rsidR="00400AB5">
        <w:rPr>
          <w:rFonts w:ascii="Times New Roman" w:hAnsi="Times New Roman" w:cs="Times New Roman"/>
          <w:sz w:val="24"/>
          <w:szCs w:val="24"/>
        </w:rPr>
        <w:t xml:space="preserve"> Results will be compared to prior ATES seeded sample research to determine whether revisions to the postsecondary certificate item succeeded at reducing underreporting of certificates.</w:t>
      </w:r>
      <w:r w:rsidR="00C64C82">
        <w:rPr>
          <w:rFonts w:ascii="Times New Roman" w:hAnsi="Times New Roman" w:cs="Times New Roman"/>
          <w:sz w:val="24"/>
          <w:szCs w:val="24"/>
        </w:rPr>
        <w:t xml:space="preserve"> Detailed discussion of the seeded sample </w:t>
      </w:r>
      <w:r w:rsidR="00AF4D46">
        <w:rPr>
          <w:rFonts w:ascii="Times New Roman" w:hAnsi="Times New Roman" w:cs="Times New Roman"/>
          <w:sz w:val="24"/>
          <w:szCs w:val="24"/>
        </w:rPr>
        <w:t xml:space="preserve">evaluation </w:t>
      </w:r>
      <w:r w:rsidR="00C64C82">
        <w:rPr>
          <w:rFonts w:ascii="Times New Roman" w:hAnsi="Times New Roman" w:cs="Times New Roman"/>
          <w:sz w:val="24"/>
          <w:szCs w:val="24"/>
        </w:rPr>
        <w:t xml:space="preserve">is provided in section </w:t>
      </w:r>
      <w:r w:rsidR="00240DE7">
        <w:rPr>
          <w:rFonts w:ascii="Times New Roman" w:hAnsi="Times New Roman" w:cs="Times New Roman"/>
          <w:sz w:val="24"/>
          <w:szCs w:val="24"/>
        </w:rPr>
        <w:t>5</w:t>
      </w:r>
      <w:r w:rsidR="00C64C82">
        <w:rPr>
          <w:rFonts w:ascii="Times New Roman" w:hAnsi="Times New Roman" w:cs="Times New Roman"/>
          <w:sz w:val="24"/>
          <w:szCs w:val="24"/>
        </w:rPr>
        <w:t>.</w:t>
      </w:r>
    </w:p>
    <w:p w:rsidR="001F4274" w:rsidP="008B5C08" w:rsidRDefault="001F4274" w14:paraId="71A85131" w14:textId="14D8FE22">
      <w:pPr>
        <w:rPr>
          <w:rFonts w:ascii="Times New Roman" w:hAnsi="Times New Roman" w:cs="Times New Roman"/>
          <w:sz w:val="24"/>
          <w:szCs w:val="24"/>
        </w:rPr>
      </w:pPr>
      <w:r>
        <w:rPr>
          <w:rFonts w:ascii="Times New Roman" w:hAnsi="Times New Roman" w:cs="Times New Roman"/>
          <w:b/>
          <w:sz w:val="24"/>
          <w:szCs w:val="24"/>
          <w:u w:val="single"/>
        </w:rPr>
        <w:t>2. Contact</w:t>
      </w:r>
      <w:r w:rsidR="00C41AF1">
        <w:rPr>
          <w:rFonts w:ascii="Times New Roman" w:hAnsi="Times New Roman" w:cs="Times New Roman"/>
          <w:b/>
          <w:sz w:val="24"/>
          <w:szCs w:val="24"/>
          <w:u w:val="single"/>
        </w:rPr>
        <w:t>-</w:t>
      </w:r>
      <w:r>
        <w:rPr>
          <w:rFonts w:ascii="Times New Roman" w:hAnsi="Times New Roman" w:cs="Times New Roman"/>
          <w:b/>
          <w:sz w:val="24"/>
          <w:szCs w:val="24"/>
          <w:u w:val="single"/>
        </w:rPr>
        <w:t>strategies experiment</w:t>
      </w:r>
    </w:p>
    <w:p w:rsidR="00A27991" w:rsidP="008B5C08" w:rsidRDefault="00A27991" w14:paraId="3A33B027" w14:textId="52C1CFF4">
      <w:pPr>
        <w:rPr>
          <w:rFonts w:ascii="Times New Roman" w:hAnsi="Times New Roman" w:cs="Times New Roman"/>
          <w:sz w:val="24"/>
          <w:szCs w:val="24"/>
        </w:rPr>
      </w:pPr>
      <w:r>
        <w:rPr>
          <w:rFonts w:ascii="Times New Roman" w:hAnsi="Times New Roman" w:cs="Times New Roman"/>
          <w:i/>
          <w:sz w:val="24"/>
          <w:szCs w:val="24"/>
        </w:rPr>
        <w:t>2.1. Background</w:t>
      </w:r>
    </w:p>
    <w:p w:rsidRPr="00AE7F2D" w:rsidR="00AE7F2D" w:rsidP="00AE7F2D" w:rsidRDefault="00AE7F2D" w14:paraId="37BB221C" w14:textId="59D9C234">
      <w:pPr>
        <w:rPr>
          <w:rFonts w:ascii="Times New Roman" w:hAnsi="Times New Roman" w:cs="Times New Roman"/>
          <w:sz w:val="24"/>
          <w:szCs w:val="24"/>
        </w:rPr>
      </w:pPr>
      <w:r w:rsidRPr="00AE7F2D">
        <w:rPr>
          <w:rFonts w:ascii="Times New Roman" w:hAnsi="Times New Roman" w:cs="Times New Roman"/>
          <w:sz w:val="24"/>
          <w:szCs w:val="24"/>
        </w:rPr>
        <w:t xml:space="preserve">One of the most important design decisions of a survey is the contact strategy.  </w:t>
      </w:r>
      <w:r w:rsidR="00447CF4">
        <w:rPr>
          <w:rFonts w:ascii="Times New Roman" w:hAnsi="Times New Roman" w:cs="Times New Roman"/>
          <w:sz w:val="24"/>
          <w:szCs w:val="24"/>
        </w:rPr>
        <w:t>The contact strategy</w:t>
      </w:r>
      <w:r w:rsidRPr="00AE7F2D" w:rsidR="00447CF4">
        <w:rPr>
          <w:rFonts w:ascii="Times New Roman" w:hAnsi="Times New Roman" w:cs="Times New Roman"/>
          <w:sz w:val="24"/>
          <w:szCs w:val="24"/>
        </w:rPr>
        <w:t xml:space="preserve"> </w:t>
      </w:r>
      <w:r w:rsidRPr="00AE7F2D">
        <w:rPr>
          <w:rFonts w:ascii="Times New Roman" w:hAnsi="Times New Roman" w:cs="Times New Roman"/>
          <w:sz w:val="24"/>
          <w:szCs w:val="24"/>
        </w:rPr>
        <w:t xml:space="preserve">makes potential respondents aware of the survey and </w:t>
      </w:r>
      <w:r w:rsidRPr="00D04DF7">
        <w:rPr>
          <w:rFonts w:ascii="Times New Roman" w:hAnsi="Times New Roman" w:cs="Times New Roman"/>
          <w:sz w:val="24"/>
          <w:szCs w:val="24"/>
        </w:rPr>
        <w:t>gives them a means to respond.  Research has shown that the type</w:t>
      </w:r>
      <w:r w:rsidR="00080AE1">
        <w:rPr>
          <w:rFonts w:ascii="Times New Roman" w:hAnsi="Times New Roman" w:cs="Times New Roman"/>
          <w:sz w:val="24"/>
          <w:szCs w:val="24"/>
        </w:rPr>
        <w:t xml:space="preserve"> of contact</w:t>
      </w:r>
      <w:r w:rsidRPr="00D04DF7">
        <w:rPr>
          <w:rFonts w:ascii="Times New Roman" w:hAnsi="Times New Roman" w:cs="Times New Roman"/>
          <w:sz w:val="24"/>
          <w:szCs w:val="24"/>
        </w:rPr>
        <w:t xml:space="preserve">, </w:t>
      </w:r>
      <w:r w:rsidR="00080AE1">
        <w:rPr>
          <w:rFonts w:ascii="Times New Roman" w:hAnsi="Times New Roman" w:cs="Times New Roman"/>
          <w:sz w:val="24"/>
          <w:szCs w:val="24"/>
        </w:rPr>
        <w:t xml:space="preserve">its </w:t>
      </w:r>
      <w:r w:rsidRPr="00D04DF7">
        <w:rPr>
          <w:rFonts w:ascii="Times New Roman" w:hAnsi="Times New Roman" w:cs="Times New Roman"/>
          <w:sz w:val="24"/>
          <w:szCs w:val="24"/>
        </w:rPr>
        <w:t xml:space="preserve">timing, and </w:t>
      </w:r>
      <w:r w:rsidR="00956DCB">
        <w:rPr>
          <w:rFonts w:ascii="Times New Roman" w:hAnsi="Times New Roman" w:cs="Times New Roman"/>
          <w:sz w:val="24"/>
          <w:szCs w:val="24"/>
        </w:rPr>
        <w:t xml:space="preserve">the </w:t>
      </w:r>
      <w:r w:rsidRPr="00D04DF7">
        <w:rPr>
          <w:rFonts w:ascii="Times New Roman" w:hAnsi="Times New Roman" w:cs="Times New Roman"/>
          <w:sz w:val="24"/>
          <w:szCs w:val="24"/>
        </w:rPr>
        <w:t xml:space="preserve">number of contacts (Dillman et al. </w:t>
      </w:r>
      <w:r w:rsidRPr="00D04DF7" w:rsidR="00E7285F">
        <w:rPr>
          <w:rFonts w:ascii="Times New Roman" w:hAnsi="Times New Roman" w:cs="Times New Roman"/>
          <w:sz w:val="24"/>
          <w:szCs w:val="24"/>
        </w:rPr>
        <w:t>2014</w:t>
      </w:r>
      <w:r w:rsidRPr="00D04DF7">
        <w:rPr>
          <w:rFonts w:ascii="Times New Roman" w:hAnsi="Times New Roman" w:cs="Times New Roman"/>
          <w:sz w:val="24"/>
          <w:szCs w:val="24"/>
        </w:rPr>
        <w:t>)</w:t>
      </w:r>
      <w:r w:rsidR="00956DCB">
        <w:rPr>
          <w:rFonts w:ascii="Times New Roman" w:hAnsi="Times New Roman" w:cs="Times New Roman"/>
          <w:sz w:val="24"/>
          <w:szCs w:val="24"/>
        </w:rPr>
        <w:t>,</w:t>
      </w:r>
      <w:r w:rsidRPr="00D04DF7">
        <w:rPr>
          <w:rFonts w:ascii="Times New Roman" w:hAnsi="Times New Roman" w:cs="Times New Roman"/>
          <w:sz w:val="24"/>
          <w:szCs w:val="24"/>
        </w:rPr>
        <w:t xml:space="preserve"> as well as the level of personalization (Cook</w:t>
      </w:r>
      <w:r w:rsidRPr="00D04DF7" w:rsidR="00E64014">
        <w:rPr>
          <w:rFonts w:ascii="Times New Roman" w:hAnsi="Times New Roman" w:cs="Times New Roman"/>
          <w:sz w:val="24"/>
          <w:szCs w:val="24"/>
        </w:rPr>
        <w:t xml:space="preserve"> et al.</w:t>
      </w:r>
      <w:r w:rsidRPr="00D04DF7">
        <w:rPr>
          <w:rFonts w:ascii="Times New Roman" w:hAnsi="Times New Roman" w:cs="Times New Roman"/>
          <w:sz w:val="24"/>
          <w:szCs w:val="24"/>
        </w:rPr>
        <w:t xml:space="preserve"> 2000)</w:t>
      </w:r>
      <w:r w:rsidR="00956DCB">
        <w:rPr>
          <w:rFonts w:ascii="Times New Roman" w:hAnsi="Times New Roman" w:cs="Times New Roman"/>
          <w:sz w:val="24"/>
          <w:szCs w:val="24"/>
        </w:rPr>
        <w:t>,</w:t>
      </w:r>
      <w:r w:rsidRPr="00D04DF7">
        <w:rPr>
          <w:rFonts w:ascii="Times New Roman" w:hAnsi="Times New Roman" w:cs="Times New Roman"/>
          <w:sz w:val="24"/>
          <w:szCs w:val="24"/>
        </w:rPr>
        <w:t xml:space="preserve"> can influence a respondent’s decision to participate in a survey. The strategy that will be most effective for a particular survey will depend on</w:t>
      </w:r>
      <w:r w:rsidRPr="00AE7F2D">
        <w:rPr>
          <w:rFonts w:ascii="Times New Roman" w:hAnsi="Times New Roman" w:cs="Times New Roman"/>
          <w:sz w:val="24"/>
          <w:szCs w:val="24"/>
        </w:rPr>
        <w:t xml:space="preserve"> many factors, including the target population, the sponsor, and the mandatory status of the survey. </w:t>
      </w:r>
    </w:p>
    <w:p w:rsidRPr="00AE7F2D" w:rsidR="00AE7F2D" w:rsidP="00AE7F2D" w:rsidRDefault="00AE7F2D" w14:paraId="21186125" w14:textId="13B18302">
      <w:pPr>
        <w:rPr>
          <w:rFonts w:ascii="Times New Roman" w:hAnsi="Times New Roman" w:cs="Times New Roman"/>
          <w:sz w:val="24"/>
          <w:szCs w:val="24"/>
        </w:rPr>
      </w:pPr>
      <w:r w:rsidRPr="00AE7F2D">
        <w:rPr>
          <w:rFonts w:ascii="Times New Roman" w:hAnsi="Times New Roman" w:cs="Times New Roman"/>
          <w:sz w:val="24"/>
          <w:szCs w:val="24"/>
        </w:rPr>
        <w:t xml:space="preserve">As a result, the </w:t>
      </w:r>
      <w:r w:rsidR="00D67777">
        <w:rPr>
          <w:rFonts w:ascii="Times New Roman" w:hAnsi="Times New Roman" w:cs="Times New Roman"/>
          <w:sz w:val="24"/>
          <w:szCs w:val="24"/>
        </w:rPr>
        <w:t xml:space="preserve">initial cycle of the </w:t>
      </w:r>
      <w:r w:rsidRPr="00AE7F2D">
        <w:rPr>
          <w:rFonts w:ascii="Times New Roman" w:hAnsi="Times New Roman" w:cs="Times New Roman"/>
          <w:sz w:val="24"/>
          <w:szCs w:val="24"/>
        </w:rPr>
        <w:t>NTEWS will include a contact</w:t>
      </w:r>
      <w:r w:rsidR="00C41AF1">
        <w:rPr>
          <w:rFonts w:ascii="Times New Roman" w:hAnsi="Times New Roman" w:cs="Times New Roman"/>
          <w:sz w:val="24"/>
          <w:szCs w:val="24"/>
        </w:rPr>
        <w:t>-</w:t>
      </w:r>
      <w:r w:rsidRPr="00AE7F2D">
        <w:rPr>
          <w:rFonts w:ascii="Times New Roman" w:hAnsi="Times New Roman" w:cs="Times New Roman"/>
          <w:sz w:val="24"/>
          <w:szCs w:val="24"/>
        </w:rPr>
        <w:t xml:space="preserve">strategies experiment to test alternative sequences of offered response modes. </w:t>
      </w:r>
      <w:r w:rsidR="00AF7F45">
        <w:rPr>
          <w:rFonts w:ascii="Times New Roman" w:hAnsi="Times New Roman" w:cs="Times New Roman"/>
          <w:sz w:val="24"/>
          <w:szCs w:val="24"/>
        </w:rPr>
        <w:t xml:space="preserve">The goals of this experiment are (1) to </w:t>
      </w:r>
      <w:r w:rsidR="00AF7F45">
        <w:rPr>
          <w:rFonts w:ascii="Times New Roman" w:hAnsi="Times New Roman" w:cs="Times New Roman"/>
          <w:sz w:val="24"/>
          <w:szCs w:val="24"/>
        </w:rPr>
        <w:lastRenderedPageBreak/>
        <w:t xml:space="preserve">determine which contact sequence maximizes the representativeness </w:t>
      </w:r>
      <w:r w:rsidR="008F19F6">
        <w:rPr>
          <w:rFonts w:ascii="Times New Roman" w:hAnsi="Times New Roman" w:cs="Times New Roman"/>
          <w:sz w:val="24"/>
          <w:szCs w:val="24"/>
        </w:rPr>
        <w:t xml:space="preserve">and size </w:t>
      </w:r>
      <w:r w:rsidR="00AF7F45">
        <w:rPr>
          <w:rFonts w:ascii="Times New Roman" w:hAnsi="Times New Roman" w:cs="Times New Roman"/>
          <w:sz w:val="24"/>
          <w:szCs w:val="24"/>
        </w:rPr>
        <w:t xml:space="preserve">of </w:t>
      </w:r>
      <w:r w:rsidR="008F19F6">
        <w:rPr>
          <w:rFonts w:ascii="Times New Roman" w:hAnsi="Times New Roman" w:cs="Times New Roman"/>
          <w:sz w:val="24"/>
          <w:szCs w:val="24"/>
        </w:rPr>
        <w:t xml:space="preserve">the </w:t>
      </w:r>
      <w:r w:rsidR="00AF7F45">
        <w:rPr>
          <w:rFonts w:ascii="Times New Roman" w:hAnsi="Times New Roman" w:cs="Times New Roman"/>
          <w:sz w:val="24"/>
          <w:szCs w:val="24"/>
        </w:rPr>
        <w:t>respondent</w:t>
      </w:r>
      <w:r w:rsidR="008F19F6">
        <w:rPr>
          <w:rFonts w:ascii="Times New Roman" w:hAnsi="Times New Roman" w:cs="Times New Roman"/>
          <w:sz w:val="24"/>
          <w:szCs w:val="24"/>
        </w:rPr>
        <w:t xml:space="preserve"> sample</w:t>
      </w:r>
      <w:r w:rsidR="00AF7F45">
        <w:rPr>
          <w:rFonts w:ascii="Times New Roman" w:hAnsi="Times New Roman" w:cs="Times New Roman"/>
          <w:sz w:val="24"/>
          <w:szCs w:val="24"/>
        </w:rPr>
        <w:t xml:space="preserve">, and (2) to assess the effect of response mode on </w:t>
      </w:r>
      <w:r w:rsidR="00C84802">
        <w:rPr>
          <w:rFonts w:ascii="Times New Roman" w:hAnsi="Times New Roman" w:cs="Times New Roman"/>
          <w:sz w:val="24"/>
          <w:szCs w:val="24"/>
        </w:rPr>
        <w:t xml:space="preserve">responses to </w:t>
      </w:r>
      <w:r w:rsidR="00F430ED">
        <w:rPr>
          <w:rFonts w:ascii="Times New Roman" w:hAnsi="Times New Roman" w:cs="Times New Roman"/>
          <w:sz w:val="24"/>
          <w:szCs w:val="24"/>
        </w:rPr>
        <w:t xml:space="preserve">key </w:t>
      </w:r>
      <w:r w:rsidR="00C84802">
        <w:rPr>
          <w:rFonts w:ascii="Times New Roman" w:hAnsi="Times New Roman" w:cs="Times New Roman"/>
          <w:sz w:val="24"/>
          <w:szCs w:val="24"/>
        </w:rPr>
        <w:t>survey items</w:t>
      </w:r>
      <w:r w:rsidR="00AF7F45">
        <w:rPr>
          <w:rFonts w:ascii="Times New Roman" w:hAnsi="Times New Roman" w:cs="Times New Roman"/>
          <w:sz w:val="24"/>
          <w:szCs w:val="24"/>
        </w:rPr>
        <w:t>. Sample members</w:t>
      </w:r>
      <w:r w:rsidRPr="00AE7F2D" w:rsidR="00AF7F45">
        <w:rPr>
          <w:rFonts w:ascii="Times New Roman" w:hAnsi="Times New Roman" w:cs="Times New Roman"/>
          <w:sz w:val="24"/>
          <w:szCs w:val="24"/>
        </w:rPr>
        <w:t xml:space="preserve"> </w:t>
      </w:r>
      <w:r w:rsidRPr="00AE7F2D">
        <w:rPr>
          <w:rFonts w:ascii="Times New Roman" w:hAnsi="Times New Roman" w:cs="Times New Roman"/>
          <w:sz w:val="24"/>
          <w:szCs w:val="24"/>
        </w:rPr>
        <w:t>will be randomly assigned to one of six contact</w:t>
      </w:r>
      <w:r w:rsidR="00AF7F45">
        <w:rPr>
          <w:rFonts w:ascii="Times New Roman" w:hAnsi="Times New Roman" w:cs="Times New Roman"/>
          <w:sz w:val="24"/>
          <w:szCs w:val="24"/>
        </w:rPr>
        <w:t>-</w:t>
      </w:r>
      <w:r w:rsidRPr="00AE7F2D">
        <w:rPr>
          <w:rFonts w:ascii="Times New Roman" w:hAnsi="Times New Roman" w:cs="Times New Roman"/>
          <w:sz w:val="24"/>
          <w:szCs w:val="24"/>
        </w:rPr>
        <w:t>strategy treatment</w:t>
      </w:r>
      <w:r w:rsidR="008558BC">
        <w:rPr>
          <w:rFonts w:ascii="Times New Roman" w:hAnsi="Times New Roman" w:cs="Times New Roman"/>
          <w:sz w:val="24"/>
          <w:szCs w:val="24"/>
        </w:rPr>
        <w:t xml:space="preserve"> group</w:t>
      </w:r>
      <w:r w:rsidR="00AF7F45">
        <w:rPr>
          <w:rFonts w:ascii="Times New Roman" w:hAnsi="Times New Roman" w:cs="Times New Roman"/>
          <w:sz w:val="24"/>
          <w:szCs w:val="24"/>
        </w:rPr>
        <w:t>s</w:t>
      </w:r>
      <w:r w:rsidRPr="00AE7F2D">
        <w:rPr>
          <w:rFonts w:ascii="Times New Roman" w:hAnsi="Times New Roman" w:cs="Times New Roman"/>
          <w:sz w:val="24"/>
          <w:szCs w:val="24"/>
        </w:rPr>
        <w:t>, described in greater detail later in this section. All treatment</w:t>
      </w:r>
      <w:r w:rsidR="008B7E24">
        <w:rPr>
          <w:rFonts w:ascii="Times New Roman" w:hAnsi="Times New Roman" w:cs="Times New Roman"/>
          <w:sz w:val="24"/>
          <w:szCs w:val="24"/>
        </w:rPr>
        <w:t xml:space="preserve"> group</w:t>
      </w:r>
      <w:r w:rsidRPr="00AE7F2D">
        <w:rPr>
          <w:rFonts w:ascii="Times New Roman" w:hAnsi="Times New Roman" w:cs="Times New Roman"/>
          <w:sz w:val="24"/>
          <w:szCs w:val="24"/>
        </w:rPr>
        <w:t>s include both mail and phone contacts (e-mail contacts are not included due to a lack of e-mail addresses for sample members). All sample members will be offered the option to respond by web, paper, or computer-assisted telephone interviewing (CATI) at various points in the data collection. The contact</w:t>
      </w:r>
      <w:r w:rsidR="00C41AF1">
        <w:rPr>
          <w:rFonts w:ascii="Times New Roman" w:hAnsi="Times New Roman" w:cs="Times New Roman"/>
          <w:sz w:val="24"/>
          <w:szCs w:val="24"/>
        </w:rPr>
        <w:t>-</w:t>
      </w:r>
      <w:r w:rsidRPr="00AE7F2D">
        <w:rPr>
          <w:rFonts w:ascii="Times New Roman" w:hAnsi="Times New Roman" w:cs="Times New Roman"/>
          <w:sz w:val="24"/>
          <w:szCs w:val="24"/>
        </w:rPr>
        <w:t>strateg</w:t>
      </w:r>
      <w:r w:rsidR="00AF7F45">
        <w:rPr>
          <w:rFonts w:ascii="Times New Roman" w:hAnsi="Times New Roman" w:cs="Times New Roman"/>
          <w:sz w:val="24"/>
          <w:szCs w:val="24"/>
        </w:rPr>
        <w:t>y</w:t>
      </w:r>
      <w:r w:rsidRPr="00AE7F2D">
        <w:rPr>
          <w:rFonts w:ascii="Times New Roman" w:hAnsi="Times New Roman" w:cs="Times New Roman"/>
          <w:sz w:val="24"/>
          <w:szCs w:val="24"/>
        </w:rPr>
        <w:t xml:space="preserve"> </w:t>
      </w:r>
      <w:r w:rsidR="00AF7F45">
        <w:rPr>
          <w:rFonts w:ascii="Times New Roman" w:hAnsi="Times New Roman" w:cs="Times New Roman"/>
          <w:sz w:val="24"/>
          <w:szCs w:val="24"/>
        </w:rPr>
        <w:t>treatment groups</w:t>
      </w:r>
      <w:r w:rsidRPr="00AE7F2D" w:rsidR="00AF7F45">
        <w:rPr>
          <w:rFonts w:ascii="Times New Roman" w:hAnsi="Times New Roman" w:cs="Times New Roman"/>
          <w:sz w:val="24"/>
          <w:szCs w:val="24"/>
        </w:rPr>
        <w:t xml:space="preserve"> </w:t>
      </w:r>
      <w:r w:rsidRPr="00AE7F2D">
        <w:rPr>
          <w:rFonts w:ascii="Times New Roman" w:hAnsi="Times New Roman" w:cs="Times New Roman"/>
          <w:sz w:val="24"/>
          <w:szCs w:val="24"/>
        </w:rPr>
        <w:t xml:space="preserve">will vary </w:t>
      </w:r>
      <w:r w:rsidRPr="00AE7F2D">
        <w:rPr>
          <w:rFonts w:ascii="Times New Roman" w:hAnsi="Times New Roman" w:cs="Times New Roman"/>
          <w:i/>
          <w:iCs/>
          <w:sz w:val="24"/>
          <w:szCs w:val="24"/>
        </w:rPr>
        <w:t>the sequence in which</w:t>
      </w:r>
      <w:r w:rsidRPr="00AE7F2D">
        <w:rPr>
          <w:rFonts w:ascii="Times New Roman" w:hAnsi="Times New Roman" w:cs="Times New Roman"/>
          <w:sz w:val="24"/>
          <w:szCs w:val="24"/>
        </w:rPr>
        <w:t xml:space="preserve"> these modes are offered. </w:t>
      </w:r>
    </w:p>
    <w:p w:rsidR="00F11D03" w:rsidP="008B5C08" w:rsidRDefault="00AE7F2D" w14:paraId="57AE5DCD" w14:textId="2391A598">
      <w:pPr>
        <w:rPr>
          <w:rFonts w:ascii="Times New Roman" w:hAnsi="Times New Roman" w:cs="Times New Roman"/>
          <w:sz w:val="24"/>
          <w:szCs w:val="24"/>
        </w:rPr>
      </w:pPr>
      <w:r w:rsidRPr="00AE7F2D">
        <w:rPr>
          <w:rFonts w:ascii="Times New Roman" w:hAnsi="Times New Roman" w:cs="Times New Roman"/>
          <w:sz w:val="24"/>
          <w:szCs w:val="24"/>
        </w:rPr>
        <w:t xml:space="preserve">The experimental design reflects a recognition that, although existing research supports the use of mixed-mode </w:t>
      </w:r>
      <w:r w:rsidRPr="00FC5D01">
        <w:rPr>
          <w:rFonts w:ascii="Times New Roman" w:hAnsi="Times New Roman" w:cs="Times New Roman"/>
          <w:sz w:val="24"/>
          <w:szCs w:val="24"/>
        </w:rPr>
        <w:t xml:space="preserve">designs over web-only </w:t>
      </w:r>
      <w:r w:rsidR="00674DC1">
        <w:rPr>
          <w:rFonts w:ascii="Times New Roman" w:hAnsi="Times New Roman" w:cs="Times New Roman"/>
          <w:sz w:val="24"/>
          <w:szCs w:val="24"/>
        </w:rPr>
        <w:t>designs</w:t>
      </w:r>
      <w:r w:rsidRPr="00FC5D01">
        <w:rPr>
          <w:rFonts w:ascii="Times New Roman" w:hAnsi="Times New Roman" w:cs="Times New Roman"/>
          <w:sz w:val="24"/>
          <w:szCs w:val="24"/>
        </w:rPr>
        <w:t xml:space="preserve">, there is varied evidence as to the best way to combine response modes </w:t>
      </w:r>
      <w:r w:rsidR="00AC0DFF">
        <w:rPr>
          <w:rFonts w:ascii="Times New Roman" w:hAnsi="Times New Roman" w:cs="Times New Roman"/>
          <w:sz w:val="24"/>
          <w:szCs w:val="24"/>
        </w:rPr>
        <w:t xml:space="preserve">to minimize nonresponse bias while maximizing response rates </w:t>
      </w:r>
      <w:r w:rsidRPr="00FC5D01">
        <w:rPr>
          <w:rFonts w:ascii="Times New Roman" w:hAnsi="Times New Roman" w:cs="Times New Roman"/>
          <w:sz w:val="24"/>
          <w:szCs w:val="24"/>
        </w:rPr>
        <w:t>(cf. Freedman et al. 201</w:t>
      </w:r>
      <w:r w:rsidRPr="00FC5D01" w:rsidR="002A50E1">
        <w:rPr>
          <w:rFonts w:ascii="Times New Roman" w:hAnsi="Times New Roman" w:cs="Times New Roman"/>
          <w:sz w:val="24"/>
          <w:szCs w:val="24"/>
        </w:rPr>
        <w:t>8</w:t>
      </w:r>
      <w:r w:rsidRPr="00FC5D01">
        <w:rPr>
          <w:rFonts w:ascii="Times New Roman" w:hAnsi="Times New Roman" w:cs="Times New Roman"/>
          <w:sz w:val="24"/>
          <w:szCs w:val="24"/>
        </w:rPr>
        <w:t>; Bucks</w:t>
      </w:r>
      <w:r w:rsidR="006F78F6">
        <w:rPr>
          <w:rFonts w:ascii="Times New Roman" w:hAnsi="Times New Roman" w:cs="Times New Roman"/>
          <w:sz w:val="24"/>
          <w:szCs w:val="24"/>
        </w:rPr>
        <w:t xml:space="preserve">, Couper, &amp; Fulford </w:t>
      </w:r>
      <w:r w:rsidRPr="00FC5D01">
        <w:rPr>
          <w:rFonts w:ascii="Times New Roman" w:hAnsi="Times New Roman" w:cs="Times New Roman"/>
          <w:sz w:val="24"/>
          <w:szCs w:val="24"/>
        </w:rPr>
        <w:t xml:space="preserve">2019). Some studies find that offering both mail and web response modes concurrently can </w:t>
      </w:r>
      <w:r w:rsidR="00087F74">
        <w:rPr>
          <w:rFonts w:ascii="Times New Roman" w:hAnsi="Times New Roman" w:cs="Times New Roman"/>
          <w:sz w:val="24"/>
          <w:szCs w:val="24"/>
        </w:rPr>
        <w:t xml:space="preserve">adversely impact </w:t>
      </w:r>
      <w:r w:rsidR="00F94AD3">
        <w:rPr>
          <w:rFonts w:ascii="Times New Roman" w:hAnsi="Times New Roman" w:cs="Times New Roman"/>
          <w:sz w:val="24"/>
          <w:szCs w:val="24"/>
        </w:rPr>
        <w:t xml:space="preserve">the </w:t>
      </w:r>
      <w:r w:rsidR="00087F74">
        <w:rPr>
          <w:rFonts w:ascii="Times New Roman" w:hAnsi="Times New Roman" w:cs="Times New Roman"/>
          <w:sz w:val="24"/>
          <w:szCs w:val="24"/>
        </w:rPr>
        <w:t>response</w:t>
      </w:r>
      <w:r w:rsidRPr="00FC5D01" w:rsidR="00087F74">
        <w:rPr>
          <w:rFonts w:ascii="Times New Roman" w:hAnsi="Times New Roman" w:cs="Times New Roman"/>
          <w:sz w:val="24"/>
          <w:szCs w:val="24"/>
        </w:rPr>
        <w:t xml:space="preserve"> </w:t>
      </w:r>
      <w:r w:rsidR="00822901">
        <w:rPr>
          <w:rFonts w:ascii="Times New Roman" w:hAnsi="Times New Roman" w:cs="Times New Roman"/>
          <w:sz w:val="24"/>
          <w:szCs w:val="24"/>
        </w:rPr>
        <w:t xml:space="preserve">rate </w:t>
      </w:r>
      <w:r w:rsidRPr="00FC5D01">
        <w:rPr>
          <w:rFonts w:ascii="Times New Roman" w:hAnsi="Times New Roman" w:cs="Times New Roman"/>
          <w:sz w:val="24"/>
          <w:szCs w:val="24"/>
        </w:rPr>
        <w:t xml:space="preserve">(cf. Medway &amp; Fulton 2012; Dillman et al. 2014). While </w:t>
      </w:r>
      <w:r w:rsidR="00E40FEC">
        <w:rPr>
          <w:rFonts w:ascii="Times New Roman" w:hAnsi="Times New Roman" w:cs="Times New Roman"/>
          <w:sz w:val="24"/>
          <w:szCs w:val="24"/>
        </w:rPr>
        <w:t>limited research has been conducted to</w:t>
      </w:r>
      <w:r w:rsidRPr="00FC5D01">
        <w:rPr>
          <w:rFonts w:ascii="Times New Roman" w:hAnsi="Times New Roman" w:cs="Times New Roman"/>
          <w:sz w:val="24"/>
          <w:szCs w:val="24"/>
        </w:rPr>
        <w:t xml:space="preserve"> directly compare sequential and concurrent mixed-mode designs, some of the more recent studies to have done so have found </w:t>
      </w:r>
      <w:r w:rsidRPr="00FC5D01" w:rsidR="007879F5">
        <w:rPr>
          <w:rFonts w:ascii="Times New Roman" w:hAnsi="Times New Roman" w:cs="Times New Roman"/>
          <w:sz w:val="24"/>
          <w:szCs w:val="24"/>
        </w:rPr>
        <w:t>acceptable results</w:t>
      </w:r>
      <w:r w:rsidRPr="00FC5D01">
        <w:rPr>
          <w:rFonts w:ascii="Times New Roman" w:hAnsi="Times New Roman" w:cs="Times New Roman"/>
          <w:sz w:val="24"/>
          <w:szCs w:val="24"/>
        </w:rPr>
        <w:t xml:space="preserve"> with a concurrent mixed-mode design (cf. Matthews et al. 201</w:t>
      </w:r>
      <w:r w:rsidRPr="00FC5D01" w:rsidR="00F33F15">
        <w:rPr>
          <w:rFonts w:ascii="Times New Roman" w:hAnsi="Times New Roman" w:cs="Times New Roman"/>
          <w:sz w:val="24"/>
          <w:szCs w:val="24"/>
        </w:rPr>
        <w:t>2;</w:t>
      </w:r>
      <w:r w:rsidRPr="00FC5D01">
        <w:rPr>
          <w:rFonts w:ascii="Times New Roman" w:hAnsi="Times New Roman" w:cs="Times New Roman"/>
          <w:sz w:val="24"/>
          <w:szCs w:val="24"/>
        </w:rPr>
        <w:t xml:space="preserve"> Bucks</w:t>
      </w:r>
      <w:r w:rsidR="0039460F">
        <w:rPr>
          <w:rFonts w:ascii="Times New Roman" w:hAnsi="Times New Roman" w:cs="Times New Roman"/>
          <w:sz w:val="24"/>
          <w:szCs w:val="24"/>
        </w:rPr>
        <w:t xml:space="preserve">, Couper, &amp; Fulford </w:t>
      </w:r>
      <w:r w:rsidRPr="00FC5D01">
        <w:rPr>
          <w:rFonts w:ascii="Times New Roman" w:hAnsi="Times New Roman" w:cs="Times New Roman"/>
          <w:sz w:val="24"/>
          <w:szCs w:val="24"/>
        </w:rPr>
        <w:t xml:space="preserve">2019). </w:t>
      </w:r>
      <w:r w:rsidR="00D751A5">
        <w:rPr>
          <w:rFonts w:ascii="Times New Roman" w:hAnsi="Times New Roman" w:cs="Times New Roman"/>
          <w:sz w:val="24"/>
          <w:szCs w:val="24"/>
        </w:rPr>
        <w:t>Other research has indicated potential</w:t>
      </w:r>
      <w:r w:rsidRPr="00FC5D01">
        <w:rPr>
          <w:rFonts w:ascii="Times New Roman" w:hAnsi="Times New Roman" w:cs="Times New Roman"/>
          <w:sz w:val="24"/>
          <w:szCs w:val="24"/>
        </w:rPr>
        <w:t xml:space="preserve"> success with “choice</w:t>
      </w:r>
      <w:r w:rsidR="005D1C1C">
        <w:rPr>
          <w:rFonts w:ascii="Times New Roman" w:hAnsi="Times New Roman" w:cs="Times New Roman"/>
          <w:sz w:val="24"/>
          <w:szCs w:val="24"/>
        </w:rPr>
        <w:t>-plus</w:t>
      </w:r>
      <w:r w:rsidRPr="00FC5D01">
        <w:rPr>
          <w:rFonts w:ascii="Times New Roman" w:hAnsi="Times New Roman" w:cs="Times New Roman"/>
          <w:sz w:val="24"/>
          <w:szCs w:val="24"/>
        </w:rPr>
        <w:t>” designs that incentivize sample members to respond by web (Biemer et al. 2017)</w:t>
      </w:r>
      <w:r w:rsidR="006A459C">
        <w:rPr>
          <w:rFonts w:ascii="Times New Roman" w:hAnsi="Times New Roman" w:cs="Times New Roman"/>
          <w:sz w:val="24"/>
          <w:szCs w:val="24"/>
        </w:rPr>
        <w:t>, but their use has been rather limited to date</w:t>
      </w:r>
      <w:r w:rsidRPr="00FC5D01">
        <w:rPr>
          <w:rFonts w:ascii="Times New Roman" w:hAnsi="Times New Roman" w:cs="Times New Roman"/>
          <w:sz w:val="24"/>
          <w:szCs w:val="24"/>
        </w:rPr>
        <w:t xml:space="preserve">. </w:t>
      </w:r>
      <w:r w:rsidR="00F11D03">
        <w:rPr>
          <w:rFonts w:ascii="Times New Roman" w:hAnsi="Times New Roman" w:cs="Times New Roman"/>
          <w:sz w:val="24"/>
          <w:szCs w:val="24"/>
        </w:rPr>
        <w:t xml:space="preserve">More generally, the American Association for Public Opinion Research (AAPOR) (Olson et al. 2019) reviewed federal and non-federal surveys that </w:t>
      </w:r>
      <w:r w:rsidR="00275490">
        <w:rPr>
          <w:rFonts w:ascii="Times New Roman" w:hAnsi="Times New Roman" w:cs="Times New Roman"/>
          <w:sz w:val="24"/>
          <w:szCs w:val="24"/>
        </w:rPr>
        <w:t>recently implemented</w:t>
      </w:r>
      <w:r w:rsidR="00F11D03">
        <w:rPr>
          <w:rFonts w:ascii="Times New Roman" w:hAnsi="Times New Roman" w:cs="Times New Roman"/>
          <w:sz w:val="24"/>
          <w:szCs w:val="24"/>
        </w:rPr>
        <w:t xml:space="preserve"> </w:t>
      </w:r>
      <w:r w:rsidR="004E423A">
        <w:rPr>
          <w:rFonts w:ascii="Times New Roman" w:hAnsi="Times New Roman" w:cs="Times New Roman"/>
          <w:sz w:val="24"/>
          <w:szCs w:val="24"/>
        </w:rPr>
        <w:t xml:space="preserve">self-administered or </w:t>
      </w:r>
      <w:r w:rsidR="00F11D03">
        <w:rPr>
          <w:rFonts w:ascii="Times New Roman" w:hAnsi="Times New Roman" w:cs="Times New Roman"/>
          <w:sz w:val="24"/>
          <w:szCs w:val="24"/>
        </w:rPr>
        <w:t>mixed-mode data collection strategies. Th</w:t>
      </w:r>
      <w:r w:rsidR="00275490">
        <w:rPr>
          <w:rFonts w:ascii="Times New Roman" w:hAnsi="Times New Roman" w:cs="Times New Roman"/>
          <w:sz w:val="24"/>
          <w:szCs w:val="24"/>
        </w:rPr>
        <w:t>e AAPOR</w:t>
      </w:r>
      <w:r w:rsidR="00F11D03">
        <w:rPr>
          <w:rFonts w:ascii="Times New Roman" w:hAnsi="Times New Roman" w:cs="Times New Roman"/>
          <w:sz w:val="24"/>
          <w:szCs w:val="24"/>
        </w:rPr>
        <w:t xml:space="preserve"> review concluded that there is, as yet, no definitive evidence as to the most effective approach to combining multiple modes of contact and administration</w:t>
      </w:r>
      <w:r w:rsidR="000C2D37">
        <w:rPr>
          <w:rFonts w:ascii="Times New Roman" w:hAnsi="Times New Roman" w:cs="Times New Roman"/>
          <w:sz w:val="24"/>
          <w:szCs w:val="24"/>
        </w:rPr>
        <w:t xml:space="preserve"> within a data collection effort</w:t>
      </w:r>
      <w:r w:rsidR="00F11D03">
        <w:rPr>
          <w:rFonts w:ascii="Times New Roman" w:hAnsi="Times New Roman" w:cs="Times New Roman"/>
          <w:sz w:val="24"/>
          <w:szCs w:val="24"/>
        </w:rPr>
        <w:t>.</w:t>
      </w:r>
    </w:p>
    <w:p w:rsidRPr="00AE7F2D" w:rsidR="00AE7F2D" w:rsidP="008B5C08" w:rsidRDefault="0036677A" w14:paraId="7053B30E" w14:textId="46DF69A9">
      <w:pPr>
        <w:rPr>
          <w:rFonts w:ascii="Times New Roman" w:hAnsi="Times New Roman" w:cs="Times New Roman"/>
          <w:sz w:val="24"/>
          <w:szCs w:val="24"/>
        </w:rPr>
      </w:pPr>
      <w:r>
        <w:rPr>
          <w:rFonts w:ascii="Times New Roman" w:hAnsi="Times New Roman" w:cs="Times New Roman"/>
          <w:sz w:val="24"/>
          <w:szCs w:val="24"/>
        </w:rPr>
        <w:t xml:space="preserve">In addition, </w:t>
      </w:r>
      <w:r w:rsidR="007322B7">
        <w:rPr>
          <w:rFonts w:ascii="Times New Roman" w:hAnsi="Times New Roman" w:cs="Times New Roman"/>
          <w:sz w:val="24"/>
          <w:szCs w:val="24"/>
        </w:rPr>
        <w:t>no</w:t>
      </w:r>
      <w:r w:rsidRPr="00FC5D01" w:rsidR="00AE7F2D">
        <w:rPr>
          <w:rFonts w:ascii="Times New Roman" w:hAnsi="Times New Roman" w:cs="Times New Roman"/>
          <w:sz w:val="24"/>
          <w:szCs w:val="24"/>
        </w:rPr>
        <w:t xml:space="preserve"> existing research</w:t>
      </w:r>
      <w:r w:rsidRPr="00AE7F2D" w:rsidR="00AE7F2D">
        <w:rPr>
          <w:rFonts w:ascii="Times New Roman" w:hAnsi="Times New Roman" w:cs="Times New Roman"/>
          <w:sz w:val="24"/>
          <w:szCs w:val="24"/>
        </w:rPr>
        <w:t xml:space="preserve"> focuses</w:t>
      </w:r>
      <w:r w:rsidR="000872F9">
        <w:rPr>
          <w:rFonts w:ascii="Times New Roman" w:hAnsi="Times New Roman" w:cs="Times New Roman"/>
          <w:sz w:val="24"/>
          <w:szCs w:val="24"/>
        </w:rPr>
        <w:t xml:space="preserve"> specifically</w:t>
      </w:r>
      <w:r w:rsidRPr="00AE7F2D" w:rsidR="00AE7F2D">
        <w:rPr>
          <w:rFonts w:ascii="Times New Roman" w:hAnsi="Times New Roman" w:cs="Times New Roman"/>
          <w:sz w:val="24"/>
          <w:szCs w:val="24"/>
        </w:rPr>
        <w:t xml:space="preserve"> on the </w:t>
      </w:r>
      <w:r w:rsidR="00275490">
        <w:rPr>
          <w:rFonts w:ascii="Times New Roman" w:hAnsi="Times New Roman" w:cs="Times New Roman"/>
          <w:sz w:val="24"/>
          <w:szCs w:val="24"/>
        </w:rPr>
        <w:t xml:space="preserve">NCSES </w:t>
      </w:r>
      <w:r w:rsidRPr="00AE7F2D" w:rsidR="00AE7F2D">
        <w:rPr>
          <w:rFonts w:ascii="Times New Roman" w:hAnsi="Times New Roman" w:cs="Times New Roman"/>
          <w:sz w:val="24"/>
          <w:szCs w:val="24"/>
        </w:rPr>
        <w:t>target population</w:t>
      </w:r>
      <w:r w:rsidR="00275490">
        <w:rPr>
          <w:rFonts w:ascii="Times New Roman" w:hAnsi="Times New Roman" w:cs="Times New Roman"/>
          <w:sz w:val="24"/>
          <w:szCs w:val="24"/>
        </w:rPr>
        <w:t xml:space="preserve"> of the NTEWS</w:t>
      </w:r>
      <w:r w:rsidR="00907961">
        <w:rPr>
          <w:rFonts w:ascii="Times New Roman" w:hAnsi="Times New Roman" w:cs="Times New Roman"/>
          <w:sz w:val="24"/>
          <w:szCs w:val="24"/>
        </w:rPr>
        <w:t>—the</w:t>
      </w:r>
      <w:r w:rsidRPr="00AE7F2D" w:rsidR="00AE7F2D">
        <w:rPr>
          <w:rFonts w:ascii="Times New Roman" w:hAnsi="Times New Roman" w:cs="Times New Roman"/>
          <w:sz w:val="24"/>
          <w:szCs w:val="24"/>
        </w:rPr>
        <w:t xml:space="preserve"> STW subpopulation.</w:t>
      </w:r>
      <w:r w:rsidR="003D53D2">
        <w:rPr>
          <w:rFonts w:ascii="Times New Roman" w:hAnsi="Times New Roman" w:cs="Times New Roman"/>
          <w:sz w:val="24"/>
          <w:szCs w:val="24"/>
        </w:rPr>
        <w:t xml:space="preserve"> Given the uncertainty of the performance of these contact strategies on </w:t>
      </w:r>
      <w:r w:rsidR="00B63352">
        <w:rPr>
          <w:rFonts w:ascii="Times New Roman" w:hAnsi="Times New Roman" w:cs="Times New Roman"/>
          <w:sz w:val="24"/>
          <w:szCs w:val="24"/>
        </w:rPr>
        <w:t>this</w:t>
      </w:r>
      <w:r w:rsidR="003D53D2">
        <w:rPr>
          <w:rFonts w:ascii="Times New Roman" w:hAnsi="Times New Roman" w:cs="Times New Roman"/>
          <w:sz w:val="24"/>
          <w:szCs w:val="24"/>
        </w:rPr>
        <w:t xml:space="preserve"> population, the </w:t>
      </w:r>
      <w:r w:rsidR="00D67777">
        <w:rPr>
          <w:rFonts w:ascii="Times New Roman" w:hAnsi="Times New Roman" w:cs="Times New Roman"/>
          <w:sz w:val="24"/>
          <w:szCs w:val="24"/>
        </w:rPr>
        <w:t xml:space="preserve">initial </w:t>
      </w:r>
      <w:r w:rsidR="003D53D2">
        <w:rPr>
          <w:rFonts w:ascii="Times New Roman" w:hAnsi="Times New Roman" w:cs="Times New Roman"/>
          <w:sz w:val="24"/>
          <w:szCs w:val="24"/>
        </w:rPr>
        <w:t>NTEWS</w:t>
      </w:r>
      <w:r w:rsidR="00D67777">
        <w:rPr>
          <w:rFonts w:ascii="Times New Roman" w:hAnsi="Times New Roman" w:cs="Times New Roman"/>
          <w:sz w:val="24"/>
          <w:szCs w:val="24"/>
        </w:rPr>
        <w:t xml:space="preserve"> cycle</w:t>
      </w:r>
      <w:r w:rsidR="003D53D2">
        <w:rPr>
          <w:rFonts w:ascii="Times New Roman" w:hAnsi="Times New Roman" w:cs="Times New Roman"/>
          <w:sz w:val="24"/>
          <w:szCs w:val="24"/>
        </w:rPr>
        <w:t xml:space="preserve"> will</w:t>
      </w:r>
      <w:r w:rsidR="00593A56">
        <w:rPr>
          <w:rFonts w:ascii="Times New Roman" w:hAnsi="Times New Roman" w:cs="Times New Roman"/>
          <w:sz w:val="24"/>
          <w:szCs w:val="24"/>
        </w:rPr>
        <w:t xml:space="preserve"> provide an opportunity to</w:t>
      </w:r>
      <w:r w:rsidR="003D53D2">
        <w:rPr>
          <w:rFonts w:ascii="Times New Roman" w:hAnsi="Times New Roman" w:cs="Times New Roman"/>
          <w:sz w:val="24"/>
          <w:szCs w:val="24"/>
        </w:rPr>
        <w:t xml:space="preserve"> test </w:t>
      </w:r>
      <w:r w:rsidR="00AF7F45">
        <w:rPr>
          <w:rFonts w:ascii="Times New Roman" w:hAnsi="Times New Roman" w:cs="Times New Roman"/>
          <w:sz w:val="24"/>
          <w:szCs w:val="24"/>
        </w:rPr>
        <w:t xml:space="preserve">several </w:t>
      </w:r>
      <w:r w:rsidR="003D53D2">
        <w:rPr>
          <w:rFonts w:ascii="Times New Roman" w:hAnsi="Times New Roman" w:cs="Times New Roman"/>
          <w:sz w:val="24"/>
          <w:szCs w:val="24"/>
        </w:rPr>
        <w:t>sequential and concurrent</w:t>
      </w:r>
      <w:r w:rsidR="00AF7F45">
        <w:rPr>
          <w:rFonts w:ascii="Times New Roman" w:hAnsi="Times New Roman" w:cs="Times New Roman"/>
          <w:sz w:val="24"/>
          <w:szCs w:val="24"/>
        </w:rPr>
        <w:t xml:space="preserve"> </w:t>
      </w:r>
      <w:r w:rsidR="003D53D2">
        <w:rPr>
          <w:rFonts w:ascii="Times New Roman" w:hAnsi="Times New Roman" w:cs="Times New Roman"/>
          <w:sz w:val="24"/>
          <w:szCs w:val="24"/>
        </w:rPr>
        <w:t xml:space="preserve">designs to determine the </w:t>
      </w:r>
      <w:r w:rsidR="00467D08">
        <w:rPr>
          <w:rFonts w:ascii="Times New Roman" w:hAnsi="Times New Roman" w:cs="Times New Roman"/>
          <w:sz w:val="24"/>
          <w:szCs w:val="24"/>
        </w:rPr>
        <w:t xml:space="preserve">optimal </w:t>
      </w:r>
      <w:r w:rsidR="003D53D2">
        <w:rPr>
          <w:rFonts w:ascii="Times New Roman" w:hAnsi="Times New Roman" w:cs="Times New Roman"/>
          <w:sz w:val="24"/>
          <w:szCs w:val="24"/>
        </w:rPr>
        <w:t xml:space="preserve">contact strategy </w:t>
      </w:r>
      <w:r w:rsidR="00AF7F45">
        <w:rPr>
          <w:rFonts w:ascii="Times New Roman" w:hAnsi="Times New Roman" w:cs="Times New Roman"/>
          <w:sz w:val="24"/>
          <w:szCs w:val="24"/>
        </w:rPr>
        <w:t xml:space="preserve">for </w:t>
      </w:r>
      <w:r w:rsidR="003D53D2">
        <w:rPr>
          <w:rFonts w:ascii="Times New Roman" w:hAnsi="Times New Roman" w:cs="Times New Roman"/>
          <w:sz w:val="24"/>
          <w:szCs w:val="24"/>
        </w:rPr>
        <w:t>future NTEWS cycles.</w:t>
      </w:r>
    </w:p>
    <w:p w:rsidR="00A27991" w:rsidP="008B5C08" w:rsidRDefault="002918D3" w14:paraId="39BB286E" w14:textId="55FEE729">
      <w:pPr>
        <w:rPr>
          <w:rFonts w:ascii="Times New Roman" w:hAnsi="Times New Roman" w:cs="Times New Roman"/>
          <w:sz w:val="24"/>
          <w:szCs w:val="24"/>
        </w:rPr>
      </w:pPr>
      <w:r>
        <w:rPr>
          <w:rFonts w:ascii="Times New Roman" w:hAnsi="Times New Roman" w:cs="Times New Roman"/>
          <w:i/>
          <w:sz w:val="24"/>
          <w:szCs w:val="24"/>
        </w:rPr>
        <w:t>2.2. Treatment groups</w:t>
      </w:r>
    </w:p>
    <w:p w:rsidR="00611E8E" w:rsidP="00955731" w:rsidRDefault="00955731" w14:paraId="2EF7005D" w14:textId="4EA68CC9">
      <w:pPr>
        <w:rPr>
          <w:rFonts w:ascii="Times New Roman" w:hAnsi="Times New Roman" w:cs="Times New Roman"/>
          <w:sz w:val="24"/>
          <w:szCs w:val="24"/>
        </w:rPr>
      </w:pPr>
      <w:r w:rsidRPr="00955731">
        <w:rPr>
          <w:rFonts w:ascii="Times New Roman" w:hAnsi="Times New Roman" w:cs="Times New Roman"/>
          <w:sz w:val="24"/>
          <w:szCs w:val="24"/>
        </w:rPr>
        <w:t xml:space="preserve">Table </w:t>
      </w:r>
      <w:r w:rsidRPr="009A39D8" w:rsidR="00E45B4A">
        <w:rPr>
          <w:rFonts w:ascii="Times New Roman" w:hAnsi="Times New Roman" w:cs="Times New Roman"/>
          <w:sz w:val="24"/>
          <w:szCs w:val="24"/>
        </w:rPr>
        <w:t>C</w:t>
      </w:r>
      <w:r w:rsidRPr="009A39D8" w:rsidR="004C5794">
        <w:rPr>
          <w:rFonts w:ascii="Times New Roman" w:hAnsi="Times New Roman" w:cs="Times New Roman"/>
          <w:sz w:val="24"/>
          <w:szCs w:val="24"/>
        </w:rPr>
        <w:t>.</w:t>
      </w:r>
      <w:r w:rsidRPr="009A39D8" w:rsidR="00672F6D">
        <w:rPr>
          <w:rFonts w:ascii="Times New Roman" w:hAnsi="Times New Roman" w:cs="Times New Roman"/>
          <w:sz w:val="24"/>
          <w:szCs w:val="24"/>
        </w:rPr>
        <w:t>1</w:t>
      </w:r>
      <w:r w:rsidRPr="009A39D8">
        <w:rPr>
          <w:rFonts w:ascii="Times New Roman" w:hAnsi="Times New Roman" w:cs="Times New Roman"/>
          <w:sz w:val="24"/>
          <w:szCs w:val="24"/>
        </w:rPr>
        <w:t xml:space="preserve"> identifies</w:t>
      </w:r>
      <w:r w:rsidRPr="00955731">
        <w:rPr>
          <w:rFonts w:ascii="Times New Roman" w:hAnsi="Times New Roman" w:cs="Times New Roman"/>
          <w:sz w:val="24"/>
          <w:szCs w:val="24"/>
        </w:rPr>
        <w:t xml:space="preserve"> the six treatment groups that will make up the contact</w:t>
      </w:r>
      <w:r w:rsidR="00C41AF1">
        <w:rPr>
          <w:rFonts w:ascii="Times New Roman" w:hAnsi="Times New Roman" w:cs="Times New Roman"/>
          <w:sz w:val="24"/>
          <w:szCs w:val="24"/>
        </w:rPr>
        <w:t>-</w:t>
      </w:r>
      <w:r w:rsidRPr="00955731">
        <w:rPr>
          <w:rFonts w:ascii="Times New Roman" w:hAnsi="Times New Roman" w:cs="Times New Roman"/>
          <w:sz w:val="24"/>
          <w:szCs w:val="24"/>
        </w:rPr>
        <w:t>strategies experiment</w:t>
      </w:r>
      <w:r>
        <w:rPr>
          <w:rFonts w:ascii="Times New Roman" w:hAnsi="Times New Roman" w:cs="Times New Roman"/>
          <w:sz w:val="24"/>
          <w:szCs w:val="24"/>
        </w:rPr>
        <w:t xml:space="preserve"> and summarizes the rationale for </w:t>
      </w:r>
      <w:r w:rsidR="00DA36E3">
        <w:rPr>
          <w:rFonts w:ascii="Times New Roman" w:hAnsi="Times New Roman" w:cs="Times New Roman"/>
          <w:sz w:val="24"/>
          <w:szCs w:val="24"/>
        </w:rPr>
        <w:t>each.</w:t>
      </w:r>
      <w:r w:rsidRPr="00955731">
        <w:rPr>
          <w:rFonts w:ascii="Times New Roman" w:hAnsi="Times New Roman" w:cs="Times New Roman"/>
          <w:sz w:val="24"/>
          <w:szCs w:val="24"/>
        </w:rPr>
        <w:t xml:space="preserve"> Note that, throughout this </w:t>
      </w:r>
      <w:r w:rsidR="00F475F1">
        <w:rPr>
          <w:rFonts w:ascii="Times New Roman" w:hAnsi="Times New Roman" w:cs="Times New Roman"/>
          <w:sz w:val="24"/>
          <w:szCs w:val="24"/>
        </w:rPr>
        <w:t>appendix</w:t>
      </w:r>
      <w:r w:rsidRPr="00955731">
        <w:rPr>
          <w:rFonts w:ascii="Times New Roman" w:hAnsi="Times New Roman" w:cs="Times New Roman"/>
          <w:sz w:val="24"/>
          <w:szCs w:val="24"/>
        </w:rPr>
        <w:t xml:space="preserve">, italicized references to </w:t>
      </w:r>
      <w:r w:rsidR="008B7E24">
        <w:rPr>
          <w:rFonts w:ascii="Times New Roman" w:hAnsi="Times New Roman" w:cs="Times New Roman"/>
          <w:sz w:val="24"/>
          <w:szCs w:val="24"/>
        </w:rPr>
        <w:t xml:space="preserve">the </w:t>
      </w:r>
      <w:r w:rsidRPr="00C54AB3">
        <w:rPr>
          <w:rFonts w:ascii="Times New Roman" w:hAnsi="Times New Roman" w:cs="Times New Roman"/>
          <w:i/>
          <w:iCs/>
          <w:sz w:val="24"/>
          <w:szCs w:val="24"/>
        </w:rPr>
        <w:t>NSCG</w:t>
      </w:r>
      <w:r w:rsidRPr="00955731">
        <w:rPr>
          <w:rFonts w:ascii="Times New Roman" w:hAnsi="Times New Roman" w:cs="Times New Roman"/>
          <w:sz w:val="24"/>
          <w:szCs w:val="24"/>
        </w:rPr>
        <w:t xml:space="preserve"> and </w:t>
      </w:r>
      <w:r w:rsidR="008B7E24">
        <w:rPr>
          <w:rFonts w:ascii="Times New Roman" w:hAnsi="Times New Roman" w:cs="Times New Roman"/>
          <w:sz w:val="24"/>
          <w:szCs w:val="24"/>
        </w:rPr>
        <w:t xml:space="preserve">the </w:t>
      </w:r>
      <w:r w:rsidRPr="00C54AB3">
        <w:rPr>
          <w:rFonts w:ascii="Times New Roman" w:hAnsi="Times New Roman" w:cs="Times New Roman"/>
          <w:i/>
          <w:iCs/>
          <w:sz w:val="24"/>
          <w:szCs w:val="24"/>
        </w:rPr>
        <w:t>NHES</w:t>
      </w:r>
      <w:r w:rsidRPr="00955731">
        <w:rPr>
          <w:rFonts w:ascii="Times New Roman" w:hAnsi="Times New Roman" w:cs="Times New Roman"/>
          <w:sz w:val="24"/>
          <w:szCs w:val="24"/>
        </w:rPr>
        <w:t xml:space="preserve"> refer to </w:t>
      </w:r>
      <w:r w:rsidR="00365B28">
        <w:rPr>
          <w:rFonts w:ascii="Times New Roman" w:hAnsi="Times New Roman" w:cs="Times New Roman"/>
          <w:sz w:val="24"/>
          <w:szCs w:val="24"/>
        </w:rPr>
        <w:t>the</w:t>
      </w:r>
      <w:r w:rsidR="00AF7F45">
        <w:rPr>
          <w:rFonts w:ascii="Times New Roman" w:hAnsi="Times New Roman" w:cs="Times New Roman"/>
          <w:sz w:val="24"/>
          <w:szCs w:val="24"/>
        </w:rPr>
        <w:t xml:space="preserve"> treatment groups </w:t>
      </w:r>
      <w:r w:rsidR="00E02ED9">
        <w:rPr>
          <w:rFonts w:ascii="Times New Roman" w:hAnsi="Times New Roman" w:cs="Times New Roman"/>
          <w:sz w:val="24"/>
          <w:szCs w:val="24"/>
        </w:rPr>
        <w:t xml:space="preserve">in the NTEWS experiments </w:t>
      </w:r>
      <w:r w:rsidR="00AF7F45">
        <w:rPr>
          <w:rFonts w:ascii="Times New Roman" w:hAnsi="Times New Roman" w:cs="Times New Roman"/>
          <w:sz w:val="24"/>
          <w:szCs w:val="24"/>
        </w:rPr>
        <w:t>that are based on these</w:t>
      </w:r>
      <w:r w:rsidR="00365B28">
        <w:rPr>
          <w:rFonts w:ascii="Times New Roman" w:hAnsi="Times New Roman" w:cs="Times New Roman"/>
          <w:sz w:val="24"/>
          <w:szCs w:val="24"/>
        </w:rPr>
        <w:t xml:space="preserve"> </w:t>
      </w:r>
      <w:r w:rsidR="008D6FFC">
        <w:rPr>
          <w:rFonts w:ascii="Times New Roman" w:hAnsi="Times New Roman" w:cs="Times New Roman"/>
          <w:sz w:val="24"/>
          <w:szCs w:val="24"/>
        </w:rPr>
        <w:t xml:space="preserve">federal </w:t>
      </w:r>
      <w:r w:rsidR="00365B28">
        <w:rPr>
          <w:rFonts w:ascii="Times New Roman" w:hAnsi="Times New Roman" w:cs="Times New Roman"/>
          <w:sz w:val="24"/>
          <w:szCs w:val="24"/>
        </w:rPr>
        <w:t>surveys</w:t>
      </w:r>
      <w:r w:rsidR="008D6FFC">
        <w:rPr>
          <w:rFonts w:ascii="Times New Roman" w:hAnsi="Times New Roman" w:cs="Times New Roman"/>
          <w:sz w:val="24"/>
          <w:szCs w:val="24"/>
        </w:rPr>
        <w:t xml:space="preserve">, </w:t>
      </w:r>
      <w:r w:rsidRPr="00955731">
        <w:rPr>
          <w:rFonts w:ascii="Times New Roman" w:hAnsi="Times New Roman" w:cs="Times New Roman"/>
          <w:sz w:val="24"/>
          <w:szCs w:val="24"/>
        </w:rPr>
        <w:t xml:space="preserve">and </w:t>
      </w:r>
      <w:r w:rsidR="00764119">
        <w:rPr>
          <w:rFonts w:ascii="Times New Roman" w:hAnsi="Times New Roman" w:cs="Times New Roman"/>
          <w:sz w:val="24"/>
          <w:szCs w:val="24"/>
        </w:rPr>
        <w:t xml:space="preserve">do </w:t>
      </w:r>
      <w:r w:rsidRPr="00955731">
        <w:rPr>
          <w:rFonts w:ascii="Times New Roman" w:hAnsi="Times New Roman" w:cs="Times New Roman"/>
          <w:sz w:val="24"/>
          <w:szCs w:val="24"/>
        </w:rPr>
        <w:t>not</w:t>
      </w:r>
      <w:r w:rsidR="00764119">
        <w:rPr>
          <w:rFonts w:ascii="Times New Roman" w:hAnsi="Times New Roman" w:cs="Times New Roman"/>
          <w:sz w:val="24"/>
          <w:szCs w:val="24"/>
        </w:rPr>
        <w:t xml:space="preserve"> refer</w:t>
      </w:r>
      <w:r w:rsidRPr="00955731">
        <w:rPr>
          <w:rFonts w:ascii="Times New Roman" w:hAnsi="Times New Roman" w:cs="Times New Roman"/>
          <w:sz w:val="24"/>
          <w:szCs w:val="24"/>
        </w:rPr>
        <w:t xml:space="preserve"> to the separate surveys</w:t>
      </w:r>
      <w:r w:rsidR="008D6FFC">
        <w:rPr>
          <w:rFonts w:ascii="Times New Roman" w:hAnsi="Times New Roman" w:cs="Times New Roman"/>
          <w:sz w:val="24"/>
          <w:szCs w:val="24"/>
        </w:rPr>
        <w:t>.</w:t>
      </w:r>
      <w:r w:rsidR="00B40167">
        <w:rPr>
          <w:rFonts w:ascii="Times New Roman" w:hAnsi="Times New Roman" w:cs="Times New Roman"/>
          <w:sz w:val="24"/>
          <w:szCs w:val="24"/>
        </w:rPr>
        <w:t xml:space="preserve"> </w:t>
      </w:r>
    </w:p>
    <w:p w:rsidR="00C91A84" w:rsidP="00E071D1" w:rsidRDefault="00C91A84" w14:paraId="2728EAFF" w14:textId="2458CFD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NSCG</w:t>
      </w:r>
      <w:r>
        <w:rPr>
          <w:rFonts w:ascii="Times New Roman" w:hAnsi="Times New Roman" w:cs="Times New Roman"/>
          <w:sz w:val="24"/>
          <w:szCs w:val="24"/>
        </w:rPr>
        <w:t xml:space="preserve"> control group </w:t>
      </w:r>
      <w:r w:rsidR="00976B21">
        <w:rPr>
          <w:rFonts w:ascii="Times New Roman" w:hAnsi="Times New Roman" w:cs="Times New Roman"/>
          <w:sz w:val="24"/>
          <w:szCs w:val="24"/>
        </w:rPr>
        <w:t xml:space="preserve">uses a similar contact strategy as the </w:t>
      </w:r>
      <w:r w:rsidR="00236554">
        <w:rPr>
          <w:rFonts w:ascii="Times New Roman" w:hAnsi="Times New Roman" w:cs="Times New Roman"/>
          <w:sz w:val="24"/>
          <w:szCs w:val="24"/>
        </w:rPr>
        <w:t xml:space="preserve">NSCG, </w:t>
      </w:r>
      <w:r w:rsidR="00244558">
        <w:rPr>
          <w:rFonts w:ascii="Times New Roman" w:hAnsi="Times New Roman" w:cs="Times New Roman"/>
          <w:sz w:val="24"/>
          <w:szCs w:val="24"/>
        </w:rPr>
        <w:t xml:space="preserve">in which </w:t>
      </w:r>
      <w:r w:rsidR="006E591C">
        <w:rPr>
          <w:rFonts w:ascii="Times New Roman" w:hAnsi="Times New Roman" w:cs="Times New Roman"/>
          <w:sz w:val="24"/>
          <w:szCs w:val="24"/>
        </w:rPr>
        <w:t xml:space="preserve">contacts alternate between offering </w:t>
      </w:r>
      <w:r w:rsidR="00A35746">
        <w:rPr>
          <w:rFonts w:ascii="Times New Roman" w:hAnsi="Times New Roman" w:cs="Times New Roman"/>
          <w:sz w:val="24"/>
          <w:szCs w:val="24"/>
        </w:rPr>
        <w:t>web only</w:t>
      </w:r>
      <w:r w:rsidR="006E591C">
        <w:rPr>
          <w:rFonts w:ascii="Times New Roman" w:hAnsi="Times New Roman" w:cs="Times New Roman"/>
          <w:sz w:val="24"/>
          <w:szCs w:val="24"/>
        </w:rPr>
        <w:t xml:space="preserve"> and offering </w:t>
      </w:r>
      <w:r w:rsidR="00A35746">
        <w:rPr>
          <w:rFonts w:ascii="Times New Roman" w:hAnsi="Times New Roman" w:cs="Times New Roman"/>
          <w:sz w:val="24"/>
          <w:szCs w:val="24"/>
        </w:rPr>
        <w:t xml:space="preserve">both </w:t>
      </w:r>
      <w:r w:rsidR="006E591C">
        <w:rPr>
          <w:rFonts w:ascii="Times New Roman" w:hAnsi="Times New Roman" w:cs="Times New Roman"/>
          <w:sz w:val="24"/>
          <w:szCs w:val="24"/>
        </w:rPr>
        <w:t xml:space="preserve">web </w:t>
      </w:r>
      <w:r w:rsidR="00A35746">
        <w:rPr>
          <w:rFonts w:ascii="Times New Roman" w:hAnsi="Times New Roman" w:cs="Times New Roman"/>
          <w:sz w:val="24"/>
          <w:szCs w:val="24"/>
        </w:rPr>
        <w:t>and paper</w:t>
      </w:r>
      <w:r w:rsidR="006E591C">
        <w:rPr>
          <w:rFonts w:ascii="Times New Roman" w:hAnsi="Times New Roman" w:cs="Times New Roman"/>
          <w:sz w:val="24"/>
          <w:szCs w:val="24"/>
        </w:rPr>
        <w:t xml:space="preserve">. </w:t>
      </w:r>
      <w:r w:rsidR="00A776D5">
        <w:rPr>
          <w:rFonts w:ascii="Times New Roman" w:hAnsi="Times New Roman" w:cs="Times New Roman"/>
          <w:sz w:val="24"/>
          <w:szCs w:val="24"/>
        </w:rPr>
        <w:t xml:space="preserve">This </w:t>
      </w:r>
      <w:r w:rsidR="00F6281C">
        <w:rPr>
          <w:rFonts w:ascii="Times New Roman" w:hAnsi="Times New Roman" w:cs="Times New Roman"/>
          <w:sz w:val="24"/>
          <w:szCs w:val="24"/>
        </w:rPr>
        <w:t xml:space="preserve">group </w:t>
      </w:r>
      <w:r w:rsidR="00A776D5">
        <w:rPr>
          <w:rFonts w:ascii="Times New Roman" w:hAnsi="Times New Roman" w:cs="Times New Roman"/>
          <w:sz w:val="24"/>
          <w:szCs w:val="24"/>
        </w:rPr>
        <w:t xml:space="preserve">is </w:t>
      </w:r>
      <w:r w:rsidR="00DD21E9">
        <w:rPr>
          <w:rFonts w:ascii="Times New Roman" w:hAnsi="Times New Roman" w:cs="Times New Roman"/>
          <w:sz w:val="24"/>
          <w:szCs w:val="24"/>
        </w:rPr>
        <w:t xml:space="preserve">considered the control group because of its success </w:t>
      </w:r>
      <w:r w:rsidR="0022388C">
        <w:rPr>
          <w:rFonts w:ascii="Times New Roman" w:hAnsi="Times New Roman" w:cs="Times New Roman"/>
          <w:sz w:val="24"/>
          <w:szCs w:val="24"/>
        </w:rPr>
        <w:t>in achieving a high response rate</w:t>
      </w:r>
      <w:r w:rsidR="00E02ED9">
        <w:rPr>
          <w:rFonts w:ascii="Times New Roman" w:hAnsi="Times New Roman" w:cs="Times New Roman"/>
          <w:sz w:val="24"/>
          <w:szCs w:val="24"/>
        </w:rPr>
        <w:t xml:space="preserve"> (68% in 2019)</w:t>
      </w:r>
      <w:r w:rsidR="0022388C">
        <w:rPr>
          <w:rFonts w:ascii="Times New Roman" w:hAnsi="Times New Roman" w:cs="Times New Roman"/>
          <w:sz w:val="24"/>
          <w:szCs w:val="24"/>
        </w:rPr>
        <w:t xml:space="preserve"> to the NSCG</w:t>
      </w:r>
      <w:r w:rsidR="00F54FDD">
        <w:rPr>
          <w:rFonts w:ascii="Times New Roman" w:hAnsi="Times New Roman" w:cs="Times New Roman"/>
          <w:sz w:val="24"/>
          <w:szCs w:val="24"/>
        </w:rPr>
        <w:t>.</w:t>
      </w:r>
    </w:p>
    <w:p w:rsidR="00B40167" w:rsidP="00E071D1" w:rsidRDefault="00B40167" w14:paraId="66CE0FDF" w14:textId="3E6299DF">
      <w:pPr>
        <w:pStyle w:val="ListParagraph"/>
        <w:numPr>
          <w:ilvl w:val="0"/>
          <w:numId w:val="10"/>
        </w:numPr>
        <w:rPr>
          <w:rFonts w:ascii="Times New Roman" w:hAnsi="Times New Roman" w:cs="Times New Roman"/>
          <w:sz w:val="24"/>
          <w:szCs w:val="24"/>
        </w:rPr>
      </w:pPr>
      <w:r w:rsidRPr="00594767">
        <w:rPr>
          <w:rFonts w:ascii="Times New Roman" w:hAnsi="Times New Roman" w:cs="Times New Roman"/>
          <w:sz w:val="24"/>
          <w:szCs w:val="24"/>
        </w:rPr>
        <w:t xml:space="preserve">The </w:t>
      </w:r>
      <w:r w:rsidRPr="00594767">
        <w:rPr>
          <w:rFonts w:ascii="Times New Roman" w:hAnsi="Times New Roman" w:cs="Times New Roman"/>
          <w:i/>
          <w:iCs/>
          <w:sz w:val="24"/>
          <w:szCs w:val="24"/>
        </w:rPr>
        <w:t>NHES</w:t>
      </w:r>
      <w:r w:rsidRPr="00594767">
        <w:rPr>
          <w:rFonts w:ascii="Times New Roman" w:hAnsi="Times New Roman" w:cs="Times New Roman"/>
          <w:sz w:val="24"/>
          <w:szCs w:val="24"/>
        </w:rPr>
        <w:t xml:space="preserve"> treatment group </w:t>
      </w:r>
      <w:r w:rsidR="00A107CE">
        <w:rPr>
          <w:rFonts w:ascii="Times New Roman" w:hAnsi="Times New Roman" w:cs="Times New Roman"/>
          <w:sz w:val="24"/>
          <w:szCs w:val="24"/>
        </w:rPr>
        <w:t xml:space="preserve">uses a </w:t>
      </w:r>
      <w:r w:rsidR="008F1422">
        <w:rPr>
          <w:rFonts w:ascii="Times New Roman" w:hAnsi="Times New Roman" w:cs="Times New Roman"/>
          <w:sz w:val="24"/>
          <w:szCs w:val="24"/>
        </w:rPr>
        <w:t xml:space="preserve">similar contact strategy to the </w:t>
      </w:r>
      <w:r w:rsidR="008823F9">
        <w:rPr>
          <w:rFonts w:ascii="Times New Roman" w:hAnsi="Times New Roman" w:cs="Times New Roman"/>
          <w:sz w:val="24"/>
          <w:szCs w:val="24"/>
        </w:rPr>
        <w:t xml:space="preserve">NHES, where contacts </w:t>
      </w:r>
      <w:r w:rsidR="00061CA5">
        <w:rPr>
          <w:rFonts w:ascii="Times New Roman" w:hAnsi="Times New Roman" w:cs="Times New Roman"/>
          <w:sz w:val="24"/>
          <w:szCs w:val="24"/>
        </w:rPr>
        <w:t>begin with web</w:t>
      </w:r>
      <w:r w:rsidR="00A412BE">
        <w:rPr>
          <w:rFonts w:ascii="Times New Roman" w:hAnsi="Times New Roman" w:cs="Times New Roman"/>
          <w:sz w:val="24"/>
          <w:szCs w:val="24"/>
        </w:rPr>
        <w:t xml:space="preserve"> </w:t>
      </w:r>
      <w:r w:rsidR="00061CA5">
        <w:rPr>
          <w:rFonts w:ascii="Times New Roman" w:hAnsi="Times New Roman" w:cs="Times New Roman"/>
          <w:sz w:val="24"/>
          <w:szCs w:val="24"/>
        </w:rPr>
        <w:t>only before transitioning to paper</w:t>
      </w:r>
      <w:r w:rsidR="00A412BE">
        <w:rPr>
          <w:rFonts w:ascii="Times New Roman" w:hAnsi="Times New Roman" w:cs="Times New Roman"/>
          <w:sz w:val="24"/>
          <w:szCs w:val="24"/>
        </w:rPr>
        <w:t xml:space="preserve"> </w:t>
      </w:r>
      <w:r w:rsidR="00061CA5">
        <w:rPr>
          <w:rFonts w:ascii="Times New Roman" w:hAnsi="Times New Roman" w:cs="Times New Roman"/>
          <w:sz w:val="24"/>
          <w:szCs w:val="24"/>
        </w:rPr>
        <w:t>only</w:t>
      </w:r>
      <w:r>
        <w:rPr>
          <w:rFonts w:ascii="Times New Roman" w:hAnsi="Times New Roman" w:cs="Times New Roman"/>
          <w:sz w:val="24"/>
          <w:szCs w:val="24"/>
        </w:rPr>
        <w:t>.</w:t>
      </w:r>
      <w:r w:rsidRPr="00594767">
        <w:rPr>
          <w:rFonts w:ascii="Times New Roman" w:hAnsi="Times New Roman" w:cs="Times New Roman"/>
          <w:sz w:val="24"/>
          <w:szCs w:val="24"/>
        </w:rPr>
        <w:t xml:space="preserve"> </w:t>
      </w:r>
      <w:r>
        <w:rPr>
          <w:rFonts w:ascii="Times New Roman" w:hAnsi="Times New Roman" w:cs="Times New Roman"/>
          <w:sz w:val="24"/>
          <w:szCs w:val="24"/>
        </w:rPr>
        <w:t xml:space="preserve">Both the </w:t>
      </w:r>
      <w:r w:rsidRPr="00594767">
        <w:rPr>
          <w:rFonts w:ascii="Times New Roman" w:hAnsi="Times New Roman" w:cs="Times New Roman"/>
          <w:i/>
          <w:iCs/>
          <w:sz w:val="24"/>
          <w:szCs w:val="24"/>
        </w:rPr>
        <w:t>NSCG</w:t>
      </w:r>
      <w:r>
        <w:rPr>
          <w:rFonts w:ascii="Times New Roman" w:hAnsi="Times New Roman" w:cs="Times New Roman"/>
          <w:sz w:val="24"/>
          <w:szCs w:val="24"/>
        </w:rPr>
        <w:t xml:space="preserve"> and </w:t>
      </w:r>
      <w:r w:rsidRPr="00594767">
        <w:rPr>
          <w:rFonts w:ascii="Times New Roman" w:hAnsi="Times New Roman" w:cs="Times New Roman"/>
          <w:i/>
          <w:iCs/>
          <w:sz w:val="24"/>
          <w:szCs w:val="24"/>
        </w:rPr>
        <w:t>NHES</w:t>
      </w:r>
      <w:r>
        <w:rPr>
          <w:rFonts w:ascii="Times New Roman" w:hAnsi="Times New Roman" w:cs="Times New Roman"/>
          <w:sz w:val="24"/>
          <w:szCs w:val="24"/>
        </w:rPr>
        <w:t xml:space="preserve"> </w:t>
      </w:r>
      <w:r>
        <w:rPr>
          <w:rFonts w:ascii="Times New Roman" w:hAnsi="Times New Roman" w:cs="Times New Roman"/>
          <w:sz w:val="24"/>
          <w:szCs w:val="24"/>
        </w:rPr>
        <w:lastRenderedPageBreak/>
        <w:t>treatment groups use sequential mixed-mode designs that start by offering web</w:t>
      </w:r>
      <w:r w:rsidR="00D263AF">
        <w:rPr>
          <w:rFonts w:ascii="Times New Roman" w:hAnsi="Times New Roman" w:cs="Times New Roman"/>
          <w:sz w:val="24"/>
          <w:szCs w:val="24"/>
        </w:rPr>
        <w:t xml:space="preserve"> only</w:t>
      </w:r>
      <w:r>
        <w:rPr>
          <w:rFonts w:ascii="Times New Roman" w:hAnsi="Times New Roman" w:cs="Times New Roman"/>
          <w:sz w:val="24"/>
          <w:szCs w:val="24"/>
        </w:rPr>
        <w:t xml:space="preserve">. The main difference between these treatment groups occurs after the </w:t>
      </w:r>
      <w:r w:rsidR="008823F9">
        <w:rPr>
          <w:rFonts w:ascii="Times New Roman" w:hAnsi="Times New Roman" w:cs="Times New Roman"/>
          <w:sz w:val="24"/>
          <w:szCs w:val="24"/>
        </w:rPr>
        <w:t xml:space="preserve">initial </w:t>
      </w:r>
      <w:r>
        <w:rPr>
          <w:rFonts w:ascii="Times New Roman" w:hAnsi="Times New Roman" w:cs="Times New Roman"/>
          <w:sz w:val="24"/>
          <w:szCs w:val="24"/>
        </w:rPr>
        <w:t>switch</w:t>
      </w:r>
      <w:r w:rsidR="008823F9">
        <w:rPr>
          <w:rFonts w:ascii="Times New Roman" w:hAnsi="Times New Roman" w:cs="Times New Roman"/>
          <w:sz w:val="24"/>
          <w:szCs w:val="24"/>
        </w:rPr>
        <w:t xml:space="preserve"> from web</w:t>
      </w:r>
      <w:r>
        <w:rPr>
          <w:rFonts w:ascii="Times New Roman" w:hAnsi="Times New Roman" w:cs="Times New Roman"/>
          <w:sz w:val="24"/>
          <w:szCs w:val="24"/>
        </w:rPr>
        <w:t xml:space="preserve">. At this point, the </w:t>
      </w:r>
      <w:r w:rsidRPr="00594767">
        <w:rPr>
          <w:rFonts w:ascii="Times New Roman" w:hAnsi="Times New Roman" w:cs="Times New Roman"/>
          <w:i/>
          <w:iCs/>
          <w:sz w:val="24"/>
          <w:szCs w:val="24"/>
        </w:rPr>
        <w:t>NHES</w:t>
      </w:r>
      <w:r>
        <w:rPr>
          <w:rFonts w:ascii="Times New Roman" w:hAnsi="Times New Roman" w:cs="Times New Roman"/>
          <w:sz w:val="24"/>
          <w:szCs w:val="24"/>
        </w:rPr>
        <w:t xml:space="preserve"> treatment group contacts no longer offer the option to respond by web, whereas</w:t>
      </w:r>
      <w:r w:rsidR="003150C9">
        <w:rPr>
          <w:rFonts w:ascii="Times New Roman" w:hAnsi="Times New Roman" w:cs="Times New Roman"/>
          <w:sz w:val="24"/>
          <w:szCs w:val="24"/>
        </w:rPr>
        <w:t>, as noted above,</w:t>
      </w:r>
      <w:r>
        <w:rPr>
          <w:rFonts w:ascii="Times New Roman" w:hAnsi="Times New Roman" w:cs="Times New Roman"/>
          <w:sz w:val="24"/>
          <w:szCs w:val="24"/>
        </w:rPr>
        <w:t xml:space="preserve"> the </w:t>
      </w:r>
      <w:r w:rsidRPr="00594767">
        <w:rPr>
          <w:rFonts w:ascii="Times New Roman" w:hAnsi="Times New Roman" w:cs="Times New Roman"/>
          <w:i/>
          <w:iCs/>
          <w:sz w:val="24"/>
          <w:szCs w:val="24"/>
        </w:rPr>
        <w:t>NSCG</w:t>
      </w:r>
      <w:r>
        <w:rPr>
          <w:rFonts w:ascii="Times New Roman" w:hAnsi="Times New Roman" w:cs="Times New Roman"/>
          <w:sz w:val="24"/>
          <w:szCs w:val="24"/>
        </w:rPr>
        <w:t xml:space="preserve"> treatment group </w:t>
      </w:r>
      <w:r w:rsidR="0022231F">
        <w:rPr>
          <w:rFonts w:ascii="Times New Roman" w:hAnsi="Times New Roman" w:cs="Times New Roman"/>
          <w:sz w:val="24"/>
          <w:szCs w:val="24"/>
        </w:rPr>
        <w:t>cycles between web-</w:t>
      </w:r>
      <w:r w:rsidR="009C01A7">
        <w:rPr>
          <w:rFonts w:ascii="Times New Roman" w:hAnsi="Times New Roman" w:cs="Times New Roman"/>
          <w:sz w:val="24"/>
          <w:szCs w:val="24"/>
        </w:rPr>
        <w:t>only</w:t>
      </w:r>
      <w:r w:rsidR="0022231F">
        <w:rPr>
          <w:rFonts w:ascii="Times New Roman" w:hAnsi="Times New Roman" w:cs="Times New Roman"/>
          <w:sz w:val="24"/>
          <w:szCs w:val="24"/>
        </w:rPr>
        <w:t xml:space="preserve"> and web-</w:t>
      </w:r>
      <w:r w:rsidR="009C01A7">
        <w:rPr>
          <w:rFonts w:ascii="Times New Roman" w:hAnsi="Times New Roman" w:cs="Times New Roman"/>
          <w:sz w:val="24"/>
          <w:szCs w:val="24"/>
        </w:rPr>
        <w:t>and-paper</w:t>
      </w:r>
      <w:r w:rsidR="0022231F">
        <w:rPr>
          <w:rFonts w:ascii="Times New Roman" w:hAnsi="Times New Roman" w:cs="Times New Roman"/>
          <w:sz w:val="24"/>
          <w:szCs w:val="24"/>
        </w:rPr>
        <w:t xml:space="preserve"> contacts</w:t>
      </w:r>
      <w:r>
        <w:rPr>
          <w:rFonts w:ascii="Times New Roman" w:hAnsi="Times New Roman" w:cs="Times New Roman"/>
          <w:sz w:val="24"/>
          <w:szCs w:val="24"/>
        </w:rPr>
        <w:t xml:space="preserve">. These two designs have each been applied successfully in their source surveys, but, to </w:t>
      </w:r>
      <w:r w:rsidR="005610A8">
        <w:rPr>
          <w:rFonts w:ascii="Times New Roman" w:hAnsi="Times New Roman" w:cs="Times New Roman"/>
          <w:sz w:val="24"/>
          <w:szCs w:val="24"/>
        </w:rPr>
        <w:t xml:space="preserve">NCSES’s </w:t>
      </w:r>
      <w:r>
        <w:rPr>
          <w:rFonts w:ascii="Times New Roman" w:hAnsi="Times New Roman" w:cs="Times New Roman"/>
          <w:sz w:val="24"/>
          <w:szCs w:val="24"/>
        </w:rPr>
        <w:t>knowledge, they have not been compared to each other directly.</w:t>
      </w:r>
      <w:r w:rsidR="00876AB5">
        <w:rPr>
          <w:rFonts w:ascii="Times New Roman" w:hAnsi="Times New Roman" w:cs="Times New Roman"/>
          <w:sz w:val="24"/>
          <w:szCs w:val="24"/>
        </w:rPr>
        <w:t xml:space="preserve"> Because the NTEWS target</w:t>
      </w:r>
      <w:r w:rsidR="00F376B2">
        <w:rPr>
          <w:rFonts w:ascii="Times New Roman" w:hAnsi="Times New Roman" w:cs="Times New Roman"/>
          <w:sz w:val="24"/>
          <w:szCs w:val="24"/>
        </w:rPr>
        <w:t xml:space="preserve"> </w:t>
      </w:r>
      <w:r w:rsidR="00876AB5">
        <w:rPr>
          <w:rFonts w:ascii="Times New Roman" w:hAnsi="Times New Roman" w:cs="Times New Roman"/>
          <w:sz w:val="24"/>
          <w:szCs w:val="24"/>
        </w:rPr>
        <w:t xml:space="preserve">population </w:t>
      </w:r>
      <w:r w:rsidR="00633874">
        <w:rPr>
          <w:rFonts w:ascii="Times New Roman" w:hAnsi="Times New Roman" w:cs="Times New Roman"/>
          <w:sz w:val="24"/>
          <w:szCs w:val="24"/>
        </w:rPr>
        <w:t xml:space="preserve">of interest to NCSES </w:t>
      </w:r>
      <w:r w:rsidR="00876AB5">
        <w:rPr>
          <w:rFonts w:ascii="Times New Roman" w:hAnsi="Times New Roman" w:cs="Times New Roman"/>
          <w:sz w:val="24"/>
          <w:szCs w:val="24"/>
        </w:rPr>
        <w:t xml:space="preserve">more closely resembles the NHES target population than the NSCG target population, </w:t>
      </w:r>
      <w:r w:rsidR="00375D4E">
        <w:rPr>
          <w:rFonts w:ascii="Times New Roman" w:hAnsi="Times New Roman" w:cs="Times New Roman"/>
          <w:sz w:val="24"/>
          <w:szCs w:val="24"/>
        </w:rPr>
        <w:t xml:space="preserve">it is worthwhile to test these two approaches against each other in the first </w:t>
      </w:r>
      <w:r w:rsidR="00241D4F">
        <w:rPr>
          <w:rFonts w:ascii="Times New Roman" w:hAnsi="Times New Roman" w:cs="Times New Roman"/>
          <w:sz w:val="24"/>
          <w:szCs w:val="24"/>
        </w:rPr>
        <w:t xml:space="preserve">cycle </w:t>
      </w:r>
      <w:r w:rsidR="00375D4E">
        <w:rPr>
          <w:rFonts w:ascii="Times New Roman" w:hAnsi="Times New Roman" w:cs="Times New Roman"/>
          <w:sz w:val="24"/>
          <w:szCs w:val="24"/>
        </w:rPr>
        <w:t>of the NTEWS.</w:t>
      </w:r>
    </w:p>
    <w:p w:rsidRPr="00B40167" w:rsidR="00B40167" w:rsidP="00B40167" w:rsidRDefault="00B40167" w14:paraId="0A43BA07" w14:textId="3D92998D">
      <w:pPr>
        <w:pStyle w:val="ListParagraph"/>
        <w:numPr>
          <w:ilvl w:val="0"/>
          <w:numId w:val="10"/>
        </w:numPr>
        <w:rPr>
          <w:rFonts w:ascii="Times New Roman" w:hAnsi="Times New Roman" w:cs="Times New Roman"/>
          <w:sz w:val="24"/>
          <w:szCs w:val="24"/>
        </w:rPr>
      </w:pPr>
      <w:r w:rsidRPr="00B40167">
        <w:rPr>
          <w:rFonts w:ascii="Times New Roman" w:hAnsi="Times New Roman" w:cs="Times New Roman"/>
          <w:sz w:val="24"/>
          <w:szCs w:val="24"/>
        </w:rPr>
        <w:t xml:space="preserve">The </w:t>
      </w:r>
      <w:r w:rsidRPr="00B40167">
        <w:rPr>
          <w:rFonts w:ascii="Times New Roman" w:hAnsi="Times New Roman" w:cs="Times New Roman"/>
          <w:i/>
          <w:iCs/>
          <w:sz w:val="24"/>
          <w:szCs w:val="24"/>
        </w:rPr>
        <w:t>CHOICE</w:t>
      </w:r>
      <w:r w:rsidRPr="00B40167">
        <w:rPr>
          <w:rFonts w:ascii="Times New Roman" w:hAnsi="Times New Roman" w:cs="Times New Roman"/>
          <w:sz w:val="24"/>
          <w:szCs w:val="24"/>
        </w:rPr>
        <w:t xml:space="preserve"> and </w:t>
      </w:r>
      <w:r w:rsidRPr="00594767">
        <w:rPr>
          <w:rFonts w:ascii="Times New Roman" w:hAnsi="Times New Roman" w:cs="Times New Roman"/>
          <w:i/>
          <w:iCs/>
          <w:sz w:val="24"/>
          <w:szCs w:val="24"/>
        </w:rPr>
        <w:t>CHOICEPLUS</w:t>
      </w:r>
      <w:r w:rsidRPr="00B40167">
        <w:rPr>
          <w:rFonts w:ascii="Times New Roman" w:hAnsi="Times New Roman" w:cs="Times New Roman"/>
          <w:sz w:val="24"/>
          <w:szCs w:val="24"/>
        </w:rPr>
        <w:t xml:space="preserve"> treatment groups assess whether a concurrent mixed-mode design </w:t>
      </w:r>
      <w:r w:rsidR="00F322B6">
        <w:rPr>
          <w:rFonts w:ascii="Times New Roman" w:hAnsi="Times New Roman" w:cs="Times New Roman"/>
          <w:sz w:val="24"/>
          <w:szCs w:val="24"/>
        </w:rPr>
        <w:t xml:space="preserve">(with web and paper offered simultaneously) </w:t>
      </w:r>
      <w:r w:rsidRPr="00B40167">
        <w:rPr>
          <w:rFonts w:ascii="Times New Roman" w:hAnsi="Times New Roman" w:cs="Times New Roman"/>
          <w:sz w:val="24"/>
          <w:szCs w:val="24"/>
        </w:rPr>
        <w:t xml:space="preserve">may be preferable for the NTEWS (as compared to a sequential design). Though sequential mixed-mode designs are more commonly used in federal surveys, recent research suggests new promise for concurrent designs (e.g., Lesser et al. 2016; Bucks, </w:t>
      </w:r>
      <w:r w:rsidR="0006051D">
        <w:rPr>
          <w:rFonts w:ascii="Times New Roman" w:hAnsi="Times New Roman" w:cs="Times New Roman"/>
          <w:sz w:val="24"/>
          <w:szCs w:val="24"/>
        </w:rPr>
        <w:t>Couper</w:t>
      </w:r>
      <w:r w:rsidRPr="00B40167">
        <w:rPr>
          <w:rFonts w:ascii="Times New Roman" w:hAnsi="Times New Roman" w:cs="Times New Roman"/>
          <w:sz w:val="24"/>
          <w:szCs w:val="24"/>
        </w:rPr>
        <w:t xml:space="preserve">, &amp; </w:t>
      </w:r>
      <w:r w:rsidR="000C329C">
        <w:rPr>
          <w:rFonts w:ascii="Times New Roman" w:hAnsi="Times New Roman" w:cs="Times New Roman"/>
          <w:sz w:val="24"/>
          <w:szCs w:val="24"/>
        </w:rPr>
        <w:t>Fulford</w:t>
      </w:r>
      <w:r w:rsidRPr="00B40167">
        <w:rPr>
          <w:rFonts w:ascii="Times New Roman" w:hAnsi="Times New Roman" w:cs="Times New Roman"/>
          <w:sz w:val="24"/>
          <w:szCs w:val="24"/>
        </w:rPr>
        <w:t xml:space="preserve"> 201</w:t>
      </w:r>
      <w:r w:rsidR="008304FA">
        <w:rPr>
          <w:rFonts w:ascii="Times New Roman" w:hAnsi="Times New Roman" w:cs="Times New Roman"/>
          <w:sz w:val="24"/>
          <w:szCs w:val="24"/>
        </w:rPr>
        <w:t>9</w:t>
      </w:r>
      <w:r w:rsidRPr="00B40167">
        <w:rPr>
          <w:rFonts w:ascii="Times New Roman" w:hAnsi="Times New Roman" w:cs="Times New Roman"/>
          <w:sz w:val="24"/>
          <w:szCs w:val="24"/>
        </w:rPr>
        <w:t xml:space="preserve">), potentially due to the continued growth in Internet penetration (Olson et al., 2019). In particular, the </w:t>
      </w:r>
      <w:r w:rsidRPr="00B40167">
        <w:rPr>
          <w:rFonts w:ascii="Times New Roman" w:hAnsi="Times New Roman" w:cs="Times New Roman"/>
          <w:i/>
          <w:iCs/>
          <w:sz w:val="24"/>
          <w:szCs w:val="24"/>
        </w:rPr>
        <w:t>CHOICEPLUS</w:t>
      </w:r>
      <w:r w:rsidRPr="00B40167">
        <w:rPr>
          <w:rFonts w:ascii="Times New Roman" w:hAnsi="Times New Roman" w:cs="Times New Roman"/>
          <w:sz w:val="24"/>
          <w:szCs w:val="24"/>
        </w:rPr>
        <w:t xml:space="preserve"> treatment group assesses </w:t>
      </w:r>
      <w:r>
        <w:rPr>
          <w:rFonts w:ascii="Times New Roman" w:hAnsi="Times New Roman" w:cs="Times New Roman"/>
          <w:sz w:val="24"/>
          <w:szCs w:val="24"/>
        </w:rPr>
        <w:t xml:space="preserve">whether, within concurrent mixed-mode designs, it is </w:t>
      </w:r>
      <w:r w:rsidR="00AB7678">
        <w:rPr>
          <w:rFonts w:ascii="Times New Roman" w:hAnsi="Times New Roman" w:cs="Times New Roman"/>
          <w:sz w:val="24"/>
          <w:szCs w:val="24"/>
        </w:rPr>
        <w:t xml:space="preserve">advantageous </w:t>
      </w:r>
      <w:r>
        <w:rPr>
          <w:rFonts w:ascii="Times New Roman" w:hAnsi="Times New Roman" w:cs="Times New Roman"/>
          <w:sz w:val="24"/>
          <w:szCs w:val="24"/>
        </w:rPr>
        <w:t>to offer a</w:t>
      </w:r>
      <w:r w:rsidR="00543E50">
        <w:rPr>
          <w:rFonts w:ascii="Times New Roman" w:hAnsi="Times New Roman" w:cs="Times New Roman"/>
          <w:sz w:val="24"/>
          <w:szCs w:val="24"/>
        </w:rPr>
        <w:t>n additional</w:t>
      </w:r>
      <w:r>
        <w:rPr>
          <w:rFonts w:ascii="Times New Roman" w:hAnsi="Times New Roman" w:cs="Times New Roman"/>
          <w:sz w:val="24"/>
          <w:szCs w:val="24"/>
        </w:rPr>
        <w:t xml:space="preserve"> incentive</w:t>
      </w:r>
      <w:r w:rsidR="00543E50">
        <w:rPr>
          <w:rFonts w:ascii="Times New Roman" w:hAnsi="Times New Roman" w:cs="Times New Roman"/>
          <w:sz w:val="24"/>
          <w:szCs w:val="24"/>
        </w:rPr>
        <w:t xml:space="preserve"> </w:t>
      </w:r>
      <w:r w:rsidR="00274F67">
        <w:rPr>
          <w:rFonts w:ascii="Times New Roman" w:hAnsi="Times New Roman" w:cs="Times New Roman"/>
          <w:sz w:val="24"/>
          <w:szCs w:val="24"/>
        </w:rPr>
        <w:t xml:space="preserve">contingent </w:t>
      </w:r>
      <w:r w:rsidR="00500289">
        <w:rPr>
          <w:rFonts w:ascii="Times New Roman" w:hAnsi="Times New Roman" w:cs="Times New Roman"/>
          <w:sz w:val="24"/>
          <w:szCs w:val="24"/>
        </w:rPr>
        <w:t xml:space="preserve">specifically </w:t>
      </w:r>
      <w:r w:rsidR="00274F67">
        <w:rPr>
          <w:rFonts w:ascii="Times New Roman" w:hAnsi="Times New Roman" w:cs="Times New Roman"/>
          <w:sz w:val="24"/>
          <w:szCs w:val="24"/>
        </w:rPr>
        <w:t>on response by web</w:t>
      </w:r>
      <w:r>
        <w:rPr>
          <w:rFonts w:ascii="Times New Roman" w:hAnsi="Times New Roman" w:cs="Times New Roman"/>
          <w:sz w:val="24"/>
          <w:szCs w:val="24"/>
        </w:rPr>
        <w:t>. Preliminary results of a</w:t>
      </w:r>
      <w:r w:rsidR="005F4D68">
        <w:rPr>
          <w:rFonts w:ascii="Times New Roman" w:hAnsi="Times New Roman" w:cs="Times New Roman"/>
          <w:sz w:val="24"/>
          <w:szCs w:val="24"/>
        </w:rPr>
        <w:t>n</w:t>
      </w:r>
      <w:r>
        <w:rPr>
          <w:rFonts w:ascii="Times New Roman" w:hAnsi="Times New Roman" w:cs="Times New Roman"/>
          <w:sz w:val="24"/>
          <w:szCs w:val="24"/>
        </w:rPr>
        <w:t xml:space="preserve"> NHES:2019 experiment </w:t>
      </w:r>
      <w:r w:rsidR="00715B64">
        <w:rPr>
          <w:rFonts w:ascii="Times New Roman" w:hAnsi="Times New Roman" w:cs="Times New Roman"/>
          <w:sz w:val="24"/>
          <w:szCs w:val="24"/>
        </w:rPr>
        <w:t>indicate that a similar design</w:t>
      </w:r>
      <w:r>
        <w:rPr>
          <w:rFonts w:ascii="Times New Roman" w:hAnsi="Times New Roman" w:cs="Times New Roman"/>
          <w:sz w:val="24"/>
          <w:szCs w:val="24"/>
        </w:rPr>
        <w:t xml:space="preserve"> increase</w:t>
      </w:r>
      <w:r w:rsidR="00715B64">
        <w:rPr>
          <w:rFonts w:ascii="Times New Roman" w:hAnsi="Times New Roman" w:cs="Times New Roman"/>
          <w:sz w:val="24"/>
          <w:szCs w:val="24"/>
        </w:rPr>
        <w:t>d</w:t>
      </w:r>
      <w:r>
        <w:rPr>
          <w:rFonts w:ascii="Times New Roman" w:hAnsi="Times New Roman" w:cs="Times New Roman"/>
          <w:sz w:val="24"/>
          <w:szCs w:val="24"/>
        </w:rPr>
        <w:t xml:space="preserve"> the response rate </w:t>
      </w:r>
      <w:r w:rsidR="00715B64">
        <w:rPr>
          <w:rFonts w:ascii="Times New Roman" w:hAnsi="Times New Roman" w:cs="Times New Roman"/>
          <w:sz w:val="24"/>
          <w:szCs w:val="24"/>
        </w:rPr>
        <w:t xml:space="preserve">by about </w:t>
      </w:r>
      <w:r w:rsidR="00136E16">
        <w:rPr>
          <w:rFonts w:ascii="Times New Roman" w:hAnsi="Times New Roman" w:cs="Times New Roman"/>
          <w:sz w:val="24"/>
          <w:szCs w:val="24"/>
        </w:rPr>
        <w:t xml:space="preserve">7 percentage points </w:t>
      </w:r>
      <w:r>
        <w:rPr>
          <w:rFonts w:ascii="Times New Roman" w:hAnsi="Times New Roman" w:cs="Times New Roman"/>
          <w:sz w:val="24"/>
          <w:szCs w:val="24"/>
        </w:rPr>
        <w:t>relative to a sequential treatment</w:t>
      </w:r>
      <w:r w:rsidR="00F322B6">
        <w:rPr>
          <w:rFonts w:ascii="Times New Roman" w:hAnsi="Times New Roman" w:cs="Times New Roman"/>
          <w:sz w:val="24"/>
          <w:szCs w:val="24"/>
        </w:rPr>
        <w:t xml:space="preserve"> (</w:t>
      </w:r>
      <w:r w:rsidR="00715B64">
        <w:rPr>
          <w:rFonts w:ascii="Times New Roman" w:hAnsi="Times New Roman" w:cs="Times New Roman"/>
          <w:sz w:val="24"/>
          <w:szCs w:val="24"/>
        </w:rPr>
        <w:t>unpublished internal analysis</w:t>
      </w:r>
      <w:r w:rsidR="00F322B6">
        <w:rPr>
          <w:rFonts w:ascii="Times New Roman" w:hAnsi="Times New Roman" w:cs="Times New Roman"/>
          <w:sz w:val="24"/>
          <w:szCs w:val="24"/>
        </w:rPr>
        <w:t>)</w:t>
      </w:r>
      <w:r>
        <w:rPr>
          <w:rFonts w:ascii="Times New Roman" w:hAnsi="Times New Roman" w:cs="Times New Roman"/>
          <w:sz w:val="24"/>
          <w:szCs w:val="24"/>
        </w:rPr>
        <w:t>.</w:t>
      </w:r>
      <w:r w:rsidR="00D839CC">
        <w:rPr>
          <w:rFonts w:ascii="Times New Roman" w:hAnsi="Times New Roman" w:cs="Times New Roman"/>
          <w:sz w:val="24"/>
          <w:szCs w:val="24"/>
        </w:rPr>
        <w:t xml:space="preserve"> </w:t>
      </w:r>
      <w:r w:rsidR="00B36B99">
        <w:rPr>
          <w:rFonts w:ascii="Times New Roman" w:hAnsi="Times New Roman" w:cs="Times New Roman"/>
          <w:sz w:val="24"/>
          <w:szCs w:val="24"/>
        </w:rPr>
        <w:t xml:space="preserve">These preliminary </w:t>
      </w:r>
      <w:r w:rsidR="00D839CC">
        <w:rPr>
          <w:rFonts w:ascii="Times New Roman" w:hAnsi="Times New Roman" w:cs="Times New Roman"/>
          <w:sz w:val="24"/>
          <w:szCs w:val="24"/>
        </w:rPr>
        <w:t>results also suggest that the choice-plus treatment was more successful at encouraging response among hard-to-reach subgroups, implying that it reduced the risk of nonresponse bias</w:t>
      </w:r>
      <w:r w:rsidR="00B52596">
        <w:rPr>
          <w:rFonts w:ascii="Times New Roman" w:hAnsi="Times New Roman" w:cs="Times New Roman"/>
          <w:sz w:val="24"/>
          <w:szCs w:val="24"/>
        </w:rPr>
        <w:t xml:space="preserve"> (unpublished internal analysis)</w:t>
      </w:r>
      <w:r w:rsidR="00D839CC">
        <w:rPr>
          <w:rFonts w:ascii="Times New Roman" w:hAnsi="Times New Roman" w:cs="Times New Roman"/>
          <w:sz w:val="24"/>
          <w:szCs w:val="24"/>
        </w:rPr>
        <w:t>.</w:t>
      </w:r>
      <w:r w:rsidR="001E7AC9">
        <w:rPr>
          <w:rFonts w:ascii="Times New Roman" w:hAnsi="Times New Roman" w:cs="Times New Roman"/>
          <w:sz w:val="24"/>
          <w:szCs w:val="24"/>
        </w:rPr>
        <w:t xml:space="preserve"> However, the NHES:2019 </w:t>
      </w:r>
      <w:r w:rsidR="00911FC7">
        <w:rPr>
          <w:rFonts w:ascii="Times New Roman" w:hAnsi="Times New Roman" w:cs="Times New Roman"/>
          <w:sz w:val="24"/>
          <w:szCs w:val="24"/>
        </w:rPr>
        <w:t xml:space="preserve">experiment did not </w:t>
      </w:r>
      <w:r w:rsidR="00E1789B">
        <w:rPr>
          <w:rFonts w:ascii="Times New Roman" w:hAnsi="Times New Roman" w:cs="Times New Roman"/>
          <w:sz w:val="24"/>
          <w:szCs w:val="24"/>
        </w:rPr>
        <w:t xml:space="preserve">include </w:t>
      </w:r>
      <w:r w:rsidR="00C43B58">
        <w:rPr>
          <w:rFonts w:ascii="Times New Roman" w:hAnsi="Times New Roman" w:cs="Times New Roman"/>
          <w:sz w:val="24"/>
          <w:szCs w:val="24"/>
        </w:rPr>
        <w:t>a “pure choice” treatment</w:t>
      </w:r>
      <w:r w:rsidR="00571D03">
        <w:rPr>
          <w:rFonts w:ascii="Times New Roman" w:hAnsi="Times New Roman" w:cs="Times New Roman"/>
          <w:sz w:val="24"/>
          <w:szCs w:val="24"/>
        </w:rPr>
        <w:t xml:space="preserve"> without </w:t>
      </w:r>
      <w:r w:rsidR="00971840">
        <w:rPr>
          <w:rFonts w:ascii="Times New Roman" w:hAnsi="Times New Roman" w:cs="Times New Roman"/>
          <w:sz w:val="24"/>
          <w:szCs w:val="24"/>
        </w:rPr>
        <w:t xml:space="preserve">the contingent </w:t>
      </w:r>
      <w:r w:rsidR="00571D03">
        <w:rPr>
          <w:rFonts w:ascii="Times New Roman" w:hAnsi="Times New Roman" w:cs="Times New Roman"/>
          <w:sz w:val="24"/>
          <w:szCs w:val="24"/>
        </w:rPr>
        <w:t>incentive for web response</w:t>
      </w:r>
      <w:r w:rsidR="00746307">
        <w:rPr>
          <w:rFonts w:ascii="Times New Roman" w:hAnsi="Times New Roman" w:cs="Times New Roman"/>
          <w:sz w:val="24"/>
          <w:szCs w:val="24"/>
        </w:rPr>
        <w:t xml:space="preserve">, so </w:t>
      </w:r>
      <w:r w:rsidR="000E2A3A">
        <w:rPr>
          <w:rFonts w:ascii="Times New Roman" w:hAnsi="Times New Roman" w:cs="Times New Roman"/>
          <w:sz w:val="24"/>
          <w:szCs w:val="24"/>
        </w:rPr>
        <w:t xml:space="preserve">the NTEWS experiment will help to clarify whether similar results could be obtained without </w:t>
      </w:r>
      <w:r w:rsidR="004D6B18">
        <w:rPr>
          <w:rFonts w:ascii="Times New Roman" w:hAnsi="Times New Roman" w:cs="Times New Roman"/>
          <w:sz w:val="24"/>
          <w:szCs w:val="24"/>
        </w:rPr>
        <w:t xml:space="preserve">the </w:t>
      </w:r>
      <w:r w:rsidR="006642AD">
        <w:rPr>
          <w:rFonts w:ascii="Times New Roman" w:hAnsi="Times New Roman" w:cs="Times New Roman"/>
          <w:sz w:val="24"/>
          <w:szCs w:val="24"/>
        </w:rPr>
        <w:t xml:space="preserve">contingent </w:t>
      </w:r>
      <w:r w:rsidR="004D6B18">
        <w:rPr>
          <w:rFonts w:ascii="Times New Roman" w:hAnsi="Times New Roman" w:cs="Times New Roman"/>
          <w:sz w:val="24"/>
          <w:szCs w:val="24"/>
        </w:rPr>
        <w:t>incentive.</w:t>
      </w:r>
    </w:p>
    <w:p w:rsidR="009C6F5F" w:rsidP="00955731" w:rsidRDefault="00B40167" w14:paraId="4F7D9374" w14:textId="397BC094">
      <w:pPr>
        <w:pStyle w:val="ListParagraph"/>
        <w:numPr>
          <w:ilvl w:val="0"/>
          <w:numId w:val="10"/>
        </w:numPr>
        <w:rPr>
          <w:rFonts w:ascii="Times New Roman" w:hAnsi="Times New Roman" w:cs="Times New Roman"/>
          <w:sz w:val="24"/>
          <w:szCs w:val="24"/>
        </w:rPr>
      </w:pPr>
      <w:r w:rsidRPr="00B40167">
        <w:rPr>
          <w:rFonts w:ascii="Times New Roman" w:hAnsi="Times New Roman" w:cs="Times New Roman"/>
          <w:sz w:val="24"/>
          <w:szCs w:val="24"/>
        </w:rPr>
        <w:t xml:space="preserve">The </w:t>
      </w:r>
      <w:r w:rsidRPr="00B40167">
        <w:rPr>
          <w:rFonts w:ascii="Times New Roman" w:hAnsi="Times New Roman" w:cs="Times New Roman"/>
          <w:i/>
          <w:iCs/>
          <w:sz w:val="24"/>
          <w:szCs w:val="24"/>
        </w:rPr>
        <w:t>PAP</w:t>
      </w:r>
      <w:r w:rsidRPr="00B40167">
        <w:rPr>
          <w:rFonts w:ascii="Times New Roman" w:hAnsi="Times New Roman" w:cs="Times New Roman"/>
          <w:sz w:val="24"/>
          <w:szCs w:val="24"/>
        </w:rPr>
        <w:t xml:space="preserve"> and </w:t>
      </w:r>
      <w:r w:rsidRPr="00B40167">
        <w:rPr>
          <w:rFonts w:ascii="Times New Roman" w:hAnsi="Times New Roman" w:cs="Times New Roman"/>
          <w:i/>
          <w:iCs/>
          <w:sz w:val="24"/>
          <w:szCs w:val="24"/>
        </w:rPr>
        <w:t>CAT</w:t>
      </w:r>
      <w:r w:rsidRPr="00B40167">
        <w:rPr>
          <w:rFonts w:ascii="Times New Roman" w:hAnsi="Times New Roman" w:cs="Times New Roman"/>
          <w:sz w:val="24"/>
          <w:szCs w:val="24"/>
        </w:rPr>
        <w:t xml:space="preserve"> treatment groups </w:t>
      </w:r>
      <w:r w:rsidR="004467E3">
        <w:rPr>
          <w:rFonts w:ascii="Times New Roman" w:hAnsi="Times New Roman" w:cs="Times New Roman"/>
          <w:sz w:val="24"/>
          <w:szCs w:val="24"/>
        </w:rPr>
        <w:t xml:space="preserve">are included to </w:t>
      </w:r>
      <w:r w:rsidRPr="00B40167">
        <w:rPr>
          <w:rFonts w:ascii="Times New Roman" w:hAnsi="Times New Roman" w:cs="Times New Roman"/>
          <w:sz w:val="24"/>
          <w:szCs w:val="24"/>
        </w:rPr>
        <w:t>assess whether some subpopulations may be most effectively reached with a paper-</w:t>
      </w:r>
      <w:r w:rsidR="00A760B2">
        <w:rPr>
          <w:rFonts w:ascii="Times New Roman" w:hAnsi="Times New Roman" w:cs="Times New Roman"/>
          <w:sz w:val="24"/>
          <w:szCs w:val="24"/>
        </w:rPr>
        <w:t>first</w:t>
      </w:r>
      <w:r w:rsidRPr="00B40167">
        <w:rPr>
          <w:rFonts w:ascii="Times New Roman" w:hAnsi="Times New Roman" w:cs="Times New Roman"/>
          <w:sz w:val="24"/>
          <w:szCs w:val="24"/>
        </w:rPr>
        <w:t xml:space="preserve"> or </w:t>
      </w:r>
      <w:r w:rsidR="00171894">
        <w:rPr>
          <w:rFonts w:ascii="Times New Roman" w:hAnsi="Times New Roman" w:cs="Times New Roman"/>
          <w:sz w:val="24"/>
          <w:szCs w:val="24"/>
        </w:rPr>
        <w:t>CATI</w:t>
      </w:r>
      <w:r w:rsidRPr="00B40167">
        <w:rPr>
          <w:rFonts w:ascii="Times New Roman" w:hAnsi="Times New Roman" w:cs="Times New Roman"/>
          <w:sz w:val="24"/>
          <w:szCs w:val="24"/>
        </w:rPr>
        <w:t>-</w:t>
      </w:r>
      <w:r w:rsidR="00A760B2">
        <w:rPr>
          <w:rFonts w:ascii="Times New Roman" w:hAnsi="Times New Roman" w:cs="Times New Roman"/>
          <w:sz w:val="24"/>
          <w:szCs w:val="24"/>
        </w:rPr>
        <w:t>first</w:t>
      </w:r>
      <w:r w:rsidRPr="00B40167">
        <w:rPr>
          <w:rFonts w:ascii="Times New Roman" w:hAnsi="Times New Roman" w:cs="Times New Roman"/>
          <w:sz w:val="24"/>
          <w:szCs w:val="24"/>
        </w:rPr>
        <w:t xml:space="preserve"> design in future NTEWS cycles</w:t>
      </w:r>
      <w:r w:rsidR="00531F61">
        <w:rPr>
          <w:rFonts w:ascii="Times New Roman" w:hAnsi="Times New Roman" w:cs="Times New Roman"/>
          <w:sz w:val="24"/>
          <w:szCs w:val="24"/>
        </w:rPr>
        <w:t>.</w:t>
      </w:r>
      <w:r w:rsidRPr="00B40167">
        <w:rPr>
          <w:rFonts w:ascii="Times New Roman" w:hAnsi="Times New Roman" w:cs="Times New Roman"/>
          <w:sz w:val="24"/>
          <w:szCs w:val="24"/>
        </w:rPr>
        <w:t xml:space="preserve"> </w:t>
      </w:r>
      <w:r w:rsidR="00F02E75">
        <w:rPr>
          <w:rFonts w:ascii="Times New Roman" w:hAnsi="Times New Roman" w:cs="Times New Roman"/>
          <w:sz w:val="24"/>
          <w:szCs w:val="24"/>
        </w:rPr>
        <w:t>NCSES do</w:t>
      </w:r>
      <w:r w:rsidR="009A0478">
        <w:rPr>
          <w:rFonts w:ascii="Times New Roman" w:hAnsi="Times New Roman" w:cs="Times New Roman"/>
          <w:sz w:val="24"/>
          <w:szCs w:val="24"/>
        </w:rPr>
        <w:t>es</w:t>
      </w:r>
      <w:r w:rsidR="00F02E75">
        <w:rPr>
          <w:rFonts w:ascii="Times New Roman" w:hAnsi="Times New Roman" w:cs="Times New Roman"/>
          <w:sz w:val="24"/>
          <w:szCs w:val="24"/>
        </w:rPr>
        <w:t xml:space="preserve"> not</w:t>
      </w:r>
      <w:r w:rsidR="00CF0B6A">
        <w:rPr>
          <w:rFonts w:ascii="Times New Roman" w:hAnsi="Times New Roman" w:cs="Times New Roman"/>
          <w:sz w:val="24"/>
          <w:szCs w:val="24"/>
        </w:rPr>
        <w:t xml:space="preserve"> </w:t>
      </w:r>
      <w:r w:rsidR="00F02E75">
        <w:rPr>
          <w:rFonts w:ascii="Times New Roman" w:hAnsi="Times New Roman" w:cs="Times New Roman"/>
          <w:sz w:val="24"/>
          <w:szCs w:val="24"/>
        </w:rPr>
        <w:t>anticipate using a paper-first or CATI-first design</w:t>
      </w:r>
      <w:r w:rsidR="00195461">
        <w:rPr>
          <w:rFonts w:ascii="Times New Roman" w:hAnsi="Times New Roman" w:cs="Times New Roman"/>
          <w:sz w:val="24"/>
          <w:szCs w:val="24"/>
        </w:rPr>
        <w:t xml:space="preserve"> for the entire sample</w:t>
      </w:r>
      <w:r w:rsidR="00F02E75">
        <w:rPr>
          <w:rFonts w:ascii="Times New Roman" w:hAnsi="Times New Roman" w:cs="Times New Roman"/>
          <w:sz w:val="24"/>
          <w:szCs w:val="24"/>
        </w:rPr>
        <w:t xml:space="preserve"> in future NTEWS cycles</w:t>
      </w:r>
      <w:r w:rsidR="00195461">
        <w:rPr>
          <w:rFonts w:ascii="Times New Roman" w:hAnsi="Times New Roman" w:cs="Times New Roman"/>
          <w:sz w:val="24"/>
          <w:szCs w:val="24"/>
        </w:rPr>
        <w:t>,</w:t>
      </w:r>
      <w:r w:rsidRPr="00B40167">
        <w:rPr>
          <w:rFonts w:ascii="Times New Roman" w:hAnsi="Times New Roman" w:cs="Times New Roman"/>
          <w:sz w:val="24"/>
          <w:szCs w:val="24"/>
        </w:rPr>
        <w:t xml:space="preserve"> because of the higher costs associated with these response modes as compared to web. </w:t>
      </w:r>
      <w:r w:rsidR="00FA501E">
        <w:rPr>
          <w:rFonts w:ascii="Times New Roman" w:hAnsi="Times New Roman" w:cs="Times New Roman"/>
          <w:sz w:val="24"/>
          <w:szCs w:val="24"/>
        </w:rPr>
        <w:t xml:space="preserve">However, </w:t>
      </w:r>
      <w:r w:rsidR="003B08AE">
        <w:rPr>
          <w:rFonts w:ascii="Times New Roman" w:hAnsi="Times New Roman" w:cs="Times New Roman"/>
          <w:sz w:val="24"/>
          <w:szCs w:val="24"/>
        </w:rPr>
        <w:t>paper-</w:t>
      </w:r>
      <w:r w:rsidR="00532B32">
        <w:rPr>
          <w:rFonts w:ascii="Times New Roman" w:hAnsi="Times New Roman" w:cs="Times New Roman"/>
          <w:sz w:val="24"/>
          <w:szCs w:val="24"/>
        </w:rPr>
        <w:t>first</w:t>
      </w:r>
      <w:r w:rsidR="003B08AE">
        <w:rPr>
          <w:rFonts w:ascii="Times New Roman" w:hAnsi="Times New Roman" w:cs="Times New Roman"/>
          <w:sz w:val="24"/>
          <w:szCs w:val="24"/>
        </w:rPr>
        <w:t xml:space="preserve"> and/or </w:t>
      </w:r>
      <w:r w:rsidR="00CD73F4">
        <w:rPr>
          <w:rFonts w:ascii="Times New Roman" w:hAnsi="Times New Roman" w:cs="Times New Roman"/>
          <w:sz w:val="24"/>
          <w:szCs w:val="24"/>
        </w:rPr>
        <w:t>CATI</w:t>
      </w:r>
      <w:r w:rsidR="003B08AE">
        <w:rPr>
          <w:rFonts w:ascii="Times New Roman" w:hAnsi="Times New Roman" w:cs="Times New Roman"/>
          <w:sz w:val="24"/>
          <w:szCs w:val="24"/>
        </w:rPr>
        <w:t>-</w:t>
      </w:r>
      <w:r w:rsidR="00532B32">
        <w:rPr>
          <w:rFonts w:ascii="Times New Roman" w:hAnsi="Times New Roman" w:cs="Times New Roman"/>
          <w:sz w:val="24"/>
          <w:szCs w:val="24"/>
        </w:rPr>
        <w:t>first</w:t>
      </w:r>
      <w:r w:rsidR="00743536">
        <w:rPr>
          <w:rFonts w:ascii="Times New Roman" w:hAnsi="Times New Roman" w:cs="Times New Roman"/>
          <w:sz w:val="24"/>
          <w:szCs w:val="24"/>
        </w:rPr>
        <w:t xml:space="preserve"> designs</w:t>
      </w:r>
      <w:r w:rsidR="003B08AE">
        <w:rPr>
          <w:rFonts w:ascii="Times New Roman" w:hAnsi="Times New Roman" w:cs="Times New Roman"/>
          <w:sz w:val="24"/>
          <w:szCs w:val="24"/>
        </w:rPr>
        <w:t xml:space="preserve"> </w:t>
      </w:r>
      <w:r w:rsidR="00E35887">
        <w:rPr>
          <w:rFonts w:ascii="Times New Roman" w:hAnsi="Times New Roman" w:cs="Times New Roman"/>
          <w:sz w:val="24"/>
          <w:szCs w:val="24"/>
        </w:rPr>
        <w:t>could</w:t>
      </w:r>
      <w:r w:rsidR="005C2177">
        <w:rPr>
          <w:rFonts w:ascii="Times New Roman" w:hAnsi="Times New Roman" w:cs="Times New Roman"/>
          <w:sz w:val="24"/>
          <w:szCs w:val="24"/>
        </w:rPr>
        <w:t xml:space="preserve"> potentially</w:t>
      </w:r>
      <w:r w:rsidR="00E35887">
        <w:rPr>
          <w:rFonts w:ascii="Times New Roman" w:hAnsi="Times New Roman" w:cs="Times New Roman"/>
          <w:sz w:val="24"/>
          <w:szCs w:val="24"/>
        </w:rPr>
        <w:t xml:space="preserve"> be used for specific subgroups. </w:t>
      </w:r>
      <w:r w:rsidR="001643C2">
        <w:rPr>
          <w:rFonts w:ascii="Times New Roman" w:hAnsi="Times New Roman" w:cs="Times New Roman"/>
          <w:sz w:val="24"/>
          <w:szCs w:val="24"/>
        </w:rPr>
        <w:t>Therefore, t</w:t>
      </w:r>
      <w:r w:rsidR="00532B32">
        <w:rPr>
          <w:rFonts w:ascii="Times New Roman" w:hAnsi="Times New Roman" w:cs="Times New Roman"/>
          <w:sz w:val="24"/>
          <w:szCs w:val="24"/>
        </w:rPr>
        <w:t xml:space="preserve">he inclusion of randomized paper-first and CATI-first </w:t>
      </w:r>
      <w:r w:rsidR="008053F1">
        <w:rPr>
          <w:rFonts w:ascii="Times New Roman" w:hAnsi="Times New Roman" w:cs="Times New Roman"/>
          <w:sz w:val="24"/>
          <w:szCs w:val="24"/>
        </w:rPr>
        <w:t xml:space="preserve">treatments </w:t>
      </w:r>
      <w:r w:rsidR="00972979">
        <w:rPr>
          <w:rFonts w:ascii="Times New Roman" w:hAnsi="Times New Roman" w:cs="Times New Roman"/>
          <w:sz w:val="24"/>
          <w:szCs w:val="24"/>
        </w:rPr>
        <w:t xml:space="preserve">will </w:t>
      </w:r>
      <w:r w:rsidR="00302453">
        <w:rPr>
          <w:rFonts w:ascii="Times New Roman" w:hAnsi="Times New Roman" w:cs="Times New Roman"/>
          <w:sz w:val="24"/>
          <w:szCs w:val="24"/>
        </w:rPr>
        <w:t xml:space="preserve">allow </w:t>
      </w:r>
      <w:r w:rsidR="009A0478">
        <w:rPr>
          <w:rFonts w:ascii="Times New Roman" w:hAnsi="Times New Roman" w:cs="Times New Roman"/>
          <w:sz w:val="24"/>
          <w:szCs w:val="24"/>
        </w:rPr>
        <w:t>for a determination of</w:t>
      </w:r>
      <w:r w:rsidR="000F1972">
        <w:rPr>
          <w:rFonts w:ascii="Times New Roman" w:hAnsi="Times New Roman" w:cs="Times New Roman"/>
          <w:sz w:val="24"/>
          <w:szCs w:val="24"/>
        </w:rPr>
        <w:t xml:space="preserve"> whether </w:t>
      </w:r>
      <w:r w:rsidR="00625E09">
        <w:rPr>
          <w:rFonts w:ascii="Times New Roman" w:hAnsi="Times New Roman" w:cs="Times New Roman"/>
          <w:sz w:val="24"/>
          <w:szCs w:val="24"/>
        </w:rPr>
        <w:t xml:space="preserve">a tailored </w:t>
      </w:r>
      <w:r w:rsidR="00C50FDE">
        <w:rPr>
          <w:rFonts w:ascii="Times New Roman" w:hAnsi="Times New Roman" w:cs="Times New Roman"/>
          <w:sz w:val="24"/>
          <w:szCs w:val="24"/>
        </w:rPr>
        <w:t xml:space="preserve">mode design—in which paper and/or telephone contact begins earlier for subgroups that are particularly unlikely to respond by web—should be adopted </w:t>
      </w:r>
      <w:r w:rsidR="00457BAD">
        <w:rPr>
          <w:rFonts w:ascii="Times New Roman" w:hAnsi="Times New Roman" w:cs="Times New Roman"/>
          <w:sz w:val="24"/>
          <w:szCs w:val="24"/>
        </w:rPr>
        <w:t xml:space="preserve">in future cycles </w:t>
      </w:r>
      <w:r w:rsidR="00C50FDE">
        <w:rPr>
          <w:rFonts w:ascii="Times New Roman" w:hAnsi="Times New Roman" w:cs="Times New Roman"/>
          <w:sz w:val="24"/>
          <w:szCs w:val="24"/>
        </w:rPr>
        <w:t>to minimize nonresponse bias</w:t>
      </w:r>
      <w:r w:rsidR="00E11B4F">
        <w:rPr>
          <w:rFonts w:ascii="Times New Roman" w:hAnsi="Times New Roman" w:cs="Times New Roman"/>
          <w:sz w:val="24"/>
          <w:szCs w:val="24"/>
        </w:rPr>
        <w:t xml:space="preserve"> and/or reduce </w:t>
      </w:r>
      <w:r w:rsidR="00BD444E">
        <w:rPr>
          <w:rFonts w:ascii="Times New Roman" w:hAnsi="Times New Roman" w:cs="Times New Roman"/>
          <w:sz w:val="24"/>
          <w:szCs w:val="24"/>
        </w:rPr>
        <w:t xml:space="preserve">nonresponse </w:t>
      </w:r>
      <w:r w:rsidR="00E11B4F">
        <w:rPr>
          <w:rFonts w:ascii="Times New Roman" w:hAnsi="Times New Roman" w:cs="Times New Roman"/>
          <w:sz w:val="24"/>
          <w:szCs w:val="24"/>
        </w:rPr>
        <w:t>follow-up costs</w:t>
      </w:r>
      <w:r w:rsidR="009772B7">
        <w:rPr>
          <w:rFonts w:ascii="Times New Roman" w:hAnsi="Times New Roman" w:cs="Times New Roman"/>
          <w:sz w:val="24"/>
          <w:szCs w:val="24"/>
        </w:rPr>
        <w:t>.</w:t>
      </w:r>
      <w:r w:rsidR="00532B32">
        <w:rPr>
          <w:rFonts w:ascii="Times New Roman" w:hAnsi="Times New Roman" w:cs="Times New Roman"/>
          <w:sz w:val="24"/>
          <w:szCs w:val="24"/>
        </w:rPr>
        <w:t xml:space="preserve"> </w:t>
      </w:r>
      <w:r w:rsidR="009E0B0A">
        <w:rPr>
          <w:rFonts w:ascii="Times New Roman" w:hAnsi="Times New Roman" w:cs="Times New Roman"/>
          <w:sz w:val="24"/>
          <w:szCs w:val="24"/>
        </w:rPr>
        <w:t>Separately, t</w:t>
      </w:r>
      <w:r w:rsidRPr="00B40167">
        <w:rPr>
          <w:rFonts w:ascii="Times New Roman" w:hAnsi="Times New Roman" w:cs="Times New Roman"/>
          <w:sz w:val="24"/>
          <w:szCs w:val="24"/>
        </w:rPr>
        <w:t xml:space="preserve">hese treatments </w:t>
      </w:r>
      <w:r w:rsidR="00636D82">
        <w:rPr>
          <w:rFonts w:ascii="Times New Roman" w:hAnsi="Times New Roman" w:cs="Times New Roman"/>
          <w:sz w:val="24"/>
          <w:szCs w:val="24"/>
        </w:rPr>
        <w:t xml:space="preserve">will </w:t>
      </w:r>
      <w:r w:rsidRPr="00B40167">
        <w:rPr>
          <w:rFonts w:ascii="Times New Roman" w:hAnsi="Times New Roman" w:cs="Times New Roman"/>
          <w:sz w:val="24"/>
          <w:szCs w:val="24"/>
        </w:rPr>
        <w:t xml:space="preserve">also provide response data that can be used to assess the extent of mode effects in </w:t>
      </w:r>
      <w:r w:rsidR="009A0478">
        <w:rPr>
          <w:rFonts w:ascii="Times New Roman" w:hAnsi="Times New Roman" w:cs="Times New Roman"/>
          <w:sz w:val="24"/>
          <w:szCs w:val="24"/>
        </w:rPr>
        <w:t xml:space="preserve">key </w:t>
      </w:r>
      <w:r w:rsidRPr="00B40167">
        <w:rPr>
          <w:rFonts w:ascii="Times New Roman" w:hAnsi="Times New Roman" w:cs="Times New Roman"/>
          <w:sz w:val="24"/>
          <w:szCs w:val="24"/>
        </w:rPr>
        <w:t>NTEWS estimates</w:t>
      </w:r>
      <w:r w:rsidR="009A0E2C">
        <w:rPr>
          <w:rFonts w:ascii="Times New Roman" w:hAnsi="Times New Roman" w:cs="Times New Roman"/>
          <w:sz w:val="24"/>
          <w:szCs w:val="24"/>
        </w:rPr>
        <w:t xml:space="preserve">—in other words, </w:t>
      </w:r>
      <w:r w:rsidR="002062E2">
        <w:rPr>
          <w:rFonts w:ascii="Times New Roman" w:hAnsi="Times New Roman" w:cs="Times New Roman"/>
          <w:sz w:val="24"/>
          <w:szCs w:val="24"/>
        </w:rPr>
        <w:t xml:space="preserve">to assess </w:t>
      </w:r>
      <w:r w:rsidR="009A0E2C">
        <w:rPr>
          <w:rFonts w:ascii="Times New Roman" w:hAnsi="Times New Roman" w:cs="Times New Roman"/>
          <w:sz w:val="24"/>
          <w:szCs w:val="24"/>
        </w:rPr>
        <w:t>whether responses to key items vary depending on the mode in which a person responds</w:t>
      </w:r>
      <w:r w:rsidRPr="00B40167">
        <w:rPr>
          <w:rFonts w:ascii="Times New Roman" w:hAnsi="Times New Roman" w:cs="Times New Roman"/>
          <w:sz w:val="24"/>
          <w:szCs w:val="24"/>
        </w:rPr>
        <w:t xml:space="preserve">. </w:t>
      </w:r>
    </w:p>
    <w:p w:rsidR="00C54AB3" w:rsidP="00C54AB3" w:rsidRDefault="00C54AB3" w14:paraId="737CF9D5" w14:textId="058CADD5">
      <w:pPr>
        <w:rPr>
          <w:rFonts w:ascii="Times New Roman" w:hAnsi="Times New Roman" w:cs="Times New Roman"/>
          <w:sz w:val="24"/>
          <w:szCs w:val="24"/>
        </w:rPr>
      </w:pPr>
    </w:p>
    <w:p w:rsidR="00CF0544" w:rsidP="00C54AB3" w:rsidRDefault="00CF0544" w14:paraId="00F566C6" w14:textId="61747BB7">
      <w:pPr>
        <w:rPr>
          <w:rFonts w:ascii="Times New Roman" w:hAnsi="Times New Roman" w:cs="Times New Roman"/>
          <w:sz w:val="24"/>
          <w:szCs w:val="24"/>
        </w:rPr>
      </w:pPr>
    </w:p>
    <w:tbl>
      <w:tblPr>
        <w:tblW w:w="11473" w:type="dxa"/>
        <w:jc w:val="center"/>
        <w:tblLook w:val="04A0" w:firstRow="1" w:lastRow="0" w:firstColumn="1" w:lastColumn="0" w:noHBand="0" w:noVBand="1"/>
      </w:tblPr>
      <w:tblGrid>
        <w:gridCol w:w="1573"/>
        <w:gridCol w:w="2477"/>
        <w:gridCol w:w="1350"/>
        <w:gridCol w:w="1456"/>
        <w:gridCol w:w="4617"/>
      </w:tblGrid>
      <w:tr w:rsidRPr="00CB2608" w:rsidR="00BB09AE" w:rsidTr="00394F70" w14:paraId="5C6C61B6" w14:textId="77777777">
        <w:trPr>
          <w:trHeight w:val="315"/>
          <w:jc w:val="center"/>
        </w:trPr>
        <w:tc>
          <w:tcPr>
            <w:tcW w:w="11473" w:type="dxa"/>
            <w:gridSpan w:val="5"/>
            <w:tcBorders>
              <w:top w:val="nil"/>
              <w:left w:val="nil"/>
              <w:bottom w:val="nil"/>
              <w:right w:val="nil"/>
            </w:tcBorders>
            <w:shd w:val="clear" w:color="auto" w:fill="auto"/>
            <w:noWrap/>
            <w:vAlign w:val="bottom"/>
            <w:hideMark/>
          </w:tcPr>
          <w:p w:rsidRPr="00CB2608" w:rsidR="00BB09AE" w:rsidP="004A5C4F" w:rsidRDefault="00BB09AE" w14:paraId="6211B57D" w14:textId="6024D355">
            <w:pPr>
              <w:spacing w:after="0" w:line="240" w:lineRule="auto"/>
              <w:rPr>
                <w:rFonts w:ascii="Times New Roman" w:hAnsi="Times New Roman" w:eastAsia="Times New Roman" w:cs="Times New Roman"/>
                <w:color w:val="000000"/>
              </w:rPr>
            </w:pPr>
            <w:r w:rsidRPr="009A39D8">
              <w:rPr>
                <w:rFonts w:ascii="Times New Roman" w:hAnsi="Times New Roman" w:eastAsia="Times New Roman" w:cs="Times New Roman"/>
                <w:color w:val="000000"/>
              </w:rPr>
              <w:lastRenderedPageBreak/>
              <w:t xml:space="preserve">Table </w:t>
            </w:r>
            <w:r w:rsidRPr="009A39D8" w:rsidR="00E45B4A">
              <w:rPr>
                <w:rFonts w:ascii="Times New Roman" w:hAnsi="Times New Roman" w:eastAsia="Times New Roman" w:cs="Times New Roman"/>
                <w:color w:val="000000"/>
              </w:rPr>
              <w:t>C</w:t>
            </w:r>
            <w:r w:rsidRPr="009A39D8">
              <w:rPr>
                <w:rFonts w:ascii="Times New Roman" w:hAnsi="Times New Roman" w:eastAsia="Times New Roman" w:cs="Times New Roman"/>
                <w:color w:val="000000"/>
              </w:rPr>
              <w:t>.</w:t>
            </w:r>
            <w:r w:rsidRPr="009A39D8" w:rsidR="00672F6D">
              <w:rPr>
                <w:rFonts w:ascii="Times New Roman" w:hAnsi="Times New Roman" w:eastAsia="Times New Roman" w:cs="Times New Roman"/>
                <w:color w:val="000000"/>
              </w:rPr>
              <w:t>1</w:t>
            </w:r>
            <w:r w:rsidRPr="009A39D8">
              <w:rPr>
                <w:rFonts w:ascii="Times New Roman" w:hAnsi="Times New Roman" w:eastAsia="Times New Roman" w:cs="Times New Roman"/>
                <w:color w:val="000000"/>
              </w:rPr>
              <w:t>.</w:t>
            </w:r>
            <w:r>
              <w:rPr>
                <w:rFonts w:ascii="Times New Roman" w:hAnsi="Times New Roman" w:eastAsia="Times New Roman" w:cs="Times New Roman"/>
                <w:color w:val="000000"/>
              </w:rPr>
              <w:t xml:space="preserve">  </w:t>
            </w:r>
            <w:r w:rsidRPr="00CB2608">
              <w:rPr>
                <w:rFonts w:ascii="Times New Roman" w:hAnsi="Times New Roman" w:eastAsia="Times New Roman" w:cs="Times New Roman"/>
                <w:color w:val="000000"/>
              </w:rPr>
              <w:t>Overview of contact</w:t>
            </w:r>
            <w:r>
              <w:rPr>
                <w:rFonts w:ascii="Times New Roman" w:hAnsi="Times New Roman" w:eastAsia="Times New Roman" w:cs="Times New Roman"/>
                <w:color w:val="000000"/>
              </w:rPr>
              <w:t>-</w:t>
            </w:r>
            <w:r w:rsidRPr="00CB2608">
              <w:rPr>
                <w:rFonts w:ascii="Times New Roman" w:hAnsi="Times New Roman" w:eastAsia="Times New Roman" w:cs="Times New Roman"/>
                <w:color w:val="000000"/>
              </w:rPr>
              <w:t>strategy treatment groups</w:t>
            </w:r>
          </w:p>
        </w:tc>
      </w:tr>
      <w:tr w:rsidRPr="00CB2608" w:rsidR="00CB2608" w:rsidTr="00AF7F45" w14:paraId="17224C21" w14:textId="77777777">
        <w:trPr>
          <w:trHeight w:val="825"/>
          <w:jc w:val="center"/>
        </w:trPr>
        <w:tc>
          <w:tcPr>
            <w:tcW w:w="1573" w:type="dxa"/>
            <w:tcBorders>
              <w:top w:val="single" w:color="auto" w:sz="12" w:space="0"/>
              <w:left w:val="nil"/>
              <w:bottom w:val="single" w:color="auto" w:sz="12" w:space="0"/>
              <w:right w:val="nil"/>
            </w:tcBorders>
            <w:shd w:val="clear" w:color="auto" w:fill="auto"/>
            <w:vAlign w:val="bottom"/>
            <w:hideMark/>
          </w:tcPr>
          <w:p w:rsidRPr="00CB2608" w:rsidR="00CB2608" w:rsidP="004A5C4F" w:rsidRDefault="008558BC" w14:paraId="44ED7323" w14:textId="790E34FB">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 xml:space="preserve">Treatment </w:t>
            </w:r>
            <w:r w:rsidR="00AF7F45">
              <w:rPr>
                <w:rFonts w:ascii="Times New Roman" w:hAnsi="Times New Roman" w:eastAsia="Times New Roman" w:cs="Times New Roman"/>
                <w:b/>
                <w:bCs/>
                <w:color w:val="000000"/>
              </w:rPr>
              <w:t>g</w:t>
            </w:r>
            <w:r>
              <w:rPr>
                <w:rFonts w:ascii="Times New Roman" w:hAnsi="Times New Roman" w:eastAsia="Times New Roman" w:cs="Times New Roman"/>
                <w:b/>
                <w:bCs/>
                <w:color w:val="000000"/>
              </w:rPr>
              <w:t>roup</w:t>
            </w:r>
          </w:p>
        </w:tc>
        <w:tc>
          <w:tcPr>
            <w:tcW w:w="2477" w:type="dxa"/>
            <w:tcBorders>
              <w:top w:val="single" w:color="auto" w:sz="12" w:space="0"/>
              <w:left w:val="nil"/>
              <w:bottom w:val="single" w:color="auto" w:sz="12" w:space="0"/>
              <w:right w:val="nil"/>
            </w:tcBorders>
            <w:shd w:val="clear" w:color="auto" w:fill="auto"/>
            <w:vAlign w:val="bottom"/>
            <w:hideMark/>
          </w:tcPr>
          <w:p w:rsidRPr="00CB2608" w:rsidR="00CB2608" w:rsidP="004A5C4F" w:rsidRDefault="00CB2608" w14:paraId="6466CE65" w14:textId="77777777">
            <w:pPr>
              <w:spacing w:after="0" w:line="240" w:lineRule="auto"/>
              <w:rPr>
                <w:rFonts w:ascii="Times New Roman" w:hAnsi="Times New Roman" w:eastAsia="Times New Roman" w:cs="Times New Roman"/>
                <w:b/>
                <w:bCs/>
                <w:color w:val="000000"/>
              </w:rPr>
            </w:pPr>
            <w:r w:rsidRPr="00CB2608">
              <w:rPr>
                <w:rFonts w:ascii="Times New Roman" w:hAnsi="Times New Roman" w:eastAsia="Times New Roman" w:cs="Times New Roman"/>
                <w:b/>
                <w:bCs/>
                <w:color w:val="000000"/>
              </w:rPr>
              <w:t>Description</w:t>
            </w:r>
          </w:p>
        </w:tc>
        <w:tc>
          <w:tcPr>
            <w:tcW w:w="1350" w:type="dxa"/>
            <w:tcBorders>
              <w:top w:val="single" w:color="auto" w:sz="12" w:space="0"/>
              <w:left w:val="nil"/>
              <w:bottom w:val="single" w:color="auto" w:sz="12" w:space="0"/>
              <w:right w:val="nil"/>
            </w:tcBorders>
            <w:shd w:val="clear" w:color="auto" w:fill="auto"/>
            <w:vAlign w:val="bottom"/>
            <w:hideMark/>
          </w:tcPr>
          <w:p w:rsidRPr="00CB2608" w:rsidR="00CB2608" w:rsidP="004A5C4F" w:rsidRDefault="00D75C38" w14:paraId="5708D9DF" w14:textId="19FA50B6">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Expected s</w:t>
            </w:r>
            <w:r w:rsidRPr="00CB2608" w:rsidR="00CB2608">
              <w:rPr>
                <w:rFonts w:ascii="Times New Roman" w:hAnsi="Times New Roman" w:eastAsia="Times New Roman" w:cs="Times New Roman"/>
                <w:b/>
                <w:bCs/>
                <w:color w:val="000000"/>
              </w:rPr>
              <w:t>ample size</w:t>
            </w:r>
          </w:p>
        </w:tc>
        <w:tc>
          <w:tcPr>
            <w:tcW w:w="1456" w:type="dxa"/>
            <w:tcBorders>
              <w:top w:val="single" w:color="auto" w:sz="12" w:space="0"/>
              <w:left w:val="nil"/>
              <w:bottom w:val="single" w:color="auto" w:sz="12" w:space="0"/>
              <w:right w:val="nil"/>
            </w:tcBorders>
            <w:shd w:val="clear" w:color="auto" w:fill="auto"/>
            <w:vAlign w:val="bottom"/>
            <w:hideMark/>
          </w:tcPr>
          <w:p w:rsidRPr="00CB2608" w:rsidR="00CB2608" w:rsidP="004A5C4F" w:rsidRDefault="00CB2608" w14:paraId="099B3068" w14:textId="77777777">
            <w:pPr>
              <w:spacing w:after="0" w:line="240" w:lineRule="auto"/>
              <w:rPr>
                <w:rFonts w:ascii="Times New Roman" w:hAnsi="Times New Roman" w:eastAsia="Times New Roman" w:cs="Times New Roman"/>
                <w:b/>
                <w:bCs/>
                <w:color w:val="000000"/>
              </w:rPr>
            </w:pPr>
            <w:r w:rsidRPr="00CB2608">
              <w:rPr>
                <w:rFonts w:ascii="Times New Roman" w:hAnsi="Times New Roman" w:eastAsia="Times New Roman" w:cs="Times New Roman"/>
                <w:b/>
                <w:bCs/>
                <w:color w:val="000000"/>
              </w:rPr>
              <w:t>First offered response mode</w:t>
            </w:r>
          </w:p>
        </w:tc>
        <w:tc>
          <w:tcPr>
            <w:tcW w:w="4617" w:type="dxa"/>
            <w:tcBorders>
              <w:top w:val="single" w:color="auto" w:sz="12" w:space="0"/>
              <w:left w:val="nil"/>
              <w:bottom w:val="single" w:color="auto" w:sz="12" w:space="0"/>
              <w:right w:val="nil"/>
            </w:tcBorders>
            <w:shd w:val="clear" w:color="auto" w:fill="auto"/>
            <w:vAlign w:val="bottom"/>
            <w:hideMark/>
          </w:tcPr>
          <w:p w:rsidRPr="00CB2608" w:rsidR="00CB2608" w:rsidP="004A5C4F" w:rsidRDefault="006505E6" w14:paraId="219CCAF1" w14:textId="311376AC">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Experiment goals</w:t>
            </w:r>
          </w:p>
        </w:tc>
      </w:tr>
      <w:tr w:rsidRPr="00CB2608" w:rsidR="00CB2608" w:rsidTr="00AF7F45" w14:paraId="5E6A27BF" w14:textId="77777777">
        <w:trPr>
          <w:trHeight w:val="978"/>
          <w:jc w:val="center"/>
        </w:trPr>
        <w:tc>
          <w:tcPr>
            <w:tcW w:w="1573" w:type="dxa"/>
            <w:tcBorders>
              <w:top w:val="single" w:color="auto" w:sz="12" w:space="0"/>
              <w:left w:val="nil"/>
              <w:bottom w:val="dashSmallGap" w:color="auto" w:sz="4" w:space="0"/>
              <w:right w:val="nil"/>
            </w:tcBorders>
            <w:shd w:val="clear" w:color="auto" w:fill="auto"/>
            <w:hideMark/>
          </w:tcPr>
          <w:p w:rsidRPr="00C12590" w:rsidR="00CB2608" w:rsidP="004A5C4F" w:rsidRDefault="00CB2608" w14:paraId="19CF59E5" w14:textId="77777777">
            <w:pPr>
              <w:spacing w:after="0" w:line="240" w:lineRule="auto"/>
              <w:rPr>
                <w:rFonts w:ascii="Times New Roman" w:hAnsi="Times New Roman" w:eastAsia="Times New Roman" w:cs="Times New Roman"/>
                <w:i/>
                <w:color w:val="000000"/>
              </w:rPr>
            </w:pPr>
            <w:r w:rsidRPr="00C12590">
              <w:rPr>
                <w:rFonts w:ascii="Times New Roman" w:hAnsi="Times New Roman" w:eastAsia="Times New Roman" w:cs="Times New Roman"/>
                <w:i/>
                <w:color w:val="000000"/>
              </w:rPr>
              <w:t>NSCG</w:t>
            </w:r>
          </w:p>
        </w:tc>
        <w:tc>
          <w:tcPr>
            <w:tcW w:w="2477" w:type="dxa"/>
            <w:tcBorders>
              <w:top w:val="single" w:color="auto" w:sz="12" w:space="0"/>
              <w:left w:val="nil"/>
              <w:bottom w:val="dashSmallGap" w:color="auto" w:sz="4" w:space="0"/>
              <w:right w:val="nil"/>
            </w:tcBorders>
            <w:shd w:val="clear" w:color="auto" w:fill="auto"/>
            <w:hideMark/>
          </w:tcPr>
          <w:p w:rsidRPr="00CB2608" w:rsidR="00CB2608" w:rsidP="004A5C4F" w:rsidRDefault="00CB2608" w14:paraId="42B859BE" w14:textId="799C4D89">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 xml:space="preserve">Sequential mixed-mode, </w:t>
            </w:r>
            <w:r w:rsidR="00AF7F45">
              <w:rPr>
                <w:rFonts w:ascii="Times New Roman" w:hAnsi="Times New Roman" w:eastAsia="Times New Roman" w:cs="Times New Roman"/>
                <w:color w:val="000000"/>
              </w:rPr>
              <w:t>alternates</w:t>
            </w:r>
            <w:r w:rsidRPr="00CB2608" w:rsidR="00AF7F45">
              <w:rPr>
                <w:rFonts w:ascii="Times New Roman" w:hAnsi="Times New Roman" w:eastAsia="Times New Roman" w:cs="Times New Roman"/>
                <w:color w:val="000000"/>
              </w:rPr>
              <w:t xml:space="preserve"> </w:t>
            </w:r>
            <w:r w:rsidRPr="00CB2608">
              <w:rPr>
                <w:rFonts w:ascii="Times New Roman" w:hAnsi="Times New Roman" w:eastAsia="Times New Roman" w:cs="Times New Roman"/>
                <w:color w:val="000000"/>
              </w:rPr>
              <w:t>between web</w:t>
            </w:r>
            <w:r w:rsidR="00AF7F45">
              <w:rPr>
                <w:rFonts w:ascii="Times New Roman" w:hAnsi="Times New Roman" w:eastAsia="Times New Roman" w:cs="Times New Roman"/>
                <w:color w:val="000000"/>
              </w:rPr>
              <w:t>-only</w:t>
            </w:r>
            <w:r w:rsidRPr="00CB2608">
              <w:rPr>
                <w:rFonts w:ascii="Times New Roman" w:hAnsi="Times New Roman" w:eastAsia="Times New Roman" w:cs="Times New Roman"/>
                <w:color w:val="000000"/>
              </w:rPr>
              <w:t xml:space="preserve"> and </w:t>
            </w:r>
            <w:r w:rsidR="0083082E">
              <w:rPr>
                <w:rFonts w:ascii="Times New Roman" w:hAnsi="Times New Roman" w:eastAsia="Times New Roman" w:cs="Times New Roman"/>
                <w:color w:val="000000"/>
              </w:rPr>
              <w:t>web-</w:t>
            </w:r>
            <w:r w:rsidRPr="00CB2608">
              <w:rPr>
                <w:rFonts w:ascii="Times New Roman" w:hAnsi="Times New Roman" w:eastAsia="Times New Roman" w:cs="Times New Roman"/>
                <w:color w:val="000000"/>
              </w:rPr>
              <w:t>paper</w:t>
            </w:r>
            <w:r w:rsidR="0083082E">
              <w:rPr>
                <w:rFonts w:ascii="Times New Roman" w:hAnsi="Times New Roman" w:eastAsia="Times New Roman" w:cs="Times New Roman"/>
                <w:color w:val="000000"/>
              </w:rPr>
              <w:t xml:space="preserve"> choice</w:t>
            </w:r>
          </w:p>
        </w:tc>
        <w:tc>
          <w:tcPr>
            <w:tcW w:w="1350" w:type="dxa"/>
            <w:tcBorders>
              <w:top w:val="single" w:color="auto" w:sz="12" w:space="0"/>
              <w:left w:val="nil"/>
              <w:bottom w:val="dashSmallGap" w:color="auto" w:sz="4" w:space="0"/>
              <w:right w:val="nil"/>
            </w:tcBorders>
            <w:shd w:val="clear" w:color="auto" w:fill="auto"/>
            <w:hideMark/>
          </w:tcPr>
          <w:p w:rsidRPr="009C1189" w:rsidR="00CB2608" w:rsidP="004A5C4F" w:rsidRDefault="000B55B0" w14:paraId="3557A6AA" w14:textId="55E5262E">
            <w:pPr>
              <w:spacing w:after="0" w:line="240" w:lineRule="auto"/>
              <w:rPr>
                <w:rFonts w:ascii="Times New Roman" w:hAnsi="Times New Roman" w:eastAsia="Times New Roman" w:cs="Times New Roman"/>
                <w:color w:val="000000"/>
                <w:highlight w:val="yellow"/>
              </w:rPr>
            </w:pPr>
            <w:r w:rsidRPr="000B55B0">
              <w:rPr>
                <w:rFonts w:ascii="Times New Roman" w:hAnsi="Times New Roman" w:eastAsia="Times New Roman" w:cs="Times New Roman"/>
                <w:color w:val="000000"/>
              </w:rPr>
              <w:t>9,</w:t>
            </w:r>
            <w:r w:rsidR="009F76D4">
              <w:rPr>
                <w:rFonts w:ascii="Times New Roman" w:hAnsi="Times New Roman" w:eastAsia="Times New Roman" w:cs="Times New Roman"/>
                <w:color w:val="000000"/>
              </w:rPr>
              <w:t>720</w:t>
            </w:r>
          </w:p>
        </w:tc>
        <w:tc>
          <w:tcPr>
            <w:tcW w:w="1456" w:type="dxa"/>
            <w:tcBorders>
              <w:top w:val="single" w:color="auto" w:sz="12" w:space="0"/>
              <w:left w:val="nil"/>
              <w:bottom w:val="dashSmallGap" w:color="auto" w:sz="4" w:space="0"/>
              <w:right w:val="nil"/>
            </w:tcBorders>
            <w:shd w:val="clear" w:color="auto" w:fill="auto"/>
            <w:hideMark/>
          </w:tcPr>
          <w:p w:rsidRPr="00CB2608" w:rsidR="00CB2608" w:rsidP="004A5C4F" w:rsidRDefault="00CB2608" w14:paraId="7EA19D06" w14:textId="77777777">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Web</w:t>
            </w:r>
          </w:p>
        </w:tc>
        <w:tc>
          <w:tcPr>
            <w:tcW w:w="4617" w:type="dxa"/>
            <w:tcBorders>
              <w:top w:val="single" w:color="auto" w:sz="12" w:space="0"/>
              <w:left w:val="nil"/>
              <w:bottom w:val="dashSmallGap" w:color="auto" w:sz="4" w:space="0"/>
              <w:right w:val="nil"/>
            </w:tcBorders>
            <w:shd w:val="clear" w:color="auto" w:fill="auto"/>
            <w:hideMark/>
          </w:tcPr>
          <w:p w:rsidRPr="00CB2608" w:rsidR="00CB2608" w:rsidP="004A5C4F" w:rsidRDefault="00CB2608" w14:paraId="1911E425" w14:textId="1B289068">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 xml:space="preserve">Evaluate success of NSCG-style </w:t>
            </w:r>
            <w:r w:rsidR="00AF7F45">
              <w:rPr>
                <w:rFonts w:ascii="Times New Roman" w:hAnsi="Times New Roman" w:eastAsia="Times New Roman" w:cs="Times New Roman"/>
                <w:color w:val="000000"/>
              </w:rPr>
              <w:t>contact sequence</w:t>
            </w:r>
            <w:r w:rsidRPr="00CB2608" w:rsidR="00AF7F45">
              <w:rPr>
                <w:rFonts w:ascii="Times New Roman" w:hAnsi="Times New Roman" w:eastAsia="Times New Roman" w:cs="Times New Roman"/>
                <w:color w:val="000000"/>
              </w:rPr>
              <w:t xml:space="preserve"> </w:t>
            </w:r>
            <w:r w:rsidR="00542206">
              <w:rPr>
                <w:rFonts w:ascii="Times New Roman" w:hAnsi="Times New Roman" w:eastAsia="Times New Roman" w:cs="Times New Roman"/>
                <w:color w:val="000000"/>
              </w:rPr>
              <w:t>with</w:t>
            </w:r>
            <w:r w:rsidRPr="00CB2608">
              <w:rPr>
                <w:rFonts w:ascii="Times New Roman" w:hAnsi="Times New Roman" w:eastAsia="Times New Roman" w:cs="Times New Roman"/>
                <w:color w:val="000000"/>
              </w:rPr>
              <w:t xml:space="preserve"> the NTEWS target population.</w:t>
            </w:r>
            <w:r w:rsidRPr="00CB2608">
              <w:rPr>
                <w:rFonts w:ascii="Times New Roman" w:hAnsi="Times New Roman" w:eastAsia="Times New Roman" w:cs="Times New Roman"/>
                <w:color w:val="000000"/>
              </w:rPr>
              <w:br/>
            </w:r>
            <w:r w:rsidRPr="00CB2608">
              <w:rPr>
                <w:rFonts w:ascii="Times New Roman" w:hAnsi="Times New Roman" w:eastAsia="Times New Roman" w:cs="Times New Roman"/>
                <w:color w:val="000000"/>
              </w:rPr>
              <w:br/>
              <w:t>Serve as control group.</w:t>
            </w:r>
          </w:p>
        </w:tc>
      </w:tr>
      <w:tr w:rsidRPr="00CB2608" w:rsidR="00CB2608" w:rsidTr="00AF7F45" w14:paraId="542D7C22" w14:textId="77777777">
        <w:trPr>
          <w:trHeight w:val="2168"/>
          <w:jc w:val="center"/>
        </w:trPr>
        <w:tc>
          <w:tcPr>
            <w:tcW w:w="1573" w:type="dxa"/>
            <w:tcBorders>
              <w:top w:val="dashSmallGap" w:color="auto" w:sz="4" w:space="0"/>
              <w:left w:val="nil"/>
              <w:bottom w:val="dashSmallGap" w:color="auto" w:sz="4" w:space="0"/>
              <w:right w:val="nil"/>
            </w:tcBorders>
            <w:shd w:val="clear" w:color="auto" w:fill="auto"/>
            <w:hideMark/>
          </w:tcPr>
          <w:p w:rsidRPr="00C12590" w:rsidR="00CB2608" w:rsidP="004A5C4F" w:rsidRDefault="00CB2608" w14:paraId="2983AF18" w14:textId="77777777">
            <w:pPr>
              <w:spacing w:after="0" w:line="240" w:lineRule="auto"/>
              <w:rPr>
                <w:rFonts w:ascii="Times New Roman" w:hAnsi="Times New Roman" w:eastAsia="Times New Roman" w:cs="Times New Roman"/>
                <w:i/>
                <w:color w:val="000000"/>
              </w:rPr>
            </w:pPr>
            <w:r w:rsidRPr="00C12590">
              <w:rPr>
                <w:rFonts w:ascii="Times New Roman" w:hAnsi="Times New Roman" w:eastAsia="Times New Roman" w:cs="Times New Roman"/>
                <w:i/>
                <w:color w:val="000000"/>
              </w:rPr>
              <w:t>NHES</w:t>
            </w:r>
          </w:p>
        </w:tc>
        <w:tc>
          <w:tcPr>
            <w:tcW w:w="2477" w:type="dxa"/>
            <w:tcBorders>
              <w:top w:val="dashSmallGap" w:color="auto" w:sz="4" w:space="0"/>
              <w:left w:val="nil"/>
              <w:bottom w:val="dashSmallGap" w:color="auto" w:sz="4" w:space="0"/>
              <w:right w:val="nil"/>
            </w:tcBorders>
            <w:shd w:val="clear" w:color="auto" w:fill="auto"/>
            <w:hideMark/>
          </w:tcPr>
          <w:p w:rsidRPr="00CB2608" w:rsidR="00CB2608" w:rsidP="004A5C4F" w:rsidRDefault="00CB2608" w14:paraId="3BE0E3FE" w14:textId="6BFB7121">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 xml:space="preserve">Sequential mixed-mode, </w:t>
            </w:r>
            <w:r w:rsidR="00DD6CCC">
              <w:rPr>
                <w:rFonts w:ascii="Times New Roman" w:hAnsi="Times New Roman" w:eastAsia="Times New Roman" w:cs="Times New Roman"/>
                <w:color w:val="000000"/>
              </w:rPr>
              <w:t>web followed by</w:t>
            </w:r>
            <w:r w:rsidRPr="00CB2608" w:rsidR="00DD6CCC">
              <w:rPr>
                <w:rFonts w:ascii="Times New Roman" w:hAnsi="Times New Roman" w:eastAsia="Times New Roman" w:cs="Times New Roman"/>
                <w:color w:val="000000"/>
              </w:rPr>
              <w:t xml:space="preserve"> </w:t>
            </w:r>
            <w:r w:rsidRPr="00CB2608">
              <w:rPr>
                <w:rFonts w:ascii="Times New Roman" w:hAnsi="Times New Roman" w:eastAsia="Times New Roman" w:cs="Times New Roman"/>
                <w:color w:val="000000"/>
              </w:rPr>
              <w:t>paper</w:t>
            </w:r>
          </w:p>
        </w:tc>
        <w:tc>
          <w:tcPr>
            <w:tcW w:w="1350" w:type="dxa"/>
            <w:tcBorders>
              <w:top w:val="dashSmallGap" w:color="auto" w:sz="4" w:space="0"/>
              <w:left w:val="nil"/>
              <w:bottom w:val="dashSmallGap" w:color="auto" w:sz="4" w:space="0"/>
              <w:right w:val="nil"/>
            </w:tcBorders>
            <w:shd w:val="clear" w:color="auto" w:fill="auto"/>
            <w:hideMark/>
          </w:tcPr>
          <w:p w:rsidRPr="000B55B0" w:rsidR="00CB2608" w:rsidP="004A5C4F" w:rsidRDefault="000B55B0" w14:paraId="3D974A8F" w14:textId="52F68D99">
            <w:pPr>
              <w:spacing w:after="0" w:line="240" w:lineRule="auto"/>
              <w:rPr>
                <w:rFonts w:ascii="Times New Roman" w:hAnsi="Times New Roman" w:eastAsia="Times New Roman" w:cs="Times New Roman"/>
                <w:color w:val="000000"/>
              </w:rPr>
            </w:pPr>
            <w:r w:rsidRPr="000B55B0">
              <w:rPr>
                <w:rFonts w:ascii="Times New Roman" w:hAnsi="Times New Roman" w:eastAsia="Times New Roman" w:cs="Times New Roman"/>
                <w:color w:val="000000"/>
              </w:rPr>
              <w:t>9,</w:t>
            </w:r>
            <w:r w:rsidR="009F76D4">
              <w:rPr>
                <w:rFonts w:ascii="Times New Roman" w:hAnsi="Times New Roman" w:eastAsia="Times New Roman" w:cs="Times New Roman"/>
                <w:color w:val="000000"/>
              </w:rPr>
              <w:t>720</w:t>
            </w:r>
          </w:p>
        </w:tc>
        <w:tc>
          <w:tcPr>
            <w:tcW w:w="1456" w:type="dxa"/>
            <w:tcBorders>
              <w:top w:val="dashSmallGap" w:color="auto" w:sz="4" w:space="0"/>
              <w:left w:val="nil"/>
              <w:bottom w:val="dashSmallGap" w:color="auto" w:sz="4" w:space="0"/>
              <w:right w:val="nil"/>
            </w:tcBorders>
            <w:shd w:val="clear" w:color="auto" w:fill="auto"/>
            <w:hideMark/>
          </w:tcPr>
          <w:p w:rsidRPr="00CB2608" w:rsidR="00CB2608" w:rsidP="004A5C4F" w:rsidRDefault="00CB2608" w14:paraId="70142E22" w14:textId="77777777">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Web</w:t>
            </w:r>
          </w:p>
        </w:tc>
        <w:tc>
          <w:tcPr>
            <w:tcW w:w="4617" w:type="dxa"/>
            <w:tcBorders>
              <w:top w:val="dashSmallGap" w:color="auto" w:sz="4" w:space="0"/>
              <w:left w:val="nil"/>
              <w:bottom w:val="dashSmallGap" w:color="auto" w:sz="4" w:space="0"/>
              <w:right w:val="nil"/>
            </w:tcBorders>
            <w:shd w:val="clear" w:color="auto" w:fill="auto"/>
            <w:hideMark/>
          </w:tcPr>
          <w:p w:rsidRPr="00CB2608" w:rsidR="00CB2608" w:rsidP="004A5C4F" w:rsidRDefault="00CB2608" w14:paraId="513AB48E" w14:textId="597D623C">
            <w:pPr>
              <w:spacing w:after="0" w:line="240" w:lineRule="auto"/>
              <w:rPr>
                <w:rFonts w:ascii="Times New Roman" w:hAnsi="Times New Roman" w:eastAsia="Times New Roman" w:cs="Times New Roman"/>
              </w:rPr>
            </w:pPr>
            <w:r w:rsidRPr="00CB2608">
              <w:rPr>
                <w:rFonts w:ascii="Times New Roman" w:hAnsi="Times New Roman" w:eastAsia="Times New Roman" w:cs="Times New Roman"/>
              </w:rPr>
              <w:t xml:space="preserve">Evaluate effect of </w:t>
            </w:r>
            <w:r w:rsidR="008D6FFC">
              <w:rPr>
                <w:rFonts w:ascii="Times New Roman" w:hAnsi="Times New Roman" w:eastAsia="Times New Roman" w:cs="Times New Roman"/>
              </w:rPr>
              <w:t>the follow-up mode</w:t>
            </w:r>
            <w:r w:rsidR="006505E6">
              <w:rPr>
                <w:rFonts w:ascii="Times New Roman" w:hAnsi="Times New Roman" w:eastAsia="Times New Roman" w:cs="Times New Roman"/>
              </w:rPr>
              <w:t xml:space="preserve"> </w:t>
            </w:r>
            <w:r w:rsidRPr="00CB2608" w:rsidR="006505E6">
              <w:rPr>
                <w:rFonts w:ascii="Times New Roman" w:hAnsi="Times New Roman" w:eastAsia="Times New Roman" w:cs="Times New Roman"/>
              </w:rPr>
              <w:t>for the NTEWS target population</w:t>
            </w:r>
            <w:r w:rsidR="008D6FFC">
              <w:rPr>
                <w:rFonts w:ascii="Times New Roman" w:hAnsi="Times New Roman" w:eastAsia="Times New Roman" w:cs="Times New Roman"/>
              </w:rPr>
              <w:t xml:space="preserve">: </w:t>
            </w:r>
            <w:r w:rsidRPr="00CB2608">
              <w:rPr>
                <w:rFonts w:ascii="Times New Roman" w:hAnsi="Times New Roman" w:eastAsia="Times New Roman" w:cs="Times New Roman"/>
              </w:rPr>
              <w:t>offering paper only (</w:t>
            </w:r>
            <w:r w:rsidRPr="00692DD2">
              <w:rPr>
                <w:rFonts w:ascii="Times New Roman" w:hAnsi="Times New Roman" w:eastAsia="Times New Roman" w:cs="Times New Roman"/>
                <w:i/>
              </w:rPr>
              <w:t>NHES</w:t>
            </w:r>
            <w:r w:rsidRPr="00CB2608">
              <w:rPr>
                <w:rFonts w:ascii="Times New Roman" w:hAnsi="Times New Roman" w:eastAsia="Times New Roman" w:cs="Times New Roman"/>
              </w:rPr>
              <w:t>) vs. choice of web and paper (</w:t>
            </w:r>
            <w:r w:rsidRPr="00692DD2">
              <w:rPr>
                <w:rFonts w:ascii="Times New Roman" w:hAnsi="Times New Roman" w:eastAsia="Times New Roman" w:cs="Times New Roman"/>
                <w:i/>
              </w:rPr>
              <w:t>NSCG</w:t>
            </w:r>
            <w:r w:rsidRPr="00CB2608">
              <w:rPr>
                <w:rFonts w:ascii="Times New Roman" w:hAnsi="Times New Roman" w:eastAsia="Times New Roman" w:cs="Times New Roman"/>
              </w:rPr>
              <w:t xml:space="preserve">); some literature (cf. </w:t>
            </w:r>
            <w:r w:rsidRPr="00557C65">
              <w:rPr>
                <w:rFonts w:ascii="Times New Roman" w:hAnsi="Times New Roman" w:eastAsia="Times New Roman" w:cs="Times New Roman"/>
              </w:rPr>
              <w:t>Dillman et al. 2014) suggests that offering a choice of modes may backfire.</w:t>
            </w:r>
            <w:r w:rsidRPr="00557C65">
              <w:rPr>
                <w:rFonts w:ascii="Times New Roman" w:hAnsi="Times New Roman" w:eastAsia="Times New Roman" w:cs="Times New Roman"/>
              </w:rPr>
              <w:br/>
            </w:r>
            <w:r w:rsidRPr="00557C65">
              <w:rPr>
                <w:rFonts w:ascii="Times New Roman" w:hAnsi="Times New Roman" w:eastAsia="Times New Roman" w:cs="Times New Roman"/>
              </w:rPr>
              <w:br/>
            </w:r>
            <w:r w:rsidR="006505E6">
              <w:rPr>
                <w:rFonts w:ascii="Times New Roman" w:hAnsi="Times New Roman" w:eastAsia="Times New Roman" w:cs="Times New Roman"/>
              </w:rPr>
              <w:t>Facilitate mode effects analysis by providing w</w:t>
            </w:r>
            <w:r w:rsidRPr="00557C65">
              <w:rPr>
                <w:rFonts w:ascii="Times New Roman" w:hAnsi="Times New Roman" w:eastAsia="Times New Roman" w:cs="Times New Roman"/>
              </w:rPr>
              <w:t>eb-only data</w:t>
            </w:r>
            <w:r w:rsidR="006505E6">
              <w:rPr>
                <w:rFonts w:ascii="Times New Roman" w:hAnsi="Times New Roman" w:eastAsia="Times New Roman" w:cs="Times New Roman"/>
              </w:rPr>
              <w:t xml:space="preserve"> for the first 11 weeks of data collection</w:t>
            </w:r>
            <w:r w:rsidRPr="00557C65">
              <w:rPr>
                <w:rFonts w:ascii="Times New Roman" w:hAnsi="Times New Roman" w:eastAsia="Times New Roman" w:cs="Times New Roman"/>
              </w:rPr>
              <w:t xml:space="preserve"> </w:t>
            </w:r>
          </w:p>
        </w:tc>
      </w:tr>
      <w:tr w:rsidRPr="00CB2608" w:rsidR="00CB2608" w:rsidTr="00AF7F45" w14:paraId="589159C4" w14:textId="77777777">
        <w:trPr>
          <w:trHeight w:val="980"/>
          <w:jc w:val="center"/>
        </w:trPr>
        <w:tc>
          <w:tcPr>
            <w:tcW w:w="1573" w:type="dxa"/>
            <w:tcBorders>
              <w:top w:val="dashSmallGap" w:color="auto" w:sz="4" w:space="0"/>
              <w:left w:val="nil"/>
              <w:bottom w:val="dashSmallGap" w:color="auto" w:sz="4" w:space="0"/>
              <w:right w:val="nil"/>
            </w:tcBorders>
            <w:shd w:val="clear" w:color="auto" w:fill="auto"/>
            <w:hideMark/>
          </w:tcPr>
          <w:p w:rsidRPr="00C12590" w:rsidR="00CB2608" w:rsidP="004A5C4F" w:rsidRDefault="00CB2608" w14:paraId="7000084E" w14:textId="77777777">
            <w:pPr>
              <w:spacing w:after="0" w:line="240" w:lineRule="auto"/>
              <w:rPr>
                <w:rFonts w:ascii="Times New Roman" w:hAnsi="Times New Roman" w:eastAsia="Times New Roman" w:cs="Times New Roman"/>
                <w:i/>
                <w:color w:val="000000"/>
              </w:rPr>
            </w:pPr>
            <w:r w:rsidRPr="00C12590">
              <w:rPr>
                <w:rFonts w:ascii="Times New Roman" w:hAnsi="Times New Roman" w:eastAsia="Times New Roman" w:cs="Times New Roman"/>
                <w:i/>
                <w:color w:val="000000"/>
              </w:rPr>
              <w:t>CHOICE</w:t>
            </w:r>
          </w:p>
        </w:tc>
        <w:tc>
          <w:tcPr>
            <w:tcW w:w="2477" w:type="dxa"/>
            <w:tcBorders>
              <w:top w:val="dashSmallGap" w:color="auto" w:sz="4" w:space="0"/>
              <w:left w:val="nil"/>
              <w:bottom w:val="dashSmallGap" w:color="auto" w:sz="4" w:space="0"/>
              <w:right w:val="nil"/>
            </w:tcBorders>
            <w:shd w:val="clear" w:color="auto" w:fill="auto"/>
            <w:hideMark/>
          </w:tcPr>
          <w:p w:rsidRPr="000B55B0" w:rsidR="00CB2608" w:rsidP="004A5C4F" w:rsidRDefault="00CB2608" w14:paraId="4C4B7E03" w14:textId="1B5E1CB2">
            <w:pPr>
              <w:spacing w:after="0" w:line="240" w:lineRule="auto"/>
              <w:rPr>
                <w:rFonts w:ascii="Times New Roman" w:hAnsi="Times New Roman" w:eastAsia="Times New Roman" w:cs="Times New Roman"/>
                <w:color w:val="000000"/>
              </w:rPr>
            </w:pPr>
            <w:r w:rsidRPr="000B55B0">
              <w:rPr>
                <w:rFonts w:ascii="Times New Roman" w:hAnsi="Times New Roman" w:eastAsia="Times New Roman" w:cs="Times New Roman"/>
                <w:color w:val="000000"/>
              </w:rPr>
              <w:t>Concurrent mixed-mode</w:t>
            </w:r>
            <w:r w:rsidRPr="000B55B0" w:rsidR="008B7E24">
              <w:rPr>
                <w:rFonts w:ascii="Times New Roman" w:hAnsi="Times New Roman" w:eastAsia="Times New Roman" w:cs="Times New Roman"/>
                <w:color w:val="000000"/>
              </w:rPr>
              <w:t xml:space="preserve">, web and paper offered </w:t>
            </w:r>
            <w:r w:rsidRPr="000B55B0" w:rsidR="00AF7F45">
              <w:rPr>
                <w:rFonts w:ascii="Times New Roman" w:hAnsi="Times New Roman" w:eastAsia="Times New Roman" w:cs="Times New Roman"/>
                <w:color w:val="000000"/>
              </w:rPr>
              <w:t>throughout</w:t>
            </w:r>
          </w:p>
        </w:tc>
        <w:tc>
          <w:tcPr>
            <w:tcW w:w="1350" w:type="dxa"/>
            <w:tcBorders>
              <w:top w:val="dashSmallGap" w:color="auto" w:sz="4" w:space="0"/>
              <w:left w:val="nil"/>
              <w:bottom w:val="dashSmallGap" w:color="auto" w:sz="4" w:space="0"/>
              <w:right w:val="nil"/>
            </w:tcBorders>
            <w:shd w:val="clear" w:color="auto" w:fill="auto"/>
            <w:hideMark/>
          </w:tcPr>
          <w:p w:rsidRPr="000B55B0" w:rsidR="00CB2608" w:rsidP="004A5C4F" w:rsidRDefault="000B55B0" w14:paraId="072E25AA" w14:textId="2539CB0D">
            <w:pPr>
              <w:spacing w:after="0" w:line="240" w:lineRule="auto"/>
              <w:rPr>
                <w:rFonts w:ascii="Times New Roman" w:hAnsi="Times New Roman" w:eastAsia="Times New Roman" w:cs="Times New Roman"/>
                <w:color w:val="000000"/>
              </w:rPr>
            </w:pPr>
            <w:r w:rsidRPr="000B55B0">
              <w:rPr>
                <w:rFonts w:ascii="Times New Roman" w:hAnsi="Times New Roman" w:eastAsia="Times New Roman" w:cs="Times New Roman"/>
                <w:color w:val="000000"/>
              </w:rPr>
              <w:t>4,</w:t>
            </w:r>
            <w:r w:rsidR="009F76D4">
              <w:rPr>
                <w:rFonts w:ascii="Times New Roman" w:hAnsi="Times New Roman" w:eastAsia="Times New Roman" w:cs="Times New Roman"/>
                <w:color w:val="000000"/>
              </w:rPr>
              <w:t>860</w:t>
            </w:r>
          </w:p>
        </w:tc>
        <w:tc>
          <w:tcPr>
            <w:tcW w:w="1456" w:type="dxa"/>
            <w:tcBorders>
              <w:top w:val="dashSmallGap" w:color="auto" w:sz="4" w:space="0"/>
              <w:left w:val="nil"/>
              <w:bottom w:val="dashSmallGap" w:color="auto" w:sz="4" w:space="0"/>
              <w:right w:val="nil"/>
            </w:tcBorders>
            <w:shd w:val="clear" w:color="auto" w:fill="auto"/>
            <w:hideMark/>
          </w:tcPr>
          <w:p w:rsidRPr="00CB2608" w:rsidR="00CB2608" w:rsidP="004A5C4F" w:rsidRDefault="00CB2608" w14:paraId="1067A5CE" w14:textId="77777777">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Web + paper</w:t>
            </w:r>
          </w:p>
        </w:tc>
        <w:tc>
          <w:tcPr>
            <w:tcW w:w="4617" w:type="dxa"/>
            <w:tcBorders>
              <w:top w:val="dashSmallGap" w:color="auto" w:sz="4" w:space="0"/>
              <w:left w:val="nil"/>
              <w:bottom w:val="dashSmallGap" w:color="auto" w:sz="4" w:space="0"/>
              <w:right w:val="nil"/>
            </w:tcBorders>
            <w:shd w:val="clear" w:color="auto" w:fill="auto"/>
            <w:hideMark/>
          </w:tcPr>
          <w:p w:rsidRPr="00557C65" w:rsidR="00CB2608" w:rsidP="004A5C4F" w:rsidRDefault="00CB2608" w14:paraId="73508867" w14:textId="61BC7FB4">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Compare a concurrent mixed-mode approach (with no additional incentivization for web response) to the NSCG and NHES-style sequential mixed-</w:t>
            </w:r>
            <w:r w:rsidRPr="00557C65">
              <w:rPr>
                <w:rFonts w:ascii="Times New Roman" w:hAnsi="Times New Roman" w:eastAsia="Times New Roman" w:cs="Times New Roman"/>
                <w:color w:val="000000"/>
              </w:rPr>
              <w:t>mode approaches; some recent literature suggests concurrent designs may perform as well as sequential ones (cf. Bucks</w:t>
            </w:r>
            <w:r w:rsidR="008304FA">
              <w:rPr>
                <w:rFonts w:ascii="Times New Roman" w:hAnsi="Times New Roman" w:eastAsia="Times New Roman" w:cs="Times New Roman"/>
                <w:color w:val="000000"/>
              </w:rPr>
              <w:t>, Couper, &amp; Fulford</w:t>
            </w:r>
            <w:r w:rsidRPr="00557C65">
              <w:rPr>
                <w:rFonts w:ascii="Times New Roman" w:hAnsi="Times New Roman" w:eastAsia="Times New Roman" w:cs="Times New Roman"/>
                <w:color w:val="000000"/>
              </w:rPr>
              <w:t xml:space="preserve"> 2019).</w:t>
            </w:r>
          </w:p>
          <w:p w:rsidRPr="00557C65" w:rsidR="00CB2608" w:rsidP="004A5C4F" w:rsidRDefault="00CB2608" w14:paraId="738DDCF0" w14:textId="77777777">
            <w:pPr>
              <w:spacing w:after="0" w:line="240" w:lineRule="auto"/>
              <w:rPr>
                <w:rFonts w:ascii="Times New Roman" w:hAnsi="Times New Roman" w:eastAsia="Times New Roman" w:cs="Times New Roman"/>
                <w:color w:val="000000"/>
              </w:rPr>
            </w:pPr>
          </w:p>
          <w:p w:rsidRPr="00CB2608" w:rsidR="00CB2608" w:rsidP="004A5C4F" w:rsidRDefault="00CB2608" w14:paraId="2461D767" w14:textId="77777777">
            <w:pPr>
              <w:spacing w:after="0" w:line="240" w:lineRule="auto"/>
              <w:rPr>
                <w:rFonts w:ascii="Times New Roman" w:hAnsi="Times New Roman" w:eastAsia="Times New Roman" w:cs="Times New Roman"/>
                <w:color w:val="000000"/>
              </w:rPr>
            </w:pPr>
            <w:r w:rsidRPr="00557C65">
              <w:rPr>
                <w:rFonts w:ascii="Times New Roman" w:hAnsi="Times New Roman" w:eastAsia="Times New Roman" w:cs="Times New Roman"/>
                <w:color w:val="000000"/>
              </w:rPr>
              <w:t>Allow analysis of mode preference when both modes are offered</w:t>
            </w:r>
            <w:r w:rsidRPr="00CB2608">
              <w:rPr>
                <w:rFonts w:ascii="Times New Roman" w:hAnsi="Times New Roman" w:eastAsia="Times New Roman" w:cs="Times New Roman"/>
                <w:color w:val="000000"/>
              </w:rPr>
              <w:t xml:space="preserve"> but neither is incentivized.</w:t>
            </w:r>
          </w:p>
        </w:tc>
      </w:tr>
      <w:tr w:rsidRPr="00CB2608" w:rsidR="00CB2608" w:rsidTr="00AF7F45" w14:paraId="526C5D11" w14:textId="77777777">
        <w:trPr>
          <w:trHeight w:val="1745"/>
          <w:jc w:val="center"/>
        </w:trPr>
        <w:tc>
          <w:tcPr>
            <w:tcW w:w="1573" w:type="dxa"/>
            <w:tcBorders>
              <w:top w:val="dashSmallGap" w:color="auto" w:sz="4" w:space="0"/>
              <w:left w:val="nil"/>
              <w:bottom w:val="dashSmallGap" w:color="auto" w:sz="4" w:space="0"/>
              <w:right w:val="nil"/>
            </w:tcBorders>
            <w:shd w:val="clear" w:color="auto" w:fill="auto"/>
            <w:hideMark/>
          </w:tcPr>
          <w:p w:rsidRPr="00C12590" w:rsidR="00CB2608" w:rsidP="004A5C4F" w:rsidRDefault="00CB2608" w14:paraId="5B2D9BC1" w14:textId="77777777">
            <w:pPr>
              <w:spacing w:after="0" w:line="240" w:lineRule="auto"/>
              <w:rPr>
                <w:rFonts w:ascii="Times New Roman" w:hAnsi="Times New Roman" w:eastAsia="Times New Roman" w:cs="Times New Roman"/>
                <w:i/>
                <w:color w:val="000000"/>
              </w:rPr>
            </w:pPr>
            <w:r w:rsidRPr="00C12590">
              <w:rPr>
                <w:rFonts w:ascii="Times New Roman" w:hAnsi="Times New Roman" w:eastAsia="Times New Roman" w:cs="Times New Roman"/>
                <w:i/>
                <w:color w:val="000000"/>
              </w:rPr>
              <w:t>CHOICEPLUS</w:t>
            </w:r>
          </w:p>
        </w:tc>
        <w:tc>
          <w:tcPr>
            <w:tcW w:w="2477" w:type="dxa"/>
            <w:tcBorders>
              <w:top w:val="dashSmallGap" w:color="auto" w:sz="4" w:space="0"/>
              <w:left w:val="nil"/>
              <w:bottom w:val="dashSmallGap" w:color="auto" w:sz="4" w:space="0"/>
              <w:right w:val="nil"/>
            </w:tcBorders>
            <w:shd w:val="clear" w:color="auto" w:fill="auto"/>
            <w:hideMark/>
          </w:tcPr>
          <w:p w:rsidRPr="00CB2608" w:rsidR="00CB2608" w:rsidP="004A5C4F" w:rsidRDefault="00CB2608" w14:paraId="7FBD15FF" w14:textId="5260929B">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 xml:space="preserve">Concurrent mixed-mode, </w:t>
            </w:r>
            <w:r w:rsidR="008B7E24">
              <w:rPr>
                <w:rFonts w:ascii="Times New Roman" w:hAnsi="Times New Roman" w:eastAsia="Times New Roman" w:cs="Times New Roman"/>
                <w:color w:val="000000"/>
              </w:rPr>
              <w:t xml:space="preserve">web and paper offered </w:t>
            </w:r>
            <w:r w:rsidR="00AF7F45">
              <w:rPr>
                <w:rFonts w:ascii="Times New Roman" w:hAnsi="Times New Roman" w:eastAsia="Times New Roman" w:cs="Times New Roman"/>
                <w:color w:val="000000"/>
              </w:rPr>
              <w:t>throughout</w:t>
            </w:r>
            <w:r w:rsidR="008B7E24">
              <w:rPr>
                <w:rFonts w:ascii="Times New Roman" w:hAnsi="Times New Roman" w:eastAsia="Times New Roman" w:cs="Times New Roman"/>
                <w:color w:val="000000"/>
              </w:rPr>
              <w:t xml:space="preserve">, </w:t>
            </w:r>
            <w:r w:rsidRPr="00CB2608">
              <w:rPr>
                <w:rFonts w:ascii="Times New Roman" w:hAnsi="Times New Roman" w:eastAsia="Times New Roman" w:cs="Times New Roman"/>
                <w:color w:val="000000"/>
              </w:rPr>
              <w:t xml:space="preserve">promised $20 incentive for </w:t>
            </w:r>
            <w:r w:rsidRPr="00CB2608">
              <w:rPr>
                <w:rFonts w:ascii="Times New Roman" w:hAnsi="Times New Roman" w:eastAsia="Times New Roman" w:cs="Times New Roman"/>
                <w:i/>
                <w:iCs/>
                <w:color w:val="000000"/>
              </w:rPr>
              <w:t>web</w:t>
            </w:r>
            <w:r w:rsidRPr="00CB2608">
              <w:rPr>
                <w:rFonts w:ascii="Times New Roman" w:hAnsi="Times New Roman" w:eastAsia="Times New Roman" w:cs="Times New Roman"/>
                <w:color w:val="000000"/>
              </w:rPr>
              <w:t xml:space="preserve"> response</w:t>
            </w:r>
            <w:r w:rsidRPr="00CB2608">
              <w:rPr>
                <w:rFonts w:ascii="Times New Roman" w:hAnsi="Times New Roman" w:eastAsia="Times New Roman" w:cs="Times New Roman"/>
                <w:i/>
                <w:iCs/>
                <w:color w:val="000000"/>
              </w:rPr>
              <w:t xml:space="preserve"> by end of week 14</w:t>
            </w:r>
          </w:p>
        </w:tc>
        <w:tc>
          <w:tcPr>
            <w:tcW w:w="1350" w:type="dxa"/>
            <w:tcBorders>
              <w:top w:val="dashSmallGap" w:color="auto" w:sz="4" w:space="0"/>
              <w:left w:val="nil"/>
              <w:bottom w:val="dashSmallGap" w:color="auto" w:sz="4" w:space="0"/>
              <w:right w:val="nil"/>
            </w:tcBorders>
            <w:shd w:val="clear" w:color="auto" w:fill="auto"/>
            <w:hideMark/>
          </w:tcPr>
          <w:p w:rsidRPr="009C1189" w:rsidR="00CB2608" w:rsidP="004A5C4F" w:rsidRDefault="000B55B0" w14:paraId="1401E481" w14:textId="352F8532">
            <w:pPr>
              <w:spacing w:after="0" w:line="240" w:lineRule="auto"/>
              <w:rPr>
                <w:rFonts w:ascii="Times New Roman" w:hAnsi="Times New Roman" w:eastAsia="Times New Roman" w:cs="Times New Roman"/>
                <w:color w:val="000000"/>
                <w:highlight w:val="yellow"/>
              </w:rPr>
            </w:pPr>
            <w:r w:rsidRPr="000B55B0">
              <w:rPr>
                <w:rFonts w:ascii="Times New Roman" w:hAnsi="Times New Roman" w:eastAsia="Times New Roman" w:cs="Times New Roman"/>
                <w:color w:val="000000"/>
              </w:rPr>
              <w:t>4,</w:t>
            </w:r>
            <w:r w:rsidR="009F76D4">
              <w:rPr>
                <w:rFonts w:ascii="Times New Roman" w:hAnsi="Times New Roman" w:eastAsia="Times New Roman" w:cs="Times New Roman"/>
                <w:color w:val="000000"/>
              </w:rPr>
              <w:t>860</w:t>
            </w:r>
          </w:p>
        </w:tc>
        <w:tc>
          <w:tcPr>
            <w:tcW w:w="1456" w:type="dxa"/>
            <w:tcBorders>
              <w:top w:val="dashSmallGap" w:color="auto" w:sz="4" w:space="0"/>
              <w:left w:val="nil"/>
              <w:bottom w:val="dashSmallGap" w:color="auto" w:sz="4" w:space="0"/>
              <w:right w:val="nil"/>
            </w:tcBorders>
            <w:shd w:val="clear" w:color="auto" w:fill="auto"/>
            <w:hideMark/>
          </w:tcPr>
          <w:p w:rsidRPr="00CB2608" w:rsidR="00CB2608" w:rsidP="004A5C4F" w:rsidRDefault="00CB2608" w14:paraId="27A7EEEC" w14:textId="77777777">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Web + paper</w:t>
            </w:r>
          </w:p>
        </w:tc>
        <w:tc>
          <w:tcPr>
            <w:tcW w:w="4617" w:type="dxa"/>
            <w:tcBorders>
              <w:top w:val="dashSmallGap" w:color="auto" w:sz="4" w:space="0"/>
              <w:left w:val="nil"/>
              <w:bottom w:val="dashSmallGap" w:color="auto" w:sz="4" w:space="0"/>
              <w:right w:val="nil"/>
            </w:tcBorders>
            <w:shd w:val="clear" w:color="auto" w:fill="auto"/>
            <w:hideMark/>
          </w:tcPr>
          <w:p w:rsidRPr="00CB2608" w:rsidR="00CB2608" w:rsidP="004A5C4F" w:rsidRDefault="00CB2608" w14:paraId="7085A734" w14:textId="52B84307">
            <w:pPr>
              <w:spacing w:after="0" w:line="240" w:lineRule="auto"/>
              <w:rPr>
                <w:rFonts w:ascii="Times New Roman" w:hAnsi="Times New Roman" w:eastAsia="Times New Roman" w:cs="Times New Roman"/>
              </w:rPr>
            </w:pPr>
            <w:r w:rsidRPr="00CB2608">
              <w:rPr>
                <w:rFonts w:ascii="Times New Roman" w:hAnsi="Times New Roman" w:eastAsia="Times New Roman" w:cs="Times New Roman"/>
              </w:rPr>
              <w:t xml:space="preserve">Determine whether the proportion of web responses can be increased by incentivizing web response, and whether any resulting </w:t>
            </w:r>
            <w:r w:rsidRPr="00557C65">
              <w:rPr>
                <w:rFonts w:ascii="Times New Roman" w:hAnsi="Times New Roman" w:eastAsia="Times New Roman" w:cs="Times New Roman"/>
              </w:rPr>
              <w:t xml:space="preserve">cost savings outweigh the cost of the added incentives; a prior general population study (cf. Biemer et al. 2017) </w:t>
            </w:r>
            <w:r w:rsidRPr="00557C65" w:rsidR="007A6C37">
              <w:rPr>
                <w:rFonts w:ascii="Times New Roman" w:hAnsi="Times New Roman" w:eastAsia="Times New Roman" w:cs="Times New Roman"/>
              </w:rPr>
              <w:t xml:space="preserve">and NHES experimentation have </w:t>
            </w:r>
            <w:r w:rsidRPr="00557C65">
              <w:rPr>
                <w:rFonts w:ascii="Times New Roman" w:hAnsi="Times New Roman" w:eastAsia="Times New Roman" w:cs="Times New Roman"/>
              </w:rPr>
              <w:t>found this a promising</w:t>
            </w:r>
            <w:r w:rsidRPr="00CB2608">
              <w:rPr>
                <w:rFonts w:ascii="Times New Roman" w:hAnsi="Times New Roman" w:eastAsia="Times New Roman" w:cs="Times New Roman"/>
              </w:rPr>
              <w:t xml:space="preserve"> approach. </w:t>
            </w:r>
          </w:p>
        </w:tc>
      </w:tr>
      <w:tr w:rsidRPr="00CB2608" w:rsidR="00CB2608" w:rsidTr="00AF7F45" w14:paraId="06299FFC" w14:textId="77777777">
        <w:trPr>
          <w:trHeight w:val="1340"/>
          <w:jc w:val="center"/>
        </w:trPr>
        <w:tc>
          <w:tcPr>
            <w:tcW w:w="1573" w:type="dxa"/>
            <w:tcBorders>
              <w:top w:val="dashSmallGap" w:color="auto" w:sz="4" w:space="0"/>
              <w:left w:val="nil"/>
              <w:bottom w:val="dashSmallGap" w:color="auto" w:sz="4" w:space="0"/>
              <w:right w:val="nil"/>
            </w:tcBorders>
            <w:shd w:val="clear" w:color="auto" w:fill="auto"/>
            <w:hideMark/>
          </w:tcPr>
          <w:p w:rsidRPr="00C12590" w:rsidR="00CB2608" w:rsidP="004A5C4F" w:rsidRDefault="00CB2608" w14:paraId="223B33AA" w14:textId="77777777">
            <w:pPr>
              <w:spacing w:after="0" w:line="240" w:lineRule="auto"/>
              <w:rPr>
                <w:rFonts w:ascii="Times New Roman" w:hAnsi="Times New Roman" w:eastAsia="Times New Roman" w:cs="Times New Roman"/>
                <w:i/>
                <w:color w:val="000000"/>
              </w:rPr>
            </w:pPr>
            <w:r w:rsidRPr="00C12590">
              <w:rPr>
                <w:rFonts w:ascii="Times New Roman" w:hAnsi="Times New Roman" w:eastAsia="Times New Roman" w:cs="Times New Roman"/>
                <w:i/>
                <w:color w:val="000000"/>
              </w:rPr>
              <w:t>PAP</w:t>
            </w:r>
          </w:p>
        </w:tc>
        <w:tc>
          <w:tcPr>
            <w:tcW w:w="2477" w:type="dxa"/>
            <w:tcBorders>
              <w:top w:val="dashSmallGap" w:color="auto" w:sz="4" w:space="0"/>
              <w:left w:val="nil"/>
              <w:bottom w:val="dashSmallGap" w:color="auto" w:sz="4" w:space="0"/>
              <w:right w:val="nil"/>
            </w:tcBorders>
            <w:shd w:val="clear" w:color="auto" w:fill="auto"/>
            <w:hideMark/>
          </w:tcPr>
          <w:p w:rsidRPr="00CB2608" w:rsidR="00CB2608" w:rsidP="004A5C4F" w:rsidRDefault="00CB2608" w14:paraId="5439B61B" w14:textId="1DD597D0">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Begins with paper-only</w:t>
            </w:r>
            <w:r w:rsidR="00AF7F45">
              <w:rPr>
                <w:rFonts w:ascii="Times New Roman" w:hAnsi="Times New Roman" w:eastAsia="Times New Roman" w:cs="Times New Roman"/>
                <w:color w:val="000000"/>
              </w:rPr>
              <w:t>, followed by web and phone</w:t>
            </w:r>
          </w:p>
        </w:tc>
        <w:tc>
          <w:tcPr>
            <w:tcW w:w="1350" w:type="dxa"/>
            <w:tcBorders>
              <w:top w:val="dashSmallGap" w:color="auto" w:sz="4" w:space="0"/>
              <w:left w:val="nil"/>
              <w:bottom w:val="dashSmallGap" w:color="auto" w:sz="4" w:space="0"/>
              <w:right w:val="nil"/>
            </w:tcBorders>
            <w:shd w:val="clear" w:color="auto" w:fill="auto"/>
            <w:hideMark/>
          </w:tcPr>
          <w:p w:rsidRPr="009C1189" w:rsidR="00CB2608" w:rsidP="004A5C4F" w:rsidRDefault="000B55B0" w14:paraId="450C103C" w14:textId="7B158FF9">
            <w:pPr>
              <w:spacing w:after="0" w:line="240" w:lineRule="auto"/>
              <w:rPr>
                <w:rFonts w:ascii="Times New Roman" w:hAnsi="Times New Roman" w:eastAsia="Times New Roman" w:cs="Times New Roman"/>
                <w:color w:val="000000"/>
                <w:highlight w:val="yellow"/>
              </w:rPr>
            </w:pPr>
            <w:r w:rsidRPr="000B55B0">
              <w:rPr>
                <w:rFonts w:ascii="Times New Roman" w:hAnsi="Times New Roman" w:eastAsia="Times New Roman" w:cs="Times New Roman"/>
                <w:color w:val="000000"/>
              </w:rPr>
              <w:t>9</w:t>
            </w:r>
            <w:r w:rsidR="009F76D4">
              <w:rPr>
                <w:rFonts w:ascii="Times New Roman" w:hAnsi="Times New Roman" w:eastAsia="Times New Roman" w:cs="Times New Roman"/>
                <w:color w:val="000000"/>
              </w:rPr>
              <w:t>,720</w:t>
            </w:r>
          </w:p>
        </w:tc>
        <w:tc>
          <w:tcPr>
            <w:tcW w:w="1456" w:type="dxa"/>
            <w:tcBorders>
              <w:top w:val="dashSmallGap" w:color="auto" w:sz="4" w:space="0"/>
              <w:left w:val="nil"/>
              <w:bottom w:val="dashSmallGap" w:color="auto" w:sz="4" w:space="0"/>
              <w:right w:val="nil"/>
            </w:tcBorders>
            <w:shd w:val="clear" w:color="auto" w:fill="auto"/>
            <w:hideMark/>
          </w:tcPr>
          <w:p w:rsidRPr="00CB2608" w:rsidR="00CB2608" w:rsidP="004A5C4F" w:rsidRDefault="00CB2608" w14:paraId="7AD7B33F" w14:textId="77777777">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Paper</w:t>
            </w:r>
          </w:p>
        </w:tc>
        <w:tc>
          <w:tcPr>
            <w:tcW w:w="4617" w:type="dxa"/>
            <w:tcBorders>
              <w:top w:val="dashSmallGap" w:color="auto" w:sz="4" w:space="0"/>
              <w:left w:val="nil"/>
              <w:bottom w:val="dashSmallGap" w:color="auto" w:sz="4" w:space="0"/>
              <w:right w:val="nil"/>
            </w:tcBorders>
            <w:shd w:val="clear" w:color="auto" w:fill="auto"/>
            <w:hideMark/>
          </w:tcPr>
          <w:p w:rsidRPr="00CB2608" w:rsidR="00CB2608" w:rsidP="004A5C4F" w:rsidRDefault="003F43FB" w14:paraId="400475D7" w14:textId="39E8500B">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Identify</w:t>
            </w:r>
            <w:r w:rsidRPr="00CB2608" w:rsidR="00CB2608">
              <w:rPr>
                <w:rFonts w:ascii="Times New Roman" w:hAnsi="Times New Roman" w:eastAsia="Times New Roman" w:cs="Times New Roman"/>
                <w:color w:val="000000"/>
              </w:rPr>
              <w:t xml:space="preserve"> any subgroups that may require a paper questionnaire to be offered earlier in data collection.</w:t>
            </w:r>
            <w:r w:rsidRPr="00CB2608" w:rsidR="00CB2608">
              <w:rPr>
                <w:rFonts w:ascii="Times New Roman" w:hAnsi="Times New Roman" w:eastAsia="Times New Roman" w:cs="Times New Roman"/>
                <w:color w:val="000000"/>
              </w:rPr>
              <w:br/>
            </w:r>
            <w:r w:rsidRPr="00CB2608" w:rsidR="00CB2608">
              <w:rPr>
                <w:rFonts w:ascii="Times New Roman" w:hAnsi="Times New Roman" w:eastAsia="Times New Roman" w:cs="Times New Roman"/>
                <w:color w:val="000000"/>
              </w:rPr>
              <w:br/>
            </w:r>
            <w:r w:rsidR="006505E6">
              <w:rPr>
                <w:rFonts w:ascii="Times New Roman" w:hAnsi="Times New Roman" w:eastAsia="Times New Roman" w:cs="Times New Roman"/>
                <w:color w:val="000000"/>
              </w:rPr>
              <w:t xml:space="preserve">Facilitate mode effects analysis by providing </w:t>
            </w:r>
            <w:r w:rsidRPr="00CB2608" w:rsidR="00CB2608">
              <w:rPr>
                <w:rFonts w:ascii="Times New Roman" w:hAnsi="Times New Roman" w:eastAsia="Times New Roman" w:cs="Times New Roman"/>
                <w:color w:val="000000"/>
              </w:rPr>
              <w:t>paper-only data</w:t>
            </w:r>
            <w:r w:rsidR="006505E6">
              <w:rPr>
                <w:rFonts w:ascii="Times New Roman" w:hAnsi="Times New Roman" w:eastAsia="Times New Roman" w:cs="Times New Roman"/>
                <w:color w:val="000000"/>
              </w:rPr>
              <w:t xml:space="preserve"> for the first 11 weeks of data collection</w:t>
            </w:r>
            <w:r w:rsidRPr="00CB2608" w:rsidR="00CB2608">
              <w:rPr>
                <w:rFonts w:ascii="Times New Roman" w:hAnsi="Times New Roman" w:eastAsia="Times New Roman" w:cs="Times New Roman"/>
                <w:color w:val="000000"/>
              </w:rPr>
              <w:t xml:space="preserve"> </w:t>
            </w:r>
          </w:p>
        </w:tc>
      </w:tr>
      <w:tr w:rsidRPr="00CB2608" w:rsidR="00CB2608" w:rsidTr="00AF7F45" w14:paraId="651B9CC1" w14:textId="77777777">
        <w:trPr>
          <w:trHeight w:val="440"/>
          <w:jc w:val="center"/>
        </w:trPr>
        <w:tc>
          <w:tcPr>
            <w:tcW w:w="1573" w:type="dxa"/>
            <w:tcBorders>
              <w:top w:val="dashSmallGap" w:color="auto" w:sz="4" w:space="0"/>
              <w:left w:val="nil"/>
              <w:bottom w:val="single" w:color="auto" w:sz="4" w:space="0"/>
              <w:right w:val="nil"/>
            </w:tcBorders>
            <w:shd w:val="clear" w:color="auto" w:fill="auto"/>
            <w:hideMark/>
          </w:tcPr>
          <w:p w:rsidRPr="00C12590" w:rsidR="00CB2608" w:rsidP="004A5C4F" w:rsidRDefault="00CB2608" w14:paraId="05EB4916" w14:textId="77777777">
            <w:pPr>
              <w:spacing w:after="0" w:line="240" w:lineRule="auto"/>
              <w:rPr>
                <w:rFonts w:ascii="Times New Roman" w:hAnsi="Times New Roman" w:eastAsia="Times New Roman" w:cs="Times New Roman"/>
                <w:i/>
                <w:color w:val="000000"/>
              </w:rPr>
            </w:pPr>
            <w:r w:rsidRPr="00C12590">
              <w:rPr>
                <w:rFonts w:ascii="Times New Roman" w:hAnsi="Times New Roman" w:eastAsia="Times New Roman" w:cs="Times New Roman"/>
                <w:i/>
                <w:color w:val="000000"/>
              </w:rPr>
              <w:t>CAT</w:t>
            </w:r>
          </w:p>
        </w:tc>
        <w:tc>
          <w:tcPr>
            <w:tcW w:w="2477" w:type="dxa"/>
            <w:tcBorders>
              <w:top w:val="dashSmallGap" w:color="auto" w:sz="4" w:space="0"/>
              <w:left w:val="nil"/>
              <w:bottom w:val="single" w:color="auto" w:sz="4" w:space="0"/>
              <w:right w:val="nil"/>
            </w:tcBorders>
            <w:shd w:val="clear" w:color="auto" w:fill="auto"/>
            <w:hideMark/>
          </w:tcPr>
          <w:p w:rsidRPr="00CB2608" w:rsidR="00CB2608" w:rsidP="004A5C4F" w:rsidRDefault="00CB2608" w14:paraId="2E5F8FDC" w14:textId="75BB58D7">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Begins with outbound phone only</w:t>
            </w:r>
            <w:r w:rsidR="00AF7F45">
              <w:rPr>
                <w:rFonts w:ascii="Times New Roman" w:hAnsi="Times New Roman" w:eastAsia="Times New Roman" w:cs="Times New Roman"/>
                <w:color w:val="000000"/>
              </w:rPr>
              <w:t>, followed by web and paper</w:t>
            </w:r>
            <w:r w:rsidRPr="00CB2608">
              <w:rPr>
                <w:rFonts w:ascii="Times New Roman" w:hAnsi="Times New Roman" w:eastAsia="Times New Roman" w:cs="Times New Roman"/>
                <w:color w:val="000000"/>
              </w:rPr>
              <w:t xml:space="preserve"> </w:t>
            </w:r>
          </w:p>
        </w:tc>
        <w:tc>
          <w:tcPr>
            <w:tcW w:w="1350" w:type="dxa"/>
            <w:tcBorders>
              <w:top w:val="dashSmallGap" w:color="auto" w:sz="4" w:space="0"/>
              <w:left w:val="nil"/>
              <w:bottom w:val="single" w:color="auto" w:sz="4" w:space="0"/>
              <w:right w:val="nil"/>
            </w:tcBorders>
            <w:shd w:val="clear" w:color="auto" w:fill="auto"/>
            <w:hideMark/>
          </w:tcPr>
          <w:p w:rsidRPr="000B55B0" w:rsidR="00CB2608" w:rsidP="004A5C4F" w:rsidRDefault="000B55B0" w14:paraId="231EAD9C" w14:textId="0541483C">
            <w:pPr>
              <w:spacing w:after="0" w:line="240" w:lineRule="auto"/>
              <w:rPr>
                <w:rFonts w:ascii="Times New Roman" w:hAnsi="Times New Roman" w:eastAsia="Times New Roman" w:cs="Times New Roman"/>
                <w:color w:val="000000"/>
              </w:rPr>
            </w:pPr>
            <w:r w:rsidRPr="000B55B0">
              <w:rPr>
                <w:rFonts w:ascii="Times New Roman" w:hAnsi="Times New Roman" w:eastAsia="Times New Roman" w:cs="Times New Roman"/>
                <w:color w:val="000000"/>
              </w:rPr>
              <w:t>4,</w:t>
            </w:r>
            <w:r w:rsidR="009F76D4">
              <w:rPr>
                <w:rFonts w:ascii="Times New Roman" w:hAnsi="Times New Roman" w:eastAsia="Times New Roman" w:cs="Times New Roman"/>
                <w:color w:val="000000"/>
              </w:rPr>
              <w:t>320</w:t>
            </w:r>
          </w:p>
        </w:tc>
        <w:tc>
          <w:tcPr>
            <w:tcW w:w="1456" w:type="dxa"/>
            <w:tcBorders>
              <w:top w:val="dashSmallGap" w:color="auto" w:sz="4" w:space="0"/>
              <w:left w:val="nil"/>
              <w:bottom w:val="single" w:color="auto" w:sz="4" w:space="0"/>
              <w:right w:val="nil"/>
            </w:tcBorders>
            <w:shd w:val="clear" w:color="auto" w:fill="auto"/>
            <w:hideMark/>
          </w:tcPr>
          <w:p w:rsidRPr="00CB2608" w:rsidR="00CB2608" w:rsidP="004A5C4F" w:rsidRDefault="00CB2608" w14:paraId="6AF70679" w14:textId="77777777">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t>Outbound CATI</w:t>
            </w:r>
          </w:p>
        </w:tc>
        <w:tc>
          <w:tcPr>
            <w:tcW w:w="4617" w:type="dxa"/>
            <w:tcBorders>
              <w:top w:val="dashSmallGap" w:color="auto" w:sz="4" w:space="0"/>
              <w:left w:val="nil"/>
              <w:bottom w:val="single" w:color="auto" w:sz="4" w:space="0"/>
              <w:right w:val="nil"/>
            </w:tcBorders>
            <w:shd w:val="clear" w:color="auto" w:fill="auto"/>
            <w:hideMark/>
          </w:tcPr>
          <w:p w:rsidR="00624EA0" w:rsidP="004A5C4F" w:rsidRDefault="00E1634D" w14:paraId="6381703E" w14:textId="1D232F0A">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Identify </w:t>
            </w:r>
            <w:r w:rsidRPr="00CB2608" w:rsidR="00CB2608">
              <w:rPr>
                <w:rFonts w:ascii="Times New Roman" w:hAnsi="Times New Roman" w:eastAsia="Times New Roman" w:cs="Times New Roman"/>
                <w:color w:val="000000"/>
              </w:rPr>
              <w:t>any subgroups that may require CATI to begin earlier in data collection.</w:t>
            </w:r>
          </w:p>
          <w:p w:rsidRPr="00CB2608" w:rsidR="00CB2608" w:rsidP="004A5C4F" w:rsidRDefault="00CB2608" w14:paraId="21C030C4" w14:textId="417CAE02">
            <w:pPr>
              <w:spacing w:after="0" w:line="240" w:lineRule="auto"/>
              <w:rPr>
                <w:rFonts w:ascii="Times New Roman" w:hAnsi="Times New Roman" w:eastAsia="Times New Roman" w:cs="Times New Roman"/>
                <w:color w:val="000000"/>
              </w:rPr>
            </w:pPr>
            <w:r w:rsidRPr="00CB2608">
              <w:rPr>
                <w:rFonts w:ascii="Times New Roman" w:hAnsi="Times New Roman" w:eastAsia="Times New Roman" w:cs="Times New Roman"/>
                <w:color w:val="000000"/>
              </w:rPr>
              <w:br/>
            </w:r>
            <w:r w:rsidR="006505E6">
              <w:rPr>
                <w:rFonts w:ascii="Times New Roman" w:hAnsi="Times New Roman" w:eastAsia="Times New Roman" w:cs="Times New Roman"/>
                <w:color w:val="000000"/>
              </w:rPr>
              <w:t>Facilitate mode effects analysis by providing</w:t>
            </w:r>
            <w:r w:rsidRPr="00CB2608">
              <w:rPr>
                <w:rFonts w:ascii="Times New Roman" w:hAnsi="Times New Roman" w:eastAsia="Times New Roman" w:cs="Times New Roman"/>
                <w:color w:val="000000"/>
              </w:rPr>
              <w:t xml:space="preserve"> phone-only data for </w:t>
            </w:r>
            <w:r w:rsidR="006505E6">
              <w:rPr>
                <w:rFonts w:ascii="Times New Roman" w:hAnsi="Times New Roman" w:eastAsia="Times New Roman" w:cs="Times New Roman"/>
                <w:color w:val="000000"/>
              </w:rPr>
              <w:t>the first 11 weeks of data collection</w:t>
            </w:r>
            <w:r w:rsidRPr="00CB2608">
              <w:rPr>
                <w:rFonts w:ascii="Times New Roman" w:hAnsi="Times New Roman" w:eastAsia="Times New Roman" w:cs="Times New Roman"/>
                <w:color w:val="000000"/>
              </w:rPr>
              <w:t>.</w:t>
            </w:r>
          </w:p>
        </w:tc>
      </w:tr>
    </w:tbl>
    <w:p w:rsidR="00AF7F45" w:rsidRDefault="00AF7F45" w14:paraId="3D2CEAF6" w14:textId="5AE1C73D">
      <w:pPr>
        <w:rPr>
          <w:rFonts w:ascii="Times New Roman" w:hAnsi="Times New Roman" w:cs="Times New Roman"/>
          <w:sz w:val="24"/>
          <w:szCs w:val="24"/>
        </w:rPr>
      </w:pPr>
    </w:p>
    <w:p w:rsidR="00E22918" w:rsidP="008B5C08" w:rsidRDefault="00F63DBE" w14:paraId="5321E584" w14:textId="646B4DBE">
      <w:pPr>
        <w:rPr>
          <w:rFonts w:ascii="Times New Roman" w:hAnsi="Times New Roman" w:cs="Times New Roman"/>
          <w:sz w:val="24"/>
          <w:szCs w:val="24"/>
        </w:rPr>
      </w:pPr>
      <w:r w:rsidRPr="009A39D8">
        <w:rPr>
          <w:rFonts w:ascii="Times New Roman" w:hAnsi="Times New Roman" w:cs="Times New Roman"/>
          <w:sz w:val="24"/>
          <w:szCs w:val="24"/>
        </w:rPr>
        <w:lastRenderedPageBreak/>
        <w:t xml:space="preserve">Table </w:t>
      </w:r>
      <w:r w:rsidRPr="009A39D8" w:rsidR="00E45B4A">
        <w:rPr>
          <w:rFonts w:ascii="Times New Roman" w:hAnsi="Times New Roman" w:cs="Times New Roman"/>
          <w:sz w:val="24"/>
          <w:szCs w:val="24"/>
        </w:rPr>
        <w:t>C</w:t>
      </w:r>
      <w:r w:rsidRPr="009A39D8" w:rsidR="000B1EBE">
        <w:rPr>
          <w:rFonts w:ascii="Times New Roman" w:hAnsi="Times New Roman" w:cs="Times New Roman"/>
          <w:sz w:val="24"/>
          <w:szCs w:val="24"/>
        </w:rPr>
        <w:t>.</w:t>
      </w:r>
      <w:r w:rsidRPr="009A39D8" w:rsidR="00672F6D">
        <w:rPr>
          <w:rFonts w:ascii="Times New Roman" w:hAnsi="Times New Roman" w:cs="Times New Roman"/>
          <w:sz w:val="24"/>
          <w:szCs w:val="24"/>
        </w:rPr>
        <w:t>2</w:t>
      </w:r>
      <w:r w:rsidRPr="009A39D8">
        <w:rPr>
          <w:rFonts w:ascii="Times New Roman" w:hAnsi="Times New Roman" w:cs="Times New Roman"/>
          <w:sz w:val="24"/>
          <w:szCs w:val="24"/>
        </w:rPr>
        <w:t xml:space="preserve"> shows</w:t>
      </w:r>
      <w:r w:rsidRPr="00F63DBE">
        <w:rPr>
          <w:rFonts w:ascii="Times New Roman" w:hAnsi="Times New Roman" w:cs="Times New Roman"/>
          <w:sz w:val="24"/>
          <w:szCs w:val="24"/>
        </w:rPr>
        <w:t xml:space="preserve"> the planned contact sequence </w:t>
      </w:r>
      <w:r w:rsidR="001E776F">
        <w:rPr>
          <w:rFonts w:ascii="Times New Roman" w:hAnsi="Times New Roman" w:cs="Times New Roman"/>
          <w:sz w:val="24"/>
          <w:szCs w:val="24"/>
        </w:rPr>
        <w:t>for each</w:t>
      </w:r>
      <w:r w:rsidRPr="00F63DBE" w:rsidR="001E776F">
        <w:rPr>
          <w:rFonts w:ascii="Times New Roman" w:hAnsi="Times New Roman" w:cs="Times New Roman"/>
          <w:sz w:val="24"/>
          <w:szCs w:val="24"/>
        </w:rPr>
        <w:t xml:space="preserve"> </w:t>
      </w:r>
      <w:r w:rsidRPr="00F63DBE">
        <w:rPr>
          <w:rFonts w:ascii="Times New Roman" w:hAnsi="Times New Roman" w:cs="Times New Roman"/>
          <w:sz w:val="24"/>
          <w:szCs w:val="24"/>
        </w:rPr>
        <w:t>treatment</w:t>
      </w:r>
      <w:r w:rsidR="00AF7F45">
        <w:rPr>
          <w:rFonts w:ascii="Times New Roman" w:hAnsi="Times New Roman" w:cs="Times New Roman"/>
          <w:sz w:val="24"/>
          <w:szCs w:val="24"/>
        </w:rPr>
        <w:t xml:space="preserve"> group</w:t>
      </w:r>
      <w:r w:rsidRPr="00F63DBE">
        <w:rPr>
          <w:rFonts w:ascii="Times New Roman" w:hAnsi="Times New Roman" w:cs="Times New Roman"/>
          <w:sz w:val="24"/>
          <w:szCs w:val="24"/>
        </w:rPr>
        <w:t xml:space="preserve"> </w:t>
      </w:r>
      <w:r w:rsidR="001E776F">
        <w:rPr>
          <w:rFonts w:ascii="Times New Roman" w:hAnsi="Times New Roman" w:cs="Times New Roman"/>
          <w:sz w:val="24"/>
          <w:szCs w:val="24"/>
        </w:rPr>
        <w:t>by</w:t>
      </w:r>
      <w:r w:rsidRPr="00F63DBE" w:rsidR="001E776F">
        <w:rPr>
          <w:rFonts w:ascii="Times New Roman" w:hAnsi="Times New Roman" w:cs="Times New Roman"/>
          <w:sz w:val="24"/>
          <w:szCs w:val="24"/>
        </w:rPr>
        <w:t xml:space="preserve"> </w:t>
      </w:r>
      <w:r w:rsidRPr="00F63DBE">
        <w:rPr>
          <w:rFonts w:ascii="Times New Roman" w:hAnsi="Times New Roman" w:cs="Times New Roman"/>
          <w:sz w:val="24"/>
          <w:szCs w:val="24"/>
        </w:rPr>
        <w:t>week of data collection</w:t>
      </w:r>
      <w:r>
        <w:rPr>
          <w:rFonts w:ascii="Times New Roman" w:hAnsi="Times New Roman" w:cs="Times New Roman"/>
          <w:sz w:val="24"/>
          <w:szCs w:val="24"/>
        </w:rPr>
        <w:t xml:space="preserve">, for sample members with mailable addresses. </w:t>
      </w:r>
    </w:p>
    <w:p w:rsidRPr="00BE29C2" w:rsidR="00BE29C2" w:rsidP="00BE29C2" w:rsidRDefault="00BE29C2" w14:paraId="0746BA1F" w14:textId="71CE4F3C">
      <w:pPr>
        <w:rPr>
          <w:rFonts w:ascii="Times New Roman" w:hAnsi="Times New Roman" w:cs="Times New Roman"/>
          <w:sz w:val="24"/>
          <w:szCs w:val="24"/>
        </w:rPr>
      </w:pPr>
      <w:r w:rsidRPr="00BE29C2">
        <w:rPr>
          <w:rFonts w:ascii="Times New Roman" w:hAnsi="Times New Roman" w:cs="Times New Roman"/>
          <w:sz w:val="24"/>
          <w:szCs w:val="24"/>
        </w:rPr>
        <w:t xml:space="preserve">As noted above, all </w:t>
      </w:r>
      <w:r w:rsidR="00AF7F45">
        <w:rPr>
          <w:rFonts w:ascii="Times New Roman" w:hAnsi="Times New Roman" w:cs="Times New Roman"/>
          <w:sz w:val="24"/>
          <w:szCs w:val="24"/>
        </w:rPr>
        <w:t>sample members</w:t>
      </w:r>
      <w:r w:rsidRPr="00BE29C2" w:rsidR="00AF7F45">
        <w:rPr>
          <w:rFonts w:ascii="Times New Roman" w:hAnsi="Times New Roman" w:cs="Times New Roman"/>
          <w:sz w:val="24"/>
          <w:szCs w:val="24"/>
        </w:rPr>
        <w:t xml:space="preserve"> </w:t>
      </w:r>
      <w:r w:rsidRPr="00BE29C2">
        <w:rPr>
          <w:rFonts w:ascii="Times New Roman" w:hAnsi="Times New Roman" w:cs="Times New Roman"/>
          <w:sz w:val="24"/>
          <w:szCs w:val="24"/>
        </w:rPr>
        <w:t xml:space="preserve">will be offered the option to respond by web, paper, or CATI at various points in the data collection. </w:t>
      </w:r>
      <w:r w:rsidR="00AF7F45">
        <w:rPr>
          <w:rFonts w:ascii="Times New Roman" w:hAnsi="Times New Roman" w:cs="Times New Roman"/>
          <w:sz w:val="24"/>
          <w:szCs w:val="24"/>
        </w:rPr>
        <w:t>In</w:t>
      </w:r>
      <w:r w:rsidRPr="00BE29C2" w:rsidR="00AF7F45">
        <w:rPr>
          <w:rFonts w:ascii="Times New Roman" w:hAnsi="Times New Roman" w:cs="Times New Roman"/>
          <w:sz w:val="24"/>
          <w:szCs w:val="24"/>
        </w:rPr>
        <w:t xml:space="preserve"> </w:t>
      </w:r>
      <w:r w:rsidRPr="00BE29C2">
        <w:rPr>
          <w:rFonts w:ascii="Times New Roman" w:hAnsi="Times New Roman" w:cs="Times New Roman"/>
          <w:sz w:val="24"/>
          <w:szCs w:val="24"/>
        </w:rPr>
        <w:t>all treatment</w:t>
      </w:r>
      <w:r w:rsidR="00AF7F45">
        <w:rPr>
          <w:rFonts w:ascii="Times New Roman" w:hAnsi="Times New Roman" w:cs="Times New Roman"/>
          <w:sz w:val="24"/>
          <w:szCs w:val="24"/>
        </w:rPr>
        <w:t xml:space="preserve"> group</w:t>
      </w:r>
      <w:r w:rsidRPr="00BE29C2">
        <w:rPr>
          <w:rFonts w:ascii="Times New Roman" w:hAnsi="Times New Roman" w:cs="Times New Roman"/>
          <w:sz w:val="24"/>
          <w:szCs w:val="24"/>
        </w:rPr>
        <w:t xml:space="preserve">s, inbound callers to the </w:t>
      </w:r>
      <w:r w:rsidR="00F052B3">
        <w:rPr>
          <w:rFonts w:ascii="Times New Roman" w:hAnsi="Times New Roman" w:cs="Times New Roman"/>
          <w:sz w:val="24"/>
          <w:szCs w:val="24"/>
        </w:rPr>
        <w:t xml:space="preserve">Census Bureau’s </w:t>
      </w:r>
      <w:r w:rsidRPr="00BE29C2">
        <w:rPr>
          <w:rFonts w:ascii="Times New Roman" w:hAnsi="Times New Roman" w:cs="Times New Roman"/>
          <w:sz w:val="24"/>
          <w:szCs w:val="24"/>
        </w:rPr>
        <w:t xml:space="preserve">telephone questionnaire assistance (TQA) hotline will also be able to respond by CATI. </w:t>
      </w:r>
    </w:p>
    <w:p w:rsidR="00962657" w:rsidP="008B5C08" w:rsidRDefault="00BE29C2" w14:paraId="18AC1C27" w14:textId="7BBFB07D">
      <w:pPr>
        <w:rPr>
          <w:rFonts w:ascii="Times New Roman" w:hAnsi="Times New Roman" w:cs="Times New Roman"/>
          <w:sz w:val="24"/>
          <w:szCs w:val="24"/>
        </w:rPr>
      </w:pPr>
      <w:r w:rsidRPr="00BE29C2">
        <w:rPr>
          <w:rFonts w:ascii="Times New Roman" w:hAnsi="Times New Roman" w:cs="Times New Roman"/>
          <w:sz w:val="24"/>
          <w:szCs w:val="24"/>
        </w:rPr>
        <w:t xml:space="preserve">The </w:t>
      </w:r>
      <w:r w:rsidRPr="0079040A">
        <w:rPr>
          <w:rFonts w:ascii="Times New Roman" w:hAnsi="Times New Roman" w:cs="Times New Roman"/>
          <w:i/>
          <w:sz w:val="24"/>
          <w:szCs w:val="24"/>
        </w:rPr>
        <w:t>CHOICE</w:t>
      </w:r>
      <w:r w:rsidRPr="00BE29C2">
        <w:rPr>
          <w:rFonts w:ascii="Times New Roman" w:hAnsi="Times New Roman" w:cs="Times New Roman"/>
          <w:sz w:val="24"/>
          <w:szCs w:val="24"/>
        </w:rPr>
        <w:t xml:space="preserve">, </w:t>
      </w:r>
      <w:r w:rsidRPr="0079040A">
        <w:rPr>
          <w:rFonts w:ascii="Times New Roman" w:hAnsi="Times New Roman" w:cs="Times New Roman"/>
          <w:i/>
          <w:sz w:val="24"/>
          <w:szCs w:val="24"/>
        </w:rPr>
        <w:t>CHOICEPLUS</w:t>
      </w:r>
      <w:r w:rsidRPr="00BE29C2">
        <w:rPr>
          <w:rFonts w:ascii="Times New Roman" w:hAnsi="Times New Roman" w:cs="Times New Roman"/>
          <w:sz w:val="24"/>
          <w:szCs w:val="24"/>
        </w:rPr>
        <w:t xml:space="preserve">, </w:t>
      </w:r>
      <w:r w:rsidRPr="0079040A">
        <w:rPr>
          <w:rFonts w:ascii="Times New Roman" w:hAnsi="Times New Roman" w:cs="Times New Roman"/>
          <w:i/>
          <w:sz w:val="24"/>
          <w:szCs w:val="24"/>
        </w:rPr>
        <w:t>PAP</w:t>
      </w:r>
      <w:r w:rsidRPr="00BE29C2">
        <w:rPr>
          <w:rFonts w:ascii="Times New Roman" w:hAnsi="Times New Roman" w:cs="Times New Roman"/>
          <w:sz w:val="24"/>
          <w:szCs w:val="24"/>
        </w:rPr>
        <w:t xml:space="preserve">, and </w:t>
      </w:r>
      <w:r w:rsidRPr="0079040A">
        <w:rPr>
          <w:rFonts w:ascii="Times New Roman" w:hAnsi="Times New Roman" w:cs="Times New Roman"/>
          <w:i/>
          <w:sz w:val="24"/>
          <w:szCs w:val="24"/>
        </w:rPr>
        <w:t>CAT</w:t>
      </w:r>
      <w:r w:rsidRPr="00BE29C2">
        <w:rPr>
          <w:rFonts w:ascii="Times New Roman" w:hAnsi="Times New Roman" w:cs="Times New Roman"/>
          <w:sz w:val="24"/>
          <w:szCs w:val="24"/>
        </w:rPr>
        <w:t xml:space="preserve"> treatment</w:t>
      </w:r>
      <w:r w:rsidR="00AF7F45">
        <w:rPr>
          <w:rFonts w:ascii="Times New Roman" w:hAnsi="Times New Roman" w:cs="Times New Roman"/>
          <w:sz w:val="24"/>
          <w:szCs w:val="24"/>
        </w:rPr>
        <w:t xml:space="preserve"> group</w:t>
      </w:r>
      <w:r w:rsidRPr="00BE29C2">
        <w:rPr>
          <w:rFonts w:ascii="Times New Roman" w:hAnsi="Times New Roman" w:cs="Times New Roman"/>
          <w:sz w:val="24"/>
          <w:szCs w:val="24"/>
        </w:rPr>
        <w:t>s</w:t>
      </w:r>
      <w:r w:rsidR="00AF7F45">
        <w:rPr>
          <w:rFonts w:ascii="Times New Roman" w:hAnsi="Times New Roman" w:cs="Times New Roman"/>
          <w:sz w:val="24"/>
          <w:szCs w:val="24"/>
        </w:rPr>
        <w:t xml:space="preserve"> </w:t>
      </w:r>
      <w:r w:rsidR="000C4661">
        <w:rPr>
          <w:rFonts w:ascii="Times New Roman" w:hAnsi="Times New Roman" w:cs="Times New Roman"/>
          <w:sz w:val="24"/>
          <w:szCs w:val="24"/>
        </w:rPr>
        <w:t xml:space="preserve">will </w:t>
      </w:r>
      <w:r w:rsidR="00AF7F45">
        <w:rPr>
          <w:rFonts w:ascii="Times New Roman" w:hAnsi="Times New Roman" w:cs="Times New Roman"/>
          <w:sz w:val="24"/>
          <w:szCs w:val="24"/>
        </w:rPr>
        <w:t>use the same contact</w:t>
      </w:r>
      <w:r w:rsidR="00500F52">
        <w:rPr>
          <w:rFonts w:ascii="Times New Roman" w:hAnsi="Times New Roman" w:cs="Times New Roman"/>
          <w:sz w:val="24"/>
          <w:szCs w:val="24"/>
        </w:rPr>
        <w:t xml:space="preserve"> strateg</w:t>
      </w:r>
      <w:r w:rsidR="000C4661">
        <w:rPr>
          <w:rFonts w:ascii="Times New Roman" w:hAnsi="Times New Roman" w:cs="Times New Roman"/>
          <w:sz w:val="24"/>
          <w:szCs w:val="24"/>
        </w:rPr>
        <w:t>y</w:t>
      </w:r>
      <w:r w:rsidR="00AF7F45">
        <w:rPr>
          <w:rFonts w:ascii="Times New Roman" w:hAnsi="Times New Roman" w:cs="Times New Roman"/>
          <w:sz w:val="24"/>
          <w:szCs w:val="24"/>
        </w:rPr>
        <w:t xml:space="preserve"> as</w:t>
      </w:r>
      <w:r w:rsidRPr="00BE29C2">
        <w:rPr>
          <w:rFonts w:ascii="Times New Roman" w:hAnsi="Times New Roman" w:cs="Times New Roman"/>
          <w:sz w:val="24"/>
          <w:szCs w:val="24"/>
        </w:rPr>
        <w:t xml:space="preserve"> the </w:t>
      </w:r>
      <w:r w:rsidRPr="002168F8">
        <w:rPr>
          <w:rFonts w:ascii="Times New Roman" w:hAnsi="Times New Roman" w:cs="Times New Roman"/>
          <w:i/>
          <w:iCs/>
          <w:sz w:val="24"/>
          <w:szCs w:val="24"/>
        </w:rPr>
        <w:t>NSCG</w:t>
      </w:r>
      <w:r w:rsidRPr="00BE29C2">
        <w:rPr>
          <w:rFonts w:ascii="Times New Roman" w:hAnsi="Times New Roman" w:cs="Times New Roman"/>
          <w:sz w:val="24"/>
          <w:szCs w:val="24"/>
        </w:rPr>
        <w:t xml:space="preserve"> </w:t>
      </w:r>
      <w:r w:rsidR="00AF7F45">
        <w:rPr>
          <w:rFonts w:ascii="Times New Roman" w:hAnsi="Times New Roman" w:cs="Times New Roman"/>
          <w:sz w:val="24"/>
          <w:szCs w:val="24"/>
        </w:rPr>
        <w:t>treatment group</w:t>
      </w:r>
      <w:r w:rsidRPr="00BE29C2" w:rsidR="00AF7F45">
        <w:rPr>
          <w:rFonts w:ascii="Times New Roman" w:hAnsi="Times New Roman" w:cs="Times New Roman"/>
          <w:sz w:val="24"/>
          <w:szCs w:val="24"/>
        </w:rPr>
        <w:t xml:space="preserve"> </w:t>
      </w:r>
      <w:r w:rsidRPr="00BE29C2">
        <w:rPr>
          <w:rFonts w:ascii="Times New Roman" w:hAnsi="Times New Roman" w:cs="Times New Roman"/>
          <w:sz w:val="24"/>
          <w:szCs w:val="24"/>
        </w:rPr>
        <w:t xml:space="preserve">in the second half of data collection, with the transition beginning in week 12. This decision was made to reduce operational complexity in the later weeks and, in the case of </w:t>
      </w:r>
      <w:r w:rsidRPr="00496482">
        <w:rPr>
          <w:rFonts w:ascii="Times New Roman" w:hAnsi="Times New Roman" w:cs="Times New Roman"/>
          <w:i/>
          <w:sz w:val="24"/>
          <w:szCs w:val="24"/>
        </w:rPr>
        <w:t>PAP</w:t>
      </w:r>
      <w:r w:rsidRPr="00BE29C2">
        <w:rPr>
          <w:rFonts w:ascii="Times New Roman" w:hAnsi="Times New Roman" w:cs="Times New Roman"/>
          <w:sz w:val="24"/>
          <w:szCs w:val="24"/>
        </w:rPr>
        <w:t>, to avoid an excessive number of paper responses, which have significantly higher keying costs</w:t>
      </w:r>
      <w:r w:rsidR="00F46B7C">
        <w:rPr>
          <w:rFonts w:ascii="Times New Roman" w:hAnsi="Times New Roman" w:cs="Times New Roman"/>
          <w:sz w:val="24"/>
          <w:szCs w:val="24"/>
        </w:rPr>
        <w:t xml:space="preserve"> and a greater risk of measurement error due to complex skips</w:t>
      </w:r>
      <w:r w:rsidR="00B52675">
        <w:rPr>
          <w:rFonts w:ascii="Times New Roman" w:hAnsi="Times New Roman" w:cs="Times New Roman"/>
          <w:sz w:val="24"/>
          <w:szCs w:val="24"/>
        </w:rPr>
        <w:t xml:space="preserve"> within the survey instrument</w:t>
      </w:r>
      <w:r w:rsidRPr="00BE29C2">
        <w:rPr>
          <w:rFonts w:ascii="Times New Roman" w:hAnsi="Times New Roman" w:cs="Times New Roman"/>
          <w:sz w:val="24"/>
          <w:szCs w:val="24"/>
        </w:rPr>
        <w:t xml:space="preserve">. </w:t>
      </w:r>
      <w:r w:rsidR="00AF7F45">
        <w:rPr>
          <w:rFonts w:ascii="Times New Roman" w:hAnsi="Times New Roman" w:cs="Times New Roman"/>
          <w:sz w:val="24"/>
          <w:szCs w:val="24"/>
        </w:rPr>
        <w:t xml:space="preserve">The </w:t>
      </w:r>
      <w:r w:rsidRPr="00496482">
        <w:rPr>
          <w:rFonts w:ascii="Times New Roman" w:hAnsi="Times New Roman" w:cs="Times New Roman"/>
          <w:i/>
          <w:sz w:val="24"/>
          <w:szCs w:val="24"/>
        </w:rPr>
        <w:t>NHES</w:t>
      </w:r>
      <w:r w:rsidRPr="00BE29C2">
        <w:rPr>
          <w:rFonts w:ascii="Times New Roman" w:hAnsi="Times New Roman" w:cs="Times New Roman"/>
          <w:sz w:val="24"/>
          <w:szCs w:val="24"/>
        </w:rPr>
        <w:t xml:space="preserve"> </w:t>
      </w:r>
      <w:r w:rsidR="00AF7F45">
        <w:rPr>
          <w:rFonts w:ascii="Times New Roman" w:hAnsi="Times New Roman" w:cs="Times New Roman"/>
          <w:sz w:val="24"/>
          <w:szCs w:val="24"/>
        </w:rPr>
        <w:t xml:space="preserve">treatment group </w:t>
      </w:r>
      <w:r w:rsidRPr="00BE29C2">
        <w:rPr>
          <w:rFonts w:ascii="Times New Roman" w:hAnsi="Times New Roman" w:cs="Times New Roman"/>
          <w:sz w:val="24"/>
          <w:szCs w:val="24"/>
        </w:rPr>
        <w:t xml:space="preserve">does not </w:t>
      </w:r>
      <w:r w:rsidR="00AF7F45">
        <w:rPr>
          <w:rFonts w:ascii="Times New Roman" w:hAnsi="Times New Roman" w:cs="Times New Roman"/>
          <w:sz w:val="24"/>
          <w:szCs w:val="24"/>
        </w:rPr>
        <w:t>use the same contact</w:t>
      </w:r>
      <w:r w:rsidR="00500F52">
        <w:rPr>
          <w:rFonts w:ascii="Times New Roman" w:hAnsi="Times New Roman" w:cs="Times New Roman"/>
          <w:sz w:val="24"/>
          <w:szCs w:val="24"/>
        </w:rPr>
        <w:t xml:space="preserve"> strategy</w:t>
      </w:r>
      <w:r w:rsidR="00AF7F45">
        <w:rPr>
          <w:rFonts w:ascii="Times New Roman" w:hAnsi="Times New Roman" w:cs="Times New Roman"/>
          <w:sz w:val="24"/>
          <w:szCs w:val="24"/>
        </w:rPr>
        <w:t xml:space="preserve"> as</w:t>
      </w:r>
      <w:r w:rsidRPr="00BE29C2" w:rsidR="00AF7F45">
        <w:rPr>
          <w:rFonts w:ascii="Times New Roman" w:hAnsi="Times New Roman" w:cs="Times New Roman"/>
          <w:sz w:val="24"/>
          <w:szCs w:val="24"/>
        </w:rPr>
        <w:t xml:space="preserve"> </w:t>
      </w:r>
      <w:r w:rsidRPr="00BE29C2">
        <w:rPr>
          <w:rFonts w:ascii="Times New Roman" w:hAnsi="Times New Roman" w:cs="Times New Roman"/>
          <w:sz w:val="24"/>
          <w:szCs w:val="24"/>
        </w:rPr>
        <w:t xml:space="preserve">the </w:t>
      </w:r>
      <w:r w:rsidRPr="00C54AB3">
        <w:rPr>
          <w:rFonts w:ascii="Times New Roman" w:hAnsi="Times New Roman" w:cs="Times New Roman"/>
          <w:i/>
          <w:iCs/>
          <w:sz w:val="24"/>
          <w:szCs w:val="24"/>
        </w:rPr>
        <w:t>NSCG</w:t>
      </w:r>
      <w:r w:rsidR="00AF7F45">
        <w:rPr>
          <w:rFonts w:ascii="Times New Roman" w:hAnsi="Times New Roman" w:cs="Times New Roman"/>
          <w:sz w:val="24"/>
          <w:szCs w:val="24"/>
        </w:rPr>
        <w:t xml:space="preserve"> treatment group in the second half of the data collection </w:t>
      </w:r>
      <w:r w:rsidRPr="00BE29C2">
        <w:rPr>
          <w:rFonts w:ascii="Times New Roman" w:hAnsi="Times New Roman" w:cs="Times New Roman"/>
          <w:sz w:val="24"/>
          <w:szCs w:val="24"/>
        </w:rPr>
        <w:t>because</w:t>
      </w:r>
      <w:r w:rsidR="004C73BA">
        <w:rPr>
          <w:rFonts w:ascii="Times New Roman" w:hAnsi="Times New Roman" w:cs="Times New Roman"/>
          <w:sz w:val="24"/>
          <w:szCs w:val="24"/>
        </w:rPr>
        <w:t xml:space="preserve"> </w:t>
      </w:r>
      <w:r w:rsidR="00AF7F45">
        <w:rPr>
          <w:rFonts w:ascii="Times New Roman" w:hAnsi="Times New Roman" w:cs="Times New Roman"/>
          <w:sz w:val="24"/>
          <w:szCs w:val="24"/>
        </w:rPr>
        <w:t xml:space="preserve">the </w:t>
      </w:r>
      <w:r w:rsidRPr="00C54AB3" w:rsidR="00AF7F45">
        <w:rPr>
          <w:rFonts w:ascii="Times New Roman" w:hAnsi="Times New Roman" w:cs="Times New Roman"/>
          <w:i/>
          <w:iCs/>
          <w:sz w:val="24"/>
          <w:szCs w:val="24"/>
        </w:rPr>
        <w:t>NHES</w:t>
      </w:r>
      <w:r w:rsidR="00AF7F45">
        <w:rPr>
          <w:rFonts w:ascii="Times New Roman" w:hAnsi="Times New Roman" w:cs="Times New Roman"/>
          <w:sz w:val="24"/>
          <w:szCs w:val="24"/>
        </w:rPr>
        <w:t xml:space="preserve"> treatment group </w:t>
      </w:r>
      <w:r w:rsidR="004C73BA">
        <w:rPr>
          <w:rFonts w:ascii="Times New Roman" w:hAnsi="Times New Roman" w:cs="Times New Roman"/>
          <w:sz w:val="24"/>
          <w:szCs w:val="24"/>
        </w:rPr>
        <w:t>entails a</w:t>
      </w:r>
      <w:r w:rsidRPr="00BE29C2" w:rsidR="004C73BA">
        <w:rPr>
          <w:rFonts w:ascii="Times New Roman" w:hAnsi="Times New Roman" w:cs="Times New Roman"/>
          <w:sz w:val="24"/>
          <w:szCs w:val="24"/>
        </w:rPr>
        <w:t xml:space="preserve"> </w:t>
      </w:r>
      <w:r w:rsidRPr="00BE29C2">
        <w:rPr>
          <w:rFonts w:ascii="Times New Roman" w:hAnsi="Times New Roman" w:cs="Times New Roman"/>
          <w:sz w:val="24"/>
          <w:szCs w:val="24"/>
        </w:rPr>
        <w:t xml:space="preserve">purely sequential approach </w:t>
      </w:r>
      <w:r w:rsidR="003E7018">
        <w:rPr>
          <w:rFonts w:ascii="Times New Roman" w:hAnsi="Times New Roman" w:cs="Times New Roman"/>
          <w:sz w:val="24"/>
          <w:szCs w:val="24"/>
        </w:rPr>
        <w:t>with</w:t>
      </w:r>
      <w:r w:rsidRPr="00BE29C2">
        <w:rPr>
          <w:rFonts w:ascii="Times New Roman" w:hAnsi="Times New Roman" w:cs="Times New Roman"/>
          <w:sz w:val="24"/>
          <w:szCs w:val="24"/>
        </w:rPr>
        <w:t xml:space="preserve"> only paper questionnaires offered in the second half of data collection.</w:t>
      </w:r>
    </w:p>
    <w:p w:rsidRPr="00C54AB3" w:rsidR="00962657" w:rsidP="008B5C08" w:rsidRDefault="00962657" w14:paraId="454250D2" w14:textId="71F9ACBF">
      <w:pPr>
        <w:rPr>
          <w:rFonts w:ascii="Times New Roman" w:hAnsi="Times New Roman" w:cs="Times New Roman"/>
          <w:sz w:val="24"/>
          <w:szCs w:val="24"/>
        </w:rPr>
        <w:sectPr w:rsidRPr="00C54AB3" w:rsidR="00962657" w:rsidSect="00D43F32">
          <w:pgSz w:w="12240" w:h="15840"/>
          <w:pgMar w:top="1440" w:right="1440" w:bottom="1440" w:left="1440" w:header="720" w:footer="720" w:gutter="0"/>
          <w:pgNumType w:start="1"/>
          <w:cols w:space="720"/>
          <w:docGrid w:linePitch="360"/>
        </w:sectPr>
      </w:pPr>
      <w:r w:rsidRPr="00BE29C2">
        <w:rPr>
          <w:rFonts w:ascii="Times New Roman" w:hAnsi="Times New Roman" w:cs="Times New Roman"/>
          <w:sz w:val="24"/>
          <w:szCs w:val="24"/>
        </w:rPr>
        <w:t xml:space="preserve">The resulting design balances the goal of testing as many alternative approaches to data collection as possible (recognizing that the NTEWS differs in important ways from the existing NSCG </w:t>
      </w:r>
      <w:r>
        <w:rPr>
          <w:rFonts w:ascii="Times New Roman" w:hAnsi="Times New Roman" w:cs="Times New Roman"/>
          <w:sz w:val="24"/>
          <w:szCs w:val="24"/>
        </w:rPr>
        <w:t>and NHES collections</w:t>
      </w:r>
      <w:r>
        <w:rPr>
          <w:rStyle w:val="FootnoteReference"/>
          <w:rFonts w:ascii="Times New Roman" w:hAnsi="Times New Roman" w:cs="Times New Roman"/>
          <w:sz w:val="24"/>
          <w:szCs w:val="24"/>
        </w:rPr>
        <w:footnoteReference w:id="1"/>
      </w:r>
      <w:r w:rsidR="00E02ED9">
        <w:rPr>
          <w:rFonts w:ascii="Times New Roman" w:hAnsi="Times New Roman" w:cs="Times New Roman"/>
          <w:sz w:val="24"/>
          <w:szCs w:val="24"/>
        </w:rPr>
        <w:t>)</w:t>
      </w:r>
      <w:r w:rsidRPr="00BE29C2">
        <w:rPr>
          <w:rFonts w:ascii="Times New Roman" w:hAnsi="Times New Roman" w:cs="Times New Roman"/>
          <w:sz w:val="24"/>
          <w:szCs w:val="24"/>
        </w:rPr>
        <w:t xml:space="preserve"> with (1) the desire to minimize non-mode differences between the </w:t>
      </w:r>
      <w:r>
        <w:rPr>
          <w:rFonts w:ascii="Times New Roman" w:hAnsi="Times New Roman" w:cs="Times New Roman"/>
          <w:sz w:val="24"/>
          <w:szCs w:val="24"/>
        </w:rPr>
        <w:t>treatment groups</w:t>
      </w:r>
      <w:r w:rsidRPr="00BE29C2">
        <w:rPr>
          <w:rFonts w:ascii="Times New Roman" w:hAnsi="Times New Roman" w:cs="Times New Roman"/>
          <w:sz w:val="24"/>
          <w:szCs w:val="24"/>
        </w:rPr>
        <w:t xml:space="preserve"> at any given week and (2) the need to avoid excessive operational complexity.</w:t>
      </w:r>
    </w:p>
    <w:tbl>
      <w:tblPr>
        <w:tblW w:w="13675" w:type="dxa"/>
        <w:jc w:val="center"/>
        <w:tblLook w:val="04A0" w:firstRow="1" w:lastRow="0" w:firstColumn="1" w:lastColumn="0" w:noHBand="0" w:noVBand="1"/>
      </w:tblPr>
      <w:tblGrid>
        <w:gridCol w:w="827"/>
        <w:gridCol w:w="1783"/>
        <w:gridCol w:w="1945"/>
        <w:gridCol w:w="32"/>
        <w:gridCol w:w="2250"/>
        <w:gridCol w:w="2250"/>
        <w:gridCol w:w="29"/>
        <w:gridCol w:w="2279"/>
        <w:gridCol w:w="29"/>
        <w:gridCol w:w="2251"/>
      </w:tblGrid>
      <w:tr w:rsidRPr="004E2DA3" w:rsidR="00BB09AE" w:rsidTr="00394F70" w14:paraId="58D92A3B" w14:textId="77777777">
        <w:trPr>
          <w:trHeight w:val="315"/>
          <w:tblHeader/>
          <w:jc w:val="center"/>
        </w:trPr>
        <w:tc>
          <w:tcPr>
            <w:tcW w:w="13675" w:type="dxa"/>
            <w:gridSpan w:val="10"/>
            <w:tcBorders>
              <w:top w:val="nil"/>
              <w:left w:val="nil"/>
              <w:bottom w:val="single" w:color="auto" w:sz="8" w:space="0"/>
              <w:right w:val="nil"/>
            </w:tcBorders>
            <w:shd w:val="clear" w:color="auto" w:fill="auto"/>
            <w:noWrap/>
            <w:vAlign w:val="bottom"/>
            <w:hideMark/>
          </w:tcPr>
          <w:p w:rsidRPr="004E2DA3" w:rsidR="00BB09AE" w:rsidP="00AF7F45" w:rsidRDefault="00BB09AE" w14:paraId="48329DB6" w14:textId="1F63C43A">
            <w:pPr>
              <w:spacing w:after="0" w:line="240" w:lineRule="auto"/>
              <w:rPr>
                <w:rFonts w:ascii="Calibri" w:hAnsi="Calibri" w:eastAsia="Times New Roman" w:cs="Calibri"/>
                <w:color w:val="000000"/>
              </w:rPr>
            </w:pPr>
            <w:bookmarkStart w:name="RANGE!A1:H27" w:id="0"/>
            <w:r w:rsidRPr="007016C9">
              <w:rPr>
                <w:rFonts w:ascii="Calibri" w:hAnsi="Calibri" w:eastAsia="Times New Roman" w:cs="Calibri"/>
                <w:color w:val="000000"/>
              </w:rPr>
              <w:lastRenderedPageBreak/>
              <w:t xml:space="preserve">Table </w:t>
            </w:r>
            <w:bookmarkEnd w:id="0"/>
            <w:r w:rsidRPr="007016C9" w:rsidR="00E45B4A">
              <w:rPr>
                <w:rFonts w:ascii="Calibri" w:hAnsi="Calibri" w:eastAsia="Times New Roman" w:cs="Calibri"/>
                <w:color w:val="000000"/>
              </w:rPr>
              <w:t>C</w:t>
            </w:r>
            <w:r w:rsidRPr="007016C9">
              <w:rPr>
                <w:rFonts w:ascii="Calibri" w:hAnsi="Calibri" w:eastAsia="Times New Roman" w:cs="Calibri"/>
                <w:color w:val="000000"/>
              </w:rPr>
              <w:t>.</w:t>
            </w:r>
            <w:r w:rsidRPr="007016C9" w:rsidR="00672F6D">
              <w:rPr>
                <w:rFonts w:ascii="Calibri" w:hAnsi="Calibri" w:eastAsia="Times New Roman" w:cs="Calibri"/>
                <w:color w:val="000000"/>
              </w:rPr>
              <w:t>2</w:t>
            </w:r>
            <w:r w:rsidRPr="007016C9">
              <w:rPr>
                <w:rFonts w:ascii="Calibri" w:hAnsi="Calibri" w:eastAsia="Times New Roman" w:cs="Calibri"/>
                <w:color w:val="000000"/>
              </w:rPr>
              <w:t>.</w:t>
            </w:r>
            <w:r>
              <w:rPr>
                <w:rFonts w:ascii="Calibri" w:hAnsi="Calibri" w:eastAsia="Times New Roman" w:cs="Calibri"/>
                <w:color w:val="000000"/>
              </w:rPr>
              <w:t xml:space="preserve">   C</w:t>
            </w:r>
            <w:r w:rsidRPr="004E2DA3">
              <w:rPr>
                <w:rFonts w:ascii="Calibri" w:hAnsi="Calibri" w:eastAsia="Times New Roman" w:cs="Calibri"/>
                <w:color w:val="000000"/>
              </w:rPr>
              <w:t>ontact attempts by week, by contact</w:t>
            </w:r>
            <w:r>
              <w:rPr>
                <w:rFonts w:ascii="Calibri" w:hAnsi="Calibri" w:eastAsia="Times New Roman" w:cs="Calibri"/>
                <w:color w:val="000000"/>
              </w:rPr>
              <w:t>-</w:t>
            </w:r>
            <w:r w:rsidRPr="004E2DA3">
              <w:rPr>
                <w:rFonts w:ascii="Calibri" w:hAnsi="Calibri" w:eastAsia="Times New Roman" w:cs="Calibri"/>
                <w:color w:val="000000"/>
              </w:rPr>
              <w:t>strategy treatment group</w:t>
            </w:r>
          </w:p>
        </w:tc>
      </w:tr>
      <w:tr w:rsidRPr="004E2DA3" w:rsidR="00AF7F45" w:rsidTr="007C23DD" w14:paraId="2FFEA92E" w14:textId="77777777">
        <w:trPr>
          <w:trHeight w:val="315"/>
          <w:tblHeader/>
          <w:jc w:val="center"/>
        </w:trPr>
        <w:tc>
          <w:tcPr>
            <w:tcW w:w="827" w:type="dxa"/>
            <w:tcBorders>
              <w:top w:val="nil"/>
              <w:left w:val="single" w:color="auto" w:sz="8" w:space="0"/>
              <w:bottom w:val="single" w:color="auto" w:sz="8" w:space="0"/>
              <w:right w:val="single" w:color="auto" w:sz="8" w:space="0"/>
            </w:tcBorders>
            <w:shd w:val="clear" w:color="000000" w:fill="002060"/>
            <w:vAlign w:val="center"/>
            <w:hideMark/>
          </w:tcPr>
          <w:p w:rsidRPr="004E2DA3" w:rsidR="0037205A" w:rsidP="004A5C4F" w:rsidRDefault="0037205A" w14:paraId="45E8140A" w14:textId="77777777">
            <w:pPr>
              <w:spacing w:after="0" w:line="240" w:lineRule="auto"/>
              <w:rPr>
                <w:rFonts w:ascii="Calibri" w:hAnsi="Calibri" w:eastAsia="Times New Roman" w:cs="Calibri"/>
                <w:b/>
                <w:bCs/>
                <w:color w:val="FFFFFF"/>
              </w:rPr>
            </w:pPr>
            <w:r w:rsidRPr="004E2DA3">
              <w:rPr>
                <w:rFonts w:ascii="Calibri" w:hAnsi="Calibri" w:eastAsia="Times New Roman" w:cs="Calibri"/>
                <w:b/>
                <w:bCs/>
                <w:color w:val="FFFFFF"/>
              </w:rPr>
              <w:t>Week</w:t>
            </w:r>
          </w:p>
        </w:tc>
        <w:tc>
          <w:tcPr>
            <w:tcW w:w="1783" w:type="dxa"/>
            <w:tcBorders>
              <w:top w:val="nil"/>
              <w:left w:val="nil"/>
              <w:bottom w:val="single" w:color="auto" w:sz="8" w:space="0"/>
              <w:right w:val="single" w:color="auto" w:sz="8" w:space="0"/>
            </w:tcBorders>
            <w:shd w:val="clear" w:color="000000" w:fill="002060"/>
            <w:vAlign w:val="center"/>
            <w:hideMark/>
          </w:tcPr>
          <w:p w:rsidRPr="00C12590" w:rsidR="0037205A" w:rsidP="004A5C4F" w:rsidRDefault="0037205A" w14:paraId="35F74319" w14:textId="77777777">
            <w:pPr>
              <w:spacing w:after="0" w:line="240" w:lineRule="auto"/>
              <w:rPr>
                <w:rFonts w:ascii="Calibri" w:hAnsi="Calibri" w:eastAsia="Times New Roman" w:cs="Calibri"/>
                <w:b/>
                <w:bCs/>
                <w:i/>
                <w:color w:val="FFFFFF"/>
              </w:rPr>
            </w:pPr>
            <w:r w:rsidRPr="00C12590">
              <w:rPr>
                <w:rFonts w:ascii="Calibri" w:hAnsi="Calibri" w:eastAsia="Times New Roman" w:cs="Calibri"/>
                <w:b/>
                <w:bCs/>
                <w:i/>
                <w:color w:val="FFFFFF"/>
              </w:rPr>
              <w:t>NSCG</w:t>
            </w:r>
          </w:p>
        </w:tc>
        <w:tc>
          <w:tcPr>
            <w:tcW w:w="1977" w:type="dxa"/>
            <w:gridSpan w:val="2"/>
            <w:tcBorders>
              <w:top w:val="nil"/>
              <w:left w:val="nil"/>
              <w:bottom w:val="single" w:color="auto" w:sz="8" w:space="0"/>
              <w:right w:val="single" w:color="auto" w:sz="8" w:space="0"/>
            </w:tcBorders>
            <w:shd w:val="clear" w:color="000000" w:fill="002060"/>
            <w:vAlign w:val="center"/>
            <w:hideMark/>
          </w:tcPr>
          <w:p w:rsidRPr="00C12590" w:rsidR="0037205A" w:rsidP="004A5C4F" w:rsidRDefault="0037205A" w14:paraId="69D5D758" w14:textId="77777777">
            <w:pPr>
              <w:spacing w:after="0" w:line="240" w:lineRule="auto"/>
              <w:rPr>
                <w:rFonts w:ascii="Calibri" w:hAnsi="Calibri" w:eastAsia="Times New Roman" w:cs="Calibri"/>
                <w:b/>
                <w:bCs/>
                <w:i/>
                <w:color w:val="FFFFFF"/>
              </w:rPr>
            </w:pPr>
            <w:r w:rsidRPr="00C12590">
              <w:rPr>
                <w:rFonts w:ascii="Calibri" w:hAnsi="Calibri" w:eastAsia="Times New Roman" w:cs="Calibri"/>
                <w:b/>
                <w:bCs/>
                <w:i/>
                <w:color w:val="FFFFFF"/>
              </w:rPr>
              <w:t>NHES</w:t>
            </w:r>
          </w:p>
        </w:tc>
        <w:tc>
          <w:tcPr>
            <w:tcW w:w="2250" w:type="dxa"/>
            <w:tcBorders>
              <w:top w:val="nil"/>
              <w:left w:val="nil"/>
              <w:bottom w:val="single" w:color="auto" w:sz="8" w:space="0"/>
              <w:right w:val="single" w:color="auto" w:sz="8" w:space="0"/>
            </w:tcBorders>
            <w:shd w:val="clear" w:color="000000" w:fill="002060"/>
            <w:vAlign w:val="center"/>
            <w:hideMark/>
          </w:tcPr>
          <w:p w:rsidRPr="00C12590" w:rsidR="0037205A" w:rsidP="004A5C4F" w:rsidRDefault="0037205A" w14:paraId="4BB32CD3" w14:textId="77777777">
            <w:pPr>
              <w:spacing w:after="0" w:line="240" w:lineRule="auto"/>
              <w:rPr>
                <w:rFonts w:ascii="Calibri" w:hAnsi="Calibri" w:eastAsia="Times New Roman" w:cs="Calibri"/>
                <w:b/>
                <w:bCs/>
                <w:i/>
                <w:color w:val="FFFFFF"/>
              </w:rPr>
            </w:pPr>
            <w:r w:rsidRPr="00C12590">
              <w:rPr>
                <w:rFonts w:ascii="Calibri" w:hAnsi="Calibri" w:eastAsia="Times New Roman" w:cs="Calibri"/>
                <w:b/>
                <w:bCs/>
                <w:i/>
                <w:color w:val="FFFFFF"/>
              </w:rPr>
              <w:t>CHOICE</w:t>
            </w:r>
          </w:p>
        </w:tc>
        <w:tc>
          <w:tcPr>
            <w:tcW w:w="2250" w:type="dxa"/>
            <w:tcBorders>
              <w:top w:val="nil"/>
              <w:left w:val="nil"/>
              <w:bottom w:val="single" w:color="auto" w:sz="8" w:space="0"/>
              <w:right w:val="single" w:color="auto" w:sz="8" w:space="0"/>
            </w:tcBorders>
            <w:shd w:val="clear" w:color="000000" w:fill="002060"/>
            <w:vAlign w:val="center"/>
            <w:hideMark/>
          </w:tcPr>
          <w:p w:rsidRPr="00C12590" w:rsidR="0037205A" w:rsidP="004A5C4F" w:rsidRDefault="0037205A" w14:paraId="33CB7D09" w14:textId="77777777">
            <w:pPr>
              <w:spacing w:after="0" w:line="240" w:lineRule="auto"/>
              <w:rPr>
                <w:rFonts w:ascii="Calibri" w:hAnsi="Calibri" w:eastAsia="Times New Roman" w:cs="Calibri"/>
                <w:b/>
                <w:bCs/>
                <w:i/>
                <w:color w:val="FFFFFF"/>
              </w:rPr>
            </w:pPr>
            <w:r w:rsidRPr="00C12590">
              <w:rPr>
                <w:rFonts w:ascii="Calibri" w:hAnsi="Calibri" w:eastAsia="Times New Roman" w:cs="Calibri"/>
                <w:b/>
                <w:bCs/>
                <w:i/>
                <w:color w:val="FFFFFF"/>
              </w:rPr>
              <w:t>CHOICEPLUS</w:t>
            </w:r>
          </w:p>
        </w:tc>
        <w:tc>
          <w:tcPr>
            <w:tcW w:w="2337" w:type="dxa"/>
            <w:gridSpan w:val="3"/>
            <w:tcBorders>
              <w:top w:val="nil"/>
              <w:left w:val="nil"/>
              <w:bottom w:val="single" w:color="auto" w:sz="8" w:space="0"/>
              <w:right w:val="single" w:color="auto" w:sz="8" w:space="0"/>
            </w:tcBorders>
            <w:shd w:val="clear" w:color="000000" w:fill="002060"/>
            <w:vAlign w:val="center"/>
            <w:hideMark/>
          </w:tcPr>
          <w:p w:rsidRPr="00C12590" w:rsidR="0037205A" w:rsidP="004A5C4F" w:rsidRDefault="0037205A" w14:paraId="208888B4" w14:textId="77777777">
            <w:pPr>
              <w:spacing w:after="0" w:line="240" w:lineRule="auto"/>
              <w:rPr>
                <w:rFonts w:ascii="Calibri" w:hAnsi="Calibri" w:eastAsia="Times New Roman" w:cs="Calibri"/>
                <w:b/>
                <w:bCs/>
                <w:i/>
                <w:color w:val="FFFFFF"/>
              </w:rPr>
            </w:pPr>
            <w:r w:rsidRPr="00C12590">
              <w:rPr>
                <w:rFonts w:ascii="Calibri" w:hAnsi="Calibri" w:eastAsia="Times New Roman" w:cs="Calibri"/>
                <w:b/>
                <w:bCs/>
                <w:i/>
                <w:color w:val="FFFFFF"/>
              </w:rPr>
              <w:t>PAP</w:t>
            </w:r>
          </w:p>
        </w:tc>
        <w:tc>
          <w:tcPr>
            <w:tcW w:w="2251" w:type="dxa"/>
            <w:tcBorders>
              <w:top w:val="nil"/>
              <w:left w:val="nil"/>
              <w:bottom w:val="single" w:color="auto" w:sz="8" w:space="0"/>
              <w:right w:val="single" w:color="auto" w:sz="8" w:space="0"/>
            </w:tcBorders>
            <w:shd w:val="clear" w:color="000000" w:fill="002060"/>
            <w:vAlign w:val="center"/>
            <w:hideMark/>
          </w:tcPr>
          <w:p w:rsidRPr="00C12590" w:rsidR="0037205A" w:rsidP="004A5C4F" w:rsidRDefault="0037205A" w14:paraId="30F13157" w14:textId="77777777">
            <w:pPr>
              <w:spacing w:after="0" w:line="240" w:lineRule="auto"/>
              <w:rPr>
                <w:rFonts w:ascii="Calibri" w:hAnsi="Calibri" w:eastAsia="Times New Roman" w:cs="Calibri"/>
                <w:b/>
                <w:bCs/>
                <w:i/>
                <w:color w:val="FFFFFF"/>
              </w:rPr>
            </w:pPr>
            <w:r w:rsidRPr="00C12590">
              <w:rPr>
                <w:rFonts w:ascii="Calibri" w:hAnsi="Calibri" w:eastAsia="Times New Roman" w:cs="Calibri"/>
                <w:b/>
                <w:bCs/>
                <w:i/>
                <w:color w:val="FFFFFF"/>
              </w:rPr>
              <w:t>CAT</w:t>
            </w:r>
          </w:p>
        </w:tc>
      </w:tr>
      <w:tr w:rsidRPr="004E2DA3" w:rsidR="00AF7F45" w:rsidTr="007C23DD" w14:paraId="0C5BB261" w14:textId="77777777">
        <w:trPr>
          <w:trHeight w:val="322"/>
          <w:jc w:val="center"/>
        </w:trPr>
        <w:tc>
          <w:tcPr>
            <w:tcW w:w="827"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4E2DA3" w:rsidR="0037205A" w:rsidP="00706253" w:rsidRDefault="0037205A" w14:paraId="57AD03A1" w14:textId="77777777">
            <w:pPr>
              <w:spacing w:after="0" w:line="240" w:lineRule="auto"/>
              <w:rPr>
                <w:rFonts w:ascii="Calibri" w:hAnsi="Calibri" w:eastAsia="Times New Roman" w:cs="Calibri"/>
                <w:color w:val="000000"/>
                <w:sz w:val="20"/>
                <w:szCs w:val="20"/>
              </w:rPr>
            </w:pPr>
            <w:r w:rsidRPr="004E2DA3">
              <w:rPr>
                <w:rFonts w:ascii="Calibri" w:hAnsi="Calibri" w:eastAsia="Times New Roman" w:cs="Calibri"/>
                <w:color w:val="000000"/>
                <w:sz w:val="20"/>
                <w:szCs w:val="20"/>
              </w:rPr>
              <w:t>1</w:t>
            </w:r>
          </w:p>
        </w:tc>
        <w:tc>
          <w:tcPr>
            <w:tcW w:w="1783" w:type="dxa"/>
            <w:vMerge w:val="restart"/>
            <w:tcBorders>
              <w:top w:val="single" w:color="auto" w:sz="8" w:space="0"/>
              <w:left w:val="single" w:color="auto" w:sz="8" w:space="0"/>
              <w:bottom w:val="single" w:color="auto" w:sz="8" w:space="0"/>
              <w:right w:val="single" w:color="auto" w:sz="8" w:space="0"/>
            </w:tcBorders>
            <w:shd w:val="clear" w:color="auto" w:fill="B4C6E7" w:themeFill="accent1" w:themeFillTint="66"/>
            <w:hideMark/>
          </w:tcPr>
          <w:p w:rsidRPr="00AF7F45" w:rsidR="0037205A" w:rsidP="00AF7F45" w:rsidRDefault="0037205A" w14:paraId="460B5A29" w14:textId="3CDD7768">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invite letter</w:t>
            </w:r>
          </w:p>
        </w:tc>
        <w:tc>
          <w:tcPr>
            <w:tcW w:w="1977" w:type="dxa"/>
            <w:gridSpan w:val="2"/>
            <w:vMerge w:val="restart"/>
            <w:tcBorders>
              <w:top w:val="single" w:color="auto" w:sz="8" w:space="0"/>
              <w:left w:val="single" w:color="auto" w:sz="8" w:space="0"/>
              <w:bottom w:val="single" w:color="auto" w:sz="8" w:space="0"/>
              <w:right w:val="single" w:color="auto" w:sz="8" w:space="0"/>
            </w:tcBorders>
            <w:shd w:val="clear" w:color="auto" w:fill="B4C6E7" w:themeFill="accent1" w:themeFillTint="66"/>
            <w:hideMark/>
          </w:tcPr>
          <w:p w:rsidRPr="00AF7F45" w:rsidR="0037205A" w:rsidP="00AF7F45" w:rsidRDefault="0037205A" w14:paraId="3C8E9EFA" w14:textId="173AA5D4">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invite letter</w:t>
            </w:r>
          </w:p>
        </w:tc>
        <w:tc>
          <w:tcPr>
            <w:tcW w:w="2250" w:type="dxa"/>
            <w:vMerge w:val="restart"/>
            <w:tcBorders>
              <w:top w:val="single" w:color="auto" w:sz="8" w:space="0"/>
              <w:left w:val="single" w:color="auto" w:sz="8" w:space="0"/>
              <w:bottom w:val="single" w:color="auto" w:sz="8" w:space="0"/>
              <w:right w:val="single" w:color="auto" w:sz="8" w:space="0"/>
            </w:tcBorders>
            <w:shd w:val="clear" w:color="auto" w:fill="C5E0B3" w:themeFill="accent6" w:themeFillTint="66"/>
            <w:hideMark/>
          </w:tcPr>
          <w:p w:rsidRPr="00AF7F45" w:rsidR="0037205A" w:rsidP="00AF7F45" w:rsidRDefault="0037205A" w14:paraId="4675AC9E" w14:textId="38E26DB6">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Choice invite letter and questionnaire</w:t>
            </w:r>
          </w:p>
        </w:tc>
        <w:tc>
          <w:tcPr>
            <w:tcW w:w="2250" w:type="dxa"/>
            <w:vMerge w:val="restart"/>
            <w:tcBorders>
              <w:top w:val="single" w:color="auto" w:sz="8" w:space="0"/>
              <w:left w:val="single" w:color="auto" w:sz="8" w:space="0"/>
              <w:bottom w:val="single" w:color="auto" w:sz="8" w:space="0"/>
              <w:right w:val="single" w:color="auto" w:sz="8" w:space="0"/>
            </w:tcBorders>
            <w:shd w:val="clear" w:color="auto" w:fill="C5E0B3" w:themeFill="accent6" w:themeFillTint="66"/>
            <w:hideMark/>
          </w:tcPr>
          <w:p w:rsidRPr="00AF7F45" w:rsidR="0037205A" w:rsidP="00AF7F45" w:rsidRDefault="0037205A" w14:paraId="2B6C1466" w14:textId="1509BBE5">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Choice-plus invite letter</w:t>
            </w:r>
            <w:r w:rsidRPr="00AF7F45">
              <w:rPr>
                <w:rFonts w:ascii="Calibri" w:hAnsi="Calibri" w:eastAsia="Times New Roman" w:cs="Calibri"/>
                <w:color w:val="000000"/>
                <w:sz w:val="20"/>
                <w:szCs w:val="20"/>
                <w:vertAlign w:val="superscript"/>
              </w:rPr>
              <w:t>1</w:t>
            </w:r>
            <w:r w:rsidRPr="00AF7F45">
              <w:rPr>
                <w:rFonts w:ascii="Calibri" w:hAnsi="Calibri" w:eastAsia="Times New Roman" w:cs="Calibri"/>
                <w:color w:val="000000"/>
                <w:sz w:val="20"/>
                <w:szCs w:val="20"/>
              </w:rPr>
              <w:t xml:space="preserve"> and questionnaire</w:t>
            </w:r>
          </w:p>
        </w:tc>
        <w:tc>
          <w:tcPr>
            <w:tcW w:w="2337" w:type="dxa"/>
            <w:gridSpan w:val="3"/>
            <w:vMerge w:val="restart"/>
            <w:tcBorders>
              <w:top w:val="single" w:color="auto" w:sz="8" w:space="0"/>
              <w:left w:val="single" w:color="auto" w:sz="8" w:space="0"/>
              <w:bottom w:val="single" w:color="auto" w:sz="8" w:space="0"/>
              <w:right w:val="single" w:color="auto" w:sz="8" w:space="0"/>
            </w:tcBorders>
            <w:shd w:val="clear" w:color="auto" w:fill="FFE599" w:themeFill="accent4" w:themeFillTint="66"/>
            <w:hideMark/>
          </w:tcPr>
          <w:p w:rsidRPr="00AF7F45" w:rsidR="0037205A" w:rsidP="00AF7F45" w:rsidRDefault="0037205A" w14:paraId="6C574F37" w14:textId="2E99D7E4">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Paper-only invite letter and questionnaire</w:t>
            </w:r>
          </w:p>
        </w:tc>
        <w:tc>
          <w:tcPr>
            <w:tcW w:w="2251" w:type="dxa"/>
            <w:tcBorders>
              <w:top w:val="single" w:color="auto" w:sz="8" w:space="0"/>
              <w:left w:val="nil"/>
              <w:bottom w:val="single" w:color="auto" w:sz="8" w:space="0"/>
              <w:right w:val="single" w:color="auto" w:sz="8" w:space="0"/>
            </w:tcBorders>
            <w:shd w:val="clear" w:color="auto" w:fill="D9D9D9" w:themeFill="background1" w:themeFillShade="D9"/>
            <w:hideMark/>
          </w:tcPr>
          <w:p w:rsidRPr="00AF7F45" w:rsidR="0037205A" w:rsidP="00AF7F45" w:rsidRDefault="0037205A" w14:paraId="6C86D9BA" w14:textId="04F3C75D">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 xml:space="preserve">CATI advance letter </w:t>
            </w:r>
          </w:p>
        </w:tc>
      </w:tr>
      <w:tr w:rsidRPr="004E2DA3" w:rsidR="00AF7F45" w:rsidTr="007C23DD" w14:paraId="36235FD0" w14:textId="77777777">
        <w:trPr>
          <w:trHeight w:val="50"/>
          <w:jc w:val="center"/>
        </w:trPr>
        <w:tc>
          <w:tcPr>
            <w:tcW w:w="827" w:type="dxa"/>
            <w:vMerge/>
            <w:tcBorders>
              <w:top w:val="single" w:color="auto" w:sz="8" w:space="0"/>
              <w:left w:val="single" w:color="auto" w:sz="8" w:space="0"/>
              <w:bottom w:val="single" w:color="auto" w:sz="8" w:space="0"/>
              <w:right w:val="single" w:color="auto" w:sz="8" w:space="0"/>
            </w:tcBorders>
            <w:vAlign w:val="center"/>
            <w:hideMark/>
          </w:tcPr>
          <w:p w:rsidRPr="004E2DA3" w:rsidR="0037205A" w:rsidP="00706253" w:rsidRDefault="0037205A" w14:paraId="34D6E5D1" w14:textId="77777777">
            <w:pPr>
              <w:spacing w:after="0" w:line="240" w:lineRule="auto"/>
              <w:rPr>
                <w:rFonts w:ascii="Calibri" w:hAnsi="Calibri" w:eastAsia="Times New Roman" w:cs="Calibri"/>
                <w:color w:val="000000"/>
                <w:sz w:val="20"/>
                <w:szCs w:val="20"/>
              </w:rPr>
            </w:pPr>
          </w:p>
        </w:tc>
        <w:tc>
          <w:tcPr>
            <w:tcW w:w="1783" w:type="dxa"/>
            <w:vMerge/>
            <w:tcBorders>
              <w:top w:val="single" w:color="auto" w:sz="8" w:space="0"/>
              <w:left w:val="single" w:color="auto" w:sz="8" w:space="0"/>
              <w:bottom w:val="single" w:color="auto" w:sz="8" w:space="0"/>
              <w:right w:val="single" w:color="auto" w:sz="8" w:space="0"/>
            </w:tcBorders>
            <w:shd w:val="clear" w:color="auto" w:fill="B4C6E7" w:themeFill="accent1" w:themeFillTint="66"/>
            <w:hideMark/>
          </w:tcPr>
          <w:p w:rsidRPr="00AF7F45" w:rsidR="0037205A" w:rsidP="00AF7F45" w:rsidRDefault="0037205A" w14:paraId="0520D6E0" w14:textId="77777777">
            <w:pPr>
              <w:spacing w:after="0" w:line="240" w:lineRule="auto"/>
              <w:rPr>
                <w:rFonts w:ascii="Calibri" w:hAnsi="Calibri" w:eastAsia="Times New Roman" w:cs="Calibri"/>
                <w:color w:val="000000"/>
                <w:sz w:val="20"/>
                <w:szCs w:val="20"/>
              </w:rPr>
            </w:pPr>
          </w:p>
        </w:tc>
        <w:tc>
          <w:tcPr>
            <w:tcW w:w="1977" w:type="dxa"/>
            <w:gridSpan w:val="2"/>
            <w:vMerge/>
            <w:tcBorders>
              <w:top w:val="single" w:color="auto" w:sz="8" w:space="0"/>
              <w:left w:val="single" w:color="auto" w:sz="8" w:space="0"/>
              <w:bottom w:val="single" w:color="auto" w:sz="8" w:space="0"/>
              <w:right w:val="single" w:color="auto" w:sz="8" w:space="0"/>
            </w:tcBorders>
            <w:shd w:val="clear" w:color="auto" w:fill="B4C6E7" w:themeFill="accent1" w:themeFillTint="66"/>
            <w:hideMark/>
          </w:tcPr>
          <w:p w:rsidRPr="00AF7F45" w:rsidR="0037205A" w:rsidP="00AF7F45" w:rsidRDefault="0037205A" w14:paraId="57DFF2BD" w14:textId="77777777">
            <w:pPr>
              <w:spacing w:after="0" w:line="240" w:lineRule="auto"/>
              <w:rPr>
                <w:rFonts w:ascii="Calibri" w:hAnsi="Calibri" w:eastAsia="Times New Roman" w:cs="Calibri"/>
                <w:color w:val="000000"/>
                <w:sz w:val="20"/>
                <w:szCs w:val="20"/>
              </w:rPr>
            </w:pPr>
          </w:p>
        </w:tc>
        <w:tc>
          <w:tcPr>
            <w:tcW w:w="2250" w:type="dxa"/>
            <w:vMerge/>
            <w:tcBorders>
              <w:top w:val="single" w:color="auto" w:sz="8" w:space="0"/>
              <w:left w:val="single" w:color="auto" w:sz="8" w:space="0"/>
              <w:bottom w:val="single" w:color="auto" w:sz="8" w:space="0"/>
              <w:right w:val="single" w:color="auto" w:sz="8" w:space="0"/>
            </w:tcBorders>
            <w:shd w:val="clear" w:color="auto" w:fill="C5E0B3" w:themeFill="accent6" w:themeFillTint="66"/>
            <w:hideMark/>
          </w:tcPr>
          <w:p w:rsidRPr="00AF7F45" w:rsidR="0037205A" w:rsidP="00AF7F45" w:rsidRDefault="0037205A" w14:paraId="457032AC" w14:textId="77777777">
            <w:pPr>
              <w:spacing w:after="0" w:line="240" w:lineRule="auto"/>
              <w:rPr>
                <w:rFonts w:ascii="Calibri" w:hAnsi="Calibri" w:eastAsia="Times New Roman" w:cs="Calibri"/>
                <w:color w:val="000000"/>
                <w:sz w:val="20"/>
                <w:szCs w:val="20"/>
              </w:rPr>
            </w:pPr>
          </w:p>
        </w:tc>
        <w:tc>
          <w:tcPr>
            <w:tcW w:w="2250" w:type="dxa"/>
            <w:vMerge/>
            <w:tcBorders>
              <w:top w:val="single" w:color="auto" w:sz="8" w:space="0"/>
              <w:left w:val="single" w:color="auto" w:sz="8" w:space="0"/>
              <w:bottom w:val="single" w:color="auto" w:sz="8" w:space="0"/>
              <w:right w:val="single" w:color="auto" w:sz="8" w:space="0"/>
            </w:tcBorders>
            <w:shd w:val="clear" w:color="auto" w:fill="C5E0B3" w:themeFill="accent6" w:themeFillTint="66"/>
            <w:hideMark/>
          </w:tcPr>
          <w:p w:rsidRPr="00AF7F45" w:rsidR="0037205A" w:rsidP="00AF7F45" w:rsidRDefault="0037205A" w14:paraId="7C54CD8B" w14:textId="77777777">
            <w:pPr>
              <w:spacing w:after="0" w:line="240" w:lineRule="auto"/>
              <w:rPr>
                <w:rFonts w:ascii="Calibri" w:hAnsi="Calibri" w:eastAsia="Times New Roman" w:cs="Calibri"/>
                <w:color w:val="000000"/>
                <w:sz w:val="20"/>
                <w:szCs w:val="20"/>
              </w:rPr>
            </w:pPr>
          </w:p>
        </w:tc>
        <w:tc>
          <w:tcPr>
            <w:tcW w:w="2337" w:type="dxa"/>
            <w:gridSpan w:val="3"/>
            <w:vMerge/>
            <w:tcBorders>
              <w:top w:val="single" w:color="auto" w:sz="8" w:space="0"/>
              <w:left w:val="single" w:color="auto" w:sz="8" w:space="0"/>
              <w:bottom w:val="single" w:color="auto" w:sz="8" w:space="0"/>
              <w:right w:val="single" w:color="auto" w:sz="8" w:space="0"/>
            </w:tcBorders>
            <w:shd w:val="clear" w:color="auto" w:fill="FFE599" w:themeFill="accent4" w:themeFillTint="66"/>
            <w:hideMark/>
          </w:tcPr>
          <w:p w:rsidRPr="00AF7F45" w:rsidR="0037205A" w:rsidP="00AF7F45" w:rsidRDefault="0037205A" w14:paraId="5C5E3E43" w14:textId="77777777">
            <w:pPr>
              <w:spacing w:after="0" w:line="240" w:lineRule="auto"/>
              <w:rPr>
                <w:rFonts w:ascii="Calibri" w:hAnsi="Calibri" w:eastAsia="Times New Roman" w:cs="Calibri"/>
                <w:color w:val="000000"/>
                <w:sz w:val="20"/>
                <w:szCs w:val="20"/>
              </w:rPr>
            </w:pPr>
          </w:p>
        </w:tc>
        <w:tc>
          <w:tcPr>
            <w:tcW w:w="2251" w:type="dxa"/>
            <w:tcBorders>
              <w:top w:val="single" w:color="auto" w:sz="8" w:space="0"/>
              <w:left w:val="nil"/>
              <w:bottom w:val="single" w:color="auto" w:sz="8" w:space="0"/>
              <w:right w:val="single" w:color="auto" w:sz="8" w:space="0"/>
            </w:tcBorders>
            <w:shd w:val="clear" w:color="auto" w:fill="F7CAAC" w:themeFill="accent2" w:themeFillTint="66"/>
            <w:hideMark/>
          </w:tcPr>
          <w:p w:rsidRPr="00AF7F45" w:rsidR="0037205A" w:rsidP="00AF7F45" w:rsidRDefault="0037205A" w14:paraId="2687786B" w14:textId="303CA088">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begins</w:t>
            </w:r>
            <w:r w:rsidRPr="00AF7F45">
              <w:rPr>
                <w:rFonts w:ascii="Calibri" w:hAnsi="Calibri" w:eastAsia="Times New Roman" w:cs="Calibri"/>
                <w:color w:val="000000"/>
                <w:sz w:val="20"/>
                <w:szCs w:val="20"/>
                <w:vertAlign w:val="superscript"/>
              </w:rPr>
              <w:t>2</w:t>
            </w:r>
          </w:p>
        </w:tc>
      </w:tr>
      <w:tr w:rsidRPr="004E2DA3" w:rsidR="00AF7F45" w:rsidTr="007C23DD" w14:paraId="3207F797" w14:textId="77777777">
        <w:trPr>
          <w:trHeight w:val="160"/>
          <w:jc w:val="center"/>
        </w:trPr>
        <w:tc>
          <w:tcPr>
            <w:tcW w:w="82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E2DA3" w:rsidR="0037205A" w:rsidP="00706253" w:rsidRDefault="0037205A" w14:paraId="061F7839" w14:textId="77777777">
            <w:pPr>
              <w:spacing w:after="0" w:line="240" w:lineRule="auto"/>
              <w:rPr>
                <w:rFonts w:ascii="Calibri" w:hAnsi="Calibri" w:eastAsia="Times New Roman" w:cs="Calibri"/>
                <w:color w:val="000000"/>
                <w:sz w:val="20"/>
                <w:szCs w:val="20"/>
              </w:rPr>
            </w:pPr>
            <w:r w:rsidRPr="004E2DA3">
              <w:rPr>
                <w:rFonts w:ascii="Calibri" w:hAnsi="Calibri" w:eastAsia="Times New Roman" w:cs="Calibri"/>
                <w:color w:val="000000"/>
                <w:sz w:val="20"/>
                <w:szCs w:val="20"/>
              </w:rPr>
              <w:t>2</w:t>
            </w:r>
          </w:p>
        </w:tc>
        <w:tc>
          <w:tcPr>
            <w:tcW w:w="1783" w:type="dxa"/>
            <w:tcBorders>
              <w:top w:val="single" w:color="auto" w:sz="8" w:space="0"/>
              <w:left w:val="single" w:color="auto" w:sz="8" w:space="0"/>
              <w:bottom w:val="single" w:color="auto" w:sz="8" w:space="0"/>
              <w:right w:val="single" w:color="auto" w:sz="8" w:space="0"/>
            </w:tcBorders>
            <w:shd w:val="clear" w:color="auto" w:fill="B4C6E7" w:themeFill="accent1" w:themeFillTint="66"/>
            <w:hideMark/>
          </w:tcPr>
          <w:p w:rsidRPr="00AF7F45" w:rsidR="0037205A" w:rsidP="00AF7F45" w:rsidRDefault="00AF7F45" w14:paraId="28BA585D" w14:textId="3E39F2A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Web p</w:t>
            </w:r>
            <w:r w:rsidRPr="00AF7F45" w:rsidR="0037205A">
              <w:rPr>
                <w:rFonts w:ascii="Calibri" w:hAnsi="Calibri" w:eastAsia="Times New Roman" w:cs="Calibri"/>
                <w:color w:val="000000"/>
                <w:sz w:val="20"/>
                <w:szCs w:val="20"/>
              </w:rPr>
              <w:t xml:space="preserve">erforated </w:t>
            </w:r>
            <w:r>
              <w:rPr>
                <w:rFonts w:ascii="Calibri" w:hAnsi="Calibri" w:eastAsia="Times New Roman" w:cs="Calibri"/>
                <w:color w:val="000000"/>
                <w:sz w:val="20"/>
                <w:szCs w:val="20"/>
              </w:rPr>
              <w:t>mailer</w:t>
            </w:r>
          </w:p>
        </w:tc>
        <w:tc>
          <w:tcPr>
            <w:tcW w:w="1977" w:type="dxa"/>
            <w:gridSpan w:val="2"/>
            <w:tcBorders>
              <w:top w:val="single" w:color="auto" w:sz="8" w:space="0"/>
              <w:left w:val="single" w:color="auto" w:sz="8" w:space="0"/>
              <w:bottom w:val="single" w:color="auto" w:sz="8" w:space="0"/>
              <w:right w:val="single" w:color="auto" w:sz="8" w:space="0"/>
            </w:tcBorders>
            <w:shd w:val="clear" w:color="auto" w:fill="B4C6E7" w:themeFill="accent1" w:themeFillTint="66"/>
            <w:hideMark/>
          </w:tcPr>
          <w:p w:rsidRPr="00AF7F45" w:rsidR="0037205A" w:rsidP="00AF7F45" w:rsidRDefault="00AF7F45" w14:paraId="0FDCB1D2" w14:textId="0752938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Web p</w:t>
            </w:r>
            <w:r w:rsidRPr="00AF7F45" w:rsidR="0037205A">
              <w:rPr>
                <w:rFonts w:ascii="Calibri" w:hAnsi="Calibri" w:eastAsia="Times New Roman" w:cs="Calibri"/>
                <w:color w:val="000000"/>
                <w:sz w:val="20"/>
                <w:szCs w:val="20"/>
              </w:rPr>
              <w:t xml:space="preserve">erforated </w:t>
            </w:r>
            <w:r>
              <w:rPr>
                <w:rFonts w:ascii="Calibri" w:hAnsi="Calibri" w:eastAsia="Times New Roman" w:cs="Calibri"/>
                <w:color w:val="000000"/>
                <w:sz w:val="20"/>
                <w:szCs w:val="20"/>
              </w:rPr>
              <w:t>mailer</w:t>
            </w:r>
          </w:p>
        </w:tc>
        <w:tc>
          <w:tcPr>
            <w:tcW w:w="2250" w:type="dxa"/>
            <w:tcBorders>
              <w:top w:val="single" w:color="auto" w:sz="8" w:space="0"/>
              <w:left w:val="single" w:color="auto" w:sz="8" w:space="0"/>
              <w:bottom w:val="single" w:color="auto" w:sz="8" w:space="0"/>
              <w:right w:val="single" w:color="auto" w:sz="8" w:space="0"/>
            </w:tcBorders>
            <w:shd w:val="clear" w:color="auto" w:fill="B4C6E7" w:themeFill="accent1" w:themeFillTint="66"/>
            <w:hideMark/>
          </w:tcPr>
          <w:p w:rsidRPr="00AF7F45" w:rsidR="0037205A" w:rsidP="00AF7F45" w:rsidRDefault="00AF7F45" w14:paraId="209E7279" w14:textId="2CEB054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Choice p</w:t>
            </w:r>
            <w:r w:rsidRPr="00AF7F45" w:rsidR="0037205A">
              <w:rPr>
                <w:rFonts w:ascii="Calibri" w:hAnsi="Calibri" w:eastAsia="Times New Roman" w:cs="Calibri"/>
                <w:color w:val="000000"/>
                <w:sz w:val="20"/>
                <w:szCs w:val="20"/>
              </w:rPr>
              <w:t xml:space="preserve">erforated </w:t>
            </w:r>
            <w:r>
              <w:rPr>
                <w:rFonts w:ascii="Calibri" w:hAnsi="Calibri" w:eastAsia="Times New Roman" w:cs="Calibri"/>
                <w:color w:val="000000"/>
                <w:sz w:val="20"/>
                <w:szCs w:val="20"/>
              </w:rPr>
              <w:t>mailer</w:t>
            </w:r>
          </w:p>
        </w:tc>
        <w:tc>
          <w:tcPr>
            <w:tcW w:w="2250" w:type="dxa"/>
            <w:tcBorders>
              <w:top w:val="single" w:color="auto" w:sz="8" w:space="0"/>
              <w:left w:val="single" w:color="auto" w:sz="8" w:space="0"/>
              <w:bottom w:val="single" w:color="auto" w:sz="8" w:space="0"/>
              <w:right w:val="single" w:color="auto" w:sz="8" w:space="0"/>
            </w:tcBorders>
            <w:shd w:val="clear" w:color="auto" w:fill="B4C6E7" w:themeFill="accent1" w:themeFillTint="66"/>
            <w:hideMark/>
          </w:tcPr>
          <w:p w:rsidRPr="00AF7F45" w:rsidR="0037205A" w:rsidP="00AF7F45" w:rsidRDefault="00AF7F45" w14:paraId="799A53BC" w14:textId="7EC77503">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C</w:t>
            </w:r>
            <w:r w:rsidRPr="00AF7F45" w:rsidR="0037205A">
              <w:rPr>
                <w:rFonts w:ascii="Calibri" w:hAnsi="Calibri" w:eastAsia="Times New Roman" w:cs="Calibri"/>
                <w:color w:val="000000"/>
                <w:sz w:val="20"/>
                <w:szCs w:val="20"/>
              </w:rPr>
              <w:t xml:space="preserve">hoice-plus </w:t>
            </w:r>
            <w:r>
              <w:rPr>
                <w:rFonts w:ascii="Calibri" w:hAnsi="Calibri" w:eastAsia="Times New Roman" w:cs="Calibri"/>
                <w:color w:val="000000"/>
                <w:sz w:val="20"/>
                <w:szCs w:val="20"/>
              </w:rPr>
              <w:t>perforated mailer</w:t>
            </w:r>
          </w:p>
        </w:tc>
        <w:tc>
          <w:tcPr>
            <w:tcW w:w="2337" w:type="dxa"/>
            <w:gridSpan w:val="3"/>
            <w:tcBorders>
              <w:top w:val="single" w:color="auto" w:sz="8" w:space="0"/>
              <w:left w:val="single" w:color="auto" w:sz="8" w:space="0"/>
              <w:bottom w:val="single" w:color="auto" w:sz="8" w:space="0"/>
              <w:right w:val="single" w:color="auto" w:sz="8" w:space="0"/>
            </w:tcBorders>
            <w:shd w:val="clear" w:color="auto" w:fill="D9D9D9" w:themeFill="background1" w:themeFillShade="D9"/>
            <w:hideMark/>
          </w:tcPr>
          <w:p w:rsidRPr="00AF7F45" w:rsidR="0037205A" w:rsidP="00AF7F45" w:rsidRDefault="0037205A" w14:paraId="308B53F3" w14:textId="02093574">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P</w:t>
            </w:r>
            <w:r w:rsidR="00AF7F45">
              <w:rPr>
                <w:rFonts w:ascii="Calibri" w:hAnsi="Calibri" w:eastAsia="Times New Roman" w:cs="Calibri"/>
                <w:color w:val="000000"/>
                <w:sz w:val="20"/>
                <w:szCs w:val="20"/>
              </w:rPr>
              <w:t>aper p</w:t>
            </w:r>
            <w:r w:rsidRPr="00AF7F45">
              <w:rPr>
                <w:rFonts w:ascii="Calibri" w:hAnsi="Calibri" w:eastAsia="Times New Roman" w:cs="Calibri"/>
                <w:color w:val="000000"/>
                <w:sz w:val="20"/>
                <w:szCs w:val="20"/>
              </w:rPr>
              <w:t xml:space="preserve">erforated </w:t>
            </w:r>
            <w:r w:rsidR="00AF7F45">
              <w:rPr>
                <w:rFonts w:ascii="Calibri" w:hAnsi="Calibri" w:eastAsia="Times New Roman" w:cs="Calibri"/>
                <w:color w:val="000000"/>
                <w:sz w:val="20"/>
                <w:szCs w:val="20"/>
              </w:rPr>
              <w:t>mailer</w:t>
            </w:r>
          </w:p>
        </w:tc>
        <w:tc>
          <w:tcPr>
            <w:tcW w:w="2251" w:type="dxa"/>
            <w:tcBorders>
              <w:top w:val="single" w:color="auto" w:sz="8" w:space="0"/>
              <w:left w:val="single" w:color="auto" w:sz="8" w:space="0"/>
              <w:bottom w:val="single" w:color="auto" w:sz="8" w:space="0"/>
              <w:right w:val="single" w:color="auto" w:sz="8" w:space="0"/>
            </w:tcBorders>
            <w:shd w:val="clear" w:color="auto" w:fill="D9D9D9" w:themeFill="background1" w:themeFillShade="D9"/>
            <w:hideMark/>
          </w:tcPr>
          <w:p w:rsidRPr="00AF7F45" w:rsidR="0037205A" w:rsidP="00AF7F45" w:rsidRDefault="00AF7F45" w14:paraId="6C206678" w14:textId="2B65646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CATI p</w:t>
            </w:r>
            <w:r w:rsidRPr="00AF7F45" w:rsidR="0037205A">
              <w:rPr>
                <w:rFonts w:ascii="Calibri" w:hAnsi="Calibri" w:eastAsia="Times New Roman" w:cs="Calibri"/>
                <w:color w:val="000000"/>
                <w:sz w:val="20"/>
                <w:szCs w:val="20"/>
              </w:rPr>
              <w:t xml:space="preserve">erforated </w:t>
            </w:r>
            <w:r>
              <w:rPr>
                <w:rFonts w:ascii="Calibri" w:hAnsi="Calibri" w:eastAsia="Times New Roman" w:cs="Calibri"/>
                <w:color w:val="000000"/>
                <w:sz w:val="20"/>
                <w:szCs w:val="20"/>
              </w:rPr>
              <w:t>mailer</w:t>
            </w:r>
          </w:p>
        </w:tc>
      </w:tr>
      <w:tr w:rsidRPr="004E2DA3" w:rsidR="00AF7F45" w:rsidTr="007C23DD" w14:paraId="7F2985F0" w14:textId="77777777">
        <w:trPr>
          <w:trHeight w:val="530"/>
          <w:jc w:val="center"/>
        </w:trPr>
        <w:tc>
          <w:tcPr>
            <w:tcW w:w="82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E2DA3" w:rsidR="0037205A" w:rsidP="00706253" w:rsidRDefault="0037205A" w14:paraId="76B22834" w14:textId="77777777">
            <w:pPr>
              <w:spacing w:after="0" w:line="240" w:lineRule="auto"/>
              <w:rPr>
                <w:rFonts w:ascii="Calibri" w:hAnsi="Calibri" w:eastAsia="Times New Roman" w:cs="Calibri"/>
                <w:color w:val="000000"/>
                <w:sz w:val="20"/>
                <w:szCs w:val="20"/>
              </w:rPr>
            </w:pPr>
            <w:r w:rsidRPr="004E2DA3">
              <w:rPr>
                <w:rFonts w:ascii="Calibri" w:hAnsi="Calibri" w:eastAsia="Times New Roman" w:cs="Calibri"/>
                <w:color w:val="000000"/>
                <w:sz w:val="20"/>
                <w:szCs w:val="20"/>
              </w:rPr>
              <w:t>5</w:t>
            </w:r>
          </w:p>
        </w:tc>
        <w:tc>
          <w:tcPr>
            <w:tcW w:w="1783" w:type="dxa"/>
            <w:tcBorders>
              <w:top w:val="single" w:color="auto" w:sz="8" w:space="0"/>
              <w:left w:val="single" w:color="auto" w:sz="8" w:space="0"/>
              <w:bottom w:val="single" w:color="auto" w:sz="8" w:space="0"/>
              <w:right w:val="single" w:color="auto" w:sz="8" w:space="0"/>
            </w:tcBorders>
            <w:shd w:val="clear" w:color="auto" w:fill="B4C6E7" w:themeFill="accent1" w:themeFillTint="66"/>
            <w:hideMark/>
          </w:tcPr>
          <w:p w:rsidRPr="00AF7F45" w:rsidR="0037205A" w:rsidP="00AF7F45" w:rsidRDefault="0037205A" w14:paraId="19B0AB77" w14:textId="3F72306A">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w:t>
            </w:r>
            <w:r w:rsidRPr="00AF7F45" w:rsidR="00AF7F45">
              <w:rPr>
                <w:rFonts w:ascii="Calibri" w:hAnsi="Calibri" w:eastAsia="Times New Roman" w:cs="Calibri"/>
                <w:color w:val="000000"/>
                <w:sz w:val="20"/>
                <w:szCs w:val="20"/>
              </w:rPr>
              <w:t>-</w:t>
            </w:r>
            <w:r w:rsidRPr="00AF7F45">
              <w:rPr>
                <w:rFonts w:ascii="Calibri" w:hAnsi="Calibri" w:eastAsia="Times New Roman" w:cs="Calibri"/>
                <w:color w:val="000000"/>
                <w:sz w:val="20"/>
                <w:szCs w:val="20"/>
              </w:rPr>
              <w:t xml:space="preserve">style web </w:t>
            </w:r>
            <w:r w:rsidRPr="00AF7F45" w:rsidR="00AF7F45">
              <w:rPr>
                <w:rFonts w:ascii="Calibri" w:hAnsi="Calibri" w:eastAsia="Times New Roman" w:cs="Calibri"/>
                <w:color w:val="000000"/>
                <w:sz w:val="20"/>
                <w:szCs w:val="20"/>
              </w:rPr>
              <w:t>letter</w:t>
            </w:r>
            <w:r w:rsidRPr="00AF7F45" w:rsidR="00AF7F45">
              <w:rPr>
                <w:rFonts w:ascii="Calibri" w:hAnsi="Calibri" w:eastAsia="Times New Roman" w:cs="Calibri"/>
                <w:color w:val="000000"/>
                <w:sz w:val="20"/>
                <w:szCs w:val="20"/>
                <w:vertAlign w:val="superscript"/>
              </w:rPr>
              <w:t>3</w:t>
            </w:r>
          </w:p>
        </w:tc>
        <w:tc>
          <w:tcPr>
            <w:tcW w:w="1977" w:type="dxa"/>
            <w:gridSpan w:val="2"/>
            <w:tcBorders>
              <w:top w:val="single" w:color="auto" w:sz="8" w:space="0"/>
              <w:left w:val="single" w:color="auto" w:sz="8" w:space="0"/>
              <w:bottom w:val="single" w:color="auto" w:sz="8" w:space="0"/>
              <w:right w:val="single" w:color="auto" w:sz="8" w:space="0"/>
            </w:tcBorders>
            <w:shd w:val="clear" w:color="auto" w:fill="B4C6E7" w:themeFill="accent1" w:themeFillTint="66"/>
            <w:hideMark/>
          </w:tcPr>
          <w:p w:rsidRPr="00AF7F45" w:rsidR="0037205A" w:rsidP="00AF7F45" w:rsidRDefault="0037205A" w14:paraId="29AEB352" w14:textId="26258888">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w:t>
            </w:r>
            <w:r w:rsidRPr="00AF7F45" w:rsidR="00AF7F45">
              <w:rPr>
                <w:rFonts w:ascii="Calibri" w:hAnsi="Calibri" w:eastAsia="Times New Roman" w:cs="Calibri"/>
                <w:color w:val="000000"/>
                <w:sz w:val="20"/>
                <w:szCs w:val="20"/>
              </w:rPr>
              <w:t>-</w:t>
            </w:r>
            <w:r w:rsidRPr="00AF7F45">
              <w:rPr>
                <w:rFonts w:ascii="Calibri" w:hAnsi="Calibri" w:eastAsia="Times New Roman" w:cs="Calibri"/>
                <w:color w:val="000000"/>
                <w:sz w:val="20"/>
                <w:szCs w:val="20"/>
              </w:rPr>
              <w:t xml:space="preserve">style web </w:t>
            </w:r>
            <w:r w:rsidRPr="00AF7F45" w:rsidR="00AF7F45">
              <w:rPr>
                <w:rFonts w:ascii="Calibri" w:hAnsi="Calibri" w:eastAsia="Times New Roman" w:cs="Calibri"/>
                <w:color w:val="000000"/>
                <w:sz w:val="20"/>
                <w:szCs w:val="20"/>
              </w:rPr>
              <w:t>letter</w:t>
            </w:r>
          </w:p>
        </w:tc>
        <w:tc>
          <w:tcPr>
            <w:tcW w:w="2250" w:type="dxa"/>
            <w:tcBorders>
              <w:top w:val="single" w:color="auto" w:sz="8" w:space="0"/>
              <w:left w:val="single" w:color="auto" w:sz="8" w:space="0"/>
              <w:bottom w:val="single" w:color="auto" w:sz="8" w:space="0"/>
              <w:right w:val="single" w:color="auto" w:sz="8" w:space="0"/>
            </w:tcBorders>
            <w:shd w:val="clear" w:color="auto" w:fill="C5E0B3" w:themeFill="accent6" w:themeFillTint="66"/>
            <w:hideMark/>
          </w:tcPr>
          <w:p w:rsidRPr="00AF7F45" w:rsidR="0037205A" w:rsidP="00AF7F45" w:rsidRDefault="0037205A" w14:paraId="2E222862" w14:textId="31F139AD">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w:t>
            </w:r>
            <w:r w:rsidRPr="00AF7F45" w:rsidR="00AF7F45">
              <w:rPr>
                <w:rFonts w:ascii="Calibri" w:hAnsi="Calibri" w:eastAsia="Times New Roman" w:cs="Calibri"/>
                <w:color w:val="000000"/>
                <w:sz w:val="20"/>
                <w:szCs w:val="20"/>
              </w:rPr>
              <w:t>-</w:t>
            </w:r>
            <w:r w:rsidRPr="00AF7F45">
              <w:rPr>
                <w:rFonts w:ascii="Calibri" w:hAnsi="Calibri" w:eastAsia="Times New Roman" w:cs="Calibri"/>
                <w:color w:val="000000"/>
                <w:sz w:val="20"/>
                <w:szCs w:val="20"/>
              </w:rPr>
              <w:t xml:space="preserve">style choice </w:t>
            </w:r>
            <w:r w:rsidRPr="00AF7F45" w:rsidR="00AF7F45">
              <w:rPr>
                <w:rFonts w:ascii="Calibri" w:hAnsi="Calibri" w:eastAsia="Times New Roman" w:cs="Calibri"/>
                <w:color w:val="000000"/>
                <w:sz w:val="20"/>
                <w:szCs w:val="20"/>
              </w:rPr>
              <w:t xml:space="preserve">letter </w:t>
            </w:r>
            <w:r w:rsidRPr="00AF7F45">
              <w:rPr>
                <w:rFonts w:ascii="Calibri" w:hAnsi="Calibri" w:eastAsia="Times New Roman" w:cs="Calibri"/>
                <w:color w:val="000000"/>
                <w:sz w:val="20"/>
                <w:szCs w:val="20"/>
              </w:rPr>
              <w:t>and questionnaire</w:t>
            </w:r>
          </w:p>
        </w:tc>
        <w:tc>
          <w:tcPr>
            <w:tcW w:w="2250" w:type="dxa"/>
            <w:tcBorders>
              <w:top w:val="single" w:color="auto" w:sz="8" w:space="0"/>
              <w:left w:val="single" w:color="auto" w:sz="8" w:space="0"/>
              <w:bottom w:val="single" w:color="auto" w:sz="8" w:space="0"/>
              <w:right w:val="single" w:color="auto" w:sz="8" w:space="0"/>
            </w:tcBorders>
            <w:shd w:val="clear" w:color="auto" w:fill="C5E0B3" w:themeFill="accent6" w:themeFillTint="66"/>
            <w:hideMark/>
          </w:tcPr>
          <w:p w:rsidRPr="00AF7F45" w:rsidR="0037205A" w:rsidP="00AF7F45" w:rsidRDefault="0037205A" w14:paraId="6F73F80A" w14:textId="28E6DF7F">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w:t>
            </w:r>
            <w:r w:rsidRPr="00AF7F45" w:rsidR="00AF7F45">
              <w:rPr>
                <w:rFonts w:ascii="Calibri" w:hAnsi="Calibri" w:eastAsia="Times New Roman" w:cs="Calibri"/>
                <w:color w:val="000000"/>
                <w:sz w:val="20"/>
                <w:szCs w:val="20"/>
              </w:rPr>
              <w:t>-</w:t>
            </w:r>
            <w:r w:rsidRPr="00AF7F45">
              <w:rPr>
                <w:rFonts w:ascii="Calibri" w:hAnsi="Calibri" w:eastAsia="Times New Roman" w:cs="Calibri"/>
                <w:color w:val="000000"/>
                <w:sz w:val="20"/>
                <w:szCs w:val="20"/>
              </w:rPr>
              <w:t xml:space="preserve">style choice-plus </w:t>
            </w:r>
            <w:r w:rsidRPr="00AF7F45" w:rsidR="00AF7F45">
              <w:rPr>
                <w:rFonts w:ascii="Calibri" w:hAnsi="Calibri" w:eastAsia="Times New Roman" w:cs="Calibri"/>
                <w:color w:val="000000"/>
                <w:sz w:val="20"/>
                <w:szCs w:val="20"/>
              </w:rPr>
              <w:t xml:space="preserve">letter </w:t>
            </w:r>
            <w:r w:rsidRPr="00AF7F45">
              <w:rPr>
                <w:rFonts w:ascii="Calibri" w:hAnsi="Calibri" w:eastAsia="Times New Roman" w:cs="Calibri"/>
                <w:color w:val="000000"/>
                <w:sz w:val="20"/>
                <w:szCs w:val="20"/>
              </w:rPr>
              <w:t>and questionnaire</w:t>
            </w:r>
          </w:p>
        </w:tc>
        <w:tc>
          <w:tcPr>
            <w:tcW w:w="2337" w:type="dxa"/>
            <w:gridSpan w:val="3"/>
            <w:tcBorders>
              <w:top w:val="single" w:color="auto" w:sz="8" w:space="0"/>
              <w:left w:val="single" w:color="auto" w:sz="8" w:space="0"/>
              <w:bottom w:val="single" w:color="auto" w:sz="8" w:space="0"/>
              <w:right w:val="single" w:color="auto" w:sz="8" w:space="0"/>
            </w:tcBorders>
            <w:shd w:val="clear" w:color="auto" w:fill="FFE599" w:themeFill="accent4" w:themeFillTint="66"/>
            <w:hideMark/>
          </w:tcPr>
          <w:p w:rsidRPr="00AF7F45" w:rsidR="0037205A" w:rsidP="00AF7F45" w:rsidRDefault="0037205A" w14:paraId="4EFF7990" w14:textId="58E66DDD">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w:t>
            </w:r>
            <w:r w:rsidRPr="00AF7F45" w:rsidR="00AF7F45">
              <w:rPr>
                <w:rFonts w:ascii="Calibri" w:hAnsi="Calibri" w:eastAsia="Times New Roman" w:cs="Calibri"/>
                <w:color w:val="000000"/>
                <w:sz w:val="20"/>
                <w:szCs w:val="20"/>
              </w:rPr>
              <w:t>-</w:t>
            </w:r>
            <w:r w:rsidRPr="00AF7F45">
              <w:rPr>
                <w:rFonts w:ascii="Calibri" w:hAnsi="Calibri" w:eastAsia="Times New Roman" w:cs="Calibri"/>
                <w:color w:val="000000"/>
                <w:sz w:val="20"/>
                <w:szCs w:val="20"/>
              </w:rPr>
              <w:t xml:space="preserve">style paper-only </w:t>
            </w:r>
            <w:r w:rsidRPr="00AF7F45" w:rsidR="00AF7F45">
              <w:rPr>
                <w:rFonts w:ascii="Calibri" w:hAnsi="Calibri" w:eastAsia="Times New Roman" w:cs="Calibri"/>
                <w:color w:val="000000"/>
                <w:sz w:val="20"/>
                <w:szCs w:val="20"/>
              </w:rPr>
              <w:t xml:space="preserve">letter </w:t>
            </w:r>
            <w:r w:rsidRPr="00AF7F45">
              <w:rPr>
                <w:rFonts w:ascii="Calibri" w:hAnsi="Calibri" w:eastAsia="Times New Roman" w:cs="Calibri"/>
                <w:color w:val="000000"/>
                <w:sz w:val="20"/>
                <w:szCs w:val="20"/>
              </w:rPr>
              <w:t>and questionnaire</w:t>
            </w:r>
          </w:p>
        </w:tc>
        <w:tc>
          <w:tcPr>
            <w:tcW w:w="2251" w:type="dxa"/>
            <w:tcBorders>
              <w:top w:val="single" w:color="auto" w:sz="8" w:space="0"/>
              <w:left w:val="single" w:color="auto" w:sz="8" w:space="0"/>
              <w:bottom w:val="single" w:color="auto" w:sz="8" w:space="0"/>
              <w:right w:val="single" w:color="auto" w:sz="8" w:space="0"/>
            </w:tcBorders>
            <w:shd w:val="clear" w:color="auto" w:fill="F7CAAC" w:themeFill="accent2" w:themeFillTint="66"/>
            <w:hideMark/>
          </w:tcPr>
          <w:p w:rsidRPr="00AF7F45" w:rsidR="0037205A" w:rsidP="00AF7F45" w:rsidRDefault="0037205A" w14:paraId="39E772BD"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continues</w:t>
            </w:r>
          </w:p>
        </w:tc>
      </w:tr>
      <w:tr w:rsidRPr="004E2DA3" w:rsidR="00AF7F45" w:rsidTr="007C23DD" w14:paraId="5FE47A8B" w14:textId="77777777">
        <w:trPr>
          <w:trHeight w:val="287"/>
          <w:jc w:val="center"/>
        </w:trPr>
        <w:tc>
          <w:tcPr>
            <w:tcW w:w="82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E2DA3" w:rsidR="0037205A" w:rsidP="00706253" w:rsidRDefault="0037205A" w14:paraId="77043AC0" w14:textId="77777777">
            <w:pPr>
              <w:spacing w:after="0" w:line="240" w:lineRule="auto"/>
              <w:rPr>
                <w:rFonts w:ascii="Calibri" w:hAnsi="Calibri" w:eastAsia="Times New Roman" w:cs="Calibri"/>
                <w:color w:val="000000"/>
                <w:sz w:val="20"/>
                <w:szCs w:val="20"/>
              </w:rPr>
            </w:pPr>
            <w:r w:rsidRPr="004E2DA3">
              <w:rPr>
                <w:rFonts w:ascii="Calibri" w:hAnsi="Calibri" w:eastAsia="Times New Roman" w:cs="Calibri"/>
                <w:color w:val="000000"/>
                <w:sz w:val="20"/>
                <w:szCs w:val="20"/>
              </w:rPr>
              <w:t>6</w:t>
            </w:r>
          </w:p>
        </w:tc>
        <w:tc>
          <w:tcPr>
            <w:tcW w:w="1783" w:type="dxa"/>
            <w:tcBorders>
              <w:top w:val="single" w:color="auto" w:sz="8" w:space="0"/>
              <w:left w:val="single" w:color="auto" w:sz="8" w:space="0"/>
              <w:bottom w:val="single" w:color="auto" w:sz="8" w:space="0"/>
              <w:right w:val="single" w:color="auto" w:sz="8" w:space="0"/>
            </w:tcBorders>
            <w:shd w:val="clear" w:color="auto" w:fill="D9D9D9" w:themeFill="background1" w:themeFillShade="D9"/>
            <w:hideMark/>
          </w:tcPr>
          <w:p w:rsidRPr="00AF7F45" w:rsidR="0037205A" w:rsidP="00AF7F45" w:rsidRDefault="00A212F7" w14:paraId="0232CF3D" w14:textId="1B11A0B6">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Generic</w:t>
            </w:r>
            <w:r w:rsidRPr="00AF7F45" w:rsidR="0037205A">
              <w:rPr>
                <w:rFonts w:ascii="Calibri" w:hAnsi="Calibri" w:eastAsia="Times New Roman" w:cs="Calibri"/>
                <w:color w:val="000000"/>
                <w:sz w:val="20"/>
                <w:szCs w:val="20"/>
              </w:rPr>
              <w:t xml:space="preserve"> postcard </w:t>
            </w:r>
          </w:p>
        </w:tc>
        <w:tc>
          <w:tcPr>
            <w:tcW w:w="1977"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hideMark/>
          </w:tcPr>
          <w:p w:rsidRPr="00AF7F45" w:rsidR="0037205A" w:rsidP="00AF7F45" w:rsidRDefault="00A212F7" w14:paraId="72450A7C" w14:textId="0E4F2F6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Generic</w:t>
            </w:r>
            <w:r w:rsidRPr="00AF7F45" w:rsidR="0037205A">
              <w:rPr>
                <w:rFonts w:ascii="Calibri" w:hAnsi="Calibri" w:eastAsia="Times New Roman" w:cs="Calibri"/>
                <w:color w:val="000000"/>
                <w:sz w:val="20"/>
                <w:szCs w:val="20"/>
              </w:rPr>
              <w:t xml:space="preserve"> postcard </w:t>
            </w:r>
          </w:p>
        </w:tc>
        <w:tc>
          <w:tcPr>
            <w:tcW w:w="2250" w:type="dxa"/>
            <w:tcBorders>
              <w:top w:val="single" w:color="auto" w:sz="8" w:space="0"/>
              <w:left w:val="single" w:color="auto" w:sz="8" w:space="0"/>
              <w:bottom w:val="single" w:color="auto" w:sz="8" w:space="0"/>
              <w:right w:val="single" w:color="auto" w:sz="8" w:space="0"/>
            </w:tcBorders>
            <w:shd w:val="clear" w:color="auto" w:fill="D9D9D9" w:themeFill="background1" w:themeFillShade="D9"/>
            <w:hideMark/>
          </w:tcPr>
          <w:p w:rsidRPr="00AF7F45" w:rsidR="0037205A" w:rsidP="00AF7F45" w:rsidRDefault="00A212F7" w14:paraId="5DB02125" w14:textId="0EDA2843">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Generic</w:t>
            </w:r>
            <w:r w:rsidRPr="00AF7F45" w:rsidR="0037205A">
              <w:rPr>
                <w:rFonts w:ascii="Calibri" w:hAnsi="Calibri" w:eastAsia="Times New Roman" w:cs="Calibri"/>
                <w:color w:val="000000"/>
                <w:sz w:val="20"/>
                <w:szCs w:val="20"/>
              </w:rPr>
              <w:t xml:space="preserve"> postcard </w:t>
            </w:r>
          </w:p>
        </w:tc>
        <w:tc>
          <w:tcPr>
            <w:tcW w:w="2250" w:type="dxa"/>
            <w:tcBorders>
              <w:top w:val="single" w:color="auto" w:sz="8" w:space="0"/>
              <w:left w:val="single" w:color="auto" w:sz="8" w:space="0"/>
              <w:bottom w:val="single" w:color="auto" w:sz="8" w:space="0"/>
              <w:right w:val="single" w:color="auto" w:sz="8" w:space="0"/>
            </w:tcBorders>
            <w:shd w:val="clear" w:color="auto" w:fill="D9D9D9" w:themeFill="background1" w:themeFillShade="D9"/>
            <w:hideMark/>
          </w:tcPr>
          <w:p w:rsidRPr="00AF7F45" w:rsidR="0037205A" w:rsidP="00AF7F45" w:rsidRDefault="0037205A" w14:paraId="48F48127" w14:textId="62473B66">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 xml:space="preserve">Choice-plus postcard </w:t>
            </w:r>
          </w:p>
        </w:tc>
        <w:tc>
          <w:tcPr>
            <w:tcW w:w="2337" w:type="dxa"/>
            <w:gridSpan w:val="3"/>
            <w:tcBorders>
              <w:top w:val="single" w:color="auto" w:sz="8" w:space="0"/>
              <w:left w:val="single" w:color="auto" w:sz="8" w:space="0"/>
              <w:bottom w:val="single" w:color="auto" w:sz="8" w:space="0"/>
              <w:right w:val="single" w:color="auto" w:sz="8" w:space="0"/>
            </w:tcBorders>
            <w:shd w:val="clear" w:color="auto" w:fill="D9D9D9" w:themeFill="background1" w:themeFillShade="D9"/>
            <w:hideMark/>
          </w:tcPr>
          <w:p w:rsidRPr="00AF7F45" w:rsidR="0037205A" w:rsidP="00AF7F45" w:rsidRDefault="0047736A" w14:paraId="670B808B" w14:textId="61BEA692">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Generic</w:t>
            </w:r>
            <w:r w:rsidRPr="00AF7F45" w:rsidR="0037205A">
              <w:rPr>
                <w:rFonts w:ascii="Calibri" w:hAnsi="Calibri" w:eastAsia="Times New Roman" w:cs="Calibri"/>
                <w:color w:val="000000"/>
                <w:sz w:val="20"/>
                <w:szCs w:val="20"/>
              </w:rPr>
              <w:t xml:space="preserve"> postcard </w:t>
            </w:r>
          </w:p>
        </w:tc>
        <w:tc>
          <w:tcPr>
            <w:tcW w:w="2251" w:type="dxa"/>
            <w:tcBorders>
              <w:top w:val="single" w:color="auto" w:sz="8" w:space="0"/>
              <w:left w:val="single" w:color="auto" w:sz="8" w:space="0"/>
              <w:bottom w:val="single" w:color="auto" w:sz="8" w:space="0"/>
              <w:right w:val="single" w:color="auto" w:sz="8" w:space="0"/>
            </w:tcBorders>
            <w:shd w:val="clear" w:color="auto" w:fill="D9D9D9" w:themeFill="background1" w:themeFillShade="D9"/>
            <w:hideMark/>
          </w:tcPr>
          <w:p w:rsidRPr="00AF7F45" w:rsidR="0037205A" w:rsidP="00AF7F45" w:rsidRDefault="0037205A" w14:paraId="3F4F4A5C" w14:textId="6A092C2B">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 xml:space="preserve">CATI postcard </w:t>
            </w:r>
          </w:p>
        </w:tc>
      </w:tr>
      <w:tr w:rsidRPr="004E2DA3" w:rsidR="00AF7F45" w:rsidTr="007C23DD" w14:paraId="52504BD6" w14:textId="77777777">
        <w:trPr>
          <w:trHeight w:val="521"/>
          <w:jc w:val="center"/>
        </w:trPr>
        <w:tc>
          <w:tcPr>
            <w:tcW w:w="827" w:type="dxa"/>
            <w:tcBorders>
              <w:top w:val="single" w:color="auto" w:sz="8" w:space="0"/>
              <w:left w:val="single" w:color="auto" w:sz="8" w:space="0"/>
              <w:bottom w:val="single" w:color="auto" w:sz="8" w:space="0"/>
              <w:right w:val="single" w:color="auto" w:sz="8" w:space="0"/>
            </w:tcBorders>
            <w:shd w:val="clear" w:color="auto" w:fill="auto"/>
            <w:vAlign w:val="center"/>
          </w:tcPr>
          <w:p w:rsidRPr="004E2DA3" w:rsidR="00AF7F45" w:rsidP="00AF7F45" w:rsidRDefault="00AF7F45" w14:paraId="0FE0AB0F" w14:textId="1E95DDB5">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8</w:t>
            </w:r>
          </w:p>
        </w:tc>
        <w:tc>
          <w:tcPr>
            <w:tcW w:w="1783" w:type="dxa"/>
            <w:tcBorders>
              <w:top w:val="single" w:color="auto" w:sz="8" w:space="0"/>
              <w:left w:val="single" w:color="auto" w:sz="8" w:space="0"/>
              <w:bottom w:val="single" w:color="auto" w:sz="8" w:space="0"/>
              <w:right w:val="single" w:color="auto" w:sz="8" w:space="0"/>
            </w:tcBorders>
            <w:shd w:val="clear" w:color="auto" w:fill="C5E0B3" w:themeFill="accent6" w:themeFillTint="66"/>
          </w:tcPr>
          <w:p w:rsidRPr="00AF7F45" w:rsidR="00AF7F45" w:rsidP="00AF7F45" w:rsidRDefault="00AF7F45" w14:paraId="390F0D94" w14:textId="2AA3694C">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Choice letter and questionnaire</w:t>
            </w:r>
          </w:p>
        </w:tc>
        <w:tc>
          <w:tcPr>
            <w:tcW w:w="1977" w:type="dxa"/>
            <w:gridSpan w:val="2"/>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1188CA46" w14:textId="5A0B4EE4">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w:t>
            </w:r>
          </w:p>
        </w:tc>
        <w:tc>
          <w:tcPr>
            <w:tcW w:w="2250" w:type="dxa"/>
            <w:tcBorders>
              <w:top w:val="single" w:color="auto" w:sz="8" w:space="0"/>
              <w:left w:val="single" w:color="auto" w:sz="8" w:space="0"/>
              <w:bottom w:val="single" w:color="auto" w:sz="8" w:space="0"/>
              <w:right w:val="single" w:color="auto" w:sz="8" w:space="0"/>
            </w:tcBorders>
            <w:shd w:val="clear" w:color="auto" w:fill="C5E0B3" w:themeFill="accent6" w:themeFillTint="66"/>
          </w:tcPr>
          <w:p w:rsidRPr="00AF7F45" w:rsidR="00AF7F45" w:rsidP="00AF7F45" w:rsidRDefault="00AF7F45" w14:paraId="47C49B4C" w14:textId="7EDE6933">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Choice letter and questionnaire</w:t>
            </w:r>
          </w:p>
        </w:tc>
        <w:tc>
          <w:tcPr>
            <w:tcW w:w="2250" w:type="dxa"/>
            <w:tcBorders>
              <w:top w:val="single" w:color="auto" w:sz="8" w:space="0"/>
              <w:left w:val="single" w:color="auto" w:sz="8" w:space="0"/>
              <w:bottom w:val="single" w:color="auto" w:sz="8" w:space="0"/>
              <w:right w:val="single" w:color="auto" w:sz="8" w:space="0"/>
            </w:tcBorders>
            <w:shd w:val="clear" w:color="auto" w:fill="C5E0B3" w:themeFill="accent6" w:themeFillTint="66"/>
          </w:tcPr>
          <w:p w:rsidRPr="00AF7F45" w:rsidR="00AF7F45" w:rsidP="00AF7F45" w:rsidRDefault="00AF7F45" w14:paraId="5C869178" w14:textId="3576CAB4">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Choice-plus letter and questionnaire</w:t>
            </w:r>
          </w:p>
        </w:tc>
        <w:tc>
          <w:tcPr>
            <w:tcW w:w="2337" w:type="dxa"/>
            <w:gridSpan w:val="3"/>
            <w:tcBorders>
              <w:top w:val="single" w:color="auto" w:sz="8" w:space="0"/>
              <w:left w:val="single" w:color="auto" w:sz="8" w:space="0"/>
              <w:bottom w:val="single" w:color="auto" w:sz="8" w:space="0"/>
              <w:right w:val="single" w:color="auto" w:sz="8" w:space="0"/>
            </w:tcBorders>
            <w:shd w:val="clear" w:color="auto" w:fill="FFE599" w:themeFill="accent4" w:themeFillTint="66"/>
          </w:tcPr>
          <w:p w:rsidRPr="00AF7F45" w:rsidR="00AF7F45" w:rsidP="00AF7F45" w:rsidRDefault="00AF7F45" w14:paraId="318780C9" w14:textId="294B3AED">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Paper-only letter and questionnaire</w:t>
            </w:r>
          </w:p>
        </w:tc>
        <w:tc>
          <w:tcPr>
            <w:tcW w:w="2251" w:type="dxa"/>
            <w:tcBorders>
              <w:top w:val="single" w:color="auto" w:sz="8" w:space="0"/>
              <w:left w:val="single" w:color="auto" w:sz="8" w:space="0"/>
              <w:bottom w:val="single" w:color="auto" w:sz="8" w:space="0"/>
              <w:right w:val="single" w:color="auto" w:sz="8" w:space="0"/>
            </w:tcBorders>
            <w:shd w:val="clear" w:color="auto" w:fill="F7CAAC" w:themeFill="accent2" w:themeFillTint="66"/>
          </w:tcPr>
          <w:p w:rsidRPr="00AF7F45" w:rsidR="00AF7F45" w:rsidP="00AF7F45" w:rsidRDefault="00AF7F45" w14:paraId="366470D8" w14:textId="4620604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continues through week 11</w:t>
            </w:r>
          </w:p>
        </w:tc>
      </w:tr>
      <w:tr w:rsidRPr="004E2DA3" w:rsidR="00AF7F45" w:rsidTr="007C23DD" w14:paraId="349C77AA" w14:textId="77777777">
        <w:trPr>
          <w:trHeight w:val="476"/>
          <w:jc w:val="center"/>
        </w:trPr>
        <w:tc>
          <w:tcPr>
            <w:tcW w:w="827" w:type="dxa"/>
            <w:tcBorders>
              <w:top w:val="single" w:color="auto" w:sz="8" w:space="0"/>
              <w:left w:val="single" w:color="auto" w:sz="8" w:space="0"/>
              <w:bottom w:val="single" w:color="auto" w:sz="8" w:space="0"/>
              <w:right w:val="single" w:color="auto" w:sz="8" w:space="0"/>
            </w:tcBorders>
            <w:shd w:val="clear" w:color="auto" w:fill="auto"/>
            <w:vAlign w:val="center"/>
          </w:tcPr>
          <w:p w:rsidRPr="004E2DA3" w:rsidR="00AF7F45" w:rsidP="00AF7F45" w:rsidRDefault="00E813BA" w14:paraId="7378E03A" w14:textId="7CF0547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12</w:t>
            </w:r>
          </w:p>
        </w:tc>
        <w:tc>
          <w:tcPr>
            <w:tcW w:w="1783"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7F3EF4CC" w14:textId="1C785575">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Perforated web reminder</w:t>
            </w:r>
          </w:p>
        </w:tc>
        <w:tc>
          <w:tcPr>
            <w:tcW w:w="1977" w:type="dxa"/>
            <w:gridSpan w:val="2"/>
            <w:tcBorders>
              <w:top w:val="single" w:color="auto" w:sz="8" w:space="0"/>
              <w:left w:val="single" w:color="auto" w:sz="8" w:space="0"/>
              <w:bottom w:val="single" w:color="auto" w:sz="8" w:space="0"/>
              <w:right w:val="single" w:color="auto" w:sz="8" w:space="0"/>
            </w:tcBorders>
            <w:shd w:val="clear" w:color="auto" w:fill="FFE599" w:themeFill="accent4" w:themeFillTint="66"/>
          </w:tcPr>
          <w:p w:rsidRPr="00AF7F45" w:rsidR="00AF7F45" w:rsidP="00AF7F45" w:rsidRDefault="00AF7F45" w14:paraId="2D422D52" w14:textId="6EAC55D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Paper-only letter and questionnaire</w:t>
            </w:r>
            <w:r w:rsidRPr="00AF7F45">
              <w:rPr>
                <w:rFonts w:ascii="Calibri" w:hAnsi="Calibri" w:eastAsia="Times New Roman" w:cs="Calibri"/>
                <w:color w:val="000000"/>
                <w:sz w:val="20"/>
                <w:szCs w:val="20"/>
                <w:vertAlign w:val="superscript"/>
              </w:rPr>
              <w:t>4</w:t>
            </w:r>
          </w:p>
        </w:tc>
        <w:tc>
          <w:tcPr>
            <w:tcW w:w="2250"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5ED17C54" w14:textId="119B3349">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Perforated choice reminder</w:t>
            </w:r>
          </w:p>
        </w:tc>
        <w:tc>
          <w:tcPr>
            <w:tcW w:w="2250"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259B7EAE" w14:textId="0A0B2F7F">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Perforated choice-plus reminder</w:t>
            </w:r>
          </w:p>
        </w:tc>
        <w:tc>
          <w:tcPr>
            <w:tcW w:w="2337" w:type="dxa"/>
            <w:gridSpan w:val="3"/>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59579CB8" w14:textId="6A29C28C">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invite letter (transition from paper)</w:t>
            </w:r>
            <w:r w:rsidRPr="00AF7F45">
              <w:rPr>
                <w:rFonts w:ascii="Calibri" w:hAnsi="Calibri" w:eastAsia="Times New Roman" w:cs="Calibri"/>
                <w:color w:val="000000"/>
                <w:sz w:val="20"/>
                <w:szCs w:val="20"/>
                <w:vertAlign w:val="superscript"/>
              </w:rPr>
              <w:t>5</w:t>
            </w:r>
          </w:p>
        </w:tc>
        <w:tc>
          <w:tcPr>
            <w:tcW w:w="2251"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112431F0" w14:textId="5F19638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invite letter (transition from CATI)</w:t>
            </w:r>
            <w:r w:rsidRPr="00AF7F45">
              <w:rPr>
                <w:rFonts w:ascii="Calibri" w:hAnsi="Calibri" w:eastAsia="Times New Roman" w:cs="Calibri"/>
                <w:color w:val="000000"/>
                <w:sz w:val="20"/>
                <w:szCs w:val="20"/>
                <w:vertAlign w:val="superscript"/>
              </w:rPr>
              <w:t>5</w:t>
            </w:r>
          </w:p>
        </w:tc>
      </w:tr>
      <w:tr w:rsidRPr="004E2DA3" w:rsidR="00AF7F45" w:rsidTr="007C23DD" w14:paraId="46F0EF89" w14:textId="77777777">
        <w:trPr>
          <w:trHeight w:val="664"/>
          <w:jc w:val="center"/>
        </w:trPr>
        <w:tc>
          <w:tcPr>
            <w:tcW w:w="82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E2DA3" w:rsidR="00AF7F45" w:rsidP="00AF7F45" w:rsidRDefault="00AF7F45" w14:paraId="5A583923" w14:textId="77777777">
            <w:pPr>
              <w:spacing w:after="0" w:line="240" w:lineRule="auto"/>
              <w:rPr>
                <w:rFonts w:ascii="Calibri" w:hAnsi="Calibri" w:eastAsia="Times New Roman" w:cs="Calibri"/>
                <w:color w:val="000000"/>
                <w:sz w:val="20"/>
                <w:szCs w:val="20"/>
              </w:rPr>
            </w:pPr>
            <w:r w:rsidRPr="004E2DA3">
              <w:rPr>
                <w:rFonts w:ascii="Calibri" w:hAnsi="Calibri" w:eastAsia="Times New Roman" w:cs="Calibri"/>
                <w:color w:val="000000"/>
                <w:sz w:val="20"/>
                <w:szCs w:val="20"/>
              </w:rPr>
              <w:t>14</w:t>
            </w:r>
          </w:p>
        </w:tc>
        <w:tc>
          <w:tcPr>
            <w:tcW w:w="1783" w:type="dxa"/>
            <w:tcBorders>
              <w:top w:val="single" w:color="auto" w:sz="8" w:space="0"/>
              <w:left w:val="single" w:color="auto" w:sz="8" w:space="0"/>
              <w:bottom w:val="single" w:color="auto" w:sz="8" w:space="0"/>
              <w:right w:val="single" w:color="auto" w:sz="8" w:space="0"/>
            </w:tcBorders>
            <w:shd w:val="clear" w:color="auto" w:fill="F7CAAC" w:themeFill="accent2" w:themeFillTint="66"/>
            <w:hideMark/>
          </w:tcPr>
          <w:p w:rsidRPr="00AF7F45" w:rsidR="00AF7F45" w:rsidP="00AF7F45" w:rsidRDefault="00AF7F45" w14:paraId="394B0A80"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NRFU begins</w:t>
            </w:r>
          </w:p>
        </w:tc>
        <w:tc>
          <w:tcPr>
            <w:tcW w:w="1977" w:type="dxa"/>
            <w:gridSpan w:val="2"/>
            <w:tcBorders>
              <w:top w:val="single" w:color="auto" w:sz="8" w:space="0"/>
              <w:left w:val="single" w:color="auto" w:sz="8" w:space="0"/>
              <w:bottom w:val="single" w:color="auto" w:sz="8" w:space="0"/>
              <w:right w:val="single" w:color="auto" w:sz="8" w:space="0"/>
            </w:tcBorders>
            <w:shd w:val="clear" w:color="auto" w:fill="F7CAAC" w:themeFill="accent2" w:themeFillTint="66"/>
            <w:hideMark/>
          </w:tcPr>
          <w:p w:rsidRPr="00AF7F45" w:rsidR="00AF7F45" w:rsidP="00AF7F45" w:rsidRDefault="00AF7F45" w14:paraId="0EDE98CF"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NRFU begins</w:t>
            </w:r>
          </w:p>
        </w:tc>
        <w:tc>
          <w:tcPr>
            <w:tcW w:w="2250" w:type="dxa"/>
            <w:tcBorders>
              <w:top w:val="single" w:color="auto" w:sz="8" w:space="0"/>
              <w:left w:val="single" w:color="auto" w:sz="8" w:space="0"/>
              <w:bottom w:val="single" w:color="auto" w:sz="8" w:space="0"/>
              <w:right w:val="single" w:color="auto" w:sz="8" w:space="0"/>
            </w:tcBorders>
            <w:shd w:val="clear" w:color="auto" w:fill="F7CAAC" w:themeFill="accent2" w:themeFillTint="66"/>
            <w:hideMark/>
          </w:tcPr>
          <w:p w:rsidRPr="00AF7F45" w:rsidR="00AF7F45" w:rsidP="00AF7F45" w:rsidRDefault="00AF7F45" w14:paraId="0C98FB8B"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NRFU begins</w:t>
            </w:r>
          </w:p>
        </w:tc>
        <w:tc>
          <w:tcPr>
            <w:tcW w:w="2250" w:type="dxa"/>
            <w:tcBorders>
              <w:top w:val="single" w:color="auto" w:sz="8" w:space="0"/>
              <w:left w:val="single" w:color="auto" w:sz="8" w:space="0"/>
              <w:bottom w:val="single" w:color="auto" w:sz="8" w:space="0"/>
              <w:right w:val="single" w:color="auto" w:sz="8" w:space="0"/>
            </w:tcBorders>
            <w:shd w:val="clear" w:color="auto" w:fill="F7CAAC" w:themeFill="accent2" w:themeFillTint="66"/>
            <w:hideMark/>
          </w:tcPr>
          <w:p w:rsidRPr="00AF7F45" w:rsidR="00AF7F45" w:rsidP="00AF7F45" w:rsidRDefault="00AF7F45" w14:paraId="63F6BBC4"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NRFU begins</w:t>
            </w:r>
          </w:p>
          <w:p w:rsidRPr="00AF7F45" w:rsidR="00AF7F45" w:rsidP="00AF7F45" w:rsidRDefault="00AF7F45" w14:paraId="6A018461" w14:textId="3C76D6B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End of week: d</w:t>
            </w:r>
            <w:r w:rsidRPr="00AF7F45">
              <w:rPr>
                <w:rFonts w:ascii="Calibri" w:hAnsi="Calibri" w:eastAsia="Times New Roman" w:cs="Calibri"/>
                <w:color w:val="000000"/>
                <w:sz w:val="20"/>
                <w:szCs w:val="20"/>
              </w:rPr>
              <w:t xml:space="preserve">eadline for </w:t>
            </w:r>
            <w:r w:rsidR="00F92DC2">
              <w:rPr>
                <w:rFonts w:ascii="Calibri" w:hAnsi="Calibri" w:eastAsia="Times New Roman" w:cs="Calibri"/>
                <w:color w:val="000000"/>
                <w:sz w:val="20"/>
                <w:szCs w:val="20"/>
              </w:rPr>
              <w:t>contingent</w:t>
            </w:r>
            <w:r w:rsidRPr="00AF7F45" w:rsidR="00F92DC2">
              <w:rPr>
                <w:rFonts w:ascii="Calibri" w:hAnsi="Calibri" w:eastAsia="Times New Roman" w:cs="Calibri"/>
                <w:color w:val="000000"/>
                <w:sz w:val="20"/>
                <w:szCs w:val="20"/>
              </w:rPr>
              <w:t xml:space="preserve"> </w:t>
            </w:r>
            <w:r w:rsidRPr="00AF7F45">
              <w:rPr>
                <w:rFonts w:ascii="Calibri" w:hAnsi="Calibri" w:eastAsia="Times New Roman" w:cs="Calibri"/>
                <w:color w:val="000000"/>
                <w:sz w:val="20"/>
                <w:szCs w:val="20"/>
              </w:rPr>
              <w:t>incentive</w:t>
            </w:r>
          </w:p>
        </w:tc>
        <w:tc>
          <w:tcPr>
            <w:tcW w:w="2337" w:type="dxa"/>
            <w:gridSpan w:val="3"/>
            <w:tcBorders>
              <w:top w:val="single" w:color="auto" w:sz="8" w:space="0"/>
              <w:left w:val="single" w:color="auto" w:sz="8" w:space="0"/>
              <w:bottom w:val="single" w:color="auto" w:sz="8" w:space="0"/>
              <w:right w:val="single" w:color="auto" w:sz="8" w:space="0"/>
            </w:tcBorders>
            <w:shd w:val="clear" w:color="auto" w:fill="F7CAAC" w:themeFill="accent2" w:themeFillTint="66"/>
            <w:hideMark/>
          </w:tcPr>
          <w:p w:rsidRPr="00AF7F45" w:rsidR="00AF7F45" w:rsidP="00AF7F45" w:rsidRDefault="00AF7F45" w14:paraId="57406370"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NRFU begins</w:t>
            </w:r>
          </w:p>
        </w:tc>
        <w:tc>
          <w:tcPr>
            <w:tcW w:w="2251" w:type="dxa"/>
            <w:tcBorders>
              <w:top w:val="single" w:color="auto" w:sz="8" w:space="0"/>
              <w:left w:val="single" w:color="auto" w:sz="8" w:space="0"/>
              <w:bottom w:val="single" w:color="auto" w:sz="8" w:space="0"/>
              <w:right w:val="single" w:color="auto" w:sz="8" w:space="0"/>
            </w:tcBorders>
            <w:shd w:val="clear" w:color="auto" w:fill="auto"/>
            <w:hideMark/>
          </w:tcPr>
          <w:p w:rsidRPr="00AF7F45" w:rsidR="00AF7F45" w:rsidP="00AF7F45" w:rsidRDefault="00AF7F45" w14:paraId="5C33B699"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 </w:t>
            </w:r>
          </w:p>
        </w:tc>
      </w:tr>
      <w:tr w:rsidRPr="004E2DA3" w:rsidR="00AF7F45" w:rsidTr="007C23DD" w14:paraId="77122095" w14:textId="77777777">
        <w:trPr>
          <w:trHeight w:val="450"/>
          <w:jc w:val="center"/>
        </w:trPr>
        <w:tc>
          <w:tcPr>
            <w:tcW w:w="827" w:type="dxa"/>
            <w:tcBorders>
              <w:top w:val="single" w:color="auto" w:sz="8" w:space="0"/>
              <w:left w:val="single" w:color="auto" w:sz="8" w:space="0"/>
              <w:bottom w:val="single" w:color="auto" w:sz="8" w:space="0"/>
              <w:right w:val="single" w:color="auto" w:sz="8" w:space="0"/>
            </w:tcBorders>
            <w:shd w:val="clear" w:color="auto" w:fill="auto"/>
            <w:vAlign w:val="center"/>
          </w:tcPr>
          <w:p w:rsidRPr="004E2DA3" w:rsidR="00AF7F45" w:rsidP="00AF7F45" w:rsidRDefault="00AF7F45" w14:paraId="3488C321" w14:textId="4989A6FF">
            <w:pPr>
              <w:spacing w:after="0" w:line="240" w:lineRule="auto"/>
              <w:rPr>
                <w:rFonts w:ascii="Calibri" w:hAnsi="Calibri" w:eastAsia="Times New Roman" w:cs="Calibri"/>
                <w:color w:val="000000"/>
                <w:sz w:val="20"/>
                <w:szCs w:val="20"/>
              </w:rPr>
            </w:pPr>
            <w:r w:rsidRPr="004E2DA3">
              <w:rPr>
                <w:rFonts w:ascii="Calibri" w:hAnsi="Calibri" w:eastAsia="Times New Roman" w:cs="Calibri"/>
                <w:color w:val="000000"/>
                <w:sz w:val="20"/>
                <w:szCs w:val="20"/>
              </w:rPr>
              <w:t>16</w:t>
            </w:r>
          </w:p>
        </w:tc>
        <w:tc>
          <w:tcPr>
            <w:tcW w:w="1783"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7DB28933" w14:textId="40D85F9A">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w:t>
            </w:r>
          </w:p>
        </w:tc>
        <w:tc>
          <w:tcPr>
            <w:tcW w:w="1977" w:type="dxa"/>
            <w:gridSpan w:val="2"/>
            <w:tcBorders>
              <w:top w:val="single" w:color="auto" w:sz="8" w:space="0"/>
              <w:left w:val="single" w:color="auto" w:sz="8" w:space="0"/>
              <w:bottom w:val="single" w:color="auto" w:sz="8" w:space="0"/>
              <w:right w:val="single" w:color="auto" w:sz="8" w:space="0"/>
            </w:tcBorders>
            <w:shd w:val="clear" w:color="auto" w:fill="FFE599" w:themeFill="accent4" w:themeFillTint="66"/>
          </w:tcPr>
          <w:p w:rsidRPr="00AF7F45" w:rsidR="00AF7F45" w:rsidP="00AF7F45" w:rsidRDefault="00AF7F45" w14:paraId="45465CEB" w14:textId="47D85E0D">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Paper-only letter and questionnaire</w:t>
            </w:r>
          </w:p>
        </w:tc>
        <w:tc>
          <w:tcPr>
            <w:tcW w:w="2250"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376772B9" w14:textId="529D0106">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w:t>
            </w:r>
          </w:p>
        </w:tc>
        <w:tc>
          <w:tcPr>
            <w:tcW w:w="2250"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16A8E466" w14:textId="6C3D1706">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w:t>
            </w:r>
          </w:p>
        </w:tc>
        <w:tc>
          <w:tcPr>
            <w:tcW w:w="2337" w:type="dxa"/>
            <w:gridSpan w:val="3"/>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684ED194" w14:textId="7EA924D5">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w:t>
            </w:r>
          </w:p>
        </w:tc>
        <w:tc>
          <w:tcPr>
            <w:tcW w:w="2251"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P="00AF7F45" w:rsidRDefault="00AF7F45" w14:paraId="32CB0145" w14:textId="39F6EFB2">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w:t>
            </w:r>
          </w:p>
        </w:tc>
      </w:tr>
      <w:tr w:rsidRPr="004E2DA3" w:rsidR="00AF7F45" w:rsidTr="007C23DD" w14:paraId="163F5FEF" w14:textId="77777777">
        <w:trPr>
          <w:trHeight w:val="450"/>
          <w:jc w:val="center"/>
        </w:trPr>
        <w:tc>
          <w:tcPr>
            <w:tcW w:w="827" w:type="dxa"/>
            <w:tcBorders>
              <w:top w:val="single" w:color="auto" w:sz="8" w:space="0"/>
              <w:left w:val="single" w:color="auto" w:sz="8" w:space="0"/>
              <w:bottom w:val="single" w:color="auto" w:sz="8" w:space="0"/>
              <w:right w:val="single" w:color="auto" w:sz="8" w:space="0"/>
            </w:tcBorders>
            <w:shd w:val="clear" w:color="auto" w:fill="auto"/>
            <w:vAlign w:val="center"/>
          </w:tcPr>
          <w:p w:rsidRPr="004E2DA3" w:rsidR="00AF7F45" w:rsidP="00AF7F45" w:rsidRDefault="00AF7F45" w14:paraId="544C62D4" w14:textId="512DACE3">
            <w:pPr>
              <w:spacing w:after="0" w:line="240" w:lineRule="auto"/>
              <w:rPr>
                <w:rFonts w:ascii="Calibri" w:hAnsi="Calibri" w:eastAsia="Times New Roman" w:cs="Calibri"/>
                <w:color w:val="000000"/>
                <w:sz w:val="20"/>
                <w:szCs w:val="20"/>
              </w:rPr>
            </w:pPr>
            <w:r w:rsidRPr="004E2DA3">
              <w:rPr>
                <w:rFonts w:ascii="Calibri" w:hAnsi="Calibri" w:eastAsia="Times New Roman" w:cs="Calibri"/>
                <w:color w:val="000000"/>
                <w:sz w:val="20"/>
                <w:szCs w:val="20"/>
              </w:rPr>
              <w:t>20</w:t>
            </w:r>
          </w:p>
        </w:tc>
        <w:tc>
          <w:tcPr>
            <w:tcW w:w="1783" w:type="dxa"/>
            <w:tcBorders>
              <w:top w:val="single" w:color="auto" w:sz="8" w:space="0"/>
              <w:left w:val="single" w:color="auto" w:sz="8" w:space="0"/>
              <w:bottom w:val="single" w:color="auto" w:sz="8" w:space="0"/>
              <w:right w:val="single" w:color="auto" w:sz="8" w:space="0"/>
            </w:tcBorders>
            <w:shd w:val="clear" w:color="auto" w:fill="C5E0B3" w:themeFill="accent6" w:themeFillTint="66"/>
          </w:tcPr>
          <w:p w:rsidRPr="00AF7F45" w:rsidR="00AF7F45" w:rsidP="00AF7F45" w:rsidRDefault="00AF7F45" w14:paraId="1178484B" w14:textId="604E6D8F">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ACS-style choice letter and questionnaire</w:t>
            </w:r>
          </w:p>
        </w:tc>
        <w:tc>
          <w:tcPr>
            <w:tcW w:w="1977" w:type="dxa"/>
            <w:gridSpan w:val="2"/>
            <w:tcBorders>
              <w:top w:val="single" w:color="auto" w:sz="8" w:space="0"/>
              <w:left w:val="single" w:color="auto" w:sz="8" w:space="0"/>
              <w:bottom w:val="single" w:color="auto" w:sz="8" w:space="0"/>
              <w:right w:val="single" w:color="auto" w:sz="8" w:space="0"/>
            </w:tcBorders>
            <w:shd w:val="clear" w:color="auto" w:fill="FFE599" w:themeFill="accent4" w:themeFillTint="66"/>
          </w:tcPr>
          <w:p w:rsidRPr="00AF7F45" w:rsidR="00AF7F45" w:rsidP="00AF7F45" w:rsidRDefault="00AF7F45" w14:paraId="4E7A2097" w14:textId="3BCDF2C6">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ACS-style paper-only letter and questionnaire</w:t>
            </w:r>
          </w:p>
        </w:tc>
        <w:tc>
          <w:tcPr>
            <w:tcW w:w="2250" w:type="dxa"/>
            <w:tcBorders>
              <w:top w:val="single" w:color="auto" w:sz="8" w:space="0"/>
              <w:left w:val="single" w:color="auto" w:sz="8" w:space="0"/>
              <w:bottom w:val="single" w:color="auto" w:sz="8" w:space="0"/>
              <w:right w:val="single" w:color="auto" w:sz="8" w:space="0"/>
            </w:tcBorders>
            <w:shd w:val="clear" w:color="auto" w:fill="C5E0B3" w:themeFill="accent6" w:themeFillTint="66"/>
          </w:tcPr>
          <w:p w:rsidRPr="00AF7F45" w:rsidR="00AF7F45" w:rsidP="00AF7F45" w:rsidRDefault="00AF7F45" w14:paraId="3E41154D" w14:textId="66E75804">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ACS-style choice letter and questionnaire</w:t>
            </w:r>
          </w:p>
        </w:tc>
        <w:tc>
          <w:tcPr>
            <w:tcW w:w="2250" w:type="dxa"/>
            <w:tcBorders>
              <w:top w:val="single" w:color="auto" w:sz="8" w:space="0"/>
              <w:left w:val="single" w:color="auto" w:sz="8" w:space="0"/>
              <w:bottom w:val="single" w:color="auto" w:sz="8" w:space="0"/>
              <w:right w:val="single" w:color="auto" w:sz="8" w:space="0"/>
            </w:tcBorders>
            <w:shd w:val="clear" w:color="auto" w:fill="C5E0B3" w:themeFill="accent6" w:themeFillTint="66"/>
          </w:tcPr>
          <w:p w:rsidRPr="00AF7F45" w:rsidR="00AF7F45" w:rsidP="00AF7F45" w:rsidRDefault="00AF7F45" w14:paraId="61DAF9A5" w14:textId="5428733C">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ACS-style choice letter and questionnaire</w:t>
            </w:r>
          </w:p>
        </w:tc>
        <w:tc>
          <w:tcPr>
            <w:tcW w:w="2337" w:type="dxa"/>
            <w:gridSpan w:val="3"/>
            <w:tcBorders>
              <w:top w:val="single" w:color="auto" w:sz="8" w:space="0"/>
              <w:left w:val="single" w:color="auto" w:sz="8" w:space="0"/>
              <w:bottom w:val="single" w:color="auto" w:sz="8" w:space="0"/>
              <w:right w:val="single" w:color="auto" w:sz="8" w:space="0"/>
            </w:tcBorders>
            <w:shd w:val="clear" w:color="auto" w:fill="C5E0B3" w:themeFill="accent6" w:themeFillTint="66"/>
          </w:tcPr>
          <w:p w:rsidRPr="00AF7F45" w:rsidR="00AF7F45" w:rsidP="00AF7F45" w:rsidRDefault="00AF7F45" w14:paraId="28A82481" w14:textId="2ED9A036">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ACS-style choice letter and questionnaire</w:t>
            </w:r>
          </w:p>
        </w:tc>
        <w:tc>
          <w:tcPr>
            <w:tcW w:w="2251" w:type="dxa"/>
            <w:tcBorders>
              <w:top w:val="single" w:color="auto" w:sz="8" w:space="0"/>
              <w:left w:val="single" w:color="auto" w:sz="8" w:space="0"/>
              <w:bottom w:val="single" w:color="auto" w:sz="8" w:space="0"/>
              <w:right w:val="single" w:color="auto" w:sz="8" w:space="0"/>
            </w:tcBorders>
            <w:shd w:val="clear" w:color="auto" w:fill="C5E0B3" w:themeFill="accent6" w:themeFillTint="66"/>
          </w:tcPr>
          <w:p w:rsidRPr="00AF7F45" w:rsidR="00AF7F45" w:rsidP="00AF7F45" w:rsidRDefault="00AF7F45" w14:paraId="558D427A" w14:textId="6DE4022B">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ACS-style choice letter and questionnaire</w:t>
            </w:r>
          </w:p>
        </w:tc>
      </w:tr>
      <w:tr w:rsidRPr="004E2DA3" w:rsidR="00AF7F45" w:rsidTr="007C23DD" w14:paraId="06045042" w14:textId="77777777">
        <w:trPr>
          <w:trHeight w:val="763"/>
          <w:jc w:val="center"/>
        </w:trPr>
        <w:tc>
          <w:tcPr>
            <w:tcW w:w="827" w:type="dxa"/>
            <w:tcBorders>
              <w:top w:val="single" w:color="auto" w:sz="8" w:space="0"/>
              <w:left w:val="single" w:color="auto" w:sz="8" w:space="0"/>
              <w:bottom w:val="single" w:color="auto" w:sz="8" w:space="0"/>
              <w:right w:val="single" w:color="auto" w:sz="8" w:space="0"/>
            </w:tcBorders>
            <w:shd w:val="clear" w:color="auto" w:fill="auto"/>
            <w:vAlign w:val="center"/>
          </w:tcPr>
          <w:p w:rsidRPr="004E2DA3" w:rsidR="00AF7F45" w:rsidP="00AF7F45" w:rsidRDefault="00AF7F45" w14:paraId="1C3ADA0A" w14:textId="7E9FBC40">
            <w:pPr>
              <w:spacing w:after="0" w:line="240" w:lineRule="auto"/>
              <w:rPr>
                <w:rFonts w:ascii="Calibri" w:hAnsi="Calibri" w:eastAsia="Times New Roman" w:cs="Calibri"/>
                <w:color w:val="000000"/>
                <w:sz w:val="20"/>
                <w:szCs w:val="20"/>
              </w:rPr>
            </w:pPr>
            <w:r w:rsidRPr="004E2DA3">
              <w:rPr>
                <w:rFonts w:ascii="Calibri" w:hAnsi="Calibri" w:eastAsia="Times New Roman" w:cs="Calibri"/>
                <w:color w:val="000000"/>
                <w:sz w:val="20"/>
                <w:szCs w:val="20"/>
              </w:rPr>
              <w:t>23</w:t>
            </w:r>
          </w:p>
        </w:tc>
        <w:tc>
          <w:tcPr>
            <w:tcW w:w="1783"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Del="00AF7F45" w:rsidP="00AF7F45" w:rsidRDefault="00AF7F45" w14:paraId="18CB737F" w14:textId="5105E925">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 FedEx envelope</w:t>
            </w:r>
          </w:p>
        </w:tc>
        <w:tc>
          <w:tcPr>
            <w:tcW w:w="1977" w:type="dxa"/>
            <w:gridSpan w:val="2"/>
            <w:tcBorders>
              <w:top w:val="single" w:color="auto" w:sz="8" w:space="0"/>
              <w:left w:val="single" w:color="auto" w:sz="8" w:space="0"/>
              <w:bottom w:val="single" w:color="auto" w:sz="8" w:space="0"/>
              <w:right w:val="single" w:color="auto" w:sz="8" w:space="0"/>
            </w:tcBorders>
            <w:shd w:val="clear" w:color="auto" w:fill="FFE599" w:themeFill="accent4" w:themeFillTint="66"/>
          </w:tcPr>
          <w:p w:rsidRPr="00AF7F45" w:rsidR="00AF7F45" w:rsidDel="00AF7F45" w:rsidP="00AF7F45" w:rsidRDefault="00AF7F45" w14:paraId="501A9C03" w14:textId="6ACE210E">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Paper-only letter and questionnaire, FedEx envelope</w:t>
            </w:r>
          </w:p>
        </w:tc>
        <w:tc>
          <w:tcPr>
            <w:tcW w:w="2250"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Del="00AF7F45" w:rsidP="00AF7F45" w:rsidRDefault="00AF7F45" w14:paraId="27E006DE" w14:textId="00D71684">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 FedEx envelope</w:t>
            </w:r>
          </w:p>
        </w:tc>
        <w:tc>
          <w:tcPr>
            <w:tcW w:w="2250"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Del="00AF7F45" w:rsidP="00AF7F45" w:rsidRDefault="00AF7F45" w14:paraId="58743C14" w14:textId="56878651">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 FedEx envelope</w:t>
            </w:r>
          </w:p>
        </w:tc>
        <w:tc>
          <w:tcPr>
            <w:tcW w:w="2337" w:type="dxa"/>
            <w:gridSpan w:val="3"/>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Del="00AF7F45" w:rsidP="00AF7F45" w:rsidRDefault="00AF7F45" w14:paraId="7E31A567" w14:textId="2838AC64">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 FedEx envelope</w:t>
            </w:r>
          </w:p>
        </w:tc>
        <w:tc>
          <w:tcPr>
            <w:tcW w:w="2251" w:type="dxa"/>
            <w:tcBorders>
              <w:top w:val="single" w:color="auto" w:sz="8" w:space="0"/>
              <w:left w:val="single" w:color="auto" w:sz="8" w:space="0"/>
              <w:bottom w:val="single" w:color="auto" w:sz="8" w:space="0"/>
              <w:right w:val="single" w:color="auto" w:sz="8" w:space="0"/>
            </w:tcBorders>
            <w:shd w:val="clear" w:color="auto" w:fill="B4C6E7" w:themeFill="accent1" w:themeFillTint="66"/>
          </w:tcPr>
          <w:p w:rsidRPr="00AF7F45" w:rsidR="00AF7F45" w:rsidDel="00AF7F45" w:rsidP="00AF7F45" w:rsidRDefault="00AF7F45" w14:paraId="51A34DF6" w14:textId="213A4AE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Web letter, FedEx envelope</w:t>
            </w:r>
          </w:p>
        </w:tc>
      </w:tr>
      <w:tr w:rsidRPr="004E2DA3" w:rsidR="00AF7F45" w:rsidTr="007C23DD" w14:paraId="7052A7A2" w14:textId="77777777">
        <w:trPr>
          <w:trHeight w:val="315"/>
          <w:jc w:val="center"/>
        </w:trPr>
        <w:tc>
          <w:tcPr>
            <w:tcW w:w="82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E2DA3" w:rsidR="00AF7F45" w:rsidP="00AF7F45" w:rsidRDefault="00AF7F45" w14:paraId="320B7F9E" w14:textId="77777777">
            <w:pPr>
              <w:spacing w:after="0" w:line="240" w:lineRule="auto"/>
              <w:rPr>
                <w:rFonts w:ascii="Calibri" w:hAnsi="Calibri" w:eastAsia="Times New Roman" w:cs="Calibri"/>
                <w:color w:val="000000"/>
                <w:sz w:val="20"/>
                <w:szCs w:val="20"/>
              </w:rPr>
            </w:pPr>
            <w:r w:rsidRPr="004E2DA3">
              <w:rPr>
                <w:rFonts w:ascii="Calibri" w:hAnsi="Calibri" w:eastAsia="Times New Roman" w:cs="Calibri"/>
                <w:color w:val="000000"/>
                <w:sz w:val="20"/>
                <w:szCs w:val="20"/>
              </w:rPr>
              <w:t>25</w:t>
            </w:r>
          </w:p>
        </w:tc>
        <w:tc>
          <w:tcPr>
            <w:tcW w:w="1783" w:type="dxa"/>
            <w:tcBorders>
              <w:top w:val="single" w:color="auto" w:sz="8" w:space="0"/>
              <w:left w:val="nil"/>
              <w:bottom w:val="single" w:color="auto" w:sz="8" w:space="0"/>
              <w:right w:val="single" w:color="auto" w:sz="8" w:space="0"/>
            </w:tcBorders>
            <w:shd w:val="clear" w:color="auto" w:fill="F7CAAC" w:themeFill="accent2" w:themeFillTint="66"/>
            <w:hideMark/>
          </w:tcPr>
          <w:p w:rsidRPr="00AF7F45" w:rsidR="00AF7F45" w:rsidP="00AF7F45" w:rsidRDefault="00AF7F45" w14:paraId="681B46C6"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NRFU ends</w:t>
            </w:r>
          </w:p>
        </w:tc>
        <w:tc>
          <w:tcPr>
            <w:tcW w:w="1977" w:type="dxa"/>
            <w:gridSpan w:val="2"/>
            <w:tcBorders>
              <w:top w:val="single" w:color="auto" w:sz="8" w:space="0"/>
              <w:left w:val="nil"/>
              <w:bottom w:val="single" w:color="auto" w:sz="8" w:space="0"/>
              <w:right w:val="single" w:color="auto" w:sz="8" w:space="0"/>
            </w:tcBorders>
            <w:shd w:val="clear" w:color="auto" w:fill="F7CAAC" w:themeFill="accent2" w:themeFillTint="66"/>
            <w:hideMark/>
          </w:tcPr>
          <w:p w:rsidRPr="00AF7F45" w:rsidR="00AF7F45" w:rsidP="00AF7F45" w:rsidRDefault="00AF7F45" w14:paraId="79771988"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NRFU ends</w:t>
            </w:r>
          </w:p>
        </w:tc>
        <w:tc>
          <w:tcPr>
            <w:tcW w:w="2250" w:type="dxa"/>
            <w:tcBorders>
              <w:top w:val="single" w:color="auto" w:sz="8" w:space="0"/>
              <w:left w:val="nil"/>
              <w:bottom w:val="single" w:color="auto" w:sz="8" w:space="0"/>
              <w:right w:val="single" w:color="auto" w:sz="8" w:space="0"/>
            </w:tcBorders>
            <w:shd w:val="clear" w:color="auto" w:fill="F7CAAC" w:themeFill="accent2" w:themeFillTint="66"/>
            <w:hideMark/>
          </w:tcPr>
          <w:p w:rsidRPr="00AF7F45" w:rsidR="00AF7F45" w:rsidP="00AF7F45" w:rsidRDefault="00AF7F45" w14:paraId="691B5D0E"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NRFU ends</w:t>
            </w:r>
          </w:p>
        </w:tc>
        <w:tc>
          <w:tcPr>
            <w:tcW w:w="2250" w:type="dxa"/>
            <w:tcBorders>
              <w:top w:val="single" w:color="auto" w:sz="8" w:space="0"/>
              <w:left w:val="nil"/>
              <w:bottom w:val="single" w:color="auto" w:sz="8" w:space="0"/>
              <w:right w:val="single" w:color="auto" w:sz="8" w:space="0"/>
            </w:tcBorders>
            <w:shd w:val="clear" w:color="auto" w:fill="F7CAAC" w:themeFill="accent2" w:themeFillTint="66"/>
            <w:hideMark/>
          </w:tcPr>
          <w:p w:rsidRPr="00AF7F45" w:rsidR="00AF7F45" w:rsidP="00AF7F45" w:rsidRDefault="00AF7F45" w14:paraId="59CDDC98"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NRFU ends</w:t>
            </w:r>
          </w:p>
        </w:tc>
        <w:tc>
          <w:tcPr>
            <w:tcW w:w="2337" w:type="dxa"/>
            <w:gridSpan w:val="3"/>
            <w:tcBorders>
              <w:top w:val="single" w:color="auto" w:sz="8" w:space="0"/>
              <w:left w:val="nil"/>
              <w:bottom w:val="single" w:color="auto" w:sz="8" w:space="0"/>
              <w:right w:val="single" w:color="auto" w:sz="8" w:space="0"/>
            </w:tcBorders>
            <w:shd w:val="clear" w:color="auto" w:fill="F7CAAC" w:themeFill="accent2" w:themeFillTint="66"/>
            <w:hideMark/>
          </w:tcPr>
          <w:p w:rsidRPr="00AF7F45" w:rsidR="00AF7F45" w:rsidP="00AF7F45" w:rsidRDefault="00AF7F45" w14:paraId="49948C62"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CATI NRFU ends</w:t>
            </w:r>
          </w:p>
        </w:tc>
        <w:tc>
          <w:tcPr>
            <w:tcW w:w="2251" w:type="dxa"/>
            <w:tcBorders>
              <w:top w:val="single" w:color="auto" w:sz="8" w:space="0"/>
              <w:left w:val="nil"/>
              <w:bottom w:val="single" w:color="auto" w:sz="8" w:space="0"/>
              <w:right w:val="single" w:color="auto" w:sz="8" w:space="0"/>
            </w:tcBorders>
            <w:shd w:val="clear" w:color="auto" w:fill="auto"/>
            <w:hideMark/>
          </w:tcPr>
          <w:p w:rsidRPr="00AF7F45" w:rsidR="00AF7F45" w:rsidP="00AF7F45" w:rsidRDefault="00AF7F45" w14:paraId="62DA6B48" w14:textId="77777777">
            <w:pPr>
              <w:spacing w:after="0" w:line="240" w:lineRule="auto"/>
              <w:rPr>
                <w:rFonts w:ascii="Calibri" w:hAnsi="Calibri" w:eastAsia="Times New Roman" w:cs="Calibri"/>
                <w:color w:val="000000"/>
                <w:sz w:val="20"/>
                <w:szCs w:val="20"/>
              </w:rPr>
            </w:pPr>
            <w:r w:rsidRPr="00AF7F45">
              <w:rPr>
                <w:rFonts w:ascii="Calibri" w:hAnsi="Calibri" w:eastAsia="Times New Roman" w:cs="Calibri"/>
                <w:color w:val="000000"/>
                <w:sz w:val="20"/>
                <w:szCs w:val="20"/>
              </w:rPr>
              <w:t> </w:t>
            </w:r>
          </w:p>
        </w:tc>
      </w:tr>
      <w:tr w:rsidRPr="004E2DA3" w:rsidR="00AF7F45" w:rsidTr="00AF7F45" w14:paraId="6547A736" w14:textId="77777777">
        <w:trPr>
          <w:trHeight w:val="315"/>
          <w:jc w:val="center"/>
        </w:trPr>
        <w:tc>
          <w:tcPr>
            <w:tcW w:w="827" w:type="dxa"/>
            <w:tcBorders>
              <w:top w:val="nil"/>
              <w:left w:val="single" w:color="auto" w:sz="8" w:space="0"/>
              <w:bottom w:val="single" w:color="auto" w:sz="8" w:space="0"/>
              <w:right w:val="single" w:color="auto" w:sz="8" w:space="0"/>
            </w:tcBorders>
            <w:shd w:val="clear" w:color="auto" w:fill="auto"/>
            <w:vAlign w:val="center"/>
            <w:hideMark/>
          </w:tcPr>
          <w:p w:rsidRPr="004E2DA3" w:rsidR="00AF7F45" w:rsidP="00AF7F45" w:rsidRDefault="00AF7F45" w14:paraId="2DF5E312" w14:textId="77777777">
            <w:pPr>
              <w:spacing w:after="0" w:line="240" w:lineRule="auto"/>
              <w:rPr>
                <w:rFonts w:ascii="Calibri" w:hAnsi="Calibri" w:eastAsia="Times New Roman" w:cs="Calibri"/>
                <w:color w:val="000000"/>
                <w:sz w:val="20"/>
                <w:szCs w:val="20"/>
              </w:rPr>
            </w:pPr>
            <w:r w:rsidRPr="004E2DA3">
              <w:rPr>
                <w:rFonts w:ascii="Calibri" w:hAnsi="Calibri" w:eastAsia="Times New Roman" w:cs="Calibri"/>
                <w:color w:val="000000"/>
                <w:sz w:val="20"/>
                <w:szCs w:val="20"/>
              </w:rPr>
              <w:t>27</w:t>
            </w:r>
          </w:p>
        </w:tc>
        <w:tc>
          <w:tcPr>
            <w:tcW w:w="12848" w:type="dxa"/>
            <w:gridSpan w:val="9"/>
            <w:tcBorders>
              <w:top w:val="single" w:color="auto" w:sz="8" w:space="0"/>
              <w:left w:val="nil"/>
              <w:bottom w:val="single" w:color="auto" w:sz="8" w:space="0"/>
              <w:right w:val="single" w:color="000000" w:sz="8" w:space="0"/>
            </w:tcBorders>
            <w:shd w:val="clear" w:color="auto" w:fill="auto"/>
            <w:noWrap/>
            <w:vAlign w:val="center"/>
            <w:hideMark/>
          </w:tcPr>
          <w:p w:rsidRPr="004E2DA3" w:rsidR="00AF7F45" w:rsidP="00AF7F45" w:rsidRDefault="00AF7F45" w14:paraId="3716159B" w14:textId="77777777">
            <w:pPr>
              <w:spacing w:after="0" w:line="240" w:lineRule="auto"/>
              <w:jc w:val="center"/>
              <w:rPr>
                <w:rFonts w:ascii="Calibri" w:hAnsi="Calibri" w:eastAsia="Times New Roman" w:cs="Calibri"/>
                <w:color w:val="000000"/>
                <w:sz w:val="20"/>
                <w:szCs w:val="20"/>
              </w:rPr>
            </w:pPr>
            <w:r w:rsidRPr="004E2DA3">
              <w:rPr>
                <w:rFonts w:ascii="Calibri" w:hAnsi="Calibri" w:eastAsia="Times New Roman" w:cs="Calibri"/>
                <w:color w:val="000000"/>
                <w:sz w:val="20"/>
                <w:szCs w:val="20"/>
              </w:rPr>
              <w:t>End of data collection</w:t>
            </w:r>
          </w:p>
        </w:tc>
      </w:tr>
      <w:tr w:rsidRPr="004E2DA3" w:rsidR="009213C3" w:rsidTr="00394F70" w14:paraId="120FE60D" w14:textId="77777777">
        <w:trPr>
          <w:trHeight w:val="142"/>
          <w:jc w:val="center"/>
        </w:trPr>
        <w:tc>
          <w:tcPr>
            <w:tcW w:w="13675" w:type="dxa"/>
            <w:gridSpan w:val="10"/>
            <w:tcBorders>
              <w:top w:val="single" w:color="auto" w:sz="8" w:space="0"/>
              <w:left w:val="single" w:color="auto" w:sz="8" w:space="0"/>
              <w:bottom w:val="nil"/>
              <w:right w:val="single" w:color="auto" w:sz="8" w:space="0"/>
            </w:tcBorders>
            <w:shd w:val="clear" w:color="auto" w:fill="auto"/>
            <w:noWrap/>
            <w:vAlign w:val="bottom"/>
            <w:hideMark/>
          </w:tcPr>
          <w:p w:rsidRPr="004E2DA3" w:rsidR="009213C3" w:rsidP="009213C3" w:rsidRDefault="009213C3" w14:paraId="08E69C89" w14:textId="51FD5460">
            <w:pPr>
              <w:spacing w:after="0" w:line="240" w:lineRule="auto"/>
              <w:rPr>
                <w:rFonts w:ascii="Calibri" w:hAnsi="Calibri" w:eastAsia="Times New Roman" w:cs="Calibri"/>
                <w:color w:val="000000"/>
                <w:sz w:val="18"/>
                <w:szCs w:val="18"/>
              </w:rPr>
            </w:pPr>
            <w:r w:rsidRPr="004E2DA3">
              <w:rPr>
                <w:rFonts w:ascii="Calibri" w:hAnsi="Calibri" w:eastAsia="Times New Roman" w:cs="Calibri"/>
                <w:color w:val="000000"/>
                <w:sz w:val="18"/>
                <w:szCs w:val="18"/>
                <w:vertAlign w:val="superscript"/>
              </w:rPr>
              <w:t>1</w:t>
            </w:r>
            <w:r w:rsidRPr="004E2DA3">
              <w:rPr>
                <w:rFonts w:ascii="Calibri" w:hAnsi="Calibri" w:eastAsia="Times New Roman" w:cs="Calibri"/>
                <w:color w:val="000000"/>
                <w:sz w:val="18"/>
                <w:szCs w:val="18"/>
              </w:rPr>
              <w:t xml:space="preserve">The choice-plus invite letters, reminder letters, and perforated reminders would mention the $20 </w:t>
            </w:r>
            <w:r w:rsidR="00F92DC2">
              <w:rPr>
                <w:rFonts w:ascii="Calibri" w:hAnsi="Calibri" w:eastAsia="Times New Roman" w:cs="Calibri"/>
                <w:color w:val="000000"/>
                <w:sz w:val="18"/>
                <w:szCs w:val="18"/>
              </w:rPr>
              <w:t>contingent</w:t>
            </w:r>
            <w:r w:rsidRPr="004E2DA3" w:rsidR="00F92DC2">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gift card </w:t>
            </w:r>
            <w:r w:rsidRPr="004E2DA3">
              <w:rPr>
                <w:rFonts w:ascii="Calibri" w:hAnsi="Calibri" w:eastAsia="Times New Roman" w:cs="Calibri"/>
                <w:color w:val="000000"/>
                <w:sz w:val="18"/>
                <w:szCs w:val="18"/>
              </w:rPr>
              <w:t xml:space="preserve">incentive for completing by web by </w:t>
            </w:r>
            <w:r>
              <w:rPr>
                <w:rFonts w:ascii="Calibri" w:hAnsi="Calibri" w:eastAsia="Times New Roman" w:cs="Calibri"/>
                <w:color w:val="000000"/>
                <w:sz w:val="18"/>
                <w:szCs w:val="18"/>
              </w:rPr>
              <w:t>the end of week 14.</w:t>
            </w:r>
            <w:r w:rsidRPr="004E2DA3">
              <w:rPr>
                <w:rFonts w:ascii="Calibri" w:hAnsi="Calibri" w:eastAsia="Times New Roman" w:cs="Calibri"/>
                <w:color w:val="000000"/>
                <w:sz w:val="18"/>
                <w:szCs w:val="18"/>
              </w:rPr>
              <w:t xml:space="preserve"> </w:t>
            </w:r>
          </w:p>
        </w:tc>
      </w:tr>
      <w:tr w:rsidRPr="004E2DA3" w:rsidR="009213C3" w:rsidTr="00394F70" w14:paraId="20A50217" w14:textId="77777777">
        <w:trPr>
          <w:trHeight w:val="243"/>
          <w:jc w:val="center"/>
        </w:trPr>
        <w:tc>
          <w:tcPr>
            <w:tcW w:w="13675" w:type="dxa"/>
            <w:gridSpan w:val="10"/>
            <w:tcBorders>
              <w:top w:val="nil"/>
              <w:left w:val="single" w:color="auto" w:sz="8" w:space="0"/>
              <w:bottom w:val="nil"/>
              <w:right w:val="single" w:color="auto" w:sz="8" w:space="0"/>
            </w:tcBorders>
            <w:shd w:val="clear" w:color="auto" w:fill="auto"/>
            <w:noWrap/>
            <w:vAlign w:val="bottom"/>
            <w:hideMark/>
          </w:tcPr>
          <w:p w:rsidRPr="004E2DA3" w:rsidR="009213C3" w:rsidP="009213C3" w:rsidRDefault="009213C3" w14:paraId="06F92FA2" w14:textId="714792E8">
            <w:pPr>
              <w:spacing w:after="0" w:line="240" w:lineRule="auto"/>
              <w:rPr>
                <w:rFonts w:ascii="Calibri" w:hAnsi="Calibri" w:eastAsia="Times New Roman" w:cs="Calibri"/>
                <w:color w:val="000000"/>
                <w:sz w:val="18"/>
                <w:szCs w:val="18"/>
              </w:rPr>
            </w:pPr>
            <w:r w:rsidRPr="004E2DA3">
              <w:rPr>
                <w:rFonts w:ascii="Calibri" w:hAnsi="Calibri" w:eastAsia="Times New Roman" w:cs="Calibri"/>
                <w:color w:val="000000"/>
                <w:sz w:val="18"/>
                <w:szCs w:val="18"/>
                <w:vertAlign w:val="superscript"/>
              </w:rPr>
              <w:t>2</w:t>
            </w:r>
            <w:r w:rsidRPr="004E2DA3">
              <w:rPr>
                <w:rFonts w:ascii="Calibri" w:hAnsi="Calibri" w:eastAsia="Times New Roman" w:cs="Calibri"/>
                <w:color w:val="000000"/>
                <w:sz w:val="18"/>
                <w:szCs w:val="18"/>
              </w:rPr>
              <w:t>CATI outreach would occur continually in weeks 1 through 11.</w:t>
            </w:r>
          </w:p>
        </w:tc>
      </w:tr>
      <w:tr w:rsidRPr="004E2DA3" w:rsidR="009213C3" w:rsidTr="00394F70" w14:paraId="4AACFC3A" w14:textId="77777777">
        <w:trPr>
          <w:trHeight w:val="207"/>
          <w:jc w:val="center"/>
        </w:trPr>
        <w:tc>
          <w:tcPr>
            <w:tcW w:w="13675" w:type="dxa"/>
            <w:gridSpan w:val="10"/>
            <w:tcBorders>
              <w:top w:val="nil"/>
              <w:left w:val="single" w:color="auto" w:sz="8" w:space="0"/>
              <w:bottom w:val="nil"/>
              <w:right w:val="single" w:color="auto" w:sz="8" w:space="0"/>
            </w:tcBorders>
            <w:shd w:val="clear" w:color="auto" w:fill="auto"/>
            <w:noWrap/>
            <w:vAlign w:val="bottom"/>
          </w:tcPr>
          <w:p w:rsidRPr="00AF7F45" w:rsidR="009213C3" w:rsidP="009213C3" w:rsidRDefault="009213C3" w14:paraId="104DA32A" w14:textId="7884F5E8">
            <w:pPr>
              <w:spacing w:after="0" w:line="240" w:lineRule="auto"/>
              <w:rPr>
                <w:rFonts w:ascii="Calibri" w:hAnsi="Calibri" w:eastAsia="Times New Roman" w:cs="Calibri"/>
                <w:color w:val="000000"/>
                <w:sz w:val="18"/>
                <w:szCs w:val="18"/>
              </w:rPr>
            </w:pPr>
            <w:r w:rsidRPr="00E46738">
              <w:rPr>
                <w:rFonts w:ascii="Calibri" w:hAnsi="Calibri" w:eastAsia="Times New Roman" w:cs="Calibri"/>
                <w:color w:val="000000"/>
                <w:sz w:val="18"/>
                <w:szCs w:val="18"/>
                <w:vertAlign w:val="superscript"/>
              </w:rPr>
              <w:t>3</w:t>
            </w:r>
            <w:r>
              <w:rPr>
                <w:rFonts w:ascii="Calibri" w:hAnsi="Calibri" w:eastAsia="Times New Roman" w:cs="Calibri"/>
                <w:color w:val="000000"/>
                <w:sz w:val="18"/>
                <w:szCs w:val="18"/>
              </w:rPr>
              <w:t>ACS-style letters are printed on a smaller, thicker piece of paper than is used for the other letters.</w:t>
            </w:r>
          </w:p>
          <w:p w:rsidRPr="00913111" w:rsidR="009213C3" w:rsidP="009213C3" w:rsidRDefault="009213C3" w14:paraId="754DF495" w14:textId="3BA0C81F">
            <w:pPr>
              <w:spacing w:after="0" w:line="240" w:lineRule="auto"/>
              <w:rPr>
                <w:rFonts w:ascii="Calibri" w:hAnsi="Calibri" w:eastAsia="Times New Roman" w:cs="Calibri"/>
                <w:color w:val="000000"/>
                <w:sz w:val="18"/>
                <w:szCs w:val="18"/>
              </w:rPr>
            </w:pPr>
            <w:r>
              <w:rPr>
                <w:rFonts w:ascii="Calibri" w:hAnsi="Calibri" w:eastAsia="Times New Roman" w:cs="Calibri"/>
                <w:iCs/>
                <w:color w:val="000000"/>
                <w:sz w:val="18"/>
                <w:szCs w:val="18"/>
                <w:vertAlign w:val="superscript"/>
              </w:rPr>
              <w:t>4</w:t>
            </w:r>
            <w:r>
              <w:rPr>
                <w:rFonts w:ascii="Calibri" w:hAnsi="Calibri" w:eastAsia="Times New Roman" w:cs="Calibri"/>
                <w:i/>
                <w:color w:val="000000"/>
                <w:sz w:val="18"/>
                <w:szCs w:val="18"/>
              </w:rPr>
              <w:t>NHES</w:t>
            </w:r>
            <w:r>
              <w:rPr>
                <w:rFonts w:ascii="Calibri" w:hAnsi="Calibri" w:eastAsia="Times New Roman" w:cs="Calibri"/>
                <w:color w:val="000000"/>
                <w:sz w:val="18"/>
                <w:szCs w:val="18"/>
              </w:rPr>
              <w:t xml:space="preserve"> switches to paper-only in week 12 because, unlike </w:t>
            </w:r>
            <w:r>
              <w:rPr>
                <w:rFonts w:ascii="Calibri" w:hAnsi="Calibri" w:eastAsia="Times New Roman" w:cs="Calibri"/>
                <w:i/>
                <w:color w:val="000000"/>
                <w:sz w:val="18"/>
                <w:szCs w:val="18"/>
              </w:rPr>
              <w:t>NSCG</w:t>
            </w:r>
            <w:r>
              <w:rPr>
                <w:rFonts w:ascii="Calibri" w:hAnsi="Calibri" w:eastAsia="Times New Roman" w:cs="Calibri"/>
                <w:color w:val="000000"/>
                <w:sz w:val="18"/>
                <w:szCs w:val="18"/>
              </w:rPr>
              <w:t xml:space="preserve"> and the other treatment groups, it uses a purely sequential mixed-mode approach.</w:t>
            </w:r>
          </w:p>
        </w:tc>
      </w:tr>
      <w:tr w:rsidRPr="004E2DA3" w:rsidR="009213C3" w:rsidTr="00394F70" w14:paraId="01B5AACD" w14:textId="77777777">
        <w:trPr>
          <w:trHeight w:val="300"/>
          <w:jc w:val="center"/>
        </w:trPr>
        <w:tc>
          <w:tcPr>
            <w:tcW w:w="13675" w:type="dxa"/>
            <w:gridSpan w:val="10"/>
            <w:tcBorders>
              <w:top w:val="nil"/>
              <w:left w:val="single" w:color="auto" w:sz="8" w:space="0"/>
              <w:right w:val="single" w:color="auto" w:sz="8" w:space="0"/>
            </w:tcBorders>
            <w:shd w:val="clear" w:color="auto" w:fill="auto"/>
            <w:noWrap/>
            <w:vAlign w:val="bottom"/>
          </w:tcPr>
          <w:p w:rsidRPr="00103D8B" w:rsidR="009213C3" w:rsidP="009213C3" w:rsidRDefault="009213C3" w14:paraId="69551FE6" w14:textId="69C27DA4">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vertAlign w:val="superscript"/>
              </w:rPr>
              <w:t>5</w:t>
            </w:r>
            <w:r>
              <w:rPr>
                <w:rFonts w:ascii="Calibri" w:hAnsi="Calibri" w:eastAsia="Times New Roman" w:cs="Calibri"/>
                <w:i/>
                <w:color w:val="000000"/>
                <w:sz w:val="18"/>
                <w:szCs w:val="18"/>
              </w:rPr>
              <w:t>PAP</w:t>
            </w:r>
            <w:r>
              <w:rPr>
                <w:rFonts w:ascii="Calibri" w:hAnsi="Calibri" w:eastAsia="Times New Roman" w:cs="Calibri"/>
                <w:color w:val="000000"/>
                <w:sz w:val="18"/>
                <w:szCs w:val="18"/>
              </w:rPr>
              <w:t xml:space="preserve"> and </w:t>
            </w:r>
            <w:r>
              <w:rPr>
                <w:rFonts w:ascii="Calibri" w:hAnsi="Calibri" w:eastAsia="Times New Roman" w:cs="Calibri"/>
                <w:i/>
                <w:color w:val="000000"/>
                <w:sz w:val="18"/>
                <w:szCs w:val="18"/>
              </w:rPr>
              <w:t>CAT</w:t>
            </w:r>
            <w:r>
              <w:rPr>
                <w:rFonts w:ascii="Calibri" w:hAnsi="Calibri" w:eastAsia="Times New Roman" w:cs="Calibri"/>
                <w:color w:val="000000"/>
                <w:sz w:val="18"/>
                <w:szCs w:val="18"/>
              </w:rPr>
              <w:t xml:space="preserve"> require a full web invite letter (rather than a perforated reminder) in week 12 because this is the first week in which web is offered to these groups, so a full letter is required to introduce the web option.</w:t>
            </w:r>
          </w:p>
        </w:tc>
      </w:tr>
      <w:tr w:rsidRPr="004E2DA3" w:rsidR="009213C3" w:rsidTr="00211CB0" w14:paraId="0627F447" w14:textId="77777777">
        <w:trPr>
          <w:trHeight w:val="300"/>
          <w:jc w:val="center"/>
        </w:trPr>
        <w:tc>
          <w:tcPr>
            <w:tcW w:w="13675" w:type="dxa"/>
            <w:gridSpan w:val="10"/>
            <w:tcBorders>
              <w:top w:val="nil"/>
              <w:left w:val="single" w:color="auto" w:sz="8" w:space="0"/>
              <w:bottom w:val="single" w:color="auto" w:sz="8" w:space="0"/>
              <w:right w:val="single" w:color="auto" w:sz="8" w:space="0"/>
            </w:tcBorders>
            <w:shd w:val="clear" w:color="auto" w:fill="auto"/>
            <w:noWrap/>
            <w:vAlign w:val="bottom"/>
          </w:tcPr>
          <w:p w:rsidRPr="00B93559" w:rsidR="009213C3" w:rsidP="009213C3" w:rsidRDefault="009213C3" w14:paraId="13D5A502" w14:textId="2B1D8400">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NOTE: NRFU refers to nonresponse follow-up. CATI refers to computer-assisted telephone interviewing.</w:t>
            </w:r>
          </w:p>
        </w:tc>
      </w:tr>
      <w:tr w:rsidRPr="004E2DA3" w:rsidR="00F202E9" w:rsidTr="00211CB0" w14:paraId="052D3BCE" w14:textId="77777777">
        <w:trPr>
          <w:trHeight w:val="300"/>
          <w:jc w:val="center"/>
        </w:trPr>
        <w:tc>
          <w:tcPr>
            <w:tcW w:w="2610"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rsidRPr="00394F70" w:rsidR="00F202E9" w:rsidP="00F202E9" w:rsidRDefault="00F202E9" w14:paraId="5F8DB062" w14:textId="28325FBF">
            <w:pPr>
              <w:spacing w:after="0" w:line="240" w:lineRule="auto"/>
              <w:rPr>
                <w:rFonts w:ascii="Calibri" w:hAnsi="Calibri" w:eastAsia="Times New Roman" w:cs="Calibri"/>
                <w:b/>
                <w:bCs/>
                <w:color w:val="000000"/>
                <w:sz w:val="18"/>
                <w:szCs w:val="18"/>
              </w:rPr>
            </w:pPr>
            <w:r w:rsidRPr="00394F70">
              <w:rPr>
                <w:rFonts w:ascii="Calibri" w:hAnsi="Calibri" w:eastAsia="Times New Roman" w:cs="Calibri"/>
                <w:b/>
                <w:bCs/>
                <w:color w:val="000000"/>
                <w:sz w:val="20"/>
                <w:szCs w:val="20"/>
              </w:rPr>
              <w:t>COLOR KEY</w:t>
            </w:r>
            <w:r w:rsidR="007923EF">
              <w:rPr>
                <w:rFonts w:ascii="Calibri" w:hAnsi="Calibri" w:eastAsia="Times New Roman" w:cs="Calibri"/>
                <w:b/>
                <w:bCs/>
                <w:color w:val="000000"/>
                <w:sz w:val="20"/>
                <w:szCs w:val="20"/>
              </w:rPr>
              <w:t xml:space="preserve"> FOR TABLE </w:t>
            </w:r>
            <w:r w:rsidR="00E45B4A">
              <w:rPr>
                <w:rFonts w:ascii="Calibri" w:hAnsi="Calibri" w:eastAsia="Times New Roman" w:cs="Calibri"/>
                <w:b/>
                <w:bCs/>
                <w:color w:val="000000"/>
                <w:sz w:val="20"/>
                <w:szCs w:val="20"/>
              </w:rPr>
              <w:t>C</w:t>
            </w:r>
            <w:r w:rsidR="007923EF">
              <w:rPr>
                <w:rFonts w:ascii="Calibri" w:hAnsi="Calibri" w:eastAsia="Times New Roman" w:cs="Calibri"/>
                <w:b/>
                <w:bCs/>
                <w:color w:val="000000"/>
                <w:sz w:val="20"/>
                <w:szCs w:val="20"/>
              </w:rPr>
              <w:t>.</w:t>
            </w:r>
            <w:r w:rsidR="00672F6D">
              <w:rPr>
                <w:rFonts w:ascii="Calibri" w:hAnsi="Calibri" w:eastAsia="Times New Roman" w:cs="Calibri"/>
                <w:b/>
                <w:bCs/>
                <w:color w:val="000000"/>
                <w:sz w:val="20"/>
                <w:szCs w:val="20"/>
              </w:rPr>
              <w:t>2</w:t>
            </w:r>
            <w:r w:rsidRPr="00394F70">
              <w:rPr>
                <w:rFonts w:ascii="Calibri" w:hAnsi="Calibri" w:eastAsia="Times New Roman" w:cs="Calibri"/>
                <w:b/>
                <w:bCs/>
                <w:color w:val="000000"/>
                <w:sz w:val="20"/>
                <w:szCs w:val="20"/>
              </w:rPr>
              <w:t>:</w:t>
            </w:r>
          </w:p>
        </w:tc>
        <w:tc>
          <w:tcPr>
            <w:tcW w:w="1945" w:type="dxa"/>
            <w:tcBorders>
              <w:top w:val="single" w:color="auto" w:sz="8" w:space="0"/>
              <w:left w:val="single" w:color="auto" w:sz="8" w:space="0"/>
              <w:bottom w:val="single" w:color="auto" w:sz="8" w:space="0"/>
              <w:right w:val="single" w:color="auto" w:sz="8" w:space="0"/>
            </w:tcBorders>
            <w:shd w:val="clear" w:color="auto" w:fill="B4C6E7" w:themeFill="accent1" w:themeFillTint="66"/>
            <w:vAlign w:val="center"/>
          </w:tcPr>
          <w:p w:rsidR="00F202E9" w:rsidP="00F202E9" w:rsidRDefault="00F202E9" w14:paraId="59B487FA" w14:textId="4F7D5BDA">
            <w:pPr>
              <w:spacing w:after="0" w:line="240" w:lineRule="auto"/>
              <w:rPr>
                <w:rFonts w:ascii="Calibri" w:hAnsi="Calibri" w:eastAsia="Times New Roman" w:cs="Calibri"/>
                <w:color w:val="000000"/>
                <w:sz w:val="18"/>
                <w:szCs w:val="18"/>
              </w:rPr>
            </w:pPr>
            <w:r w:rsidRPr="004E2DA3">
              <w:rPr>
                <w:rFonts w:ascii="Calibri" w:hAnsi="Calibri" w:eastAsia="Times New Roman" w:cs="Calibri"/>
                <w:i/>
                <w:iCs/>
                <w:color w:val="000000"/>
                <w:sz w:val="18"/>
                <w:szCs w:val="18"/>
              </w:rPr>
              <w:t>Contact offers web response only</w:t>
            </w:r>
          </w:p>
        </w:tc>
        <w:tc>
          <w:tcPr>
            <w:tcW w:w="2282" w:type="dxa"/>
            <w:gridSpan w:val="2"/>
            <w:tcBorders>
              <w:top w:val="single" w:color="auto" w:sz="8" w:space="0"/>
              <w:left w:val="single" w:color="auto" w:sz="8" w:space="0"/>
              <w:bottom w:val="single" w:color="auto" w:sz="8" w:space="0"/>
              <w:right w:val="single" w:color="auto" w:sz="8" w:space="0"/>
            </w:tcBorders>
            <w:shd w:val="clear" w:color="auto" w:fill="FFE599" w:themeFill="accent4" w:themeFillTint="66"/>
            <w:vAlign w:val="center"/>
          </w:tcPr>
          <w:p w:rsidR="00F202E9" w:rsidP="00F202E9" w:rsidRDefault="00F202E9" w14:paraId="7DD15CA1" w14:textId="1739A33F">
            <w:pPr>
              <w:spacing w:after="0" w:line="240" w:lineRule="auto"/>
              <w:rPr>
                <w:rFonts w:ascii="Calibri" w:hAnsi="Calibri" w:eastAsia="Times New Roman" w:cs="Calibri"/>
                <w:color w:val="000000"/>
                <w:sz w:val="18"/>
                <w:szCs w:val="18"/>
              </w:rPr>
            </w:pPr>
            <w:r w:rsidRPr="004E2DA3">
              <w:rPr>
                <w:rFonts w:ascii="Calibri" w:hAnsi="Calibri" w:eastAsia="Times New Roman" w:cs="Calibri"/>
                <w:i/>
                <w:iCs/>
                <w:color w:val="000000"/>
                <w:sz w:val="18"/>
                <w:szCs w:val="18"/>
              </w:rPr>
              <w:t>Contact offers paper response only</w:t>
            </w:r>
          </w:p>
        </w:tc>
        <w:tc>
          <w:tcPr>
            <w:tcW w:w="2279" w:type="dxa"/>
            <w:gridSpan w:val="2"/>
            <w:tcBorders>
              <w:top w:val="single" w:color="auto" w:sz="8" w:space="0"/>
              <w:left w:val="single" w:color="auto" w:sz="8" w:space="0"/>
              <w:bottom w:val="single" w:color="auto" w:sz="8" w:space="0"/>
              <w:right w:val="single" w:color="auto" w:sz="8" w:space="0"/>
            </w:tcBorders>
            <w:shd w:val="clear" w:color="auto" w:fill="C5E0B3" w:themeFill="accent6" w:themeFillTint="66"/>
            <w:vAlign w:val="center"/>
          </w:tcPr>
          <w:p w:rsidR="00F202E9" w:rsidP="00F202E9" w:rsidRDefault="00F202E9" w14:paraId="63DB9262" w14:textId="193874B1">
            <w:pPr>
              <w:spacing w:after="0" w:line="240" w:lineRule="auto"/>
              <w:rPr>
                <w:rFonts w:ascii="Calibri" w:hAnsi="Calibri" w:eastAsia="Times New Roman" w:cs="Calibri"/>
                <w:color w:val="000000"/>
                <w:sz w:val="18"/>
                <w:szCs w:val="18"/>
              </w:rPr>
            </w:pPr>
            <w:r w:rsidRPr="004E2DA3">
              <w:rPr>
                <w:rFonts w:ascii="Calibri" w:hAnsi="Calibri" w:eastAsia="Times New Roman" w:cs="Calibri"/>
                <w:i/>
                <w:iCs/>
                <w:color w:val="000000"/>
                <w:sz w:val="18"/>
                <w:szCs w:val="18"/>
              </w:rPr>
              <w:t>Contact offers both paper + web response</w:t>
            </w:r>
          </w:p>
        </w:tc>
        <w:tc>
          <w:tcPr>
            <w:tcW w:w="2279" w:type="dxa"/>
            <w:tcBorders>
              <w:top w:val="single" w:color="auto" w:sz="8" w:space="0"/>
              <w:left w:val="single" w:color="auto" w:sz="8" w:space="0"/>
              <w:bottom w:val="single" w:color="auto" w:sz="8" w:space="0"/>
              <w:right w:val="single" w:color="auto" w:sz="8" w:space="0"/>
            </w:tcBorders>
            <w:shd w:val="clear" w:color="auto" w:fill="F7CAAC" w:themeFill="accent2" w:themeFillTint="66"/>
            <w:vAlign w:val="center"/>
          </w:tcPr>
          <w:p w:rsidR="00F202E9" w:rsidP="00F202E9" w:rsidRDefault="00F202E9" w14:paraId="798BAA37" w14:textId="25E164BF">
            <w:pPr>
              <w:spacing w:after="0" w:line="240" w:lineRule="auto"/>
              <w:rPr>
                <w:rFonts w:ascii="Calibri" w:hAnsi="Calibri" w:eastAsia="Times New Roman" w:cs="Calibri"/>
                <w:color w:val="000000"/>
                <w:sz w:val="18"/>
                <w:szCs w:val="18"/>
              </w:rPr>
            </w:pPr>
            <w:r w:rsidRPr="004E2DA3">
              <w:rPr>
                <w:rFonts w:ascii="Calibri" w:hAnsi="Calibri" w:eastAsia="Times New Roman" w:cs="Calibri"/>
                <w:i/>
                <w:iCs/>
                <w:color w:val="000000"/>
                <w:sz w:val="18"/>
                <w:szCs w:val="18"/>
              </w:rPr>
              <w:t>Contact offers phone response only</w:t>
            </w:r>
          </w:p>
        </w:tc>
        <w:tc>
          <w:tcPr>
            <w:tcW w:w="2280"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00F202E9" w:rsidP="00F202E9" w:rsidRDefault="00F202E9" w14:paraId="5DB1B302" w14:textId="601090F3">
            <w:pPr>
              <w:spacing w:after="0" w:line="240" w:lineRule="auto"/>
              <w:rPr>
                <w:rFonts w:ascii="Calibri" w:hAnsi="Calibri" w:eastAsia="Times New Roman" w:cs="Calibri"/>
                <w:color w:val="000000"/>
                <w:sz w:val="18"/>
                <w:szCs w:val="18"/>
              </w:rPr>
            </w:pPr>
            <w:r w:rsidRPr="004E2DA3">
              <w:rPr>
                <w:rFonts w:ascii="Calibri" w:hAnsi="Calibri" w:eastAsia="Times New Roman" w:cs="Calibri"/>
                <w:i/>
                <w:iCs/>
                <w:color w:val="000000"/>
                <w:sz w:val="18"/>
                <w:szCs w:val="18"/>
              </w:rPr>
              <w:t>No direct way to respond</w:t>
            </w:r>
          </w:p>
        </w:tc>
      </w:tr>
    </w:tbl>
    <w:p w:rsidR="000B1EBE" w:rsidP="008B5C08" w:rsidRDefault="000B1EBE" w14:paraId="1319AD71" w14:textId="77777777">
      <w:pPr>
        <w:rPr>
          <w:rFonts w:ascii="Times New Roman" w:hAnsi="Times New Roman" w:cs="Times New Roman"/>
          <w:i/>
          <w:sz w:val="24"/>
          <w:szCs w:val="24"/>
        </w:rPr>
        <w:sectPr w:rsidR="000B1EBE" w:rsidSect="000B1EBE">
          <w:pgSz w:w="15840" w:h="12240" w:orient="landscape"/>
          <w:pgMar w:top="1440" w:right="1440" w:bottom="1440" w:left="1440" w:header="720" w:footer="720" w:gutter="0"/>
          <w:cols w:space="720"/>
          <w:docGrid w:linePitch="360"/>
        </w:sectPr>
      </w:pPr>
    </w:p>
    <w:p w:rsidRPr="009A39D8" w:rsidR="00F01891" w:rsidP="008B5C08" w:rsidRDefault="00892A33" w14:paraId="4ADD3FDF" w14:textId="41E02DD6">
      <w:pPr>
        <w:rPr>
          <w:rFonts w:ascii="Times New Roman" w:hAnsi="Times New Roman" w:cs="Times New Roman"/>
          <w:sz w:val="24"/>
          <w:szCs w:val="24"/>
        </w:rPr>
      </w:pPr>
      <w:r w:rsidRPr="009A39D8">
        <w:rPr>
          <w:rFonts w:ascii="Times New Roman" w:hAnsi="Times New Roman" w:cs="Times New Roman"/>
          <w:sz w:val="24"/>
          <w:szCs w:val="24"/>
        </w:rPr>
        <w:lastRenderedPageBreak/>
        <w:t xml:space="preserve">Table </w:t>
      </w:r>
      <w:r w:rsidRPr="009A39D8" w:rsidR="00E45B4A">
        <w:rPr>
          <w:rFonts w:ascii="Times New Roman" w:hAnsi="Times New Roman" w:cs="Times New Roman"/>
          <w:sz w:val="24"/>
          <w:szCs w:val="24"/>
        </w:rPr>
        <w:t>C</w:t>
      </w:r>
      <w:r w:rsidRPr="009A39D8" w:rsidR="00361EF6">
        <w:rPr>
          <w:rFonts w:ascii="Times New Roman" w:hAnsi="Times New Roman" w:cs="Times New Roman"/>
          <w:sz w:val="24"/>
          <w:szCs w:val="24"/>
        </w:rPr>
        <w:t>.</w:t>
      </w:r>
      <w:r w:rsidRPr="009A39D8" w:rsidR="00672F6D">
        <w:rPr>
          <w:rFonts w:ascii="Times New Roman" w:hAnsi="Times New Roman" w:cs="Times New Roman"/>
          <w:sz w:val="24"/>
          <w:szCs w:val="24"/>
        </w:rPr>
        <w:t>3</w:t>
      </w:r>
      <w:r w:rsidRPr="009A39D8">
        <w:rPr>
          <w:rFonts w:ascii="Times New Roman" w:hAnsi="Times New Roman" w:cs="Times New Roman"/>
          <w:sz w:val="24"/>
          <w:szCs w:val="24"/>
        </w:rPr>
        <w:t xml:space="preserve"> summarizes the number of contacts </w:t>
      </w:r>
      <w:r w:rsidRPr="009A39D8" w:rsidR="00AF7F45">
        <w:rPr>
          <w:rFonts w:ascii="Times New Roman" w:hAnsi="Times New Roman" w:cs="Times New Roman"/>
          <w:sz w:val="24"/>
          <w:szCs w:val="24"/>
        </w:rPr>
        <w:t xml:space="preserve">offering each </w:t>
      </w:r>
      <w:r w:rsidRPr="009A39D8">
        <w:rPr>
          <w:rFonts w:ascii="Times New Roman" w:hAnsi="Times New Roman" w:cs="Times New Roman"/>
          <w:sz w:val="24"/>
          <w:szCs w:val="24"/>
        </w:rPr>
        <w:t>mode</w:t>
      </w:r>
      <w:r w:rsidRPr="009A39D8" w:rsidR="00AF7F45">
        <w:rPr>
          <w:rFonts w:ascii="Times New Roman" w:hAnsi="Times New Roman" w:cs="Times New Roman"/>
          <w:sz w:val="24"/>
          <w:szCs w:val="24"/>
        </w:rPr>
        <w:t xml:space="preserve"> of response</w:t>
      </w:r>
      <w:r w:rsidRPr="009A39D8">
        <w:rPr>
          <w:rFonts w:ascii="Times New Roman" w:hAnsi="Times New Roman" w:cs="Times New Roman"/>
          <w:sz w:val="24"/>
          <w:szCs w:val="24"/>
        </w:rPr>
        <w:t xml:space="preserve"> </w:t>
      </w:r>
      <w:r w:rsidRPr="009A39D8" w:rsidR="00AF7F45">
        <w:rPr>
          <w:rFonts w:ascii="Times New Roman" w:hAnsi="Times New Roman" w:cs="Times New Roman"/>
          <w:sz w:val="24"/>
          <w:szCs w:val="24"/>
        </w:rPr>
        <w:t>in each</w:t>
      </w:r>
      <w:r w:rsidRPr="009A39D8">
        <w:rPr>
          <w:rFonts w:ascii="Times New Roman" w:hAnsi="Times New Roman" w:cs="Times New Roman"/>
          <w:sz w:val="24"/>
          <w:szCs w:val="24"/>
        </w:rPr>
        <w:t xml:space="preserve"> treatment</w:t>
      </w:r>
      <w:r w:rsidRPr="009A39D8" w:rsidR="00AF7F45">
        <w:rPr>
          <w:rFonts w:ascii="Times New Roman" w:hAnsi="Times New Roman" w:cs="Times New Roman"/>
          <w:sz w:val="24"/>
          <w:szCs w:val="24"/>
        </w:rPr>
        <w:t xml:space="preserve"> group</w:t>
      </w:r>
      <w:r w:rsidRPr="009A39D8">
        <w:rPr>
          <w:rFonts w:ascii="Times New Roman" w:hAnsi="Times New Roman" w:cs="Times New Roman"/>
          <w:sz w:val="24"/>
          <w:szCs w:val="24"/>
        </w:rPr>
        <w:t>. Counts are shown separately for weeks 1 – 11 and 12 – 27 because several treatment</w:t>
      </w:r>
      <w:r w:rsidRPr="009A39D8" w:rsidR="00AF7F45">
        <w:rPr>
          <w:rFonts w:ascii="Times New Roman" w:hAnsi="Times New Roman" w:cs="Times New Roman"/>
          <w:sz w:val="24"/>
          <w:szCs w:val="24"/>
        </w:rPr>
        <w:t xml:space="preserve"> group</w:t>
      </w:r>
      <w:r w:rsidRPr="009A39D8">
        <w:rPr>
          <w:rFonts w:ascii="Times New Roman" w:hAnsi="Times New Roman" w:cs="Times New Roman"/>
          <w:sz w:val="24"/>
          <w:szCs w:val="24"/>
        </w:rPr>
        <w:t xml:space="preserve">s </w:t>
      </w:r>
      <w:r w:rsidRPr="009A39D8" w:rsidR="00AF7F45">
        <w:rPr>
          <w:rFonts w:ascii="Times New Roman" w:hAnsi="Times New Roman" w:cs="Times New Roman"/>
          <w:sz w:val="24"/>
          <w:szCs w:val="24"/>
        </w:rPr>
        <w:t>use</w:t>
      </w:r>
      <w:r w:rsidRPr="009A39D8">
        <w:rPr>
          <w:rFonts w:ascii="Times New Roman" w:hAnsi="Times New Roman" w:cs="Times New Roman"/>
          <w:sz w:val="24"/>
          <w:szCs w:val="24"/>
        </w:rPr>
        <w:t xml:space="preserve"> the</w:t>
      </w:r>
      <w:r w:rsidRPr="009A39D8" w:rsidR="00AF7F45">
        <w:rPr>
          <w:rFonts w:ascii="Times New Roman" w:hAnsi="Times New Roman" w:cs="Times New Roman"/>
          <w:sz w:val="24"/>
          <w:szCs w:val="24"/>
        </w:rPr>
        <w:t xml:space="preserve"> same contacts as the</w:t>
      </w:r>
      <w:r w:rsidRPr="009A39D8">
        <w:rPr>
          <w:rFonts w:ascii="Times New Roman" w:hAnsi="Times New Roman" w:cs="Times New Roman"/>
          <w:sz w:val="24"/>
          <w:szCs w:val="24"/>
        </w:rPr>
        <w:t xml:space="preserve"> </w:t>
      </w:r>
      <w:r w:rsidRPr="009A39D8">
        <w:rPr>
          <w:rFonts w:ascii="Times New Roman" w:hAnsi="Times New Roman" w:cs="Times New Roman"/>
          <w:i/>
          <w:iCs/>
          <w:sz w:val="24"/>
          <w:szCs w:val="24"/>
        </w:rPr>
        <w:t>NSCG</w:t>
      </w:r>
      <w:r w:rsidRPr="009A39D8">
        <w:rPr>
          <w:rFonts w:ascii="Times New Roman" w:hAnsi="Times New Roman" w:cs="Times New Roman"/>
          <w:sz w:val="24"/>
          <w:szCs w:val="24"/>
        </w:rPr>
        <w:t xml:space="preserve"> </w:t>
      </w:r>
      <w:r w:rsidRPr="009A39D8" w:rsidR="00AF7F45">
        <w:rPr>
          <w:rFonts w:ascii="Times New Roman" w:hAnsi="Times New Roman" w:cs="Times New Roman"/>
          <w:sz w:val="24"/>
          <w:szCs w:val="24"/>
        </w:rPr>
        <w:t>treatment group</w:t>
      </w:r>
      <w:r w:rsidRPr="009A39D8">
        <w:rPr>
          <w:rFonts w:ascii="Times New Roman" w:hAnsi="Times New Roman" w:cs="Times New Roman"/>
          <w:sz w:val="24"/>
          <w:szCs w:val="24"/>
        </w:rPr>
        <w:t xml:space="preserve"> beginning in week 12.</w:t>
      </w:r>
    </w:p>
    <w:tbl>
      <w:tblPr>
        <w:tblW w:w="9360" w:type="dxa"/>
        <w:jc w:val="center"/>
        <w:tblLook w:val="04A0" w:firstRow="1" w:lastRow="0" w:firstColumn="1" w:lastColumn="0" w:noHBand="0" w:noVBand="1"/>
      </w:tblPr>
      <w:tblGrid>
        <w:gridCol w:w="2941"/>
        <w:gridCol w:w="858"/>
        <w:gridCol w:w="842"/>
        <w:gridCol w:w="1209"/>
        <w:gridCol w:w="1712"/>
        <w:gridCol w:w="957"/>
        <w:gridCol w:w="841"/>
      </w:tblGrid>
      <w:tr w:rsidRPr="00D707BA" w:rsidR="006C4718" w:rsidTr="00394F70" w14:paraId="6DAEF2C3" w14:textId="77777777">
        <w:trPr>
          <w:trHeight w:val="288"/>
          <w:jc w:val="center"/>
        </w:trPr>
        <w:tc>
          <w:tcPr>
            <w:tcW w:w="9360" w:type="dxa"/>
            <w:gridSpan w:val="7"/>
            <w:tcBorders>
              <w:top w:val="nil"/>
              <w:left w:val="nil"/>
              <w:bottom w:val="single" w:color="auto" w:sz="12" w:space="0"/>
              <w:right w:val="nil"/>
            </w:tcBorders>
            <w:shd w:val="clear" w:color="auto" w:fill="auto"/>
            <w:noWrap/>
            <w:hideMark/>
          </w:tcPr>
          <w:p w:rsidRPr="00D707BA" w:rsidR="006C4718" w:rsidP="004A5C4F" w:rsidRDefault="006C4718" w14:paraId="1C89CDF5" w14:textId="73EEAA26">
            <w:pPr>
              <w:spacing w:after="0" w:line="240" w:lineRule="auto"/>
              <w:rPr>
                <w:rFonts w:ascii="Times New Roman" w:hAnsi="Times New Roman" w:eastAsia="Times New Roman" w:cs="Times New Roman"/>
                <w:color w:val="000000"/>
              </w:rPr>
            </w:pPr>
            <w:r w:rsidRPr="009A39D8">
              <w:rPr>
                <w:rFonts w:ascii="Times New Roman" w:hAnsi="Times New Roman" w:eastAsia="Times New Roman" w:cs="Times New Roman"/>
                <w:color w:val="000000"/>
              </w:rPr>
              <w:t xml:space="preserve">Table </w:t>
            </w:r>
            <w:r w:rsidRPr="009A39D8" w:rsidR="00E45B4A">
              <w:rPr>
                <w:rFonts w:ascii="Times New Roman" w:hAnsi="Times New Roman" w:eastAsia="Times New Roman" w:cs="Times New Roman"/>
                <w:color w:val="000000"/>
              </w:rPr>
              <w:t>C</w:t>
            </w:r>
            <w:r w:rsidRPr="009A39D8">
              <w:rPr>
                <w:rFonts w:ascii="Times New Roman" w:hAnsi="Times New Roman" w:eastAsia="Times New Roman" w:cs="Times New Roman"/>
                <w:color w:val="000000"/>
              </w:rPr>
              <w:t>.</w:t>
            </w:r>
            <w:r w:rsidRPr="009A39D8" w:rsidR="00672F6D">
              <w:rPr>
                <w:rFonts w:ascii="Times New Roman" w:hAnsi="Times New Roman" w:eastAsia="Times New Roman" w:cs="Times New Roman"/>
                <w:color w:val="000000"/>
              </w:rPr>
              <w:t>3</w:t>
            </w:r>
            <w:r w:rsidRPr="009A39D8">
              <w:rPr>
                <w:rFonts w:ascii="Times New Roman" w:hAnsi="Times New Roman" w:eastAsia="Times New Roman" w:cs="Times New Roman"/>
                <w:color w:val="000000"/>
              </w:rPr>
              <w:t>.   Number of contacts offering each mode of response, by treatment group</w:t>
            </w:r>
          </w:p>
        </w:tc>
      </w:tr>
      <w:tr w:rsidRPr="00D707BA" w:rsidR="00D707BA" w:rsidTr="00394F70" w14:paraId="22EA1F29" w14:textId="77777777">
        <w:trPr>
          <w:trHeight w:val="330"/>
          <w:jc w:val="center"/>
        </w:trPr>
        <w:tc>
          <w:tcPr>
            <w:tcW w:w="2941" w:type="dxa"/>
            <w:tcBorders>
              <w:top w:val="single" w:color="auto" w:sz="12" w:space="0"/>
              <w:left w:val="nil"/>
              <w:bottom w:val="single" w:color="auto" w:sz="12" w:space="0"/>
              <w:right w:val="nil"/>
            </w:tcBorders>
            <w:shd w:val="clear" w:color="auto" w:fill="auto"/>
            <w:noWrap/>
            <w:vAlign w:val="bottom"/>
            <w:hideMark/>
          </w:tcPr>
          <w:p w:rsidRPr="00D707BA" w:rsidR="00D707BA" w:rsidP="004A5C4F" w:rsidRDefault="00D707BA" w14:paraId="6BA41CF8" w14:textId="77777777">
            <w:pPr>
              <w:spacing w:after="0" w:line="240" w:lineRule="auto"/>
              <w:rPr>
                <w:rFonts w:ascii="Times New Roman" w:hAnsi="Times New Roman" w:eastAsia="Times New Roman" w:cs="Times New Roman"/>
                <w:b/>
                <w:bCs/>
                <w:color w:val="000000"/>
              </w:rPr>
            </w:pPr>
            <w:r w:rsidRPr="00D707BA">
              <w:rPr>
                <w:rFonts w:ascii="Times New Roman" w:hAnsi="Times New Roman" w:eastAsia="Times New Roman" w:cs="Times New Roman"/>
                <w:b/>
                <w:bCs/>
                <w:color w:val="000000"/>
              </w:rPr>
              <w:t>Response mode(s) offered</w:t>
            </w:r>
          </w:p>
        </w:tc>
        <w:tc>
          <w:tcPr>
            <w:tcW w:w="858" w:type="dxa"/>
            <w:tcBorders>
              <w:top w:val="single" w:color="auto" w:sz="12" w:space="0"/>
              <w:left w:val="nil"/>
              <w:bottom w:val="single" w:color="auto" w:sz="12" w:space="0"/>
              <w:right w:val="nil"/>
            </w:tcBorders>
            <w:shd w:val="clear" w:color="auto" w:fill="auto"/>
            <w:noWrap/>
            <w:vAlign w:val="bottom"/>
            <w:hideMark/>
          </w:tcPr>
          <w:p w:rsidRPr="00C12590" w:rsidR="00D707BA" w:rsidP="004A5C4F" w:rsidRDefault="00D707BA" w14:paraId="11F8594C" w14:textId="77777777">
            <w:pPr>
              <w:spacing w:after="0" w:line="240" w:lineRule="auto"/>
              <w:jc w:val="right"/>
              <w:rPr>
                <w:rFonts w:ascii="Times New Roman" w:hAnsi="Times New Roman" w:eastAsia="Times New Roman" w:cs="Times New Roman"/>
                <w:b/>
                <w:bCs/>
                <w:i/>
                <w:color w:val="000000"/>
              </w:rPr>
            </w:pPr>
            <w:r w:rsidRPr="00C12590">
              <w:rPr>
                <w:rFonts w:ascii="Times New Roman" w:hAnsi="Times New Roman" w:eastAsia="Times New Roman" w:cs="Times New Roman"/>
                <w:b/>
                <w:bCs/>
                <w:i/>
                <w:color w:val="000000"/>
              </w:rPr>
              <w:t>NSCG</w:t>
            </w:r>
          </w:p>
        </w:tc>
        <w:tc>
          <w:tcPr>
            <w:tcW w:w="842" w:type="dxa"/>
            <w:tcBorders>
              <w:top w:val="single" w:color="auto" w:sz="12" w:space="0"/>
              <w:left w:val="nil"/>
              <w:bottom w:val="single" w:color="auto" w:sz="12" w:space="0"/>
              <w:right w:val="nil"/>
            </w:tcBorders>
            <w:shd w:val="clear" w:color="auto" w:fill="auto"/>
            <w:noWrap/>
            <w:vAlign w:val="bottom"/>
            <w:hideMark/>
          </w:tcPr>
          <w:p w:rsidRPr="00C12590" w:rsidR="00D707BA" w:rsidP="004A5C4F" w:rsidRDefault="00D707BA" w14:paraId="7F866E2E" w14:textId="77777777">
            <w:pPr>
              <w:spacing w:after="0" w:line="240" w:lineRule="auto"/>
              <w:jc w:val="right"/>
              <w:rPr>
                <w:rFonts w:ascii="Times New Roman" w:hAnsi="Times New Roman" w:eastAsia="Times New Roman" w:cs="Times New Roman"/>
                <w:b/>
                <w:bCs/>
                <w:i/>
                <w:color w:val="000000"/>
              </w:rPr>
            </w:pPr>
            <w:r w:rsidRPr="00C12590">
              <w:rPr>
                <w:rFonts w:ascii="Times New Roman" w:hAnsi="Times New Roman" w:eastAsia="Times New Roman" w:cs="Times New Roman"/>
                <w:b/>
                <w:bCs/>
                <w:i/>
                <w:color w:val="000000"/>
              </w:rPr>
              <w:t>NHES</w:t>
            </w:r>
          </w:p>
        </w:tc>
        <w:tc>
          <w:tcPr>
            <w:tcW w:w="1209" w:type="dxa"/>
            <w:tcBorders>
              <w:top w:val="single" w:color="auto" w:sz="12" w:space="0"/>
              <w:left w:val="nil"/>
              <w:bottom w:val="single" w:color="auto" w:sz="12" w:space="0"/>
              <w:right w:val="nil"/>
            </w:tcBorders>
            <w:shd w:val="clear" w:color="auto" w:fill="auto"/>
            <w:noWrap/>
            <w:vAlign w:val="bottom"/>
            <w:hideMark/>
          </w:tcPr>
          <w:p w:rsidRPr="00C12590" w:rsidR="00D707BA" w:rsidP="004A5C4F" w:rsidRDefault="00D707BA" w14:paraId="633DD60B" w14:textId="77777777">
            <w:pPr>
              <w:spacing w:after="0" w:line="240" w:lineRule="auto"/>
              <w:jc w:val="right"/>
              <w:rPr>
                <w:rFonts w:ascii="Times New Roman" w:hAnsi="Times New Roman" w:eastAsia="Times New Roman" w:cs="Times New Roman"/>
                <w:b/>
                <w:bCs/>
                <w:i/>
                <w:color w:val="000000"/>
              </w:rPr>
            </w:pPr>
            <w:r w:rsidRPr="00C12590">
              <w:rPr>
                <w:rFonts w:ascii="Times New Roman" w:hAnsi="Times New Roman" w:eastAsia="Times New Roman" w:cs="Times New Roman"/>
                <w:b/>
                <w:bCs/>
                <w:i/>
                <w:color w:val="000000"/>
              </w:rPr>
              <w:t>CHOICE</w:t>
            </w:r>
            <w:r w:rsidRPr="00C12590">
              <w:rPr>
                <w:rFonts w:ascii="Times New Roman" w:hAnsi="Times New Roman" w:eastAsia="Times New Roman" w:cs="Times New Roman"/>
                <w:b/>
                <w:bCs/>
                <w:i/>
                <w:color w:val="000000"/>
                <w:vertAlign w:val="superscript"/>
              </w:rPr>
              <w:t>1</w:t>
            </w:r>
          </w:p>
        </w:tc>
        <w:tc>
          <w:tcPr>
            <w:tcW w:w="1712" w:type="dxa"/>
            <w:tcBorders>
              <w:top w:val="single" w:color="auto" w:sz="12" w:space="0"/>
              <w:left w:val="nil"/>
              <w:bottom w:val="single" w:color="auto" w:sz="12" w:space="0"/>
              <w:right w:val="nil"/>
            </w:tcBorders>
            <w:shd w:val="clear" w:color="auto" w:fill="auto"/>
            <w:noWrap/>
            <w:vAlign w:val="bottom"/>
            <w:hideMark/>
          </w:tcPr>
          <w:p w:rsidRPr="00C12590" w:rsidR="00D707BA" w:rsidP="004A5C4F" w:rsidRDefault="00D707BA" w14:paraId="56493D3C" w14:textId="77777777">
            <w:pPr>
              <w:spacing w:after="0" w:line="240" w:lineRule="auto"/>
              <w:jc w:val="right"/>
              <w:rPr>
                <w:rFonts w:ascii="Times New Roman" w:hAnsi="Times New Roman" w:eastAsia="Times New Roman" w:cs="Times New Roman"/>
                <w:b/>
                <w:bCs/>
                <w:i/>
                <w:color w:val="000000"/>
              </w:rPr>
            </w:pPr>
            <w:r w:rsidRPr="00C12590">
              <w:rPr>
                <w:rFonts w:ascii="Times New Roman" w:hAnsi="Times New Roman" w:eastAsia="Times New Roman" w:cs="Times New Roman"/>
                <w:b/>
                <w:bCs/>
                <w:i/>
                <w:color w:val="000000"/>
              </w:rPr>
              <w:t>CHOICEPLUS</w:t>
            </w:r>
            <w:r w:rsidRPr="00C12590">
              <w:rPr>
                <w:rFonts w:ascii="Times New Roman" w:hAnsi="Times New Roman" w:eastAsia="Times New Roman" w:cs="Times New Roman"/>
                <w:b/>
                <w:bCs/>
                <w:i/>
                <w:color w:val="000000"/>
                <w:vertAlign w:val="superscript"/>
              </w:rPr>
              <w:t>1</w:t>
            </w:r>
          </w:p>
        </w:tc>
        <w:tc>
          <w:tcPr>
            <w:tcW w:w="957" w:type="dxa"/>
            <w:tcBorders>
              <w:top w:val="single" w:color="auto" w:sz="12" w:space="0"/>
              <w:left w:val="nil"/>
              <w:bottom w:val="single" w:color="auto" w:sz="12" w:space="0"/>
              <w:right w:val="nil"/>
            </w:tcBorders>
            <w:shd w:val="clear" w:color="auto" w:fill="auto"/>
            <w:noWrap/>
            <w:vAlign w:val="bottom"/>
            <w:hideMark/>
          </w:tcPr>
          <w:p w:rsidRPr="00C12590" w:rsidR="00D707BA" w:rsidP="004A5C4F" w:rsidRDefault="00D707BA" w14:paraId="52BF0D73" w14:textId="77777777">
            <w:pPr>
              <w:spacing w:after="0" w:line="240" w:lineRule="auto"/>
              <w:jc w:val="right"/>
              <w:rPr>
                <w:rFonts w:ascii="Times New Roman" w:hAnsi="Times New Roman" w:eastAsia="Times New Roman" w:cs="Times New Roman"/>
                <w:b/>
                <w:bCs/>
                <w:i/>
                <w:color w:val="000000"/>
              </w:rPr>
            </w:pPr>
            <w:r w:rsidRPr="00C12590">
              <w:rPr>
                <w:rFonts w:ascii="Times New Roman" w:hAnsi="Times New Roman" w:eastAsia="Times New Roman" w:cs="Times New Roman"/>
                <w:b/>
                <w:bCs/>
                <w:i/>
                <w:color w:val="000000"/>
              </w:rPr>
              <w:t>PAP</w:t>
            </w:r>
          </w:p>
        </w:tc>
        <w:tc>
          <w:tcPr>
            <w:tcW w:w="841" w:type="dxa"/>
            <w:tcBorders>
              <w:top w:val="single" w:color="auto" w:sz="12" w:space="0"/>
              <w:left w:val="nil"/>
              <w:bottom w:val="single" w:color="auto" w:sz="12" w:space="0"/>
              <w:right w:val="nil"/>
            </w:tcBorders>
            <w:shd w:val="clear" w:color="auto" w:fill="auto"/>
            <w:noWrap/>
            <w:vAlign w:val="bottom"/>
            <w:hideMark/>
          </w:tcPr>
          <w:p w:rsidRPr="00C12590" w:rsidR="00D707BA" w:rsidP="004A5C4F" w:rsidRDefault="00D707BA" w14:paraId="0673C8C7" w14:textId="77777777">
            <w:pPr>
              <w:spacing w:after="0" w:line="240" w:lineRule="auto"/>
              <w:jc w:val="right"/>
              <w:rPr>
                <w:rFonts w:ascii="Times New Roman" w:hAnsi="Times New Roman" w:eastAsia="Times New Roman" w:cs="Times New Roman"/>
                <w:b/>
                <w:bCs/>
                <w:i/>
                <w:color w:val="000000"/>
              </w:rPr>
            </w:pPr>
            <w:r w:rsidRPr="00C12590">
              <w:rPr>
                <w:rFonts w:ascii="Times New Roman" w:hAnsi="Times New Roman" w:eastAsia="Times New Roman" w:cs="Times New Roman"/>
                <w:b/>
                <w:bCs/>
                <w:i/>
                <w:color w:val="000000"/>
              </w:rPr>
              <w:t>CAT</w:t>
            </w:r>
          </w:p>
        </w:tc>
      </w:tr>
      <w:tr w:rsidRPr="00D707BA" w:rsidR="00D707BA" w:rsidTr="00B6246E" w14:paraId="2FA9BABE" w14:textId="77777777">
        <w:trPr>
          <w:trHeight w:val="315"/>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0ABA2976" w14:textId="77777777">
            <w:pPr>
              <w:spacing w:after="0" w:line="240" w:lineRule="auto"/>
              <w:rPr>
                <w:rFonts w:ascii="Times New Roman" w:hAnsi="Times New Roman" w:eastAsia="Times New Roman" w:cs="Times New Roman"/>
                <w:i/>
                <w:iCs/>
                <w:color w:val="000000"/>
              </w:rPr>
            </w:pPr>
            <w:r w:rsidRPr="00D707BA">
              <w:rPr>
                <w:rFonts w:ascii="Times New Roman" w:hAnsi="Times New Roman" w:eastAsia="Times New Roman" w:cs="Times New Roman"/>
                <w:i/>
                <w:iCs/>
                <w:color w:val="000000"/>
              </w:rPr>
              <w:t>In weeks 1 - 11:</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22D544DF" w14:textId="77777777">
            <w:pPr>
              <w:spacing w:after="0" w:line="240" w:lineRule="auto"/>
              <w:rPr>
                <w:rFonts w:ascii="Times New Roman" w:hAnsi="Times New Roman" w:eastAsia="Times New Roman" w:cs="Times New Roman"/>
                <w:i/>
                <w:iCs/>
                <w:color w:val="000000"/>
              </w:rPr>
            </w:pPr>
          </w:p>
        </w:tc>
        <w:tc>
          <w:tcPr>
            <w:tcW w:w="842" w:type="dxa"/>
            <w:tcBorders>
              <w:top w:val="nil"/>
              <w:left w:val="nil"/>
              <w:bottom w:val="nil"/>
              <w:right w:val="nil"/>
            </w:tcBorders>
            <w:shd w:val="clear" w:color="auto" w:fill="auto"/>
            <w:noWrap/>
            <w:vAlign w:val="bottom"/>
            <w:hideMark/>
          </w:tcPr>
          <w:p w:rsidRPr="00D707BA" w:rsidR="00D707BA" w:rsidP="004A5C4F" w:rsidRDefault="00D707BA" w14:paraId="6ABFF0E8" w14:textId="77777777">
            <w:pPr>
              <w:spacing w:after="0" w:line="240" w:lineRule="auto"/>
              <w:rPr>
                <w:rFonts w:ascii="Times New Roman" w:hAnsi="Times New Roman" w:eastAsia="Times New Roman" w:cs="Times New Roman"/>
                <w:sz w:val="20"/>
                <w:szCs w:val="20"/>
              </w:rPr>
            </w:pP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6089E293" w14:textId="77777777">
            <w:pPr>
              <w:spacing w:after="0" w:line="240" w:lineRule="auto"/>
              <w:rPr>
                <w:rFonts w:ascii="Times New Roman" w:hAnsi="Times New Roman" w:eastAsia="Times New Roman" w:cs="Times New Roman"/>
                <w:sz w:val="20"/>
                <w:szCs w:val="20"/>
              </w:rPr>
            </w:pP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24C609A1" w14:textId="77777777">
            <w:pPr>
              <w:spacing w:after="0" w:line="240" w:lineRule="auto"/>
              <w:rPr>
                <w:rFonts w:ascii="Times New Roman" w:hAnsi="Times New Roman" w:eastAsia="Times New Roman" w:cs="Times New Roman"/>
                <w:sz w:val="20"/>
                <w:szCs w:val="20"/>
              </w:rPr>
            </w:pPr>
          </w:p>
        </w:tc>
        <w:tc>
          <w:tcPr>
            <w:tcW w:w="957" w:type="dxa"/>
            <w:tcBorders>
              <w:top w:val="nil"/>
              <w:left w:val="nil"/>
              <w:bottom w:val="nil"/>
              <w:right w:val="nil"/>
            </w:tcBorders>
            <w:shd w:val="clear" w:color="auto" w:fill="auto"/>
            <w:noWrap/>
            <w:vAlign w:val="bottom"/>
            <w:hideMark/>
          </w:tcPr>
          <w:p w:rsidRPr="00D707BA" w:rsidR="00D707BA" w:rsidP="004A5C4F" w:rsidRDefault="00D707BA" w14:paraId="5C6C325D" w14:textId="77777777">
            <w:pPr>
              <w:spacing w:after="0" w:line="240" w:lineRule="auto"/>
              <w:rPr>
                <w:rFonts w:ascii="Times New Roman" w:hAnsi="Times New Roman" w:eastAsia="Times New Roman" w:cs="Times New Roman"/>
                <w:sz w:val="20"/>
                <w:szCs w:val="20"/>
              </w:rPr>
            </w:pPr>
          </w:p>
        </w:tc>
        <w:tc>
          <w:tcPr>
            <w:tcW w:w="841" w:type="dxa"/>
            <w:tcBorders>
              <w:top w:val="nil"/>
              <w:left w:val="nil"/>
              <w:bottom w:val="nil"/>
              <w:right w:val="nil"/>
            </w:tcBorders>
            <w:shd w:val="clear" w:color="auto" w:fill="auto"/>
            <w:noWrap/>
            <w:vAlign w:val="bottom"/>
            <w:hideMark/>
          </w:tcPr>
          <w:p w:rsidRPr="00D707BA" w:rsidR="00D707BA" w:rsidP="004A5C4F" w:rsidRDefault="00D707BA" w14:paraId="3DD50190" w14:textId="77777777">
            <w:pPr>
              <w:spacing w:after="0" w:line="240" w:lineRule="auto"/>
              <w:rPr>
                <w:rFonts w:ascii="Times New Roman" w:hAnsi="Times New Roman" w:eastAsia="Times New Roman" w:cs="Times New Roman"/>
                <w:sz w:val="20"/>
                <w:szCs w:val="20"/>
              </w:rPr>
            </w:pPr>
          </w:p>
        </w:tc>
      </w:tr>
      <w:tr w:rsidRPr="00D707BA" w:rsidR="00D707BA" w:rsidTr="00B6246E" w14:paraId="2D52DA3B"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1D6DE52A"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Web-only</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1BFD4371"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5E110EF4"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4</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4F779CBA"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3AC46F9A"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1CFA2D3B"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44A5F27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r>
      <w:tr w:rsidRPr="00D707BA" w:rsidR="00D707BA" w:rsidTr="00B6246E" w14:paraId="79C500AD"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5E8AC29A"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Paper-only</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0C587E7E"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39F9548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2D2BC390"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02FA37F8"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5441D19A"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7C12D6BD"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r>
      <w:tr w:rsidRPr="00D707BA" w:rsidR="00D707BA" w:rsidTr="00B6246E" w14:paraId="20CC602A"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15B7DBF8"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Web + paper</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497E7AF5"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143FD5E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6FFD0083"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5809916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021B36BF"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690FDE34"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r>
      <w:tr w:rsidRPr="00D707BA" w:rsidR="00D707BA" w:rsidTr="00B6246E" w14:paraId="492BA59A"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5B91EB9F"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Weeks of outbound CATI</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08090DBA"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5E605FAD"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32435826"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5C997DA6"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07762CF7"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5BA7A32C"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r>
      <w:tr w:rsidRPr="00D707BA" w:rsidR="00D707BA" w:rsidTr="00B6246E" w14:paraId="6FB25FE4" w14:textId="77777777">
        <w:trPr>
          <w:trHeight w:val="345"/>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2A7CDDE3" w14:textId="53C49741">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 xml:space="preserve">Passive </w:t>
            </w:r>
            <w:r w:rsidR="0088624B">
              <w:rPr>
                <w:rFonts w:ascii="Times New Roman" w:hAnsi="Times New Roman" w:eastAsia="Times New Roman" w:cs="Times New Roman"/>
                <w:color w:val="000000"/>
              </w:rPr>
              <w:t>reminders</w:t>
            </w:r>
            <w:r w:rsidRPr="00D707BA">
              <w:rPr>
                <w:rFonts w:ascii="Times New Roman" w:hAnsi="Times New Roman" w:eastAsia="Times New Roman" w:cs="Times New Roman"/>
                <w:color w:val="000000"/>
                <w:vertAlign w:val="superscript"/>
              </w:rPr>
              <w:t>2</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1359183F"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5C03E700"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1CC1DB18"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53FEF75E"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7764AE35"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2</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6C7C1805"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r>
      <w:tr w:rsidRPr="00D707BA" w:rsidR="00D707BA" w:rsidTr="00B6246E" w14:paraId="3894D9BF"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29159335" w14:textId="77777777">
            <w:pPr>
              <w:spacing w:after="0" w:line="240" w:lineRule="auto"/>
              <w:rPr>
                <w:rFonts w:ascii="Times New Roman" w:hAnsi="Times New Roman" w:eastAsia="Times New Roman" w:cs="Times New Roman"/>
                <w:i/>
                <w:iCs/>
                <w:color w:val="000000"/>
              </w:rPr>
            </w:pPr>
            <w:r w:rsidRPr="00D707BA">
              <w:rPr>
                <w:rFonts w:ascii="Times New Roman" w:hAnsi="Times New Roman" w:eastAsia="Times New Roman" w:cs="Times New Roman"/>
                <w:i/>
                <w:iCs/>
                <w:color w:val="000000"/>
              </w:rPr>
              <w:t>In weeks 12 - 27:</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3BBD28F4" w14:textId="77777777">
            <w:pPr>
              <w:spacing w:after="0" w:line="240" w:lineRule="auto"/>
              <w:rPr>
                <w:rFonts w:ascii="Times New Roman" w:hAnsi="Times New Roman" w:eastAsia="Times New Roman" w:cs="Times New Roman"/>
                <w:i/>
                <w:iCs/>
                <w:color w:val="000000"/>
              </w:rPr>
            </w:pPr>
          </w:p>
        </w:tc>
        <w:tc>
          <w:tcPr>
            <w:tcW w:w="842" w:type="dxa"/>
            <w:tcBorders>
              <w:top w:val="nil"/>
              <w:left w:val="nil"/>
              <w:bottom w:val="nil"/>
              <w:right w:val="nil"/>
            </w:tcBorders>
            <w:shd w:val="clear" w:color="auto" w:fill="auto"/>
            <w:noWrap/>
            <w:vAlign w:val="bottom"/>
            <w:hideMark/>
          </w:tcPr>
          <w:p w:rsidRPr="00D707BA" w:rsidR="00D707BA" w:rsidP="004A5C4F" w:rsidRDefault="00D707BA" w14:paraId="62D8E42B" w14:textId="77777777">
            <w:pPr>
              <w:spacing w:after="0" w:line="240" w:lineRule="auto"/>
              <w:rPr>
                <w:rFonts w:ascii="Times New Roman" w:hAnsi="Times New Roman" w:eastAsia="Times New Roman" w:cs="Times New Roman"/>
                <w:sz w:val="20"/>
                <w:szCs w:val="20"/>
              </w:rPr>
            </w:pP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35B6230F" w14:textId="77777777">
            <w:pPr>
              <w:spacing w:after="0" w:line="240" w:lineRule="auto"/>
              <w:rPr>
                <w:rFonts w:ascii="Times New Roman" w:hAnsi="Times New Roman" w:eastAsia="Times New Roman" w:cs="Times New Roman"/>
                <w:sz w:val="20"/>
                <w:szCs w:val="20"/>
              </w:rPr>
            </w:pP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276BBD55" w14:textId="77777777">
            <w:pPr>
              <w:spacing w:after="0" w:line="240" w:lineRule="auto"/>
              <w:rPr>
                <w:rFonts w:ascii="Times New Roman" w:hAnsi="Times New Roman" w:eastAsia="Times New Roman" w:cs="Times New Roman"/>
                <w:sz w:val="20"/>
                <w:szCs w:val="20"/>
              </w:rPr>
            </w:pPr>
          </w:p>
        </w:tc>
        <w:tc>
          <w:tcPr>
            <w:tcW w:w="957" w:type="dxa"/>
            <w:tcBorders>
              <w:top w:val="nil"/>
              <w:left w:val="nil"/>
              <w:bottom w:val="nil"/>
              <w:right w:val="nil"/>
            </w:tcBorders>
            <w:shd w:val="clear" w:color="auto" w:fill="auto"/>
            <w:noWrap/>
            <w:vAlign w:val="bottom"/>
            <w:hideMark/>
          </w:tcPr>
          <w:p w:rsidRPr="00D707BA" w:rsidR="00D707BA" w:rsidP="004A5C4F" w:rsidRDefault="00D707BA" w14:paraId="6B4B3946" w14:textId="77777777">
            <w:pPr>
              <w:spacing w:after="0" w:line="240" w:lineRule="auto"/>
              <w:rPr>
                <w:rFonts w:ascii="Times New Roman" w:hAnsi="Times New Roman" w:eastAsia="Times New Roman" w:cs="Times New Roman"/>
                <w:sz w:val="20"/>
                <w:szCs w:val="20"/>
              </w:rPr>
            </w:pPr>
          </w:p>
        </w:tc>
        <w:tc>
          <w:tcPr>
            <w:tcW w:w="841" w:type="dxa"/>
            <w:tcBorders>
              <w:top w:val="nil"/>
              <w:left w:val="nil"/>
              <w:bottom w:val="nil"/>
              <w:right w:val="nil"/>
            </w:tcBorders>
            <w:shd w:val="clear" w:color="auto" w:fill="auto"/>
            <w:noWrap/>
            <w:vAlign w:val="bottom"/>
            <w:hideMark/>
          </w:tcPr>
          <w:p w:rsidRPr="00D707BA" w:rsidR="00D707BA" w:rsidP="004A5C4F" w:rsidRDefault="00D707BA" w14:paraId="3FE112A3" w14:textId="77777777">
            <w:pPr>
              <w:spacing w:after="0" w:line="240" w:lineRule="auto"/>
              <w:rPr>
                <w:rFonts w:ascii="Times New Roman" w:hAnsi="Times New Roman" w:eastAsia="Times New Roman" w:cs="Times New Roman"/>
                <w:sz w:val="20"/>
                <w:szCs w:val="20"/>
              </w:rPr>
            </w:pPr>
          </w:p>
        </w:tc>
      </w:tr>
      <w:tr w:rsidRPr="00D707BA" w:rsidR="00D707BA" w:rsidTr="00B6246E" w14:paraId="7DFF0EA5"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417248C2"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Web-only</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585E022F"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29869865"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2B9133EF"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7C82181C"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25E3E488"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32C300B6"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r>
      <w:tr w:rsidRPr="00D707BA" w:rsidR="00D707BA" w:rsidTr="00B6246E" w14:paraId="382F4A91"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3CE1C98D"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Paper-only</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3CFDF89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7635C46A"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4</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07BD0C60"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7A9067B5"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10E78ABC"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1DC20B11"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r>
      <w:tr w:rsidRPr="00D707BA" w:rsidR="00D707BA" w:rsidTr="00B6246E" w14:paraId="31A63733"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094C69C8"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Web + paper</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5382CD9C"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5C16BD1A"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6F6169B5"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072127BD"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1DFE2F31"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3B6520C0"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r>
      <w:tr w:rsidRPr="00D707BA" w:rsidR="00D707BA" w:rsidTr="00B6246E" w14:paraId="291AA109"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50A06403"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Weeks of outbound CATI</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3429A1AE"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3C2C5AD7"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0CA5C0A7"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4DDC7247"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1D18DCB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5DD75667"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r>
      <w:tr w:rsidRPr="00D707BA" w:rsidR="00D707BA" w:rsidTr="00B6246E" w14:paraId="214CFC30" w14:textId="77777777">
        <w:trPr>
          <w:trHeight w:val="345"/>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7DA09428" w14:textId="37EB77A0">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 xml:space="preserve">Passive </w:t>
            </w:r>
            <w:r w:rsidR="0088624B">
              <w:rPr>
                <w:rFonts w:ascii="Times New Roman" w:hAnsi="Times New Roman" w:eastAsia="Times New Roman" w:cs="Times New Roman"/>
                <w:color w:val="000000"/>
              </w:rPr>
              <w:t>reminders</w:t>
            </w:r>
            <w:r w:rsidRPr="00D707BA">
              <w:rPr>
                <w:rFonts w:ascii="Times New Roman" w:hAnsi="Times New Roman" w:eastAsia="Times New Roman" w:cs="Times New Roman"/>
                <w:color w:val="000000"/>
                <w:vertAlign w:val="superscript"/>
              </w:rPr>
              <w:t>2</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1460C416"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5F4F35B7"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7CCC906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4ECBF6D0"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01C8631B"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7F8EB89B"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r>
      <w:tr w:rsidRPr="00D707BA" w:rsidR="00D707BA" w:rsidTr="00B6246E" w14:paraId="436B19B9"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21737ACE" w14:textId="77777777">
            <w:pPr>
              <w:spacing w:after="0" w:line="240" w:lineRule="auto"/>
              <w:rPr>
                <w:rFonts w:ascii="Times New Roman" w:hAnsi="Times New Roman" w:eastAsia="Times New Roman" w:cs="Times New Roman"/>
                <w:i/>
                <w:iCs/>
                <w:color w:val="000000"/>
              </w:rPr>
            </w:pPr>
            <w:r w:rsidRPr="00D707BA">
              <w:rPr>
                <w:rFonts w:ascii="Times New Roman" w:hAnsi="Times New Roman" w:eastAsia="Times New Roman" w:cs="Times New Roman"/>
                <w:i/>
                <w:iCs/>
                <w:color w:val="000000"/>
              </w:rPr>
              <w:t>Total:</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663B019B" w14:textId="77777777">
            <w:pPr>
              <w:spacing w:after="0" w:line="240" w:lineRule="auto"/>
              <w:rPr>
                <w:rFonts w:ascii="Times New Roman" w:hAnsi="Times New Roman" w:eastAsia="Times New Roman" w:cs="Times New Roman"/>
                <w:i/>
                <w:iCs/>
                <w:color w:val="000000"/>
              </w:rPr>
            </w:pPr>
          </w:p>
        </w:tc>
        <w:tc>
          <w:tcPr>
            <w:tcW w:w="842" w:type="dxa"/>
            <w:tcBorders>
              <w:top w:val="nil"/>
              <w:left w:val="nil"/>
              <w:bottom w:val="nil"/>
              <w:right w:val="nil"/>
            </w:tcBorders>
            <w:shd w:val="clear" w:color="auto" w:fill="auto"/>
            <w:noWrap/>
            <w:vAlign w:val="bottom"/>
            <w:hideMark/>
          </w:tcPr>
          <w:p w:rsidRPr="00D707BA" w:rsidR="00D707BA" w:rsidP="004A5C4F" w:rsidRDefault="00D707BA" w14:paraId="00B9902C" w14:textId="77777777">
            <w:pPr>
              <w:spacing w:after="0" w:line="240" w:lineRule="auto"/>
              <w:rPr>
                <w:rFonts w:ascii="Times New Roman" w:hAnsi="Times New Roman" w:eastAsia="Times New Roman" w:cs="Times New Roman"/>
                <w:sz w:val="20"/>
                <w:szCs w:val="20"/>
              </w:rPr>
            </w:pP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69DC9AEF" w14:textId="77777777">
            <w:pPr>
              <w:spacing w:after="0" w:line="240" w:lineRule="auto"/>
              <w:rPr>
                <w:rFonts w:ascii="Times New Roman" w:hAnsi="Times New Roman" w:eastAsia="Times New Roman" w:cs="Times New Roman"/>
                <w:sz w:val="20"/>
                <w:szCs w:val="20"/>
              </w:rPr>
            </w:pP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4F30B072" w14:textId="77777777">
            <w:pPr>
              <w:spacing w:after="0" w:line="240" w:lineRule="auto"/>
              <w:rPr>
                <w:rFonts w:ascii="Times New Roman" w:hAnsi="Times New Roman" w:eastAsia="Times New Roman" w:cs="Times New Roman"/>
                <w:sz w:val="20"/>
                <w:szCs w:val="20"/>
              </w:rPr>
            </w:pPr>
          </w:p>
        </w:tc>
        <w:tc>
          <w:tcPr>
            <w:tcW w:w="957" w:type="dxa"/>
            <w:tcBorders>
              <w:top w:val="nil"/>
              <w:left w:val="nil"/>
              <w:bottom w:val="nil"/>
              <w:right w:val="nil"/>
            </w:tcBorders>
            <w:shd w:val="clear" w:color="auto" w:fill="auto"/>
            <w:noWrap/>
            <w:vAlign w:val="bottom"/>
            <w:hideMark/>
          </w:tcPr>
          <w:p w:rsidRPr="00D707BA" w:rsidR="00D707BA" w:rsidP="004A5C4F" w:rsidRDefault="00D707BA" w14:paraId="19EDE0C1" w14:textId="77777777">
            <w:pPr>
              <w:spacing w:after="0" w:line="240" w:lineRule="auto"/>
              <w:rPr>
                <w:rFonts w:ascii="Times New Roman" w:hAnsi="Times New Roman" w:eastAsia="Times New Roman" w:cs="Times New Roman"/>
                <w:sz w:val="20"/>
                <w:szCs w:val="20"/>
              </w:rPr>
            </w:pPr>
          </w:p>
        </w:tc>
        <w:tc>
          <w:tcPr>
            <w:tcW w:w="841" w:type="dxa"/>
            <w:tcBorders>
              <w:top w:val="nil"/>
              <w:left w:val="nil"/>
              <w:bottom w:val="nil"/>
              <w:right w:val="nil"/>
            </w:tcBorders>
            <w:shd w:val="clear" w:color="auto" w:fill="auto"/>
            <w:noWrap/>
            <w:vAlign w:val="bottom"/>
            <w:hideMark/>
          </w:tcPr>
          <w:p w:rsidRPr="00D707BA" w:rsidR="00D707BA" w:rsidP="004A5C4F" w:rsidRDefault="00D707BA" w14:paraId="55D40FB3" w14:textId="77777777">
            <w:pPr>
              <w:spacing w:after="0" w:line="240" w:lineRule="auto"/>
              <w:rPr>
                <w:rFonts w:ascii="Times New Roman" w:hAnsi="Times New Roman" w:eastAsia="Times New Roman" w:cs="Times New Roman"/>
                <w:sz w:val="20"/>
                <w:szCs w:val="20"/>
              </w:rPr>
            </w:pPr>
          </w:p>
        </w:tc>
      </w:tr>
      <w:tr w:rsidRPr="00D707BA" w:rsidR="00D707BA" w:rsidTr="00B6246E" w14:paraId="2EB866EF"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7EC6A3EC"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Web-only</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258B8D25"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6</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75B29A6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4</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5FD9888D"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4</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3758793E"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4</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58300834"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45B79413"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r>
      <w:tr w:rsidRPr="00D707BA" w:rsidR="00D707BA" w:rsidTr="00B6246E" w14:paraId="411F80CB"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7351A3FB"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Paper-only</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1E0CC720"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6B3FE2AD"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4</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0CE7EEB4"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38BD1993"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498B005B"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749988BC"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r>
      <w:tr w:rsidRPr="00D707BA" w:rsidR="00D707BA" w:rsidTr="00B6246E" w14:paraId="33C7661F"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709CC62F"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Web + paper</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496BDC21"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2</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49E8BCEC"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0</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00A488E6"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4</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432486E4"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4</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6B57C087"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2081EF55"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r>
      <w:tr w:rsidRPr="00D707BA" w:rsidR="00D707BA" w:rsidTr="00B6246E" w14:paraId="2FD059DF" w14:textId="77777777">
        <w:trPr>
          <w:trHeight w:val="300"/>
          <w:jc w:val="center"/>
        </w:trPr>
        <w:tc>
          <w:tcPr>
            <w:tcW w:w="2941" w:type="dxa"/>
            <w:tcBorders>
              <w:top w:val="nil"/>
              <w:left w:val="nil"/>
              <w:bottom w:val="nil"/>
              <w:right w:val="nil"/>
            </w:tcBorders>
            <w:shd w:val="clear" w:color="auto" w:fill="auto"/>
            <w:noWrap/>
            <w:vAlign w:val="bottom"/>
            <w:hideMark/>
          </w:tcPr>
          <w:p w:rsidRPr="00D707BA" w:rsidR="00D707BA" w:rsidP="004A5C4F" w:rsidRDefault="00D707BA" w14:paraId="03A58FBA" w14:textId="77777777">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Weeks of outbound CATI</w:t>
            </w:r>
          </w:p>
        </w:tc>
        <w:tc>
          <w:tcPr>
            <w:tcW w:w="858" w:type="dxa"/>
            <w:tcBorders>
              <w:top w:val="nil"/>
              <w:left w:val="nil"/>
              <w:bottom w:val="nil"/>
              <w:right w:val="nil"/>
            </w:tcBorders>
            <w:shd w:val="clear" w:color="auto" w:fill="auto"/>
            <w:noWrap/>
            <w:vAlign w:val="bottom"/>
            <w:hideMark/>
          </w:tcPr>
          <w:p w:rsidRPr="00D707BA" w:rsidR="00D707BA" w:rsidP="004A5C4F" w:rsidRDefault="00D707BA" w14:paraId="01878B98"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c>
          <w:tcPr>
            <w:tcW w:w="842" w:type="dxa"/>
            <w:tcBorders>
              <w:top w:val="nil"/>
              <w:left w:val="nil"/>
              <w:bottom w:val="nil"/>
              <w:right w:val="nil"/>
            </w:tcBorders>
            <w:shd w:val="clear" w:color="auto" w:fill="auto"/>
            <w:noWrap/>
            <w:vAlign w:val="bottom"/>
            <w:hideMark/>
          </w:tcPr>
          <w:p w:rsidRPr="00D707BA" w:rsidR="00D707BA" w:rsidP="004A5C4F" w:rsidRDefault="00D707BA" w14:paraId="48030276"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c>
          <w:tcPr>
            <w:tcW w:w="1209" w:type="dxa"/>
            <w:tcBorders>
              <w:top w:val="nil"/>
              <w:left w:val="nil"/>
              <w:bottom w:val="nil"/>
              <w:right w:val="nil"/>
            </w:tcBorders>
            <w:shd w:val="clear" w:color="auto" w:fill="auto"/>
            <w:noWrap/>
            <w:vAlign w:val="bottom"/>
            <w:hideMark/>
          </w:tcPr>
          <w:p w:rsidRPr="00D707BA" w:rsidR="00D707BA" w:rsidP="004A5C4F" w:rsidRDefault="00D707BA" w14:paraId="36824435"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c>
          <w:tcPr>
            <w:tcW w:w="1712" w:type="dxa"/>
            <w:tcBorders>
              <w:top w:val="nil"/>
              <w:left w:val="nil"/>
              <w:bottom w:val="nil"/>
              <w:right w:val="nil"/>
            </w:tcBorders>
            <w:shd w:val="clear" w:color="auto" w:fill="auto"/>
            <w:noWrap/>
            <w:vAlign w:val="bottom"/>
            <w:hideMark/>
          </w:tcPr>
          <w:p w:rsidRPr="00D707BA" w:rsidR="00D707BA" w:rsidP="004A5C4F" w:rsidRDefault="00D707BA" w14:paraId="3E7F744E"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c>
          <w:tcPr>
            <w:tcW w:w="957" w:type="dxa"/>
            <w:tcBorders>
              <w:top w:val="nil"/>
              <w:left w:val="nil"/>
              <w:bottom w:val="nil"/>
              <w:right w:val="nil"/>
            </w:tcBorders>
            <w:shd w:val="clear" w:color="auto" w:fill="auto"/>
            <w:noWrap/>
            <w:vAlign w:val="bottom"/>
            <w:hideMark/>
          </w:tcPr>
          <w:p w:rsidRPr="00D707BA" w:rsidR="00D707BA" w:rsidP="004A5C4F" w:rsidRDefault="00D707BA" w14:paraId="3A9DA004"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c>
          <w:tcPr>
            <w:tcW w:w="841" w:type="dxa"/>
            <w:tcBorders>
              <w:top w:val="nil"/>
              <w:left w:val="nil"/>
              <w:bottom w:val="nil"/>
              <w:right w:val="nil"/>
            </w:tcBorders>
            <w:shd w:val="clear" w:color="auto" w:fill="auto"/>
            <w:noWrap/>
            <w:vAlign w:val="bottom"/>
            <w:hideMark/>
          </w:tcPr>
          <w:p w:rsidRPr="00D707BA" w:rsidR="00D707BA" w:rsidP="004A5C4F" w:rsidRDefault="00D707BA" w14:paraId="4C107E76"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11</w:t>
            </w:r>
          </w:p>
        </w:tc>
      </w:tr>
      <w:tr w:rsidRPr="00D707BA" w:rsidR="00D707BA" w:rsidTr="00B6246E" w14:paraId="26BA2606" w14:textId="77777777">
        <w:trPr>
          <w:trHeight w:val="345"/>
          <w:jc w:val="center"/>
        </w:trPr>
        <w:tc>
          <w:tcPr>
            <w:tcW w:w="2941" w:type="dxa"/>
            <w:tcBorders>
              <w:top w:val="nil"/>
              <w:left w:val="nil"/>
              <w:bottom w:val="single" w:color="auto" w:sz="4" w:space="0"/>
              <w:right w:val="nil"/>
            </w:tcBorders>
            <w:shd w:val="clear" w:color="auto" w:fill="auto"/>
            <w:noWrap/>
            <w:vAlign w:val="bottom"/>
            <w:hideMark/>
          </w:tcPr>
          <w:p w:rsidRPr="00D707BA" w:rsidR="00D707BA" w:rsidP="004A5C4F" w:rsidRDefault="00D707BA" w14:paraId="67149427" w14:textId="5F58F4E3">
            <w:pPr>
              <w:spacing w:after="0" w:line="240" w:lineRule="auto"/>
              <w:ind w:firstLine="220" w:firstLineChars="100"/>
              <w:rPr>
                <w:rFonts w:ascii="Times New Roman" w:hAnsi="Times New Roman" w:eastAsia="Times New Roman" w:cs="Times New Roman"/>
                <w:color w:val="000000"/>
              </w:rPr>
            </w:pPr>
            <w:r w:rsidRPr="00D707BA">
              <w:rPr>
                <w:rFonts w:ascii="Times New Roman" w:hAnsi="Times New Roman" w:eastAsia="Times New Roman" w:cs="Times New Roman"/>
                <w:color w:val="000000"/>
              </w:rPr>
              <w:t xml:space="preserve">Passive </w:t>
            </w:r>
            <w:r w:rsidR="0088624B">
              <w:rPr>
                <w:rFonts w:ascii="Times New Roman" w:hAnsi="Times New Roman" w:eastAsia="Times New Roman" w:cs="Times New Roman"/>
                <w:color w:val="000000"/>
              </w:rPr>
              <w:t>reminders</w:t>
            </w:r>
            <w:r w:rsidRPr="00D707BA">
              <w:rPr>
                <w:rFonts w:ascii="Times New Roman" w:hAnsi="Times New Roman" w:eastAsia="Times New Roman" w:cs="Times New Roman"/>
                <w:color w:val="000000"/>
                <w:vertAlign w:val="superscript"/>
              </w:rPr>
              <w:t>2</w:t>
            </w:r>
          </w:p>
        </w:tc>
        <w:tc>
          <w:tcPr>
            <w:tcW w:w="858" w:type="dxa"/>
            <w:tcBorders>
              <w:top w:val="nil"/>
              <w:left w:val="nil"/>
              <w:bottom w:val="single" w:color="auto" w:sz="4" w:space="0"/>
              <w:right w:val="nil"/>
            </w:tcBorders>
            <w:shd w:val="clear" w:color="auto" w:fill="auto"/>
            <w:noWrap/>
            <w:vAlign w:val="bottom"/>
            <w:hideMark/>
          </w:tcPr>
          <w:p w:rsidRPr="00D707BA" w:rsidR="00D707BA" w:rsidP="004A5C4F" w:rsidRDefault="00D707BA" w14:paraId="1B849BB3"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842" w:type="dxa"/>
            <w:tcBorders>
              <w:top w:val="nil"/>
              <w:left w:val="nil"/>
              <w:bottom w:val="single" w:color="auto" w:sz="4" w:space="0"/>
              <w:right w:val="nil"/>
            </w:tcBorders>
            <w:shd w:val="clear" w:color="auto" w:fill="auto"/>
            <w:noWrap/>
            <w:vAlign w:val="bottom"/>
            <w:hideMark/>
          </w:tcPr>
          <w:p w:rsidRPr="00D707BA" w:rsidR="00D707BA" w:rsidP="004A5C4F" w:rsidRDefault="00D707BA" w14:paraId="4955DB59"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1209" w:type="dxa"/>
            <w:tcBorders>
              <w:top w:val="nil"/>
              <w:left w:val="nil"/>
              <w:bottom w:val="single" w:color="auto" w:sz="4" w:space="0"/>
              <w:right w:val="nil"/>
            </w:tcBorders>
            <w:shd w:val="clear" w:color="auto" w:fill="auto"/>
            <w:noWrap/>
            <w:vAlign w:val="bottom"/>
            <w:hideMark/>
          </w:tcPr>
          <w:p w:rsidRPr="00D707BA" w:rsidR="00D707BA" w:rsidP="004A5C4F" w:rsidRDefault="00D707BA" w14:paraId="7DCCBD7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1712" w:type="dxa"/>
            <w:tcBorders>
              <w:top w:val="nil"/>
              <w:left w:val="nil"/>
              <w:bottom w:val="single" w:color="auto" w:sz="4" w:space="0"/>
              <w:right w:val="nil"/>
            </w:tcBorders>
            <w:shd w:val="clear" w:color="auto" w:fill="auto"/>
            <w:noWrap/>
            <w:vAlign w:val="bottom"/>
            <w:hideMark/>
          </w:tcPr>
          <w:p w:rsidRPr="00D707BA" w:rsidR="00D707BA" w:rsidP="004A5C4F" w:rsidRDefault="00D707BA" w14:paraId="328CAFA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1</w:t>
            </w:r>
          </w:p>
        </w:tc>
        <w:tc>
          <w:tcPr>
            <w:tcW w:w="957" w:type="dxa"/>
            <w:tcBorders>
              <w:top w:val="nil"/>
              <w:left w:val="nil"/>
              <w:bottom w:val="single" w:color="auto" w:sz="4" w:space="0"/>
              <w:right w:val="nil"/>
            </w:tcBorders>
            <w:shd w:val="clear" w:color="auto" w:fill="auto"/>
            <w:noWrap/>
            <w:vAlign w:val="bottom"/>
            <w:hideMark/>
          </w:tcPr>
          <w:p w:rsidRPr="00D707BA" w:rsidR="00D707BA" w:rsidP="004A5C4F" w:rsidRDefault="00D707BA" w14:paraId="5A3A9F02"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2</w:t>
            </w:r>
          </w:p>
        </w:tc>
        <w:tc>
          <w:tcPr>
            <w:tcW w:w="841" w:type="dxa"/>
            <w:tcBorders>
              <w:top w:val="nil"/>
              <w:left w:val="nil"/>
              <w:bottom w:val="single" w:color="auto" w:sz="4" w:space="0"/>
              <w:right w:val="nil"/>
            </w:tcBorders>
            <w:shd w:val="clear" w:color="auto" w:fill="auto"/>
            <w:noWrap/>
            <w:vAlign w:val="bottom"/>
            <w:hideMark/>
          </w:tcPr>
          <w:p w:rsidRPr="00D707BA" w:rsidR="00D707BA" w:rsidP="004A5C4F" w:rsidRDefault="00D707BA" w14:paraId="15F302AB" w14:textId="77777777">
            <w:pPr>
              <w:spacing w:after="0" w:line="240" w:lineRule="auto"/>
              <w:jc w:val="right"/>
              <w:rPr>
                <w:rFonts w:ascii="Times New Roman" w:hAnsi="Times New Roman" w:eastAsia="Times New Roman" w:cs="Times New Roman"/>
                <w:color w:val="000000"/>
              </w:rPr>
            </w:pPr>
            <w:r w:rsidRPr="00D707BA">
              <w:rPr>
                <w:rFonts w:ascii="Times New Roman" w:hAnsi="Times New Roman" w:eastAsia="Times New Roman" w:cs="Times New Roman"/>
                <w:color w:val="000000"/>
              </w:rPr>
              <w:t>3</w:t>
            </w:r>
          </w:p>
        </w:tc>
      </w:tr>
      <w:tr w:rsidRPr="00D707BA" w:rsidR="00D707BA" w:rsidTr="00B6246E" w14:paraId="06B829B2" w14:textId="77777777">
        <w:trPr>
          <w:trHeight w:val="70"/>
          <w:jc w:val="center"/>
        </w:trPr>
        <w:tc>
          <w:tcPr>
            <w:tcW w:w="9360" w:type="dxa"/>
            <w:gridSpan w:val="7"/>
            <w:tcBorders>
              <w:top w:val="single" w:color="auto" w:sz="4" w:space="0"/>
              <w:left w:val="nil"/>
              <w:bottom w:val="nil"/>
              <w:right w:val="nil"/>
            </w:tcBorders>
            <w:shd w:val="clear" w:color="auto" w:fill="auto"/>
            <w:vAlign w:val="bottom"/>
            <w:hideMark/>
          </w:tcPr>
          <w:p w:rsidRPr="00D707BA" w:rsidR="00D707BA" w:rsidP="004A5C4F" w:rsidRDefault="00D707BA" w14:paraId="4E518E18" w14:textId="77777777">
            <w:pPr>
              <w:spacing w:after="0" w:line="240" w:lineRule="auto"/>
              <w:rPr>
                <w:rFonts w:ascii="Times New Roman" w:hAnsi="Times New Roman" w:eastAsia="Times New Roman" w:cs="Times New Roman"/>
                <w:color w:val="000000"/>
                <w:sz w:val="18"/>
                <w:szCs w:val="18"/>
              </w:rPr>
            </w:pPr>
            <w:r w:rsidRPr="00D707BA">
              <w:rPr>
                <w:rFonts w:ascii="Times New Roman" w:hAnsi="Times New Roman" w:eastAsia="Times New Roman" w:cs="Times New Roman"/>
                <w:color w:val="000000"/>
                <w:sz w:val="18"/>
                <w:szCs w:val="18"/>
                <w:vertAlign w:val="superscript"/>
              </w:rPr>
              <w:t>1</w:t>
            </w:r>
            <w:r w:rsidRPr="00D707BA">
              <w:rPr>
                <w:rFonts w:ascii="Times New Roman" w:hAnsi="Times New Roman" w:eastAsia="Times New Roman" w:cs="Times New Roman"/>
                <w:color w:val="000000"/>
                <w:sz w:val="18"/>
                <w:szCs w:val="18"/>
              </w:rPr>
              <w:t xml:space="preserve">In </w:t>
            </w:r>
            <w:r w:rsidRPr="00D707BA">
              <w:rPr>
                <w:rFonts w:ascii="Times New Roman" w:hAnsi="Times New Roman" w:eastAsia="Times New Roman" w:cs="Times New Roman"/>
                <w:i/>
                <w:color w:val="000000"/>
                <w:sz w:val="18"/>
                <w:szCs w:val="18"/>
              </w:rPr>
              <w:t>CHOICE</w:t>
            </w:r>
            <w:r w:rsidRPr="00D707BA">
              <w:rPr>
                <w:rFonts w:ascii="Times New Roman" w:hAnsi="Times New Roman" w:eastAsia="Times New Roman" w:cs="Times New Roman"/>
                <w:color w:val="000000"/>
                <w:sz w:val="18"/>
                <w:szCs w:val="18"/>
              </w:rPr>
              <w:t xml:space="preserve"> and </w:t>
            </w:r>
            <w:r w:rsidRPr="00D707BA">
              <w:rPr>
                <w:rFonts w:ascii="Times New Roman" w:hAnsi="Times New Roman" w:eastAsia="Times New Roman" w:cs="Times New Roman"/>
                <w:i/>
                <w:color w:val="000000"/>
                <w:sz w:val="18"/>
                <w:szCs w:val="18"/>
              </w:rPr>
              <w:t>CHOICEPLUS</w:t>
            </w:r>
            <w:r w:rsidRPr="00D707BA">
              <w:rPr>
                <w:rFonts w:ascii="Times New Roman" w:hAnsi="Times New Roman" w:eastAsia="Times New Roman" w:cs="Times New Roman"/>
                <w:color w:val="000000"/>
                <w:sz w:val="18"/>
                <w:szCs w:val="18"/>
              </w:rPr>
              <w:t>, the web-only contacts in weeks 1 – 11 refer to the perforated reminder letters, which cannot include paper questionnaires.</w:t>
            </w:r>
          </w:p>
          <w:p w:rsidRPr="00D707BA" w:rsidR="00D707BA" w:rsidP="004A5C4F" w:rsidRDefault="00D707BA" w14:paraId="29C5075C" w14:textId="72B79868">
            <w:pPr>
              <w:spacing w:after="0" w:line="240" w:lineRule="auto"/>
              <w:rPr>
                <w:rFonts w:ascii="Times New Roman" w:hAnsi="Times New Roman" w:eastAsia="Times New Roman" w:cs="Times New Roman"/>
                <w:color w:val="000000"/>
                <w:sz w:val="18"/>
                <w:szCs w:val="18"/>
              </w:rPr>
            </w:pPr>
            <w:r w:rsidRPr="00D707BA">
              <w:rPr>
                <w:rFonts w:ascii="Times New Roman" w:hAnsi="Times New Roman" w:eastAsia="Times New Roman" w:cs="Times New Roman"/>
                <w:color w:val="000000"/>
                <w:sz w:val="18"/>
                <w:szCs w:val="18"/>
                <w:vertAlign w:val="superscript"/>
              </w:rPr>
              <w:t>2</w:t>
            </w:r>
            <w:r w:rsidRPr="00D707BA">
              <w:rPr>
                <w:rFonts w:ascii="Times New Roman" w:hAnsi="Times New Roman" w:eastAsia="Times New Roman" w:cs="Times New Roman"/>
                <w:color w:val="000000"/>
                <w:sz w:val="18"/>
                <w:szCs w:val="18"/>
              </w:rPr>
              <w:t xml:space="preserve">Passive </w:t>
            </w:r>
            <w:r w:rsidR="0088624B">
              <w:rPr>
                <w:rFonts w:ascii="Times New Roman" w:hAnsi="Times New Roman" w:eastAsia="Times New Roman" w:cs="Times New Roman"/>
                <w:color w:val="000000"/>
                <w:sz w:val="18"/>
                <w:szCs w:val="18"/>
              </w:rPr>
              <w:t>reminders</w:t>
            </w:r>
            <w:r w:rsidRPr="00D707BA">
              <w:rPr>
                <w:rFonts w:ascii="Times New Roman" w:hAnsi="Times New Roman" w:eastAsia="Times New Roman" w:cs="Times New Roman"/>
                <w:color w:val="000000"/>
                <w:sz w:val="18"/>
                <w:szCs w:val="18"/>
              </w:rPr>
              <w:t xml:space="preserve"> refer to </w:t>
            </w:r>
            <w:r w:rsidR="0088624B">
              <w:rPr>
                <w:rFonts w:ascii="Times New Roman" w:hAnsi="Times New Roman" w:eastAsia="Times New Roman" w:cs="Times New Roman"/>
                <w:color w:val="000000"/>
                <w:sz w:val="18"/>
                <w:szCs w:val="18"/>
              </w:rPr>
              <w:t xml:space="preserve">contacting sample members through </w:t>
            </w:r>
            <w:r w:rsidRPr="00D707BA">
              <w:rPr>
                <w:rFonts w:ascii="Times New Roman" w:hAnsi="Times New Roman" w:eastAsia="Times New Roman" w:cs="Times New Roman"/>
                <w:color w:val="000000"/>
                <w:sz w:val="18"/>
                <w:szCs w:val="18"/>
              </w:rPr>
              <w:t>reminder postcards and advance letters, which do not offer a direct way to respond.</w:t>
            </w:r>
          </w:p>
        </w:tc>
      </w:tr>
    </w:tbl>
    <w:p w:rsidR="00892A33" w:rsidP="008B5C08" w:rsidRDefault="00892A33" w14:paraId="0D0F4A06" w14:textId="7310A2E4">
      <w:pPr>
        <w:rPr>
          <w:rFonts w:ascii="Times New Roman" w:hAnsi="Times New Roman" w:cs="Times New Roman"/>
          <w:sz w:val="24"/>
          <w:szCs w:val="24"/>
        </w:rPr>
      </w:pPr>
    </w:p>
    <w:p w:rsidRPr="00C1544F" w:rsidR="00C1544F" w:rsidP="008B5C08" w:rsidRDefault="00C1544F" w14:paraId="12BB04B6" w14:textId="39D3F1B0">
      <w:pPr>
        <w:rPr>
          <w:rFonts w:ascii="Times New Roman" w:hAnsi="Times New Roman" w:cs="Times New Roman"/>
          <w:i/>
          <w:sz w:val="24"/>
          <w:szCs w:val="24"/>
        </w:rPr>
      </w:pPr>
      <w:r>
        <w:rPr>
          <w:rFonts w:ascii="Times New Roman" w:hAnsi="Times New Roman" w:cs="Times New Roman"/>
          <w:i/>
          <w:sz w:val="24"/>
          <w:szCs w:val="24"/>
        </w:rPr>
        <w:t>2.3. Additional operational details</w:t>
      </w:r>
    </w:p>
    <w:p w:rsidR="00D707BA" w:rsidP="008B5C08" w:rsidRDefault="0017588A" w14:paraId="6045FA64" w14:textId="4D48545A">
      <w:pPr>
        <w:rPr>
          <w:rFonts w:ascii="Times New Roman" w:hAnsi="Times New Roman" w:cs="Times New Roman"/>
          <w:sz w:val="24"/>
          <w:szCs w:val="24"/>
        </w:rPr>
      </w:pPr>
      <w:r>
        <w:rPr>
          <w:rFonts w:ascii="Times New Roman" w:hAnsi="Times New Roman" w:cs="Times New Roman"/>
          <w:sz w:val="24"/>
          <w:szCs w:val="24"/>
        </w:rPr>
        <w:t>As noted above,</w:t>
      </w:r>
      <w:r w:rsidR="008E4267">
        <w:rPr>
          <w:rFonts w:ascii="Times New Roman" w:hAnsi="Times New Roman" w:cs="Times New Roman"/>
          <w:sz w:val="24"/>
          <w:szCs w:val="24"/>
        </w:rPr>
        <w:t xml:space="preserve"> the</w:t>
      </w:r>
      <w:r w:rsidR="00622E95">
        <w:rPr>
          <w:rFonts w:ascii="Times New Roman" w:hAnsi="Times New Roman" w:cs="Times New Roman"/>
          <w:sz w:val="24"/>
          <w:szCs w:val="24"/>
        </w:rPr>
        <w:t xml:space="preserve"> full</w:t>
      </w:r>
      <w:r w:rsidR="008E4267">
        <w:rPr>
          <w:rFonts w:ascii="Times New Roman" w:hAnsi="Times New Roman" w:cs="Times New Roman"/>
          <w:sz w:val="24"/>
          <w:szCs w:val="24"/>
        </w:rPr>
        <w:t xml:space="preserve"> contact sequences shown </w:t>
      </w:r>
      <w:r w:rsidR="00943B0E">
        <w:rPr>
          <w:rFonts w:ascii="Times New Roman" w:hAnsi="Times New Roman" w:cs="Times New Roman"/>
          <w:sz w:val="24"/>
          <w:szCs w:val="24"/>
        </w:rPr>
        <w:t xml:space="preserve">in </w:t>
      </w:r>
      <w:r w:rsidRPr="009A39D8" w:rsidR="00943B0E">
        <w:rPr>
          <w:rFonts w:ascii="Times New Roman" w:hAnsi="Times New Roman" w:cs="Times New Roman"/>
          <w:sz w:val="24"/>
          <w:szCs w:val="24"/>
        </w:rPr>
        <w:t xml:space="preserve">table </w:t>
      </w:r>
      <w:r w:rsidRPr="009A39D8" w:rsidR="00E45B4A">
        <w:rPr>
          <w:rFonts w:ascii="Times New Roman" w:hAnsi="Times New Roman" w:cs="Times New Roman"/>
          <w:sz w:val="24"/>
          <w:szCs w:val="24"/>
        </w:rPr>
        <w:t>C</w:t>
      </w:r>
      <w:r w:rsidRPr="009A39D8" w:rsidR="00943B0E">
        <w:rPr>
          <w:rFonts w:ascii="Times New Roman" w:hAnsi="Times New Roman" w:cs="Times New Roman"/>
          <w:sz w:val="24"/>
          <w:szCs w:val="24"/>
        </w:rPr>
        <w:t>.</w:t>
      </w:r>
      <w:r w:rsidRPr="009A39D8" w:rsidR="00672F6D">
        <w:rPr>
          <w:rFonts w:ascii="Times New Roman" w:hAnsi="Times New Roman" w:cs="Times New Roman"/>
          <w:sz w:val="24"/>
          <w:szCs w:val="24"/>
        </w:rPr>
        <w:t>2</w:t>
      </w:r>
      <w:r w:rsidRPr="009A39D8" w:rsidR="008E4267">
        <w:rPr>
          <w:rFonts w:ascii="Times New Roman" w:hAnsi="Times New Roman" w:cs="Times New Roman"/>
          <w:sz w:val="24"/>
          <w:szCs w:val="24"/>
        </w:rPr>
        <w:t xml:space="preserve"> </w:t>
      </w:r>
      <w:r w:rsidRPr="009A39D8" w:rsidR="00BD10CD">
        <w:rPr>
          <w:rFonts w:ascii="Times New Roman" w:hAnsi="Times New Roman" w:cs="Times New Roman"/>
          <w:sz w:val="24"/>
          <w:szCs w:val="24"/>
        </w:rPr>
        <w:t>will</w:t>
      </w:r>
      <w:r w:rsidR="00BD10CD">
        <w:rPr>
          <w:rFonts w:ascii="Times New Roman" w:hAnsi="Times New Roman" w:cs="Times New Roman"/>
          <w:sz w:val="24"/>
          <w:szCs w:val="24"/>
        </w:rPr>
        <w:t xml:space="preserve"> </w:t>
      </w:r>
      <w:r w:rsidR="008E4267">
        <w:rPr>
          <w:rFonts w:ascii="Times New Roman" w:hAnsi="Times New Roman" w:cs="Times New Roman"/>
          <w:sz w:val="24"/>
          <w:szCs w:val="24"/>
        </w:rPr>
        <w:t xml:space="preserve">apply </w:t>
      </w:r>
      <w:r w:rsidR="00851861">
        <w:rPr>
          <w:rFonts w:ascii="Times New Roman" w:hAnsi="Times New Roman" w:cs="Times New Roman"/>
          <w:sz w:val="24"/>
          <w:szCs w:val="24"/>
        </w:rPr>
        <w:t>to sample</w:t>
      </w:r>
      <w:r w:rsidR="00AF7F45">
        <w:rPr>
          <w:rFonts w:ascii="Times New Roman" w:hAnsi="Times New Roman" w:cs="Times New Roman"/>
          <w:sz w:val="24"/>
          <w:szCs w:val="24"/>
        </w:rPr>
        <w:t xml:space="preserve"> members</w:t>
      </w:r>
      <w:r w:rsidR="00851861">
        <w:rPr>
          <w:rFonts w:ascii="Times New Roman" w:hAnsi="Times New Roman" w:cs="Times New Roman"/>
          <w:sz w:val="24"/>
          <w:szCs w:val="24"/>
        </w:rPr>
        <w:t xml:space="preserve"> with mailable addresses. </w:t>
      </w:r>
      <w:r w:rsidR="00AF7F45">
        <w:rPr>
          <w:rFonts w:ascii="Times New Roman" w:hAnsi="Times New Roman" w:cs="Times New Roman"/>
          <w:sz w:val="24"/>
          <w:szCs w:val="24"/>
        </w:rPr>
        <w:t xml:space="preserve">Sample members </w:t>
      </w:r>
      <w:r w:rsidR="00456975">
        <w:rPr>
          <w:rFonts w:ascii="Times New Roman" w:hAnsi="Times New Roman" w:cs="Times New Roman"/>
          <w:sz w:val="24"/>
          <w:szCs w:val="24"/>
        </w:rPr>
        <w:t xml:space="preserve">without mailable addresses </w:t>
      </w:r>
      <w:r w:rsidR="0015032D">
        <w:rPr>
          <w:rFonts w:ascii="Times New Roman" w:hAnsi="Times New Roman" w:cs="Times New Roman"/>
          <w:sz w:val="24"/>
          <w:szCs w:val="24"/>
        </w:rPr>
        <w:t xml:space="preserve">will be routed to an “early CATI” operation if a phone number is available. </w:t>
      </w:r>
      <w:r w:rsidR="003C72F1">
        <w:rPr>
          <w:rFonts w:ascii="Times New Roman" w:hAnsi="Times New Roman" w:cs="Times New Roman"/>
          <w:sz w:val="24"/>
          <w:szCs w:val="24"/>
        </w:rPr>
        <w:t xml:space="preserve">For such </w:t>
      </w:r>
      <w:r w:rsidR="00AF7F45">
        <w:rPr>
          <w:rFonts w:ascii="Times New Roman" w:hAnsi="Times New Roman" w:cs="Times New Roman"/>
          <w:sz w:val="24"/>
          <w:szCs w:val="24"/>
        </w:rPr>
        <w:t>sample members</w:t>
      </w:r>
      <w:r w:rsidR="003C72F1">
        <w:rPr>
          <w:rFonts w:ascii="Times New Roman" w:hAnsi="Times New Roman" w:cs="Times New Roman"/>
          <w:sz w:val="24"/>
          <w:szCs w:val="24"/>
        </w:rPr>
        <w:t xml:space="preserve">, the mailings will be paused and outbound CATI will </w:t>
      </w:r>
      <w:r w:rsidR="006F5E91">
        <w:rPr>
          <w:rFonts w:ascii="Times New Roman" w:hAnsi="Times New Roman" w:cs="Times New Roman"/>
          <w:sz w:val="24"/>
          <w:szCs w:val="24"/>
        </w:rPr>
        <w:t>be conducted</w:t>
      </w:r>
      <w:r w:rsidR="003C72F1">
        <w:rPr>
          <w:rFonts w:ascii="Times New Roman" w:hAnsi="Times New Roman" w:cs="Times New Roman"/>
          <w:sz w:val="24"/>
          <w:szCs w:val="24"/>
        </w:rPr>
        <w:t xml:space="preserve"> until and unless a usable address is located.</w:t>
      </w:r>
      <w:r w:rsidR="00773DE5">
        <w:rPr>
          <w:rFonts w:ascii="Times New Roman" w:hAnsi="Times New Roman" w:cs="Times New Roman"/>
          <w:sz w:val="24"/>
          <w:szCs w:val="24"/>
        </w:rPr>
        <w:t xml:space="preserve"> If a usable address is located, the </w:t>
      </w:r>
      <w:r w:rsidR="00AF7F45">
        <w:rPr>
          <w:rFonts w:ascii="Times New Roman" w:hAnsi="Times New Roman" w:cs="Times New Roman"/>
          <w:sz w:val="24"/>
          <w:szCs w:val="24"/>
        </w:rPr>
        <w:t xml:space="preserve">sample member </w:t>
      </w:r>
      <w:r w:rsidR="00773DE5">
        <w:rPr>
          <w:rFonts w:ascii="Times New Roman" w:hAnsi="Times New Roman" w:cs="Times New Roman"/>
          <w:sz w:val="24"/>
          <w:szCs w:val="24"/>
        </w:rPr>
        <w:t xml:space="preserve">will enter back into </w:t>
      </w:r>
      <w:r w:rsidR="00DC6AE4">
        <w:rPr>
          <w:rFonts w:ascii="Times New Roman" w:hAnsi="Times New Roman" w:cs="Times New Roman"/>
          <w:sz w:val="24"/>
          <w:szCs w:val="24"/>
        </w:rPr>
        <w:t xml:space="preserve">its assigned mailing sequence at </w:t>
      </w:r>
      <w:r w:rsidR="000F7996">
        <w:rPr>
          <w:rFonts w:ascii="Times New Roman" w:hAnsi="Times New Roman" w:cs="Times New Roman"/>
          <w:sz w:val="24"/>
          <w:szCs w:val="24"/>
        </w:rPr>
        <w:t xml:space="preserve">that point. </w:t>
      </w:r>
      <w:r w:rsidR="00E67420">
        <w:rPr>
          <w:rFonts w:ascii="Times New Roman" w:hAnsi="Times New Roman" w:cs="Times New Roman"/>
          <w:sz w:val="24"/>
          <w:szCs w:val="24"/>
        </w:rPr>
        <w:t xml:space="preserve">For example, </w:t>
      </w:r>
      <w:r w:rsidR="00023D20">
        <w:rPr>
          <w:rFonts w:ascii="Times New Roman" w:hAnsi="Times New Roman" w:cs="Times New Roman"/>
          <w:sz w:val="24"/>
          <w:szCs w:val="24"/>
        </w:rPr>
        <w:t xml:space="preserve">if an address </w:t>
      </w:r>
      <w:r w:rsidR="00235BF0">
        <w:rPr>
          <w:rFonts w:ascii="Times New Roman" w:hAnsi="Times New Roman" w:cs="Times New Roman"/>
          <w:sz w:val="24"/>
          <w:szCs w:val="24"/>
        </w:rPr>
        <w:t>was</w:t>
      </w:r>
      <w:r w:rsidR="00023D20">
        <w:rPr>
          <w:rFonts w:ascii="Times New Roman" w:hAnsi="Times New Roman" w:cs="Times New Roman"/>
          <w:sz w:val="24"/>
          <w:szCs w:val="24"/>
        </w:rPr>
        <w:t xml:space="preserve"> found in week 7, the </w:t>
      </w:r>
      <w:r w:rsidR="00AF7F45">
        <w:rPr>
          <w:rFonts w:ascii="Times New Roman" w:hAnsi="Times New Roman" w:cs="Times New Roman"/>
          <w:sz w:val="24"/>
          <w:szCs w:val="24"/>
        </w:rPr>
        <w:t xml:space="preserve">sample member </w:t>
      </w:r>
      <w:r w:rsidR="00023D20">
        <w:rPr>
          <w:rFonts w:ascii="Times New Roman" w:hAnsi="Times New Roman" w:cs="Times New Roman"/>
          <w:sz w:val="24"/>
          <w:szCs w:val="24"/>
        </w:rPr>
        <w:t>would receive the mailing</w:t>
      </w:r>
      <w:r w:rsidR="00C475ED">
        <w:rPr>
          <w:rFonts w:ascii="Times New Roman" w:hAnsi="Times New Roman" w:cs="Times New Roman"/>
          <w:sz w:val="24"/>
          <w:szCs w:val="24"/>
        </w:rPr>
        <w:t>s</w:t>
      </w:r>
      <w:r w:rsidR="00023D20">
        <w:rPr>
          <w:rFonts w:ascii="Times New Roman" w:hAnsi="Times New Roman" w:cs="Times New Roman"/>
          <w:sz w:val="24"/>
          <w:szCs w:val="24"/>
        </w:rPr>
        <w:t xml:space="preserve"> associated with </w:t>
      </w:r>
      <w:r w:rsidR="0091427A">
        <w:rPr>
          <w:rFonts w:ascii="Times New Roman" w:hAnsi="Times New Roman" w:cs="Times New Roman"/>
          <w:sz w:val="24"/>
          <w:szCs w:val="24"/>
        </w:rPr>
        <w:t>its</w:t>
      </w:r>
      <w:r w:rsidR="00023D20">
        <w:rPr>
          <w:rFonts w:ascii="Times New Roman" w:hAnsi="Times New Roman" w:cs="Times New Roman"/>
          <w:sz w:val="24"/>
          <w:szCs w:val="24"/>
        </w:rPr>
        <w:t xml:space="preserve"> assigned treatment group </w:t>
      </w:r>
      <w:r w:rsidR="00FF0C59">
        <w:rPr>
          <w:rFonts w:ascii="Times New Roman" w:hAnsi="Times New Roman" w:cs="Times New Roman"/>
          <w:sz w:val="24"/>
          <w:szCs w:val="24"/>
        </w:rPr>
        <w:t>for week 8 and all following weeks.</w:t>
      </w:r>
      <w:r w:rsidR="00D56A04">
        <w:rPr>
          <w:rFonts w:ascii="Times New Roman" w:hAnsi="Times New Roman" w:cs="Times New Roman"/>
          <w:sz w:val="24"/>
          <w:szCs w:val="24"/>
        </w:rPr>
        <w:t xml:space="preserve"> Thus, these individuals will no longer be eligible for the contact-strategy experiment or analysis.</w:t>
      </w:r>
    </w:p>
    <w:p w:rsidR="00F52682" w:rsidP="00F52682" w:rsidRDefault="00477CAE" w14:paraId="78642D5F" w14:textId="678BBC45">
      <w:pPr>
        <w:rPr>
          <w:rFonts w:ascii="Times New Roman" w:hAnsi="Times New Roman" w:cs="Times New Roman"/>
          <w:sz w:val="24"/>
          <w:szCs w:val="24"/>
        </w:rPr>
      </w:pPr>
      <w:r>
        <w:rPr>
          <w:rFonts w:ascii="Times New Roman" w:hAnsi="Times New Roman" w:cs="Times New Roman"/>
          <w:sz w:val="24"/>
          <w:szCs w:val="24"/>
        </w:rPr>
        <w:t>All</w:t>
      </w:r>
      <w:r w:rsidR="001E573A">
        <w:rPr>
          <w:rFonts w:ascii="Times New Roman" w:hAnsi="Times New Roman" w:cs="Times New Roman"/>
          <w:sz w:val="24"/>
          <w:szCs w:val="24"/>
        </w:rPr>
        <w:t xml:space="preserve"> </w:t>
      </w:r>
      <w:r w:rsidR="004A5C4F">
        <w:rPr>
          <w:rFonts w:ascii="Times New Roman" w:hAnsi="Times New Roman" w:cs="Times New Roman"/>
          <w:sz w:val="24"/>
          <w:szCs w:val="24"/>
        </w:rPr>
        <w:t xml:space="preserve">NTEWS contact </w:t>
      </w:r>
      <w:r w:rsidRPr="00F52682" w:rsidR="00F52682">
        <w:rPr>
          <w:rFonts w:ascii="Times New Roman" w:hAnsi="Times New Roman" w:cs="Times New Roman"/>
          <w:sz w:val="24"/>
          <w:szCs w:val="24"/>
        </w:rPr>
        <w:t xml:space="preserve">and data collection materials—including the cover letters, web instrument, paper questionnaire, and CATI script—will be </w:t>
      </w:r>
      <w:r w:rsidR="005D7ADD">
        <w:rPr>
          <w:rFonts w:ascii="Times New Roman" w:hAnsi="Times New Roman" w:cs="Times New Roman"/>
          <w:sz w:val="24"/>
          <w:szCs w:val="24"/>
        </w:rPr>
        <w:t>developed in both English and Spanish</w:t>
      </w:r>
      <w:r w:rsidRPr="00F52682" w:rsidR="00F52682">
        <w:rPr>
          <w:rFonts w:ascii="Times New Roman" w:hAnsi="Times New Roman" w:cs="Times New Roman"/>
          <w:sz w:val="24"/>
          <w:szCs w:val="24"/>
        </w:rPr>
        <w:t xml:space="preserve">. </w:t>
      </w:r>
      <w:r w:rsidR="00C80578">
        <w:rPr>
          <w:rFonts w:ascii="Times New Roman" w:hAnsi="Times New Roman" w:cs="Times New Roman"/>
          <w:sz w:val="24"/>
          <w:szCs w:val="24"/>
        </w:rPr>
        <w:t xml:space="preserve">Select sample members will receive bilingual mailings that include materials in both languages. </w:t>
      </w:r>
      <w:r w:rsidR="001715A7">
        <w:rPr>
          <w:rFonts w:ascii="Times New Roman" w:hAnsi="Times New Roman" w:cs="Times New Roman"/>
          <w:sz w:val="24"/>
          <w:szCs w:val="24"/>
        </w:rPr>
        <w:t xml:space="preserve">The criteria used to target bilingual mailings in the NTEWS are based on those used to identify </w:t>
      </w:r>
      <w:r w:rsidR="001715A7">
        <w:rPr>
          <w:rFonts w:ascii="Times New Roman" w:hAnsi="Times New Roman" w:cs="Times New Roman"/>
          <w:sz w:val="24"/>
          <w:szCs w:val="24"/>
        </w:rPr>
        <w:lastRenderedPageBreak/>
        <w:t>households requiring “Spanish assistance” in the 2010 decennial census (Rothhaas et al. 2011).</w:t>
      </w:r>
      <w:r w:rsidR="00CF4B40">
        <w:rPr>
          <w:rFonts w:ascii="Times New Roman" w:hAnsi="Times New Roman" w:cs="Times New Roman"/>
          <w:sz w:val="24"/>
          <w:szCs w:val="24"/>
        </w:rPr>
        <w:t xml:space="preserve"> </w:t>
      </w:r>
      <w:r w:rsidR="00437FFB">
        <w:rPr>
          <w:rFonts w:ascii="Times New Roman" w:hAnsi="Times New Roman" w:cs="Times New Roman"/>
          <w:sz w:val="24"/>
          <w:szCs w:val="24"/>
        </w:rPr>
        <w:t>Specifically, b</w:t>
      </w:r>
      <w:r w:rsidRPr="00F52682" w:rsidR="00F52682">
        <w:rPr>
          <w:rFonts w:ascii="Times New Roman" w:hAnsi="Times New Roman" w:cs="Times New Roman"/>
          <w:sz w:val="24"/>
          <w:szCs w:val="24"/>
        </w:rPr>
        <w:t xml:space="preserve">ilingual mailings will be used for sample members who meet both of the following criteria, based on the </w:t>
      </w:r>
      <w:r w:rsidR="00716A9C">
        <w:rPr>
          <w:rFonts w:ascii="Times New Roman" w:hAnsi="Times New Roman" w:cs="Times New Roman"/>
          <w:sz w:val="24"/>
          <w:szCs w:val="24"/>
        </w:rPr>
        <w:t xml:space="preserve">2018 </w:t>
      </w:r>
      <w:r w:rsidRPr="00F52682" w:rsidR="00F52682">
        <w:rPr>
          <w:rFonts w:ascii="Times New Roman" w:hAnsi="Times New Roman" w:cs="Times New Roman"/>
          <w:sz w:val="24"/>
          <w:szCs w:val="24"/>
        </w:rPr>
        <w:t>ACS response data available on the frame:</w:t>
      </w:r>
    </w:p>
    <w:p w:rsidRPr="00F52682" w:rsidR="00F52682" w:rsidP="00F52682" w:rsidRDefault="00F52682" w14:paraId="0CA78CE3" w14:textId="03388FE4">
      <w:pPr>
        <w:pStyle w:val="ListParagraph"/>
        <w:numPr>
          <w:ilvl w:val="0"/>
          <w:numId w:val="4"/>
        </w:numPr>
        <w:rPr>
          <w:rFonts w:ascii="Times New Roman" w:hAnsi="Times New Roman" w:cs="Times New Roman"/>
          <w:sz w:val="24"/>
          <w:szCs w:val="24"/>
        </w:rPr>
      </w:pPr>
      <w:r w:rsidRPr="00F52682">
        <w:rPr>
          <w:rFonts w:ascii="Times New Roman" w:hAnsi="Times New Roman" w:cs="Times New Roman"/>
          <w:sz w:val="24"/>
          <w:szCs w:val="24"/>
        </w:rPr>
        <w:t>The person speaks Spanish at home</w:t>
      </w:r>
      <w:r w:rsidR="0044631E">
        <w:rPr>
          <w:rFonts w:ascii="Times New Roman" w:hAnsi="Times New Roman" w:cs="Times New Roman"/>
          <w:sz w:val="24"/>
          <w:szCs w:val="24"/>
        </w:rPr>
        <w:t>.</w:t>
      </w:r>
    </w:p>
    <w:p w:rsidRPr="00F52682" w:rsidR="00F52682" w:rsidP="00F52682" w:rsidRDefault="00F52682" w14:paraId="2F09AEE5" w14:textId="009107C8">
      <w:pPr>
        <w:pStyle w:val="ListParagraph"/>
        <w:numPr>
          <w:ilvl w:val="0"/>
          <w:numId w:val="4"/>
        </w:numPr>
        <w:rPr>
          <w:rFonts w:ascii="Times New Roman" w:hAnsi="Times New Roman" w:cs="Times New Roman"/>
          <w:sz w:val="24"/>
          <w:szCs w:val="24"/>
        </w:rPr>
      </w:pPr>
      <w:r w:rsidRPr="00F52682">
        <w:rPr>
          <w:rFonts w:ascii="Times New Roman" w:hAnsi="Times New Roman" w:cs="Times New Roman"/>
          <w:sz w:val="24"/>
          <w:szCs w:val="24"/>
        </w:rPr>
        <w:t>The person speaks English “</w:t>
      </w:r>
      <w:r w:rsidR="00AF7F45">
        <w:rPr>
          <w:rFonts w:ascii="Times New Roman" w:hAnsi="Times New Roman" w:cs="Times New Roman"/>
          <w:sz w:val="24"/>
          <w:szCs w:val="24"/>
        </w:rPr>
        <w:t>w</w:t>
      </w:r>
      <w:r w:rsidRPr="00F52682">
        <w:rPr>
          <w:rFonts w:ascii="Times New Roman" w:hAnsi="Times New Roman" w:cs="Times New Roman"/>
          <w:sz w:val="24"/>
          <w:szCs w:val="24"/>
        </w:rPr>
        <w:t>ell”, “</w:t>
      </w:r>
      <w:r w:rsidR="00AF7F45">
        <w:rPr>
          <w:rFonts w:ascii="Times New Roman" w:hAnsi="Times New Roman" w:cs="Times New Roman"/>
          <w:sz w:val="24"/>
          <w:szCs w:val="24"/>
        </w:rPr>
        <w:t>n</w:t>
      </w:r>
      <w:r w:rsidRPr="00F52682">
        <w:rPr>
          <w:rFonts w:ascii="Times New Roman" w:hAnsi="Times New Roman" w:cs="Times New Roman"/>
          <w:sz w:val="24"/>
          <w:szCs w:val="24"/>
        </w:rPr>
        <w:t>ot well”, or “</w:t>
      </w:r>
      <w:r w:rsidR="00AF7F45">
        <w:rPr>
          <w:rFonts w:ascii="Times New Roman" w:hAnsi="Times New Roman" w:cs="Times New Roman"/>
          <w:sz w:val="24"/>
          <w:szCs w:val="24"/>
        </w:rPr>
        <w:t>n</w:t>
      </w:r>
      <w:r w:rsidRPr="00F52682">
        <w:rPr>
          <w:rFonts w:ascii="Times New Roman" w:hAnsi="Times New Roman" w:cs="Times New Roman"/>
          <w:sz w:val="24"/>
          <w:szCs w:val="24"/>
        </w:rPr>
        <w:t>ot at all</w:t>
      </w:r>
      <w:r w:rsidR="00E908D4">
        <w:rPr>
          <w:rFonts w:ascii="Times New Roman" w:hAnsi="Times New Roman" w:cs="Times New Roman"/>
          <w:sz w:val="24"/>
          <w:szCs w:val="24"/>
        </w:rPr>
        <w:t>”</w:t>
      </w:r>
      <w:r w:rsidR="009C37BB">
        <w:rPr>
          <w:rFonts w:ascii="Times New Roman" w:hAnsi="Times New Roman" w:cs="Times New Roman"/>
          <w:sz w:val="24"/>
          <w:szCs w:val="24"/>
        </w:rPr>
        <w:t xml:space="preserve"> (rather than “very well”)</w:t>
      </w:r>
      <w:r w:rsidR="00E908D4">
        <w:rPr>
          <w:rFonts w:ascii="Times New Roman" w:hAnsi="Times New Roman" w:cs="Times New Roman"/>
          <w:sz w:val="24"/>
          <w:szCs w:val="24"/>
        </w:rPr>
        <w:t>.</w:t>
      </w:r>
    </w:p>
    <w:p w:rsidR="00FE37F2" w:rsidP="00F52682" w:rsidRDefault="00F52682" w14:paraId="6852EFCC" w14:textId="00905269">
      <w:pPr>
        <w:rPr>
          <w:rFonts w:ascii="Times New Roman" w:hAnsi="Times New Roman" w:cs="Times New Roman"/>
          <w:sz w:val="24"/>
          <w:szCs w:val="24"/>
        </w:rPr>
      </w:pPr>
      <w:r w:rsidRPr="00F52682">
        <w:rPr>
          <w:rFonts w:ascii="Times New Roman" w:hAnsi="Times New Roman" w:cs="Times New Roman"/>
          <w:sz w:val="24"/>
          <w:szCs w:val="24"/>
        </w:rPr>
        <w:t>Thus, the only Spanish-speakers who will not receive bilingual mailings are those who speak English “</w:t>
      </w:r>
      <w:r w:rsidR="00AF7F45">
        <w:rPr>
          <w:rFonts w:ascii="Times New Roman" w:hAnsi="Times New Roman" w:cs="Times New Roman"/>
          <w:sz w:val="24"/>
          <w:szCs w:val="24"/>
        </w:rPr>
        <w:t>v</w:t>
      </w:r>
      <w:r w:rsidRPr="00F52682">
        <w:rPr>
          <w:rFonts w:ascii="Times New Roman" w:hAnsi="Times New Roman" w:cs="Times New Roman"/>
          <w:sz w:val="24"/>
          <w:szCs w:val="24"/>
        </w:rPr>
        <w:t xml:space="preserve">ery well”. </w:t>
      </w:r>
      <w:r w:rsidR="00AF7F45">
        <w:rPr>
          <w:rFonts w:ascii="Times New Roman" w:hAnsi="Times New Roman" w:cs="Times New Roman"/>
          <w:sz w:val="24"/>
          <w:szCs w:val="24"/>
        </w:rPr>
        <w:t>Sample members</w:t>
      </w:r>
      <w:r w:rsidRPr="00F52682" w:rsidR="00AF7F45">
        <w:rPr>
          <w:rFonts w:ascii="Times New Roman" w:hAnsi="Times New Roman" w:cs="Times New Roman"/>
          <w:sz w:val="24"/>
          <w:szCs w:val="24"/>
        </w:rPr>
        <w:t xml:space="preserve"> </w:t>
      </w:r>
      <w:r w:rsidRPr="00F52682">
        <w:rPr>
          <w:rFonts w:ascii="Times New Roman" w:hAnsi="Times New Roman" w:cs="Times New Roman"/>
          <w:sz w:val="24"/>
          <w:szCs w:val="24"/>
        </w:rPr>
        <w:t>meeting the above criteria will receive the same contact sequence as others in their treatment</w:t>
      </w:r>
      <w:r w:rsidR="00AF7F45">
        <w:rPr>
          <w:rFonts w:ascii="Times New Roman" w:hAnsi="Times New Roman" w:cs="Times New Roman"/>
          <w:sz w:val="24"/>
          <w:szCs w:val="24"/>
        </w:rPr>
        <w:t xml:space="preserve"> group</w:t>
      </w:r>
      <w:r w:rsidRPr="00F52682">
        <w:rPr>
          <w:rFonts w:ascii="Times New Roman" w:hAnsi="Times New Roman" w:cs="Times New Roman"/>
          <w:sz w:val="24"/>
          <w:szCs w:val="24"/>
        </w:rPr>
        <w:t xml:space="preserve"> (table </w:t>
      </w:r>
      <w:r w:rsidRPr="009A39D8" w:rsidR="00E45B4A">
        <w:rPr>
          <w:rFonts w:ascii="Times New Roman" w:hAnsi="Times New Roman" w:cs="Times New Roman"/>
          <w:sz w:val="24"/>
          <w:szCs w:val="24"/>
        </w:rPr>
        <w:t>C</w:t>
      </w:r>
      <w:r w:rsidRPr="009A39D8" w:rsidR="00A235C8">
        <w:rPr>
          <w:rFonts w:ascii="Times New Roman" w:hAnsi="Times New Roman" w:cs="Times New Roman"/>
          <w:sz w:val="24"/>
          <w:szCs w:val="24"/>
        </w:rPr>
        <w:t>.</w:t>
      </w:r>
      <w:r w:rsidRPr="009A39D8" w:rsidR="00672F6D">
        <w:rPr>
          <w:rFonts w:ascii="Times New Roman" w:hAnsi="Times New Roman" w:cs="Times New Roman"/>
          <w:sz w:val="24"/>
          <w:szCs w:val="24"/>
        </w:rPr>
        <w:t>2</w:t>
      </w:r>
      <w:r w:rsidRPr="009A39D8">
        <w:rPr>
          <w:rFonts w:ascii="Times New Roman" w:hAnsi="Times New Roman" w:cs="Times New Roman"/>
          <w:sz w:val="24"/>
          <w:szCs w:val="24"/>
        </w:rPr>
        <w:t>) but</w:t>
      </w:r>
      <w:r w:rsidRPr="00F52682">
        <w:rPr>
          <w:rFonts w:ascii="Times New Roman" w:hAnsi="Times New Roman" w:cs="Times New Roman"/>
          <w:sz w:val="24"/>
          <w:szCs w:val="24"/>
        </w:rPr>
        <w:t xml:space="preserve"> will receive a bilingual version of </w:t>
      </w:r>
      <w:r w:rsidR="00CA53D1">
        <w:rPr>
          <w:rFonts w:ascii="Times New Roman" w:hAnsi="Times New Roman" w:cs="Times New Roman"/>
          <w:sz w:val="24"/>
          <w:szCs w:val="24"/>
        </w:rPr>
        <w:t>each mailing package</w:t>
      </w:r>
      <w:r w:rsidRPr="00F52682">
        <w:rPr>
          <w:rFonts w:ascii="Times New Roman" w:hAnsi="Times New Roman" w:cs="Times New Roman"/>
          <w:sz w:val="24"/>
          <w:szCs w:val="24"/>
        </w:rPr>
        <w:t xml:space="preserve"> that includes both English- and Spanish-language materials.</w:t>
      </w:r>
      <w:r w:rsidR="002A435F">
        <w:rPr>
          <w:rFonts w:ascii="Times New Roman" w:hAnsi="Times New Roman" w:cs="Times New Roman"/>
          <w:sz w:val="24"/>
          <w:szCs w:val="24"/>
        </w:rPr>
        <w:t xml:space="preserve"> </w:t>
      </w:r>
    </w:p>
    <w:p w:rsidR="00450C54" w:rsidP="00F52682" w:rsidRDefault="005C3022" w14:paraId="1CB1C905" w14:textId="14C43E6B">
      <w:pPr>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CHOICEPLUS</w:t>
      </w:r>
      <w:r>
        <w:rPr>
          <w:rFonts w:ascii="Times New Roman" w:hAnsi="Times New Roman" w:cs="Times New Roman"/>
          <w:sz w:val="24"/>
          <w:szCs w:val="24"/>
        </w:rPr>
        <w:t xml:space="preserve">, the $20 </w:t>
      </w:r>
      <w:r w:rsidR="0003743A">
        <w:rPr>
          <w:rFonts w:ascii="Times New Roman" w:hAnsi="Times New Roman" w:cs="Times New Roman"/>
          <w:sz w:val="24"/>
          <w:szCs w:val="24"/>
        </w:rPr>
        <w:t xml:space="preserve">contingent </w:t>
      </w:r>
      <w:r w:rsidR="00050C39">
        <w:rPr>
          <w:rFonts w:ascii="Times New Roman" w:hAnsi="Times New Roman" w:cs="Times New Roman"/>
          <w:sz w:val="24"/>
          <w:szCs w:val="24"/>
        </w:rPr>
        <w:t>debit</w:t>
      </w:r>
      <w:r w:rsidR="008B6B58">
        <w:rPr>
          <w:rFonts w:ascii="Times New Roman" w:hAnsi="Times New Roman" w:cs="Times New Roman"/>
          <w:sz w:val="24"/>
          <w:szCs w:val="24"/>
        </w:rPr>
        <w:t xml:space="preserve"> card </w:t>
      </w:r>
      <w:r>
        <w:rPr>
          <w:rFonts w:ascii="Times New Roman" w:hAnsi="Times New Roman" w:cs="Times New Roman"/>
          <w:sz w:val="24"/>
          <w:szCs w:val="24"/>
        </w:rPr>
        <w:t>incentive will be paid if both of the following criteria are met:</w:t>
      </w:r>
    </w:p>
    <w:p w:rsidR="005C3022" w:rsidP="005C3022" w:rsidRDefault="005C3022" w14:paraId="28E26F00" w14:textId="67E4A48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respondent completes the survey </w:t>
      </w:r>
      <w:r>
        <w:rPr>
          <w:rFonts w:ascii="Times New Roman" w:hAnsi="Times New Roman" w:cs="Times New Roman"/>
          <w:i/>
          <w:sz w:val="24"/>
          <w:szCs w:val="24"/>
        </w:rPr>
        <w:t>by web</w:t>
      </w:r>
      <w:r w:rsidR="000B6DC1">
        <w:rPr>
          <w:rFonts w:ascii="Times New Roman" w:hAnsi="Times New Roman" w:cs="Times New Roman"/>
          <w:sz w:val="24"/>
          <w:szCs w:val="24"/>
        </w:rPr>
        <w:t>.</w:t>
      </w:r>
    </w:p>
    <w:p w:rsidR="005C3022" w:rsidP="005C3022" w:rsidRDefault="005C3022" w14:paraId="759281C0" w14:textId="6EDF50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response </w:t>
      </w:r>
      <w:r w:rsidR="007C0F46">
        <w:rPr>
          <w:rFonts w:ascii="Times New Roman" w:hAnsi="Times New Roman" w:cs="Times New Roman"/>
          <w:sz w:val="24"/>
          <w:szCs w:val="24"/>
        </w:rPr>
        <w:t xml:space="preserve">by web </w:t>
      </w:r>
      <w:r>
        <w:rPr>
          <w:rFonts w:ascii="Times New Roman" w:hAnsi="Times New Roman" w:cs="Times New Roman"/>
          <w:sz w:val="24"/>
          <w:szCs w:val="24"/>
        </w:rPr>
        <w:t>is received no later than the end of week 14 of data collection.</w:t>
      </w:r>
    </w:p>
    <w:p w:rsidRPr="000B3B1D" w:rsidR="000B3B1D" w:rsidP="000B3B1D" w:rsidRDefault="000B3B1D" w14:paraId="668A4F7F" w14:textId="479B4C76">
      <w:pPr>
        <w:rPr>
          <w:rFonts w:ascii="Times New Roman" w:hAnsi="Times New Roman" w:cs="Times New Roman"/>
          <w:sz w:val="24"/>
          <w:szCs w:val="24"/>
        </w:rPr>
      </w:pPr>
      <w:r w:rsidRPr="000B3B1D">
        <w:rPr>
          <w:rFonts w:ascii="Times New Roman" w:hAnsi="Times New Roman" w:cs="Times New Roman"/>
          <w:sz w:val="24"/>
          <w:szCs w:val="24"/>
        </w:rPr>
        <w:t xml:space="preserve">All else equal, </w:t>
      </w:r>
      <w:r w:rsidR="00074230">
        <w:rPr>
          <w:rFonts w:ascii="Times New Roman" w:hAnsi="Times New Roman" w:cs="Times New Roman"/>
          <w:sz w:val="24"/>
          <w:szCs w:val="24"/>
        </w:rPr>
        <w:t xml:space="preserve">a </w:t>
      </w:r>
      <w:r w:rsidRPr="000B3B1D">
        <w:rPr>
          <w:rFonts w:ascii="Times New Roman" w:hAnsi="Times New Roman" w:cs="Times New Roman"/>
          <w:sz w:val="24"/>
          <w:szCs w:val="24"/>
        </w:rPr>
        <w:t xml:space="preserve">response by web is preferable to </w:t>
      </w:r>
      <w:r w:rsidR="00074230">
        <w:rPr>
          <w:rFonts w:ascii="Times New Roman" w:hAnsi="Times New Roman" w:cs="Times New Roman"/>
          <w:sz w:val="24"/>
          <w:szCs w:val="24"/>
        </w:rPr>
        <w:t xml:space="preserve">a </w:t>
      </w:r>
      <w:r w:rsidRPr="000B3B1D">
        <w:rPr>
          <w:rFonts w:ascii="Times New Roman" w:hAnsi="Times New Roman" w:cs="Times New Roman"/>
          <w:sz w:val="24"/>
          <w:szCs w:val="24"/>
        </w:rPr>
        <w:t>response by paper because the web instrument can automatically route the respondent through skip patterns; thus, it reduces the amount of required data editing, a relevant consideration given the complex skip patterns on the NTEWS. Response by web also avoids the</w:t>
      </w:r>
      <w:r w:rsidR="006A459C">
        <w:rPr>
          <w:rFonts w:ascii="Times New Roman" w:hAnsi="Times New Roman" w:cs="Times New Roman"/>
          <w:sz w:val="24"/>
          <w:szCs w:val="24"/>
        </w:rPr>
        <w:t xml:space="preserve"> data entry costs associated with paper response and</w:t>
      </w:r>
      <w:r w:rsidRPr="000B3B1D">
        <w:rPr>
          <w:rFonts w:ascii="Times New Roman" w:hAnsi="Times New Roman" w:cs="Times New Roman"/>
          <w:sz w:val="24"/>
          <w:szCs w:val="24"/>
        </w:rPr>
        <w:t xml:space="preserve"> interviewer costs associated with </w:t>
      </w:r>
      <w:r w:rsidR="006A459C">
        <w:rPr>
          <w:rFonts w:ascii="Times New Roman" w:hAnsi="Times New Roman" w:cs="Times New Roman"/>
          <w:sz w:val="24"/>
          <w:szCs w:val="24"/>
        </w:rPr>
        <w:t xml:space="preserve">CATI </w:t>
      </w:r>
      <w:r w:rsidRPr="000B3B1D">
        <w:rPr>
          <w:rFonts w:ascii="Times New Roman" w:hAnsi="Times New Roman" w:cs="Times New Roman"/>
          <w:sz w:val="24"/>
          <w:szCs w:val="24"/>
        </w:rPr>
        <w:t xml:space="preserve">response. For these reasons, the </w:t>
      </w:r>
      <w:r w:rsidR="00E77491">
        <w:rPr>
          <w:rFonts w:ascii="Times New Roman" w:hAnsi="Times New Roman" w:cs="Times New Roman"/>
          <w:sz w:val="24"/>
          <w:szCs w:val="24"/>
        </w:rPr>
        <w:t>contingent</w:t>
      </w:r>
      <w:r w:rsidRPr="000B3B1D" w:rsidR="00E77491">
        <w:rPr>
          <w:rFonts w:ascii="Times New Roman" w:hAnsi="Times New Roman" w:cs="Times New Roman"/>
          <w:sz w:val="24"/>
          <w:szCs w:val="24"/>
        </w:rPr>
        <w:t xml:space="preserve"> </w:t>
      </w:r>
      <w:r w:rsidRPr="000B3B1D">
        <w:rPr>
          <w:rFonts w:ascii="Times New Roman" w:hAnsi="Times New Roman" w:cs="Times New Roman"/>
          <w:sz w:val="24"/>
          <w:szCs w:val="24"/>
        </w:rPr>
        <w:t xml:space="preserve">incentive is structured to encourage response specifically by web rather than by CATI or paper. The week 14 deadline is included to encourage response prior to the beginning of CATI </w:t>
      </w:r>
      <w:r w:rsidR="001A6F2F">
        <w:rPr>
          <w:rFonts w:ascii="Times New Roman" w:hAnsi="Times New Roman" w:cs="Times New Roman"/>
          <w:sz w:val="24"/>
          <w:szCs w:val="24"/>
        </w:rPr>
        <w:t>nonresponse follow-up</w:t>
      </w:r>
      <w:r w:rsidRPr="000B3B1D">
        <w:rPr>
          <w:rFonts w:ascii="Times New Roman" w:hAnsi="Times New Roman" w:cs="Times New Roman"/>
          <w:sz w:val="24"/>
          <w:szCs w:val="24"/>
        </w:rPr>
        <w:t xml:space="preserve">. Due to the expense of outbound CATI, </w:t>
      </w:r>
      <w:r w:rsidR="00EF02D3">
        <w:rPr>
          <w:rFonts w:ascii="Times New Roman" w:hAnsi="Times New Roman" w:cs="Times New Roman"/>
          <w:sz w:val="24"/>
          <w:szCs w:val="24"/>
        </w:rPr>
        <w:t>it is best to incentiv</w:t>
      </w:r>
      <w:r w:rsidR="00AF7F45">
        <w:rPr>
          <w:rFonts w:ascii="Times New Roman" w:hAnsi="Times New Roman" w:cs="Times New Roman"/>
          <w:sz w:val="24"/>
          <w:szCs w:val="24"/>
        </w:rPr>
        <w:t>iz</w:t>
      </w:r>
      <w:r w:rsidR="00EF02D3">
        <w:rPr>
          <w:rFonts w:ascii="Times New Roman" w:hAnsi="Times New Roman" w:cs="Times New Roman"/>
          <w:sz w:val="24"/>
          <w:szCs w:val="24"/>
        </w:rPr>
        <w:t xml:space="preserve">e </w:t>
      </w:r>
      <w:r w:rsidR="00AF7F45">
        <w:rPr>
          <w:rFonts w:ascii="Times New Roman" w:hAnsi="Times New Roman" w:cs="Times New Roman"/>
          <w:sz w:val="24"/>
          <w:szCs w:val="24"/>
        </w:rPr>
        <w:t xml:space="preserve">sample members </w:t>
      </w:r>
      <w:r w:rsidR="00B35A02">
        <w:rPr>
          <w:rFonts w:ascii="Times New Roman" w:hAnsi="Times New Roman" w:cs="Times New Roman"/>
          <w:sz w:val="24"/>
          <w:szCs w:val="24"/>
        </w:rPr>
        <w:t xml:space="preserve">to respond </w:t>
      </w:r>
      <w:r w:rsidR="00AE2712">
        <w:rPr>
          <w:rFonts w:ascii="Times New Roman" w:hAnsi="Times New Roman" w:cs="Times New Roman"/>
          <w:sz w:val="24"/>
          <w:szCs w:val="24"/>
        </w:rPr>
        <w:t xml:space="preserve">before they reach </w:t>
      </w:r>
      <w:r w:rsidR="00244883">
        <w:rPr>
          <w:rFonts w:ascii="Times New Roman" w:hAnsi="Times New Roman" w:cs="Times New Roman"/>
          <w:sz w:val="24"/>
          <w:szCs w:val="24"/>
        </w:rPr>
        <w:t>this</w:t>
      </w:r>
      <w:r w:rsidR="00AE2712">
        <w:rPr>
          <w:rFonts w:ascii="Times New Roman" w:hAnsi="Times New Roman" w:cs="Times New Roman"/>
          <w:sz w:val="24"/>
          <w:szCs w:val="24"/>
        </w:rPr>
        <w:t xml:space="preserve"> stage</w:t>
      </w:r>
      <w:r w:rsidRPr="000B3B1D">
        <w:rPr>
          <w:rFonts w:ascii="Times New Roman" w:hAnsi="Times New Roman" w:cs="Times New Roman"/>
          <w:sz w:val="24"/>
          <w:szCs w:val="24"/>
        </w:rPr>
        <w:t>.</w:t>
      </w:r>
    </w:p>
    <w:p w:rsidRPr="00F05DAD" w:rsidR="00F05DAD" w:rsidP="00F05DAD" w:rsidRDefault="00F05DAD" w14:paraId="281BF645" w14:textId="1C1327CB">
      <w:pPr>
        <w:rPr>
          <w:rFonts w:ascii="Times New Roman" w:hAnsi="Times New Roman" w:cs="Times New Roman"/>
          <w:sz w:val="24"/>
          <w:szCs w:val="24"/>
        </w:rPr>
      </w:pPr>
      <w:r w:rsidRPr="00F05DAD">
        <w:rPr>
          <w:rFonts w:ascii="Times New Roman" w:hAnsi="Times New Roman" w:cs="Times New Roman"/>
          <w:sz w:val="24"/>
          <w:szCs w:val="24"/>
        </w:rPr>
        <w:t>The $20</w:t>
      </w:r>
      <w:r w:rsidR="006A459C">
        <w:rPr>
          <w:rFonts w:ascii="Times New Roman" w:hAnsi="Times New Roman" w:cs="Times New Roman"/>
          <w:sz w:val="24"/>
          <w:szCs w:val="24"/>
        </w:rPr>
        <w:t xml:space="preserve"> value for the</w:t>
      </w:r>
      <w:r w:rsidRPr="00F05DAD">
        <w:rPr>
          <w:rFonts w:ascii="Times New Roman" w:hAnsi="Times New Roman" w:cs="Times New Roman"/>
          <w:sz w:val="24"/>
          <w:szCs w:val="24"/>
        </w:rPr>
        <w:t xml:space="preserve"> </w:t>
      </w:r>
      <w:r w:rsidR="00E77491">
        <w:rPr>
          <w:rFonts w:ascii="Times New Roman" w:hAnsi="Times New Roman" w:cs="Times New Roman"/>
          <w:sz w:val="24"/>
          <w:szCs w:val="24"/>
        </w:rPr>
        <w:t>contingent</w:t>
      </w:r>
      <w:r w:rsidRPr="00F05DAD" w:rsidR="00E77491">
        <w:rPr>
          <w:rFonts w:ascii="Times New Roman" w:hAnsi="Times New Roman" w:cs="Times New Roman"/>
          <w:sz w:val="24"/>
          <w:szCs w:val="24"/>
        </w:rPr>
        <w:t xml:space="preserve"> </w:t>
      </w:r>
      <w:r w:rsidRPr="00F05DAD">
        <w:rPr>
          <w:rFonts w:ascii="Times New Roman" w:hAnsi="Times New Roman" w:cs="Times New Roman"/>
          <w:sz w:val="24"/>
          <w:szCs w:val="24"/>
        </w:rPr>
        <w:t xml:space="preserve">incentive is recommended based on early results of an NHES:2019 experiment with a </w:t>
      </w:r>
      <w:r w:rsidR="00E77491">
        <w:rPr>
          <w:rFonts w:ascii="Times New Roman" w:hAnsi="Times New Roman" w:cs="Times New Roman"/>
          <w:sz w:val="24"/>
          <w:szCs w:val="24"/>
        </w:rPr>
        <w:t xml:space="preserve">similar </w:t>
      </w:r>
      <w:r w:rsidR="00AF7F45">
        <w:rPr>
          <w:rFonts w:ascii="Times New Roman" w:hAnsi="Times New Roman" w:cs="Times New Roman"/>
          <w:sz w:val="24"/>
          <w:szCs w:val="24"/>
        </w:rPr>
        <w:t>c</w:t>
      </w:r>
      <w:r w:rsidRPr="00F05DAD">
        <w:rPr>
          <w:rFonts w:ascii="Times New Roman" w:hAnsi="Times New Roman" w:cs="Times New Roman"/>
          <w:sz w:val="24"/>
          <w:szCs w:val="24"/>
        </w:rPr>
        <w:t xml:space="preserve">hoice-plus </w:t>
      </w:r>
      <w:r w:rsidR="00AF7F45">
        <w:rPr>
          <w:rFonts w:ascii="Times New Roman" w:hAnsi="Times New Roman" w:cs="Times New Roman"/>
          <w:sz w:val="24"/>
          <w:szCs w:val="24"/>
        </w:rPr>
        <w:t>design</w:t>
      </w:r>
      <w:r w:rsidRPr="00F05DAD">
        <w:rPr>
          <w:rFonts w:ascii="Times New Roman" w:hAnsi="Times New Roman" w:cs="Times New Roman"/>
          <w:sz w:val="24"/>
          <w:szCs w:val="24"/>
        </w:rPr>
        <w:t xml:space="preserve">. NHES:2019 </w:t>
      </w:r>
      <w:r w:rsidR="00250668">
        <w:rPr>
          <w:rFonts w:ascii="Times New Roman" w:hAnsi="Times New Roman" w:cs="Times New Roman"/>
          <w:sz w:val="24"/>
          <w:szCs w:val="24"/>
        </w:rPr>
        <w:t xml:space="preserve">tested </w:t>
      </w:r>
      <w:r w:rsidRPr="00F05DAD">
        <w:rPr>
          <w:rFonts w:ascii="Times New Roman" w:hAnsi="Times New Roman" w:cs="Times New Roman"/>
          <w:sz w:val="24"/>
          <w:szCs w:val="24"/>
        </w:rPr>
        <w:t xml:space="preserve">both a $10 and a $20 </w:t>
      </w:r>
      <w:r w:rsidR="00E77491">
        <w:rPr>
          <w:rFonts w:ascii="Times New Roman" w:hAnsi="Times New Roman" w:cs="Times New Roman"/>
          <w:sz w:val="24"/>
          <w:szCs w:val="24"/>
        </w:rPr>
        <w:t>contingent</w:t>
      </w:r>
      <w:r w:rsidRPr="00F05DAD" w:rsidR="00E77491">
        <w:rPr>
          <w:rFonts w:ascii="Times New Roman" w:hAnsi="Times New Roman" w:cs="Times New Roman"/>
          <w:sz w:val="24"/>
          <w:szCs w:val="24"/>
        </w:rPr>
        <w:t xml:space="preserve"> </w:t>
      </w:r>
      <w:r w:rsidRPr="00F05DAD">
        <w:rPr>
          <w:rFonts w:ascii="Times New Roman" w:hAnsi="Times New Roman" w:cs="Times New Roman"/>
          <w:sz w:val="24"/>
          <w:szCs w:val="24"/>
        </w:rPr>
        <w:t>incentive</w:t>
      </w:r>
      <w:r w:rsidR="00E77491">
        <w:rPr>
          <w:rFonts w:ascii="Times New Roman" w:hAnsi="Times New Roman" w:cs="Times New Roman"/>
          <w:sz w:val="24"/>
          <w:szCs w:val="24"/>
        </w:rPr>
        <w:t xml:space="preserve"> within the choice-plus design</w:t>
      </w:r>
      <w:r w:rsidRPr="00F05DAD">
        <w:rPr>
          <w:rFonts w:ascii="Times New Roman" w:hAnsi="Times New Roman" w:cs="Times New Roman"/>
          <w:sz w:val="24"/>
          <w:szCs w:val="24"/>
        </w:rPr>
        <w:t xml:space="preserve">. Based on preliminary results from the screener phase of the NHES, the $20 </w:t>
      </w:r>
      <w:r w:rsidR="00E77491">
        <w:rPr>
          <w:rFonts w:ascii="Times New Roman" w:hAnsi="Times New Roman" w:cs="Times New Roman"/>
          <w:sz w:val="24"/>
          <w:szCs w:val="24"/>
        </w:rPr>
        <w:t>contingent incentive</w:t>
      </w:r>
      <w:r w:rsidRPr="00F05DAD" w:rsidR="00E77491">
        <w:rPr>
          <w:rFonts w:ascii="Times New Roman" w:hAnsi="Times New Roman" w:cs="Times New Roman"/>
          <w:sz w:val="24"/>
          <w:szCs w:val="24"/>
        </w:rPr>
        <w:t xml:space="preserve"> </w:t>
      </w:r>
      <w:r w:rsidRPr="00F05DAD">
        <w:rPr>
          <w:rFonts w:ascii="Times New Roman" w:hAnsi="Times New Roman" w:cs="Times New Roman"/>
          <w:sz w:val="24"/>
          <w:szCs w:val="24"/>
        </w:rPr>
        <w:t>achieve</w:t>
      </w:r>
      <w:r w:rsidR="00513B8B">
        <w:rPr>
          <w:rFonts w:ascii="Times New Roman" w:hAnsi="Times New Roman" w:cs="Times New Roman"/>
          <w:sz w:val="24"/>
          <w:szCs w:val="24"/>
        </w:rPr>
        <w:t>d</w:t>
      </w:r>
      <w:r w:rsidR="00654F3D">
        <w:rPr>
          <w:rFonts w:ascii="Times New Roman" w:hAnsi="Times New Roman" w:cs="Times New Roman"/>
          <w:sz w:val="24"/>
          <w:szCs w:val="24"/>
        </w:rPr>
        <w:t xml:space="preserve"> </w:t>
      </w:r>
      <w:r w:rsidRPr="00F05DAD">
        <w:rPr>
          <w:rFonts w:ascii="Times New Roman" w:hAnsi="Times New Roman" w:cs="Times New Roman"/>
          <w:sz w:val="24"/>
          <w:szCs w:val="24"/>
        </w:rPr>
        <w:t>a higher percentage responding by web (</w:t>
      </w:r>
      <w:r w:rsidR="00AA212A">
        <w:rPr>
          <w:rFonts w:ascii="Times New Roman" w:hAnsi="Times New Roman" w:cs="Times New Roman"/>
          <w:sz w:val="24"/>
          <w:szCs w:val="24"/>
        </w:rPr>
        <w:t>5</w:t>
      </w:r>
      <w:r w:rsidR="00AC6AC8">
        <w:rPr>
          <w:rFonts w:ascii="Times New Roman" w:hAnsi="Times New Roman" w:cs="Times New Roman"/>
          <w:sz w:val="24"/>
          <w:szCs w:val="24"/>
        </w:rPr>
        <w:t>3.4</w:t>
      </w:r>
      <w:r w:rsidR="00C51BA6">
        <w:rPr>
          <w:rFonts w:ascii="Times New Roman" w:hAnsi="Times New Roman" w:cs="Times New Roman"/>
          <w:sz w:val="24"/>
          <w:szCs w:val="24"/>
        </w:rPr>
        <w:t xml:space="preserve"> percent</w:t>
      </w:r>
      <w:r w:rsidRPr="00F05DAD">
        <w:rPr>
          <w:rFonts w:ascii="Times New Roman" w:hAnsi="Times New Roman" w:cs="Times New Roman"/>
          <w:sz w:val="24"/>
          <w:szCs w:val="24"/>
        </w:rPr>
        <w:t xml:space="preserve"> vs. </w:t>
      </w:r>
      <w:r w:rsidR="00AC6AC8">
        <w:rPr>
          <w:rFonts w:ascii="Times New Roman" w:hAnsi="Times New Roman" w:cs="Times New Roman"/>
          <w:sz w:val="24"/>
          <w:szCs w:val="24"/>
        </w:rPr>
        <w:t>48.3</w:t>
      </w:r>
      <w:r w:rsidR="00C51BA6">
        <w:rPr>
          <w:rFonts w:ascii="Times New Roman" w:hAnsi="Times New Roman" w:cs="Times New Roman"/>
          <w:sz w:val="24"/>
          <w:szCs w:val="24"/>
        </w:rPr>
        <w:t xml:space="preserve"> percent</w:t>
      </w:r>
      <w:r w:rsidRPr="00F05DAD">
        <w:rPr>
          <w:rFonts w:ascii="Times New Roman" w:hAnsi="Times New Roman" w:cs="Times New Roman"/>
          <w:sz w:val="24"/>
          <w:szCs w:val="24"/>
        </w:rPr>
        <w:t>)</w:t>
      </w:r>
      <w:r w:rsidR="00E63712">
        <w:rPr>
          <w:rFonts w:ascii="Times New Roman" w:hAnsi="Times New Roman" w:cs="Times New Roman"/>
          <w:sz w:val="24"/>
          <w:szCs w:val="24"/>
        </w:rPr>
        <w:t>, relative to $10</w:t>
      </w:r>
      <w:r w:rsidR="000D6EBA">
        <w:rPr>
          <w:rFonts w:ascii="Times New Roman" w:hAnsi="Times New Roman" w:cs="Times New Roman"/>
          <w:sz w:val="24"/>
          <w:szCs w:val="24"/>
        </w:rPr>
        <w:t xml:space="preserve"> (unpublished internal analysis)</w:t>
      </w:r>
      <w:r w:rsidRPr="00F05DAD">
        <w:rPr>
          <w:rFonts w:ascii="Times New Roman" w:hAnsi="Times New Roman" w:cs="Times New Roman"/>
          <w:sz w:val="24"/>
          <w:szCs w:val="24"/>
        </w:rPr>
        <w:t>.</w:t>
      </w:r>
      <w:r w:rsidR="006A459C">
        <w:rPr>
          <w:rFonts w:ascii="Times New Roman" w:hAnsi="Times New Roman" w:cs="Times New Roman"/>
          <w:sz w:val="24"/>
          <w:szCs w:val="24"/>
        </w:rPr>
        <w:t xml:space="preserve"> Given the </w:t>
      </w:r>
      <w:r w:rsidR="00525D70">
        <w:rPr>
          <w:rFonts w:ascii="Times New Roman" w:hAnsi="Times New Roman" w:cs="Times New Roman"/>
          <w:sz w:val="24"/>
          <w:szCs w:val="24"/>
        </w:rPr>
        <w:t xml:space="preserve">relatively limited testing that has been conducted to date of contingent incentives specifically for response </w:t>
      </w:r>
      <w:r w:rsidR="00002B9D">
        <w:rPr>
          <w:rFonts w:ascii="Times New Roman" w:hAnsi="Times New Roman" w:cs="Times New Roman"/>
          <w:sz w:val="24"/>
          <w:szCs w:val="24"/>
        </w:rPr>
        <w:t>by a given mode</w:t>
      </w:r>
      <w:r w:rsidR="006A459C">
        <w:rPr>
          <w:rFonts w:ascii="Times New Roman" w:hAnsi="Times New Roman" w:cs="Times New Roman"/>
          <w:sz w:val="24"/>
          <w:szCs w:val="24"/>
        </w:rPr>
        <w:t xml:space="preserve">, the NTEWS experiment will </w:t>
      </w:r>
      <w:r w:rsidR="009C0AEB">
        <w:rPr>
          <w:rFonts w:ascii="Times New Roman" w:hAnsi="Times New Roman" w:cs="Times New Roman"/>
          <w:sz w:val="24"/>
          <w:szCs w:val="24"/>
        </w:rPr>
        <w:t xml:space="preserve">help to </w:t>
      </w:r>
      <w:r w:rsidR="006A459C">
        <w:rPr>
          <w:rFonts w:ascii="Times New Roman" w:hAnsi="Times New Roman" w:cs="Times New Roman"/>
          <w:sz w:val="24"/>
          <w:szCs w:val="24"/>
        </w:rPr>
        <w:t xml:space="preserve">determine whether the NHES results </w:t>
      </w:r>
      <w:r w:rsidR="006F44A4">
        <w:rPr>
          <w:rFonts w:ascii="Times New Roman" w:hAnsi="Times New Roman" w:cs="Times New Roman"/>
          <w:sz w:val="24"/>
          <w:szCs w:val="24"/>
        </w:rPr>
        <w:t>apply specifically to the STW subpopulation that is of greatest interest to NCSES</w:t>
      </w:r>
      <w:r w:rsidR="006A459C">
        <w:rPr>
          <w:rFonts w:ascii="Times New Roman" w:hAnsi="Times New Roman" w:cs="Times New Roman"/>
          <w:sz w:val="24"/>
          <w:szCs w:val="24"/>
        </w:rPr>
        <w:t xml:space="preserve">. </w:t>
      </w:r>
    </w:p>
    <w:p w:rsidRPr="00FE02CB" w:rsidR="00F05DAD" w:rsidP="00F05DAD" w:rsidRDefault="00335843" w14:paraId="516CE9BD" w14:textId="2ACE6651">
      <w:pPr>
        <w:rPr>
          <w:rFonts w:ascii="Times New Roman" w:hAnsi="Times New Roman" w:cs="Times New Roman"/>
          <w:sz w:val="24"/>
          <w:szCs w:val="24"/>
        </w:rPr>
      </w:pPr>
      <w:r>
        <w:rPr>
          <w:rFonts w:ascii="Times New Roman" w:hAnsi="Times New Roman" w:cs="Times New Roman"/>
          <w:sz w:val="24"/>
          <w:szCs w:val="24"/>
        </w:rPr>
        <w:t xml:space="preserve">As discussed in </w:t>
      </w:r>
      <w:r w:rsidR="001D4285">
        <w:rPr>
          <w:rFonts w:ascii="Times New Roman" w:hAnsi="Times New Roman" w:cs="Times New Roman"/>
          <w:sz w:val="24"/>
          <w:szCs w:val="24"/>
        </w:rPr>
        <w:t xml:space="preserve">section 3 of this appendix, the </w:t>
      </w:r>
      <w:r w:rsidR="00D67777">
        <w:rPr>
          <w:rFonts w:ascii="Times New Roman" w:hAnsi="Times New Roman" w:cs="Times New Roman"/>
          <w:sz w:val="24"/>
          <w:szCs w:val="24"/>
        </w:rPr>
        <w:t xml:space="preserve">initial cycle of the </w:t>
      </w:r>
      <w:r w:rsidR="001D4285">
        <w:rPr>
          <w:rFonts w:ascii="Times New Roman" w:hAnsi="Times New Roman" w:cs="Times New Roman"/>
          <w:sz w:val="24"/>
          <w:szCs w:val="24"/>
        </w:rPr>
        <w:t xml:space="preserve">NTEWS will include a </w:t>
      </w:r>
      <w:r w:rsidR="006D3E83">
        <w:rPr>
          <w:rFonts w:ascii="Times New Roman" w:hAnsi="Times New Roman" w:cs="Times New Roman"/>
          <w:sz w:val="24"/>
          <w:szCs w:val="24"/>
        </w:rPr>
        <w:t xml:space="preserve">separate experiment with </w:t>
      </w:r>
      <w:r w:rsidR="006D3E83">
        <w:rPr>
          <w:rFonts w:ascii="Times New Roman" w:hAnsi="Times New Roman" w:cs="Times New Roman"/>
          <w:i/>
          <w:sz w:val="24"/>
          <w:szCs w:val="24"/>
        </w:rPr>
        <w:t>noncontingent</w:t>
      </w:r>
      <w:r w:rsidR="006D3E83">
        <w:rPr>
          <w:rFonts w:ascii="Times New Roman" w:hAnsi="Times New Roman" w:cs="Times New Roman"/>
          <w:sz w:val="24"/>
          <w:szCs w:val="24"/>
        </w:rPr>
        <w:t xml:space="preserve"> debit card incentives</w:t>
      </w:r>
      <w:r w:rsidR="003B0D04">
        <w:rPr>
          <w:rFonts w:ascii="Times New Roman" w:hAnsi="Times New Roman" w:cs="Times New Roman"/>
          <w:sz w:val="24"/>
          <w:szCs w:val="24"/>
        </w:rPr>
        <w:t>, which will primarily be sent with the week 1 mailing</w:t>
      </w:r>
      <w:r w:rsidR="00B8641E">
        <w:rPr>
          <w:rFonts w:ascii="Times New Roman" w:hAnsi="Times New Roman" w:cs="Times New Roman"/>
          <w:sz w:val="24"/>
          <w:szCs w:val="24"/>
        </w:rPr>
        <w:t>.</w:t>
      </w:r>
      <w:r w:rsidR="006D3E83">
        <w:rPr>
          <w:rFonts w:ascii="Times New Roman" w:hAnsi="Times New Roman" w:cs="Times New Roman"/>
          <w:sz w:val="24"/>
          <w:szCs w:val="24"/>
        </w:rPr>
        <w:t xml:space="preserve"> </w:t>
      </w:r>
      <w:r w:rsidR="002B6E3E">
        <w:rPr>
          <w:rFonts w:ascii="Times New Roman" w:hAnsi="Times New Roman" w:cs="Times New Roman"/>
          <w:sz w:val="24"/>
          <w:szCs w:val="24"/>
        </w:rPr>
        <w:t xml:space="preserve">The </w:t>
      </w:r>
      <w:r w:rsidR="00F92DC2">
        <w:rPr>
          <w:rFonts w:ascii="Times New Roman" w:hAnsi="Times New Roman" w:cs="Times New Roman"/>
          <w:sz w:val="24"/>
          <w:szCs w:val="24"/>
        </w:rPr>
        <w:t xml:space="preserve">contingent </w:t>
      </w:r>
      <w:r w:rsidR="002B6E3E">
        <w:rPr>
          <w:rFonts w:ascii="Times New Roman" w:hAnsi="Times New Roman" w:cs="Times New Roman"/>
          <w:sz w:val="24"/>
          <w:szCs w:val="24"/>
        </w:rPr>
        <w:t xml:space="preserve">incentive in </w:t>
      </w:r>
      <w:r w:rsidR="002B6E3E">
        <w:rPr>
          <w:rFonts w:ascii="Times New Roman" w:hAnsi="Times New Roman" w:cs="Times New Roman"/>
          <w:i/>
          <w:sz w:val="24"/>
          <w:szCs w:val="24"/>
        </w:rPr>
        <w:t>CHOICEPLUS</w:t>
      </w:r>
      <w:r w:rsidR="002B6E3E">
        <w:rPr>
          <w:rFonts w:ascii="Times New Roman" w:hAnsi="Times New Roman" w:cs="Times New Roman"/>
          <w:sz w:val="24"/>
          <w:szCs w:val="24"/>
        </w:rPr>
        <w:t xml:space="preserve"> will be paid on top of any noncontingent incentive that the </w:t>
      </w:r>
      <w:r w:rsidR="00AF7F45">
        <w:rPr>
          <w:rFonts w:ascii="Times New Roman" w:hAnsi="Times New Roman" w:cs="Times New Roman"/>
          <w:sz w:val="24"/>
          <w:szCs w:val="24"/>
        </w:rPr>
        <w:t xml:space="preserve">sample member </w:t>
      </w:r>
      <w:r w:rsidR="002B6E3E">
        <w:rPr>
          <w:rFonts w:ascii="Times New Roman" w:hAnsi="Times New Roman" w:cs="Times New Roman"/>
          <w:sz w:val="24"/>
          <w:szCs w:val="24"/>
        </w:rPr>
        <w:t>receive</w:t>
      </w:r>
      <w:r w:rsidR="005C1D44">
        <w:rPr>
          <w:rFonts w:ascii="Times New Roman" w:hAnsi="Times New Roman" w:cs="Times New Roman"/>
          <w:sz w:val="24"/>
          <w:szCs w:val="24"/>
        </w:rPr>
        <w:t>s</w:t>
      </w:r>
      <w:r w:rsidR="008D6596">
        <w:rPr>
          <w:rFonts w:ascii="Times New Roman" w:hAnsi="Times New Roman" w:cs="Times New Roman"/>
          <w:sz w:val="24"/>
          <w:szCs w:val="24"/>
        </w:rPr>
        <w:t xml:space="preserve"> in week 1</w:t>
      </w:r>
      <w:r w:rsidR="002B6E3E">
        <w:rPr>
          <w:rFonts w:ascii="Times New Roman" w:hAnsi="Times New Roman" w:cs="Times New Roman"/>
          <w:sz w:val="24"/>
          <w:szCs w:val="24"/>
        </w:rPr>
        <w:t xml:space="preserve">. </w:t>
      </w:r>
      <w:r w:rsidR="005C1D44">
        <w:rPr>
          <w:rFonts w:ascii="Times New Roman" w:hAnsi="Times New Roman" w:cs="Times New Roman"/>
          <w:sz w:val="24"/>
          <w:szCs w:val="24"/>
        </w:rPr>
        <w:t>In other words, r</w:t>
      </w:r>
      <w:r w:rsidRPr="00F05DAD" w:rsidR="00F05DAD">
        <w:rPr>
          <w:rFonts w:ascii="Times New Roman" w:hAnsi="Times New Roman" w:cs="Times New Roman"/>
          <w:sz w:val="24"/>
          <w:szCs w:val="24"/>
        </w:rPr>
        <w:t xml:space="preserve">egardless of whether a prepaid debit card was </w:t>
      </w:r>
      <w:r w:rsidR="00D1663C">
        <w:rPr>
          <w:rFonts w:ascii="Times New Roman" w:hAnsi="Times New Roman" w:cs="Times New Roman"/>
          <w:sz w:val="24"/>
          <w:szCs w:val="24"/>
        </w:rPr>
        <w:t>previously received</w:t>
      </w:r>
      <w:r w:rsidRPr="00F05DAD" w:rsidR="00F05DAD">
        <w:rPr>
          <w:rFonts w:ascii="Times New Roman" w:hAnsi="Times New Roman" w:cs="Times New Roman"/>
          <w:sz w:val="24"/>
          <w:szCs w:val="24"/>
        </w:rPr>
        <w:t xml:space="preserve">, respondents from </w:t>
      </w:r>
      <w:r w:rsidRPr="00F0783C" w:rsidR="00F05DAD">
        <w:rPr>
          <w:rFonts w:ascii="Times New Roman" w:hAnsi="Times New Roman" w:cs="Times New Roman"/>
          <w:i/>
          <w:sz w:val="24"/>
          <w:szCs w:val="24"/>
        </w:rPr>
        <w:t>CHOICEPLUS</w:t>
      </w:r>
      <w:r w:rsidRPr="00F05DAD" w:rsidR="00F05DAD">
        <w:rPr>
          <w:rFonts w:ascii="Times New Roman" w:hAnsi="Times New Roman" w:cs="Times New Roman"/>
          <w:sz w:val="24"/>
          <w:szCs w:val="24"/>
        </w:rPr>
        <w:t xml:space="preserve"> who qualify for the </w:t>
      </w:r>
      <w:r w:rsidR="00F92DC2">
        <w:rPr>
          <w:rFonts w:ascii="Times New Roman" w:hAnsi="Times New Roman" w:cs="Times New Roman"/>
          <w:sz w:val="24"/>
          <w:szCs w:val="24"/>
        </w:rPr>
        <w:t>contingent</w:t>
      </w:r>
      <w:r w:rsidRPr="00F05DAD" w:rsidR="00F92DC2">
        <w:rPr>
          <w:rFonts w:ascii="Times New Roman" w:hAnsi="Times New Roman" w:cs="Times New Roman"/>
          <w:sz w:val="24"/>
          <w:szCs w:val="24"/>
        </w:rPr>
        <w:t xml:space="preserve"> </w:t>
      </w:r>
      <w:r w:rsidRPr="00F05DAD" w:rsidR="00F05DAD">
        <w:rPr>
          <w:rFonts w:ascii="Times New Roman" w:hAnsi="Times New Roman" w:cs="Times New Roman"/>
          <w:sz w:val="24"/>
          <w:szCs w:val="24"/>
        </w:rPr>
        <w:t xml:space="preserve">incentive (i.e., who respond by web before the deadline) will be mailed a new debit card with the $20 </w:t>
      </w:r>
      <w:r w:rsidR="00F92DC2">
        <w:rPr>
          <w:rFonts w:ascii="Times New Roman" w:hAnsi="Times New Roman" w:cs="Times New Roman"/>
          <w:sz w:val="24"/>
          <w:szCs w:val="24"/>
        </w:rPr>
        <w:t>contingent</w:t>
      </w:r>
      <w:r w:rsidRPr="00F05DAD" w:rsidR="00F92DC2">
        <w:rPr>
          <w:rFonts w:ascii="Times New Roman" w:hAnsi="Times New Roman" w:cs="Times New Roman"/>
          <w:sz w:val="24"/>
          <w:szCs w:val="24"/>
        </w:rPr>
        <w:t xml:space="preserve"> </w:t>
      </w:r>
      <w:r w:rsidRPr="00F05DAD" w:rsidR="00F05DAD">
        <w:rPr>
          <w:rFonts w:ascii="Times New Roman" w:hAnsi="Times New Roman" w:cs="Times New Roman"/>
          <w:sz w:val="24"/>
          <w:szCs w:val="24"/>
        </w:rPr>
        <w:t xml:space="preserve">incentive. </w:t>
      </w:r>
      <w:r w:rsidR="00483919">
        <w:rPr>
          <w:rFonts w:ascii="Times New Roman" w:hAnsi="Times New Roman" w:cs="Times New Roman"/>
          <w:sz w:val="24"/>
          <w:szCs w:val="24"/>
        </w:rPr>
        <w:t>T</w:t>
      </w:r>
      <w:r w:rsidRPr="00F05DAD" w:rsidR="00F05DAD">
        <w:rPr>
          <w:rFonts w:ascii="Times New Roman" w:hAnsi="Times New Roman" w:cs="Times New Roman"/>
          <w:sz w:val="24"/>
          <w:szCs w:val="24"/>
        </w:rPr>
        <w:t xml:space="preserve">he card sent in week 1 will retain its original value. All </w:t>
      </w:r>
      <w:r w:rsidRPr="00F05DAD" w:rsidR="00F05DAD">
        <w:rPr>
          <w:rFonts w:ascii="Times New Roman" w:hAnsi="Times New Roman" w:cs="Times New Roman"/>
          <w:sz w:val="24"/>
          <w:szCs w:val="24"/>
        </w:rPr>
        <w:lastRenderedPageBreak/>
        <w:t xml:space="preserve">debit cards will expire approximately </w:t>
      </w:r>
      <w:r w:rsidR="007C7372">
        <w:rPr>
          <w:rFonts w:ascii="Times New Roman" w:hAnsi="Times New Roman" w:cs="Times New Roman"/>
          <w:sz w:val="24"/>
          <w:szCs w:val="24"/>
        </w:rPr>
        <w:t>six</w:t>
      </w:r>
      <w:r w:rsidRPr="00F05DAD" w:rsidR="007C7372">
        <w:rPr>
          <w:rFonts w:ascii="Times New Roman" w:hAnsi="Times New Roman" w:cs="Times New Roman"/>
          <w:sz w:val="24"/>
          <w:szCs w:val="24"/>
        </w:rPr>
        <w:t xml:space="preserve"> </w:t>
      </w:r>
      <w:r w:rsidRPr="00F05DAD" w:rsidR="00F05DAD">
        <w:rPr>
          <w:rFonts w:ascii="Times New Roman" w:hAnsi="Times New Roman" w:cs="Times New Roman"/>
          <w:sz w:val="24"/>
          <w:szCs w:val="24"/>
        </w:rPr>
        <w:t>month</w:t>
      </w:r>
      <w:r w:rsidR="007C7372">
        <w:rPr>
          <w:rFonts w:ascii="Times New Roman" w:hAnsi="Times New Roman" w:cs="Times New Roman"/>
          <w:sz w:val="24"/>
          <w:szCs w:val="24"/>
        </w:rPr>
        <w:t>s</w:t>
      </w:r>
      <w:r w:rsidRPr="00F05DAD" w:rsidR="00F05DAD">
        <w:rPr>
          <w:rFonts w:ascii="Times New Roman" w:hAnsi="Times New Roman" w:cs="Times New Roman"/>
          <w:sz w:val="24"/>
          <w:szCs w:val="24"/>
        </w:rPr>
        <w:t xml:space="preserve"> after the </w:t>
      </w:r>
      <w:r w:rsidR="007C7372">
        <w:rPr>
          <w:rFonts w:ascii="Times New Roman" w:hAnsi="Times New Roman" w:cs="Times New Roman"/>
          <w:sz w:val="24"/>
          <w:szCs w:val="24"/>
        </w:rPr>
        <w:t>data collection starts</w:t>
      </w:r>
      <w:r w:rsidRPr="00F05DAD" w:rsidR="00F05DAD">
        <w:rPr>
          <w:rFonts w:ascii="Times New Roman" w:hAnsi="Times New Roman" w:cs="Times New Roman"/>
          <w:sz w:val="24"/>
          <w:szCs w:val="24"/>
        </w:rPr>
        <w:t>; this will be made clear on the cards.</w:t>
      </w:r>
    </w:p>
    <w:p w:rsidR="002918D3" w:rsidP="008B5C08" w:rsidRDefault="002918D3" w14:paraId="47B3FFCA" w14:textId="055FEFC5">
      <w:pPr>
        <w:rPr>
          <w:rFonts w:ascii="Times New Roman" w:hAnsi="Times New Roman" w:cs="Times New Roman"/>
          <w:i/>
          <w:sz w:val="24"/>
          <w:szCs w:val="24"/>
        </w:rPr>
      </w:pPr>
      <w:r>
        <w:rPr>
          <w:rFonts w:ascii="Times New Roman" w:hAnsi="Times New Roman" w:cs="Times New Roman"/>
          <w:i/>
          <w:sz w:val="24"/>
          <w:szCs w:val="24"/>
        </w:rPr>
        <w:t>2.</w:t>
      </w:r>
      <w:r w:rsidR="00B8073A">
        <w:rPr>
          <w:rFonts w:ascii="Times New Roman" w:hAnsi="Times New Roman" w:cs="Times New Roman"/>
          <w:i/>
          <w:sz w:val="24"/>
          <w:szCs w:val="24"/>
        </w:rPr>
        <w:t>4</w:t>
      </w:r>
      <w:r>
        <w:rPr>
          <w:rFonts w:ascii="Times New Roman" w:hAnsi="Times New Roman" w:cs="Times New Roman"/>
          <w:i/>
          <w:sz w:val="24"/>
          <w:szCs w:val="24"/>
        </w:rPr>
        <w:t xml:space="preserve">. </w:t>
      </w:r>
      <w:r w:rsidR="005C1D44">
        <w:rPr>
          <w:rFonts w:ascii="Times New Roman" w:hAnsi="Times New Roman" w:cs="Times New Roman"/>
          <w:i/>
          <w:sz w:val="24"/>
          <w:szCs w:val="24"/>
        </w:rPr>
        <w:t>Additional r</w:t>
      </w:r>
      <w:r>
        <w:rPr>
          <w:rFonts w:ascii="Times New Roman" w:hAnsi="Times New Roman" w:cs="Times New Roman"/>
          <w:i/>
          <w:sz w:val="24"/>
          <w:szCs w:val="24"/>
        </w:rPr>
        <w:t>esearch questions</w:t>
      </w:r>
    </w:p>
    <w:p w:rsidR="00C7278B" w:rsidP="00B93559" w:rsidRDefault="004E1F45" w14:paraId="38D86D23" w14:textId="66E6ADF6">
      <w:pPr>
        <w:rPr>
          <w:rFonts w:ascii="Times New Roman" w:hAnsi="Times New Roman" w:cs="Times New Roman"/>
          <w:iCs/>
          <w:sz w:val="24"/>
          <w:szCs w:val="24"/>
        </w:rPr>
      </w:pPr>
      <w:r>
        <w:rPr>
          <w:rFonts w:ascii="Times New Roman" w:hAnsi="Times New Roman" w:cs="Times New Roman"/>
          <w:iCs/>
          <w:sz w:val="24"/>
          <w:szCs w:val="24"/>
        </w:rPr>
        <w:t xml:space="preserve">The three main research questions listed in section 1 all apply to the contact-strategies experiment. </w:t>
      </w:r>
      <w:r w:rsidR="00FD63D1">
        <w:rPr>
          <w:rFonts w:ascii="Times New Roman" w:hAnsi="Times New Roman" w:cs="Times New Roman"/>
          <w:bCs/>
          <w:sz w:val="24"/>
          <w:szCs w:val="24"/>
        </w:rPr>
        <w:t>This experiment will ultimately help to determine (1) which contact strategy should be used as the default in future NTEWS cycles based on nonresponse bias</w:t>
      </w:r>
      <w:r w:rsidR="005C259B">
        <w:rPr>
          <w:rFonts w:ascii="Times New Roman" w:hAnsi="Times New Roman" w:cs="Times New Roman"/>
          <w:bCs/>
          <w:sz w:val="24"/>
          <w:szCs w:val="24"/>
        </w:rPr>
        <w:t xml:space="preserve"> and</w:t>
      </w:r>
      <w:r w:rsidR="00FD63D1">
        <w:rPr>
          <w:rFonts w:ascii="Times New Roman" w:hAnsi="Times New Roman" w:cs="Times New Roman"/>
          <w:bCs/>
          <w:sz w:val="24"/>
          <w:szCs w:val="24"/>
        </w:rPr>
        <w:t xml:space="preserve"> response rate</w:t>
      </w:r>
      <w:r w:rsidR="005C259B">
        <w:rPr>
          <w:rFonts w:ascii="Times New Roman" w:hAnsi="Times New Roman" w:cs="Times New Roman"/>
          <w:bCs/>
          <w:sz w:val="24"/>
          <w:szCs w:val="24"/>
        </w:rPr>
        <w:t>s</w:t>
      </w:r>
      <w:r w:rsidR="00FD63D1">
        <w:rPr>
          <w:rFonts w:ascii="Times New Roman" w:hAnsi="Times New Roman" w:cs="Times New Roman"/>
          <w:bCs/>
          <w:sz w:val="24"/>
          <w:szCs w:val="24"/>
        </w:rPr>
        <w:t xml:space="preserve">, and (2) </w:t>
      </w:r>
      <w:r w:rsidR="00A36CE0">
        <w:rPr>
          <w:rFonts w:ascii="Times New Roman" w:hAnsi="Times New Roman" w:cs="Times New Roman"/>
          <w:bCs/>
          <w:sz w:val="24"/>
          <w:szCs w:val="24"/>
        </w:rPr>
        <w:t>A</w:t>
      </w:r>
      <w:r w:rsidR="00FD63D1">
        <w:rPr>
          <w:rFonts w:ascii="Times New Roman" w:hAnsi="Times New Roman" w:cs="Times New Roman"/>
          <w:bCs/>
          <w:sz w:val="24"/>
          <w:szCs w:val="24"/>
        </w:rPr>
        <w:t xml:space="preserve">re </w:t>
      </w:r>
      <w:r w:rsidR="00A36CE0">
        <w:rPr>
          <w:rFonts w:ascii="Times New Roman" w:hAnsi="Times New Roman" w:cs="Times New Roman"/>
          <w:bCs/>
          <w:sz w:val="24"/>
          <w:szCs w:val="24"/>
        </w:rPr>
        <w:t xml:space="preserve">there </w:t>
      </w:r>
      <w:r w:rsidR="00FD63D1">
        <w:rPr>
          <w:rFonts w:ascii="Times New Roman" w:hAnsi="Times New Roman" w:cs="Times New Roman"/>
          <w:bCs/>
          <w:sz w:val="24"/>
          <w:szCs w:val="24"/>
        </w:rPr>
        <w:t xml:space="preserve">subgroups of the NTEWS sample for which it is </w:t>
      </w:r>
      <w:r w:rsidR="00A43020">
        <w:rPr>
          <w:rFonts w:ascii="Times New Roman" w:hAnsi="Times New Roman" w:cs="Times New Roman"/>
          <w:bCs/>
          <w:sz w:val="24"/>
          <w:szCs w:val="24"/>
        </w:rPr>
        <w:t xml:space="preserve">beneficial </w:t>
      </w:r>
      <w:r w:rsidR="00FD63D1">
        <w:rPr>
          <w:rFonts w:ascii="Times New Roman" w:hAnsi="Times New Roman" w:cs="Times New Roman"/>
          <w:bCs/>
          <w:sz w:val="24"/>
          <w:szCs w:val="24"/>
        </w:rPr>
        <w:t xml:space="preserve">to use more expensive contact strategies (e.g., </w:t>
      </w:r>
      <w:r w:rsidRPr="002168F8" w:rsidR="00FD63D1">
        <w:rPr>
          <w:rFonts w:ascii="Times New Roman" w:hAnsi="Times New Roman" w:cs="Times New Roman"/>
          <w:bCs/>
          <w:i/>
          <w:iCs/>
          <w:sz w:val="24"/>
          <w:szCs w:val="24"/>
        </w:rPr>
        <w:t>CHOICEPLUS</w:t>
      </w:r>
      <w:r w:rsidR="00FD63D1">
        <w:rPr>
          <w:rFonts w:ascii="Times New Roman" w:hAnsi="Times New Roman" w:cs="Times New Roman"/>
          <w:bCs/>
          <w:sz w:val="24"/>
          <w:szCs w:val="24"/>
        </w:rPr>
        <w:t xml:space="preserve">, </w:t>
      </w:r>
      <w:r w:rsidRPr="002168F8" w:rsidR="00FD63D1">
        <w:rPr>
          <w:rFonts w:ascii="Times New Roman" w:hAnsi="Times New Roman" w:cs="Times New Roman"/>
          <w:bCs/>
          <w:i/>
          <w:iCs/>
          <w:sz w:val="24"/>
          <w:szCs w:val="24"/>
        </w:rPr>
        <w:t>PAP</w:t>
      </w:r>
      <w:r w:rsidR="00FD63D1">
        <w:rPr>
          <w:rFonts w:ascii="Times New Roman" w:hAnsi="Times New Roman" w:cs="Times New Roman"/>
          <w:bCs/>
          <w:sz w:val="24"/>
          <w:szCs w:val="24"/>
        </w:rPr>
        <w:t xml:space="preserve">, or </w:t>
      </w:r>
      <w:r w:rsidRPr="002168F8" w:rsidR="00FD63D1">
        <w:rPr>
          <w:rFonts w:ascii="Times New Roman" w:hAnsi="Times New Roman" w:cs="Times New Roman"/>
          <w:bCs/>
          <w:i/>
          <w:iCs/>
          <w:sz w:val="24"/>
          <w:szCs w:val="24"/>
        </w:rPr>
        <w:t>CAT</w:t>
      </w:r>
      <w:r w:rsidR="00FD63D1">
        <w:rPr>
          <w:rFonts w:ascii="Times New Roman" w:hAnsi="Times New Roman" w:cs="Times New Roman"/>
          <w:bCs/>
          <w:sz w:val="24"/>
          <w:szCs w:val="24"/>
        </w:rPr>
        <w:t>) to improve data quality (sample representativeness).</w:t>
      </w:r>
    </w:p>
    <w:p w:rsidRPr="009D2C33" w:rsidR="00B8073A" w:rsidP="00B93559" w:rsidRDefault="008679FE" w14:paraId="16EE7564" w14:textId="14C80BB0">
      <w:pPr>
        <w:rPr>
          <w:rFonts w:ascii="Times New Roman" w:hAnsi="Times New Roman" w:cs="Times New Roman"/>
          <w:iCs/>
          <w:sz w:val="24"/>
          <w:szCs w:val="24"/>
        </w:rPr>
      </w:pPr>
      <w:r>
        <w:rPr>
          <w:rFonts w:ascii="Times New Roman" w:hAnsi="Times New Roman" w:cs="Times New Roman"/>
          <w:iCs/>
          <w:sz w:val="24"/>
          <w:szCs w:val="24"/>
        </w:rPr>
        <w:t xml:space="preserve">This experiment </w:t>
      </w:r>
      <w:r w:rsidR="00E90B07">
        <w:rPr>
          <w:rFonts w:ascii="Times New Roman" w:hAnsi="Times New Roman" w:cs="Times New Roman"/>
          <w:iCs/>
          <w:sz w:val="24"/>
          <w:szCs w:val="24"/>
        </w:rPr>
        <w:t xml:space="preserve">also aims </w:t>
      </w:r>
      <w:r>
        <w:rPr>
          <w:rFonts w:ascii="Times New Roman" w:hAnsi="Times New Roman" w:cs="Times New Roman"/>
          <w:iCs/>
          <w:sz w:val="24"/>
          <w:szCs w:val="24"/>
        </w:rPr>
        <w:t xml:space="preserve">to answer </w:t>
      </w:r>
      <w:r w:rsidR="000463F4">
        <w:rPr>
          <w:rFonts w:ascii="Times New Roman" w:hAnsi="Times New Roman" w:cs="Times New Roman"/>
          <w:iCs/>
          <w:sz w:val="24"/>
          <w:szCs w:val="24"/>
        </w:rPr>
        <w:t xml:space="preserve">a fourth research question: is there evidence of mode effects in key NTEWS items? </w:t>
      </w:r>
      <w:r w:rsidR="007A2AA1">
        <w:rPr>
          <w:rFonts w:ascii="Times New Roman" w:hAnsi="Times New Roman" w:cs="Times New Roman"/>
          <w:iCs/>
          <w:sz w:val="24"/>
          <w:szCs w:val="24"/>
        </w:rPr>
        <w:t xml:space="preserve">Formally, mode effects </w:t>
      </w:r>
      <w:r w:rsidR="000B1C94">
        <w:rPr>
          <w:rFonts w:ascii="Times New Roman" w:hAnsi="Times New Roman" w:cs="Times New Roman"/>
          <w:iCs/>
          <w:sz w:val="24"/>
          <w:szCs w:val="24"/>
        </w:rPr>
        <w:t xml:space="preserve">occur when </w:t>
      </w:r>
      <w:r w:rsidR="0091014B">
        <w:rPr>
          <w:rFonts w:ascii="Times New Roman" w:hAnsi="Times New Roman" w:cs="Times New Roman"/>
          <w:iCs/>
          <w:sz w:val="24"/>
          <w:szCs w:val="24"/>
        </w:rPr>
        <w:t>measurement error in an item differs depending on the mode in which the item is presented</w:t>
      </w:r>
      <w:r w:rsidR="0054101A">
        <w:rPr>
          <w:rFonts w:ascii="Times New Roman" w:hAnsi="Times New Roman" w:cs="Times New Roman"/>
          <w:iCs/>
          <w:sz w:val="24"/>
          <w:szCs w:val="24"/>
        </w:rPr>
        <w:t xml:space="preserve">—that is, when </w:t>
      </w:r>
      <w:r w:rsidR="0054101A">
        <w:rPr>
          <w:rFonts w:ascii="Times New Roman" w:hAnsi="Times New Roman" w:cs="Times New Roman"/>
          <w:i/>
          <w:sz w:val="24"/>
          <w:szCs w:val="24"/>
        </w:rPr>
        <w:t>the same respondent</w:t>
      </w:r>
      <w:r w:rsidR="0054101A">
        <w:rPr>
          <w:rFonts w:ascii="Times New Roman" w:hAnsi="Times New Roman" w:cs="Times New Roman"/>
          <w:iCs/>
          <w:sz w:val="24"/>
          <w:szCs w:val="24"/>
        </w:rPr>
        <w:t xml:space="preserve"> would give a different answer to </w:t>
      </w:r>
      <w:r w:rsidR="0054101A">
        <w:rPr>
          <w:rFonts w:ascii="Times New Roman" w:hAnsi="Times New Roman" w:cs="Times New Roman"/>
          <w:i/>
          <w:sz w:val="24"/>
          <w:szCs w:val="24"/>
        </w:rPr>
        <w:t>the same item</w:t>
      </w:r>
      <w:r w:rsidR="0054101A">
        <w:rPr>
          <w:rFonts w:ascii="Times New Roman" w:hAnsi="Times New Roman" w:cs="Times New Roman"/>
          <w:iCs/>
          <w:sz w:val="24"/>
          <w:szCs w:val="24"/>
        </w:rPr>
        <w:t xml:space="preserve"> when </w:t>
      </w:r>
      <w:r w:rsidR="00342CBB">
        <w:rPr>
          <w:rFonts w:ascii="Times New Roman" w:hAnsi="Times New Roman" w:cs="Times New Roman"/>
          <w:iCs/>
          <w:sz w:val="24"/>
          <w:szCs w:val="24"/>
        </w:rPr>
        <w:t>the item is presented in a different mode</w:t>
      </w:r>
      <w:r w:rsidR="000B1C94">
        <w:rPr>
          <w:rFonts w:ascii="Times New Roman" w:hAnsi="Times New Roman" w:cs="Times New Roman"/>
          <w:iCs/>
          <w:sz w:val="24"/>
          <w:szCs w:val="24"/>
        </w:rPr>
        <w:t xml:space="preserve"> (</w:t>
      </w:r>
      <w:r w:rsidR="00611156">
        <w:rPr>
          <w:rFonts w:ascii="Times New Roman" w:hAnsi="Times New Roman" w:cs="Times New Roman"/>
          <w:iCs/>
          <w:sz w:val="24"/>
          <w:szCs w:val="24"/>
        </w:rPr>
        <w:t>Vannieuwenhuyze &amp; Loosveldt 2012</w:t>
      </w:r>
      <w:r w:rsidR="000B1C94">
        <w:rPr>
          <w:rFonts w:ascii="Times New Roman" w:hAnsi="Times New Roman" w:cs="Times New Roman"/>
          <w:iCs/>
          <w:sz w:val="24"/>
          <w:szCs w:val="24"/>
        </w:rPr>
        <w:t>)</w:t>
      </w:r>
      <w:r w:rsidR="0054101A">
        <w:rPr>
          <w:rFonts w:ascii="Times New Roman" w:hAnsi="Times New Roman" w:cs="Times New Roman"/>
          <w:iCs/>
          <w:sz w:val="24"/>
          <w:szCs w:val="24"/>
        </w:rPr>
        <w:t xml:space="preserve">. </w:t>
      </w:r>
      <w:r w:rsidR="0043392B">
        <w:rPr>
          <w:rFonts w:ascii="Times New Roman" w:hAnsi="Times New Roman" w:cs="Times New Roman"/>
          <w:iCs/>
          <w:sz w:val="24"/>
          <w:szCs w:val="24"/>
        </w:rPr>
        <w:t xml:space="preserve">In mixed-mode studies such as the NTEWS, mode effects can counteract the benefits </w:t>
      </w:r>
      <w:r w:rsidR="006263D7">
        <w:rPr>
          <w:rFonts w:ascii="Times New Roman" w:hAnsi="Times New Roman" w:cs="Times New Roman"/>
          <w:iCs/>
          <w:sz w:val="24"/>
          <w:szCs w:val="24"/>
        </w:rPr>
        <w:t xml:space="preserve">of offering multiple </w:t>
      </w:r>
      <w:r w:rsidR="00F33723">
        <w:rPr>
          <w:rFonts w:ascii="Times New Roman" w:hAnsi="Times New Roman" w:cs="Times New Roman"/>
          <w:iCs/>
          <w:sz w:val="24"/>
          <w:szCs w:val="24"/>
        </w:rPr>
        <w:t xml:space="preserve">administration </w:t>
      </w:r>
      <w:r w:rsidR="006263D7">
        <w:rPr>
          <w:rFonts w:ascii="Times New Roman" w:hAnsi="Times New Roman" w:cs="Times New Roman"/>
          <w:iCs/>
          <w:sz w:val="24"/>
          <w:szCs w:val="24"/>
        </w:rPr>
        <w:t xml:space="preserve">modes and therefore </w:t>
      </w:r>
      <w:r w:rsidR="00055C8E">
        <w:rPr>
          <w:rFonts w:ascii="Times New Roman" w:hAnsi="Times New Roman" w:cs="Times New Roman"/>
          <w:iCs/>
          <w:sz w:val="24"/>
          <w:szCs w:val="24"/>
        </w:rPr>
        <w:t xml:space="preserve">are an important component of total survey error. </w:t>
      </w:r>
      <w:r w:rsidR="00806216">
        <w:rPr>
          <w:rFonts w:ascii="Times New Roman" w:hAnsi="Times New Roman" w:cs="Times New Roman"/>
          <w:iCs/>
          <w:sz w:val="24"/>
          <w:szCs w:val="24"/>
        </w:rPr>
        <w:t xml:space="preserve">However, </w:t>
      </w:r>
      <w:r w:rsidR="00C66853">
        <w:rPr>
          <w:rFonts w:ascii="Times New Roman" w:hAnsi="Times New Roman" w:cs="Times New Roman"/>
          <w:iCs/>
          <w:sz w:val="24"/>
          <w:szCs w:val="24"/>
        </w:rPr>
        <w:t xml:space="preserve">mode effects are difficult to evaluate because they can be confounded by selection effects, which are driven by differences in the </w:t>
      </w:r>
      <w:r w:rsidR="00C66853">
        <w:rPr>
          <w:rFonts w:ascii="Times New Roman" w:hAnsi="Times New Roman" w:cs="Times New Roman"/>
          <w:i/>
          <w:sz w:val="24"/>
          <w:szCs w:val="24"/>
        </w:rPr>
        <w:t>underlying characteristics</w:t>
      </w:r>
      <w:r w:rsidR="0042019E">
        <w:rPr>
          <w:rFonts w:ascii="Times New Roman" w:hAnsi="Times New Roman" w:cs="Times New Roman"/>
          <w:iCs/>
          <w:sz w:val="24"/>
          <w:szCs w:val="24"/>
        </w:rPr>
        <w:t xml:space="preserve"> of </w:t>
      </w:r>
      <w:r w:rsidR="00DF1C06">
        <w:rPr>
          <w:rFonts w:ascii="Times New Roman" w:hAnsi="Times New Roman" w:cs="Times New Roman"/>
          <w:iCs/>
          <w:sz w:val="24"/>
          <w:szCs w:val="24"/>
        </w:rPr>
        <w:t xml:space="preserve">respondents who choose to respond </w:t>
      </w:r>
      <w:r w:rsidR="0086463E">
        <w:rPr>
          <w:rFonts w:ascii="Times New Roman" w:hAnsi="Times New Roman" w:cs="Times New Roman"/>
          <w:iCs/>
          <w:sz w:val="24"/>
          <w:szCs w:val="24"/>
        </w:rPr>
        <w:t>by</w:t>
      </w:r>
      <w:r w:rsidR="00DF1C06">
        <w:rPr>
          <w:rFonts w:ascii="Times New Roman" w:hAnsi="Times New Roman" w:cs="Times New Roman"/>
          <w:iCs/>
          <w:sz w:val="24"/>
          <w:szCs w:val="24"/>
        </w:rPr>
        <w:t xml:space="preserve"> </w:t>
      </w:r>
      <w:r w:rsidR="00A50A80">
        <w:rPr>
          <w:rFonts w:ascii="Times New Roman" w:hAnsi="Times New Roman" w:cs="Times New Roman"/>
          <w:iCs/>
          <w:sz w:val="24"/>
          <w:szCs w:val="24"/>
        </w:rPr>
        <w:t>different modes</w:t>
      </w:r>
      <w:r w:rsidR="00DF7B03">
        <w:rPr>
          <w:rFonts w:ascii="Times New Roman" w:hAnsi="Times New Roman" w:cs="Times New Roman"/>
          <w:iCs/>
          <w:sz w:val="24"/>
          <w:szCs w:val="24"/>
        </w:rPr>
        <w:t xml:space="preserve"> (Vannieuwenhuyze, Loosveldt, &amp; Molenberghs 2010)</w:t>
      </w:r>
      <w:r w:rsidR="00A50A80">
        <w:rPr>
          <w:rFonts w:ascii="Times New Roman" w:hAnsi="Times New Roman" w:cs="Times New Roman"/>
          <w:iCs/>
          <w:sz w:val="24"/>
          <w:szCs w:val="24"/>
        </w:rPr>
        <w:t xml:space="preserve">. </w:t>
      </w:r>
      <w:r w:rsidR="0086463E">
        <w:rPr>
          <w:rFonts w:ascii="Times New Roman" w:hAnsi="Times New Roman" w:cs="Times New Roman"/>
          <w:iCs/>
          <w:sz w:val="24"/>
          <w:szCs w:val="24"/>
        </w:rPr>
        <w:t xml:space="preserve">For example, if persons without a high school diploma are </w:t>
      </w:r>
      <w:r w:rsidR="001C04E3">
        <w:rPr>
          <w:rFonts w:ascii="Times New Roman" w:hAnsi="Times New Roman" w:cs="Times New Roman"/>
          <w:iCs/>
          <w:sz w:val="24"/>
          <w:szCs w:val="24"/>
        </w:rPr>
        <w:t xml:space="preserve">simultaneously </w:t>
      </w:r>
      <w:r w:rsidR="0086463E">
        <w:rPr>
          <w:rFonts w:ascii="Times New Roman" w:hAnsi="Times New Roman" w:cs="Times New Roman"/>
          <w:iCs/>
          <w:sz w:val="24"/>
          <w:szCs w:val="24"/>
        </w:rPr>
        <w:t xml:space="preserve">more likely to respond by CATI and less likely to report a certification, differences in the prevalence </w:t>
      </w:r>
      <w:r w:rsidR="004530F2">
        <w:rPr>
          <w:rFonts w:ascii="Times New Roman" w:hAnsi="Times New Roman" w:cs="Times New Roman"/>
          <w:iCs/>
          <w:sz w:val="24"/>
          <w:szCs w:val="24"/>
        </w:rPr>
        <w:t xml:space="preserve">of certifications between web and CATI respondents </w:t>
      </w:r>
      <w:r w:rsidR="0037674E">
        <w:rPr>
          <w:rFonts w:ascii="Times New Roman" w:hAnsi="Times New Roman" w:cs="Times New Roman"/>
          <w:iCs/>
          <w:sz w:val="24"/>
          <w:szCs w:val="24"/>
        </w:rPr>
        <w:t>c</w:t>
      </w:r>
      <w:r w:rsidR="004530F2">
        <w:rPr>
          <w:rFonts w:ascii="Times New Roman" w:hAnsi="Times New Roman" w:cs="Times New Roman"/>
          <w:iCs/>
          <w:sz w:val="24"/>
          <w:szCs w:val="24"/>
        </w:rPr>
        <w:t xml:space="preserve">ould reflect not mode effects but rather the fact that these two modes capture different populations. </w:t>
      </w:r>
      <w:r w:rsidR="00DD0A5F">
        <w:rPr>
          <w:rFonts w:ascii="Times New Roman" w:hAnsi="Times New Roman" w:cs="Times New Roman"/>
          <w:iCs/>
          <w:sz w:val="24"/>
          <w:szCs w:val="24"/>
        </w:rPr>
        <w:t xml:space="preserve">However, the </w:t>
      </w:r>
      <w:r w:rsidR="007B648B">
        <w:rPr>
          <w:rFonts w:ascii="Times New Roman" w:hAnsi="Times New Roman" w:cs="Times New Roman"/>
          <w:i/>
          <w:sz w:val="24"/>
          <w:szCs w:val="24"/>
        </w:rPr>
        <w:t>NHES</w:t>
      </w:r>
      <w:r w:rsidR="007B648B">
        <w:rPr>
          <w:rFonts w:ascii="Times New Roman" w:hAnsi="Times New Roman" w:cs="Times New Roman"/>
          <w:iCs/>
          <w:sz w:val="24"/>
          <w:szCs w:val="24"/>
        </w:rPr>
        <w:t xml:space="preserve">, </w:t>
      </w:r>
      <w:r w:rsidR="007B648B">
        <w:rPr>
          <w:rFonts w:ascii="Times New Roman" w:hAnsi="Times New Roman" w:cs="Times New Roman"/>
          <w:i/>
          <w:sz w:val="24"/>
          <w:szCs w:val="24"/>
        </w:rPr>
        <w:t>PAP</w:t>
      </w:r>
      <w:r w:rsidR="007B648B">
        <w:rPr>
          <w:rFonts w:ascii="Times New Roman" w:hAnsi="Times New Roman" w:cs="Times New Roman"/>
          <w:iCs/>
          <w:sz w:val="24"/>
          <w:szCs w:val="24"/>
        </w:rPr>
        <w:t xml:space="preserve">, and </w:t>
      </w:r>
      <w:r w:rsidR="007B648B">
        <w:rPr>
          <w:rFonts w:ascii="Times New Roman" w:hAnsi="Times New Roman" w:cs="Times New Roman"/>
          <w:i/>
          <w:sz w:val="24"/>
          <w:szCs w:val="24"/>
        </w:rPr>
        <w:t>CAT</w:t>
      </w:r>
      <w:r w:rsidR="007B648B">
        <w:rPr>
          <w:rFonts w:ascii="Times New Roman" w:hAnsi="Times New Roman" w:cs="Times New Roman"/>
          <w:iCs/>
          <w:sz w:val="24"/>
          <w:szCs w:val="24"/>
        </w:rPr>
        <w:t xml:space="preserve"> treatments in the NTEWS contact-strategies experiment will provide 11 weeks</w:t>
      </w:r>
      <w:r w:rsidR="00F71069">
        <w:rPr>
          <w:rFonts w:ascii="Times New Roman" w:hAnsi="Times New Roman" w:cs="Times New Roman"/>
          <w:iCs/>
          <w:sz w:val="24"/>
          <w:szCs w:val="24"/>
        </w:rPr>
        <w:t>’ worth</w:t>
      </w:r>
      <w:r w:rsidR="007B648B">
        <w:rPr>
          <w:rFonts w:ascii="Times New Roman" w:hAnsi="Times New Roman" w:cs="Times New Roman"/>
          <w:iCs/>
          <w:sz w:val="24"/>
          <w:szCs w:val="24"/>
        </w:rPr>
        <w:t xml:space="preserve"> of </w:t>
      </w:r>
      <w:r w:rsidR="00D566AE">
        <w:rPr>
          <w:rFonts w:ascii="Times New Roman" w:hAnsi="Times New Roman" w:cs="Times New Roman"/>
          <w:iCs/>
          <w:sz w:val="24"/>
          <w:szCs w:val="24"/>
        </w:rPr>
        <w:t xml:space="preserve">data from </w:t>
      </w:r>
      <w:r w:rsidR="0028725D">
        <w:rPr>
          <w:rFonts w:ascii="Times New Roman" w:hAnsi="Times New Roman" w:cs="Times New Roman"/>
          <w:iCs/>
          <w:sz w:val="24"/>
          <w:szCs w:val="24"/>
        </w:rPr>
        <w:t>respondents</w:t>
      </w:r>
      <w:r w:rsidR="00D566AE">
        <w:rPr>
          <w:rFonts w:ascii="Times New Roman" w:hAnsi="Times New Roman" w:cs="Times New Roman"/>
          <w:iCs/>
          <w:sz w:val="24"/>
          <w:szCs w:val="24"/>
        </w:rPr>
        <w:t xml:space="preserve"> who were offered only web, paper, and CATI modes of response</w:t>
      </w:r>
      <w:r w:rsidR="007B648B">
        <w:rPr>
          <w:rFonts w:ascii="Times New Roman" w:hAnsi="Times New Roman" w:cs="Times New Roman"/>
          <w:iCs/>
          <w:sz w:val="24"/>
          <w:szCs w:val="24"/>
        </w:rPr>
        <w:t xml:space="preserve"> (respectively)</w:t>
      </w:r>
      <w:r w:rsidR="0095339A">
        <w:rPr>
          <w:rFonts w:ascii="Times New Roman" w:hAnsi="Times New Roman" w:cs="Times New Roman"/>
          <w:iCs/>
          <w:sz w:val="24"/>
          <w:szCs w:val="24"/>
        </w:rPr>
        <w:t>.</w:t>
      </w:r>
      <w:r w:rsidR="00E52121">
        <w:rPr>
          <w:rFonts w:ascii="Times New Roman" w:hAnsi="Times New Roman" w:cs="Times New Roman"/>
          <w:iCs/>
          <w:sz w:val="24"/>
          <w:szCs w:val="24"/>
        </w:rPr>
        <w:t xml:space="preserve"> </w:t>
      </w:r>
      <w:r w:rsidR="0095339A">
        <w:rPr>
          <w:rFonts w:ascii="Times New Roman" w:hAnsi="Times New Roman" w:cs="Times New Roman"/>
          <w:iCs/>
          <w:sz w:val="24"/>
          <w:szCs w:val="24"/>
        </w:rPr>
        <w:t>In comparisons of key estimates between the first 11 weeks of responses from these three treatments, selection effects are likely to be reduced</w:t>
      </w:r>
      <w:r w:rsidR="00126606">
        <w:rPr>
          <w:rStyle w:val="FootnoteReference"/>
          <w:rFonts w:ascii="Times New Roman" w:hAnsi="Times New Roman" w:cs="Times New Roman"/>
          <w:iCs/>
          <w:sz w:val="24"/>
          <w:szCs w:val="24"/>
        </w:rPr>
        <w:footnoteReference w:id="2"/>
      </w:r>
      <w:r w:rsidR="0095339A">
        <w:rPr>
          <w:rFonts w:ascii="Times New Roman" w:hAnsi="Times New Roman" w:cs="Times New Roman"/>
          <w:iCs/>
          <w:sz w:val="24"/>
          <w:szCs w:val="24"/>
        </w:rPr>
        <w:t xml:space="preserve">; therefore, these treatments will allow for a more accurate evaluation of mode effects than is typically possible in mixed-mode studies. </w:t>
      </w:r>
      <w:r w:rsidR="0054675E">
        <w:rPr>
          <w:rFonts w:ascii="Times New Roman" w:hAnsi="Times New Roman" w:cs="Times New Roman"/>
          <w:iCs/>
          <w:sz w:val="24"/>
          <w:szCs w:val="24"/>
        </w:rPr>
        <w:t xml:space="preserve">This mode effects analysis will </w:t>
      </w:r>
      <w:r w:rsidR="00970B61">
        <w:rPr>
          <w:rFonts w:ascii="Times New Roman" w:hAnsi="Times New Roman" w:cs="Times New Roman"/>
          <w:iCs/>
          <w:sz w:val="24"/>
          <w:szCs w:val="24"/>
        </w:rPr>
        <w:t xml:space="preserve">help </w:t>
      </w:r>
      <w:r w:rsidR="00024EA7">
        <w:rPr>
          <w:rFonts w:ascii="Times New Roman" w:hAnsi="Times New Roman" w:cs="Times New Roman"/>
          <w:iCs/>
          <w:sz w:val="24"/>
          <w:szCs w:val="24"/>
        </w:rPr>
        <w:t xml:space="preserve">determine whether any </w:t>
      </w:r>
      <w:r w:rsidR="00BF4716">
        <w:rPr>
          <w:rFonts w:ascii="Times New Roman" w:hAnsi="Times New Roman" w:cs="Times New Roman"/>
          <w:iCs/>
          <w:sz w:val="24"/>
          <w:szCs w:val="24"/>
        </w:rPr>
        <w:t xml:space="preserve">key </w:t>
      </w:r>
      <w:r w:rsidR="00024EA7">
        <w:rPr>
          <w:rFonts w:ascii="Times New Roman" w:hAnsi="Times New Roman" w:cs="Times New Roman"/>
          <w:iCs/>
          <w:sz w:val="24"/>
          <w:szCs w:val="24"/>
        </w:rPr>
        <w:t xml:space="preserve">NTEWS </w:t>
      </w:r>
      <w:r w:rsidR="00FA1DF7">
        <w:rPr>
          <w:rFonts w:ascii="Times New Roman" w:hAnsi="Times New Roman" w:cs="Times New Roman"/>
          <w:iCs/>
          <w:sz w:val="24"/>
          <w:szCs w:val="24"/>
        </w:rPr>
        <w:t xml:space="preserve">survey </w:t>
      </w:r>
      <w:r w:rsidR="00567E0D">
        <w:rPr>
          <w:rFonts w:ascii="Times New Roman" w:hAnsi="Times New Roman" w:cs="Times New Roman"/>
          <w:iCs/>
          <w:sz w:val="24"/>
          <w:szCs w:val="24"/>
        </w:rPr>
        <w:t>items</w:t>
      </w:r>
      <w:r w:rsidR="00FA1DF7">
        <w:rPr>
          <w:rFonts w:ascii="Times New Roman" w:hAnsi="Times New Roman" w:cs="Times New Roman"/>
          <w:iCs/>
          <w:sz w:val="24"/>
          <w:szCs w:val="24"/>
        </w:rPr>
        <w:t xml:space="preserve"> </w:t>
      </w:r>
      <w:r w:rsidR="00024EA7">
        <w:rPr>
          <w:rFonts w:ascii="Times New Roman" w:hAnsi="Times New Roman" w:cs="Times New Roman"/>
          <w:iCs/>
          <w:sz w:val="24"/>
          <w:szCs w:val="24"/>
        </w:rPr>
        <w:t>require further revision and testing to mitigate potential mode effects</w:t>
      </w:r>
      <w:r w:rsidR="003F0E76">
        <w:rPr>
          <w:rFonts w:ascii="Times New Roman" w:hAnsi="Times New Roman" w:cs="Times New Roman"/>
          <w:iCs/>
          <w:sz w:val="24"/>
          <w:szCs w:val="24"/>
        </w:rPr>
        <w:t>. The mode effects analysis will also allow a more complete evaluation</w:t>
      </w:r>
      <w:r w:rsidR="0054675E">
        <w:rPr>
          <w:rFonts w:ascii="Times New Roman" w:hAnsi="Times New Roman" w:cs="Times New Roman"/>
          <w:iCs/>
          <w:sz w:val="24"/>
          <w:szCs w:val="24"/>
        </w:rPr>
        <w:t xml:space="preserve"> </w:t>
      </w:r>
      <w:r w:rsidR="00E63B7D">
        <w:rPr>
          <w:rFonts w:ascii="Times New Roman" w:hAnsi="Times New Roman" w:cs="Times New Roman"/>
          <w:iCs/>
          <w:sz w:val="24"/>
          <w:szCs w:val="24"/>
        </w:rPr>
        <w:t xml:space="preserve">of </w:t>
      </w:r>
      <w:r w:rsidR="0054675E">
        <w:rPr>
          <w:rFonts w:ascii="Times New Roman" w:hAnsi="Times New Roman" w:cs="Times New Roman"/>
          <w:iCs/>
          <w:sz w:val="24"/>
          <w:szCs w:val="24"/>
        </w:rPr>
        <w:t xml:space="preserve">the costs and benefits of </w:t>
      </w:r>
      <w:r w:rsidR="00925722">
        <w:rPr>
          <w:rFonts w:ascii="Times New Roman" w:hAnsi="Times New Roman" w:cs="Times New Roman"/>
          <w:iCs/>
          <w:sz w:val="24"/>
          <w:szCs w:val="24"/>
        </w:rPr>
        <w:t>continuing to include</w:t>
      </w:r>
      <w:r w:rsidR="0054675E">
        <w:rPr>
          <w:rFonts w:ascii="Times New Roman" w:hAnsi="Times New Roman" w:cs="Times New Roman"/>
          <w:iCs/>
          <w:sz w:val="24"/>
          <w:szCs w:val="24"/>
        </w:rPr>
        <w:t xml:space="preserve"> all three contact modes (web, paper, and CATI) in</w:t>
      </w:r>
      <w:r w:rsidR="00925722">
        <w:rPr>
          <w:rFonts w:ascii="Times New Roman" w:hAnsi="Times New Roman" w:cs="Times New Roman"/>
          <w:iCs/>
          <w:sz w:val="24"/>
          <w:szCs w:val="24"/>
        </w:rPr>
        <w:t xml:space="preserve"> future cycles of</w:t>
      </w:r>
      <w:r w:rsidR="0054675E">
        <w:rPr>
          <w:rFonts w:ascii="Times New Roman" w:hAnsi="Times New Roman" w:cs="Times New Roman"/>
          <w:iCs/>
          <w:sz w:val="24"/>
          <w:szCs w:val="24"/>
        </w:rPr>
        <w:t xml:space="preserve"> the NTEWS</w:t>
      </w:r>
      <w:r w:rsidR="00142AA3">
        <w:rPr>
          <w:rFonts w:ascii="Times New Roman" w:hAnsi="Times New Roman" w:cs="Times New Roman"/>
          <w:iCs/>
          <w:sz w:val="24"/>
          <w:szCs w:val="24"/>
        </w:rPr>
        <w:t>.</w:t>
      </w:r>
      <w:r w:rsidR="0054675E">
        <w:rPr>
          <w:rFonts w:ascii="Times New Roman" w:hAnsi="Times New Roman" w:cs="Times New Roman"/>
          <w:iCs/>
          <w:sz w:val="24"/>
          <w:szCs w:val="24"/>
        </w:rPr>
        <w:t xml:space="preserve">  </w:t>
      </w:r>
      <w:r w:rsidR="00126606">
        <w:rPr>
          <w:rFonts w:ascii="Times New Roman" w:hAnsi="Times New Roman" w:cs="Times New Roman"/>
          <w:iCs/>
          <w:sz w:val="24"/>
          <w:szCs w:val="24"/>
        </w:rPr>
        <w:t xml:space="preserve"> </w:t>
      </w:r>
      <w:r w:rsidR="0095339A">
        <w:rPr>
          <w:rFonts w:ascii="Times New Roman" w:hAnsi="Times New Roman" w:cs="Times New Roman"/>
          <w:iCs/>
          <w:sz w:val="24"/>
          <w:szCs w:val="24"/>
        </w:rPr>
        <w:t xml:space="preserve"> </w:t>
      </w:r>
    </w:p>
    <w:p w:rsidR="001F4274" w:rsidP="008B5C08" w:rsidRDefault="00C23717" w14:paraId="1966DB2A" w14:textId="3AACAD5B">
      <w:pPr>
        <w:rPr>
          <w:rFonts w:ascii="Times New Roman" w:hAnsi="Times New Roman" w:cs="Times New Roman"/>
          <w:sz w:val="24"/>
          <w:szCs w:val="24"/>
        </w:rPr>
      </w:pPr>
      <w:r>
        <w:rPr>
          <w:rFonts w:ascii="Times New Roman" w:hAnsi="Times New Roman" w:cs="Times New Roman"/>
          <w:b/>
          <w:sz w:val="24"/>
          <w:szCs w:val="24"/>
          <w:u w:val="single"/>
        </w:rPr>
        <w:t>3. Noncontingent</w:t>
      </w:r>
      <w:r w:rsidR="00C41AF1">
        <w:rPr>
          <w:rFonts w:ascii="Times New Roman" w:hAnsi="Times New Roman" w:cs="Times New Roman"/>
          <w:b/>
          <w:sz w:val="24"/>
          <w:szCs w:val="24"/>
          <w:u w:val="single"/>
        </w:rPr>
        <w:t>-</w:t>
      </w:r>
      <w:r>
        <w:rPr>
          <w:rFonts w:ascii="Times New Roman" w:hAnsi="Times New Roman" w:cs="Times New Roman"/>
          <w:b/>
          <w:sz w:val="24"/>
          <w:szCs w:val="24"/>
          <w:u w:val="single"/>
        </w:rPr>
        <w:t>incentive experiment</w:t>
      </w:r>
    </w:p>
    <w:p w:rsidR="008F1327" w:rsidP="00EB3513" w:rsidRDefault="00306F2B" w14:paraId="0B00FFF9" w14:textId="597513FC">
      <w:pPr>
        <w:rPr>
          <w:rFonts w:ascii="Times New Roman" w:hAnsi="Times New Roman" w:cs="Times New Roman"/>
          <w:sz w:val="24"/>
          <w:szCs w:val="24"/>
        </w:rPr>
      </w:pPr>
      <w:r>
        <w:rPr>
          <w:rFonts w:ascii="Times New Roman" w:hAnsi="Times New Roman" w:cs="Times New Roman"/>
          <w:sz w:val="24"/>
          <w:szCs w:val="24"/>
        </w:rPr>
        <w:t xml:space="preserve">As previously mentioned, because this is the first NTEWS </w:t>
      </w:r>
      <w:r w:rsidR="00241D4F">
        <w:rPr>
          <w:rFonts w:ascii="Times New Roman" w:hAnsi="Times New Roman" w:cs="Times New Roman"/>
          <w:sz w:val="24"/>
          <w:szCs w:val="24"/>
        </w:rPr>
        <w:t>cycle</w:t>
      </w:r>
      <w:r>
        <w:rPr>
          <w:rFonts w:ascii="Times New Roman" w:hAnsi="Times New Roman" w:cs="Times New Roman"/>
          <w:sz w:val="24"/>
          <w:szCs w:val="24"/>
        </w:rPr>
        <w:t xml:space="preserve">, it is </w:t>
      </w:r>
      <w:r w:rsidR="00A67875">
        <w:rPr>
          <w:rFonts w:ascii="Times New Roman" w:hAnsi="Times New Roman" w:cs="Times New Roman"/>
          <w:sz w:val="24"/>
          <w:szCs w:val="24"/>
        </w:rPr>
        <w:t xml:space="preserve">necessary to gather baseline </w:t>
      </w:r>
      <w:r w:rsidR="00ED0EBA">
        <w:rPr>
          <w:rFonts w:ascii="Times New Roman" w:hAnsi="Times New Roman" w:cs="Times New Roman"/>
          <w:sz w:val="24"/>
          <w:szCs w:val="24"/>
        </w:rPr>
        <w:t xml:space="preserve">data </w:t>
      </w:r>
      <w:r w:rsidR="00A67875">
        <w:rPr>
          <w:rFonts w:ascii="Times New Roman" w:hAnsi="Times New Roman" w:cs="Times New Roman"/>
          <w:sz w:val="24"/>
          <w:szCs w:val="24"/>
        </w:rPr>
        <w:t xml:space="preserve">to </w:t>
      </w:r>
      <w:r w:rsidR="00AC6A57">
        <w:rPr>
          <w:rFonts w:ascii="Times New Roman" w:hAnsi="Times New Roman" w:cs="Times New Roman"/>
          <w:sz w:val="24"/>
          <w:szCs w:val="24"/>
        </w:rPr>
        <w:t>allow for</w:t>
      </w:r>
      <w:r w:rsidR="00A67875">
        <w:rPr>
          <w:rFonts w:ascii="Times New Roman" w:hAnsi="Times New Roman" w:cs="Times New Roman"/>
          <w:sz w:val="24"/>
          <w:szCs w:val="24"/>
        </w:rPr>
        <w:t xml:space="preserve"> evidence-based decisions on whether</w:t>
      </w:r>
      <w:r>
        <w:rPr>
          <w:rFonts w:ascii="Times New Roman" w:hAnsi="Times New Roman" w:cs="Times New Roman"/>
          <w:sz w:val="24"/>
          <w:szCs w:val="24"/>
        </w:rPr>
        <w:t xml:space="preserve"> monetary incentives </w:t>
      </w:r>
      <w:r w:rsidR="00C12D21">
        <w:rPr>
          <w:rFonts w:ascii="Times New Roman" w:hAnsi="Times New Roman" w:cs="Times New Roman"/>
          <w:sz w:val="24"/>
          <w:szCs w:val="24"/>
        </w:rPr>
        <w:t xml:space="preserve">should be used to </w:t>
      </w:r>
      <w:r>
        <w:rPr>
          <w:rFonts w:ascii="Times New Roman" w:hAnsi="Times New Roman" w:cs="Times New Roman"/>
          <w:sz w:val="24"/>
          <w:szCs w:val="24"/>
        </w:rPr>
        <w:t>improve data quality and minimize costs</w:t>
      </w:r>
      <w:r w:rsidRPr="0047652F" w:rsidR="00EB3513">
        <w:rPr>
          <w:rFonts w:ascii="Times New Roman" w:hAnsi="Times New Roman" w:cs="Times New Roman"/>
          <w:sz w:val="24"/>
          <w:szCs w:val="24"/>
        </w:rPr>
        <w:t xml:space="preserve">. </w:t>
      </w:r>
      <w:r w:rsidR="00FC31BF">
        <w:rPr>
          <w:rFonts w:ascii="Times New Roman" w:hAnsi="Times New Roman" w:cs="Times New Roman"/>
          <w:sz w:val="24"/>
          <w:szCs w:val="24"/>
        </w:rPr>
        <w:t xml:space="preserve">Based on the extant literature, as well as prior </w:t>
      </w:r>
      <w:r w:rsidR="00FC31BF">
        <w:rPr>
          <w:rFonts w:ascii="Times New Roman" w:hAnsi="Times New Roman" w:cs="Times New Roman"/>
          <w:sz w:val="24"/>
          <w:szCs w:val="24"/>
        </w:rPr>
        <w:lastRenderedPageBreak/>
        <w:t xml:space="preserve">NSCG and NHES experimentation, NCSES </w:t>
      </w:r>
      <w:r w:rsidR="00B05B3F">
        <w:rPr>
          <w:rFonts w:ascii="Times New Roman" w:hAnsi="Times New Roman" w:cs="Times New Roman"/>
          <w:sz w:val="24"/>
          <w:szCs w:val="24"/>
        </w:rPr>
        <w:t xml:space="preserve">hypothesizes </w:t>
      </w:r>
      <w:r w:rsidR="00FC31BF">
        <w:rPr>
          <w:rFonts w:ascii="Times New Roman" w:hAnsi="Times New Roman" w:cs="Times New Roman"/>
          <w:sz w:val="24"/>
          <w:szCs w:val="24"/>
        </w:rPr>
        <w:t xml:space="preserve">that future cycles of the NTEWS will need to use noncontingent incentives for at least some portion of the sample. This is particularly true given the analytic interest in the subbaccalaureate STW. NCES’s experience with the </w:t>
      </w:r>
      <w:r w:rsidRPr="00196B80" w:rsidR="00FC31BF">
        <w:rPr>
          <w:rFonts w:ascii="Times New Roman" w:hAnsi="Times New Roman" w:cs="Times New Roman"/>
          <w:sz w:val="24"/>
          <w:szCs w:val="24"/>
        </w:rPr>
        <w:t>NHES (McPhee et al. 2018), along with the</w:t>
      </w:r>
      <w:r w:rsidR="00FC31BF">
        <w:rPr>
          <w:rFonts w:ascii="Times New Roman" w:hAnsi="Times New Roman" w:cs="Times New Roman"/>
          <w:sz w:val="24"/>
          <w:szCs w:val="24"/>
        </w:rPr>
        <w:t xml:space="preserve"> broader literature on self-administered and mixed-mode </w:t>
      </w:r>
      <w:r w:rsidRPr="00106A4E" w:rsidR="00FC31BF">
        <w:rPr>
          <w:rFonts w:ascii="Times New Roman" w:hAnsi="Times New Roman" w:cs="Times New Roman"/>
          <w:sz w:val="24"/>
          <w:szCs w:val="24"/>
        </w:rPr>
        <w:t>surveys (Olson et al. 2019</w:t>
      </w:r>
      <w:r w:rsidRPr="003E5E91" w:rsidR="00FC31BF">
        <w:rPr>
          <w:rFonts w:ascii="Times New Roman" w:hAnsi="Times New Roman" w:cs="Times New Roman"/>
          <w:sz w:val="24"/>
          <w:szCs w:val="24"/>
        </w:rPr>
        <w:t>),</w:t>
      </w:r>
      <w:r w:rsidRPr="00885FC2" w:rsidR="00FC31BF">
        <w:rPr>
          <w:rFonts w:ascii="Times New Roman" w:hAnsi="Times New Roman" w:cs="Times New Roman"/>
          <w:sz w:val="24"/>
          <w:szCs w:val="24"/>
        </w:rPr>
        <w:t xml:space="preserve"> suggests</w:t>
      </w:r>
      <w:r w:rsidR="00FC31BF">
        <w:rPr>
          <w:rFonts w:ascii="Times New Roman" w:hAnsi="Times New Roman" w:cs="Times New Roman"/>
          <w:sz w:val="24"/>
          <w:szCs w:val="24"/>
        </w:rPr>
        <w:t xml:space="preserve"> that sample members with less formal education are less likely to respond to household surveys. It is possible, therefore, that </w:t>
      </w:r>
      <w:r w:rsidR="003952C4">
        <w:rPr>
          <w:rFonts w:ascii="Times New Roman" w:hAnsi="Times New Roman" w:cs="Times New Roman"/>
          <w:sz w:val="24"/>
          <w:szCs w:val="24"/>
        </w:rPr>
        <w:t>incentives</w:t>
      </w:r>
      <w:r w:rsidR="00FC31BF">
        <w:rPr>
          <w:rFonts w:ascii="Times New Roman" w:hAnsi="Times New Roman" w:cs="Times New Roman"/>
          <w:sz w:val="24"/>
          <w:szCs w:val="24"/>
        </w:rPr>
        <w:t xml:space="preserve"> will be needed to ensure sufficient representation of this critical subgroup among </w:t>
      </w:r>
      <w:r w:rsidR="00F05F8D">
        <w:rPr>
          <w:rFonts w:ascii="Times New Roman" w:hAnsi="Times New Roman" w:cs="Times New Roman"/>
          <w:sz w:val="24"/>
          <w:szCs w:val="24"/>
        </w:rPr>
        <w:t xml:space="preserve">NTEWS </w:t>
      </w:r>
      <w:r w:rsidR="00FC31BF">
        <w:rPr>
          <w:rFonts w:ascii="Times New Roman" w:hAnsi="Times New Roman" w:cs="Times New Roman"/>
          <w:sz w:val="24"/>
          <w:szCs w:val="24"/>
        </w:rPr>
        <w:t xml:space="preserve">respondents. More generally, the </w:t>
      </w:r>
      <w:r w:rsidR="00364D64">
        <w:rPr>
          <w:rFonts w:ascii="Times New Roman" w:hAnsi="Times New Roman" w:cs="Times New Roman"/>
          <w:sz w:val="24"/>
          <w:szCs w:val="24"/>
        </w:rPr>
        <w:t xml:space="preserve">NTEWS </w:t>
      </w:r>
      <w:r w:rsidR="00CC6872">
        <w:rPr>
          <w:rFonts w:ascii="Times New Roman" w:hAnsi="Times New Roman" w:cs="Times New Roman"/>
          <w:sz w:val="24"/>
          <w:szCs w:val="24"/>
        </w:rPr>
        <w:t xml:space="preserve">oversampling </w:t>
      </w:r>
      <w:r w:rsidR="00FC31BF">
        <w:rPr>
          <w:rFonts w:ascii="Times New Roman" w:hAnsi="Times New Roman" w:cs="Times New Roman"/>
          <w:sz w:val="24"/>
          <w:szCs w:val="24"/>
        </w:rPr>
        <w:t xml:space="preserve">of sample members with less than a </w:t>
      </w:r>
      <w:r w:rsidR="00AD0E62">
        <w:rPr>
          <w:rFonts w:ascii="Times New Roman" w:hAnsi="Times New Roman" w:cs="Times New Roman"/>
          <w:sz w:val="24"/>
          <w:szCs w:val="24"/>
        </w:rPr>
        <w:t xml:space="preserve">Bachelor’s </w:t>
      </w:r>
      <w:r w:rsidR="00FC31BF">
        <w:rPr>
          <w:rFonts w:ascii="Times New Roman" w:hAnsi="Times New Roman" w:cs="Times New Roman"/>
          <w:sz w:val="24"/>
          <w:szCs w:val="24"/>
        </w:rPr>
        <w:t>degree raises the possibility that a larger proportion of the NTEWS sample may need to be incentivized, relative to the NSCG, though this cannot be known with certainty until baseline data are collected.</w:t>
      </w:r>
    </w:p>
    <w:p w:rsidR="00EB3513" w:rsidP="00EB3513" w:rsidRDefault="00EB3513" w14:paraId="4BEAB7C5" w14:textId="57915A5B">
      <w:pPr>
        <w:rPr>
          <w:rFonts w:ascii="Times New Roman" w:hAnsi="Times New Roman" w:cs="Times New Roman"/>
          <w:sz w:val="24"/>
          <w:szCs w:val="24"/>
        </w:rPr>
      </w:pPr>
      <w:r>
        <w:rPr>
          <w:rFonts w:ascii="Times New Roman" w:hAnsi="Times New Roman" w:cs="Times New Roman"/>
          <w:sz w:val="24"/>
          <w:szCs w:val="24"/>
        </w:rPr>
        <w:t xml:space="preserve">Accordingly, the </w:t>
      </w:r>
      <w:r w:rsidR="00D813B8">
        <w:rPr>
          <w:rFonts w:ascii="Times New Roman" w:hAnsi="Times New Roman" w:cs="Times New Roman"/>
          <w:sz w:val="24"/>
          <w:szCs w:val="24"/>
        </w:rPr>
        <w:t xml:space="preserve">initial </w:t>
      </w:r>
      <w:r>
        <w:rPr>
          <w:rFonts w:ascii="Times New Roman" w:hAnsi="Times New Roman" w:cs="Times New Roman"/>
          <w:sz w:val="24"/>
          <w:szCs w:val="24"/>
        </w:rPr>
        <w:t>NTEWS</w:t>
      </w:r>
      <w:r w:rsidR="00D813B8">
        <w:rPr>
          <w:rFonts w:ascii="Times New Roman" w:hAnsi="Times New Roman" w:cs="Times New Roman"/>
          <w:sz w:val="24"/>
          <w:szCs w:val="24"/>
        </w:rPr>
        <w:t xml:space="preserve"> cycle</w:t>
      </w:r>
      <w:r w:rsidR="00051267">
        <w:rPr>
          <w:rFonts w:ascii="Times New Roman" w:hAnsi="Times New Roman" w:cs="Times New Roman"/>
          <w:sz w:val="24"/>
          <w:szCs w:val="24"/>
        </w:rPr>
        <w:t xml:space="preserve"> </w:t>
      </w:r>
      <w:r>
        <w:rPr>
          <w:rFonts w:ascii="Times New Roman" w:hAnsi="Times New Roman" w:cs="Times New Roman"/>
          <w:sz w:val="24"/>
          <w:szCs w:val="24"/>
        </w:rPr>
        <w:t xml:space="preserve">will include a noncontingent-incentive experiment </w:t>
      </w:r>
      <w:r w:rsidR="00B528DE">
        <w:rPr>
          <w:rFonts w:ascii="Times New Roman" w:hAnsi="Times New Roman" w:cs="Times New Roman"/>
          <w:sz w:val="24"/>
          <w:szCs w:val="24"/>
        </w:rPr>
        <w:t>to test</w:t>
      </w:r>
      <w:r>
        <w:rPr>
          <w:rFonts w:ascii="Times New Roman" w:hAnsi="Times New Roman" w:cs="Times New Roman"/>
          <w:sz w:val="24"/>
          <w:szCs w:val="24"/>
        </w:rPr>
        <w:t xml:space="preserve"> multiple potential incentive levels </w:t>
      </w:r>
      <w:r w:rsidR="00B528DE">
        <w:rPr>
          <w:rFonts w:ascii="Times New Roman" w:hAnsi="Times New Roman" w:cs="Times New Roman"/>
          <w:sz w:val="24"/>
          <w:szCs w:val="24"/>
        </w:rPr>
        <w:t>against a no-incentive control</w:t>
      </w:r>
      <w:r>
        <w:rPr>
          <w:rFonts w:ascii="Times New Roman" w:hAnsi="Times New Roman" w:cs="Times New Roman"/>
          <w:sz w:val="24"/>
          <w:szCs w:val="24"/>
        </w:rPr>
        <w:t xml:space="preserve">. </w:t>
      </w:r>
      <w:r w:rsidR="00D97232">
        <w:rPr>
          <w:rFonts w:ascii="Times New Roman" w:hAnsi="Times New Roman" w:cs="Times New Roman"/>
          <w:sz w:val="24"/>
          <w:szCs w:val="24"/>
        </w:rPr>
        <w:t>Because this is an experiment, t</w:t>
      </w:r>
      <w:r>
        <w:rPr>
          <w:rFonts w:ascii="Times New Roman" w:hAnsi="Times New Roman" w:cs="Times New Roman"/>
          <w:sz w:val="24"/>
          <w:szCs w:val="24"/>
        </w:rPr>
        <w:t xml:space="preserve">he incentive structure proposed for the </w:t>
      </w:r>
      <w:r w:rsidR="006118F0">
        <w:rPr>
          <w:rFonts w:ascii="Times New Roman" w:hAnsi="Times New Roman" w:cs="Times New Roman"/>
          <w:sz w:val="24"/>
          <w:szCs w:val="24"/>
        </w:rPr>
        <w:t xml:space="preserve">initial cycle of the </w:t>
      </w:r>
      <w:r>
        <w:rPr>
          <w:rFonts w:ascii="Times New Roman" w:hAnsi="Times New Roman" w:cs="Times New Roman"/>
          <w:sz w:val="24"/>
          <w:szCs w:val="24"/>
        </w:rPr>
        <w:t xml:space="preserve">NTEWS is not the same structure that </w:t>
      </w:r>
      <w:r w:rsidR="00CC6872">
        <w:rPr>
          <w:rFonts w:ascii="Times New Roman" w:hAnsi="Times New Roman" w:cs="Times New Roman"/>
          <w:sz w:val="24"/>
          <w:szCs w:val="24"/>
        </w:rPr>
        <w:t>will be used</w:t>
      </w:r>
      <w:r>
        <w:rPr>
          <w:rFonts w:ascii="Times New Roman" w:hAnsi="Times New Roman" w:cs="Times New Roman"/>
          <w:sz w:val="24"/>
          <w:szCs w:val="24"/>
        </w:rPr>
        <w:t xml:space="preserve"> for future cycles. Rather, the purpose of the noncontingent-incentive experiment is to collect the baseline data needed to design cost-effective incentive structures for future cycles. </w:t>
      </w:r>
    </w:p>
    <w:p w:rsidRPr="0076224A" w:rsidR="00EB3513" w:rsidP="00EB3513" w:rsidRDefault="00EB3513" w14:paraId="0698E5F3" w14:textId="77777777">
      <w:pPr>
        <w:rPr>
          <w:rFonts w:ascii="Times New Roman" w:hAnsi="Times New Roman" w:cs="Times New Roman"/>
          <w:i/>
          <w:iCs/>
          <w:sz w:val="24"/>
          <w:szCs w:val="24"/>
        </w:rPr>
      </w:pPr>
      <w:r>
        <w:rPr>
          <w:rFonts w:ascii="Times New Roman" w:hAnsi="Times New Roman" w:cs="Times New Roman"/>
          <w:i/>
          <w:iCs/>
          <w:sz w:val="24"/>
          <w:szCs w:val="24"/>
        </w:rPr>
        <w:t>3.1. Background on use of incentives in federal surveys</w:t>
      </w:r>
    </w:p>
    <w:p w:rsidRPr="0047652F" w:rsidR="00EB3513" w:rsidP="00EB3513" w:rsidRDefault="00EB3513" w14:paraId="32BA458A" w14:textId="7506D0D5">
      <w:pPr>
        <w:rPr>
          <w:rFonts w:ascii="Times New Roman" w:hAnsi="Times New Roman" w:cs="Times New Roman"/>
          <w:sz w:val="24"/>
          <w:szCs w:val="24"/>
        </w:rPr>
      </w:pPr>
      <w:r w:rsidRPr="00477197">
        <w:rPr>
          <w:rFonts w:ascii="Times New Roman" w:hAnsi="Times New Roman" w:cs="Times New Roman"/>
          <w:sz w:val="24"/>
          <w:szCs w:val="24"/>
        </w:rPr>
        <w:t xml:space="preserve">As response rates continue to decline (cf. Meyer et al. 2015), the use of incentives has become increasingly common in non-mandatory federal household surveys. </w:t>
      </w:r>
      <w:r w:rsidRPr="00477197" w:rsidR="00180DCF">
        <w:rPr>
          <w:rFonts w:ascii="Times New Roman" w:hAnsi="Times New Roman" w:cs="Times New Roman"/>
          <w:sz w:val="24"/>
          <w:szCs w:val="24"/>
        </w:rPr>
        <w:t>For example,</w:t>
      </w:r>
      <w:r w:rsidRPr="00477197" w:rsidR="004947A9">
        <w:rPr>
          <w:rFonts w:ascii="Times New Roman" w:hAnsi="Times New Roman" w:cs="Times New Roman"/>
          <w:sz w:val="24"/>
          <w:szCs w:val="24"/>
        </w:rPr>
        <w:t xml:space="preserve"> </w:t>
      </w:r>
      <w:r w:rsidRPr="00477197">
        <w:rPr>
          <w:rFonts w:ascii="Times New Roman" w:hAnsi="Times New Roman" w:cs="Times New Roman"/>
          <w:sz w:val="24"/>
          <w:szCs w:val="24"/>
        </w:rPr>
        <w:t>To (2015)</w:t>
      </w:r>
      <w:r w:rsidRPr="00477197" w:rsidR="00462295">
        <w:rPr>
          <w:rFonts w:ascii="Times New Roman" w:hAnsi="Times New Roman" w:cs="Times New Roman"/>
          <w:sz w:val="24"/>
          <w:szCs w:val="24"/>
        </w:rPr>
        <w:t xml:space="preserve"> </w:t>
      </w:r>
      <w:r w:rsidRPr="00477197" w:rsidR="00C24D0F">
        <w:rPr>
          <w:rFonts w:ascii="Times New Roman" w:hAnsi="Times New Roman" w:cs="Times New Roman"/>
          <w:sz w:val="24"/>
          <w:szCs w:val="24"/>
        </w:rPr>
        <w:t>lists nine</w:t>
      </w:r>
      <w:r w:rsidRPr="00477197" w:rsidR="00427902">
        <w:rPr>
          <w:rFonts w:ascii="Times New Roman" w:hAnsi="Times New Roman" w:cs="Times New Roman"/>
          <w:sz w:val="24"/>
          <w:szCs w:val="24"/>
        </w:rPr>
        <w:t xml:space="preserve"> examples of</w:t>
      </w:r>
      <w:r w:rsidRPr="00477197" w:rsidR="00C24D0F">
        <w:rPr>
          <w:rFonts w:ascii="Times New Roman" w:hAnsi="Times New Roman" w:cs="Times New Roman"/>
          <w:sz w:val="24"/>
          <w:szCs w:val="24"/>
        </w:rPr>
        <w:t xml:space="preserve"> federal surveys that have incorporated or experimented with incentives in recent years</w:t>
      </w:r>
      <w:r w:rsidRPr="00477197">
        <w:rPr>
          <w:rFonts w:ascii="Times New Roman" w:hAnsi="Times New Roman" w:cs="Times New Roman"/>
          <w:sz w:val="24"/>
          <w:szCs w:val="24"/>
        </w:rPr>
        <w:t xml:space="preserve">. </w:t>
      </w:r>
      <w:r w:rsidRPr="00477197" w:rsidR="00875EB8">
        <w:rPr>
          <w:rFonts w:ascii="Times New Roman" w:hAnsi="Times New Roman" w:cs="Times New Roman"/>
          <w:sz w:val="24"/>
          <w:szCs w:val="24"/>
        </w:rPr>
        <w:t>Similarly, t</w:t>
      </w:r>
      <w:r w:rsidRPr="00477197">
        <w:rPr>
          <w:rFonts w:ascii="Times New Roman" w:hAnsi="Times New Roman" w:cs="Times New Roman"/>
          <w:sz w:val="24"/>
          <w:szCs w:val="24"/>
        </w:rPr>
        <w:t xml:space="preserve">he AAPOR report on transitions to self-administered and mixed-mode surveys cites examples of </w:t>
      </w:r>
      <w:r w:rsidRPr="00477197" w:rsidR="00B732A4">
        <w:rPr>
          <w:rFonts w:ascii="Times New Roman" w:hAnsi="Times New Roman" w:cs="Times New Roman"/>
          <w:sz w:val="24"/>
          <w:szCs w:val="24"/>
        </w:rPr>
        <w:t xml:space="preserve">approximately </w:t>
      </w:r>
      <w:r w:rsidRPr="00477197" w:rsidR="003023B7">
        <w:rPr>
          <w:rFonts w:ascii="Times New Roman" w:hAnsi="Times New Roman" w:cs="Times New Roman"/>
          <w:sz w:val="24"/>
          <w:szCs w:val="24"/>
        </w:rPr>
        <w:t>15</w:t>
      </w:r>
      <w:r w:rsidRPr="00477197" w:rsidR="00B732A4">
        <w:rPr>
          <w:rFonts w:ascii="Times New Roman" w:hAnsi="Times New Roman" w:cs="Times New Roman"/>
          <w:sz w:val="24"/>
          <w:szCs w:val="24"/>
        </w:rPr>
        <w:t xml:space="preserve"> </w:t>
      </w:r>
      <w:r w:rsidRPr="00477197" w:rsidR="003023B7">
        <w:rPr>
          <w:rFonts w:ascii="Times New Roman" w:hAnsi="Times New Roman" w:cs="Times New Roman"/>
          <w:sz w:val="24"/>
          <w:szCs w:val="24"/>
        </w:rPr>
        <w:t xml:space="preserve">surveys, </w:t>
      </w:r>
      <w:r w:rsidRPr="00477197" w:rsidR="008E256F">
        <w:rPr>
          <w:rFonts w:ascii="Times New Roman" w:hAnsi="Times New Roman" w:cs="Times New Roman"/>
          <w:sz w:val="24"/>
          <w:szCs w:val="24"/>
        </w:rPr>
        <w:t>about two-thirds of which are federally sponsored</w:t>
      </w:r>
      <w:r w:rsidRPr="00477197" w:rsidR="003023B7">
        <w:rPr>
          <w:rFonts w:ascii="Times New Roman" w:hAnsi="Times New Roman" w:cs="Times New Roman"/>
          <w:sz w:val="24"/>
          <w:szCs w:val="24"/>
        </w:rPr>
        <w:t>,</w:t>
      </w:r>
      <w:r w:rsidRPr="00477197">
        <w:rPr>
          <w:rFonts w:ascii="Times New Roman" w:hAnsi="Times New Roman" w:cs="Times New Roman"/>
          <w:sz w:val="24"/>
          <w:szCs w:val="24"/>
        </w:rPr>
        <w:t xml:space="preserve"> that have used or experimented with incentive levels (Olson et al. 2019, table 6.4).</w:t>
      </w:r>
      <w:r>
        <w:rPr>
          <w:rFonts w:ascii="Times New Roman" w:hAnsi="Times New Roman" w:cs="Times New Roman"/>
          <w:sz w:val="24"/>
          <w:szCs w:val="24"/>
        </w:rPr>
        <w:t xml:space="preserve"> Finally, </w:t>
      </w:r>
      <w:r w:rsidRPr="0047652F">
        <w:rPr>
          <w:rFonts w:ascii="Times New Roman" w:hAnsi="Times New Roman" w:cs="Times New Roman"/>
          <w:sz w:val="24"/>
          <w:szCs w:val="24"/>
        </w:rPr>
        <w:t>both surveys that can be considered the “predecessors” to the NTEWS—the NSCG and the NHES</w:t>
      </w:r>
      <w:r w:rsidR="00061C04">
        <w:rPr>
          <w:rFonts w:ascii="Times New Roman" w:hAnsi="Times New Roman" w:cs="Times New Roman"/>
          <w:sz w:val="24"/>
          <w:szCs w:val="24"/>
        </w:rPr>
        <w:t>—use</w:t>
      </w:r>
      <w:r w:rsidR="006848CD">
        <w:rPr>
          <w:rFonts w:ascii="Times New Roman" w:hAnsi="Times New Roman" w:cs="Times New Roman"/>
          <w:sz w:val="24"/>
          <w:szCs w:val="24"/>
        </w:rPr>
        <w:t xml:space="preserve"> monetary</w:t>
      </w:r>
      <w:r w:rsidR="00061C04">
        <w:rPr>
          <w:rFonts w:ascii="Times New Roman" w:hAnsi="Times New Roman" w:cs="Times New Roman"/>
          <w:sz w:val="24"/>
          <w:szCs w:val="24"/>
        </w:rPr>
        <w:t xml:space="preserve"> incentives in some form</w:t>
      </w:r>
      <w:r>
        <w:rPr>
          <w:rFonts w:ascii="Times New Roman" w:hAnsi="Times New Roman" w:cs="Times New Roman"/>
          <w:sz w:val="24"/>
          <w:szCs w:val="24"/>
        </w:rPr>
        <w:t>.</w:t>
      </w:r>
    </w:p>
    <w:p w:rsidRPr="0047652F" w:rsidR="00EB3513" w:rsidP="00EB3513" w:rsidRDefault="00EB3513" w14:paraId="2F0A83B2" w14:textId="7B8C9B76">
      <w:pPr>
        <w:rPr>
          <w:rFonts w:ascii="Times New Roman" w:hAnsi="Times New Roman" w:cs="Times New Roman"/>
          <w:sz w:val="24"/>
          <w:szCs w:val="24"/>
        </w:rPr>
      </w:pPr>
      <w:r w:rsidRPr="0047652F">
        <w:rPr>
          <w:rFonts w:ascii="Times New Roman" w:hAnsi="Times New Roman" w:cs="Times New Roman"/>
          <w:sz w:val="24"/>
          <w:szCs w:val="24"/>
        </w:rPr>
        <w:t xml:space="preserve">The current practice of the NSCG is to provide a $30 prepaid debit card with the first mailing to approximately 20 percent of </w:t>
      </w:r>
      <w:r>
        <w:rPr>
          <w:rFonts w:ascii="Times New Roman" w:hAnsi="Times New Roman" w:cs="Times New Roman"/>
          <w:sz w:val="24"/>
          <w:szCs w:val="24"/>
        </w:rPr>
        <w:t xml:space="preserve">new </w:t>
      </w:r>
      <w:r w:rsidRPr="0047652F">
        <w:rPr>
          <w:rFonts w:ascii="Times New Roman" w:hAnsi="Times New Roman" w:cs="Times New Roman"/>
          <w:sz w:val="24"/>
          <w:szCs w:val="24"/>
        </w:rPr>
        <w:t>sample members. The</w:t>
      </w:r>
      <w:r w:rsidR="0056372E">
        <w:rPr>
          <w:rFonts w:ascii="Times New Roman" w:hAnsi="Times New Roman" w:cs="Times New Roman"/>
          <w:sz w:val="24"/>
          <w:szCs w:val="24"/>
        </w:rPr>
        <w:t xml:space="preserve"> new</w:t>
      </w:r>
      <w:r w:rsidRPr="0047652F">
        <w:rPr>
          <w:rFonts w:ascii="Times New Roman" w:hAnsi="Times New Roman" w:cs="Times New Roman"/>
          <w:sz w:val="24"/>
          <w:szCs w:val="24"/>
        </w:rPr>
        <w:t xml:space="preserve"> sample members receiving the incentive are those flagged as “highly influential” based on the combination of a large base weight and a low predicted response propensity</w:t>
      </w:r>
      <w:r>
        <w:rPr>
          <w:rFonts w:ascii="Times New Roman" w:hAnsi="Times New Roman" w:cs="Times New Roman"/>
          <w:sz w:val="24"/>
          <w:szCs w:val="24"/>
        </w:rPr>
        <w:t xml:space="preserve"> score</w:t>
      </w:r>
      <w:r w:rsidRPr="0047652F">
        <w:rPr>
          <w:rFonts w:ascii="Times New Roman" w:hAnsi="Times New Roman" w:cs="Times New Roman"/>
          <w:sz w:val="24"/>
          <w:szCs w:val="24"/>
        </w:rPr>
        <w:t xml:space="preserve">, implying that they are likely to cause nonresponse bias if they do not respond. </w:t>
      </w:r>
      <w:r w:rsidR="00837EF7">
        <w:rPr>
          <w:rFonts w:ascii="Times New Roman" w:hAnsi="Times New Roman" w:cs="Times New Roman"/>
          <w:sz w:val="24"/>
          <w:szCs w:val="24"/>
        </w:rPr>
        <w:t>Because the NSCG uses a rotating panel design, t</w:t>
      </w:r>
      <w:r>
        <w:rPr>
          <w:rFonts w:ascii="Times New Roman" w:hAnsi="Times New Roman" w:cs="Times New Roman"/>
          <w:sz w:val="24"/>
          <w:szCs w:val="24"/>
        </w:rPr>
        <w:t xml:space="preserve">he $30 debit card incentive is also provided to returning sample members who were incentivized in a prior NSCG cycle. </w:t>
      </w:r>
      <w:r w:rsidRPr="0047652F">
        <w:rPr>
          <w:rFonts w:ascii="Times New Roman" w:hAnsi="Times New Roman" w:cs="Times New Roman"/>
          <w:sz w:val="24"/>
          <w:szCs w:val="24"/>
        </w:rPr>
        <w:t xml:space="preserve">All other sample </w:t>
      </w:r>
      <w:r w:rsidRPr="005E36AA">
        <w:rPr>
          <w:rFonts w:ascii="Times New Roman" w:hAnsi="Times New Roman" w:cs="Times New Roman"/>
          <w:sz w:val="24"/>
          <w:szCs w:val="24"/>
        </w:rPr>
        <w:t>members receive no incentive. This incentive structure is informed by experiments incorporated into the 2010 and 2013 NSCG cycles</w:t>
      </w:r>
      <w:r w:rsidRPr="00594511">
        <w:rPr>
          <w:rFonts w:ascii="Times New Roman" w:hAnsi="Times New Roman" w:cs="Times New Roman"/>
          <w:sz w:val="24"/>
          <w:szCs w:val="24"/>
        </w:rPr>
        <w:t xml:space="preserve"> (</w:t>
      </w:r>
      <w:r w:rsidRPr="008667A4">
        <w:rPr>
          <w:rFonts w:ascii="Times New Roman" w:hAnsi="Times New Roman" w:cs="Times New Roman"/>
          <w:sz w:val="24"/>
          <w:szCs w:val="24"/>
        </w:rPr>
        <w:t>Zotti 2014; Thornton 2014</w:t>
      </w:r>
      <w:r w:rsidRPr="005E36AA">
        <w:rPr>
          <w:rFonts w:ascii="Times New Roman" w:hAnsi="Times New Roman" w:cs="Times New Roman"/>
          <w:sz w:val="24"/>
          <w:szCs w:val="24"/>
        </w:rPr>
        <w:t>).</w:t>
      </w:r>
      <w:r w:rsidRPr="0047652F">
        <w:rPr>
          <w:rStyle w:val="CommentReference"/>
          <w:rFonts w:ascii="Times New Roman" w:hAnsi="Times New Roman" w:cs="Times New Roman"/>
          <w:sz w:val="24"/>
          <w:szCs w:val="24"/>
        </w:rPr>
        <w:t xml:space="preserve"> </w:t>
      </w:r>
    </w:p>
    <w:p w:rsidR="00BB5C97" w:rsidP="00EB3513" w:rsidRDefault="00EB3513" w14:paraId="56F7E2AD" w14:textId="77777777">
      <w:pPr>
        <w:rPr>
          <w:rFonts w:ascii="Times New Roman" w:hAnsi="Times New Roman" w:cs="Times New Roman"/>
          <w:sz w:val="24"/>
          <w:szCs w:val="24"/>
        </w:rPr>
      </w:pPr>
      <w:r>
        <w:rPr>
          <w:rFonts w:ascii="Times New Roman" w:hAnsi="Times New Roman" w:cs="Times New Roman"/>
          <w:sz w:val="24"/>
          <w:szCs w:val="24"/>
        </w:rPr>
        <w:t xml:space="preserve">The NHES is a two-phase survey in which noncontingent cash incentives are used at both the first (household screening) and second (topical module) phases. </w:t>
      </w:r>
      <w:r w:rsidRPr="005B69AE">
        <w:rPr>
          <w:rFonts w:ascii="Times New Roman" w:hAnsi="Times New Roman" w:cs="Times New Roman"/>
          <w:sz w:val="24"/>
          <w:szCs w:val="24"/>
        </w:rPr>
        <w:t xml:space="preserve">The ATES topical module was included in two NHES cycles: a 2014 feasibility </w:t>
      </w:r>
      <w:r w:rsidRPr="000640B8">
        <w:rPr>
          <w:rFonts w:ascii="Times New Roman" w:hAnsi="Times New Roman" w:cs="Times New Roman"/>
          <w:sz w:val="24"/>
          <w:szCs w:val="24"/>
        </w:rPr>
        <w:t>study (</w:t>
      </w:r>
      <w:r w:rsidRPr="00B93559">
        <w:rPr>
          <w:rFonts w:ascii="Times New Roman" w:hAnsi="Times New Roman" w:cs="Times New Roman"/>
          <w:sz w:val="24"/>
          <w:szCs w:val="24"/>
        </w:rPr>
        <w:t>Jackson, McQuiggan, &amp; Megra 2016</w:t>
      </w:r>
      <w:r w:rsidRPr="000640B8">
        <w:rPr>
          <w:rFonts w:ascii="Times New Roman" w:hAnsi="Times New Roman" w:cs="Times New Roman"/>
          <w:sz w:val="24"/>
          <w:szCs w:val="24"/>
        </w:rPr>
        <w:t>) and a 2016 full-scale administration (</w:t>
      </w:r>
      <w:r w:rsidRPr="00B93559">
        <w:rPr>
          <w:rFonts w:ascii="Times New Roman" w:hAnsi="Times New Roman" w:cs="Times New Roman"/>
          <w:sz w:val="24"/>
          <w:szCs w:val="24"/>
        </w:rPr>
        <w:t>Jackson, McPhee, &amp; Lavrakas 2019</w:t>
      </w:r>
      <w:r w:rsidRPr="000640B8">
        <w:rPr>
          <w:rFonts w:ascii="Times New Roman" w:hAnsi="Times New Roman" w:cs="Times New Roman"/>
          <w:sz w:val="24"/>
          <w:szCs w:val="24"/>
        </w:rPr>
        <w:t>). Both of these NHES cycles included experiments with prepaid cash incentives at the household</w:t>
      </w:r>
      <w:r w:rsidRPr="005B69AE">
        <w:rPr>
          <w:rFonts w:ascii="Times New Roman" w:hAnsi="Times New Roman" w:cs="Times New Roman"/>
          <w:sz w:val="24"/>
          <w:szCs w:val="24"/>
        </w:rPr>
        <w:t xml:space="preserve"> screening phase. Based on these experiments, the current practice in the NHES is to include a $5 cash incentive </w:t>
      </w:r>
      <w:r w:rsidRPr="005B69AE">
        <w:rPr>
          <w:rFonts w:ascii="Times New Roman" w:hAnsi="Times New Roman" w:cs="Times New Roman"/>
          <w:sz w:val="24"/>
          <w:szCs w:val="24"/>
        </w:rPr>
        <w:lastRenderedPageBreak/>
        <w:t xml:space="preserve">with the initial </w:t>
      </w:r>
      <w:r>
        <w:rPr>
          <w:rFonts w:ascii="Times New Roman" w:hAnsi="Times New Roman" w:cs="Times New Roman"/>
          <w:sz w:val="24"/>
          <w:szCs w:val="24"/>
        </w:rPr>
        <w:t xml:space="preserve">screener phase </w:t>
      </w:r>
      <w:r w:rsidRPr="005B69AE">
        <w:rPr>
          <w:rFonts w:ascii="Times New Roman" w:hAnsi="Times New Roman" w:cs="Times New Roman"/>
          <w:sz w:val="24"/>
          <w:szCs w:val="24"/>
        </w:rPr>
        <w:t>mailing for all sample</w:t>
      </w:r>
      <w:r>
        <w:rPr>
          <w:rFonts w:ascii="Times New Roman" w:hAnsi="Times New Roman" w:cs="Times New Roman"/>
          <w:sz w:val="24"/>
          <w:szCs w:val="24"/>
        </w:rPr>
        <w:t xml:space="preserve"> members</w:t>
      </w:r>
      <w:r w:rsidRPr="005B69AE">
        <w:rPr>
          <w:rFonts w:ascii="Times New Roman" w:hAnsi="Times New Roman" w:cs="Times New Roman"/>
          <w:sz w:val="24"/>
          <w:szCs w:val="24"/>
        </w:rPr>
        <w:t xml:space="preserve">. </w:t>
      </w:r>
      <w:r>
        <w:rPr>
          <w:rFonts w:ascii="Times New Roman" w:hAnsi="Times New Roman" w:cs="Times New Roman"/>
          <w:sz w:val="24"/>
          <w:szCs w:val="24"/>
        </w:rPr>
        <w:t xml:space="preserve">The NHES also includes a topical-phase cash incentive that is sent with the first topical mailing; </w:t>
      </w:r>
      <w:r w:rsidR="007A182E">
        <w:rPr>
          <w:rFonts w:ascii="Times New Roman" w:hAnsi="Times New Roman" w:cs="Times New Roman"/>
          <w:sz w:val="24"/>
          <w:szCs w:val="24"/>
        </w:rPr>
        <w:t>in NHES:</w:t>
      </w:r>
      <w:r w:rsidR="00922CDD">
        <w:rPr>
          <w:rFonts w:ascii="Times New Roman" w:hAnsi="Times New Roman" w:cs="Times New Roman"/>
          <w:sz w:val="24"/>
          <w:szCs w:val="24"/>
        </w:rPr>
        <w:t>2019</w:t>
      </w:r>
      <w:r w:rsidR="002F1908">
        <w:rPr>
          <w:rFonts w:ascii="Times New Roman" w:hAnsi="Times New Roman" w:cs="Times New Roman"/>
          <w:sz w:val="24"/>
          <w:szCs w:val="24"/>
        </w:rPr>
        <w:t xml:space="preserve">, </w:t>
      </w:r>
      <w:r>
        <w:rPr>
          <w:rFonts w:ascii="Times New Roman" w:hAnsi="Times New Roman" w:cs="Times New Roman"/>
          <w:sz w:val="24"/>
          <w:szCs w:val="24"/>
        </w:rPr>
        <w:t xml:space="preserve">most households </w:t>
      </w:r>
      <w:r w:rsidR="002F1908">
        <w:rPr>
          <w:rFonts w:ascii="Times New Roman" w:hAnsi="Times New Roman" w:cs="Times New Roman"/>
          <w:sz w:val="24"/>
          <w:szCs w:val="24"/>
        </w:rPr>
        <w:t>were</w:t>
      </w:r>
      <w:r>
        <w:rPr>
          <w:rFonts w:ascii="Times New Roman" w:hAnsi="Times New Roman" w:cs="Times New Roman"/>
          <w:sz w:val="24"/>
          <w:szCs w:val="24"/>
        </w:rPr>
        <w:t xml:space="preserve"> sent $5, but those that responded to the screener after the third or fourth screener mailings </w:t>
      </w:r>
      <w:r w:rsidR="002F1908">
        <w:rPr>
          <w:rFonts w:ascii="Times New Roman" w:hAnsi="Times New Roman" w:cs="Times New Roman"/>
          <w:sz w:val="24"/>
          <w:szCs w:val="24"/>
        </w:rPr>
        <w:t>were</w:t>
      </w:r>
      <w:r>
        <w:rPr>
          <w:rFonts w:ascii="Times New Roman" w:hAnsi="Times New Roman" w:cs="Times New Roman"/>
          <w:sz w:val="24"/>
          <w:szCs w:val="24"/>
        </w:rPr>
        <w:t xml:space="preserve"> sent $15. These topical-phase incentive values were based on experiments incorporated into a 2011 field test and a 2012 full-scale administration of the NHES, neither of which included the ATES </w:t>
      </w:r>
      <w:r w:rsidRPr="00970682">
        <w:rPr>
          <w:rFonts w:ascii="Times New Roman" w:hAnsi="Times New Roman" w:cs="Times New Roman"/>
          <w:sz w:val="24"/>
          <w:szCs w:val="24"/>
        </w:rPr>
        <w:t xml:space="preserve">(Han, Montaquila, </w:t>
      </w:r>
      <w:r>
        <w:rPr>
          <w:rFonts w:ascii="Times New Roman" w:hAnsi="Times New Roman" w:cs="Times New Roman"/>
          <w:sz w:val="24"/>
          <w:szCs w:val="24"/>
        </w:rPr>
        <w:t>&amp;</w:t>
      </w:r>
      <w:r w:rsidRPr="00970682">
        <w:rPr>
          <w:rFonts w:ascii="Times New Roman" w:hAnsi="Times New Roman" w:cs="Times New Roman"/>
          <w:sz w:val="24"/>
          <w:szCs w:val="24"/>
        </w:rPr>
        <w:t xml:space="preserve"> Brick 2013; McPhee et al. 2015).</w:t>
      </w:r>
    </w:p>
    <w:p w:rsidRPr="005B69AE" w:rsidR="00EB3513" w:rsidP="00EB3513" w:rsidRDefault="000A67F8" w14:paraId="416AFEDC" w14:textId="2186845A">
      <w:pPr>
        <w:rPr>
          <w:rFonts w:ascii="Times New Roman" w:hAnsi="Times New Roman" w:cs="Times New Roman"/>
          <w:sz w:val="24"/>
          <w:szCs w:val="24"/>
        </w:rPr>
      </w:pPr>
      <w:r>
        <w:rPr>
          <w:rFonts w:ascii="Times New Roman" w:hAnsi="Times New Roman" w:cs="Times New Roman"/>
          <w:sz w:val="24"/>
          <w:szCs w:val="24"/>
        </w:rPr>
        <w:t xml:space="preserve">In considering potential incentive strategies for the NTEWS—which, like the NSCG and unlike the NHES, will use debit card incentives—it is important to </w:t>
      </w:r>
      <w:r w:rsidR="00DA5FC7">
        <w:rPr>
          <w:rFonts w:ascii="Times New Roman" w:hAnsi="Times New Roman" w:cs="Times New Roman"/>
          <w:sz w:val="24"/>
          <w:szCs w:val="24"/>
        </w:rPr>
        <w:t>consider</w:t>
      </w:r>
      <w:r>
        <w:rPr>
          <w:rFonts w:ascii="Times New Roman" w:hAnsi="Times New Roman" w:cs="Times New Roman"/>
          <w:sz w:val="24"/>
          <w:szCs w:val="24"/>
        </w:rPr>
        <w:t xml:space="preserve"> </w:t>
      </w:r>
      <w:r w:rsidR="00DA5FC7">
        <w:rPr>
          <w:rFonts w:ascii="Times New Roman" w:hAnsi="Times New Roman" w:cs="Times New Roman"/>
          <w:sz w:val="24"/>
          <w:szCs w:val="24"/>
        </w:rPr>
        <w:t>the findings of</w:t>
      </w:r>
      <w:r>
        <w:rPr>
          <w:rFonts w:ascii="Times New Roman" w:hAnsi="Times New Roman" w:cs="Times New Roman"/>
          <w:sz w:val="24"/>
          <w:szCs w:val="24"/>
        </w:rPr>
        <w:t xml:space="preserve"> </w:t>
      </w:r>
      <w:r w:rsidR="00D75DE2">
        <w:rPr>
          <w:rFonts w:ascii="Times New Roman" w:hAnsi="Times New Roman" w:cs="Times New Roman"/>
          <w:sz w:val="24"/>
          <w:szCs w:val="24"/>
        </w:rPr>
        <w:t>prior</w:t>
      </w:r>
      <w:r>
        <w:rPr>
          <w:rFonts w:ascii="Times New Roman" w:hAnsi="Times New Roman" w:cs="Times New Roman"/>
          <w:sz w:val="24"/>
          <w:szCs w:val="24"/>
        </w:rPr>
        <w:t xml:space="preserve"> research (discussed in greater detail below) suggest</w:t>
      </w:r>
      <w:r w:rsidR="00DA5FC7">
        <w:rPr>
          <w:rFonts w:ascii="Times New Roman" w:hAnsi="Times New Roman" w:cs="Times New Roman"/>
          <w:sz w:val="24"/>
          <w:szCs w:val="24"/>
        </w:rPr>
        <w:t>ing</w:t>
      </w:r>
      <w:r>
        <w:rPr>
          <w:rFonts w:ascii="Times New Roman" w:hAnsi="Times New Roman" w:cs="Times New Roman"/>
          <w:sz w:val="24"/>
          <w:szCs w:val="24"/>
        </w:rPr>
        <w:t xml:space="preserve"> that </w:t>
      </w:r>
      <w:r w:rsidR="00720928">
        <w:rPr>
          <w:rFonts w:ascii="Times New Roman" w:hAnsi="Times New Roman" w:cs="Times New Roman"/>
          <w:sz w:val="24"/>
          <w:szCs w:val="24"/>
        </w:rPr>
        <w:t xml:space="preserve">the effects of debit card and cash incentives are unlikely to be equivalent for a given dollar value. </w:t>
      </w:r>
      <w:r w:rsidR="00594CC1">
        <w:rPr>
          <w:rFonts w:ascii="Times New Roman" w:hAnsi="Times New Roman" w:cs="Times New Roman"/>
          <w:sz w:val="24"/>
          <w:szCs w:val="24"/>
        </w:rPr>
        <w:t xml:space="preserve">In particular, </w:t>
      </w:r>
      <w:r w:rsidR="00D26FCF">
        <w:rPr>
          <w:rFonts w:ascii="Times New Roman" w:hAnsi="Times New Roman" w:cs="Times New Roman"/>
          <w:sz w:val="24"/>
          <w:szCs w:val="24"/>
        </w:rPr>
        <w:t xml:space="preserve">to achieve </w:t>
      </w:r>
      <w:r w:rsidR="00EF0E88">
        <w:rPr>
          <w:rFonts w:ascii="Times New Roman" w:hAnsi="Times New Roman" w:cs="Times New Roman"/>
          <w:sz w:val="24"/>
          <w:szCs w:val="24"/>
        </w:rPr>
        <w:t>similar</w:t>
      </w:r>
      <w:r w:rsidR="00D26FCF">
        <w:rPr>
          <w:rFonts w:ascii="Times New Roman" w:hAnsi="Times New Roman" w:cs="Times New Roman"/>
          <w:sz w:val="24"/>
          <w:szCs w:val="24"/>
        </w:rPr>
        <w:t xml:space="preserve"> effect as a given cash incentive, a debit card incentive of twice or greater value </w:t>
      </w:r>
      <w:r w:rsidR="00C06BD7">
        <w:rPr>
          <w:rFonts w:ascii="Times New Roman" w:hAnsi="Times New Roman" w:cs="Times New Roman"/>
          <w:sz w:val="24"/>
          <w:szCs w:val="24"/>
        </w:rPr>
        <w:t>might</w:t>
      </w:r>
      <w:r w:rsidR="00D26FCF">
        <w:rPr>
          <w:rFonts w:ascii="Times New Roman" w:hAnsi="Times New Roman" w:cs="Times New Roman"/>
          <w:sz w:val="24"/>
          <w:szCs w:val="24"/>
        </w:rPr>
        <w:t xml:space="preserve"> be required.</w:t>
      </w:r>
    </w:p>
    <w:p w:rsidR="00EB3513" w:rsidP="00EB3513" w:rsidRDefault="00EB3513" w14:paraId="40C0046E" w14:textId="77777777">
      <w:pPr>
        <w:rPr>
          <w:rFonts w:ascii="Times New Roman" w:hAnsi="Times New Roman" w:cs="Times New Roman"/>
          <w:sz w:val="24"/>
          <w:szCs w:val="24"/>
        </w:rPr>
      </w:pPr>
      <w:r>
        <w:rPr>
          <w:rFonts w:ascii="Times New Roman" w:hAnsi="Times New Roman" w:cs="Times New Roman"/>
          <w:i/>
          <w:iCs/>
          <w:sz w:val="24"/>
          <w:szCs w:val="24"/>
        </w:rPr>
        <w:t>3.2. Prior findings on effects of incentives on response rates</w:t>
      </w:r>
    </w:p>
    <w:p w:rsidR="00EB3513" w:rsidP="00EB3513" w:rsidRDefault="00EB3513" w14:paraId="2176C6E1" w14:textId="785A010A">
      <w:pPr>
        <w:rPr>
          <w:rFonts w:ascii="Times New Roman" w:hAnsi="Times New Roman" w:cs="Times New Roman"/>
          <w:sz w:val="24"/>
          <w:szCs w:val="24"/>
        </w:rPr>
      </w:pPr>
      <w:r w:rsidRPr="005B69AE">
        <w:rPr>
          <w:rFonts w:ascii="Times New Roman" w:hAnsi="Times New Roman" w:cs="Times New Roman"/>
          <w:sz w:val="24"/>
          <w:szCs w:val="24"/>
        </w:rPr>
        <w:t xml:space="preserve">The use of payments or gifts to incentivize response is one of the most heavily studied topics in the survey research literature. </w:t>
      </w:r>
      <w:r w:rsidR="00845CD5">
        <w:rPr>
          <w:rFonts w:ascii="Times New Roman" w:hAnsi="Times New Roman" w:cs="Times New Roman"/>
          <w:sz w:val="24"/>
          <w:szCs w:val="24"/>
        </w:rPr>
        <w:t>E</w:t>
      </w:r>
      <w:r w:rsidRPr="005B69AE">
        <w:rPr>
          <w:rFonts w:ascii="Times New Roman" w:hAnsi="Times New Roman" w:cs="Times New Roman"/>
          <w:sz w:val="24"/>
          <w:szCs w:val="24"/>
        </w:rPr>
        <w:t xml:space="preserve">valuations of alternative incentive types and levels have been synthesized </w:t>
      </w:r>
      <w:r w:rsidRPr="00F6177A">
        <w:rPr>
          <w:rFonts w:ascii="Times New Roman" w:hAnsi="Times New Roman" w:cs="Times New Roman"/>
          <w:sz w:val="24"/>
          <w:szCs w:val="24"/>
        </w:rPr>
        <w:t xml:space="preserve">into multiple literature reviews, most recently by Singer and Ye (2013); and meta-analyses, most recently by Mercer et al. (2015). </w:t>
      </w:r>
      <w:r w:rsidR="00234277">
        <w:rPr>
          <w:rFonts w:ascii="Times New Roman" w:hAnsi="Times New Roman" w:cs="Times New Roman"/>
          <w:sz w:val="24"/>
          <w:szCs w:val="24"/>
        </w:rPr>
        <w:t xml:space="preserve">These syntheses have </w:t>
      </w:r>
      <w:r w:rsidR="00AE73F5">
        <w:rPr>
          <w:rFonts w:ascii="Times New Roman" w:hAnsi="Times New Roman" w:cs="Times New Roman"/>
          <w:sz w:val="24"/>
          <w:szCs w:val="24"/>
        </w:rPr>
        <w:t>de</w:t>
      </w:r>
      <w:r w:rsidR="001729E5">
        <w:rPr>
          <w:rFonts w:ascii="Times New Roman" w:hAnsi="Times New Roman" w:cs="Times New Roman"/>
          <w:sz w:val="24"/>
          <w:szCs w:val="24"/>
        </w:rPr>
        <w:t>monstrated the value</w:t>
      </w:r>
      <w:r w:rsidR="0005357C">
        <w:rPr>
          <w:rFonts w:ascii="Times New Roman" w:hAnsi="Times New Roman" w:cs="Times New Roman"/>
          <w:sz w:val="24"/>
          <w:szCs w:val="24"/>
        </w:rPr>
        <w:t xml:space="preserve"> of incentives </w:t>
      </w:r>
      <w:r w:rsidR="001729E5">
        <w:rPr>
          <w:rFonts w:ascii="Times New Roman" w:hAnsi="Times New Roman" w:cs="Times New Roman"/>
          <w:sz w:val="24"/>
          <w:szCs w:val="24"/>
        </w:rPr>
        <w:t xml:space="preserve">for </w:t>
      </w:r>
      <w:r w:rsidR="008A04B9">
        <w:rPr>
          <w:rFonts w:ascii="Times New Roman" w:hAnsi="Times New Roman" w:cs="Times New Roman"/>
          <w:sz w:val="24"/>
          <w:szCs w:val="24"/>
        </w:rPr>
        <w:t>both increasing</w:t>
      </w:r>
      <w:r w:rsidR="0005357C">
        <w:rPr>
          <w:rFonts w:ascii="Times New Roman" w:hAnsi="Times New Roman" w:cs="Times New Roman"/>
          <w:sz w:val="24"/>
          <w:szCs w:val="24"/>
        </w:rPr>
        <w:t xml:space="preserve"> response rates and</w:t>
      </w:r>
      <w:r w:rsidR="00E813F2">
        <w:rPr>
          <w:rFonts w:ascii="Times New Roman" w:hAnsi="Times New Roman" w:cs="Times New Roman"/>
          <w:sz w:val="24"/>
          <w:szCs w:val="24"/>
        </w:rPr>
        <w:t xml:space="preserve"> (in some cases)</w:t>
      </w:r>
      <w:r w:rsidR="0005357C">
        <w:rPr>
          <w:rFonts w:ascii="Times New Roman" w:hAnsi="Times New Roman" w:cs="Times New Roman"/>
          <w:sz w:val="24"/>
          <w:szCs w:val="24"/>
        </w:rPr>
        <w:t xml:space="preserve"> </w:t>
      </w:r>
      <w:r w:rsidR="00420E4E">
        <w:rPr>
          <w:rFonts w:ascii="Times New Roman" w:hAnsi="Times New Roman" w:cs="Times New Roman"/>
          <w:sz w:val="24"/>
          <w:szCs w:val="24"/>
        </w:rPr>
        <w:t xml:space="preserve">reducing </w:t>
      </w:r>
      <w:r w:rsidR="00E813F2">
        <w:rPr>
          <w:rFonts w:ascii="Times New Roman" w:hAnsi="Times New Roman" w:cs="Times New Roman"/>
          <w:sz w:val="24"/>
          <w:szCs w:val="24"/>
        </w:rPr>
        <w:t>non</w:t>
      </w:r>
      <w:r w:rsidR="0005357C">
        <w:rPr>
          <w:rFonts w:ascii="Times New Roman" w:hAnsi="Times New Roman" w:cs="Times New Roman"/>
          <w:sz w:val="24"/>
          <w:szCs w:val="24"/>
        </w:rPr>
        <w:t>response bias.</w:t>
      </w:r>
    </w:p>
    <w:p w:rsidRPr="00F6177A" w:rsidR="00EB3513" w:rsidP="00EB3513" w:rsidRDefault="00EA7D29" w14:paraId="64B87430" w14:textId="409025AB">
      <w:pPr>
        <w:rPr>
          <w:rFonts w:ascii="Times New Roman" w:hAnsi="Times New Roman" w:cs="Times New Roman"/>
          <w:sz w:val="24"/>
          <w:szCs w:val="24"/>
        </w:rPr>
      </w:pPr>
      <w:r>
        <w:rPr>
          <w:rFonts w:ascii="Times New Roman" w:hAnsi="Times New Roman" w:cs="Times New Roman"/>
          <w:sz w:val="24"/>
          <w:szCs w:val="24"/>
        </w:rPr>
        <w:t>S</w:t>
      </w:r>
      <w:r w:rsidRPr="00F6177A" w:rsidR="00EB3513">
        <w:rPr>
          <w:rFonts w:ascii="Times New Roman" w:hAnsi="Times New Roman" w:cs="Times New Roman"/>
          <w:sz w:val="24"/>
          <w:szCs w:val="24"/>
        </w:rPr>
        <w:t xml:space="preserve">everal key findings </w:t>
      </w:r>
      <w:r w:rsidR="00EB3513">
        <w:rPr>
          <w:rFonts w:ascii="Times New Roman" w:hAnsi="Times New Roman" w:cs="Times New Roman"/>
          <w:sz w:val="24"/>
          <w:szCs w:val="24"/>
        </w:rPr>
        <w:t xml:space="preserve">about the effects of incentives on </w:t>
      </w:r>
      <w:r w:rsidRPr="00B93559" w:rsidR="00EB3513">
        <w:rPr>
          <w:rFonts w:ascii="Times New Roman" w:hAnsi="Times New Roman" w:cs="Times New Roman"/>
          <w:sz w:val="24"/>
          <w:szCs w:val="24"/>
        </w:rPr>
        <w:t>response rate</w:t>
      </w:r>
      <w:r w:rsidR="001B48C2">
        <w:rPr>
          <w:rFonts w:ascii="Times New Roman" w:hAnsi="Times New Roman" w:cs="Times New Roman"/>
          <w:sz w:val="24"/>
          <w:szCs w:val="24"/>
        </w:rPr>
        <w:t>s</w:t>
      </w:r>
      <w:r w:rsidR="00EB3513">
        <w:rPr>
          <w:rFonts w:ascii="Times New Roman" w:hAnsi="Times New Roman" w:cs="Times New Roman"/>
          <w:sz w:val="24"/>
          <w:szCs w:val="24"/>
        </w:rPr>
        <w:t xml:space="preserve"> are well-established</w:t>
      </w:r>
      <w:r w:rsidRPr="00F6177A" w:rsidR="00EB3513">
        <w:rPr>
          <w:rFonts w:ascii="Times New Roman" w:hAnsi="Times New Roman" w:cs="Times New Roman"/>
          <w:sz w:val="24"/>
          <w:szCs w:val="24"/>
        </w:rPr>
        <w:t>. First, noncontingent (i.e., prepaid</w:t>
      </w:r>
      <w:r w:rsidR="00EB3513">
        <w:rPr>
          <w:rFonts w:ascii="Times New Roman" w:hAnsi="Times New Roman" w:cs="Times New Roman"/>
          <w:sz w:val="24"/>
          <w:szCs w:val="24"/>
        </w:rPr>
        <w:t xml:space="preserve">, not </w:t>
      </w:r>
      <w:r w:rsidR="005A7BB3">
        <w:rPr>
          <w:rFonts w:ascii="Times New Roman" w:hAnsi="Times New Roman" w:cs="Times New Roman"/>
          <w:sz w:val="24"/>
          <w:szCs w:val="24"/>
        </w:rPr>
        <w:t>dependent</w:t>
      </w:r>
      <w:r w:rsidR="00EB3513">
        <w:rPr>
          <w:rFonts w:ascii="Times New Roman" w:hAnsi="Times New Roman" w:cs="Times New Roman"/>
          <w:sz w:val="24"/>
          <w:szCs w:val="24"/>
        </w:rPr>
        <w:t xml:space="preserve"> on response</w:t>
      </w:r>
      <w:r w:rsidRPr="00F6177A" w:rsidR="00EB3513">
        <w:rPr>
          <w:rFonts w:ascii="Times New Roman" w:hAnsi="Times New Roman" w:cs="Times New Roman"/>
          <w:sz w:val="24"/>
          <w:szCs w:val="24"/>
        </w:rPr>
        <w:t>) monetary incentives are typically associated with higher response rates, relative to no incentive</w:t>
      </w:r>
      <w:r w:rsidR="00EB3513">
        <w:rPr>
          <w:rFonts w:ascii="Times New Roman" w:hAnsi="Times New Roman" w:cs="Times New Roman"/>
          <w:sz w:val="24"/>
          <w:szCs w:val="24"/>
        </w:rPr>
        <w:t xml:space="preserve"> (Mercer et al. 2015)</w:t>
      </w:r>
      <w:r w:rsidRPr="00F6177A" w:rsidR="00EB3513">
        <w:rPr>
          <w:rFonts w:ascii="Times New Roman" w:hAnsi="Times New Roman" w:cs="Times New Roman"/>
          <w:sz w:val="24"/>
          <w:szCs w:val="24"/>
        </w:rPr>
        <w:t xml:space="preserve">. Second, </w:t>
      </w:r>
      <w:r w:rsidR="00EB3513">
        <w:rPr>
          <w:rFonts w:ascii="Times New Roman" w:hAnsi="Times New Roman" w:cs="Times New Roman"/>
          <w:sz w:val="24"/>
          <w:szCs w:val="24"/>
        </w:rPr>
        <w:t xml:space="preserve">for a given dollar value, </w:t>
      </w:r>
      <w:r w:rsidRPr="00F6177A" w:rsidR="00EB3513">
        <w:rPr>
          <w:rFonts w:ascii="Times New Roman" w:hAnsi="Times New Roman" w:cs="Times New Roman"/>
          <w:sz w:val="24"/>
          <w:szCs w:val="24"/>
        </w:rPr>
        <w:t>the effects of contingent (i.e., promised</w:t>
      </w:r>
      <w:r w:rsidR="00EB3513">
        <w:rPr>
          <w:rFonts w:ascii="Times New Roman" w:hAnsi="Times New Roman" w:cs="Times New Roman"/>
          <w:sz w:val="24"/>
          <w:szCs w:val="24"/>
        </w:rPr>
        <w:t xml:space="preserve">, </w:t>
      </w:r>
      <w:r w:rsidR="005A7BB3">
        <w:rPr>
          <w:rFonts w:ascii="Times New Roman" w:hAnsi="Times New Roman" w:cs="Times New Roman"/>
          <w:sz w:val="24"/>
          <w:szCs w:val="24"/>
        </w:rPr>
        <w:t>dependent</w:t>
      </w:r>
      <w:r w:rsidR="00EB3513">
        <w:rPr>
          <w:rFonts w:ascii="Times New Roman" w:hAnsi="Times New Roman" w:cs="Times New Roman"/>
          <w:sz w:val="24"/>
          <w:szCs w:val="24"/>
        </w:rPr>
        <w:t xml:space="preserve"> on response</w:t>
      </w:r>
      <w:r w:rsidRPr="00F6177A" w:rsidR="00EB3513">
        <w:rPr>
          <w:rFonts w:ascii="Times New Roman" w:hAnsi="Times New Roman" w:cs="Times New Roman"/>
          <w:sz w:val="24"/>
          <w:szCs w:val="24"/>
        </w:rPr>
        <w:t>) incentives tend to be smaller and less consistent than those of noncontingent incentives</w:t>
      </w:r>
      <w:r w:rsidR="00EB3513">
        <w:rPr>
          <w:rFonts w:ascii="Times New Roman" w:hAnsi="Times New Roman" w:cs="Times New Roman"/>
          <w:sz w:val="24"/>
          <w:szCs w:val="24"/>
        </w:rPr>
        <w:t>, particularly in mail surveys (Mercer et al. 2015)</w:t>
      </w:r>
      <w:r w:rsidRPr="00F6177A" w:rsidR="00EB3513">
        <w:rPr>
          <w:rFonts w:ascii="Times New Roman" w:hAnsi="Times New Roman" w:cs="Times New Roman"/>
          <w:sz w:val="24"/>
          <w:szCs w:val="24"/>
        </w:rPr>
        <w:t>.</w:t>
      </w:r>
      <w:r w:rsidR="00EB3513">
        <w:rPr>
          <w:rStyle w:val="FootnoteReference"/>
          <w:rFonts w:ascii="Times New Roman" w:hAnsi="Times New Roman" w:cs="Times New Roman"/>
          <w:sz w:val="24"/>
          <w:szCs w:val="24"/>
        </w:rPr>
        <w:footnoteReference w:id="3"/>
      </w:r>
      <w:r w:rsidRPr="00F6177A" w:rsidR="00EB3513">
        <w:rPr>
          <w:rFonts w:ascii="Times New Roman" w:hAnsi="Times New Roman" w:cs="Times New Roman"/>
          <w:sz w:val="24"/>
          <w:szCs w:val="24"/>
        </w:rPr>
        <w:t xml:space="preserve"> </w:t>
      </w:r>
      <w:r w:rsidR="00EB3513">
        <w:rPr>
          <w:rFonts w:ascii="Times New Roman" w:hAnsi="Times New Roman" w:cs="Times New Roman"/>
          <w:sz w:val="24"/>
          <w:szCs w:val="24"/>
        </w:rPr>
        <w:t xml:space="preserve">Third, nonmonetary incentives (e.g., lotteries, charitable donations, pens) generally are less effective than monetary </w:t>
      </w:r>
      <w:r w:rsidRPr="00EE678B" w:rsidR="00EB3513">
        <w:rPr>
          <w:rFonts w:ascii="Times New Roman" w:hAnsi="Times New Roman" w:cs="Times New Roman"/>
          <w:sz w:val="24"/>
          <w:szCs w:val="24"/>
        </w:rPr>
        <w:t>incentives (</w:t>
      </w:r>
      <w:r w:rsidRPr="00B93559" w:rsidR="00EB3513">
        <w:rPr>
          <w:rFonts w:ascii="Times New Roman" w:hAnsi="Times New Roman" w:cs="Times New Roman"/>
          <w:sz w:val="24"/>
          <w:szCs w:val="24"/>
        </w:rPr>
        <w:t>Church 1993</w:t>
      </w:r>
      <w:r w:rsidRPr="00EE678B" w:rsidR="00EB3513">
        <w:rPr>
          <w:rFonts w:ascii="Times New Roman" w:hAnsi="Times New Roman" w:cs="Times New Roman"/>
          <w:sz w:val="24"/>
          <w:szCs w:val="24"/>
        </w:rPr>
        <w:t>). Fourth, the relationship between the value of the incentive and the response rate is subject to diminishing returns. While higher dollar values are generally associated with higher response rates, the effect of each additional dollar is typically less than the effect of the prior dollar (</w:t>
      </w:r>
      <w:r w:rsidRPr="00B93559" w:rsidR="00EB3513">
        <w:rPr>
          <w:rFonts w:ascii="Times New Roman" w:hAnsi="Times New Roman" w:cs="Times New Roman"/>
          <w:sz w:val="24"/>
          <w:szCs w:val="24"/>
        </w:rPr>
        <w:t>Trussell &amp; Lavrakas 2004</w:t>
      </w:r>
      <w:r w:rsidRPr="00EE678B" w:rsidR="00EB3513">
        <w:rPr>
          <w:rFonts w:ascii="Times New Roman" w:hAnsi="Times New Roman" w:cs="Times New Roman"/>
          <w:sz w:val="24"/>
          <w:szCs w:val="24"/>
        </w:rPr>
        <w:t>).</w:t>
      </w:r>
      <w:r w:rsidRPr="00F6177A" w:rsidR="00EB3513">
        <w:rPr>
          <w:rFonts w:ascii="Times New Roman" w:hAnsi="Times New Roman" w:cs="Times New Roman"/>
          <w:sz w:val="24"/>
          <w:szCs w:val="24"/>
        </w:rPr>
        <w:t xml:space="preserve"> </w:t>
      </w:r>
    </w:p>
    <w:p w:rsidR="00EB3513" w:rsidP="00EB3513" w:rsidRDefault="00EB3513" w14:paraId="134E3619" w14:textId="5C34F3CE">
      <w:pPr>
        <w:rPr>
          <w:rFonts w:ascii="Times New Roman" w:hAnsi="Times New Roman" w:cs="Times New Roman"/>
          <w:sz w:val="24"/>
          <w:szCs w:val="24"/>
        </w:rPr>
      </w:pPr>
      <w:r>
        <w:rPr>
          <w:rFonts w:ascii="Times New Roman" w:hAnsi="Times New Roman" w:cs="Times New Roman"/>
          <w:sz w:val="24"/>
          <w:szCs w:val="24"/>
        </w:rPr>
        <w:t xml:space="preserve">The results of prior NHES and NSCG experimentation are consistent with these general findings. The 2014 NHES experiment established that a $5 noncontingent cash incentive </w:t>
      </w:r>
      <w:r w:rsidR="00437ED6">
        <w:rPr>
          <w:rFonts w:ascii="Times New Roman" w:hAnsi="Times New Roman" w:cs="Times New Roman"/>
          <w:sz w:val="24"/>
          <w:szCs w:val="24"/>
        </w:rPr>
        <w:t>in</w:t>
      </w:r>
      <w:r>
        <w:rPr>
          <w:rFonts w:ascii="Times New Roman" w:hAnsi="Times New Roman" w:cs="Times New Roman"/>
          <w:sz w:val="24"/>
          <w:szCs w:val="24"/>
        </w:rPr>
        <w:t xml:space="preserve"> the first screener mailing significantly increased the response rate relative to no incentive (69 percent vs. 62 percent, respectively), while a nonmonetary incentive (a refrigerator magnet) had no meaningful effect (Jackson, McQuiggan, &amp; Megra 2016). The 2016 </w:t>
      </w:r>
      <w:r w:rsidR="006F3957">
        <w:rPr>
          <w:rFonts w:ascii="Times New Roman" w:hAnsi="Times New Roman" w:cs="Times New Roman"/>
          <w:sz w:val="24"/>
          <w:szCs w:val="24"/>
        </w:rPr>
        <w:t xml:space="preserve">NHES </w:t>
      </w:r>
      <w:r>
        <w:rPr>
          <w:rFonts w:ascii="Times New Roman" w:hAnsi="Times New Roman" w:cs="Times New Roman"/>
          <w:sz w:val="24"/>
          <w:szCs w:val="24"/>
        </w:rPr>
        <w:t>experiment further established that a $5 cash incentive outperformed a $2 cash incentive (65 percent vs. 62 percent, respectively), but that a $10 cash incentive had little additional effect (relative to $5) on hard-to-</w:t>
      </w:r>
      <w:r>
        <w:rPr>
          <w:rFonts w:ascii="Times New Roman" w:hAnsi="Times New Roman" w:cs="Times New Roman"/>
          <w:sz w:val="24"/>
          <w:szCs w:val="24"/>
        </w:rPr>
        <w:lastRenderedPageBreak/>
        <w:t xml:space="preserve">reach households (Jackson, McPhee, &amp; Lavrakas 2019). The 2010 NSCG experiment found that a $30 noncontingent debit card, provided late in data collection to hard-to-reach sample members </w:t>
      </w:r>
      <w:r w:rsidR="00763C3B">
        <w:rPr>
          <w:rFonts w:ascii="Times New Roman" w:hAnsi="Times New Roman" w:cs="Times New Roman"/>
          <w:sz w:val="24"/>
          <w:szCs w:val="24"/>
        </w:rPr>
        <w:t xml:space="preserve">who </w:t>
      </w:r>
      <w:r>
        <w:rPr>
          <w:rFonts w:ascii="Times New Roman" w:hAnsi="Times New Roman" w:cs="Times New Roman"/>
          <w:sz w:val="24"/>
          <w:szCs w:val="24"/>
        </w:rPr>
        <w:t>had not yet responded, yielded a 30 percent response rate, compared to 24 percent for a $20 incentive and 6 percent for no incentive.</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2013 </w:t>
      </w:r>
      <w:r w:rsidR="00517197">
        <w:rPr>
          <w:rFonts w:ascii="Times New Roman" w:hAnsi="Times New Roman" w:cs="Times New Roman"/>
          <w:sz w:val="24"/>
          <w:szCs w:val="24"/>
        </w:rPr>
        <w:t xml:space="preserve">NSCG </w:t>
      </w:r>
      <w:r>
        <w:rPr>
          <w:rFonts w:ascii="Times New Roman" w:hAnsi="Times New Roman" w:cs="Times New Roman"/>
          <w:sz w:val="24"/>
          <w:szCs w:val="24"/>
        </w:rPr>
        <w:t xml:space="preserve">experiment further </w:t>
      </w:r>
      <w:r w:rsidR="005871EE">
        <w:rPr>
          <w:rFonts w:ascii="Times New Roman" w:hAnsi="Times New Roman" w:cs="Times New Roman"/>
          <w:sz w:val="24"/>
          <w:szCs w:val="24"/>
        </w:rPr>
        <w:t xml:space="preserve">found </w:t>
      </w:r>
      <w:r>
        <w:rPr>
          <w:rFonts w:ascii="Times New Roman" w:hAnsi="Times New Roman" w:cs="Times New Roman"/>
          <w:sz w:val="24"/>
          <w:szCs w:val="24"/>
        </w:rPr>
        <w:t xml:space="preserve">that the $30 debit card (provided to “highly influential” sample members as described </w:t>
      </w:r>
      <w:r w:rsidR="00A84749">
        <w:rPr>
          <w:rFonts w:ascii="Times New Roman" w:hAnsi="Times New Roman" w:cs="Times New Roman"/>
          <w:sz w:val="24"/>
          <w:szCs w:val="24"/>
        </w:rPr>
        <w:t>previously</w:t>
      </w:r>
      <w:r>
        <w:rPr>
          <w:rFonts w:ascii="Times New Roman" w:hAnsi="Times New Roman" w:cs="Times New Roman"/>
          <w:sz w:val="24"/>
          <w:szCs w:val="24"/>
        </w:rPr>
        <w:t xml:space="preserve">) </w:t>
      </w:r>
      <w:r w:rsidR="00594511">
        <w:rPr>
          <w:rFonts w:ascii="Times New Roman" w:hAnsi="Times New Roman" w:cs="Times New Roman"/>
          <w:sz w:val="24"/>
          <w:szCs w:val="24"/>
        </w:rPr>
        <w:t>led to an even greater increase in the response rate</w:t>
      </w:r>
      <w:r>
        <w:rPr>
          <w:rFonts w:ascii="Times New Roman" w:hAnsi="Times New Roman" w:cs="Times New Roman"/>
          <w:sz w:val="24"/>
          <w:szCs w:val="24"/>
        </w:rPr>
        <w:t xml:space="preserve"> </w:t>
      </w:r>
      <w:r w:rsidR="00594511">
        <w:rPr>
          <w:rFonts w:ascii="Times New Roman" w:hAnsi="Times New Roman" w:cs="Times New Roman"/>
          <w:sz w:val="24"/>
          <w:szCs w:val="24"/>
        </w:rPr>
        <w:t>(</w:t>
      </w:r>
      <w:r>
        <w:rPr>
          <w:rFonts w:ascii="Times New Roman" w:hAnsi="Times New Roman" w:cs="Times New Roman"/>
          <w:sz w:val="24"/>
          <w:szCs w:val="24"/>
        </w:rPr>
        <w:t>relative to no incentive</w:t>
      </w:r>
      <w:r w:rsidR="00594511">
        <w:rPr>
          <w:rFonts w:ascii="Times New Roman" w:hAnsi="Times New Roman" w:cs="Times New Roman"/>
          <w:sz w:val="24"/>
          <w:szCs w:val="24"/>
        </w:rPr>
        <w:t>)</w:t>
      </w:r>
      <w:r>
        <w:rPr>
          <w:rFonts w:ascii="Times New Roman" w:hAnsi="Times New Roman" w:cs="Times New Roman"/>
          <w:sz w:val="24"/>
          <w:szCs w:val="24"/>
        </w:rPr>
        <w:t xml:space="preserve"> </w:t>
      </w:r>
      <w:r w:rsidR="00CA0A62">
        <w:rPr>
          <w:rFonts w:ascii="Times New Roman" w:hAnsi="Times New Roman" w:cs="Times New Roman"/>
          <w:sz w:val="24"/>
          <w:szCs w:val="24"/>
        </w:rPr>
        <w:t xml:space="preserve">when provided with the </w:t>
      </w:r>
      <w:r w:rsidR="009B40DC">
        <w:rPr>
          <w:rFonts w:ascii="Times New Roman" w:hAnsi="Times New Roman" w:cs="Times New Roman"/>
          <w:sz w:val="24"/>
          <w:szCs w:val="24"/>
        </w:rPr>
        <w:t>first</w:t>
      </w:r>
      <w:r w:rsidR="00CA0A62">
        <w:rPr>
          <w:rFonts w:ascii="Times New Roman" w:hAnsi="Times New Roman" w:cs="Times New Roman"/>
          <w:sz w:val="24"/>
          <w:szCs w:val="24"/>
        </w:rPr>
        <w:t xml:space="preserve"> mailing rather than </w:t>
      </w:r>
      <w:r w:rsidR="0044348B">
        <w:rPr>
          <w:rFonts w:ascii="Times New Roman" w:hAnsi="Times New Roman" w:cs="Times New Roman"/>
          <w:sz w:val="24"/>
          <w:szCs w:val="24"/>
        </w:rPr>
        <w:t xml:space="preserve">(as in the 2010 experiment) late in </w:t>
      </w:r>
      <w:r w:rsidR="00CA0A62">
        <w:rPr>
          <w:rFonts w:ascii="Times New Roman" w:hAnsi="Times New Roman" w:cs="Times New Roman"/>
          <w:sz w:val="24"/>
          <w:szCs w:val="24"/>
        </w:rPr>
        <w:t>data collection</w:t>
      </w:r>
      <w:r>
        <w:rPr>
          <w:rFonts w:ascii="Times New Roman" w:hAnsi="Times New Roman" w:cs="Times New Roman"/>
          <w:sz w:val="24"/>
          <w:szCs w:val="24"/>
        </w:rPr>
        <w:t>.</w:t>
      </w:r>
    </w:p>
    <w:p w:rsidR="00EB3513" w:rsidP="00EB3513" w:rsidRDefault="00EB3513" w14:paraId="3A7E1CB2" w14:textId="41BF2E72">
      <w:pPr>
        <w:rPr>
          <w:rFonts w:ascii="Times New Roman" w:hAnsi="Times New Roman" w:cs="Times New Roman"/>
          <w:sz w:val="24"/>
          <w:szCs w:val="24"/>
        </w:rPr>
      </w:pPr>
      <w:r>
        <w:rPr>
          <w:rFonts w:ascii="Times New Roman" w:hAnsi="Times New Roman" w:cs="Times New Roman"/>
          <w:sz w:val="24"/>
          <w:szCs w:val="24"/>
        </w:rPr>
        <w:t xml:space="preserve">Both the NHES and NSCG have also experimented with the timing of noncontingent monetary incentives, a topic that is less extensively covered in extant literature. An experiment in the 2011 NHES field test (prior to the incorporation of the ATES topical module) found that the second-phase </w:t>
      </w:r>
      <w:r w:rsidR="00D53BA8">
        <w:rPr>
          <w:rFonts w:ascii="Times New Roman" w:hAnsi="Times New Roman" w:cs="Times New Roman"/>
          <w:sz w:val="24"/>
          <w:szCs w:val="24"/>
        </w:rPr>
        <w:t xml:space="preserve">response rate was about 10 percentage points higher when the noncontingent incentive was </w:t>
      </w:r>
      <w:r>
        <w:rPr>
          <w:rFonts w:ascii="Times New Roman" w:hAnsi="Times New Roman" w:cs="Times New Roman"/>
          <w:sz w:val="24"/>
          <w:szCs w:val="24"/>
        </w:rPr>
        <w:t>sent with the initial second-phase mailing than when</w:t>
      </w:r>
      <w:r w:rsidR="00D53BA8">
        <w:rPr>
          <w:rFonts w:ascii="Times New Roman" w:hAnsi="Times New Roman" w:cs="Times New Roman"/>
          <w:sz w:val="24"/>
          <w:szCs w:val="24"/>
        </w:rPr>
        <w:t xml:space="preserve"> it was</w:t>
      </w:r>
      <w:r>
        <w:rPr>
          <w:rFonts w:ascii="Times New Roman" w:hAnsi="Times New Roman" w:cs="Times New Roman"/>
          <w:sz w:val="24"/>
          <w:szCs w:val="24"/>
        </w:rPr>
        <w:t xml:space="preserve"> sent with a nonresponse follow-up </w:t>
      </w:r>
      <w:r w:rsidRPr="002C0ED2">
        <w:rPr>
          <w:rFonts w:ascii="Times New Roman" w:hAnsi="Times New Roman" w:cs="Times New Roman"/>
          <w:sz w:val="24"/>
          <w:szCs w:val="24"/>
        </w:rPr>
        <w:t>mailing (</w:t>
      </w:r>
      <w:r w:rsidRPr="00B93559">
        <w:rPr>
          <w:rFonts w:ascii="Times New Roman" w:hAnsi="Times New Roman" w:cs="Times New Roman"/>
          <w:sz w:val="24"/>
          <w:szCs w:val="24"/>
        </w:rPr>
        <w:t>McPhee &amp; Hastedt 2012</w:t>
      </w:r>
      <w:r w:rsidRPr="002C0ED2">
        <w:rPr>
          <w:rFonts w:ascii="Times New Roman" w:hAnsi="Times New Roman" w:cs="Times New Roman"/>
          <w:sz w:val="24"/>
          <w:szCs w:val="24"/>
        </w:rPr>
        <w:t>). The 2013</w:t>
      </w:r>
      <w:r>
        <w:rPr>
          <w:rFonts w:ascii="Times New Roman" w:hAnsi="Times New Roman" w:cs="Times New Roman"/>
          <w:sz w:val="24"/>
          <w:szCs w:val="24"/>
        </w:rPr>
        <w:t xml:space="preserve"> NSCG experiment found that, relative both to sending no incentive and to sending </w:t>
      </w:r>
      <w:r w:rsidR="00FC2F82">
        <w:rPr>
          <w:rFonts w:ascii="Times New Roman" w:hAnsi="Times New Roman" w:cs="Times New Roman"/>
          <w:sz w:val="24"/>
          <w:szCs w:val="24"/>
        </w:rPr>
        <w:t>a $30</w:t>
      </w:r>
      <w:r>
        <w:rPr>
          <w:rFonts w:ascii="Times New Roman" w:hAnsi="Times New Roman" w:cs="Times New Roman"/>
          <w:sz w:val="24"/>
          <w:szCs w:val="24"/>
        </w:rPr>
        <w:t xml:space="preserve"> incentive later in data collection, the $30 incentive for highly influential sample members led to the highest response rate when it was included with the first mailing. Furthermore, sending the incentive with the first mailing reduced data collection costs per case (relative to both the no-incentive control group and </w:t>
      </w:r>
      <w:r w:rsidR="00FF0E80">
        <w:rPr>
          <w:rFonts w:ascii="Times New Roman" w:hAnsi="Times New Roman" w:cs="Times New Roman"/>
          <w:sz w:val="24"/>
          <w:szCs w:val="24"/>
        </w:rPr>
        <w:t xml:space="preserve">most of </w:t>
      </w:r>
      <w:r>
        <w:rPr>
          <w:rFonts w:ascii="Times New Roman" w:hAnsi="Times New Roman" w:cs="Times New Roman"/>
          <w:sz w:val="24"/>
          <w:szCs w:val="24"/>
        </w:rPr>
        <w:t xml:space="preserve">the treatments that sent the incentive later in data collection) because the higher response rate to the first mailing reduced nonresponse follow-up effort. </w:t>
      </w:r>
    </w:p>
    <w:p w:rsidR="00EB3513" w:rsidP="00EB3513" w:rsidRDefault="00EB3513" w14:paraId="131FBAAC" w14:textId="6DE8E7BF">
      <w:pPr>
        <w:rPr>
          <w:rFonts w:ascii="Times New Roman" w:hAnsi="Times New Roman" w:cs="Times New Roman"/>
          <w:sz w:val="24"/>
          <w:szCs w:val="24"/>
        </w:rPr>
      </w:pPr>
      <w:r>
        <w:rPr>
          <w:rFonts w:ascii="Times New Roman" w:hAnsi="Times New Roman" w:cs="Times New Roman"/>
          <w:sz w:val="24"/>
          <w:szCs w:val="24"/>
        </w:rPr>
        <w:t>Importantly, neither the NSCG (which uses debit card incentives, the same format planned for the NTEWS) nor the NHES (which uses cash) have directly tested the relative effects of debit card vs. cash incentives on the response rate. In general, experimental testing specifically of debit card incentives is rare:</w:t>
      </w:r>
      <w:r w:rsidRPr="00CD7EF5">
        <w:rPr>
          <w:rFonts w:ascii="Times New Roman" w:hAnsi="Times New Roman" w:cs="Times New Roman"/>
          <w:sz w:val="24"/>
          <w:szCs w:val="24"/>
        </w:rPr>
        <w:t xml:space="preserve"> </w:t>
      </w:r>
      <w:r w:rsidRPr="005B69AE">
        <w:rPr>
          <w:rFonts w:ascii="Times New Roman" w:hAnsi="Times New Roman" w:cs="Times New Roman"/>
          <w:sz w:val="24"/>
          <w:szCs w:val="24"/>
        </w:rPr>
        <w:t>in their meta-analysis, Mercer et al. (2015) located only two experimental conditions that used a debit card, compared to 118 that used cash</w:t>
      </w:r>
      <w:r>
        <w:rPr>
          <w:rFonts w:ascii="Times New Roman" w:hAnsi="Times New Roman" w:cs="Times New Roman"/>
          <w:sz w:val="24"/>
          <w:szCs w:val="24"/>
        </w:rPr>
        <w:t xml:space="preserve">, so it was not possible to compare effect sizes between the alternative formats. </w:t>
      </w:r>
    </w:p>
    <w:p w:rsidR="00EB3513" w:rsidP="00EB3513" w:rsidRDefault="00EB3513" w14:paraId="43492270" w14:textId="40C867BA">
      <w:pPr>
        <w:rPr>
          <w:rFonts w:ascii="Times New Roman" w:hAnsi="Times New Roman" w:cs="Times New Roman"/>
          <w:sz w:val="24"/>
          <w:szCs w:val="24"/>
        </w:rPr>
      </w:pPr>
      <w:r>
        <w:rPr>
          <w:rFonts w:ascii="Times New Roman" w:hAnsi="Times New Roman" w:cs="Times New Roman"/>
          <w:sz w:val="24"/>
          <w:szCs w:val="24"/>
        </w:rPr>
        <w:t>To NCSES’s knowledge, o</w:t>
      </w:r>
      <w:r w:rsidRPr="00835AF8">
        <w:rPr>
          <w:rFonts w:ascii="Times New Roman" w:hAnsi="Times New Roman" w:cs="Times New Roman"/>
          <w:sz w:val="24"/>
          <w:szCs w:val="24"/>
        </w:rPr>
        <w:t xml:space="preserve">nly one prior study (Bailey, Lavrakas, </w:t>
      </w:r>
      <w:r>
        <w:rPr>
          <w:rFonts w:ascii="Times New Roman" w:hAnsi="Times New Roman" w:cs="Times New Roman"/>
          <w:sz w:val="24"/>
          <w:szCs w:val="24"/>
        </w:rPr>
        <w:t>&amp;</w:t>
      </w:r>
      <w:r w:rsidRPr="00835AF8">
        <w:rPr>
          <w:rFonts w:ascii="Times New Roman" w:hAnsi="Times New Roman" w:cs="Times New Roman"/>
          <w:sz w:val="24"/>
          <w:szCs w:val="24"/>
        </w:rPr>
        <w:t xml:space="preserve"> Bennett 2007) has directly compared cash and debit card incentives</w:t>
      </w:r>
      <w:r>
        <w:rPr>
          <w:rFonts w:ascii="Times New Roman" w:hAnsi="Times New Roman" w:cs="Times New Roman"/>
          <w:sz w:val="24"/>
          <w:szCs w:val="24"/>
        </w:rPr>
        <w:t xml:space="preserve"> in a randomized, controlled design</w:t>
      </w:r>
      <w:r w:rsidRPr="00835AF8">
        <w:rPr>
          <w:rFonts w:ascii="Times New Roman" w:hAnsi="Times New Roman" w:cs="Times New Roman"/>
          <w:sz w:val="24"/>
          <w:szCs w:val="24"/>
        </w:rPr>
        <w:t>.</w:t>
      </w:r>
      <w:r>
        <w:rPr>
          <w:rFonts w:ascii="Times New Roman" w:hAnsi="Times New Roman" w:cs="Times New Roman"/>
          <w:sz w:val="24"/>
          <w:szCs w:val="24"/>
        </w:rPr>
        <w:t xml:space="preserve"> </w:t>
      </w:r>
      <w:r w:rsidR="00E231B8">
        <w:rPr>
          <w:rFonts w:ascii="Times New Roman" w:hAnsi="Times New Roman" w:cs="Times New Roman"/>
          <w:sz w:val="24"/>
          <w:szCs w:val="24"/>
        </w:rPr>
        <w:t>The results of that study</w:t>
      </w:r>
      <w:r>
        <w:rPr>
          <w:rFonts w:ascii="Times New Roman" w:hAnsi="Times New Roman" w:cs="Times New Roman"/>
          <w:sz w:val="24"/>
          <w:szCs w:val="24"/>
        </w:rPr>
        <w:t xml:space="preserve"> suggest that, </w:t>
      </w:r>
      <w:r w:rsidRPr="00605B8D">
        <w:rPr>
          <w:rFonts w:ascii="Times New Roman" w:hAnsi="Times New Roman" w:cs="Times New Roman"/>
          <w:i/>
          <w:iCs/>
          <w:sz w:val="24"/>
          <w:szCs w:val="24"/>
        </w:rPr>
        <w:t>for a given dollar amount, the effects of cash and debit cards are not equivalent</w:t>
      </w:r>
      <w:r>
        <w:rPr>
          <w:rFonts w:ascii="Times New Roman" w:hAnsi="Times New Roman" w:cs="Times New Roman"/>
          <w:sz w:val="24"/>
          <w:szCs w:val="24"/>
        </w:rPr>
        <w:t xml:space="preserve">. Relative to a $5 cash control, a $5 debit card consistently obtained lower response rates; while a $10 debit card obtained either lower or comparable response rates to the $5 cash control, depending on the subgroup being evaluated (the experiment did not include a $10 cash control). Therefore, the relationship between the “face value” of the incentive and the response rate is unlikely to be the same for the two formats; and, in particular, the face value at which diminishing returns set in </w:t>
      </w:r>
      <w:r w:rsidR="00484252">
        <w:rPr>
          <w:rFonts w:ascii="Times New Roman" w:hAnsi="Times New Roman" w:cs="Times New Roman"/>
          <w:sz w:val="24"/>
          <w:szCs w:val="24"/>
        </w:rPr>
        <w:t>could</w:t>
      </w:r>
      <w:r>
        <w:rPr>
          <w:rFonts w:ascii="Times New Roman" w:hAnsi="Times New Roman" w:cs="Times New Roman"/>
          <w:sz w:val="24"/>
          <w:szCs w:val="24"/>
        </w:rPr>
        <w:t xml:space="preserve"> be higher with debit cards than with cash. The results of the NHES and NSCG experimentation, though not directly comparable due to the surveys’ different designs, are consistent with this hypothesis. </w:t>
      </w:r>
    </w:p>
    <w:p w:rsidRPr="00957D11" w:rsidR="00EB3513" w:rsidP="00EB3513" w:rsidRDefault="00EB3513" w14:paraId="67BB073D" w14:textId="77777777">
      <w:pPr>
        <w:rPr>
          <w:rFonts w:ascii="Times New Roman" w:hAnsi="Times New Roman" w:cs="Times New Roman"/>
          <w:i/>
          <w:iCs/>
          <w:sz w:val="24"/>
          <w:szCs w:val="24"/>
        </w:rPr>
      </w:pPr>
      <w:r>
        <w:rPr>
          <w:rFonts w:ascii="Times New Roman" w:hAnsi="Times New Roman" w:cs="Times New Roman"/>
          <w:i/>
          <w:iCs/>
          <w:sz w:val="24"/>
          <w:szCs w:val="24"/>
        </w:rPr>
        <w:t>3.3. Prior findings on effects of incentives on nonresponse bias</w:t>
      </w:r>
    </w:p>
    <w:p w:rsidR="00EB3513" w:rsidP="00EB3513" w:rsidRDefault="007D03C7" w14:paraId="0D11A63A" w14:textId="77849BEC">
      <w:pPr>
        <w:rPr>
          <w:rFonts w:ascii="Times New Roman" w:hAnsi="Times New Roman" w:cs="Times New Roman"/>
          <w:sz w:val="24"/>
          <w:szCs w:val="24"/>
        </w:rPr>
      </w:pPr>
      <w:r>
        <w:rPr>
          <w:rFonts w:ascii="Times New Roman" w:hAnsi="Times New Roman" w:cs="Times New Roman"/>
          <w:sz w:val="24"/>
          <w:szCs w:val="24"/>
        </w:rPr>
        <w:lastRenderedPageBreak/>
        <w:t>As previously mentioned, n</w:t>
      </w:r>
      <w:r w:rsidR="00EB3513">
        <w:rPr>
          <w:rFonts w:ascii="Times New Roman" w:hAnsi="Times New Roman" w:cs="Times New Roman"/>
          <w:sz w:val="24"/>
          <w:szCs w:val="24"/>
        </w:rPr>
        <w:t xml:space="preserve">onresponse bias occurs when the composition of the </w:t>
      </w:r>
      <w:r w:rsidR="00EB3513">
        <w:rPr>
          <w:rFonts w:ascii="Times New Roman" w:hAnsi="Times New Roman" w:cs="Times New Roman"/>
          <w:i/>
          <w:iCs/>
          <w:sz w:val="24"/>
          <w:szCs w:val="24"/>
        </w:rPr>
        <w:t xml:space="preserve">responding </w:t>
      </w:r>
      <w:r w:rsidR="00EB3513">
        <w:rPr>
          <w:rFonts w:ascii="Times New Roman" w:hAnsi="Times New Roman" w:cs="Times New Roman"/>
          <w:sz w:val="24"/>
          <w:szCs w:val="24"/>
        </w:rPr>
        <w:t xml:space="preserve">sample differs from that of the </w:t>
      </w:r>
      <w:r w:rsidRPr="00085779" w:rsidR="00061530">
        <w:rPr>
          <w:rFonts w:ascii="Times New Roman" w:hAnsi="Times New Roman" w:cs="Times New Roman"/>
          <w:i/>
          <w:iCs/>
          <w:sz w:val="24"/>
          <w:szCs w:val="24"/>
        </w:rPr>
        <w:t>target population</w:t>
      </w:r>
      <w:r w:rsidR="00EB3513">
        <w:rPr>
          <w:rFonts w:ascii="Times New Roman" w:hAnsi="Times New Roman" w:cs="Times New Roman"/>
          <w:sz w:val="24"/>
          <w:szCs w:val="24"/>
        </w:rPr>
        <w:t xml:space="preserve"> as a result of systematic variation in response rates between subgroups of the sample. Thus, a given incentive structure may affect nonresponse bias to the extent that it changes the composition of the responding sample; or, equivalently, to the extent that its effects on the response rate vary across subgroups. This can be true even when (as will be the case with the NTEWS) an attempt is made to compensate for nonresponse through post-collection weighting adjustments. Simulation research (</w:t>
      </w:r>
      <w:r w:rsidRPr="002C0ED2" w:rsidR="00CE3A6F">
        <w:rPr>
          <w:rFonts w:ascii="Times New Roman" w:hAnsi="Times New Roman" w:cs="Times New Roman"/>
          <w:sz w:val="24"/>
          <w:szCs w:val="24"/>
        </w:rPr>
        <w:t>Sarndal &amp; Lundquist</w:t>
      </w:r>
      <w:r w:rsidRPr="00B93559" w:rsidR="00EB3513">
        <w:rPr>
          <w:rFonts w:ascii="Times New Roman" w:hAnsi="Times New Roman" w:cs="Times New Roman"/>
          <w:sz w:val="24"/>
          <w:szCs w:val="24"/>
        </w:rPr>
        <w:t xml:space="preserve"> 2014</w:t>
      </w:r>
      <w:r w:rsidRPr="002C0ED2" w:rsidR="00EB3513">
        <w:rPr>
          <w:rFonts w:ascii="Times New Roman" w:hAnsi="Times New Roman" w:cs="Times New Roman"/>
          <w:sz w:val="24"/>
          <w:szCs w:val="24"/>
        </w:rPr>
        <w:t>) suggests that</w:t>
      </w:r>
      <w:r w:rsidR="00EB3513">
        <w:rPr>
          <w:rFonts w:ascii="Times New Roman" w:hAnsi="Times New Roman" w:cs="Times New Roman"/>
          <w:sz w:val="24"/>
          <w:szCs w:val="24"/>
        </w:rPr>
        <w:t xml:space="preserve"> post-collection weighting adjustments cannot fully compensate for nonresponse bias. In other words, an incentive structure </w:t>
      </w:r>
      <w:r w:rsidR="007E3DC9">
        <w:rPr>
          <w:rFonts w:ascii="Times New Roman" w:hAnsi="Times New Roman" w:cs="Times New Roman"/>
          <w:sz w:val="24"/>
          <w:szCs w:val="24"/>
        </w:rPr>
        <w:t xml:space="preserve">that </w:t>
      </w:r>
      <w:r w:rsidR="00EB3513">
        <w:rPr>
          <w:rFonts w:ascii="Times New Roman" w:hAnsi="Times New Roman" w:cs="Times New Roman"/>
          <w:sz w:val="24"/>
          <w:szCs w:val="24"/>
        </w:rPr>
        <w:t xml:space="preserve">helps to achieve a pool of respondents that more closely resembles the initial sample </w:t>
      </w:r>
      <w:r w:rsidR="00EB3513">
        <w:rPr>
          <w:rFonts w:ascii="Times New Roman" w:hAnsi="Times New Roman" w:cs="Times New Roman"/>
          <w:i/>
          <w:iCs/>
          <w:sz w:val="24"/>
          <w:szCs w:val="24"/>
        </w:rPr>
        <w:t>prior</w:t>
      </w:r>
      <w:r w:rsidR="00EB3513">
        <w:rPr>
          <w:rFonts w:ascii="Times New Roman" w:hAnsi="Times New Roman" w:cs="Times New Roman"/>
          <w:sz w:val="24"/>
          <w:szCs w:val="24"/>
        </w:rPr>
        <w:t xml:space="preserve"> to adjustment can help to reduce the amount of bias that remains </w:t>
      </w:r>
      <w:r w:rsidR="00EB3513">
        <w:rPr>
          <w:rFonts w:ascii="Times New Roman" w:hAnsi="Times New Roman" w:cs="Times New Roman"/>
          <w:i/>
          <w:iCs/>
          <w:sz w:val="24"/>
          <w:szCs w:val="24"/>
        </w:rPr>
        <w:t>after</w:t>
      </w:r>
      <w:r w:rsidR="00EB3513">
        <w:rPr>
          <w:rFonts w:ascii="Times New Roman" w:hAnsi="Times New Roman" w:cs="Times New Roman"/>
          <w:sz w:val="24"/>
          <w:szCs w:val="24"/>
        </w:rPr>
        <w:t xml:space="preserve"> adjustment.</w:t>
      </w:r>
    </w:p>
    <w:p w:rsidR="00EB3513" w:rsidP="00EB3513" w:rsidRDefault="00EB3513" w14:paraId="7922A43B" w14:textId="77777777">
      <w:pPr>
        <w:rPr>
          <w:rFonts w:ascii="Times New Roman" w:hAnsi="Times New Roman" w:cs="Times New Roman"/>
          <w:sz w:val="24"/>
          <w:szCs w:val="24"/>
        </w:rPr>
      </w:pPr>
      <w:r>
        <w:rPr>
          <w:rFonts w:ascii="Times New Roman" w:hAnsi="Times New Roman" w:cs="Times New Roman"/>
          <w:sz w:val="24"/>
          <w:szCs w:val="24"/>
        </w:rPr>
        <w:t xml:space="preserve">In discussing the potential effects of incentives on nonresponse bias, it is useful to distinguish between </w:t>
      </w:r>
      <w:r>
        <w:rPr>
          <w:rFonts w:ascii="Times New Roman" w:hAnsi="Times New Roman" w:cs="Times New Roman"/>
          <w:i/>
          <w:iCs/>
          <w:sz w:val="24"/>
          <w:szCs w:val="24"/>
        </w:rPr>
        <w:t xml:space="preserve">uniform </w:t>
      </w:r>
      <w:r>
        <w:rPr>
          <w:rFonts w:ascii="Times New Roman" w:hAnsi="Times New Roman" w:cs="Times New Roman"/>
          <w:sz w:val="24"/>
          <w:szCs w:val="24"/>
        </w:rPr>
        <w:t xml:space="preserve">incentive structures, in which all sample members receive the same incentive; and </w:t>
      </w:r>
      <w:r>
        <w:rPr>
          <w:rFonts w:ascii="Times New Roman" w:hAnsi="Times New Roman" w:cs="Times New Roman"/>
          <w:i/>
          <w:iCs/>
          <w:sz w:val="24"/>
          <w:szCs w:val="24"/>
        </w:rPr>
        <w:t>tailored</w:t>
      </w:r>
      <w:r>
        <w:rPr>
          <w:rFonts w:ascii="Times New Roman" w:hAnsi="Times New Roman" w:cs="Times New Roman"/>
          <w:sz w:val="24"/>
          <w:szCs w:val="24"/>
        </w:rPr>
        <w:t xml:space="preserve"> incentive structures, in which the use and/or value of the incentive is purposefully varied between observable subgroups.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EB3513" w:rsidP="00EB3513" w:rsidRDefault="00EB3513" w14:paraId="41036F3C" w14:textId="58D435DE">
      <w:pPr>
        <w:rPr>
          <w:rFonts w:ascii="Times New Roman" w:hAnsi="Times New Roman" w:cs="Times New Roman"/>
          <w:sz w:val="24"/>
          <w:szCs w:val="24"/>
        </w:rPr>
      </w:pPr>
      <w:r>
        <w:rPr>
          <w:rFonts w:ascii="Times New Roman" w:hAnsi="Times New Roman" w:cs="Times New Roman"/>
          <w:sz w:val="24"/>
          <w:szCs w:val="24"/>
        </w:rPr>
        <w:t xml:space="preserve">The impact of a </w:t>
      </w:r>
      <w:r w:rsidRPr="00335EC5">
        <w:rPr>
          <w:rFonts w:ascii="Times New Roman" w:hAnsi="Times New Roman" w:cs="Times New Roman"/>
          <w:i/>
          <w:iCs/>
          <w:sz w:val="24"/>
          <w:szCs w:val="24"/>
        </w:rPr>
        <w:t>uniform</w:t>
      </w:r>
      <w:r>
        <w:rPr>
          <w:rFonts w:ascii="Times New Roman" w:hAnsi="Times New Roman" w:cs="Times New Roman"/>
          <w:sz w:val="24"/>
          <w:szCs w:val="24"/>
        </w:rPr>
        <w:t xml:space="preserve"> incentive structure on nonresponse bias depends on differences in “incentive sensitivity” between subgroups. Suppose a sample can be divided into two subgroups: an “underrepresented” subgroup with lower-than-average response rates in the absence of an incentive, and an “overrepresented” subgroup with higher-than-average response rates. The introduction of a uniform incentive would mitigate nonresponse bias if the underrepresented subgroup were more sensitive to the incentive; that is, if the incentive increased the response rate from that group </w:t>
      </w:r>
      <w:r>
        <w:rPr>
          <w:rFonts w:ascii="Times New Roman" w:hAnsi="Times New Roman" w:cs="Times New Roman"/>
          <w:i/>
          <w:iCs/>
          <w:sz w:val="24"/>
          <w:szCs w:val="24"/>
        </w:rPr>
        <w:t>more</w:t>
      </w:r>
      <w:r>
        <w:rPr>
          <w:rFonts w:ascii="Times New Roman" w:hAnsi="Times New Roman" w:cs="Times New Roman"/>
          <w:sz w:val="24"/>
          <w:szCs w:val="24"/>
        </w:rPr>
        <w:t xml:space="preserve"> </w:t>
      </w:r>
      <w:r w:rsidRPr="00EC0E6E">
        <w:rPr>
          <w:rFonts w:ascii="Times New Roman" w:hAnsi="Times New Roman" w:cs="Times New Roman"/>
          <w:i/>
          <w:iCs/>
          <w:sz w:val="24"/>
          <w:szCs w:val="24"/>
        </w:rPr>
        <w:t>than</w:t>
      </w:r>
      <w:r>
        <w:rPr>
          <w:rFonts w:ascii="Times New Roman" w:hAnsi="Times New Roman" w:cs="Times New Roman"/>
          <w:sz w:val="24"/>
          <w:szCs w:val="24"/>
        </w:rPr>
        <w:t xml:space="preserve"> it increased the response rate from the overrepresented subgroup. However, if the reverse were true, the incentive would exacerbate nonresponse bias. Finally, if the response rate increase were largely uniform across subgroups, the incentive might have no impact on nonresponse bias. Consistent with this theoretical ambiguity, Singer and Ye (2013) identify examples of all three results in the empirical literature.</w:t>
      </w:r>
    </w:p>
    <w:p w:rsidR="00EB3513" w:rsidP="00EB3513" w:rsidRDefault="00EB3513" w14:paraId="3BCF17C1" w14:textId="54D4E3E0">
      <w:pPr>
        <w:rPr>
          <w:rFonts w:ascii="Times New Roman" w:hAnsi="Times New Roman" w:cs="Times New Roman"/>
          <w:sz w:val="24"/>
          <w:szCs w:val="24"/>
        </w:rPr>
      </w:pPr>
      <w:r>
        <w:rPr>
          <w:rFonts w:ascii="Times New Roman" w:hAnsi="Times New Roman" w:cs="Times New Roman"/>
          <w:sz w:val="24"/>
          <w:szCs w:val="24"/>
        </w:rPr>
        <w:t xml:space="preserve">In contrast, a </w:t>
      </w:r>
      <w:r>
        <w:rPr>
          <w:rFonts w:ascii="Times New Roman" w:hAnsi="Times New Roman" w:cs="Times New Roman"/>
          <w:i/>
          <w:iCs/>
          <w:sz w:val="24"/>
          <w:szCs w:val="24"/>
        </w:rPr>
        <w:t>tailored</w:t>
      </w:r>
      <w:r>
        <w:rPr>
          <w:rFonts w:ascii="Times New Roman" w:hAnsi="Times New Roman" w:cs="Times New Roman"/>
          <w:sz w:val="24"/>
          <w:szCs w:val="24"/>
        </w:rPr>
        <w:t xml:space="preserve"> incentive structure is, </w:t>
      </w:r>
      <w:r>
        <w:rPr>
          <w:rFonts w:ascii="Times New Roman" w:hAnsi="Times New Roman" w:cs="Times New Roman"/>
          <w:i/>
          <w:iCs/>
          <w:sz w:val="24"/>
          <w:szCs w:val="24"/>
        </w:rPr>
        <w:t>a priori</w:t>
      </w:r>
      <w:r>
        <w:rPr>
          <w:rFonts w:ascii="Times New Roman" w:hAnsi="Times New Roman" w:cs="Times New Roman"/>
          <w:sz w:val="24"/>
          <w:szCs w:val="24"/>
        </w:rPr>
        <w:t xml:space="preserve">, more likely to reduce bias because it gives the researcher some control over which subgroups receive the incentive and the resulting response rate increase. Continuing the above example, if the incentive were provided only to the underrepresented subgroup, this incentive structure would reduce bias </w:t>
      </w:r>
      <w:r w:rsidR="00780D7E">
        <w:rPr>
          <w:rFonts w:ascii="Times New Roman" w:hAnsi="Times New Roman" w:cs="Times New Roman"/>
          <w:sz w:val="24"/>
          <w:szCs w:val="24"/>
        </w:rPr>
        <w:t>to the extent that</w:t>
      </w:r>
      <w:r>
        <w:rPr>
          <w:rFonts w:ascii="Times New Roman" w:hAnsi="Times New Roman" w:cs="Times New Roman"/>
          <w:sz w:val="24"/>
          <w:szCs w:val="24"/>
        </w:rPr>
        <w:t xml:space="preserve"> this subgroup was sensitive to the incentive. This would be true even if the hypothetical effect of the incentive </w:t>
      </w:r>
      <w:r w:rsidR="0052775E">
        <w:rPr>
          <w:rFonts w:ascii="Times New Roman" w:hAnsi="Times New Roman" w:cs="Times New Roman"/>
          <w:sz w:val="24"/>
          <w:szCs w:val="24"/>
        </w:rPr>
        <w:t>was</w:t>
      </w:r>
      <w:r>
        <w:rPr>
          <w:rFonts w:ascii="Times New Roman" w:hAnsi="Times New Roman" w:cs="Times New Roman"/>
          <w:sz w:val="24"/>
          <w:szCs w:val="24"/>
        </w:rPr>
        <w:t xml:space="preserve"> the same or larger in the overrepresented subgroup, since this subgroup would not be incentivized in the tailored design. </w:t>
      </w:r>
    </w:p>
    <w:p w:rsidR="00EB3513" w:rsidP="00EB3513" w:rsidRDefault="00341656" w14:paraId="12CF217B" w14:textId="63402A1A">
      <w:pPr>
        <w:rPr>
          <w:rFonts w:ascii="Times New Roman" w:hAnsi="Times New Roman" w:cs="Times New Roman"/>
          <w:sz w:val="24"/>
          <w:szCs w:val="24"/>
        </w:rPr>
      </w:pPr>
      <w:r>
        <w:rPr>
          <w:rFonts w:ascii="Times New Roman" w:hAnsi="Times New Roman" w:cs="Times New Roman"/>
          <w:sz w:val="24"/>
          <w:szCs w:val="24"/>
        </w:rPr>
        <w:t>NHES experiments have generally found</w:t>
      </w:r>
      <w:r w:rsidR="00B93C19">
        <w:rPr>
          <w:rFonts w:ascii="Times New Roman" w:hAnsi="Times New Roman" w:cs="Times New Roman"/>
          <w:sz w:val="24"/>
          <w:szCs w:val="24"/>
        </w:rPr>
        <w:t xml:space="preserve"> a reduction in bias </w:t>
      </w:r>
      <w:r w:rsidR="00B1668E">
        <w:rPr>
          <w:rFonts w:ascii="Times New Roman" w:hAnsi="Times New Roman" w:cs="Times New Roman"/>
          <w:sz w:val="24"/>
          <w:szCs w:val="24"/>
        </w:rPr>
        <w:t>when using</w:t>
      </w:r>
      <w:r w:rsidR="003667A6">
        <w:rPr>
          <w:rFonts w:ascii="Times New Roman" w:hAnsi="Times New Roman" w:cs="Times New Roman"/>
          <w:sz w:val="24"/>
          <w:szCs w:val="24"/>
        </w:rPr>
        <w:t xml:space="preserve"> </w:t>
      </w:r>
      <w:r w:rsidR="009F0E63">
        <w:rPr>
          <w:rFonts w:ascii="Times New Roman" w:hAnsi="Times New Roman" w:cs="Times New Roman"/>
          <w:sz w:val="24"/>
          <w:szCs w:val="24"/>
        </w:rPr>
        <w:t xml:space="preserve">both uniform and tailored incentive structures. </w:t>
      </w:r>
      <w:r w:rsidR="00EB3513">
        <w:rPr>
          <w:rFonts w:ascii="Times New Roman" w:hAnsi="Times New Roman" w:cs="Times New Roman"/>
          <w:sz w:val="24"/>
          <w:szCs w:val="24"/>
        </w:rPr>
        <w:t xml:space="preserve">As described above, the NHES uses a uniform incentive structure at the first (screener) phase and a tailored structure at the second (topical) phase. </w:t>
      </w:r>
      <w:r w:rsidRPr="002C0ED2" w:rsidR="003A4C59">
        <w:rPr>
          <w:rFonts w:ascii="Times New Roman" w:hAnsi="Times New Roman" w:cs="Times New Roman"/>
          <w:sz w:val="24"/>
          <w:szCs w:val="24"/>
        </w:rPr>
        <w:t xml:space="preserve">At the topical phase, the 2011 field test found that a uniform $5 incentive reduced nonresponse bias by improving the representation of low-socioeconomic-status subgroups (Han, Montaquila, &amp; Brick </w:t>
      </w:r>
      <w:r w:rsidRPr="002C0ED2" w:rsidR="003A4C59">
        <w:rPr>
          <w:rFonts w:ascii="Times New Roman" w:hAnsi="Times New Roman" w:cs="Times New Roman"/>
          <w:sz w:val="24"/>
          <w:szCs w:val="24"/>
        </w:rPr>
        <w:lastRenderedPageBreak/>
        <w:t>2013</w:t>
      </w:r>
      <w:r w:rsidR="003A4C59">
        <w:rPr>
          <w:rFonts w:ascii="Times New Roman" w:hAnsi="Times New Roman" w:cs="Times New Roman"/>
          <w:sz w:val="24"/>
          <w:szCs w:val="24"/>
        </w:rPr>
        <w:t>). The 2012 experiment</w:t>
      </w:r>
      <w:r w:rsidR="004565DD">
        <w:rPr>
          <w:rFonts w:ascii="Times New Roman" w:hAnsi="Times New Roman" w:cs="Times New Roman"/>
          <w:sz w:val="24"/>
          <w:szCs w:val="24"/>
        </w:rPr>
        <w:t xml:space="preserve"> then</w:t>
      </w:r>
      <w:r w:rsidR="003A4C59">
        <w:rPr>
          <w:rFonts w:ascii="Times New Roman" w:hAnsi="Times New Roman" w:cs="Times New Roman"/>
          <w:sz w:val="24"/>
          <w:szCs w:val="24"/>
        </w:rPr>
        <w:t xml:space="preserve"> </w:t>
      </w:r>
      <w:r w:rsidR="00F3724B">
        <w:rPr>
          <w:rFonts w:ascii="Times New Roman" w:hAnsi="Times New Roman" w:cs="Times New Roman"/>
          <w:sz w:val="24"/>
          <w:szCs w:val="24"/>
        </w:rPr>
        <w:t xml:space="preserve">tested a tailored structure in which a higher </w:t>
      </w:r>
      <w:r w:rsidR="00CB05FE">
        <w:rPr>
          <w:rFonts w:ascii="Times New Roman" w:hAnsi="Times New Roman" w:cs="Times New Roman"/>
          <w:sz w:val="24"/>
          <w:szCs w:val="24"/>
        </w:rPr>
        <w:t xml:space="preserve">($15) topical incentive </w:t>
      </w:r>
      <w:r w:rsidR="00F3724B">
        <w:rPr>
          <w:rFonts w:ascii="Times New Roman" w:hAnsi="Times New Roman" w:cs="Times New Roman"/>
          <w:sz w:val="24"/>
          <w:szCs w:val="24"/>
        </w:rPr>
        <w:t>was used for</w:t>
      </w:r>
      <w:r w:rsidR="00CB05FE">
        <w:rPr>
          <w:rFonts w:ascii="Times New Roman" w:hAnsi="Times New Roman" w:cs="Times New Roman"/>
          <w:sz w:val="24"/>
          <w:szCs w:val="24"/>
        </w:rPr>
        <w:t xml:space="preserve"> </w:t>
      </w:r>
      <w:r w:rsidR="003A4C59">
        <w:rPr>
          <w:rFonts w:ascii="Times New Roman" w:hAnsi="Times New Roman" w:cs="Times New Roman"/>
          <w:sz w:val="24"/>
          <w:szCs w:val="24"/>
        </w:rPr>
        <w:t xml:space="preserve">late screener respondents </w:t>
      </w:r>
      <w:r w:rsidR="00F3724B">
        <w:rPr>
          <w:rFonts w:ascii="Times New Roman" w:hAnsi="Times New Roman" w:cs="Times New Roman"/>
          <w:sz w:val="24"/>
          <w:szCs w:val="24"/>
        </w:rPr>
        <w:t>(hypothesized to consist of harder-to-reach households) while $5 was used for early screener respondents (i.e., easier-to-reach households). The tailored structure</w:t>
      </w:r>
      <w:r w:rsidR="001D20A1">
        <w:rPr>
          <w:rFonts w:ascii="Times New Roman" w:hAnsi="Times New Roman" w:cs="Times New Roman"/>
          <w:sz w:val="24"/>
          <w:szCs w:val="24"/>
        </w:rPr>
        <w:t xml:space="preserve"> </w:t>
      </w:r>
      <w:r w:rsidR="00222711">
        <w:rPr>
          <w:rFonts w:ascii="Times New Roman" w:hAnsi="Times New Roman" w:cs="Times New Roman"/>
          <w:sz w:val="24"/>
          <w:szCs w:val="24"/>
        </w:rPr>
        <w:t xml:space="preserve">improved the representation of </w:t>
      </w:r>
      <w:r w:rsidR="00F3724B">
        <w:rPr>
          <w:rFonts w:ascii="Times New Roman" w:hAnsi="Times New Roman" w:cs="Times New Roman"/>
          <w:sz w:val="24"/>
          <w:szCs w:val="24"/>
        </w:rPr>
        <w:t>late screener respondents relative to a uniform $5 structure</w:t>
      </w:r>
      <w:r w:rsidR="003A4C59">
        <w:rPr>
          <w:rFonts w:ascii="Times New Roman" w:hAnsi="Times New Roman" w:cs="Times New Roman"/>
          <w:sz w:val="24"/>
          <w:szCs w:val="24"/>
        </w:rPr>
        <w:t xml:space="preserve"> (McPhee et al. 2015)</w:t>
      </w:r>
      <w:r w:rsidR="00D72107">
        <w:rPr>
          <w:rFonts w:ascii="Times New Roman" w:hAnsi="Times New Roman" w:cs="Times New Roman"/>
          <w:sz w:val="24"/>
          <w:szCs w:val="24"/>
        </w:rPr>
        <w:t xml:space="preserve"> and therefore was </w:t>
      </w:r>
      <w:r w:rsidR="006E21E8">
        <w:rPr>
          <w:rFonts w:ascii="Times New Roman" w:hAnsi="Times New Roman" w:cs="Times New Roman"/>
          <w:sz w:val="24"/>
          <w:szCs w:val="24"/>
        </w:rPr>
        <w:t>adopted</w:t>
      </w:r>
      <w:r w:rsidR="00D72107">
        <w:rPr>
          <w:rFonts w:ascii="Times New Roman" w:hAnsi="Times New Roman" w:cs="Times New Roman"/>
          <w:sz w:val="24"/>
          <w:szCs w:val="24"/>
        </w:rPr>
        <w:t xml:space="preserve"> in subsequent NHES cycles</w:t>
      </w:r>
      <w:r w:rsidR="003A4C59">
        <w:rPr>
          <w:rFonts w:ascii="Times New Roman" w:hAnsi="Times New Roman" w:cs="Times New Roman"/>
          <w:sz w:val="24"/>
          <w:szCs w:val="24"/>
        </w:rPr>
        <w:t xml:space="preserve">. </w:t>
      </w:r>
      <w:r w:rsidR="0074232F">
        <w:rPr>
          <w:rFonts w:ascii="Times New Roman" w:hAnsi="Times New Roman" w:cs="Times New Roman"/>
          <w:sz w:val="24"/>
          <w:szCs w:val="24"/>
        </w:rPr>
        <w:t>Finally, at the screener phase, t</w:t>
      </w:r>
      <w:r w:rsidR="00EB3513">
        <w:rPr>
          <w:rFonts w:ascii="Times New Roman" w:hAnsi="Times New Roman" w:cs="Times New Roman"/>
          <w:sz w:val="24"/>
          <w:szCs w:val="24"/>
        </w:rPr>
        <w:t xml:space="preserve">he 2014 NHES feasibility study found that, relative to no screener incentive, the uniform $5 screener incentive improved the representation of households without an available phone number, those with a younger head of household, and households with children (Jackson, McQuiggan, &amp; Megra 2016), all subgroups that tend to be underrepresented among NHES screener </w:t>
      </w:r>
      <w:r w:rsidRPr="002C0ED2" w:rsidR="00EB3513">
        <w:rPr>
          <w:rFonts w:ascii="Times New Roman" w:hAnsi="Times New Roman" w:cs="Times New Roman"/>
          <w:sz w:val="24"/>
          <w:szCs w:val="24"/>
        </w:rPr>
        <w:t>respondents (</w:t>
      </w:r>
      <w:r w:rsidRPr="00B93559" w:rsidR="00EB3513">
        <w:rPr>
          <w:rFonts w:ascii="Times New Roman" w:hAnsi="Times New Roman" w:cs="Times New Roman"/>
          <w:sz w:val="24"/>
          <w:szCs w:val="24"/>
        </w:rPr>
        <w:t>McPhee et al. 2018</w:t>
      </w:r>
      <w:r w:rsidRPr="002C0ED2" w:rsidR="00EB3513">
        <w:rPr>
          <w:rFonts w:ascii="Times New Roman" w:hAnsi="Times New Roman" w:cs="Times New Roman"/>
          <w:sz w:val="24"/>
          <w:szCs w:val="24"/>
        </w:rPr>
        <w:t xml:space="preserve">). </w:t>
      </w:r>
    </w:p>
    <w:p w:rsidR="00EB3513" w:rsidP="00EB3513" w:rsidRDefault="00EB3513" w14:paraId="2F442169" w14:textId="1EBC1AFE">
      <w:pPr>
        <w:rPr>
          <w:rFonts w:ascii="Times New Roman" w:hAnsi="Times New Roman" w:cs="Times New Roman"/>
          <w:sz w:val="24"/>
          <w:szCs w:val="24"/>
        </w:rPr>
      </w:pPr>
      <w:r>
        <w:rPr>
          <w:rFonts w:ascii="Times New Roman" w:hAnsi="Times New Roman" w:cs="Times New Roman"/>
          <w:sz w:val="24"/>
          <w:szCs w:val="24"/>
        </w:rPr>
        <w:t xml:space="preserve">Also as described above, the NSCG uses a tailored incentive structure. The 2010 NSCG incentive experiment found that the use of an incentive for hard-to-reach sample members succeeded at obtaining </w:t>
      </w:r>
      <w:r w:rsidR="00903866">
        <w:rPr>
          <w:rFonts w:ascii="Times New Roman" w:hAnsi="Times New Roman" w:cs="Times New Roman"/>
          <w:sz w:val="24"/>
          <w:szCs w:val="24"/>
        </w:rPr>
        <w:t xml:space="preserve">additional </w:t>
      </w:r>
      <w:r>
        <w:rPr>
          <w:rFonts w:ascii="Times New Roman" w:hAnsi="Times New Roman" w:cs="Times New Roman"/>
          <w:sz w:val="24"/>
          <w:szCs w:val="24"/>
        </w:rPr>
        <w:t xml:space="preserve">responses from </w:t>
      </w:r>
      <w:r w:rsidR="00C16C11">
        <w:rPr>
          <w:rFonts w:ascii="Times New Roman" w:hAnsi="Times New Roman" w:cs="Times New Roman"/>
          <w:sz w:val="24"/>
          <w:szCs w:val="24"/>
        </w:rPr>
        <w:t xml:space="preserve">these </w:t>
      </w:r>
      <w:r>
        <w:rPr>
          <w:rFonts w:ascii="Times New Roman" w:hAnsi="Times New Roman" w:cs="Times New Roman"/>
          <w:sz w:val="24"/>
          <w:szCs w:val="24"/>
        </w:rPr>
        <w:t>individuals, reducing the potential for nonresponse bias.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C16C11">
        <w:rPr>
          <w:rFonts w:ascii="Times New Roman" w:hAnsi="Times New Roman" w:cs="Times New Roman"/>
          <w:sz w:val="24"/>
          <w:szCs w:val="24"/>
        </w:rPr>
        <w:t>Similarly, t</w:t>
      </w:r>
      <w:r>
        <w:rPr>
          <w:rFonts w:ascii="Times New Roman" w:hAnsi="Times New Roman" w:cs="Times New Roman"/>
          <w:sz w:val="24"/>
          <w:szCs w:val="24"/>
        </w:rPr>
        <w:t xml:space="preserve">he 2013 NSCG incentive experiment </w:t>
      </w:r>
      <w:r w:rsidR="00C16C11">
        <w:rPr>
          <w:rFonts w:ascii="Times New Roman" w:hAnsi="Times New Roman" w:cs="Times New Roman"/>
          <w:sz w:val="24"/>
          <w:szCs w:val="24"/>
        </w:rPr>
        <w:t>found</w:t>
      </w:r>
      <w:r>
        <w:rPr>
          <w:rFonts w:ascii="Times New Roman" w:hAnsi="Times New Roman" w:cs="Times New Roman"/>
          <w:sz w:val="24"/>
          <w:szCs w:val="24"/>
        </w:rPr>
        <w:t xml:space="preserve"> that the $30 incentive for highly influential sample members significantly reduced differences between respondents and the initial sample, </w:t>
      </w:r>
      <w:r w:rsidR="00087482">
        <w:rPr>
          <w:rFonts w:ascii="Times New Roman" w:hAnsi="Times New Roman" w:cs="Times New Roman"/>
          <w:sz w:val="24"/>
          <w:szCs w:val="24"/>
        </w:rPr>
        <w:t>an</w:t>
      </w:r>
      <w:r>
        <w:rPr>
          <w:rFonts w:ascii="Times New Roman" w:hAnsi="Times New Roman" w:cs="Times New Roman"/>
          <w:sz w:val="24"/>
          <w:szCs w:val="24"/>
        </w:rPr>
        <w:t xml:space="preserve"> effect</w:t>
      </w:r>
      <w:r w:rsidR="00087482">
        <w:rPr>
          <w:rFonts w:ascii="Times New Roman" w:hAnsi="Times New Roman" w:cs="Times New Roman"/>
          <w:sz w:val="24"/>
          <w:szCs w:val="24"/>
        </w:rPr>
        <w:t xml:space="preserve"> that</w:t>
      </w:r>
      <w:r>
        <w:rPr>
          <w:rFonts w:ascii="Times New Roman" w:hAnsi="Times New Roman" w:cs="Times New Roman"/>
          <w:sz w:val="24"/>
          <w:szCs w:val="24"/>
        </w:rPr>
        <w:t xml:space="preserve"> was strongest </w:t>
      </w:r>
      <w:r w:rsidR="00087482">
        <w:rPr>
          <w:rFonts w:ascii="Times New Roman" w:hAnsi="Times New Roman" w:cs="Times New Roman"/>
          <w:sz w:val="24"/>
          <w:szCs w:val="24"/>
        </w:rPr>
        <w:t>when</w:t>
      </w:r>
      <w:r>
        <w:rPr>
          <w:rFonts w:ascii="Times New Roman" w:hAnsi="Times New Roman" w:cs="Times New Roman"/>
          <w:sz w:val="24"/>
          <w:szCs w:val="24"/>
        </w:rPr>
        <w:t xml:space="preserve"> the incentive was sent with the first mailing.</w:t>
      </w:r>
    </w:p>
    <w:p w:rsidRPr="002C0ED2" w:rsidR="00EB3513" w:rsidP="00EB3513" w:rsidRDefault="00EB3513" w14:paraId="63C275AF" w14:textId="531F53E3">
      <w:pPr>
        <w:rPr>
          <w:rFonts w:ascii="Times New Roman" w:hAnsi="Times New Roman" w:cs="Times New Roman"/>
          <w:sz w:val="24"/>
          <w:szCs w:val="24"/>
        </w:rPr>
      </w:pPr>
      <w:r>
        <w:rPr>
          <w:rFonts w:ascii="Times New Roman" w:hAnsi="Times New Roman" w:cs="Times New Roman"/>
          <w:sz w:val="24"/>
          <w:szCs w:val="24"/>
        </w:rPr>
        <w:t xml:space="preserve">Several NCES longitudinal surveys have also found </w:t>
      </w:r>
      <w:r w:rsidR="00042AC2">
        <w:rPr>
          <w:rFonts w:ascii="Times New Roman" w:hAnsi="Times New Roman" w:cs="Times New Roman"/>
          <w:sz w:val="24"/>
          <w:szCs w:val="24"/>
        </w:rPr>
        <w:t>potential reductions in</w:t>
      </w:r>
      <w:r>
        <w:rPr>
          <w:rFonts w:ascii="Times New Roman" w:hAnsi="Times New Roman" w:cs="Times New Roman"/>
          <w:sz w:val="24"/>
          <w:szCs w:val="24"/>
        </w:rPr>
        <w:t xml:space="preserve"> nonresponse bias using a tailored incentive structure. The 2012/14 Beginning Postsecondary Students Longitudinal Study used a responsive design in which an</w:t>
      </w:r>
      <w:r w:rsidR="00D70986">
        <w:rPr>
          <w:rFonts w:ascii="Times New Roman" w:hAnsi="Times New Roman" w:cs="Times New Roman"/>
          <w:sz w:val="24"/>
          <w:szCs w:val="24"/>
        </w:rPr>
        <w:t xml:space="preserve"> incentive</w:t>
      </w:r>
      <w:r>
        <w:rPr>
          <w:rFonts w:ascii="Times New Roman" w:hAnsi="Times New Roman" w:cs="Times New Roman"/>
          <w:sz w:val="24"/>
          <w:szCs w:val="24"/>
        </w:rPr>
        <w:t xml:space="preserve"> increase of up to $45 was </w:t>
      </w:r>
      <w:r w:rsidR="00787304">
        <w:rPr>
          <w:rFonts w:ascii="Times New Roman" w:hAnsi="Times New Roman" w:cs="Times New Roman"/>
          <w:sz w:val="24"/>
          <w:szCs w:val="24"/>
        </w:rPr>
        <w:t>offered</w:t>
      </w:r>
      <w:r w:rsidRPr="002C0ED2">
        <w:rPr>
          <w:rFonts w:ascii="Times New Roman" w:hAnsi="Times New Roman" w:cs="Times New Roman"/>
          <w:sz w:val="24"/>
          <w:szCs w:val="24"/>
        </w:rPr>
        <w:t xml:space="preserve"> to underrepresented subgroups at various phases of the collection. This design appeared to reduce nonresponse bias by the end of the collection (</w:t>
      </w:r>
      <w:r w:rsidRPr="00B93559">
        <w:rPr>
          <w:rFonts w:ascii="Times New Roman" w:hAnsi="Times New Roman" w:cs="Times New Roman"/>
          <w:sz w:val="24"/>
          <w:szCs w:val="24"/>
        </w:rPr>
        <w:t>Hill et al. 2016</w:t>
      </w:r>
      <w:r w:rsidRPr="002C0ED2">
        <w:rPr>
          <w:rFonts w:ascii="Times New Roman" w:hAnsi="Times New Roman" w:cs="Times New Roman"/>
          <w:sz w:val="24"/>
          <w:szCs w:val="24"/>
        </w:rPr>
        <w:t xml:space="preserve">). A similar design </w:t>
      </w:r>
      <w:r w:rsidR="00C33EC7">
        <w:rPr>
          <w:rFonts w:ascii="Times New Roman" w:hAnsi="Times New Roman" w:cs="Times New Roman"/>
          <w:sz w:val="24"/>
          <w:szCs w:val="24"/>
        </w:rPr>
        <w:t xml:space="preserve">was </w:t>
      </w:r>
      <w:r w:rsidRPr="002C0ED2">
        <w:rPr>
          <w:rFonts w:ascii="Times New Roman" w:hAnsi="Times New Roman" w:cs="Times New Roman"/>
          <w:sz w:val="24"/>
          <w:szCs w:val="24"/>
        </w:rPr>
        <w:t>used in the High School Longitudinal Study of 2009</w:t>
      </w:r>
      <w:r w:rsidR="00956A55">
        <w:rPr>
          <w:rFonts w:ascii="Times New Roman" w:hAnsi="Times New Roman" w:cs="Times New Roman"/>
          <w:sz w:val="24"/>
          <w:szCs w:val="24"/>
        </w:rPr>
        <w:t xml:space="preserve"> </w:t>
      </w:r>
      <w:r w:rsidR="00C33EC7">
        <w:rPr>
          <w:rFonts w:ascii="Times New Roman" w:hAnsi="Times New Roman" w:cs="Times New Roman"/>
          <w:sz w:val="24"/>
          <w:szCs w:val="24"/>
        </w:rPr>
        <w:t>with</w:t>
      </w:r>
      <w:r w:rsidRPr="002C0ED2">
        <w:rPr>
          <w:rFonts w:ascii="Times New Roman" w:hAnsi="Times New Roman" w:cs="Times New Roman"/>
          <w:sz w:val="24"/>
          <w:szCs w:val="24"/>
        </w:rPr>
        <w:t xml:space="preserve"> similar results (</w:t>
      </w:r>
      <w:r w:rsidRPr="00B93559">
        <w:rPr>
          <w:rFonts w:ascii="Times New Roman" w:hAnsi="Times New Roman" w:cs="Times New Roman"/>
          <w:sz w:val="24"/>
          <w:szCs w:val="24"/>
        </w:rPr>
        <w:t>Duprey et al. 2018</w:t>
      </w:r>
      <w:r w:rsidRPr="002C0ED2">
        <w:rPr>
          <w:rFonts w:ascii="Times New Roman" w:hAnsi="Times New Roman" w:cs="Times New Roman"/>
          <w:sz w:val="24"/>
          <w:szCs w:val="24"/>
        </w:rPr>
        <w:t>).</w:t>
      </w:r>
    </w:p>
    <w:p w:rsidR="00EB3513" w:rsidP="00EB3513" w:rsidRDefault="00EB3513" w14:paraId="7896457B" w14:textId="14A33DE0">
      <w:pPr>
        <w:rPr>
          <w:rFonts w:ascii="Times New Roman" w:hAnsi="Times New Roman" w:cs="Times New Roman"/>
          <w:sz w:val="24"/>
          <w:szCs w:val="24"/>
        </w:rPr>
      </w:pPr>
      <w:r>
        <w:rPr>
          <w:rFonts w:ascii="Times New Roman" w:hAnsi="Times New Roman" w:cs="Times New Roman"/>
          <w:i/>
          <w:iCs/>
          <w:sz w:val="24"/>
          <w:szCs w:val="24"/>
        </w:rPr>
        <w:t xml:space="preserve">3.4. Need for experimentation in the </w:t>
      </w:r>
      <w:r w:rsidR="00394F70">
        <w:rPr>
          <w:rFonts w:ascii="Times New Roman" w:hAnsi="Times New Roman" w:cs="Times New Roman"/>
          <w:i/>
          <w:iCs/>
          <w:sz w:val="24"/>
          <w:szCs w:val="24"/>
        </w:rPr>
        <w:t xml:space="preserve">initial cycle of the </w:t>
      </w:r>
      <w:r>
        <w:rPr>
          <w:rFonts w:ascii="Times New Roman" w:hAnsi="Times New Roman" w:cs="Times New Roman"/>
          <w:i/>
          <w:iCs/>
          <w:sz w:val="24"/>
          <w:szCs w:val="24"/>
        </w:rPr>
        <w:t>NTEWS</w:t>
      </w:r>
    </w:p>
    <w:p w:rsidR="00EB3513" w:rsidP="00EB3513" w:rsidRDefault="00EB3513" w14:paraId="3928C13B" w14:textId="4C12C910">
      <w:pPr>
        <w:rPr>
          <w:rFonts w:ascii="Times New Roman" w:hAnsi="Times New Roman" w:cs="Times New Roman"/>
          <w:sz w:val="24"/>
          <w:szCs w:val="24"/>
        </w:rPr>
      </w:pPr>
      <w:r>
        <w:rPr>
          <w:rFonts w:ascii="Times New Roman" w:hAnsi="Times New Roman" w:cs="Times New Roman"/>
          <w:sz w:val="24"/>
          <w:szCs w:val="24"/>
        </w:rPr>
        <w:t xml:space="preserve">Broadly, then, because the NTEWS is the first </w:t>
      </w:r>
      <w:r w:rsidR="00241D4F">
        <w:rPr>
          <w:rFonts w:ascii="Times New Roman" w:hAnsi="Times New Roman" w:cs="Times New Roman"/>
          <w:sz w:val="24"/>
          <w:szCs w:val="24"/>
        </w:rPr>
        <w:t xml:space="preserve">cycle </w:t>
      </w:r>
      <w:r>
        <w:rPr>
          <w:rFonts w:ascii="Times New Roman" w:hAnsi="Times New Roman" w:cs="Times New Roman"/>
          <w:sz w:val="24"/>
          <w:szCs w:val="24"/>
        </w:rPr>
        <w:t>of the NTEWS, experimentation is needed to enable NCSES to develop a</w:t>
      </w:r>
      <w:r w:rsidR="00596D76">
        <w:rPr>
          <w:rFonts w:ascii="Times New Roman" w:hAnsi="Times New Roman" w:cs="Times New Roman"/>
          <w:sz w:val="24"/>
          <w:szCs w:val="24"/>
        </w:rPr>
        <w:t>n</w:t>
      </w:r>
      <w:r>
        <w:rPr>
          <w:rFonts w:ascii="Times New Roman" w:hAnsi="Times New Roman" w:cs="Times New Roman"/>
          <w:sz w:val="24"/>
          <w:szCs w:val="24"/>
        </w:rPr>
        <w:t xml:space="preserve"> incentive structure for future </w:t>
      </w:r>
      <w:r w:rsidR="00241D4F">
        <w:rPr>
          <w:rFonts w:ascii="Times New Roman" w:hAnsi="Times New Roman" w:cs="Times New Roman"/>
          <w:sz w:val="24"/>
          <w:szCs w:val="24"/>
        </w:rPr>
        <w:t>cycle</w:t>
      </w:r>
      <w:r>
        <w:rPr>
          <w:rFonts w:ascii="Times New Roman" w:hAnsi="Times New Roman" w:cs="Times New Roman"/>
          <w:sz w:val="24"/>
          <w:szCs w:val="24"/>
        </w:rPr>
        <w:t>s</w:t>
      </w:r>
      <w:r w:rsidR="00596D76">
        <w:rPr>
          <w:rFonts w:ascii="Times New Roman" w:hAnsi="Times New Roman" w:cs="Times New Roman"/>
          <w:sz w:val="24"/>
          <w:szCs w:val="24"/>
        </w:rPr>
        <w:t xml:space="preserve"> that will minimize nonresponse bias while ensuring cost-effectiveness</w:t>
      </w:r>
      <w:r>
        <w:rPr>
          <w:rFonts w:ascii="Times New Roman" w:hAnsi="Times New Roman" w:cs="Times New Roman"/>
          <w:sz w:val="24"/>
          <w:szCs w:val="24"/>
        </w:rPr>
        <w:t xml:space="preserve">. While the results of the NSCG and NHES experimentation are informative for generating hypotheses, the extent to which they generalize to the NTEWS is unclear. The NTEWS will use the same incentive format (debit cards) and be drawn from the same frame (prior ACS respondents) as the NSCG; however, the NTEWS sample will cover the general population with oversamples of the subbaccalaureate STW subpopulation, whereas the NSCG sample includes </w:t>
      </w:r>
      <w:r w:rsidR="0020758C">
        <w:rPr>
          <w:rFonts w:ascii="Times New Roman" w:hAnsi="Times New Roman" w:cs="Times New Roman"/>
          <w:sz w:val="24"/>
          <w:szCs w:val="24"/>
        </w:rPr>
        <w:t xml:space="preserve">only </w:t>
      </w:r>
      <w:r>
        <w:rPr>
          <w:rFonts w:ascii="Times New Roman" w:hAnsi="Times New Roman" w:cs="Times New Roman"/>
          <w:sz w:val="24"/>
          <w:szCs w:val="24"/>
        </w:rPr>
        <w:t xml:space="preserve">college graduates. Conversely, the NTEWS will cover a similar population as the </w:t>
      </w:r>
      <w:r w:rsidR="00FC53C0">
        <w:rPr>
          <w:rFonts w:ascii="Times New Roman" w:hAnsi="Times New Roman" w:cs="Times New Roman"/>
          <w:sz w:val="24"/>
          <w:szCs w:val="24"/>
        </w:rPr>
        <w:t xml:space="preserve">inactive </w:t>
      </w:r>
      <w:r>
        <w:rPr>
          <w:rFonts w:ascii="Times New Roman" w:hAnsi="Times New Roman" w:cs="Times New Roman"/>
          <w:sz w:val="24"/>
          <w:szCs w:val="24"/>
        </w:rPr>
        <w:t xml:space="preserve">ATES module of the NHES; however, the NHES uses a different sampling frame (a commercial address-based frame) and a different incentive format (cash). </w:t>
      </w:r>
      <w:r w:rsidR="00302729">
        <w:rPr>
          <w:rFonts w:ascii="Times New Roman" w:hAnsi="Times New Roman" w:cs="Times New Roman"/>
          <w:sz w:val="24"/>
          <w:szCs w:val="24"/>
        </w:rPr>
        <w:t xml:space="preserve">Finally, and possibly most importantly, some NTEWS key survey estimates (e.g., proportion of workers in skilled technical occupations) differ from both the ATES and the NSCG. </w:t>
      </w:r>
      <w:r>
        <w:rPr>
          <w:rFonts w:ascii="Times New Roman" w:hAnsi="Times New Roman" w:cs="Times New Roman"/>
          <w:sz w:val="24"/>
          <w:szCs w:val="24"/>
        </w:rPr>
        <w:t>NTEWS-specific experimentation i</w:t>
      </w:r>
      <w:r w:rsidR="00302729">
        <w:rPr>
          <w:rFonts w:ascii="Times New Roman" w:hAnsi="Times New Roman" w:cs="Times New Roman"/>
          <w:sz w:val="24"/>
          <w:szCs w:val="24"/>
        </w:rPr>
        <w:t>s therefore</w:t>
      </w:r>
      <w:r>
        <w:rPr>
          <w:rFonts w:ascii="Times New Roman" w:hAnsi="Times New Roman" w:cs="Times New Roman"/>
          <w:sz w:val="24"/>
          <w:szCs w:val="24"/>
        </w:rPr>
        <w:t xml:space="preserve"> required to determine the optimal incentive structure given its unique combination of target population, sampling frame, incentive format</w:t>
      </w:r>
      <w:r w:rsidR="002864F6">
        <w:rPr>
          <w:rFonts w:ascii="Times New Roman" w:hAnsi="Times New Roman" w:cs="Times New Roman"/>
          <w:sz w:val="24"/>
          <w:szCs w:val="24"/>
        </w:rPr>
        <w:t>, and key estimates</w:t>
      </w:r>
      <w:r>
        <w:rPr>
          <w:rFonts w:ascii="Times New Roman" w:hAnsi="Times New Roman" w:cs="Times New Roman"/>
          <w:sz w:val="24"/>
          <w:szCs w:val="24"/>
        </w:rPr>
        <w:t>.</w:t>
      </w:r>
    </w:p>
    <w:p w:rsidR="00EB3513" w:rsidP="00EB3513" w:rsidRDefault="006A6DF3" w14:paraId="6B89C7C0" w14:textId="33B4CCA6">
      <w:pPr>
        <w:rPr>
          <w:rFonts w:ascii="Times New Roman" w:hAnsi="Times New Roman" w:cs="Times New Roman"/>
          <w:sz w:val="24"/>
          <w:szCs w:val="24"/>
        </w:rPr>
      </w:pPr>
      <w:r>
        <w:rPr>
          <w:rFonts w:ascii="Times New Roman" w:hAnsi="Times New Roman" w:cs="Times New Roman"/>
          <w:sz w:val="24"/>
          <w:szCs w:val="24"/>
        </w:rPr>
        <w:lastRenderedPageBreak/>
        <w:t>Assuming the need for incentives</w:t>
      </w:r>
      <w:r w:rsidR="00B03E31">
        <w:rPr>
          <w:rFonts w:ascii="Times New Roman" w:hAnsi="Times New Roman" w:cs="Times New Roman"/>
          <w:sz w:val="24"/>
          <w:szCs w:val="24"/>
        </w:rPr>
        <w:t xml:space="preserve"> in future NTEWS cycles, </w:t>
      </w:r>
      <w:r w:rsidR="00EB3513">
        <w:rPr>
          <w:rFonts w:ascii="Times New Roman" w:hAnsi="Times New Roman" w:cs="Times New Roman"/>
          <w:sz w:val="24"/>
          <w:szCs w:val="24"/>
        </w:rPr>
        <w:t>NCSES expect</w:t>
      </w:r>
      <w:r w:rsidR="00E56E83">
        <w:rPr>
          <w:rFonts w:ascii="Times New Roman" w:hAnsi="Times New Roman" w:cs="Times New Roman"/>
          <w:sz w:val="24"/>
          <w:szCs w:val="24"/>
        </w:rPr>
        <w:t>s</w:t>
      </w:r>
      <w:r w:rsidR="00EB3513">
        <w:rPr>
          <w:rFonts w:ascii="Times New Roman" w:hAnsi="Times New Roman" w:cs="Times New Roman"/>
          <w:sz w:val="24"/>
          <w:szCs w:val="24"/>
        </w:rPr>
        <w:t xml:space="preserve"> to move towards an NSCG-style tailored incentive structure</w:t>
      </w:r>
      <w:r w:rsidR="001D04AB">
        <w:rPr>
          <w:rFonts w:ascii="Times New Roman" w:hAnsi="Times New Roman" w:cs="Times New Roman"/>
          <w:sz w:val="24"/>
          <w:szCs w:val="24"/>
        </w:rPr>
        <w:t xml:space="preserve"> designed to reduce bias in key survey estimates</w:t>
      </w:r>
      <w:r w:rsidR="00EB3513">
        <w:rPr>
          <w:rFonts w:ascii="Times New Roman" w:hAnsi="Times New Roman" w:cs="Times New Roman"/>
          <w:sz w:val="24"/>
          <w:szCs w:val="24"/>
        </w:rPr>
        <w:t xml:space="preserve">. However, key baseline parameters necessary to design such a structure for the NTEWS </w:t>
      </w:r>
      <w:r w:rsidR="00FD6BA6">
        <w:rPr>
          <w:rFonts w:ascii="Times New Roman" w:hAnsi="Times New Roman" w:cs="Times New Roman"/>
          <w:sz w:val="24"/>
          <w:szCs w:val="24"/>
        </w:rPr>
        <w:t xml:space="preserve">are </w:t>
      </w:r>
      <w:r w:rsidR="0047081F">
        <w:rPr>
          <w:rFonts w:ascii="Times New Roman" w:hAnsi="Times New Roman" w:cs="Times New Roman"/>
          <w:sz w:val="24"/>
          <w:szCs w:val="24"/>
        </w:rPr>
        <w:t xml:space="preserve">as </w:t>
      </w:r>
      <w:r w:rsidR="00792BF9">
        <w:rPr>
          <w:rFonts w:ascii="Times New Roman" w:hAnsi="Times New Roman" w:cs="Times New Roman"/>
          <w:sz w:val="24"/>
          <w:szCs w:val="24"/>
        </w:rPr>
        <w:t>yet</w:t>
      </w:r>
      <w:r w:rsidR="00EB3513">
        <w:rPr>
          <w:rFonts w:ascii="Times New Roman" w:hAnsi="Times New Roman" w:cs="Times New Roman"/>
          <w:sz w:val="24"/>
          <w:szCs w:val="24"/>
        </w:rPr>
        <w:t xml:space="preserve"> unknown. For example, what response rates are obtained specifically from low-</w:t>
      </w:r>
      <w:r w:rsidR="0059137F">
        <w:rPr>
          <w:rFonts w:ascii="Times New Roman" w:hAnsi="Times New Roman" w:cs="Times New Roman"/>
          <w:sz w:val="24"/>
          <w:szCs w:val="24"/>
        </w:rPr>
        <w:t xml:space="preserve">response-propensity </w:t>
      </w:r>
      <w:r w:rsidR="00EB3513">
        <w:rPr>
          <w:rFonts w:ascii="Times New Roman" w:hAnsi="Times New Roman" w:cs="Times New Roman"/>
          <w:sz w:val="24"/>
          <w:szCs w:val="24"/>
        </w:rPr>
        <w:t>sample members at various incentive levels? How does this compare to high-</w:t>
      </w:r>
      <w:r w:rsidR="0059137F">
        <w:rPr>
          <w:rFonts w:ascii="Times New Roman" w:hAnsi="Times New Roman" w:cs="Times New Roman"/>
          <w:sz w:val="24"/>
          <w:szCs w:val="24"/>
        </w:rPr>
        <w:t xml:space="preserve">response-propensity </w:t>
      </w:r>
      <w:r w:rsidR="00EB3513">
        <w:rPr>
          <w:rFonts w:ascii="Times New Roman" w:hAnsi="Times New Roman" w:cs="Times New Roman"/>
          <w:sz w:val="24"/>
          <w:szCs w:val="24"/>
        </w:rPr>
        <w:t>sample members? Can specific sample members</w:t>
      </w:r>
      <w:r w:rsidRPr="005B69AE" w:rsidR="00EB3513">
        <w:rPr>
          <w:rFonts w:ascii="Times New Roman" w:hAnsi="Times New Roman" w:cs="Times New Roman"/>
          <w:sz w:val="24"/>
          <w:szCs w:val="24"/>
        </w:rPr>
        <w:t xml:space="preserve"> for which a higher incentive is effective (or ineffective) be reliably identified using the </w:t>
      </w:r>
      <w:r w:rsidR="00A808EE">
        <w:rPr>
          <w:rFonts w:ascii="Times New Roman" w:hAnsi="Times New Roman" w:cs="Times New Roman"/>
          <w:sz w:val="24"/>
          <w:szCs w:val="24"/>
        </w:rPr>
        <w:t>ACS</w:t>
      </w:r>
      <w:r w:rsidRPr="005B69AE" w:rsidR="00EB3513">
        <w:rPr>
          <w:rFonts w:ascii="Times New Roman" w:hAnsi="Times New Roman" w:cs="Times New Roman"/>
          <w:sz w:val="24"/>
          <w:szCs w:val="24"/>
        </w:rPr>
        <w:t xml:space="preserve"> frame data? </w:t>
      </w:r>
      <w:r w:rsidR="00EB3513">
        <w:rPr>
          <w:rFonts w:ascii="Times New Roman" w:hAnsi="Times New Roman" w:cs="Times New Roman"/>
          <w:sz w:val="24"/>
          <w:szCs w:val="24"/>
        </w:rPr>
        <w:t xml:space="preserve">In the absence of NTEWS-specific experimentation, neither the NHES nor the NSCG </w:t>
      </w:r>
      <w:r w:rsidR="0035242A">
        <w:rPr>
          <w:rFonts w:ascii="Times New Roman" w:hAnsi="Times New Roman" w:cs="Times New Roman"/>
          <w:sz w:val="24"/>
          <w:szCs w:val="24"/>
        </w:rPr>
        <w:t xml:space="preserve">findings </w:t>
      </w:r>
      <w:r w:rsidR="00751905">
        <w:rPr>
          <w:rFonts w:ascii="Times New Roman" w:hAnsi="Times New Roman" w:cs="Times New Roman"/>
          <w:sz w:val="24"/>
          <w:szCs w:val="24"/>
        </w:rPr>
        <w:t>can</w:t>
      </w:r>
      <w:r w:rsidR="00EB3513">
        <w:rPr>
          <w:rFonts w:ascii="Times New Roman" w:hAnsi="Times New Roman" w:cs="Times New Roman"/>
          <w:sz w:val="24"/>
          <w:szCs w:val="24"/>
        </w:rPr>
        <w:t xml:space="preserve"> be used to reliably address these questions. </w:t>
      </w:r>
      <w:r w:rsidR="00C82619">
        <w:rPr>
          <w:rFonts w:ascii="Times New Roman" w:hAnsi="Times New Roman" w:cs="Times New Roman"/>
          <w:sz w:val="24"/>
          <w:szCs w:val="24"/>
        </w:rPr>
        <w:t xml:space="preserve">For example, </w:t>
      </w:r>
      <w:r w:rsidR="006B6BBF">
        <w:rPr>
          <w:rFonts w:ascii="Times New Roman" w:hAnsi="Times New Roman" w:cs="Times New Roman"/>
          <w:sz w:val="24"/>
          <w:szCs w:val="24"/>
        </w:rPr>
        <w:t>a response propensity</w:t>
      </w:r>
      <w:r w:rsidR="00EB3513">
        <w:rPr>
          <w:rFonts w:ascii="Times New Roman" w:hAnsi="Times New Roman" w:cs="Times New Roman"/>
          <w:sz w:val="24"/>
          <w:szCs w:val="24"/>
        </w:rPr>
        <w:t xml:space="preserve"> model estimated </w:t>
      </w:r>
      <w:r w:rsidR="00B97DC8">
        <w:rPr>
          <w:rFonts w:ascii="Times New Roman" w:hAnsi="Times New Roman" w:cs="Times New Roman"/>
          <w:sz w:val="24"/>
          <w:szCs w:val="24"/>
        </w:rPr>
        <w:t>o</w:t>
      </w:r>
      <w:r w:rsidR="00EB3513">
        <w:rPr>
          <w:rFonts w:ascii="Times New Roman" w:hAnsi="Times New Roman" w:cs="Times New Roman"/>
          <w:sz w:val="24"/>
          <w:szCs w:val="24"/>
        </w:rPr>
        <w:t xml:space="preserve">n the NSCG </w:t>
      </w:r>
      <w:r w:rsidR="007F6382">
        <w:rPr>
          <w:rFonts w:ascii="Times New Roman" w:hAnsi="Times New Roman" w:cs="Times New Roman"/>
          <w:sz w:val="24"/>
          <w:szCs w:val="24"/>
        </w:rPr>
        <w:t xml:space="preserve">college-educated </w:t>
      </w:r>
      <w:r w:rsidR="00EB3513">
        <w:rPr>
          <w:rFonts w:ascii="Times New Roman" w:hAnsi="Times New Roman" w:cs="Times New Roman"/>
          <w:sz w:val="24"/>
          <w:szCs w:val="24"/>
        </w:rPr>
        <w:t xml:space="preserve">sample </w:t>
      </w:r>
      <w:r w:rsidR="00751905">
        <w:rPr>
          <w:rFonts w:ascii="Times New Roman" w:hAnsi="Times New Roman" w:cs="Times New Roman"/>
          <w:sz w:val="24"/>
          <w:szCs w:val="24"/>
        </w:rPr>
        <w:t>is</w:t>
      </w:r>
      <w:r w:rsidR="00EB3513">
        <w:rPr>
          <w:rFonts w:ascii="Times New Roman" w:hAnsi="Times New Roman" w:cs="Times New Roman"/>
          <w:sz w:val="24"/>
          <w:szCs w:val="24"/>
        </w:rPr>
        <w:t xml:space="preserve"> not applicable to the NTEWS, since educational attainment itself </w:t>
      </w:r>
      <w:r w:rsidR="00E36DE5">
        <w:rPr>
          <w:rFonts w:ascii="Times New Roman" w:hAnsi="Times New Roman" w:cs="Times New Roman"/>
          <w:sz w:val="24"/>
          <w:szCs w:val="24"/>
        </w:rPr>
        <w:t xml:space="preserve">is likely to </w:t>
      </w:r>
      <w:r w:rsidR="00EB3513">
        <w:rPr>
          <w:rFonts w:ascii="Times New Roman" w:hAnsi="Times New Roman" w:cs="Times New Roman"/>
          <w:sz w:val="24"/>
          <w:szCs w:val="24"/>
        </w:rPr>
        <w:t xml:space="preserve">be an important predictor of response </w:t>
      </w:r>
      <w:r w:rsidR="00731970">
        <w:rPr>
          <w:rFonts w:ascii="Times New Roman" w:hAnsi="Times New Roman" w:cs="Times New Roman"/>
          <w:sz w:val="24"/>
          <w:szCs w:val="24"/>
        </w:rPr>
        <w:t>behavior</w:t>
      </w:r>
      <w:r w:rsidR="00EB3513">
        <w:rPr>
          <w:rFonts w:ascii="Times New Roman" w:hAnsi="Times New Roman" w:cs="Times New Roman"/>
          <w:sz w:val="24"/>
          <w:szCs w:val="24"/>
        </w:rPr>
        <w:t xml:space="preserve">. </w:t>
      </w:r>
    </w:p>
    <w:p w:rsidR="00EB3513" w:rsidP="00EB3513" w:rsidRDefault="00EB3513" w14:paraId="1FC1105B" w14:textId="734A85ED">
      <w:pPr>
        <w:rPr>
          <w:rFonts w:ascii="Times New Roman" w:hAnsi="Times New Roman" w:cs="Times New Roman"/>
          <w:sz w:val="24"/>
          <w:szCs w:val="24"/>
        </w:rPr>
      </w:pPr>
      <w:r w:rsidRPr="005B69AE">
        <w:rPr>
          <w:rFonts w:ascii="Times New Roman" w:hAnsi="Times New Roman" w:cs="Times New Roman"/>
          <w:sz w:val="24"/>
          <w:szCs w:val="24"/>
        </w:rPr>
        <w:t xml:space="preserve">Finally, some key parameters that will influence the cost of a given incentive strategy remain unknown. Unlike with cash, the survey sponsor </w:t>
      </w:r>
      <w:r>
        <w:rPr>
          <w:rFonts w:ascii="Times New Roman" w:hAnsi="Times New Roman" w:cs="Times New Roman"/>
          <w:sz w:val="24"/>
          <w:szCs w:val="24"/>
        </w:rPr>
        <w:t>recoups</w:t>
      </w:r>
      <w:r w:rsidRPr="005B69AE">
        <w:rPr>
          <w:rFonts w:ascii="Times New Roman" w:hAnsi="Times New Roman" w:cs="Times New Roman"/>
          <w:sz w:val="24"/>
          <w:szCs w:val="24"/>
        </w:rPr>
        <w:t xml:space="preserve"> a significant portion of the value of </w:t>
      </w:r>
      <w:r w:rsidRPr="004961A6">
        <w:rPr>
          <w:rFonts w:ascii="Times New Roman" w:hAnsi="Times New Roman" w:cs="Times New Roman"/>
          <w:sz w:val="24"/>
          <w:szCs w:val="24"/>
        </w:rPr>
        <w:t xml:space="preserve">mailed debit card incentives because not all recipients use their debit cards. </w:t>
      </w:r>
      <w:bookmarkStart w:name="_Hlk34333057" w:id="1"/>
      <w:r w:rsidRPr="004961A6">
        <w:rPr>
          <w:rFonts w:ascii="Times New Roman" w:hAnsi="Times New Roman" w:cs="Times New Roman"/>
          <w:sz w:val="24"/>
          <w:szCs w:val="24"/>
        </w:rPr>
        <w:t xml:space="preserve">For example, in the 2017 NSCG, </w:t>
      </w:r>
      <w:r w:rsidRPr="008667A4" w:rsidR="005338DE">
        <w:rPr>
          <w:rFonts w:ascii="Times New Roman" w:hAnsi="Times New Roman" w:cs="Times New Roman"/>
          <w:sz w:val="24"/>
          <w:szCs w:val="24"/>
        </w:rPr>
        <w:t>46</w:t>
      </w:r>
      <w:r w:rsidRPr="004961A6">
        <w:rPr>
          <w:rFonts w:ascii="Times New Roman" w:hAnsi="Times New Roman" w:cs="Times New Roman"/>
          <w:sz w:val="24"/>
          <w:szCs w:val="24"/>
        </w:rPr>
        <w:t xml:space="preserve"> percent of respondents and </w:t>
      </w:r>
      <w:r w:rsidRPr="008667A4" w:rsidR="00E66233">
        <w:rPr>
          <w:rFonts w:ascii="Times New Roman" w:hAnsi="Times New Roman" w:cs="Times New Roman"/>
          <w:sz w:val="24"/>
          <w:szCs w:val="24"/>
        </w:rPr>
        <w:t>97</w:t>
      </w:r>
      <w:r w:rsidRPr="004961A6">
        <w:rPr>
          <w:rFonts w:ascii="Times New Roman" w:hAnsi="Times New Roman" w:cs="Times New Roman"/>
          <w:sz w:val="24"/>
          <w:szCs w:val="24"/>
        </w:rPr>
        <w:t xml:space="preserve"> percent of</w:t>
      </w:r>
      <w:r w:rsidRPr="005B69AE">
        <w:rPr>
          <w:rFonts w:ascii="Times New Roman" w:hAnsi="Times New Roman" w:cs="Times New Roman"/>
          <w:sz w:val="24"/>
          <w:szCs w:val="24"/>
        </w:rPr>
        <w:t xml:space="preserve"> nonrespondents who received an incentive did not use their debit cards prior to expiration.</w:t>
      </w:r>
      <w:bookmarkEnd w:id="1"/>
      <w:r w:rsidRPr="005B69AE">
        <w:rPr>
          <w:rFonts w:ascii="Times New Roman" w:hAnsi="Times New Roman" w:cs="Times New Roman"/>
          <w:sz w:val="24"/>
          <w:szCs w:val="24"/>
        </w:rPr>
        <w:t xml:space="preserve"> These usage rates could plausibly vary with the value of the debit card—for example, </w:t>
      </w:r>
      <w:r>
        <w:rPr>
          <w:rFonts w:ascii="Times New Roman" w:hAnsi="Times New Roman" w:cs="Times New Roman"/>
          <w:sz w:val="24"/>
          <w:szCs w:val="24"/>
        </w:rPr>
        <w:t>sample members</w:t>
      </w:r>
      <w:r w:rsidRPr="005B69AE">
        <w:rPr>
          <w:rFonts w:ascii="Times New Roman" w:hAnsi="Times New Roman" w:cs="Times New Roman"/>
          <w:sz w:val="24"/>
          <w:szCs w:val="24"/>
        </w:rPr>
        <w:t xml:space="preserve"> may be </w:t>
      </w:r>
      <w:r>
        <w:rPr>
          <w:rFonts w:ascii="Times New Roman" w:hAnsi="Times New Roman" w:cs="Times New Roman"/>
          <w:sz w:val="24"/>
          <w:szCs w:val="24"/>
        </w:rPr>
        <w:t>more</w:t>
      </w:r>
      <w:r w:rsidRPr="005B69AE">
        <w:rPr>
          <w:rFonts w:ascii="Times New Roman" w:hAnsi="Times New Roman" w:cs="Times New Roman"/>
          <w:sz w:val="24"/>
          <w:szCs w:val="24"/>
        </w:rPr>
        <w:t xml:space="preserve"> likely to </w:t>
      </w:r>
      <w:r>
        <w:rPr>
          <w:rFonts w:ascii="Times New Roman" w:hAnsi="Times New Roman" w:cs="Times New Roman"/>
          <w:sz w:val="24"/>
          <w:szCs w:val="24"/>
        </w:rPr>
        <w:t>use</w:t>
      </w:r>
      <w:r w:rsidRPr="005B69AE">
        <w:rPr>
          <w:rFonts w:ascii="Times New Roman" w:hAnsi="Times New Roman" w:cs="Times New Roman"/>
          <w:sz w:val="24"/>
          <w:szCs w:val="24"/>
        </w:rPr>
        <w:t xml:space="preserve"> a </w:t>
      </w:r>
      <w:r>
        <w:rPr>
          <w:rFonts w:ascii="Times New Roman" w:hAnsi="Times New Roman" w:cs="Times New Roman"/>
          <w:sz w:val="24"/>
          <w:szCs w:val="24"/>
        </w:rPr>
        <w:t>more</w:t>
      </w:r>
      <w:r w:rsidRPr="005B69AE">
        <w:rPr>
          <w:rFonts w:ascii="Times New Roman" w:hAnsi="Times New Roman" w:cs="Times New Roman"/>
          <w:sz w:val="24"/>
          <w:szCs w:val="24"/>
        </w:rPr>
        <w:t xml:space="preserve"> valuable incentive. They could also vary across target populations, implying that the NSCG experience may not generalize to the NTEWS. Experimentation with multiple incentive levels in the </w:t>
      </w:r>
      <w:r w:rsidR="006118F0">
        <w:rPr>
          <w:rFonts w:ascii="Times New Roman" w:hAnsi="Times New Roman" w:cs="Times New Roman"/>
          <w:sz w:val="24"/>
          <w:szCs w:val="24"/>
        </w:rPr>
        <w:t xml:space="preserve">initial cycle of the </w:t>
      </w:r>
      <w:r>
        <w:rPr>
          <w:rFonts w:ascii="Times New Roman" w:hAnsi="Times New Roman" w:cs="Times New Roman"/>
          <w:sz w:val="24"/>
          <w:szCs w:val="24"/>
        </w:rPr>
        <w:t>NTEWS</w:t>
      </w:r>
      <w:r w:rsidRPr="005B69AE">
        <w:rPr>
          <w:rFonts w:ascii="Times New Roman" w:hAnsi="Times New Roman" w:cs="Times New Roman"/>
          <w:sz w:val="24"/>
          <w:szCs w:val="24"/>
        </w:rPr>
        <w:t xml:space="preserve"> will provide the data necessary to accurately project costs and </w:t>
      </w:r>
      <w:r>
        <w:rPr>
          <w:rFonts w:ascii="Times New Roman" w:hAnsi="Times New Roman" w:cs="Times New Roman"/>
          <w:sz w:val="24"/>
          <w:szCs w:val="24"/>
        </w:rPr>
        <w:t xml:space="preserve">to </w:t>
      </w:r>
      <w:r w:rsidRPr="005B69AE">
        <w:rPr>
          <w:rFonts w:ascii="Times New Roman" w:hAnsi="Times New Roman" w:cs="Times New Roman"/>
          <w:sz w:val="24"/>
          <w:szCs w:val="24"/>
        </w:rPr>
        <w:t>develop cost effective incentive structures for future NTEWS cycles.</w:t>
      </w:r>
    </w:p>
    <w:p w:rsidRPr="002E22D8" w:rsidR="00EB3513" w:rsidP="00EB3513" w:rsidRDefault="00EB3513" w14:paraId="4C9D336C" w14:textId="7F7D1CDB">
      <w:pPr>
        <w:rPr>
          <w:rFonts w:ascii="Times New Roman" w:hAnsi="Times New Roman" w:cs="Times New Roman"/>
          <w:sz w:val="24"/>
          <w:szCs w:val="24"/>
        </w:rPr>
      </w:pPr>
      <w:r>
        <w:rPr>
          <w:rFonts w:ascii="Times New Roman" w:hAnsi="Times New Roman" w:cs="Times New Roman"/>
          <w:sz w:val="24"/>
          <w:szCs w:val="24"/>
        </w:rPr>
        <w:t>For all of these reasons, even though NCSES expect</w:t>
      </w:r>
      <w:r w:rsidR="00317D0D">
        <w:rPr>
          <w:rFonts w:ascii="Times New Roman" w:hAnsi="Times New Roman" w:cs="Times New Roman"/>
          <w:sz w:val="24"/>
          <w:szCs w:val="24"/>
        </w:rPr>
        <w:t>s</w:t>
      </w:r>
      <w:r>
        <w:rPr>
          <w:rFonts w:ascii="Times New Roman" w:hAnsi="Times New Roman" w:cs="Times New Roman"/>
          <w:sz w:val="24"/>
          <w:szCs w:val="24"/>
        </w:rPr>
        <w:t xml:space="preserve"> to move towards a </w:t>
      </w:r>
      <w:r>
        <w:rPr>
          <w:rFonts w:ascii="Times New Roman" w:hAnsi="Times New Roman" w:cs="Times New Roman"/>
          <w:i/>
          <w:iCs/>
          <w:sz w:val="24"/>
          <w:szCs w:val="24"/>
        </w:rPr>
        <w:t>tailored</w:t>
      </w:r>
      <w:r>
        <w:rPr>
          <w:rFonts w:ascii="Times New Roman" w:hAnsi="Times New Roman" w:cs="Times New Roman"/>
          <w:sz w:val="24"/>
          <w:szCs w:val="24"/>
        </w:rPr>
        <w:t xml:space="preserve"> incentive structure for the NTEWS, randomized experimentation with multiple </w:t>
      </w:r>
      <w:r>
        <w:rPr>
          <w:rFonts w:ascii="Times New Roman" w:hAnsi="Times New Roman" w:cs="Times New Roman"/>
          <w:i/>
          <w:iCs/>
          <w:sz w:val="24"/>
          <w:szCs w:val="24"/>
        </w:rPr>
        <w:t>uniform</w:t>
      </w:r>
      <w:r>
        <w:rPr>
          <w:rFonts w:ascii="Times New Roman" w:hAnsi="Times New Roman" w:cs="Times New Roman"/>
          <w:sz w:val="24"/>
          <w:szCs w:val="24"/>
        </w:rPr>
        <w:t xml:space="preserve"> incentive levels is a </w:t>
      </w:r>
      <w:r w:rsidR="00377318">
        <w:rPr>
          <w:rFonts w:ascii="Times New Roman" w:hAnsi="Times New Roman" w:cs="Times New Roman"/>
          <w:sz w:val="24"/>
          <w:szCs w:val="24"/>
        </w:rPr>
        <w:t xml:space="preserve">valuable and informative </w:t>
      </w:r>
      <w:r>
        <w:rPr>
          <w:rFonts w:ascii="Times New Roman" w:hAnsi="Times New Roman" w:cs="Times New Roman"/>
          <w:sz w:val="24"/>
          <w:szCs w:val="24"/>
        </w:rPr>
        <w:t xml:space="preserve">first step. The noncontingent-incentive experiment, with the treatment groups described below, </w:t>
      </w:r>
      <w:r w:rsidR="00CB293E">
        <w:rPr>
          <w:rFonts w:ascii="Times New Roman" w:hAnsi="Times New Roman" w:cs="Times New Roman"/>
          <w:sz w:val="24"/>
          <w:szCs w:val="24"/>
        </w:rPr>
        <w:t>is</w:t>
      </w:r>
      <w:r>
        <w:rPr>
          <w:rFonts w:ascii="Times New Roman" w:hAnsi="Times New Roman" w:cs="Times New Roman"/>
          <w:sz w:val="24"/>
          <w:szCs w:val="24"/>
        </w:rPr>
        <w:t xml:space="preserve"> designed to maximize the utility of the </w:t>
      </w:r>
      <w:r w:rsidR="00ED7AA0">
        <w:rPr>
          <w:rFonts w:ascii="Times New Roman" w:hAnsi="Times New Roman" w:cs="Times New Roman"/>
          <w:sz w:val="24"/>
          <w:szCs w:val="24"/>
        </w:rPr>
        <w:t>initial</w:t>
      </w:r>
      <w:r>
        <w:rPr>
          <w:rFonts w:ascii="Times New Roman" w:hAnsi="Times New Roman" w:cs="Times New Roman"/>
          <w:sz w:val="24"/>
          <w:szCs w:val="24"/>
        </w:rPr>
        <w:t xml:space="preserve"> NTEWS for data-driven decision-making about future incentive structures.</w:t>
      </w:r>
    </w:p>
    <w:p w:rsidR="00EB3513" w:rsidP="00EB3513" w:rsidRDefault="00EB3513" w14:paraId="45CA9133" w14:textId="77777777">
      <w:pPr>
        <w:rPr>
          <w:rFonts w:ascii="Times New Roman" w:hAnsi="Times New Roman" w:cs="Times New Roman"/>
          <w:sz w:val="24"/>
          <w:szCs w:val="24"/>
        </w:rPr>
      </w:pPr>
      <w:r>
        <w:rPr>
          <w:rFonts w:ascii="Times New Roman" w:hAnsi="Times New Roman" w:cs="Times New Roman"/>
          <w:i/>
          <w:iCs/>
          <w:sz w:val="24"/>
          <w:szCs w:val="24"/>
        </w:rPr>
        <w:t>3.5. Potential concerns with the use of incentives in the NTEWS</w:t>
      </w:r>
    </w:p>
    <w:p w:rsidR="00EB3513" w:rsidP="00EB3513" w:rsidRDefault="00EB3513" w14:paraId="073118A3" w14:textId="7DC4B83A">
      <w:pPr>
        <w:rPr>
          <w:rFonts w:ascii="Times New Roman" w:hAnsi="Times New Roman" w:cs="Times New Roman"/>
          <w:sz w:val="24"/>
          <w:szCs w:val="24"/>
        </w:rPr>
      </w:pPr>
      <w:r>
        <w:rPr>
          <w:rFonts w:ascii="Times New Roman" w:hAnsi="Times New Roman" w:cs="Times New Roman"/>
          <w:sz w:val="24"/>
          <w:szCs w:val="24"/>
        </w:rPr>
        <w:t xml:space="preserve">One potential risk raised by the use of incentives in the NTEWS is that of </w:t>
      </w:r>
      <w:r w:rsidRPr="0022711C">
        <w:rPr>
          <w:rFonts w:ascii="Times New Roman" w:hAnsi="Times New Roman" w:cs="Times New Roman"/>
          <w:sz w:val="24"/>
          <w:szCs w:val="24"/>
        </w:rPr>
        <w:t>conditioning</w:t>
      </w:r>
      <w:r>
        <w:rPr>
          <w:rFonts w:ascii="Times New Roman" w:hAnsi="Times New Roman" w:cs="Times New Roman"/>
          <w:sz w:val="24"/>
          <w:szCs w:val="24"/>
        </w:rPr>
        <w:t xml:space="preserve">. </w:t>
      </w:r>
      <w:r w:rsidR="00F239B6">
        <w:rPr>
          <w:rFonts w:ascii="Times New Roman" w:hAnsi="Times New Roman" w:cs="Times New Roman"/>
          <w:sz w:val="24"/>
          <w:szCs w:val="24"/>
        </w:rPr>
        <w:t>T</w:t>
      </w:r>
      <w:r>
        <w:rPr>
          <w:rFonts w:ascii="Times New Roman" w:hAnsi="Times New Roman" w:cs="Times New Roman"/>
          <w:sz w:val="24"/>
          <w:szCs w:val="24"/>
        </w:rPr>
        <w:t>he NTEWS will use a rotating panel design</w:t>
      </w:r>
      <w:r w:rsidR="00C11D65">
        <w:rPr>
          <w:rFonts w:ascii="Times New Roman" w:hAnsi="Times New Roman" w:cs="Times New Roman"/>
          <w:sz w:val="24"/>
          <w:szCs w:val="24"/>
        </w:rPr>
        <w:t>, similar to the NSCG,</w:t>
      </w:r>
      <w:r>
        <w:rPr>
          <w:rFonts w:ascii="Times New Roman" w:hAnsi="Times New Roman" w:cs="Times New Roman"/>
          <w:sz w:val="24"/>
          <w:szCs w:val="24"/>
        </w:rPr>
        <w:t xml:space="preserve"> in which each sample will include both an “</w:t>
      </w:r>
      <w:r w:rsidR="00B12E94">
        <w:rPr>
          <w:rFonts w:ascii="Times New Roman" w:hAnsi="Times New Roman" w:cs="Times New Roman"/>
          <w:sz w:val="24"/>
          <w:szCs w:val="24"/>
        </w:rPr>
        <w:t xml:space="preserve">returning </w:t>
      </w:r>
      <w:r>
        <w:rPr>
          <w:rFonts w:ascii="Times New Roman" w:hAnsi="Times New Roman" w:cs="Times New Roman"/>
          <w:sz w:val="24"/>
          <w:szCs w:val="24"/>
        </w:rPr>
        <w:t xml:space="preserve">cohort” (consisting of respondents to one or more prior cycles) and a “new cohort” (a fresh sample drawn from the ACS frame). With such a design, there is a risk that respondents who received an incentive in one cycle </w:t>
      </w:r>
      <w:r w:rsidR="00966199">
        <w:rPr>
          <w:rFonts w:ascii="Times New Roman" w:hAnsi="Times New Roman" w:cs="Times New Roman"/>
          <w:sz w:val="24"/>
          <w:szCs w:val="24"/>
        </w:rPr>
        <w:t>might</w:t>
      </w:r>
      <w:r>
        <w:rPr>
          <w:rFonts w:ascii="Times New Roman" w:hAnsi="Times New Roman" w:cs="Times New Roman"/>
          <w:sz w:val="24"/>
          <w:szCs w:val="24"/>
        </w:rPr>
        <w:t xml:space="preserve"> come to expect an incentive and therefore </w:t>
      </w:r>
      <w:r w:rsidR="00321DFF">
        <w:rPr>
          <w:rFonts w:ascii="Times New Roman" w:hAnsi="Times New Roman" w:cs="Times New Roman"/>
          <w:sz w:val="24"/>
          <w:szCs w:val="24"/>
        </w:rPr>
        <w:t>might</w:t>
      </w:r>
      <w:r>
        <w:rPr>
          <w:rFonts w:ascii="Times New Roman" w:hAnsi="Times New Roman" w:cs="Times New Roman"/>
          <w:sz w:val="24"/>
          <w:szCs w:val="24"/>
        </w:rPr>
        <w:t xml:space="preserve"> be less likely to respond to later cycles unless also offered an incentive in those cycles. The literature on such conditioning effects is mixed. In their review, Singer and Ye (2013) identified several panel studies that evaluated conditioning effects and found no evidence that respondents who received incentives at early waves were less likely to respond to later waves. However, an incentive conditioning experiment incorporated into the 2013 NSCG did find evidence that returning sample members who had previously been incentivized were more likely to respond if again provided an incentive</w:t>
      </w:r>
      <w:r w:rsidR="007B6865">
        <w:rPr>
          <w:rFonts w:ascii="Times New Roman" w:hAnsi="Times New Roman" w:cs="Times New Roman"/>
          <w:sz w:val="24"/>
          <w:szCs w:val="24"/>
        </w:rPr>
        <w:t xml:space="preserve"> in later </w:t>
      </w:r>
      <w:r w:rsidRPr="00D3523F" w:rsidR="007B6865">
        <w:rPr>
          <w:rFonts w:ascii="Times New Roman" w:hAnsi="Times New Roman" w:cs="Times New Roman"/>
          <w:sz w:val="24"/>
          <w:szCs w:val="24"/>
        </w:rPr>
        <w:t>cycles</w:t>
      </w:r>
      <w:r w:rsidRPr="00D3523F">
        <w:rPr>
          <w:rFonts w:ascii="Times New Roman" w:hAnsi="Times New Roman" w:cs="Times New Roman"/>
          <w:sz w:val="24"/>
          <w:szCs w:val="24"/>
        </w:rPr>
        <w:t xml:space="preserve"> (</w:t>
      </w:r>
      <w:r w:rsidRPr="008667A4">
        <w:rPr>
          <w:rFonts w:ascii="Times New Roman" w:hAnsi="Times New Roman" w:cs="Times New Roman"/>
          <w:sz w:val="24"/>
          <w:szCs w:val="24"/>
        </w:rPr>
        <w:t>Thornton 201</w:t>
      </w:r>
      <w:r w:rsidRPr="00D3523F">
        <w:rPr>
          <w:rFonts w:ascii="Times New Roman" w:hAnsi="Times New Roman" w:cs="Times New Roman"/>
          <w:sz w:val="24"/>
          <w:szCs w:val="24"/>
        </w:rPr>
        <w:t>4). Consequently</w:t>
      </w:r>
      <w:r>
        <w:rPr>
          <w:rFonts w:ascii="Times New Roman" w:hAnsi="Times New Roman" w:cs="Times New Roman"/>
          <w:sz w:val="24"/>
          <w:szCs w:val="24"/>
        </w:rPr>
        <w:t xml:space="preserve">, the current practice of the NSCG is to incentivize returning sample members who had previously received an incentive. In </w:t>
      </w:r>
      <w:r w:rsidR="006118F0">
        <w:rPr>
          <w:rFonts w:ascii="Times New Roman" w:hAnsi="Times New Roman" w:cs="Times New Roman"/>
          <w:sz w:val="24"/>
          <w:szCs w:val="24"/>
        </w:rPr>
        <w:t>future</w:t>
      </w:r>
      <w:r>
        <w:rPr>
          <w:rFonts w:ascii="Times New Roman" w:hAnsi="Times New Roman" w:cs="Times New Roman"/>
          <w:sz w:val="24"/>
          <w:szCs w:val="24"/>
        </w:rPr>
        <w:t xml:space="preserve"> NTEWS cycles, NCSES will monitor response rates among </w:t>
      </w:r>
      <w:r>
        <w:rPr>
          <w:rFonts w:ascii="Times New Roman" w:hAnsi="Times New Roman" w:cs="Times New Roman"/>
          <w:sz w:val="24"/>
          <w:szCs w:val="24"/>
        </w:rPr>
        <w:lastRenderedPageBreak/>
        <w:t xml:space="preserve">returning sample members who received an incentive as part of the </w:t>
      </w:r>
      <w:r w:rsidR="006118F0">
        <w:rPr>
          <w:rFonts w:ascii="Times New Roman" w:hAnsi="Times New Roman" w:cs="Times New Roman"/>
          <w:sz w:val="24"/>
          <w:szCs w:val="24"/>
        </w:rPr>
        <w:t xml:space="preserve">initial </w:t>
      </w:r>
      <w:r>
        <w:rPr>
          <w:rFonts w:ascii="Times New Roman" w:hAnsi="Times New Roman" w:cs="Times New Roman"/>
          <w:sz w:val="24"/>
          <w:szCs w:val="24"/>
        </w:rPr>
        <w:t xml:space="preserve">noncontingent-incentive experiment. The incentive strategy for returning sample members in </w:t>
      </w:r>
      <w:r w:rsidR="006118F0">
        <w:rPr>
          <w:rFonts w:ascii="Times New Roman" w:hAnsi="Times New Roman" w:cs="Times New Roman"/>
          <w:sz w:val="24"/>
          <w:szCs w:val="24"/>
        </w:rPr>
        <w:t>future</w:t>
      </w:r>
      <w:r>
        <w:rPr>
          <w:rFonts w:ascii="Times New Roman" w:hAnsi="Times New Roman" w:cs="Times New Roman"/>
          <w:sz w:val="24"/>
          <w:szCs w:val="24"/>
        </w:rPr>
        <w:t xml:space="preserve"> cycles will be </w:t>
      </w:r>
      <w:r w:rsidR="00726065">
        <w:rPr>
          <w:rFonts w:ascii="Times New Roman" w:hAnsi="Times New Roman" w:cs="Times New Roman"/>
          <w:sz w:val="24"/>
          <w:szCs w:val="24"/>
        </w:rPr>
        <w:t xml:space="preserve">informed in part by whether any </w:t>
      </w:r>
      <w:r>
        <w:rPr>
          <w:rFonts w:ascii="Times New Roman" w:hAnsi="Times New Roman" w:cs="Times New Roman"/>
          <w:sz w:val="24"/>
          <w:szCs w:val="24"/>
        </w:rPr>
        <w:t>evidence of conditioning is observed.</w:t>
      </w:r>
    </w:p>
    <w:p w:rsidRPr="00EF5B41" w:rsidR="00EB3513" w:rsidP="00EB3513" w:rsidRDefault="00EB3513" w14:paraId="018AE728" w14:textId="50FF2869">
      <w:pPr>
        <w:rPr>
          <w:rFonts w:ascii="Times New Roman" w:hAnsi="Times New Roman" w:cs="Times New Roman"/>
          <w:sz w:val="24"/>
          <w:szCs w:val="24"/>
        </w:rPr>
      </w:pPr>
      <w:r>
        <w:rPr>
          <w:rFonts w:ascii="Times New Roman" w:hAnsi="Times New Roman" w:cs="Times New Roman"/>
          <w:sz w:val="24"/>
          <w:szCs w:val="24"/>
        </w:rPr>
        <w:t xml:space="preserve">A second potential risk is that some sample members may react negatively to the use of incentives—for example, some sample members may consider them to be a waste of taxpayer money. However, in </w:t>
      </w:r>
      <w:r w:rsidR="00F55521">
        <w:rPr>
          <w:rFonts w:ascii="Times New Roman" w:hAnsi="Times New Roman" w:cs="Times New Roman"/>
          <w:sz w:val="24"/>
          <w:szCs w:val="24"/>
        </w:rPr>
        <w:t xml:space="preserve">both </w:t>
      </w:r>
      <w:r w:rsidR="001321D4">
        <w:rPr>
          <w:rFonts w:ascii="Times New Roman" w:hAnsi="Times New Roman" w:cs="Times New Roman"/>
          <w:sz w:val="24"/>
          <w:szCs w:val="24"/>
        </w:rPr>
        <w:t>sponsoring agencies’</w:t>
      </w:r>
      <w:r>
        <w:rPr>
          <w:rFonts w:ascii="Times New Roman" w:hAnsi="Times New Roman" w:cs="Times New Roman"/>
          <w:sz w:val="24"/>
          <w:szCs w:val="24"/>
        </w:rPr>
        <w:t xml:space="preserve"> experience, complaints</w:t>
      </w:r>
      <w:r w:rsidR="00E72FD1">
        <w:rPr>
          <w:rFonts w:ascii="Times New Roman" w:hAnsi="Times New Roman" w:cs="Times New Roman"/>
          <w:sz w:val="24"/>
          <w:szCs w:val="24"/>
        </w:rPr>
        <w:t xml:space="preserve"> by sample members</w:t>
      </w:r>
      <w:r>
        <w:rPr>
          <w:rFonts w:ascii="Times New Roman" w:hAnsi="Times New Roman" w:cs="Times New Roman"/>
          <w:sz w:val="24"/>
          <w:szCs w:val="24"/>
        </w:rPr>
        <w:t xml:space="preserve"> related to the use of incentives are rare. In the 2019 NHES, the Census Bureau received fewer than </w:t>
      </w:r>
      <w:r w:rsidR="00147851">
        <w:rPr>
          <w:rFonts w:ascii="Times New Roman" w:hAnsi="Times New Roman" w:cs="Times New Roman"/>
          <w:sz w:val="24"/>
          <w:szCs w:val="24"/>
        </w:rPr>
        <w:t>30</w:t>
      </w:r>
      <w:r>
        <w:rPr>
          <w:rFonts w:ascii="Times New Roman" w:hAnsi="Times New Roman" w:cs="Times New Roman"/>
          <w:sz w:val="24"/>
          <w:szCs w:val="24"/>
        </w:rPr>
        <w:t xml:space="preserve"> complaints out of a sample of 205,000 addresses. In the 2019 NSCG, call-center staff reported no complaints about incentives; all inbound communication related to the incentives consisted of respondents seeking replacement debit cards or information about the proper use of the cards.</w:t>
      </w:r>
    </w:p>
    <w:p w:rsidRPr="00EB3513" w:rsidR="00392B22" w:rsidP="008B5C08" w:rsidRDefault="00EB3513" w14:paraId="2BA961FA" w14:textId="412BD147">
      <w:pPr>
        <w:rPr>
          <w:rFonts w:ascii="Times New Roman" w:hAnsi="Times New Roman" w:cs="Times New Roman"/>
          <w:sz w:val="24"/>
          <w:szCs w:val="24"/>
        </w:rPr>
      </w:pPr>
      <w:r>
        <w:rPr>
          <w:rFonts w:ascii="Times New Roman" w:hAnsi="Times New Roman" w:cs="Times New Roman"/>
          <w:sz w:val="24"/>
          <w:szCs w:val="24"/>
        </w:rPr>
        <w:t>Finally, the fact that the sampling frame for the NTEWS consists of prior ACS respondents raises the question of whether incentives may be redundant, since all sample members will have previously demonstrated a willingness to respond to a federal survey. However, NCSES believe</w:t>
      </w:r>
      <w:r w:rsidR="00160602">
        <w:rPr>
          <w:rFonts w:ascii="Times New Roman" w:hAnsi="Times New Roman" w:cs="Times New Roman"/>
          <w:sz w:val="24"/>
          <w:szCs w:val="24"/>
        </w:rPr>
        <w:t>s</w:t>
      </w:r>
      <w:r>
        <w:rPr>
          <w:rFonts w:ascii="Times New Roman" w:hAnsi="Times New Roman" w:cs="Times New Roman"/>
          <w:sz w:val="24"/>
          <w:szCs w:val="24"/>
        </w:rPr>
        <w:t xml:space="preserve"> that experimentation with incentives is still warranted, for several reasons. First, the ACS is a mandatory survey for which individuals can be fined for not participating, whereas the NTEWS is a voluntary survey and </w:t>
      </w:r>
      <w:r w:rsidR="00B733D6">
        <w:rPr>
          <w:rFonts w:ascii="Times New Roman" w:hAnsi="Times New Roman" w:cs="Times New Roman"/>
          <w:sz w:val="24"/>
          <w:szCs w:val="24"/>
        </w:rPr>
        <w:t xml:space="preserve">is </w:t>
      </w:r>
      <w:r>
        <w:rPr>
          <w:rFonts w:ascii="Times New Roman" w:hAnsi="Times New Roman" w:cs="Times New Roman"/>
          <w:sz w:val="24"/>
          <w:szCs w:val="24"/>
        </w:rPr>
        <w:t xml:space="preserve">explicitly identified as such in respondent contact materials. Second, the ACS, unlike the NTEWS, includes an in-person follow-up phase; therefore, the NTEWS sample will include some ACS respondents who did not respond by any of the three modes that will be offered in the NTEWS (web, paper, or CATI). </w:t>
      </w:r>
      <w:r w:rsidR="006A113D">
        <w:rPr>
          <w:rFonts w:ascii="Times New Roman" w:hAnsi="Times New Roman" w:cs="Times New Roman"/>
          <w:sz w:val="24"/>
          <w:szCs w:val="24"/>
        </w:rPr>
        <w:t xml:space="preserve">Third, the NTEWS (like the NSCG) will sample a single person from each household; and, in households with more than one person, the selected person may not be the same person who responded to the ACS on behalf of the household. </w:t>
      </w:r>
      <w:r>
        <w:rPr>
          <w:rFonts w:ascii="Times New Roman" w:hAnsi="Times New Roman" w:cs="Times New Roman"/>
          <w:sz w:val="24"/>
          <w:szCs w:val="24"/>
        </w:rPr>
        <w:t xml:space="preserve">Finally, the NSCG is also drawn from the ACS frame, and prior experimentation has found incentivization to </w:t>
      </w:r>
      <w:r w:rsidR="00B733D6">
        <w:rPr>
          <w:rFonts w:ascii="Times New Roman" w:hAnsi="Times New Roman" w:cs="Times New Roman"/>
          <w:sz w:val="24"/>
          <w:szCs w:val="24"/>
        </w:rPr>
        <w:t>reduce bias in</w:t>
      </w:r>
      <w:r>
        <w:rPr>
          <w:rFonts w:ascii="Times New Roman" w:hAnsi="Times New Roman" w:cs="Times New Roman"/>
          <w:sz w:val="24"/>
          <w:szCs w:val="24"/>
        </w:rPr>
        <w:t xml:space="preserve"> the NSCG. These factors all provide reason to expect that incentives may be </w:t>
      </w:r>
      <w:r w:rsidR="008640F6">
        <w:rPr>
          <w:rFonts w:ascii="Times New Roman" w:hAnsi="Times New Roman" w:cs="Times New Roman"/>
          <w:sz w:val="24"/>
          <w:szCs w:val="24"/>
        </w:rPr>
        <w:t xml:space="preserve">both </w:t>
      </w:r>
      <w:r w:rsidR="00B020BC">
        <w:rPr>
          <w:rFonts w:ascii="Times New Roman" w:hAnsi="Times New Roman" w:cs="Times New Roman"/>
          <w:sz w:val="24"/>
          <w:szCs w:val="24"/>
        </w:rPr>
        <w:t>needed and useful to reduce bias in</w:t>
      </w:r>
      <w:r>
        <w:rPr>
          <w:rFonts w:ascii="Times New Roman" w:hAnsi="Times New Roman" w:cs="Times New Roman"/>
          <w:sz w:val="24"/>
          <w:szCs w:val="24"/>
        </w:rPr>
        <w:t xml:space="preserve"> the NTEWS sample. However, by including a no-incentive treatment group within the noncontingent-incentive experiment</w:t>
      </w:r>
      <w:r w:rsidR="008640F6">
        <w:rPr>
          <w:rFonts w:ascii="Times New Roman" w:hAnsi="Times New Roman" w:cs="Times New Roman"/>
          <w:sz w:val="24"/>
          <w:szCs w:val="24"/>
        </w:rPr>
        <w:t xml:space="preserve"> (as discussed below)</w:t>
      </w:r>
      <w:r>
        <w:rPr>
          <w:rFonts w:ascii="Times New Roman" w:hAnsi="Times New Roman" w:cs="Times New Roman"/>
          <w:sz w:val="24"/>
          <w:szCs w:val="24"/>
        </w:rPr>
        <w:t>, NCSES will be able to determine the baseline response rate that could be achieved without an incentive, and thereby identify any subgroups for which incentivization may be unnecessary in future cycles.</w:t>
      </w:r>
    </w:p>
    <w:p w:rsidR="00455186" w:rsidP="008B5C08" w:rsidRDefault="00455186" w14:paraId="44318406" w14:textId="1A919CB5">
      <w:pPr>
        <w:rPr>
          <w:rFonts w:ascii="Times New Roman" w:hAnsi="Times New Roman" w:cs="Times New Roman"/>
          <w:sz w:val="24"/>
          <w:szCs w:val="24"/>
        </w:rPr>
      </w:pPr>
      <w:r>
        <w:rPr>
          <w:rFonts w:ascii="Times New Roman" w:hAnsi="Times New Roman" w:cs="Times New Roman"/>
          <w:i/>
          <w:sz w:val="24"/>
          <w:szCs w:val="24"/>
        </w:rPr>
        <w:t>3.</w:t>
      </w:r>
      <w:r w:rsidR="004F3B66">
        <w:rPr>
          <w:rFonts w:ascii="Times New Roman" w:hAnsi="Times New Roman" w:cs="Times New Roman"/>
          <w:i/>
          <w:sz w:val="24"/>
          <w:szCs w:val="24"/>
        </w:rPr>
        <w:t>6</w:t>
      </w:r>
      <w:r>
        <w:rPr>
          <w:rFonts w:ascii="Times New Roman" w:hAnsi="Times New Roman" w:cs="Times New Roman"/>
          <w:i/>
          <w:sz w:val="24"/>
          <w:szCs w:val="24"/>
        </w:rPr>
        <w:t>. Treatment groups</w:t>
      </w:r>
    </w:p>
    <w:p w:rsidR="00C54AB3" w:rsidP="00685094" w:rsidRDefault="00685094" w14:paraId="2CFAFF17" w14:textId="597412EF">
      <w:pPr>
        <w:rPr>
          <w:rFonts w:ascii="Times New Roman" w:hAnsi="Times New Roman" w:cs="Times New Roman"/>
          <w:sz w:val="24"/>
          <w:szCs w:val="24"/>
        </w:rPr>
      </w:pPr>
      <w:r w:rsidRPr="00397F25">
        <w:rPr>
          <w:rFonts w:ascii="Times New Roman" w:hAnsi="Times New Roman" w:cs="Times New Roman"/>
          <w:sz w:val="24"/>
          <w:szCs w:val="24"/>
        </w:rPr>
        <w:t xml:space="preserve">The </w:t>
      </w:r>
      <w:r w:rsidR="00041238">
        <w:rPr>
          <w:rFonts w:ascii="Times New Roman" w:hAnsi="Times New Roman" w:cs="Times New Roman"/>
          <w:sz w:val="24"/>
          <w:szCs w:val="24"/>
        </w:rPr>
        <w:t xml:space="preserve">noncontingent-incentive experiment will test three alternative dollar values for a prepaid debit card, as well as a no-incentive control. The </w:t>
      </w:r>
      <w:r w:rsidRPr="00397F25">
        <w:rPr>
          <w:rFonts w:ascii="Times New Roman" w:hAnsi="Times New Roman" w:cs="Times New Roman"/>
          <w:sz w:val="24"/>
          <w:szCs w:val="24"/>
        </w:rPr>
        <w:t>NTEWS</w:t>
      </w:r>
      <w:r w:rsidR="00243138">
        <w:rPr>
          <w:rFonts w:ascii="Times New Roman" w:hAnsi="Times New Roman" w:cs="Times New Roman"/>
          <w:sz w:val="24"/>
          <w:szCs w:val="24"/>
        </w:rPr>
        <w:t xml:space="preserve"> production</w:t>
      </w:r>
      <w:r w:rsidRPr="00397F25">
        <w:rPr>
          <w:rFonts w:ascii="Times New Roman" w:hAnsi="Times New Roman" w:cs="Times New Roman"/>
          <w:sz w:val="24"/>
          <w:szCs w:val="24"/>
        </w:rPr>
        <w:t xml:space="preserve"> sample will be randomly split into four equal-size treatment group</w:t>
      </w:r>
      <w:r w:rsidR="00AE0CEC">
        <w:rPr>
          <w:rFonts w:ascii="Times New Roman" w:hAnsi="Times New Roman" w:cs="Times New Roman"/>
          <w:sz w:val="24"/>
          <w:szCs w:val="24"/>
        </w:rPr>
        <w:t>s</w:t>
      </w:r>
      <w:r w:rsidRPr="00397F25">
        <w:rPr>
          <w:rFonts w:ascii="Times New Roman" w:hAnsi="Times New Roman" w:cs="Times New Roman"/>
          <w:sz w:val="24"/>
          <w:szCs w:val="24"/>
        </w:rPr>
        <w:t xml:space="preserve"> that will determine the value of the debit card sent with the </w:t>
      </w:r>
      <w:r w:rsidR="00341E6A">
        <w:rPr>
          <w:rFonts w:ascii="Times New Roman" w:hAnsi="Times New Roman" w:cs="Times New Roman"/>
          <w:sz w:val="24"/>
          <w:szCs w:val="24"/>
        </w:rPr>
        <w:t>first</w:t>
      </w:r>
      <w:r w:rsidRPr="00397F25">
        <w:rPr>
          <w:rFonts w:ascii="Times New Roman" w:hAnsi="Times New Roman" w:cs="Times New Roman"/>
          <w:sz w:val="24"/>
          <w:szCs w:val="24"/>
        </w:rPr>
        <w:t xml:space="preserve"> mailing: $0 (i.e., no debit card with the first mailing), $10, $20, and $30. The $0 group will be further split, with half receiving a $30 debit card with the </w:t>
      </w:r>
      <w:r w:rsidRPr="00397F25">
        <w:rPr>
          <w:rFonts w:ascii="Times New Roman" w:hAnsi="Times New Roman" w:cs="Times New Roman"/>
          <w:i/>
          <w:sz w:val="24"/>
          <w:szCs w:val="24"/>
        </w:rPr>
        <w:t>final</w:t>
      </w:r>
      <w:r w:rsidRPr="00397F25">
        <w:rPr>
          <w:rFonts w:ascii="Times New Roman" w:hAnsi="Times New Roman" w:cs="Times New Roman"/>
          <w:sz w:val="24"/>
          <w:szCs w:val="24"/>
        </w:rPr>
        <w:t xml:space="preserve"> mailing (as a “</w:t>
      </w:r>
      <w:r w:rsidR="00E96457">
        <w:rPr>
          <w:rFonts w:ascii="Times New Roman" w:hAnsi="Times New Roman" w:cs="Times New Roman"/>
          <w:sz w:val="24"/>
          <w:szCs w:val="24"/>
        </w:rPr>
        <w:t>late</w:t>
      </w:r>
      <w:r w:rsidRPr="00397F25">
        <w:rPr>
          <w:rFonts w:ascii="Times New Roman" w:hAnsi="Times New Roman" w:cs="Times New Roman"/>
          <w:sz w:val="24"/>
          <w:szCs w:val="24"/>
        </w:rPr>
        <w:t>-</w:t>
      </w:r>
      <w:r w:rsidR="00E96457">
        <w:rPr>
          <w:rFonts w:ascii="Times New Roman" w:hAnsi="Times New Roman" w:cs="Times New Roman"/>
          <w:sz w:val="24"/>
          <w:szCs w:val="24"/>
        </w:rPr>
        <w:t>stage</w:t>
      </w:r>
      <w:r w:rsidRPr="00397F25" w:rsidR="00E96457">
        <w:rPr>
          <w:rFonts w:ascii="Times New Roman" w:hAnsi="Times New Roman" w:cs="Times New Roman"/>
          <w:sz w:val="24"/>
          <w:szCs w:val="24"/>
        </w:rPr>
        <w:t xml:space="preserve"> </w:t>
      </w:r>
      <w:r w:rsidRPr="00397F25">
        <w:rPr>
          <w:rFonts w:ascii="Times New Roman" w:hAnsi="Times New Roman" w:cs="Times New Roman"/>
          <w:sz w:val="24"/>
          <w:szCs w:val="24"/>
        </w:rPr>
        <w:t>incentive”) and the other half receiving no incentive at any mailing. Thus, the NTEWS noncontingent</w:t>
      </w:r>
      <w:r w:rsidR="00C41AF1">
        <w:rPr>
          <w:rFonts w:ascii="Times New Roman" w:hAnsi="Times New Roman" w:cs="Times New Roman"/>
          <w:sz w:val="24"/>
          <w:szCs w:val="24"/>
        </w:rPr>
        <w:t>-</w:t>
      </w:r>
      <w:r w:rsidRPr="00397F25">
        <w:rPr>
          <w:rFonts w:ascii="Times New Roman" w:hAnsi="Times New Roman" w:cs="Times New Roman"/>
          <w:sz w:val="24"/>
          <w:szCs w:val="24"/>
        </w:rPr>
        <w:t xml:space="preserve">incentive experiment will have five treatment groups, as shown in </w:t>
      </w:r>
      <w:r w:rsidRPr="009A39D8">
        <w:rPr>
          <w:rFonts w:ascii="Times New Roman" w:hAnsi="Times New Roman" w:cs="Times New Roman"/>
          <w:sz w:val="24"/>
          <w:szCs w:val="24"/>
        </w:rPr>
        <w:t xml:space="preserve">table </w:t>
      </w:r>
      <w:r w:rsidRPr="009A39D8" w:rsidR="00E45B4A">
        <w:rPr>
          <w:rFonts w:ascii="Times New Roman" w:hAnsi="Times New Roman" w:cs="Times New Roman"/>
          <w:sz w:val="24"/>
          <w:szCs w:val="24"/>
        </w:rPr>
        <w:t>C</w:t>
      </w:r>
      <w:r w:rsidRPr="009A39D8">
        <w:rPr>
          <w:rFonts w:ascii="Times New Roman" w:hAnsi="Times New Roman" w:cs="Times New Roman"/>
          <w:sz w:val="24"/>
          <w:szCs w:val="24"/>
        </w:rPr>
        <w:t>.</w:t>
      </w:r>
      <w:r w:rsidRPr="009A39D8" w:rsidR="00672F6D">
        <w:rPr>
          <w:rFonts w:ascii="Times New Roman" w:hAnsi="Times New Roman" w:cs="Times New Roman"/>
          <w:sz w:val="24"/>
          <w:szCs w:val="24"/>
        </w:rPr>
        <w:t>4</w:t>
      </w:r>
      <w:r w:rsidRPr="009A39D8">
        <w:rPr>
          <w:rFonts w:ascii="Times New Roman" w:hAnsi="Times New Roman" w:cs="Times New Roman"/>
          <w:sz w:val="24"/>
          <w:szCs w:val="24"/>
        </w:rPr>
        <w:t>.</w:t>
      </w:r>
    </w:p>
    <w:p w:rsidR="005E63D1" w:rsidP="00685094" w:rsidRDefault="005E63D1" w14:paraId="37CD29C0" w14:textId="54C77EBE">
      <w:pPr>
        <w:rPr>
          <w:rFonts w:ascii="Times New Roman" w:hAnsi="Times New Roman" w:cs="Times New Roman"/>
          <w:sz w:val="24"/>
          <w:szCs w:val="24"/>
        </w:rPr>
      </w:pPr>
    </w:p>
    <w:p w:rsidR="005E63D1" w:rsidP="00685094" w:rsidRDefault="005E63D1" w14:paraId="0456309E" w14:textId="7993DEF5">
      <w:pPr>
        <w:rPr>
          <w:rFonts w:ascii="Times New Roman" w:hAnsi="Times New Roman" w:cs="Times New Roman"/>
          <w:sz w:val="24"/>
          <w:szCs w:val="24"/>
        </w:rPr>
      </w:pPr>
    </w:p>
    <w:p w:rsidR="005E63D1" w:rsidP="00685094" w:rsidRDefault="005E63D1" w14:paraId="38DD5ABC" w14:textId="1EEEB058">
      <w:pPr>
        <w:rPr>
          <w:rFonts w:ascii="Times New Roman" w:hAnsi="Times New Roman" w:cs="Times New Roman"/>
          <w:sz w:val="24"/>
          <w:szCs w:val="24"/>
        </w:rPr>
      </w:pPr>
    </w:p>
    <w:p w:rsidR="005E63D1" w:rsidP="00685094" w:rsidRDefault="005E63D1" w14:paraId="45EFF5D6" w14:textId="21B6F2BA">
      <w:pPr>
        <w:rPr>
          <w:rFonts w:ascii="Times New Roman" w:hAnsi="Times New Roman" w:cs="Times New Roman"/>
          <w:sz w:val="24"/>
          <w:szCs w:val="24"/>
        </w:rPr>
      </w:pPr>
    </w:p>
    <w:p w:rsidRPr="00397F25" w:rsidR="005E63D1" w:rsidP="00685094" w:rsidRDefault="005E63D1" w14:paraId="028A9733" w14:textId="77777777">
      <w:pPr>
        <w:rPr>
          <w:rFonts w:ascii="Times New Roman" w:hAnsi="Times New Roman" w:cs="Times New Roman"/>
          <w:sz w:val="24"/>
          <w:szCs w:val="24"/>
        </w:rPr>
      </w:pPr>
    </w:p>
    <w:tbl>
      <w:tblPr>
        <w:tblW w:w="8084" w:type="dxa"/>
        <w:jc w:val="center"/>
        <w:tblLook w:val="04A0" w:firstRow="1" w:lastRow="0" w:firstColumn="1" w:lastColumn="0" w:noHBand="0" w:noVBand="1"/>
      </w:tblPr>
      <w:tblGrid>
        <w:gridCol w:w="1218"/>
        <w:gridCol w:w="3921"/>
        <w:gridCol w:w="1084"/>
        <w:gridCol w:w="925"/>
        <w:gridCol w:w="936"/>
      </w:tblGrid>
      <w:tr w:rsidRPr="00685094" w:rsidR="00546C84" w:rsidTr="00394F70" w14:paraId="3C76E6D2" w14:textId="77777777">
        <w:trPr>
          <w:trHeight w:val="315"/>
          <w:jc w:val="center"/>
        </w:trPr>
        <w:tc>
          <w:tcPr>
            <w:tcW w:w="8084" w:type="dxa"/>
            <w:gridSpan w:val="5"/>
            <w:tcBorders>
              <w:top w:val="nil"/>
              <w:left w:val="nil"/>
              <w:bottom w:val="single" w:color="auto" w:sz="12" w:space="0"/>
              <w:right w:val="nil"/>
            </w:tcBorders>
            <w:shd w:val="clear" w:color="auto" w:fill="auto"/>
            <w:noWrap/>
            <w:vAlign w:val="bottom"/>
            <w:hideMark/>
          </w:tcPr>
          <w:p w:rsidRPr="00685094" w:rsidR="00546C84" w:rsidP="004A5C4F" w:rsidRDefault="00546C84" w14:paraId="11EFED7F" w14:textId="10CF8BAF">
            <w:pPr>
              <w:spacing w:after="0" w:line="240" w:lineRule="auto"/>
              <w:rPr>
                <w:rFonts w:ascii="Times New Roman" w:hAnsi="Times New Roman" w:eastAsia="Times New Roman" w:cs="Times New Roman"/>
                <w:color w:val="000000"/>
              </w:rPr>
            </w:pPr>
            <w:r w:rsidRPr="00685094">
              <w:rPr>
                <w:rFonts w:ascii="Times New Roman" w:hAnsi="Times New Roman" w:eastAsia="Times New Roman" w:cs="Times New Roman"/>
                <w:color w:val="000000"/>
              </w:rPr>
              <w:t xml:space="preserve">Table </w:t>
            </w:r>
            <w:r w:rsidR="00E45B4A">
              <w:rPr>
                <w:rFonts w:ascii="Times New Roman" w:hAnsi="Times New Roman" w:eastAsia="Times New Roman" w:cs="Times New Roman"/>
                <w:color w:val="000000"/>
              </w:rPr>
              <w:t>C</w:t>
            </w:r>
            <w:r w:rsidRPr="009A39D8">
              <w:rPr>
                <w:rFonts w:ascii="Times New Roman" w:hAnsi="Times New Roman" w:eastAsia="Times New Roman" w:cs="Times New Roman"/>
                <w:color w:val="000000"/>
              </w:rPr>
              <w:t>.</w:t>
            </w:r>
            <w:r w:rsidRPr="009A39D8" w:rsidR="00672F6D">
              <w:rPr>
                <w:rFonts w:ascii="Times New Roman" w:hAnsi="Times New Roman" w:eastAsia="Times New Roman" w:cs="Times New Roman"/>
                <w:color w:val="000000"/>
              </w:rPr>
              <w:t>4</w:t>
            </w:r>
            <w:r w:rsidRPr="00685094">
              <w:rPr>
                <w:rFonts w:ascii="Times New Roman" w:hAnsi="Times New Roman" w:eastAsia="Times New Roman" w:cs="Times New Roman"/>
                <w:color w:val="000000"/>
              </w:rPr>
              <w:t>.</w:t>
            </w:r>
            <w:r>
              <w:rPr>
                <w:rFonts w:ascii="Times New Roman" w:hAnsi="Times New Roman" w:eastAsia="Times New Roman" w:cs="Times New Roman"/>
                <w:color w:val="000000"/>
              </w:rPr>
              <w:t xml:space="preserve">   </w:t>
            </w:r>
            <w:r w:rsidRPr="00685094">
              <w:rPr>
                <w:rFonts w:ascii="Times New Roman" w:hAnsi="Times New Roman" w:eastAsia="Times New Roman" w:cs="Times New Roman"/>
                <w:color w:val="000000"/>
              </w:rPr>
              <w:t>Noncontingent</w:t>
            </w:r>
            <w:r>
              <w:rPr>
                <w:rFonts w:ascii="Times New Roman" w:hAnsi="Times New Roman" w:eastAsia="Times New Roman" w:cs="Times New Roman"/>
                <w:color w:val="000000"/>
              </w:rPr>
              <w:t>-</w:t>
            </w:r>
            <w:r w:rsidRPr="00685094">
              <w:rPr>
                <w:rFonts w:ascii="Times New Roman" w:hAnsi="Times New Roman" w:eastAsia="Times New Roman" w:cs="Times New Roman"/>
                <w:color w:val="000000"/>
              </w:rPr>
              <w:t>incentive treatment groups</w:t>
            </w:r>
          </w:p>
        </w:tc>
      </w:tr>
      <w:tr w:rsidRPr="00685094" w:rsidR="00685094" w:rsidTr="008667A4" w14:paraId="3449989E" w14:textId="77777777">
        <w:trPr>
          <w:trHeight w:val="615"/>
          <w:jc w:val="center"/>
        </w:trPr>
        <w:tc>
          <w:tcPr>
            <w:tcW w:w="1218" w:type="dxa"/>
            <w:vMerge w:val="restart"/>
            <w:tcBorders>
              <w:top w:val="single" w:color="auto" w:sz="12" w:space="0"/>
              <w:left w:val="nil"/>
              <w:bottom w:val="single" w:color="000000" w:sz="12" w:space="0"/>
              <w:right w:val="nil"/>
            </w:tcBorders>
            <w:shd w:val="clear" w:color="auto" w:fill="auto"/>
            <w:noWrap/>
            <w:vAlign w:val="bottom"/>
            <w:hideMark/>
          </w:tcPr>
          <w:p w:rsidRPr="00685094" w:rsidR="00685094" w:rsidP="004A5C4F" w:rsidRDefault="00AF7F45" w14:paraId="3881DD48" w14:textId="3E3DBA86">
            <w:pPr>
              <w:spacing w:after="0" w:line="240" w:lineRule="auto"/>
              <w:rPr>
                <w:rFonts w:ascii="Times New Roman" w:hAnsi="Times New Roman" w:eastAsia="Times New Roman" w:cs="Times New Roman"/>
                <w:b/>
                <w:bCs/>
                <w:color w:val="000000"/>
              </w:rPr>
            </w:pPr>
            <w:r>
              <w:rPr>
                <w:rFonts w:ascii="Times New Roman" w:hAnsi="Times New Roman" w:eastAsia="Times New Roman" w:cs="Times New Roman"/>
                <w:b/>
                <w:bCs/>
                <w:color w:val="000000"/>
              </w:rPr>
              <w:t>Treatment group</w:t>
            </w:r>
          </w:p>
        </w:tc>
        <w:tc>
          <w:tcPr>
            <w:tcW w:w="3921" w:type="dxa"/>
            <w:vMerge w:val="restart"/>
            <w:tcBorders>
              <w:top w:val="single" w:color="auto" w:sz="12" w:space="0"/>
              <w:left w:val="nil"/>
              <w:bottom w:val="single" w:color="000000" w:sz="12" w:space="0"/>
              <w:right w:val="nil"/>
            </w:tcBorders>
            <w:shd w:val="clear" w:color="auto" w:fill="auto"/>
            <w:noWrap/>
            <w:vAlign w:val="bottom"/>
            <w:hideMark/>
          </w:tcPr>
          <w:p w:rsidRPr="00685094" w:rsidR="00685094" w:rsidP="004A5C4F" w:rsidRDefault="00685094" w14:paraId="6912E893" w14:textId="77777777">
            <w:pPr>
              <w:spacing w:after="0" w:line="240" w:lineRule="auto"/>
              <w:rPr>
                <w:rFonts w:ascii="Times New Roman" w:hAnsi="Times New Roman" w:eastAsia="Times New Roman" w:cs="Times New Roman"/>
                <w:b/>
                <w:bCs/>
                <w:color w:val="000000"/>
              </w:rPr>
            </w:pPr>
            <w:r w:rsidRPr="00685094">
              <w:rPr>
                <w:rFonts w:ascii="Times New Roman" w:hAnsi="Times New Roman" w:eastAsia="Times New Roman" w:cs="Times New Roman"/>
                <w:b/>
                <w:bCs/>
                <w:color w:val="000000"/>
              </w:rPr>
              <w:t>Description</w:t>
            </w:r>
          </w:p>
        </w:tc>
        <w:tc>
          <w:tcPr>
            <w:tcW w:w="1084" w:type="dxa"/>
            <w:vMerge w:val="restart"/>
            <w:tcBorders>
              <w:top w:val="single" w:color="auto" w:sz="12" w:space="0"/>
              <w:left w:val="nil"/>
              <w:bottom w:val="single" w:color="000000" w:sz="12" w:space="0"/>
              <w:right w:val="nil"/>
            </w:tcBorders>
            <w:shd w:val="clear" w:color="auto" w:fill="auto"/>
            <w:vAlign w:val="bottom"/>
            <w:hideMark/>
          </w:tcPr>
          <w:p w:rsidRPr="00685094" w:rsidR="00685094" w:rsidP="004A5C4F" w:rsidRDefault="00685094" w14:paraId="15712BF1" w14:textId="77777777">
            <w:pPr>
              <w:spacing w:after="0" w:line="240" w:lineRule="auto"/>
              <w:jc w:val="right"/>
              <w:rPr>
                <w:rFonts w:ascii="Times New Roman" w:hAnsi="Times New Roman" w:eastAsia="Times New Roman" w:cs="Times New Roman"/>
                <w:b/>
                <w:bCs/>
                <w:color w:val="000000"/>
              </w:rPr>
            </w:pPr>
            <w:r w:rsidRPr="00685094">
              <w:rPr>
                <w:rFonts w:ascii="Times New Roman" w:hAnsi="Times New Roman" w:eastAsia="Times New Roman" w:cs="Times New Roman"/>
                <w:b/>
                <w:bCs/>
                <w:color w:val="000000"/>
              </w:rPr>
              <w:t>Expected sample size</w:t>
            </w:r>
          </w:p>
        </w:tc>
        <w:tc>
          <w:tcPr>
            <w:tcW w:w="1861" w:type="dxa"/>
            <w:gridSpan w:val="2"/>
            <w:tcBorders>
              <w:top w:val="single" w:color="auto" w:sz="12" w:space="0"/>
              <w:left w:val="nil"/>
              <w:bottom w:val="single" w:color="auto" w:sz="4" w:space="0"/>
              <w:right w:val="nil"/>
            </w:tcBorders>
            <w:shd w:val="clear" w:color="auto" w:fill="auto"/>
            <w:vAlign w:val="bottom"/>
            <w:hideMark/>
          </w:tcPr>
          <w:p w:rsidRPr="00685094" w:rsidR="00685094" w:rsidP="004A5C4F" w:rsidRDefault="00685094" w14:paraId="31AF7C8A" w14:textId="77777777">
            <w:pPr>
              <w:spacing w:after="0" w:line="240" w:lineRule="auto"/>
              <w:jc w:val="center"/>
              <w:rPr>
                <w:rFonts w:ascii="Times New Roman" w:hAnsi="Times New Roman" w:eastAsia="Times New Roman" w:cs="Times New Roman"/>
                <w:b/>
                <w:bCs/>
                <w:color w:val="000000"/>
              </w:rPr>
            </w:pPr>
            <w:r w:rsidRPr="00685094">
              <w:rPr>
                <w:rFonts w:ascii="Times New Roman" w:hAnsi="Times New Roman" w:eastAsia="Times New Roman" w:cs="Times New Roman"/>
                <w:b/>
                <w:bCs/>
                <w:color w:val="000000"/>
              </w:rPr>
              <w:t>Value of debit card sent in…</w:t>
            </w:r>
          </w:p>
        </w:tc>
      </w:tr>
      <w:tr w:rsidRPr="00685094" w:rsidR="00685094" w:rsidTr="008667A4" w14:paraId="2AA05524" w14:textId="77777777">
        <w:trPr>
          <w:trHeight w:val="315"/>
          <w:jc w:val="center"/>
        </w:trPr>
        <w:tc>
          <w:tcPr>
            <w:tcW w:w="1218" w:type="dxa"/>
            <w:vMerge/>
            <w:tcBorders>
              <w:top w:val="single" w:color="auto" w:sz="12" w:space="0"/>
              <w:left w:val="nil"/>
              <w:bottom w:val="single" w:color="000000" w:sz="12" w:space="0"/>
              <w:right w:val="nil"/>
            </w:tcBorders>
            <w:vAlign w:val="center"/>
            <w:hideMark/>
          </w:tcPr>
          <w:p w:rsidRPr="00685094" w:rsidR="00685094" w:rsidP="004A5C4F" w:rsidRDefault="00685094" w14:paraId="0670C11D" w14:textId="77777777">
            <w:pPr>
              <w:spacing w:after="0" w:line="240" w:lineRule="auto"/>
              <w:rPr>
                <w:rFonts w:ascii="Times New Roman" w:hAnsi="Times New Roman" w:eastAsia="Times New Roman" w:cs="Times New Roman"/>
                <w:b/>
                <w:bCs/>
                <w:color w:val="000000"/>
              </w:rPr>
            </w:pPr>
          </w:p>
        </w:tc>
        <w:tc>
          <w:tcPr>
            <w:tcW w:w="3921" w:type="dxa"/>
            <w:vMerge/>
            <w:tcBorders>
              <w:top w:val="nil"/>
              <w:left w:val="nil"/>
              <w:bottom w:val="single" w:color="000000" w:sz="12" w:space="0"/>
              <w:right w:val="nil"/>
            </w:tcBorders>
            <w:vAlign w:val="center"/>
            <w:hideMark/>
          </w:tcPr>
          <w:p w:rsidRPr="00685094" w:rsidR="00685094" w:rsidP="004A5C4F" w:rsidRDefault="00685094" w14:paraId="2EAD359A" w14:textId="77777777">
            <w:pPr>
              <w:spacing w:after="0" w:line="240" w:lineRule="auto"/>
              <w:rPr>
                <w:rFonts w:ascii="Times New Roman" w:hAnsi="Times New Roman" w:eastAsia="Times New Roman" w:cs="Times New Roman"/>
                <w:b/>
                <w:bCs/>
                <w:color w:val="000000"/>
              </w:rPr>
            </w:pPr>
          </w:p>
        </w:tc>
        <w:tc>
          <w:tcPr>
            <w:tcW w:w="1084" w:type="dxa"/>
            <w:vMerge/>
            <w:tcBorders>
              <w:top w:val="nil"/>
              <w:left w:val="nil"/>
              <w:bottom w:val="single" w:color="000000" w:sz="12" w:space="0"/>
              <w:right w:val="nil"/>
            </w:tcBorders>
            <w:vAlign w:val="center"/>
            <w:hideMark/>
          </w:tcPr>
          <w:p w:rsidRPr="00685094" w:rsidR="00685094" w:rsidP="004A5C4F" w:rsidRDefault="00685094" w14:paraId="45EE1409" w14:textId="77777777">
            <w:pPr>
              <w:spacing w:after="0" w:line="240" w:lineRule="auto"/>
              <w:rPr>
                <w:rFonts w:ascii="Times New Roman" w:hAnsi="Times New Roman" w:eastAsia="Times New Roman" w:cs="Times New Roman"/>
                <w:b/>
                <w:bCs/>
                <w:color w:val="000000"/>
              </w:rPr>
            </w:pPr>
          </w:p>
        </w:tc>
        <w:tc>
          <w:tcPr>
            <w:tcW w:w="925" w:type="dxa"/>
            <w:tcBorders>
              <w:top w:val="nil"/>
              <w:left w:val="nil"/>
              <w:bottom w:val="single" w:color="auto" w:sz="12" w:space="0"/>
              <w:right w:val="nil"/>
            </w:tcBorders>
            <w:shd w:val="clear" w:color="auto" w:fill="auto"/>
            <w:noWrap/>
            <w:vAlign w:val="bottom"/>
            <w:hideMark/>
          </w:tcPr>
          <w:p w:rsidRPr="00685094" w:rsidR="00685094" w:rsidP="0058447E" w:rsidRDefault="00685094" w14:paraId="598374DC" w14:textId="77777777">
            <w:pPr>
              <w:spacing w:after="0" w:line="240" w:lineRule="auto"/>
              <w:jc w:val="right"/>
              <w:rPr>
                <w:rFonts w:ascii="Times New Roman" w:hAnsi="Times New Roman" w:eastAsia="Times New Roman" w:cs="Times New Roman"/>
                <w:b/>
                <w:bCs/>
                <w:color w:val="000000"/>
              </w:rPr>
            </w:pPr>
            <w:r w:rsidRPr="00685094">
              <w:rPr>
                <w:rFonts w:ascii="Times New Roman" w:hAnsi="Times New Roman" w:eastAsia="Times New Roman" w:cs="Times New Roman"/>
                <w:b/>
                <w:bCs/>
                <w:color w:val="000000"/>
              </w:rPr>
              <w:t>First mailing</w:t>
            </w:r>
          </w:p>
        </w:tc>
        <w:tc>
          <w:tcPr>
            <w:tcW w:w="936" w:type="dxa"/>
            <w:tcBorders>
              <w:top w:val="nil"/>
              <w:left w:val="nil"/>
              <w:bottom w:val="single" w:color="auto" w:sz="12" w:space="0"/>
              <w:right w:val="nil"/>
            </w:tcBorders>
            <w:shd w:val="clear" w:color="auto" w:fill="auto"/>
            <w:noWrap/>
            <w:vAlign w:val="bottom"/>
            <w:hideMark/>
          </w:tcPr>
          <w:p w:rsidRPr="00685094" w:rsidR="00685094" w:rsidP="0058447E" w:rsidRDefault="00685094" w14:paraId="232702BA" w14:textId="77777777">
            <w:pPr>
              <w:spacing w:after="0" w:line="240" w:lineRule="auto"/>
              <w:jc w:val="right"/>
              <w:rPr>
                <w:rFonts w:ascii="Times New Roman" w:hAnsi="Times New Roman" w:eastAsia="Times New Roman" w:cs="Times New Roman"/>
                <w:b/>
                <w:bCs/>
                <w:color w:val="000000"/>
              </w:rPr>
            </w:pPr>
            <w:r w:rsidRPr="00685094">
              <w:rPr>
                <w:rFonts w:ascii="Times New Roman" w:hAnsi="Times New Roman" w:eastAsia="Times New Roman" w:cs="Times New Roman"/>
                <w:b/>
                <w:bCs/>
                <w:color w:val="000000"/>
              </w:rPr>
              <w:t>Final mailing</w:t>
            </w:r>
          </w:p>
        </w:tc>
      </w:tr>
      <w:tr w:rsidRPr="00685094" w:rsidR="00685094" w:rsidTr="008667A4" w14:paraId="18115F40" w14:textId="77777777">
        <w:trPr>
          <w:trHeight w:val="315"/>
          <w:jc w:val="center"/>
        </w:trPr>
        <w:tc>
          <w:tcPr>
            <w:tcW w:w="1218" w:type="dxa"/>
            <w:tcBorders>
              <w:top w:val="nil"/>
              <w:left w:val="nil"/>
              <w:bottom w:val="nil"/>
              <w:right w:val="nil"/>
            </w:tcBorders>
            <w:shd w:val="clear" w:color="auto" w:fill="auto"/>
            <w:noWrap/>
            <w:vAlign w:val="bottom"/>
            <w:hideMark/>
          </w:tcPr>
          <w:p w:rsidRPr="00685094" w:rsidR="00685094" w:rsidP="004A5C4F" w:rsidRDefault="00685094" w14:paraId="63EF0910" w14:textId="77777777">
            <w:pPr>
              <w:spacing w:after="0" w:line="240" w:lineRule="auto"/>
              <w:rPr>
                <w:rFonts w:ascii="Times New Roman" w:hAnsi="Times New Roman" w:eastAsia="Times New Roman" w:cs="Times New Roman"/>
                <w:color w:val="000000"/>
              </w:rPr>
            </w:pPr>
            <w:r w:rsidRPr="00685094">
              <w:rPr>
                <w:rFonts w:ascii="Times New Roman" w:hAnsi="Times New Roman" w:eastAsia="Times New Roman" w:cs="Times New Roman"/>
                <w:color w:val="000000"/>
              </w:rPr>
              <w:t>INC0</w:t>
            </w:r>
          </w:p>
        </w:tc>
        <w:tc>
          <w:tcPr>
            <w:tcW w:w="3921" w:type="dxa"/>
            <w:tcBorders>
              <w:top w:val="nil"/>
              <w:left w:val="nil"/>
              <w:bottom w:val="nil"/>
              <w:right w:val="nil"/>
            </w:tcBorders>
            <w:shd w:val="clear" w:color="auto" w:fill="auto"/>
            <w:noWrap/>
            <w:vAlign w:val="bottom"/>
            <w:hideMark/>
          </w:tcPr>
          <w:p w:rsidRPr="007C7372" w:rsidR="00685094" w:rsidP="004A5C4F" w:rsidRDefault="007054D5" w14:paraId="643B937C" w14:textId="4EB2F4AE">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$0 </w:t>
            </w:r>
            <w:r w:rsidRPr="00685094" w:rsidR="00685094">
              <w:rPr>
                <w:rFonts w:ascii="Times New Roman" w:hAnsi="Times New Roman" w:eastAsia="Times New Roman" w:cs="Times New Roman"/>
                <w:color w:val="000000"/>
              </w:rPr>
              <w:t>noncontingent incentive</w:t>
            </w:r>
          </w:p>
        </w:tc>
        <w:tc>
          <w:tcPr>
            <w:tcW w:w="1084" w:type="dxa"/>
            <w:tcBorders>
              <w:top w:val="nil"/>
              <w:left w:val="nil"/>
              <w:bottom w:val="nil"/>
              <w:right w:val="nil"/>
            </w:tcBorders>
            <w:shd w:val="clear" w:color="auto" w:fill="auto"/>
            <w:noWrap/>
            <w:vAlign w:val="bottom"/>
            <w:hideMark/>
          </w:tcPr>
          <w:p w:rsidRPr="007C095D" w:rsidR="00685094" w:rsidP="004A5C4F" w:rsidRDefault="007C095D" w14:paraId="5C95F2BB" w14:textId="33E4ACE6">
            <w:pPr>
              <w:spacing w:after="0" w:line="240" w:lineRule="auto"/>
              <w:jc w:val="right"/>
              <w:rPr>
                <w:rFonts w:ascii="Times New Roman" w:hAnsi="Times New Roman" w:eastAsia="Times New Roman" w:cs="Times New Roman"/>
                <w:color w:val="000000"/>
              </w:rPr>
            </w:pPr>
            <w:r w:rsidRPr="007C095D">
              <w:rPr>
                <w:rFonts w:ascii="Times New Roman" w:hAnsi="Times New Roman" w:eastAsia="Times New Roman" w:cs="Times New Roman"/>
                <w:color w:val="000000"/>
              </w:rPr>
              <w:t>5,</w:t>
            </w:r>
            <w:r w:rsidR="009F76D4">
              <w:rPr>
                <w:rFonts w:ascii="Times New Roman" w:hAnsi="Times New Roman" w:eastAsia="Times New Roman" w:cs="Times New Roman"/>
                <w:color w:val="000000"/>
              </w:rPr>
              <w:t>400</w:t>
            </w:r>
          </w:p>
        </w:tc>
        <w:tc>
          <w:tcPr>
            <w:tcW w:w="925" w:type="dxa"/>
            <w:tcBorders>
              <w:top w:val="nil"/>
              <w:left w:val="nil"/>
              <w:bottom w:val="nil"/>
              <w:right w:val="nil"/>
            </w:tcBorders>
            <w:shd w:val="clear" w:color="auto" w:fill="auto"/>
            <w:noWrap/>
            <w:vAlign w:val="bottom"/>
            <w:hideMark/>
          </w:tcPr>
          <w:p w:rsidRPr="00685094" w:rsidR="00685094" w:rsidP="004A5C4F" w:rsidRDefault="00685094" w14:paraId="7F8DE558" w14:textId="77777777">
            <w:pPr>
              <w:spacing w:after="0" w:line="240" w:lineRule="auto"/>
              <w:jc w:val="right"/>
              <w:rPr>
                <w:rFonts w:ascii="Times New Roman" w:hAnsi="Times New Roman" w:eastAsia="Times New Roman" w:cs="Times New Roman"/>
                <w:color w:val="000000"/>
              </w:rPr>
            </w:pPr>
            <w:r w:rsidRPr="00685094">
              <w:rPr>
                <w:rFonts w:ascii="Times New Roman" w:hAnsi="Times New Roman" w:eastAsia="Times New Roman" w:cs="Times New Roman"/>
                <w:color w:val="000000"/>
              </w:rPr>
              <w:t>N/A</w:t>
            </w:r>
          </w:p>
        </w:tc>
        <w:tc>
          <w:tcPr>
            <w:tcW w:w="936" w:type="dxa"/>
            <w:tcBorders>
              <w:top w:val="nil"/>
              <w:left w:val="nil"/>
              <w:bottom w:val="nil"/>
              <w:right w:val="nil"/>
            </w:tcBorders>
            <w:shd w:val="clear" w:color="auto" w:fill="auto"/>
            <w:noWrap/>
            <w:vAlign w:val="bottom"/>
            <w:hideMark/>
          </w:tcPr>
          <w:p w:rsidRPr="00685094" w:rsidR="00685094" w:rsidP="004A5C4F" w:rsidRDefault="00685094" w14:paraId="01A45304" w14:textId="77777777">
            <w:pPr>
              <w:spacing w:after="0" w:line="240" w:lineRule="auto"/>
              <w:jc w:val="right"/>
              <w:rPr>
                <w:rFonts w:ascii="Times New Roman" w:hAnsi="Times New Roman" w:eastAsia="Times New Roman" w:cs="Times New Roman"/>
                <w:color w:val="000000"/>
              </w:rPr>
            </w:pPr>
            <w:r w:rsidRPr="00685094">
              <w:rPr>
                <w:rFonts w:ascii="Times New Roman" w:hAnsi="Times New Roman" w:eastAsia="Times New Roman" w:cs="Times New Roman"/>
                <w:color w:val="000000"/>
              </w:rPr>
              <w:t>N/A</w:t>
            </w:r>
          </w:p>
        </w:tc>
      </w:tr>
      <w:tr w:rsidRPr="00685094" w:rsidR="00685094" w:rsidTr="008667A4" w14:paraId="22632B4E" w14:textId="77777777">
        <w:trPr>
          <w:trHeight w:val="300"/>
          <w:jc w:val="center"/>
        </w:trPr>
        <w:tc>
          <w:tcPr>
            <w:tcW w:w="1218" w:type="dxa"/>
            <w:tcBorders>
              <w:top w:val="nil"/>
              <w:left w:val="nil"/>
              <w:bottom w:val="nil"/>
              <w:right w:val="nil"/>
            </w:tcBorders>
            <w:shd w:val="clear" w:color="auto" w:fill="auto"/>
            <w:noWrap/>
            <w:vAlign w:val="bottom"/>
            <w:hideMark/>
          </w:tcPr>
          <w:p w:rsidRPr="00685094" w:rsidR="00685094" w:rsidP="004A5C4F" w:rsidRDefault="00685094" w14:paraId="6D7FE6D3" w14:textId="77777777">
            <w:pPr>
              <w:spacing w:after="0" w:line="240" w:lineRule="auto"/>
              <w:rPr>
                <w:rFonts w:ascii="Times New Roman" w:hAnsi="Times New Roman" w:eastAsia="Times New Roman" w:cs="Times New Roman"/>
                <w:color w:val="000000"/>
              </w:rPr>
            </w:pPr>
            <w:r w:rsidRPr="00685094">
              <w:rPr>
                <w:rFonts w:ascii="Times New Roman" w:hAnsi="Times New Roman" w:eastAsia="Times New Roman" w:cs="Times New Roman"/>
                <w:color w:val="000000"/>
              </w:rPr>
              <w:t>INC0L</w:t>
            </w:r>
          </w:p>
        </w:tc>
        <w:tc>
          <w:tcPr>
            <w:tcW w:w="3921" w:type="dxa"/>
            <w:tcBorders>
              <w:top w:val="nil"/>
              <w:left w:val="nil"/>
              <w:bottom w:val="nil"/>
              <w:right w:val="nil"/>
            </w:tcBorders>
            <w:shd w:val="clear" w:color="auto" w:fill="auto"/>
            <w:noWrap/>
            <w:vAlign w:val="bottom"/>
            <w:hideMark/>
          </w:tcPr>
          <w:p w:rsidRPr="00685094" w:rsidR="00685094" w:rsidP="004A5C4F" w:rsidRDefault="00685094" w14:paraId="5EC72A6B" w14:textId="14E0421A">
            <w:pPr>
              <w:spacing w:after="0" w:line="240" w:lineRule="auto"/>
              <w:rPr>
                <w:rFonts w:ascii="Times New Roman" w:hAnsi="Times New Roman" w:eastAsia="Times New Roman" w:cs="Times New Roman"/>
                <w:color w:val="000000"/>
              </w:rPr>
            </w:pPr>
            <w:r w:rsidRPr="00685094">
              <w:rPr>
                <w:rFonts w:ascii="Times New Roman" w:hAnsi="Times New Roman" w:eastAsia="Times New Roman" w:cs="Times New Roman"/>
                <w:color w:val="000000"/>
              </w:rPr>
              <w:t xml:space="preserve">$30 </w:t>
            </w:r>
            <w:r w:rsidR="00063729">
              <w:rPr>
                <w:rFonts w:ascii="Times New Roman" w:hAnsi="Times New Roman" w:eastAsia="Times New Roman" w:cs="Times New Roman"/>
                <w:color w:val="000000"/>
              </w:rPr>
              <w:t>late-stage</w:t>
            </w:r>
            <w:r w:rsidRPr="00685094">
              <w:rPr>
                <w:rFonts w:ascii="Times New Roman" w:hAnsi="Times New Roman" w:eastAsia="Times New Roman" w:cs="Times New Roman"/>
                <w:color w:val="000000"/>
              </w:rPr>
              <w:t xml:space="preserve"> noncontingent incentive</w:t>
            </w:r>
          </w:p>
        </w:tc>
        <w:tc>
          <w:tcPr>
            <w:tcW w:w="1084" w:type="dxa"/>
            <w:tcBorders>
              <w:top w:val="nil"/>
              <w:left w:val="nil"/>
              <w:bottom w:val="nil"/>
              <w:right w:val="nil"/>
            </w:tcBorders>
            <w:shd w:val="clear" w:color="auto" w:fill="auto"/>
            <w:noWrap/>
            <w:vAlign w:val="bottom"/>
            <w:hideMark/>
          </w:tcPr>
          <w:p w:rsidRPr="007C095D" w:rsidR="00685094" w:rsidP="004A5C4F" w:rsidRDefault="00685094" w14:paraId="19B3338C" w14:textId="62C8DC2D">
            <w:pPr>
              <w:spacing w:after="0" w:line="240" w:lineRule="auto"/>
              <w:jc w:val="right"/>
              <w:rPr>
                <w:rFonts w:ascii="Times New Roman" w:hAnsi="Times New Roman" w:eastAsia="Times New Roman" w:cs="Times New Roman"/>
                <w:color w:val="000000"/>
              </w:rPr>
            </w:pPr>
            <w:r w:rsidRPr="007C095D">
              <w:rPr>
                <w:rFonts w:ascii="Times New Roman" w:hAnsi="Times New Roman" w:eastAsia="Times New Roman" w:cs="Times New Roman"/>
                <w:color w:val="000000"/>
              </w:rPr>
              <w:t>5,</w:t>
            </w:r>
            <w:r w:rsidR="009F76D4">
              <w:rPr>
                <w:rFonts w:ascii="Times New Roman" w:hAnsi="Times New Roman" w:eastAsia="Times New Roman" w:cs="Times New Roman"/>
                <w:color w:val="000000"/>
              </w:rPr>
              <w:t>400</w:t>
            </w:r>
          </w:p>
        </w:tc>
        <w:tc>
          <w:tcPr>
            <w:tcW w:w="925" w:type="dxa"/>
            <w:tcBorders>
              <w:top w:val="nil"/>
              <w:left w:val="nil"/>
              <w:bottom w:val="nil"/>
              <w:right w:val="nil"/>
            </w:tcBorders>
            <w:shd w:val="clear" w:color="auto" w:fill="auto"/>
            <w:noWrap/>
            <w:vAlign w:val="bottom"/>
            <w:hideMark/>
          </w:tcPr>
          <w:p w:rsidRPr="00685094" w:rsidR="00685094" w:rsidP="004A5C4F" w:rsidRDefault="00685094" w14:paraId="0ACD5230" w14:textId="77777777">
            <w:pPr>
              <w:spacing w:after="0" w:line="240" w:lineRule="auto"/>
              <w:jc w:val="right"/>
              <w:rPr>
                <w:rFonts w:ascii="Times New Roman" w:hAnsi="Times New Roman" w:eastAsia="Times New Roman" w:cs="Times New Roman"/>
                <w:color w:val="000000"/>
              </w:rPr>
            </w:pPr>
            <w:r w:rsidRPr="00685094">
              <w:rPr>
                <w:rFonts w:ascii="Times New Roman" w:hAnsi="Times New Roman" w:eastAsia="Times New Roman" w:cs="Times New Roman"/>
                <w:color w:val="000000"/>
              </w:rPr>
              <w:t>N/A</w:t>
            </w:r>
          </w:p>
        </w:tc>
        <w:tc>
          <w:tcPr>
            <w:tcW w:w="936" w:type="dxa"/>
            <w:tcBorders>
              <w:top w:val="nil"/>
              <w:left w:val="nil"/>
              <w:bottom w:val="nil"/>
              <w:right w:val="nil"/>
            </w:tcBorders>
            <w:shd w:val="clear" w:color="auto" w:fill="auto"/>
            <w:noWrap/>
            <w:vAlign w:val="bottom"/>
            <w:hideMark/>
          </w:tcPr>
          <w:p w:rsidRPr="00685094" w:rsidR="00685094" w:rsidP="004A5C4F" w:rsidRDefault="00685094" w14:paraId="01D6A421" w14:textId="77777777">
            <w:pPr>
              <w:spacing w:after="0" w:line="240" w:lineRule="auto"/>
              <w:jc w:val="right"/>
              <w:rPr>
                <w:rFonts w:ascii="Times New Roman" w:hAnsi="Times New Roman" w:eastAsia="Times New Roman" w:cs="Times New Roman"/>
                <w:color w:val="000000"/>
              </w:rPr>
            </w:pPr>
            <w:r w:rsidRPr="00685094">
              <w:rPr>
                <w:rFonts w:ascii="Times New Roman" w:hAnsi="Times New Roman" w:eastAsia="Times New Roman" w:cs="Times New Roman"/>
                <w:color w:val="000000"/>
              </w:rPr>
              <w:t xml:space="preserve">$30 </w:t>
            </w:r>
          </w:p>
        </w:tc>
      </w:tr>
      <w:tr w:rsidRPr="00685094" w:rsidR="00685094" w:rsidTr="008667A4" w14:paraId="6997BDF4" w14:textId="77777777">
        <w:trPr>
          <w:trHeight w:val="300"/>
          <w:jc w:val="center"/>
        </w:trPr>
        <w:tc>
          <w:tcPr>
            <w:tcW w:w="1218" w:type="dxa"/>
            <w:tcBorders>
              <w:top w:val="nil"/>
              <w:left w:val="nil"/>
              <w:bottom w:val="nil"/>
              <w:right w:val="nil"/>
            </w:tcBorders>
            <w:shd w:val="clear" w:color="auto" w:fill="auto"/>
            <w:noWrap/>
            <w:vAlign w:val="bottom"/>
            <w:hideMark/>
          </w:tcPr>
          <w:p w:rsidRPr="00685094" w:rsidR="00685094" w:rsidP="004A5C4F" w:rsidRDefault="00685094" w14:paraId="51811459" w14:textId="77777777">
            <w:pPr>
              <w:spacing w:after="0" w:line="240" w:lineRule="auto"/>
              <w:rPr>
                <w:rFonts w:ascii="Times New Roman" w:hAnsi="Times New Roman" w:eastAsia="Times New Roman" w:cs="Times New Roman"/>
                <w:color w:val="000000"/>
              </w:rPr>
            </w:pPr>
            <w:r w:rsidRPr="00685094">
              <w:rPr>
                <w:rFonts w:ascii="Times New Roman" w:hAnsi="Times New Roman" w:eastAsia="Times New Roman" w:cs="Times New Roman"/>
                <w:color w:val="000000"/>
              </w:rPr>
              <w:t>INC10</w:t>
            </w:r>
          </w:p>
        </w:tc>
        <w:tc>
          <w:tcPr>
            <w:tcW w:w="3921" w:type="dxa"/>
            <w:tcBorders>
              <w:top w:val="nil"/>
              <w:left w:val="nil"/>
              <w:bottom w:val="nil"/>
              <w:right w:val="nil"/>
            </w:tcBorders>
            <w:shd w:val="clear" w:color="auto" w:fill="auto"/>
            <w:noWrap/>
            <w:vAlign w:val="bottom"/>
            <w:hideMark/>
          </w:tcPr>
          <w:p w:rsidRPr="00685094" w:rsidR="00685094" w:rsidP="004A5C4F" w:rsidRDefault="00685094" w14:paraId="5FF66FF9" w14:textId="77777777">
            <w:pPr>
              <w:spacing w:after="0" w:line="240" w:lineRule="auto"/>
              <w:rPr>
                <w:rFonts w:ascii="Times New Roman" w:hAnsi="Times New Roman" w:eastAsia="Times New Roman" w:cs="Times New Roman"/>
                <w:color w:val="000000"/>
              </w:rPr>
            </w:pPr>
            <w:r w:rsidRPr="00685094">
              <w:rPr>
                <w:rFonts w:ascii="Times New Roman" w:hAnsi="Times New Roman" w:eastAsia="Times New Roman" w:cs="Times New Roman"/>
                <w:color w:val="000000"/>
              </w:rPr>
              <w:t>$10 noncontingent incentive</w:t>
            </w:r>
          </w:p>
        </w:tc>
        <w:tc>
          <w:tcPr>
            <w:tcW w:w="1084" w:type="dxa"/>
            <w:tcBorders>
              <w:top w:val="nil"/>
              <w:left w:val="nil"/>
              <w:bottom w:val="nil"/>
              <w:right w:val="nil"/>
            </w:tcBorders>
            <w:shd w:val="clear" w:color="auto" w:fill="auto"/>
            <w:noWrap/>
            <w:vAlign w:val="bottom"/>
            <w:hideMark/>
          </w:tcPr>
          <w:p w:rsidRPr="007C095D" w:rsidR="00685094" w:rsidP="004A5C4F" w:rsidRDefault="00685094" w14:paraId="0C3294E7" w14:textId="5CEABD2B">
            <w:pPr>
              <w:spacing w:after="0" w:line="240" w:lineRule="auto"/>
              <w:jc w:val="right"/>
              <w:rPr>
                <w:rFonts w:ascii="Times New Roman" w:hAnsi="Times New Roman" w:eastAsia="Times New Roman" w:cs="Times New Roman"/>
                <w:color w:val="000000"/>
              </w:rPr>
            </w:pPr>
            <w:r w:rsidRPr="007C095D">
              <w:rPr>
                <w:rFonts w:ascii="Times New Roman" w:hAnsi="Times New Roman" w:eastAsia="Times New Roman" w:cs="Times New Roman"/>
                <w:color w:val="000000"/>
              </w:rPr>
              <w:t>10,</w:t>
            </w:r>
            <w:r w:rsidR="009F76D4">
              <w:rPr>
                <w:rFonts w:ascii="Times New Roman" w:hAnsi="Times New Roman" w:eastAsia="Times New Roman" w:cs="Times New Roman"/>
                <w:color w:val="000000"/>
              </w:rPr>
              <w:t>800</w:t>
            </w:r>
          </w:p>
        </w:tc>
        <w:tc>
          <w:tcPr>
            <w:tcW w:w="925" w:type="dxa"/>
            <w:tcBorders>
              <w:top w:val="nil"/>
              <w:left w:val="nil"/>
              <w:bottom w:val="nil"/>
              <w:right w:val="nil"/>
            </w:tcBorders>
            <w:shd w:val="clear" w:color="auto" w:fill="auto"/>
            <w:noWrap/>
            <w:vAlign w:val="bottom"/>
            <w:hideMark/>
          </w:tcPr>
          <w:p w:rsidRPr="00685094" w:rsidR="00685094" w:rsidP="004A5C4F" w:rsidRDefault="00685094" w14:paraId="0B87158C" w14:textId="77777777">
            <w:pPr>
              <w:spacing w:after="0" w:line="240" w:lineRule="auto"/>
              <w:jc w:val="right"/>
              <w:rPr>
                <w:rFonts w:ascii="Times New Roman" w:hAnsi="Times New Roman" w:eastAsia="Times New Roman" w:cs="Times New Roman"/>
                <w:color w:val="000000"/>
              </w:rPr>
            </w:pPr>
            <w:r w:rsidRPr="00685094">
              <w:rPr>
                <w:rFonts w:ascii="Times New Roman" w:hAnsi="Times New Roman" w:eastAsia="Times New Roman" w:cs="Times New Roman"/>
                <w:color w:val="000000"/>
              </w:rPr>
              <w:t xml:space="preserve">$10 </w:t>
            </w:r>
          </w:p>
        </w:tc>
        <w:tc>
          <w:tcPr>
            <w:tcW w:w="936" w:type="dxa"/>
            <w:tcBorders>
              <w:top w:val="nil"/>
              <w:left w:val="nil"/>
              <w:bottom w:val="nil"/>
              <w:right w:val="nil"/>
            </w:tcBorders>
            <w:shd w:val="clear" w:color="auto" w:fill="auto"/>
            <w:noWrap/>
            <w:vAlign w:val="bottom"/>
            <w:hideMark/>
          </w:tcPr>
          <w:p w:rsidRPr="00685094" w:rsidR="00685094" w:rsidP="004A5C4F" w:rsidRDefault="00685094" w14:paraId="5852551A" w14:textId="77777777">
            <w:pPr>
              <w:spacing w:after="0" w:line="240" w:lineRule="auto"/>
              <w:jc w:val="right"/>
              <w:rPr>
                <w:rFonts w:ascii="Times New Roman" w:hAnsi="Times New Roman" w:eastAsia="Times New Roman" w:cs="Times New Roman"/>
                <w:color w:val="000000"/>
              </w:rPr>
            </w:pPr>
            <w:r w:rsidRPr="00685094">
              <w:rPr>
                <w:rFonts w:ascii="Times New Roman" w:hAnsi="Times New Roman" w:eastAsia="Times New Roman" w:cs="Times New Roman"/>
                <w:color w:val="000000"/>
              </w:rPr>
              <w:t>N/A</w:t>
            </w:r>
          </w:p>
        </w:tc>
      </w:tr>
      <w:tr w:rsidRPr="00685094" w:rsidR="00685094" w:rsidTr="008667A4" w14:paraId="072F8CBF" w14:textId="77777777">
        <w:trPr>
          <w:trHeight w:val="300"/>
          <w:jc w:val="center"/>
        </w:trPr>
        <w:tc>
          <w:tcPr>
            <w:tcW w:w="1218" w:type="dxa"/>
            <w:tcBorders>
              <w:top w:val="nil"/>
              <w:left w:val="nil"/>
              <w:bottom w:val="nil"/>
              <w:right w:val="nil"/>
            </w:tcBorders>
            <w:shd w:val="clear" w:color="auto" w:fill="auto"/>
            <w:noWrap/>
            <w:vAlign w:val="bottom"/>
            <w:hideMark/>
          </w:tcPr>
          <w:p w:rsidRPr="00685094" w:rsidR="00685094" w:rsidP="004A5C4F" w:rsidRDefault="00685094" w14:paraId="7D5F2EFA" w14:textId="77777777">
            <w:pPr>
              <w:spacing w:after="0" w:line="240" w:lineRule="auto"/>
              <w:rPr>
                <w:rFonts w:ascii="Times New Roman" w:hAnsi="Times New Roman" w:eastAsia="Times New Roman" w:cs="Times New Roman"/>
                <w:color w:val="000000"/>
              </w:rPr>
            </w:pPr>
            <w:r w:rsidRPr="00685094">
              <w:rPr>
                <w:rFonts w:ascii="Times New Roman" w:hAnsi="Times New Roman" w:eastAsia="Times New Roman" w:cs="Times New Roman"/>
                <w:color w:val="000000"/>
              </w:rPr>
              <w:t>INC20</w:t>
            </w:r>
          </w:p>
        </w:tc>
        <w:tc>
          <w:tcPr>
            <w:tcW w:w="3921" w:type="dxa"/>
            <w:tcBorders>
              <w:top w:val="nil"/>
              <w:left w:val="nil"/>
              <w:bottom w:val="nil"/>
              <w:right w:val="nil"/>
            </w:tcBorders>
            <w:shd w:val="clear" w:color="auto" w:fill="auto"/>
            <w:noWrap/>
            <w:vAlign w:val="bottom"/>
            <w:hideMark/>
          </w:tcPr>
          <w:p w:rsidRPr="00685094" w:rsidR="00685094" w:rsidP="004A5C4F" w:rsidRDefault="00685094" w14:paraId="479A17E5" w14:textId="77777777">
            <w:pPr>
              <w:spacing w:after="0" w:line="240" w:lineRule="auto"/>
              <w:rPr>
                <w:rFonts w:ascii="Times New Roman" w:hAnsi="Times New Roman" w:eastAsia="Times New Roman" w:cs="Times New Roman"/>
                <w:color w:val="000000"/>
              </w:rPr>
            </w:pPr>
            <w:r w:rsidRPr="00685094">
              <w:rPr>
                <w:rFonts w:ascii="Times New Roman" w:hAnsi="Times New Roman" w:eastAsia="Times New Roman" w:cs="Times New Roman"/>
                <w:color w:val="000000"/>
              </w:rPr>
              <w:t>$20 noncontingent incentive</w:t>
            </w:r>
          </w:p>
        </w:tc>
        <w:tc>
          <w:tcPr>
            <w:tcW w:w="1084" w:type="dxa"/>
            <w:tcBorders>
              <w:top w:val="nil"/>
              <w:left w:val="nil"/>
              <w:bottom w:val="nil"/>
              <w:right w:val="nil"/>
            </w:tcBorders>
            <w:shd w:val="clear" w:color="auto" w:fill="auto"/>
            <w:noWrap/>
            <w:vAlign w:val="bottom"/>
            <w:hideMark/>
          </w:tcPr>
          <w:p w:rsidRPr="007C095D" w:rsidR="00685094" w:rsidP="004A5C4F" w:rsidRDefault="00685094" w14:paraId="7D937565" w14:textId="1810AB61">
            <w:pPr>
              <w:spacing w:after="0" w:line="240" w:lineRule="auto"/>
              <w:jc w:val="right"/>
              <w:rPr>
                <w:rFonts w:ascii="Times New Roman" w:hAnsi="Times New Roman" w:eastAsia="Times New Roman" w:cs="Times New Roman"/>
                <w:color w:val="000000"/>
              </w:rPr>
            </w:pPr>
            <w:r w:rsidRPr="007C095D">
              <w:rPr>
                <w:rFonts w:ascii="Times New Roman" w:hAnsi="Times New Roman" w:eastAsia="Times New Roman" w:cs="Times New Roman"/>
                <w:color w:val="000000"/>
              </w:rPr>
              <w:t>10,</w:t>
            </w:r>
            <w:r w:rsidR="009F76D4">
              <w:rPr>
                <w:rFonts w:ascii="Times New Roman" w:hAnsi="Times New Roman" w:eastAsia="Times New Roman" w:cs="Times New Roman"/>
                <w:color w:val="000000"/>
              </w:rPr>
              <w:t>800</w:t>
            </w:r>
          </w:p>
        </w:tc>
        <w:tc>
          <w:tcPr>
            <w:tcW w:w="925" w:type="dxa"/>
            <w:tcBorders>
              <w:top w:val="nil"/>
              <w:left w:val="nil"/>
              <w:bottom w:val="nil"/>
              <w:right w:val="nil"/>
            </w:tcBorders>
            <w:shd w:val="clear" w:color="auto" w:fill="auto"/>
            <w:noWrap/>
            <w:vAlign w:val="bottom"/>
            <w:hideMark/>
          </w:tcPr>
          <w:p w:rsidRPr="00685094" w:rsidR="00685094" w:rsidP="004A5C4F" w:rsidRDefault="00685094" w14:paraId="1D0B8F4A" w14:textId="77777777">
            <w:pPr>
              <w:spacing w:after="0" w:line="240" w:lineRule="auto"/>
              <w:jc w:val="right"/>
              <w:rPr>
                <w:rFonts w:ascii="Times New Roman" w:hAnsi="Times New Roman" w:eastAsia="Times New Roman" w:cs="Times New Roman"/>
                <w:color w:val="000000"/>
              </w:rPr>
            </w:pPr>
            <w:r w:rsidRPr="00685094">
              <w:rPr>
                <w:rFonts w:ascii="Times New Roman" w:hAnsi="Times New Roman" w:eastAsia="Times New Roman" w:cs="Times New Roman"/>
                <w:color w:val="000000"/>
              </w:rPr>
              <w:t xml:space="preserve">$20 </w:t>
            </w:r>
          </w:p>
        </w:tc>
        <w:tc>
          <w:tcPr>
            <w:tcW w:w="936" w:type="dxa"/>
            <w:tcBorders>
              <w:top w:val="nil"/>
              <w:left w:val="nil"/>
              <w:bottom w:val="nil"/>
              <w:right w:val="nil"/>
            </w:tcBorders>
            <w:shd w:val="clear" w:color="auto" w:fill="auto"/>
            <w:noWrap/>
            <w:vAlign w:val="bottom"/>
            <w:hideMark/>
          </w:tcPr>
          <w:p w:rsidRPr="00685094" w:rsidR="00685094" w:rsidP="004A5C4F" w:rsidRDefault="00685094" w14:paraId="5F84DD6D" w14:textId="77777777">
            <w:pPr>
              <w:spacing w:after="0" w:line="240" w:lineRule="auto"/>
              <w:jc w:val="right"/>
              <w:rPr>
                <w:rFonts w:ascii="Times New Roman" w:hAnsi="Times New Roman" w:eastAsia="Times New Roman" w:cs="Times New Roman"/>
                <w:color w:val="000000"/>
              </w:rPr>
            </w:pPr>
            <w:r w:rsidRPr="00685094">
              <w:rPr>
                <w:rFonts w:ascii="Times New Roman" w:hAnsi="Times New Roman" w:eastAsia="Times New Roman" w:cs="Times New Roman"/>
                <w:color w:val="000000"/>
              </w:rPr>
              <w:t>N/A</w:t>
            </w:r>
          </w:p>
        </w:tc>
      </w:tr>
      <w:tr w:rsidRPr="00685094" w:rsidR="00685094" w:rsidTr="008667A4" w14:paraId="0E78350B" w14:textId="77777777">
        <w:trPr>
          <w:trHeight w:val="300"/>
          <w:jc w:val="center"/>
        </w:trPr>
        <w:tc>
          <w:tcPr>
            <w:tcW w:w="1218" w:type="dxa"/>
            <w:tcBorders>
              <w:top w:val="nil"/>
              <w:left w:val="nil"/>
              <w:bottom w:val="single" w:color="auto" w:sz="4" w:space="0"/>
              <w:right w:val="nil"/>
            </w:tcBorders>
            <w:shd w:val="clear" w:color="auto" w:fill="auto"/>
            <w:noWrap/>
            <w:vAlign w:val="bottom"/>
            <w:hideMark/>
          </w:tcPr>
          <w:p w:rsidRPr="00685094" w:rsidR="00685094" w:rsidP="004A5C4F" w:rsidRDefault="00685094" w14:paraId="46372F50" w14:textId="77777777">
            <w:pPr>
              <w:spacing w:after="0" w:line="240" w:lineRule="auto"/>
              <w:rPr>
                <w:rFonts w:ascii="Times New Roman" w:hAnsi="Times New Roman" w:eastAsia="Times New Roman" w:cs="Times New Roman"/>
                <w:color w:val="000000"/>
              </w:rPr>
            </w:pPr>
            <w:r w:rsidRPr="00685094">
              <w:rPr>
                <w:rFonts w:ascii="Times New Roman" w:hAnsi="Times New Roman" w:eastAsia="Times New Roman" w:cs="Times New Roman"/>
                <w:color w:val="000000"/>
              </w:rPr>
              <w:t>INC30</w:t>
            </w:r>
          </w:p>
        </w:tc>
        <w:tc>
          <w:tcPr>
            <w:tcW w:w="3921" w:type="dxa"/>
            <w:tcBorders>
              <w:top w:val="nil"/>
              <w:left w:val="nil"/>
              <w:bottom w:val="single" w:color="auto" w:sz="4" w:space="0"/>
              <w:right w:val="nil"/>
            </w:tcBorders>
            <w:shd w:val="clear" w:color="auto" w:fill="auto"/>
            <w:noWrap/>
            <w:vAlign w:val="bottom"/>
            <w:hideMark/>
          </w:tcPr>
          <w:p w:rsidRPr="00685094" w:rsidR="00685094" w:rsidP="004A5C4F" w:rsidRDefault="00685094" w14:paraId="4E1EE52E" w14:textId="77777777">
            <w:pPr>
              <w:spacing w:after="0" w:line="240" w:lineRule="auto"/>
              <w:rPr>
                <w:rFonts w:ascii="Times New Roman" w:hAnsi="Times New Roman" w:eastAsia="Times New Roman" w:cs="Times New Roman"/>
                <w:color w:val="000000"/>
              </w:rPr>
            </w:pPr>
            <w:r w:rsidRPr="00685094">
              <w:rPr>
                <w:rFonts w:ascii="Times New Roman" w:hAnsi="Times New Roman" w:eastAsia="Times New Roman" w:cs="Times New Roman"/>
                <w:color w:val="000000"/>
              </w:rPr>
              <w:t>$30 noncontingent incentive</w:t>
            </w:r>
          </w:p>
        </w:tc>
        <w:tc>
          <w:tcPr>
            <w:tcW w:w="1084" w:type="dxa"/>
            <w:tcBorders>
              <w:top w:val="nil"/>
              <w:left w:val="nil"/>
              <w:bottom w:val="single" w:color="auto" w:sz="4" w:space="0"/>
              <w:right w:val="nil"/>
            </w:tcBorders>
            <w:shd w:val="clear" w:color="auto" w:fill="auto"/>
            <w:noWrap/>
            <w:vAlign w:val="bottom"/>
            <w:hideMark/>
          </w:tcPr>
          <w:p w:rsidRPr="007C095D" w:rsidR="00685094" w:rsidP="004A5C4F" w:rsidRDefault="00685094" w14:paraId="124AFCBE" w14:textId="4A35AB87">
            <w:pPr>
              <w:spacing w:after="0" w:line="240" w:lineRule="auto"/>
              <w:jc w:val="right"/>
              <w:rPr>
                <w:rFonts w:ascii="Times New Roman" w:hAnsi="Times New Roman" w:eastAsia="Times New Roman" w:cs="Times New Roman"/>
                <w:color w:val="000000"/>
              </w:rPr>
            </w:pPr>
            <w:r w:rsidRPr="007C095D">
              <w:rPr>
                <w:rFonts w:ascii="Times New Roman" w:hAnsi="Times New Roman" w:eastAsia="Times New Roman" w:cs="Times New Roman"/>
                <w:color w:val="000000"/>
              </w:rPr>
              <w:t>10,</w:t>
            </w:r>
            <w:r w:rsidR="009F76D4">
              <w:rPr>
                <w:rFonts w:ascii="Times New Roman" w:hAnsi="Times New Roman" w:eastAsia="Times New Roman" w:cs="Times New Roman"/>
                <w:color w:val="000000"/>
              </w:rPr>
              <w:t>800</w:t>
            </w:r>
          </w:p>
        </w:tc>
        <w:tc>
          <w:tcPr>
            <w:tcW w:w="925" w:type="dxa"/>
            <w:tcBorders>
              <w:top w:val="nil"/>
              <w:left w:val="nil"/>
              <w:bottom w:val="single" w:color="auto" w:sz="4" w:space="0"/>
              <w:right w:val="nil"/>
            </w:tcBorders>
            <w:shd w:val="clear" w:color="auto" w:fill="auto"/>
            <w:noWrap/>
            <w:vAlign w:val="bottom"/>
            <w:hideMark/>
          </w:tcPr>
          <w:p w:rsidRPr="00685094" w:rsidR="00685094" w:rsidP="004A5C4F" w:rsidRDefault="00685094" w14:paraId="61CEAF22" w14:textId="77777777">
            <w:pPr>
              <w:spacing w:after="0" w:line="240" w:lineRule="auto"/>
              <w:jc w:val="right"/>
              <w:rPr>
                <w:rFonts w:ascii="Times New Roman" w:hAnsi="Times New Roman" w:eastAsia="Times New Roman" w:cs="Times New Roman"/>
                <w:color w:val="000000"/>
              </w:rPr>
            </w:pPr>
            <w:r w:rsidRPr="00685094">
              <w:rPr>
                <w:rFonts w:ascii="Times New Roman" w:hAnsi="Times New Roman" w:eastAsia="Times New Roman" w:cs="Times New Roman"/>
                <w:color w:val="000000"/>
              </w:rPr>
              <w:t xml:space="preserve">$30 </w:t>
            </w:r>
          </w:p>
        </w:tc>
        <w:tc>
          <w:tcPr>
            <w:tcW w:w="936" w:type="dxa"/>
            <w:tcBorders>
              <w:top w:val="nil"/>
              <w:left w:val="nil"/>
              <w:bottom w:val="single" w:color="auto" w:sz="4" w:space="0"/>
              <w:right w:val="nil"/>
            </w:tcBorders>
            <w:shd w:val="clear" w:color="auto" w:fill="auto"/>
            <w:noWrap/>
            <w:vAlign w:val="bottom"/>
            <w:hideMark/>
          </w:tcPr>
          <w:p w:rsidRPr="00685094" w:rsidR="00685094" w:rsidP="004A5C4F" w:rsidRDefault="00685094" w14:paraId="51218856" w14:textId="77777777">
            <w:pPr>
              <w:spacing w:after="0" w:line="240" w:lineRule="auto"/>
              <w:jc w:val="right"/>
              <w:rPr>
                <w:rFonts w:ascii="Times New Roman" w:hAnsi="Times New Roman" w:eastAsia="Times New Roman" w:cs="Times New Roman"/>
                <w:color w:val="000000"/>
              </w:rPr>
            </w:pPr>
            <w:r w:rsidRPr="00685094">
              <w:rPr>
                <w:rFonts w:ascii="Times New Roman" w:hAnsi="Times New Roman" w:eastAsia="Times New Roman" w:cs="Times New Roman"/>
                <w:color w:val="000000"/>
              </w:rPr>
              <w:t>N/A</w:t>
            </w:r>
          </w:p>
        </w:tc>
      </w:tr>
      <w:tr w:rsidRPr="00685094" w:rsidR="00685094" w:rsidTr="008667A4" w14:paraId="39CB4613" w14:textId="77777777">
        <w:trPr>
          <w:trHeight w:val="300"/>
          <w:jc w:val="center"/>
        </w:trPr>
        <w:tc>
          <w:tcPr>
            <w:tcW w:w="8084" w:type="dxa"/>
            <w:gridSpan w:val="5"/>
            <w:tcBorders>
              <w:top w:val="single" w:color="auto" w:sz="4" w:space="0"/>
              <w:left w:val="nil"/>
              <w:bottom w:val="nil"/>
              <w:right w:val="nil"/>
            </w:tcBorders>
            <w:shd w:val="clear" w:color="auto" w:fill="auto"/>
            <w:noWrap/>
            <w:vAlign w:val="bottom"/>
            <w:hideMark/>
          </w:tcPr>
          <w:p w:rsidRPr="00685094" w:rsidR="00685094" w:rsidP="004A5C4F" w:rsidRDefault="00685094" w14:paraId="3497ACC1" w14:textId="34C5306E">
            <w:pPr>
              <w:spacing w:after="0" w:line="240" w:lineRule="auto"/>
              <w:rPr>
                <w:rFonts w:ascii="Times New Roman" w:hAnsi="Times New Roman" w:eastAsia="Times New Roman" w:cs="Times New Roman"/>
                <w:color w:val="000000"/>
                <w:sz w:val="18"/>
                <w:szCs w:val="18"/>
              </w:rPr>
            </w:pPr>
            <w:r w:rsidRPr="00685094">
              <w:rPr>
                <w:rFonts w:ascii="Times New Roman" w:hAnsi="Times New Roman" w:eastAsia="Times New Roman" w:cs="Times New Roman"/>
                <w:color w:val="000000"/>
                <w:sz w:val="18"/>
                <w:szCs w:val="18"/>
              </w:rPr>
              <w:t xml:space="preserve">NOTE: </w:t>
            </w:r>
            <w:r w:rsidR="00140AB7">
              <w:rPr>
                <w:rFonts w:ascii="Times New Roman" w:hAnsi="Times New Roman" w:eastAsia="Times New Roman" w:cs="Times New Roman"/>
                <w:color w:val="000000"/>
                <w:sz w:val="18"/>
                <w:szCs w:val="18"/>
              </w:rPr>
              <w:t>“</w:t>
            </w:r>
            <w:r w:rsidR="007C7372">
              <w:rPr>
                <w:rFonts w:ascii="Times New Roman" w:hAnsi="Times New Roman" w:eastAsia="Times New Roman" w:cs="Times New Roman"/>
                <w:color w:val="000000"/>
                <w:sz w:val="18"/>
                <w:szCs w:val="18"/>
              </w:rPr>
              <w:t>$0 noncontingent incentive</w:t>
            </w:r>
            <w:r w:rsidR="00140AB7">
              <w:rPr>
                <w:rFonts w:ascii="Times New Roman" w:hAnsi="Times New Roman" w:eastAsia="Times New Roman" w:cs="Times New Roman"/>
                <w:color w:val="000000"/>
                <w:sz w:val="18"/>
                <w:szCs w:val="18"/>
              </w:rPr>
              <w:t>”</w:t>
            </w:r>
            <w:r w:rsidR="007C7372">
              <w:rPr>
                <w:rFonts w:ascii="Times New Roman" w:hAnsi="Times New Roman" w:eastAsia="Times New Roman" w:cs="Times New Roman"/>
                <w:color w:val="000000"/>
                <w:sz w:val="18"/>
                <w:szCs w:val="18"/>
              </w:rPr>
              <w:t xml:space="preserve"> implies that no debit card is sent. </w:t>
            </w:r>
            <w:r w:rsidRPr="00685094">
              <w:rPr>
                <w:rFonts w:ascii="Times New Roman" w:hAnsi="Times New Roman" w:eastAsia="Times New Roman" w:cs="Times New Roman"/>
                <w:color w:val="000000"/>
                <w:sz w:val="18"/>
                <w:szCs w:val="18"/>
              </w:rPr>
              <w:t xml:space="preserve"> </w:t>
            </w:r>
          </w:p>
        </w:tc>
      </w:tr>
    </w:tbl>
    <w:p w:rsidR="00AE1BE8" w:rsidP="00E41806" w:rsidRDefault="00AE1BE8" w14:paraId="179E7BB7" w14:textId="77777777">
      <w:pPr>
        <w:rPr>
          <w:rFonts w:ascii="Times New Roman" w:hAnsi="Times New Roman" w:cs="Times New Roman"/>
          <w:sz w:val="24"/>
          <w:szCs w:val="24"/>
        </w:rPr>
      </w:pPr>
    </w:p>
    <w:p w:rsidRPr="00E41806" w:rsidR="00E41806" w:rsidP="00E41806" w:rsidRDefault="00E41806" w14:paraId="38666AB0" w14:textId="114623B4">
      <w:pPr>
        <w:rPr>
          <w:rFonts w:ascii="Times New Roman" w:hAnsi="Times New Roman" w:cs="Times New Roman"/>
          <w:sz w:val="24"/>
          <w:szCs w:val="24"/>
        </w:rPr>
      </w:pPr>
      <w:r w:rsidRPr="00E41806">
        <w:rPr>
          <w:rFonts w:ascii="Times New Roman" w:hAnsi="Times New Roman" w:cs="Times New Roman"/>
          <w:sz w:val="24"/>
          <w:szCs w:val="24"/>
        </w:rPr>
        <w:t>Treatment groups receiving $0 with the first mailing (</w:t>
      </w:r>
      <w:r w:rsidRPr="00E41806">
        <w:rPr>
          <w:rFonts w:ascii="Times New Roman" w:hAnsi="Times New Roman" w:cs="Times New Roman"/>
          <w:i/>
          <w:sz w:val="24"/>
          <w:szCs w:val="24"/>
        </w:rPr>
        <w:t>INC0</w:t>
      </w:r>
      <w:r w:rsidRPr="00E41806">
        <w:rPr>
          <w:rFonts w:ascii="Times New Roman" w:hAnsi="Times New Roman" w:cs="Times New Roman"/>
          <w:sz w:val="24"/>
          <w:szCs w:val="24"/>
        </w:rPr>
        <w:t xml:space="preserve"> and </w:t>
      </w:r>
      <w:r w:rsidRPr="00E41806">
        <w:rPr>
          <w:rFonts w:ascii="Times New Roman" w:hAnsi="Times New Roman" w:cs="Times New Roman"/>
          <w:i/>
          <w:sz w:val="24"/>
          <w:szCs w:val="24"/>
        </w:rPr>
        <w:t>INC0L</w:t>
      </w:r>
      <w:r w:rsidRPr="00E41806">
        <w:rPr>
          <w:rFonts w:ascii="Times New Roman" w:hAnsi="Times New Roman" w:cs="Times New Roman"/>
          <w:sz w:val="24"/>
          <w:szCs w:val="24"/>
        </w:rPr>
        <w:t xml:space="preserve">) are included to collect baseline data on the performance of the NTEWS in the absence of a prepaid incentive. </w:t>
      </w:r>
      <w:r w:rsidR="00D16BAF">
        <w:rPr>
          <w:rFonts w:ascii="Times New Roman" w:hAnsi="Times New Roman" w:cs="Times New Roman"/>
          <w:sz w:val="24"/>
          <w:szCs w:val="24"/>
        </w:rPr>
        <w:t>I</w:t>
      </w:r>
      <w:r w:rsidRPr="00E41806">
        <w:rPr>
          <w:rFonts w:ascii="Times New Roman" w:hAnsi="Times New Roman" w:cs="Times New Roman"/>
          <w:sz w:val="24"/>
          <w:szCs w:val="24"/>
        </w:rPr>
        <w:t xml:space="preserve">f there are particular subgroups from which an acceptable response rate can be attained without an incentive, the incentive for </w:t>
      </w:r>
      <w:r w:rsidR="00F23405">
        <w:rPr>
          <w:rFonts w:ascii="Times New Roman" w:hAnsi="Times New Roman" w:cs="Times New Roman"/>
          <w:sz w:val="24"/>
          <w:szCs w:val="24"/>
        </w:rPr>
        <w:t>those</w:t>
      </w:r>
      <w:r w:rsidRPr="00E41806">
        <w:rPr>
          <w:rFonts w:ascii="Times New Roman" w:hAnsi="Times New Roman" w:cs="Times New Roman"/>
          <w:sz w:val="24"/>
          <w:szCs w:val="24"/>
        </w:rPr>
        <w:t xml:space="preserve"> subgroups </w:t>
      </w:r>
      <w:r w:rsidR="00E21837">
        <w:rPr>
          <w:rFonts w:ascii="Times New Roman" w:hAnsi="Times New Roman" w:cs="Times New Roman"/>
          <w:sz w:val="24"/>
          <w:szCs w:val="24"/>
        </w:rPr>
        <w:t xml:space="preserve">could potentially be omitted </w:t>
      </w:r>
      <w:r w:rsidRPr="00E41806">
        <w:rPr>
          <w:rFonts w:ascii="Times New Roman" w:hAnsi="Times New Roman" w:cs="Times New Roman"/>
          <w:sz w:val="24"/>
          <w:szCs w:val="24"/>
        </w:rPr>
        <w:t xml:space="preserve">in future cycles. The inclusion of a randomly assigned $0 </w:t>
      </w:r>
      <w:r w:rsidR="00AF7F45">
        <w:rPr>
          <w:rFonts w:ascii="Times New Roman" w:hAnsi="Times New Roman" w:cs="Times New Roman"/>
          <w:sz w:val="24"/>
          <w:szCs w:val="24"/>
        </w:rPr>
        <w:t xml:space="preserve">treatment </w:t>
      </w:r>
      <w:r w:rsidRPr="00E41806">
        <w:rPr>
          <w:rFonts w:ascii="Times New Roman" w:hAnsi="Times New Roman" w:cs="Times New Roman"/>
          <w:sz w:val="24"/>
          <w:szCs w:val="24"/>
        </w:rPr>
        <w:t xml:space="preserve">group will </w:t>
      </w:r>
      <w:r w:rsidR="00E75ECA">
        <w:rPr>
          <w:rFonts w:ascii="Times New Roman" w:hAnsi="Times New Roman" w:cs="Times New Roman"/>
          <w:sz w:val="24"/>
          <w:szCs w:val="24"/>
        </w:rPr>
        <w:t xml:space="preserve">allow </w:t>
      </w:r>
      <w:r w:rsidR="0021766F">
        <w:rPr>
          <w:rFonts w:ascii="Times New Roman" w:hAnsi="Times New Roman" w:cs="Times New Roman"/>
          <w:sz w:val="24"/>
          <w:szCs w:val="24"/>
        </w:rPr>
        <w:t>any such</w:t>
      </w:r>
      <w:r w:rsidR="00E75ECA">
        <w:rPr>
          <w:rFonts w:ascii="Times New Roman" w:hAnsi="Times New Roman" w:cs="Times New Roman"/>
          <w:sz w:val="24"/>
          <w:szCs w:val="24"/>
        </w:rPr>
        <w:t xml:space="preserve"> subgroups to be identified </w:t>
      </w:r>
      <w:r w:rsidRPr="00E41806">
        <w:rPr>
          <w:rFonts w:ascii="Times New Roman" w:hAnsi="Times New Roman" w:cs="Times New Roman"/>
          <w:sz w:val="24"/>
          <w:szCs w:val="24"/>
        </w:rPr>
        <w:t xml:space="preserve">and thus maximize the utility of the data for developing efficient tailored incentive structures in future cycles. </w:t>
      </w:r>
    </w:p>
    <w:p w:rsidRPr="00E41806" w:rsidR="00E41806" w:rsidP="00E41806" w:rsidRDefault="00E41806" w14:paraId="4C17B40F" w14:textId="23A69DD8">
      <w:pPr>
        <w:rPr>
          <w:rFonts w:ascii="Times New Roman" w:hAnsi="Times New Roman" w:cs="Times New Roman"/>
          <w:sz w:val="24"/>
          <w:szCs w:val="24"/>
        </w:rPr>
      </w:pPr>
      <w:r w:rsidRPr="00E41806">
        <w:rPr>
          <w:rFonts w:ascii="Times New Roman" w:hAnsi="Times New Roman" w:cs="Times New Roman"/>
          <w:sz w:val="24"/>
          <w:szCs w:val="24"/>
        </w:rPr>
        <w:t xml:space="preserve">At the same time, while </w:t>
      </w:r>
      <w:r w:rsidR="00203C74">
        <w:rPr>
          <w:rFonts w:ascii="Times New Roman" w:hAnsi="Times New Roman" w:cs="Times New Roman"/>
          <w:sz w:val="24"/>
          <w:szCs w:val="24"/>
        </w:rPr>
        <w:t>a uniform $0 treatment</w:t>
      </w:r>
      <w:r w:rsidRPr="00E41806">
        <w:rPr>
          <w:rFonts w:ascii="Times New Roman" w:hAnsi="Times New Roman" w:cs="Times New Roman"/>
          <w:sz w:val="24"/>
          <w:szCs w:val="24"/>
        </w:rPr>
        <w:t xml:space="preserve"> will provide valuable methodological data, NCSES recognize</w:t>
      </w:r>
      <w:r w:rsidR="00324CAA">
        <w:rPr>
          <w:rFonts w:ascii="Times New Roman" w:hAnsi="Times New Roman" w:cs="Times New Roman"/>
          <w:sz w:val="24"/>
          <w:szCs w:val="24"/>
        </w:rPr>
        <w:t>s</w:t>
      </w:r>
      <w:r w:rsidRPr="00E41806">
        <w:rPr>
          <w:rFonts w:ascii="Times New Roman" w:hAnsi="Times New Roman" w:cs="Times New Roman"/>
          <w:sz w:val="24"/>
          <w:szCs w:val="24"/>
        </w:rPr>
        <w:t xml:space="preserve"> that it</w:t>
      </w:r>
      <w:r w:rsidR="000323C2">
        <w:rPr>
          <w:rFonts w:ascii="Times New Roman" w:hAnsi="Times New Roman" w:cs="Times New Roman"/>
          <w:sz w:val="24"/>
          <w:szCs w:val="24"/>
        </w:rPr>
        <w:t>s use</w:t>
      </w:r>
      <w:r w:rsidRPr="00E41806">
        <w:rPr>
          <w:rFonts w:ascii="Times New Roman" w:hAnsi="Times New Roman" w:cs="Times New Roman"/>
          <w:sz w:val="24"/>
          <w:szCs w:val="24"/>
        </w:rPr>
        <w:t xml:space="preserve"> could reduce the representativeness of the responding sample and thus the validity of national estimates obtained from</w:t>
      </w:r>
      <w:r w:rsidR="00810A4F">
        <w:rPr>
          <w:rFonts w:ascii="Times New Roman" w:hAnsi="Times New Roman" w:cs="Times New Roman"/>
          <w:sz w:val="24"/>
          <w:szCs w:val="24"/>
        </w:rPr>
        <w:t xml:space="preserve"> this administration of</w:t>
      </w:r>
      <w:r w:rsidRPr="00E41806">
        <w:rPr>
          <w:rFonts w:ascii="Times New Roman" w:hAnsi="Times New Roman" w:cs="Times New Roman"/>
          <w:sz w:val="24"/>
          <w:szCs w:val="24"/>
        </w:rPr>
        <w:t xml:space="preserve"> the </w:t>
      </w:r>
      <w:r w:rsidR="00C41AF1">
        <w:rPr>
          <w:rFonts w:ascii="Times New Roman" w:hAnsi="Times New Roman" w:cs="Times New Roman"/>
          <w:sz w:val="24"/>
          <w:szCs w:val="24"/>
        </w:rPr>
        <w:t>NTEWS</w:t>
      </w:r>
      <w:r w:rsidRPr="00E41806">
        <w:rPr>
          <w:rFonts w:ascii="Times New Roman" w:hAnsi="Times New Roman" w:cs="Times New Roman"/>
          <w:sz w:val="24"/>
          <w:szCs w:val="24"/>
        </w:rPr>
        <w:t xml:space="preserve">. </w:t>
      </w:r>
      <w:r w:rsidR="00AB73F3">
        <w:rPr>
          <w:rFonts w:ascii="Times New Roman" w:hAnsi="Times New Roman" w:cs="Times New Roman"/>
          <w:sz w:val="24"/>
          <w:szCs w:val="24"/>
        </w:rPr>
        <w:t>This potential reduction in representativeness and the potential for biased estimates</w:t>
      </w:r>
      <w:r w:rsidRPr="00E41806" w:rsidR="00AB73F3">
        <w:rPr>
          <w:rFonts w:ascii="Times New Roman" w:hAnsi="Times New Roman" w:cs="Times New Roman"/>
          <w:sz w:val="24"/>
          <w:szCs w:val="24"/>
        </w:rPr>
        <w:t xml:space="preserve"> </w:t>
      </w:r>
      <w:r w:rsidRPr="00E41806">
        <w:rPr>
          <w:rFonts w:ascii="Times New Roman" w:hAnsi="Times New Roman" w:cs="Times New Roman"/>
          <w:sz w:val="24"/>
          <w:szCs w:val="24"/>
        </w:rPr>
        <w:t xml:space="preserve">is the primary rationale for further dividing the $0 </w:t>
      </w:r>
      <w:r w:rsidR="00AF7F45">
        <w:rPr>
          <w:rFonts w:ascii="Times New Roman" w:hAnsi="Times New Roman" w:cs="Times New Roman"/>
          <w:sz w:val="24"/>
          <w:szCs w:val="24"/>
        </w:rPr>
        <w:t xml:space="preserve">treatment </w:t>
      </w:r>
      <w:r w:rsidRPr="00E41806">
        <w:rPr>
          <w:rFonts w:ascii="Times New Roman" w:hAnsi="Times New Roman" w:cs="Times New Roman"/>
          <w:sz w:val="24"/>
          <w:szCs w:val="24"/>
        </w:rPr>
        <w:t>group such that half (</w:t>
      </w:r>
      <w:r w:rsidRPr="00E41806">
        <w:rPr>
          <w:rFonts w:ascii="Times New Roman" w:hAnsi="Times New Roman" w:cs="Times New Roman"/>
          <w:i/>
          <w:sz w:val="24"/>
          <w:szCs w:val="24"/>
        </w:rPr>
        <w:t>INC0L</w:t>
      </w:r>
      <w:r w:rsidRPr="00E41806">
        <w:rPr>
          <w:rFonts w:ascii="Times New Roman" w:hAnsi="Times New Roman" w:cs="Times New Roman"/>
          <w:sz w:val="24"/>
          <w:szCs w:val="24"/>
        </w:rPr>
        <w:t xml:space="preserve">) receive a </w:t>
      </w:r>
      <w:r w:rsidR="00E96457">
        <w:rPr>
          <w:rFonts w:ascii="Times New Roman" w:hAnsi="Times New Roman" w:cs="Times New Roman"/>
          <w:sz w:val="24"/>
          <w:szCs w:val="24"/>
        </w:rPr>
        <w:t>late</w:t>
      </w:r>
      <w:r w:rsidRPr="00E41806">
        <w:rPr>
          <w:rFonts w:ascii="Times New Roman" w:hAnsi="Times New Roman" w:cs="Times New Roman"/>
          <w:sz w:val="24"/>
          <w:szCs w:val="24"/>
        </w:rPr>
        <w:t>-</w:t>
      </w:r>
      <w:r w:rsidR="00E96457">
        <w:rPr>
          <w:rFonts w:ascii="Times New Roman" w:hAnsi="Times New Roman" w:cs="Times New Roman"/>
          <w:sz w:val="24"/>
          <w:szCs w:val="24"/>
        </w:rPr>
        <w:t>stage</w:t>
      </w:r>
      <w:r w:rsidRPr="00E41806" w:rsidR="00E96457">
        <w:rPr>
          <w:rFonts w:ascii="Times New Roman" w:hAnsi="Times New Roman" w:cs="Times New Roman"/>
          <w:sz w:val="24"/>
          <w:szCs w:val="24"/>
        </w:rPr>
        <w:t xml:space="preserve"> </w:t>
      </w:r>
      <w:r w:rsidRPr="00E41806">
        <w:rPr>
          <w:rFonts w:ascii="Times New Roman" w:hAnsi="Times New Roman" w:cs="Times New Roman"/>
          <w:sz w:val="24"/>
          <w:szCs w:val="24"/>
        </w:rPr>
        <w:t xml:space="preserve">incentive at the final mailing. The </w:t>
      </w:r>
      <w:r w:rsidR="00E96457">
        <w:rPr>
          <w:rFonts w:ascii="Times New Roman" w:hAnsi="Times New Roman" w:cs="Times New Roman"/>
          <w:sz w:val="24"/>
          <w:szCs w:val="24"/>
        </w:rPr>
        <w:t>late</w:t>
      </w:r>
      <w:r w:rsidRPr="00E41806">
        <w:rPr>
          <w:rFonts w:ascii="Times New Roman" w:hAnsi="Times New Roman" w:cs="Times New Roman"/>
          <w:sz w:val="24"/>
          <w:szCs w:val="24"/>
        </w:rPr>
        <w:t>-</w:t>
      </w:r>
      <w:r w:rsidR="00E96457">
        <w:rPr>
          <w:rFonts w:ascii="Times New Roman" w:hAnsi="Times New Roman" w:cs="Times New Roman"/>
          <w:sz w:val="24"/>
          <w:szCs w:val="24"/>
        </w:rPr>
        <w:t>stage</w:t>
      </w:r>
      <w:r w:rsidRPr="00E41806" w:rsidR="00E96457">
        <w:rPr>
          <w:rFonts w:ascii="Times New Roman" w:hAnsi="Times New Roman" w:cs="Times New Roman"/>
          <w:sz w:val="24"/>
          <w:szCs w:val="24"/>
        </w:rPr>
        <w:t xml:space="preserve"> </w:t>
      </w:r>
      <w:r w:rsidRPr="00E41806">
        <w:rPr>
          <w:rFonts w:ascii="Times New Roman" w:hAnsi="Times New Roman" w:cs="Times New Roman"/>
          <w:sz w:val="24"/>
          <w:szCs w:val="24"/>
        </w:rPr>
        <w:t xml:space="preserve">incentive is intended to function, in effect, as a “safety mechanism” to mitigate any impact of the $0 </w:t>
      </w:r>
      <w:r w:rsidR="00AF7F45">
        <w:rPr>
          <w:rFonts w:ascii="Times New Roman" w:hAnsi="Times New Roman" w:cs="Times New Roman"/>
          <w:sz w:val="24"/>
          <w:szCs w:val="24"/>
        </w:rPr>
        <w:t xml:space="preserve">treatment </w:t>
      </w:r>
      <w:r w:rsidRPr="00E41806">
        <w:rPr>
          <w:rFonts w:ascii="Times New Roman" w:hAnsi="Times New Roman" w:cs="Times New Roman"/>
          <w:sz w:val="24"/>
          <w:szCs w:val="24"/>
        </w:rPr>
        <w:t xml:space="preserve">group on representativeness. A secondary benefit is that the use of an incentive toward the end of data collection could be considered as an adaptive design intervention in future NTEWS cycles; thus, data collected by this treatment </w:t>
      </w:r>
      <w:r w:rsidR="00252843">
        <w:rPr>
          <w:rFonts w:ascii="Times New Roman" w:hAnsi="Times New Roman" w:cs="Times New Roman"/>
          <w:sz w:val="24"/>
          <w:szCs w:val="24"/>
        </w:rPr>
        <w:t>will</w:t>
      </w:r>
      <w:r w:rsidRPr="00E41806" w:rsidR="00252843">
        <w:rPr>
          <w:rFonts w:ascii="Times New Roman" w:hAnsi="Times New Roman" w:cs="Times New Roman"/>
          <w:sz w:val="24"/>
          <w:szCs w:val="24"/>
        </w:rPr>
        <w:t xml:space="preserve"> </w:t>
      </w:r>
      <w:r w:rsidRPr="00E41806">
        <w:rPr>
          <w:rFonts w:ascii="Times New Roman" w:hAnsi="Times New Roman" w:cs="Times New Roman"/>
          <w:sz w:val="24"/>
          <w:szCs w:val="24"/>
        </w:rPr>
        <w:t xml:space="preserve">be useful in developing adaptive designs. The value of the </w:t>
      </w:r>
      <w:r w:rsidR="0035778B">
        <w:rPr>
          <w:rFonts w:ascii="Times New Roman" w:hAnsi="Times New Roman" w:cs="Times New Roman"/>
          <w:sz w:val="24"/>
          <w:szCs w:val="24"/>
        </w:rPr>
        <w:t>late</w:t>
      </w:r>
      <w:r w:rsidRPr="00E41806">
        <w:rPr>
          <w:rFonts w:ascii="Times New Roman" w:hAnsi="Times New Roman" w:cs="Times New Roman"/>
          <w:sz w:val="24"/>
          <w:szCs w:val="24"/>
        </w:rPr>
        <w:t>-</w:t>
      </w:r>
      <w:r w:rsidR="0035778B">
        <w:rPr>
          <w:rFonts w:ascii="Times New Roman" w:hAnsi="Times New Roman" w:cs="Times New Roman"/>
          <w:sz w:val="24"/>
          <w:szCs w:val="24"/>
        </w:rPr>
        <w:t>stage</w:t>
      </w:r>
      <w:r w:rsidRPr="00E41806" w:rsidR="0035778B">
        <w:rPr>
          <w:rFonts w:ascii="Times New Roman" w:hAnsi="Times New Roman" w:cs="Times New Roman"/>
          <w:sz w:val="24"/>
          <w:szCs w:val="24"/>
        </w:rPr>
        <w:t xml:space="preserve"> </w:t>
      </w:r>
      <w:r w:rsidRPr="00E41806">
        <w:rPr>
          <w:rFonts w:ascii="Times New Roman" w:hAnsi="Times New Roman" w:cs="Times New Roman"/>
          <w:sz w:val="24"/>
          <w:szCs w:val="24"/>
        </w:rPr>
        <w:t xml:space="preserve">incentive will be relatively high ($30) in recognition of the fact that, by definition, </w:t>
      </w:r>
      <w:r w:rsidR="00AF7F45">
        <w:rPr>
          <w:rFonts w:ascii="Times New Roman" w:hAnsi="Times New Roman" w:cs="Times New Roman"/>
          <w:sz w:val="24"/>
          <w:szCs w:val="24"/>
        </w:rPr>
        <w:t>sample members</w:t>
      </w:r>
      <w:r w:rsidR="003F1F51">
        <w:rPr>
          <w:rFonts w:ascii="Times New Roman" w:hAnsi="Times New Roman" w:cs="Times New Roman"/>
          <w:sz w:val="24"/>
          <w:szCs w:val="24"/>
        </w:rPr>
        <w:t xml:space="preserve"> who</w:t>
      </w:r>
      <w:r w:rsidRPr="00E41806">
        <w:rPr>
          <w:rFonts w:ascii="Times New Roman" w:hAnsi="Times New Roman" w:cs="Times New Roman"/>
          <w:sz w:val="24"/>
          <w:szCs w:val="24"/>
        </w:rPr>
        <w:t xml:space="preserve"> have not responded by the final mailing are likely to be reluctant responders, implying that a relatively valuable incentive will be needed to substantially improve response to the final mailing.</w:t>
      </w:r>
    </w:p>
    <w:p w:rsidRPr="00E41806" w:rsidR="00E41806" w:rsidP="00E41806" w:rsidRDefault="00E41806" w14:paraId="44638049" w14:textId="528D9102">
      <w:pPr>
        <w:rPr>
          <w:rFonts w:ascii="Times New Roman" w:hAnsi="Times New Roman" w:cs="Times New Roman"/>
          <w:sz w:val="24"/>
          <w:szCs w:val="24"/>
        </w:rPr>
      </w:pPr>
      <w:r w:rsidRPr="00E41806">
        <w:rPr>
          <w:rFonts w:ascii="Times New Roman" w:hAnsi="Times New Roman" w:cs="Times New Roman"/>
          <w:sz w:val="24"/>
          <w:szCs w:val="24"/>
        </w:rPr>
        <w:t>The non-$0 incentive treatments (</w:t>
      </w:r>
      <w:r w:rsidRPr="00E41806">
        <w:rPr>
          <w:rFonts w:ascii="Times New Roman" w:hAnsi="Times New Roman" w:cs="Times New Roman"/>
          <w:i/>
          <w:sz w:val="24"/>
          <w:szCs w:val="24"/>
        </w:rPr>
        <w:t>INC10</w:t>
      </w:r>
      <w:r w:rsidRPr="00E41806">
        <w:rPr>
          <w:rFonts w:ascii="Times New Roman" w:hAnsi="Times New Roman" w:cs="Times New Roman"/>
          <w:sz w:val="24"/>
          <w:szCs w:val="24"/>
        </w:rPr>
        <w:t xml:space="preserve">, </w:t>
      </w:r>
      <w:r w:rsidRPr="00E41806">
        <w:rPr>
          <w:rFonts w:ascii="Times New Roman" w:hAnsi="Times New Roman" w:cs="Times New Roman"/>
          <w:i/>
          <w:sz w:val="24"/>
          <w:szCs w:val="24"/>
        </w:rPr>
        <w:t>INC20</w:t>
      </w:r>
      <w:r w:rsidRPr="00E41806">
        <w:rPr>
          <w:rFonts w:ascii="Times New Roman" w:hAnsi="Times New Roman" w:cs="Times New Roman"/>
          <w:sz w:val="24"/>
          <w:szCs w:val="24"/>
        </w:rPr>
        <w:t xml:space="preserve">, and </w:t>
      </w:r>
      <w:r w:rsidRPr="00E41806">
        <w:rPr>
          <w:rFonts w:ascii="Times New Roman" w:hAnsi="Times New Roman" w:cs="Times New Roman"/>
          <w:i/>
          <w:sz w:val="24"/>
          <w:szCs w:val="24"/>
        </w:rPr>
        <w:t>INC30</w:t>
      </w:r>
      <w:r w:rsidRPr="00E41806">
        <w:rPr>
          <w:rFonts w:ascii="Times New Roman" w:hAnsi="Times New Roman" w:cs="Times New Roman"/>
          <w:sz w:val="24"/>
          <w:szCs w:val="24"/>
        </w:rPr>
        <w:t xml:space="preserve">) will allow the testing of multiple incentive levels in a stepwise fashion. The rationale for this stepwise approach is the recognition that the experiences of the NSCG and NHES </w:t>
      </w:r>
      <w:r w:rsidR="000D3759">
        <w:rPr>
          <w:rFonts w:ascii="Times New Roman" w:hAnsi="Times New Roman" w:cs="Times New Roman"/>
          <w:sz w:val="24"/>
          <w:szCs w:val="24"/>
        </w:rPr>
        <w:t>are</w:t>
      </w:r>
      <w:r w:rsidRPr="00E41806">
        <w:rPr>
          <w:rFonts w:ascii="Times New Roman" w:hAnsi="Times New Roman" w:cs="Times New Roman"/>
          <w:sz w:val="24"/>
          <w:szCs w:val="24"/>
        </w:rPr>
        <w:t xml:space="preserve"> not entirely comparable to the NTEWS, as discussed above. Testing multiple non-$0 incentive levels will allow </w:t>
      </w:r>
      <w:r w:rsidR="00862057">
        <w:rPr>
          <w:rFonts w:ascii="Times New Roman" w:hAnsi="Times New Roman" w:cs="Times New Roman"/>
          <w:sz w:val="24"/>
          <w:szCs w:val="24"/>
        </w:rPr>
        <w:t xml:space="preserve">NCSES to quantify </w:t>
      </w:r>
      <w:r w:rsidRPr="00E41806">
        <w:rPr>
          <w:rFonts w:ascii="Times New Roman" w:hAnsi="Times New Roman" w:cs="Times New Roman"/>
          <w:sz w:val="24"/>
          <w:szCs w:val="24"/>
        </w:rPr>
        <w:t xml:space="preserve">the </w:t>
      </w:r>
      <w:r w:rsidR="00054774">
        <w:rPr>
          <w:rFonts w:ascii="Times New Roman" w:hAnsi="Times New Roman" w:cs="Times New Roman"/>
          <w:sz w:val="24"/>
          <w:szCs w:val="24"/>
        </w:rPr>
        <w:lastRenderedPageBreak/>
        <w:t>effect of</w:t>
      </w:r>
      <w:r w:rsidRPr="00E41806">
        <w:rPr>
          <w:rFonts w:ascii="Times New Roman" w:hAnsi="Times New Roman" w:cs="Times New Roman"/>
          <w:sz w:val="24"/>
          <w:szCs w:val="24"/>
        </w:rPr>
        <w:t xml:space="preserve"> incentive value </w:t>
      </w:r>
      <w:r w:rsidR="00054774">
        <w:rPr>
          <w:rFonts w:ascii="Times New Roman" w:hAnsi="Times New Roman" w:cs="Times New Roman"/>
          <w:sz w:val="24"/>
          <w:szCs w:val="24"/>
        </w:rPr>
        <w:t>on</w:t>
      </w:r>
      <w:r w:rsidRPr="00E41806" w:rsidR="00054774">
        <w:rPr>
          <w:rFonts w:ascii="Times New Roman" w:hAnsi="Times New Roman" w:cs="Times New Roman"/>
          <w:sz w:val="24"/>
          <w:szCs w:val="24"/>
        </w:rPr>
        <w:t xml:space="preserve"> </w:t>
      </w:r>
      <w:r w:rsidRPr="00E41806">
        <w:rPr>
          <w:rFonts w:ascii="Times New Roman" w:hAnsi="Times New Roman" w:cs="Times New Roman"/>
          <w:sz w:val="24"/>
          <w:szCs w:val="24"/>
        </w:rPr>
        <w:t xml:space="preserve">the NTEWS response rate both for the entire population and for critical subgroups. </w:t>
      </w:r>
      <w:r w:rsidR="004F0A80">
        <w:rPr>
          <w:rFonts w:ascii="Times New Roman" w:hAnsi="Times New Roman" w:cs="Times New Roman"/>
          <w:sz w:val="24"/>
          <w:szCs w:val="24"/>
        </w:rPr>
        <w:t>This testing</w:t>
      </w:r>
      <w:r w:rsidRPr="00E41806" w:rsidR="004F0A80">
        <w:rPr>
          <w:rFonts w:ascii="Times New Roman" w:hAnsi="Times New Roman" w:cs="Times New Roman"/>
          <w:sz w:val="24"/>
          <w:szCs w:val="24"/>
        </w:rPr>
        <w:t xml:space="preserve"> </w:t>
      </w:r>
      <w:r w:rsidRPr="00E41806">
        <w:rPr>
          <w:rFonts w:ascii="Times New Roman" w:hAnsi="Times New Roman" w:cs="Times New Roman"/>
          <w:sz w:val="24"/>
          <w:szCs w:val="24"/>
        </w:rPr>
        <w:t xml:space="preserve">will also provide </w:t>
      </w:r>
      <w:r w:rsidR="00724ADB">
        <w:rPr>
          <w:rFonts w:ascii="Times New Roman" w:hAnsi="Times New Roman" w:cs="Times New Roman"/>
          <w:sz w:val="24"/>
          <w:szCs w:val="24"/>
        </w:rPr>
        <w:t>data that could be used</w:t>
      </w:r>
      <w:r w:rsidRPr="00E41806">
        <w:rPr>
          <w:rFonts w:ascii="Times New Roman" w:hAnsi="Times New Roman" w:cs="Times New Roman"/>
          <w:sz w:val="24"/>
          <w:szCs w:val="24"/>
        </w:rPr>
        <w:t xml:space="preserve"> to develop stepwise tailored </w:t>
      </w:r>
      <w:r w:rsidR="00AF7F45">
        <w:rPr>
          <w:rFonts w:ascii="Times New Roman" w:hAnsi="Times New Roman" w:cs="Times New Roman"/>
          <w:sz w:val="24"/>
          <w:szCs w:val="24"/>
        </w:rPr>
        <w:t>design</w:t>
      </w:r>
      <w:r w:rsidRPr="00E41806" w:rsidR="00AF7F45">
        <w:rPr>
          <w:rFonts w:ascii="Times New Roman" w:hAnsi="Times New Roman" w:cs="Times New Roman"/>
          <w:sz w:val="24"/>
          <w:szCs w:val="24"/>
        </w:rPr>
        <w:t xml:space="preserve">s </w:t>
      </w:r>
      <w:r w:rsidRPr="00E41806">
        <w:rPr>
          <w:rFonts w:ascii="Times New Roman" w:hAnsi="Times New Roman" w:cs="Times New Roman"/>
          <w:sz w:val="24"/>
          <w:szCs w:val="24"/>
        </w:rPr>
        <w:t>for future cycles</w:t>
      </w:r>
      <w:r w:rsidR="00BA7D54">
        <w:rPr>
          <w:rFonts w:ascii="Times New Roman" w:hAnsi="Times New Roman" w:cs="Times New Roman"/>
          <w:sz w:val="24"/>
          <w:szCs w:val="24"/>
        </w:rPr>
        <w:t>. F</w:t>
      </w:r>
      <w:r w:rsidRPr="00E41806">
        <w:rPr>
          <w:rFonts w:ascii="Times New Roman" w:hAnsi="Times New Roman" w:cs="Times New Roman"/>
          <w:sz w:val="24"/>
          <w:szCs w:val="24"/>
        </w:rPr>
        <w:t xml:space="preserve">or example, rather than a binary approach of using $0 for some subgroups and $20 for the rest of the sample, a stepwise approach of using $0 for some subgroups, $10 for others, and $20 for the rest of the sample </w:t>
      </w:r>
      <w:r w:rsidR="00100C32">
        <w:rPr>
          <w:rFonts w:ascii="Times New Roman" w:hAnsi="Times New Roman" w:cs="Times New Roman"/>
          <w:sz w:val="24"/>
          <w:szCs w:val="24"/>
        </w:rPr>
        <w:t>could</w:t>
      </w:r>
      <w:r w:rsidRPr="00E41806">
        <w:rPr>
          <w:rFonts w:ascii="Times New Roman" w:hAnsi="Times New Roman" w:cs="Times New Roman"/>
          <w:sz w:val="24"/>
          <w:szCs w:val="24"/>
        </w:rPr>
        <w:t xml:space="preserve"> turn out to be optimal. Finally, by allowing </w:t>
      </w:r>
      <w:r w:rsidR="00FB0C8B">
        <w:rPr>
          <w:rFonts w:ascii="Times New Roman" w:hAnsi="Times New Roman" w:cs="Times New Roman"/>
          <w:sz w:val="24"/>
          <w:szCs w:val="24"/>
        </w:rPr>
        <w:t xml:space="preserve">for an evaluation of </w:t>
      </w:r>
      <w:r w:rsidRPr="00E41806">
        <w:rPr>
          <w:rFonts w:ascii="Times New Roman" w:hAnsi="Times New Roman" w:cs="Times New Roman"/>
          <w:sz w:val="24"/>
          <w:szCs w:val="24"/>
        </w:rPr>
        <w:t>the relationship between the incentive value and debit card usage rates</w:t>
      </w:r>
      <w:r w:rsidR="0095065D">
        <w:rPr>
          <w:rFonts w:ascii="Times New Roman" w:hAnsi="Times New Roman" w:cs="Times New Roman"/>
          <w:sz w:val="24"/>
          <w:szCs w:val="24"/>
        </w:rPr>
        <w:t>, this approach</w:t>
      </w:r>
      <w:r w:rsidRPr="00E41806">
        <w:rPr>
          <w:rFonts w:ascii="Times New Roman" w:hAnsi="Times New Roman" w:cs="Times New Roman"/>
          <w:sz w:val="24"/>
          <w:szCs w:val="24"/>
        </w:rPr>
        <w:t xml:space="preserve"> will allow for a more complete analysis of cost-benefit tradeoffs from incentivization.</w:t>
      </w:r>
    </w:p>
    <w:p w:rsidR="00E41806" w:rsidP="008B5C08" w:rsidRDefault="00E41806" w14:paraId="65779A46" w14:textId="561BF057">
      <w:pPr>
        <w:rPr>
          <w:rFonts w:ascii="Times New Roman" w:hAnsi="Times New Roman" w:cs="Times New Roman"/>
          <w:sz w:val="24"/>
          <w:szCs w:val="24"/>
        </w:rPr>
      </w:pPr>
      <w:r w:rsidRPr="00E41806">
        <w:rPr>
          <w:rFonts w:ascii="Times New Roman" w:hAnsi="Times New Roman" w:cs="Times New Roman"/>
          <w:sz w:val="24"/>
          <w:szCs w:val="24"/>
        </w:rPr>
        <w:t xml:space="preserve">The $10, $20, and $30 incentive levels were selected based on a review of relevant literature and on previous NSCG </w:t>
      </w:r>
      <w:r w:rsidR="004C3BB2">
        <w:rPr>
          <w:rFonts w:ascii="Times New Roman" w:hAnsi="Times New Roman" w:cs="Times New Roman"/>
          <w:sz w:val="24"/>
          <w:szCs w:val="24"/>
        </w:rPr>
        <w:t xml:space="preserve">and NHES </w:t>
      </w:r>
      <w:r w:rsidRPr="00E41806">
        <w:rPr>
          <w:rFonts w:ascii="Times New Roman" w:hAnsi="Times New Roman" w:cs="Times New Roman"/>
          <w:sz w:val="24"/>
          <w:szCs w:val="24"/>
        </w:rPr>
        <w:t xml:space="preserve">experiences with </w:t>
      </w:r>
      <w:r w:rsidR="0066439C">
        <w:rPr>
          <w:rFonts w:ascii="Times New Roman" w:hAnsi="Times New Roman" w:cs="Times New Roman"/>
          <w:sz w:val="24"/>
          <w:szCs w:val="24"/>
        </w:rPr>
        <w:t>noncontingent</w:t>
      </w:r>
      <w:r w:rsidRPr="00835AF8">
        <w:rPr>
          <w:rFonts w:ascii="Times New Roman" w:hAnsi="Times New Roman" w:cs="Times New Roman"/>
          <w:sz w:val="24"/>
          <w:szCs w:val="24"/>
        </w:rPr>
        <w:t xml:space="preserve"> incentives. </w:t>
      </w:r>
      <w:r w:rsidR="00F06EE2">
        <w:rPr>
          <w:rFonts w:ascii="Times New Roman" w:hAnsi="Times New Roman" w:cs="Times New Roman"/>
          <w:sz w:val="24"/>
          <w:szCs w:val="24"/>
        </w:rPr>
        <w:t xml:space="preserve">In general, based on </w:t>
      </w:r>
      <w:r w:rsidR="00575380">
        <w:rPr>
          <w:rFonts w:ascii="Times New Roman" w:hAnsi="Times New Roman" w:cs="Times New Roman"/>
          <w:sz w:val="24"/>
          <w:szCs w:val="24"/>
        </w:rPr>
        <w:t xml:space="preserve">the findings </w:t>
      </w:r>
      <w:r w:rsidR="00B01537">
        <w:rPr>
          <w:rFonts w:ascii="Times New Roman" w:hAnsi="Times New Roman" w:cs="Times New Roman"/>
          <w:sz w:val="24"/>
          <w:szCs w:val="24"/>
        </w:rPr>
        <w:t>by Bailey, Lavrakas, and Bennett (2007)</w:t>
      </w:r>
      <w:r w:rsidR="007A569E">
        <w:rPr>
          <w:rFonts w:ascii="Times New Roman" w:hAnsi="Times New Roman" w:cs="Times New Roman"/>
          <w:sz w:val="24"/>
          <w:szCs w:val="24"/>
        </w:rPr>
        <w:t xml:space="preserve">, </w:t>
      </w:r>
      <w:r w:rsidR="00000626">
        <w:rPr>
          <w:rFonts w:ascii="Times New Roman" w:hAnsi="Times New Roman" w:cs="Times New Roman"/>
          <w:sz w:val="24"/>
          <w:szCs w:val="24"/>
        </w:rPr>
        <w:t xml:space="preserve">the </w:t>
      </w:r>
      <w:r w:rsidR="00547470">
        <w:rPr>
          <w:rFonts w:ascii="Times New Roman" w:hAnsi="Times New Roman" w:cs="Times New Roman"/>
          <w:sz w:val="24"/>
          <w:szCs w:val="24"/>
        </w:rPr>
        <w:t>non-$0 debit card</w:t>
      </w:r>
      <w:r w:rsidR="00574BBB">
        <w:rPr>
          <w:rFonts w:ascii="Times New Roman" w:hAnsi="Times New Roman" w:cs="Times New Roman"/>
          <w:sz w:val="24"/>
          <w:szCs w:val="24"/>
        </w:rPr>
        <w:t xml:space="preserve"> incentives that will be tested for the NTEWS </w:t>
      </w:r>
      <w:r w:rsidR="00036DF3">
        <w:rPr>
          <w:rFonts w:ascii="Times New Roman" w:hAnsi="Times New Roman" w:cs="Times New Roman"/>
          <w:sz w:val="24"/>
          <w:szCs w:val="24"/>
        </w:rPr>
        <w:t xml:space="preserve">are </w:t>
      </w:r>
      <w:r w:rsidR="00733F71">
        <w:rPr>
          <w:rFonts w:ascii="Times New Roman" w:hAnsi="Times New Roman" w:cs="Times New Roman"/>
          <w:sz w:val="24"/>
          <w:szCs w:val="24"/>
        </w:rPr>
        <w:t xml:space="preserve">generally </w:t>
      </w:r>
      <w:r w:rsidR="00036DF3">
        <w:rPr>
          <w:rFonts w:ascii="Times New Roman" w:hAnsi="Times New Roman" w:cs="Times New Roman"/>
          <w:sz w:val="24"/>
          <w:szCs w:val="24"/>
        </w:rPr>
        <w:t xml:space="preserve">larger than the </w:t>
      </w:r>
      <w:r w:rsidR="00FD6220">
        <w:rPr>
          <w:rFonts w:ascii="Times New Roman" w:hAnsi="Times New Roman" w:cs="Times New Roman"/>
          <w:sz w:val="24"/>
          <w:szCs w:val="24"/>
        </w:rPr>
        <w:t>cash incentives used for the NHES</w:t>
      </w:r>
      <w:r w:rsidR="002C4CA3">
        <w:rPr>
          <w:rFonts w:ascii="Times New Roman" w:hAnsi="Times New Roman" w:cs="Times New Roman"/>
          <w:sz w:val="24"/>
          <w:szCs w:val="24"/>
        </w:rPr>
        <w:t>, and more comparable to the debit card incentives used for the NSCG</w:t>
      </w:r>
      <w:r w:rsidR="00FD6220">
        <w:rPr>
          <w:rFonts w:ascii="Times New Roman" w:hAnsi="Times New Roman" w:cs="Times New Roman"/>
          <w:sz w:val="24"/>
          <w:szCs w:val="24"/>
        </w:rPr>
        <w:t>.</w:t>
      </w:r>
      <w:r w:rsidR="00F06EE2">
        <w:rPr>
          <w:rFonts w:ascii="Times New Roman" w:hAnsi="Times New Roman" w:cs="Times New Roman"/>
          <w:sz w:val="24"/>
          <w:szCs w:val="24"/>
        </w:rPr>
        <w:t xml:space="preserve"> </w:t>
      </w:r>
      <w:r w:rsidR="00EF60D9">
        <w:rPr>
          <w:rFonts w:ascii="Times New Roman" w:hAnsi="Times New Roman" w:cs="Times New Roman"/>
          <w:sz w:val="24"/>
          <w:szCs w:val="24"/>
        </w:rPr>
        <w:t>In particular,</w:t>
      </w:r>
      <w:r w:rsidRPr="00835AF8">
        <w:rPr>
          <w:rFonts w:ascii="Times New Roman" w:hAnsi="Times New Roman" w:cs="Times New Roman"/>
          <w:sz w:val="24"/>
          <w:szCs w:val="24"/>
        </w:rPr>
        <w:t xml:space="preserve"> the $10 treatment (</w:t>
      </w:r>
      <w:r w:rsidRPr="00835AF8">
        <w:rPr>
          <w:rFonts w:ascii="Times New Roman" w:hAnsi="Times New Roman" w:cs="Times New Roman"/>
          <w:i/>
          <w:sz w:val="24"/>
          <w:szCs w:val="24"/>
        </w:rPr>
        <w:t>INC10</w:t>
      </w:r>
      <w:r w:rsidRPr="00835AF8">
        <w:rPr>
          <w:rFonts w:ascii="Times New Roman" w:hAnsi="Times New Roman" w:cs="Times New Roman"/>
          <w:sz w:val="24"/>
          <w:szCs w:val="24"/>
        </w:rPr>
        <w:t xml:space="preserve">) is included on the hypothesis that it would be approximately equivalent to the $5 cash incentives used </w:t>
      </w:r>
      <w:r w:rsidR="00B60F55">
        <w:rPr>
          <w:rFonts w:ascii="Times New Roman" w:hAnsi="Times New Roman" w:cs="Times New Roman"/>
          <w:sz w:val="24"/>
          <w:szCs w:val="24"/>
        </w:rPr>
        <w:t xml:space="preserve">at the first </w:t>
      </w:r>
      <w:r w:rsidR="00FA702F">
        <w:rPr>
          <w:rFonts w:ascii="Times New Roman" w:hAnsi="Times New Roman" w:cs="Times New Roman"/>
          <w:sz w:val="24"/>
          <w:szCs w:val="24"/>
        </w:rPr>
        <w:t xml:space="preserve">screener </w:t>
      </w:r>
      <w:r w:rsidR="00B60F55">
        <w:rPr>
          <w:rFonts w:ascii="Times New Roman" w:hAnsi="Times New Roman" w:cs="Times New Roman"/>
          <w:sz w:val="24"/>
          <w:szCs w:val="24"/>
        </w:rPr>
        <w:t xml:space="preserve">mailing </w:t>
      </w:r>
      <w:r w:rsidRPr="00835AF8">
        <w:rPr>
          <w:rFonts w:ascii="Times New Roman" w:hAnsi="Times New Roman" w:cs="Times New Roman"/>
          <w:sz w:val="24"/>
          <w:szCs w:val="24"/>
        </w:rPr>
        <w:t>in the NHES. The $30 treatment</w:t>
      </w:r>
      <w:r w:rsidRPr="00E41806">
        <w:rPr>
          <w:rFonts w:ascii="Times New Roman" w:hAnsi="Times New Roman" w:cs="Times New Roman"/>
          <w:sz w:val="24"/>
          <w:szCs w:val="24"/>
        </w:rPr>
        <w:t xml:space="preserve"> (</w:t>
      </w:r>
      <w:r w:rsidRPr="00E41806">
        <w:rPr>
          <w:rFonts w:ascii="Times New Roman" w:hAnsi="Times New Roman" w:cs="Times New Roman"/>
          <w:i/>
          <w:sz w:val="24"/>
          <w:szCs w:val="24"/>
        </w:rPr>
        <w:t>INC30</w:t>
      </w:r>
      <w:r w:rsidRPr="00E41806">
        <w:rPr>
          <w:rFonts w:ascii="Times New Roman" w:hAnsi="Times New Roman" w:cs="Times New Roman"/>
          <w:sz w:val="24"/>
          <w:szCs w:val="24"/>
        </w:rPr>
        <w:t>) is included because it is the default incentive level in the NSCG</w:t>
      </w:r>
      <w:r w:rsidR="00B83E8B">
        <w:rPr>
          <w:rFonts w:ascii="Times New Roman" w:hAnsi="Times New Roman" w:cs="Times New Roman"/>
          <w:sz w:val="24"/>
          <w:szCs w:val="24"/>
        </w:rPr>
        <w:t xml:space="preserve">, and the 2010 NSCG </w:t>
      </w:r>
      <w:r w:rsidR="008B0D1D">
        <w:rPr>
          <w:rFonts w:ascii="Times New Roman" w:hAnsi="Times New Roman" w:cs="Times New Roman"/>
          <w:sz w:val="24"/>
          <w:szCs w:val="24"/>
        </w:rPr>
        <w:t>incentive experiment found that a $30 debit card continued to offer an incremental benefit over $20</w:t>
      </w:r>
      <w:r w:rsidRPr="00E41806">
        <w:rPr>
          <w:rFonts w:ascii="Times New Roman" w:hAnsi="Times New Roman" w:cs="Times New Roman"/>
          <w:sz w:val="24"/>
          <w:szCs w:val="24"/>
        </w:rPr>
        <w:t>. The $20 treatment (</w:t>
      </w:r>
      <w:r w:rsidRPr="00E41806">
        <w:rPr>
          <w:rFonts w:ascii="Times New Roman" w:hAnsi="Times New Roman" w:cs="Times New Roman"/>
          <w:i/>
          <w:sz w:val="24"/>
          <w:szCs w:val="24"/>
        </w:rPr>
        <w:t>INC20</w:t>
      </w:r>
      <w:r w:rsidRPr="00E41806">
        <w:rPr>
          <w:rFonts w:ascii="Times New Roman" w:hAnsi="Times New Roman" w:cs="Times New Roman"/>
          <w:sz w:val="24"/>
          <w:szCs w:val="24"/>
        </w:rPr>
        <w:t xml:space="preserve">) is included </w:t>
      </w:r>
      <w:r w:rsidR="00B629C4">
        <w:rPr>
          <w:rFonts w:ascii="Times New Roman" w:hAnsi="Times New Roman" w:cs="Times New Roman"/>
          <w:sz w:val="24"/>
          <w:szCs w:val="24"/>
        </w:rPr>
        <w:t>to determine whether</w:t>
      </w:r>
      <w:r w:rsidR="00290027">
        <w:rPr>
          <w:rFonts w:ascii="Times New Roman" w:hAnsi="Times New Roman" w:cs="Times New Roman"/>
          <w:sz w:val="24"/>
          <w:szCs w:val="24"/>
        </w:rPr>
        <w:t xml:space="preserve"> this finding from the NSCG is replicated and whether</w:t>
      </w:r>
      <w:r w:rsidR="00B629C4">
        <w:rPr>
          <w:rFonts w:ascii="Times New Roman" w:hAnsi="Times New Roman" w:cs="Times New Roman"/>
          <w:sz w:val="24"/>
          <w:szCs w:val="24"/>
        </w:rPr>
        <w:t xml:space="preserve"> this intermediate incentive level is sufficient for </w:t>
      </w:r>
      <w:r w:rsidR="009E365B">
        <w:rPr>
          <w:rFonts w:ascii="Times New Roman" w:hAnsi="Times New Roman" w:cs="Times New Roman"/>
          <w:sz w:val="24"/>
          <w:szCs w:val="24"/>
        </w:rPr>
        <w:t>the</w:t>
      </w:r>
      <w:r w:rsidR="00875EFF">
        <w:rPr>
          <w:rFonts w:ascii="Times New Roman" w:hAnsi="Times New Roman" w:cs="Times New Roman"/>
          <w:sz w:val="24"/>
          <w:szCs w:val="24"/>
        </w:rPr>
        <w:t xml:space="preserve"> (more general)</w:t>
      </w:r>
      <w:r w:rsidR="009E365B">
        <w:rPr>
          <w:rFonts w:ascii="Times New Roman" w:hAnsi="Times New Roman" w:cs="Times New Roman"/>
          <w:sz w:val="24"/>
          <w:szCs w:val="24"/>
        </w:rPr>
        <w:t xml:space="preserve"> NTEWS target population</w:t>
      </w:r>
      <w:r w:rsidRPr="00E41806">
        <w:rPr>
          <w:rFonts w:ascii="Times New Roman" w:hAnsi="Times New Roman" w:cs="Times New Roman"/>
          <w:sz w:val="24"/>
          <w:szCs w:val="24"/>
        </w:rPr>
        <w:t>.</w:t>
      </w:r>
    </w:p>
    <w:p w:rsidR="00C475EA" w:rsidP="008B5C08" w:rsidRDefault="006B0D8B" w14:paraId="0385DE9E" w14:textId="42B0C116">
      <w:pPr>
        <w:rPr>
          <w:rFonts w:ascii="Times New Roman" w:hAnsi="Times New Roman" w:cs="Times New Roman"/>
          <w:sz w:val="24"/>
          <w:szCs w:val="24"/>
        </w:rPr>
      </w:pPr>
      <w:r>
        <w:rPr>
          <w:rFonts w:ascii="Times New Roman" w:hAnsi="Times New Roman" w:cs="Times New Roman"/>
          <w:i/>
          <w:sz w:val="24"/>
          <w:szCs w:val="24"/>
        </w:rPr>
        <w:t>3.</w:t>
      </w:r>
      <w:r w:rsidR="004F3B66">
        <w:rPr>
          <w:rFonts w:ascii="Times New Roman" w:hAnsi="Times New Roman" w:cs="Times New Roman"/>
          <w:i/>
          <w:sz w:val="24"/>
          <w:szCs w:val="24"/>
        </w:rPr>
        <w:t>7</w:t>
      </w:r>
      <w:r>
        <w:rPr>
          <w:rFonts w:ascii="Times New Roman" w:hAnsi="Times New Roman" w:cs="Times New Roman"/>
          <w:i/>
          <w:sz w:val="24"/>
          <w:szCs w:val="24"/>
        </w:rPr>
        <w:t xml:space="preserve">. </w:t>
      </w:r>
      <w:r w:rsidR="00CE7BA9">
        <w:rPr>
          <w:rFonts w:ascii="Times New Roman" w:hAnsi="Times New Roman" w:cs="Times New Roman"/>
          <w:i/>
          <w:sz w:val="24"/>
          <w:szCs w:val="24"/>
        </w:rPr>
        <w:t>Additional o</w:t>
      </w:r>
      <w:r>
        <w:rPr>
          <w:rFonts w:ascii="Times New Roman" w:hAnsi="Times New Roman" w:cs="Times New Roman"/>
          <w:i/>
          <w:sz w:val="24"/>
          <w:szCs w:val="24"/>
        </w:rPr>
        <w:t>perational details</w:t>
      </w:r>
    </w:p>
    <w:p w:rsidR="0077071F" w:rsidP="008B5C08" w:rsidRDefault="0077071F" w14:paraId="72B77AC1" w14:textId="04D61966">
      <w:pPr>
        <w:rPr>
          <w:rFonts w:ascii="Times New Roman" w:hAnsi="Times New Roman" w:cs="Times New Roman"/>
          <w:sz w:val="24"/>
          <w:szCs w:val="24"/>
        </w:rPr>
      </w:pPr>
      <w:r>
        <w:rPr>
          <w:rFonts w:ascii="Times New Roman" w:hAnsi="Times New Roman" w:cs="Times New Roman"/>
          <w:sz w:val="24"/>
          <w:szCs w:val="24"/>
        </w:rPr>
        <w:t xml:space="preserve">All noncontingent debit card incentives </w:t>
      </w:r>
      <w:r w:rsidR="002C38A6">
        <w:rPr>
          <w:rFonts w:ascii="Times New Roman" w:hAnsi="Times New Roman" w:cs="Times New Roman"/>
          <w:sz w:val="24"/>
          <w:szCs w:val="24"/>
        </w:rPr>
        <w:t xml:space="preserve">will be </w:t>
      </w:r>
      <w:r w:rsidR="00443FFB">
        <w:rPr>
          <w:rFonts w:ascii="Times New Roman" w:hAnsi="Times New Roman" w:cs="Times New Roman"/>
          <w:sz w:val="24"/>
          <w:szCs w:val="24"/>
        </w:rPr>
        <w:t xml:space="preserve">included in the same envelope as the letter and/or questionnaire sent in the specified week. The value of the enclosed incentive will be stated in the letter with which it is sent and will also be printed in the “Name” field of the card itself. Subsequent mailings will </w:t>
      </w:r>
      <w:r w:rsidRPr="008A4A06" w:rsidR="00443FFB">
        <w:rPr>
          <w:rFonts w:ascii="Times New Roman" w:hAnsi="Times New Roman" w:cs="Times New Roman"/>
          <w:i/>
          <w:sz w:val="24"/>
          <w:szCs w:val="24"/>
        </w:rPr>
        <w:t>not</w:t>
      </w:r>
      <w:r w:rsidR="00443FFB">
        <w:rPr>
          <w:rFonts w:ascii="Times New Roman" w:hAnsi="Times New Roman" w:cs="Times New Roman"/>
          <w:sz w:val="24"/>
          <w:szCs w:val="24"/>
        </w:rPr>
        <w:t xml:space="preserve"> mention the previously provided noncontingent incentive</w:t>
      </w:r>
      <w:r w:rsidR="00BA415D">
        <w:rPr>
          <w:rFonts w:ascii="Times New Roman" w:hAnsi="Times New Roman" w:cs="Times New Roman"/>
          <w:sz w:val="24"/>
          <w:szCs w:val="24"/>
        </w:rPr>
        <w:t>.</w:t>
      </w:r>
    </w:p>
    <w:p w:rsidRPr="00C475EA" w:rsidR="00AD4EC0" w:rsidP="008B5C08" w:rsidRDefault="00AD4EC0" w14:paraId="171D0CBD" w14:textId="1C00ECBE">
      <w:pPr>
        <w:rPr>
          <w:rFonts w:ascii="Times New Roman" w:hAnsi="Times New Roman" w:cs="Times New Roman"/>
          <w:sz w:val="24"/>
          <w:szCs w:val="24"/>
        </w:rPr>
      </w:pPr>
      <w:r>
        <w:rPr>
          <w:rFonts w:ascii="Times New Roman" w:hAnsi="Times New Roman" w:cs="Times New Roman"/>
          <w:sz w:val="24"/>
          <w:szCs w:val="24"/>
        </w:rPr>
        <w:t xml:space="preserve">All debit cards, regardless of when they are sent, will expire approximately </w:t>
      </w:r>
      <w:r w:rsidR="007C7372">
        <w:rPr>
          <w:rFonts w:ascii="Times New Roman" w:hAnsi="Times New Roman" w:cs="Times New Roman"/>
          <w:sz w:val="24"/>
          <w:szCs w:val="24"/>
        </w:rPr>
        <w:t xml:space="preserve">six </w:t>
      </w:r>
      <w:r>
        <w:rPr>
          <w:rFonts w:ascii="Times New Roman" w:hAnsi="Times New Roman" w:cs="Times New Roman"/>
          <w:sz w:val="24"/>
          <w:szCs w:val="24"/>
        </w:rPr>
        <w:t>month</w:t>
      </w:r>
      <w:r w:rsidR="007C7372">
        <w:rPr>
          <w:rFonts w:ascii="Times New Roman" w:hAnsi="Times New Roman" w:cs="Times New Roman"/>
          <w:sz w:val="24"/>
          <w:szCs w:val="24"/>
        </w:rPr>
        <w:t>s</w:t>
      </w:r>
      <w:r>
        <w:rPr>
          <w:rFonts w:ascii="Times New Roman" w:hAnsi="Times New Roman" w:cs="Times New Roman"/>
          <w:sz w:val="24"/>
          <w:szCs w:val="24"/>
        </w:rPr>
        <w:t xml:space="preserve"> after the </w:t>
      </w:r>
      <w:r w:rsidR="000D5C5D">
        <w:rPr>
          <w:rFonts w:ascii="Times New Roman" w:hAnsi="Times New Roman" w:cs="Times New Roman"/>
          <w:sz w:val="24"/>
          <w:szCs w:val="24"/>
        </w:rPr>
        <w:t xml:space="preserve">scheduled </w:t>
      </w:r>
      <w:r w:rsidR="007C7372">
        <w:rPr>
          <w:rFonts w:ascii="Times New Roman" w:hAnsi="Times New Roman" w:cs="Times New Roman"/>
          <w:sz w:val="24"/>
          <w:szCs w:val="24"/>
        </w:rPr>
        <w:t>data collection start date</w:t>
      </w:r>
      <w:r w:rsidR="00D336A4">
        <w:rPr>
          <w:rFonts w:ascii="Times New Roman" w:hAnsi="Times New Roman" w:cs="Times New Roman"/>
          <w:sz w:val="24"/>
          <w:szCs w:val="24"/>
        </w:rPr>
        <w:t xml:space="preserve">. </w:t>
      </w:r>
      <w:r w:rsidR="00A8046A">
        <w:rPr>
          <w:rFonts w:ascii="Times New Roman" w:hAnsi="Times New Roman" w:cs="Times New Roman"/>
          <w:sz w:val="24"/>
          <w:szCs w:val="24"/>
        </w:rPr>
        <w:t xml:space="preserve">The expiration date will be </w:t>
      </w:r>
      <w:r w:rsidR="00DD65FF">
        <w:rPr>
          <w:rFonts w:ascii="Times New Roman" w:hAnsi="Times New Roman" w:cs="Times New Roman"/>
          <w:sz w:val="24"/>
          <w:szCs w:val="24"/>
        </w:rPr>
        <w:t>printed</w:t>
      </w:r>
      <w:r w:rsidR="00AF0796">
        <w:rPr>
          <w:rFonts w:ascii="Times New Roman" w:hAnsi="Times New Roman" w:cs="Times New Roman"/>
          <w:sz w:val="24"/>
          <w:szCs w:val="24"/>
        </w:rPr>
        <w:t xml:space="preserve"> on the cards.</w:t>
      </w:r>
    </w:p>
    <w:p w:rsidR="001D601C" w:rsidP="008B5C08" w:rsidRDefault="001D601C" w14:paraId="50D14AFC" w14:textId="11EC527A">
      <w:pPr>
        <w:rPr>
          <w:rFonts w:ascii="Times New Roman" w:hAnsi="Times New Roman" w:cs="Times New Roman"/>
          <w:i/>
          <w:sz w:val="24"/>
          <w:szCs w:val="24"/>
        </w:rPr>
      </w:pPr>
      <w:r>
        <w:rPr>
          <w:rFonts w:ascii="Times New Roman" w:hAnsi="Times New Roman" w:cs="Times New Roman"/>
          <w:i/>
          <w:sz w:val="24"/>
          <w:szCs w:val="24"/>
        </w:rPr>
        <w:t>3.</w:t>
      </w:r>
      <w:r w:rsidR="004F3B66">
        <w:rPr>
          <w:rFonts w:ascii="Times New Roman" w:hAnsi="Times New Roman" w:cs="Times New Roman"/>
          <w:i/>
          <w:sz w:val="24"/>
          <w:szCs w:val="24"/>
        </w:rPr>
        <w:t>8</w:t>
      </w:r>
      <w:r>
        <w:rPr>
          <w:rFonts w:ascii="Times New Roman" w:hAnsi="Times New Roman" w:cs="Times New Roman"/>
          <w:i/>
          <w:sz w:val="24"/>
          <w:szCs w:val="24"/>
        </w:rPr>
        <w:t>. Research questions</w:t>
      </w:r>
    </w:p>
    <w:p w:rsidR="009C7B5B" w:rsidP="00AD6397" w:rsidRDefault="00ED129E" w14:paraId="6B79E146" w14:textId="0826E991">
      <w:pPr>
        <w:rPr>
          <w:rFonts w:ascii="Times New Roman" w:hAnsi="Times New Roman" w:cs="Times New Roman"/>
          <w:iCs/>
          <w:sz w:val="24"/>
          <w:szCs w:val="24"/>
        </w:rPr>
      </w:pPr>
      <w:r>
        <w:rPr>
          <w:rFonts w:ascii="Times New Roman" w:hAnsi="Times New Roman" w:cs="Times New Roman"/>
          <w:iCs/>
          <w:sz w:val="24"/>
          <w:szCs w:val="24"/>
        </w:rPr>
        <w:t xml:space="preserve">The three main research questions listed in section 1 all apply to the </w:t>
      </w:r>
      <w:r w:rsidR="008853C8">
        <w:rPr>
          <w:rFonts w:ascii="Times New Roman" w:hAnsi="Times New Roman" w:cs="Times New Roman"/>
          <w:iCs/>
          <w:sz w:val="24"/>
          <w:szCs w:val="24"/>
        </w:rPr>
        <w:t>noncontingent-incentive</w:t>
      </w:r>
      <w:r>
        <w:rPr>
          <w:rFonts w:ascii="Times New Roman" w:hAnsi="Times New Roman" w:cs="Times New Roman"/>
          <w:iCs/>
          <w:sz w:val="24"/>
          <w:szCs w:val="24"/>
        </w:rPr>
        <w:t xml:space="preserve"> experiment. </w:t>
      </w:r>
      <w:r w:rsidR="00885BB3">
        <w:rPr>
          <w:rFonts w:ascii="Times New Roman" w:hAnsi="Times New Roman" w:cs="Times New Roman"/>
          <w:iCs/>
          <w:sz w:val="24"/>
          <w:szCs w:val="24"/>
        </w:rPr>
        <w:t xml:space="preserve">The analysis of the noncontingent-incentive experiment will focus on how incentives can best be employed </w:t>
      </w:r>
      <w:r w:rsidR="00282278">
        <w:rPr>
          <w:rFonts w:ascii="Times New Roman" w:hAnsi="Times New Roman" w:cs="Times New Roman"/>
          <w:iCs/>
          <w:sz w:val="24"/>
          <w:szCs w:val="24"/>
        </w:rPr>
        <w:t xml:space="preserve">in a </w:t>
      </w:r>
      <w:r w:rsidR="00DF49E7">
        <w:rPr>
          <w:rFonts w:ascii="Times New Roman" w:hAnsi="Times New Roman" w:cs="Times New Roman"/>
          <w:iCs/>
          <w:sz w:val="24"/>
          <w:szCs w:val="24"/>
        </w:rPr>
        <w:t>tailored</w:t>
      </w:r>
      <w:r w:rsidR="00282278">
        <w:rPr>
          <w:rFonts w:ascii="Times New Roman" w:hAnsi="Times New Roman" w:cs="Times New Roman"/>
          <w:iCs/>
          <w:sz w:val="24"/>
          <w:szCs w:val="24"/>
        </w:rPr>
        <w:t xml:space="preserve"> manner </w:t>
      </w:r>
      <w:r w:rsidR="00885BB3">
        <w:rPr>
          <w:rFonts w:ascii="Times New Roman" w:hAnsi="Times New Roman" w:cs="Times New Roman"/>
          <w:iCs/>
          <w:sz w:val="24"/>
          <w:szCs w:val="24"/>
        </w:rPr>
        <w:t xml:space="preserve">to minimize nonresponse bias at an acceptable cost to the government. </w:t>
      </w:r>
      <w:r w:rsidR="005D430D">
        <w:rPr>
          <w:rFonts w:ascii="Times New Roman" w:hAnsi="Times New Roman" w:cs="Times New Roman"/>
          <w:iCs/>
          <w:sz w:val="24"/>
          <w:szCs w:val="24"/>
        </w:rPr>
        <w:t xml:space="preserve">NCSES will prioritize analyses that will inform the development of a cost-effective tailored incentive design. </w:t>
      </w:r>
      <w:r w:rsidR="00EC20A4">
        <w:rPr>
          <w:rFonts w:ascii="Times New Roman" w:hAnsi="Times New Roman" w:cs="Times New Roman"/>
          <w:iCs/>
          <w:sz w:val="24"/>
          <w:szCs w:val="24"/>
        </w:rPr>
        <w:t xml:space="preserve">Of particular interest, therefore, will be the effectiveness of various incentive levels within subgroups that are of substantive interest (e.g., the </w:t>
      </w:r>
      <w:r w:rsidR="004D1842">
        <w:rPr>
          <w:rFonts w:ascii="Times New Roman" w:hAnsi="Times New Roman" w:cs="Times New Roman"/>
          <w:iCs/>
          <w:sz w:val="24"/>
          <w:szCs w:val="24"/>
        </w:rPr>
        <w:t xml:space="preserve">subbaccalaureate </w:t>
      </w:r>
      <w:r w:rsidR="00EC20A4">
        <w:rPr>
          <w:rFonts w:ascii="Times New Roman" w:hAnsi="Times New Roman" w:cs="Times New Roman"/>
          <w:iCs/>
          <w:sz w:val="24"/>
          <w:szCs w:val="24"/>
        </w:rPr>
        <w:t>STW)</w:t>
      </w:r>
      <w:r w:rsidR="00C90C63">
        <w:rPr>
          <w:rFonts w:ascii="Times New Roman" w:hAnsi="Times New Roman" w:cs="Times New Roman"/>
          <w:iCs/>
          <w:sz w:val="24"/>
          <w:szCs w:val="24"/>
        </w:rPr>
        <w:t xml:space="preserve">, as well as among sample members with lower-than-average response propensities. </w:t>
      </w:r>
      <w:r w:rsidR="004D1842">
        <w:rPr>
          <w:rFonts w:ascii="Times New Roman" w:hAnsi="Times New Roman" w:cs="Times New Roman"/>
          <w:iCs/>
          <w:sz w:val="24"/>
          <w:szCs w:val="24"/>
        </w:rPr>
        <w:t xml:space="preserve">NCSES anticipates that these are the </w:t>
      </w:r>
      <w:r w:rsidR="00FB2747">
        <w:rPr>
          <w:rFonts w:ascii="Times New Roman" w:hAnsi="Times New Roman" w:cs="Times New Roman"/>
          <w:iCs/>
          <w:sz w:val="24"/>
          <w:szCs w:val="24"/>
        </w:rPr>
        <w:t xml:space="preserve">types of subgroups between which </w:t>
      </w:r>
      <w:r w:rsidR="002200E5">
        <w:rPr>
          <w:rFonts w:ascii="Times New Roman" w:hAnsi="Times New Roman" w:cs="Times New Roman"/>
          <w:iCs/>
          <w:sz w:val="24"/>
          <w:szCs w:val="24"/>
        </w:rPr>
        <w:t xml:space="preserve">the usage and value of </w:t>
      </w:r>
      <w:r w:rsidR="003016E7">
        <w:rPr>
          <w:rFonts w:ascii="Times New Roman" w:hAnsi="Times New Roman" w:cs="Times New Roman"/>
          <w:iCs/>
          <w:sz w:val="24"/>
          <w:szCs w:val="24"/>
        </w:rPr>
        <w:t>incentives could vary in future NTEWS cycles.</w:t>
      </w:r>
    </w:p>
    <w:p w:rsidR="001B6513" w:rsidP="00C54AB3" w:rsidRDefault="00A3425B" w14:paraId="63B2E540" w14:textId="77777777">
      <w:pPr>
        <w:rPr>
          <w:rFonts w:ascii="Times New Roman" w:hAnsi="Times New Roman" w:cs="Times New Roman"/>
          <w:sz w:val="24"/>
          <w:szCs w:val="24"/>
        </w:rPr>
      </w:pPr>
      <w:r>
        <w:rPr>
          <w:rFonts w:ascii="Times New Roman" w:hAnsi="Times New Roman" w:cs="Times New Roman"/>
          <w:sz w:val="24"/>
          <w:szCs w:val="24"/>
        </w:rPr>
        <w:t>Altogether, t</w:t>
      </w:r>
      <w:r w:rsidR="008222DC">
        <w:rPr>
          <w:rFonts w:ascii="Times New Roman" w:hAnsi="Times New Roman" w:cs="Times New Roman"/>
          <w:sz w:val="24"/>
          <w:szCs w:val="24"/>
        </w:rPr>
        <w:t>his experiment will help to determine (1) which incentive level should be used as the default in future NTEWS cycles and (2) whether there are subgroups of the NTEWS sample for which it is necessary to use a higher incentive.</w:t>
      </w:r>
    </w:p>
    <w:p w:rsidR="001B6513" w:rsidP="00C54AB3" w:rsidRDefault="001B6513" w14:paraId="40A3D59F" w14:textId="77777777">
      <w:pPr>
        <w:rPr>
          <w:rFonts w:ascii="Times New Roman" w:hAnsi="Times New Roman" w:cs="Times New Roman"/>
          <w:sz w:val="24"/>
          <w:szCs w:val="24"/>
        </w:rPr>
      </w:pPr>
      <w:r>
        <w:rPr>
          <w:rFonts w:ascii="Times New Roman" w:hAnsi="Times New Roman" w:cs="Times New Roman"/>
          <w:b/>
          <w:bCs/>
          <w:sz w:val="24"/>
          <w:szCs w:val="24"/>
          <w:u w:val="single"/>
        </w:rPr>
        <w:lastRenderedPageBreak/>
        <w:t>4. Treatment combinations</w:t>
      </w:r>
    </w:p>
    <w:p w:rsidR="001B6513" w:rsidP="001B6513" w:rsidRDefault="001B6513" w14:paraId="7631E76A" w14:textId="603928CD">
      <w:pPr>
        <w:rPr>
          <w:rFonts w:ascii="Times New Roman" w:hAnsi="Times New Roman" w:cs="Times New Roman"/>
          <w:sz w:val="24"/>
          <w:szCs w:val="24"/>
        </w:rPr>
      </w:pPr>
      <w:r w:rsidRPr="001B6513">
        <w:rPr>
          <w:rFonts w:ascii="Times New Roman" w:hAnsi="Times New Roman" w:cs="Times New Roman"/>
          <w:sz w:val="24"/>
          <w:szCs w:val="24"/>
        </w:rPr>
        <w:t xml:space="preserve"> </w:t>
      </w:r>
      <w:r>
        <w:rPr>
          <w:rFonts w:ascii="Times New Roman" w:hAnsi="Times New Roman" w:cs="Times New Roman"/>
          <w:sz w:val="24"/>
          <w:szCs w:val="24"/>
        </w:rPr>
        <w:t xml:space="preserve">Table </w:t>
      </w:r>
      <w:r w:rsidR="00E45B4A">
        <w:rPr>
          <w:rFonts w:ascii="Times New Roman" w:hAnsi="Times New Roman" w:cs="Times New Roman"/>
          <w:sz w:val="24"/>
          <w:szCs w:val="24"/>
        </w:rPr>
        <w:t>C</w:t>
      </w:r>
      <w:r>
        <w:rPr>
          <w:rFonts w:ascii="Times New Roman" w:hAnsi="Times New Roman" w:cs="Times New Roman"/>
          <w:sz w:val="24"/>
          <w:szCs w:val="24"/>
        </w:rPr>
        <w:t>.</w:t>
      </w:r>
      <w:r w:rsidR="00672F6D">
        <w:rPr>
          <w:rFonts w:ascii="Times New Roman" w:hAnsi="Times New Roman" w:cs="Times New Roman"/>
          <w:sz w:val="24"/>
          <w:szCs w:val="24"/>
        </w:rPr>
        <w:t>5</w:t>
      </w:r>
      <w:r>
        <w:rPr>
          <w:rFonts w:ascii="Times New Roman" w:hAnsi="Times New Roman" w:cs="Times New Roman"/>
          <w:sz w:val="24"/>
          <w:szCs w:val="24"/>
        </w:rPr>
        <w:t xml:space="preserve"> shows the expected sample size for each combination of contact-strategy and noncontingent-incentive treatments. For treatment combinations that involve the use of monetary incentives for some or all sample members, the table also shows the expected number of incentivized sample members.</w:t>
      </w:r>
    </w:p>
    <w:tbl>
      <w:tblPr>
        <w:tblW w:w="9286" w:type="dxa"/>
        <w:jc w:val="center"/>
        <w:tblLook w:val="04A0" w:firstRow="1" w:lastRow="0" w:firstColumn="1" w:lastColumn="0" w:noHBand="0" w:noVBand="1"/>
      </w:tblPr>
      <w:tblGrid>
        <w:gridCol w:w="1260"/>
        <w:gridCol w:w="1780"/>
        <w:gridCol w:w="1041"/>
        <w:gridCol w:w="1041"/>
        <w:gridCol w:w="1041"/>
        <w:gridCol w:w="1041"/>
        <w:gridCol w:w="1041"/>
        <w:gridCol w:w="1041"/>
      </w:tblGrid>
      <w:tr w:rsidRPr="00E45B4A" w:rsidR="001B6513" w:rsidTr="00D85BCD" w14:paraId="0B02BE85" w14:textId="77777777">
        <w:trPr>
          <w:trHeight w:val="630"/>
          <w:jc w:val="center"/>
        </w:trPr>
        <w:tc>
          <w:tcPr>
            <w:tcW w:w="1260" w:type="dxa"/>
            <w:tcBorders>
              <w:top w:val="nil"/>
              <w:left w:val="nil"/>
              <w:bottom w:val="nil"/>
              <w:right w:val="nil"/>
            </w:tcBorders>
            <w:shd w:val="clear" w:color="auto" w:fill="auto"/>
            <w:noWrap/>
            <w:hideMark/>
          </w:tcPr>
          <w:p w:rsidRPr="00E45B4A" w:rsidR="001B6513" w:rsidP="009F76D4" w:rsidRDefault="001B6513" w14:paraId="7387B26F" w14:textId="1C8E8C20">
            <w:pPr>
              <w:spacing w:after="0" w:line="240" w:lineRule="auto"/>
              <w:rPr>
                <w:rFonts w:ascii="Times New Roman" w:hAnsi="Times New Roman" w:eastAsia="Times New Roman" w:cs="Times New Roman"/>
                <w:color w:val="000000"/>
              </w:rPr>
            </w:pPr>
            <w:r w:rsidRPr="00E45B4A">
              <w:rPr>
                <w:rFonts w:ascii="Times New Roman" w:hAnsi="Times New Roman" w:eastAsia="Times New Roman" w:cs="Times New Roman"/>
                <w:color w:val="000000"/>
              </w:rPr>
              <w:t xml:space="preserve">Table </w:t>
            </w:r>
            <w:r w:rsidRPr="00E45B4A" w:rsidR="00E45B4A">
              <w:rPr>
                <w:rFonts w:ascii="Times New Roman" w:hAnsi="Times New Roman" w:eastAsia="Times New Roman" w:cs="Times New Roman"/>
                <w:color w:val="000000"/>
              </w:rPr>
              <w:t>C</w:t>
            </w:r>
            <w:r w:rsidRPr="00E45B4A">
              <w:rPr>
                <w:rFonts w:ascii="Times New Roman" w:hAnsi="Times New Roman" w:eastAsia="Times New Roman" w:cs="Times New Roman"/>
                <w:color w:val="000000"/>
              </w:rPr>
              <w:t>.</w:t>
            </w:r>
            <w:r w:rsidRPr="00E45B4A" w:rsidR="00672F6D">
              <w:rPr>
                <w:rFonts w:ascii="Times New Roman" w:hAnsi="Times New Roman" w:eastAsia="Times New Roman" w:cs="Times New Roman"/>
                <w:color w:val="000000"/>
              </w:rPr>
              <w:t>5</w:t>
            </w:r>
            <w:r w:rsidRPr="00E45B4A">
              <w:rPr>
                <w:rFonts w:ascii="Times New Roman" w:hAnsi="Times New Roman" w:eastAsia="Times New Roman" w:cs="Times New Roman"/>
                <w:color w:val="000000"/>
              </w:rPr>
              <w:t>.</w:t>
            </w:r>
          </w:p>
        </w:tc>
        <w:tc>
          <w:tcPr>
            <w:tcW w:w="8026" w:type="dxa"/>
            <w:gridSpan w:val="7"/>
            <w:tcBorders>
              <w:top w:val="nil"/>
              <w:left w:val="nil"/>
              <w:bottom w:val="single" w:color="auto" w:sz="12" w:space="0"/>
              <w:right w:val="nil"/>
            </w:tcBorders>
            <w:shd w:val="clear" w:color="auto" w:fill="auto"/>
            <w:hideMark/>
          </w:tcPr>
          <w:p w:rsidRPr="00E45B4A" w:rsidR="001B6513" w:rsidP="009F76D4" w:rsidRDefault="001B6513" w14:paraId="37D53FF0" w14:textId="068AA782">
            <w:pPr>
              <w:spacing w:after="0" w:line="240" w:lineRule="auto"/>
              <w:rPr>
                <w:rFonts w:ascii="Times New Roman" w:hAnsi="Times New Roman" w:eastAsia="Times New Roman" w:cs="Times New Roman"/>
                <w:color w:val="000000"/>
              </w:rPr>
            </w:pPr>
            <w:r w:rsidRPr="00E45B4A">
              <w:rPr>
                <w:rFonts w:ascii="Times New Roman" w:hAnsi="Times New Roman" w:eastAsia="Times New Roman" w:cs="Times New Roman"/>
                <w:color w:val="000000"/>
              </w:rPr>
              <w:t xml:space="preserve">Expected number of sampled </w:t>
            </w:r>
            <w:r w:rsidR="00E02ED9">
              <w:rPr>
                <w:rFonts w:ascii="Times New Roman" w:hAnsi="Times New Roman" w:eastAsia="Times New Roman" w:cs="Times New Roman"/>
                <w:color w:val="000000"/>
              </w:rPr>
              <w:t>individuals</w:t>
            </w:r>
            <w:r w:rsidRPr="00E45B4A">
              <w:rPr>
                <w:rFonts w:ascii="Times New Roman" w:hAnsi="Times New Roman" w:eastAsia="Times New Roman" w:cs="Times New Roman"/>
                <w:color w:val="000000"/>
              </w:rPr>
              <w:t>, and expected number receiving any incentive, by experimental treatment group</w:t>
            </w:r>
          </w:p>
        </w:tc>
      </w:tr>
      <w:tr w:rsidRPr="00E45B4A" w:rsidR="001B6513" w:rsidTr="00D85BCD" w14:paraId="2D611421" w14:textId="77777777">
        <w:trPr>
          <w:trHeight w:val="300"/>
          <w:jc w:val="center"/>
        </w:trPr>
        <w:tc>
          <w:tcPr>
            <w:tcW w:w="3040" w:type="dxa"/>
            <w:gridSpan w:val="2"/>
            <w:vMerge w:val="restart"/>
            <w:tcBorders>
              <w:top w:val="single" w:color="auto" w:sz="12" w:space="0"/>
              <w:left w:val="nil"/>
              <w:bottom w:val="single" w:color="000000" w:sz="12" w:space="0"/>
              <w:right w:val="nil"/>
            </w:tcBorders>
            <w:shd w:val="clear" w:color="auto" w:fill="auto"/>
            <w:vAlign w:val="bottom"/>
            <w:hideMark/>
          </w:tcPr>
          <w:p w:rsidRPr="00E45B4A" w:rsidR="001B6513" w:rsidP="009F76D4" w:rsidRDefault="001B6513" w14:paraId="0353B01D"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Noncontingent-incentive treatment</w:t>
            </w:r>
          </w:p>
        </w:tc>
        <w:tc>
          <w:tcPr>
            <w:tcW w:w="6246" w:type="dxa"/>
            <w:gridSpan w:val="6"/>
            <w:tcBorders>
              <w:top w:val="single" w:color="auto" w:sz="12" w:space="0"/>
              <w:left w:val="nil"/>
              <w:bottom w:val="single" w:color="auto" w:sz="4" w:space="0"/>
              <w:right w:val="nil"/>
            </w:tcBorders>
            <w:shd w:val="clear" w:color="auto" w:fill="auto"/>
            <w:noWrap/>
            <w:vAlign w:val="bottom"/>
            <w:hideMark/>
          </w:tcPr>
          <w:p w:rsidRPr="00E45B4A" w:rsidR="001B6513" w:rsidP="009F76D4" w:rsidRDefault="001B6513" w14:paraId="3C97FA10" w14:textId="77777777">
            <w:pPr>
              <w:spacing w:after="0" w:line="240" w:lineRule="auto"/>
              <w:jc w:val="center"/>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Contact-strategy treatment</w:t>
            </w:r>
          </w:p>
        </w:tc>
      </w:tr>
      <w:tr w:rsidRPr="00E45B4A" w:rsidR="001B6513" w:rsidTr="00D85BCD" w14:paraId="5B724C05" w14:textId="77777777">
        <w:trPr>
          <w:trHeight w:val="630"/>
          <w:jc w:val="center"/>
        </w:trPr>
        <w:tc>
          <w:tcPr>
            <w:tcW w:w="3040" w:type="dxa"/>
            <w:gridSpan w:val="2"/>
            <w:vMerge/>
            <w:tcBorders>
              <w:top w:val="single" w:color="auto" w:sz="12" w:space="0"/>
              <w:left w:val="nil"/>
              <w:bottom w:val="single" w:color="000000" w:sz="12" w:space="0"/>
              <w:right w:val="nil"/>
            </w:tcBorders>
            <w:vAlign w:val="center"/>
            <w:hideMark/>
          </w:tcPr>
          <w:p w:rsidRPr="00E45B4A" w:rsidR="001B6513" w:rsidP="009F76D4" w:rsidRDefault="001B6513" w14:paraId="004DF814" w14:textId="77777777">
            <w:pPr>
              <w:spacing w:after="0" w:line="240" w:lineRule="auto"/>
              <w:rPr>
                <w:rFonts w:ascii="Times New Roman" w:hAnsi="Times New Roman" w:eastAsia="Times New Roman" w:cs="Times New Roman"/>
                <w:b/>
                <w:bCs/>
                <w:color w:val="000000"/>
              </w:rPr>
            </w:pPr>
          </w:p>
        </w:tc>
        <w:tc>
          <w:tcPr>
            <w:tcW w:w="1041" w:type="dxa"/>
            <w:tcBorders>
              <w:top w:val="nil"/>
              <w:left w:val="nil"/>
              <w:bottom w:val="single" w:color="auto" w:sz="12" w:space="0"/>
              <w:right w:val="nil"/>
            </w:tcBorders>
            <w:shd w:val="clear" w:color="auto" w:fill="auto"/>
            <w:vAlign w:val="bottom"/>
            <w:hideMark/>
          </w:tcPr>
          <w:p w:rsidRPr="00E45B4A" w:rsidR="001B6513" w:rsidP="009F76D4" w:rsidRDefault="001B6513" w14:paraId="4A32D2AF" w14:textId="77777777">
            <w:pPr>
              <w:spacing w:after="0" w:line="240" w:lineRule="auto"/>
              <w:jc w:val="right"/>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NSCG-style</w:t>
            </w:r>
          </w:p>
        </w:tc>
        <w:tc>
          <w:tcPr>
            <w:tcW w:w="1041" w:type="dxa"/>
            <w:tcBorders>
              <w:top w:val="nil"/>
              <w:left w:val="nil"/>
              <w:bottom w:val="single" w:color="auto" w:sz="12" w:space="0"/>
              <w:right w:val="nil"/>
            </w:tcBorders>
            <w:shd w:val="clear" w:color="auto" w:fill="auto"/>
            <w:vAlign w:val="bottom"/>
            <w:hideMark/>
          </w:tcPr>
          <w:p w:rsidRPr="00E45B4A" w:rsidR="001B6513" w:rsidP="009F76D4" w:rsidRDefault="001B6513" w14:paraId="1AC95EFE" w14:textId="77777777">
            <w:pPr>
              <w:spacing w:after="0" w:line="240" w:lineRule="auto"/>
              <w:jc w:val="right"/>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NHES-style</w:t>
            </w:r>
          </w:p>
        </w:tc>
        <w:tc>
          <w:tcPr>
            <w:tcW w:w="1041" w:type="dxa"/>
            <w:tcBorders>
              <w:top w:val="nil"/>
              <w:left w:val="nil"/>
              <w:bottom w:val="single" w:color="auto" w:sz="12" w:space="0"/>
              <w:right w:val="nil"/>
            </w:tcBorders>
            <w:shd w:val="clear" w:color="auto" w:fill="auto"/>
            <w:vAlign w:val="bottom"/>
            <w:hideMark/>
          </w:tcPr>
          <w:p w:rsidRPr="00E45B4A" w:rsidR="001B6513" w:rsidP="009F76D4" w:rsidRDefault="001B6513" w14:paraId="3A4DE8DA" w14:textId="77777777">
            <w:pPr>
              <w:spacing w:after="0" w:line="240" w:lineRule="auto"/>
              <w:jc w:val="right"/>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Choice</w:t>
            </w:r>
          </w:p>
        </w:tc>
        <w:tc>
          <w:tcPr>
            <w:tcW w:w="1041" w:type="dxa"/>
            <w:tcBorders>
              <w:top w:val="nil"/>
              <w:left w:val="nil"/>
              <w:bottom w:val="single" w:color="auto" w:sz="12" w:space="0"/>
              <w:right w:val="nil"/>
            </w:tcBorders>
            <w:shd w:val="clear" w:color="auto" w:fill="auto"/>
            <w:vAlign w:val="bottom"/>
            <w:hideMark/>
          </w:tcPr>
          <w:p w:rsidRPr="00E45B4A" w:rsidR="001B6513" w:rsidP="009F76D4" w:rsidRDefault="001B6513" w14:paraId="59EABDF9" w14:textId="77777777">
            <w:pPr>
              <w:spacing w:after="0" w:line="240" w:lineRule="auto"/>
              <w:jc w:val="right"/>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Choice-plus</w:t>
            </w:r>
            <w:r w:rsidRPr="00E45B4A">
              <w:rPr>
                <w:rFonts w:ascii="Times New Roman" w:hAnsi="Times New Roman" w:eastAsia="Times New Roman" w:cs="Times New Roman"/>
                <w:b/>
                <w:bCs/>
                <w:color w:val="000000"/>
                <w:vertAlign w:val="superscript"/>
              </w:rPr>
              <w:t>1</w:t>
            </w:r>
          </w:p>
        </w:tc>
        <w:tc>
          <w:tcPr>
            <w:tcW w:w="1041" w:type="dxa"/>
            <w:tcBorders>
              <w:top w:val="nil"/>
              <w:left w:val="nil"/>
              <w:bottom w:val="single" w:color="auto" w:sz="12" w:space="0"/>
              <w:right w:val="nil"/>
            </w:tcBorders>
            <w:shd w:val="clear" w:color="auto" w:fill="auto"/>
            <w:vAlign w:val="bottom"/>
            <w:hideMark/>
          </w:tcPr>
          <w:p w:rsidRPr="00E45B4A" w:rsidR="001B6513" w:rsidP="009F76D4" w:rsidRDefault="001B6513" w14:paraId="1D86DDF0" w14:textId="77777777">
            <w:pPr>
              <w:spacing w:after="0" w:line="240" w:lineRule="auto"/>
              <w:jc w:val="right"/>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Paper-first</w:t>
            </w:r>
          </w:p>
        </w:tc>
        <w:tc>
          <w:tcPr>
            <w:tcW w:w="1041" w:type="dxa"/>
            <w:tcBorders>
              <w:top w:val="nil"/>
              <w:left w:val="nil"/>
              <w:bottom w:val="single" w:color="auto" w:sz="12" w:space="0"/>
              <w:right w:val="nil"/>
            </w:tcBorders>
            <w:shd w:val="clear" w:color="auto" w:fill="auto"/>
            <w:vAlign w:val="bottom"/>
            <w:hideMark/>
          </w:tcPr>
          <w:p w:rsidRPr="00E45B4A" w:rsidR="001B6513" w:rsidP="009F76D4" w:rsidRDefault="001B6513" w14:paraId="59FD09EA" w14:textId="77777777">
            <w:pPr>
              <w:spacing w:after="0" w:line="240" w:lineRule="auto"/>
              <w:jc w:val="right"/>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CATI-first</w:t>
            </w:r>
          </w:p>
        </w:tc>
      </w:tr>
      <w:tr w:rsidRPr="00E45B4A" w:rsidR="001B6513" w:rsidTr="00D85BCD" w14:paraId="5721DA24" w14:textId="77777777">
        <w:trPr>
          <w:trHeight w:val="300"/>
          <w:jc w:val="center"/>
        </w:trPr>
        <w:tc>
          <w:tcPr>
            <w:tcW w:w="9286" w:type="dxa"/>
            <w:gridSpan w:val="8"/>
            <w:tcBorders>
              <w:top w:val="single" w:color="auto" w:sz="12" w:space="0"/>
              <w:left w:val="nil"/>
              <w:bottom w:val="nil"/>
              <w:right w:val="nil"/>
            </w:tcBorders>
            <w:shd w:val="clear" w:color="auto" w:fill="auto"/>
            <w:vAlign w:val="bottom"/>
            <w:hideMark/>
          </w:tcPr>
          <w:p w:rsidRPr="00E45B4A" w:rsidR="001B6513" w:rsidP="009F76D4" w:rsidRDefault="001B6513" w14:paraId="4ADB38E1" w14:textId="121F0E3A">
            <w:pPr>
              <w:spacing w:after="0" w:line="240" w:lineRule="auto"/>
              <w:jc w:val="center"/>
              <w:rPr>
                <w:rFonts w:ascii="Times New Roman" w:hAnsi="Times New Roman" w:eastAsia="Times New Roman" w:cs="Times New Roman"/>
                <w:b/>
                <w:bCs/>
                <w:i/>
                <w:iCs/>
                <w:color w:val="000000"/>
              </w:rPr>
            </w:pPr>
            <w:r w:rsidRPr="00E45B4A">
              <w:rPr>
                <w:rFonts w:ascii="Times New Roman" w:hAnsi="Times New Roman" w:eastAsia="Times New Roman" w:cs="Times New Roman"/>
                <w:b/>
                <w:bCs/>
                <w:i/>
                <w:iCs/>
                <w:color w:val="000000"/>
              </w:rPr>
              <w:t xml:space="preserve">Expected number of sampled </w:t>
            </w:r>
            <w:r w:rsidR="00B740BF">
              <w:rPr>
                <w:rFonts w:ascii="Times New Roman" w:hAnsi="Times New Roman" w:eastAsia="Times New Roman" w:cs="Times New Roman"/>
                <w:b/>
                <w:bCs/>
                <w:i/>
                <w:iCs/>
                <w:color w:val="000000"/>
              </w:rPr>
              <w:t>individuals</w:t>
            </w:r>
          </w:p>
        </w:tc>
      </w:tr>
      <w:tr w:rsidRPr="00E45B4A" w:rsidR="0015075A" w:rsidTr="00D85BCD" w14:paraId="5D26A04C" w14:textId="77777777">
        <w:trPr>
          <w:trHeight w:val="290"/>
          <w:jc w:val="center"/>
        </w:trPr>
        <w:tc>
          <w:tcPr>
            <w:tcW w:w="3040" w:type="dxa"/>
            <w:gridSpan w:val="2"/>
            <w:tcBorders>
              <w:top w:val="nil"/>
              <w:left w:val="nil"/>
              <w:bottom w:val="nil"/>
              <w:right w:val="nil"/>
            </w:tcBorders>
            <w:shd w:val="clear" w:color="auto" w:fill="auto"/>
            <w:noWrap/>
            <w:vAlign w:val="bottom"/>
            <w:hideMark/>
          </w:tcPr>
          <w:p w:rsidRPr="00E45B4A" w:rsidR="0015075A" w:rsidP="0015075A" w:rsidRDefault="0015075A" w14:paraId="48BA7F14"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No noncontingent incentive</w:t>
            </w:r>
          </w:p>
        </w:tc>
        <w:tc>
          <w:tcPr>
            <w:tcW w:w="1041" w:type="dxa"/>
            <w:tcBorders>
              <w:top w:val="nil"/>
              <w:left w:val="nil"/>
              <w:bottom w:val="nil"/>
              <w:right w:val="nil"/>
            </w:tcBorders>
            <w:shd w:val="clear" w:color="auto" w:fill="auto"/>
            <w:noWrap/>
            <w:vAlign w:val="bottom"/>
          </w:tcPr>
          <w:p w:rsidRPr="00E45B4A" w:rsidR="0015075A" w:rsidP="0015075A" w:rsidRDefault="0015075A" w14:paraId="35AA009A" w14:textId="08023622">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9F76D4">
              <w:rPr>
                <w:rFonts w:ascii="Times New Roman" w:hAnsi="Times New Roman" w:cs="Times New Roman"/>
                <w:color w:val="000000"/>
              </w:rPr>
              <w:t>215</w:t>
            </w:r>
          </w:p>
        </w:tc>
        <w:tc>
          <w:tcPr>
            <w:tcW w:w="1041" w:type="dxa"/>
            <w:tcBorders>
              <w:top w:val="nil"/>
              <w:left w:val="nil"/>
              <w:bottom w:val="nil"/>
              <w:right w:val="nil"/>
            </w:tcBorders>
            <w:shd w:val="clear" w:color="auto" w:fill="auto"/>
            <w:noWrap/>
            <w:vAlign w:val="bottom"/>
          </w:tcPr>
          <w:p w:rsidRPr="00E45B4A" w:rsidR="0015075A" w:rsidP="0015075A" w:rsidRDefault="0015075A" w14:paraId="55E5E1B8" w14:textId="57E372E4">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9F76D4">
              <w:rPr>
                <w:rFonts w:ascii="Times New Roman" w:hAnsi="Times New Roman" w:cs="Times New Roman"/>
                <w:color w:val="000000"/>
              </w:rPr>
              <w:t>215</w:t>
            </w:r>
          </w:p>
        </w:tc>
        <w:tc>
          <w:tcPr>
            <w:tcW w:w="1041" w:type="dxa"/>
            <w:tcBorders>
              <w:top w:val="nil"/>
              <w:left w:val="nil"/>
              <w:bottom w:val="nil"/>
              <w:right w:val="nil"/>
            </w:tcBorders>
            <w:shd w:val="clear" w:color="auto" w:fill="auto"/>
            <w:noWrap/>
            <w:vAlign w:val="bottom"/>
          </w:tcPr>
          <w:p w:rsidRPr="00E45B4A" w:rsidR="0015075A" w:rsidP="0015075A" w:rsidRDefault="009F76D4" w14:paraId="6F113E83" w14:textId="4BBB8C0A">
            <w:pPr>
              <w:spacing w:after="0" w:line="240" w:lineRule="auto"/>
              <w:jc w:val="right"/>
              <w:rPr>
                <w:rFonts w:ascii="Times New Roman" w:hAnsi="Times New Roman" w:eastAsia="Times New Roman" w:cs="Times New Roman"/>
                <w:color w:val="000000"/>
              </w:rPr>
            </w:pPr>
            <w:r>
              <w:rPr>
                <w:rFonts w:ascii="Times New Roman" w:hAnsi="Times New Roman" w:cs="Times New Roman"/>
                <w:color w:val="000000"/>
              </w:rPr>
              <w:t>608</w:t>
            </w:r>
          </w:p>
        </w:tc>
        <w:tc>
          <w:tcPr>
            <w:tcW w:w="1041" w:type="dxa"/>
            <w:tcBorders>
              <w:top w:val="nil"/>
              <w:left w:val="nil"/>
              <w:bottom w:val="nil"/>
              <w:right w:val="nil"/>
            </w:tcBorders>
            <w:shd w:val="clear" w:color="auto" w:fill="auto"/>
            <w:noWrap/>
            <w:vAlign w:val="bottom"/>
          </w:tcPr>
          <w:p w:rsidRPr="00E45B4A" w:rsidR="0015075A" w:rsidP="0015075A" w:rsidRDefault="009F76D4" w14:paraId="03980C4C" w14:textId="74F83518">
            <w:pPr>
              <w:spacing w:after="0" w:line="240" w:lineRule="auto"/>
              <w:jc w:val="right"/>
              <w:rPr>
                <w:rFonts w:ascii="Times New Roman" w:hAnsi="Times New Roman" w:eastAsia="Times New Roman" w:cs="Times New Roman"/>
                <w:color w:val="000000"/>
              </w:rPr>
            </w:pPr>
            <w:r>
              <w:rPr>
                <w:rFonts w:ascii="Times New Roman" w:hAnsi="Times New Roman" w:cs="Times New Roman"/>
                <w:color w:val="000000"/>
              </w:rPr>
              <w:t>608</w:t>
            </w:r>
          </w:p>
        </w:tc>
        <w:tc>
          <w:tcPr>
            <w:tcW w:w="1041" w:type="dxa"/>
            <w:tcBorders>
              <w:top w:val="nil"/>
              <w:left w:val="nil"/>
              <w:bottom w:val="nil"/>
              <w:right w:val="nil"/>
            </w:tcBorders>
            <w:shd w:val="clear" w:color="auto" w:fill="auto"/>
            <w:noWrap/>
            <w:vAlign w:val="bottom"/>
          </w:tcPr>
          <w:p w:rsidRPr="00E45B4A" w:rsidR="0015075A" w:rsidP="0015075A" w:rsidRDefault="0015075A" w14:paraId="7B1C77E1" w14:textId="7119D546">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9F76D4">
              <w:rPr>
                <w:rFonts w:ascii="Times New Roman" w:hAnsi="Times New Roman" w:cs="Times New Roman"/>
                <w:color w:val="000000"/>
              </w:rPr>
              <w:t>215</w:t>
            </w:r>
          </w:p>
        </w:tc>
        <w:tc>
          <w:tcPr>
            <w:tcW w:w="1041" w:type="dxa"/>
            <w:tcBorders>
              <w:top w:val="nil"/>
              <w:left w:val="nil"/>
              <w:bottom w:val="nil"/>
              <w:right w:val="nil"/>
            </w:tcBorders>
            <w:shd w:val="clear" w:color="auto" w:fill="auto"/>
            <w:noWrap/>
            <w:vAlign w:val="bottom"/>
          </w:tcPr>
          <w:p w:rsidRPr="00E45B4A" w:rsidR="0015075A" w:rsidP="0015075A" w:rsidRDefault="0015075A" w14:paraId="0E2FDC64" w14:textId="0717CC81">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5</w:t>
            </w:r>
            <w:r w:rsidR="009F76D4">
              <w:rPr>
                <w:rFonts w:ascii="Times New Roman" w:hAnsi="Times New Roman" w:cs="Times New Roman"/>
                <w:color w:val="000000"/>
              </w:rPr>
              <w:t>40</w:t>
            </w:r>
          </w:p>
        </w:tc>
      </w:tr>
      <w:tr w:rsidRPr="00E45B4A" w:rsidR="0015075A" w:rsidTr="00D85BCD" w14:paraId="45B940A1" w14:textId="77777777">
        <w:trPr>
          <w:trHeight w:val="290"/>
          <w:jc w:val="center"/>
        </w:trPr>
        <w:tc>
          <w:tcPr>
            <w:tcW w:w="3040" w:type="dxa"/>
            <w:gridSpan w:val="2"/>
            <w:tcBorders>
              <w:top w:val="nil"/>
              <w:left w:val="nil"/>
              <w:bottom w:val="nil"/>
              <w:right w:val="nil"/>
            </w:tcBorders>
            <w:shd w:val="clear" w:color="auto" w:fill="auto"/>
            <w:noWrap/>
            <w:vAlign w:val="bottom"/>
            <w:hideMark/>
          </w:tcPr>
          <w:p w:rsidRPr="00E45B4A" w:rsidR="0015075A" w:rsidP="0015075A" w:rsidRDefault="0015075A" w14:paraId="2DE077C0"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$30 with week 23 mailing</w:t>
            </w:r>
          </w:p>
        </w:tc>
        <w:tc>
          <w:tcPr>
            <w:tcW w:w="1041" w:type="dxa"/>
            <w:tcBorders>
              <w:top w:val="nil"/>
              <w:left w:val="nil"/>
              <w:bottom w:val="nil"/>
              <w:right w:val="nil"/>
            </w:tcBorders>
            <w:shd w:val="clear" w:color="auto" w:fill="auto"/>
            <w:noWrap/>
            <w:vAlign w:val="bottom"/>
          </w:tcPr>
          <w:p w:rsidRPr="00E45B4A" w:rsidR="0015075A" w:rsidP="0015075A" w:rsidRDefault="0015075A" w14:paraId="175EC90F" w14:textId="370D1DE5">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0B129D">
              <w:rPr>
                <w:rFonts w:ascii="Times New Roman" w:hAnsi="Times New Roman" w:cs="Times New Roman"/>
                <w:color w:val="000000"/>
              </w:rPr>
              <w:t>215</w:t>
            </w:r>
          </w:p>
        </w:tc>
        <w:tc>
          <w:tcPr>
            <w:tcW w:w="1041" w:type="dxa"/>
            <w:tcBorders>
              <w:top w:val="nil"/>
              <w:left w:val="nil"/>
              <w:bottom w:val="nil"/>
              <w:right w:val="nil"/>
            </w:tcBorders>
            <w:shd w:val="clear" w:color="auto" w:fill="auto"/>
            <w:noWrap/>
            <w:vAlign w:val="bottom"/>
          </w:tcPr>
          <w:p w:rsidRPr="00E45B4A" w:rsidR="0015075A" w:rsidP="0015075A" w:rsidRDefault="0015075A" w14:paraId="2A5402CB" w14:textId="0D40BA67">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0B129D">
              <w:rPr>
                <w:rFonts w:ascii="Times New Roman" w:hAnsi="Times New Roman" w:cs="Times New Roman"/>
                <w:color w:val="000000"/>
              </w:rPr>
              <w:t>215</w:t>
            </w:r>
          </w:p>
        </w:tc>
        <w:tc>
          <w:tcPr>
            <w:tcW w:w="1041" w:type="dxa"/>
            <w:tcBorders>
              <w:top w:val="nil"/>
              <w:left w:val="nil"/>
              <w:bottom w:val="nil"/>
              <w:right w:val="nil"/>
            </w:tcBorders>
            <w:shd w:val="clear" w:color="auto" w:fill="auto"/>
            <w:noWrap/>
            <w:vAlign w:val="bottom"/>
          </w:tcPr>
          <w:p w:rsidRPr="00E45B4A" w:rsidR="0015075A" w:rsidP="0015075A" w:rsidRDefault="000B129D" w14:paraId="73FBDE04" w14:textId="073BBD97">
            <w:pPr>
              <w:spacing w:after="0" w:line="240" w:lineRule="auto"/>
              <w:jc w:val="right"/>
              <w:rPr>
                <w:rFonts w:ascii="Times New Roman" w:hAnsi="Times New Roman" w:eastAsia="Times New Roman" w:cs="Times New Roman"/>
                <w:color w:val="000000"/>
              </w:rPr>
            </w:pPr>
            <w:r>
              <w:rPr>
                <w:rFonts w:ascii="Times New Roman" w:hAnsi="Times New Roman" w:cs="Times New Roman"/>
                <w:color w:val="000000"/>
              </w:rPr>
              <w:t>608</w:t>
            </w:r>
          </w:p>
        </w:tc>
        <w:tc>
          <w:tcPr>
            <w:tcW w:w="1041" w:type="dxa"/>
            <w:tcBorders>
              <w:top w:val="nil"/>
              <w:left w:val="nil"/>
              <w:bottom w:val="nil"/>
              <w:right w:val="nil"/>
            </w:tcBorders>
            <w:shd w:val="clear" w:color="auto" w:fill="auto"/>
            <w:noWrap/>
            <w:vAlign w:val="bottom"/>
          </w:tcPr>
          <w:p w:rsidRPr="00E45B4A" w:rsidR="0015075A" w:rsidP="0015075A" w:rsidRDefault="000B129D" w14:paraId="2081291B" w14:textId="19E4F7DD">
            <w:pPr>
              <w:spacing w:after="0" w:line="240" w:lineRule="auto"/>
              <w:jc w:val="right"/>
              <w:rPr>
                <w:rFonts w:ascii="Times New Roman" w:hAnsi="Times New Roman" w:eastAsia="Times New Roman" w:cs="Times New Roman"/>
                <w:color w:val="000000"/>
              </w:rPr>
            </w:pPr>
            <w:r>
              <w:rPr>
                <w:rFonts w:ascii="Times New Roman" w:hAnsi="Times New Roman" w:cs="Times New Roman"/>
                <w:color w:val="000000"/>
              </w:rPr>
              <w:t>608</w:t>
            </w:r>
          </w:p>
        </w:tc>
        <w:tc>
          <w:tcPr>
            <w:tcW w:w="1041" w:type="dxa"/>
            <w:tcBorders>
              <w:top w:val="nil"/>
              <w:left w:val="nil"/>
              <w:bottom w:val="nil"/>
              <w:right w:val="nil"/>
            </w:tcBorders>
            <w:shd w:val="clear" w:color="auto" w:fill="auto"/>
            <w:noWrap/>
            <w:vAlign w:val="bottom"/>
          </w:tcPr>
          <w:p w:rsidRPr="00E45B4A" w:rsidR="0015075A" w:rsidP="0015075A" w:rsidRDefault="0015075A" w14:paraId="1612A8C8" w14:textId="0005A0FF">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0B129D">
              <w:rPr>
                <w:rFonts w:ascii="Times New Roman" w:hAnsi="Times New Roman" w:cs="Times New Roman"/>
                <w:color w:val="000000"/>
              </w:rPr>
              <w:t>215</w:t>
            </w:r>
          </w:p>
        </w:tc>
        <w:tc>
          <w:tcPr>
            <w:tcW w:w="1041" w:type="dxa"/>
            <w:tcBorders>
              <w:top w:val="nil"/>
              <w:left w:val="nil"/>
              <w:bottom w:val="nil"/>
              <w:right w:val="nil"/>
            </w:tcBorders>
            <w:shd w:val="clear" w:color="auto" w:fill="auto"/>
            <w:noWrap/>
            <w:vAlign w:val="bottom"/>
          </w:tcPr>
          <w:p w:rsidRPr="00E45B4A" w:rsidR="0015075A" w:rsidP="0015075A" w:rsidRDefault="000B129D" w14:paraId="64E1CE6E" w14:textId="72FE0397">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5</w:t>
            </w:r>
            <w:r>
              <w:rPr>
                <w:rFonts w:ascii="Times New Roman" w:hAnsi="Times New Roman" w:cs="Times New Roman"/>
                <w:color w:val="000000"/>
              </w:rPr>
              <w:t>40</w:t>
            </w:r>
          </w:p>
        </w:tc>
      </w:tr>
      <w:tr w:rsidRPr="00E45B4A" w:rsidR="0015075A" w:rsidTr="00D85BCD" w14:paraId="4F01170D" w14:textId="77777777">
        <w:trPr>
          <w:trHeight w:val="290"/>
          <w:jc w:val="center"/>
        </w:trPr>
        <w:tc>
          <w:tcPr>
            <w:tcW w:w="3040" w:type="dxa"/>
            <w:gridSpan w:val="2"/>
            <w:tcBorders>
              <w:top w:val="nil"/>
              <w:left w:val="nil"/>
              <w:bottom w:val="nil"/>
              <w:right w:val="nil"/>
            </w:tcBorders>
            <w:shd w:val="clear" w:color="auto" w:fill="auto"/>
            <w:noWrap/>
            <w:vAlign w:val="bottom"/>
            <w:hideMark/>
          </w:tcPr>
          <w:p w:rsidRPr="00E45B4A" w:rsidR="0015075A" w:rsidP="0015075A" w:rsidRDefault="0015075A" w14:paraId="6EF14530"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$10 with week 1 mailing</w:t>
            </w:r>
          </w:p>
        </w:tc>
        <w:tc>
          <w:tcPr>
            <w:tcW w:w="1041" w:type="dxa"/>
            <w:tcBorders>
              <w:top w:val="nil"/>
              <w:left w:val="nil"/>
              <w:bottom w:val="nil"/>
              <w:right w:val="nil"/>
            </w:tcBorders>
            <w:shd w:val="clear" w:color="auto" w:fill="auto"/>
            <w:noWrap/>
            <w:vAlign w:val="bottom"/>
          </w:tcPr>
          <w:p w:rsidRPr="00E45B4A" w:rsidR="0015075A" w:rsidP="0015075A" w:rsidRDefault="0015075A" w14:paraId="38F84770" w14:textId="15DCB776">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2,</w:t>
            </w:r>
            <w:r w:rsidR="00D85BCD">
              <w:rPr>
                <w:rFonts w:ascii="Times New Roman" w:hAnsi="Times New Roman" w:cs="Times New Roman"/>
                <w:color w:val="000000"/>
              </w:rPr>
              <w:t>430</w:t>
            </w:r>
          </w:p>
        </w:tc>
        <w:tc>
          <w:tcPr>
            <w:tcW w:w="1041" w:type="dxa"/>
            <w:tcBorders>
              <w:top w:val="nil"/>
              <w:left w:val="nil"/>
              <w:bottom w:val="nil"/>
              <w:right w:val="nil"/>
            </w:tcBorders>
            <w:shd w:val="clear" w:color="auto" w:fill="auto"/>
            <w:noWrap/>
            <w:vAlign w:val="bottom"/>
          </w:tcPr>
          <w:p w:rsidRPr="00E45B4A" w:rsidR="0015075A" w:rsidP="0015075A" w:rsidRDefault="0015075A" w14:paraId="27D9570D" w14:textId="4F76F804">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2,</w:t>
            </w:r>
            <w:r w:rsidR="00D85BCD">
              <w:rPr>
                <w:rFonts w:ascii="Times New Roman" w:hAnsi="Times New Roman" w:cs="Times New Roman"/>
                <w:color w:val="000000"/>
              </w:rPr>
              <w:t>430</w:t>
            </w:r>
          </w:p>
        </w:tc>
        <w:tc>
          <w:tcPr>
            <w:tcW w:w="1041" w:type="dxa"/>
            <w:tcBorders>
              <w:top w:val="nil"/>
              <w:left w:val="nil"/>
              <w:bottom w:val="nil"/>
              <w:right w:val="nil"/>
            </w:tcBorders>
            <w:shd w:val="clear" w:color="auto" w:fill="auto"/>
            <w:noWrap/>
            <w:vAlign w:val="bottom"/>
          </w:tcPr>
          <w:p w:rsidRPr="00E45B4A" w:rsidR="0015075A" w:rsidP="0015075A" w:rsidRDefault="0015075A" w14:paraId="57ED4C83" w14:textId="22159C9A">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D85BCD">
              <w:rPr>
                <w:rFonts w:ascii="Times New Roman" w:hAnsi="Times New Roman" w:cs="Times New Roman"/>
                <w:color w:val="000000"/>
              </w:rPr>
              <w:t>215</w:t>
            </w:r>
          </w:p>
        </w:tc>
        <w:tc>
          <w:tcPr>
            <w:tcW w:w="1041" w:type="dxa"/>
            <w:tcBorders>
              <w:top w:val="nil"/>
              <w:left w:val="nil"/>
              <w:bottom w:val="nil"/>
              <w:right w:val="nil"/>
            </w:tcBorders>
            <w:shd w:val="clear" w:color="000000" w:fill="D9D9D9"/>
            <w:noWrap/>
            <w:vAlign w:val="bottom"/>
          </w:tcPr>
          <w:p w:rsidRPr="00E45B4A" w:rsidR="0015075A" w:rsidP="0015075A" w:rsidRDefault="0015075A" w14:paraId="459D1FAC" w14:textId="3225900B">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D85BCD">
              <w:rPr>
                <w:rFonts w:ascii="Times New Roman" w:hAnsi="Times New Roman" w:cs="Times New Roman"/>
                <w:color w:val="000000"/>
              </w:rPr>
              <w:t>215</w:t>
            </w:r>
          </w:p>
        </w:tc>
        <w:tc>
          <w:tcPr>
            <w:tcW w:w="1041" w:type="dxa"/>
            <w:tcBorders>
              <w:top w:val="nil"/>
              <w:left w:val="nil"/>
              <w:bottom w:val="nil"/>
              <w:right w:val="nil"/>
            </w:tcBorders>
            <w:shd w:val="clear" w:color="auto" w:fill="auto"/>
            <w:noWrap/>
            <w:vAlign w:val="bottom"/>
          </w:tcPr>
          <w:p w:rsidRPr="00E45B4A" w:rsidR="0015075A" w:rsidP="0015075A" w:rsidRDefault="0015075A" w14:paraId="37D4DA68" w14:textId="6613D680">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2,</w:t>
            </w:r>
            <w:r w:rsidR="00D85BCD">
              <w:rPr>
                <w:rFonts w:ascii="Times New Roman" w:hAnsi="Times New Roman" w:cs="Times New Roman"/>
                <w:color w:val="000000"/>
              </w:rPr>
              <w:t>430</w:t>
            </w:r>
          </w:p>
        </w:tc>
        <w:tc>
          <w:tcPr>
            <w:tcW w:w="1041" w:type="dxa"/>
            <w:tcBorders>
              <w:top w:val="nil"/>
              <w:left w:val="nil"/>
              <w:bottom w:val="nil"/>
              <w:right w:val="nil"/>
            </w:tcBorders>
            <w:shd w:val="clear" w:color="auto" w:fill="auto"/>
            <w:noWrap/>
            <w:vAlign w:val="bottom"/>
          </w:tcPr>
          <w:p w:rsidRPr="00E45B4A" w:rsidR="0015075A" w:rsidP="0015075A" w:rsidRDefault="0015075A" w14:paraId="7BCBA836" w14:textId="2218EAE8">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Pr="00E45B4A" w:rsidR="00D85BCD">
              <w:rPr>
                <w:rFonts w:ascii="Times New Roman" w:hAnsi="Times New Roman" w:cs="Times New Roman"/>
                <w:color w:val="000000"/>
              </w:rPr>
              <w:t>0</w:t>
            </w:r>
            <w:r w:rsidR="00D85BCD">
              <w:rPr>
                <w:rFonts w:ascii="Times New Roman" w:hAnsi="Times New Roman" w:cs="Times New Roman"/>
                <w:color w:val="000000"/>
              </w:rPr>
              <w:t>80</w:t>
            </w:r>
          </w:p>
        </w:tc>
      </w:tr>
      <w:tr w:rsidRPr="00E45B4A" w:rsidR="0015075A" w:rsidTr="00D85BCD" w14:paraId="1311D0D0" w14:textId="77777777">
        <w:trPr>
          <w:trHeight w:val="290"/>
          <w:jc w:val="center"/>
        </w:trPr>
        <w:tc>
          <w:tcPr>
            <w:tcW w:w="3040" w:type="dxa"/>
            <w:gridSpan w:val="2"/>
            <w:tcBorders>
              <w:top w:val="nil"/>
              <w:left w:val="nil"/>
              <w:bottom w:val="nil"/>
              <w:right w:val="nil"/>
            </w:tcBorders>
            <w:shd w:val="clear" w:color="auto" w:fill="auto"/>
            <w:noWrap/>
            <w:vAlign w:val="bottom"/>
            <w:hideMark/>
          </w:tcPr>
          <w:p w:rsidRPr="00E45B4A" w:rsidR="0015075A" w:rsidP="0015075A" w:rsidRDefault="0015075A" w14:paraId="77DE3C3D"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$20 with week 1 mailing</w:t>
            </w:r>
          </w:p>
        </w:tc>
        <w:tc>
          <w:tcPr>
            <w:tcW w:w="1041" w:type="dxa"/>
            <w:tcBorders>
              <w:top w:val="nil"/>
              <w:left w:val="nil"/>
              <w:bottom w:val="nil"/>
              <w:right w:val="nil"/>
            </w:tcBorders>
            <w:shd w:val="clear" w:color="auto" w:fill="auto"/>
            <w:noWrap/>
            <w:vAlign w:val="bottom"/>
          </w:tcPr>
          <w:p w:rsidRPr="00E45B4A" w:rsidR="0015075A" w:rsidP="0015075A" w:rsidRDefault="0015075A" w14:paraId="23B9ED4B" w14:textId="30F88A2B">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2,</w:t>
            </w:r>
            <w:r w:rsidR="00D85BCD">
              <w:rPr>
                <w:rFonts w:ascii="Times New Roman" w:hAnsi="Times New Roman" w:cs="Times New Roman"/>
                <w:color w:val="000000"/>
              </w:rPr>
              <w:t>430</w:t>
            </w:r>
          </w:p>
        </w:tc>
        <w:tc>
          <w:tcPr>
            <w:tcW w:w="1041" w:type="dxa"/>
            <w:tcBorders>
              <w:top w:val="nil"/>
              <w:left w:val="nil"/>
              <w:bottom w:val="nil"/>
              <w:right w:val="nil"/>
            </w:tcBorders>
            <w:shd w:val="clear" w:color="auto" w:fill="auto"/>
            <w:noWrap/>
            <w:vAlign w:val="bottom"/>
          </w:tcPr>
          <w:p w:rsidRPr="00E45B4A" w:rsidR="0015075A" w:rsidP="0015075A" w:rsidRDefault="0015075A" w14:paraId="2ED116E9" w14:textId="49D95CD3">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2,</w:t>
            </w:r>
            <w:r w:rsidR="00D85BCD">
              <w:rPr>
                <w:rFonts w:ascii="Times New Roman" w:hAnsi="Times New Roman" w:cs="Times New Roman"/>
                <w:color w:val="000000"/>
              </w:rPr>
              <w:t>430</w:t>
            </w:r>
          </w:p>
        </w:tc>
        <w:tc>
          <w:tcPr>
            <w:tcW w:w="1041" w:type="dxa"/>
            <w:tcBorders>
              <w:top w:val="nil"/>
              <w:left w:val="nil"/>
              <w:bottom w:val="nil"/>
              <w:right w:val="nil"/>
            </w:tcBorders>
            <w:shd w:val="clear" w:color="auto" w:fill="auto"/>
            <w:noWrap/>
            <w:vAlign w:val="bottom"/>
          </w:tcPr>
          <w:p w:rsidRPr="00E45B4A" w:rsidR="0015075A" w:rsidP="0015075A" w:rsidRDefault="0015075A" w14:paraId="2668B91F" w14:textId="32CAF640">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D85BCD">
              <w:rPr>
                <w:rFonts w:ascii="Times New Roman" w:hAnsi="Times New Roman" w:cs="Times New Roman"/>
                <w:color w:val="000000"/>
              </w:rPr>
              <w:t>215</w:t>
            </w:r>
          </w:p>
        </w:tc>
        <w:tc>
          <w:tcPr>
            <w:tcW w:w="1041" w:type="dxa"/>
            <w:tcBorders>
              <w:top w:val="nil"/>
              <w:left w:val="nil"/>
              <w:bottom w:val="nil"/>
              <w:right w:val="nil"/>
            </w:tcBorders>
            <w:shd w:val="clear" w:color="000000" w:fill="D9D9D9"/>
            <w:noWrap/>
            <w:vAlign w:val="bottom"/>
          </w:tcPr>
          <w:p w:rsidRPr="00E45B4A" w:rsidR="0015075A" w:rsidP="0015075A" w:rsidRDefault="0015075A" w14:paraId="1A9290E3" w14:textId="2F55C8CC">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D85BCD">
              <w:rPr>
                <w:rFonts w:ascii="Times New Roman" w:hAnsi="Times New Roman" w:cs="Times New Roman"/>
                <w:color w:val="000000"/>
              </w:rPr>
              <w:t>215</w:t>
            </w:r>
          </w:p>
        </w:tc>
        <w:tc>
          <w:tcPr>
            <w:tcW w:w="1041" w:type="dxa"/>
            <w:tcBorders>
              <w:top w:val="nil"/>
              <w:left w:val="nil"/>
              <w:bottom w:val="nil"/>
              <w:right w:val="nil"/>
            </w:tcBorders>
            <w:shd w:val="clear" w:color="auto" w:fill="auto"/>
            <w:noWrap/>
            <w:vAlign w:val="bottom"/>
          </w:tcPr>
          <w:p w:rsidRPr="00E45B4A" w:rsidR="0015075A" w:rsidP="0015075A" w:rsidRDefault="0015075A" w14:paraId="03CD17E8" w14:textId="090501E5">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2,</w:t>
            </w:r>
            <w:r w:rsidR="00D85BCD">
              <w:rPr>
                <w:rFonts w:ascii="Times New Roman" w:hAnsi="Times New Roman" w:cs="Times New Roman"/>
                <w:color w:val="000000"/>
              </w:rPr>
              <w:t>430</w:t>
            </w:r>
          </w:p>
        </w:tc>
        <w:tc>
          <w:tcPr>
            <w:tcW w:w="1041" w:type="dxa"/>
            <w:tcBorders>
              <w:top w:val="nil"/>
              <w:left w:val="nil"/>
              <w:bottom w:val="nil"/>
              <w:right w:val="nil"/>
            </w:tcBorders>
            <w:shd w:val="clear" w:color="auto" w:fill="auto"/>
            <w:noWrap/>
            <w:vAlign w:val="bottom"/>
          </w:tcPr>
          <w:p w:rsidRPr="00E45B4A" w:rsidR="0015075A" w:rsidP="0015075A" w:rsidRDefault="0015075A" w14:paraId="6E1ABEAC" w14:textId="2026621E">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Pr="00E45B4A" w:rsidR="00D85BCD">
              <w:rPr>
                <w:rFonts w:ascii="Times New Roman" w:hAnsi="Times New Roman" w:cs="Times New Roman"/>
                <w:color w:val="000000"/>
              </w:rPr>
              <w:t>0</w:t>
            </w:r>
            <w:r w:rsidR="00D85BCD">
              <w:rPr>
                <w:rFonts w:ascii="Times New Roman" w:hAnsi="Times New Roman" w:cs="Times New Roman"/>
                <w:color w:val="000000"/>
              </w:rPr>
              <w:t>80</w:t>
            </w:r>
          </w:p>
        </w:tc>
      </w:tr>
      <w:tr w:rsidRPr="00E45B4A" w:rsidR="0015075A" w:rsidTr="00D85BCD" w14:paraId="3C35CED8" w14:textId="77777777">
        <w:trPr>
          <w:trHeight w:val="290"/>
          <w:jc w:val="center"/>
        </w:trPr>
        <w:tc>
          <w:tcPr>
            <w:tcW w:w="3040" w:type="dxa"/>
            <w:gridSpan w:val="2"/>
            <w:tcBorders>
              <w:top w:val="nil"/>
              <w:left w:val="nil"/>
              <w:bottom w:val="nil"/>
              <w:right w:val="nil"/>
            </w:tcBorders>
            <w:shd w:val="clear" w:color="auto" w:fill="auto"/>
            <w:noWrap/>
            <w:vAlign w:val="bottom"/>
            <w:hideMark/>
          </w:tcPr>
          <w:p w:rsidRPr="00E45B4A" w:rsidR="0015075A" w:rsidP="0015075A" w:rsidRDefault="0015075A" w14:paraId="2D8466A6"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$30 with week 1 mailing</w:t>
            </w:r>
          </w:p>
        </w:tc>
        <w:tc>
          <w:tcPr>
            <w:tcW w:w="1041" w:type="dxa"/>
            <w:tcBorders>
              <w:top w:val="nil"/>
              <w:left w:val="nil"/>
              <w:bottom w:val="nil"/>
              <w:right w:val="nil"/>
            </w:tcBorders>
            <w:shd w:val="clear" w:color="auto" w:fill="auto"/>
            <w:noWrap/>
            <w:vAlign w:val="bottom"/>
          </w:tcPr>
          <w:p w:rsidRPr="00E45B4A" w:rsidR="0015075A" w:rsidP="0015075A" w:rsidRDefault="0015075A" w14:paraId="4B62B2CA" w14:textId="7B8EEE03">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2,</w:t>
            </w:r>
            <w:r w:rsidR="00D85BCD">
              <w:rPr>
                <w:rFonts w:ascii="Times New Roman" w:hAnsi="Times New Roman" w:cs="Times New Roman"/>
                <w:color w:val="000000"/>
              </w:rPr>
              <w:t>430</w:t>
            </w:r>
          </w:p>
        </w:tc>
        <w:tc>
          <w:tcPr>
            <w:tcW w:w="1041" w:type="dxa"/>
            <w:tcBorders>
              <w:top w:val="nil"/>
              <w:left w:val="nil"/>
              <w:bottom w:val="nil"/>
              <w:right w:val="nil"/>
            </w:tcBorders>
            <w:shd w:val="clear" w:color="auto" w:fill="auto"/>
            <w:noWrap/>
            <w:vAlign w:val="bottom"/>
          </w:tcPr>
          <w:p w:rsidRPr="00E45B4A" w:rsidR="0015075A" w:rsidP="0015075A" w:rsidRDefault="0015075A" w14:paraId="2471C9F9" w14:textId="354DF67B">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2,</w:t>
            </w:r>
            <w:r w:rsidR="00D85BCD">
              <w:rPr>
                <w:rFonts w:ascii="Times New Roman" w:hAnsi="Times New Roman" w:cs="Times New Roman"/>
                <w:color w:val="000000"/>
              </w:rPr>
              <w:t>430</w:t>
            </w:r>
          </w:p>
        </w:tc>
        <w:tc>
          <w:tcPr>
            <w:tcW w:w="1041" w:type="dxa"/>
            <w:tcBorders>
              <w:top w:val="nil"/>
              <w:left w:val="nil"/>
              <w:bottom w:val="nil"/>
              <w:right w:val="nil"/>
            </w:tcBorders>
            <w:shd w:val="clear" w:color="auto" w:fill="auto"/>
            <w:noWrap/>
            <w:vAlign w:val="bottom"/>
          </w:tcPr>
          <w:p w:rsidRPr="00E45B4A" w:rsidR="0015075A" w:rsidP="0015075A" w:rsidRDefault="0015075A" w14:paraId="3C5E2016" w14:textId="0AF59D3C">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D85BCD">
              <w:rPr>
                <w:rFonts w:ascii="Times New Roman" w:hAnsi="Times New Roman" w:cs="Times New Roman"/>
                <w:color w:val="000000"/>
              </w:rPr>
              <w:t>215</w:t>
            </w:r>
          </w:p>
        </w:tc>
        <w:tc>
          <w:tcPr>
            <w:tcW w:w="1041" w:type="dxa"/>
            <w:tcBorders>
              <w:top w:val="nil"/>
              <w:left w:val="nil"/>
              <w:bottom w:val="nil"/>
              <w:right w:val="nil"/>
            </w:tcBorders>
            <w:shd w:val="clear" w:color="000000" w:fill="D9D9D9"/>
            <w:noWrap/>
            <w:vAlign w:val="bottom"/>
          </w:tcPr>
          <w:p w:rsidRPr="00E45B4A" w:rsidR="0015075A" w:rsidP="0015075A" w:rsidRDefault="0015075A" w14:paraId="0201C28A" w14:textId="0B9DC464">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00D85BCD">
              <w:rPr>
                <w:rFonts w:ascii="Times New Roman" w:hAnsi="Times New Roman" w:cs="Times New Roman"/>
                <w:color w:val="000000"/>
              </w:rPr>
              <w:t>215</w:t>
            </w:r>
          </w:p>
        </w:tc>
        <w:tc>
          <w:tcPr>
            <w:tcW w:w="1041" w:type="dxa"/>
            <w:tcBorders>
              <w:top w:val="nil"/>
              <w:left w:val="nil"/>
              <w:bottom w:val="nil"/>
              <w:right w:val="nil"/>
            </w:tcBorders>
            <w:shd w:val="clear" w:color="auto" w:fill="auto"/>
            <w:noWrap/>
            <w:vAlign w:val="bottom"/>
          </w:tcPr>
          <w:p w:rsidRPr="00E45B4A" w:rsidR="0015075A" w:rsidP="0015075A" w:rsidRDefault="0015075A" w14:paraId="1890D3BE" w14:textId="3E83EFA5">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2,</w:t>
            </w:r>
            <w:r w:rsidR="00D85BCD">
              <w:rPr>
                <w:rFonts w:ascii="Times New Roman" w:hAnsi="Times New Roman" w:cs="Times New Roman"/>
                <w:color w:val="000000"/>
              </w:rPr>
              <w:t>430</w:t>
            </w:r>
          </w:p>
        </w:tc>
        <w:tc>
          <w:tcPr>
            <w:tcW w:w="1041" w:type="dxa"/>
            <w:tcBorders>
              <w:top w:val="nil"/>
              <w:left w:val="nil"/>
              <w:bottom w:val="nil"/>
              <w:right w:val="nil"/>
            </w:tcBorders>
            <w:shd w:val="clear" w:color="auto" w:fill="auto"/>
            <w:noWrap/>
            <w:vAlign w:val="bottom"/>
          </w:tcPr>
          <w:p w:rsidRPr="00E45B4A" w:rsidR="0015075A" w:rsidP="0015075A" w:rsidRDefault="0015075A" w14:paraId="0717EEEE" w14:textId="668D5312">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1,</w:t>
            </w:r>
            <w:r w:rsidRPr="00E45B4A" w:rsidR="00D85BCD">
              <w:rPr>
                <w:rFonts w:ascii="Times New Roman" w:hAnsi="Times New Roman" w:cs="Times New Roman"/>
                <w:color w:val="000000"/>
              </w:rPr>
              <w:t>0</w:t>
            </w:r>
            <w:r w:rsidR="00D85BCD">
              <w:rPr>
                <w:rFonts w:ascii="Times New Roman" w:hAnsi="Times New Roman" w:cs="Times New Roman"/>
                <w:color w:val="000000"/>
              </w:rPr>
              <w:t>80</w:t>
            </w:r>
          </w:p>
        </w:tc>
      </w:tr>
      <w:tr w:rsidRPr="00E45B4A" w:rsidR="001B6513" w:rsidTr="00D85BCD" w14:paraId="5EEC03BF" w14:textId="77777777">
        <w:trPr>
          <w:trHeight w:val="290"/>
          <w:jc w:val="center"/>
        </w:trPr>
        <w:tc>
          <w:tcPr>
            <w:tcW w:w="9286" w:type="dxa"/>
            <w:gridSpan w:val="8"/>
            <w:tcBorders>
              <w:top w:val="nil"/>
              <w:left w:val="nil"/>
              <w:bottom w:val="nil"/>
              <w:right w:val="nil"/>
            </w:tcBorders>
            <w:shd w:val="clear" w:color="auto" w:fill="auto"/>
            <w:noWrap/>
            <w:vAlign w:val="bottom"/>
            <w:hideMark/>
          </w:tcPr>
          <w:p w:rsidRPr="00E45B4A" w:rsidR="001B6513" w:rsidP="009F76D4" w:rsidRDefault="001B6513" w14:paraId="774CF8A7" w14:textId="77777777">
            <w:pPr>
              <w:spacing w:after="0" w:line="240" w:lineRule="auto"/>
              <w:jc w:val="center"/>
              <w:rPr>
                <w:rFonts w:ascii="Times New Roman" w:hAnsi="Times New Roman" w:eastAsia="Times New Roman" w:cs="Times New Roman"/>
                <w:b/>
                <w:bCs/>
                <w:i/>
                <w:iCs/>
                <w:color w:val="000000"/>
              </w:rPr>
            </w:pPr>
            <w:r w:rsidRPr="00E45B4A">
              <w:rPr>
                <w:rFonts w:ascii="Times New Roman" w:hAnsi="Times New Roman" w:eastAsia="Times New Roman" w:cs="Times New Roman"/>
                <w:b/>
                <w:bCs/>
                <w:i/>
                <w:iCs/>
                <w:color w:val="000000"/>
              </w:rPr>
              <w:t>Expected number receiving any incentive (noncontingent and/or contingent)</w:t>
            </w:r>
          </w:p>
        </w:tc>
      </w:tr>
      <w:tr w:rsidRPr="00E45B4A" w:rsidR="0015075A" w:rsidTr="00D85BCD" w14:paraId="5D167AAB" w14:textId="77777777">
        <w:trPr>
          <w:trHeight w:val="290"/>
          <w:jc w:val="center"/>
        </w:trPr>
        <w:tc>
          <w:tcPr>
            <w:tcW w:w="3040" w:type="dxa"/>
            <w:gridSpan w:val="2"/>
            <w:tcBorders>
              <w:top w:val="nil"/>
              <w:left w:val="nil"/>
              <w:bottom w:val="nil"/>
              <w:right w:val="nil"/>
            </w:tcBorders>
            <w:shd w:val="clear" w:color="auto" w:fill="auto"/>
            <w:noWrap/>
            <w:vAlign w:val="bottom"/>
            <w:hideMark/>
          </w:tcPr>
          <w:p w:rsidRPr="00E45B4A" w:rsidR="0015075A" w:rsidP="0015075A" w:rsidRDefault="0015075A" w14:paraId="1F589194"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No noncontingent incentive</w:t>
            </w:r>
          </w:p>
        </w:tc>
        <w:tc>
          <w:tcPr>
            <w:tcW w:w="1041" w:type="dxa"/>
            <w:tcBorders>
              <w:top w:val="nil"/>
              <w:left w:val="nil"/>
              <w:bottom w:val="nil"/>
              <w:right w:val="nil"/>
            </w:tcBorders>
            <w:shd w:val="clear" w:color="auto" w:fill="auto"/>
            <w:noWrap/>
            <w:vAlign w:val="bottom"/>
          </w:tcPr>
          <w:p w:rsidRPr="00E45B4A" w:rsidR="0015075A" w:rsidP="0015075A" w:rsidRDefault="0015075A" w14:paraId="23D5906B" w14:textId="279BC01E">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0</w:t>
            </w:r>
          </w:p>
        </w:tc>
        <w:tc>
          <w:tcPr>
            <w:tcW w:w="1041" w:type="dxa"/>
            <w:tcBorders>
              <w:top w:val="nil"/>
              <w:left w:val="nil"/>
              <w:bottom w:val="nil"/>
              <w:right w:val="nil"/>
            </w:tcBorders>
            <w:shd w:val="clear" w:color="auto" w:fill="auto"/>
            <w:noWrap/>
            <w:vAlign w:val="bottom"/>
          </w:tcPr>
          <w:p w:rsidRPr="00E45B4A" w:rsidR="0015075A" w:rsidP="0015075A" w:rsidRDefault="0015075A" w14:paraId="53120E72" w14:textId="1D2616DE">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0</w:t>
            </w:r>
          </w:p>
        </w:tc>
        <w:tc>
          <w:tcPr>
            <w:tcW w:w="1041" w:type="dxa"/>
            <w:tcBorders>
              <w:top w:val="nil"/>
              <w:left w:val="nil"/>
              <w:bottom w:val="nil"/>
              <w:right w:val="nil"/>
            </w:tcBorders>
            <w:shd w:val="clear" w:color="auto" w:fill="auto"/>
            <w:noWrap/>
            <w:vAlign w:val="bottom"/>
          </w:tcPr>
          <w:p w:rsidRPr="00E45B4A" w:rsidR="0015075A" w:rsidP="0015075A" w:rsidRDefault="0015075A" w14:paraId="76C10061" w14:textId="5947FF90">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0</w:t>
            </w:r>
          </w:p>
        </w:tc>
        <w:tc>
          <w:tcPr>
            <w:tcW w:w="1041" w:type="dxa"/>
            <w:tcBorders>
              <w:top w:val="nil"/>
              <w:left w:val="nil"/>
              <w:bottom w:val="nil"/>
              <w:right w:val="nil"/>
            </w:tcBorders>
            <w:shd w:val="clear" w:color="auto" w:fill="auto"/>
            <w:noWrap/>
            <w:vAlign w:val="bottom"/>
          </w:tcPr>
          <w:p w:rsidRPr="00E45B4A" w:rsidR="0015075A" w:rsidP="0015075A" w:rsidRDefault="00D85BCD" w14:paraId="653888B0" w14:textId="56B8DA57">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2</w:t>
            </w:r>
            <w:r>
              <w:rPr>
                <w:rFonts w:ascii="Times New Roman" w:hAnsi="Times New Roman" w:cs="Times New Roman"/>
                <w:color w:val="000000"/>
              </w:rPr>
              <w:t>13</w:t>
            </w:r>
          </w:p>
        </w:tc>
        <w:tc>
          <w:tcPr>
            <w:tcW w:w="1041" w:type="dxa"/>
            <w:tcBorders>
              <w:top w:val="nil"/>
              <w:left w:val="nil"/>
              <w:bottom w:val="nil"/>
              <w:right w:val="nil"/>
            </w:tcBorders>
            <w:shd w:val="clear" w:color="auto" w:fill="auto"/>
            <w:noWrap/>
            <w:vAlign w:val="bottom"/>
          </w:tcPr>
          <w:p w:rsidRPr="00E45B4A" w:rsidR="0015075A" w:rsidP="0015075A" w:rsidRDefault="0015075A" w14:paraId="44E0C717" w14:textId="18928A3A">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0</w:t>
            </w:r>
          </w:p>
        </w:tc>
        <w:tc>
          <w:tcPr>
            <w:tcW w:w="1041" w:type="dxa"/>
            <w:tcBorders>
              <w:top w:val="nil"/>
              <w:left w:val="nil"/>
              <w:bottom w:val="nil"/>
              <w:right w:val="nil"/>
            </w:tcBorders>
            <w:shd w:val="clear" w:color="auto" w:fill="auto"/>
            <w:noWrap/>
            <w:vAlign w:val="bottom"/>
          </w:tcPr>
          <w:p w:rsidRPr="00E45B4A" w:rsidR="0015075A" w:rsidP="0015075A" w:rsidRDefault="0015075A" w14:paraId="7E42A08F" w14:textId="48CD83C6">
            <w:pPr>
              <w:spacing w:after="0" w:line="240" w:lineRule="auto"/>
              <w:jc w:val="right"/>
              <w:rPr>
                <w:rFonts w:ascii="Times New Roman" w:hAnsi="Times New Roman" w:eastAsia="Times New Roman" w:cs="Times New Roman"/>
                <w:color w:val="000000"/>
              </w:rPr>
            </w:pPr>
            <w:r w:rsidRPr="00E45B4A">
              <w:rPr>
                <w:rFonts w:ascii="Times New Roman" w:hAnsi="Times New Roman" w:cs="Times New Roman"/>
                <w:color w:val="000000"/>
              </w:rPr>
              <w:t>0</w:t>
            </w:r>
          </w:p>
        </w:tc>
      </w:tr>
      <w:tr w:rsidRPr="00E45B4A" w:rsidR="0015075A" w:rsidTr="00D85BCD" w14:paraId="20B6C655" w14:textId="77777777">
        <w:trPr>
          <w:trHeight w:val="290"/>
          <w:jc w:val="center"/>
        </w:trPr>
        <w:tc>
          <w:tcPr>
            <w:tcW w:w="3040" w:type="dxa"/>
            <w:gridSpan w:val="2"/>
            <w:tcBorders>
              <w:top w:val="nil"/>
              <w:left w:val="nil"/>
              <w:bottom w:val="nil"/>
              <w:right w:val="nil"/>
            </w:tcBorders>
            <w:shd w:val="clear" w:color="auto" w:fill="auto"/>
            <w:noWrap/>
            <w:vAlign w:val="bottom"/>
            <w:hideMark/>
          </w:tcPr>
          <w:p w:rsidRPr="00E45B4A" w:rsidR="0015075A" w:rsidP="0015075A" w:rsidRDefault="0015075A" w14:paraId="426CE18A"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$30 with week 23 mailing</w:t>
            </w:r>
            <w:r w:rsidRPr="00E45B4A">
              <w:rPr>
                <w:rFonts w:ascii="Times New Roman" w:hAnsi="Times New Roman" w:eastAsia="Times New Roman" w:cs="Times New Roman"/>
                <w:b/>
                <w:bCs/>
                <w:color w:val="000000"/>
                <w:vertAlign w:val="superscript"/>
              </w:rPr>
              <w:t>2</w:t>
            </w:r>
          </w:p>
        </w:tc>
        <w:tc>
          <w:tcPr>
            <w:tcW w:w="1041" w:type="dxa"/>
            <w:tcBorders>
              <w:top w:val="nil"/>
              <w:left w:val="nil"/>
              <w:bottom w:val="nil"/>
              <w:right w:val="nil"/>
            </w:tcBorders>
            <w:shd w:val="clear" w:color="auto" w:fill="auto"/>
            <w:noWrap/>
            <w:vAlign w:val="bottom"/>
          </w:tcPr>
          <w:p w:rsidRPr="004F0F35" w:rsidR="0015075A" w:rsidP="0015075A" w:rsidRDefault="0015075A" w14:paraId="661548CB" w14:textId="0C9D1EAA">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color w:val="000000"/>
              </w:rPr>
              <w:t>1</w:t>
            </w:r>
            <w:r w:rsidRPr="004F0F35" w:rsidR="00D85BCD">
              <w:rPr>
                <w:rFonts w:ascii="Times New Roman" w:hAnsi="Times New Roman" w:cs="Times New Roman"/>
                <w:color w:val="000000"/>
              </w:rPr>
              <w:t>22</w:t>
            </w:r>
          </w:p>
        </w:tc>
        <w:tc>
          <w:tcPr>
            <w:tcW w:w="1041" w:type="dxa"/>
            <w:tcBorders>
              <w:top w:val="nil"/>
              <w:left w:val="nil"/>
              <w:bottom w:val="nil"/>
              <w:right w:val="nil"/>
            </w:tcBorders>
            <w:shd w:val="clear" w:color="auto" w:fill="auto"/>
            <w:noWrap/>
            <w:vAlign w:val="bottom"/>
          </w:tcPr>
          <w:p w:rsidRPr="004F0F35" w:rsidR="0015075A" w:rsidP="0015075A" w:rsidRDefault="00D85BCD" w14:paraId="59966F88" w14:textId="02AE182F">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color w:val="000000"/>
              </w:rPr>
              <w:t>122</w:t>
            </w:r>
          </w:p>
        </w:tc>
        <w:tc>
          <w:tcPr>
            <w:tcW w:w="1041" w:type="dxa"/>
            <w:tcBorders>
              <w:top w:val="nil"/>
              <w:left w:val="nil"/>
              <w:bottom w:val="nil"/>
              <w:right w:val="nil"/>
            </w:tcBorders>
            <w:shd w:val="clear" w:color="auto" w:fill="auto"/>
            <w:noWrap/>
            <w:vAlign w:val="bottom"/>
          </w:tcPr>
          <w:p w:rsidRPr="004F0F35" w:rsidR="0015075A" w:rsidP="0015075A" w:rsidRDefault="00D85BCD" w14:paraId="7B41A1CC" w14:textId="6BE26DEE">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color w:val="000000"/>
              </w:rPr>
              <w:t>61</w:t>
            </w:r>
          </w:p>
        </w:tc>
        <w:tc>
          <w:tcPr>
            <w:tcW w:w="1041" w:type="dxa"/>
            <w:tcBorders>
              <w:top w:val="nil"/>
              <w:left w:val="nil"/>
              <w:bottom w:val="nil"/>
              <w:right w:val="nil"/>
            </w:tcBorders>
            <w:shd w:val="clear" w:color="auto" w:fill="auto"/>
            <w:noWrap/>
            <w:vAlign w:val="bottom"/>
          </w:tcPr>
          <w:p w:rsidRPr="004F0F35" w:rsidR="0015075A" w:rsidP="0015075A" w:rsidRDefault="00D85BCD" w14:paraId="1FE916CF" w14:textId="68A03FC4">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color w:val="000000"/>
              </w:rPr>
              <w:t>274</w:t>
            </w:r>
          </w:p>
        </w:tc>
        <w:tc>
          <w:tcPr>
            <w:tcW w:w="1041" w:type="dxa"/>
            <w:tcBorders>
              <w:top w:val="nil"/>
              <w:left w:val="nil"/>
              <w:bottom w:val="nil"/>
              <w:right w:val="nil"/>
            </w:tcBorders>
            <w:shd w:val="clear" w:color="auto" w:fill="auto"/>
            <w:noWrap/>
            <w:vAlign w:val="bottom"/>
          </w:tcPr>
          <w:p w:rsidRPr="004F0F35" w:rsidR="0015075A" w:rsidP="0015075A" w:rsidRDefault="00D85BCD" w14:paraId="4C1CB4E0" w14:textId="66BB4028">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color w:val="000000"/>
              </w:rPr>
              <w:t>122</w:t>
            </w:r>
          </w:p>
        </w:tc>
        <w:tc>
          <w:tcPr>
            <w:tcW w:w="1041" w:type="dxa"/>
            <w:tcBorders>
              <w:top w:val="nil"/>
              <w:left w:val="nil"/>
              <w:bottom w:val="nil"/>
              <w:right w:val="nil"/>
            </w:tcBorders>
            <w:shd w:val="clear" w:color="auto" w:fill="auto"/>
            <w:noWrap/>
            <w:vAlign w:val="bottom"/>
          </w:tcPr>
          <w:p w:rsidRPr="004F0F35" w:rsidR="0015075A" w:rsidP="0015075A" w:rsidRDefault="00D85BCD" w14:paraId="0453DFA1" w14:textId="38992555">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color w:val="000000"/>
              </w:rPr>
              <w:t>54</w:t>
            </w:r>
          </w:p>
        </w:tc>
      </w:tr>
      <w:tr w:rsidRPr="00E45B4A" w:rsidR="00D85BCD" w:rsidTr="000522D0" w14:paraId="4ABAF684" w14:textId="77777777">
        <w:trPr>
          <w:trHeight w:val="290"/>
          <w:jc w:val="center"/>
        </w:trPr>
        <w:tc>
          <w:tcPr>
            <w:tcW w:w="3040" w:type="dxa"/>
            <w:gridSpan w:val="2"/>
            <w:tcBorders>
              <w:top w:val="nil"/>
              <w:left w:val="nil"/>
              <w:bottom w:val="nil"/>
              <w:right w:val="nil"/>
            </w:tcBorders>
            <w:shd w:val="clear" w:color="auto" w:fill="auto"/>
            <w:noWrap/>
            <w:vAlign w:val="bottom"/>
            <w:hideMark/>
          </w:tcPr>
          <w:p w:rsidRPr="00E45B4A" w:rsidR="00D85BCD" w:rsidP="00D85BCD" w:rsidRDefault="00D85BCD" w14:paraId="1EE3701D"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$10 with week 1 mailing</w:t>
            </w:r>
          </w:p>
        </w:tc>
        <w:tc>
          <w:tcPr>
            <w:tcW w:w="1041" w:type="dxa"/>
            <w:tcBorders>
              <w:top w:val="nil"/>
              <w:left w:val="nil"/>
              <w:bottom w:val="nil"/>
              <w:right w:val="nil"/>
            </w:tcBorders>
            <w:shd w:val="clear" w:color="auto" w:fill="auto"/>
            <w:noWrap/>
          </w:tcPr>
          <w:p w:rsidRPr="004F0F35" w:rsidR="00D85BCD" w:rsidP="00D85BCD" w:rsidRDefault="00D85BCD" w14:paraId="1650DC15" w14:textId="663A0FCF">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2,430</w:t>
            </w:r>
          </w:p>
        </w:tc>
        <w:tc>
          <w:tcPr>
            <w:tcW w:w="1041" w:type="dxa"/>
            <w:tcBorders>
              <w:top w:val="nil"/>
              <w:left w:val="nil"/>
              <w:bottom w:val="nil"/>
              <w:right w:val="nil"/>
            </w:tcBorders>
            <w:shd w:val="clear" w:color="auto" w:fill="auto"/>
            <w:noWrap/>
          </w:tcPr>
          <w:p w:rsidRPr="004F0F35" w:rsidR="00D85BCD" w:rsidP="00D85BCD" w:rsidRDefault="00D85BCD" w14:paraId="3717D969" w14:textId="5C7D618C">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2,430</w:t>
            </w:r>
          </w:p>
        </w:tc>
        <w:tc>
          <w:tcPr>
            <w:tcW w:w="1041" w:type="dxa"/>
            <w:tcBorders>
              <w:top w:val="nil"/>
              <w:left w:val="nil"/>
              <w:bottom w:val="nil"/>
              <w:right w:val="nil"/>
            </w:tcBorders>
            <w:shd w:val="clear" w:color="auto" w:fill="auto"/>
            <w:noWrap/>
          </w:tcPr>
          <w:p w:rsidRPr="004F0F35" w:rsidR="00D85BCD" w:rsidP="00D85BCD" w:rsidRDefault="00D85BCD" w14:paraId="28FC6B6F" w14:textId="51142089">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1,215</w:t>
            </w:r>
          </w:p>
        </w:tc>
        <w:tc>
          <w:tcPr>
            <w:tcW w:w="1041" w:type="dxa"/>
            <w:tcBorders>
              <w:top w:val="nil"/>
              <w:left w:val="nil"/>
              <w:bottom w:val="nil"/>
              <w:right w:val="nil"/>
            </w:tcBorders>
            <w:shd w:val="clear" w:color="000000" w:fill="D9D9D9"/>
            <w:noWrap/>
          </w:tcPr>
          <w:p w:rsidRPr="004F0F35" w:rsidR="00D85BCD" w:rsidP="00D85BCD" w:rsidRDefault="00D85BCD" w14:paraId="76B25671" w14:textId="0C30F819">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1,215</w:t>
            </w:r>
          </w:p>
        </w:tc>
        <w:tc>
          <w:tcPr>
            <w:tcW w:w="1041" w:type="dxa"/>
            <w:tcBorders>
              <w:top w:val="nil"/>
              <w:left w:val="nil"/>
              <w:bottom w:val="nil"/>
              <w:right w:val="nil"/>
            </w:tcBorders>
            <w:shd w:val="clear" w:color="auto" w:fill="auto"/>
            <w:noWrap/>
          </w:tcPr>
          <w:p w:rsidRPr="004F0F35" w:rsidR="00D85BCD" w:rsidP="00D85BCD" w:rsidRDefault="00D85BCD" w14:paraId="32AB1414" w14:textId="4DAA7FC5">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2,430</w:t>
            </w:r>
          </w:p>
        </w:tc>
        <w:tc>
          <w:tcPr>
            <w:tcW w:w="1041" w:type="dxa"/>
            <w:tcBorders>
              <w:top w:val="nil"/>
              <w:left w:val="nil"/>
              <w:bottom w:val="nil"/>
              <w:right w:val="nil"/>
            </w:tcBorders>
            <w:shd w:val="clear" w:color="auto" w:fill="auto"/>
            <w:noWrap/>
          </w:tcPr>
          <w:p w:rsidRPr="004F0F35" w:rsidR="00D85BCD" w:rsidP="00D85BCD" w:rsidRDefault="00D85BCD" w14:paraId="682E13D0" w14:textId="20F4743F">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1,080</w:t>
            </w:r>
          </w:p>
        </w:tc>
      </w:tr>
      <w:tr w:rsidRPr="00E45B4A" w:rsidR="00D85BCD" w:rsidTr="000522D0" w14:paraId="5EA782F2" w14:textId="77777777">
        <w:trPr>
          <w:trHeight w:val="290"/>
          <w:jc w:val="center"/>
        </w:trPr>
        <w:tc>
          <w:tcPr>
            <w:tcW w:w="3040" w:type="dxa"/>
            <w:gridSpan w:val="2"/>
            <w:tcBorders>
              <w:top w:val="nil"/>
              <w:left w:val="nil"/>
              <w:bottom w:val="nil"/>
              <w:right w:val="nil"/>
            </w:tcBorders>
            <w:shd w:val="clear" w:color="auto" w:fill="auto"/>
            <w:noWrap/>
            <w:vAlign w:val="bottom"/>
            <w:hideMark/>
          </w:tcPr>
          <w:p w:rsidRPr="00E45B4A" w:rsidR="00D85BCD" w:rsidP="00D85BCD" w:rsidRDefault="00D85BCD" w14:paraId="01900BA3"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$20 with week 1 mailing</w:t>
            </w:r>
          </w:p>
        </w:tc>
        <w:tc>
          <w:tcPr>
            <w:tcW w:w="1041" w:type="dxa"/>
            <w:tcBorders>
              <w:top w:val="nil"/>
              <w:left w:val="nil"/>
              <w:bottom w:val="nil"/>
              <w:right w:val="nil"/>
            </w:tcBorders>
            <w:shd w:val="clear" w:color="auto" w:fill="auto"/>
            <w:noWrap/>
          </w:tcPr>
          <w:p w:rsidRPr="004F0F35" w:rsidR="00D85BCD" w:rsidP="00D85BCD" w:rsidRDefault="00D85BCD" w14:paraId="0E1B0BFD" w14:textId="5D1C59E5">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2,430</w:t>
            </w:r>
          </w:p>
        </w:tc>
        <w:tc>
          <w:tcPr>
            <w:tcW w:w="1041" w:type="dxa"/>
            <w:tcBorders>
              <w:top w:val="nil"/>
              <w:left w:val="nil"/>
              <w:bottom w:val="nil"/>
              <w:right w:val="nil"/>
            </w:tcBorders>
            <w:shd w:val="clear" w:color="auto" w:fill="auto"/>
            <w:noWrap/>
          </w:tcPr>
          <w:p w:rsidRPr="004F0F35" w:rsidR="00D85BCD" w:rsidP="00D85BCD" w:rsidRDefault="00D85BCD" w14:paraId="3EA79CFD" w14:textId="23B18B32">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2,430</w:t>
            </w:r>
          </w:p>
        </w:tc>
        <w:tc>
          <w:tcPr>
            <w:tcW w:w="1041" w:type="dxa"/>
            <w:tcBorders>
              <w:top w:val="nil"/>
              <w:left w:val="nil"/>
              <w:bottom w:val="nil"/>
              <w:right w:val="nil"/>
            </w:tcBorders>
            <w:shd w:val="clear" w:color="auto" w:fill="auto"/>
            <w:noWrap/>
          </w:tcPr>
          <w:p w:rsidRPr="004F0F35" w:rsidR="00D85BCD" w:rsidP="00D85BCD" w:rsidRDefault="00D85BCD" w14:paraId="3F3E5E1B" w14:textId="6D35D14E">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1,215</w:t>
            </w:r>
          </w:p>
        </w:tc>
        <w:tc>
          <w:tcPr>
            <w:tcW w:w="1041" w:type="dxa"/>
            <w:tcBorders>
              <w:top w:val="nil"/>
              <w:left w:val="nil"/>
              <w:bottom w:val="nil"/>
              <w:right w:val="nil"/>
            </w:tcBorders>
            <w:shd w:val="clear" w:color="000000" w:fill="D9D9D9"/>
            <w:noWrap/>
          </w:tcPr>
          <w:p w:rsidRPr="004F0F35" w:rsidR="00D85BCD" w:rsidP="00D85BCD" w:rsidRDefault="00D85BCD" w14:paraId="56ACF8D7" w14:textId="44AB9CDD">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1,215</w:t>
            </w:r>
          </w:p>
        </w:tc>
        <w:tc>
          <w:tcPr>
            <w:tcW w:w="1041" w:type="dxa"/>
            <w:tcBorders>
              <w:top w:val="nil"/>
              <w:left w:val="nil"/>
              <w:bottom w:val="nil"/>
              <w:right w:val="nil"/>
            </w:tcBorders>
            <w:shd w:val="clear" w:color="auto" w:fill="auto"/>
            <w:noWrap/>
          </w:tcPr>
          <w:p w:rsidRPr="004F0F35" w:rsidR="00D85BCD" w:rsidP="00D85BCD" w:rsidRDefault="00D85BCD" w14:paraId="44D33170" w14:textId="06ADAA1F">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2,430</w:t>
            </w:r>
          </w:p>
        </w:tc>
        <w:tc>
          <w:tcPr>
            <w:tcW w:w="1041" w:type="dxa"/>
            <w:tcBorders>
              <w:top w:val="nil"/>
              <w:left w:val="nil"/>
              <w:bottom w:val="nil"/>
              <w:right w:val="nil"/>
            </w:tcBorders>
            <w:shd w:val="clear" w:color="auto" w:fill="auto"/>
            <w:noWrap/>
          </w:tcPr>
          <w:p w:rsidRPr="004F0F35" w:rsidR="00D85BCD" w:rsidP="00D85BCD" w:rsidRDefault="00D85BCD" w14:paraId="751C6DA7" w14:textId="4F6426F3">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1,080</w:t>
            </w:r>
          </w:p>
        </w:tc>
      </w:tr>
      <w:tr w:rsidRPr="00E45B4A" w:rsidR="00D85BCD" w:rsidTr="000522D0" w14:paraId="08DEA6A3" w14:textId="77777777">
        <w:trPr>
          <w:trHeight w:val="290"/>
          <w:jc w:val="center"/>
        </w:trPr>
        <w:tc>
          <w:tcPr>
            <w:tcW w:w="3040" w:type="dxa"/>
            <w:gridSpan w:val="2"/>
            <w:tcBorders>
              <w:top w:val="nil"/>
              <w:left w:val="nil"/>
              <w:bottom w:val="single" w:color="auto" w:sz="4" w:space="0"/>
              <w:right w:val="nil"/>
            </w:tcBorders>
            <w:shd w:val="clear" w:color="auto" w:fill="auto"/>
            <w:noWrap/>
            <w:vAlign w:val="bottom"/>
            <w:hideMark/>
          </w:tcPr>
          <w:p w:rsidRPr="00E45B4A" w:rsidR="00D85BCD" w:rsidP="00D85BCD" w:rsidRDefault="00D85BCD" w14:paraId="5B5771AD" w14:textId="77777777">
            <w:pPr>
              <w:spacing w:after="0" w:line="240" w:lineRule="auto"/>
              <w:rPr>
                <w:rFonts w:ascii="Times New Roman" w:hAnsi="Times New Roman" w:eastAsia="Times New Roman" w:cs="Times New Roman"/>
                <w:b/>
                <w:bCs/>
                <w:color w:val="000000"/>
              </w:rPr>
            </w:pPr>
            <w:r w:rsidRPr="00E45B4A">
              <w:rPr>
                <w:rFonts w:ascii="Times New Roman" w:hAnsi="Times New Roman" w:eastAsia="Times New Roman" w:cs="Times New Roman"/>
                <w:b/>
                <w:bCs/>
                <w:color w:val="000000"/>
              </w:rPr>
              <w:t>$30 with week 1 mailing</w:t>
            </w:r>
          </w:p>
        </w:tc>
        <w:tc>
          <w:tcPr>
            <w:tcW w:w="1041" w:type="dxa"/>
            <w:tcBorders>
              <w:top w:val="nil"/>
              <w:left w:val="nil"/>
              <w:bottom w:val="single" w:color="auto" w:sz="4" w:space="0"/>
              <w:right w:val="nil"/>
            </w:tcBorders>
            <w:shd w:val="clear" w:color="auto" w:fill="auto"/>
            <w:noWrap/>
          </w:tcPr>
          <w:p w:rsidRPr="004F0F35" w:rsidR="00D85BCD" w:rsidP="00D85BCD" w:rsidRDefault="00D85BCD" w14:paraId="44B0EC0A" w14:textId="50372140">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2,430</w:t>
            </w:r>
          </w:p>
        </w:tc>
        <w:tc>
          <w:tcPr>
            <w:tcW w:w="1041" w:type="dxa"/>
            <w:tcBorders>
              <w:top w:val="nil"/>
              <w:left w:val="nil"/>
              <w:bottom w:val="single" w:color="auto" w:sz="4" w:space="0"/>
              <w:right w:val="nil"/>
            </w:tcBorders>
            <w:shd w:val="clear" w:color="auto" w:fill="auto"/>
            <w:noWrap/>
          </w:tcPr>
          <w:p w:rsidRPr="004F0F35" w:rsidR="00D85BCD" w:rsidP="00D85BCD" w:rsidRDefault="00D85BCD" w14:paraId="525C0E94" w14:textId="6E038072">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2,430</w:t>
            </w:r>
          </w:p>
        </w:tc>
        <w:tc>
          <w:tcPr>
            <w:tcW w:w="1041" w:type="dxa"/>
            <w:tcBorders>
              <w:top w:val="nil"/>
              <w:left w:val="nil"/>
              <w:bottom w:val="single" w:color="auto" w:sz="4" w:space="0"/>
              <w:right w:val="nil"/>
            </w:tcBorders>
            <w:shd w:val="clear" w:color="auto" w:fill="auto"/>
            <w:noWrap/>
          </w:tcPr>
          <w:p w:rsidRPr="004F0F35" w:rsidR="00D85BCD" w:rsidP="00D85BCD" w:rsidRDefault="00D85BCD" w14:paraId="30A82087" w14:textId="17637A58">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1,215</w:t>
            </w:r>
          </w:p>
        </w:tc>
        <w:tc>
          <w:tcPr>
            <w:tcW w:w="1041" w:type="dxa"/>
            <w:tcBorders>
              <w:top w:val="nil"/>
              <w:left w:val="nil"/>
              <w:bottom w:val="single" w:color="auto" w:sz="4" w:space="0"/>
              <w:right w:val="nil"/>
            </w:tcBorders>
            <w:shd w:val="clear" w:color="000000" w:fill="D9D9D9"/>
            <w:noWrap/>
          </w:tcPr>
          <w:p w:rsidRPr="004F0F35" w:rsidR="00D85BCD" w:rsidP="00D85BCD" w:rsidRDefault="00D85BCD" w14:paraId="3CF4AFF0" w14:textId="5E594F38">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1,215</w:t>
            </w:r>
          </w:p>
        </w:tc>
        <w:tc>
          <w:tcPr>
            <w:tcW w:w="1041" w:type="dxa"/>
            <w:tcBorders>
              <w:top w:val="nil"/>
              <w:left w:val="nil"/>
              <w:bottom w:val="single" w:color="auto" w:sz="4" w:space="0"/>
              <w:right w:val="nil"/>
            </w:tcBorders>
            <w:shd w:val="clear" w:color="auto" w:fill="auto"/>
            <w:noWrap/>
          </w:tcPr>
          <w:p w:rsidRPr="004F0F35" w:rsidR="00D85BCD" w:rsidP="00D85BCD" w:rsidRDefault="00D85BCD" w14:paraId="120E5C50" w14:textId="2340FB9A">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2,430</w:t>
            </w:r>
          </w:p>
        </w:tc>
        <w:tc>
          <w:tcPr>
            <w:tcW w:w="1041" w:type="dxa"/>
            <w:tcBorders>
              <w:top w:val="nil"/>
              <w:left w:val="nil"/>
              <w:bottom w:val="single" w:color="auto" w:sz="4" w:space="0"/>
              <w:right w:val="nil"/>
            </w:tcBorders>
            <w:shd w:val="clear" w:color="auto" w:fill="auto"/>
            <w:noWrap/>
          </w:tcPr>
          <w:p w:rsidRPr="004F0F35" w:rsidR="00D85BCD" w:rsidP="00D85BCD" w:rsidRDefault="00D85BCD" w14:paraId="4BF81F89" w14:textId="0F00F7C6">
            <w:pPr>
              <w:spacing w:after="0" w:line="240" w:lineRule="auto"/>
              <w:jc w:val="right"/>
              <w:rPr>
                <w:rFonts w:ascii="Times New Roman" w:hAnsi="Times New Roman" w:eastAsia="Times New Roman" w:cs="Times New Roman"/>
                <w:color w:val="000000"/>
              </w:rPr>
            </w:pPr>
            <w:r w:rsidRPr="004F0F35">
              <w:rPr>
                <w:rFonts w:ascii="Times New Roman" w:hAnsi="Times New Roman" w:cs="Times New Roman"/>
              </w:rPr>
              <w:t>1,080</w:t>
            </w:r>
          </w:p>
        </w:tc>
      </w:tr>
      <w:tr w:rsidRPr="00E45B4A" w:rsidR="001B6513" w:rsidTr="00D85BCD" w14:paraId="48C0C81F" w14:textId="77777777">
        <w:trPr>
          <w:trHeight w:val="1030"/>
          <w:jc w:val="center"/>
        </w:trPr>
        <w:tc>
          <w:tcPr>
            <w:tcW w:w="9286" w:type="dxa"/>
            <w:gridSpan w:val="8"/>
            <w:tcBorders>
              <w:top w:val="single" w:color="auto" w:sz="4" w:space="0"/>
              <w:left w:val="nil"/>
              <w:bottom w:val="nil"/>
              <w:right w:val="nil"/>
            </w:tcBorders>
            <w:shd w:val="clear" w:color="auto" w:fill="auto"/>
            <w:vAlign w:val="bottom"/>
            <w:hideMark/>
          </w:tcPr>
          <w:p w:rsidR="001B6513" w:rsidP="009F76D4" w:rsidRDefault="001B6513" w14:paraId="60AB62DA" w14:textId="6E651C28">
            <w:pPr>
              <w:spacing w:after="0" w:line="240" w:lineRule="auto"/>
              <w:rPr>
                <w:rFonts w:ascii="Times New Roman" w:hAnsi="Times New Roman" w:eastAsia="Times New Roman" w:cs="Times New Roman"/>
                <w:color w:val="000000"/>
                <w:sz w:val="18"/>
                <w:szCs w:val="18"/>
              </w:rPr>
            </w:pPr>
            <w:r w:rsidRPr="00E45B4A">
              <w:rPr>
                <w:rFonts w:ascii="Times New Roman" w:hAnsi="Times New Roman" w:eastAsia="Times New Roman" w:cs="Times New Roman"/>
                <w:color w:val="000000"/>
                <w:sz w:val="18"/>
                <w:szCs w:val="18"/>
                <w:vertAlign w:val="superscript"/>
              </w:rPr>
              <w:t>1</w:t>
            </w:r>
            <w:r w:rsidRPr="00E45B4A">
              <w:rPr>
                <w:rFonts w:ascii="Times New Roman" w:hAnsi="Times New Roman" w:eastAsia="Times New Roman" w:cs="Times New Roman"/>
                <w:color w:val="000000"/>
                <w:sz w:val="18"/>
                <w:szCs w:val="18"/>
              </w:rPr>
              <w:t>The choice-plus treatment within the contact-strateg</w:t>
            </w:r>
            <w:r w:rsidRPr="00E45B4A" w:rsidR="00C62544">
              <w:rPr>
                <w:rFonts w:ascii="Times New Roman" w:hAnsi="Times New Roman" w:eastAsia="Times New Roman" w:cs="Times New Roman"/>
                <w:color w:val="000000"/>
                <w:sz w:val="18"/>
                <w:szCs w:val="18"/>
              </w:rPr>
              <w:t>ies</w:t>
            </w:r>
            <w:r w:rsidRPr="00E45B4A">
              <w:rPr>
                <w:rFonts w:ascii="Times New Roman" w:hAnsi="Times New Roman" w:eastAsia="Times New Roman" w:cs="Times New Roman"/>
                <w:color w:val="000000"/>
                <w:sz w:val="18"/>
                <w:szCs w:val="18"/>
              </w:rPr>
              <w:t xml:space="preserve"> experiment includes a $20 contingent (i.e., promised) incentive that will be paid to all respondents who complete the survey by web by the end of week 14 of data collection. This contingent incentive would be paid on top of any noncontingent incentive that the respondent received as part of the noncontingent-incentive experiment. The numbers in this column assume that </w:t>
            </w:r>
            <w:r w:rsidRPr="00E45B4A" w:rsidR="003F7A4E">
              <w:rPr>
                <w:rFonts w:ascii="Times New Roman" w:hAnsi="Times New Roman" w:eastAsia="Times New Roman" w:cs="Times New Roman"/>
                <w:color w:val="000000"/>
                <w:sz w:val="18"/>
                <w:szCs w:val="18"/>
              </w:rPr>
              <w:t>35</w:t>
            </w:r>
            <w:r w:rsidRPr="00E45B4A">
              <w:rPr>
                <w:rFonts w:ascii="Times New Roman" w:hAnsi="Times New Roman" w:eastAsia="Times New Roman" w:cs="Times New Roman"/>
                <w:color w:val="000000"/>
                <w:sz w:val="18"/>
                <w:szCs w:val="18"/>
              </w:rPr>
              <w:t xml:space="preserve"> percent of sample members are eligible for the choice-plus incentive (i.e., that </w:t>
            </w:r>
            <w:r w:rsidRPr="00E45B4A" w:rsidR="003F7A4E">
              <w:rPr>
                <w:rFonts w:ascii="Times New Roman" w:hAnsi="Times New Roman" w:eastAsia="Times New Roman" w:cs="Times New Roman"/>
                <w:color w:val="000000"/>
                <w:sz w:val="18"/>
                <w:szCs w:val="18"/>
              </w:rPr>
              <w:t>35</w:t>
            </w:r>
            <w:r w:rsidRPr="00E45B4A">
              <w:rPr>
                <w:rFonts w:ascii="Times New Roman" w:hAnsi="Times New Roman" w:eastAsia="Times New Roman" w:cs="Times New Roman"/>
                <w:color w:val="000000"/>
                <w:sz w:val="18"/>
                <w:szCs w:val="18"/>
              </w:rPr>
              <w:t xml:space="preserve"> percent complete the survey by web by the end of week 14).</w:t>
            </w:r>
          </w:p>
          <w:p w:rsidRPr="00E45B4A" w:rsidR="00D56A04" w:rsidP="009F76D4" w:rsidRDefault="00D56A04" w14:paraId="37F62F3B" w14:textId="77777777">
            <w:pPr>
              <w:spacing w:after="0" w:line="240" w:lineRule="auto"/>
              <w:rPr>
                <w:rFonts w:ascii="Times New Roman" w:hAnsi="Times New Roman" w:eastAsia="Times New Roman" w:cs="Times New Roman"/>
                <w:color w:val="000000"/>
                <w:sz w:val="18"/>
                <w:szCs w:val="18"/>
              </w:rPr>
            </w:pPr>
          </w:p>
          <w:p w:rsidR="001B6513" w:rsidP="009F76D4" w:rsidRDefault="001B6513" w14:paraId="37D92CB7" w14:textId="77777777">
            <w:pPr>
              <w:spacing w:after="0" w:line="240" w:lineRule="auto"/>
              <w:rPr>
                <w:rFonts w:ascii="Times New Roman" w:hAnsi="Times New Roman" w:eastAsia="Times New Roman" w:cs="Times New Roman"/>
                <w:color w:val="000000"/>
                <w:sz w:val="18"/>
                <w:szCs w:val="18"/>
              </w:rPr>
            </w:pPr>
            <w:r w:rsidRPr="00E45B4A">
              <w:rPr>
                <w:rFonts w:ascii="Times New Roman" w:hAnsi="Times New Roman" w:eastAsia="Times New Roman" w:cs="Times New Roman"/>
                <w:color w:val="000000"/>
                <w:sz w:val="18"/>
                <w:szCs w:val="18"/>
                <w:vertAlign w:val="superscript"/>
              </w:rPr>
              <w:t>2</w:t>
            </w:r>
            <w:r w:rsidRPr="00E45B4A">
              <w:rPr>
                <w:rFonts w:ascii="Times New Roman" w:hAnsi="Times New Roman" w:eastAsia="Times New Roman" w:cs="Times New Roman"/>
                <w:color w:val="000000"/>
                <w:sz w:val="18"/>
                <w:szCs w:val="18"/>
              </w:rPr>
              <w:t>The numbers in this row assume that 10 percent of sample members are eligible for the week 23 noncontingent incentive (i.e., have not responded by week 23).</w:t>
            </w:r>
          </w:p>
          <w:p w:rsidRPr="00E45B4A" w:rsidR="00D56A04" w:rsidP="009F76D4" w:rsidRDefault="00D56A04" w14:paraId="29FC2268" w14:textId="7F0682E9">
            <w:pPr>
              <w:spacing w:after="0" w:line="240" w:lineRule="auto"/>
              <w:rPr>
                <w:rFonts w:ascii="Times New Roman" w:hAnsi="Times New Roman" w:eastAsia="Times New Roman" w:cs="Times New Roman"/>
                <w:color w:val="000000"/>
                <w:sz w:val="18"/>
                <w:szCs w:val="18"/>
              </w:rPr>
            </w:pPr>
          </w:p>
        </w:tc>
      </w:tr>
      <w:tr w:rsidRPr="00E45B4A" w:rsidR="001B6513" w:rsidTr="00D85BCD" w14:paraId="352DF7E7" w14:textId="77777777">
        <w:trPr>
          <w:trHeight w:val="1242"/>
          <w:jc w:val="center"/>
        </w:trPr>
        <w:tc>
          <w:tcPr>
            <w:tcW w:w="9286" w:type="dxa"/>
            <w:gridSpan w:val="8"/>
            <w:tcBorders>
              <w:top w:val="nil"/>
              <w:left w:val="nil"/>
              <w:bottom w:val="nil"/>
              <w:right w:val="nil"/>
            </w:tcBorders>
            <w:shd w:val="clear" w:color="auto" w:fill="auto"/>
            <w:vAlign w:val="bottom"/>
            <w:hideMark/>
          </w:tcPr>
          <w:p w:rsidRPr="00E45B4A" w:rsidR="001B6513" w:rsidP="009F76D4" w:rsidRDefault="001B6513" w14:paraId="26CA2D06" w14:textId="646CACF8">
            <w:pPr>
              <w:spacing w:after="0" w:line="240" w:lineRule="auto"/>
              <w:rPr>
                <w:rFonts w:ascii="Times New Roman" w:hAnsi="Times New Roman" w:eastAsia="Times New Roman" w:cs="Times New Roman"/>
                <w:color w:val="000000"/>
                <w:sz w:val="18"/>
                <w:szCs w:val="18"/>
              </w:rPr>
            </w:pPr>
            <w:r w:rsidRPr="00E45B4A">
              <w:rPr>
                <w:rFonts w:ascii="Times New Roman" w:hAnsi="Times New Roman" w:eastAsia="Times New Roman" w:cs="Times New Roman"/>
                <w:color w:val="000000"/>
                <w:sz w:val="18"/>
                <w:szCs w:val="18"/>
              </w:rPr>
              <w:t xml:space="preserve">NOTE: Due to rounding, details may not sum to totals. Detailed information about each experimental treatment is provided </w:t>
            </w:r>
            <w:r w:rsidRPr="00E45B4A" w:rsidR="00155A17">
              <w:rPr>
                <w:rFonts w:ascii="Times New Roman" w:hAnsi="Times New Roman" w:eastAsia="Times New Roman" w:cs="Times New Roman"/>
                <w:color w:val="000000"/>
                <w:sz w:val="18"/>
                <w:szCs w:val="18"/>
              </w:rPr>
              <w:t>earlier</w:t>
            </w:r>
            <w:r w:rsidRPr="00E45B4A">
              <w:rPr>
                <w:rFonts w:ascii="Times New Roman" w:hAnsi="Times New Roman" w:eastAsia="Times New Roman" w:cs="Times New Roman"/>
                <w:color w:val="000000"/>
                <w:sz w:val="18"/>
                <w:szCs w:val="18"/>
              </w:rPr>
              <w:t xml:space="preserve"> in this appendix. The actual number of sampled </w:t>
            </w:r>
            <w:r w:rsidR="00E02ED9">
              <w:rPr>
                <w:rFonts w:ascii="Times New Roman" w:hAnsi="Times New Roman" w:eastAsia="Times New Roman" w:cs="Times New Roman"/>
                <w:color w:val="000000"/>
                <w:sz w:val="18"/>
                <w:szCs w:val="18"/>
              </w:rPr>
              <w:t>individuals</w:t>
            </w:r>
            <w:r w:rsidRPr="00E45B4A">
              <w:rPr>
                <w:rFonts w:ascii="Times New Roman" w:hAnsi="Times New Roman" w:eastAsia="Times New Roman" w:cs="Times New Roman"/>
                <w:color w:val="000000"/>
                <w:sz w:val="18"/>
                <w:szCs w:val="18"/>
              </w:rPr>
              <w:t xml:space="preserve"> in a given treatment combination may vary slightly from expectations due to rounding. The actual number receiving any incentive may vary from expectations depending on actual response patterns to the NTEWS. Shaded cells are those in which sample members would receive both a noncontingent incentive with the week 1 mailing and (if they respond by web by the end of week 14) a $20 contingent incentive. </w:t>
            </w:r>
          </w:p>
        </w:tc>
      </w:tr>
    </w:tbl>
    <w:p w:rsidRPr="00294BA9" w:rsidR="001D601C" w:rsidP="00C54AB3" w:rsidRDefault="001D601C" w14:paraId="6E5F1A07" w14:textId="3F8C1FA7">
      <w:pPr>
        <w:rPr>
          <w:rFonts w:ascii="Times New Roman" w:hAnsi="Times New Roman" w:cs="Times New Roman"/>
          <w:sz w:val="24"/>
          <w:szCs w:val="24"/>
        </w:rPr>
      </w:pPr>
    </w:p>
    <w:p w:rsidR="00C23717" w:rsidP="008B5C08" w:rsidRDefault="007818DC" w14:paraId="3D2AC72D" w14:textId="538CFF34">
      <w:pPr>
        <w:rPr>
          <w:rFonts w:ascii="Times New Roman" w:hAnsi="Times New Roman" w:cs="Times New Roman"/>
          <w:sz w:val="24"/>
          <w:szCs w:val="24"/>
        </w:rPr>
      </w:pPr>
      <w:r>
        <w:rPr>
          <w:rFonts w:ascii="Times New Roman" w:hAnsi="Times New Roman" w:cs="Times New Roman"/>
          <w:b/>
          <w:sz w:val="24"/>
          <w:szCs w:val="24"/>
          <w:u w:val="single"/>
        </w:rPr>
        <w:t>5</w:t>
      </w:r>
      <w:r w:rsidR="004A3129">
        <w:rPr>
          <w:rFonts w:ascii="Times New Roman" w:hAnsi="Times New Roman" w:cs="Times New Roman"/>
          <w:b/>
          <w:sz w:val="24"/>
          <w:szCs w:val="24"/>
          <w:u w:val="single"/>
        </w:rPr>
        <w:t>. Seeded sample</w:t>
      </w:r>
    </w:p>
    <w:p w:rsidR="0044136F" w:rsidP="008B5C08" w:rsidRDefault="007818DC" w14:paraId="62EFA8C7" w14:textId="3FF10DF6">
      <w:pPr>
        <w:rPr>
          <w:rFonts w:ascii="Times New Roman" w:hAnsi="Times New Roman" w:cs="Times New Roman"/>
          <w:sz w:val="24"/>
          <w:szCs w:val="24"/>
        </w:rPr>
      </w:pPr>
      <w:r>
        <w:rPr>
          <w:rFonts w:ascii="Times New Roman" w:hAnsi="Times New Roman" w:cs="Times New Roman"/>
          <w:i/>
          <w:sz w:val="24"/>
          <w:szCs w:val="24"/>
        </w:rPr>
        <w:t>5</w:t>
      </w:r>
      <w:r w:rsidR="00C01E82">
        <w:rPr>
          <w:rFonts w:ascii="Times New Roman" w:hAnsi="Times New Roman" w:cs="Times New Roman"/>
          <w:i/>
          <w:sz w:val="24"/>
          <w:szCs w:val="24"/>
        </w:rPr>
        <w:t>.1. Background</w:t>
      </w:r>
    </w:p>
    <w:p w:rsidR="007144B6" w:rsidP="0046441F" w:rsidRDefault="00543D25" w14:paraId="6826092A" w14:textId="6312696B">
      <w:pPr>
        <w:rPr>
          <w:rFonts w:ascii="Times New Roman" w:hAnsi="Times New Roman" w:cs="Times New Roman"/>
          <w:sz w:val="24"/>
          <w:szCs w:val="24"/>
        </w:rPr>
      </w:pPr>
      <w:r>
        <w:rPr>
          <w:rFonts w:ascii="Times New Roman" w:hAnsi="Times New Roman" w:cs="Times New Roman"/>
          <w:sz w:val="24"/>
          <w:szCs w:val="24"/>
        </w:rPr>
        <w:t>The</w:t>
      </w:r>
      <w:r w:rsidRPr="0046441F" w:rsidR="0046441F">
        <w:rPr>
          <w:rFonts w:ascii="Times New Roman" w:hAnsi="Times New Roman" w:cs="Times New Roman"/>
          <w:sz w:val="24"/>
          <w:szCs w:val="24"/>
        </w:rPr>
        <w:t xml:space="preserve"> </w:t>
      </w:r>
      <w:r w:rsidR="00522C78">
        <w:rPr>
          <w:rFonts w:ascii="Times New Roman" w:hAnsi="Times New Roman" w:cs="Times New Roman"/>
          <w:sz w:val="24"/>
          <w:szCs w:val="24"/>
        </w:rPr>
        <w:t xml:space="preserve">1,000-person </w:t>
      </w:r>
      <w:r w:rsidRPr="0046441F" w:rsidR="0046441F">
        <w:rPr>
          <w:rFonts w:ascii="Times New Roman" w:hAnsi="Times New Roman" w:cs="Times New Roman"/>
          <w:sz w:val="24"/>
          <w:szCs w:val="24"/>
        </w:rPr>
        <w:t xml:space="preserve">seeded sample is </w:t>
      </w:r>
      <w:r w:rsidR="00274AB5">
        <w:rPr>
          <w:rFonts w:ascii="Times New Roman" w:hAnsi="Times New Roman" w:cs="Times New Roman"/>
          <w:sz w:val="24"/>
          <w:szCs w:val="24"/>
        </w:rPr>
        <w:t xml:space="preserve">included </w:t>
      </w:r>
      <w:r w:rsidRPr="0046441F" w:rsidR="0046441F">
        <w:rPr>
          <w:rFonts w:ascii="Times New Roman" w:hAnsi="Times New Roman" w:cs="Times New Roman"/>
          <w:sz w:val="24"/>
          <w:szCs w:val="24"/>
        </w:rPr>
        <w:t xml:space="preserve">to </w:t>
      </w:r>
      <w:r w:rsidR="00EA4429">
        <w:rPr>
          <w:rFonts w:ascii="Times New Roman" w:hAnsi="Times New Roman" w:cs="Times New Roman"/>
          <w:sz w:val="24"/>
          <w:szCs w:val="24"/>
        </w:rPr>
        <w:t>evaluate</w:t>
      </w:r>
      <w:r w:rsidRPr="0046441F" w:rsidR="0046441F">
        <w:rPr>
          <w:rFonts w:ascii="Times New Roman" w:hAnsi="Times New Roman" w:cs="Times New Roman"/>
          <w:sz w:val="24"/>
          <w:szCs w:val="24"/>
        </w:rPr>
        <w:t xml:space="preserve"> the accuracy of the postsecondary certificate attainment item</w:t>
      </w:r>
      <w:r w:rsidR="00C341EE">
        <w:rPr>
          <w:rFonts w:ascii="Times New Roman" w:hAnsi="Times New Roman" w:cs="Times New Roman"/>
          <w:sz w:val="24"/>
          <w:szCs w:val="24"/>
        </w:rPr>
        <w:t xml:space="preserve"> </w:t>
      </w:r>
      <w:r w:rsidRPr="0046441F" w:rsidR="0046441F">
        <w:rPr>
          <w:rFonts w:ascii="Times New Roman" w:hAnsi="Times New Roman" w:cs="Times New Roman"/>
          <w:sz w:val="24"/>
          <w:szCs w:val="24"/>
        </w:rPr>
        <w:t>on the NTEWS questionnaire</w:t>
      </w:r>
      <w:r w:rsidR="00793412">
        <w:rPr>
          <w:rFonts w:ascii="Times New Roman" w:hAnsi="Times New Roman" w:cs="Times New Roman"/>
          <w:sz w:val="24"/>
          <w:szCs w:val="24"/>
        </w:rPr>
        <w:t xml:space="preserve"> (</w:t>
      </w:r>
      <w:r w:rsidR="00375FA2">
        <w:rPr>
          <w:rFonts w:ascii="Times New Roman" w:hAnsi="Times New Roman" w:cs="Times New Roman"/>
          <w:sz w:val="24"/>
          <w:szCs w:val="24"/>
        </w:rPr>
        <w:t>item</w:t>
      </w:r>
      <w:r w:rsidR="0007675E">
        <w:rPr>
          <w:rFonts w:ascii="Times New Roman" w:hAnsi="Times New Roman" w:cs="Times New Roman"/>
          <w:sz w:val="24"/>
          <w:szCs w:val="24"/>
        </w:rPr>
        <w:t xml:space="preserve"> 65</w:t>
      </w:r>
      <w:r w:rsidR="00375FA2">
        <w:rPr>
          <w:rFonts w:ascii="Times New Roman" w:hAnsi="Times New Roman" w:cs="Times New Roman"/>
          <w:sz w:val="24"/>
          <w:szCs w:val="24"/>
        </w:rPr>
        <w:t xml:space="preserve"> in </w:t>
      </w:r>
      <w:r w:rsidR="00793412">
        <w:rPr>
          <w:rFonts w:ascii="Times New Roman" w:hAnsi="Times New Roman" w:cs="Times New Roman"/>
          <w:sz w:val="24"/>
          <w:szCs w:val="24"/>
        </w:rPr>
        <w:t xml:space="preserve">Appendix </w:t>
      </w:r>
      <w:r w:rsidR="00E45B4A">
        <w:rPr>
          <w:rFonts w:ascii="Times New Roman" w:hAnsi="Times New Roman" w:cs="Times New Roman"/>
          <w:sz w:val="24"/>
          <w:szCs w:val="24"/>
        </w:rPr>
        <w:t>K</w:t>
      </w:r>
      <w:r w:rsidR="00793412">
        <w:rPr>
          <w:rFonts w:ascii="Times New Roman" w:hAnsi="Times New Roman" w:cs="Times New Roman"/>
          <w:sz w:val="24"/>
          <w:szCs w:val="24"/>
        </w:rPr>
        <w:t>)</w:t>
      </w:r>
      <w:r w:rsidRPr="0046441F" w:rsidR="0046441F">
        <w:rPr>
          <w:rFonts w:ascii="Times New Roman" w:hAnsi="Times New Roman" w:cs="Times New Roman"/>
          <w:sz w:val="24"/>
          <w:szCs w:val="24"/>
        </w:rPr>
        <w:t xml:space="preserve">. </w:t>
      </w:r>
      <w:r w:rsidR="00B740BF">
        <w:rPr>
          <w:rFonts w:ascii="Times New Roman" w:hAnsi="Times New Roman" w:cs="Times New Roman"/>
          <w:sz w:val="24"/>
          <w:szCs w:val="24"/>
        </w:rPr>
        <w:t xml:space="preserve">Data from the seeded sample are for NCSES and NCES research purposes only. Therefore, respondents from the seeded sample will not be weighted or included in publicly released NTEWS data products. </w:t>
      </w:r>
      <w:r w:rsidRPr="0046441F" w:rsidR="0046441F">
        <w:rPr>
          <w:rFonts w:ascii="Times New Roman" w:hAnsi="Times New Roman" w:cs="Times New Roman"/>
          <w:sz w:val="24"/>
          <w:szCs w:val="24"/>
        </w:rPr>
        <w:t xml:space="preserve">Because seeded sample respondents will be known certificate holders, the proportion who report </w:t>
      </w:r>
      <w:r w:rsidRPr="0046441F" w:rsidR="0046441F">
        <w:rPr>
          <w:rFonts w:ascii="Times New Roman" w:hAnsi="Times New Roman" w:cs="Times New Roman"/>
          <w:sz w:val="24"/>
          <w:szCs w:val="24"/>
        </w:rPr>
        <w:lastRenderedPageBreak/>
        <w:t xml:space="preserve">on the NTEWS that they do </w:t>
      </w:r>
      <w:r w:rsidRPr="00610072" w:rsidR="0046441F">
        <w:rPr>
          <w:rFonts w:ascii="Times New Roman" w:hAnsi="Times New Roman" w:cs="Times New Roman"/>
          <w:i/>
          <w:sz w:val="24"/>
          <w:szCs w:val="24"/>
        </w:rPr>
        <w:t>not</w:t>
      </w:r>
      <w:r w:rsidRPr="0046441F" w:rsidR="0046441F">
        <w:rPr>
          <w:rFonts w:ascii="Times New Roman" w:hAnsi="Times New Roman" w:cs="Times New Roman"/>
          <w:sz w:val="24"/>
          <w:szCs w:val="24"/>
        </w:rPr>
        <w:t xml:space="preserve"> hold a postsecondary certificate will provide an estimate of the item’s underreporting rate</w:t>
      </w:r>
      <w:r w:rsidR="00615705">
        <w:rPr>
          <w:rFonts w:ascii="Times New Roman" w:hAnsi="Times New Roman" w:cs="Times New Roman"/>
          <w:sz w:val="24"/>
          <w:szCs w:val="24"/>
        </w:rPr>
        <w:t>: the percentage of respondents who report that they do not hold a certificate when they in fact do</w:t>
      </w:r>
      <w:r w:rsidRPr="0046441F" w:rsidR="0046441F">
        <w:rPr>
          <w:rFonts w:ascii="Times New Roman" w:hAnsi="Times New Roman" w:cs="Times New Roman"/>
          <w:sz w:val="24"/>
          <w:szCs w:val="24"/>
        </w:rPr>
        <w:t xml:space="preserve">. </w:t>
      </w:r>
    </w:p>
    <w:p w:rsidR="00361938" w:rsidP="0046441F" w:rsidRDefault="007144B6" w14:paraId="04F344DD" w14:textId="2CFF527F">
      <w:pPr>
        <w:rPr>
          <w:rFonts w:ascii="Times New Roman" w:hAnsi="Times New Roman" w:cs="Times New Roman"/>
          <w:sz w:val="24"/>
          <w:szCs w:val="24"/>
        </w:rPr>
      </w:pPr>
      <w:r>
        <w:rPr>
          <w:rFonts w:ascii="Times New Roman" w:hAnsi="Times New Roman" w:cs="Times New Roman"/>
          <w:sz w:val="24"/>
          <w:szCs w:val="24"/>
        </w:rPr>
        <w:t xml:space="preserve">During the </w:t>
      </w:r>
      <w:r w:rsidR="004F5240">
        <w:rPr>
          <w:rFonts w:ascii="Times New Roman" w:hAnsi="Times New Roman" w:cs="Times New Roman"/>
          <w:sz w:val="24"/>
          <w:szCs w:val="24"/>
        </w:rPr>
        <w:t>initial development of the now-discontinued ATES module of the NHES, cognitive research found that some respondents had trouble accurately reporting whether they held a postsecondary certificate</w:t>
      </w:r>
      <w:r w:rsidR="0006000E">
        <w:rPr>
          <w:rFonts w:ascii="Times New Roman" w:hAnsi="Times New Roman" w:cs="Times New Roman"/>
          <w:sz w:val="24"/>
          <w:szCs w:val="24"/>
        </w:rPr>
        <w:t xml:space="preserve"> (Bielick et al. 2013, American Institutes for Research 2013)</w:t>
      </w:r>
      <w:r w:rsidR="004F5240">
        <w:rPr>
          <w:rFonts w:ascii="Times New Roman" w:hAnsi="Times New Roman" w:cs="Times New Roman"/>
          <w:sz w:val="24"/>
          <w:szCs w:val="24"/>
        </w:rPr>
        <w:t xml:space="preserve">. To allow for more systematic evaluation of measurement error in </w:t>
      </w:r>
      <w:r w:rsidR="00191012">
        <w:rPr>
          <w:rFonts w:ascii="Times New Roman" w:hAnsi="Times New Roman" w:cs="Times New Roman"/>
          <w:sz w:val="24"/>
          <w:szCs w:val="24"/>
        </w:rPr>
        <w:t>questionnaire items that collected postsecondary certificate data</w:t>
      </w:r>
      <w:r w:rsidR="004F5240">
        <w:rPr>
          <w:rFonts w:ascii="Times New Roman" w:hAnsi="Times New Roman" w:cs="Times New Roman"/>
          <w:sz w:val="24"/>
          <w:szCs w:val="24"/>
        </w:rPr>
        <w:t>, s</w:t>
      </w:r>
      <w:r w:rsidRPr="0046441F" w:rsidR="004F5240">
        <w:rPr>
          <w:rFonts w:ascii="Times New Roman" w:hAnsi="Times New Roman" w:cs="Times New Roman"/>
          <w:sz w:val="24"/>
          <w:szCs w:val="24"/>
        </w:rPr>
        <w:t xml:space="preserve">eeded </w:t>
      </w:r>
      <w:r w:rsidRPr="0046441F" w:rsidR="0046441F">
        <w:rPr>
          <w:rFonts w:ascii="Times New Roman" w:hAnsi="Times New Roman" w:cs="Times New Roman"/>
          <w:sz w:val="24"/>
          <w:szCs w:val="24"/>
        </w:rPr>
        <w:t>sample evaluations were conducted in</w:t>
      </w:r>
      <w:r w:rsidR="00A22C6D">
        <w:rPr>
          <w:rFonts w:ascii="Times New Roman" w:hAnsi="Times New Roman" w:cs="Times New Roman"/>
          <w:sz w:val="24"/>
          <w:szCs w:val="24"/>
        </w:rPr>
        <w:t xml:space="preserve"> </w:t>
      </w:r>
      <w:r w:rsidRPr="0046441F" w:rsidR="0046441F">
        <w:rPr>
          <w:rFonts w:ascii="Times New Roman" w:hAnsi="Times New Roman" w:cs="Times New Roman"/>
          <w:sz w:val="24"/>
          <w:szCs w:val="24"/>
        </w:rPr>
        <w:t>2010</w:t>
      </w:r>
      <w:r w:rsidR="00C46D8C">
        <w:rPr>
          <w:rFonts w:ascii="Times New Roman" w:hAnsi="Times New Roman" w:cs="Times New Roman"/>
          <w:sz w:val="24"/>
          <w:szCs w:val="24"/>
        </w:rPr>
        <w:t xml:space="preserve"> (as part of a standalone ATES pilot not incorporated into the NH</w:t>
      </w:r>
      <w:r w:rsidR="00F6702F">
        <w:rPr>
          <w:rFonts w:ascii="Times New Roman" w:hAnsi="Times New Roman" w:cs="Times New Roman"/>
          <w:sz w:val="24"/>
          <w:szCs w:val="24"/>
        </w:rPr>
        <w:t>ES</w:t>
      </w:r>
      <w:r w:rsidR="00C46D8C">
        <w:rPr>
          <w:rFonts w:ascii="Times New Roman" w:hAnsi="Times New Roman" w:cs="Times New Roman"/>
          <w:sz w:val="24"/>
          <w:szCs w:val="24"/>
        </w:rPr>
        <w:t>)</w:t>
      </w:r>
      <w:r w:rsidRPr="0046441F" w:rsidR="0046441F">
        <w:rPr>
          <w:rFonts w:ascii="Times New Roman" w:hAnsi="Times New Roman" w:cs="Times New Roman"/>
          <w:sz w:val="24"/>
          <w:szCs w:val="24"/>
        </w:rPr>
        <w:t>, 2014</w:t>
      </w:r>
      <w:r w:rsidR="00C46D8C">
        <w:rPr>
          <w:rFonts w:ascii="Times New Roman" w:hAnsi="Times New Roman" w:cs="Times New Roman"/>
          <w:sz w:val="24"/>
          <w:szCs w:val="24"/>
        </w:rPr>
        <w:t xml:space="preserve"> (as part of an NHES feasibility study)</w:t>
      </w:r>
      <w:r w:rsidRPr="0046441F" w:rsidR="0046441F">
        <w:rPr>
          <w:rFonts w:ascii="Times New Roman" w:hAnsi="Times New Roman" w:cs="Times New Roman"/>
          <w:sz w:val="24"/>
          <w:szCs w:val="24"/>
        </w:rPr>
        <w:t xml:space="preserve">, and 2016 </w:t>
      </w:r>
      <w:r w:rsidR="00C46D8C">
        <w:rPr>
          <w:rFonts w:ascii="Times New Roman" w:hAnsi="Times New Roman" w:cs="Times New Roman"/>
          <w:sz w:val="24"/>
          <w:szCs w:val="24"/>
        </w:rPr>
        <w:t>(as part of a full-scale NHES cycle)</w:t>
      </w:r>
      <w:r w:rsidRPr="0046441F" w:rsidR="0046441F">
        <w:rPr>
          <w:rFonts w:ascii="Times New Roman" w:hAnsi="Times New Roman" w:cs="Times New Roman"/>
          <w:sz w:val="24"/>
          <w:szCs w:val="24"/>
        </w:rPr>
        <w:t>.</w:t>
      </w:r>
      <w:r w:rsidR="00161375">
        <w:rPr>
          <w:rStyle w:val="FootnoteReference"/>
          <w:rFonts w:ascii="Times New Roman" w:hAnsi="Times New Roman" w:cs="Times New Roman"/>
          <w:sz w:val="24"/>
          <w:szCs w:val="24"/>
        </w:rPr>
        <w:footnoteReference w:id="7"/>
      </w:r>
      <w:r w:rsidRPr="0046441F" w:rsidR="0046441F">
        <w:rPr>
          <w:rFonts w:ascii="Times New Roman" w:hAnsi="Times New Roman" w:cs="Times New Roman"/>
          <w:sz w:val="24"/>
          <w:szCs w:val="24"/>
        </w:rPr>
        <w:t xml:space="preserve"> </w:t>
      </w:r>
      <w:r w:rsidR="00BA487E">
        <w:rPr>
          <w:rFonts w:ascii="Times New Roman" w:hAnsi="Times New Roman" w:cs="Times New Roman"/>
          <w:sz w:val="24"/>
          <w:szCs w:val="24"/>
        </w:rPr>
        <w:t>All three</w:t>
      </w:r>
      <w:r w:rsidRPr="0046441F" w:rsidR="0046441F">
        <w:rPr>
          <w:rFonts w:ascii="Times New Roman" w:hAnsi="Times New Roman" w:cs="Times New Roman"/>
          <w:sz w:val="24"/>
          <w:szCs w:val="24"/>
        </w:rPr>
        <w:t xml:space="preserve"> evaluations found consistently high </w:t>
      </w:r>
      <w:r w:rsidR="003C4436">
        <w:rPr>
          <w:rFonts w:ascii="Times New Roman" w:hAnsi="Times New Roman" w:cs="Times New Roman"/>
          <w:sz w:val="24"/>
          <w:szCs w:val="24"/>
        </w:rPr>
        <w:t xml:space="preserve">postsecondary certificate </w:t>
      </w:r>
      <w:r w:rsidRPr="0046441F" w:rsidR="0046441F">
        <w:rPr>
          <w:rFonts w:ascii="Times New Roman" w:hAnsi="Times New Roman" w:cs="Times New Roman"/>
          <w:sz w:val="24"/>
          <w:szCs w:val="24"/>
        </w:rPr>
        <w:t xml:space="preserve">underreporting rates </w:t>
      </w:r>
      <w:r w:rsidR="0048276E">
        <w:rPr>
          <w:rFonts w:ascii="Times New Roman" w:hAnsi="Times New Roman" w:cs="Times New Roman"/>
          <w:sz w:val="24"/>
          <w:szCs w:val="24"/>
        </w:rPr>
        <w:t>(Bielick et al. 2013; Jackson, McQuiggan, &amp; Megra 2016; Megra &amp; Cronen 2017)</w:t>
      </w:r>
      <w:r w:rsidRPr="0046441F" w:rsidR="0046441F">
        <w:rPr>
          <w:rFonts w:ascii="Times New Roman" w:hAnsi="Times New Roman" w:cs="Times New Roman"/>
          <w:sz w:val="24"/>
          <w:szCs w:val="24"/>
        </w:rPr>
        <w:t xml:space="preserve">, leading to continued revisions </w:t>
      </w:r>
      <w:r w:rsidR="00BA5E2F">
        <w:rPr>
          <w:rFonts w:ascii="Times New Roman" w:hAnsi="Times New Roman" w:cs="Times New Roman"/>
          <w:sz w:val="24"/>
          <w:szCs w:val="24"/>
        </w:rPr>
        <w:t xml:space="preserve">and cognitive testing </w:t>
      </w:r>
      <w:r w:rsidRPr="0046441F" w:rsidR="0046441F">
        <w:rPr>
          <w:rFonts w:ascii="Times New Roman" w:hAnsi="Times New Roman" w:cs="Times New Roman"/>
          <w:sz w:val="24"/>
          <w:szCs w:val="24"/>
        </w:rPr>
        <w:t xml:space="preserve">of </w:t>
      </w:r>
      <w:r w:rsidR="00ED2741">
        <w:rPr>
          <w:rFonts w:ascii="Times New Roman" w:hAnsi="Times New Roman" w:cs="Times New Roman"/>
          <w:sz w:val="24"/>
          <w:szCs w:val="24"/>
        </w:rPr>
        <w:t>the postsecondary certificate questionnaire</w:t>
      </w:r>
      <w:r w:rsidRPr="0046441F" w:rsidR="00ED2741">
        <w:rPr>
          <w:rFonts w:ascii="Times New Roman" w:hAnsi="Times New Roman" w:cs="Times New Roman"/>
          <w:sz w:val="24"/>
          <w:szCs w:val="24"/>
        </w:rPr>
        <w:t xml:space="preserve"> </w:t>
      </w:r>
      <w:r w:rsidRPr="0046441F" w:rsidR="0046441F">
        <w:rPr>
          <w:rFonts w:ascii="Times New Roman" w:hAnsi="Times New Roman" w:cs="Times New Roman"/>
          <w:sz w:val="24"/>
          <w:szCs w:val="24"/>
        </w:rPr>
        <w:t>item</w:t>
      </w:r>
      <w:r w:rsidR="00ED2741">
        <w:rPr>
          <w:rFonts w:ascii="Times New Roman" w:hAnsi="Times New Roman" w:cs="Times New Roman"/>
          <w:sz w:val="24"/>
          <w:szCs w:val="24"/>
        </w:rPr>
        <w:t>s</w:t>
      </w:r>
      <w:r w:rsidRPr="0046441F" w:rsidR="0046441F">
        <w:rPr>
          <w:rFonts w:ascii="Times New Roman" w:hAnsi="Times New Roman" w:cs="Times New Roman"/>
          <w:sz w:val="24"/>
          <w:szCs w:val="24"/>
        </w:rPr>
        <w:t xml:space="preserve">. </w:t>
      </w:r>
    </w:p>
    <w:p w:rsidR="00135278" w:rsidP="0046441F" w:rsidRDefault="007D73DE" w14:paraId="78F9BEA3" w14:textId="5E5AF5BA">
      <w:pPr>
        <w:rPr>
          <w:rFonts w:ascii="Times New Roman" w:hAnsi="Times New Roman" w:cs="Times New Roman"/>
          <w:sz w:val="24"/>
          <w:szCs w:val="24"/>
        </w:rPr>
      </w:pPr>
      <w:r>
        <w:rPr>
          <w:rFonts w:ascii="Times New Roman" w:hAnsi="Times New Roman" w:cs="Times New Roman"/>
          <w:sz w:val="24"/>
          <w:szCs w:val="24"/>
        </w:rPr>
        <w:t>Based on this prior research,</w:t>
      </w:r>
      <w:r w:rsidR="00ED2741">
        <w:rPr>
          <w:rFonts w:ascii="Times New Roman" w:hAnsi="Times New Roman" w:cs="Times New Roman"/>
          <w:sz w:val="24"/>
          <w:szCs w:val="24"/>
        </w:rPr>
        <w:t xml:space="preserve"> and recent rounds of cognitive testing in preparation for the initial NTEWS cycle,</w:t>
      </w:r>
      <w:r>
        <w:rPr>
          <w:rFonts w:ascii="Times New Roman" w:hAnsi="Times New Roman" w:cs="Times New Roman"/>
          <w:sz w:val="24"/>
          <w:szCs w:val="24"/>
        </w:rPr>
        <w:t xml:space="preserve"> the </w:t>
      </w:r>
      <w:r w:rsidR="00B93EE7">
        <w:rPr>
          <w:rFonts w:ascii="Times New Roman" w:hAnsi="Times New Roman" w:cs="Times New Roman"/>
          <w:sz w:val="24"/>
          <w:szCs w:val="24"/>
        </w:rPr>
        <w:t>postsecondary certificate items</w:t>
      </w:r>
      <w:r>
        <w:rPr>
          <w:rFonts w:ascii="Times New Roman" w:hAnsi="Times New Roman" w:cs="Times New Roman"/>
          <w:sz w:val="24"/>
          <w:szCs w:val="24"/>
        </w:rPr>
        <w:t xml:space="preserve"> on the NTEWS instrument incorporate </w:t>
      </w:r>
      <w:r w:rsidR="00245DB7">
        <w:rPr>
          <w:rFonts w:ascii="Times New Roman" w:hAnsi="Times New Roman" w:cs="Times New Roman"/>
          <w:sz w:val="24"/>
          <w:szCs w:val="24"/>
        </w:rPr>
        <w:t>two</w:t>
      </w:r>
      <w:r>
        <w:rPr>
          <w:rFonts w:ascii="Times New Roman" w:hAnsi="Times New Roman" w:cs="Times New Roman"/>
          <w:sz w:val="24"/>
          <w:szCs w:val="24"/>
        </w:rPr>
        <w:t xml:space="preserve"> major revisions </w:t>
      </w:r>
      <w:r w:rsidR="0011774A">
        <w:rPr>
          <w:rFonts w:ascii="Times New Roman" w:hAnsi="Times New Roman" w:cs="Times New Roman"/>
          <w:sz w:val="24"/>
          <w:szCs w:val="24"/>
        </w:rPr>
        <w:t>designed to reduce underreporting</w:t>
      </w:r>
      <w:r w:rsidR="00245DB7">
        <w:rPr>
          <w:rFonts w:ascii="Times New Roman" w:hAnsi="Times New Roman" w:cs="Times New Roman"/>
          <w:sz w:val="24"/>
          <w:szCs w:val="24"/>
        </w:rPr>
        <w:t>:</w:t>
      </w:r>
      <w:r w:rsidR="00DF5720">
        <w:rPr>
          <w:rFonts w:ascii="Times New Roman" w:hAnsi="Times New Roman" w:cs="Times New Roman"/>
          <w:sz w:val="24"/>
          <w:szCs w:val="24"/>
        </w:rPr>
        <w:t xml:space="preserve"> the </w:t>
      </w:r>
      <w:r w:rsidR="004D0FA2">
        <w:rPr>
          <w:rFonts w:ascii="Times New Roman" w:hAnsi="Times New Roman" w:cs="Times New Roman"/>
          <w:sz w:val="24"/>
          <w:szCs w:val="24"/>
        </w:rPr>
        <w:t>main</w:t>
      </w:r>
      <w:r w:rsidR="00880BA8">
        <w:rPr>
          <w:rFonts w:ascii="Times New Roman" w:hAnsi="Times New Roman" w:cs="Times New Roman"/>
          <w:sz w:val="24"/>
          <w:szCs w:val="24"/>
        </w:rPr>
        <w:t xml:space="preserve"> postsecondary</w:t>
      </w:r>
      <w:r w:rsidR="004D0FA2">
        <w:rPr>
          <w:rFonts w:ascii="Times New Roman" w:hAnsi="Times New Roman" w:cs="Times New Roman"/>
          <w:sz w:val="24"/>
          <w:szCs w:val="24"/>
        </w:rPr>
        <w:t xml:space="preserve"> </w:t>
      </w:r>
      <w:r w:rsidR="00880BA8">
        <w:rPr>
          <w:rFonts w:ascii="Times New Roman" w:hAnsi="Times New Roman" w:cs="Times New Roman"/>
          <w:sz w:val="24"/>
          <w:szCs w:val="24"/>
        </w:rPr>
        <w:t xml:space="preserve">certificate </w:t>
      </w:r>
      <w:r w:rsidR="00DF5720">
        <w:rPr>
          <w:rFonts w:ascii="Times New Roman" w:hAnsi="Times New Roman" w:cs="Times New Roman"/>
          <w:sz w:val="24"/>
          <w:szCs w:val="24"/>
        </w:rPr>
        <w:t xml:space="preserve">question wording </w:t>
      </w:r>
      <w:r w:rsidR="001C52D2">
        <w:rPr>
          <w:rFonts w:ascii="Times New Roman" w:hAnsi="Times New Roman" w:cs="Times New Roman"/>
          <w:sz w:val="24"/>
          <w:szCs w:val="24"/>
        </w:rPr>
        <w:t xml:space="preserve">has been </w:t>
      </w:r>
      <w:r w:rsidR="00DF5720">
        <w:rPr>
          <w:rFonts w:ascii="Times New Roman" w:hAnsi="Times New Roman" w:cs="Times New Roman"/>
          <w:sz w:val="24"/>
          <w:szCs w:val="24"/>
        </w:rPr>
        <w:t xml:space="preserve">simplified, and the </w:t>
      </w:r>
      <w:r w:rsidR="00636121">
        <w:rPr>
          <w:rFonts w:ascii="Times New Roman" w:hAnsi="Times New Roman" w:cs="Times New Roman"/>
          <w:sz w:val="24"/>
          <w:szCs w:val="24"/>
        </w:rPr>
        <w:t xml:space="preserve">postsecondary certificate items are </w:t>
      </w:r>
      <w:r w:rsidR="00DF5720">
        <w:rPr>
          <w:rFonts w:ascii="Times New Roman" w:hAnsi="Times New Roman" w:cs="Times New Roman"/>
          <w:sz w:val="24"/>
          <w:szCs w:val="24"/>
        </w:rPr>
        <w:t xml:space="preserve">now </w:t>
      </w:r>
      <w:r w:rsidR="00636121">
        <w:rPr>
          <w:rFonts w:ascii="Times New Roman" w:hAnsi="Times New Roman" w:cs="Times New Roman"/>
          <w:sz w:val="24"/>
          <w:szCs w:val="24"/>
        </w:rPr>
        <w:t xml:space="preserve">positioned </w:t>
      </w:r>
      <w:r w:rsidR="00DF5720">
        <w:rPr>
          <w:rFonts w:ascii="Times New Roman" w:hAnsi="Times New Roman" w:cs="Times New Roman"/>
          <w:sz w:val="24"/>
          <w:szCs w:val="24"/>
        </w:rPr>
        <w:t xml:space="preserve">immediately after </w:t>
      </w:r>
      <w:r w:rsidR="00636121">
        <w:rPr>
          <w:rFonts w:ascii="Times New Roman" w:hAnsi="Times New Roman" w:cs="Times New Roman"/>
          <w:sz w:val="24"/>
          <w:szCs w:val="24"/>
        </w:rPr>
        <w:t>the educational attainment section (whereas,</w:t>
      </w:r>
      <w:r w:rsidR="00DF5720">
        <w:rPr>
          <w:rFonts w:ascii="Times New Roman" w:hAnsi="Times New Roman" w:cs="Times New Roman"/>
          <w:sz w:val="24"/>
          <w:szCs w:val="24"/>
        </w:rPr>
        <w:t xml:space="preserve"> in the ATES</w:t>
      </w:r>
      <w:r w:rsidR="00636121">
        <w:rPr>
          <w:rFonts w:ascii="Times New Roman" w:hAnsi="Times New Roman" w:cs="Times New Roman"/>
          <w:sz w:val="24"/>
          <w:szCs w:val="24"/>
        </w:rPr>
        <w:t>,</w:t>
      </w:r>
      <w:r w:rsidR="00DF5720">
        <w:rPr>
          <w:rFonts w:ascii="Times New Roman" w:hAnsi="Times New Roman" w:cs="Times New Roman"/>
          <w:sz w:val="24"/>
          <w:szCs w:val="24"/>
        </w:rPr>
        <w:t xml:space="preserve"> </w:t>
      </w:r>
      <w:r w:rsidR="00636121">
        <w:rPr>
          <w:rFonts w:ascii="Times New Roman" w:hAnsi="Times New Roman" w:cs="Times New Roman"/>
          <w:sz w:val="24"/>
          <w:szCs w:val="24"/>
        </w:rPr>
        <w:t xml:space="preserve">these items were </w:t>
      </w:r>
      <w:r w:rsidR="0097424C">
        <w:rPr>
          <w:rFonts w:ascii="Times New Roman" w:hAnsi="Times New Roman" w:cs="Times New Roman"/>
          <w:sz w:val="24"/>
          <w:szCs w:val="24"/>
        </w:rPr>
        <w:t>separated from the educational attainment section</w:t>
      </w:r>
      <w:r w:rsidR="00B56F3C">
        <w:rPr>
          <w:rFonts w:ascii="Times New Roman" w:hAnsi="Times New Roman" w:cs="Times New Roman"/>
          <w:sz w:val="24"/>
          <w:szCs w:val="24"/>
        </w:rPr>
        <w:t>)</w:t>
      </w:r>
      <w:r w:rsidR="00DF5720">
        <w:rPr>
          <w:rFonts w:ascii="Times New Roman" w:hAnsi="Times New Roman" w:cs="Times New Roman"/>
          <w:sz w:val="24"/>
          <w:szCs w:val="24"/>
        </w:rPr>
        <w:t xml:space="preserve">. </w:t>
      </w:r>
    </w:p>
    <w:p w:rsidR="00EF5D91" w:rsidP="0046441F" w:rsidRDefault="00135278" w14:paraId="4BC50E00" w14:textId="68A16BCA">
      <w:pPr>
        <w:rPr>
          <w:rFonts w:ascii="Times New Roman" w:hAnsi="Times New Roman" w:cs="Times New Roman"/>
          <w:sz w:val="24"/>
          <w:szCs w:val="24"/>
        </w:rPr>
      </w:pPr>
      <w:r>
        <w:rPr>
          <w:rFonts w:ascii="Times New Roman" w:hAnsi="Times New Roman" w:cs="Times New Roman"/>
          <w:sz w:val="24"/>
          <w:szCs w:val="24"/>
        </w:rPr>
        <w:t xml:space="preserve">Therefore, the initial cycle of the NTEWS will incorporate a seeded sample of known certificate holders to evaluate whether </w:t>
      </w:r>
      <w:r w:rsidR="0041769A">
        <w:rPr>
          <w:rFonts w:ascii="Times New Roman" w:hAnsi="Times New Roman" w:cs="Times New Roman"/>
          <w:sz w:val="24"/>
          <w:szCs w:val="24"/>
        </w:rPr>
        <w:t>this</w:t>
      </w:r>
      <w:r>
        <w:rPr>
          <w:rFonts w:ascii="Times New Roman" w:hAnsi="Times New Roman" w:cs="Times New Roman"/>
          <w:sz w:val="24"/>
          <w:szCs w:val="24"/>
        </w:rPr>
        <w:t xml:space="preserve"> </w:t>
      </w:r>
      <w:r w:rsidR="00374054">
        <w:rPr>
          <w:rFonts w:ascii="Times New Roman" w:hAnsi="Times New Roman" w:cs="Times New Roman"/>
          <w:sz w:val="24"/>
          <w:szCs w:val="24"/>
        </w:rPr>
        <w:t xml:space="preserve">most recent revision </w:t>
      </w:r>
      <w:r w:rsidR="0041769A">
        <w:rPr>
          <w:rFonts w:ascii="Times New Roman" w:hAnsi="Times New Roman" w:cs="Times New Roman"/>
          <w:sz w:val="24"/>
          <w:szCs w:val="24"/>
        </w:rPr>
        <w:t>of</w:t>
      </w:r>
      <w:r w:rsidR="00374054">
        <w:rPr>
          <w:rFonts w:ascii="Times New Roman" w:hAnsi="Times New Roman" w:cs="Times New Roman"/>
          <w:sz w:val="24"/>
          <w:szCs w:val="24"/>
        </w:rPr>
        <w:t xml:space="preserve"> the</w:t>
      </w:r>
      <w:r w:rsidR="009857A4">
        <w:rPr>
          <w:rFonts w:ascii="Times New Roman" w:hAnsi="Times New Roman" w:cs="Times New Roman"/>
          <w:sz w:val="24"/>
          <w:szCs w:val="24"/>
        </w:rPr>
        <w:t xml:space="preserve"> postsecondary certificate questionnaire</w:t>
      </w:r>
      <w:r w:rsidR="00374054">
        <w:rPr>
          <w:rFonts w:ascii="Times New Roman" w:hAnsi="Times New Roman" w:cs="Times New Roman"/>
          <w:sz w:val="24"/>
          <w:szCs w:val="24"/>
        </w:rPr>
        <w:t xml:space="preserve"> item</w:t>
      </w:r>
      <w:r w:rsidR="009857A4">
        <w:rPr>
          <w:rFonts w:ascii="Times New Roman" w:hAnsi="Times New Roman" w:cs="Times New Roman"/>
          <w:sz w:val="24"/>
          <w:szCs w:val="24"/>
        </w:rPr>
        <w:t>s</w:t>
      </w:r>
      <w:r w:rsidR="00374054">
        <w:rPr>
          <w:rFonts w:ascii="Times New Roman" w:hAnsi="Times New Roman" w:cs="Times New Roman"/>
          <w:sz w:val="24"/>
          <w:szCs w:val="24"/>
        </w:rPr>
        <w:t xml:space="preserve"> </w:t>
      </w:r>
      <w:r w:rsidR="0077631C">
        <w:rPr>
          <w:rFonts w:ascii="Times New Roman" w:hAnsi="Times New Roman" w:cs="Times New Roman"/>
          <w:sz w:val="24"/>
          <w:szCs w:val="24"/>
        </w:rPr>
        <w:t>succeeded at mitigating</w:t>
      </w:r>
      <w:r w:rsidR="00374054">
        <w:rPr>
          <w:rFonts w:ascii="Times New Roman" w:hAnsi="Times New Roman" w:cs="Times New Roman"/>
          <w:sz w:val="24"/>
          <w:szCs w:val="24"/>
        </w:rPr>
        <w:t xml:space="preserve"> </w:t>
      </w:r>
      <w:r w:rsidR="009857A4">
        <w:rPr>
          <w:rFonts w:ascii="Times New Roman" w:hAnsi="Times New Roman" w:cs="Times New Roman"/>
          <w:sz w:val="24"/>
          <w:szCs w:val="24"/>
        </w:rPr>
        <w:t>the underreporting that had existed in the ATES</w:t>
      </w:r>
      <w:r>
        <w:rPr>
          <w:rFonts w:ascii="Times New Roman" w:hAnsi="Times New Roman" w:cs="Times New Roman"/>
          <w:sz w:val="24"/>
          <w:szCs w:val="24"/>
        </w:rPr>
        <w:t xml:space="preserve">. </w:t>
      </w:r>
      <w:r w:rsidR="00901DE2">
        <w:rPr>
          <w:rFonts w:ascii="Times New Roman" w:hAnsi="Times New Roman" w:cs="Times New Roman"/>
          <w:sz w:val="24"/>
          <w:szCs w:val="24"/>
        </w:rPr>
        <w:t xml:space="preserve"> </w:t>
      </w:r>
    </w:p>
    <w:p w:rsidRPr="00F62B79" w:rsidR="0046441F" w:rsidP="0046441F" w:rsidRDefault="00067136" w14:paraId="66C5BDC1" w14:textId="57162D42">
      <w:pPr>
        <w:rPr>
          <w:rFonts w:ascii="Times New Roman" w:hAnsi="Times New Roman" w:cs="Times New Roman"/>
          <w:sz w:val="24"/>
          <w:szCs w:val="24"/>
        </w:rPr>
      </w:pPr>
      <w:r>
        <w:rPr>
          <w:rFonts w:ascii="Times New Roman" w:hAnsi="Times New Roman" w:cs="Times New Roman"/>
          <w:sz w:val="24"/>
          <w:szCs w:val="24"/>
        </w:rPr>
        <w:t xml:space="preserve">Shortly after data collection is complete, NCSES will </w:t>
      </w:r>
      <w:r w:rsidR="00C6561E">
        <w:rPr>
          <w:rFonts w:ascii="Times New Roman" w:hAnsi="Times New Roman" w:cs="Times New Roman"/>
          <w:sz w:val="24"/>
          <w:szCs w:val="24"/>
        </w:rPr>
        <w:t>analyze</w:t>
      </w:r>
      <w:r>
        <w:rPr>
          <w:rFonts w:ascii="Times New Roman" w:hAnsi="Times New Roman" w:cs="Times New Roman"/>
          <w:sz w:val="24"/>
          <w:szCs w:val="24"/>
        </w:rPr>
        <w:t xml:space="preserve"> the </w:t>
      </w:r>
      <w:r w:rsidR="00F13B38">
        <w:rPr>
          <w:rFonts w:ascii="Times New Roman" w:hAnsi="Times New Roman" w:cs="Times New Roman"/>
          <w:sz w:val="24"/>
          <w:szCs w:val="24"/>
        </w:rPr>
        <w:t>seeded sample results</w:t>
      </w:r>
      <w:r>
        <w:rPr>
          <w:rFonts w:ascii="Times New Roman" w:hAnsi="Times New Roman" w:cs="Times New Roman"/>
          <w:sz w:val="24"/>
          <w:szCs w:val="24"/>
        </w:rPr>
        <w:t xml:space="preserve"> to determine whether the </w:t>
      </w:r>
      <w:r w:rsidR="00277E2F">
        <w:rPr>
          <w:rFonts w:ascii="Times New Roman" w:hAnsi="Times New Roman" w:cs="Times New Roman"/>
          <w:sz w:val="24"/>
          <w:szCs w:val="24"/>
        </w:rPr>
        <w:t xml:space="preserve">postsecondary </w:t>
      </w:r>
      <w:r>
        <w:rPr>
          <w:rFonts w:ascii="Times New Roman" w:hAnsi="Times New Roman" w:cs="Times New Roman"/>
          <w:sz w:val="24"/>
          <w:szCs w:val="24"/>
        </w:rPr>
        <w:t xml:space="preserve">certificate data are of sufficient quality for </w:t>
      </w:r>
      <w:r w:rsidR="00BF46D2">
        <w:rPr>
          <w:rFonts w:ascii="Times New Roman" w:hAnsi="Times New Roman" w:cs="Times New Roman"/>
          <w:sz w:val="24"/>
          <w:szCs w:val="24"/>
        </w:rPr>
        <w:t>inclusion in NTEWS data products</w:t>
      </w:r>
      <w:r>
        <w:rPr>
          <w:rFonts w:ascii="Times New Roman" w:hAnsi="Times New Roman" w:cs="Times New Roman"/>
          <w:sz w:val="24"/>
          <w:szCs w:val="24"/>
        </w:rPr>
        <w:t>, and whether further revisions to the</w:t>
      </w:r>
      <w:r w:rsidR="003A227E">
        <w:rPr>
          <w:rFonts w:ascii="Times New Roman" w:hAnsi="Times New Roman" w:cs="Times New Roman"/>
          <w:sz w:val="24"/>
          <w:szCs w:val="24"/>
        </w:rPr>
        <w:t xml:space="preserve"> postsecondary certificate </w:t>
      </w:r>
      <w:r>
        <w:rPr>
          <w:rFonts w:ascii="Times New Roman" w:hAnsi="Times New Roman" w:cs="Times New Roman"/>
          <w:sz w:val="24"/>
          <w:szCs w:val="24"/>
        </w:rPr>
        <w:t>item</w:t>
      </w:r>
      <w:r w:rsidR="003B4F40">
        <w:rPr>
          <w:rFonts w:ascii="Times New Roman" w:hAnsi="Times New Roman" w:cs="Times New Roman"/>
          <w:sz w:val="24"/>
          <w:szCs w:val="24"/>
        </w:rPr>
        <w:t>s</w:t>
      </w:r>
      <w:r>
        <w:rPr>
          <w:rFonts w:ascii="Times New Roman" w:hAnsi="Times New Roman" w:cs="Times New Roman"/>
          <w:sz w:val="24"/>
          <w:szCs w:val="24"/>
        </w:rPr>
        <w:t xml:space="preserve"> are required for future NTEWS cycles.</w:t>
      </w:r>
      <w:r w:rsidR="00F620A8">
        <w:rPr>
          <w:rFonts w:ascii="Times New Roman" w:hAnsi="Times New Roman" w:cs="Times New Roman"/>
          <w:sz w:val="24"/>
          <w:szCs w:val="24"/>
        </w:rPr>
        <w:t xml:space="preserve"> NCSES will use prior ATES seeded sample results as a benchmark to determine whether the revisions to the postsecondary certificate item decreased the underreporting rate relative to prior versions. NCSES will also conduct a literature review to determine whether extant literature suggests an appropriate “cut-off” for </w:t>
      </w:r>
      <w:r w:rsidR="00737CDB">
        <w:rPr>
          <w:rFonts w:ascii="Times New Roman" w:hAnsi="Times New Roman" w:cs="Times New Roman"/>
          <w:sz w:val="24"/>
          <w:szCs w:val="24"/>
        </w:rPr>
        <w:t>an</w:t>
      </w:r>
      <w:r w:rsidR="00F620A8">
        <w:rPr>
          <w:rFonts w:ascii="Times New Roman" w:hAnsi="Times New Roman" w:cs="Times New Roman"/>
          <w:sz w:val="24"/>
          <w:szCs w:val="24"/>
        </w:rPr>
        <w:t xml:space="preserve"> acceptable amount of underreporting error.</w:t>
      </w:r>
    </w:p>
    <w:p w:rsidR="00C01E82" w:rsidP="008B5C08" w:rsidRDefault="007818DC" w14:paraId="0273B334" w14:textId="3B611078">
      <w:pPr>
        <w:rPr>
          <w:rFonts w:ascii="Times New Roman" w:hAnsi="Times New Roman" w:cs="Times New Roman"/>
          <w:sz w:val="24"/>
          <w:szCs w:val="24"/>
        </w:rPr>
      </w:pPr>
      <w:r>
        <w:rPr>
          <w:rFonts w:ascii="Times New Roman" w:hAnsi="Times New Roman" w:cs="Times New Roman"/>
          <w:i/>
          <w:sz w:val="24"/>
          <w:szCs w:val="24"/>
        </w:rPr>
        <w:t>5</w:t>
      </w:r>
      <w:r w:rsidR="00F62B79">
        <w:rPr>
          <w:rFonts w:ascii="Times New Roman" w:hAnsi="Times New Roman" w:cs="Times New Roman"/>
          <w:i/>
          <w:sz w:val="24"/>
          <w:szCs w:val="24"/>
        </w:rPr>
        <w:t xml:space="preserve">.2. </w:t>
      </w:r>
      <w:r w:rsidR="0002615A">
        <w:rPr>
          <w:rFonts w:ascii="Times New Roman" w:hAnsi="Times New Roman" w:cs="Times New Roman"/>
          <w:i/>
          <w:sz w:val="24"/>
          <w:szCs w:val="24"/>
        </w:rPr>
        <w:t>Data sources</w:t>
      </w:r>
    </w:p>
    <w:p w:rsidR="00D91A30" w:rsidP="008B5C08" w:rsidRDefault="006710BE" w14:paraId="27BB7AC7" w14:textId="2205E71F">
      <w:pPr>
        <w:rPr>
          <w:rFonts w:ascii="Times New Roman" w:hAnsi="Times New Roman" w:cs="Times New Roman"/>
          <w:sz w:val="24"/>
          <w:szCs w:val="24"/>
        </w:rPr>
      </w:pPr>
      <w:r>
        <w:rPr>
          <w:rFonts w:ascii="Times New Roman" w:hAnsi="Times New Roman" w:cs="Times New Roman"/>
          <w:sz w:val="24"/>
          <w:szCs w:val="24"/>
        </w:rPr>
        <w:t>Building on</w:t>
      </w:r>
      <w:r w:rsidR="00F76AC9">
        <w:rPr>
          <w:rFonts w:ascii="Times New Roman" w:hAnsi="Times New Roman" w:cs="Times New Roman"/>
          <w:sz w:val="24"/>
          <w:szCs w:val="24"/>
        </w:rPr>
        <w:t xml:space="preserve"> previous experience conducting seeded sample research in ATES cycles, </w:t>
      </w:r>
      <w:r w:rsidR="005B64B8">
        <w:rPr>
          <w:rFonts w:ascii="Times New Roman" w:hAnsi="Times New Roman" w:cs="Times New Roman"/>
          <w:sz w:val="24"/>
          <w:szCs w:val="24"/>
        </w:rPr>
        <w:t xml:space="preserve">NCES </w:t>
      </w:r>
      <w:r w:rsidR="00FB5A39">
        <w:rPr>
          <w:rFonts w:ascii="Times New Roman" w:hAnsi="Times New Roman" w:cs="Times New Roman"/>
          <w:sz w:val="24"/>
          <w:szCs w:val="24"/>
        </w:rPr>
        <w:t>obtain</w:t>
      </w:r>
      <w:r w:rsidR="006E37BB">
        <w:rPr>
          <w:rFonts w:ascii="Times New Roman" w:hAnsi="Times New Roman" w:cs="Times New Roman"/>
          <w:sz w:val="24"/>
          <w:szCs w:val="24"/>
        </w:rPr>
        <w:t>ed</w:t>
      </w:r>
      <w:r w:rsidR="00FB5A39">
        <w:rPr>
          <w:rFonts w:ascii="Times New Roman" w:hAnsi="Times New Roman" w:cs="Times New Roman"/>
          <w:sz w:val="24"/>
          <w:szCs w:val="24"/>
        </w:rPr>
        <w:t xml:space="preserve"> lists of </w:t>
      </w:r>
      <w:r w:rsidR="00953BC1">
        <w:rPr>
          <w:rFonts w:ascii="Times New Roman" w:hAnsi="Times New Roman" w:cs="Times New Roman"/>
          <w:sz w:val="24"/>
          <w:szCs w:val="24"/>
        </w:rPr>
        <w:t xml:space="preserve">recent </w:t>
      </w:r>
      <w:r w:rsidR="003452B9">
        <w:rPr>
          <w:rFonts w:ascii="Times New Roman" w:hAnsi="Times New Roman" w:cs="Times New Roman"/>
          <w:sz w:val="24"/>
          <w:szCs w:val="24"/>
        </w:rPr>
        <w:t xml:space="preserve">postsecondary </w:t>
      </w:r>
      <w:r w:rsidR="00FB5A39">
        <w:rPr>
          <w:rFonts w:ascii="Times New Roman" w:hAnsi="Times New Roman" w:cs="Times New Roman"/>
          <w:sz w:val="24"/>
          <w:szCs w:val="24"/>
        </w:rPr>
        <w:t>certificate awardees</w:t>
      </w:r>
      <w:r w:rsidR="00F2074C">
        <w:rPr>
          <w:rFonts w:ascii="Times New Roman" w:hAnsi="Times New Roman" w:cs="Times New Roman"/>
          <w:sz w:val="24"/>
          <w:szCs w:val="24"/>
        </w:rPr>
        <w:t>,</w:t>
      </w:r>
      <w:r w:rsidR="001B29AB">
        <w:rPr>
          <w:rFonts w:ascii="Times New Roman" w:hAnsi="Times New Roman" w:cs="Times New Roman"/>
          <w:sz w:val="24"/>
          <w:szCs w:val="24"/>
        </w:rPr>
        <w:t xml:space="preserve"> with the necessary contact information</w:t>
      </w:r>
      <w:r w:rsidR="001713AD">
        <w:rPr>
          <w:rFonts w:ascii="Times New Roman" w:hAnsi="Times New Roman" w:cs="Times New Roman"/>
          <w:sz w:val="24"/>
          <w:szCs w:val="24"/>
        </w:rPr>
        <w:t xml:space="preserve"> for sampling</w:t>
      </w:r>
      <w:r w:rsidR="00F2074C">
        <w:rPr>
          <w:rFonts w:ascii="Times New Roman" w:hAnsi="Times New Roman" w:cs="Times New Roman"/>
          <w:sz w:val="24"/>
          <w:szCs w:val="24"/>
        </w:rPr>
        <w:t>,</w:t>
      </w:r>
      <w:r w:rsidR="006E37BB">
        <w:rPr>
          <w:rFonts w:ascii="Times New Roman" w:hAnsi="Times New Roman" w:cs="Times New Roman"/>
          <w:sz w:val="24"/>
          <w:szCs w:val="24"/>
        </w:rPr>
        <w:t xml:space="preserve"> from three </w:t>
      </w:r>
      <w:r w:rsidR="002764AD">
        <w:rPr>
          <w:rFonts w:ascii="Times New Roman" w:hAnsi="Times New Roman" w:cs="Times New Roman"/>
          <w:sz w:val="24"/>
          <w:szCs w:val="24"/>
        </w:rPr>
        <w:t>public community</w:t>
      </w:r>
      <w:r w:rsidR="00423454">
        <w:rPr>
          <w:rFonts w:ascii="Times New Roman" w:hAnsi="Times New Roman" w:cs="Times New Roman"/>
          <w:sz w:val="24"/>
          <w:szCs w:val="24"/>
        </w:rPr>
        <w:t>/technical</w:t>
      </w:r>
      <w:r w:rsidR="002764AD">
        <w:rPr>
          <w:rFonts w:ascii="Times New Roman" w:hAnsi="Times New Roman" w:cs="Times New Roman"/>
          <w:sz w:val="24"/>
          <w:szCs w:val="24"/>
        </w:rPr>
        <w:t xml:space="preserve"> </w:t>
      </w:r>
      <w:r w:rsidR="006E37BB">
        <w:rPr>
          <w:rFonts w:ascii="Times New Roman" w:hAnsi="Times New Roman" w:cs="Times New Roman"/>
          <w:sz w:val="24"/>
          <w:szCs w:val="24"/>
        </w:rPr>
        <w:t>college systems and one community college</w:t>
      </w:r>
      <w:r w:rsidR="002764AD">
        <w:rPr>
          <w:rFonts w:ascii="Times New Roman" w:hAnsi="Times New Roman" w:cs="Times New Roman"/>
          <w:sz w:val="24"/>
          <w:szCs w:val="24"/>
        </w:rPr>
        <w:t xml:space="preserve">. </w:t>
      </w:r>
    </w:p>
    <w:p w:rsidR="003001E9" w:rsidP="008B5C08" w:rsidRDefault="004162FC" w14:paraId="3AAA4972" w14:textId="46E35B72">
      <w:pPr>
        <w:rPr>
          <w:rFonts w:ascii="Times New Roman" w:hAnsi="Times New Roman" w:cs="Times New Roman"/>
          <w:sz w:val="24"/>
          <w:szCs w:val="24"/>
        </w:rPr>
      </w:pPr>
      <w:r>
        <w:rPr>
          <w:rFonts w:ascii="Times New Roman" w:hAnsi="Times New Roman" w:cs="Times New Roman"/>
          <w:sz w:val="24"/>
          <w:szCs w:val="24"/>
        </w:rPr>
        <w:lastRenderedPageBreak/>
        <w:t xml:space="preserve">These lists will </w:t>
      </w:r>
      <w:r w:rsidR="007A0EBA">
        <w:rPr>
          <w:rFonts w:ascii="Times New Roman" w:hAnsi="Times New Roman" w:cs="Times New Roman"/>
          <w:sz w:val="24"/>
          <w:szCs w:val="24"/>
        </w:rPr>
        <w:t xml:space="preserve">form the </w:t>
      </w:r>
      <w:r w:rsidR="00B5194D">
        <w:rPr>
          <w:rFonts w:ascii="Times New Roman" w:hAnsi="Times New Roman" w:cs="Times New Roman"/>
          <w:sz w:val="24"/>
          <w:szCs w:val="24"/>
        </w:rPr>
        <w:t>frame from which the</w:t>
      </w:r>
      <w:r w:rsidR="004F4B6F">
        <w:rPr>
          <w:rFonts w:ascii="Times New Roman" w:hAnsi="Times New Roman" w:cs="Times New Roman"/>
          <w:sz w:val="24"/>
          <w:szCs w:val="24"/>
        </w:rPr>
        <w:t xml:space="preserve"> 1,000-person</w:t>
      </w:r>
      <w:r w:rsidR="00B5194D">
        <w:rPr>
          <w:rFonts w:ascii="Times New Roman" w:hAnsi="Times New Roman" w:cs="Times New Roman"/>
          <w:sz w:val="24"/>
          <w:szCs w:val="24"/>
        </w:rPr>
        <w:t xml:space="preserve"> seeded sample will be drawn. </w:t>
      </w:r>
      <w:r w:rsidR="00A6207D">
        <w:rPr>
          <w:rFonts w:ascii="Times New Roman" w:hAnsi="Times New Roman" w:cs="Times New Roman"/>
          <w:sz w:val="24"/>
          <w:szCs w:val="24"/>
        </w:rPr>
        <w:t xml:space="preserve">The seeded sample </w:t>
      </w:r>
      <w:r w:rsidR="001713AD">
        <w:rPr>
          <w:rFonts w:ascii="Times New Roman" w:hAnsi="Times New Roman" w:cs="Times New Roman"/>
          <w:sz w:val="24"/>
          <w:szCs w:val="24"/>
        </w:rPr>
        <w:t>will</w:t>
      </w:r>
      <w:r w:rsidR="00A6207D">
        <w:rPr>
          <w:rFonts w:ascii="Times New Roman" w:hAnsi="Times New Roman" w:cs="Times New Roman"/>
          <w:sz w:val="24"/>
          <w:szCs w:val="24"/>
        </w:rPr>
        <w:t xml:space="preserve"> be stratified by </w:t>
      </w:r>
      <w:r w:rsidR="00B2193A">
        <w:rPr>
          <w:rFonts w:ascii="Times New Roman" w:hAnsi="Times New Roman" w:cs="Times New Roman"/>
          <w:sz w:val="24"/>
          <w:szCs w:val="24"/>
        </w:rPr>
        <w:t>characteristics of the known credential (e.g., the field of study and/or year awarded) to allow analyses to be broken out by these characteristics.</w:t>
      </w:r>
    </w:p>
    <w:p w:rsidR="000054FB" w:rsidP="008B5C08" w:rsidRDefault="009A016A" w14:paraId="2D0DCF97" w14:textId="132467C1">
      <w:pPr>
        <w:rPr>
          <w:rFonts w:ascii="Times New Roman" w:hAnsi="Times New Roman" w:cs="Times New Roman"/>
          <w:sz w:val="24"/>
          <w:szCs w:val="24"/>
        </w:rPr>
      </w:pPr>
      <w:r>
        <w:rPr>
          <w:rFonts w:ascii="Times New Roman" w:hAnsi="Times New Roman" w:cs="Times New Roman"/>
          <w:sz w:val="24"/>
          <w:szCs w:val="24"/>
        </w:rPr>
        <w:t xml:space="preserve">Although </w:t>
      </w:r>
      <w:r w:rsidR="00F230FA">
        <w:rPr>
          <w:rFonts w:ascii="Times New Roman" w:hAnsi="Times New Roman" w:cs="Times New Roman"/>
          <w:sz w:val="24"/>
          <w:szCs w:val="24"/>
        </w:rPr>
        <w:t xml:space="preserve">NCES </w:t>
      </w:r>
      <w:r w:rsidR="00132AFA">
        <w:rPr>
          <w:rFonts w:ascii="Times New Roman" w:hAnsi="Times New Roman" w:cs="Times New Roman"/>
          <w:sz w:val="24"/>
          <w:szCs w:val="24"/>
        </w:rPr>
        <w:t xml:space="preserve">aimed </w:t>
      </w:r>
      <w:r w:rsidR="00D33645">
        <w:rPr>
          <w:rFonts w:ascii="Times New Roman" w:hAnsi="Times New Roman" w:cs="Times New Roman"/>
          <w:sz w:val="24"/>
          <w:szCs w:val="24"/>
        </w:rPr>
        <w:t xml:space="preserve">to obtain lists from as diverse a set of institutions as possible (e.g., from different geographic regions), the seeded sample will be a convenience sample and is not expected to be nationally representative. Therefore, respondents from the seeded sample will not be weighted or included in </w:t>
      </w:r>
      <w:r w:rsidR="00800430">
        <w:rPr>
          <w:rFonts w:ascii="Times New Roman" w:hAnsi="Times New Roman" w:cs="Times New Roman"/>
          <w:sz w:val="24"/>
          <w:szCs w:val="24"/>
        </w:rPr>
        <w:t xml:space="preserve">the publicly released NTEWS data products or in </w:t>
      </w:r>
      <w:r w:rsidR="00D33645">
        <w:rPr>
          <w:rFonts w:ascii="Times New Roman" w:hAnsi="Times New Roman" w:cs="Times New Roman"/>
          <w:sz w:val="24"/>
          <w:szCs w:val="24"/>
        </w:rPr>
        <w:t xml:space="preserve">any national estimates derived from the </w:t>
      </w:r>
      <w:r w:rsidR="007D233A">
        <w:rPr>
          <w:rFonts w:ascii="Times New Roman" w:hAnsi="Times New Roman" w:cs="Times New Roman"/>
          <w:sz w:val="24"/>
          <w:szCs w:val="24"/>
        </w:rPr>
        <w:t>NTEWS</w:t>
      </w:r>
      <w:r w:rsidR="00046A0D">
        <w:rPr>
          <w:rFonts w:ascii="Times New Roman" w:hAnsi="Times New Roman" w:cs="Times New Roman"/>
          <w:sz w:val="24"/>
          <w:szCs w:val="24"/>
        </w:rPr>
        <w:t xml:space="preserve"> production</w:t>
      </w:r>
      <w:r w:rsidR="007D233A">
        <w:rPr>
          <w:rFonts w:ascii="Times New Roman" w:hAnsi="Times New Roman" w:cs="Times New Roman"/>
          <w:sz w:val="24"/>
          <w:szCs w:val="24"/>
        </w:rPr>
        <w:t xml:space="preserve"> sample.</w:t>
      </w:r>
      <w:r w:rsidR="001F081A">
        <w:rPr>
          <w:rFonts w:ascii="Times New Roman" w:hAnsi="Times New Roman" w:cs="Times New Roman"/>
          <w:sz w:val="24"/>
          <w:szCs w:val="24"/>
        </w:rPr>
        <w:t xml:space="preserve"> </w:t>
      </w:r>
      <w:r w:rsidR="00046A0D">
        <w:rPr>
          <w:rFonts w:ascii="Times New Roman" w:hAnsi="Times New Roman" w:cs="Times New Roman"/>
          <w:sz w:val="24"/>
          <w:szCs w:val="24"/>
        </w:rPr>
        <w:t>The seeded sample data are for NCSES and NCES research purposes only.</w:t>
      </w:r>
    </w:p>
    <w:p w:rsidR="004D189C" w:rsidP="008B5C08" w:rsidRDefault="00C523FE" w14:paraId="4C38F76E" w14:textId="0793F680">
      <w:pPr>
        <w:rPr>
          <w:rFonts w:ascii="Times New Roman" w:hAnsi="Times New Roman" w:cs="Times New Roman"/>
          <w:sz w:val="24"/>
          <w:szCs w:val="24"/>
        </w:rPr>
      </w:pPr>
      <w:r>
        <w:rPr>
          <w:rFonts w:ascii="Times New Roman" w:hAnsi="Times New Roman" w:cs="Times New Roman"/>
          <w:sz w:val="24"/>
          <w:szCs w:val="24"/>
        </w:rPr>
        <w:t xml:space="preserve">Past seeded samples </w:t>
      </w:r>
      <w:r w:rsidR="00FB327B">
        <w:rPr>
          <w:rFonts w:ascii="Times New Roman" w:hAnsi="Times New Roman" w:cs="Times New Roman"/>
          <w:sz w:val="24"/>
          <w:szCs w:val="24"/>
        </w:rPr>
        <w:t xml:space="preserve">included </w:t>
      </w:r>
      <w:r w:rsidR="00687FBB">
        <w:rPr>
          <w:rFonts w:ascii="Times New Roman" w:hAnsi="Times New Roman" w:cs="Times New Roman"/>
          <w:sz w:val="24"/>
          <w:szCs w:val="24"/>
        </w:rPr>
        <w:t xml:space="preserve">postsecondary </w:t>
      </w:r>
      <w:r w:rsidR="00FB327B">
        <w:rPr>
          <w:rFonts w:ascii="Times New Roman" w:hAnsi="Times New Roman" w:cs="Times New Roman"/>
          <w:sz w:val="24"/>
          <w:szCs w:val="24"/>
        </w:rPr>
        <w:t>certificate subject fields that were</w:t>
      </w:r>
      <w:r>
        <w:rPr>
          <w:rFonts w:ascii="Times New Roman" w:hAnsi="Times New Roman" w:cs="Times New Roman"/>
          <w:sz w:val="24"/>
          <w:szCs w:val="24"/>
        </w:rPr>
        <w:t xml:space="preserve"> intended to reflect the general population of certificate holders</w:t>
      </w:r>
      <w:r w:rsidR="00681849">
        <w:rPr>
          <w:rFonts w:ascii="Times New Roman" w:hAnsi="Times New Roman" w:cs="Times New Roman"/>
          <w:sz w:val="24"/>
          <w:szCs w:val="24"/>
        </w:rPr>
        <w:t xml:space="preserve">. The NTEWS seeded sample will be designed to reflect the STW as well as the general population. </w:t>
      </w:r>
      <w:r w:rsidRPr="00681849" w:rsidR="00681849">
        <w:rPr>
          <w:rFonts w:ascii="Times New Roman" w:hAnsi="Times New Roman" w:cs="Times New Roman"/>
          <w:sz w:val="24"/>
          <w:szCs w:val="24"/>
        </w:rPr>
        <w:t xml:space="preserve">The job sectors that cover the majority of the STW </w:t>
      </w:r>
      <w:r w:rsidRPr="002C0ED2" w:rsidR="00681849">
        <w:rPr>
          <w:rFonts w:ascii="Times New Roman" w:hAnsi="Times New Roman" w:cs="Times New Roman"/>
          <w:sz w:val="24"/>
          <w:szCs w:val="24"/>
        </w:rPr>
        <w:t xml:space="preserve">are installation, maintenance, and repair; health care; construction and extraction; production; and computers (Rothwell 2015). The sectors with the highest percentage of adults with a certificate are installation, maintenance, and repair; health care; protective services; administrative support; and manufacturing and farming (Cronen, McQuiggan </w:t>
      </w:r>
      <w:r w:rsidRPr="00B93559" w:rsidR="00CE55CB">
        <w:rPr>
          <w:rFonts w:ascii="Times New Roman" w:hAnsi="Times New Roman" w:cs="Times New Roman"/>
          <w:sz w:val="24"/>
          <w:szCs w:val="24"/>
        </w:rPr>
        <w:t>&amp;</w:t>
      </w:r>
      <w:r w:rsidRPr="002C0ED2" w:rsidR="00681849">
        <w:rPr>
          <w:rFonts w:ascii="Times New Roman" w:hAnsi="Times New Roman" w:cs="Times New Roman"/>
          <w:sz w:val="24"/>
          <w:szCs w:val="24"/>
        </w:rPr>
        <w:t xml:space="preserve"> Isenberg 2017). However, </w:t>
      </w:r>
      <w:r w:rsidR="00916A64">
        <w:rPr>
          <w:rFonts w:ascii="Times New Roman" w:hAnsi="Times New Roman" w:cs="Times New Roman"/>
          <w:sz w:val="24"/>
          <w:szCs w:val="24"/>
        </w:rPr>
        <w:t>the</w:t>
      </w:r>
      <w:r w:rsidRPr="002C0ED2" w:rsidR="00681849">
        <w:rPr>
          <w:rFonts w:ascii="Times New Roman" w:hAnsi="Times New Roman" w:cs="Times New Roman"/>
          <w:sz w:val="24"/>
          <w:szCs w:val="24"/>
        </w:rPr>
        <w:t xml:space="preserve"> largest number of certificates awarded in a specific year are in the subject fields of health care, trades, and consumer services (Hudson 2018).</w:t>
      </w:r>
    </w:p>
    <w:p w:rsidR="00F62CC5" w:rsidP="008B5C08" w:rsidRDefault="00AE7CE7" w14:paraId="20FB84A7" w14:textId="7228F211">
      <w:pPr>
        <w:rPr>
          <w:rFonts w:ascii="Times New Roman" w:hAnsi="Times New Roman" w:cs="Times New Roman"/>
          <w:sz w:val="24"/>
          <w:szCs w:val="24"/>
        </w:rPr>
      </w:pPr>
      <w:r>
        <w:rPr>
          <w:rFonts w:ascii="Times New Roman" w:hAnsi="Times New Roman" w:cs="Times New Roman"/>
          <w:sz w:val="24"/>
          <w:szCs w:val="24"/>
        </w:rPr>
        <w:t xml:space="preserve">Based on overlap with the STW sectors, the seeded sample will contain holders of </w:t>
      </w:r>
      <w:r w:rsidR="00687FBB">
        <w:rPr>
          <w:rFonts w:ascii="Times New Roman" w:hAnsi="Times New Roman" w:cs="Times New Roman"/>
          <w:sz w:val="24"/>
          <w:szCs w:val="24"/>
        </w:rPr>
        <w:t xml:space="preserve">postsecondary </w:t>
      </w:r>
      <w:r>
        <w:rPr>
          <w:rFonts w:ascii="Times New Roman" w:hAnsi="Times New Roman" w:cs="Times New Roman"/>
          <w:sz w:val="24"/>
          <w:szCs w:val="24"/>
        </w:rPr>
        <w:t>certificates in installation, maintenance, and repair; health care; computers and information technology; manufacturing; and cosmetology</w:t>
      </w:r>
      <w:r w:rsidR="00384FF1">
        <w:rPr>
          <w:rFonts w:ascii="Times New Roman" w:hAnsi="Times New Roman" w:cs="Times New Roman"/>
          <w:sz w:val="24"/>
          <w:szCs w:val="24"/>
        </w:rPr>
        <w:t xml:space="preserve"> (a major component of “consumer services” certificates)</w:t>
      </w:r>
      <w:r>
        <w:rPr>
          <w:rFonts w:ascii="Times New Roman" w:hAnsi="Times New Roman" w:cs="Times New Roman"/>
          <w:sz w:val="24"/>
          <w:szCs w:val="24"/>
        </w:rPr>
        <w:t xml:space="preserve">. </w:t>
      </w:r>
    </w:p>
    <w:p w:rsidR="00AE7CE7" w:rsidP="008B5C08" w:rsidRDefault="00D371A5" w14:paraId="4E78B4E0" w14:textId="1B1CDDC1">
      <w:pPr>
        <w:rPr>
          <w:rFonts w:ascii="Times New Roman" w:hAnsi="Times New Roman" w:cs="Times New Roman"/>
          <w:sz w:val="24"/>
          <w:szCs w:val="24"/>
        </w:rPr>
      </w:pPr>
      <w:r>
        <w:rPr>
          <w:rFonts w:ascii="Times New Roman" w:hAnsi="Times New Roman" w:cs="Times New Roman"/>
          <w:sz w:val="24"/>
          <w:szCs w:val="24"/>
        </w:rPr>
        <w:t xml:space="preserve">NCES </w:t>
      </w:r>
      <w:r w:rsidR="006847ED">
        <w:rPr>
          <w:rFonts w:ascii="Times New Roman" w:hAnsi="Times New Roman" w:cs="Times New Roman"/>
          <w:sz w:val="24"/>
          <w:szCs w:val="24"/>
        </w:rPr>
        <w:t>requested lists of</w:t>
      </w:r>
      <w:r>
        <w:rPr>
          <w:rFonts w:ascii="Times New Roman" w:hAnsi="Times New Roman" w:cs="Times New Roman"/>
          <w:sz w:val="24"/>
          <w:szCs w:val="24"/>
        </w:rPr>
        <w:t xml:space="preserve"> certificate holders </w:t>
      </w:r>
      <w:r w:rsidR="008F4C6B">
        <w:rPr>
          <w:rFonts w:ascii="Times New Roman" w:hAnsi="Times New Roman" w:cs="Times New Roman"/>
          <w:sz w:val="24"/>
          <w:szCs w:val="24"/>
        </w:rPr>
        <w:t>whose certificates were awarded as far back as January 1, 2016. There are three reasons for limiting the reference period</w:t>
      </w:r>
      <w:r w:rsidR="00961252">
        <w:rPr>
          <w:rFonts w:ascii="Times New Roman" w:hAnsi="Times New Roman" w:cs="Times New Roman"/>
          <w:sz w:val="24"/>
          <w:szCs w:val="24"/>
        </w:rPr>
        <w:t xml:space="preserve"> to this date</w:t>
      </w:r>
      <w:r w:rsidR="008F4C6B">
        <w:rPr>
          <w:rFonts w:ascii="Times New Roman" w:hAnsi="Times New Roman" w:cs="Times New Roman"/>
          <w:sz w:val="24"/>
          <w:szCs w:val="24"/>
        </w:rPr>
        <w:t xml:space="preserve">. </w:t>
      </w:r>
      <w:r w:rsidR="003F0318">
        <w:rPr>
          <w:rFonts w:ascii="Times New Roman" w:hAnsi="Times New Roman" w:cs="Times New Roman"/>
          <w:sz w:val="24"/>
          <w:szCs w:val="24"/>
        </w:rPr>
        <w:t xml:space="preserve">First, institutions </w:t>
      </w:r>
      <w:r w:rsidR="006F7C2E">
        <w:rPr>
          <w:rFonts w:ascii="Times New Roman" w:hAnsi="Times New Roman" w:cs="Times New Roman"/>
          <w:sz w:val="24"/>
          <w:szCs w:val="24"/>
        </w:rPr>
        <w:t>provided</w:t>
      </w:r>
      <w:r w:rsidR="00482385">
        <w:rPr>
          <w:rFonts w:ascii="Times New Roman" w:hAnsi="Times New Roman" w:cs="Times New Roman"/>
          <w:sz w:val="24"/>
          <w:szCs w:val="24"/>
        </w:rPr>
        <w:t xml:space="preserve"> </w:t>
      </w:r>
      <w:r w:rsidR="003F0318">
        <w:rPr>
          <w:rFonts w:ascii="Times New Roman" w:hAnsi="Times New Roman" w:cs="Times New Roman"/>
          <w:sz w:val="24"/>
          <w:szCs w:val="24"/>
        </w:rPr>
        <w:t>the address</w:t>
      </w:r>
      <w:r w:rsidR="001E77FC">
        <w:rPr>
          <w:rFonts w:ascii="Times New Roman" w:hAnsi="Times New Roman" w:cs="Times New Roman"/>
          <w:sz w:val="24"/>
          <w:szCs w:val="24"/>
        </w:rPr>
        <w:t>es</w:t>
      </w:r>
      <w:r w:rsidR="003F0318">
        <w:rPr>
          <w:rFonts w:ascii="Times New Roman" w:hAnsi="Times New Roman" w:cs="Times New Roman"/>
          <w:sz w:val="24"/>
          <w:szCs w:val="24"/>
        </w:rPr>
        <w:t xml:space="preserve"> of credential holder</w:t>
      </w:r>
      <w:r w:rsidR="001E77FC">
        <w:rPr>
          <w:rFonts w:ascii="Times New Roman" w:hAnsi="Times New Roman" w:cs="Times New Roman"/>
          <w:sz w:val="24"/>
          <w:szCs w:val="24"/>
        </w:rPr>
        <w:t>s</w:t>
      </w:r>
      <w:r w:rsidR="003F0318">
        <w:rPr>
          <w:rFonts w:ascii="Times New Roman" w:hAnsi="Times New Roman" w:cs="Times New Roman"/>
          <w:sz w:val="24"/>
          <w:szCs w:val="24"/>
        </w:rPr>
        <w:t xml:space="preserve"> at the time of enrollment or program completion</w:t>
      </w:r>
      <w:r w:rsidR="0087441C">
        <w:rPr>
          <w:rFonts w:ascii="Times New Roman" w:hAnsi="Times New Roman" w:cs="Times New Roman"/>
          <w:sz w:val="24"/>
          <w:szCs w:val="24"/>
        </w:rPr>
        <w:t>.</w:t>
      </w:r>
      <w:r w:rsidR="003F0318">
        <w:rPr>
          <w:rFonts w:ascii="Times New Roman" w:hAnsi="Times New Roman" w:cs="Times New Roman"/>
          <w:sz w:val="24"/>
          <w:szCs w:val="24"/>
        </w:rPr>
        <w:t xml:space="preserve"> </w:t>
      </w:r>
      <w:r w:rsidR="0050281E">
        <w:rPr>
          <w:rFonts w:ascii="Times New Roman" w:hAnsi="Times New Roman" w:cs="Times New Roman"/>
          <w:sz w:val="24"/>
          <w:szCs w:val="24"/>
        </w:rPr>
        <w:t>Because some seeded sample members are likely to have changed addresses since receiv</w:t>
      </w:r>
      <w:r w:rsidR="009A73D4">
        <w:rPr>
          <w:rFonts w:ascii="Times New Roman" w:hAnsi="Times New Roman" w:cs="Times New Roman"/>
          <w:sz w:val="24"/>
          <w:szCs w:val="24"/>
        </w:rPr>
        <w:t>ing</w:t>
      </w:r>
      <w:r w:rsidR="0050281E">
        <w:rPr>
          <w:rFonts w:ascii="Times New Roman" w:hAnsi="Times New Roman" w:cs="Times New Roman"/>
          <w:sz w:val="24"/>
          <w:szCs w:val="24"/>
        </w:rPr>
        <w:t xml:space="preserve"> their credential, NCSES anticipate</w:t>
      </w:r>
      <w:r w:rsidR="00322182">
        <w:rPr>
          <w:rFonts w:ascii="Times New Roman" w:hAnsi="Times New Roman" w:cs="Times New Roman"/>
          <w:sz w:val="24"/>
          <w:szCs w:val="24"/>
        </w:rPr>
        <w:t>d</w:t>
      </w:r>
      <w:r w:rsidR="0050281E">
        <w:rPr>
          <w:rFonts w:ascii="Times New Roman" w:hAnsi="Times New Roman" w:cs="Times New Roman"/>
          <w:sz w:val="24"/>
          <w:szCs w:val="24"/>
        </w:rPr>
        <w:t xml:space="preserve"> that holders of relatively old credentials would be difficult to locate. For this reason, </w:t>
      </w:r>
      <w:r w:rsidR="003F0318">
        <w:rPr>
          <w:rFonts w:ascii="Times New Roman" w:hAnsi="Times New Roman" w:cs="Times New Roman"/>
          <w:sz w:val="24"/>
          <w:szCs w:val="24"/>
        </w:rPr>
        <w:t xml:space="preserve">limiting the reference period will </w:t>
      </w:r>
      <w:r w:rsidR="009D5A8D">
        <w:rPr>
          <w:rFonts w:ascii="Times New Roman" w:hAnsi="Times New Roman" w:cs="Times New Roman"/>
          <w:sz w:val="24"/>
          <w:szCs w:val="24"/>
        </w:rPr>
        <w:t xml:space="preserve">help to maximize the response rate among seeded sample members. </w:t>
      </w:r>
      <w:r w:rsidR="008B4E44">
        <w:rPr>
          <w:rFonts w:ascii="Times New Roman" w:hAnsi="Times New Roman" w:cs="Times New Roman"/>
          <w:sz w:val="24"/>
          <w:szCs w:val="24"/>
        </w:rPr>
        <w:t xml:space="preserve">Second, NCES has found in past seeded sample efforts that </w:t>
      </w:r>
      <w:r w:rsidR="007D040D">
        <w:rPr>
          <w:rFonts w:ascii="Times New Roman" w:hAnsi="Times New Roman" w:cs="Times New Roman"/>
          <w:sz w:val="24"/>
          <w:szCs w:val="24"/>
        </w:rPr>
        <w:t>“</w:t>
      </w:r>
      <w:r w:rsidR="008B4E44">
        <w:rPr>
          <w:rFonts w:ascii="Times New Roman" w:hAnsi="Times New Roman" w:cs="Times New Roman"/>
          <w:sz w:val="24"/>
          <w:szCs w:val="24"/>
        </w:rPr>
        <w:t>incidental</w:t>
      </w:r>
      <w:r w:rsidR="007D040D">
        <w:rPr>
          <w:rFonts w:ascii="Times New Roman" w:hAnsi="Times New Roman" w:cs="Times New Roman"/>
          <w:sz w:val="24"/>
          <w:szCs w:val="24"/>
        </w:rPr>
        <w:t>”</w:t>
      </w:r>
      <w:r w:rsidR="008B4E44">
        <w:rPr>
          <w:rFonts w:ascii="Times New Roman" w:hAnsi="Times New Roman" w:cs="Times New Roman"/>
          <w:sz w:val="24"/>
          <w:szCs w:val="24"/>
        </w:rPr>
        <w:t xml:space="preserve"> certificate awards (</w:t>
      </w:r>
      <w:r w:rsidR="007D040D">
        <w:rPr>
          <w:rFonts w:ascii="Times New Roman" w:hAnsi="Times New Roman" w:cs="Times New Roman"/>
          <w:sz w:val="24"/>
          <w:szCs w:val="24"/>
        </w:rPr>
        <w:t xml:space="preserve">which, as </w:t>
      </w:r>
      <w:r w:rsidR="008B4E44">
        <w:rPr>
          <w:rFonts w:ascii="Times New Roman" w:hAnsi="Times New Roman" w:cs="Times New Roman"/>
          <w:sz w:val="24"/>
          <w:szCs w:val="24"/>
        </w:rPr>
        <w:t>described below</w:t>
      </w:r>
      <w:r w:rsidR="007D040D">
        <w:rPr>
          <w:rFonts w:ascii="Times New Roman" w:hAnsi="Times New Roman" w:cs="Times New Roman"/>
          <w:sz w:val="24"/>
          <w:szCs w:val="24"/>
        </w:rPr>
        <w:t xml:space="preserve">, </w:t>
      </w:r>
      <w:r w:rsidR="00BB080C">
        <w:rPr>
          <w:rFonts w:ascii="Times New Roman" w:hAnsi="Times New Roman" w:cs="Times New Roman"/>
          <w:sz w:val="24"/>
          <w:szCs w:val="24"/>
        </w:rPr>
        <w:t>NCES aims to exclude</w:t>
      </w:r>
      <w:r w:rsidR="007D040D">
        <w:rPr>
          <w:rFonts w:ascii="Times New Roman" w:hAnsi="Times New Roman" w:cs="Times New Roman"/>
          <w:sz w:val="24"/>
          <w:szCs w:val="24"/>
        </w:rPr>
        <w:t xml:space="preserve"> from the seeded sample</w:t>
      </w:r>
      <w:r w:rsidR="008B4E44">
        <w:rPr>
          <w:rFonts w:ascii="Times New Roman" w:hAnsi="Times New Roman" w:cs="Times New Roman"/>
          <w:sz w:val="24"/>
          <w:szCs w:val="24"/>
        </w:rPr>
        <w:t xml:space="preserve">) are more likely to be present in older </w:t>
      </w:r>
      <w:r w:rsidR="00700F04">
        <w:rPr>
          <w:rFonts w:ascii="Times New Roman" w:hAnsi="Times New Roman" w:cs="Times New Roman"/>
          <w:sz w:val="24"/>
          <w:szCs w:val="24"/>
        </w:rPr>
        <w:t>institutional records</w:t>
      </w:r>
      <w:r w:rsidR="008B4E44">
        <w:rPr>
          <w:rFonts w:ascii="Times New Roman" w:hAnsi="Times New Roman" w:cs="Times New Roman"/>
          <w:sz w:val="24"/>
          <w:szCs w:val="24"/>
        </w:rPr>
        <w:t xml:space="preserve">. Finally, </w:t>
      </w:r>
      <w:r w:rsidR="000B32C4">
        <w:rPr>
          <w:rFonts w:ascii="Times New Roman" w:hAnsi="Times New Roman" w:cs="Times New Roman"/>
          <w:sz w:val="24"/>
          <w:szCs w:val="24"/>
        </w:rPr>
        <w:t xml:space="preserve">because several </w:t>
      </w:r>
      <w:r w:rsidR="008B4E44">
        <w:rPr>
          <w:rFonts w:ascii="Times New Roman" w:hAnsi="Times New Roman" w:cs="Times New Roman"/>
          <w:sz w:val="24"/>
          <w:szCs w:val="24"/>
        </w:rPr>
        <w:t>of the recruited institutio</w:t>
      </w:r>
      <w:r w:rsidR="000B32C4">
        <w:rPr>
          <w:rFonts w:ascii="Times New Roman" w:hAnsi="Times New Roman" w:cs="Times New Roman"/>
          <w:sz w:val="24"/>
          <w:szCs w:val="24"/>
        </w:rPr>
        <w:t>n</w:t>
      </w:r>
      <w:r w:rsidR="005E38B2">
        <w:rPr>
          <w:rFonts w:ascii="Times New Roman" w:hAnsi="Times New Roman" w:cs="Times New Roman"/>
          <w:sz w:val="24"/>
          <w:szCs w:val="24"/>
        </w:rPr>
        <w:t>s</w:t>
      </w:r>
      <w:r w:rsidR="008B4E44">
        <w:rPr>
          <w:rFonts w:ascii="Times New Roman" w:hAnsi="Times New Roman" w:cs="Times New Roman"/>
          <w:sz w:val="24"/>
          <w:szCs w:val="24"/>
        </w:rPr>
        <w:t xml:space="preserve"> participated in prior seeded sample effort</w:t>
      </w:r>
      <w:r w:rsidR="000B32C4">
        <w:rPr>
          <w:rFonts w:ascii="Times New Roman" w:hAnsi="Times New Roman" w:cs="Times New Roman"/>
          <w:sz w:val="24"/>
          <w:szCs w:val="24"/>
        </w:rPr>
        <w:t>s</w:t>
      </w:r>
      <w:r w:rsidR="008B4E44">
        <w:rPr>
          <w:rFonts w:ascii="Times New Roman" w:hAnsi="Times New Roman" w:cs="Times New Roman"/>
          <w:sz w:val="24"/>
          <w:szCs w:val="24"/>
        </w:rPr>
        <w:t xml:space="preserve">, </w:t>
      </w:r>
      <w:r w:rsidR="00031120">
        <w:rPr>
          <w:rFonts w:ascii="Times New Roman" w:hAnsi="Times New Roman" w:cs="Times New Roman"/>
          <w:sz w:val="24"/>
          <w:szCs w:val="24"/>
        </w:rPr>
        <w:t>limiting the reference period will minimize duplication with the prior samples.</w:t>
      </w:r>
    </w:p>
    <w:p w:rsidRPr="000054FB" w:rsidR="003A3B7B" w:rsidP="008B5C08" w:rsidRDefault="00DE6CDC" w14:paraId="06FE0F6A" w14:textId="3D73EF2F">
      <w:pPr>
        <w:rPr>
          <w:rFonts w:ascii="Times New Roman" w:hAnsi="Times New Roman" w:cs="Times New Roman"/>
          <w:sz w:val="24"/>
          <w:szCs w:val="24"/>
        </w:rPr>
      </w:pPr>
      <w:r>
        <w:rPr>
          <w:rFonts w:ascii="Times New Roman" w:hAnsi="Times New Roman" w:cs="Times New Roman"/>
          <w:sz w:val="24"/>
          <w:szCs w:val="24"/>
        </w:rPr>
        <w:t xml:space="preserve">In past seeded sample efforts, NCES found that some institutions </w:t>
      </w:r>
      <w:r w:rsidRPr="00B8195F" w:rsidR="00B8195F">
        <w:rPr>
          <w:rFonts w:ascii="Times New Roman" w:hAnsi="Times New Roman" w:cs="Times New Roman"/>
          <w:sz w:val="24"/>
          <w:szCs w:val="24"/>
        </w:rPr>
        <w:t xml:space="preserve">provided certificates of completion automatically to students who completed a certain number of </w:t>
      </w:r>
      <w:r w:rsidRPr="00860824" w:rsidR="00B8195F">
        <w:rPr>
          <w:rFonts w:ascii="Times New Roman" w:hAnsi="Times New Roman" w:cs="Times New Roman"/>
          <w:i/>
          <w:iCs/>
          <w:sz w:val="24"/>
          <w:szCs w:val="24"/>
        </w:rPr>
        <w:t xml:space="preserve">credits </w:t>
      </w:r>
      <w:r w:rsidRPr="00B8195F" w:rsidR="00B8195F">
        <w:rPr>
          <w:rFonts w:ascii="Times New Roman" w:hAnsi="Times New Roman" w:cs="Times New Roman"/>
          <w:sz w:val="24"/>
          <w:szCs w:val="24"/>
        </w:rPr>
        <w:t xml:space="preserve">during another degree program and not because a student </w:t>
      </w:r>
      <w:r w:rsidR="00522681">
        <w:rPr>
          <w:rFonts w:ascii="Times New Roman" w:hAnsi="Times New Roman" w:cs="Times New Roman"/>
          <w:sz w:val="24"/>
          <w:szCs w:val="24"/>
        </w:rPr>
        <w:t>completed</w:t>
      </w:r>
      <w:r w:rsidRPr="00B8195F" w:rsidR="00B8195F">
        <w:rPr>
          <w:rFonts w:ascii="Times New Roman" w:hAnsi="Times New Roman" w:cs="Times New Roman"/>
          <w:sz w:val="24"/>
          <w:szCs w:val="24"/>
        </w:rPr>
        <w:t xml:space="preserve"> a certificate </w:t>
      </w:r>
      <w:r w:rsidRPr="00A30A83" w:rsidR="00B8195F">
        <w:rPr>
          <w:rFonts w:ascii="Times New Roman" w:hAnsi="Times New Roman" w:cs="Times New Roman"/>
          <w:i/>
          <w:iCs/>
          <w:sz w:val="24"/>
          <w:szCs w:val="24"/>
        </w:rPr>
        <w:t>program</w:t>
      </w:r>
      <w:r w:rsidRPr="00B8195F" w:rsidR="00B8195F">
        <w:rPr>
          <w:rFonts w:ascii="Times New Roman" w:hAnsi="Times New Roman" w:cs="Times New Roman"/>
          <w:sz w:val="24"/>
          <w:szCs w:val="24"/>
        </w:rPr>
        <w:t xml:space="preserve">. </w:t>
      </w:r>
      <w:r w:rsidR="00C64362">
        <w:rPr>
          <w:rFonts w:ascii="Times New Roman" w:hAnsi="Times New Roman" w:cs="Times New Roman"/>
          <w:sz w:val="24"/>
          <w:szCs w:val="24"/>
        </w:rPr>
        <w:t>NCES</w:t>
      </w:r>
      <w:r w:rsidRPr="00B8195F" w:rsidR="00B8195F">
        <w:rPr>
          <w:rFonts w:ascii="Times New Roman" w:hAnsi="Times New Roman" w:cs="Times New Roman"/>
          <w:sz w:val="24"/>
          <w:szCs w:val="24"/>
        </w:rPr>
        <w:t xml:space="preserve"> </w:t>
      </w:r>
      <w:r w:rsidR="00216235">
        <w:rPr>
          <w:rFonts w:ascii="Times New Roman" w:hAnsi="Times New Roman" w:cs="Times New Roman"/>
          <w:sz w:val="24"/>
          <w:szCs w:val="24"/>
        </w:rPr>
        <w:t>requested</w:t>
      </w:r>
      <w:r w:rsidRPr="00B8195F" w:rsidR="00B8195F">
        <w:rPr>
          <w:rFonts w:ascii="Times New Roman" w:hAnsi="Times New Roman" w:cs="Times New Roman"/>
          <w:sz w:val="24"/>
          <w:szCs w:val="24"/>
        </w:rPr>
        <w:t xml:space="preserve"> that institutions include certificates awarded only as part of a terminal certificate program and exclude</w:t>
      </w:r>
      <w:r w:rsidR="008B4E44">
        <w:rPr>
          <w:rFonts w:ascii="Times New Roman" w:hAnsi="Times New Roman" w:cs="Times New Roman"/>
          <w:sz w:val="24"/>
          <w:szCs w:val="24"/>
        </w:rPr>
        <w:t xml:space="preserve"> these</w:t>
      </w:r>
      <w:r w:rsidRPr="00B8195F" w:rsidR="00B8195F">
        <w:rPr>
          <w:rFonts w:ascii="Times New Roman" w:hAnsi="Times New Roman" w:cs="Times New Roman"/>
          <w:sz w:val="24"/>
          <w:szCs w:val="24"/>
        </w:rPr>
        <w:t xml:space="preserve"> </w:t>
      </w:r>
      <w:r w:rsidR="008B4E44">
        <w:rPr>
          <w:rFonts w:ascii="Times New Roman" w:hAnsi="Times New Roman" w:cs="Times New Roman"/>
          <w:sz w:val="24"/>
          <w:szCs w:val="24"/>
        </w:rPr>
        <w:t>“</w:t>
      </w:r>
      <w:r w:rsidRPr="00B8195F" w:rsidR="00B8195F">
        <w:rPr>
          <w:rFonts w:ascii="Times New Roman" w:hAnsi="Times New Roman" w:cs="Times New Roman"/>
          <w:sz w:val="24"/>
          <w:szCs w:val="24"/>
        </w:rPr>
        <w:t>incidental</w:t>
      </w:r>
      <w:r w:rsidR="008B4E44">
        <w:rPr>
          <w:rFonts w:ascii="Times New Roman" w:hAnsi="Times New Roman" w:cs="Times New Roman"/>
          <w:sz w:val="24"/>
          <w:szCs w:val="24"/>
        </w:rPr>
        <w:t>”</w:t>
      </w:r>
      <w:r w:rsidRPr="00B8195F" w:rsidR="00B8195F">
        <w:rPr>
          <w:rFonts w:ascii="Times New Roman" w:hAnsi="Times New Roman" w:cs="Times New Roman"/>
          <w:sz w:val="24"/>
          <w:szCs w:val="24"/>
        </w:rPr>
        <w:t xml:space="preserve"> certificates.</w:t>
      </w:r>
      <w:r w:rsidR="00AA0328">
        <w:rPr>
          <w:rFonts w:ascii="Times New Roman" w:hAnsi="Times New Roman" w:cs="Times New Roman"/>
          <w:sz w:val="24"/>
          <w:szCs w:val="24"/>
        </w:rPr>
        <w:t xml:space="preserve"> </w:t>
      </w:r>
      <w:r w:rsidR="00522681">
        <w:rPr>
          <w:rFonts w:ascii="Times New Roman" w:hAnsi="Times New Roman" w:cs="Times New Roman"/>
          <w:sz w:val="24"/>
          <w:szCs w:val="24"/>
        </w:rPr>
        <w:t>T</w:t>
      </w:r>
      <w:r w:rsidRPr="00B8195F" w:rsidR="00B8195F">
        <w:rPr>
          <w:rFonts w:ascii="Times New Roman" w:hAnsi="Times New Roman" w:cs="Times New Roman"/>
          <w:sz w:val="24"/>
          <w:szCs w:val="24"/>
        </w:rPr>
        <w:t>he NTEWS i</w:t>
      </w:r>
      <w:r w:rsidR="001C36A5">
        <w:rPr>
          <w:rFonts w:ascii="Times New Roman" w:hAnsi="Times New Roman" w:cs="Times New Roman"/>
          <w:sz w:val="24"/>
          <w:szCs w:val="24"/>
        </w:rPr>
        <w:t>s</w:t>
      </w:r>
      <w:r w:rsidR="001F04D8">
        <w:rPr>
          <w:rFonts w:ascii="Times New Roman" w:hAnsi="Times New Roman" w:cs="Times New Roman"/>
          <w:sz w:val="24"/>
          <w:szCs w:val="24"/>
        </w:rPr>
        <w:t xml:space="preserve"> </w:t>
      </w:r>
      <w:r w:rsidRPr="00B8195F" w:rsidR="00B8195F">
        <w:rPr>
          <w:rFonts w:ascii="Times New Roman" w:hAnsi="Times New Roman" w:cs="Times New Roman"/>
          <w:sz w:val="24"/>
          <w:szCs w:val="24"/>
        </w:rPr>
        <w:t xml:space="preserve">interested </w:t>
      </w:r>
      <w:r w:rsidR="004F3A33">
        <w:rPr>
          <w:rFonts w:ascii="Times New Roman" w:hAnsi="Times New Roman" w:cs="Times New Roman"/>
          <w:sz w:val="24"/>
          <w:szCs w:val="24"/>
        </w:rPr>
        <w:t xml:space="preserve">only </w:t>
      </w:r>
      <w:r w:rsidRPr="00B8195F" w:rsidR="00B8195F">
        <w:rPr>
          <w:rFonts w:ascii="Times New Roman" w:hAnsi="Times New Roman" w:cs="Times New Roman"/>
          <w:sz w:val="24"/>
          <w:szCs w:val="24"/>
        </w:rPr>
        <w:t>in certificates</w:t>
      </w:r>
      <w:r w:rsidR="004F3A33">
        <w:rPr>
          <w:rFonts w:ascii="Times New Roman" w:hAnsi="Times New Roman" w:cs="Times New Roman"/>
          <w:sz w:val="24"/>
          <w:szCs w:val="24"/>
        </w:rPr>
        <w:t xml:space="preserve"> that indicate the completion of a program of study</w:t>
      </w:r>
      <w:r w:rsidR="00C8765B">
        <w:rPr>
          <w:rFonts w:ascii="Times New Roman" w:hAnsi="Times New Roman" w:cs="Times New Roman"/>
          <w:sz w:val="24"/>
          <w:szCs w:val="24"/>
        </w:rPr>
        <w:t>.</w:t>
      </w:r>
    </w:p>
    <w:p w:rsidR="00F62B79" w:rsidP="008B5C08" w:rsidRDefault="007818DC" w14:paraId="0E4BD393" w14:textId="40A6C87D">
      <w:pPr>
        <w:rPr>
          <w:rFonts w:ascii="Times New Roman" w:hAnsi="Times New Roman" w:cs="Times New Roman"/>
          <w:sz w:val="24"/>
          <w:szCs w:val="24"/>
        </w:rPr>
      </w:pPr>
      <w:r>
        <w:rPr>
          <w:rFonts w:ascii="Times New Roman" w:hAnsi="Times New Roman" w:cs="Times New Roman"/>
          <w:i/>
          <w:sz w:val="24"/>
          <w:szCs w:val="24"/>
        </w:rPr>
        <w:t>5</w:t>
      </w:r>
      <w:r w:rsidR="00F62B79">
        <w:rPr>
          <w:rFonts w:ascii="Times New Roman" w:hAnsi="Times New Roman" w:cs="Times New Roman"/>
          <w:i/>
          <w:sz w:val="24"/>
          <w:szCs w:val="24"/>
        </w:rPr>
        <w:t>.3. Additional operational details</w:t>
      </w:r>
    </w:p>
    <w:p w:rsidR="002F186D" w:rsidP="008B5C08" w:rsidRDefault="00AF68F8" w14:paraId="7BF939FF" w14:textId="02BE5CF4">
      <w:pPr>
        <w:rPr>
          <w:rFonts w:ascii="Times New Roman" w:hAnsi="Times New Roman" w:cs="Times New Roman"/>
          <w:sz w:val="24"/>
          <w:szCs w:val="24"/>
        </w:rPr>
      </w:pPr>
      <w:r>
        <w:rPr>
          <w:rFonts w:ascii="Times New Roman" w:hAnsi="Times New Roman" w:cs="Times New Roman"/>
          <w:sz w:val="24"/>
          <w:szCs w:val="24"/>
        </w:rPr>
        <w:lastRenderedPageBreak/>
        <w:t xml:space="preserve">The randomized methodological experiments </w:t>
      </w:r>
      <w:r w:rsidR="00294FE3">
        <w:rPr>
          <w:rFonts w:ascii="Times New Roman" w:hAnsi="Times New Roman" w:cs="Times New Roman"/>
          <w:sz w:val="24"/>
          <w:szCs w:val="24"/>
        </w:rPr>
        <w:t xml:space="preserve">that apply to the NTEWS production sample </w:t>
      </w:r>
      <w:r>
        <w:rPr>
          <w:rFonts w:ascii="Times New Roman" w:hAnsi="Times New Roman" w:cs="Times New Roman"/>
          <w:sz w:val="24"/>
          <w:szCs w:val="24"/>
        </w:rPr>
        <w:t xml:space="preserve">will not apply to the seeded sample. All seeded sample </w:t>
      </w:r>
      <w:r w:rsidR="00AF7F45">
        <w:rPr>
          <w:rFonts w:ascii="Times New Roman" w:hAnsi="Times New Roman" w:cs="Times New Roman"/>
          <w:sz w:val="24"/>
          <w:szCs w:val="24"/>
        </w:rPr>
        <w:t xml:space="preserve">members </w:t>
      </w:r>
      <w:r>
        <w:rPr>
          <w:rFonts w:ascii="Times New Roman" w:hAnsi="Times New Roman" w:cs="Times New Roman"/>
          <w:sz w:val="24"/>
          <w:szCs w:val="24"/>
        </w:rPr>
        <w:t xml:space="preserve">will </w:t>
      </w:r>
      <w:r w:rsidR="00AF7F45">
        <w:rPr>
          <w:rFonts w:ascii="Times New Roman" w:hAnsi="Times New Roman" w:cs="Times New Roman"/>
          <w:sz w:val="24"/>
          <w:szCs w:val="24"/>
        </w:rPr>
        <w:t>receive the same contact</w:t>
      </w:r>
      <w:r w:rsidR="00AA0328">
        <w:rPr>
          <w:rFonts w:ascii="Times New Roman" w:hAnsi="Times New Roman" w:cs="Times New Roman"/>
          <w:sz w:val="24"/>
          <w:szCs w:val="24"/>
        </w:rPr>
        <w:t xml:space="preserve"> </w:t>
      </w:r>
      <w:r w:rsidR="0062299B">
        <w:rPr>
          <w:rFonts w:ascii="Times New Roman" w:hAnsi="Times New Roman" w:cs="Times New Roman"/>
          <w:sz w:val="24"/>
          <w:szCs w:val="24"/>
        </w:rPr>
        <w:t>materials</w:t>
      </w:r>
      <w:r w:rsidR="00AF7F45">
        <w:rPr>
          <w:rFonts w:ascii="Times New Roman" w:hAnsi="Times New Roman" w:cs="Times New Roman"/>
          <w:sz w:val="24"/>
          <w:szCs w:val="24"/>
        </w:rPr>
        <w:t xml:space="preserve"> as the </w:t>
      </w:r>
      <w:r w:rsidRPr="002168F8">
        <w:rPr>
          <w:rFonts w:ascii="Times New Roman" w:hAnsi="Times New Roman" w:cs="Times New Roman"/>
          <w:i/>
          <w:iCs/>
          <w:sz w:val="24"/>
          <w:szCs w:val="24"/>
        </w:rPr>
        <w:t>NSCG</w:t>
      </w:r>
      <w:r w:rsidR="00AF7F45">
        <w:rPr>
          <w:rFonts w:ascii="Times New Roman" w:hAnsi="Times New Roman" w:cs="Times New Roman"/>
          <w:sz w:val="24"/>
          <w:szCs w:val="24"/>
        </w:rPr>
        <w:t xml:space="preserve"> treatment group</w:t>
      </w:r>
      <w:r>
        <w:rPr>
          <w:rFonts w:ascii="Times New Roman" w:hAnsi="Times New Roman" w:cs="Times New Roman"/>
          <w:sz w:val="24"/>
          <w:szCs w:val="24"/>
        </w:rPr>
        <w:t xml:space="preserve"> (</w:t>
      </w:r>
      <w:r w:rsidRPr="000F3567">
        <w:rPr>
          <w:rFonts w:ascii="Times New Roman" w:hAnsi="Times New Roman" w:cs="Times New Roman"/>
          <w:sz w:val="24"/>
          <w:szCs w:val="24"/>
        </w:rPr>
        <w:t xml:space="preserve">table </w:t>
      </w:r>
      <w:r w:rsidRPr="000F3567" w:rsidR="000F3567">
        <w:rPr>
          <w:rFonts w:ascii="Times New Roman" w:hAnsi="Times New Roman" w:cs="Times New Roman"/>
          <w:sz w:val="24"/>
          <w:szCs w:val="24"/>
        </w:rPr>
        <w:t>C</w:t>
      </w:r>
      <w:r w:rsidRPr="000F3567">
        <w:rPr>
          <w:rFonts w:ascii="Times New Roman" w:hAnsi="Times New Roman" w:cs="Times New Roman"/>
          <w:sz w:val="24"/>
          <w:szCs w:val="24"/>
        </w:rPr>
        <w:t>.</w:t>
      </w:r>
      <w:r w:rsidRPr="000F3567" w:rsidR="00754A5B">
        <w:rPr>
          <w:rFonts w:ascii="Times New Roman" w:hAnsi="Times New Roman" w:cs="Times New Roman"/>
          <w:sz w:val="24"/>
          <w:szCs w:val="24"/>
        </w:rPr>
        <w:t>2</w:t>
      </w:r>
      <w:r w:rsidRPr="000F3567">
        <w:rPr>
          <w:rFonts w:ascii="Times New Roman" w:hAnsi="Times New Roman" w:cs="Times New Roman"/>
          <w:sz w:val="24"/>
          <w:szCs w:val="24"/>
        </w:rPr>
        <w:t xml:space="preserve">, </w:t>
      </w:r>
      <w:r w:rsidRPr="000F3567">
        <w:rPr>
          <w:rFonts w:ascii="Times New Roman" w:hAnsi="Times New Roman" w:cs="Times New Roman"/>
          <w:i/>
          <w:sz w:val="24"/>
          <w:szCs w:val="24"/>
        </w:rPr>
        <w:t>NSCG</w:t>
      </w:r>
      <w:r>
        <w:rPr>
          <w:rFonts w:ascii="Times New Roman" w:hAnsi="Times New Roman" w:cs="Times New Roman"/>
          <w:i/>
          <w:sz w:val="24"/>
          <w:szCs w:val="24"/>
        </w:rPr>
        <w:t xml:space="preserve"> </w:t>
      </w:r>
      <w:r>
        <w:rPr>
          <w:rFonts w:ascii="Times New Roman" w:hAnsi="Times New Roman" w:cs="Times New Roman"/>
          <w:sz w:val="24"/>
          <w:szCs w:val="24"/>
        </w:rPr>
        <w:t>column).</w:t>
      </w:r>
      <w:r w:rsidR="00DB64D5">
        <w:rPr>
          <w:rFonts w:ascii="Times New Roman" w:hAnsi="Times New Roman" w:cs="Times New Roman"/>
          <w:sz w:val="24"/>
          <w:szCs w:val="24"/>
        </w:rPr>
        <w:t xml:space="preserve"> </w:t>
      </w:r>
    </w:p>
    <w:p w:rsidRPr="00AF68F8" w:rsidR="00AF68F8" w:rsidP="008B5C08" w:rsidRDefault="00DB64D5" w14:paraId="6849EC12" w14:textId="04F261AB">
      <w:pPr>
        <w:rPr>
          <w:rFonts w:ascii="Times New Roman" w:hAnsi="Times New Roman" w:cs="Times New Roman"/>
          <w:sz w:val="24"/>
          <w:szCs w:val="24"/>
        </w:rPr>
      </w:pPr>
      <w:r>
        <w:rPr>
          <w:rFonts w:ascii="Times New Roman" w:hAnsi="Times New Roman" w:cs="Times New Roman"/>
          <w:sz w:val="24"/>
          <w:szCs w:val="24"/>
        </w:rPr>
        <w:t xml:space="preserve">To ensure a sufficient number of respondents for reliable analysis, </w:t>
      </w:r>
      <w:r w:rsidR="002F186D">
        <w:rPr>
          <w:rFonts w:ascii="Times New Roman" w:hAnsi="Times New Roman" w:cs="Times New Roman"/>
          <w:sz w:val="24"/>
          <w:szCs w:val="24"/>
        </w:rPr>
        <w:t xml:space="preserve">seeded sample members will receive </w:t>
      </w:r>
      <w:r w:rsidR="009F4F0D">
        <w:rPr>
          <w:rFonts w:ascii="Times New Roman" w:hAnsi="Times New Roman" w:cs="Times New Roman"/>
          <w:sz w:val="24"/>
          <w:szCs w:val="24"/>
        </w:rPr>
        <w:t xml:space="preserve">a $10 noncontingent debit card incentive with the </w:t>
      </w:r>
      <w:r w:rsidR="00304959">
        <w:rPr>
          <w:rFonts w:ascii="Times New Roman" w:hAnsi="Times New Roman" w:cs="Times New Roman"/>
          <w:sz w:val="24"/>
          <w:szCs w:val="24"/>
        </w:rPr>
        <w:t xml:space="preserve">first </w:t>
      </w:r>
      <w:r w:rsidR="00A76231">
        <w:rPr>
          <w:rFonts w:ascii="Times New Roman" w:hAnsi="Times New Roman" w:cs="Times New Roman"/>
          <w:sz w:val="24"/>
          <w:szCs w:val="24"/>
        </w:rPr>
        <w:t xml:space="preserve">mailing (i.e., the same as the </w:t>
      </w:r>
      <w:r w:rsidR="00A76231">
        <w:rPr>
          <w:rFonts w:ascii="Times New Roman" w:hAnsi="Times New Roman" w:cs="Times New Roman"/>
          <w:i/>
          <w:iCs/>
          <w:sz w:val="24"/>
          <w:szCs w:val="24"/>
        </w:rPr>
        <w:t>INC10</w:t>
      </w:r>
      <w:r w:rsidR="00A76231">
        <w:rPr>
          <w:rFonts w:ascii="Times New Roman" w:hAnsi="Times New Roman" w:cs="Times New Roman"/>
          <w:sz w:val="24"/>
          <w:szCs w:val="24"/>
        </w:rPr>
        <w:t xml:space="preserve"> treatment group in the </w:t>
      </w:r>
      <w:r w:rsidR="00550BB6">
        <w:rPr>
          <w:rFonts w:ascii="Times New Roman" w:hAnsi="Times New Roman" w:cs="Times New Roman"/>
          <w:sz w:val="24"/>
          <w:szCs w:val="24"/>
        </w:rPr>
        <w:t>national sample)</w:t>
      </w:r>
      <w:r w:rsidR="009F4F0D">
        <w:rPr>
          <w:rFonts w:ascii="Times New Roman" w:hAnsi="Times New Roman" w:cs="Times New Roman"/>
          <w:sz w:val="24"/>
          <w:szCs w:val="24"/>
        </w:rPr>
        <w:t xml:space="preserve">. </w:t>
      </w:r>
      <w:r w:rsidR="00140900">
        <w:rPr>
          <w:rFonts w:ascii="Times New Roman" w:hAnsi="Times New Roman" w:cs="Times New Roman"/>
          <w:sz w:val="24"/>
          <w:szCs w:val="24"/>
        </w:rPr>
        <w:t xml:space="preserve">In the most recent seeded sample evaluation (conducted as part of the 2016 ATES), </w:t>
      </w:r>
      <w:r w:rsidR="00C942F8">
        <w:rPr>
          <w:rFonts w:ascii="Times New Roman" w:hAnsi="Times New Roman" w:cs="Times New Roman"/>
          <w:sz w:val="24"/>
          <w:szCs w:val="24"/>
        </w:rPr>
        <w:t xml:space="preserve">seeded sample members were sent a $5 cash incentive. </w:t>
      </w:r>
      <w:r w:rsidR="003A6C6A">
        <w:rPr>
          <w:rFonts w:ascii="Times New Roman" w:hAnsi="Times New Roman" w:cs="Times New Roman"/>
          <w:sz w:val="24"/>
          <w:szCs w:val="24"/>
        </w:rPr>
        <w:t xml:space="preserve">As noted above, </w:t>
      </w:r>
      <w:r w:rsidR="004729AA">
        <w:rPr>
          <w:rFonts w:ascii="Times New Roman" w:hAnsi="Times New Roman" w:cs="Times New Roman"/>
          <w:sz w:val="24"/>
          <w:szCs w:val="24"/>
        </w:rPr>
        <w:t xml:space="preserve">based on existing literature, </w:t>
      </w:r>
      <w:r w:rsidR="000D1D3C">
        <w:rPr>
          <w:rFonts w:ascii="Times New Roman" w:hAnsi="Times New Roman" w:cs="Times New Roman"/>
          <w:sz w:val="24"/>
          <w:szCs w:val="24"/>
        </w:rPr>
        <w:t>NCSES hypothesize</w:t>
      </w:r>
      <w:r w:rsidR="000C3EC5">
        <w:rPr>
          <w:rFonts w:ascii="Times New Roman" w:hAnsi="Times New Roman" w:cs="Times New Roman"/>
          <w:sz w:val="24"/>
          <w:szCs w:val="24"/>
        </w:rPr>
        <w:t>s</w:t>
      </w:r>
      <w:r w:rsidR="000D1D3C">
        <w:rPr>
          <w:rFonts w:ascii="Times New Roman" w:hAnsi="Times New Roman" w:cs="Times New Roman"/>
          <w:sz w:val="24"/>
          <w:szCs w:val="24"/>
        </w:rPr>
        <w:t xml:space="preserve"> </w:t>
      </w:r>
      <w:r w:rsidR="00A039B5">
        <w:rPr>
          <w:rFonts w:ascii="Times New Roman" w:hAnsi="Times New Roman" w:cs="Times New Roman"/>
          <w:sz w:val="24"/>
          <w:szCs w:val="24"/>
        </w:rPr>
        <w:t xml:space="preserve">that a $10 debit card incentive </w:t>
      </w:r>
      <w:r w:rsidR="0069471F">
        <w:rPr>
          <w:rFonts w:ascii="Times New Roman" w:hAnsi="Times New Roman" w:cs="Times New Roman"/>
          <w:sz w:val="24"/>
          <w:szCs w:val="24"/>
        </w:rPr>
        <w:t xml:space="preserve">will be approximately the equivalent of the $5 cash incentive and that this is </w:t>
      </w:r>
      <w:r w:rsidR="00FE6443">
        <w:rPr>
          <w:rFonts w:ascii="Times New Roman" w:hAnsi="Times New Roman" w:cs="Times New Roman"/>
          <w:sz w:val="24"/>
          <w:szCs w:val="24"/>
        </w:rPr>
        <w:t xml:space="preserve">therefore </w:t>
      </w:r>
      <w:r w:rsidR="0069471F">
        <w:rPr>
          <w:rFonts w:ascii="Times New Roman" w:hAnsi="Times New Roman" w:cs="Times New Roman"/>
          <w:sz w:val="24"/>
          <w:szCs w:val="24"/>
        </w:rPr>
        <w:t xml:space="preserve">the appropriate incentive level to achieve the expected response rate in the seeded sample. </w:t>
      </w:r>
    </w:p>
    <w:p w:rsidR="00F62B79" w:rsidP="008B5C08" w:rsidRDefault="007818DC" w14:paraId="6751BB77" w14:textId="41A4B94B">
      <w:pPr>
        <w:rPr>
          <w:rFonts w:ascii="Times New Roman" w:hAnsi="Times New Roman" w:cs="Times New Roman"/>
          <w:sz w:val="24"/>
          <w:szCs w:val="24"/>
        </w:rPr>
      </w:pPr>
      <w:r>
        <w:rPr>
          <w:rFonts w:ascii="Times New Roman" w:hAnsi="Times New Roman" w:cs="Times New Roman"/>
          <w:i/>
          <w:sz w:val="24"/>
          <w:szCs w:val="24"/>
        </w:rPr>
        <w:t>5</w:t>
      </w:r>
      <w:r w:rsidR="00F62B79">
        <w:rPr>
          <w:rFonts w:ascii="Times New Roman" w:hAnsi="Times New Roman" w:cs="Times New Roman"/>
          <w:i/>
          <w:sz w:val="24"/>
          <w:szCs w:val="24"/>
        </w:rPr>
        <w:t xml:space="preserve">.4. </w:t>
      </w:r>
      <w:r w:rsidR="0083045F">
        <w:rPr>
          <w:rFonts w:ascii="Times New Roman" w:hAnsi="Times New Roman" w:cs="Times New Roman"/>
          <w:i/>
          <w:sz w:val="24"/>
          <w:szCs w:val="24"/>
        </w:rPr>
        <w:t>U</w:t>
      </w:r>
      <w:r w:rsidR="00EE2971">
        <w:rPr>
          <w:rFonts w:ascii="Times New Roman" w:hAnsi="Times New Roman" w:cs="Times New Roman"/>
          <w:i/>
          <w:sz w:val="24"/>
          <w:szCs w:val="24"/>
        </w:rPr>
        <w:t xml:space="preserve">se of </w:t>
      </w:r>
      <w:r w:rsidR="00E37FBB">
        <w:rPr>
          <w:rFonts w:ascii="Times New Roman" w:hAnsi="Times New Roman" w:cs="Times New Roman"/>
          <w:i/>
          <w:sz w:val="24"/>
          <w:szCs w:val="24"/>
        </w:rPr>
        <w:t>results</w:t>
      </w:r>
    </w:p>
    <w:p w:rsidR="00230840" w:rsidP="00C54AB3" w:rsidRDefault="00013BFC" w14:paraId="0247185F" w14:textId="01D75066">
      <w:pPr>
        <w:rPr>
          <w:rFonts w:ascii="Times New Roman" w:hAnsi="Times New Roman" w:cs="Times New Roman"/>
          <w:sz w:val="24"/>
          <w:szCs w:val="24"/>
        </w:rPr>
      </w:pPr>
      <w:r>
        <w:rPr>
          <w:rFonts w:ascii="Times New Roman" w:hAnsi="Times New Roman" w:cs="Times New Roman"/>
          <w:sz w:val="24"/>
          <w:szCs w:val="24"/>
        </w:rPr>
        <w:t xml:space="preserve">As previously mentioned, </w:t>
      </w:r>
      <w:r w:rsidR="001F52DF">
        <w:rPr>
          <w:rFonts w:ascii="Times New Roman" w:hAnsi="Times New Roman" w:cs="Times New Roman"/>
          <w:sz w:val="24"/>
          <w:szCs w:val="24"/>
        </w:rPr>
        <w:t xml:space="preserve">NCSES will </w:t>
      </w:r>
      <w:r w:rsidR="008376F8">
        <w:rPr>
          <w:rFonts w:ascii="Times New Roman" w:hAnsi="Times New Roman" w:cs="Times New Roman"/>
          <w:sz w:val="24"/>
          <w:szCs w:val="24"/>
        </w:rPr>
        <w:t xml:space="preserve">use the seeded sample results to </w:t>
      </w:r>
      <w:r w:rsidR="0009660E">
        <w:rPr>
          <w:rFonts w:ascii="Times New Roman" w:hAnsi="Times New Roman" w:cs="Times New Roman"/>
          <w:sz w:val="24"/>
          <w:szCs w:val="24"/>
        </w:rPr>
        <w:t xml:space="preserve">determine whether </w:t>
      </w:r>
      <w:r w:rsidR="00AF3F14">
        <w:rPr>
          <w:rFonts w:ascii="Times New Roman" w:hAnsi="Times New Roman" w:cs="Times New Roman"/>
          <w:sz w:val="24"/>
          <w:szCs w:val="24"/>
        </w:rPr>
        <w:t xml:space="preserve">the </w:t>
      </w:r>
      <w:r w:rsidR="00800952">
        <w:rPr>
          <w:rFonts w:ascii="Times New Roman" w:hAnsi="Times New Roman" w:cs="Times New Roman"/>
          <w:sz w:val="24"/>
          <w:szCs w:val="24"/>
        </w:rPr>
        <w:t xml:space="preserve">NTEWS certificate </w:t>
      </w:r>
      <w:r w:rsidR="00AF605F">
        <w:rPr>
          <w:rFonts w:ascii="Times New Roman" w:hAnsi="Times New Roman" w:cs="Times New Roman"/>
          <w:sz w:val="24"/>
          <w:szCs w:val="24"/>
        </w:rPr>
        <w:t>data can be included in NTEWS data products</w:t>
      </w:r>
      <w:r w:rsidR="00800952">
        <w:rPr>
          <w:rFonts w:ascii="Times New Roman" w:hAnsi="Times New Roman" w:cs="Times New Roman"/>
          <w:sz w:val="24"/>
          <w:szCs w:val="24"/>
        </w:rPr>
        <w:t xml:space="preserve">, </w:t>
      </w:r>
      <w:r w:rsidR="00B02230">
        <w:rPr>
          <w:rFonts w:ascii="Times New Roman" w:hAnsi="Times New Roman" w:cs="Times New Roman"/>
          <w:sz w:val="24"/>
          <w:szCs w:val="24"/>
        </w:rPr>
        <w:t>or whether further revision</w:t>
      </w:r>
      <w:r w:rsidR="00057644">
        <w:rPr>
          <w:rFonts w:ascii="Times New Roman" w:hAnsi="Times New Roman" w:cs="Times New Roman"/>
          <w:sz w:val="24"/>
          <w:szCs w:val="24"/>
        </w:rPr>
        <w:t>s to the item</w:t>
      </w:r>
      <w:r w:rsidR="00B02230">
        <w:rPr>
          <w:rFonts w:ascii="Times New Roman" w:hAnsi="Times New Roman" w:cs="Times New Roman"/>
          <w:sz w:val="24"/>
          <w:szCs w:val="24"/>
        </w:rPr>
        <w:t xml:space="preserve"> </w:t>
      </w:r>
      <w:r w:rsidR="00057644">
        <w:rPr>
          <w:rFonts w:ascii="Times New Roman" w:hAnsi="Times New Roman" w:cs="Times New Roman"/>
          <w:sz w:val="24"/>
          <w:szCs w:val="24"/>
        </w:rPr>
        <w:t>are</w:t>
      </w:r>
      <w:r w:rsidR="00B02230">
        <w:rPr>
          <w:rFonts w:ascii="Times New Roman" w:hAnsi="Times New Roman" w:cs="Times New Roman"/>
          <w:sz w:val="24"/>
          <w:szCs w:val="24"/>
        </w:rPr>
        <w:t xml:space="preserve"> needed </w:t>
      </w:r>
      <w:r w:rsidR="00CE0597">
        <w:rPr>
          <w:rFonts w:ascii="Times New Roman" w:hAnsi="Times New Roman" w:cs="Times New Roman"/>
          <w:sz w:val="24"/>
          <w:szCs w:val="24"/>
        </w:rPr>
        <w:t xml:space="preserve">for future NTEWS cycles </w:t>
      </w:r>
      <w:r w:rsidR="00B02230">
        <w:rPr>
          <w:rFonts w:ascii="Times New Roman" w:hAnsi="Times New Roman" w:cs="Times New Roman"/>
          <w:sz w:val="24"/>
          <w:szCs w:val="24"/>
        </w:rPr>
        <w:t xml:space="preserve">to </w:t>
      </w:r>
      <w:r w:rsidR="009154C2">
        <w:rPr>
          <w:rFonts w:ascii="Times New Roman" w:hAnsi="Times New Roman" w:cs="Times New Roman"/>
          <w:sz w:val="24"/>
          <w:szCs w:val="24"/>
        </w:rPr>
        <w:t>attain sufficient data quality</w:t>
      </w:r>
      <w:r w:rsidR="002734D7">
        <w:rPr>
          <w:rFonts w:ascii="Times New Roman" w:hAnsi="Times New Roman" w:cs="Times New Roman"/>
          <w:sz w:val="24"/>
          <w:szCs w:val="24"/>
        </w:rPr>
        <w:t xml:space="preserve"> for the production of official estimates</w:t>
      </w:r>
      <w:r w:rsidR="009154C2">
        <w:rPr>
          <w:rFonts w:ascii="Times New Roman" w:hAnsi="Times New Roman" w:cs="Times New Roman"/>
          <w:sz w:val="24"/>
          <w:szCs w:val="24"/>
        </w:rPr>
        <w:t xml:space="preserve">. </w:t>
      </w:r>
      <w:r w:rsidR="00DF2EB2">
        <w:rPr>
          <w:rFonts w:ascii="Times New Roman" w:hAnsi="Times New Roman" w:cs="Times New Roman"/>
          <w:sz w:val="24"/>
          <w:szCs w:val="24"/>
        </w:rPr>
        <w:t xml:space="preserve">The analysis will be conducted </w:t>
      </w:r>
      <w:r w:rsidR="009B7C7A">
        <w:rPr>
          <w:rFonts w:ascii="Times New Roman" w:hAnsi="Times New Roman" w:cs="Times New Roman"/>
          <w:sz w:val="24"/>
          <w:szCs w:val="24"/>
        </w:rPr>
        <w:t xml:space="preserve">shortly after the completion of data collection to allow decisions on the release of estimates and/or further revisions to the item to be made </w:t>
      </w:r>
      <w:r w:rsidR="00DC56E8">
        <w:rPr>
          <w:rFonts w:ascii="Times New Roman" w:hAnsi="Times New Roman" w:cs="Times New Roman"/>
          <w:sz w:val="24"/>
          <w:szCs w:val="24"/>
        </w:rPr>
        <w:t>in a timely manner.</w:t>
      </w:r>
    </w:p>
    <w:p w:rsidR="00230840" w:rsidP="00C54AB3" w:rsidRDefault="00B9180B" w14:paraId="225B6273" w14:textId="23AACF09">
      <w:pPr>
        <w:rPr>
          <w:rFonts w:ascii="Times New Roman" w:hAnsi="Times New Roman" w:cs="Times New Roman"/>
          <w:sz w:val="24"/>
          <w:szCs w:val="24"/>
        </w:rPr>
      </w:pPr>
      <w:r>
        <w:rPr>
          <w:rFonts w:ascii="Times New Roman" w:hAnsi="Times New Roman" w:cs="Times New Roman"/>
          <w:sz w:val="24"/>
          <w:szCs w:val="24"/>
        </w:rPr>
        <w:t>In particular, the following dimensions will be considered in evaluating the quality of the existing NTEWS certificate item:</w:t>
      </w:r>
    </w:p>
    <w:p w:rsidR="00B9180B" w:rsidP="009230C6" w:rsidRDefault="009230C6" w14:paraId="6AD56056" w14:textId="2B36CC2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 xml:space="preserve">overall </w:t>
      </w:r>
      <w:r w:rsidR="00696592">
        <w:rPr>
          <w:rFonts w:ascii="Times New Roman" w:hAnsi="Times New Roman" w:cs="Times New Roman"/>
          <w:b/>
          <w:bCs/>
          <w:sz w:val="24"/>
          <w:szCs w:val="24"/>
        </w:rPr>
        <w:t xml:space="preserve">certificate </w:t>
      </w:r>
      <w:r>
        <w:rPr>
          <w:rFonts w:ascii="Times New Roman" w:hAnsi="Times New Roman" w:cs="Times New Roman"/>
          <w:b/>
          <w:bCs/>
          <w:sz w:val="24"/>
          <w:szCs w:val="24"/>
        </w:rPr>
        <w:t>underreporting rate</w:t>
      </w:r>
      <w:r w:rsidR="00435824">
        <w:rPr>
          <w:rFonts w:ascii="Times New Roman" w:hAnsi="Times New Roman" w:cs="Times New Roman"/>
          <w:sz w:val="24"/>
          <w:szCs w:val="24"/>
        </w:rPr>
        <w:t xml:space="preserve">: the percentage of all seeded sample respondents who report that they do not hold a certificate. </w:t>
      </w:r>
      <w:r w:rsidR="00905050">
        <w:rPr>
          <w:rFonts w:ascii="Times New Roman" w:hAnsi="Times New Roman" w:cs="Times New Roman"/>
          <w:sz w:val="24"/>
          <w:szCs w:val="24"/>
        </w:rPr>
        <w:t xml:space="preserve">This percentage can be interpreted as an underreporting rate because the seeded sample will consist of known certificate recipients. </w:t>
      </w:r>
      <w:r w:rsidR="00696592">
        <w:rPr>
          <w:rFonts w:ascii="Times New Roman" w:hAnsi="Times New Roman" w:cs="Times New Roman"/>
          <w:sz w:val="24"/>
          <w:szCs w:val="24"/>
        </w:rPr>
        <w:t>This rate will be compared to the overall certificate underreporting rates observed in the 2010, 2014, and 2016 seeded sample efforts to assess whether the most recent revisions to the item have meaningfully reduced measurement error.</w:t>
      </w:r>
    </w:p>
    <w:p w:rsidR="002827F5" w:rsidP="00860824" w:rsidRDefault="002827F5" w14:paraId="7043E02B" w14:textId="3B4C3A27">
      <w:pPr>
        <w:pStyle w:val="ListParagraph"/>
        <w:numPr>
          <w:ilvl w:val="0"/>
          <w:numId w:val="15"/>
        </w:numPr>
        <w:rPr>
          <w:rFonts w:ascii="Times New Roman" w:hAnsi="Times New Roman" w:cs="Times New Roman"/>
          <w:sz w:val="24"/>
          <w:szCs w:val="24"/>
        </w:rPr>
      </w:pPr>
      <w:r>
        <w:rPr>
          <w:rFonts w:ascii="Times New Roman" w:hAnsi="Times New Roman" w:cs="Times New Roman"/>
          <w:b/>
          <w:bCs/>
          <w:sz w:val="24"/>
          <w:szCs w:val="24"/>
        </w:rPr>
        <w:t>Certificate underreporting rates by subgroup</w:t>
      </w:r>
      <w:r>
        <w:rPr>
          <w:rFonts w:ascii="Times New Roman" w:hAnsi="Times New Roman" w:cs="Times New Roman"/>
          <w:sz w:val="24"/>
          <w:szCs w:val="24"/>
        </w:rPr>
        <w:t xml:space="preserve">: the underreporting rate will be calculated within key subgroups of interest. </w:t>
      </w:r>
      <w:r w:rsidR="002F2CD6">
        <w:rPr>
          <w:rFonts w:ascii="Times New Roman" w:hAnsi="Times New Roman" w:cs="Times New Roman"/>
          <w:sz w:val="24"/>
          <w:szCs w:val="24"/>
        </w:rPr>
        <w:t xml:space="preserve">This will allow NCSES to assess whether any observed underreporting appears to be related to specific characteristics </w:t>
      </w:r>
      <w:r w:rsidR="004B4344">
        <w:rPr>
          <w:rFonts w:ascii="Times New Roman" w:hAnsi="Times New Roman" w:cs="Times New Roman"/>
          <w:sz w:val="24"/>
          <w:szCs w:val="24"/>
        </w:rPr>
        <w:t>of the</w:t>
      </w:r>
      <w:r w:rsidR="00F34BF5">
        <w:rPr>
          <w:rFonts w:ascii="Times New Roman" w:hAnsi="Times New Roman" w:cs="Times New Roman"/>
          <w:sz w:val="24"/>
          <w:szCs w:val="24"/>
        </w:rPr>
        <w:t xml:space="preserve"> postsecondary</w:t>
      </w:r>
      <w:r w:rsidR="004B4344">
        <w:rPr>
          <w:rFonts w:ascii="Times New Roman" w:hAnsi="Times New Roman" w:cs="Times New Roman"/>
          <w:sz w:val="24"/>
          <w:szCs w:val="24"/>
        </w:rPr>
        <w:t xml:space="preserve"> certificate and/or the respondent</w:t>
      </w:r>
      <w:r w:rsidR="00B82CAB">
        <w:rPr>
          <w:rFonts w:ascii="Times New Roman" w:hAnsi="Times New Roman" w:cs="Times New Roman"/>
          <w:sz w:val="24"/>
          <w:szCs w:val="24"/>
        </w:rPr>
        <w:t xml:space="preserve"> and thereby inform potential future revisions to the item</w:t>
      </w:r>
      <w:r w:rsidR="002F2CD6">
        <w:rPr>
          <w:rFonts w:ascii="Times New Roman" w:hAnsi="Times New Roman" w:cs="Times New Roman"/>
          <w:sz w:val="24"/>
          <w:szCs w:val="24"/>
        </w:rPr>
        <w:t xml:space="preserve">. </w:t>
      </w:r>
      <w:r>
        <w:rPr>
          <w:rFonts w:ascii="Times New Roman" w:hAnsi="Times New Roman" w:cs="Times New Roman"/>
          <w:sz w:val="24"/>
          <w:szCs w:val="24"/>
        </w:rPr>
        <w:t>At a minimum, underreporting rates will be broken out by labor force status, occupational groups, whether the respondent also reported holding a certification or license</w:t>
      </w:r>
      <w:r w:rsidR="00F14F28">
        <w:rPr>
          <w:rFonts w:ascii="Times New Roman" w:hAnsi="Times New Roman" w:cs="Times New Roman"/>
          <w:sz w:val="24"/>
          <w:szCs w:val="24"/>
        </w:rPr>
        <w:t>, the field of the certificate, and the number of years since the certificate was awarded</w:t>
      </w:r>
      <w:r w:rsidR="0039406D">
        <w:rPr>
          <w:rFonts w:ascii="Times New Roman" w:hAnsi="Times New Roman" w:cs="Times New Roman"/>
          <w:sz w:val="24"/>
          <w:szCs w:val="24"/>
        </w:rPr>
        <w:t xml:space="preserve">. Prior seeded sample efforts have found that </w:t>
      </w:r>
      <w:r w:rsidR="00A02BA2">
        <w:rPr>
          <w:rFonts w:ascii="Times New Roman" w:hAnsi="Times New Roman" w:cs="Times New Roman"/>
          <w:sz w:val="24"/>
          <w:szCs w:val="24"/>
        </w:rPr>
        <w:t xml:space="preserve">similar </w:t>
      </w:r>
      <w:r w:rsidR="00697EE4">
        <w:rPr>
          <w:rFonts w:ascii="Times New Roman" w:hAnsi="Times New Roman" w:cs="Times New Roman"/>
          <w:sz w:val="24"/>
          <w:szCs w:val="24"/>
        </w:rPr>
        <w:t xml:space="preserve">characteristics were predictive of </w:t>
      </w:r>
      <w:r w:rsidR="00B2791F">
        <w:rPr>
          <w:rFonts w:ascii="Times New Roman" w:hAnsi="Times New Roman" w:cs="Times New Roman"/>
          <w:sz w:val="24"/>
          <w:szCs w:val="24"/>
        </w:rPr>
        <w:t xml:space="preserve">credential </w:t>
      </w:r>
      <w:r w:rsidR="00697EE4">
        <w:rPr>
          <w:rFonts w:ascii="Times New Roman" w:hAnsi="Times New Roman" w:cs="Times New Roman"/>
          <w:sz w:val="24"/>
          <w:szCs w:val="24"/>
        </w:rPr>
        <w:t>underreporting</w:t>
      </w:r>
      <w:r w:rsidR="007878D2">
        <w:rPr>
          <w:rFonts w:ascii="Times New Roman" w:hAnsi="Times New Roman" w:cs="Times New Roman"/>
          <w:sz w:val="24"/>
          <w:szCs w:val="24"/>
        </w:rPr>
        <w:t xml:space="preserve">. </w:t>
      </w:r>
      <w:r w:rsidR="00A6222E">
        <w:rPr>
          <w:rFonts w:ascii="Times New Roman" w:hAnsi="Times New Roman" w:cs="Times New Roman"/>
          <w:sz w:val="24"/>
          <w:szCs w:val="24"/>
        </w:rPr>
        <w:t xml:space="preserve">Multivariate logistic regression will be used to identify characteristics that are predictive of underreporting after controlling for other characteristics. </w:t>
      </w:r>
    </w:p>
    <w:p w:rsidR="009818D4" w:rsidP="00736021" w:rsidRDefault="009818D4" w14:paraId="2C9DE9EE" w14:textId="39B35F2B">
      <w:pPr>
        <w:rPr>
          <w:rFonts w:ascii="Times New Roman" w:hAnsi="Times New Roman" w:cs="Times New Roman"/>
          <w:sz w:val="24"/>
          <w:szCs w:val="24"/>
        </w:rPr>
      </w:pPr>
      <w:r>
        <w:rPr>
          <w:rFonts w:ascii="Times New Roman" w:hAnsi="Times New Roman" w:cs="Times New Roman"/>
          <w:sz w:val="24"/>
          <w:szCs w:val="24"/>
        </w:rPr>
        <w:t>As noted above, to provide further context for the results, NCSES will conduct a literature review to determine whether extant literature suggests an acceptable “cut-off” for the underreporting rate.</w:t>
      </w:r>
    </w:p>
    <w:p w:rsidRPr="00BE68CD" w:rsidR="00736021" w:rsidP="00BE68CD" w:rsidRDefault="00DD2DA8" w14:paraId="5DD73736" w14:textId="4A879FF0">
      <w:pPr>
        <w:rPr>
          <w:rFonts w:ascii="Times New Roman" w:hAnsi="Times New Roman" w:cs="Times New Roman"/>
          <w:sz w:val="24"/>
          <w:szCs w:val="24"/>
        </w:rPr>
      </w:pPr>
      <w:r>
        <w:rPr>
          <w:rFonts w:ascii="Times New Roman" w:hAnsi="Times New Roman" w:cs="Times New Roman"/>
          <w:sz w:val="24"/>
          <w:szCs w:val="24"/>
        </w:rPr>
        <w:lastRenderedPageBreak/>
        <w:t>If the results of this analysis</w:t>
      </w:r>
      <w:r w:rsidR="001B3FCF">
        <w:rPr>
          <w:rFonts w:ascii="Times New Roman" w:hAnsi="Times New Roman" w:cs="Times New Roman"/>
          <w:sz w:val="24"/>
          <w:szCs w:val="24"/>
        </w:rPr>
        <w:t xml:space="preserve"> and literature review</w:t>
      </w:r>
      <w:r>
        <w:rPr>
          <w:rFonts w:ascii="Times New Roman" w:hAnsi="Times New Roman" w:cs="Times New Roman"/>
          <w:sz w:val="24"/>
          <w:szCs w:val="24"/>
        </w:rPr>
        <w:t xml:space="preserve"> indicate that the overall underreporting rate remains unacceptably high, NCSES will consider further changes to the postsecondary certificate questionnaire items. Such revisions could include further re-wording of the items, changing the position of the postsecondary certificate items relative to other sections of the survey, and/or adding clarification text prior to the items.</w:t>
      </w:r>
      <w:r w:rsidR="005223C0">
        <w:rPr>
          <w:rFonts w:ascii="Times New Roman" w:hAnsi="Times New Roman" w:cs="Times New Roman"/>
          <w:sz w:val="24"/>
          <w:szCs w:val="24"/>
        </w:rPr>
        <w:t xml:space="preserve"> </w:t>
      </w:r>
      <w:r w:rsidR="00ED0716">
        <w:rPr>
          <w:rFonts w:ascii="Times New Roman" w:hAnsi="Times New Roman" w:cs="Times New Roman"/>
          <w:sz w:val="24"/>
          <w:szCs w:val="24"/>
        </w:rPr>
        <w:t>The specific revisions selected will depend on the nature o</w:t>
      </w:r>
      <w:r w:rsidR="0098645F">
        <w:rPr>
          <w:rFonts w:ascii="Times New Roman" w:hAnsi="Times New Roman" w:cs="Times New Roman"/>
          <w:sz w:val="24"/>
          <w:szCs w:val="24"/>
        </w:rPr>
        <w:t>f the under-reporting findings; for</w:t>
      </w:r>
      <w:r w:rsidR="005223C0">
        <w:rPr>
          <w:rFonts w:ascii="Times New Roman" w:hAnsi="Times New Roman" w:cs="Times New Roman"/>
          <w:sz w:val="24"/>
          <w:szCs w:val="24"/>
        </w:rPr>
        <w:t xml:space="preserve"> example, if underreporting is particularly high for respondents who also hold a certification, text could be added to clarify that a certificate is different from a certification.</w:t>
      </w:r>
    </w:p>
    <w:p w:rsidR="004A3129" w:rsidP="008B5C08" w:rsidRDefault="007818DC" w14:paraId="49CA064F" w14:textId="34C8924B">
      <w:pPr>
        <w:rPr>
          <w:rFonts w:ascii="Times New Roman" w:hAnsi="Times New Roman" w:cs="Times New Roman"/>
          <w:sz w:val="24"/>
          <w:szCs w:val="24"/>
        </w:rPr>
      </w:pPr>
      <w:r>
        <w:rPr>
          <w:rFonts w:ascii="Times New Roman" w:hAnsi="Times New Roman" w:cs="Times New Roman"/>
          <w:b/>
          <w:sz w:val="24"/>
          <w:szCs w:val="24"/>
          <w:u w:val="single"/>
        </w:rPr>
        <w:t>6</w:t>
      </w:r>
      <w:r w:rsidR="004A3129">
        <w:rPr>
          <w:rFonts w:ascii="Times New Roman" w:hAnsi="Times New Roman" w:cs="Times New Roman"/>
          <w:b/>
          <w:sz w:val="24"/>
          <w:szCs w:val="24"/>
          <w:u w:val="single"/>
        </w:rPr>
        <w:t>. References</w:t>
      </w:r>
    </w:p>
    <w:p w:rsidRPr="00BE483A" w:rsidR="00BE483A" w:rsidP="007D3E4A" w:rsidRDefault="00BE483A" w14:paraId="5C8C2378" w14:textId="13C0D23C">
      <w:pPr>
        <w:ind w:left="720" w:hanging="720"/>
        <w:rPr>
          <w:rFonts w:ascii="Times New Roman" w:hAnsi="Times New Roman" w:cs="Times New Roman"/>
          <w:sz w:val="24"/>
          <w:szCs w:val="24"/>
        </w:rPr>
      </w:pPr>
      <w:r w:rsidRPr="00BE483A">
        <w:rPr>
          <w:rFonts w:ascii="Times New Roman" w:hAnsi="Times New Roman" w:cs="Times New Roman"/>
          <w:sz w:val="24"/>
          <w:szCs w:val="24"/>
        </w:rPr>
        <w:t xml:space="preserve">American Institutes for Research (2013). </w:t>
      </w:r>
      <w:r w:rsidRPr="00BE483A">
        <w:rPr>
          <w:rFonts w:ascii="Times New Roman" w:hAnsi="Times New Roman" w:cs="Times New Roman"/>
          <w:i/>
          <w:iCs/>
          <w:sz w:val="24"/>
          <w:szCs w:val="24"/>
        </w:rPr>
        <w:t>Cognitive interview findings for items to measure certifications, licenses, and educational certificates among adults in the United States</w:t>
      </w:r>
      <w:r w:rsidRPr="00BE483A">
        <w:rPr>
          <w:rFonts w:ascii="Times New Roman" w:hAnsi="Times New Roman" w:cs="Times New Roman"/>
          <w:sz w:val="24"/>
          <w:szCs w:val="24"/>
        </w:rPr>
        <w:t xml:space="preserve">. Retrieved from </w:t>
      </w:r>
      <w:hyperlink w:history="1" r:id="rId12">
        <w:r w:rsidRPr="008667A4">
          <w:rPr>
            <w:rStyle w:val="Hyperlink"/>
            <w:rFonts w:ascii="Times New Roman" w:hAnsi="Times New Roman" w:cs="Times New Roman"/>
            <w:sz w:val="24"/>
            <w:szCs w:val="24"/>
          </w:rPr>
          <w:t>https://nces.ed.gov/surveys/gemena/pdf/FINAL_ATES_cog_int_report_Dec_18_2013.pdf</w:t>
        </w:r>
      </w:hyperlink>
      <w:r w:rsidRPr="008667A4">
        <w:rPr>
          <w:rFonts w:ascii="Times New Roman" w:hAnsi="Times New Roman" w:cs="Times New Roman"/>
          <w:sz w:val="24"/>
          <w:szCs w:val="24"/>
        </w:rPr>
        <w:t xml:space="preserve"> </w:t>
      </w:r>
    </w:p>
    <w:p w:rsidRPr="00B47564" w:rsidR="00B47564" w:rsidP="007D3E4A" w:rsidRDefault="00B47564" w14:paraId="4F628A39" w14:textId="155E4510">
      <w:pPr>
        <w:ind w:left="720" w:hanging="720"/>
        <w:rPr>
          <w:rFonts w:ascii="Times New Roman" w:hAnsi="Times New Roman" w:cs="Times New Roman"/>
          <w:sz w:val="24"/>
          <w:szCs w:val="24"/>
        </w:rPr>
      </w:pPr>
      <w:r w:rsidRPr="00B47564">
        <w:rPr>
          <w:rFonts w:ascii="Times New Roman" w:hAnsi="Times New Roman" w:cs="Times New Roman"/>
          <w:sz w:val="24"/>
          <w:szCs w:val="24"/>
        </w:rPr>
        <w:t>Bailey, J., Lavrakas, P.</w:t>
      </w:r>
      <w:r w:rsidR="009C090C">
        <w:rPr>
          <w:rFonts w:ascii="Times New Roman" w:hAnsi="Times New Roman" w:cs="Times New Roman"/>
          <w:sz w:val="24"/>
          <w:szCs w:val="24"/>
        </w:rPr>
        <w:t xml:space="preserve"> </w:t>
      </w:r>
      <w:r w:rsidRPr="00B47564">
        <w:rPr>
          <w:rFonts w:ascii="Times New Roman" w:hAnsi="Times New Roman" w:cs="Times New Roman"/>
          <w:sz w:val="24"/>
          <w:szCs w:val="24"/>
        </w:rPr>
        <w:t xml:space="preserve">J., </w:t>
      </w:r>
      <w:r w:rsidR="00504C46">
        <w:rPr>
          <w:rFonts w:ascii="Times New Roman" w:hAnsi="Times New Roman" w:cs="Times New Roman"/>
          <w:sz w:val="24"/>
          <w:szCs w:val="24"/>
        </w:rPr>
        <w:t>&amp;</w:t>
      </w:r>
      <w:r w:rsidRPr="00B47564" w:rsidR="00504C46">
        <w:rPr>
          <w:rFonts w:ascii="Times New Roman" w:hAnsi="Times New Roman" w:cs="Times New Roman"/>
          <w:sz w:val="24"/>
          <w:szCs w:val="24"/>
        </w:rPr>
        <w:t xml:space="preserve"> </w:t>
      </w:r>
      <w:r w:rsidRPr="00B47564">
        <w:rPr>
          <w:rFonts w:ascii="Times New Roman" w:hAnsi="Times New Roman" w:cs="Times New Roman"/>
          <w:sz w:val="24"/>
          <w:szCs w:val="24"/>
        </w:rPr>
        <w:t>Bennett, M. (2007</w:t>
      </w:r>
      <w:r w:rsidR="00504C46">
        <w:rPr>
          <w:rFonts w:ascii="Times New Roman" w:hAnsi="Times New Roman" w:cs="Times New Roman"/>
          <w:sz w:val="24"/>
          <w:szCs w:val="24"/>
        </w:rPr>
        <w:t>, May</w:t>
      </w:r>
      <w:r w:rsidRPr="00B47564">
        <w:rPr>
          <w:rFonts w:ascii="Times New Roman" w:hAnsi="Times New Roman" w:cs="Times New Roman"/>
          <w:sz w:val="24"/>
          <w:szCs w:val="24"/>
        </w:rPr>
        <w:t xml:space="preserve">). Cash, </w:t>
      </w:r>
      <w:r w:rsidRPr="00B47564" w:rsidR="00504C46">
        <w:rPr>
          <w:rFonts w:ascii="Times New Roman" w:hAnsi="Times New Roman" w:cs="Times New Roman"/>
          <w:sz w:val="24"/>
          <w:szCs w:val="24"/>
        </w:rPr>
        <w:t>credit, or check</w:t>
      </w:r>
      <w:r w:rsidRPr="00B47564">
        <w:rPr>
          <w:rFonts w:ascii="Times New Roman" w:hAnsi="Times New Roman" w:cs="Times New Roman"/>
          <w:sz w:val="24"/>
          <w:szCs w:val="24"/>
        </w:rPr>
        <w:t xml:space="preserve">: A </w:t>
      </w:r>
      <w:r w:rsidRPr="00B47564" w:rsidR="00504C46">
        <w:rPr>
          <w:rFonts w:ascii="Times New Roman" w:hAnsi="Times New Roman" w:cs="Times New Roman"/>
          <w:sz w:val="24"/>
          <w:szCs w:val="24"/>
        </w:rPr>
        <w:t>test of monetary alternatives to cash incentives</w:t>
      </w:r>
      <w:r w:rsidRPr="00B47564">
        <w:rPr>
          <w:rFonts w:ascii="Times New Roman" w:hAnsi="Times New Roman" w:cs="Times New Roman"/>
          <w:sz w:val="24"/>
          <w:szCs w:val="24"/>
        </w:rPr>
        <w:t>. Presented at the 62nd annual conference of the American Association for Public Opinion Research, Anaheim, CA.</w:t>
      </w:r>
    </w:p>
    <w:p w:rsidRPr="00DA6643" w:rsidR="00DA6643" w:rsidP="007D3E4A" w:rsidRDefault="00DA6643" w14:paraId="76D78042" w14:textId="5307B81E">
      <w:pPr>
        <w:ind w:left="720" w:hanging="720"/>
        <w:rPr>
          <w:rFonts w:ascii="Times New Roman" w:hAnsi="Times New Roman" w:cs="Times New Roman"/>
          <w:sz w:val="24"/>
          <w:szCs w:val="24"/>
        </w:rPr>
      </w:pPr>
      <w:r>
        <w:rPr>
          <w:rFonts w:ascii="Times New Roman" w:hAnsi="Times New Roman" w:cs="Times New Roman"/>
          <w:sz w:val="24"/>
          <w:szCs w:val="24"/>
        </w:rPr>
        <w:t xml:space="preserve">Bielick, S., Cronen, S., Stone, C., Montaquila, J.M., &amp; Roth, S.B. (2013). </w:t>
      </w:r>
      <w:r>
        <w:rPr>
          <w:rFonts w:ascii="Times New Roman" w:hAnsi="Times New Roman" w:cs="Times New Roman"/>
          <w:i/>
          <w:iCs/>
          <w:sz w:val="24"/>
          <w:szCs w:val="24"/>
        </w:rPr>
        <w:t>The Adult Training and Education Survey (ATES) Pilot Study: Technical report</w:t>
      </w:r>
      <w:r>
        <w:rPr>
          <w:rFonts w:ascii="Times New Roman" w:hAnsi="Times New Roman" w:cs="Times New Roman"/>
          <w:sz w:val="24"/>
          <w:szCs w:val="24"/>
        </w:rPr>
        <w:t xml:space="preserve"> (NCES 2013-190), Washington, DC: National Center for Education Statistics, Institute of Education Sciences, U.S. Department of Education.</w:t>
      </w:r>
    </w:p>
    <w:p w:rsidR="00B47564" w:rsidP="007D3E4A" w:rsidRDefault="00B47564" w14:paraId="125D89EC" w14:textId="6DBFEC42">
      <w:pPr>
        <w:ind w:left="720" w:hanging="720"/>
        <w:rPr>
          <w:rFonts w:ascii="Times New Roman" w:hAnsi="Times New Roman" w:cs="Times New Roman"/>
          <w:sz w:val="24"/>
          <w:szCs w:val="24"/>
        </w:rPr>
      </w:pPr>
      <w:r w:rsidRPr="00B47564">
        <w:rPr>
          <w:rFonts w:ascii="Times New Roman" w:hAnsi="Times New Roman" w:cs="Times New Roman"/>
          <w:sz w:val="24"/>
          <w:szCs w:val="24"/>
        </w:rPr>
        <w:t>Biemer, P.</w:t>
      </w:r>
      <w:r w:rsidR="009C090C">
        <w:rPr>
          <w:rFonts w:ascii="Times New Roman" w:hAnsi="Times New Roman" w:cs="Times New Roman"/>
          <w:sz w:val="24"/>
          <w:szCs w:val="24"/>
        </w:rPr>
        <w:t xml:space="preserve"> </w:t>
      </w:r>
      <w:r w:rsidRPr="00B47564">
        <w:rPr>
          <w:rFonts w:ascii="Times New Roman" w:hAnsi="Times New Roman" w:cs="Times New Roman"/>
          <w:sz w:val="24"/>
          <w:szCs w:val="24"/>
        </w:rPr>
        <w:t xml:space="preserve">P., Murphy, J., Zimmer, S., Berry, C., Deng, G., </w:t>
      </w:r>
      <w:r w:rsidR="00504C46">
        <w:rPr>
          <w:rFonts w:ascii="Times New Roman" w:hAnsi="Times New Roman" w:cs="Times New Roman"/>
          <w:sz w:val="24"/>
          <w:szCs w:val="24"/>
        </w:rPr>
        <w:t>&amp;</w:t>
      </w:r>
      <w:r w:rsidRPr="00B47564" w:rsidR="00504C46">
        <w:rPr>
          <w:rFonts w:ascii="Times New Roman" w:hAnsi="Times New Roman" w:cs="Times New Roman"/>
          <w:sz w:val="24"/>
          <w:szCs w:val="24"/>
        </w:rPr>
        <w:t xml:space="preserve"> </w:t>
      </w:r>
      <w:r w:rsidRPr="00B47564">
        <w:rPr>
          <w:rFonts w:ascii="Times New Roman" w:hAnsi="Times New Roman" w:cs="Times New Roman"/>
          <w:sz w:val="24"/>
          <w:szCs w:val="24"/>
        </w:rPr>
        <w:t>Lewis, K. (2017)</w:t>
      </w:r>
      <w:r w:rsidR="00504C46">
        <w:rPr>
          <w:rFonts w:ascii="Times New Roman" w:hAnsi="Times New Roman" w:cs="Times New Roman"/>
          <w:sz w:val="24"/>
          <w:szCs w:val="24"/>
        </w:rPr>
        <w:t>.</w:t>
      </w:r>
      <w:r w:rsidRPr="00B47564">
        <w:rPr>
          <w:rFonts w:ascii="Times New Roman" w:hAnsi="Times New Roman" w:cs="Times New Roman"/>
          <w:sz w:val="24"/>
          <w:szCs w:val="24"/>
        </w:rPr>
        <w:t xml:space="preserve"> Using </w:t>
      </w:r>
      <w:r w:rsidRPr="00B47564" w:rsidR="00504C46">
        <w:rPr>
          <w:rFonts w:ascii="Times New Roman" w:hAnsi="Times New Roman" w:cs="Times New Roman"/>
          <w:sz w:val="24"/>
          <w:szCs w:val="24"/>
        </w:rPr>
        <w:t>bonus monetary incentives to encourage web response in mixed-mode household surve</w:t>
      </w:r>
      <w:r w:rsidRPr="00B47564">
        <w:rPr>
          <w:rFonts w:ascii="Times New Roman" w:hAnsi="Times New Roman" w:cs="Times New Roman"/>
          <w:sz w:val="24"/>
          <w:szCs w:val="24"/>
        </w:rPr>
        <w:t>ys</w:t>
      </w:r>
      <w:r w:rsidR="009C090C">
        <w:rPr>
          <w:rFonts w:ascii="Times New Roman" w:hAnsi="Times New Roman" w:cs="Times New Roman"/>
          <w:sz w:val="24"/>
          <w:szCs w:val="24"/>
        </w:rPr>
        <w:t>.</w:t>
      </w:r>
      <w:r w:rsidRPr="00B47564">
        <w:rPr>
          <w:rFonts w:ascii="Times New Roman" w:hAnsi="Times New Roman" w:cs="Times New Roman"/>
          <w:sz w:val="24"/>
          <w:szCs w:val="24"/>
        </w:rPr>
        <w:t xml:space="preserve"> </w:t>
      </w:r>
      <w:r w:rsidRPr="002B1C86">
        <w:rPr>
          <w:rFonts w:ascii="Times New Roman" w:hAnsi="Times New Roman" w:cs="Times New Roman"/>
          <w:i/>
          <w:sz w:val="24"/>
          <w:szCs w:val="24"/>
        </w:rPr>
        <w:t>Journal of Survey Statistics and Methodology</w:t>
      </w:r>
      <w:r w:rsidRPr="00B47564">
        <w:rPr>
          <w:rFonts w:ascii="Times New Roman" w:hAnsi="Times New Roman" w:cs="Times New Roman"/>
          <w:sz w:val="24"/>
          <w:szCs w:val="24"/>
        </w:rPr>
        <w:t xml:space="preserve">, </w:t>
      </w:r>
      <w:r w:rsidRPr="00C54AB3">
        <w:rPr>
          <w:rFonts w:ascii="Times New Roman" w:hAnsi="Times New Roman" w:cs="Times New Roman"/>
          <w:i/>
          <w:iCs/>
          <w:sz w:val="24"/>
          <w:szCs w:val="24"/>
        </w:rPr>
        <w:t>6</w:t>
      </w:r>
      <w:r w:rsidRPr="00B47564">
        <w:rPr>
          <w:rFonts w:ascii="Times New Roman" w:hAnsi="Times New Roman" w:cs="Times New Roman"/>
          <w:sz w:val="24"/>
          <w:szCs w:val="24"/>
        </w:rPr>
        <w:t>(2)</w:t>
      </w:r>
      <w:r w:rsidR="00504C46">
        <w:rPr>
          <w:rFonts w:ascii="Times New Roman" w:hAnsi="Times New Roman" w:cs="Times New Roman"/>
          <w:sz w:val="24"/>
          <w:szCs w:val="24"/>
        </w:rPr>
        <w:t>,</w:t>
      </w:r>
      <w:r w:rsidRPr="00B47564">
        <w:rPr>
          <w:rFonts w:ascii="Times New Roman" w:hAnsi="Times New Roman" w:cs="Times New Roman"/>
          <w:sz w:val="24"/>
          <w:szCs w:val="24"/>
        </w:rPr>
        <w:t xml:space="preserve"> 240</w:t>
      </w:r>
      <w:r w:rsidR="00AF7F45">
        <w:rPr>
          <w:rStyle w:val="CommentReference"/>
          <w:rFonts w:ascii="Times New Roman" w:hAnsi="Times New Roman" w:cs="Times New Roman"/>
        </w:rPr>
        <w:t>–</w:t>
      </w:r>
      <w:r w:rsidRPr="00B47564">
        <w:rPr>
          <w:rFonts w:ascii="Times New Roman" w:hAnsi="Times New Roman" w:cs="Times New Roman"/>
          <w:sz w:val="24"/>
          <w:szCs w:val="24"/>
        </w:rPr>
        <w:t>261.</w:t>
      </w:r>
    </w:p>
    <w:p w:rsidR="002A001C" w:rsidP="007D3E4A" w:rsidRDefault="002A001C" w14:paraId="32C5EE82" w14:textId="6B63BAFF">
      <w:pPr>
        <w:ind w:left="720" w:hanging="720"/>
        <w:rPr>
          <w:rFonts w:ascii="Times New Roman" w:hAnsi="Times New Roman" w:cs="Times New Roman"/>
          <w:sz w:val="24"/>
          <w:szCs w:val="24"/>
        </w:rPr>
      </w:pPr>
      <w:r>
        <w:rPr>
          <w:rFonts w:ascii="Times New Roman" w:hAnsi="Times New Roman" w:cs="Times New Roman"/>
          <w:sz w:val="24"/>
          <w:szCs w:val="24"/>
        </w:rPr>
        <w:t>Bucks, B., Couper, M.</w:t>
      </w:r>
      <w:r w:rsidR="009C090C">
        <w:rPr>
          <w:rFonts w:ascii="Times New Roman" w:hAnsi="Times New Roman" w:cs="Times New Roman"/>
          <w:sz w:val="24"/>
          <w:szCs w:val="24"/>
        </w:rPr>
        <w:t xml:space="preserve"> </w:t>
      </w:r>
      <w:r>
        <w:rPr>
          <w:rFonts w:ascii="Times New Roman" w:hAnsi="Times New Roman" w:cs="Times New Roman"/>
          <w:sz w:val="24"/>
          <w:szCs w:val="24"/>
        </w:rPr>
        <w:t xml:space="preserve">P., </w:t>
      </w:r>
      <w:r w:rsidR="00504C46">
        <w:rPr>
          <w:rFonts w:ascii="Times New Roman" w:hAnsi="Times New Roman" w:cs="Times New Roman"/>
          <w:sz w:val="24"/>
          <w:szCs w:val="24"/>
        </w:rPr>
        <w:t xml:space="preserve">&amp; </w:t>
      </w:r>
      <w:r>
        <w:rPr>
          <w:rFonts w:ascii="Times New Roman" w:hAnsi="Times New Roman" w:cs="Times New Roman"/>
          <w:sz w:val="24"/>
          <w:szCs w:val="24"/>
        </w:rPr>
        <w:t>Fulford, S.</w:t>
      </w:r>
      <w:r w:rsidR="009C090C">
        <w:rPr>
          <w:rFonts w:ascii="Times New Roman" w:hAnsi="Times New Roman" w:cs="Times New Roman"/>
          <w:sz w:val="24"/>
          <w:szCs w:val="24"/>
        </w:rPr>
        <w:t xml:space="preserve"> </w:t>
      </w:r>
      <w:r>
        <w:rPr>
          <w:rFonts w:ascii="Times New Roman" w:hAnsi="Times New Roman" w:cs="Times New Roman"/>
          <w:sz w:val="24"/>
          <w:szCs w:val="24"/>
        </w:rPr>
        <w:t>L. (</w:t>
      </w:r>
      <w:r w:rsidR="005B07B4">
        <w:rPr>
          <w:rFonts w:ascii="Times New Roman" w:hAnsi="Times New Roman" w:cs="Times New Roman"/>
          <w:sz w:val="24"/>
          <w:szCs w:val="24"/>
        </w:rPr>
        <w:t>2019)</w:t>
      </w:r>
      <w:r w:rsidR="00504C46">
        <w:rPr>
          <w:rFonts w:ascii="Times New Roman" w:hAnsi="Times New Roman" w:cs="Times New Roman"/>
          <w:sz w:val="24"/>
          <w:szCs w:val="24"/>
        </w:rPr>
        <w:t>.</w:t>
      </w:r>
      <w:r w:rsidR="005B07B4">
        <w:rPr>
          <w:rFonts w:ascii="Times New Roman" w:hAnsi="Times New Roman" w:cs="Times New Roman"/>
          <w:sz w:val="24"/>
          <w:szCs w:val="24"/>
        </w:rPr>
        <w:t xml:space="preserve"> A </w:t>
      </w:r>
      <w:r w:rsidR="00504C46">
        <w:rPr>
          <w:rFonts w:ascii="Times New Roman" w:hAnsi="Times New Roman" w:cs="Times New Roman"/>
          <w:sz w:val="24"/>
          <w:szCs w:val="24"/>
        </w:rPr>
        <w:t>mixed-mode and incentive experiment using administrative data</w:t>
      </w:r>
      <w:r w:rsidR="009C090C">
        <w:rPr>
          <w:rFonts w:ascii="Times New Roman" w:hAnsi="Times New Roman" w:cs="Times New Roman"/>
          <w:sz w:val="24"/>
          <w:szCs w:val="24"/>
        </w:rPr>
        <w:t>.</w:t>
      </w:r>
      <w:r w:rsidR="005B07B4">
        <w:rPr>
          <w:rFonts w:ascii="Times New Roman" w:hAnsi="Times New Roman" w:cs="Times New Roman"/>
          <w:sz w:val="24"/>
          <w:szCs w:val="24"/>
        </w:rPr>
        <w:t xml:space="preserve"> </w:t>
      </w:r>
      <w:r w:rsidR="005B07B4">
        <w:rPr>
          <w:rFonts w:ascii="Times New Roman" w:hAnsi="Times New Roman" w:cs="Times New Roman"/>
          <w:i/>
          <w:sz w:val="24"/>
          <w:szCs w:val="24"/>
        </w:rPr>
        <w:t>Journal of Survey Statistics and Methodology</w:t>
      </w:r>
      <w:r w:rsidR="005B07B4">
        <w:rPr>
          <w:rFonts w:ascii="Times New Roman" w:hAnsi="Times New Roman" w:cs="Times New Roman"/>
          <w:sz w:val="24"/>
          <w:szCs w:val="24"/>
        </w:rPr>
        <w:t xml:space="preserve">, </w:t>
      </w:r>
      <w:r w:rsidR="00AF7F45">
        <w:rPr>
          <w:rFonts w:ascii="Times New Roman" w:hAnsi="Times New Roman" w:cs="Times New Roman"/>
          <w:i/>
          <w:iCs/>
          <w:sz w:val="24"/>
          <w:szCs w:val="24"/>
        </w:rPr>
        <w:t>0</w:t>
      </w:r>
      <w:r w:rsidRPr="00AF7F45" w:rsidR="00AF7F45">
        <w:rPr>
          <w:rFonts w:ascii="Times New Roman" w:hAnsi="Times New Roman" w:cs="Times New Roman"/>
          <w:sz w:val="24"/>
          <w:szCs w:val="24"/>
        </w:rPr>
        <w:t>,</w:t>
      </w:r>
      <w:r w:rsidR="00AF7F45">
        <w:rPr>
          <w:rFonts w:ascii="Times New Roman" w:hAnsi="Times New Roman" w:cs="Times New Roman"/>
          <w:i/>
          <w:iCs/>
          <w:sz w:val="24"/>
          <w:szCs w:val="24"/>
        </w:rPr>
        <w:t xml:space="preserve"> </w:t>
      </w:r>
      <w:r w:rsidR="00AF7F45">
        <w:rPr>
          <w:rFonts w:ascii="Times New Roman" w:hAnsi="Times New Roman" w:cs="Times New Roman"/>
          <w:sz w:val="24"/>
          <w:szCs w:val="24"/>
        </w:rPr>
        <w:t>1</w:t>
      </w:r>
      <w:r w:rsidR="00AF7F45">
        <w:rPr>
          <w:rStyle w:val="CommentReference"/>
          <w:rFonts w:ascii="Times New Roman" w:hAnsi="Times New Roman" w:cs="Times New Roman"/>
        </w:rPr>
        <w:t>–</w:t>
      </w:r>
      <w:r w:rsidR="00AF7F45">
        <w:rPr>
          <w:rFonts w:ascii="Times New Roman" w:hAnsi="Times New Roman" w:cs="Times New Roman"/>
          <w:sz w:val="24"/>
          <w:szCs w:val="24"/>
        </w:rPr>
        <w:t>18.</w:t>
      </w:r>
      <w:r w:rsidDel="00AF7F45" w:rsidR="00AF7F45">
        <w:rPr>
          <w:rFonts w:ascii="Times New Roman" w:hAnsi="Times New Roman" w:cs="Times New Roman"/>
          <w:sz w:val="24"/>
          <w:szCs w:val="24"/>
        </w:rPr>
        <w:t xml:space="preserve"> </w:t>
      </w:r>
    </w:p>
    <w:p w:rsidR="0004088C" w:rsidP="00A439C5" w:rsidRDefault="00A439C5" w14:paraId="67033181" w14:textId="0432D7E2">
      <w:pPr>
        <w:ind w:left="720" w:hanging="720"/>
        <w:rPr>
          <w:rFonts w:ascii="Times New Roman" w:hAnsi="Times New Roman" w:cs="Times New Roman"/>
          <w:sz w:val="24"/>
          <w:szCs w:val="24"/>
        </w:rPr>
      </w:pPr>
      <w:r>
        <w:rPr>
          <w:rFonts w:ascii="Times New Roman" w:hAnsi="Times New Roman" w:cs="Times New Roman"/>
          <w:sz w:val="24"/>
          <w:szCs w:val="24"/>
        </w:rPr>
        <w:t xml:space="preserve">Church, A.H. (1993). Establishing the effect of incentives on mail survey response rates: A meta-analysis. </w:t>
      </w:r>
      <w:r>
        <w:rPr>
          <w:rFonts w:ascii="Times New Roman" w:hAnsi="Times New Roman" w:cs="Times New Roman"/>
          <w:i/>
          <w:iCs/>
          <w:sz w:val="24"/>
          <w:szCs w:val="24"/>
        </w:rPr>
        <w:t>Public Opinion Quarterly, 57</w:t>
      </w:r>
      <w:r>
        <w:rPr>
          <w:rFonts w:ascii="Times New Roman" w:hAnsi="Times New Roman" w:cs="Times New Roman"/>
          <w:sz w:val="24"/>
          <w:szCs w:val="24"/>
        </w:rPr>
        <w:t>(1), 62-79.</w:t>
      </w:r>
    </w:p>
    <w:p w:rsidRPr="006F5FA1" w:rsidR="004153F5" w:rsidP="007D3E4A" w:rsidRDefault="004153F5" w14:paraId="6B983E2C" w14:textId="04F285C9">
      <w:pPr>
        <w:ind w:left="720" w:hanging="720"/>
        <w:rPr>
          <w:rFonts w:ascii="Times New Roman" w:hAnsi="Times New Roman" w:cs="Times New Roman"/>
          <w:sz w:val="24"/>
          <w:szCs w:val="24"/>
        </w:rPr>
      </w:pPr>
      <w:r>
        <w:rPr>
          <w:rFonts w:ascii="Times New Roman" w:hAnsi="Times New Roman" w:cs="Times New Roman"/>
          <w:sz w:val="24"/>
          <w:szCs w:val="24"/>
        </w:rPr>
        <w:t xml:space="preserve">Cook, C., Heath, F., </w:t>
      </w:r>
      <w:r w:rsidR="00504C46">
        <w:rPr>
          <w:rFonts w:ascii="Times New Roman" w:hAnsi="Times New Roman" w:cs="Times New Roman"/>
          <w:sz w:val="24"/>
          <w:szCs w:val="24"/>
        </w:rPr>
        <w:t xml:space="preserve">&amp; </w:t>
      </w:r>
      <w:r>
        <w:rPr>
          <w:rFonts w:ascii="Times New Roman" w:hAnsi="Times New Roman" w:cs="Times New Roman"/>
          <w:sz w:val="24"/>
          <w:szCs w:val="24"/>
        </w:rPr>
        <w:t>Thompson, R.</w:t>
      </w:r>
      <w:r w:rsidR="009C090C">
        <w:rPr>
          <w:rFonts w:ascii="Times New Roman" w:hAnsi="Times New Roman" w:cs="Times New Roman"/>
          <w:sz w:val="24"/>
          <w:szCs w:val="24"/>
        </w:rPr>
        <w:t xml:space="preserve"> </w:t>
      </w:r>
      <w:r>
        <w:rPr>
          <w:rFonts w:ascii="Times New Roman" w:hAnsi="Times New Roman" w:cs="Times New Roman"/>
          <w:sz w:val="24"/>
          <w:szCs w:val="24"/>
        </w:rPr>
        <w:t>L. (</w:t>
      </w:r>
      <w:r w:rsidR="00277957">
        <w:rPr>
          <w:rFonts w:ascii="Times New Roman" w:hAnsi="Times New Roman" w:cs="Times New Roman"/>
          <w:sz w:val="24"/>
          <w:szCs w:val="24"/>
        </w:rPr>
        <w:t>2000)</w:t>
      </w:r>
      <w:r w:rsidR="00504C46">
        <w:rPr>
          <w:rFonts w:ascii="Times New Roman" w:hAnsi="Times New Roman" w:cs="Times New Roman"/>
          <w:sz w:val="24"/>
          <w:szCs w:val="24"/>
        </w:rPr>
        <w:t>.</w:t>
      </w:r>
      <w:r w:rsidR="006F5FA1">
        <w:rPr>
          <w:rFonts w:ascii="Times New Roman" w:hAnsi="Times New Roman" w:cs="Times New Roman"/>
          <w:sz w:val="24"/>
          <w:szCs w:val="24"/>
        </w:rPr>
        <w:t xml:space="preserve"> A </w:t>
      </w:r>
      <w:r w:rsidR="009C090C">
        <w:rPr>
          <w:rFonts w:ascii="Times New Roman" w:hAnsi="Times New Roman" w:cs="Times New Roman"/>
          <w:sz w:val="24"/>
          <w:szCs w:val="24"/>
        </w:rPr>
        <w:t>meta-analysis of response rates in web- or Internet-based surv</w:t>
      </w:r>
      <w:r w:rsidR="006F5FA1">
        <w:rPr>
          <w:rFonts w:ascii="Times New Roman" w:hAnsi="Times New Roman" w:cs="Times New Roman"/>
          <w:sz w:val="24"/>
          <w:szCs w:val="24"/>
        </w:rPr>
        <w:t>eys</w:t>
      </w:r>
      <w:r w:rsidR="009C090C">
        <w:rPr>
          <w:rFonts w:ascii="Times New Roman" w:hAnsi="Times New Roman" w:cs="Times New Roman"/>
          <w:sz w:val="24"/>
          <w:szCs w:val="24"/>
        </w:rPr>
        <w:t>.</w:t>
      </w:r>
      <w:r w:rsidR="006F5FA1">
        <w:rPr>
          <w:rFonts w:ascii="Times New Roman" w:hAnsi="Times New Roman" w:cs="Times New Roman"/>
          <w:sz w:val="24"/>
          <w:szCs w:val="24"/>
        </w:rPr>
        <w:t xml:space="preserve"> </w:t>
      </w:r>
      <w:r w:rsidR="006F5FA1">
        <w:rPr>
          <w:rFonts w:ascii="Times New Roman" w:hAnsi="Times New Roman" w:cs="Times New Roman"/>
          <w:i/>
          <w:sz w:val="24"/>
          <w:szCs w:val="24"/>
        </w:rPr>
        <w:t>Educational and Psychological Measurement</w:t>
      </w:r>
      <w:r w:rsidR="006F5FA1">
        <w:rPr>
          <w:rFonts w:ascii="Times New Roman" w:hAnsi="Times New Roman" w:cs="Times New Roman"/>
          <w:sz w:val="24"/>
          <w:szCs w:val="24"/>
        </w:rPr>
        <w:t xml:space="preserve">, </w:t>
      </w:r>
      <w:r w:rsidRPr="00C54AB3" w:rsidR="002455EA">
        <w:rPr>
          <w:rFonts w:ascii="Times New Roman" w:hAnsi="Times New Roman" w:cs="Times New Roman"/>
          <w:i/>
          <w:iCs/>
          <w:sz w:val="24"/>
          <w:szCs w:val="24"/>
        </w:rPr>
        <w:t>60</w:t>
      </w:r>
      <w:r w:rsidR="002455EA">
        <w:rPr>
          <w:rFonts w:ascii="Times New Roman" w:hAnsi="Times New Roman" w:cs="Times New Roman"/>
          <w:sz w:val="24"/>
          <w:szCs w:val="24"/>
        </w:rPr>
        <w:t>(6)</w:t>
      </w:r>
      <w:r w:rsidR="00504C46">
        <w:rPr>
          <w:rFonts w:ascii="Times New Roman" w:hAnsi="Times New Roman" w:cs="Times New Roman"/>
          <w:sz w:val="24"/>
          <w:szCs w:val="24"/>
        </w:rPr>
        <w:t>,</w:t>
      </w:r>
      <w:r w:rsidR="002455EA">
        <w:rPr>
          <w:rFonts w:ascii="Times New Roman" w:hAnsi="Times New Roman" w:cs="Times New Roman"/>
          <w:sz w:val="24"/>
          <w:szCs w:val="24"/>
        </w:rPr>
        <w:t xml:space="preserve"> </w:t>
      </w:r>
      <w:r w:rsidR="003552F5">
        <w:rPr>
          <w:rFonts w:ascii="Times New Roman" w:hAnsi="Times New Roman" w:cs="Times New Roman"/>
          <w:sz w:val="24"/>
          <w:szCs w:val="24"/>
        </w:rPr>
        <w:t>821</w:t>
      </w:r>
      <w:r w:rsidR="00AF7F45">
        <w:rPr>
          <w:rStyle w:val="CommentReference"/>
          <w:rFonts w:ascii="Times New Roman" w:hAnsi="Times New Roman" w:cs="Times New Roman"/>
        </w:rPr>
        <w:t>–</w:t>
      </w:r>
      <w:r w:rsidR="003552F5">
        <w:rPr>
          <w:rFonts w:ascii="Times New Roman" w:hAnsi="Times New Roman" w:cs="Times New Roman"/>
          <w:sz w:val="24"/>
          <w:szCs w:val="24"/>
        </w:rPr>
        <w:t xml:space="preserve">836. </w:t>
      </w:r>
    </w:p>
    <w:p w:rsidRPr="00727B0C" w:rsidR="00727B0C" w:rsidP="007D3E4A" w:rsidRDefault="00727B0C" w14:paraId="3A5759A4" w14:textId="00BA3234">
      <w:pPr>
        <w:ind w:left="720" w:hanging="720"/>
        <w:rPr>
          <w:rFonts w:ascii="Times New Roman" w:hAnsi="Times New Roman" w:cs="Times New Roman"/>
          <w:sz w:val="24"/>
          <w:szCs w:val="24"/>
        </w:rPr>
      </w:pPr>
      <w:r>
        <w:rPr>
          <w:rFonts w:ascii="Times New Roman" w:hAnsi="Times New Roman" w:cs="Times New Roman"/>
          <w:sz w:val="24"/>
          <w:szCs w:val="24"/>
        </w:rPr>
        <w:t xml:space="preserve">Cronen, S., McQuiggan, M., &amp; Isenberg, E. (2017). </w:t>
      </w:r>
      <w:r>
        <w:rPr>
          <w:rFonts w:ascii="Times New Roman" w:hAnsi="Times New Roman" w:cs="Times New Roman"/>
          <w:i/>
          <w:iCs/>
          <w:sz w:val="24"/>
          <w:szCs w:val="24"/>
        </w:rPr>
        <w:t>Adult training and education: Results from the National Household Education Surveys Program of 2016</w:t>
      </w:r>
      <w:r>
        <w:rPr>
          <w:rFonts w:ascii="Times New Roman" w:hAnsi="Times New Roman" w:cs="Times New Roman"/>
          <w:sz w:val="24"/>
          <w:szCs w:val="24"/>
        </w:rPr>
        <w:t xml:space="preserve"> (NCES 2017-103rev), Washington, DC.: National Center for Education Statistics, Institute of Education Sciences, U.S. Department of Education.</w:t>
      </w:r>
    </w:p>
    <w:p w:rsidR="00B47564" w:rsidP="007D3E4A" w:rsidRDefault="00B47564" w14:paraId="51DFA22C" w14:textId="5D12EE93">
      <w:pPr>
        <w:ind w:left="720" w:hanging="720"/>
        <w:rPr>
          <w:rFonts w:ascii="Times New Roman" w:hAnsi="Times New Roman" w:cs="Times New Roman"/>
          <w:sz w:val="24"/>
          <w:szCs w:val="24"/>
        </w:rPr>
      </w:pPr>
      <w:r w:rsidRPr="00B47564">
        <w:rPr>
          <w:rFonts w:ascii="Times New Roman" w:hAnsi="Times New Roman" w:cs="Times New Roman"/>
          <w:sz w:val="24"/>
          <w:szCs w:val="24"/>
        </w:rPr>
        <w:t>Dillman, D. A., Smyth, J. D., &amp; Christian, L. M. (2014)</w:t>
      </w:r>
      <w:r w:rsidR="00504C46">
        <w:rPr>
          <w:rFonts w:ascii="Times New Roman" w:hAnsi="Times New Roman" w:cs="Times New Roman"/>
          <w:sz w:val="24"/>
          <w:szCs w:val="24"/>
        </w:rPr>
        <w:t>.</w:t>
      </w:r>
      <w:r w:rsidRPr="00B47564">
        <w:rPr>
          <w:rFonts w:ascii="Times New Roman" w:hAnsi="Times New Roman" w:cs="Times New Roman"/>
          <w:sz w:val="24"/>
          <w:szCs w:val="24"/>
        </w:rPr>
        <w:t xml:space="preserve"> </w:t>
      </w:r>
      <w:r w:rsidRPr="002B1C86">
        <w:rPr>
          <w:rFonts w:ascii="Times New Roman" w:hAnsi="Times New Roman" w:cs="Times New Roman"/>
          <w:i/>
          <w:sz w:val="24"/>
          <w:szCs w:val="24"/>
        </w:rPr>
        <w:t xml:space="preserve">Internet, </w:t>
      </w:r>
      <w:r w:rsidRPr="002B1C86" w:rsidR="009C090C">
        <w:rPr>
          <w:rFonts w:ascii="Times New Roman" w:hAnsi="Times New Roman" w:cs="Times New Roman"/>
          <w:i/>
          <w:sz w:val="24"/>
          <w:szCs w:val="24"/>
        </w:rPr>
        <w:t>phone, mail, and mixed</w:t>
      </w:r>
      <w:r w:rsidR="009C090C">
        <w:rPr>
          <w:rFonts w:ascii="Times New Roman" w:hAnsi="Times New Roman" w:cs="Times New Roman"/>
          <w:i/>
          <w:sz w:val="24"/>
          <w:szCs w:val="24"/>
        </w:rPr>
        <w:t>-</w:t>
      </w:r>
      <w:r w:rsidRPr="002B1C86" w:rsidR="009C090C">
        <w:rPr>
          <w:rFonts w:ascii="Times New Roman" w:hAnsi="Times New Roman" w:cs="Times New Roman"/>
          <w:i/>
          <w:sz w:val="24"/>
          <w:szCs w:val="24"/>
        </w:rPr>
        <w:t>mode surve</w:t>
      </w:r>
      <w:r w:rsidRPr="002B1C86">
        <w:rPr>
          <w:rFonts w:ascii="Times New Roman" w:hAnsi="Times New Roman" w:cs="Times New Roman"/>
          <w:i/>
          <w:sz w:val="24"/>
          <w:szCs w:val="24"/>
        </w:rPr>
        <w:t xml:space="preserve">ys: The </w:t>
      </w:r>
      <w:r w:rsidRPr="002B1C86" w:rsidR="009C090C">
        <w:rPr>
          <w:rFonts w:ascii="Times New Roman" w:hAnsi="Times New Roman" w:cs="Times New Roman"/>
          <w:i/>
          <w:sz w:val="24"/>
          <w:szCs w:val="24"/>
        </w:rPr>
        <w:t>tailored design method</w:t>
      </w:r>
      <w:r w:rsidRPr="00B47564">
        <w:rPr>
          <w:rFonts w:ascii="Times New Roman" w:hAnsi="Times New Roman" w:cs="Times New Roman"/>
          <w:sz w:val="24"/>
          <w:szCs w:val="24"/>
        </w:rPr>
        <w:t>, Hoboken, NJ: Wiley &amp; Sons.</w:t>
      </w:r>
    </w:p>
    <w:p w:rsidRPr="00070EC8" w:rsidR="00070EC8" w:rsidP="007D3E4A" w:rsidRDefault="00070EC8" w14:paraId="717E0A34" w14:textId="32DCEA49">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Duprey, M.A., Pratt, D.J., Jewell, D.M., Cominole, M.B., Fritch, L.B., Ritchie, E.A., Rogers, J.E., Wescott, J.D., &amp; Wilson, D.H. (2018). </w:t>
      </w:r>
      <w:r>
        <w:rPr>
          <w:rFonts w:ascii="Times New Roman" w:hAnsi="Times New Roman" w:cs="Times New Roman"/>
          <w:i/>
          <w:iCs/>
          <w:sz w:val="24"/>
          <w:szCs w:val="24"/>
        </w:rPr>
        <w:t>High School Longitudinal Study of 2009 (HSLS:09) base-year to second follow-up: Data file documentation</w:t>
      </w:r>
      <w:r>
        <w:rPr>
          <w:rFonts w:ascii="Times New Roman" w:hAnsi="Times New Roman" w:cs="Times New Roman"/>
          <w:sz w:val="24"/>
          <w:szCs w:val="24"/>
        </w:rPr>
        <w:t xml:space="preserve"> (NCES 2018-140), Washington, DC: National Center for Education Statistics, Institute of Education Sciences, U.S. Department of Education.</w:t>
      </w:r>
    </w:p>
    <w:p w:rsidR="00B66038" w:rsidP="007D3E4A" w:rsidRDefault="00B66038" w14:paraId="51C0496F" w14:textId="35615170">
      <w:pPr>
        <w:ind w:left="720" w:hanging="720"/>
        <w:rPr>
          <w:rFonts w:ascii="Times New Roman" w:hAnsi="Times New Roman" w:cs="Times New Roman"/>
          <w:sz w:val="24"/>
          <w:szCs w:val="24"/>
        </w:rPr>
      </w:pPr>
      <w:r>
        <w:rPr>
          <w:rFonts w:ascii="Times New Roman" w:hAnsi="Times New Roman" w:cs="Times New Roman"/>
          <w:sz w:val="24"/>
          <w:szCs w:val="24"/>
        </w:rPr>
        <w:t>Freedman, V.</w:t>
      </w:r>
      <w:r w:rsidR="009C090C">
        <w:rPr>
          <w:rFonts w:ascii="Times New Roman" w:hAnsi="Times New Roman" w:cs="Times New Roman"/>
          <w:sz w:val="24"/>
          <w:szCs w:val="24"/>
        </w:rPr>
        <w:t xml:space="preserve"> </w:t>
      </w:r>
      <w:r>
        <w:rPr>
          <w:rFonts w:ascii="Times New Roman" w:hAnsi="Times New Roman" w:cs="Times New Roman"/>
          <w:sz w:val="24"/>
          <w:szCs w:val="24"/>
        </w:rPr>
        <w:t>A., Mcgonagle, K.</w:t>
      </w:r>
      <w:r w:rsidR="009C090C">
        <w:rPr>
          <w:rFonts w:ascii="Times New Roman" w:hAnsi="Times New Roman" w:cs="Times New Roman"/>
          <w:sz w:val="24"/>
          <w:szCs w:val="24"/>
        </w:rPr>
        <w:t xml:space="preserve"> </w:t>
      </w:r>
      <w:r>
        <w:rPr>
          <w:rFonts w:ascii="Times New Roman" w:hAnsi="Times New Roman" w:cs="Times New Roman"/>
          <w:sz w:val="24"/>
          <w:szCs w:val="24"/>
        </w:rPr>
        <w:t xml:space="preserve">A., </w:t>
      </w:r>
      <w:r w:rsidR="00504C46">
        <w:rPr>
          <w:rFonts w:ascii="Times New Roman" w:hAnsi="Times New Roman" w:cs="Times New Roman"/>
          <w:sz w:val="24"/>
          <w:szCs w:val="24"/>
        </w:rPr>
        <w:t xml:space="preserve">&amp; </w:t>
      </w:r>
      <w:r>
        <w:rPr>
          <w:rFonts w:ascii="Times New Roman" w:hAnsi="Times New Roman" w:cs="Times New Roman"/>
          <w:sz w:val="24"/>
          <w:szCs w:val="24"/>
        </w:rPr>
        <w:t>Couper, M.</w:t>
      </w:r>
      <w:r w:rsidR="009C090C">
        <w:rPr>
          <w:rFonts w:ascii="Times New Roman" w:hAnsi="Times New Roman" w:cs="Times New Roman"/>
          <w:sz w:val="24"/>
          <w:szCs w:val="24"/>
        </w:rPr>
        <w:t xml:space="preserve"> </w:t>
      </w:r>
      <w:r>
        <w:rPr>
          <w:rFonts w:ascii="Times New Roman" w:hAnsi="Times New Roman" w:cs="Times New Roman"/>
          <w:sz w:val="24"/>
          <w:szCs w:val="24"/>
        </w:rPr>
        <w:t>P. (2018)</w:t>
      </w:r>
      <w:r w:rsidR="00504C46">
        <w:rPr>
          <w:rFonts w:ascii="Times New Roman" w:hAnsi="Times New Roman" w:cs="Times New Roman"/>
          <w:sz w:val="24"/>
          <w:szCs w:val="24"/>
        </w:rPr>
        <w:t>.</w:t>
      </w:r>
      <w:r w:rsidR="00B54633">
        <w:rPr>
          <w:rFonts w:ascii="Times New Roman" w:hAnsi="Times New Roman" w:cs="Times New Roman"/>
          <w:sz w:val="24"/>
          <w:szCs w:val="24"/>
        </w:rPr>
        <w:t xml:space="preserve"> Use of a </w:t>
      </w:r>
      <w:r w:rsidR="00504C46">
        <w:rPr>
          <w:rFonts w:ascii="Times New Roman" w:hAnsi="Times New Roman" w:cs="Times New Roman"/>
          <w:sz w:val="24"/>
          <w:szCs w:val="24"/>
        </w:rPr>
        <w:t>targeted sequential mixed mode protocol in a nationally representative panel stud</w:t>
      </w:r>
      <w:r w:rsidR="00B54633">
        <w:rPr>
          <w:rFonts w:ascii="Times New Roman" w:hAnsi="Times New Roman" w:cs="Times New Roman"/>
          <w:sz w:val="24"/>
          <w:szCs w:val="24"/>
        </w:rPr>
        <w:t>y</w:t>
      </w:r>
      <w:r w:rsidR="009C090C">
        <w:rPr>
          <w:rFonts w:ascii="Times New Roman" w:hAnsi="Times New Roman" w:cs="Times New Roman"/>
          <w:sz w:val="24"/>
          <w:szCs w:val="24"/>
        </w:rPr>
        <w:t>.</w:t>
      </w:r>
      <w:r w:rsidR="00B54633">
        <w:rPr>
          <w:rFonts w:ascii="Times New Roman" w:hAnsi="Times New Roman" w:cs="Times New Roman"/>
          <w:sz w:val="24"/>
          <w:szCs w:val="24"/>
        </w:rPr>
        <w:t xml:space="preserve"> </w:t>
      </w:r>
      <w:r w:rsidR="00DE0695">
        <w:rPr>
          <w:rFonts w:ascii="Times New Roman" w:hAnsi="Times New Roman" w:cs="Times New Roman"/>
          <w:i/>
          <w:sz w:val="24"/>
          <w:szCs w:val="24"/>
        </w:rPr>
        <w:t>Journal of Survey Statistics and Methodology</w:t>
      </w:r>
      <w:r w:rsidR="00DE0695">
        <w:rPr>
          <w:rFonts w:ascii="Times New Roman" w:hAnsi="Times New Roman" w:cs="Times New Roman"/>
          <w:sz w:val="24"/>
          <w:szCs w:val="24"/>
        </w:rPr>
        <w:t>,</w:t>
      </w:r>
      <w:r w:rsidRPr="00C54AB3" w:rsidR="00DE0695">
        <w:rPr>
          <w:rFonts w:ascii="Times New Roman" w:hAnsi="Times New Roman" w:cs="Times New Roman"/>
          <w:i/>
          <w:iCs/>
          <w:sz w:val="24"/>
          <w:szCs w:val="24"/>
        </w:rPr>
        <w:t xml:space="preserve"> 6</w:t>
      </w:r>
      <w:r w:rsidR="00DE0695">
        <w:rPr>
          <w:rFonts w:ascii="Times New Roman" w:hAnsi="Times New Roman" w:cs="Times New Roman"/>
          <w:sz w:val="24"/>
          <w:szCs w:val="24"/>
        </w:rPr>
        <w:t>(1)</w:t>
      </w:r>
      <w:r w:rsidR="00504C46">
        <w:rPr>
          <w:rFonts w:ascii="Times New Roman" w:hAnsi="Times New Roman" w:cs="Times New Roman"/>
          <w:sz w:val="24"/>
          <w:szCs w:val="24"/>
        </w:rPr>
        <w:t>,</w:t>
      </w:r>
      <w:r w:rsidR="00DE0695">
        <w:rPr>
          <w:rFonts w:ascii="Times New Roman" w:hAnsi="Times New Roman" w:cs="Times New Roman"/>
          <w:sz w:val="24"/>
          <w:szCs w:val="24"/>
        </w:rPr>
        <w:t xml:space="preserve"> 98</w:t>
      </w:r>
      <w:r w:rsidR="00AF7F45">
        <w:rPr>
          <w:rStyle w:val="CommentReference"/>
          <w:rFonts w:ascii="Times New Roman" w:hAnsi="Times New Roman" w:cs="Times New Roman"/>
        </w:rPr>
        <w:t>–</w:t>
      </w:r>
      <w:r w:rsidR="00DE0695">
        <w:rPr>
          <w:rFonts w:ascii="Times New Roman" w:hAnsi="Times New Roman" w:cs="Times New Roman"/>
          <w:sz w:val="24"/>
          <w:szCs w:val="24"/>
        </w:rPr>
        <w:t xml:space="preserve">121. </w:t>
      </w:r>
    </w:p>
    <w:p w:rsidR="00B77F5E" w:rsidP="007D3E4A" w:rsidRDefault="00B77F5E" w14:paraId="2F46A67E" w14:textId="763C22D8">
      <w:pPr>
        <w:ind w:left="720" w:hanging="720"/>
        <w:rPr>
          <w:rFonts w:ascii="Times New Roman" w:hAnsi="Times New Roman" w:cs="Times New Roman"/>
          <w:sz w:val="24"/>
          <w:szCs w:val="24"/>
        </w:rPr>
      </w:pPr>
      <w:r>
        <w:rPr>
          <w:rFonts w:ascii="Times New Roman" w:hAnsi="Times New Roman" w:cs="Times New Roman"/>
          <w:sz w:val="24"/>
          <w:szCs w:val="24"/>
        </w:rPr>
        <w:t xml:space="preserve">Han, D., Montaquila, J.M., </w:t>
      </w:r>
      <w:r w:rsidR="005B5318">
        <w:rPr>
          <w:rFonts w:ascii="Times New Roman" w:hAnsi="Times New Roman" w:cs="Times New Roman"/>
          <w:sz w:val="24"/>
          <w:szCs w:val="24"/>
        </w:rPr>
        <w:t>&amp;</w:t>
      </w:r>
      <w:r>
        <w:rPr>
          <w:rFonts w:ascii="Times New Roman" w:hAnsi="Times New Roman" w:cs="Times New Roman"/>
          <w:sz w:val="24"/>
          <w:szCs w:val="24"/>
        </w:rPr>
        <w:t xml:space="preserve"> Brick, J.M. (</w:t>
      </w:r>
      <w:r w:rsidR="00484637">
        <w:rPr>
          <w:rFonts w:ascii="Times New Roman" w:hAnsi="Times New Roman" w:cs="Times New Roman"/>
          <w:sz w:val="24"/>
          <w:szCs w:val="24"/>
        </w:rPr>
        <w:t xml:space="preserve">2013). </w:t>
      </w:r>
      <w:r w:rsidR="005D29F0">
        <w:rPr>
          <w:rFonts w:ascii="Times New Roman" w:hAnsi="Times New Roman" w:cs="Times New Roman"/>
          <w:sz w:val="24"/>
          <w:szCs w:val="24"/>
        </w:rPr>
        <w:t xml:space="preserve">An evaluation of incentive experiments in a two-phase address-based sample mail survey. </w:t>
      </w:r>
      <w:r w:rsidR="005D29F0">
        <w:rPr>
          <w:rFonts w:ascii="Times New Roman" w:hAnsi="Times New Roman" w:cs="Times New Roman"/>
          <w:i/>
          <w:iCs/>
          <w:sz w:val="24"/>
          <w:szCs w:val="24"/>
        </w:rPr>
        <w:t>Survey Research Methods, 7</w:t>
      </w:r>
      <w:r w:rsidR="005D29F0">
        <w:rPr>
          <w:rFonts w:ascii="Times New Roman" w:hAnsi="Times New Roman" w:cs="Times New Roman"/>
          <w:sz w:val="24"/>
          <w:szCs w:val="24"/>
        </w:rPr>
        <w:t xml:space="preserve">(3): </w:t>
      </w:r>
      <w:r w:rsidR="001C1729">
        <w:rPr>
          <w:rFonts w:ascii="Times New Roman" w:hAnsi="Times New Roman" w:cs="Times New Roman"/>
          <w:sz w:val="24"/>
          <w:szCs w:val="24"/>
        </w:rPr>
        <w:t>207</w:t>
      </w:r>
      <w:r w:rsidR="001C1729">
        <w:rPr>
          <w:rStyle w:val="CommentReference"/>
          <w:rFonts w:ascii="Times New Roman" w:hAnsi="Times New Roman" w:cs="Times New Roman"/>
        </w:rPr>
        <w:t>–</w:t>
      </w:r>
      <w:r w:rsidR="001C1729">
        <w:rPr>
          <w:rFonts w:ascii="Times New Roman" w:hAnsi="Times New Roman" w:cs="Times New Roman"/>
          <w:sz w:val="24"/>
          <w:szCs w:val="24"/>
        </w:rPr>
        <w:t>218.</w:t>
      </w:r>
    </w:p>
    <w:p w:rsidRPr="00FD0003" w:rsidR="00FD0003" w:rsidP="007D3E4A" w:rsidRDefault="00FD0003" w14:paraId="0B2900B3" w14:textId="3BA9B6D3">
      <w:pPr>
        <w:ind w:left="720" w:hanging="720"/>
        <w:rPr>
          <w:rFonts w:ascii="Times New Roman" w:hAnsi="Times New Roman" w:cs="Times New Roman"/>
          <w:sz w:val="24"/>
          <w:szCs w:val="24"/>
        </w:rPr>
      </w:pPr>
      <w:r>
        <w:rPr>
          <w:rFonts w:ascii="Times New Roman" w:hAnsi="Times New Roman" w:cs="Times New Roman"/>
          <w:sz w:val="24"/>
          <w:szCs w:val="24"/>
        </w:rPr>
        <w:t xml:space="preserve">Hill, J., Smith, N., Wilson, D., &amp; Wine, J. (2016). </w:t>
      </w:r>
      <w:r>
        <w:rPr>
          <w:rFonts w:ascii="Times New Roman" w:hAnsi="Times New Roman" w:cs="Times New Roman"/>
          <w:i/>
          <w:iCs/>
          <w:sz w:val="24"/>
          <w:szCs w:val="24"/>
        </w:rPr>
        <w:t>2012/14 Beginning Postsecondary Students Longitudinal Study (BPS:12/14): Data file documentation</w:t>
      </w:r>
      <w:r w:rsidR="00B32B3C">
        <w:rPr>
          <w:rFonts w:ascii="Times New Roman" w:hAnsi="Times New Roman" w:cs="Times New Roman"/>
          <w:sz w:val="24"/>
          <w:szCs w:val="24"/>
        </w:rPr>
        <w:t xml:space="preserve"> (NCES 2016-062), Washington, DC: National Center for Education Statistics, Institute of Education Sciences, U.S. Department of Education</w:t>
      </w:r>
      <w:r>
        <w:rPr>
          <w:rFonts w:ascii="Times New Roman" w:hAnsi="Times New Roman" w:cs="Times New Roman"/>
          <w:sz w:val="24"/>
          <w:szCs w:val="24"/>
        </w:rPr>
        <w:t xml:space="preserve">. </w:t>
      </w:r>
    </w:p>
    <w:p w:rsidRPr="00724E9F" w:rsidR="00724E9F" w:rsidP="007D3E4A" w:rsidRDefault="00724E9F" w14:paraId="30006C1C" w14:textId="3ABF86E0">
      <w:pPr>
        <w:ind w:left="720" w:hanging="720"/>
        <w:rPr>
          <w:rFonts w:ascii="Times New Roman" w:hAnsi="Times New Roman" w:cs="Times New Roman"/>
          <w:sz w:val="24"/>
          <w:szCs w:val="24"/>
        </w:rPr>
      </w:pPr>
      <w:r>
        <w:rPr>
          <w:rFonts w:ascii="Times New Roman" w:hAnsi="Times New Roman" w:cs="Times New Roman"/>
          <w:sz w:val="24"/>
          <w:szCs w:val="24"/>
        </w:rPr>
        <w:t xml:space="preserve">Hudson, L. (2018). </w:t>
      </w:r>
      <w:r>
        <w:rPr>
          <w:rFonts w:ascii="Times New Roman" w:hAnsi="Times New Roman" w:cs="Times New Roman"/>
          <w:i/>
          <w:iCs/>
          <w:sz w:val="24"/>
          <w:szCs w:val="24"/>
        </w:rPr>
        <w:t>Trends in subbaccalaureate occupational awards: 2003 to 2015</w:t>
      </w:r>
      <w:r>
        <w:rPr>
          <w:rFonts w:ascii="Times New Roman" w:hAnsi="Times New Roman" w:cs="Times New Roman"/>
          <w:sz w:val="24"/>
          <w:szCs w:val="24"/>
        </w:rPr>
        <w:t xml:space="preserve"> (NCES 2018-010), Washington, DC: National Center for Education Statistics, Institute of Education Sciences, U.S. Department of Education.</w:t>
      </w:r>
    </w:p>
    <w:p w:rsidRPr="00AB62C9" w:rsidR="00AB62C9" w:rsidP="007D3E4A" w:rsidRDefault="00AB62C9" w14:paraId="7C11B2AC" w14:textId="606223B3">
      <w:pPr>
        <w:ind w:left="720" w:hanging="720"/>
        <w:rPr>
          <w:rFonts w:ascii="Times New Roman" w:hAnsi="Times New Roman" w:cs="Times New Roman"/>
          <w:sz w:val="24"/>
          <w:szCs w:val="24"/>
        </w:rPr>
      </w:pPr>
      <w:r>
        <w:rPr>
          <w:rFonts w:ascii="Times New Roman" w:hAnsi="Times New Roman" w:cs="Times New Roman"/>
          <w:sz w:val="24"/>
          <w:szCs w:val="24"/>
        </w:rPr>
        <w:t xml:space="preserve">Jackson, M., McPhee, C., &amp; Lavrakas, P. (2019). Using response propensity modeling to allocate noncontingent incentives in an address-based sample: Evidence from a national experiment. </w:t>
      </w:r>
      <w:r>
        <w:rPr>
          <w:rFonts w:ascii="Times New Roman" w:hAnsi="Times New Roman" w:cs="Times New Roman"/>
          <w:i/>
          <w:iCs/>
          <w:sz w:val="24"/>
          <w:szCs w:val="24"/>
        </w:rPr>
        <w:t>Journal of Survey Statistics and Methodology, 0</w:t>
      </w:r>
      <w:r w:rsidR="00A439C5">
        <w:rPr>
          <w:rFonts w:ascii="Times New Roman" w:hAnsi="Times New Roman" w:cs="Times New Roman"/>
          <w:sz w:val="24"/>
          <w:szCs w:val="24"/>
        </w:rPr>
        <w:t>,</w:t>
      </w:r>
      <w:r>
        <w:rPr>
          <w:rFonts w:ascii="Times New Roman" w:hAnsi="Times New Roman" w:cs="Times New Roman"/>
          <w:sz w:val="24"/>
          <w:szCs w:val="24"/>
        </w:rPr>
        <w:t xml:space="preserve"> 1-27.</w:t>
      </w:r>
    </w:p>
    <w:p w:rsidRPr="00FD5F3D" w:rsidR="00FD5F3D" w:rsidP="007D3E4A" w:rsidRDefault="00FD5F3D" w14:paraId="1C0B93B1" w14:textId="2E5226D3">
      <w:pPr>
        <w:ind w:left="720" w:hanging="720"/>
        <w:rPr>
          <w:rFonts w:ascii="Times New Roman" w:hAnsi="Times New Roman" w:cs="Times New Roman"/>
          <w:sz w:val="24"/>
          <w:szCs w:val="24"/>
        </w:rPr>
      </w:pPr>
      <w:r>
        <w:rPr>
          <w:rFonts w:ascii="Times New Roman" w:hAnsi="Times New Roman" w:cs="Times New Roman"/>
          <w:sz w:val="24"/>
          <w:szCs w:val="24"/>
        </w:rPr>
        <w:t xml:space="preserve">Jackson, M., McQuiggan, M., &amp; Megra, M. (2016). </w:t>
      </w:r>
      <w:r>
        <w:rPr>
          <w:rFonts w:ascii="Times New Roman" w:hAnsi="Times New Roman" w:cs="Times New Roman"/>
          <w:i/>
          <w:iCs/>
          <w:sz w:val="24"/>
          <w:szCs w:val="24"/>
        </w:rPr>
        <w:t>NHES:2014 Feasibility Study report</w:t>
      </w:r>
      <w:r>
        <w:rPr>
          <w:rFonts w:ascii="Times New Roman" w:hAnsi="Times New Roman" w:cs="Times New Roman"/>
          <w:sz w:val="24"/>
          <w:szCs w:val="24"/>
        </w:rPr>
        <w:t>. Internal report to National Center for Education Statistics.</w:t>
      </w:r>
    </w:p>
    <w:p w:rsidRPr="005D29F0" w:rsidR="004E4E38" w:rsidP="007D3E4A" w:rsidRDefault="004E4E38" w14:paraId="731FBA3C" w14:textId="1B8DC3A8">
      <w:pPr>
        <w:ind w:left="720" w:hanging="720"/>
        <w:rPr>
          <w:rFonts w:ascii="Times New Roman" w:hAnsi="Times New Roman" w:cs="Times New Roman"/>
          <w:sz w:val="24"/>
          <w:szCs w:val="24"/>
        </w:rPr>
      </w:pPr>
      <w:r w:rsidRPr="004E4E38">
        <w:rPr>
          <w:rFonts w:ascii="Times New Roman" w:hAnsi="Times New Roman" w:cs="Times New Roman"/>
          <w:sz w:val="24"/>
          <w:szCs w:val="24"/>
        </w:rPr>
        <w:t xml:space="preserve">Lesser, V. M., Newton, L. D., Yang, D. K., &amp; Sifneos, J. C. (2016). Mixed-mode surveys compared with single mode surveys: Trends in responses and methods to improve completion. </w:t>
      </w:r>
      <w:r w:rsidRPr="00C54AB3">
        <w:rPr>
          <w:rFonts w:ascii="Times New Roman" w:hAnsi="Times New Roman" w:cs="Times New Roman"/>
          <w:i/>
          <w:iCs/>
          <w:sz w:val="24"/>
          <w:szCs w:val="24"/>
        </w:rPr>
        <w:t>Journal of Rural Social Sciences, 31</w:t>
      </w:r>
      <w:r w:rsidRPr="004E4E38">
        <w:rPr>
          <w:rFonts w:ascii="Times New Roman" w:hAnsi="Times New Roman" w:cs="Times New Roman"/>
          <w:sz w:val="24"/>
          <w:szCs w:val="24"/>
        </w:rPr>
        <w:t>(3), 7</w:t>
      </w:r>
      <w:r>
        <w:rPr>
          <w:rStyle w:val="CommentReference"/>
          <w:rFonts w:ascii="Times New Roman" w:hAnsi="Times New Roman" w:cs="Times New Roman"/>
        </w:rPr>
        <w:t>–</w:t>
      </w:r>
      <w:r w:rsidRPr="004E4E38">
        <w:rPr>
          <w:rFonts w:ascii="Times New Roman" w:hAnsi="Times New Roman" w:cs="Times New Roman"/>
          <w:sz w:val="24"/>
          <w:szCs w:val="24"/>
        </w:rPr>
        <w:t>34.</w:t>
      </w:r>
    </w:p>
    <w:p w:rsidR="00FF149F" w:rsidP="007D3E4A" w:rsidRDefault="00FF149F" w14:paraId="6E4ECA6B" w14:textId="26B5A0CE">
      <w:pPr>
        <w:ind w:left="720" w:hanging="720"/>
        <w:rPr>
          <w:rFonts w:ascii="Times New Roman" w:hAnsi="Times New Roman" w:cs="Times New Roman"/>
          <w:sz w:val="24"/>
          <w:szCs w:val="24"/>
        </w:rPr>
      </w:pPr>
      <w:r>
        <w:rPr>
          <w:rFonts w:ascii="Times New Roman" w:hAnsi="Times New Roman" w:cs="Times New Roman"/>
          <w:sz w:val="24"/>
          <w:szCs w:val="24"/>
        </w:rPr>
        <w:t>Matthews, B., Davis, M.</w:t>
      </w:r>
      <w:r w:rsidR="009C090C">
        <w:rPr>
          <w:rFonts w:ascii="Times New Roman" w:hAnsi="Times New Roman" w:cs="Times New Roman"/>
          <w:sz w:val="24"/>
          <w:szCs w:val="24"/>
        </w:rPr>
        <w:t xml:space="preserve"> </w:t>
      </w:r>
      <w:r>
        <w:rPr>
          <w:rFonts w:ascii="Times New Roman" w:hAnsi="Times New Roman" w:cs="Times New Roman"/>
          <w:sz w:val="24"/>
          <w:szCs w:val="24"/>
        </w:rPr>
        <w:t xml:space="preserve">C., </w:t>
      </w:r>
      <w:r w:rsidR="00BC6DD6">
        <w:rPr>
          <w:rFonts w:ascii="Times New Roman" w:hAnsi="Times New Roman" w:cs="Times New Roman"/>
          <w:sz w:val="24"/>
          <w:szCs w:val="24"/>
        </w:rPr>
        <w:t>Ta</w:t>
      </w:r>
      <w:r w:rsidR="00366199">
        <w:rPr>
          <w:rFonts w:ascii="Times New Roman" w:hAnsi="Times New Roman" w:cs="Times New Roman"/>
          <w:sz w:val="24"/>
          <w:szCs w:val="24"/>
        </w:rPr>
        <w:t>n</w:t>
      </w:r>
      <w:r w:rsidR="00BC6DD6">
        <w:rPr>
          <w:rFonts w:ascii="Times New Roman" w:hAnsi="Times New Roman" w:cs="Times New Roman"/>
          <w:sz w:val="24"/>
          <w:szCs w:val="24"/>
        </w:rPr>
        <w:t>creto, J.</w:t>
      </w:r>
      <w:r w:rsidR="009C090C">
        <w:rPr>
          <w:rFonts w:ascii="Times New Roman" w:hAnsi="Times New Roman" w:cs="Times New Roman"/>
          <w:sz w:val="24"/>
          <w:szCs w:val="24"/>
        </w:rPr>
        <w:t xml:space="preserve"> </w:t>
      </w:r>
      <w:r w:rsidR="006C39E3">
        <w:rPr>
          <w:rFonts w:ascii="Times New Roman" w:hAnsi="Times New Roman" w:cs="Times New Roman"/>
          <w:sz w:val="24"/>
          <w:szCs w:val="24"/>
        </w:rPr>
        <w:t>G.</w:t>
      </w:r>
      <w:r w:rsidR="00BC6DD6">
        <w:rPr>
          <w:rFonts w:ascii="Times New Roman" w:hAnsi="Times New Roman" w:cs="Times New Roman"/>
          <w:sz w:val="24"/>
          <w:szCs w:val="24"/>
        </w:rPr>
        <w:t xml:space="preserve">, </w:t>
      </w:r>
      <w:r w:rsidR="00025CE4">
        <w:rPr>
          <w:rFonts w:ascii="Times New Roman" w:hAnsi="Times New Roman" w:cs="Times New Roman"/>
          <w:sz w:val="24"/>
          <w:szCs w:val="24"/>
        </w:rPr>
        <w:t xml:space="preserve">Zelenak, </w:t>
      </w:r>
      <w:r w:rsidR="00356F21">
        <w:rPr>
          <w:rFonts w:ascii="Times New Roman" w:hAnsi="Times New Roman" w:cs="Times New Roman"/>
          <w:sz w:val="24"/>
          <w:szCs w:val="24"/>
        </w:rPr>
        <w:t>M.</w:t>
      </w:r>
      <w:r w:rsidR="009C090C">
        <w:rPr>
          <w:rFonts w:ascii="Times New Roman" w:hAnsi="Times New Roman" w:cs="Times New Roman"/>
          <w:sz w:val="24"/>
          <w:szCs w:val="24"/>
        </w:rPr>
        <w:t xml:space="preserve"> </w:t>
      </w:r>
      <w:r w:rsidR="00356F21">
        <w:rPr>
          <w:rFonts w:ascii="Times New Roman" w:hAnsi="Times New Roman" w:cs="Times New Roman"/>
          <w:sz w:val="24"/>
          <w:szCs w:val="24"/>
        </w:rPr>
        <w:t xml:space="preserve">F., </w:t>
      </w:r>
      <w:r w:rsidR="00504C46">
        <w:rPr>
          <w:rFonts w:ascii="Times New Roman" w:hAnsi="Times New Roman" w:cs="Times New Roman"/>
          <w:sz w:val="24"/>
          <w:szCs w:val="24"/>
        </w:rPr>
        <w:t xml:space="preserve">&amp; </w:t>
      </w:r>
      <w:r w:rsidR="00465E22">
        <w:rPr>
          <w:rFonts w:ascii="Times New Roman" w:hAnsi="Times New Roman" w:cs="Times New Roman"/>
          <w:sz w:val="24"/>
          <w:szCs w:val="24"/>
        </w:rPr>
        <w:t>Ruiter, M. (2012)</w:t>
      </w:r>
      <w:r w:rsidR="00504C46">
        <w:rPr>
          <w:rFonts w:ascii="Times New Roman" w:hAnsi="Times New Roman" w:cs="Times New Roman"/>
          <w:sz w:val="24"/>
          <w:szCs w:val="24"/>
        </w:rPr>
        <w:t>.</w:t>
      </w:r>
      <w:r w:rsidR="000878E8">
        <w:rPr>
          <w:rFonts w:ascii="Times New Roman" w:hAnsi="Times New Roman" w:cs="Times New Roman"/>
          <w:sz w:val="24"/>
          <w:szCs w:val="24"/>
        </w:rPr>
        <w:t xml:space="preserve"> </w:t>
      </w:r>
      <w:r w:rsidR="000878E8">
        <w:rPr>
          <w:rFonts w:ascii="Times New Roman" w:hAnsi="Times New Roman" w:cs="Times New Roman"/>
          <w:i/>
          <w:sz w:val="24"/>
          <w:szCs w:val="24"/>
        </w:rPr>
        <w:t xml:space="preserve">2011 American Community Survey Internet </w:t>
      </w:r>
      <w:r w:rsidR="009C090C">
        <w:rPr>
          <w:rFonts w:ascii="Times New Roman" w:hAnsi="Times New Roman" w:cs="Times New Roman"/>
          <w:i/>
          <w:sz w:val="24"/>
          <w:szCs w:val="24"/>
        </w:rPr>
        <w:t>tests</w:t>
      </w:r>
      <w:r w:rsidR="000878E8">
        <w:rPr>
          <w:rFonts w:ascii="Times New Roman" w:hAnsi="Times New Roman" w:cs="Times New Roman"/>
          <w:i/>
          <w:sz w:val="24"/>
          <w:szCs w:val="24"/>
        </w:rPr>
        <w:t xml:space="preserve">: Results from </w:t>
      </w:r>
      <w:r w:rsidR="009C090C">
        <w:rPr>
          <w:rFonts w:ascii="Times New Roman" w:hAnsi="Times New Roman" w:cs="Times New Roman"/>
          <w:i/>
          <w:sz w:val="24"/>
          <w:szCs w:val="24"/>
        </w:rPr>
        <w:t>second te</w:t>
      </w:r>
      <w:r w:rsidR="000878E8">
        <w:rPr>
          <w:rFonts w:ascii="Times New Roman" w:hAnsi="Times New Roman" w:cs="Times New Roman"/>
          <w:i/>
          <w:sz w:val="24"/>
          <w:szCs w:val="24"/>
        </w:rPr>
        <w:t>st in November 2011</w:t>
      </w:r>
      <w:r w:rsidR="009C090C">
        <w:rPr>
          <w:rFonts w:ascii="Times New Roman" w:hAnsi="Times New Roman" w:cs="Times New Roman"/>
          <w:sz w:val="24"/>
          <w:szCs w:val="24"/>
        </w:rPr>
        <w:t>. Retrieved from</w:t>
      </w:r>
      <w:r w:rsidR="00A14303">
        <w:rPr>
          <w:rFonts w:ascii="Times New Roman" w:hAnsi="Times New Roman" w:cs="Times New Roman"/>
          <w:sz w:val="24"/>
          <w:szCs w:val="24"/>
        </w:rPr>
        <w:t xml:space="preserve"> </w:t>
      </w:r>
      <w:hyperlink w:history="1" r:id="rId13">
        <w:r w:rsidRPr="00953F6D" w:rsidR="009B44B5">
          <w:rPr>
            <w:rStyle w:val="Hyperlink"/>
            <w:rFonts w:ascii="Times New Roman" w:hAnsi="Times New Roman" w:cs="Times New Roman"/>
            <w:sz w:val="24"/>
            <w:szCs w:val="24"/>
          </w:rPr>
          <w:t>https://www.census.gov/content/dam/Census/library/working-papers/2012/acs/2012_Matthews_01.pdf</w:t>
        </w:r>
      </w:hyperlink>
    </w:p>
    <w:p w:rsidR="009B44B5" w:rsidP="007D3E4A" w:rsidRDefault="009B44B5" w14:paraId="4265D482" w14:textId="7772B612">
      <w:pPr>
        <w:ind w:left="720" w:hanging="720"/>
        <w:rPr>
          <w:rFonts w:ascii="Times New Roman" w:hAnsi="Times New Roman" w:cs="Times New Roman"/>
          <w:sz w:val="24"/>
          <w:szCs w:val="24"/>
        </w:rPr>
      </w:pPr>
      <w:r>
        <w:rPr>
          <w:rFonts w:ascii="Times New Roman" w:hAnsi="Times New Roman" w:cs="Times New Roman"/>
          <w:sz w:val="24"/>
          <w:szCs w:val="24"/>
        </w:rPr>
        <w:t xml:space="preserve">McPhee, C., Bielick, S., Masterton, M., Flores, L., Parmer, R., Amchin, S., Stern, S., &amp; </w:t>
      </w:r>
      <w:r w:rsidR="002D0696">
        <w:rPr>
          <w:rFonts w:ascii="Times New Roman" w:hAnsi="Times New Roman" w:cs="Times New Roman"/>
          <w:sz w:val="24"/>
          <w:szCs w:val="24"/>
        </w:rPr>
        <w:t xml:space="preserve">McGowan, H. (2015). </w:t>
      </w:r>
      <w:r w:rsidR="00E72937">
        <w:rPr>
          <w:rFonts w:ascii="Times New Roman" w:hAnsi="Times New Roman" w:cs="Times New Roman"/>
          <w:i/>
          <w:iCs/>
          <w:sz w:val="24"/>
          <w:szCs w:val="24"/>
        </w:rPr>
        <w:t>National Household Education Surveys Program of 2012: Data file user’s manual</w:t>
      </w:r>
      <w:r w:rsidR="00785D3C">
        <w:rPr>
          <w:rFonts w:ascii="Times New Roman" w:hAnsi="Times New Roman" w:cs="Times New Roman"/>
          <w:sz w:val="24"/>
          <w:szCs w:val="24"/>
        </w:rPr>
        <w:t xml:space="preserve"> (NCES 2015-030)</w:t>
      </w:r>
      <w:r w:rsidR="008F11C1">
        <w:rPr>
          <w:rFonts w:ascii="Times New Roman" w:hAnsi="Times New Roman" w:cs="Times New Roman"/>
          <w:sz w:val="24"/>
          <w:szCs w:val="24"/>
        </w:rPr>
        <w:t>,</w:t>
      </w:r>
      <w:r w:rsidR="00785D3C">
        <w:rPr>
          <w:rFonts w:ascii="Times New Roman" w:hAnsi="Times New Roman" w:cs="Times New Roman"/>
          <w:sz w:val="24"/>
          <w:szCs w:val="24"/>
        </w:rPr>
        <w:t xml:space="preserve"> </w:t>
      </w:r>
      <w:r w:rsidR="00E4669E">
        <w:rPr>
          <w:rFonts w:ascii="Times New Roman" w:hAnsi="Times New Roman" w:cs="Times New Roman"/>
          <w:sz w:val="24"/>
          <w:szCs w:val="24"/>
        </w:rPr>
        <w:t>Washington, DC: National Center for Education Statistics, Institute of Education Sciences, U.S. Department of Education.</w:t>
      </w:r>
    </w:p>
    <w:p w:rsidR="001637AC" w:rsidP="007D3E4A" w:rsidRDefault="001637AC" w14:paraId="06BFB7F2" w14:textId="511B943E">
      <w:pPr>
        <w:ind w:left="720" w:hanging="720"/>
        <w:rPr>
          <w:rFonts w:ascii="Times New Roman" w:hAnsi="Times New Roman" w:cs="Times New Roman"/>
          <w:sz w:val="24"/>
          <w:szCs w:val="24"/>
        </w:rPr>
      </w:pPr>
      <w:r>
        <w:rPr>
          <w:rFonts w:ascii="Times New Roman" w:hAnsi="Times New Roman" w:cs="Times New Roman"/>
          <w:sz w:val="24"/>
          <w:szCs w:val="24"/>
        </w:rPr>
        <w:t xml:space="preserve">McPhee, C. &amp; Hastedt, S. (2012). </w:t>
      </w:r>
      <w:r w:rsidR="00115219">
        <w:rPr>
          <w:rFonts w:ascii="Times New Roman" w:hAnsi="Times New Roman" w:cs="Times New Roman"/>
          <w:sz w:val="24"/>
          <w:szCs w:val="24"/>
        </w:rPr>
        <w:t>More money? The impact of larger incentives on response rates in a two-phase mail survey. Presented at the 2012 research conference of the Federal Committee on Statistical Methodology, Washington, DC.</w:t>
      </w:r>
    </w:p>
    <w:p w:rsidRPr="00754522" w:rsidR="00754522" w:rsidP="007D3E4A" w:rsidRDefault="00754522" w14:paraId="7E7807D0" w14:textId="035A881E">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McPhee, C., Jackson, M., Bielick, S., Masterton, M., Battle, D., McQuiggan, M., Payri, M., Cox, C., &amp; Medway, R. (2018). </w:t>
      </w:r>
      <w:r>
        <w:rPr>
          <w:rFonts w:ascii="Times New Roman" w:hAnsi="Times New Roman" w:cs="Times New Roman"/>
          <w:i/>
          <w:iCs/>
          <w:sz w:val="24"/>
          <w:szCs w:val="24"/>
        </w:rPr>
        <w:t>National Household Education Surveys Program of 2016: Data file user’s manual</w:t>
      </w:r>
      <w:r>
        <w:rPr>
          <w:rFonts w:ascii="Times New Roman" w:hAnsi="Times New Roman" w:cs="Times New Roman"/>
          <w:sz w:val="24"/>
          <w:szCs w:val="24"/>
        </w:rPr>
        <w:t xml:space="preserve"> (NCES 2018-100), Washington, DC: National Center for Education Statistics, Institute of Education Sciences, U.S. Department of Education.</w:t>
      </w:r>
    </w:p>
    <w:p w:rsidR="00FF050E" w:rsidP="007D3E4A" w:rsidRDefault="00FF050E" w14:paraId="24CD92F5" w14:textId="733CF021">
      <w:pPr>
        <w:ind w:left="720" w:hanging="720"/>
        <w:rPr>
          <w:rFonts w:ascii="Times New Roman" w:hAnsi="Times New Roman" w:cs="Times New Roman"/>
          <w:sz w:val="24"/>
          <w:szCs w:val="24"/>
        </w:rPr>
      </w:pPr>
      <w:r>
        <w:rPr>
          <w:rFonts w:ascii="Times New Roman" w:hAnsi="Times New Roman" w:cs="Times New Roman"/>
          <w:sz w:val="24"/>
          <w:szCs w:val="24"/>
        </w:rPr>
        <w:t>Medway, R.</w:t>
      </w:r>
      <w:r w:rsidR="009C090C">
        <w:rPr>
          <w:rFonts w:ascii="Times New Roman" w:hAnsi="Times New Roman" w:cs="Times New Roman"/>
          <w:sz w:val="24"/>
          <w:szCs w:val="24"/>
        </w:rPr>
        <w:t xml:space="preserve"> </w:t>
      </w:r>
      <w:r>
        <w:rPr>
          <w:rFonts w:ascii="Times New Roman" w:hAnsi="Times New Roman" w:cs="Times New Roman"/>
          <w:sz w:val="24"/>
          <w:szCs w:val="24"/>
        </w:rPr>
        <w:t>L.</w:t>
      </w:r>
      <w:r w:rsidR="00504C46">
        <w:rPr>
          <w:rFonts w:ascii="Times New Roman" w:hAnsi="Times New Roman" w:cs="Times New Roman"/>
          <w:sz w:val="24"/>
          <w:szCs w:val="24"/>
        </w:rPr>
        <w:t>,</w:t>
      </w:r>
      <w:r>
        <w:rPr>
          <w:rFonts w:ascii="Times New Roman" w:hAnsi="Times New Roman" w:cs="Times New Roman"/>
          <w:sz w:val="24"/>
          <w:szCs w:val="24"/>
        </w:rPr>
        <w:t xml:space="preserve"> </w:t>
      </w:r>
      <w:r w:rsidR="00504C46">
        <w:rPr>
          <w:rFonts w:ascii="Times New Roman" w:hAnsi="Times New Roman" w:cs="Times New Roman"/>
          <w:sz w:val="24"/>
          <w:szCs w:val="24"/>
        </w:rPr>
        <w:t xml:space="preserve">&amp; </w:t>
      </w:r>
      <w:r>
        <w:rPr>
          <w:rFonts w:ascii="Times New Roman" w:hAnsi="Times New Roman" w:cs="Times New Roman"/>
          <w:sz w:val="24"/>
          <w:szCs w:val="24"/>
        </w:rPr>
        <w:t>Fulton, J. (</w:t>
      </w:r>
      <w:r w:rsidR="00A73982">
        <w:rPr>
          <w:rFonts w:ascii="Times New Roman" w:hAnsi="Times New Roman" w:cs="Times New Roman"/>
          <w:sz w:val="24"/>
          <w:szCs w:val="24"/>
        </w:rPr>
        <w:t>2012)</w:t>
      </w:r>
      <w:r w:rsidR="00504C46">
        <w:rPr>
          <w:rFonts w:ascii="Times New Roman" w:hAnsi="Times New Roman" w:cs="Times New Roman"/>
          <w:sz w:val="24"/>
          <w:szCs w:val="24"/>
        </w:rPr>
        <w:t>.</w:t>
      </w:r>
      <w:r w:rsidR="00A73982">
        <w:rPr>
          <w:rFonts w:ascii="Times New Roman" w:hAnsi="Times New Roman" w:cs="Times New Roman"/>
          <w:sz w:val="24"/>
          <w:szCs w:val="24"/>
        </w:rPr>
        <w:t xml:space="preserve"> </w:t>
      </w:r>
      <w:r w:rsidR="00875D39">
        <w:rPr>
          <w:rFonts w:ascii="Times New Roman" w:hAnsi="Times New Roman" w:cs="Times New Roman"/>
          <w:sz w:val="24"/>
          <w:szCs w:val="24"/>
        </w:rPr>
        <w:t xml:space="preserve">When </w:t>
      </w:r>
      <w:r w:rsidR="00504C46">
        <w:rPr>
          <w:rFonts w:ascii="Times New Roman" w:hAnsi="Times New Roman" w:cs="Times New Roman"/>
          <w:sz w:val="24"/>
          <w:szCs w:val="24"/>
        </w:rPr>
        <w:t>more gets you less</w:t>
      </w:r>
      <w:r w:rsidR="00875D39">
        <w:rPr>
          <w:rFonts w:ascii="Times New Roman" w:hAnsi="Times New Roman" w:cs="Times New Roman"/>
          <w:sz w:val="24"/>
          <w:szCs w:val="24"/>
        </w:rPr>
        <w:t xml:space="preserve">: A </w:t>
      </w:r>
      <w:r w:rsidR="00504C46">
        <w:rPr>
          <w:rFonts w:ascii="Times New Roman" w:hAnsi="Times New Roman" w:cs="Times New Roman"/>
          <w:sz w:val="24"/>
          <w:szCs w:val="24"/>
        </w:rPr>
        <w:t>meta-analysis of the effect of concurrent web options on mail survey response rates</w:t>
      </w:r>
      <w:r w:rsidR="009C090C">
        <w:rPr>
          <w:rFonts w:ascii="Times New Roman" w:hAnsi="Times New Roman" w:cs="Times New Roman"/>
          <w:sz w:val="24"/>
          <w:szCs w:val="24"/>
        </w:rPr>
        <w:t>.</w:t>
      </w:r>
      <w:r w:rsidR="00875D39">
        <w:rPr>
          <w:rFonts w:ascii="Times New Roman" w:hAnsi="Times New Roman" w:cs="Times New Roman"/>
          <w:sz w:val="24"/>
          <w:szCs w:val="24"/>
        </w:rPr>
        <w:t xml:space="preserve"> </w:t>
      </w:r>
      <w:r w:rsidR="00875D39">
        <w:rPr>
          <w:rFonts w:ascii="Times New Roman" w:hAnsi="Times New Roman" w:cs="Times New Roman"/>
          <w:i/>
          <w:sz w:val="24"/>
          <w:szCs w:val="24"/>
        </w:rPr>
        <w:t>Public Opinion Quarterly</w:t>
      </w:r>
      <w:r w:rsidR="00875D39">
        <w:rPr>
          <w:rFonts w:ascii="Times New Roman" w:hAnsi="Times New Roman" w:cs="Times New Roman"/>
          <w:sz w:val="24"/>
          <w:szCs w:val="24"/>
        </w:rPr>
        <w:t xml:space="preserve">, </w:t>
      </w:r>
      <w:r w:rsidRPr="00C54AB3" w:rsidR="00875D39">
        <w:rPr>
          <w:rFonts w:ascii="Times New Roman" w:hAnsi="Times New Roman" w:cs="Times New Roman"/>
          <w:i/>
          <w:iCs/>
          <w:sz w:val="24"/>
          <w:szCs w:val="24"/>
        </w:rPr>
        <w:t>76</w:t>
      </w:r>
      <w:r w:rsidR="00875D39">
        <w:rPr>
          <w:rFonts w:ascii="Times New Roman" w:hAnsi="Times New Roman" w:cs="Times New Roman"/>
          <w:sz w:val="24"/>
          <w:szCs w:val="24"/>
        </w:rPr>
        <w:t>(4)</w:t>
      </w:r>
      <w:r w:rsidR="00504C46">
        <w:rPr>
          <w:rFonts w:ascii="Times New Roman" w:hAnsi="Times New Roman" w:cs="Times New Roman"/>
          <w:sz w:val="24"/>
          <w:szCs w:val="24"/>
        </w:rPr>
        <w:t>,</w:t>
      </w:r>
      <w:r w:rsidR="00875D39">
        <w:rPr>
          <w:rFonts w:ascii="Times New Roman" w:hAnsi="Times New Roman" w:cs="Times New Roman"/>
          <w:sz w:val="24"/>
          <w:szCs w:val="24"/>
        </w:rPr>
        <w:t xml:space="preserve"> 733</w:t>
      </w:r>
      <w:r w:rsidR="00AF7F45">
        <w:rPr>
          <w:rStyle w:val="CommentReference"/>
          <w:rFonts w:ascii="Times New Roman" w:hAnsi="Times New Roman" w:cs="Times New Roman"/>
        </w:rPr>
        <w:t>–</w:t>
      </w:r>
      <w:r w:rsidR="00875D39">
        <w:rPr>
          <w:rFonts w:ascii="Times New Roman" w:hAnsi="Times New Roman" w:cs="Times New Roman"/>
          <w:sz w:val="24"/>
          <w:szCs w:val="24"/>
        </w:rPr>
        <w:t xml:space="preserve">746. </w:t>
      </w:r>
    </w:p>
    <w:p w:rsidRPr="00EE4118" w:rsidR="00EE4118" w:rsidP="007D3E4A" w:rsidRDefault="00EE4118" w14:paraId="03D5298A" w14:textId="4479263C">
      <w:pPr>
        <w:ind w:left="720" w:hanging="720"/>
        <w:rPr>
          <w:rFonts w:ascii="Times New Roman" w:hAnsi="Times New Roman" w:cs="Times New Roman"/>
          <w:sz w:val="24"/>
          <w:szCs w:val="24"/>
        </w:rPr>
      </w:pPr>
      <w:r w:rsidRPr="009422AF">
        <w:rPr>
          <w:rFonts w:ascii="Times New Roman" w:hAnsi="Times New Roman" w:cs="Times New Roman"/>
          <w:sz w:val="24"/>
          <w:szCs w:val="24"/>
        </w:rPr>
        <w:t xml:space="preserve">Megra, M. &amp; Cronen, S. (2017). </w:t>
      </w:r>
      <w:r w:rsidRPr="00EE4118">
        <w:rPr>
          <w:rFonts w:ascii="Times New Roman" w:hAnsi="Times New Roman" w:cs="Times New Roman"/>
          <w:i/>
          <w:iCs/>
          <w:sz w:val="24"/>
          <w:szCs w:val="24"/>
        </w:rPr>
        <w:t>A</w:t>
      </w:r>
      <w:r w:rsidRPr="00B93559">
        <w:rPr>
          <w:rFonts w:ascii="Times New Roman" w:hAnsi="Times New Roman" w:cs="Times New Roman"/>
          <w:i/>
          <w:iCs/>
          <w:sz w:val="24"/>
          <w:szCs w:val="24"/>
        </w:rPr>
        <w:t>TES:2016 seeded sample analy</w:t>
      </w:r>
      <w:r>
        <w:rPr>
          <w:rFonts w:ascii="Times New Roman" w:hAnsi="Times New Roman" w:cs="Times New Roman"/>
          <w:i/>
          <w:iCs/>
          <w:sz w:val="24"/>
          <w:szCs w:val="24"/>
        </w:rPr>
        <w:t>sis</w:t>
      </w:r>
      <w:r>
        <w:rPr>
          <w:rFonts w:ascii="Times New Roman" w:hAnsi="Times New Roman" w:cs="Times New Roman"/>
          <w:sz w:val="24"/>
          <w:szCs w:val="24"/>
        </w:rPr>
        <w:t xml:space="preserve">. </w:t>
      </w:r>
      <w:r w:rsidR="00CE3060">
        <w:rPr>
          <w:rFonts w:ascii="Times New Roman" w:hAnsi="Times New Roman" w:cs="Times New Roman"/>
          <w:sz w:val="24"/>
          <w:szCs w:val="24"/>
        </w:rPr>
        <w:t>Internal report to National Center for Education Statistics.</w:t>
      </w:r>
    </w:p>
    <w:p w:rsidR="00105457" w:rsidP="007D3E4A" w:rsidRDefault="00105457" w14:paraId="737166A0" w14:textId="290163EF">
      <w:pPr>
        <w:ind w:left="720" w:hanging="720"/>
        <w:rPr>
          <w:rFonts w:ascii="Times New Roman" w:hAnsi="Times New Roman" w:cs="Times New Roman"/>
          <w:sz w:val="24"/>
          <w:szCs w:val="24"/>
        </w:rPr>
      </w:pPr>
      <w:r w:rsidRPr="00CE3060">
        <w:rPr>
          <w:rFonts w:ascii="Times New Roman" w:hAnsi="Times New Roman" w:cs="Times New Roman"/>
          <w:sz w:val="24"/>
          <w:szCs w:val="24"/>
        </w:rPr>
        <w:t xml:space="preserve">Mercer, A., Caporaso, A., Cantor, D., </w:t>
      </w:r>
      <w:r w:rsidRPr="00CE3060" w:rsidR="00504C46">
        <w:rPr>
          <w:rFonts w:ascii="Times New Roman" w:hAnsi="Times New Roman" w:cs="Times New Roman"/>
          <w:sz w:val="24"/>
          <w:szCs w:val="24"/>
        </w:rPr>
        <w:t xml:space="preserve">&amp; </w:t>
      </w:r>
      <w:r w:rsidRPr="00CE3060">
        <w:rPr>
          <w:rFonts w:ascii="Times New Roman" w:hAnsi="Times New Roman" w:cs="Times New Roman"/>
          <w:sz w:val="24"/>
          <w:szCs w:val="24"/>
        </w:rPr>
        <w:t>Townsend, R. (2015)</w:t>
      </w:r>
      <w:r w:rsidRPr="00CE3060" w:rsidR="00504C46">
        <w:rPr>
          <w:rFonts w:ascii="Times New Roman" w:hAnsi="Times New Roman" w:cs="Times New Roman"/>
          <w:sz w:val="24"/>
          <w:szCs w:val="24"/>
        </w:rPr>
        <w:t>.</w:t>
      </w:r>
      <w:r w:rsidRPr="00CE3060">
        <w:rPr>
          <w:rFonts w:ascii="Times New Roman" w:hAnsi="Times New Roman" w:cs="Times New Roman"/>
          <w:sz w:val="24"/>
          <w:szCs w:val="24"/>
        </w:rPr>
        <w:t xml:space="preserve"> </w:t>
      </w:r>
      <w:r w:rsidRPr="00105457" w:rsidR="009C090C">
        <w:rPr>
          <w:rFonts w:ascii="Times New Roman" w:hAnsi="Times New Roman" w:cs="Times New Roman"/>
          <w:sz w:val="24"/>
          <w:szCs w:val="24"/>
        </w:rPr>
        <w:t xml:space="preserve">How </w:t>
      </w:r>
      <w:r w:rsidRPr="00105457" w:rsidR="00504C46">
        <w:rPr>
          <w:rFonts w:ascii="Times New Roman" w:hAnsi="Times New Roman" w:cs="Times New Roman"/>
          <w:sz w:val="24"/>
          <w:szCs w:val="24"/>
        </w:rPr>
        <w:t>much gets you how much</w:t>
      </w:r>
      <w:r w:rsidRPr="00105457">
        <w:rPr>
          <w:rFonts w:ascii="Times New Roman" w:hAnsi="Times New Roman" w:cs="Times New Roman"/>
          <w:sz w:val="24"/>
          <w:szCs w:val="24"/>
        </w:rPr>
        <w:t xml:space="preserve">? Monetary </w:t>
      </w:r>
      <w:r w:rsidRPr="00105457" w:rsidR="00504C46">
        <w:rPr>
          <w:rFonts w:ascii="Times New Roman" w:hAnsi="Times New Roman" w:cs="Times New Roman"/>
          <w:sz w:val="24"/>
          <w:szCs w:val="24"/>
        </w:rPr>
        <w:t>incentives and response rates in household surveys</w:t>
      </w:r>
      <w:r w:rsidR="00504C46">
        <w:rPr>
          <w:rFonts w:ascii="Times New Roman" w:hAnsi="Times New Roman" w:cs="Times New Roman"/>
          <w:sz w:val="24"/>
          <w:szCs w:val="24"/>
        </w:rPr>
        <w:t>.</w:t>
      </w:r>
      <w:r w:rsidRPr="00105457">
        <w:rPr>
          <w:rFonts w:ascii="Times New Roman" w:hAnsi="Times New Roman" w:cs="Times New Roman"/>
          <w:sz w:val="24"/>
          <w:szCs w:val="24"/>
        </w:rPr>
        <w:t xml:space="preserve"> </w:t>
      </w:r>
      <w:r w:rsidRPr="0040684B">
        <w:rPr>
          <w:rFonts w:ascii="Times New Roman" w:hAnsi="Times New Roman" w:cs="Times New Roman"/>
          <w:i/>
          <w:sz w:val="24"/>
          <w:szCs w:val="24"/>
        </w:rPr>
        <w:t>Public Opinion Quarterly</w:t>
      </w:r>
      <w:r w:rsidRPr="00105457">
        <w:rPr>
          <w:rFonts w:ascii="Times New Roman" w:hAnsi="Times New Roman" w:cs="Times New Roman"/>
          <w:sz w:val="24"/>
          <w:szCs w:val="24"/>
        </w:rPr>
        <w:t>,</w:t>
      </w:r>
      <w:r w:rsidRPr="00C54AB3">
        <w:rPr>
          <w:rFonts w:ascii="Times New Roman" w:hAnsi="Times New Roman" w:cs="Times New Roman"/>
          <w:i/>
          <w:iCs/>
          <w:sz w:val="24"/>
          <w:szCs w:val="24"/>
        </w:rPr>
        <w:t xml:space="preserve"> 79</w:t>
      </w:r>
      <w:r w:rsidR="00AB5AE8">
        <w:rPr>
          <w:rFonts w:ascii="Times New Roman" w:hAnsi="Times New Roman" w:cs="Times New Roman"/>
          <w:sz w:val="24"/>
          <w:szCs w:val="24"/>
        </w:rPr>
        <w:t>(1)</w:t>
      </w:r>
      <w:r w:rsidR="00504C46">
        <w:rPr>
          <w:rFonts w:ascii="Times New Roman" w:hAnsi="Times New Roman" w:cs="Times New Roman"/>
          <w:sz w:val="24"/>
          <w:szCs w:val="24"/>
        </w:rPr>
        <w:t>,</w:t>
      </w:r>
      <w:r w:rsidRPr="00105457">
        <w:rPr>
          <w:rFonts w:ascii="Times New Roman" w:hAnsi="Times New Roman" w:cs="Times New Roman"/>
          <w:sz w:val="24"/>
          <w:szCs w:val="24"/>
        </w:rPr>
        <w:t xml:space="preserve"> </w:t>
      </w:r>
      <w:r w:rsidR="0000109F">
        <w:rPr>
          <w:rFonts w:ascii="Times New Roman" w:hAnsi="Times New Roman" w:cs="Times New Roman"/>
          <w:sz w:val="24"/>
          <w:szCs w:val="24"/>
        </w:rPr>
        <w:t>105</w:t>
      </w:r>
      <w:r w:rsidR="00AF7F45">
        <w:rPr>
          <w:rStyle w:val="CommentReference"/>
          <w:rFonts w:ascii="Times New Roman" w:hAnsi="Times New Roman" w:cs="Times New Roman"/>
        </w:rPr>
        <w:t>–</w:t>
      </w:r>
      <w:r w:rsidR="0000109F">
        <w:rPr>
          <w:rFonts w:ascii="Times New Roman" w:hAnsi="Times New Roman" w:cs="Times New Roman"/>
          <w:sz w:val="24"/>
          <w:szCs w:val="24"/>
        </w:rPr>
        <w:t>129.</w:t>
      </w:r>
    </w:p>
    <w:p w:rsidRPr="00C43903" w:rsidR="003805C1" w:rsidP="007D3E4A" w:rsidRDefault="003805C1" w14:paraId="03471CCA" w14:textId="18200181">
      <w:pPr>
        <w:ind w:left="720" w:hanging="720"/>
        <w:rPr>
          <w:rFonts w:ascii="Times New Roman" w:hAnsi="Times New Roman" w:cs="Times New Roman"/>
          <w:sz w:val="24"/>
          <w:szCs w:val="24"/>
        </w:rPr>
      </w:pPr>
      <w:r>
        <w:rPr>
          <w:rFonts w:ascii="Times New Roman" w:hAnsi="Times New Roman" w:cs="Times New Roman"/>
          <w:sz w:val="24"/>
          <w:szCs w:val="24"/>
        </w:rPr>
        <w:t>Meyer, B.</w:t>
      </w:r>
      <w:r w:rsidR="009C090C">
        <w:rPr>
          <w:rFonts w:ascii="Times New Roman" w:hAnsi="Times New Roman" w:cs="Times New Roman"/>
          <w:sz w:val="24"/>
          <w:szCs w:val="24"/>
        </w:rPr>
        <w:t xml:space="preserve"> </w:t>
      </w:r>
      <w:r>
        <w:rPr>
          <w:rFonts w:ascii="Times New Roman" w:hAnsi="Times New Roman" w:cs="Times New Roman"/>
          <w:sz w:val="24"/>
          <w:szCs w:val="24"/>
        </w:rPr>
        <w:t>D., Mok, W.</w:t>
      </w:r>
      <w:r w:rsidR="009C090C">
        <w:rPr>
          <w:rFonts w:ascii="Times New Roman" w:hAnsi="Times New Roman" w:cs="Times New Roman"/>
          <w:sz w:val="24"/>
          <w:szCs w:val="24"/>
        </w:rPr>
        <w:t xml:space="preserve"> </w:t>
      </w:r>
      <w:r>
        <w:rPr>
          <w:rFonts w:ascii="Times New Roman" w:hAnsi="Times New Roman" w:cs="Times New Roman"/>
          <w:sz w:val="24"/>
          <w:szCs w:val="24"/>
        </w:rPr>
        <w:t>K.</w:t>
      </w:r>
      <w:r w:rsidR="009C090C">
        <w:rPr>
          <w:rFonts w:ascii="Times New Roman" w:hAnsi="Times New Roman" w:cs="Times New Roman"/>
          <w:sz w:val="24"/>
          <w:szCs w:val="24"/>
        </w:rPr>
        <w:t xml:space="preserve"> </w:t>
      </w:r>
      <w:r>
        <w:rPr>
          <w:rFonts w:ascii="Times New Roman" w:hAnsi="Times New Roman" w:cs="Times New Roman"/>
          <w:sz w:val="24"/>
          <w:szCs w:val="24"/>
        </w:rPr>
        <w:t xml:space="preserve">C., </w:t>
      </w:r>
      <w:r w:rsidR="00504C46">
        <w:rPr>
          <w:rFonts w:ascii="Times New Roman" w:hAnsi="Times New Roman" w:cs="Times New Roman"/>
          <w:sz w:val="24"/>
          <w:szCs w:val="24"/>
        </w:rPr>
        <w:t xml:space="preserve">&amp; </w:t>
      </w:r>
      <w:r>
        <w:rPr>
          <w:rFonts w:ascii="Times New Roman" w:hAnsi="Times New Roman" w:cs="Times New Roman"/>
          <w:sz w:val="24"/>
          <w:szCs w:val="24"/>
        </w:rPr>
        <w:t>Sullivan, J.</w:t>
      </w:r>
      <w:r w:rsidR="009C090C">
        <w:rPr>
          <w:rFonts w:ascii="Times New Roman" w:hAnsi="Times New Roman" w:cs="Times New Roman"/>
          <w:sz w:val="24"/>
          <w:szCs w:val="24"/>
        </w:rPr>
        <w:t xml:space="preserve"> </w:t>
      </w:r>
      <w:r>
        <w:rPr>
          <w:rFonts w:ascii="Times New Roman" w:hAnsi="Times New Roman" w:cs="Times New Roman"/>
          <w:sz w:val="24"/>
          <w:szCs w:val="24"/>
        </w:rPr>
        <w:t>X. (</w:t>
      </w:r>
      <w:r w:rsidR="00B46D10">
        <w:rPr>
          <w:rFonts w:ascii="Times New Roman" w:hAnsi="Times New Roman" w:cs="Times New Roman"/>
          <w:sz w:val="24"/>
          <w:szCs w:val="24"/>
        </w:rPr>
        <w:t>2015)</w:t>
      </w:r>
      <w:r w:rsidR="00504C46">
        <w:rPr>
          <w:rFonts w:ascii="Times New Roman" w:hAnsi="Times New Roman" w:cs="Times New Roman"/>
          <w:sz w:val="24"/>
          <w:szCs w:val="24"/>
        </w:rPr>
        <w:t>.</w:t>
      </w:r>
      <w:r w:rsidR="00C43903">
        <w:rPr>
          <w:rFonts w:ascii="Times New Roman" w:hAnsi="Times New Roman" w:cs="Times New Roman"/>
          <w:sz w:val="24"/>
          <w:szCs w:val="24"/>
        </w:rPr>
        <w:t xml:space="preserve"> Household </w:t>
      </w:r>
      <w:r w:rsidR="00504C46">
        <w:rPr>
          <w:rFonts w:ascii="Times New Roman" w:hAnsi="Times New Roman" w:cs="Times New Roman"/>
          <w:sz w:val="24"/>
          <w:szCs w:val="24"/>
        </w:rPr>
        <w:t>surveys in cris</w:t>
      </w:r>
      <w:r w:rsidR="00C43903">
        <w:rPr>
          <w:rFonts w:ascii="Times New Roman" w:hAnsi="Times New Roman" w:cs="Times New Roman"/>
          <w:sz w:val="24"/>
          <w:szCs w:val="24"/>
        </w:rPr>
        <w:t>is</w:t>
      </w:r>
      <w:r w:rsidR="009C090C">
        <w:rPr>
          <w:rFonts w:ascii="Times New Roman" w:hAnsi="Times New Roman" w:cs="Times New Roman"/>
          <w:sz w:val="24"/>
          <w:szCs w:val="24"/>
        </w:rPr>
        <w:t>.</w:t>
      </w:r>
      <w:r w:rsidR="00C43903">
        <w:rPr>
          <w:rFonts w:ascii="Times New Roman" w:hAnsi="Times New Roman" w:cs="Times New Roman"/>
          <w:sz w:val="24"/>
          <w:szCs w:val="24"/>
        </w:rPr>
        <w:t xml:space="preserve"> </w:t>
      </w:r>
      <w:r w:rsidR="00C43903">
        <w:rPr>
          <w:rFonts w:ascii="Times New Roman" w:hAnsi="Times New Roman" w:cs="Times New Roman"/>
          <w:i/>
          <w:sz w:val="24"/>
          <w:szCs w:val="24"/>
        </w:rPr>
        <w:t>Journal of Economic Perspectives</w:t>
      </w:r>
      <w:r w:rsidR="00C43903">
        <w:rPr>
          <w:rFonts w:ascii="Times New Roman" w:hAnsi="Times New Roman" w:cs="Times New Roman"/>
          <w:sz w:val="24"/>
          <w:szCs w:val="24"/>
        </w:rPr>
        <w:t xml:space="preserve">, </w:t>
      </w:r>
      <w:r w:rsidRPr="00C54AB3" w:rsidR="00682882">
        <w:rPr>
          <w:rFonts w:ascii="Times New Roman" w:hAnsi="Times New Roman" w:cs="Times New Roman"/>
          <w:i/>
          <w:iCs/>
          <w:sz w:val="24"/>
          <w:szCs w:val="24"/>
        </w:rPr>
        <w:t>29</w:t>
      </w:r>
      <w:r w:rsidR="00682882">
        <w:rPr>
          <w:rFonts w:ascii="Times New Roman" w:hAnsi="Times New Roman" w:cs="Times New Roman"/>
          <w:sz w:val="24"/>
          <w:szCs w:val="24"/>
        </w:rPr>
        <w:t>(4)</w:t>
      </w:r>
      <w:r w:rsidR="00504C46">
        <w:rPr>
          <w:rFonts w:ascii="Times New Roman" w:hAnsi="Times New Roman" w:cs="Times New Roman"/>
          <w:sz w:val="24"/>
          <w:szCs w:val="24"/>
        </w:rPr>
        <w:t>,</w:t>
      </w:r>
      <w:r w:rsidR="00B17DC7">
        <w:rPr>
          <w:rFonts w:ascii="Times New Roman" w:hAnsi="Times New Roman" w:cs="Times New Roman"/>
          <w:sz w:val="24"/>
          <w:szCs w:val="24"/>
        </w:rPr>
        <w:t xml:space="preserve"> </w:t>
      </w:r>
      <w:r w:rsidR="00B51154">
        <w:rPr>
          <w:rFonts w:ascii="Times New Roman" w:hAnsi="Times New Roman" w:cs="Times New Roman"/>
          <w:sz w:val="24"/>
          <w:szCs w:val="24"/>
        </w:rPr>
        <w:t>199</w:t>
      </w:r>
      <w:r w:rsidR="00AF7F45">
        <w:rPr>
          <w:rStyle w:val="CommentReference"/>
          <w:rFonts w:ascii="Times New Roman" w:hAnsi="Times New Roman" w:cs="Times New Roman"/>
        </w:rPr>
        <w:t>–</w:t>
      </w:r>
      <w:r w:rsidR="00B51154">
        <w:rPr>
          <w:rFonts w:ascii="Times New Roman" w:hAnsi="Times New Roman" w:cs="Times New Roman"/>
          <w:sz w:val="24"/>
          <w:szCs w:val="24"/>
        </w:rPr>
        <w:t xml:space="preserve">226. </w:t>
      </w:r>
    </w:p>
    <w:p w:rsidRPr="00B85265" w:rsidR="00851C24" w:rsidP="001C1729" w:rsidRDefault="008A4F20" w14:paraId="19EAE88F" w14:textId="7D33E635">
      <w:pPr>
        <w:spacing w:after="240"/>
        <w:ind w:left="810" w:hanging="810"/>
        <w:rPr>
          <w:rFonts w:ascii="Times New Roman" w:hAnsi="Times New Roman" w:cs="Times New Roman"/>
        </w:rPr>
      </w:pPr>
      <w:r>
        <w:rPr>
          <w:rFonts w:ascii="Times New Roman" w:hAnsi="Times New Roman" w:cs="Times New Roman"/>
          <w:sz w:val="24"/>
          <w:szCs w:val="24"/>
        </w:rPr>
        <w:t xml:space="preserve">Olson, K., Smyth, J. D., Horwitz, R., Keeter, S., Lesser, V., Marken, S., … Wagner, J. (2019). </w:t>
      </w:r>
      <w:r w:rsidRPr="008A4F20">
        <w:rPr>
          <w:rFonts w:ascii="Times New Roman" w:hAnsi="Times New Roman" w:cs="Times New Roman"/>
          <w:i/>
          <w:iCs/>
          <w:sz w:val="24"/>
          <w:szCs w:val="24"/>
        </w:rPr>
        <w:t>Report of the AAPOR task force on transitions from telephone surveys to self-administered and mixed-mode surveys</w:t>
      </w:r>
      <w:r>
        <w:rPr>
          <w:rFonts w:ascii="Times New Roman" w:hAnsi="Times New Roman" w:cs="Times New Roman"/>
          <w:sz w:val="24"/>
          <w:szCs w:val="24"/>
        </w:rPr>
        <w:t>.</w:t>
      </w:r>
      <w:r w:rsidRPr="008A4F20">
        <w:rPr>
          <w:rFonts w:ascii="Times New Roman" w:hAnsi="Times New Roman" w:cs="Times New Roman"/>
        </w:rPr>
        <w:t xml:space="preserve"> </w:t>
      </w:r>
      <w:r w:rsidRPr="00B85265">
        <w:rPr>
          <w:rFonts w:ascii="Times New Roman" w:hAnsi="Times New Roman" w:cs="Times New Roman"/>
        </w:rPr>
        <w:t>Oakbrook Terrace, IL: American Association for Public Opinion Research.</w:t>
      </w:r>
    </w:p>
    <w:p w:rsidRPr="008A10E1" w:rsidR="008A4F20" w:rsidP="00C54AB3" w:rsidRDefault="008A10E1" w14:paraId="69741B84" w14:textId="0AF527D0">
      <w:pPr>
        <w:spacing w:after="240"/>
        <w:ind w:left="810" w:hanging="810"/>
        <w:rPr>
          <w:rFonts w:ascii="Times New Roman" w:hAnsi="Times New Roman" w:cs="Times New Roman"/>
          <w:sz w:val="24"/>
          <w:szCs w:val="24"/>
        </w:rPr>
      </w:pPr>
      <w:r>
        <w:rPr>
          <w:rFonts w:ascii="Times New Roman" w:hAnsi="Times New Roman" w:cs="Times New Roman"/>
          <w:sz w:val="24"/>
          <w:szCs w:val="24"/>
        </w:rPr>
        <w:t xml:space="preserve">Rothhaus, C.A., Bentley, M. Hill, J.M., &amp; Lestina, F. (2011). </w:t>
      </w:r>
      <w:r>
        <w:rPr>
          <w:rFonts w:ascii="Times New Roman" w:hAnsi="Times New Roman" w:cs="Times New Roman"/>
          <w:i/>
          <w:iCs/>
          <w:sz w:val="24"/>
          <w:szCs w:val="24"/>
        </w:rPr>
        <w:t>2010 Census: Bilingual questionnaire assessment report</w:t>
      </w:r>
      <w:r>
        <w:rPr>
          <w:rFonts w:ascii="Times New Roman" w:hAnsi="Times New Roman" w:cs="Times New Roman"/>
          <w:sz w:val="24"/>
          <w:szCs w:val="24"/>
        </w:rPr>
        <w:t xml:space="preserve">. </w:t>
      </w:r>
      <w:r w:rsidR="00ED2A3B">
        <w:rPr>
          <w:rFonts w:ascii="Times New Roman" w:hAnsi="Times New Roman" w:cs="Times New Roman"/>
          <w:sz w:val="24"/>
          <w:szCs w:val="24"/>
        </w:rPr>
        <w:t xml:space="preserve">Retrieved from </w:t>
      </w:r>
      <w:hyperlink w:history="1" r:id="rId14">
        <w:r w:rsidRPr="00953F6D" w:rsidR="00AE47C5">
          <w:rPr>
            <w:rStyle w:val="Hyperlink"/>
            <w:rFonts w:ascii="Times New Roman" w:hAnsi="Times New Roman" w:cs="Times New Roman"/>
            <w:sz w:val="24"/>
            <w:szCs w:val="24"/>
          </w:rPr>
          <w:t>https://www.census.gov/content/dam/Census/library/publications/2011/dec/2010_cpex_156.pdf</w:t>
        </w:r>
      </w:hyperlink>
      <w:r w:rsidR="00AE47C5">
        <w:rPr>
          <w:rFonts w:ascii="Times New Roman" w:hAnsi="Times New Roman" w:cs="Times New Roman"/>
          <w:sz w:val="24"/>
          <w:szCs w:val="24"/>
        </w:rPr>
        <w:t xml:space="preserve"> </w:t>
      </w:r>
      <w:r w:rsidR="00582D36">
        <w:rPr>
          <w:rFonts w:ascii="Times New Roman" w:hAnsi="Times New Roman" w:cs="Times New Roman"/>
          <w:sz w:val="24"/>
          <w:szCs w:val="24"/>
        </w:rPr>
        <w:t xml:space="preserve"> </w:t>
      </w:r>
    </w:p>
    <w:p w:rsidRPr="00B93559" w:rsidR="00D26A39" w:rsidP="009C090C" w:rsidRDefault="00D26A39" w14:paraId="3FE362A6" w14:textId="00608764">
      <w:pPr>
        <w:ind w:left="720" w:hanging="720"/>
        <w:rPr>
          <w:rFonts w:ascii="Times New Roman" w:hAnsi="Times New Roman" w:cs="Times New Roman"/>
          <w:sz w:val="24"/>
          <w:szCs w:val="24"/>
        </w:rPr>
      </w:pPr>
      <w:r w:rsidRPr="00B93559">
        <w:rPr>
          <w:rFonts w:ascii="Times New Roman" w:hAnsi="Times New Roman" w:cs="Times New Roman"/>
          <w:sz w:val="24"/>
          <w:szCs w:val="24"/>
        </w:rPr>
        <w:t xml:space="preserve">Rothwell, </w:t>
      </w:r>
      <w:r>
        <w:rPr>
          <w:rFonts w:ascii="Times New Roman" w:hAnsi="Times New Roman" w:cs="Times New Roman"/>
          <w:sz w:val="24"/>
          <w:szCs w:val="24"/>
        </w:rPr>
        <w:t xml:space="preserve">J. (2015). </w:t>
      </w:r>
      <w:r>
        <w:rPr>
          <w:rFonts w:ascii="Times New Roman" w:hAnsi="Times New Roman" w:cs="Times New Roman"/>
          <w:i/>
          <w:iCs/>
          <w:sz w:val="24"/>
          <w:szCs w:val="24"/>
        </w:rPr>
        <w:t>Defining skilled technical work</w:t>
      </w:r>
      <w:r>
        <w:rPr>
          <w:rFonts w:ascii="Times New Roman" w:hAnsi="Times New Roman" w:cs="Times New Roman"/>
          <w:sz w:val="24"/>
          <w:szCs w:val="24"/>
        </w:rPr>
        <w:t xml:space="preserve">. Retrieved from </w:t>
      </w:r>
      <w:hyperlink w:history="1" r:id="rId15">
        <w:r w:rsidRPr="008D107C">
          <w:rPr>
            <w:rStyle w:val="Hyperlink"/>
            <w:rFonts w:ascii="Times New Roman" w:hAnsi="Times New Roman" w:cs="Times New Roman"/>
            <w:sz w:val="24"/>
            <w:szCs w:val="24"/>
          </w:rPr>
          <w:t>https://sites.nationalacademies.org/cs/groups/pgasite/documents/webpage/pga_167744.pdf</w:t>
        </w:r>
      </w:hyperlink>
      <w:r>
        <w:rPr>
          <w:rFonts w:ascii="Times New Roman" w:hAnsi="Times New Roman" w:cs="Times New Roman"/>
          <w:sz w:val="24"/>
          <w:szCs w:val="24"/>
        </w:rPr>
        <w:t xml:space="preserve"> </w:t>
      </w:r>
    </w:p>
    <w:p w:rsidRPr="00391063" w:rsidR="00BE6379" w:rsidP="009C090C" w:rsidRDefault="00BE6379" w14:paraId="5810A449" w14:textId="4BD4DB06">
      <w:pPr>
        <w:ind w:left="720" w:hanging="720"/>
        <w:rPr>
          <w:rFonts w:ascii="Times New Roman" w:hAnsi="Times New Roman" w:cs="Times New Roman"/>
          <w:sz w:val="24"/>
          <w:szCs w:val="24"/>
        </w:rPr>
      </w:pPr>
      <w:r w:rsidRPr="00D26A39">
        <w:rPr>
          <w:rFonts w:ascii="Times New Roman" w:hAnsi="Times New Roman" w:cs="Times New Roman"/>
          <w:sz w:val="24"/>
          <w:szCs w:val="24"/>
        </w:rPr>
        <w:t>Sarndal, C. &amp; Lundquist, P. (</w:t>
      </w:r>
      <w:r w:rsidRPr="00D26A39" w:rsidR="00391063">
        <w:rPr>
          <w:rFonts w:ascii="Times New Roman" w:hAnsi="Times New Roman" w:cs="Times New Roman"/>
          <w:sz w:val="24"/>
          <w:szCs w:val="24"/>
        </w:rPr>
        <w:t xml:space="preserve">2014). </w:t>
      </w:r>
      <w:r w:rsidRPr="00391063" w:rsidR="00391063">
        <w:rPr>
          <w:rFonts w:ascii="Times New Roman" w:hAnsi="Times New Roman" w:cs="Times New Roman"/>
          <w:sz w:val="24"/>
          <w:szCs w:val="24"/>
        </w:rPr>
        <w:t>A</w:t>
      </w:r>
      <w:r w:rsidRPr="00B93559" w:rsidR="00391063">
        <w:rPr>
          <w:rFonts w:ascii="Times New Roman" w:hAnsi="Times New Roman" w:cs="Times New Roman"/>
          <w:sz w:val="24"/>
          <w:szCs w:val="24"/>
        </w:rPr>
        <w:t>ccuracy in estimation with n</w:t>
      </w:r>
      <w:r w:rsidR="00391063">
        <w:rPr>
          <w:rFonts w:ascii="Times New Roman" w:hAnsi="Times New Roman" w:cs="Times New Roman"/>
          <w:sz w:val="24"/>
          <w:szCs w:val="24"/>
        </w:rPr>
        <w:t xml:space="preserve">onresponse: A function of degree of imbalance and degree of explanation. </w:t>
      </w:r>
      <w:r w:rsidR="00391063">
        <w:rPr>
          <w:rFonts w:ascii="Times New Roman" w:hAnsi="Times New Roman" w:cs="Times New Roman"/>
          <w:i/>
          <w:iCs/>
          <w:sz w:val="24"/>
          <w:szCs w:val="24"/>
        </w:rPr>
        <w:t>Journal of Survey Statistics and Methodology, 2</w:t>
      </w:r>
      <w:r w:rsidR="00391063">
        <w:rPr>
          <w:rFonts w:ascii="Times New Roman" w:hAnsi="Times New Roman" w:cs="Times New Roman"/>
          <w:sz w:val="24"/>
          <w:szCs w:val="24"/>
        </w:rPr>
        <w:t>(4), 361-387.</w:t>
      </w:r>
    </w:p>
    <w:p w:rsidR="00F01562" w:rsidP="009C090C" w:rsidRDefault="00FC03A4" w14:paraId="59F6A21C" w14:textId="69CC2768">
      <w:pPr>
        <w:ind w:left="720" w:hanging="720"/>
        <w:rPr>
          <w:rFonts w:ascii="Times New Roman" w:hAnsi="Times New Roman" w:cs="Times New Roman"/>
          <w:sz w:val="24"/>
          <w:szCs w:val="24"/>
        </w:rPr>
      </w:pPr>
      <w:r w:rsidRPr="00FC03A4">
        <w:rPr>
          <w:rFonts w:ascii="Times New Roman" w:hAnsi="Times New Roman" w:cs="Times New Roman"/>
          <w:sz w:val="24"/>
          <w:szCs w:val="24"/>
        </w:rPr>
        <w:t>Singer, E.</w:t>
      </w:r>
      <w:r w:rsidR="00504C46">
        <w:rPr>
          <w:rFonts w:ascii="Times New Roman" w:hAnsi="Times New Roman" w:cs="Times New Roman"/>
          <w:sz w:val="24"/>
          <w:szCs w:val="24"/>
        </w:rPr>
        <w:t>,</w:t>
      </w:r>
      <w:r w:rsidRPr="00FC03A4">
        <w:rPr>
          <w:rFonts w:ascii="Times New Roman" w:hAnsi="Times New Roman" w:cs="Times New Roman"/>
          <w:sz w:val="24"/>
          <w:szCs w:val="24"/>
        </w:rPr>
        <w:t xml:space="preserve"> </w:t>
      </w:r>
      <w:r w:rsidR="00504C46">
        <w:rPr>
          <w:rFonts w:ascii="Times New Roman" w:hAnsi="Times New Roman" w:cs="Times New Roman"/>
          <w:sz w:val="24"/>
          <w:szCs w:val="24"/>
        </w:rPr>
        <w:t>&amp;</w:t>
      </w:r>
      <w:r w:rsidRPr="00FC03A4" w:rsidR="00504C46">
        <w:rPr>
          <w:rFonts w:ascii="Times New Roman" w:hAnsi="Times New Roman" w:cs="Times New Roman"/>
          <w:sz w:val="24"/>
          <w:szCs w:val="24"/>
        </w:rPr>
        <w:t xml:space="preserve"> </w:t>
      </w:r>
      <w:r w:rsidRPr="00FC03A4">
        <w:rPr>
          <w:rFonts w:ascii="Times New Roman" w:hAnsi="Times New Roman" w:cs="Times New Roman"/>
          <w:sz w:val="24"/>
          <w:szCs w:val="24"/>
        </w:rPr>
        <w:t>Ye, C. (2013)</w:t>
      </w:r>
      <w:r w:rsidR="00504C46">
        <w:rPr>
          <w:rFonts w:ascii="Times New Roman" w:hAnsi="Times New Roman" w:cs="Times New Roman"/>
          <w:sz w:val="24"/>
          <w:szCs w:val="24"/>
        </w:rPr>
        <w:t>.</w:t>
      </w:r>
      <w:r w:rsidRPr="00FC03A4">
        <w:rPr>
          <w:rFonts w:ascii="Times New Roman" w:hAnsi="Times New Roman" w:cs="Times New Roman"/>
          <w:sz w:val="24"/>
          <w:szCs w:val="24"/>
        </w:rPr>
        <w:t xml:space="preserve"> The </w:t>
      </w:r>
      <w:r w:rsidRPr="00FC03A4" w:rsidR="00504C46">
        <w:rPr>
          <w:rFonts w:ascii="Times New Roman" w:hAnsi="Times New Roman" w:cs="Times New Roman"/>
          <w:sz w:val="24"/>
          <w:szCs w:val="24"/>
        </w:rPr>
        <w:t>use and effects of incentives in surveys</w:t>
      </w:r>
      <w:r w:rsidR="00504C46">
        <w:rPr>
          <w:rFonts w:ascii="Times New Roman" w:hAnsi="Times New Roman" w:cs="Times New Roman"/>
          <w:sz w:val="24"/>
          <w:szCs w:val="24"/>
        </w:rPr>
        <w:t>.</w:t>
      </w:r>
      <w:r w:rsidRPr="00FC03A4">
        <w:rPr>
          <w:rFonts w:ascii="Times New Roman" w:hAnsi="Times New Roman" w:cs="Times New Roman"/>
          <w:sz w:val="24"/>
          <w:szCs w:val="24"/>
        </w:rPr>
        <w:t xml:space="preserve"> </w:t>
      </w:r>
      <w:r w:rsidRPr="00FC03A4">
        <w:rPr>
          <w:rFonts w:ascii="Times New Roman" w:hAnsi="Times New Roman" w:cs="Times New Roman"/>
          <w:i/>
          <w:sz w:val="24"/>
          <w:szCs w:val="24"/>
        </w:rPr>
        <w:t>The ANNALS of the American Academy of Political and Social Science</w:t>
      </w:r>
      <w:r w:rsidRPr="00C54AB3">
        <w:rPr>
          <w:rFonts w:ascii="Times New Roman" w:hAnsi="Times New Roman" w:cs="Times New Roman"/>
          <w:i/>
          <w:iCs/>
          <w:sz w:val="24"/>
          <w:szCs w:val="24"/>
        </w:rPr>
        <w:t>, 645</w:t>
      </w:r>
      <w:r w:rsidR="002030D4">
        <w:rPr>
          <w:rFonts w:ascii="Times New Roman" w:hAnsi="Times New Roman" w:cs="Times New Roman"/>
          <w:sz w:val="24"/>
          <w:szCs w:val="24"/>
        </w:rPr>
        <w:t>(1)</w:t>
      </w:r>
      <w:r w:rsidR="00504C46">
        <w:rPr>
          <w:rFonts w:ascii="Times New Roman" w:hAnsi="Times New Roman" w:cs="Times New Roman"/>
          <w:sz w:val="24"/>
          <w:szCs w:val="24"/>
        </w:rPr>
        <w:t>,</w:t>
      </w:r>
      <w:r w:rsidRPr="00FC03A4">
        <w:rPr>
          <w:rFonts w:ascii="Times New Roman" w:hAnsi="Times New Roman" w:cs="Times New Roman"/>
          <w:sz w:val="24"/>
          <w:szCs w:val="24"/>
        </w:rPr>
        <w:t xml:space="preserve"> </w:t>
      </w:r>
      <w:r w:rsidR="008B3602">
        <w:rPr>
          <w:rFonts w:ascii="Times New Roman" w:hAnsi="Times New Roman" w:cs="Times New Roman"/>
          <w:sz w:val="24"/>
          <w:szCs w:val="24"/>
        </w:rPr>
        <w:t>112</w:t>
      </w:r>
      <w:r w:rsidR="00AF7F45">
        <w:rPr>
          <w:rStyle w:val="CommentReference"/>
          <w:rFonts w:ascii="Times New Roman" w:hAnsi="Times New Roman" w:cs="Times New Roman"/>
        </w:rPr>
        <w:t>–</w:t>
      </w:r>
      <w:r w:rsidR="008B3602">
        <w:rPr>
          <w:rFonts w:ascii="Times New Roman" w:hAnsi="Times New Roman" w:cs="Times New Roman"/>
          <w:sz w:val="24"/>
          <w:szCs w:val="24"/>
        </w:rPr>
        <w:t xml:space="preserve">141. </w:t>
      </w:r>
    </w:p>
    <w:p w:rsidRPr="00885FC2" w:rsidR="00885FC2" w:rsidP="009C090C" w:rsidRDefault="00885FC2" w14:paraId="3B89129B" w14:textId="0BF4FD43">
      <w:pPr>
        <w:ind w:left="720" w:hanging="720"/>
        <w:rPr>
          <w:rFonts w:ascii="Times New Roman" w:hAnsi="Times New Roman" w:cs="Times New Roman"/>
          <w:sz w:val="24"/>
          <w:szCs w:val="24"/>
        </w:rPr>
      </w:pPr>
      <w:r>
        <w:rPr>
          <w:rFonts w:ascii="Times New Roman" w:hAnsi="Times New Roman" w:cs="Times New Roman"/>
          <w:sz w:val="24"/>
          <w:szCs w:val="24"/>
        </w:rPr>
        <w:t xml:space="preserve">Thornton, T. (2014). </w:t>
      </w:r>
      <w:r>
        <w:rPr>
          <w:rFonts w:ascii="Times New Roman" w:hAnsi="Times New Roman" w:cs="Times New Roman"/>
          <w:i/>
          <w:iCs/>
          <w:sz w:val="24"/>
          <w:szCs w:val="24"/>
        </w:rPr>
        <w:t>2013 National Survey of College Graduates (NSCG) incentive conditioning study</w:t>
      </w:r>
      <w:r>
        <w:rPr>
          <w:rFonts w:ascii="Times New Roman" w:hAnsi="Times New Roman" w:cs="Times New Roman"/>
          <w:sz w:val="24"/>
          <w:szCs w:val="24"/>
        </w:rPr>
        <w:t>. Internal report to National Center for Science and Engineering Statistics.</w:t>
      </w:r>
    </w:p>
    <w:p w:rsidR="00030E40" w:rsidP="009C090C" w:rsidRDefault="00030E40" w14:paraId="79114EA3" w14:textId="08C7A255">
      <w:pPr>
        <w:ind w:left="720" w:hanging="720"/>
        <w:rPr>
          <w:rFonts w:ascii="Times New Roman" w:hAnsi="Times New Roman" w:cs="Times New Roman"/>
          <w:sz w:val="24"/>
          <w:szCs w:val="24"/>
        </w:rPr>
      </w:pPr>
      <w:r>
        <w:rPr>
          <w:rFonts w:ascii="Times New Roman" w:hAnsi="Times New Roman" w:cs="Times New Roman"/>
          <w:sz w:val="24"/>
          <w:szCs w:val="24"/>
        </w:rPr>
        <w:t xml:space="preserve">To, N. (2015). </w:t>
      </w:r>
      <w:r w:rsidRPr="00B93559">
        <w:rPr>
          <w:rFonts w:ascii="Times New Roman" w:hAnsi="Times New Roman" w:cs="Times New Roman"/>
          <w:i/>
          <w:iCs/>
          <w:sz w:val="24"/>
          <w:szCs w:val="24"/>
        </w:rPr>
        <w:t>Review of federal survey program experiences with incentives</w:t>
      </w:r>
      <w:r>
        <w:rPr>
          <w:rFonts w:ascii="Times New Roman" w:hAnsi="Times New Roman" w:cs="Times New Roman"/>
          <w:sz w:val="24"/>
          <w:szCs w:val="24"/>
        </w:rPr>
        <w:t xml:space="preserve">. Retrieved from </w:t>
      </w:r>
      <w:hyperlink w:history="1" r:id="rId16">
        <w:r w:rsidRPr="007E3CE4">
          <w:rPr>
            <w:rStyle w:val="Hyperlink"/>
            <w:rFonts w:ascii="Times New Roman" w:hAnsi="Times New Roman" w:cs="Times New Roman"/>
            <w:sz w:val="24"/>
            <w:szCs w:val="24"/>
          </w:rPr>
          <w:t>https://www.bls.gov/cex/research_papers/pdf/review-of-incentive-experiences-report.pdf</w:t>
        </w:r>
      </w:hyperlink>
      <w:r>
        <w:rPr>
          <w:rFonts w:ascii="Times New Roman" w:hAnsi="Times New Roman" w:cs="Times New Roman"/>
          <w:sz w:val="24"/>
          <w:szCs w:val="24"/>
        </w:rPr>
        <w:t xml:space="preserve"> </w:t>
      </w:r>
    </w:p>
    <w:p w:rsidR="008C4D3D" w:rsidP="009C090C" w:rsidRDefault="008C4D3D" w14:paraId="74899947" w14:textId="2851275D">
      <w:pPr>
        <w:ind w:left="720" w:hanging="720"/>
        <w:rPr>
          <w:rFonts w:ascii="Times New Roman" w:hAnsi="Times New Roman" w:cs="Times New Roman"/>
          <w:sz w:val="24"/>
          <w:szCs w:val="24"/>
        </w:rPr>
      </w:pPr>
      <w:r>
        <w:rPr>
          <w:rFonts w:ascii="Times New Roman" w:hAnsi="Times New Roman" w:cs="Times New Roman"/>
          <w:sz w:val="24"/>
          <w:szCs w:val="24"/>
        </w:rPr>
        <w:lastRenderedPageBreak/>
        <w:t>Trussell, N. &amp; Lavrakas, P. (</w:t>
      </w:r>
      <w:r w:rsidR="00334D7E">
        <w:rPr>
          <w:rFonts w:ascii="Times New Roman" w:hAnsi="Times New Roman" w:cs="Times New Roman"/>
          <w:sz w:val="24"/>
          <w:szCs w:val="24"/>
        </w:rPr>
        <w:t xml:space="preserve">2004). The influence of incremental increases in token cash incentives on mail survey response: Is there an optimal amount? </w:t>
      </w:r>
      <w:r w:rsidR="00334D7E">
        <w:rPr>
          <w:rFonts w:ascii="Times New Roman" w:hAnsi="Times New Roman" w:cs="Times New Roman"/>
          <w:i/>
          <w:iCs/>
          <w:sz w:val="24"/>
          <w:szCs w:val="24"/>
        </w:rPr>
        <w:t>Public Opinion Quarterly, 68</w:t>
      </w:r>
      <w:r w:rsidR="00334D7E">
        <w:rPr>
          <w:rFonts w:ascii="Times New Roman" w:hAnsi="Times New Roman" w:cs="Times New Roman"/>
          <w:sz w:val="24"/>
          <w:szCs w:val="24"/>
        </w:rPr>
        <w:t>(3), 349-367.</w:t>
      </w:r>
    </w:p>
    <w:p w:rsidR="00E413C2" w:rsidP="009C090C" w:rsidRDefault="00E413C2" w14:paraId="4C5FF48C" w14:textId="3BAC55E7">
      <w:pPr>
        <w:ind w:left="720" w:hanging="720"/>
        <w:rPr>
          <w:rFonts w:ascii="Times New Roman" w:hAnsi="Times New Roman" w:cs="Times New Roman"/>
          <w:sz w:val="24"/>
          <w:szCs w:val="24"/>
        </w:rPr>
      </w:pPr>
      <w:r>
        <w:rPr>
          <w:rFonts w:ascii="Times New Roman" w:hAnsi="Times New Roman" w:cs="Times New Roman"/>
          <w:sz w:val="24"/>
          <w:szCs w:val="24"/>
        </w:rPr>
        <w:t xml:space="preserve">Vannieuwenhuyze, J.T.A. &amp; Loosveldt, G. (2012). Evaluating relative mode effects in mixed-mode surveys: three methods to disentangle selection and measurement effects. </w:t>
      </w:r>
      <w:r>
        <w:rPr>
          <w:rFonts w:ascii="Times New Roman" w:hAnsi="Times New Roman" w:cs="Times New Roman"/>
          <w:i/>
          <w:iCs/>
          <w:sz w:val="24"/>
          <w:szCs w:val="24"/>
        </w:rPr>
        <w:t>Sociological Methods &amp; Research, 42</w:t>
      </w:r>
      <w:r>
        <w:rPr>
          <w:rFonts w:ascii="Times New Roman" w:hAnsi="Times New Roman" w:cs="Times New Roman"/>
          <w:sz w:val="24"/>
          <w:szCs w:val="24"/>
        </w:rPr>
        <w:t>(1), 82-104.</w:t>
      </w:r>
    </w:p>
    <w:p w:rsidRPr="009D2C33" w:rsidR="00853011" w:rsidP="009C090C" w:rsidRDefault="00853011" w14:paraId="5D685F59" w14:textId="7C1BEB2B">
      <w:pPr>
        <w:ind w:left="720" w:hanging="720"/>
        <w:rPr>
          <w:rFonts w:ascii="Times New Roman" w:hAnsi="Times New Roman" w:cs="Times New Roman"/>
          <w:sz w:val="24"/>
          <w:szCs w:val="24"/>
        </w:rPr>
      </w:pPr>
      <w:r>
        <w:rPr>
          <w:rFonts w:ascii="Times New Roman" w:hAnsi="Times New Roman" w:cs="Times New Roman"/>
          <w:sz w:val="24"/>
          <w:szCs w:val="24"/>
        </w:rPr>
        <w:t xml:space="preserve">Vannieuwenhuyze, J., Loosveldt, G., &amp; Molenberghs, G. (2010). A method for evaluating mode effects in mixed-mode surveys. </w:t>
      </w:r>
      <w:r>
        <w:rPr>
          <w:rFonts w:ascii="Times New Roman" w:hAnsi="Times New Roman" w:cs="Times New Roman"/>
          <w:i/>
          <w:iCs/>
          <w:sz w:val="24"/>
          <w:szCs w:val="24"/>
        </w:rPr>
        <w:t>Public Opinion Quarterly, 74</w:t>
      </w:r>
      <w:r>
        <w:rPr>
          <w:rFonts w:ascii="Times New Roman" w:hAnsi="Times New Roman" w:cs="Times New Roman"/>
          <w:sz w:val="24"/>
          <w:szCs w:val="24"/>
        </w:rPr>
        <w:t>(5): 1027-1045.</w:t>
      </w:r>
    </w:p>
    <w:p w:rsidRPr="009D1E6E" w:rsidR="009D1E6E" w:rsidP="009C090C" w:rsidRDefault="009D1E6E" w14:paraId="6DAB5212" w14:textId="5CF66B92">
      <w:pPr>
        <w:ind w:left="720" w:hanging="720"/>
        <w:rPr>
          <w:rFonts w:ascii="Times New Roman" w:hAnsi="Times New Roman" w:cs="Times New Roman"/>
          <w:sz w:val="24"/>
          <w:szCs w:val="24"/>
        </w:rPr>
      </w:pPr>
      <w:r>
        <w:rPr>
          <w:rFonts w:ascii="Times New Roman" w:hAnsi="Times New Roman" w:cs="Times New Roman"/>
          <w:sz w:val="24"/>
          <w:szCs w:val="24"/>
        </w:rPr>
        <w:t xml:space="preserve">Zotti, A. (2014). </w:t>
      </w:r>
      <w:r>
        <w:rPr>
          <w:rFonts w:ascii="Times New Roman" w:hAnsi="Times New Roman" w:cs="Times New Roman"/>
          <w:i/>
          <w:iCs/>
          <w:sz w:val="24"/>
          <w:szCs w:val="24"/>
        </w:rPr>
        <w:t>Report for the 2013 National Survey of College Graduates methodological research incentive timing experiment</w:t>
      </w:r>
      <w:r>
        <w:rPr>
          <w:rFonts w:ascii="Times New Roman" w:hAnsi="Times New Roman" w:cs="Times New Roman"/>
          <w:sz w:val="24"/>
          <w:szCs w:val="24"/>
        </w:rPr>
        <w:t xml:space="preserve">. Internal report to </w:t>
      </w:r>
      <w:r w:rsidR="00654FC2">
        <w:rPr>
          <w:rFonts w:ascii="Times New Roman" w:hAnsi="Times New Roman" w:cs="Times New Roman"/>
          <w:sz w:val="24"/>
          <w:szCs w:val="24"/>
        </w:rPr>
        <w:t>National Center for Science and Engineering Statistics.</w:t>
      </w:r>
    </w:p>
    <w:sectPr w:rsidRPr="009D1E6E" w:rsidR="009D1E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9916" w14:textId="77777777" w:rsidR="00C96D72" w:rsidRDefault="00C96D72" w:rsidP="005B69AE">
      <w:pPr>
        <w:spacing w:after="0" w:line="240" w:lineRule="auto"/>
      </w:pPr>
      <w:r>
        <w:separator/>
      </w:r>
    </w:p>
  </w:endnote>
  <w:endnote w:type="continuationSeparator" w:id="0">
    <w:p w14:paraId="57F6E580" w14:textId="77777777" w:rsidR="00C96D72" w:rsidRDefault="00C96D72" w:rsidP="005B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494577"/>
      <w:docPartObj>
        <w:docPartGallery w:val="Page Numbers (Bottom of Page)"/>
        <w:docPartUnique/>
      </w:docPartObj>
    </w:sdtPr>
    <w:sdtEndPr>
      <w:rPr>
        <w:noProof/>
      </w:rPr>
    </w:sdtEndPr>
    <w:sdtContent>
      <w:p w14:paraId="14F18FED" w14:textId="1D9CD49C" w:rsidR="00D43F32" w:rsidRDefault="00D43F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2FE29" w14:textId="77777777" w:rsidR="00D43F32" w:rsidRDefault="00D4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4E3E" w14:textId="77777777" w:rsidR="00C96D72" w:rsidRDefault="00C96D72" w:rsidP="005B69AE">
      <w:pPr>
        <w:spacing w:after="0" w:line="240" w:lineRule="auto"/>
      </w:pPr>
      <w:r>
        <w:separator/>
      </w:r>
    </w:p>
  </w:footnote>
  <w:footnote w:type="continuationSeparator" w:id="0">
    <w:p w14:paraId="160AA5C1" w14:textId="77777777" w:rsidR="00C96D72" w:rsidRDefault="00C96D72" w:rsidP="005B69AE">
      <w:pPr>
        <w:spacing w:after="0" w:line="240" w:lineRule="auto"/>
      </w:pPr>
      <w:r>
        <w:continuationSeparator/>
      </w:r>
    </w:p>
  </w:footnote>
  <w:footnote w:id="1">
    <w:p w14:paraId="0580048C" w14:textId="2470CF4A" w:rsidR="009F76D4" w:rsidRPr="00C54AB3" w:rsidRDefault="009F76D4" w:rsidP="00962657">
      <w:pPr>
        <w:pStyle w:val="FootnoteText"/>
        <w:rPr>
          <w:rFonts w:ascii="Times New Roman" w:hAnsi="Times New Roman" w:cs="Times New Roman"/>
        </w:rPr>
      </w:pPr>
      <w:r w:rsidRPr="00C54AB3">
        <w:rPr>
          <w:rStyle w:val="FootnoteReference"/>
          <w:rFonts w:ascii="Times New Roman" w:hAnsi="Times New Roman" w:cs="Times New Roman"/>
        </w:rPr>
        <w:footnoteRef/>
      </w:r>
      <w:r w:rsidRPr="00C54AB3">
        <w:rPr>
          <w:rFonts w:ascii="Times New Roman" w:hAnsi="Times New Roman" w:cs="Times New Roman"/>
        </w:rPr>
        <w:t xml:space="preserve"> For example, </w:t>
      </w:r>
      <w:r>
        <w:rPr>
          <w:rFonts w:ascii="Times New Roman" w:hAnsi="Times New Roman" w:cs="Times New Roman"/>
        </w:rPr>
        <w:t xml:space="preserve">although </w:t>
      </w:r>
      <w:r w:rsidRPr="00C54AB3">
        <w:rPr>
          <w:rFonts w:ascii="Times New Roman" w:hAnsi="Times New Roman" w:cs="Times New Roman"/>
        </w:rPr>
        <w:t>the NTEWS target population</w:t>
      </w:r>
      <w:r>
        <w:rPr>
          <w:rFonts w:ascii="Times New Roman" w:hAnsi="Times New Roman" w:cs="Times New Roman"/>
        </w:rPr>
        <w:t xml:space="preserve"> of interest to NCES is the same as in NHES (the general adult population), the STW target population of interest to NCSES is different from </w:t>
      </w:r>
      <w:r w:rsidRPr="00C54AB3">
        <w:rPr>
          <w:rFonts w:ascii="Times New Roman" w:hAnsi="Times New Roman" w:cs="Times New Roman"/>
        </w:rPr>
        <w:t xml:space="preserve">the NSCG </w:t>
      </w:r>
      <w:r>
        <w:rPr>
          <w:rFonts w:ascii="Times New Roman" w:hAnsi="Times New Roman" w:cs="Times New Roman"/>
        </w:rPr>
        <w:t xml:space="preserve">and NHES </w:t>
      </w:r>
      <w:r w:rsidRPr="00C54AB3">
        <w:rPr>
          <w:rFonts w:ascii="Times New Roman" w:hAnsi="Times New Roman" w:cs="Times New Roman"/>
        </w:rPr>
        <w:t>target population</w:t>
      </w:r>
      <w:r>
        <w:rPr>
          <w:rFonts w:ascii="Times New Roman" w:hAnsi="Times New Roman" w:cs="Times New Roman"/>
        </w:rPr>
        <w:t>s</w:t>
      </w:r>
      <w:r w:rsidRPr="00C54AB3">
        <w:rPr>
          <w:rFonts w:ascii="Times New Roman" w:hAnsi="Times New Roman" w:cs="Times New Roman"/>
        </w:rPr>
        <w:t>.</w:t>
      </w:r>
    </w:p>
  </w:footnote>
  <w:footnote w:id="2">
    <w:p w14:paraId="7E4D5C39" w14:textId="39DBA170" w:rsidR="009F76D4" w:rsidRPr="00394F70" w:rsidRDefault="009F76D4">
      <w:pPr>
        <w:pStyle w:val="FootnoteText"/>
        <w:rPr>
          <w:rFonts w:ascii="Times New Roman" w:hAnsi="Times New Roman" w:cs="Times New Roman"/>
        </w:rPr>
      </w:pPr>
      <w:r w:rsidRPr="00394F70">
        <w:rPr>
          <w:rStyle w:val="FootnoteReference"/>
          <w:rFonts w:ascii="Times New Roman" w:hAnsi="Times New Roman" w:cs="Times New Roman"/>
        </w:rPr>
        <w:footnoteRef/>
      </w:r>
      <w:r w:rsidRPr="00394F70">
        <w:rPr>
          <w:rFonts w:ascii="Times New Roman" w:hAnsi="Times New Roman" w:cs="Times New Roman"/>
        </w:rPr>
        <w:t xml:space="preserve"> </w:t>
      </w:r>
      <w:r>
        <w:rPr>
          <w:rFonts w:ascii="Times New Roman" w:hAnsi="Times New Roman" w:cs="Times New Roman"/>
        </w:rPr>
        <w:t xml:space="preserve">Some selection effects may still be present because, for example, sample members in the </w:t>
      </w:r>
      <w:r>
        <w:rPr>
          <w:rFonts w:ascii="Times New Roman" w:hAnsi="Times New Roman" w:cs="Times New Roman"/>
          <w:i/>
          <w:iCs/>
        </w:rPr>
        <w:t xml:space="preserve">PAP </w:t>
      </w:r>
      <w:r>
        <w:rPr>
          <w:rFonts w:ascii="Times New Roman" w:hAnsi="Times New Roman" w:cs="Times New Roman"/>
        </w:rPr>
        <w:t>treatment who strongly prefer to respond by web may not respond at all during the period when paper is the only offered response mode; and because, in all treatment groups, sample members will be able to respond over the phone at any point in the data collection, if they choose.</w:t>
      </w:r>
    </w:p>
  </w:footnote>
  <w:footnote w:id="3">
    <w:p w14:paraId="7FD422B1" w14:textId="5C8E4ED9" w:rsidR="009F76D4" w:rsidRPr="00C678B9" w:rsidRDefault="009F76D4" w:rsidP="00EB3513">
      <w:pPr>
        <w:pStyle w:val="FootnoteText"/>
        <w:rPr>
          <w:rFonts w:ascii="Times New Roman" w:hAnsi="Times New Roman" w:cs="Times New Roman"/>
        </w:rPr>
      </w:pPr>
      <w:r w:rsidRPr="004108C9">
        <w:rPr>
          <w:rStyle w:val="FootnoteReference"/>
          <w:rFonts w:ascii="Times New Roman" w:hAnsi="Times New Roman" w:cs="Times New Roman"/>
        </w:rPr>
        <w:footnoteRef/>
      </w:r>
      <w:r w:rsidRPr="004108C9">
        <w:rPr>
          <w:rFonts w:ascii="Times New Roman" w:hAnsi="Times New Roman" w:cs="Times New Roman"/>
        </w:rPr>
        <w:t xml:space="preserve"> </w:t>
      </w:r>
      <w:r>
        <w:rPr>
          <w:rFonts w:ascii="Times New Roman" w:hAnsi="Times New Roman" w:cs="Times New Roman"/>
        </w:rPr>
        <w:t xml:space="preserve">A notable exception to this general finding is that Biemer et al. (2017) found a contingent incentive offered specifically for web responses to be an effective way of encouraging respondents to complete via the web when both web and paper response options are offered. This finding is a motivation for the inclusion of the </w:t>
      </w:r>
      <w:r>
        <w:rPr>
          <w:rFonts w:ascii="Times New Roman" w:hAnsi="Times New Roman" w:cs="Times New Roman"/>
          <w:i/>
          <w:iCs/>
        </w:rPr>
        <w:t>CHOICEPLUS</w:t>
      </w:r>
      <w:r>
        <w:rPr>
          <w:rFonts w:ascii="Times New Roman" w:hAnsi="Times New Roman" w:cs="Times New Roman"/>
        </w:rPr>
        <w:t xml:space="preserve"> treatment within the contact-strategies experiment, discussed in section 2.</w:t>
      </w:r>
    </w:p>
  </w:footnote>
  <w:footnote w:id="4">
    <w:p w14:paraId="0843DF02" w14:textId="77777777" w:rsidR="009F76D4" w:rsidRPr="004774D8" w:rsidRDefault="009F76D4" w:rsidP="00EB3513">
      <w:pPr>
        <w:pStyle w:val="FootnoteText"/>
        <w:rPr>
          <w:rFonts w:ascii="Times New Roman" w:hAnsi="Times New Roman" w:cs="Times New Roman"/>
        </w:rPr>
      </w:pPr>
      <w:r w:rsidRPr="004774D8">
        <w:rPr>
          <w:rStyle w:val="FootnoteReference"/>
          <w:rFonts w:ascii="Times New Roman" w:hAnsi="Times New Roman" w:cs="Times New Roman"/>
        </w:rPr>
        <w:footnoteRef/>
      </w:r>
      <w:r w:rsidRPr="004774D8">
        <w:rPr>
          <w:rFonts w:ascii="Times New Roman" w:hAnsi="Times New Roman" w:cs="Times New Roman"/>
        </w:rPr>
        <w:t xml:space="preserve"> These results </w:t>
      </w:r>
      <w:r>
        <w:rPr>
          <w:rFonts w:ascii="Times New Roman" w:hAnsi="Times New Roman" w:cs="Times New Roman"/>
        </w:rPr>
        <w:t>are reported in section A of the supporting statement to the Information Collection Request for the 2019 NSCG.</w:t>
      </w:r>
    </w:p>
  </w:footnote>
  <w:footnote w:id="5">
    <w:p w14:paraId="2ECF0933" w14:textId="77777777" w:rsidR="009F76D4" w:rsidRPr="00F70675" w:rsidRDefault="009F76D4" w:rsidP="00EB3513">
      <w:pPr>
        <w:pStyle w:val="FootnoteText"/>
        <w:rPr>
          <w:rFonts w:ascii="Times New Roman" w:hAnsi="Times New Roman" w:cs="Times New Roman"/>
        </w:rPr>
      </w:pPr>
      <w:r w:rsidRPr="00F70675">
        <w:rPr>
          <w:rStyle w:val="FootnoteReference"/>
          <w:rFonts w:ascii="Times New Roman" w:hAnsi="Times New Roman" w:cs="Times New Roman"/>
        </w:rPr>
        <w:footnoteRef/>
      </w:r>
      <w:r w:rsidRPr="00F70675">
        <w:rPr>
          <w:rFonts w:ascii="Times New Roman" w:hAnsi="Times New Roman" w:cs="Times New Roman"/>
        </w:rPr>
        <w:t xml:space="preserve"> For the purpose of this discussion, </w:t>
      </w:r>
      <w:r>
        <w:rPr>
          <w:rFonts w:ascii="Times New Roman" w:hAnsi="Times New Roman" w:cs="Times New Roman"/>
        </w:rPr>
        <w:t>an experimental design in which the use and/or value of an incentives varies only between randomly assigned treatment groups should be understood as a uniform incentive structure, because, within each randomly assigned treatment group, all sample members receive the same incentive.</w:t>
      </w:r>
    </w:p>
  </w:footnote>
  <w:footnote w:id="6">
    <w:p w14:paraId="57A0A937" w14:textId="77777777" w:rsidR="009F76D4" w:rsidRDefault="009F76D4" w:rsidP="00EB3513">
      <w:pPr>
        <w:pStyle w:val="FootnoteText"/>
      </w:pPr>
      <w:r>
        <w:rPr>
          <w:rStyle w:val="FootnoteReference"/>
        </w:rPr>
        <w:footnoteRef/>
      </w:r>
      <w:r>
        <w:t xml:space="preserve"> </w:t>
      </w:r>
      <w:r w:rsidRPr="004774D8">
        <w:rPr>
          <w:rFonts w:ascii="Times New Roman" w:hAnsi="Times New Roman" w:cs="Times New Roman"/>
        </w:rPr>
        <w:t xml:space="preserve">These results </w:t>
      </w:r>
      <w:r>
        <w:rPr>
          <w:rFonts w:ascii="Times New Roman" w:hAnsi="Times New Roman" w:cs="Times New Roman"/>
        </w:rPr>
        <w:t>are reported in section A of the supporting statement to the Information Collection Request for the 2019 NSCG.</w:t>
      </w:r>
    </w:p>
  </w:footnote>
  <w:footnote w:id="7">
    <w:p w14:paraId="7F48BD4C" w14:textId="5C1DD0C5" w:rsidR="009F76D4" w:rsidRPr="00860824" w:rsidRDefault="009F76D4">
      <w:pPr>
        <w:pStyle w:val="FootnoteText"/>
        <w:rPr>
          <w:rFonts w:ascii="Times New Roman" w:hAnsi="Times New Roman" w:cs="Times New Roman"/>
        </w:rPr>
      </w:pPr>
      <w:r w:rsidRPr="00860824">
        <w:rPr>
          <w:rStyle w:val="FootnoteReference"/>
          <w:rFonts w:ascii="Times New Roman" w:hAnsi="Times New Roman" w:cs="Times New Roman"/>
        </w:rPr>
        <w:footnoteRef/>
      </w:r>
      <w:r w:rsidRPr="00860824">
        <w:rPr>
          <w:rFonts w:ascii="Times New Roman" w:hAnsi="Times New Roman" w:cs="Times New Roman"/>
        </w:rPr>
        <w:t xml:space="preserve"> The </w:t>
      </w:r>
      <w:r>
        <w:rPr>
          <w:rFonts w:ascii="Times New Roman" w:hAnsi="Times New Roman" w:cs="Times New Roman"/>
        </w:rPr>
        <w:t>2010 and 2014 cycles also included seeded samples of certification and license holders. Because these evaluations found acceptably low levels of measurement error in the reporting of certifications and licenses, these credentials were not included in the 2016 seeded sample and are not proposed for inclusion in the NTEWS seeded sample.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6923"/>
    <w:multiLevelType w:val="hybridMultilevel"/>
    <w:tmpl w:val="48D8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3091D"/>
    <w:multiLevelType w:val="hybridMultilevel"/>
    <w:tmpl w:val="934A2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47E1C"/>
    <w:multiLevelType w:val="hybridMultilevel"/>
    <w:tmpl w:val="778E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57022"/>
    <w:multiLevelType w:val="multilevel"/>
    <w:tmpl w:val="1520E8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464318"/>
    <w:multiLevelType w:val="hybridMultilevel"/>
    <w:tmpl w:val="6142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55A4E"/>
    <w:multiLevelType w:val="hybridMultilevel"/>
    <w:tmpl w:val="40C8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4797B"/>
    <w:multiLevelType w:val="hybridMultilevel"/>
    <w:tmpl w:val="95E6449E"/>
    <w:lvl w:ilvl="0" w:tplc="0852AE26">
      <w:start w:val="1"/>
      <w:numFmt w:val="decimal"/>
      <w:lvlText w:val="%1."/>
      <w:lvlJc w:val="left"/>
      <w:pPr>
        <w:ind w:left="1890" w:hanging="153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764C4"/>
    <w:multiLevelType w:val="hybridMultilevel"/>
    <w:tmpl w:val="8168E336"/>
    <w:lvl w:ilvl="0" w:tplc="26A609C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14C6956"/>
    <w:multiLevelType w:val="hybridMultilevel"/>
    <w:tmpl w:val="5622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D6E41"/>
    <w:multiLevelType w:val="multilevel"/>
    <w:tmpl w:val="E3D854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E21C9F"/>
    <w:multiLevelType w:val="hybridMultilevel"/>
    <w:tmpl w:val="8F08D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62607"/>
    <w:multiLevelType w:val="multilevel"/>
    <w:tmpl w:val="171A8574"/>
    <w:lvl w:ilvl="0">
      <w:start w:val="1"/>
      <w:numFmt w:val="decimal"/>
      <w:lvlText w:val="%1."/>
      <w:lvlJc w:val="left"/>
      <w:pPr>
        <w:ind w:left="0" w:firstLine="0"/>
      </w:pPr>
      <w:rPr>
        <w:rFonts w:hint="default"/>
        <w:i/>
      </w:rPr>
    </w:lvl>
    <w:lvl w:ilvl="1">
      <w:start w:val="1"/>
      <w:numFmt w:val="decimal"/>
      <w:lvlText w:val="%1.%2."/>
      <w:lvlJc w:val="left"/>
      <w:pPr>
        <w:ind w:left="0" w:firstLine="0"/>
      </w:pPr>
      <w:rPr>
        <w:rFonts w:hint="default"/>
        <w:i/>
      </w:rPr>
    </w:lvl>
    <w:lvl w:ilvl="2">
      <w:start w:val="1"/>
      <w:numFmt w:val="decimal"/>
      <w:lvlText w:val="%1.%2.%3."/>
      <w:lvlJc w:val="left"/>
      <w:pPr>
        <w:ind w:left="360" w:hanging="360"/>
      </w:pPr>
      <w:rPr>
        <w:rFonts w:hint="default"/>
        <w:i/>
      </w:rPr>
    </w:lvl>
    <w:lvl w:ilvl="3">
      <w:start w:val="1"/>
      <w:numFmt w:val="decimal"/>
      <w:lvlText w:val="%1.%2.%3.%4."/>
      <w:lvlJc w:val="left"/>
      <w:pPr>
        <w:ind w:left="360" w:hanging="36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720" w:hanging="72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080" w:hanging="1080"/>
      </w:pPr>
      <w:rPr>
        <w:rFonts w:hint="default"/>
        <w:i/>
      </w:rPr>
    </w:lvl>
    <w:lvl w:ilvl="8">
      <w:start w:val="1"/>
      <w:numFmt w:val="decimal"/>
      <w:lvlText w:val="%1.%2.%3.%4.%5.%6.%7.%8.%9."/>
      <w:lvlJc w:val="left"/>
      <w:pPr>
        <w:ind w:left="1440" w:hanging="1440"/>
      </w:pPr>
      <w:rPr>
        <w:rFonts w:hint="default"/>
        <w:i/>
      </w:rPr>
    </w:lvl>
  </w:abstractNum>
  <w:abstractNum w:abstractNumId="12" w15:restartNumberingAfterBreak="0">
    <w:nsid w:val="7218654B"/>
    <w:multiLevelType w:val="hybridMultilevel"/>
    <w:tmpl w:val="7E1E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95E5D"/>
    <w:multiLevelType w:val="hybridMultilevel"/>
    <w:tmpl w:val="AED0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17A49"/>
    <w:multiLevelType w:val="hybridMultilevel"/>
    <w:tmpl w:val="0572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A1815"/>
    <w:multiLevelType w:val="hybridMultilevel"/>
    <w:tmpl w:val="473E7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5"/>
  </w:num>
  <w:num w:numId="4">
    <w:abstractNumId w:val="2"/>
  </w:num>
  <w:num w:numId="5">
    <w:abstractNumId w:val="0"/>
  </w:num>
  <w:num w:numId="6">
    <w:abstractNumId w:val="10"/>
  </w:num>
  <w:num w:numId="7">
    <w:abstractNumId w:val="15"/>
  </w:num>
  <w:num w:numId="8">
    <w:abstractNumId w:val="14"/>
  </w:num>
  <w:num w:numId="9">
    <w:abstractNumId w:val="1"/>
  </w:num>
  <w:num w:numId="10">
    <w:abstractNumId w:val="12"/>
  </w:num>
  <w:num w:numId="11">
    <w:abstractNumId w:val="6"/>
  </w:num>
  <w:num w:numId="12">
    <w:abstractNumId w:val="9"/>
  </w:num>
  <w:num w:numId="13">
    <w:abstractNumId w:val="3"/>
  </w:num>
  <w:num w:numId="14">
    <w:abstractNumId w:val="11"/>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2E"/>
    <w:rsid w:val="000000A7"/>
    <w:rsid w:val="00000125"/>
    <w:rsid w:val="000002FD"/>
    <w:rsid w:val="0000045D"/>
    <w:rsid w:val="00000626"/>
    <w:rsid w:val="0000109F"/>
    <w:rsid w:val="00001327"/>
    <w:rsid w:val="00001EEC"/>
    <w:rsid w:val="00002B9D"/>
    <w:rsid w:val="00002FC2"/>
    <w:rsid w:val="00003784"/>
    <w:rsid w:val="000042F7"/>
    <w:rsid w:val="000045D6"/>
    <w:rsid w:val="000045F6"/>
    <w:rsid w:val="000054FB"/>
    <w:rsid w:val="00010368"/>
    <w:rsid w:val="00010805"/>
    <w:rsid w:val="00013BFC"/>
    <w:rsid w:val="00013D63"/>
    <w:rsid w:val="00015DC2"/>
    <w:rsid w:val="00015EBF"/>
    <w:rsid w:val="00017B57"/>
    <w:rsid w:val="00023017"/>
    <w:rsid w:val="00023532"/>
    <w:rsid w:val="00023D20"/>
    <w:rsid w:val="00024EA7"/>
    <w:rsid w:val="00025CE4"/>
    <w:rsid w:val="0002615A"/>
    <w:rsid w:val="00026597"/>
    <w:rsid w:val="00027333"/>
    <w:rsid w:val="00027CCE"/>
    <w:rsid w:val="00030D8B"/>
    <w:rsid w:val="00030E40"/>
    <w:rsid w:val="00031120"/>
    <w:rsid w:val="0003139F"/>
    <w:rsid w:val="000323C2"/>
    <w:rsid w:val="0003279F"/>
    <w:rsid w:val="000327B9"/>
    <w:rsid w:val="00033B9A"/>
    <w:rsid w:val="00034560"/>
    <w:rsid w:val="00034EDB"/>
    <w:rsid w:val="00034FC0"/>
    <w:rsid w:val="0003501C"/>
    <w:rsid w:val="00035E70"/>
    <w:rsid w:val="00036DF3"/>
    <w:rsid w:val="000370AC"/>
    <w:rsid w:val="0003743A"/>
    <w:rsid w:val="00037723"/>
    <w:rsid w:val="0004088C"/>
    <w:rsid w:val="000411AC"/>
    <w:rsid w:val="00041238"/>
    <w:rsid w:val="00041B35"/>
    <w:rsid w:val="00042873"/>
    <w:rsid w:val="00042ABB"/>
    <w:rsid w:val="00042AC2"/>
    <w:rsid w:val="00043A4C"/>
    <w:rsid w:val="00043B17"/>
    <w:rsid w:val="00043CE9"/>
    <w:rsid w:val="000440ED"/>
    <w:rsid w:val="00044610"/>
    <w:rsid w:val="0004468B"/>
    <w:rsid w:val="00044999"/>
    <w:rsid w:val="000463F4"/>
    <w:rsid w:val="00046A0D"/>
    <w:rsid w:val="0005033D"/>
    <w:rsid w:val="00050C39"/>
    <w:rsid w:val="00051267"/>
    <w:rsid w:val="0005157C"/>
    <w:rsid w:val="000522D0"/>
    <w:rsid w:val="00052581"/>
    <w:rsid w:val="00052A96"/>
    <w:rsid w:val="00052CA5"/>
    <w:rsid w:val="0005357C"/>
    <w:rsid w:val="0005366E"/>
    <w:rsid w:val="00054774"/>
    <w:rsid w:val="00055605"/>
    <w:rsid w:val="00055C8E"/>
    <w:rsid w:val="0005754B"/>
    <w:rsid w:val="00057644"/>
    <w:rsid w:val="00057749"/>
    <w:rsid w:val="00057915"/>
    <w:rsid w:val="00057ECB"/>
    <w:rsid w:val="0006000E"/>
    <w:rsid w:val="0006012B"/>
    <w:rsid w:val="0006051D"/>
    <w:rsid w:val="00060ED2"/>
    <w:rsid w:val="000613C9"/>
    <w:rsid w:val="00061530"/>
    <w:rsid w:val="00061545"/>
    <w:rsid w:val="00061C04"/>
    <w:rsid w:val="00061CA5"/>
    <w:rsid w:val="00062E75"/>
    <w:rsid w:val="00063729"/>
    <w:rsid w:val="00063D72"/>
    <w:rsid w:val="000640B8"/>
    <w:rsid w:val="0006421B"/>
    <w:rsid w:val="00065855"/>
    <w:rsid w:val="00065959"/>
    <w:rsid w:val="000659E8"/>
    <w:rsid w:val="00065A42"/>
    <w:rsid w:val="00065B97"/>
    <w:rsid w:val="00066694"/>
    <w:rsid w:val="0006706F"/>
    <w:rsid w:val="00067136"/>
    <w:rsid w:val="00067634"/>
    <w:rsid w:val="00067D66"/>
    <w:rsid w:val="00070D90"/>
    <w:rsid w:val="00070EC8"/>
    <w:rsid w:val="00071A6A"/>
    <w:rsid w:val="00071AB0"/>
    <w:rsid w:val="000725DC"/>
    <w:rsid w:val="00072FA4"/>
    <w:rsid w:val="00073B89"/>
    <w:rsid w:val="00073E6C"/>
    <w:rsid w:val="00074230"/>
    <w:rsid w:val="0007675E"/>
    <w:rsid w:val="00077110"/>
    <w:rsid w:val="0007727F"/>
    <w:rsid w:val="00080441"/>
    <w:rsid w:val="0008055B"/>
    <w:rsid w:val="00080AE1"/>
    <w:rsid w:val="00081036"/>
    <w:rsid w:val="00081203"/>
    <w:rsid w:val="00081EEB"/>
    <w:rsid w:val="0008208D"/>
    <w:rsid w:val="00082D89"/>
    <w:rsid w:val="00082F89"/>
    <w:rsid w:val="00084494"/>
    <w:rsid w:val="00084DB2"/>
    <w:rsid w:val="00085779"/>
    <w:rsid w:val="00086040"/>
    <w:rsid w:val="000872F9"/>
    <w:rsid w:val="00087482"/>
    <w:rsid w:val="000878E8"/>
    <w:rsid w:val="00087F74"/>
    <w:rsid w:val="00090CF1"/>
    <w:rsid w:val="0009169D"/>
    <w:rsid w:val="0009603E"/>
    <w:rsid w:val="0009660E"/>
    <w:rsid w:val="0009661F"/>
    <w:rsid w:val="00096BDF"/>
    <w:rsid w:val="000A030F"/>
    <w:rsid w:val="000A0A46"/>
    <w:rsid w:val="000A1240"/>
    <w:rsid w:val="000A27F9"/>
    <w:rsid w:val="000A2FC5"/>
    <w:rsid w:val="000A32CC"/>
    <w:rsid w:val="000A4071"/>
    <w:rsid w:val="000A426B"/>
    <w:rsid w:val="000A4B63"/>
    <w:rsid w:val="000A5067"/>
    <w:rsid w:val="000A52A4"/>
    <w:rsid w:val="000A5C77"/>
    <w:rsid w:val="000A5FBC"/>
    <w:rsid w:val="000A67F8"/>
    <w:rsid w:val="000A7492"/>
    <w:rsid w:val="000A7BC6"/>
    <w:rsid w:val="000B0949"/>
    <w:rsid w:val="000B129D"/>
    <w:rsid w:val="000B1585"/>
    <w:rsid w:val="000B1595"/>
    <w:rsid w:val="000B1C94"/>
    <w:rsid w:val="000B1EBE"/>
    <w:rsid w:val="000B2100"/>
    <w:rsid w:val="000B24B4"/>
    <w:rsid w:val="000B2A68"/>
    <w:rsid w:val="000B32C4"/>
    <w:rsid w:val="000B3B1D"/>
    <w:rsid w:val="000B4300"/>
    <w:rsid w:val="000B52C4"/>
    <w:rsid w:val="000B55B0"/>
    <w:rsid w:val="000B5780"/>
    <w:rsid w:val="000B57F1"/>
    <w:rsid w:val="000B594E"/>
    <w:rsid w:val="000B622D"/>
    <w:rsid w:val="000B6B77"/>
    <w:rsid w:val="000B6DC1"/>
    <w:rsid w:val="000B7609"/>
    <w:rsid w:val="000B79B6"/>
    <w:rsid w:val="000C0F81"/>
    <w:rsid w:val="000C1D4E"/>
    <w:rsid w:val="000C23C2"/>
    <w:rsid w:val="000C29C9"/>
    <w:rsid w:val="000C2D37"/>
    <w:rsid w:val="000C329C"/>
    <w:rsid w:val="000C3EC5"/>
    <w:rsid w:val="000C4661"/>
    <w:rsid w:val="000C5082"/>
    <w:rsid w:val="000C546D"/>
    <w:rsid w:val="000C62D6"/>
    <w:rsid w:val="000C6702"/>
    <w:rsid w:val="000C6EF6"/>
    <w:rsid w:val="000C6FC5"/>
    <w:rsid w:val="000D1ACD"/>
    <w:rsid w:val="000D1D3C"/>
    <w:rsid w:val="000D3331"/>
    <w:rsid w:val="000D3759"/>
    <w:rsid w:val="000D3FC1"/>
    <w:rsid w:val="000D4363"/>
    <w:rsid w:val="000D5044"/>
    <w:rsid w:val="000D5C5D"/>
    <w:rsid w:val="000D5F0E"/>
    <w:rsid w:val="000D6EBA"/>
    <w:rsid w:val="000D72D9"/>
    <w:rsid w:val="000E00DC"/>
    <w:rsid w:val="000E09E0"/>
    <w:rsid w:val="000E0C9F"/>
    <w:rsid w:val="000E0E54"/>
    <w:rsid w:val="000E2A3A"/>
    <w:rsid w:val="000E2D71"/>
    <w:rsid w:val="000E303F"/>
    <w:rsid w:val="000E387B"/>
    <w:rsid w:val="000E3A18"/>
    <w:rsid w:val="000E4174"/>
    <w:rsid w:val="000E4442"/>
    <w:rsid w:val="000E6B73"/>
    <w:rsid w:val="000E7A7A"/>
    <w:rsid w:val="000F0651"/>
    <w:rsid w:val="000F09CC"/>
    <w:rsid w:val="000F1972"/>
    <w:rsid w:val="000F2047"/>
    <w:rsid w:val="000F25AC"/>
    <w:rsid w:val="000F3567"/>
    <w:rsid w:val="000F44A1"/>
    <w:rsid w:val="000F51D9"/>
    <w:rsid w:val="000F5A53"/>
    <w:rsid w:val="000F6B4D"/>
    <w:rsid w:val="000F7996"/>
    <w:rsid w:val="00100C32"/>
    <w:rsid w:val="00100F8F"/>
    <w:rsid w:val="00101AD5"/>
    <w:rsid w:val="00101B47"/>
    <w:rsid w:val="00101C89"/>
    <w:rsid w:val="00102F95"/>
    <w:rsid w:val="0010300A"/>
    <w:rsid w:val="0010315E"/>
    <w:rsid w:val="0010360B"/>
    <w:rsid w:val="00103847"/>
    <w:rsid w:val="00105457"/>
    <w:rsid w:val="00106887"/>
    <w:rsid w:val="00106A4E"/>
    <w:rsid w:val="00106B7B"/>
    <w:rsid w:val="00106D7A"/>
    <w:rsid w:val="0010777F"/>
    <w:rsid w:val="00110093"/>
    <w:rsid w:val="00110D0C"/>
    <w:rsid w:val="001113B2"/>
    <w:rsid w:val="00112EFD"/>
    <w:rsid w:val="001135AA"/>
    <w:rsid w:val="001148C8"/>
    <w:rsid w:val="00115219"/>
    <w:rsid w:val="001153A0"/>
    <w:rsid w:val="0011774A"/>
    <w:rsid w:val="00117770"/>
    <w:rsid w:val="001225BC"/>
    <w:rsid w:val="00122A87"/>
    <w:rsid w:val="001243E0"/>
    <w:rsid w:val="00126606"/>
    <w:rsid w:val="00127A5F"/>
    <w:rsid w:val="00131313"/>
    <w:rsid w:val="001321D4"/>
    <w:rsid w:val="00132AFA"/>
    <w:rsid w:val="00133560"/>
    <w:rsid w:val="00133C74"/>
    <w:rsid w:val="00135278"/>
    <w:rsid w:val="00135607"/>
    <w:rsid w:val="00136E16"/>
    <w:rsid w:val="0013789B"/>
    <w:rsid w:val="00140900"/>
    <w:rsid w:val="00140AB7"/>
    <w:rsid w:val="00140C06"/>
    <w:rsid w:val="00142635"/>
    <w:rsid w:val="001426EB"/>
    <w:rsid w:val="00142AA3"/>
    <w:rsid w:val="00142E59"/>
    <w:rsid w:val="0014364D"/>
    <w:rsid w:val="0014376C"/>
    <w:rsid w:val="001438DB"/>
    <w:rsid w:val="00144251"/>
    <w:rsid w:val="00144287"/>
    <w:rsid w:val="001442B3"/>
    <w:rsid w:val="001474AB"/>
    <w:rsid w:val="00147851"/>
    <w:rsid w:val="0015032D"/>
    <w:rsid w:val="0015075A"/>
    <w:rsid w:val="00150B39"/>
    <w:rsid w:val="00151CFC"/>
    <w:rsid w:val="00152A47"/>
    <w:rsid w:val="00152F46"/>
    <w:rsid w:val="00154608"/>
    <w:rsid w:val="00155A17"/>
    <w:rsid w:val="0015692E"/>
    <w:rsid w:val="001573A3"/>
    <w:rsid w:val="00160602"/>
    <w:rsid w:val="001606FF"/>
    <w:rsid w:val="00160FF8"/>
    <w:rsid w:val="00161375"/>
    <w:rsid w:val="001618EA"/>
    <w:rsid w:val="00163535"/>
    <w:rsid w:val="001637AC"/>
    <w:rsid w:val="00163CFC"/>
    <w:rsid w:val="00163E2B"/>
    <w:rsid w:val="001641C9"/>
    <w:rsid w:val="001643C2"/>
    <w:rsid w:val="00166598"/>
    <w:rsid w:val="00166784"/>
    <w:rsid w:val="00166A9F"/>
    <w:rsid w:val="00167478"/>
    <w:rsid w:val="0016788B"/>
    <w:rsid w:val="00167B7C"/>
    <w:rsid w:val="00170D75"/>
    <w:rsid w:val="001713AD"/>
    <w:rsid w:val="001715A7"/>
    <w:rsid w:val="00171894"/>
    <w:rsid w:val="001729E5"/>
    <w:rsid w:val="00173BA8"/>
    <w:rsid w:val="0017588A"/>
    <w:rsid w:val="00175F44"/>
    <w:rsid w:val="00176E80"/>
    <w:rsid w:val="00177603"/>
    <w:rsid w:val="00177E30"/>
    <w:rsid w:val="0018023E"/>
    <w:rsid w:val="00180DCF"/>
    <w:rsid w:val="00181591"/>
    <w:rsid w:val="00181DF7"/>
    <w:rsid w:val="001828F9"/>
    <w:rsid w:val="0018740C"/>
    <w:rsid w:val="0018740E"/>
    <w:rsid w:val="001879D5"/>
    <w:rsid w:val="001879DC"/>
    <w:rsid w:val="00191012"/>
    <w:rsid w:val="001910B6"/>
    <w:rsid w:val="00191534"/>
    <w:rsid w:val="001917E1"/>
    <w:rsid w:val="00192D51"/>
    <w:rsid w:val="00193451"/>
    <w:rsid w:val="00193D9C"/>
    <w:rsid w:val="00195090"/>
    <w:rsid w:val="00195461"/>
    <w:rsid w:val="001959B8"/>
    <w:rsid w:val="00195B24"/>
    <w:rsid w:val="00196913"/>
    <w:rsid w:val="00196B80"/>
    <w:rsid w:val="00197436"/>
    <w:rsid w:val="0019761D"/>
    <w:rsid w:val="001A0EC7"/>
    <w:rsid w:val="001A0FEB"/>
    <w:rsid w:val="001A11CF"/>
    <w:rsid w:val="001A1322"/>
    <w:rsid w:val="001A1AEC"/>
    <w:rsid w:val="001A1D63"/>
    <w:rsid w:val="001A21D1"/>
    <w:rsid w:val="001A2814"/>
    <w:rsid w:val="001A34C4"/>
    <w:rsid w:val="001A3C1E"/>
    <w:rsid w:val="001A3C36"/>
    <w:rsid w:val="001A3CB6"/>
    <w:rsid w:val="001A3E34"/>
    <w:rsid w:val="001A3E47"/>
    <w:rsid w:val="001A53D5"/>
    <w:rsid w:val="001A597F"/>
    <w:rsid w:val="001A5BCD"/>
    <w:rsid w:val="001A6A12"/>
    <w:rsid w:val="001A6B8C"/>
    <w:rsid w:val="001A6F2F"/>
    <w:rsid w:val="001B1F7C"/>
    <w:rsid w:val="001B29AB"/>
    <w:rsid w:val="001B2E64"/>
    <w:rsid w:val="001B362F"/>
    <w:rsid w:val="001B3FCF"/>
    <w:rsid w:val="001B4140"/>
    <w:rsid w:val="001B4744"/>
    <w:rsid w:val="001B48C2"/>
    <w:rsid w:val="001B50BB"/>
    <w:rsid w:val="001B5E59"/>
    <w:rsid w:val="001B64AA"/>
    <w:rsid w:val="001B6513"/>
    <w:rsid w:val="001C03BB"/>
    <w:rsid w:val="001C04E3"/>
    <w:rsid w:val="001C1729"/>
    <w:rsid w:val="001C1DFD"/>
    <w:rsid w:val="001C2AF4"/>
    <w:rsid w:val="001C2B21"/>
    <w:rsid w:val="001C36A5"/>
    <w:rsid w:val="001C3C03"/>
    <w:rsid w:val="001C4FEA"/>
    <w:rsid w:val="001C52D2"/>
    <w:rsid w:val="001C7DFC"/>
    <w:rsid w:val="001D04AB"/>
    <w:rsid w:val="001D0E43"/>
    <w:rsid w:val="001D14DE"/>
    <w:rsid w:val="001D1897"/>
    <w:rsid w:val="001D20A1"/>
    <w:rsid w:val="001D2CDF"/>
    <w:rsid w:val="001D4285"/>
    <w:rsid w:val="001D4D19"/>
    <w:rsid w:val="001D601C"/>
    <w:rsid w:val="001D65EC"/>
    <w:rsid w:val="001E0900"/>
    <w:rsid w:val="001E4362"/>
    <w:rsid w:val="001E4B7C"/>
    <w:rsid w:val="001E573A"/>
    <w:rsid w:val="001E6126"/>
    <w:rsid w:val="001E6F6B"/>
    <w:rsid w:val="001E71BA"/>
    <w:rsid w:val="001E776F"/>
    <w:rsid w:val="001E77FC"/>
    <w:rsid w:val="001E7AC9"/>
    <w:rsid w:val="001F00E0"/>
    <w:rsid w:val="001F042A"/>
    <w:rsid w:val="001F04D8"/>
    <w:rsid w:val="001F081A"/>
    <w:rsid w:val="001F0AE0"/>
    <w:rsid w:val="001F1289"/>
    <w:rsid w:val="001F20F7"/>
    <w:rsid w:val="001F29E4"/>
    <w:rsid w:val="001F2DA4"/>
    <w:rsid w:val="001F361C"/>
    <w:rsid w:val="001F4274"/>
    <w:rsid w:val="001F52DF"/>
    <w:rsid w:val="001F6E3D"/>
    <w:rsid w:val="001F731E"/>
    <w:rsid w:val="00200D70"/>
    <w:rsid w:val="0020195B"/>
    <w:rsid w:val="002030D4"/>
    <w:rsid w:val="00203C74"/>
    <w:rsid w:val="00203D8F"/>
    <w:rsid w:val="00204BEE"/>
    <w:rsid w:val="00204BFD"/>
    <w:rsid w:val="002052B4"/>
    <w:rsid w:val="00205574"/>
    <w:rsid w:val="00205678"/>
    <w:rsid w:val="00205C44"/>
    <w:rsid w:val="00206058"/>
    <w:rsid w:val="002062E2"/>
    <w:rsid w:val="0020758C"/>
    <w:rsid w:val="00210361"/>
    <w:rsid w:val="00210780"/>
    <w:rsid w:val="00210BA0"/>
    <w:rsid w:val="00211CB0"/>
    <w:rsid w:val="0021232B"/>
    <w:rsid w:val="00212CB6"/>
    <w:rsid w:val="00212D0F"/>
    <w:rsid w:val="002131FA"/>
    <w:rsid w:val="00213331"/>
    <w:rsid w:val="00214030"/>
    <w:rsid w:val="00214473"/>
    <w:rsid w:val="0021488A"/>
    <w:rsid w:val="002148FF"/>
    <w:rsid w:val="00216113"/>
    <w:rsid w:val="00216235"/>
    <w:rsid w:val="002164A4"/>
    <w:rsid w:val="002168F8"/>
    <w:rsid w:val="00216EA2"/>
    <w:rsid w:val="00216F2E"/>
    <w:rsid w:val="0021766F"/>
    <w:rsid w:val="002200E5"/>
    <w:rsid w:val="002207BF"/>
    <w:rsid w:val="00221AA5"/>
    <w:rsid w:val="0022231F"/>
    <w:rsid w:val="0022244E"/>
    <w:rsid w:val="00222711"/>
    <w:rsid w:val="0022388C"/>
    <w:rsid w:val="002238AB"/>
    <w:rsid w:val="0022467D"/>
    <w:rsid w:val="0022768E"/>
    <w:rsid w:val="002278AA"/>
    <w:rsid w:val="00230520"/>
    <w:rsid w:val="00230840"/>
    <w:rsid w:val="00230DDE"/>
    <w:rsid w:val="00230FF4"/>
    <w:rsid w:val="00231617"/>
    <w:rsid w:val="00231ADA"/>
    <w:rsid w:val="00231B52"/>
    <w:rsid w:val="00231DF4"/>
    <w:rsid w:val="00232437"/>
    <w:rsid w:val="00232BA1"/>
    <w:rsid w:val="00232C07"/>
    <w:rsid w:val="00232C79"/>
    <w:rsid w:val="0023362E"/>
    <w:rsid w:val="00234277"/>
    <w:rsid w:val="002346BE"/>
    <w:rsid w:val="0023499B"/>
    <w:rsid w:val="00234E7B"/>
    <w:rsid w:val="00235BF0"/>
    <w:rsid w:val="00235C67"/>
    <w:rsid w:val="00236554"/>
    <w:rsid w:val="0024095F"/>
    <w:rsid w:val="00240DE7"/>
    <w:rsid w:val="00241D4F"/>
    <w:rsid w:val="00242139"/>
    <w:rsid w:val="00242B44"/>
    <w:rsid w:val="00242F10"/>
    <w:rsid w:val="00243138"/>
    <w:rsid w:val="0024374B"/>
    <w:rsid w:val="00243E5E"/>
    <w:rsid w:val="00244558"/>
    <w:rsid w:val="002445D4"/>
    <w:rsid w:val="00244855"/>
    <w:rsid w:val="00244883"/>
    <w:rsid w:val="0024527A"/>
    <w:rsid w:val="002455EA"/>
    <w:rsid w:val="00245DB7"/>
    <w:rsid w:val="00245DEA"/>
    <w:rsid w:val="002473B7"/>
    <w:rsid w:val="00250668"/>
    <w:rsid w:val="002509C6"/>
    <w:rsid w:val="00251948"/>
    <w:rsid w:val="002527B2"/>
    <w:rsid w:val="00252843"/>
    <w:rsid w:val="002530D6"/>
    <w:rsid w:val="002544D6"/>
    <w:rsid w:val="0025455D"/>
    <w:rsid w:val="0025574C"/>
    <w:rsid w:val="00256497"/>
    <w:rsid w:val="00256A85"/>
    <w:rsid w:val="002574B2"/>
    <w:rsid w:val="002575B3"/>
    <w:rsid w:val="0025789A"/>
    <w:rsid w:val="0026193E"/>
    <w:rsid w:val="00261A2D"/>
    <w:rsid w:val="00261AC5"/>
    <w:rsid w:val="00261C09"/>
    <w:rsid w:val="00262F26"/>
    <w:rsid w:val="002649DA"/>
    <w:rsid w:val="00264A39"/>
    <w:rsid w:val="00265BE8"/>
    <w:rsid w:val="00265EA5"/>
    <w:rsid w:val="002665B4"/>
    <w:rsid w:val="00266B9A"/>
    <w:rsid w:val="00266C58"/>
    <w:rsid w:val="002671D0"/>
    <w:rsid w:val="002672C9"/>
    <w:rsid w:val="00267D00"/>
    <w:rsid w:val="0027031F"/>
    <w:rsid w:val="002705A6"/>
    <w:rsid w:val="002706D6"/>
    <w:rsid w:val="00271662"/>
    <w:rsid w:val="00271C19"/>
    <w:rsid w:val="00272363"/>
    <w:rsid w:val="0027326B"/>
    <w:rsid w:val="002734D7"/>
    <w:rsid w:val="002745F8"/>
    <w:rsid w:val="00274A34"/>
    <w:rsid w:val="00274AB5"/>
    <w:rsid w:val="00274F67"/>
    <w:rsid w:val="00275033"/>
    <w:rsid w:val="00275490"/>
    <w:rsid w:val="0027605F"/>
    <w:rsid w:val="002764AD"/>
    <w:rsid w:val="00277080"/>
    <w:rsid w:val="00277855"/>
    <w:rsid w:val="00277957"/>
    <w:rsid w:val="00277E2F"/>
    <w:rsid w:val="0028079E"/>
    <w:rsid w:val="00280B7F"/>
    <w:rsid w:val="00281B34"/>
    <w:rsid w:val="00281B5E"/>
    <w:rsid w:val="00282278"/>
    <w:rsid w:val="002827F5"/>
    <w:rsid w:val="00283162"/>
    <w:rsid w:val="002837DF"/>
    <w:rsid w:val="002864F6"/>
    <w:rsid w:val="0028725D"/>
    <w:rsid w:val="002874ED"/>
    <w:rsid w:val="002879FD"/>
    <w:rsid w:val="00290027"/>
    <w:rsid w:val="002909D6"/>
    <w:rsid w:val="00291115"/>
    <w:rsid w:val="0029145A"/>
    <w:rsid w:val="002918D3"/>
    <w:rsid w:val="002938B5"/>
    <w:rsid w:val="00293B03"/>
    <w:rsid w:val="00294BA9"/>
    <w:rsid w:val="00294FE3"/>
    <w:rsid w:val="0029582B"/>
    <w:rsid w:val="00297B89"/>
    <w:rsid w:val="002A001C"/>
    <w:rsid w:val="002A08A0"/>
    <w:rsid w:val="002A0D8C"/>
    <w:rsid w:val="002A1848"/>
    <w:rsid w:val="002A191C"/>
    <w:rsid w:val="002A2AD7"/>
    <w:rsid w:val="002A37FF"/>
    <w:rsid w:val="002A435F"/>
    <w:rsid w:val="002A4F3A"/>
    <w:rsid w:val="002A50E1"/>
    <w:rsid w:val="002A5C52"/>
    <w:rsid w:val="002A6649"/>
    <w:rsid w:val="002A6981"/>
    <w:rsid w:val="002B0C15"/>
    <w:rsid w:val="002B1900"/>
    <w:rsid w:val="002B1C86"/>
    <w:rsid w:val="002B3CCD"/>
    <w:rsid w:val="002B4EEE"/>
    <w:rsid w:val="002B55DC"/>
    <w:rsid w:val="002B6DC6"/>
    <w:rsid w:val="002B6E3E"/>
    <w:rsid w:val="002B7215"/>
    <w:rsid w:val="002B7830"/>
    <w:rsid w:val="002C0ED2"/>
    <w:rsid w:val="002C1C48"/>
    <w:rsid w:val="002C20E9"/>
    <w:rsid w:val="002C38A6"/>
    <w:rsid w:val="002C4C13"/>
    <w:rsid w:val="002C4CA3"/>
    <w:rsid w:val="002C5554"/>
    <w:rsid w:val="002C5DF6"/>
    <w:rsid w:val="002D0696"/>
    <w:rsid w:val="002D3CB3"/>
    <w:rsid w:val="002D45C9"/>
    <w:rsid w:val="002D4D27"/>
    <w:rsid w:val="002D5444"/>
    <w:rsid w:val="002D677F"/>
    <w:rsid w:val="002D752C"/>
    <w:rsid w:val="002D7E29"/>
    <w:rsid w:val="002E15C4"/>
    <w:rsid w:val="002E172D"/>
    <w:rsid w:val="002E3885"/>
    <w:rsid w:val="002E42BB"/>
    <w:rsid w:val="002E496A"/>
    <w:rsid w:val="002E5523"/>
    <w:rsid w:val="002E680D"/>
    <w:rsid w:val="002F10A1"/>
    <w:rsid w:val="002F186D"/>
    <w:rsid w:val="002F1908"/>
    <w:rsid w:val="002F26A5"/>
    <w:rsid w:val="002F2CD6"/>
    <w:rsid w:val="002F3949"/>
    <w:rsid w:val="002F3B3C"/>
    <w:rsid w:val="002F45E7"/>
    <w:rsid w:val="002F63CD"/>
    <w:rsid w:val="002F67C4"/>
    <w:rsid w:val="003001E9"/>
    <w:rsid w:val="003016E7"/>
    <w:rsid w:val="003023B7"/>
    <w:rsid w:val="00302453"/>
    <w:rsid w:val="00302729"/>
    <w:rsid w:val="003035F8"/>
    <w:rsid w:val="003036FB"/>
    <w:rsid w:val="00303855"/>
    <w:rsid w:val="00303AD2"/>
    <w:rsid w:val="00303B00"/>
    <w:rsid w:val="00304869"/>
    <w:rsid w:val="0030493E"/>
    <w:rsid w:val="00304959"/>
    <w:rsid w:val="003055EB"/>
    <w:rsid w:val="00306F2B"/>
    <w:rsid w:val="00310CC8"/>
    <w:rsid w:val="0031146F"/>
    <w:rsid w:val="00311A13"/>
    <w:rsid w:val="00311CBE"/>
    <w:rsid w:val="00312C32"/>
    <w:rsid w:val="003150C9"/>
    <w:rsid w:val="0031549B"/>
    <w:rsid w:val="00316486"/>
    <w:rsid w:val="00316AFA"/>
    <w:rsid w:val="00316C68"/>
    <w:rsid w:val="00317797"/>
    <w:rsid w:val="00317A32"/>
    <w:rsid w:val="00317D0D"/>
    <w:rsid w:val="00321478"/>
    <w:rsid w:val="00321514"/>
    <w:rsid w:val="00321DFF"/>
    <w:rsid w:val="00322182"/>
    <w:rsid w:val="00322FDD"/>
    <w:rsid w:val="00324CAA"/>
    <w:rsid w:val="00326E54"/>
    <w:rsid w:val="00327622"/>
    <w:rsid w:val="003304D4"/>
    <w:rsid w:val="00330A40"/>
    <w:rsid w:val="00330D2F"/>
    <w:rsid w:val="003339BF"/>
    <w:rsid w:val="003345C5"/>
    <w:rsid w:val="003347F4"/>
    <w:rsid w:val="00334D7E"/>
    <w:rsid w:val="00335843"/>
    <w:rsid w:val="00335C05"/>
    <w:rsid w:val="00336C8B"/>
    <w:rsid w:val="00337632"/>
    <w:rsid w:val="003406AF"/>
    <w:rsid w:val="00341429"/>
    <w:rsid w:val="00341656"/>
    <w:rsid w:val="00341E6A"/>
    <w:rsid w:val="00341EC1"/>
    <w:rsid w:val="003424FF"/>
    <w:rsid w:val="0034288B"/>
    <w:rsid w:val="00342CBB"/>
    <w:rsid w:val="00344094"/>
    <w:rsid w:val="0034435B"/>
    <w:rsid w:val="0034452B"/>
    <w:rsid w:val="00344DD6"/>
    <w:rsid w:val="003452B9"/>
    <w:rsid w:val="00345836"/>
    <w:rsid w:val="0034653A"/>
    <w:rsid w:val="003465F8"/>
    <w:rsid w:val="003468A8"/>
    <w:rsid w:val="00347F31"/>
    <w:rsid w:val="00351773"/>
    <w:rsid w:val="0035242A"/>
    <w:rsid w:val="003552F5"/>
    <w:rsid w:val="00355AF1"/>
    <w:rsid w:val="00355F50"/>
    <w:rsid w:val="003569C4"/>
    <w:rsid w:val="00356F21"/>
    <w:rsid w:val="0035778B"/>
    <w:rsid w:val="0036082E"/>
    <w:rsid w:val="003613C2"/>
    <w:rsid w:val="00361938"/>
    <w:rsid w:val="00361EF6"/>
    <w:rsid w:val="003637A1"/>
    <w:rsid w:val="00364D64"/>
    <w:rsid w:val="00364EB9"/>
    <w:rsid w:val="00365177"/>
    <w:rsid w:val="00365B28"/>
    <w:rsid w:val="00365B47"/>
    <w:rsid w:val="00366199"/>
    <w:rsid w:val="0036677A"/>
    <w:rsid w:val="003667A6"/>
    <w:rsid w:val="00366C9E"/>
    <w:rsid w:val="0036705C"/>
    <w:rsid w:val="0036793A"/>
    <w:rsid w:val="0037205A"/>
    <w:rsid w:val="003724DD"/>
    <w:rsid w:val="00372FC9"/>
    <w:rsid w:val="00374054"/>
    <w:rsid w:val="00375515"/>
    <w:rsid w:val="00375734"/>
    <w:rsid w:val="00375A5B"/>
    <w:rsid w:val="00375D4E"/>
    <w:rsid w:val="00375EA3"/>
    <w:rsid w:val="00375EE0"/>
    <w:rsid w:val="00375FA2"/>
    <w:rsid w:val="003763FA"/>
    <w:rsid w:val="00376694"/>
    <w:rsid w:val="0037674E"/>
    <w:rsid w:val="00376852"/>
    <w:rsid w:val="00376BDF"/>
    <w:rsid w:val="00376DB2"/>
    <w:rsid w:val="00377318"/>
    <w:rsid w:val="003775A6"/>
    <w:rsid w:val="0037783A"/>
    <w:rsid w:val="0037787A"/>
    <w:rsid w:val="00377CEB"/>
    <w:rsid w:val="003805C1"/>
    <w:rsid w:val="0038070C"/>
    <w:rsid w:val="003842AF"/>
    <w:rsid w:val="00384434"/>
    <w:rsid w:val="00384E42"/>
    <w:rsid w:val="00384FF1"/>
    <w:rsid w:val="00385AB6"/>
    <w:rsid w:val="00385D2A"/>
    <w:rsid w:val="00385FF6"/>
    <w:rsid w:val="003861C3"/>
    <w:rsid w:val="00386C21"/>
    <w:rsid w:val="003873DC"/>
    <w:rsid w:val="003874DD"/>
    <w:rsid w:val="00387805"/>
    <w:rsid w:val="0039088E"/>
    <w:rsid w:val="00391063"/>
    <w:rsid w:val="00391A71"/>
    <w:rsid w:val="00392050"/>
    <w:rsid w:val="00392255"/>
    <w:rsid w:val="003923BE"/>
    <w:rsid w:val="00392482"/>
    <w:rsid w:val="00392583"/>
    <w:rsid w:val="00392B22"/>
    <w:rsid w:val="00392B24"/>
    <w:rsid w:val="00393BDC"/>
    <w:rsid w:val="0039406D"/>
    <w:rsid w:val="00394505"/>
    <w:rsid w:val="0039460F"/>
    <w:rsid w:val="00394997"/>
    <w:rsid w:val="00394F70"/>
    <w:rsid w:val="003952C4"/>
    <w:rsid w:val="0039539C"/>
    <w:rsid w:val="00395737"/>
    <w:rsid w:val="003967E5"/>
    <w:rsid w:val="00397544"/>
    <w:rsid w:val="0039784D"/>
    <w:rsid w:val="003979FC"/>
    <w:rsid w:val="00397F25"/>
    <w:rsid w:val="003A181B"/>
    <w:rsid w:val="003A1D31"/>
    <w:rsid w:val="003A227E"/>
    <w:rsid w:val="003A295C"/>
    <w:rsid w:val="003A3B7B"/>
    <w:rsid w:val="003A3BAC"/>
    <w:rsid w:val="003A490B"/>
    <w:rsid w:val="003A4C59"/>
    <w:rsid w:val="003A55C1"/>
    <w:rsid w:val="003A604B"/>
    <w:rsid w:val="003A6795"/>
    <w:rsid w:val="003A6806"/>
    <w:rsid w:val="003A6C6A"/>
    <w:rsid w:val="003A7313"/>
    <w:rsid w:val="003A74D0"/>
    <w:rsid w:val="003A7629"/>
    <w:rsid w:val="003A7B73"/>
    <w:rsid w:val="003B08AE"/>
    <w:rsid w:val="003B0D04"/>
    <w:rsid w:val="003B0FDE"/>
    <w:rsid w:val="003B12D5"/>
    <w:rsid w:val="003B15AE"/>
    <w:rsid w:val="003B1706"/>
    <w:rsid w:val="003B3E95"/>
    <w:rsid w:val="003B46F9"/>
    <w:rsid w:val="003B4875"/>
    <w:rsid w:val="003B4F40"/>
    <w:rsid w:val="003B5478"/>
    <w:rsid w:val="003B57D3"/>
    <w:rsid w:val="003B5806"/>
    <w:rsid w:val="003B709E"/>
    <w:rsid w:val="003C04AC"/>
    <w:rsid w:val="003C13D0"/>
    <w:rsid w:val="003C1599"/>
    <w:rsid w:val="003C1CF0"/>
    <w:rsid w:val="003C1D2F"/>
    <w:rsid w:val="003C215D"/>
    <w:rsid w:val="003C2175"/>
    <w:rsid w:val="003C255F"/>
    <w:rsid w:val="003C2E05"/>
    <w:rsid w:val="003C2EA0"/>
    <w:rsid w:val="003C42BA"/>
    <w:rsid w:val="003C4436"/>
    <w:rsid w:val="003C4F3C"/>
    <w:rsid w:val="003C4FBF"/>
    <w:rsid w:val="003C533F"/>
    <w:rsid w:val="003C56B3"/>
    <w:rsid w:val="003C5A0B"/>
    <w:rsid w:val="003C6262"/>
    <w:rsid w:val="003C6AFF"/>
    <w:rsid w:val="003C6CB0"/>
    <w:rsid w:val="003C705F"/>
    <w:rsid w:val="003C72F1"/>
    <w:rsid w:val="003C7DB9"/>
    <w:rsid w:val="003D036E"/>
    <w:rsid w:val="003D0C19"/>
    <w:rsid w:val="003D110A"/>
    <w:rsid w:val="003D178D"/>
    <w:rsid w:val="003D21CA"/>
    <w:rsid w:val="003D2280"/>
    <w:rsid w:val="003D3A07"/>
    <w:rsid w:val="003D53D2"/>
    <w:rsid w:val="003D5D2C"/>
    <w:rsid w:val="003D5E18"/>
    <w:rsid w:val="003D6177"/>
    <w:rsid w:val="003D690F"/>
    <w:rsid w:val="003D741A"/>
    <w:rsid w:val="003D7513"/>
    <w:rsid w:val="003D7752"/>
    <w:rsid w:val="003E024C"/>
    <w:rsid w:val="003E0D68"/>
    <w:rsid w:val="003E1B00"/>
    <w:rsid w:val="003E240D"/>
    <w:rsid w:val="003E2767"/>
    <w:rsid w:val="003E3CAD"/>
    <w:rsid w:val="003E41C9"/>
    <w:rsid w:val="003E496D"/>
    <w:rsid w:val="003E5E91"/>
    <w:rsid w:val="003E663C"/>
    <w:rsid w:val="003E7018"/>
    <w:rsid w:val="003E7599"/>
    <w:rsid w:val="003E798B"/>
    <w:rsid w:val="003F0318"/>
    <w:rsid w:val="003F0E76"/>
    <w:rsid w:val="003F1F51"/>
    <w:rsid w:val="003F2E59"/>
    <w:rsid w:val="003F3577"/>
    <w:rsid w:val="003F383D"/>
    <w:rsid w:val="003F43FB"/>
    <w:rsid w:val="003F4629"/>
    <w:rsid w:val="003F5107"/>
    <w:rsid w:val="003F5D1E"/>
    <w:rsid w:val="003F6CC5"/>
    <w:rsid w:val="003F6EA6"/>
    <w:rsid w:val="003F7371"/>
    <w:rsid w:val="003F7A4E"/>
    <w:rsid w:val="00400283"/>
    <w:rsid w:val="00400AB5"/>
    <w:rsid w:val="00400CE5"/>
    <w:rsid w:val="004018A2"/>
    <w:rsid w:val="004032D8"/>
    <w:rsid w:val="0040412E"/>
    <w:rsid w:val="0040444B"/>
    <w:rsid w:val="00404E6F"/>
    <w:rsid w:val="004052D6"/>
    <w:rsid w:val="0040551B"/>
    <w:rsid w:val="0040643D"/>
    <w:rsid w:val="004065C4"/>
    <w:rsid w:val="0040666D"/>
    <w:rsid w:val="0040684B"/>
    <w:rsid w:val="00410DB4"/>
    <w:rsid w:val="004111CB"/>
    <w:rsid w:val="004117A4"/>
    <w:rsid w:val="00411BCE"/>
    <w:rsid w:val="00412F2B"/>
    <w:rsid w:val="0041300B"/>
    <w:rsid w:val="00413102"/>
    <w:rsid w:val="0041321C"/>
    <w:rsid w:val="0041394A"/>
    <w:rsid w:val="00413DB9"/>
    <w:rsid w:val="004153F5"/>
    <w:rsid w:val="004162FC"/>
    <w:rsid w:val="00416E1E"/>
    <w:rsid w:val="0041769A"/>
    <w:rsid w:val="00417E82"/>
    <w:rsid w:val="004200B8"/>
    <w:rsid w:val="0042019E"/>
    <w:rsid w:val="004207D6"/>
    <w:rsid w:val="00420E4E"/>
    <w:rsid w:val="004216DE"/>
    <w:rsid w:val="00421876"/>
    <w:rsid w:val="004222AE"/>
    <w:rsid w:val="00423223"/>
    <w:rsid w:val="00423454"/>
    <w:rsid w:val="004237E9"/>
    <w:rsid w:val="00424826"/>
    <w:rsid w:val="00425BC8"/>
    <w:rsid w:val="004265D3"/>
    <w:rsid w:val="0042695A"/>
    <w:rsid w:val="00426FF9"/>
    <w:rsid w:val="00427902"/>
    <w:rsid w:val="004309BA"/>
    <w:rsid w:val="0043120C"/>
    <w:rsid w:val="004316F2"/>
    <w:rsid w:val="00432677"/>
    <w:rsid w:val="00432953"/>
    <w:rsid w:val="00433098"/>
    <w:rsid w:val="0043392B"/>
    <w:rsid w:val="00433AFD"/>
    <w:rsid w:val="00435824"/>
    <w:rsid w:val="004365C6"/>
    <w:rsid w:val="00436DE9"/>
    <w:rsid w:val="00437ED6"/>
    <w:rsid w:val="00437FFB"/>
    <w:rsid w:val="0044075E"/>
    <w:rsid w:val="004407BB"/>
    <w:rsid w:val="004411E9"/>
    <w:rsid w:val="0044136F"/>
    <w:rsid w:val="0044185B"/>
    <w:rsid w:val="004427BB"/>
    <w:rsid w:val="004432A2"/>
    <w:rsid w:val="0044348B"/>
    <w:rsid w:val="00443987"/>
    <w:rsid w:val="004439AE"/>
    <w:rsid w:val="00443FFB"/>
    <w:rsid w:val="004442B5"/>
    <w:rsid w:val="0044496F"/>
    <w:rsid w:val="0044631E"/>
    <w:rsid w:val="0044663A"/>
    <w:rsid w:val="004467E3"/>
    <w:rsid w:val="0044684F"/>
    <w:rsid w:val="00447004"/>
    <w:rsid w:val="0044758D"/>
    <w:rsid w:val="00447A7C"/>
    <w:rsid w:val="00447CF4"/>
    <w:rsid w:val="004504AA"/>
    <w:rsid w:val="00450701"/>
    <w:rsid w:val="00450C54"/>
    <w:rsid w:val="00451364"/>
    <w:rsid w:val="004530F2"/>
    <w:rsid w:val="004538A5"/>
    <w:rsid w:val="00455186"/>
    <w:rsid w:val="00455CB7"/>
    <w:rsid w:val="004565DD"/>
    <w:rsid w:val="00456975"/>
    <w:rsid w:val="00457BAD"/>
    <w:rsid w:val="00461BC6"/>
    <w:rsid w:val="00461CBF"/>
    <w:rsid w:val="00461E8F"/>
    <w:rsid w:val="00462295"/>
    <w:rsid w:val="004628CE"/>
    <w:rsid w:val="00463095"/>
    <w:rsid w:val="004630BF"/>
    <w:rsid w:val="00463233"/>
    <w:rsid w:val="00464087"/>
    <w:rsid w:val="00464174"/>
    <w:rsid w:val="0046441F"/>
    <w:rsid w:val="00465E22"/>
    <w:rsid w:val="00466F9D"/>
    <w:rsid w:val="00467D08"/>
    <w:rsid w:val="0047081F"/>
    <w:rsid w:val="00471DD5"/>
    <w:rsid w:val="0047220C"/>
    <w:rsid w:val="004724BF"/>
    <w:rsid w:val="004729AA"/>
    <w:rsid w:val="00473123"/>
    <w:rsid w:val="0047471A"/>
    <w:rsid w:val="004751D6"/>
    <w:rsid w:val="004754BD"/>
    <w:rsid w:val="00475563"/>
    <w:rsid w:val="00476707"/>
    <w:rsid w:val="00477197"/>
    <w:rsid w:val="0047736A"/>
    <w:rsid w:val="00477CAE"/>
    <w:rsid w:val="00477FB4"/>
    <w:rsid w:val="004811DA"/>
    <w:rsid w:val="004818D5"/>
    <w:rsid w:val="00481909"/>
    <w:rsid w:val="004820EE"/>
    <w:rsid w:val="00482385"/>
    <w:rsid w:val="0048276E"/>
    <w:rsid w:val="00483919"/>
    <w:rsid w:val="00484252"/>
    <w:rsid w:val="004844A3"/>
    <w:rsid w:val="00484637"/>
    <w:rsid w:val="004849E5"/>
    <w:rsid w:val="0048770E"/>
    <w:rsid w:val="00490510"/>
    <w:rsid w:val="00490DED"/>
    <w:rsid w:val="00491FE0"/>
    <w:rsid w:val="00492912"/>
    <w:rsid w:val="00493E7C"/>
    <w:rsid w:val="004947A9"/>
    <w:rsid w:val="00494B9C"/>
    <w:rsid w:val="00495397"/>
    <w:rsid w:val="00495780"/>
    <w:rsid w:val="004958EF"/>
    <w:rsid w:val="00495D26"/>
    <w:rsid w:val="004961A6"/>
    <w:rsid w:val="00496482"/>
    <w:rsid w:val="004A0727"/>
    <w:rsid w:val="004A12CF"/>
    <w:rsid w:val="004A150A"/>
    <w:rsid w:val="004A3124"/>
    <w:rsid w:val="004A3129"/>
    <w:rsid w:val="004A40D7"/>
    <w:rsid w:val="004A4AC9"/>
    <w:rsid w:val="004A4BD1"/>
    <w:rsid w:val="004A4FE8"/>
    <w:rsid w:val="004A5C4F"/>
    <w:rsid w:val="004A64E1"/>
    <w:rsid w:val="004B03EB"/>
    <w:rsid w:val="004B1512"/>
    <w:rsid w:val="004B1E12"/>
    <w:rsid w:val="004B20D6"/>
    <w:rsid w:val="004B3CC6"/>
    <w:rsid w:val="004B3CFB"/>
    <w:rsid w:val="004B4344"/>
    <w:rsid w:val="004B46FC"/>
    <w:rsid w:val="004B5404"/>
    <w:rsid w:val="004B5606"/>
    <w:rsid w:val="004B7218"/>
    <w:rsid w:val="004C0605"/>
    <w:rsid w:val="004C1299"/>
    <w:rsid w:val="004C32E0"/>
    <w:rsid w:val="004C3BB2"/>
    <w:rsid w:val="004C5794"/>
    <w:rsid w:val="004C6946"/>
    <w:rsid w:val="004C72BD"/>
    <w:rsid w:val="004C73BA"/>
    <w:rsid w:val="004C7D08"/>
    <w:rsid w:val="004D0691"/>
    <w:rsid w:val="004D0FA2"/>
    <w:rsid w:val="004D1842"/>
    <w:rsid w:val="004D189C"/>
    <w:rsid w:val="004D2063"/>
    <w:rsid w:val="004D240B"/>
    <w:rsid w:val="004D2730"/>
    <w:rsid w:val="004D44C0"/>
    <w:rsid w:val="004D545E"/>
    <w:rsid w:val="004D5876"/>
    <w:rsid w:val="004D6098"/>
    <w:rsid w:val="004D6B18"/>
    <w:rsid w:val="004E0F23"/>
    <w:rsid w:val="004E16AC"/>
    <w:rsid w:val="004E1F45"/>
    <w:rsid w:val="004E2652"/>
    <w:rsid w:val="004E33E5"/>
    <w:rsid w:val="004E3437"/>
    <w:rsid w:val="004E3CA7"/>
    <w:rsid w:val="004E3D32"/>
    <w:rsid w:val="004E3E10"/>
    <w:rsid w:val="004E423A"/>
    <w:rsid w:val="004E4E38"/>
    <w:rsid w:val="004E5597"/>
    <w:rsid w:val="004E5F05"/>
    <w:rsid w:val="004E6306"/>
    <w:rsid w:val="004E6557"/>
    <w:rsid w:val="004E689D"/>
    <w:rsid w:val="004E6B09"/>
    <w:rsid w:val="004E783F"/>
    <w:rsid w:val="004E7F54"/>
    <w:rsid w:val="004F0A80"/>
    <w:rsid w:val="004F0F35"/>
    <w:rsid w:val="004F10A7"/>
    <w:rsid w:val="004F2B30"/>
    <w:rsid w:val="004F2CEF"/>
    <w:rsid w:val="004F3A33"/>
    <w:rsid w:val="004F3B66"/>
    <w:rsid w:val="004F4541"/>
    <w:rsid w:val="004F45AF"/>
    <w:rsid w:val="004F4B6F"/>
    <w:rsid w:val="004F4F38"/>
    <w:rsid w:val="004F5240"/>
    <w:rsid w:val="004F6B9D"/>
    <w:rsid w:val="004F79D1"/>
    <w:rsid w:val="004F7DE1"/>
    <w:rsid w:val="00500289"/>
    <w:rsid w:val="00500F52"/>
    <w:rsid w:val="00501B32"/>
    <w:rsid w:val="00501D08"/>
    <w:rsid w:val="00501D4F"/>
    <w:rsid w:val="0050281E"/>
    <w:rsid w:val="00503157"/>
    <w:rsid w:val="00503CA6"/>
    <w:rsid w:val="00503D2D"/>
    <w:rsid w:val="00504C0E"/>
    <w:rsid w:val="00504C46"/>
    <w:rsid w:val="00506A8B"/>
    <w:rsid w:val="00506F2A"/>
    <w:rsid w:val="005101C6"/>
    <w:rsid w:val="00510EAF"/>
    <w:rsid w:val="00511173"/>
    <w:rsid w:val="00511F2E"/>
    <w:rsid w:val="005122D9"/>
    <w:rsid w:val="005122DC"/>
    <w:rsid w:val="00512FF4"/>
    <w:rsid w:val="005138B6"/>
    <w:rsid w:val="00513B8B"/>
    <w:rsid w:val="00514120"/>
    <w:rsid w:val="00517197"/>
    <w:rsid w:val="00517A3B"/>
    <w:rsid w:val="00520BD4"/>
    <w:rsid w:val="005222A4"/>
    <w:rsid w:val="005223C0"/>
    <w:rsid w:val="00522681"/>
    <w:rsid w:val="00522C78"/>
    <w:rsid w:val="00523B2F"/>
    <w:rsid w:val="00523DE4"/>
    <w:rsid w:val="0052429F"/>
    <w:rsid w:val="00524712"/>
    <w:rsid w:val="0052586C"/>
    <w:rsid w:val="00525D70"/>
    <w:rsid w:val="00525F57"/>
    <w:rsid w:val="00526367"/>
    <w:rsid w:val="0052676E"/>
    <w:rsid w:val="00526823"/>
    <w:rsid w:val="00526F25"/>
    <w:rsid w:val="00527141"/>
    <w:rsid w:val="0052775E"/>
    <w:rsid w:val="00527B8F"/>
    <w:rsid w:val="005312D1"/>
    <w:rsid w:val="00531AB5"/>
    <w:rsid w:val="00531F61"/>
    <w:rsid w:val="005320F0"/>
    <w:rsid w:val="00532534"/>
    <w:rsid w:val="00532B32"/>
    <w:rsid w:val="005338DE"/>
    <w:rsid w:val="00534947"/>
    <w:rsid w:val="00535921"/>
    <w:rsid w:val="0053597A"/>
    <w:rsid w:val="005366EB"/>
    <w:rsid w:val="00537086"/>
    <w:rsid w:val="00540094"/>
    <w:rsid w:val="005404D8"/>
    <w:rsid w:val="005407F2"/>
    <w:rsid w:val="0054101A"/>
    <w:rsid w:val="00541AB2"/>
    <w:rsid w:val="00541D03"/>
    <w:rsid w:val="00542206"/>
    <w:rsid w:val="00542C92"/>
    <w:rsid w:val="00543D25"/>
    <w:rsid w:val="00543DAF"/>
    <w:rsid w:val="00543E50"/>
    <w:rsid w:val="0054460A"/>
    <w:rsid w:val="0054591C"/>
    <w:rsid w:val="005459FC"/>
    <w:rsid w:val="0054649F"/>
    <w:rsid w:val="0054675E"/>
    <w:rsid w:val="00546C84"/>
    <w:rsid w:val="00547062"/>
    <w:rsid w:val="00547470"/>
    <w:rsid w:val="005479F0"/>
    <w:rsid w:val="00550BB6"/>
    <w:rsid w:val="00551A27"/>
    <w:rsid w:val="00551B61"/>
    <w:rsid w:val="00552453"/>
    <w:rsid w:val="005526F9"/>
    <w:rsid w:val="0055271C"/>
    <w:rsid w:val="00553EA7"/>
    <w:rsid w:val="00554A74"/>
    <w:rsid w:val="00555534"/>
    <w:rsid w:val="00557C65"/>
    <w:rsid w:val="005606BC"/>
    <w:rsid w:val="0056080E"/>
    <w:rsid w:val="005610A8"/>
    <w:rsid w:val="005618E2"/>
    <w:rsid w:val="0056372E"/>
    <w:rsid w:val="0056571D"/>
    <w:rsid w:val="00566C15"/>
    <w:rsid w:val="00567E0D"/>
    <w:rsid w:val="00570FB3"/>
    <w:rsid w:val="0057196A"/>
    <w:rsid w:val="00571BD7"/>
    <w:rsid w:val="00571D03"/>
    <w:rsid w:val="00572AF4"/>
    <w:rsid w:val="00572D1B"/>
    <w:rsid w:val="00573934"/>
    <w:rsid w:val="00573C0C"/>
    <w:rsid w:val="00573C63"/>
    <w:rsid w:val="00574460"/>
    <w:rsid w:val="0057481C"/>
    <w:rsid w:val="0057483B"/>
    <w:rsid w:val="00574BBB"/>
    <w:rsid w:val="00574E83"/>
    <w:rsid w:val="00575081"/>
    <w:rsid w:val="00575380"/>
    <w:rsid w:val="00575554"/>
    <w:rsid w:val="00575F5C"/>
    <w:rsid w:val="00582D36"/>
    <w:rsid w:val="005835A2"/>
    <w:rsid w:val="00583C27"/>
    <w:rsid w:val="0058447E"/>
    <w:rsid w:val="00585DBD"/>
    <w:rsid w:val="005871EE"/>
    <w:rsid w:val="0059137F"/>
    <w:rsid w:val="0059150E"/>
    <w:rsid w:val="00592E00"/>
    <w:rsid w:val="005934BF"/>
    <w:rsid w:val="00593A56"/>
    <w:rsid w:val="005944DB"/>
    <w:rsid w:val="00594511"/>
    <w:rsid w:val="00594712"/>
    <w:rsid w:val="00594CC1"/>
    <w:rsid w:val="0059546C"/>
    <w:rsid w:val="00596D76"/>
    <w:rsid w:val="00597521"/>
    <w:rsid w:val="005A0D2F"/>
    <w:rsid w:val="005A1043"/>
    <w:rsid w:val="005A21E0"/>
    <w:rsid w:val="005A2C76"/>
    <w:rsid w:val="005A51AF"/>
    <w:rsid w:val="005A5485"/>
    <w:rsid w:val="005A5561"/>
    <w:rsid w:val="005A56A5"/>
    <w:rsid w:val="005A6D9A"/>
    <w:rsid w:val="005A6ED8"/>
    <w:rsid w:val="005A6F2A"/>
    <w:rsid w:val="005A7134"/>
    <w:rsid w:val="005A7BB3"/>
    <w:rsid w:val="005B07B4"/>
    <w:rsid w:val="005B40E2"/>
    <w:rsid w:val="005B4863"/>
    <w:rsid w:val="005B4D1C"/>
    <w:rsid w:val="005B5268"/>
    <w:rsid w:val="005B5318"/>
    <w:rsid w:val="005B60F9"/>
    <w:rsid w:val="005B64B8"/>
    <w:rsid w:val="005B69AE"/>
    <w:rsid w:val="005C05CE"/>
    <w:rsid w:val="005C09E3"/>
    <w:rsid w:val="005C1921"/>
    <w:rsid w:val="005C19FE"/>
    <w:rsid w:val="005C1CAA"/>
    <w:rsid w:val="005C1D44"/>
    <w:rsid w:val="005C1D69"/>
    <w:rsid w:val="005C2177"/>
    <w:rsid w:val="005C259B"/>
    <w:rsid w:val="005C3022"/>
    <w:rsid w:val="005C3907"/>
    <w:rsid w:val="005C446C"/>
    <w:rsid w:val="005C5117"/>
    <w:rsid w:val="005C56A9"/>
    <w:rsid w:val="005C6E98"/>
    <w:rsid w:val="005C6F48"/>
    <w:rsid w:val="005C76E6"/>
    <w:rsid w:val="005D163A"/>
    <w:rsid w:val="005D1A8D"/>
    <w:rsid w:val="005D1C1C"/>
    <w:rsid w:val="005D22DD"/>
    <w:rsid w:val="005D2377"/>
    <w:rsid w:val="005D29F0"/>
    <w:rsid w:val="005D310C"/>
    <w:rsid w:val="005D430D"/>
    <w:rsid w:val="005D4B38"/>
    <w:rsid w:val="005D4E8F"/>
    <w:rsid w:val="005D5CE8"/>
    <w:rsid w:val="005D5FA9"/>
    <w:rsid w:val="005D68AD"/>
    <w:rsid w:val="005D7795"/>
    <w:rsid w:val="005D7ADD"/>
    <w:rsid w:val="005E0BD6"/>
    <w:rsid w:val="005E179B"/>
    <w:rsid w:val="005E2D30"/>
    <w:rsid w:val="005E2D89"/>
    <w:rsid w:val="005E332A"/>
    <w:rsid w:val="005E36AA"/>
    <w:rsid w:val="005E38B2"/>
    <w:rsid w:val="005E62A5"/>
    <w:rsid w:val="005E63D1"/>
    <w:rsid w:val="005E6848"/>
    <w:rsid w:val="005E6C23"/>
    <w:rsid w:val="005E72D4"/>
    <w:rsid w:val="005E7497"/>
    <w:rsid w:val="005E7C81"/>
    <w:rsid w:val="005F319B"/>
    <w:rsid w:val="005F3B89"/>
    <w:rsid w:val="005F3CA1"/>
    <w:rsid w:val="005F4D68"/>
    <w:rsid w:val="005F4E73"/>
    <w:rsid w:val="005F54AE"/>
    <w:rsid w:val="005F5A33"/>
    <w:rsid w:val="00601261"/>
    <w:rsid w:val="00601D7B"/>
    <w:rsid w:val="0060305B"/>
    <w:rsid w:val="00603B5B"/>
    <w:rsid w:val="0060596D"/>
    <w:rsid w:val="00606DDD"/>
    <w:rsid w:val="006073C1"/>
    <w:rsid w:val="00610072"/>
    <w:rsid w:val="006101B2"/>
    <w:rsid w:val="00611156"/>
    <w:rsid w:val="006118F0"/>
    <w:rsid w:val="00611E8E"/>
    <w:rsid w:val="00612222"/>
    <w:rsid w:val="00612921"/>
    <w:rsid w:val="006133F0"/>
    <w:rsid w:val="00613A5B"/>
    <w:rsid w:val="00613D73"/>
    <w:rsid w:val="00615705"/>
    <w:rsid w:val="006159FC"/>
    <w:rsid w:val="006167F5"/>
    <w:rsid w:val="00620048"/>
    <w:rsid w:val="006212CC"/>
    <w:rsid w:val="00621DC0"/>
    <w:rsid w:val="00621E0D"/>
    <w:rsid w:val="00622920"/>
    <w:rsid w:val="0062299B"/>
    <w:rsid w:val="00622B6C"/>
    <w:rsid w:val="00622E95"/>
    <w:rsid w:val="00623495"/>
    <w:rsid w:val="00623F5A"/>
    <w:rsid w:val="00624EA0"/>
    <w:rsid w:val="00625869"/>
    <w:rsid w:val="00625E09"/>
    <w:rsid w:val="0062633F"/>
    <w:rsid w:val="006263D7"/>
    <w:rsid w:val="00626FF0"/>
    <w:rsid w:val="00630AA1"/>
    <w:rsid w:val="00630BD4"/>
    <w:rsid w:val="00631060"/>
    <w:rsid w:val="00632BEC"/>
    <w:rsid w:val="00632D0C"/>
    <w:rsid w:val="00633874"/>
    <w:rsid w:val="00633BC7"/>
    <w:rsid w:val="00635E7E"/>
    <w:rsid w:val="00636121"/>
    <w:rsid w:val="00636AC0"/>
    <w:rsid w:val="00636D82"/>
    <w:rsid w:val="00640AD7"/>
    <w:rsid w:val="00640C7A"/>
    <w:rsid w:val="00642562"/>
    <w:rsid w:val="006441B9"/>
    <w:rsid w:val="00644D59"/>
    <w:rsid w:val="00645D99"/>
    <w:rsid w:val="006462C7"/>
    <w:rsid w:val="00646FEF"/>
    <w:rsid w:val="006505E6"/>
    <w:rsid w:val="00650D81"/>
    <w:rsid w:val="00651433"/>
    <w:rsid w:val="006519D2"/>
    <w:rsid w:val="00651AD6"/>
    <w:rsid w:val="006525C9"/>
    <w:rsid w:val="00653C67"/>
    <w:rsid w:val="0065428A"/>
    <w:rsid w:val="00654F3D"/>
    <w:rsid w:val="00654FC2"/>
    <w:rsid w:val="006553DA"/>
    <w:rsid w:val="006555E5"/>
    <w:rsid w:val="00655A57"/>
    <w:rsid w:val="00660F4B"/>
    <w:rsid w:val="00662861"/>
    <w:rsid w:val="006640C8"/>
    <w:rsid w:val="006642AD"/>
    <w:rsid w:val="0066439C"/>
    <w:rsid w:val="00664888"/>
    <w:rsid w:val="006651BB"/>
    <w:rsid w:val="0066555F"/>
    <w:rsid w:val="00667BCC"/>
    <w:rsid w:val="00667C79"/>
    <w:rsid w:val="006705D3"/>
    <w:rsid w:val="006710BE"/>
    <w:rsid w:val="006714DE"/>
    <w:rsid w:val="0067168E"/>
    <w:rsid w:val="00671FDE"/>
    <w:rsid w:val="00672F6D"/>
    <w:rsid w:val="00673406"/>
    <w:rsid w:val="00674DC1"/>
    <w:rsid w:val="0067520B"/>
    <w:rsid w:val="00675C4A"/>
    <w:rsid w:val="006760BE"/>
    <w:rsid w:val="00676351"/>
    <w:rsid w:val="0067655E"/>
    <w:rsid w:val="00676BE9"/>
    <w:rsid w:val="006771C5"/>
    <w:rsid w:val="00681849"/>
    <w:rsid w:val="00681CD8"/>
    <w:rsid w:val="00682882"/>
    <w:rsid w:val="00682FB8"/>
    <w:rsid w:val="00683DC3"/>
    <w:rsid w:val="00683E01"/>
    <w:rsid w:val="006847ED"/>
    <w:rsid w:val="006848CD"/>
    <w:rsid w:val="00685094"/>
    <w:rsid w:val="006870B3"/>
    <w:rsid w:val="00687D48"/>
    <w:rsid w:val="00687FBB"/>
    <w:rsid w:val="006903A8"/>
    <w:rsid w:val="00690FF0"/>
    <w:rsid w:val="00692089"/>
    <w:rsid w:val="006928C9"/>
    <w:rsid w:val="00692DD2"/>
    <w:rsid w:val="0069471F"/>
    <w:rsid w:val="006955AC"/>
    <w:rsid w:val="00696291"/>
    <w:rsid w:val="00696592"/>
    <w:rsid w:val="00696F16"/>
    <w:rsid w:val="00697290"/>
    <w:rsid w:val="00697EE4"/>
    <w:rsid w:val="006A084C"/>
    <w:rsid w:val="006A113D"/>
    <w:rsid w:val="006A1F7A"/>
    <w:rsid w:val="006A3AFF"/>
    <w:rsid w:val="006A3F13"/>
    <w:rsid w:val="006A459C"/>
    <w:rsid w:val="006A4D57"/>
    <w:rsid w:val="006A4F7F"/>
    <w:rsid w:val="006A561F"/>
    <w:rsid w:val="006A5634"/>
    <w:rsid w:val="006A648A"/>
    <w:rsid w:val="006A6776"/>
    <w:rsid w:val="006A6DF3"/>
    <w:rsid w:val="006B0D8B"/>
    <w:rsid w:val="006B212C"/>
    <w:rsid w:val="006B2278"/>
    <w:rsid w:val="006B311E"/>
    <w:rsid w:val="006B3E30"/>
    <w:rsid w:val="006B4BBF"/>
    <w:rsid w:val="006B5488"/>
    <w:rsid w:val="006B5B5B"/>
    <w:rsid w:val="006B6377"/>
    <w:rsid w:val="006B6BBF"/>
    <w:rsid w:val="006B6E72"/>
    <w:rsid w:val="006B6EF7"/>
    <w:rsid w:val="006C3163"/>
    <w:rsid w:val="006C39E3"/>
    <w:rsid w:val="006C3BC1"/>
    <w:rsid w:val="006C44B0"/>
    <w:rsid w:val="006C4718"/>
    <w:rsid w:val="006C4FB8"/>
    <w:rsid w:val="006C520A"/>
    <w:rsid w:val="006C7DDD"/>
    <w:rsid w:val="006D0C01"/>
    <w:rsid w:val="006D0D14"/>
    <w:rsid w:val="006D1FBD"/>
    <w:rsid w:val="006D3B2C"/>
    <w:rsid w:val="006D3E83"/>
    <w:rsid w:val="006D413B"/>
    <w:rsid w:val="006D4C28"/>
    <w:rsid w:val="006D4D7B"/>
    <w:rsid w:val="006D4DDC"/>
    <w:rsid w:val="006D62C2"/>
    <w:rsid w:val="006D6C50"/>
    <w:rsid w:val="006E01D1"/>
    <w:rsid w:val="006E07A5"/>
    <w:rsid w:val="006E07FB"/>
    <w:rsid w:val="006E1522"/>
    <w:rsid w:val="006E1E62"/>
    <w:rsid w:val="006E21E8"/>
    <w:rsid w:val="006E3290"/>
    <w:rsid w:val="006E37BB"/>
    <w:rsid w:val="006E39E6"/>
    <w:rsid w:val="006E54BB"/>
    <w:rsid w:val="006E591C"/>
    <w:rsid w:val="006E5EA7"/>
    <w:rsid w:val="006E781B"/>
    <w:rsid w:val="006E7E2F"/>
    <w:rsid w:val="006F0105"/>
    <w:rsid w:val="006F01D0"/>
    <w:rsid w:val="006F1AFA"/>
    <w:rsid w:val="006F1C19"/>
    <w:rsid w:val="006F1D48"/>
    <w:rsid w:val="006F3957"/>
    <w:rsid w:val="006F398A"/>
    <w:rsid w:val="006F3D22"/>
    <w:rsid w:val="006F44A4"/>
    <w:rsid w:val="006F508B"/>
    <w:rsid w:val="006F5E91"/>
    <w:rsid w:val="006F5FA1"/>
    <w:rsid w:val="006F78A6"/>
    <w:rsid w:val="006F78F6"/>
    <w:rsid w:val="006F7A4B"/>
    <w:rsid w:val="006F7C2E"/>
    <w:rsid w:val="006F7E16"/>
    <w:rsid w:val="00700221"/>
    <w:rsid w:val="007005BD"/>
    <w:rsid w:val="00700BCC"/>
    <w:rsid w:val="00700F04"/>
    <w:rsid w:val="007016C9"/>
    <w:rsid w:val="007017C9"/>
    <w:rsid w:val="007024CB"/>
    <w:rsid w:val="00702D1E"/>
    <w:rsid w:val="007054D5"/>
    <w:rsid w:val="00705CC3"/>
    <w:rsid w:val="00706253"/>
    <w:rsid w:val="007063BC"/>
    <w:rsid w:val="00707BB6"/>
    <w:rsid w:val="00712574"/>
    <w:rsid w:val="00712FEC"/>
    <w:rsid w:val="007144B6"/>
    <w:rsid w:val="00714B4D"/>
    <w:rsid w:val="00714F11"/>
    <w:rsid w:val="007152A5"/>
    <w:rsid w:val="00715484"/>
    <w:rsid w:val="00715B64"/>
    <w:rsid w:val="00716222"/>
    <w:rsid w:val="00716596"/>
    <w:rsid w:val="00716A9C"/>
    <w:rsid w:val="0071719B"/>
    <w:rsid w:val="007171FF"/>
    <w:rsid w:val="00717712"/>
    <w:rsid w:val="00720928"/>
    <w:rsid w:val="00720EFD"/>
    <w:rsid w:val="00722C27"/>
    <w:rsid w:val="00722CD6"/>
    <w:rsid w:val="007247F1"/>
    <w:rsid w:val="007247FA"/>
    <w:rsid w:val="00724ADB"/>
    <w:rsid w:val="00724E9F"/>
    <w:rsid w:val="00726065"/>
    <w:rsid w:val="00726443"/>
    <w:rsid w:val="00726AC4"/>
    <w:rsid w:val="00727162"/>
    <w:rsid w:val="00727555"/>
    <w:rsid w:val="00727B0C"/>
    <w:rsid w:val="00730B3D"/>
    <w:rsid w:val="007317F1"/>
    <w:rsid w:val="00731970"/>
    <w:rsid w:val="007322B7"/>
    <w:rsid w:val="007324C0"/>
    <w:rsid w:val="00732AB4"/>
    <w:rsid w:val="00733324"/>
    <w:rsid w:val="00733425"/>
    <w:rsid w:val="007337A3"/>
    <w:rsid w:val="00733F71"/>
    <w:rsid w:val="00735525"/>
    <w:rsid w:val="00735E53"/>
    <w:rsid w:val="00736021"/>
    <w:rsid w:val="0073611C"/>
    <w:rsid w:val="007376D2"/>
    <w:rsid w:val="007377F1"/>
    <w:rsid w:val="00737CDB"/>
    <w:rsid w:val="00741F30"/>
    <w:rsid w:val="0074232F"/>
    <w:rsid w:val="00743536"/>
    <w:rsid w:val="00745762"/>
    <w:rsid w:val="00745E4C"/>
    <w:rsid w:val="00746146"/>
    <w:rsid w:val="00746307"/>
    <w:rsid w:val="0074697B"/>
    <w:rsid w:val="007471E6"/>
    <w:rsid w:val="007474F7"/>
    <w:rsid w:val="007475CC"/>
    <w:rsid w:val="007478EF"/>
    <w:rsid w:val="00747F44"/>
    <w:rsid w:val="0075077C"/>
    <w:rsid w:val="00751381"/>
    <w:rsid w:val="007518C4"/>
    <w:rsid w:val="00751905"/>
    <w:rsid w:val="00751ABA"/>
    <w:rsid w:val="007530A6"/>
    <w:rsid w:val="00753220"/>
    <w:rsid w:val="00753639"/>
    <w:rsid w:val="00754522"/>
    <w:rsid w:val="007548C0"/>
    <w:rsid w:val="00754A5B"/>
    <w:rsid w:val="00754FFA"/>
    <w:rsid w:val="00755D2E"/>
    <w:rsid w:val="007568B3"/>
    <w:rsid w:val="00760572"/>
    <w:rsid w:val="00762D3F"/>
    <w:rsid w:val="00763034"/>
    <w:rsid w:val="00763331"/>
    <w:rsid w:val="00763C3B"/>
    <w:rsid w:val="007640F6"/>
    <w:rsid w:val="00764119"/>
    <w:rsid w:val="00765AFB"/>
    <w:rsid w:val="00765B69"/>
    <w:rsid w:val="00765F8B"/>
    <w:rsid w:val="007665AF"/>
    <w:rsid w:val="007669F9"/>
    <w:rsid w:val="00766B75"/>
    <w:rsid w:val="00767583"/>
    <w:rsid w:val="00770467"/>
    <w:rsid w:val="00770584"/>
    <w:rsid w:val="0077071F"/>
    <w:rsid w:val="00770A87"/>
    <w:rsid w:val="00770C25"/>
    <w:rsid w:val="007718EA"/>
    <w:rsid w:val="00771F37"/>
    <w:rsid w:val="00771FF7"/>
    <w:rsid w:val="00773DE5"/>
    <w:rsid w:val="0077412A"/>
    <w:rsid w:val="007747AB"/>
    <w:rsid w:val="0077631C"/>
    <w:rsid w:val="00776451"/>
    <w:rsid w:val="007764FE"/>
    <w:rsid w:val="007772C4"/>
    <w:rsid w:val="00777539"/>
    <w:rsid w:val="00777E39"/>
    <w:rsid w:val="00780A4A"/>
    <w:rsid w:val="00780D7E"/>
    <w:rsid w:val="007818DC"/>
    <w:rsid w:val="007835F2"/>
    <w:rsid w:val="00785164"/>
    <w:rsid w:val="00785997"/>
    <w:rsid w:val="00785D3C"/>
    <w:rsid w:val="00787304"/>
    <w:rsid w:val="007878D2"/>
    <w:rsid w:val="00787951"/>
    <w:rsid w:val="007879F5"/>
    <w:rsid w:val="00787C4A"/>
    <w:rsid w:val="0079040A"/>
    <w:rsid w:val="00790461"/>
    <w:rsid w:val="00790E2A"/>
    <w:rsid w:val="007923EF"/>
    <w:rsid w:val="007926AD"/>
    <w:rsid w:val="00792A7D"/>
    <w:rsid w:val="00792BF9"/>
    <w:rsid w:val="00793412"/>
    <w:rsid w:val="0079377E"/>
    <w:rsid w:val="007943DD"/>
    <w:rsid w:val="00795D10"/>
    <w:rsid w:val="0079673B"/>
    <w:rsid w:val="007967AC"/>
    <w:rsid w:val="00796B65"/>
    <w:rsid w:val="007A04F5"/>
    <w:rsid w:val="007A056D"/>
    <w:rsid w:val="007A0618"/>
    <w:rsid w:val="007A0EBA"/>
    <w:rsid w:val="007A182E"/>
    <w:rsid w:val="007A1D93"/>
    <w:rsid w:val="007A1E5D"/>
    <w:rsid w:val="007A2312"/>
    <w:rsid w:val="007A268C"/>
    <w:rsid w:val="007A2AA1"/>
    <w:rsid w:val="007A2C2D"/>
    <w:rsid w:val="007A48EE"/>
    <w:rsid w:val="007A4CB5"/>
    <w:rsid w:val="007A519A"/>
    <w:rsid w:val="007A52D4"/>
    <w:rsid w:val="007A569E"/>
    <w:rsid w:val="007A5E41"/>
    <w:rsid w:val="007A5F4A"/>
    <w:rsid w:val="007A6C37"/>
    <w:rsid w:val="007B0E27"/>
    <w:rsid w:val="007B1FB1"/>
    <w:rsid w:val="007B2566"/>
    <w:rsid w:val="007B2AE2"/>
    <w:rsid w:val="007B5160"/>
    <w:rsid w:val="007B5867"/>
    <w:rsid w:val="007B5A85"/>
    <w:rsid w:val="007B648B"/>
    <w:rsid w:val="007B6865"/>
    <w:rsid w:val="007C095D"/>
    <w:rsid w:val="007C0F46"/>
    <w:rsid w:val="007C1B6C"/>
    <w:rsid w:val="007C20D2"/>
    <w:rsid w:val="007C23DD"/>
    <w:rsid w:val="007C24B0"/>
    <w:rsid w:val="007C38D8"/>
    <w:rsid w:val="007C46B5"/>
    <w:rsid w:val="007C4EF0"/>
    <w:rsid w:val="007C6826"/>
    <w:rsid w:val="007C6872"/>
    <w:rsid w:val="007C6C9C"/>
    <w:rsid w:val="007C7372"/>
    <w:rsid w:val="007C790F"/>
    <w:rsid w:val="007C7930"/>
    <w:rsid w:val="007D03C7"/>
    <w:rsid w:val="007D040D"/>
    <w:rsid w:val="007D058D"/>
    <w:rsid w:val="007D0756"/>
    <w:rsid w:val="007D0E11"/>
    <w:rsid w:val="007D0F57"/>
    <w:rsid w:val="007D1253"/>
    <w:rsid w:val="007D1CE3"/>
    <w:rsid w:val="007D1D64"/>
    <w:rsid w:val="007D233A"/>
    <w:rsid w:val="007D2930"/>
    <w:rsid w:val="007D36ED"/>
    <w:rsid w:val="007D3E4A"/>
    <w:rsid w:val="007D41B7"/>
    <w:rsid w:val="007D4D76"/>
    <w:rsid w:val="007D579F"/>
    <w:rsid w:val="007D7388"/>
    <w:rsid w:val="007D73DE"/>
    <w:rsid w:val="007D7CDC"/>
    <w:rsid w:val="007E006E"/>
    <w:rsid w:val="007E045D"/>
    <w:rsid w:val="007E2313"/>
    <w:rsid w:val="007E2F4A"/>
    <w:rsid w:val="007E304D"/>
    <w:rsid w:val="007E34EA"/>
    <w:rsid w:val="007E3DC9"/>
    <w:rsid w:val="007E4293"/>
    <w:rsid w:val="007E489B"/>
    <w:rsid w:val="007E4C59"/>
    <w:rsid w:val="007E5624"/>
    <w:rsid w:val="007E587F"/>
    <w:rsid w:val="007E5F03"/>
    <w:rsid w:val="007E623D"/>
    <w:rsid w:val="007E7C4E"/>
    <w:rsid w:val="007F0365"/>
    <w:rsid w:val="007F2129"/>
    <w:rsid w:val="007F353B"/>
    <w:rsid w:val="007F3763"/>
    <w:rsid w:val="007F6382"/>
    <w:rsid w:val="00800430"/>
    <w:rsid w:val="00800624"/>
    <w:rsid w:val="0080067C"/>
    <w:rsid w:val="008006CE"/>
    <w:rsid w:val="008008EC"/>
    <w:rsid w:val="00800952"/>
    <w:rsid w:val="008016A3"/>
    <w:rsid w:val="00801D90"/>
    <w:rsid w:val="00801F60"/>
    <w:rsid w:val="008035F6"/>
    <w:rsid w:val="00803F8C"/>
    <w:rsid w:val="008053F1"/>
    <w:rsid w:val="00805930"/>
    <w:rsid w:val="00805A05"/>
    <w:rsid w:val="00806216"/>
    <w:rsid w:val="008065D4"/>
    <w:rsid w:val="00806C86"/>
    <w:rsid w:val="00807426"/>
    <w:rsid w:val="00807C46"/>
    <w:rsid w:val="00810A4F"/>
    <w:rsid w:val="00811A99"/>
    <w:rsid w:val="00811E0A"/>
    <w:rsid w:val="008124AD"/>
    <w:rsid w:val="00812F0C"/>
    <w:rsid w:val="00813342"/>
    <w:rsid w:val="0081342B"/>
    <w:rsid w:val="00813ABF"/>
    <w:rsid w:val="0081442E"/>
    <w:rsid w:val="00815EFA"/>
    <w:rsid w:val="0081612F"/>
    <w:rsid w:val="00816184"/>
    <w:rsid w:val="00816F4C"/>
    <w:rsid w:val="0081710F"/>
    <w:rsid w:val="00820DBB"/>
    <w:rsid w:val="00821FB2"/>
    <w:rsid w:val="008222DC"/>
    <w:rsid w:val="00822901"/>
    <w:rsid w:val="0082293B"/>
    <w:rsid w:val="00822BC9"/>
    <w:rsid w:val="00822F8D"/>
    <w:rsid w:val="00824EE6"/>
    <w:rsid w:val="008269EC"/>
    <w:rsid w:val="00826E85"/>
    <w:rsid w:val="00827398"/>
    <w:rsid w:val="008278DB"/>
    <w:rsid w:val="008279E5"/>
    <w:rsid w:val="00827B54"/>
    <w:rsid w:val="00827EA6"/>
    <w:rsid w:val="0083045F"/>
    <w:rsid w:val="008304FA"/>
    <w:rsid w:val="0083082E"/>
    <w:rsid w:val="00830D45"/>
    <w:rsid w:val="008325B2"/>
    <w:rsid w:val="008331B0"/>
    <w:rsid w:val="008333E9"/>
    <w:rsid w:val="00833801"/>
    <w:rsid w:val="008340EA"/>
    <w:rsid w:val="00834696"/>
    <w:rsid w:val="0083479D"/>
    <w:rsid w:val="00835010"/>
    <w:rsid w:val="00835674"/>
    <w:rsid w:val="00835702"/>
    <w:rsid w:val="00835AF8"/>
    <w:rsid w:val="0083648B"/>
    <w:rsid w:val="008376F8"/>
    <w:rsid w:val="00837EF7"/>
    <w:rsid w:val="008401E5"/>
    <w:rsid w:val="00840CDC"/>
    <w:rsid w:val="00841C66"/>
    <w:rsid w:val="0084221E"/>
    <w:rsid w:val="008428B2"/>
    <w:rsid w:val="00843703"/>
    <w:rsid w:val="008450CD"/>
    <w:rsid w:val="00845160"/>
    <w:rsid w:val="00845CD5"/>
    <w:rsid w:val="0084627B"/>
    <w:rsid w:val="00846674"/>
    <w:rsid w:val="008466F2"/>
    <w:rsid w:val="0084676B"/>
    <w:rsid w:val="008500D1"/>
    <w:rsid w:val="008505FA"/>
    <w:rsid w:val="00850AB9"/>
    <w:rsid w:val="00851586"/>
    <w:rsid w:val="00851861"/>
    <w:rsid w:val="00851C24"/>
    <w:rsid w:val="0085251C"/>
    <w:rsid w:val="00853011"/>
    <w:rsid w:val="0085490B"/>
    <w:rsid w:val="00854CE2"/>
    <w:rsid w:val="0085532C"/>
    <w:rsid w:val="0085540D"/>
    <w:rsid w:val="008558BC"/>
    <w:rsid w:val="00856ED8"/>
    <w:rsid w:val="008575F3"/>
    <w:rsid w:val="00857A41"/>
    <w:rsid w:val="00857D74"/>
    <w:rsid w:val="00860824"/>
    <w:rsid w:val="008618D9"/>
    <w:rsid w:val="00861E98"/>
    <w:rsid w:val="00862057"/>
    <w:rsid w:val="00862DC1"/>
    <w:rsid w:val="00862FD8"/>
    <w:rsid w:val="00863730"/>
    <w:rsid w:val="0086377E"/>
    <w:rsid w:val="008640BC"/>
    <w:rsid w:val="008640F6"/>
    <w:rsid w:val="0086463E"/>
    <w:rsid w:val="00864996"/>
    <w:rsid w:val="008657E8"/>
    <w:rsid w:val="008658D0"/>
    <w:rsid w:val="0086615C"/>
    <w:rsid w:val="008667A4"/>
    <w:rsid w:val="00866CB7"/>
    <w:rsid w:val="00867189"/>
    <w:rsid w:val="008673D7"/>
    <w:rsid w:val="008679FE"/>
    <w:rsid w:val="008707AE"/>
    <w:rsid w:val="00870895"/>
    <w:rsid w:val="00870E20"/>
    <w:rsid w:val="00871196"/>
    <w:rsid w:val="008712C1"/>
    <w:rsid w:val="00871A29"/>
    <w:rsid w:val="008738D5"/>
    <w:rsid w:val="0087441C"/>
    <w:rsid w:val="00874561"/>
    <w:rsid w:val="0087534D"/>
    <w:rsid w:val="00875D39"/>
    <w:rsid w:val="00875D57"/>
    <w:rsid w:val="00875EB8"/>
    <w:rsid w:val="00875EFF"/>
    <w:rsid w:val="008766F3"/>
    <w:rsid w:val="008767A6"/>
    <w:rsid w:val="00876AB5"/>
    <w:rsid w:val="008800E8"/>
    <w:rsid w:val="0088052E"/>
    <w:rsid w:val="008808A9"/>
    <w:rsid w:val="00880BA8"/>
    <w:rsid w:val="00880E78"/>
    <w:rsid w:val="00881CF5"/>
    <w:rsid w:val="00881D01"/>
    <w:rsid w:val="008821D3"/>
    <w:rsid w:val="008823F9"/>
    <w:rsid w:val="00883740"/>
    <w:rsid w:val="00883F03"/>
    <w:rsid w:val="008850EE"/>
    <w:rsid w:val="008853C8"/>
    <w:rsid w:val="00885803"/>
    <w:rsid w:val="00885BB3"/>
    <w:rsid w:val="00885FC2"/>
    <w:rsid w:val="0088603A"/>
    <w:rsid w:val="0088624B"/>
    <w:rsid w:val="00886397"/>
    <w:rsid w:val="00892A33"/>
    <w:rsid w:val="008935DA"/>
    <w:rsid w:val="008936AA"/>
    <w:rsid w:val="00896D01"/>
    <w:rsid w:val="00897EF6"/>
    <w:rsid w:val="008A04B9"/>
    <w:rsid w:val="008A0AC8"/>
    <w:rsid w:val="008A0AEE"/>
    <w:rsid w:val="008A10E1"/>
    <w:rsid w:val="008A11A8"/>
    <w:rsid w:val="008A151C"/>
    <w:rsid w:val="008A2046"/>
    <w:rsid w:val="008A426F"/>
    <w:rsid w:val="008A4664"/>
    <w:rsid w:val="008A4A06"/>
    <w:rsid w:val="008A4F20"/>
    <w:rsid w:val="008A5462"/>
    <w:rsid w:val="008A792C"/>
    <w:rsid w:val="008A793F"/>
    <w:rsid w:val="008B0728"/>
    <w:rsid w:val="008B0D1D"/>
    <w:rsid w:val="008B122F"/>
    <w:rsid w:val="008B147E"/>
    <w:rsid w:val="008B1FB6"/>
    <w:rsid w:val="008B235E"/>
    <w:rsid w:val="008B23D5"/>
    <w:rsid w:val="008B2D86"/>
    <w:rsid w:val="008B3590"/>
    <w:rsid w:val="008B3602"/>
    <w:rsid w:val="008B38E7"/>
    <w:rsid w:val="008B426D"/>
    <w:rsid w:val="008B4D5E"/>
    <w:rsid w:val="008B4E44"/>
    <w:rsid w:val="008B5C08"/>
    <w:rsid w:val="008B6B58"/>
    <w:rsid w:val="008B6EFC"/>
    <w:rsid w:val="008B7453"/>
    <w:rsid w:val="008B775D"/>
    <w:rsid w:val="008B7E24"/>
    <w:rsid w:val="008C0AEF"/>
    <w:rsid w:val="008C0BC9"/>
    <w:rsid w:val="008C0EE2"/>
    <w:rsid w:val="008C0F4E"/>
    <w:rsid w:val="008C1ADD"/>
    <w:rsid w:val="008C4D3D"/>
    <w:rsid w:val="008C5C31"/>
    <w:rsid w:val="008C6F2E"/>
    <w:rsid w:val="008D01B9"/>
    <w:rsid w:val="008D12D3"/>
    <w:rsid w:val="008D2806"/>
    <w:rsid w:val="008D31BC"/>
    <w:rsid w:val="008D3C4E"/>
    <w:rsid w:val="008D3DC2"/>
    <w:rsid w:val="008D4929"/>
    <w:rsid w:val="008D564B"/>
    <w:rsid w:val="008D5AD0"/>
    <w:rsid w:val="008D5CD7"/>
    <w:rsid w:val="008D6596"/>
    <w:rsid w:val="008D699C"/>
    <w:rsid w:val="008D6A2D"/>
    <w:rsid w:val="008D6B99"/>
    <w:rsid w:val="008D6FFC"/>
    <w:rsid w:val="008D7349"/>
    <w:rsid w:val="008E0D31"/>
    <w:rsid w:val="008E1912"/>
    <w:rsid w:val="008E21BE"/>
    <w:rsid w:val="008E256F"/>
    <w:rsid w:val="008E2C6A"/>
    <w:rsid w:val="008E3A6E"/>
    <w:rsid w:val="008E3D7D"/>
    <w:rsid w:val="008E4267"/>
    <w:rsid w:val="008E5045"/>
    <w:rsid w:val="008E56E4"/>
    <w:rsid w:val="008F11C1"/>
    <w:rsid w:val="008F1327"/>
    <w:rsid w:val="008F1422"/>
    <w:rsid w:val="008F19F6"/>
    <w:rsid w:val="008F229C"/>
    <w:rsid w:val="008F3988"/>
    <w:rsid w:val="008F4667"/>
    <w:rsid w:val="008F4C6B"/>
    <w:rsid w:val="008F536B"/>
    <w:rsid w:val="008F6005"/>
    <w:rsid w:val="008F7264"/>
    <w:rsid w:val="008F75C6"/>
    <w:rsid w:val="008F784F"/>
    <w:rsid w:val="008F7B01"/>
    <w:rsid w:val="008F7BF0"/>
    <w:rsid w:val="008F7EC4"/>
    <w:rsid w:val="00900788"/>
    <w:rsid w:val="00900921"/>
    <w:rsid w:val="00901DE2"/>
    <w:rsid w:val="00902983"/>
    <w:rsid w:val="00902CE7"/>
    <w:rsid w:val="0090305C"/>
    <w:rsid w:val="00903866"/>
    <w:rsid w:val="00903D49"/>
    <w:rsid w:val="009046B2"/>
    <w:rsid w:val="009049EA"/>
    <w:rsid w:val="00905050"/>
    <w:rsid w:val="00905268"/>
    <w:rsid w:val="009067F9"/>
    <w:rsid w:val="00906E86"/>
    <w:rsid w:val="00906FF5"/>
    <w:rsid w:val="0090721E"/>
    <w:rsid w:val="00907961"/>
    <w:rsid w:val="0091014B"/>
    <w:rsid w:val="009106F8"/>
    <w:rsid w:val="00910A04"/>
    <w:rsid w:val="009115ED"/>
    <w:rsid w:val="00911AA1"/>
    <w:rsid w:val="00911C4A"/>
    <w:rsid w:val="00911FC7"/>
    <w:rsid w:val="009120F1"/>
    <w:rsid w:val="0091244B"/>
    <w:rsid w:val="009127A9"/>
    <w:rsid w:val="00912831"/>
    <w:rsid w:val="00912F45"/>
    <w:rsid w:val="00912F5C"/>
    <w:rsid w:val="009139F9"/>
    <w:rsid w:val="00913A3E"/>
    <w:rsid w:val="00914260"/>
    <w:rsid w:val="0091427A"/>
    <w:rsid w:val="00914AD3"/>
    <w:rsid w:val="00914CF8"/>
    <w:rsid w:val="009154C2"/>
    <w:rsid w:val="009156E9"/>
    <w:rsid w:val="009157BB"/>
    <w:rsid w:val="00916A64"/>
    <w:rsid w:val="00916C10"/>
    <w:rsid w:val="00917399"/>
    <w:rsid w:val="0092017A"/>
    <w:rsid w:val="009213C3"/>
    <w:rsid w:val="00921559"/>
    <w:rsid w:val="00921828"/>
    <w:rsid w:val="0092194C"/>
    <w:rsid w:val="00921B13"/>
    <w:rsid w:val="00922CDD"/>
    <w:rsid w:val="009230C6"/>
    <w:rsid w:val="009230ED"/>
    <w:rsid w:val="00923651"/>
    <w:rsid w:val="009237E0"/>
    <w:rsid w:val="00923BD9"/>
    <w:rsid w:val="00924AD5"/>
    <w:rsid w:val="00925722"/>
    <w:rsid w:val="00925DCE"/>
    <w:rsid w:val="00926AFB"/>
    <w:rsid w:val="00930276"/>
    <w:rsid w:val="00930455"/>
    <w:rsid w:val="0093063C"/>
    <w:rsid w:val="00930F02"/>
    <w:rsid w:val="00931502"/>
    <w:rsid w:val="0093168B"/>
    <w:rsid w:val="00932D0F"/>
    <w:rsid w:val="00933CAA"/>
    <w:rsid w:val="0093426D"/>
    <w:rsid w:val="00934756"/>
    <w:rsid w:val="009353A4"/>
    <w:rsid w:val="00935A3C"/>
    <w:rsid w:val="00936844"/>
    <w:rsid w:val="009368D3"/>
    <w:rsid w:val="009370E8"/>
    <w:rsid w:val="0094132B"/>
    <w:rsid w:val="009422AF"/>
    <w:rsid w:val="00942449"/>
    <w:rsid w:val="00942C8F"/>
    <w:rsid w:val="00942D36"/>
    <w:rsid w:val="00943187"/>
    <w:rsid w:val="00943288"/>
    <w:rsid w:val="00943B0E"/>
    <w:rsid w:val="00944617"/>
    <w:rsid w:val="00945543"/>
    <w:rsid w:val="00947800"/>
    <w:rsid w:val="0095065D"/>
    <w:rsid w:val="00950D26"/>
    <w:rsid w:val="00952217"/>
    <w:rsid w:val="0095284E"/>
    <w:rsid w:val="0095339A"/>
    <w:rsid w:val="00953409"/>
    <w:rsid w:val="00953BC1"/>
    <w:rsid w:val="00955731"/>
    <w:rsid w:val="00956A0C"/>
    <w:rsid w:val="00956A55"/>
    <w:rsid w:val="00956DCB"/>
    <w:rsid w:val="00957B23"/>
    <w:rsid w:val="009600EF"/>
    <w:rsid w:val="0096022D"/>
    <w:rsid w:val="00961252"/>
    <w:rsid w:val="00962657"/>
    <w:rsid w:val="009633B1"/>
    <w:rsid w:val="009634E1"/>
    <w:rsid w:val="00966199"/>
    <w:rsid w:val="009672E9"/>
    <w:rsid w:val="00970244"/>
    <w:rsid w:val="00970682"/>
    <w:rsid w:val="00970B61"/>
    <w:rsid w:val="009714B4"/>
    <w:rsid w:val="00971840"/>
    <w:rsid w:val="0097280C"/>
    <w:rsid w:val="00972979"/>
    <w:rsid w:val="0097339E"/>
    <w:rsid w:val="0097354A"/>
    <w:rsid w:val="0097424C"/>
    <w:rsid w:val="00975712"/>
    <w:rsid w:val="009758E9"/>
    <w:rsid w:val="00976710"/>
    <w:rsid w:val="00976982"/>
    <w:rsid w:val="00976B21"/>
    <w:rsid w:val="009772B7"/>
    <w:rsid w:val="00977C02"/>
    <w:rsid w:val="00980254"/>
    <w:rsid w:val="00980656"/>
    <w:rsid w:val="00980FA1"/>
    <w:rsid w:val="009811D0"/>
    <w:rsid w:val="009816B8"/>
    <w:rsid w:val="009818D4"/>
    <w:rsid w:val="00982527"/>
    <w:rsid w:val="00982C35"/>
    <w:rsid w:val="00983B82"/>
    <w:rsid w:val="00984EE3"/>
    <w:rsid w:val="009857A4"/>
    <w:rsid w:val="00985D29"/>
    <w:rsid w:val="00985D98"/>
    <w:rsid w:val="0098645F"/>
    <w:rsid w:val="009868D7"/>
    <w:rsid w:val="00987158"/>
    <w:rsid w:val="009872D5"/>
    <w:rsid w:val="0099070D"/>
    <w:rsid w:val="0099142F"/>
    <w:rsid w:val="00991977"/>
    <w:rsid w:val="009919C1"/>
    <w:rsid w:val="00992248"/>
    <w:rsid w:val="009953E0"/>
    <w:rsid w:val="0099642E"/>
    <w:rsid w:val="0099719F"/>
    <w:rsid w:val="009976F7"/>
    <w:rsid w:val="009A016A"/>
    <w:rsid w:val="009A0478"/>
    <w:rsid w:val="009A0528"/>
    <w:rsid w:val="009A0E2C"/>
    <w:rsid w:val="009A39D8"/>
    <w:rsid w:val="009A5BB3"/>
    <w:rsid w:val="009A601B"/>
    <w:rsid w:val="009A6325"/>
    <w:rsid w:val="009A73D4"/>
    <w:rsid w:val="009B1CE0"/>
    <w:rsid w:val="009B1D10"/>
    <w:rsid w:val="009B20A4"/>
    <w:rsid w:val="009B22E5"/>
    <w:rsid w:val="009B3464"/>
    <w:rsid w:val="009B36A2"/>
    <w:rsid w:val="009B40DC"/>
    <w:rsid w:val="009B44B5"/>
    <w:rsid w:val="009B5E79"/>
    <w:rsid w:val="009B6107"/>
    <w:rsid w:val="009B7C7A"/>
    <w:rsid w:val="009C01A7"/>
    <w:rsid w:val="009C090C"/>
    <w:rsid w:val="009C0AEB"/>
    <w:rsid w:val="009C1189"/>
    <w:rsid w:val="009C11DF"/>
    <w:rsid w:val="009C1800"/>
    <w:rsid w:val="009C1AD9"/>
    <w:rsid w:val="009C2106"/>
    <w:rsid w:val="009C2F24"/>
    <w:rsid w:val="009C37BB"/>
    <w:rsid w:val="009C4817"/>
    <w:rsid w:val="009C6F5F"/>
    <w:rsid w:val="009C76B0"/>
    <w:rsid w:val="009C7B5B"/>
    <w:rsid w:val="009D02B5"/>
    <w:rsid w:val="009D0A43"/>
    <w:rsid w:val="009D0DA2"/>
    <w:rsid w:val="009D1E6E"/>
    <w:rsid w:val="009D2C33"/>
    <w:rsid w:val="009D2C99"/>
    <w:rsid w:val="009D341E"/>
    <w:rsid w:val="009D3AD5"/>
    <w:rsid w:val="009D427D"/>
    <w:rsid w:val="009D44A0"/>
    <w:rsid w:val="009D5A8D"/>
    <w:rsid w:val="009D5F4B"/>
    <w:rsid w:val="009E0B0A"/>
    <w:rsid w:val="009E0E6A"/>
    <w:rsid w:val="009E239E"/>
    <w:rsid w:val="009E365B"/>
    <w:rsid w:val="009E48E4"/>
    <w:rsid w:val="009E601A"/>
    <w:rsid w:val="009E75C6"/>
    <w:rsid w:val="009E7D72"/>
    <w:rsid w:val="009F0128"/>
    <w:rsid w:val="009F0E63"/>
    <w:rsid w:val="009F2DEC"/>
    <w:rsid w:val="009F3184"/>
    <w:rsid w:val="009F4213"/>
    <w:rsid w:val="009F4E86"/>
    <w:rsid w:val="009F4F0D"/>
    <w:rsid w:val="009F5C09"/>
    <w:rsid w:val="009F76D4"/>
    <w:rsid w:val="009F7F6F"/>
    <w:rsid w:val="00A010B4"/>
    <w:rsid w:val="00A02101"/>
    <w:rsid w:val="00A026D6"/>
    <w:rsid w:val="00A02B11"/>
    <w:rsid w:val="00A02B93"/>
    <w:rsid w:val="00A02BA2"/>
    <w:rsid w:val="00A02C8E"/>
    <w:rsid w:val="00A035D3"/>
    <w:rsid w:val="00A039B5"/>
    <w:rsid w:val="00A03AE3"/>
    <w:rsid w:val="00A03D75"/>
    <w:rsid w:val="00A046A3"/>
    <w:rsid w:val="00A0471A"/>
    <w:rsid w:val="00A05FE4"/>
    <w:rsid w:val="00A107CE"/>
    <w:rsid w:val="00A1151B"/>
    <w:rsid w:val="00A119DD"/>
    <w:rsid w:val="00A1241A"/>
    <w:rsid w:val="00A12C67"/>
    <w:rsid w:val="00A12F66"/>
    <w:rsid w:val="00A13164"/>
    <w:rsid w:val="00A135AD"/>
    <w:rsid w:val="00A14303"/>
    <w:rsid w:val="00A151E1"/>
    <w:rsid w:val="00A16B17"/>
    <w:rsid w:val="00A16FAA"/>
    <w:rsid w:val="00A17AE3"/>
    <w:rsid w:val="00A20CCE"/>
    <w:rsid w:val="00A212F7"/>
    <w:rsid w:val="00A21DEB"/>
    <w:rsid w:val="00A22B47"/>
    <w:rsid w:val="00A22C6D"/>
    <w:rsid w:val="00A231F3"/>
    <w:rsid w:val="00A235C8"/>
    <w:rsid w:val="00A23D0E"/>
    <w:rsid w:val="00A24A7D"/>
    <w:rsid w:val="00A26700"/>
    <w:rsid w:val="00A27109"/>
    <w:rsid w:val="00A27991"/>
    <w:rsid w:val="00A30764"/>
    <w:rsid w:val="00A30A83"/>
    <w:rsid w:val="00A3425B"/>
    <w:rsid w:val="00A34276"/>
    <w:rsid w:val="00A3478C"/>
    <w:rsid w:val="00A34809"/>
    <w:rsid w:val="00A35298"/>
    <w:rsid w:val="00A35746"/>
    <w:rsid w:val="00A3581A"/>
    <w:rsid w:val="00A36CE0"/>
    <w:rsid w:val="00A37DFD"/>
    <w:rsid w:val="00A410B1"/>
    <w:rsid w:val="00A412BE"/>
    <w:rsid w:val="00A42A75"/>
    <w:rsid w:val="00A43020"/>
    <w:rsid w:val="00A43962"/>
    <w:rsid w:val="00A439C5"/>
    <w:rsid w:val="00A44A2C"/>
    <w:rsid w:val="00A44E4A"/>
    <w:rsid w:val="00A456C3"/>
    <w:rsid w:val="00A457B8"/>
    <w:rsid w:val="00A46DFB"/>
    <w:rsid w:val="00A4744F"/>
    <w:rsid w:val="00A50954"/>
    <w:rsid w:val="00A50A80"/>
    <w:rsid w:val="00A51169"/>
    <w:rsid w:val="00A54494"/>
    <w:rsid w:val="00A55000"/>
    <w:rsid w:val="00A55524"/>
    <w:rsid w:val="00A55577"/>
    <w:rsid w:val="00A5644D"/>
    <w:rsid w:val="00A564F7"/>
    <w:rsid w:val="00A57005"/>
    <w:rsid w:val="00A5727F"/>
    <w:rsid w:val="00A5750F"/>
    <w:rsid w:val="00A60078"/>
    <w:rsid w:val="00A61F1A"/>
    <w:rsid w:val="00A6207D"/>
    <w:rsid w:val="00A6222E"/>
    <w:rsid w:val="00A623EB"/>
    <w:rsid w:val="00A6408D"/>
    <w:rsid w:val="00A645C6"/>
    <w:rsid w:val="00A64DCE"/>
    <w:rsid w:val="00A6681F"/>
    <w:rsid w:val="00A6683C"/>
    <w:rsid w:val="00A66F46"/>
    <w:rsid w:val="00A67875"/>
    <w:rsid w:val="00A67A05"/>
    <w:rsid w:val="00A67C96"/>
    <w:rsid w:val="00A711FA"/>
    <w:rsid w:val="00A7173D"/>
    <w:rsid w:val="00A72416"/>
    <w:rsid w:val="00A73982"/>
    <w:rsid w:val="00A73A8A"/>
    <w:rsid w:val="00A7480B"/>
    <w:rsid w:val="00A758AA"/>
    <w:rsid w:val="00A760B2"/>
    <w:rsid w:val="00A76231"/>
    <w:rsid w:val="00A767DE"/>
    <w:rsid w:val="00A76A1A"/>
    <w:rsid w:val="00A76D20"/>
    <w:rsid w:val="00A76F01"/>
    <w:rsid w:val="00A774A0"/>
    <w:rsid w:val="00A776D5"/>
    <w:rsid w:val="00A8046A"/>
    <w:rsid w:val="00A805E0"/>
    <w:rsid w:val="00A80681"/>
    <w:rsid w:val="00A808EE"/>
    <w:rsid w:val="00A815A4"/>
    <w:rsid w:val="00A81CC6"/>
    <w:rsid w:val="00A81D3F"/>
    <w:rsid w:val="00A82251"/>
    <w:rsid w:val="00A8243A"/>
    <w:rsid w:val="00A82C89"/>
    <w:rsid w:val="00A830EC"/>
    <w:rsid w:val="00A84325"/>
    <w:rsid w:val="00A84749"/>
    <w:rsid w:val="00A852D7"/>
    <w:rsid w:val="00A8599D"/>
    <w:rsid w:val="00A85AAC"/>
    <w:rsid w:val="00A86AD6"/>
    <w:rsid w:val="00A87467"/>
    <w:rsid w:val="00A9147E"/>
    <w:rsid w:val="00A93A61"/>
    <w:rsid w:val="00A93EBB"/>
    <w:rsid w:val="00A94BEA"/>
    <w:rsid w:val="00A95312"/>
    <w:rsid w:val="00A9627C"/>
    <w:rsid w:val="00A96E67"/>
    <w:rsid w:val="00A97FF2"/>
    <w:rsid w:val="00AA0328"/>
    <w:rsid w:val="00AA212A"/>
    <w:rsid w:val="00AA2926"/>
    <w:rsid w:val="00AA29EB"/>
    <w:rsid w:val="00AA3012"/>
    <w:rsid w:val="00AA3189"/>
    <w:rsid w:val="00AA48B6"/>
    <w:rsid w:val="00AA51A7"/>
    <w:rsid w:val="00AA62DA"/>
    <w:rsid w:val="00AA6876"/>
    <w:rsid w:val="00AB02CD"/>
    <w:rsid w:val="00AB037E"/>
    <w:rsid w:val="00AB4D0C"/>
    <w:rsid w:val="00AB5AE8"/>
    <w:rsid w:val="00AB6033"/>
    <w:rsid w:val="00AB62C9"/>
    <w:rsid w:val="00AB7383"/>
    <w:rsid w:val="00AB73F3"/>
    <w:rsid w:val="00AB7513"/>
    <w:rsid w:val="00AB7542"/>
    <w:rsid w:val="00AB7678"/>
    <w:rsid w:val="00AC0991"/>
    <w:rsid w:val="00AC0DFF"/>
    <w:rsid w:val="00AC28A3"/>
    <w:rsid w:val="00AC304E"/>
    <w:rsid w:val="00AC4352"/>
    <w:rsid w:val="00AC4C8B"/>
    <w:rsid w:val="00AC696E"/>
    <w:rsid w:val="00AC6A57"/>
    <w:rsid w:val="00AC6AC8"/>
    <w:rsid w:val="00AC6B8B"/>
    <w:rsid w:val="00AC71AF"/>
    <w:rsid w:val="00AD049F"/>
    <w:rsid w:val="00AD0E62"/>
    <w:rsid w:val="00AD1E84"/>
    <w:rsid w:val="00AD3FD4"/>
    <w:rsid w:val="00AD4EC0"/>
    <w:rsid w:val="00AD5DC1"/>
    <w:rsid w:val="00AD6397"/>
    <w:rsid w:val="00AD7406"/>
    <w:rsid w:val="00AD7B53"/>
    <w:rsid w:val="00AD7CDE"/>
    <w:rsid w:val="00AE03CE"/>
    <w:rsid w:val="00AE0CEC"/>
    <w:rsid w:val="00AE1BE8"/>
    <w:rsid w:val="00AE247E"/>
    <w:rsid w:val="00AE2712"/>
    <w:rsid w:val="00AE27A5"/>
    <w:rsid w:val="00AE3194"/>
    <w:rsid w:val="00AE3514"/>
    <w:rsid w:val="00AE47C5"/>
    <w:rsid w:val="00AE4C6C"/>
    <w:rsid w:val="00AE58D0"/>
    <w:rsid w:val="00AE5C1B"/>
    <w:rsid w:val="00AE7191"/>
    <w:rsid w:val="00AE73F5"/>
    <w:rsid w:val="00AE762A"/>
    <w:rsid w:val="00AE7CE7"/>
    <w:rsid w:val="00AE7F2D"/>
    <w:rsid w:val="00AF0796"/>
    <w:rsid w:val="00AF1B81"/>
    <w:rsid w:val="00AF1F29"/>
    <w:rsid w:val="00AF25A7"/>
    <w:rsid w:val="00AF3F14"/>
    <w:rsid w:val="00AF40B6"/>
    <w:rsid w:val="00AF4374"/>
    <w:rsid w:val="00AF49D8"/>
    <w:rsid w:val="00AF4CA4"/>
    <w:rsid w:val="00AF4D46"/>
    <w:rsid w:val="00AF5B46"/>
    <w:rsid w:val="00AF605F"/>
    <w:rsid w:val="00AF655E"/>
    <w:rsid w:val="00AF6865"/>
    <w:rsid w:val="00AF68F8"/>
    <w:rsid w:val="00AF70C9"/>
    <w:rsid w:val="00AF7F45"/>
    <w:rsid w:val="00B000A5"/>
    <w:rsid w:val="00B0041C"/>
    <w:rsid w:val="00B01537"/>
    <w:rsid w:val="00B019C6"/>
    <w:rsid w:val="00B01BB4"/>
    <w:rsid w:val="00B020BC"/>
    <w:rsid w:val="00B02230"/>
    <w:rsid w:val="00B0247A"/>
    <w:rsid w:val="00B0330E"/>
    <w:rsid w:val="00B03E31"/>
    <w:rsid w:val="00B057EE"/>
    <w:rsid w:val="00B05B3F"/>
    <w:rsid w:val="00B064BD"/>
    <w:rsid w:val="00B06846"/>
    <w:rsid w:val="00B06909"/>
    <w:rsid w:val="00B102A1"/>
    <w:rsid w:val="00B1050D"/>
    <w:rsid w:val="00B10708"/>
    <w:rsid w:val="00B125DE"/>
    <w:rsid w:val="00B12E94"/>
    <w:rsid w:val="00B141F4"/>
    <w:rsid w:val="00B148B0"/>
    <w:rsid w:val="00B148DC"/>
    <w:rsid w:val="00B15FA5"/>
    <w:rsid w:val="00B16302"/>
    <w:rsid w:val="00B1668E"/>
    <w:rsid w:val="00B175FB"/>
    <w:rsid w:val="00B17DC7"/>
    <w:rsid w:val="00B21076"/>
    <w:rsid w:val="00B213BE"/>
    <w:rsid w:val="00B2193A"/>
    <w:rsid w:val="00B24101"/>
    <w:rsid w:val="00B24EEF"/>
    <w:rsid w:val="00B2603F"/>
    <w:rsid w:val="00B265B1"/>
    <w:rsid w:val="00B26652"/>
    <w:rsid w:val="00B2791F"/>
    <w:rsid w:val="00B312D1"/>
    <w:rsid w:val="00B31372"/>
    <w:rsid w:val="00B32B3C"/>
    <w:rsid w:val="00B347FC"/>
    <w:rsid w:val="00B34AFC"/>
    <w:rsid w:val="00B35A02"/>
    <w:rsid w:val="00B35E3F"/>
    <w:rsid w:val="00B363BE"/>
    <w:rsid w:val="00B3649B"/>
    <w:rsid w:val="00B36718"/>
    <w:rsid w:val="00B36B4E"/>
    <w:rsid w:val="00B36B99"/>
    <w:rsid w:val="00B373D1"/>
    <w:rsid w:val="00B37470"/>
    <w:rsid w:val="00B3789A"/>
    <w:rsid w:val="00B37CB9"/>
    <w:rsid w:val="00B40167"/>
    <w:rsid w:val="00B403EA"/>
    <w:rsid w:val="00B40A31"/>
    <w:rsid w:val="00B40CE3"/>
    <w:rsid w:val="00B41035"/>
    <w:rsid w:val="00B42510"/>
    <w:rsid w:val="00B428F4"/>
    <w:rsid w:val="00B44B6D"/>
    <w:rsid w:val="00B4555A"/>
    <w:rsid w:val="00B469C3"/>
    <w:rsid w:val="00B46C53"/>
    <w:rsid w:val="00B46D10"/>
    <w:rsid w:val="00B47564"/>
    <w:rsid w:val="00B47F06"/>
    <w:rsid w:val="00B51154"/>
    <w:rsid w:val="00B5194D"/>
    <w:rsid w:val="00B5226F"/>
    <w:rsid w:val="00B52596"/>
    <w:rsid w:val="00B52675"/>
    <w:rsid w:val="00B528DE"/>
    <w:rsid w:val="00B538F9"/>
    <w:rsid w:val="00B54633"/>
    <w:rsid w:val="00B54D7C"/>
    <w:rsid w:val="00B55DF7"/>
    <w:rsid w:val="00B567A9"/>
    <w:rsid w:val="00B56E1E"/>
    <w:rsid w:val="00B56F3C"/>
    <w:rsid w:val="00B57F77"/>
    <w:rsid w:val="00B60338"/>
    <w:rsid w:val="00B6045D"/>
    <w:rsid w:val="00B60F55"/>
    <w:rsid w:val="00B611B9"/>
    <w:rsid w:val="00B6246E"/>
    <w:rsid w:val="00B62930"/>
    <w:rsid w:val="00B629C4"/>
    <w:rsid w:val="00B62C6E"/>
    <w:rsid w:val="00B62CCB"/>
    <w:rsid w:val="00B63352"/>
    <w:rsid w:val="00B66038"/>
    <w:rsid w:val="00B66E03"/>
    <w:rsid w:val="00B700BF"/>
    <w:rsid w:val="00B7100F"/>
    <w:rsid w:val="00B711E2"/>
    <w:rsid w:val="00B71A8E"/>
    <w:rsid w:val="00B72AB0"/>
    <w:rsid w:val="00B732A4"/>
    <w:rsid w:val="00B733D6"/>
    <w:rsid w:val="00B740BF"/>
    <w:rsid w:val="00B75976"/>
    <w:rsid w:val="00B75FE6"/>
    <w:rsid w:val="00B7618B"/>
    <w:rsid w:val="00B76CB5"/>
    <w:rsid w:val="00B771BE"/>
    <w:rsid w:val="00B77F5E"/>
    <w:rsid w:val="00B801CF"/>
    <w:rsid w:val="00B8073A"/>
    <w:rsid w:val="00B80761"/>
    <w:rsid w:val="00B80A44"/>
    <w:rsid w:val="00B8195F"/>
    <w:rsid w:val="00B81B56"/>
    <w:rsid w:val="00B81E39"/>
    <w:rsid w:val="00B82C58"/>
    <w:rsid w:val="00B82CAB"/>
    <w:rsid w:val="00B83E34"/>
    <w:rsid w:val="00B83E8B"/>
    <w:rsid w:val="00B84930"/>
    <w:rsid w:val="00B84CCE"/>
    <w:rsid w:val="00B854E4"/>
    <w:rsid w:val="00B85FA1"/>
    <w:rsid w:val="00B8641E"/>
    <w:rsid w:val="00B90044"/>
    <w:rsid w:val="00B9049D"/>
    <w:rsid w:val="00B90856"/>
    <w:rsid w:val="00B909E6"/>
    <w:rsid w:val="00B90F3A"/>
    <w:rsid w:val="00B9180B"/>
    <w:rsid w:val="00B91AAF"/>
    <w:rsid w:val="00B92A0D"/>
    <w:rsid w:val="00B93559"/>
    <w:rsid w:val="00B93C19"/>
    <w:rsid w:val="00B93D1F"/>
    <w:rsid w:val="00B93EE7"/>
    <w:rsid w:val="00B943AE"/>
    <w:rsid w:val="00B9656F"/>
    <w:rsid w:val="00B97131"/>
    <w:rsid w:val="00B971C3"/>
    <w:rsid w:val="00B976C9"/>
    <w:rsid w:val="00B97DC8"/>
    <w:rsid w:val="00B97E3C"/>
    <w:rsid w:val="00BA06CA"/>
    <w:rsid w:val="00BA0770"/>
    <w:rsid w:val="00BA166D"/>
    <w:rsid w:val="00BA22CA"/>
    <w:rsid w:val="00BA3592"/>
    <w:rsid w:val="00BA367A"/>
    <w:rsid w:val="00BA4147"/>
    <w:rsid w:val="00BA415D"/>
    <w:rsid w:val="00BA418E"/>
    <w:rsid w:val="00BA44CB"/>
    <w:rsid w:val="00BA487E"/>
    <w:rsid w:val="00BA4FB6"/>
    <w:rsid w:val="00BA515C"/>
    <w:rsid w:val="00BA5689"/>
    <w:rsid w:val="00BA5C49"/>
    <w:rsid w:val="00BA5DFD"/>
    <w:rsid w:val="00BA5E2F"/>
    <w:rsid w:val="00BA5F3F"/>
    <w:rsid w:val="00BA7036"/>
    <w:rsid w:val="00BA7188"/>
    <w:rsid w:val="00BA73E9"/>
    <w:rsid w:val="00BA7A0E"/>
    <w:rsid w:val="00BA7D54"/>
    <w:rsid w:val="00BB080C"/>
    <w:rsid w:val="00BB09AE"/>
    <w:rsid w:val="00BB121C"/>
    <w:rsid w:val="00BB2A67"/>
    <w:rsid w:val="00BB2D12"/>
    <w:rsid w:val="00BB4081"/>
    <w:rsid w:val="00BB5C97"/>
    <w:rsid w:val="00BB5D07"/>
    <w:rsid w:val="00BB6429"/>
    <w:rsid w:val="00BB6B6F"/>
    <w:rsid w:val="00BC118C"/>
    <w:rsid w:val="00BC16CF"/>
    <w:rsid w:val="00BC256B"/>
    <w:rsid w:val="00BC29BC"/>
    <w:rsid w:val="00BC29DB"/>
    <w:rsid w:val="00BC3C3C"/>
    <w:rsid w:val="00BC5D4D"/>
    <w:rsid w:val="00BC5FB7"/>
    <w:rsid w:val="00BC634B"/>
    <w:rsid w:val="00BC63CD"/>
    <w:rsid w:val="00BC65F0"/>
    <w:rsid w:val="00BC6CA7"/>
    <w:rsid w:val="00BC6DD6"/>
    <w:rsid w:val="00BD10CD"/>
    <w:rsid w:val="00BD11EB"/>
    <w:rsid w:val="00BD13A8"/>
    <w:rsid w:val="00BD1741"/>
    <w:rsid w:val="00BD28DE"/>
    <w:rsid w:val="00BD3E81"/>
    <w:rsid w:val="00BD444E"/>
    <w:rsid w:val="00BD5151"/>
    <w:rsid w:val="00BD63D1"/>
    <w:rsid w:val="00BD660E"/>
    <w:rsid w:val="00BE0A6B"/>
    <w:rsid w:val="00BE0F55"/>
    <w:rsid w:val="00BE29C2"/>
    <w:rsid w:val="00BE39C2"/>
    <w:rsid w:val="00BE483A"/>
    <w:rsid w:val="00BE48BB"/>
    <w:rsid w:val="00BE4DD9"/>
    <w:rsid w:val="00BE6035"/>
    <w:rsid w:val="00BE61E5"/>
    <w:rsid w:val="00BE6379"/>
    <w:rsid w:val="00BE6640"/>
    <w:rsid w:val="00BE68CD"/>
    <w:rsid w:val="00BE7152"/>
    <w:rsid w:val="00BE796D"/>
    <w:rsid w:val="00BE7E5D"/>
    <w:rsid w:val="00BE7F15"/>
    <w:rsid w:val="00BF1202"/>
    <w:rsid w:val="00BF179F"/>
    <w:rsid w:val="00BF1D60"/>
    <w:rsid w:val="00BF21EC"/>
    <w:rsid w:val="00BF3AAB"/>
    <w:rsid w:val="00BF3FC4"/>
    <w:rsid w:val="00BF46D2"/>
    <w:rsid w:val="00BF4716"/>
    <w:rsid w:val="00BF4B6D"/>
    <w:rsid w:val="00BF4F9C"/>
    <w:rsid w:val="00BF5071"/>
    <w:rsid w:val="00BF53F5"/>
    <w:rsid w:val="00BF71ED"/>
    <w:rsid w:val="00BF72B7"/>
    <w:rsid w:val="00C0079D"/>
    <w:rsid w:val="00C00994"/>
    <w:rsid w:val="00C00ACE"/>
    <w:rsid w:val="00C00CF8"/>
    <w:rsid w:val="00C011FD"/>
    <w:rsid w:val="00C013CF"/>
    <w:rsid w:val="00C01E82"/>
    <w:rsid w:val="00C0231E"/>
    <w:rsid w:val="00C02555"/>
    <w:rsid w:val="00C02AB8"/>
    <w:rsid w:val="00C02B55"/>
    <w:rsid w:val="00C037DD"/>
    <w:rsid w:val="00C04085"/>
    <w:rsid w:val="00C04E40"/>
    <w:rsid w:val="00C05312"/>
    <w:rsid w:val="00C0564C"/>
    <w:rsid w:val="00C0622F"/>
    <w:rsid w:val="00C06486"/>
    <w:rsid w:val="00C06BD7"/>
    <w:rsid w:val="00C07E0C"/>
    <w:rsid w:val="00C11D65"/>
    <w:rsid w:val="00C12590"/>
    <w:rsid w:val="00C12C32"/>
    <w:rsid w:val="00C12D21"/>
    <w:rsid w:val="00C13CF4"/>
    <w:rsid w:val="00C14CA3"/>
    <w:rsid w:val="00C14FB2"/>
    <w:rsid w:val="00C1544F"/>
    <w:rsid w:val="00C15BB5"/>
    <w:rsid w:val="00C161EC"/>
    <w:rsid w:val="00C16C11"/>
    <w:rsid w:val="00C17498"/>
    <w:rsid w:val="00C2006A"/>
    <w:rsid w:val="00C213F9"/>
    <w:rsid w:val="00C216DB"/>
    <w:rsid w:val="00C21814"/>
    <w:rsid w:val="00C22FEC"/>
    <w:rsid w:val="00C23436"/>
    <w:rsid w:val="00C23717"/>
    <w:rsid w:val="00C2453D"/>
    <w:rsid w:val="00C24D0F"/>
    <w:rsid w:val="00C259B1"/>
    <w:rsid w:val="00C26216"/>
    <w:rsid w:val="00C26752"/>
    <w:rsid w:val="00C30D0E"/>
    <w:rsid w:val="00C33095"/>
    <w:rsid w:val="00C331C4"/>
    <w:rsid w:val="00C33EC7"/>
    <w:rsid w:val="00C341EE"/>
    <w:rsid w:val="00C36F7E"/>
    <w:rsid w:val="00C40F58"/>
    <w:rsid w:val="00C41AF1"/>
    <w:rsid w:val="00C42937"/>
    <w:rsid w:val="00C42E73"/>
    <w:rsid w:val="00C432ED"/>
    <w:rsid w:val="00C43903"/>
    <w:rsid w:val="00C43B58"/>
    <w:rsid w:val="00C45410"/>
    <w:rsid w:val="00C46396"/>
    <w:rsid w:val="00C46D8C"/>
    <w:rsid w:val="00C471CB"/>
    <w:rsid w:val="00C4733F"/>
    <w:rsid w:val="00C475EA"/>
    <w:rsid w:val="00C475ED"/>
    <w:rsid w:val="00C47861"/>
    <w:rsid w:val="00C5011D"/>
    <w:rsid w:val="00C50C4E"/>
    <w:rsid w:val="00C50FDE"/>
    <w:rsid w:val="00C51997"/>
    <w:rsid w:val="00C51BA6"/>
    <w:rsid w:val="00C523FE"/>
    <w:rsid w:val="00C530FC"/>
    <w:rsid w:val="00C53165"/>
    <w:rsid w:val="00C53744"/>
    <w:rsid w:val="00C54AB3"/>
    <w:rsid w:val="00C54F1B"/>
    <w:rsid w:val="00C56464"/>
    <w:rsid w:val="00C57A21"/>
    <w:rsid w:val="00C60D6F"/>
    <w:rsid w:val="00C60DD3"/>
    <w:rsid w:val="00C62544"/>
    <w:rsid w:val="00C625D6"/>
    <w:rsid w:val="00C63F6F"/>
    <w:rsid w:val="00C64362"/>
    <w:rsid w:val="00C64C82"/>
    <w:rsid w:val="00C64E72"/>
    <w:rsid w:val="00C65332"/>
    <w:rsid w:val="00C6561E"/>
    <w:rsid w:val="00C65B23"/>
    <w:rsid w:val="00C65EDA"/>
    <w:rsid w:val="00C662D0"/>
    <w:rsid w:val="00C662F4"/>
    <w:rsid w:val="00C66853"/>
    <w:rsid w:val="00C67EB9"/>
    <w:rsid w:val="00C7064B"/>
    <w:rsid w:val="00C710AE"/>
    <w:rsid w:val="00C7178C"/>
    <w:rsid w:val="00C71B38"/>
    <w:rsid w:val="00C7278B"/>
    <w:rsid w:val="00C72922"/>
    <w:rsid w:val="00C72DAD"/>
    <w:rsid w:val="00C73B61"/>
    <w:rsid w:val="00C73E23"/>
    <w:rsid w:val="00C744D2"/>
    <w:rsid w:val="00C7458D"/>
    <w:rsid w:val="00C74B37"/>
    <w:rsid w:val="00C74D2F"/>
    <w:rsid w:val="00C74E01"/>
    <w:rsid w:val="00C750CA"/>
    <w:rsid w:val="00C7571E"/>
    <w:rsid w:val="00C76B42"/>
    <w:rsid w:val="00C76DC1"/>
    <w:rsid w:val="00C77598"/>
    <w:rsid w:val="00C77B0E"/>
    <w:rsid w:val="00C80578"/>
    <w:rsid w:val="00C8091C"/>
    <w:rsid w:val="00C82430"/>
    <w:rsid w:val="00C82619"/>
    <w:rsid w:val="00C8270E"/>
    <w:rsid w:val="00C84439"/>
    <w:rsid w:val="00C84802"/>
    <w:rsid w:val="00C850B2"/>
    <w:rsid w:val="00C8585C"/>
    <w:rsid w:val="00C86A1F"/>
    <w:rsid w:val="00C86EE3"/>
    <w:rsid w:val="00C8723E"/>
    <w:rsid w:val="00C8765B"/>
    <w:rsid w:val="00C90C63"/>
    <w:rsid w:val="00C91079"/>
    <w:rsid w:val="00C91A84"/>
    <w:rsid w:val="00C91FB1"/>
    <w:rsid w:val="00C924BC"/>
    <w:rsid w:val="00C9291E"/>
    <w:rsid w:val="00C93013"/>
    <w:rsid w:val="00C93290"/>
    <w:rsid w:val="00C942F8"/>
    <w:rsid w:val="00C95F9A"/>
    <w:rsid w:val="00C9632B"/>
    <w:rsid w:val="00C96D72"/>
    <w:rsid w:val="00C976DD"/>
    <w:rsid w:val="00CA0A62"/>
    <w:rsid w:val="00CA20F0"/>
    <w:rsid w:val="00CA31F0"/>
    <w:rsid w:val="00CA3B81"/>
    <w:rsid w:val="00CA4D31"/>
    <w:rsid w:val="00CA53D1"/>
    <w:rsid w:val="00CA5F78"/>
    <w:rsid w:val="00CA7567"/>
    <w:rsid w:val="00CA7595"/>
    <w:rsid w:val="00CB05E7"/>
    <w:rsid w:val="00CB05FE"/>
    <w:rsid w:val="00CB0F31"/>
    <w:rsid w:val="00CB1135"/>
    <w:rsid w:val="00CB1357"/>
    <w:rsid w:val="00CB2259"/>
    <w:rsid w:val="00CB2608"/>
    <w:rsid w:val="00CB293E"/>
    <w:rsid w:val="00CB5E2B"/>
    <w:rsid w:val="00CB7C7A"/>
    <w:rsid w:val="00CC0105"/>
    <w:rsid w:val="00CC1BB4"/>
    <w:rsid w:val="00CC1D19"/>
    <w:rsid w:val="00CC2812"/>
    <w:rsid w:val="00CC28AD"/>
    <w:rsid w:val="00CC37F6"/>
    <w:rsid w:val="00CC3859"/>
    <w:rsid w:val="00CC529D"/>
    <w:rsid w:val="00CC5AD2"/>
    <w:rsid w:val="00CC6872"/>
    <w:rsid w:val="00CC70A2"/>
    <w:rsid w:val="00CC7A6B"/>
    <w:rsid w:val="00CD025F"/>
    <w:rsid w:val="00CD2E14"/>
    <w:rsid w:val="00CD48D2"/>
    <w:rsid w:val="00CD5167"/>
    <w:rsid w:val="00CD62F2"/>
    <w:rsid w:val="00CD6D7F"/>
    <w:rsid w:val="00CD7117"/>
    <w:rsid w:val="00CD73F4"/>
    <w:rsid w:val="00CD79E5"/>
    <w:rsid w:val="00CE0597"/>
    <w:rsid w:val="00CE0CA0"/>
    <w:rsid w:val="00CE1A4A"/>
    <w:rsid w:val="00CE2356"/>
    <w:rsid w:val="00CE3060"/>
    <w:rsid w:val="00CE37EE"/>
    <w:rsid w:val="00CE3879"/>
    <w:rsid w:val="00CE3A6F"/>
    <w:rsid w:val="00CE3C43"/>
    <w:rsid w:val="00CE40F9"/>
    <w:rsid w:val="00CE4143"/>
    <w:rsid w:val="00CE4CE7"/>
    <w:rsid w:val="00CE546B"/>
    <w:rsid w:val="00CE5516"/>
    <w:rsid w:val="00CE55CB"/>
    <w:rsid w:val="00CE646E"/>
    <w:rsid w:val="00CE7295"/>
    <w:rsid w:val="00CE7AB1"/>
    <w:rsid w:val="00CE7BA9"/>
    <w:rsid w:val="00CF0544"/>
    <w:rsid w:val="00CF0632"/>
    <w:rsid w:val="00CF0B6A"/>
    <w:rsid w:val="00CF22C6"/>
    <w:rsid w:val="00CF34C0"/>
    <w:rsid w:val="00CF3EFB"/>
    <w:rsid w:val="00CF4B40"/>
    <w:rsid w:val="00CF5A2C"/>
    <w:rsid w:val="00CF5F78"/>
    <w:rsid w:val="00D00004"/>
    <w:rsid w:val="00D003E7"/>
    <w:rsid w:val="00D012CA"/>
    <w:rsid w:val="00D01949"/>
    <w:rsid w:val="00D01D1D"/>
    <w:rsid w:val="00D022D8"/>
    <w:rsid w:val="00D0492D"/>
    <w:rsid w:val="00D04DF7"/>
    <w:rsid w:val="00D05CE7"/>
    <w:rsid w:val="00D05FD4"/>
    <w:rsid w:val="00D060B6"/>
    <w:rsid w:val="00D061E1"/>
    <w:rsid w:val="00D07101"/>
    <w:rsid w:val="00D075F3"/>
    <w:rsid w:val="00D10010"/>
    <w:rsid w:val="00D100C2"/>
    <w:rsid w:val="00D106CE"/>
    <w:rsid w:val="00D10A77"/>
    <w:rsid w:val="00D10FE4"/>
    <w:rsid w:val="00D11B50"/>
    <w:rsid w:val="00D124DD"/>
    <w:rsid w:val="00D13B11"/>
    <w:rsid w:val="00D140EF"/>
    <w:rsid w:val="00D1457B"/>
    <w:rsid w:val="00D15421"/>
    <w:rsid w:val="00D15574"/>
    <w:rsid w:val="00D1562C"/>
    <w:rsid w:val="00D15671"/>
    <w:rsid w:val="00D15BA4"/>
    <w:rsid w:val="00D15C57"/>
    <w:rsid w:val="00D15C9E"/>
    <w:rsid w:val="00D15E49"/>
    <w:rsid w:val="00D1663C"/>
    <w:rsid w:val="00D16BAF"/>
    <w:rsid w:val="00D17642"/>
    <w:rsid w:val="00D17CE7"/>
    <w:rsid w:val="00D204F5"/>
    <w:rsid w:val="00D21C4B"/>
    <w:rsid w:val="00D2279D"/>
    <w:rsid w:val="00D240A8"/>
    <w:rsid w:val="00D251CB"/>
    <w:rsid w:val="00D25730"/>
    <w:rsid w:val="00D25A80"/>
    <w:rsid w:val="00D25A8F"/>
    <w:rsid w:val="00D262B7"/>
    <w:rsid w:val="00D263AF"/>
    <w:rsid w:val="00D26818"/>
    <w:rsid w:val="00D26868"/>
    <w:rsid w:val="00D26A39"/>
    <w:rsid w:val="00D26FCF"/>
    <w:rsid w:val="00D31197"/>
    <w:rsid w:val="00D31A10"/>
    <w:rsid w:val="00D3214A"/>
    <w:rsid w:val="00D32AE5"/>
    <w:rsid w:val="00D335DB"/>
    <w:rsid w:val="00D33645"/>
    <w:rsid w:val="00D336A4"/>
    <w:rsid w:val="00D3523F"/>
    <w:rsid w:val="00D361D6"/>
    <w:rsid w:val="00D36AE1"/>
    <w:rsid w:val="00D371A5"/>
    <w:rsid w:val="00D402D9"/>
    <w:rsid w:val="00D40360"/>
    <w:rsid w:val="00D41851"/>
    <w:rsid w:val="00D4204E"/>
    <w:rsid w:val="00D42884"/>
    <w:rsid w:val="00D43082"/>
    <w:rsid w:val="00D4310C"/>
    <w:rsid w:val="00D437C5"/>
    <w:rsid w:val="00D43B13"/>
    <w:rsid w:val="00D43F32"/>
    <w:rsid w:val="00D45C2D"/>
    <w:rsid w:val="00D45FFE"/>
    <w:rsid w:val="00D46C43"/>
    <w:rsid w:val="00D47046"/>
    <w:rsid w:val="00D47193"/>
    <w:rsid w:val="00D47AC5"/>
    <w:rsid w:val="00D47E63"/>
    <w:rsid w:val="00D506CB"/>
    <w:rsid w:val="00D51D20"/>
    <w:rsid w:val="00D5391A"/>
    <w:rsid w:val="00D53BA8"/>
    <w:rsid w:val="00D5499F"/>
    <w:rsid w:val="00D55350"/>
    <w:rsid w:val="00D5590D"/>
    <w:rsid w:val="00D566AE"/>
    <w:rsid w:val="00D56A04"/>
    <w:rsid w:val="00D56D98"/>
    <w:rsid w:val="00D57892"/>
    <w:rsid w:val="00D604B6"/>
    <w:rsid w:val="00D624B6"/>
    <w:rsid w:val="00D62F7A"/>
    <w:rsid w:val="00D63B5A"/>
    <w:rsid w:val="00D647D6"/>
    <w:rsid w:val="00D64DD5"/>
    <w:rsid w:val="00D66941"/>
    <w:rsid w:val="00D66AB5"/>
    <w:rsid w:val="00D66D0A"/>
    <w:rsid w:val="00D67777"/>
    <w:rsid w:val="00D7042B"/>
    <w:rsid w:val="00D707BA"/>
    <w:rsid w:val="00D70986"/>
    <w:rsid w:val="00D70EC5"/>
    <w:rsid w:val="00D70F3A"/>
    <w:rsid w:val="00D7151D"/>
    <w:rsid w:val="00D71CE8"/>
    <w:rsid w:val="00D72107"/>
    <w:rsid w:val="00D73D1C"/>
    <w:rsid w:val="00D751A5"/>
    <w:rsid w:val="00D7566B"/>
    <w:rsid w:val="00D759BB"/>
    <w:rsid w:val="00D75C38"/>
    <w:rsid w:val="00D75DE2"/>
    <w:rsid w:val="00D76369"/>
    <w:rsid w:val="00D765CB"/>
    <w:rsid w:val="00D80B56"/>
    <w:rsid w:val="00D813B8"/>
    <w:rsid w:val="00D81B24"/>
    <w:rsid w:val="00D82832"/>
    <w:rsid w:val="00D82D2A"/>
    <w:rsid w:val="00D839CC"/>
    <w:rsid w:val="00D83F2C"/>
    <w:rsid w:val="00D84A79"/>
    <w:rsid w:val="00D84E4E"/>
    <w:rsid w:val="00D85013"/>
    <w:rsid w:val="00D8514C"/>
    <w:rsid w:val="00D85BCD"/>
    <w:rsid w:val="00D865B3"/>
    <w:rsid w:val="00D86943"/>
    <w:rsid w:val="00D8790F"/>
    <w:rsid w:val="00D87D57"/>
    <w:rsid w:val="00D909F6"/>
    <w:rsid w:val="00D91A30"/>
    <w:rsid w:val="00D91E18"/>
    <w:rsid w:val="00D921A9"/>
    <w:rsid w:val="00D93B3A"/>
    <w:rsid w:val="00D942AE"/>
    <w:rsid w:val="00D95539"/>
    <w:rsid w:val="00D97232"/>
    <w:rsid w:val="00D97A75"/>
    <w:rsid w:val="00D97BEA"/>
    <w:rsid w:val="00DA0166"/>
    <w:rsid w:val="00DA0661"/>
    <w:rsid w:val="00DA076C"/>
    <w:rsid w:val="00DA0880"/>
    <w:rsid w:val="00DA09F7"/>
    <w:rsid w:val="00DA0CFC"/>
    <w:rsid w:val="00DA1B4C"/>
    <w:rsid w:val="00DA33F7"/>
    <w:rsid w:val="00DA36E3"/>
    <w:rsid w:val="00DA4953"/>
    <w:rsid w:val="00DA5F95"/>
    <w:rsid w:val="00DA5FC7"/>
    <w:rsid w:val="00DA6643"/>
    <w:rsid w:val="00DA70F2"/>
    <w:rsid w:val="00DA71D2"/>
    <w:rsid w:val="00DA7407"/>
    <w:rsid w:val="00DA76F4"/>
    <w:rsid w:val="00DA76FC"/>
    <w:rsid w:val="00DB0765"/>
    <w:rsid w:val="00DB238B"/>
    <w:rsid w:val="00DB2B97"/>
    <w:rsid w:val="00DB43A3"/>
    <w:rsid w:val="00DB4C89"/>
    <w:rsid w:val="00DB6042"/>
    <w:rsid w:val="00DB64D5"/>
    <w:rsid w:val="00DB6927"/>
    <w:rsid w:val="00DB6FD7"/>
    <w:rsid w:val="00DB7442"/>
    <w:rsid w:val="00DC08C3"/>
    <w:rsid w:val="00DC09EB"/>
    <w:rsid w:val="00DC2404"/>
    <w:rsid w:val="00DC28D5"/>
    <w:rsid w:val="00DC31F0"/>
    <w:rsid w:val="00DC3AE9"/>
    <w:rsid w:val="00DC3C57"/>
    <w:rsid w:val="00DC4C9B"/>
    <w:rsid w:val="00DC56CD"/>
    <w:rsid w:val="00DC56E8"/>
    <w:rsid w:val="00DC61C9"/>
    <w:rsid w:val="00DC6735"/>
    <w:rsid w:val="00DC6AE4"/>
    <w:rsid w:val="00DD001B"/>
    <w:rsid w:val="00DD0392"/>
    <w:rsid w:val="00DD0999"/>
    <w:rsid w:val="00DD0A5F"/>
    <w:rsid w:val="00DD1A8D"/>
    <w:rsid w:val="00DD1B6A"/>
    <w:rsid w:val="00DD21E9"/>
    <w:rsid w:val="00DD2C8F"/>
    <w:rsid w:val="00DD2DA8"/>
    <w:rsid w:val="00DD4A2B"/>
    <w:rsid w:val="00DD5FED"/>
    <w:rsid w:val="00DD65FF"/>
    <w:rsid w:val="00DD6CCC"/>
    <w:rsid w:val="00DD7183"/>
    <w:rsid w:val="00DD763A"/>
    <w:rsid w:val="00DD7D0E"/>
    <w:rsid w:val="00DE0695"/>
    <w:rsid w:val="00DE0E51"/>
    <w:rsid w:val="00DE3617"/>
    <w:rsid w:val="00DE3865"/>
    <w:rsid w:val="00DE397F"/>
    <w:rsid w:val="00DE5C45"/>
    <w:rsid w:val="00DE6373"/>
    <w:rsid w:val="00DE640A"/>
    <w:rsid w:val="00DE659C"/>
    <w:rsid w:val="00DE6CDC"/>
    <w:rsid w:val="00DE6E0F"/>
    <w:rsid w:val="00DE7486"/>
    <w:rsid w:val="00DE76AF"/>
    <w:rsid w:val="00DF127D"/>
    <w:rsid w:val="00DF1C06"/>
    <w:rsid w:val="00DF2EB2"/>
    <w:rsid w:val="00DF2EBE"/>
    <w:rsid w:val="00DF398F"/>
    <w:rsid w:val="00DF3A14"/>
    <w:rsid w:val="00DF49E7"/>
    <w:rsid w:val="00DF4D07"/>
    <w:rsid w:val="00DF5409"/>
    <w:rsid w:val="00DF5720"/>
    <w:rsid w:val="00DF5722"/>
    <w:rsid w:val="00DF5ED4"/>
    <w:rsid w:val="00DF61B7"/>
    <w:rsid w:val="00DF7B03"/>
    <w:rsid w:val="00E005EF"/>
    <w:rsid w:val="00E014A6"/>
    <w:rsid w:val="00E02ED9"/>
    <w:rsid w:val="00E032A8"/>
    <w:rsid w:val="00E038BF"/>
    <w:rsid w:val="00E03D23"/>
    <w:rsid w:val="00E0439A"/>
    <w:rsid w:val="00E05B02"/>
    <w:rsid w:val="00E05C22"/>
    <w:rsid w:val="00E06341"/>
    <w:rsid w:val="00E06DFB"/>
    <w:rsid w:val="00E071D1"/>
    <w:rsid w:val="00E07376"/>
    <w:rsid w:val="00E076AE"/>
    <w:rsid w:val="00E1049C"/>
    <w:rsid w:val="00E117C5"/>
    <w:rsid w:val="00E11B4F"/>
    <w:rsid w:val="00E12027"/>
    <w:rsid w:val="00E130EC"/>
    <w:rsid w:val="00E13C2B"/>
    <w:rsid w:val="00E14049"/>
    <w:rsid w:val="00E140E0"/>
    <w:rsid w:val="00E14BE2"/>
    <w:rsid w:val="00E157F8"/>
    <w:rsid w:val="00E15FC1"/>
    <w:rsid w:val="00E1634D"/>
    <w:rsid w:val="00E16CCB"/>
    <w:rsid w:val="00E17492"/>
    <w:rsid w:val="00E1789B"/>
    <w:rsid w:val="00E200EB"/>
    <w:rsid w:val="00E20104"/>
    <w:rsid w:val="00E2056C"/>
    <w:rsid w:val="00E21837"/>
    <w:rsid w:val="00E228B6"/>
    <w:rsid w:val="00E22918"/>
    <w:rsid w:val="00E231B8"/>
    <w:rsid w:val="00E23C1D"/>
    <w:rsid w:val="00E23F92"/>
    <w:rsid w:val="00E23FBD"/>
    <w:rsid w:val="00E244AC"/>
    <w:rsid w:val="00E24567"/>
    <w:rsid w:val="00E25087"/>
    <w:rsid w:val="00E25189"/>
    <w:rsid w:val="00E26967"/>
    <w:rsid w:val="00E26B95"/>
    <w:rsid w:val="00E26E8C"/>
    <w:rsid w:val="00E27640"/>
    <w:rsid w:val="00E27B39"/>
    <w:rsid w:val="00E33066"/>
    <w:rsid w:val="00E333F3"/>
    <w:rsid w:val="00E33BC0"/>
    <w:rsid w:val="00E3555B"/>
    <w:rsid w:val="00E35887"/>
    <w:rsid w:val="00E362CF"/>
    <w:rsid w:val="00E36C1D"/>
    <w:rsid w:val="00E36DE5"/>
    <w:rsid w:val="00E37036"/>
    <w:rsid w:val="00E370DA"/>
    <w:rsid w:val="00E37FBB"/>
    <w:rsid w:val="00E40FEC"/>
    <w:rsid w:val="00E413C2"/>
    <w:rsid w:val="00E41806"/>
    <w:rsid w:val="00E450B9"/>
    <w:rsid w:val="00E45B4A"/>
    <w:rsid w:val="00E4669E"/>
    <w:rsid w:val="00E47188"/>
    <w:rsid w:val="00E475FA"/>
    <w:rsid w:val="00E47A2D"/>
    <w:rsid w:val="00E47F48"/>
    <w:rsid w:val="00E51FB1"/>
    <w:rsid w:val="00E52121"/>
    <w:rsid w:val="00E52E48"/>
    <w:rsid w:val="00E53BDD"/>
    <w:rsid w:val="00E54244"/>
    <w:rsid w:val="00E54ABF"/>
    <w:rsid w:val="00E54EF6"/>
    <w:rsid w:val="00E55EB7"/>
    <w:rsid w:val="00E56045"/>
    <w:rsid w:val="00E567E8"/>
    <w:rsid w:val="00E56E83"/>
    <w:rsid w:val="00E57FD5"/>
    <w:rsid w:val="00E60B26"/>
    <w:rsid w:val="00E60F17"/>
    <w:rsid w:val="00E60F7B"/>
    <w:rsid w:val="00E623CD"/>
    <w:rsid w:val="00E6255E"/>
    <w:rsid w:val="00E62BD2"/>
    <w:rsid w:val="00E63712"/>
    <w:rsid w:val="00E63B7D"/>
    <w:rsid w:val="00E63EEA"/>
    <w:rsid w:val="00E64014"/>
    <w:rsid w:val="00E64A98"/>
    <w:rsid w:val="00E6599B"/>
    <w:rsid w:val="00E66233"/>
    <w:rsid w:val="00E67005"/>
    <w:rsid w:val="00E67420"/>
    <w:rsid w:val="00E71477"/>
    <w:rsid w:val="00E7285F"/>
    <w:rsid w:val="00E72937"/>
    <w:rsid w:val="00E72FD1"/>
    <w:rsid w:val="00E73B28"/>
    <w:rsid w:val="00E73F08"/>
    <w:rsid w:val="00E74DC7"/>
    <w:rsid w:val="00E75302"/>
    <w:rsid w:val="00E75ECA"/>
    <w:rsid w:val="00E76086"/>
    <w:rsid w:val="00E76163"/>
    <w:rsid w:val="00E76F4B"/>
    <w:rsid w:val="00E77491"/>
    <w:rsid w:val="00E77BE2"/>
    <w:rsid w:val="00E80346"/>
    <w:rsid w:val="00E813BA"/>
    <w:rsid w:val="00E813F2"/>
    <w:rsid w:val="00E81B5A"/>
    <w:rsid w:val="00E836C9"/>
    <w:rsid w:val="00E83AC7"/>
    <w:rsid w:val="00E83E35"/>
    <w:rsid w:val="00E8419E"/>
    <w:rsid w:val="00E84EFD"/>
    <w:rsid w:val="00E85224"/>
    <w:rsid w:val="00E85D05"/>
    <w:rsid w:val="00E8710C"/>
    <w:rsid w:val="00E87547"/>
    <w:rsid w:val="00E87B66"/>
    <w:rsid w:val="00E908D4"/>
    <w:rsid w:val="00E90B07"/>
    <w:rsid w:val="00E90F63"/>
    <w:rsid w:val="00E91AFF"/>
    <w:rsid w:val="00E920E8"/>
    <w:rsid w:val="00E9227A"/>
    <w:rsid w:val="00E9457B"/>
    <w:rsid w:val="00E956A1"/>
    <w:rsid w:val="00E95BB6"/>
    <w:rsid w:val="00E96457"/>
    <w:rsid w:val="00E96685"/>
    <w:rsid w:val="00E97059"/>
    <w:rsid w:val="00E9735B"/>
    <w:rsid w:val="00EA0301"/>
    <w:rsid w:val="00EA0311"/>
    <w:rsid w:val="00EA0E69"/>
    <w:rsid w:val="00EA1199"/>
    <w:rsid w:val="00EA2083"/>
    <w:rsid w:val="00EA2988"/>
    <w:rsid w:val="00EA34A6"/>
    <w:rsid w:val="00EA4429"/>
    <w:rsid w:val="00EA46F7"/>
    <w:rsid w:val="00EA493E"/>
    <w:rsid w:val="00EA4C09"/>
    <w:rsid w:val="00EA4C73"/>
    <w:rsid w:val="00EA54F0"/>
    <w:rsid w:val="00EA5688"/>
    <w:rsid w:val="00EA59D4"/>
    <w:rsid w:val="00EA6C43"/>
    <w:rsid w:val="00EA7D29"/>
    <w:rsid w:val="00EB0F00"/>
    <w:rsid w:val="00EB15D3"/>
    <w:rsid w:val="00EB176C"/>
    <w:rsid w:val="00EB3513"/>
    <w:rsid w:val="00EB4C8C"/>
    <w:rsid w:val="00EB4ED3"/>
    <w:rsid w:val="00EB547D"/>
    <w:rsid w:val="00EB5E92"/>
    <w:rsid w:val="00EB66F5"/>
    <w:rsid w:val="00EC0037"/>
    <w:rsid w:val="00EC015C"/>
    <w:rsid w:val="00EC018B"/>
    <w:rsid w:val="00EC0909"/>
    <w:rsid w:val="00EC0E6E"/>
    <w:rsid w:val="00EC0FBE"/>
    <w:rsid w:val="00EC20A4"/>
    <w:rsid w:val="00EC240C"/>
    <w:rsid w:val="00EC2C53"/>
    <w:rsid w:val="00EC4EBE"/>
    <w:rsid w:val="00EC5A30"/>
    <w:rsid w:val="00EC5C25"/>
    <w:rsid w:val="00EC5C8B"/>
    <w:rsid w:val="00EC63AE"/>
    <w:rsid w:val="00EC671F"/>
    <w:rsid w:val="00EC6908"/>
    <w:rsid w:val="00ED0063"/>
    <w:rsid w:val="00ED0716"/>
    <w:rsid w:val="00ED0EBA"/>
    <w:rsid w:val="00ED129E"/>
    <w:rsid w:val="00ED1A5E"/>
    <w:rsid w:val="00ED25EA"/>
    <w:rsid w:val="00ED2741"/>
    <w:rsid w:val="00ED2915"/>
    <w:rsid w:val="00ED2A3B"/>
    <w:rsid w:val="00ED4655"/>
    <w:rsid w:val="00ED5139"/>
    <w:rsid w:val="00ED5349"/>
    <w:rsid w:val="00ED75F0"/>
    <w:rsid w:val="00ED7AA0"/>
    <w:rsid w:val="00EE09DE"/>
    <w:rsid w:val="00EE2971"/>
    <w:rsid w:val="00EE3078"/>
    <w:rsid w:val="00EE34DA"/>
    <w:rsid w:val="00EE4118"/>
    <w:rsid w:val="00EE4DD0"/>
    <w:rsid w:val="00EE4DF7"/>
    <w:rsid w:val="00EE5677"/>
    <w:rsid w:val="00EE5B8F"/>
    <w:rsid w:val="00EE6250"/>
    <w:rsid w:val="00EE678B"/>
    <w:rsid w:val="00EE6AAF"/>
    <w:rsid w:val="00EF01F3"/>
    <w:rsid w:val="00EF02D3"/>
    <w:rsid w:val="00EF04C5"/>
    <w:rsid w:val="00EF0656"/>
    <w:rsid w:val="00EF0E88"/>
    <w:rsid w:val="00EF18E6"/>
    <w:rsid w:val="00EF19E4"/>
    <w:rsid w:val="00EF1D73"/>
    <w:rsid w:val="00EF2477"/>
    <w:rsid w:val="00EF2AF3"/>
    <w:rsid w:val="00EF4D0C"/>
    <w:rsid w:val="00EF564B"/>
    <w:rsid w:val="00EF5D91"/>
    <w:rsid w:val="00EF60D9"/>
    <w:rsid w:val="00EF650C"/>
    <w:rsid w:val="00EF6682"/>
    <w:rsid w:val="00EF6BBB"/>
    <w:rsid w:val="00EF7D84"/>
    <w:rsid w:val="00F01275"/>
    <w:rsid w:val="00F01562"/>
    <w:rsid w:val="00F01891"/>
    <w:rsid w:val="00F028A8"/>
    <w:rsid w:val="00F02E75"/>
    <w:rsid w:val="00F0343E"/>
    <w:rsid w:val="00F03B34"/>
    <w:rsid w:val="00F0436A"/>
    <w:rsid w:val="00F052B3"/>
    <w:rsid w:val="00F05DAD"/>
    <w:rsid w:val="00F05F8D"/>
    <w:rsid w:val="00F06EE2"/>
    <w:rsid w:val="00F071C0"/>
    <w:rsid w:val="00F0783C"/>
    <w:rsid w:val="00F07995"/>
    <w:rsid w:val="00F105E9"/>
    <w:rsid w:val="00F11D03"/>
    <w:rsid w:val="00F13B38"/>
    <w:rsid w:val="00F14F28"/>
    <w:rsid w:val="00F15515"/>
    <w:rsid w:val="00F16723"/>
    <w:rsid w:val="00F170F4"/>
    <w:rsid w:val="00F202E9"/>
    <w:rsid w:val="00F2074C"/>
    <w:rsid w:val="00F214A1"/>
    <w:rsid w:val="00F21B99"/>
    <w:rsid w:val="00F23024"/>
    <w:rsid w:val="00F230FA"/>
    <w:rsid w:val="00F23405"/>
    <w:rsid w:val="00F239B6"/>
    <w:rsid w:val="00F265A1"/>
    <w:rsid w:val="00F30835"/>
    <w:rsid w:val="00F30851"/>
    <w:rsid w:val="00F30F87"/>
    <w:rsid w:val="00F31DC8"/>
    <w:rsid w:val="00F322B6"/>
    <w:rsid w:val="00F32FB8"/>
    <w:rsid w:val="00F33723"/>
    <w:rsid w:val="00F33F15"/>
    <w:rsid w:val="00F34BF5"/>
    <w:rsid w:val="00F35A02"/>
    <w:rsid w:val="00F35FB4"/>
    <w:rsid w:val="00F3630C"/>
    <w:rsid w:val="00F3724B"/>
    <w:rsid w:val="00F376B2"/>
    <w:rsid w:val="00F42BD3"/>
    <w:rsid w:val="00F42C87"/>
    <w:rsid w:val="00F430ED"/>
    <w:rsid w:val="00F43AD6"/>
    <w:rsid w:val="00F43DA7"/>
    <w:rsid w:val="00F45011"/>
    <w:rsid w:val="00F453D6"/>
    <w:rsid w:val="00F45CF1"/>
    <w:rsid w:val="00F460F2"/>
    <w:rsid w:val="00F46A13"/>
    <w:rsid w:val="00F46B7C"/>
    <w:rsid w:val="00F4751C"/>
    <w:rsid w:val="00F475F1"/>
    <w:rsid w:val="00F47809"/>
    <w:rsid w:val="00F50354"/>
    <w:rsid w:val="00F521F9"/>
    <w:rsid w:val="00F52682"/>
    <w:rsid w:val="00F5296F"/>
    <w:rsid w:val="00F52D0F"/>
    <w:rsid w:val="00F53DDD"/>
    <w:rsid w:val="00F53F8C"/>
    <w:rsid w:val="00F54146"/>
    <w:rsid w:val="00F54D31"/>
    <w:rsid w:val="00F54FDD"/>
    <w:rsid w:val="00F55521"/>
    <w:rsid w:val="00F564F4"/>
    <w:rsid w:val="00F6015B"/>
    <w:rsid w:val="00F6027F"/>
    <w:rsid w:val="00F6177A"/>
    <w:rsid w:val="00F620A8"/>
    <w:rsid w:val="00F62796"/>
    <w:rsid w:val="00F6281C"/>
    <w:rsid w:val="00F62B79"/>
    <w:rsid w:val="00F62CC5"/>
    <w:rsid w:val="00F63910"/>
    <w:rsid w:val="00F63DBE"/>
    <w:rsid w:val="00F640D0"/>
    <w:rsid w:val="00F64895"/>
    <w:rsid w:val="00F65273"/>
    <w:rsid w:val="00F66781"/>
    <w:rsid w:val="00F6702F"/>
    <w:rsid w:val="00F674B4"/>
    <w:rsid w:val="00F67899"/>
    <w:rsid w:val="00F70D3C"/>
    <w:rsid w:val="00F70F40"/>
    <w:rsid w:val="00F71069"/>
    <w:rsid w:val="00F71D32"/>
    <w:rsid w:val="00F7273C"/>
    <w:rsid w:val="00F728FA"/>
    <w:rsid w:val="00F731FF"/>
    <w:rsid w:val="00F7356A"/>
    <w:rsid w:val="00F73F29"/>
    <w:rsid w:val="00F75EAE"/>
    <w:rsid w:val="00F76AC9"/>
    <w:rsid w:val="00F76B15"/>
    <w:rsid w:val="00F77176"/>
    <w:rsid w:val="00F77D2E"/>
    <w:rsid w:val="00F77D89"/>
    <w:rsid w:val="00F80FD8"/>
    <w:rsid w:val="00F82735"/>
    <w:rsid w:val="00F834BD"/>
    <w:rsid w:val="00F84826"/>
    <w:rsid w:val="00F854BE"/>
    <w:rsid w:val="00F9191A"/>
    <w:rsid w:val="00F91986"/>
    <w:rsid w:val="00F922D6"/>
    <w:rsid w:val="00F92A1D"/>
    <w:rsid w:val="00F92CE6"/>
    <w:rsid w:val="00F92DC2"/>
    <w:rsid w:val="00F939F9"/>
    <w:rsid w:val="00F9453E"/>
    <w:rsid w:val="00F94969"/>
    <w:rsid w:val="00F94AD3"/>
    <w:rsid w:val="00F968FA"/>
    <w:rsid w:val="00F973F9"/>
    <w:rsid w:val="00F97488"/>
    <w:rsid w:val="00F97807"/>
    <w:rsid w:val="00FA09DE"/>
    <w:rsid w:val="00FA1DF7"/>
    <w:rsid w:val="00FA264D"/>
    <w:rsid w:val="00FA2F57"/>
    <w:rsid w:val="00FA3F6B"/>
    <w:rsid w:val="00FA4465"/>
    <w:rsid w:val="00FA4C2B"/>
    <w:rsid w:val="00FA501E"/>
    <w:rsid w:val="00FA5109"/>
    <w:rsid w:val="00FA5B13"/>
    <w:rsid w:val="00FA5E12"/>
    <w:rsid w:val="00FA5F42"/>
    <w:rsid w:val="00FA61BF"/>
    <w:rsid w:val="00FA6944"/>
    <w:rsid w:val="00FA6A1B"/>
    <w:rsid w:val="00FA702F"/>
    <w:rsid w:val="00FA7A76"/>
    <w:rsid w:val="00FA7F4C"/>
    <w:rsid w:val="00FB0730"/>
    <w:rsid w:val="00FB0C8B"/>
    <w:rsid w:val="00FB0D72"/>
    <w:rsid w:val="00FB160F"/>
    <w:rsid w:val="00FB1857"/>
    <w:rsid w:val="00FB2747"/>
    <w:rsid w:val="00FB2E8B"/>
    <w:rsid w:val="00FB327B"/>
    <w:rsid w:val="00FB3DAC"/>
    <w:rsid w:val="00FB4100"/>
    <w:rsid w:val="00FB486A"/>
    <w:rsid w:val="00FB4E4A"/>
    <w:rsid w:val="00FB538F"/>
    <w:rsid w:val="00FB5A39"/>
    <w:rsid w:val="00FB63A1"/>
    <w:rsid w:val="00FB6627"/>
    <w:rsid w:val="00FB6AEC"/>
    <w:rsid w:val="00FB6FBB"/>
    <w:rsid w:val="00FC03A4"/>
    <w:rsid w:val="00FC2F82"/>
    <w:rsid w:val="00FC31BF"/>
    <w:rsid w:val="00FC34BF"/>
    <w:rsid w:val="00FC4075"/>
    <w:rsid w:val="00FC40B1"/>
    <w:rsid w:val="00FC534E"/>
    <w:rsid w:val="00FC5370"/>
    <w:rsid w:val="00FC53C0"/>
    <w:rsid w:val="00FC5D01"/>
    <w:rsid w:val="00FC6BC2"/>
    <w:rsid w:val="00FD0003"/>
    <w:rsid w:val="00FD004B"/>
    <w:rsid w:val="00FD1B49"/>
    <w:rsid w:val="00FD1E8E"/>
    <w:rsid w:val="00FD2451"/>
    <w:rsid w:val="00FD247E"/>
    <w:rsid w:val="00FD2566"/>
    <w:rsid w:val="00FD3550"/>
    <w:rsid w:val="00FD4004"/>
    <w:rsid w:val="00FD4FE1"/>
    <w:rsid w:val="00FD5C75"/>
    <w:rsid w:val="00FD5F3D"/>
    <w:rsid w:val="00FD6220"/>
    <w:rsid w:val="00FD63D1"/>
    <w:rsid w:val="00FD6BA6"/>
    <w:rsid w:val="00FE02CB"/>
    <w:rsid w:val="00FE0534"/>
    <w:rsid w:val="00FE237D"/>
    <w:rsid w:val="00FE37F2"/>
    <w:rsid w:val="00FE39C2"/>
    <w:rsid w:val="00FE3C46"/>
    <w:rsid w:val="00FE4BA3"/>
    <w:rsid w:val="00FE549F"/>
    <w:rsid w:val="00FE6443"/>
    <w:rsid w:val="00FE69A5"/>
    <w:rsid w:val="00FE6FCC"/>
    <w:rsid w:val="00FE7C57"/>
    <w:rsid w:val="00FE7DF8"/>
    <w:rsid w:val="00FF0484"/>
    <w:rsid w:val="00FF050E"/>
    <w:rsid w:val="00FF0C59"/>
    <w:rsid w:val="00FF0E80"/>
    <w:rsid w:val="00FF149F"/>
    <w:rsid w:val="00FF2537"/>
    <w:rsid w:val="00FF2CA0"/>
    <w:rsid w:val="00FF2CD8"/>
    <w:rsid w:val="00FF2FBB"/>
    <w:rsid w:val="00FF3613"/>
    <w:rsid w:val="00FF45CC"/>
    <w:rsid w:val="00FF6ED2"/>
    <w:rsid w:val="00FF766D"/>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B0B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DAF"/>
    <w:pPr>
      <w:ind w:left="720"/>
      <w:contextualSpacing/>
    </w:pPr>
  </w:style>
  <w:style w:type="character" w:styleId="CommentReference">
    <w:name w:val="annotation reference"/>
    <w:basedOn w:val="DefaultParagraphFont"/>
    <w:uiPriority w:val="99"/>
    <w:semiHidden/>
    <w:unhideWhenUsed/>
    <w:rsid w:val="00AE7F2D"/>
    <w:rPr>
      <w:sz w:val="16"/>
      <w:szCs w:val="16"/>
    </w:rPr>
  </w:style>
  <w:style w:type="paragraph" w:styleId="CommentText">
    <w:name w:val="annotation text"/>
    <w:basedOn w:val="Normal"/>
    <w:link w:val="CommentTextChar"/>
    <w:uiPriority w:val="99"/>
    <w:unhideWhenUsed/>
    <w:rsid w:val="00AE7F2D"/>
    <w:pPr>
      <w:spacing w:line="240" w:lineRule="auto"/>
    </w:pPr>
    <w:rPr>
      <w:sz w:val="20"/>
      <w:szCs w:val="20"/>
    </w:rPr>
  </w:style>
  <w:style w:type="character" w:customStyle="1" w:styleId="CommentTextChar">
    <w:name w:val="Comment Text Char"/>
    <w:basedOn w:val="DefaultParagraphFont"/>
    <w:link w:val="CommentText"/>
    <w:uiPriority w:val="99"/>
    <w:rsid w:val="00AE7F2D"/>
    <w:rPr>
      <w:sz w:val="20"/>
      <w:szCs w:val="20"/>
    </w:rPr>
  </w:style>
  <w:style w:type="character" w:styleId="Hyperlink">
    <w:name w:val="Hyperlink"/>
    <w:basedOn w:val="DefaultParagraphFont"/>
    <w:uiPriority w:val="99"/>
    <w:unhideWhenUsed/>
    <w:rsid w:val="00AE7F2D"/>
    <w:rPr>
      <w:color w:val="0563C1" w:themeColor="hyperlink"/>
      <w:u w:val="single"/>
    </w:rPr>
  </w:style>
  <w:style w:type="paragraph" w:styleId="BalloonText">
    <w:name w:val="Balloon Text"/>
    <w:basedOn w:val="Normal"/>
    <w:link w:val="BalloonTextChar"/>
    <w:uiPriority w:val="99"/>
    <w:semiHidden/>
    <w:unhideWhenUsed/>
    <w:rsid w:val="00AE7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F2D"/>
    <w:rPr>
      <w:rFonts w:ascii="Segoe UI" w:hAnsi="Segoe UI" w:cs="Segoe UI"/>
      <w:sz w:val="18"/>
      <w:szCs w:val="18"/>
    </w:rPr>
  </w:style>
  <w:style w:type="paragraph" w:styleId="FootnoteText">
    <w:name w:val="footnote text"/>
    <w:basedOn w:val="Normal"/>
    <w:link w:val="FootnoteTextChar"/>
    <w:uiPriority w:val="99"/>
    <w:semiHidden/>
    <w:unhideWhenUsed/>
    <w:rsid w:val="005B69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9AE"/>
    <w:rPr>
      <w:sz w:val="20"/>
      <w:szCs w:val="20"/>
    </w:rPr>
  </w:style>
  <w:style w:type="character" w:styleId="FootnoteReference">
    <w:name w:val="footnote reference"/>
    <w:basedOn w:val="DefaultParagraphFont"/>
    <w:uiPriority w:val="99"/>
    <w:semiHidden/>
    <w:unhideWhenUsed/>
    <w:rsid w:val="005B69AE"/>
    <w:rPr>
      <w:vertAlign w:val="superscript"/>
    </w:rPr>
  </w:style>
  <w:style w:type="paragraph" w:styleId="CommentSubject">
    <w:name w:val="annotation subject"/>
    <w:basedOn w:val="CommentText"/>
    <w:next w:val="CommentText"/>
    <w:link w:val="CommentSubjectChar"/>
    <w:uiPriority w:val="99"/>
    <w:semiHidden/>
    <w:unhideWhenUsed/>
    <w:rsid w:val="000A5C77"/>
    <w:rPr>
      <w:b/>
      <w:bCs/>
    </w:rPr>
  </w:style>
  <w:style w:type="character" w:customStyle="1" w:styleId="CommentSubjectChar">
    <w:name w:val="Comment Subject Char"/>
    <w:basedOn w:val="CommentTextChar"/>
    <w:link w:val="CommentSubject"/>
    <w:uiPriority w:val="99"/>
    <w:semiHidden/>
    <w:rsid w:val="000A5C77"/>
    <w:rPr>
      <w:b/>
      <w:bCs/>
      <w:sz w:val="20"/>
      <w:szCs w:val="20"/>
    </w:rPr>
  </w:style>
  <w:style w:type="character" w:styleId="FollowedHyperlink">
    <w:name w:val="FollowedHyperlink"/>
    <w:basedOn w:val="DefaultParagraphFont"/>
    <w:uiPriority w:val="99"/>
    <w:semiHidden/>
    <w:unhideWhenUsed/>
    <w:rsid w:val="007879F5"/>
    <w:rPr>
      <w:color w:val="954F72" w:themeColor="followedHyperlink"/>
      <w:u w:val="single"/>
    </w:rPr>
  </w:style>
  <w:style w:type="character" w:customStyle="1" w:styleId="UnresolvedMention1">
    <w:name w:val="Unresolved Mention1"/>
    <w:basedOn w:val="DefaultParagraphFont"/>
    <w:uiPriority w:val="99"/>
    <w:semiHidden/>
    <w:unhideWhenUsed/>
    <w:rsid w:val="00105457"/>
    <w:rPr>
      <w:color w:val="605E5C"/>
      <w:shd w:val="clear" w:color="auto" w:fill="E1DFDD"/>
    </w:rPr>
  </w:style>
  <w:style w:type="paragraph" w:styleId="Header">
    <w:name w:val="header"/>
    <w:basedOn w:val="Normal"/>
    <w:link w:val="HeaderChar"/>
    <w:uiPriority w:val="99"/>
    <w:unhideWhenUsed/>
    <w:rsid w:val="00765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AFB"/>
  </w:style>
  <w:style w:type="paragraph" w:styleId="Footer">
    <w:name w:val="footer"/>
    <w:basedOn w:val="Normal"/>
    <w:link w:val="FooterChar"/>
    <w:uiPriority w:val="99"/>
    <w:unhideWhenUsed/>
    <w:rsid w:val="00765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AFB"/>
  </w:style>
  <w:style w:type="paragraph" w:styleId="Revision">
    <w:name w:val="Revision"/>
    <w:hidden/>
    <w:uiPriority w:val="99"/>
    <w:semiHidden/>
    <w:rsid w:val="00AF7F45"/>
    <w:pPr>
      <w:spacing w:after="0" w:line="240" w:lineRule="auto"/>
    </w:pPr>
  </w:style>
  <w:style w:type="character" w:styleId="UnresolvedMention">
    <w:name w:val="Unresolved Mention"/>
    <w:basedOn w:val="DefaultParagraphFont"/>
    <w:uiPriority w:val="99"/>
    <w:semiHidden/>
    <w:unhideWhenUsed/>
    <w:rsid w:val="009B4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content/dam/Census/library/working-papers/2012/acs/2012_Matthews_0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s.ed.gov/surveys/gemena/pdf/FINAL_ATES_cog_int_report_Dec_18_201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cex/research_papers/pdf/review-of-incentive-experiences-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ites.nationalacademies.org/cs/groups/pgasite/documents/webpage/pga_167744.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sus.gov/content/dam/Census/library/publications/2011/dec/2010_cpex_1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2a06c895ba080e61ddc4781b659d7d2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6a2ce30d1f64ca1959e372beeb2b1a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979A3-A80B-4F6C-8CAE-9A050DFAFD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7169EE-E98B-4C5B-A8D8-2AD279E19844}">
  <ds:schemaRefs>
    <ds:schemaRef ds:uri="http://schemas.microsoft.com/sharepoint/v3/contenttype/forms"/>
  </ds:schemaRefs>
</ds:datastoreItem>
</file>

<file path=customXml/itemProps3.xml><?xml version="1.0" encoding="utf-8"?>
<ds:datastoreItem xmlns:ds="http://schemas.openxmlformats.org/officeDocument/2006/customXml" ds:itemID="{369E7B8B-3486-4B1C-9DFE-FD4544F34755}">
  <ds:schemaRefs>
    <ds:schemaRef ds:uri="http://schemas.openxmlformats.org/officeDocument/2006/bibliography"/>
  </ds:schemaRefs>
</ds:datastoreItem>
</file>

<file path=customXml/itemProps4.xml><?xml version="1.0" encoding="utf-8"?>
<ds:datastoreItem xmlns:ds="http://schemas.openxmlformats.org/officeDocument/2006/customXml" ds:itemID="{964232A5-0538-48DE-A0CE-A537DF485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12385</Words>
  <Characters>70599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2021-08-25T16:24:00Z</dcterms:created>
  <dcterms:modified xsi:type="dcterms:W3CDTF">2021-09-24T07:00:00Z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