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4CF8" w:rsidP="00110020" w:rsidRDefault="003C4CF8" w14:paraId="46B557D9" w14:textId="62D2262E">
      <w:pPr>
        <w:jc w:val="center"/>
        <w:rPr>
          <w:rFonts w:ascii="Times New Roman" w:hAnsi="Times New Roman" w:cs="Times New Roman"/>
          <w:b/>
          <w:sz w:val="48"/>
          <w:szCs w:val="48"/>
        </w:rPr>
      </w:pPr>
      <w:r w:rsidRPr="00110020">
        <w:rPr>
          <w:rFonts w:ascii="Times New Roman" w:hAnsi="Times New Roman" w:cs="Times New Roman"/>
          <w:b/>
          <w:sz w:val="48"/>
          <w:szCs w:val="48"/>
        </w:rPr>
        <w:t xml:space="preserve">APPENDIX </w:t>
      </w:r>
      <w:r w:rsidR="00F40761">
        <w:rPr>
          <w:rFonts w:ascii="Times New Roman" w:hAnsi="Times New Roman" w:cs="Times New Roman"/>
          <w:b/>
          <w:sz w:val="48"/>
          <w:szCs w:val="48"/>
        </w:rPr>
        <w:t>M</w:t>
      </w:r>
    </w:p>
    <w:p w:rsidR="00E235BD" w:rsidP="00110020" w:rsidRDefault="00E235BD" w14:paraId="7D4E0125" w14:textId="348EEE44">
      <w:pPr>
        <w:jc w:val="center"/>
        <w:rPr>
          <w:rFonts w:ascii="Times New Roman" w:hAnsi="Times New Roman" w:cs="Times New Roman"/>
          <w:b/>
          <w:sz w:val="48"/>
          <w:szCs w:val="48"/>
        </w:rPr>
      </w:pPr>
    </w:p>
    <w:p w:rsidRPr="00110020" w:rsidR="00E235BD" w:rsidP="00110020" w:rsidRDefault="00E235BD" w14:paraId="6A576A10" w14:textId="77777777">
      <w:pPr>
        <w:jc w:val="center"/>
        <w:rPr>
          <w:rFonts w:ascii="Times New Roman" w:hAnsi="Times New Roman" w:cs="Times New Roman"/>
          <w:b/>
          <w:sz w:val="48"/>
          <w:szCs w:val="48"/>
        </w:rPr>
      </w:pPr>
    </w:p>
    <w:p w:rsidR="00FC7D5E" w:rsidP="003C4CF8" w:rsidRDefault="003C4CF8" w14:paraId="1B72D836" w14:textId="77777777">
      <w:pPr>
        <w:jc w:val="center"/>
        <w:rPr>
          <w:rFonts w:ascii="Times New Roman" w:hAnsi="Times New Roman" w:cs="Times New Roman"/>
          <w:b/>
          <w:sz w:val="48"/>
          <w:szCs w:val="48"/>
        </w:rPr>
      </w:pPr>
      <w:r w:rsidRPr="00110020">
        <w:rPr>
          <w:rFonts w:ascii="Times New Roman" w:hAnsi="Times New Roman" w:cs="Times New Roman"/>
          <w:b/>
          <w:sz w:val="48"/>
          <w:szCs w:val="48"/>
        </w:rPr>
        <w:t>P</w:t>
      </w:r>
      <w:r w:rsidR="00246B3C">
        <w:rPr>
          <w:rFonts w:ascii="Times New Roman" w:hAnsi="Times New Roman" w:cs="Times New Roman"/>
          <w:b/>
          <w:sz w:val="48"/>
          <w:szCs w:val="48"/>
        </w:rPr>
        <w:t>ower</w:t>
      </w:r>
      <w:r w:rsidRPr="00110020">
        <w:rPr>
          <w:rFonts w:ascii="Times New Roman" w:hAnsi="Times New Roman" w:cs="Times New Roman"/>
          <w:b/>
          <w:sz w:val="48"/>
          <w:szCs w:val="48"/>
        </w:rPr>
        <w:t xml:space="preserve"> A</w:t>
      </w:r>
      <w:r w:rsidR="00246B3C">
        <w:rPr>
          <w:rFonts w:ascii="Times New Roman" w:hAnsi="Times New Roman" w:cs="Times New Roman"/>
          <w:b/>
          <w:sz w:val="48"/>
          <w:szCs w:val="48"/>
        </w:rPr>
        <w:t>nalysis</w:t>
      </w:r>
      <w:r w:rsidR="009D02C2">
        <w:rPr>
          <w:rFonts w:ascii="Times New Roman" w:hAnsi="Times New Roman" w:cs="Times New Roman"/>
          <w:b/>
          <w:sz w:val="48"/>
          <w:szCs w:val="48"/>
        </w:rPr>
        <w:t>:</w:t>
      </w:r>
      <w:r w:rsidR="00D53532">
        <w:rPr>
          <w:rFonts w:ascii="Times New Roman" w:hAnsi="Times New Roman" w:cs="Times New Roman"/>
          <w:b/>
          <w:sz w:val="48"/>
          <w:szCs w:val="48"/>
        </w:rPr>
        <w:t xml:space="preserve"> </w:t>
      </w:r>
    </w:p>
    <w:p w:rsidR="00907FCD" w:rsidP="003C4CF8" w:rsidRDefault="00D53532" w14:paraId="1CCD2B0B" w14:textId="77777777">
      <w:pPr>
        <w:jc w:val="center"/>
        <w:rPr>
          <w:rFonts w:ascii="Times New Roman" w:hAnsi="Times New Roman" w:cs="Times New Roman"/>
          <w:b/>
          <w:sz w:val="48"/>
          <w:szCs w:val="48"/>
        </w:rPr>
      </w:pPr>
      <w:r>
        <w:rPr>
          <w:rFonts w:ascii="Times New Roman" w:hAnsi="Times New Roman" w:cs="Times New Roman"/>
          <w:b/>
          <w:sz w:val="48"/>
          <w:szCs w:val="48"/>
        </w:rPr>
        <w:t xml:space="preserve">NTEWS Methodological Experiments </w:t>
      </w:r>
    </w:p>
    <w:p w:rsidR="00E235BD" w:rsidP="003C4CF8" w:rsidRDefault="00D53532" w14:paraId="3ABCDC26" w14:textId="32EBD813">
      <w:pPr>
        <w:jc w:val="center"/>
        <w:rPr>
          <w:rFonts w:ascii="Times New Roman" w:hAnsi="Times New Roman" w:cs="Times New Roman"/>
          <w:b/>
          <w:sz w:val="48"/>
          <w:szCs w:val="48"/>
        </w:rPr>
      </w:pPr>
      <w:r>
        <w:rPr>
          <w:rFonts w:ascii="Times New Roman" w:hAnsi="Times New Roman" w:cs="Times New Roman"/>
          <w:b/>
          <w:sz w:val="48"/>
          <w:szCs w:val="48"/>
        </w:rPr>
        <w:t>and Seeded Sample</w:t>
      </w:r>
    </w:p>
    <w:p w:rsidR="00E235BD" w:rsidP="003C4CF8" w:rsidRDefault="00E235BD" w14:paraId="62278763" w14:textId="77777777">
      <w:pPr>
        <w:jc w:val="center"/>
        <w:rPr>
          <w:rFonts w:ascii="Times New Roman" w:hAnsi="Times New Roman" w:cs="Times New Roman"/>
          <w:b/>
          <w:sz w:val="48"/>
          <w:szCs w:val="48"/>
        </w:rPr>
      </w:pPr>
    </w:p>
    <w:p w:rsidR="00827E4C" w:rsidP="003C4CF8" w:rsidRDefault="00827E4C" w14:paraId="71B13E60" w14:textId="76633DC4">
      <w:pPr>
        <w:jc w:val="center"/>
        <w:rPr>
          <w:rFonts w:ascii="Times New Roman" w:hAnsi="Times New Roman" w:cs="Times New Roman"/>
          <w:bCs/>
          <w:i/>
          <w:iCs/>
          <w:sz w:val="24"/>
          <w:szCs w:val="24"/>
        </w:rPr>
        <w:sectPr w:rsidR="00827E4C" w:rsidSect="00827E4C">
          <w:footerReference w:type="default" r:id="rId11"/>
          <w:pgSz w:w="12240" w:h="15840"/>
          <w:pgMar w:top="1440" w:right="1440" w:bottom="1440" w:left="1440" w:header="720" w:footer="720" w:gutter="0"/>
          <w:cols w:space="720"/>
          <w:titlePg/>
          <w:docGrid w:linePitch="360"/>
        </w:sectPr>
      </w:pPr>
    </w:p>
    <w:p w:rsidRPr="00E235BD" w:rsidR="003C4CF8" w:rsidP="003C4CF8" w:rsidRDefault="003C4CF8" w14:paraId="106494FC" w14:textId="1E3EFE5F">
      <w:pPr>
        <w:jc w:val="center"/>
        <w:rPr>
          <w:rFonts w:ascii="Times New Roman" w:hAnsi="Times New Roman" w:cs="Times New Roman"/>
          <w:bCs/>
          <w:i/>
          <w:iCs/>
          <w:sz w:val="24"/>
          <w:szCs w:val="24"/>
        </w:rPr>
      </w:pPr>
    </w:p>
    <w:p w:rsidRPr="00EE41FA" w:rsidR="00C94ADC" w:rsidP="00EE41FA" w:rsidRDefault="00EE41FA" w14:paraId="0DF28E95" w14:textId="079CC489">
      <w:pPr>
        <w:rPr>
          <w:rFonts w:ascii="Times New Roman" w:hAnsi="Times New Roman" w:cs="Times New Roman"/>
          <w:sz w:val="24"/>
          <w:szCs w:val="24"/>
        </w:rPr>
      </w:pPr>
      <w:r w:rsidRPr="00EE41FA">
        <w:rPr>
          <w:rFonts w:ascii="Times New Roman" w:hAnsi="Times New Roman" w:cs="Times New Roman"/>
          <w:b/>
          <w:sz w:val="24"/>
          <w:szCs w:val="24"/>
          <w:u w:val="single"/>
        </w:rPr>
        <w:t>1.</w:t>
      </w:r>
      <w:r>
        <w:rPr>
          <w:rFonts w:ascii="Times New Roman" w:hAnsi="Times New Roman" w:cs="Times New Roman"/>
          <w:b/>
          <w:sz w:val="24"/>
          <w:szCs w:val="24"/>
          <w:u w:val="single"/>
        </w:rPr>
        <w:t xml:space="preserve"> </w:t>
      </w:r>
      <w:r w:rsidR="00B46815">
        <w:rPr>
          <w:rFonts w:ascii="Times New Roman" w:hAnsi="Times New Roman" w:cs="Times New Roman"/>
          <w:b/>
          <w:sz w:val="24"/>
          <w:szCs w:val="24"/>
          <w:u w:val="single"/>
        </w:rPr>
        <w:t>Intro</w:t>
      </w:r>
      <w:r w:rsidR="00524C7D">
        <w:rPr>
          <w:rFonts w:ascii="Times New Roman" w:hAnsi="Times New Roman" w:cs="Times New Roman"/>
          <w:b/>
          <w:sz w:val="24"/>
          <w:szCs w:val="24"/>
          <w:u w:val="single"/>
        </w:rPr>
        <w:t>duction and Overview</w:t>
      </w:r>
    </w:p>
    <w:p w:rsidR="00A0487E" w:rsidRDefault="00A0487E" w14:paraId="669A6736" w14:textId="1148970F">
      <w:pPr>
        <w:rPr>
          <w:rFonts w:ascii="Times New Roman" w:hAnsi="Times New Roman" w:cs="Times New Roman"/>
          <w:sz w:val="24"/>
          <w:szCs w:val="24"/>
        </w:rPr>
      </w:pPr>
      <w:r w:rsidRPr="00EE41FA">
        <w:rPr>
          <w:rFonts w:ascii="Times New Roman" w:hAnsi="Times New Roman" w:cs="Times New Roman"/>
          <w:sz w:val="24"/>
          <w:szCs w:val="24"/>
        </w:rPr>
        <w:t xml:space="preserve">This appendix </w:t>
      </w:r>
      <w:r>
        <w:rPr>
          <w:rFonts w:ascii="Times New Roman" w:hAnsi="Times New Roman" w:cs="Times New Roman"/>
          <w:sz w:val="24"/>
          <w:szCs w:val="24"/>
        </w:rPr>
        <w:t>describes the power analysis for the</w:t>
      </w:r>
      <w:r w:rsidRPr="00EE41FA">
        <w:rPr>
          <w:rFonts w:ascii="Times New Roman" w:hAnsi="Times New Roman" w:cs="Times New Roman"/>
          <w:sz w:val="24"/>
          <w:szCs w:val="24"/>
        </w:rPr>
        <w:t xml:space="preserve"> methodological experiments</w:t>
      </w:r>
      <w:r>
        <w:rPr>
          <w:rFonts w:ascii="Times New Roman" w:hAnsi="Times New Roman" w:cs="Times New Roman"/>
          <w:sz w:val="24"/>
          <w:szCs w:val="24"/>
        </w:rPr>
        <w:t xml:space="preserve"> that will be incorporated into the nationally representative National Training, Education, and Workforce Survey (NTEWS) </w:t>
      </w:r>
      <w:r w:rsidR="005B249F">
        <w:rPr>
          <w:rFonts w:ascii="Times New Roman" w:hAnsi="Times New Roman" w:cs="Times New Roman"/>
          <w:sz w:val="24"/>
          <w:szCs w:val="24"/>
        </w:rPr>
        <w:t xml:space="preserve">production </w:t>
      </w:r>
      <w:r>
        <w:rPr>
          <w:rFonts w:ascii="Times New Roman" w:hAnsi="Times New Roman" w:cs="Times New Roman"/>
          <w:sz w:val="24"/>
          <w:szCs w:val="24"/>
        </w:rPr>
        <w:t>sample, and the</w:t>
      </w:r>
      <w:r w:rsidRPr="00EE41FA">
        <w:rPr>
          <w:rFonts w:ascii="Times New Roman" w:hAnsi="Times New Roman" w:cs="Times New Roman"/>
          <w:sz w:val="24"/>
          <w:szCs w:val="24"/>
        </w:rPr>
        <w:t xml:space="preserve"> separate </w:t>
      </w:r>
      <w:r>
        <w:rPr>
          <w:rFonts w:ascii="Times New Roman" w:hAnsi="Times New Roman" w:cs="Times New Roman"/>
          <w:sz w:val="24"/>
          <w:szCs w:val="24"/>
        </w:rPr>
        <w:t>power</w:t>
      </w:r>
      <w:r w:rsidRPr="00EE41FA">
        <w:rPr>
          <w:rFonts w:ascii="Times New Roman" w:hAnsi="Times New Roman" w:cs="Times New Roman"/>
          <w:sz w:val="24"/>
          <w:szCs w:val="24"/>
        </w:rPr>
        <w:t xml:space="preserve"> analysis for the seeded sample. </w:t>
      </w:r>
      <w:r>
        <w:rPr>
          <w:rFonts w:ascii="Times New Roman" w:hAnsi="Times New Roman" w:cs="Times New Roman"/>
          <w:sz w:val="24"/>
          <w:szCs w:val="24"/>
        </w:rPr>
        <w:t xml:space="preserve">While this appendix provides a brief recap of the experimental design, a more detailed description of the methodological experiments and seeded sample is </w:t>
      </w:r>
      <w:r w:rsidRPr="00246B3C">
        <w:rPr>
          <w:rFonts w:ascii="Times New Roman" w:hAnsi="Times New Roman" w:cs="Times New Roman"/>
          <w:sz w:val="24"/>
          <w:szCs w:val="24"/>
        </w:rPr>
        <w:t xml:space="preserve">provided in Appendix </w:t>
      </w:r>
      <w:r w:rsidRPr="00246B3C" w:rsidR="00246B3C">
        <w:rPr>
          <w:rFonts w:ascii="Times New Roman" w:hAnsi="Times New Roman" w:cs="Times New Roman"/>
          <w:sz w:val="24"/>
          <w:szCs w:val="24"/>
        </w:rPr>
        <w:t>C</w:t>
      </w:r>
      <w:r w:rsidRPr="00246B3C">
        <w:rPr>
          <w:rFonts w:ascii="Times New Roman" w:hAnsi="Times New Roman" w:cs="Times New Roman"/>
          <w:sz w:val="24"/>
          <w:szCs w:val="24"/>
        </w:rPr>
        <w:t>.</w:t>
      </w:r>
    </w:p>
    <w:p w:rsidR="00B2446C" w:rsidRDefault="00606BCD" w14:paraId="2A572A86" w14:textId="4C853995">
      <w:pPr>
        <w:rPr>
          <w:rFonts w:ascii="Times New Roman" w:hAnsi="Times New Roman" w:cs="Times New Roman"/>
          <w:sz w:val="24"/>
          <w:szCs w:val="24"/>
        </w:rPr>
      </w:pPr>
      <w:r>
        <w:rPr>
          <w:rFonts w:ascii="Times New Roman" w:hAnsi="Times New Roman" w:cs="Times New Roman"/>
          <w:sz w:val="24"/>
          <w:szCs w:val="24"/>
        </w:rPr>
        <w:t>Th</w:t>
      </w:r>
      <w:r w:rsidR="00EB7880">
        <w:rPr>
          <w:rFonts w:ascii="Times New Roman" w:hAnsi="Times New Roman" w:cs="Times New Roman"/>
          <w:sz w:val="24"/>
          <w:szCs w:val="24"/>
        </w:rPr>
        <w:t>is</w:t>
      </w:r>
      <w:r>
        <w:rPr>
          <w:rFonts w:ascii="Times New Roman" w:hAnsi="Times New Roman" w:cs="Times New Roman"/>
          <w:sz w:val="24"/>
          <w:szCs w:val="24"/>
        </w:rPr>
        <w:t xml:space="preserve"> planned administration of the NTEWS </w:t>
      </w:r>
      <w:r w:rsidR="00361991">
        <w:rPr>
          <w:rFonts w:ascii="Times New Roman" w:hAnsi="Times New Roman" w:cs="Times New Roman"/>
          <w:sz w:val="24"/>
          <w:szCs w:val="24"/>
        </w:rPr>
        <w:t>will be its first</w:t>
      </w:r>
      <w:r w:rsidR="00B81095">
        <w:rPr>
          <w:rFonts w:ascii="Times New Roman" w:hAnsi="Times New Roman" w:cs="Times New Roman"/>
          <w:sz w:val="24"/>
          <w:szCs w:val="24"/>
        </w:rPr>
        <w:t xml:space="preserve"> cycle</w:t>
      </w:r>
      <w:r>
        <w:rPr>
          <w:rFonts w:ascii="Times New Roman" w:hAnsi="Times New Roman" w:cs="Times New Roman"/>
          <w:sz w:val="24"/>
          <w:szCs w:val="24"/>
        </w:rPr>
        <w:t xml:space="preserve">. </w:t>
      </w:r>
      <w:r w:rsidR="00B2446C">
        <w:rPr>
          <w:rFonts w:ascii="Times New Roman" w:hAnsi="Times New Roman" w:cs="Times New Roman"/>
          <w:sz w:val="24"/>
          <w:szCs w:val="24"/>
        </w:rPr>
        <w:t xml:space="preserve">Although the design of the NTEWS is heavily informed by two other federal surveys—the ongoing National Survey of College Graduates (NSCG) and the discontinued Adult Training and Education Survey (ATES) module of the National Household Education Survey (NHES)—it differs in </w:t>
      </w:r>
      <w:r w:rsidR="00262DD0">
        <w:rPr>
          <w:rFonts w:ascii="Times New Roman" w:hAnsi="Times New Roman" w:cs="Times New Roman"/>
          <w:sz w:val="24"/>
          <w:szCs w:val="24"/>
        </w:rPr>
        <w:t>keyways</w:t>
      </w:r>
      <w:r w:rsidR="00B2446C">
        <w:rPr>
          <w:rFonts w:ascii="Times New Roman" w:hAnsi="Times New Roman" w:cs="Times New Roman"/>
          <w:sz w:val="24"/>
          <w:szCs w:val="24"/>
        </w:rPr>
        <w:t xml:space="preserve"> from both collections. </w:t>
      </w:r>
      <w:r w:rsidR="00486DA5">
        <w:rPr>
          <w:rFonts w:ascii="Times New Roman" w:hAnsi="Times New Roman" w:cs="Times New Roman"/>
          <w:sz w:val="24"/>
          <w:szCs w:val="24"/>
        </w:rPr>
        <w:t xml:space="preserve">For </w:t>
      </w:r>
      <w:r w:rsidR="00D95F83">
        <w:rPr>
          <w:rFonts w:ascii="Times New Roman" w:hAnsi="Times New Roman" w:cs="Times New Roman"/>
          <w:sz w:val="24"/>
          <w:szCs w:val="24"/>
        </w:rPr>
        <w:t>this reason</w:t>
      </w:r>
      <w:r w:rsidR="00486DA5">
        <w:rPr>
          <w:rFonts w:ascii="Times New Roman" w:hAnsi="Times New Roman" w:cs="Times New Roman"/>
          <w:sz w:val="24"/>
          <w:szCs w:val="24"/>
        </w:rPr>
        <w:t xml:space="preserve">, the </w:t>
      </w:r>
      <w:r w:rsidR="009A594C">
        <w:rPr>
          <w:rFonts w:ascii="Times New Roman" w:hAnsi="Times New Roman" w:cs="Times New Roman"/>
          <w:sz w:val="24"/>
          <w:szCs w:val="24"/>
        </w:rPr>
        <w:t>administration design</w:t>
      </w:r>
      <w:r w:rsidR="008E48F2">
        <w:rPr>
          <w:rFonts w:ascii="Times New Roman" w:hAnsi="Times New Roman" w:cs="Times New Roman"/>
          <w:sz w:val="24"/>
          <w:szCs w:val="24"/>
        </w:rPr>
        <w:t>s used</w:t>
      </w:r>
      <w:r w:rsidR="009A594C">
        <w:rPr>
          <w:rFonts w:ascii="Times New Roman" w:hAnsi="Times New Roman" w:cs="Times New Roman"/>
          <w:sz w:val="24"/>
          <w:szCs w:val="24"/>
        </w:rPr>
        <w:t xml:space="preserve"> </w:t>
      </w:r>
      <w:r w:rsidR="008E48F2">
        <w:rPr>
          <w:rFonts w:ascii="Times New Roman" w:hAnsi="Times New Roman" w:cs="Times New Roman"/>
          <w:sz w:val="24"/>
          <w:szCs w:val="24"/>
        </w:rPr>
        <w:t>for</w:t>
      </w:r>
      <w:r w:rsidR="00486DA5">
        <w:rPr>
          <w:rFonts w:ascii="Times New Roman" w:hAnsi="Times New Roman" w:cs="Times New Roman"/>
          <w:sz w:val="24"/>
          <w:szCs w:val="24"/>
        </w:rPr>
        <w:t xml:space="preserve"> the </w:t>
      </w:r>
      <w:r w:rsidR="008B3162">
        <w:rPr>
          <w:rFonts w:ascii="Times New Roman" w:hAnsi="Times New Roman" w:cs="Times New Roman"/>
          <w:sz w:val="24"/>
          <w:szCs w:val="24"/>
        </w:rPr>
        <w:t>NSCG and ATES</w:t>
      </w:r>
      <w:r w:rsidR="00486DA5">
        <w:rPr>
          <w:rFonts w:ascii="Times New Roman" w:hAnsi="Times New Roman" w:cs="Times New Roman"/>
          <w:sz w:val="24"/>
          <w:szCs w:val="24"/>
        </w:rPr>
        <w:t xml:space="preserve"> </w:t>
      </w:r>
      <w:r w:rsidR="00564B36">
        <w:rPr>
          <w:rFonts w:ascii="Times New Roman" w:hAnsi="Times New Roman" w:cs="Times New Roman"/>
          <w:sz w:val="24"/>
          <w:szCs w:val="24"/>
        </w:rPr>
        <w:t>cannot be assumed to be optimal for</w:t>
      </w:r>
      <w:r w:rsidR="00486DA5">
        <w:rPr>
          <w:rFonts w:ascii="Times New Roman" w:hAnsi="Times New Roman" w:cs="Times New Roman"/>
          <w:sz w:val="24"/>
          <w:szCs w:val="24"/>
        </w:rPr>
        <w:t xml:space="preserve"> the NTEWS.</w:t>
      </w:r>
    </w:p>
    <w:p w:rsidR="003E5063" w:rsidRDefault="006B0921" w14:paraId="047C19DF" w14:textId="59D7BA6B">
      <w:pPr>
        <w:rPr>
          <w:rFonts w:ascii="Times New Roman" w:hAnsi="Times New Roman" w:cs="Times New Roman"/>
          <w:sz w:val="24"/>
          <w:szCs w:val="24"/>
        </w:rPr>
      </w:pPr>
      <w:r>
        <w:rPr>
          <w:rFonts w:ascii="Times New Roman" w:hAnsi="Times New Roman" w:cs="Times New Roman"/>
          <w:sz w:val="24"/>
          <w:szCs w:val="24"/>
        </w:rPr>
        <w:t xml:space="preserve">Accordingly, </w:t>
      </w:r>
      <w:r w:rsidR="00377006">
        <w:rPr>
          <w:rFonts w:ascii="Times New Roman" w:hAnsi="Times New Roman" w:cs="Times New Roman"/>
          <w:sz w:val="24"/>
          <w:szCs w:val="24"/>
        </w:rPr>
        <w:t xml:space="preserve">the </w:t>
      </w:r>
      <w:r w:rsidR="00306205">
        <w:rPr>
          <w:rFonts w:ascii="Times New Roman" w:hAnsi="Times New Roman" w:cs="Times New Roman"/>
          <w:sz w:val="24"/>
          <w:szCs w:val="24"/>
        </w:rPr>
        <w:t>first cycle</w:t>
      </w:r>
      <w:r w:rsidR="00520E7D">
        <w:rPr>
          <w:rFonts w:ascii="Times New Roman" w:hAnsi="Times New Roman" w:cs="Times New Roman"/>
          <w:sz w:val="24"/>
          <w:szCs w:val="24"/>
        </w:rPr>
        <w:t xml:space="preserve"> of </w:t>
      </w:r>
      <w:r w:rsidR="006E7145">
        <w:rPr>
          <w:rFonts w:ascii="Times New Roman" w:hAnsi="Times New Roman" w:cs="Times New Roman"/>
          <w:sz w:val="24"/>
          <w:szCs w:val="24"/>
        </w:rPr>
        <w:t xml:space="preserve">NTEWS </w:t>
      </w:r>
      <w:r w:rsidR="007D6F8E">
        <w:rPr>
          <w:rFonts w:ascii="Times New Roman" w:hAnsi="Times New Roman" w:cs="Times New Roman"/>
          <w:sz w:val="24"/>
          <w:szCs w:val="24"/>
        </w:rPr>
        <w:t xml:space="preserve">administered </w:t>
      </w:r>
      <w:r w:rsidR="00580A4C">
        <w:rPr>
          <w:rFonts w:ascii="Times New Roman" w:hAnsi="Times New Roman" w:cs="Times New Roman"/>
          <w:sz w:val="24"/>
          <w:szCs w:val="24"/>
        </w:rPr>
        <w:t xml:space="preserve">to a nationally representative </w:t>
      </w:r>
      <w:r w:rsidR="006E7145">
        <w:rPr>
          <w:rFonts w:ascii="Times New Roman" w:hAnsi="Times New Roman" w:cs="Times New Roman"/>
          <w:sz w:val="24"/>
          <w:szCs w:val="24"/>
        </w:rPr>
        <w:t xml:space="preserve">sample will incorporate </w:t>
      </w:r>
      <w:r w:rsidR="00601449">
        <w:rPr>
          <w:rFonts w:ascii="Times New Roman" w:hAnsi="Times New Roman" w:cs="Times New Roman"/>
          <w:sz w:val="24"/>
          <w:szCs w:val="24"/>
        </w:rPr>
        <w:t xml:space="preserve">two methodological experiments </w:t>
      </w:r>
      <w:r w:rsidR="00F415E9">
        <w:rPr>
          <w:rFonts w:ascii="Times New Roman" w:hAnsi="Times New Roman" w:cs="Times New Roman"/>
          <w:sz w:val="24"/>
          <w:szCs w:val="24"/>
        </w:rPr>
        <w:t xml:space="preserve">to provide baseline data </w:t>
      </w:r>
      <w:r w:rsidR="00361991">
        <w:rPr>
          <w:rFonts w:ascii="Times New Roman" w:hAnsi="Times New Roman" w:cs="Times New Roman"/>
          <w:sz w:val="24"/>
          <w:szCs w:val="24"/>
        </w:rPr>
        <w:t>needed to identify</w:t>
      </w:r>
      <w:r w:rsidR="00F415E9">
        <w:rPr>
          <w:rFonts w:ascii="Times New Roman" w:hAnsi="Times New Roman" w:cs="Times New Roman"/>
          <w:sz w:val="24"/>
          <w:szCs w:val="24"/>
        </w:rPr>
        <w:t xml:space="preserve"> optimal </w:t>
      </w:r>
      <w:r w:rsidR="00D36D0A">
        <w:rPr>
          <w:rFonts w:ascii="Times New Roman" w:hAnsi="Times New Roman" w:cs="Times New Roman"/>
          <w:sz w:val="24"/>
          <w:szCs w:val="24"/>
        </w:rPr>
        <w:t xml:space="preserve">contact strategies and </w:t>
      </w:r>
      <w:r w:rsidR="0061067C">
        <w:rPr>
          <w:rFonts w:ascii="Times New Roman" w:hAnsi="Times New Roman" w:cs="Times New Roman"/>
          <w:sz w:val="24"/>
          <w:szCs w:val="24"/>
        </w:rPr>
        <w:t xml:space="preserve">incentive structures for </w:t>
      </w:r>
      <w:r w:rsidR="00DF3C58">
        <w:rPr>
          <w:rFonts w:ascii="Times New Roman" w:hAnsi="Times New Roman" w:cs="Times New Roman"/>
          <w:sz w:val="24"/>
          <w:szCs w:val="24"/>
        </w:rPr>
        <w:t xml:space="preserve">future cycles of </w:t>
      </w:r>
      <w:r w:rsidR="0061067C">
        <w:rPr>
          <w:rFonts w:ascii="Times New Roman" w:hAnsi="Times New Roman" w:cs="Times New Roman"/>
          <w:sz w:val="24"/>
          <w:szCs w:val="24"/>
        </w:rPr>
        <w:t>the NTEWS.</w:t>
      </w:r>
      <w:r w:rsidR="00C8648B">
        <w:rPr>
          <w:rFonts w:ascii="Times New Roman" w:hAnsi="Times New Roman" w:cs="Times New Roman"/>
          <w:sz w:val="24"/>
          <w:szCs w:val="24"/>
        </w:rPr>
        <w:t xml:space="preserve"> </w:t>
      </w:r>
    </w:p>
    <w:p w:rsidR="00153EE2" w:rsidRDefault="009770D0" w14:paraId="0E594F99" w14:textId="4D0133DD">
      <w:pPr>
        <w:rPr>
          <w:rFonts w:ascii="Times New Roman" w:hAnsi="Times New Roman" w:cs="Times New Roman"/>
          <w:sz w:val="24"/>
          <w:szCs w:val="24"/>
        </w:rPr>
      </w:pPr>
      <w:r>
        <w:rPr>
          <w:rFonts w:ascii="Times New Roman" w:hAnsi="Times New Roman" w:cs="Times New Roman"/>
          <w:sz w:val="24"/>
          <w:szCs w:val="24"/>
        </w:rPr>
        <w:t xml:space="preserve">For the methodological experiments incorporated into the national sample, NCSES expects to conduct </w:t>
      </w: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post-collection analyses to evaluate the impact of contact strategies and incentive levels on various outcomes. </w:t>
      </w:r>
      <w:r w:rsidR="00E3755B">
        <w:rPr>
          <w:rFonts w:ascii="Times New Roman" w:hAnsi="Times New Roman" w:cs="Times New Roman"/>
          <w:sz w:val="24"/>
          <w:szCs w:val="24"/>
        </w:rPr>
        <w:t xml:space="preserve">Findings from these </w:t>
      </w:r>
      <w:r>
        <w:rPr>
          <w:rFonts w:ascii="Times New Roman" w:hAnsi="Times New Roman" w:cs="Times New Roman"/>
          <w:sz w:val="24"/>
          <w:szCs w:val="24"/>
        </w:rPr>
        <w:t xml:space="preserve">analyses </w:t>
      </w:r>
      <w:r w:rsidR="00E3755B">
        <w:rPr>
          <w:rFonts w:ascii="Times New Roman" w:hAnsi="Times New Roman" w:cs="Times New Roman"/>
          <w:sz w:val="24"/>
          <w:szCs w:val="24"/>
        </w:rPr>
        <w:t>are contingent on the size of the NTEWS sample</w:t>
      </w:r>
      <w:r w:rsidR="005473A8">
        <w:rPr>
          <w:rFonts w:ascii="Times New Roman" w:hAnsi="Times New Roman" w:cs="Times New Roman"/>
          <w:sz w:val="24"/>
          <w:szCs w:val="24"/>
        </w:rPr>
        <w:t>; a</w:t>
      </w:r>
      <w:r w:rsidR="00732CCA">
        <w:rPr>
          <w:rFonts w:ascii="Times New Roman" w:hAnsi="Times New Roman" w:cs="Times New Roman"/>
          <w:sz w:val="24"/>
          <w:szCs w:val="24"/>
        </w:rPr>
        <w:t xml:space="preserve"> samp</w:t>
      </w:r>
      <w:r w:rsidR="00D219B5">
        <w:rPr>
          <w:rFonts w:ascii="Times New Roman" w:hAnsi="Times New Roman" w:cs="Times New Roman"/>
          <w:sz w:val="24"/>
          <w:szCs w:val="24"/>
        </w:rPr>
        <w:t>le</w:t>
      </w:r>
      <w:r w:rsidR="00732CCA">
        <w:rPr>
          <w:rFonts w:ascii="Times New Roman" w:hAnsi="Times New Roman" w:cs="Times New Roman"/>
          <w:sz w:val="24"/>
          <w:szCs w:val="24"/>
        </w:rPr>
        <w:t xml:space="preserve"> that </w:t>
      </w:r>
      <w:r w:rsidR="00D219B5">
        <w:rPr>
          <w:rFonts w:ascii="Times New Roman" w:hAnsi="Times New Roman" w:cs="Times New Roman"/>
          <w:sz w:val="24"/>
          <w:szCs w:val="24"/>
        </w:rPr>
        <w:t>is</w:t>
      </w:r>
      <w:r w:rsidR="00732CCA">
        <w:rPr>
          <w:rFonts w:ascii="Times New Roman" w:hAnsi="Times New Roman" w:cs="Times New Roman"/>
          <w:sz w:val="24"/>
          <w:szCs w:val="24"/>
        </w:rPr>
        <w:t xml:space="preserve"> too small will yield </w:t>
      </w:r>
      <w:r w:rsidR="00A246AE">
        <w:rPr>
          <w:rFonts w:ascii="Times New Roman" w:hAnsi="Times New Roman" w:cs="Times New Roman"/>
          <w:sz w:val="24"/>
          <w:szCs w:val="24"/>
        </w:rPr>
        <w:t xml:space="preserve">insufficient </w:t>
      </w:r>
      <w:r w:rsidR="003A0154">
        <w:rPr>
          <w:rFonts w:ascii="Times New Roman" w:hAnsi="Times New Roman" w:cs="Times New Roman"/>
          <w:sz w:val="24"/>
          <w:szCs w:val="24"/>
        </w:rPr>
        <w:t xml:space="preserve">statistical </w:t>
      </w:r>
      <w:r w:rsidR="00A246AE">
        <w:rPr>
          <w:rFonts w:ascii="Times New Roman" w:hAnsi="Times New Roman" w:cs="Times New Roman"/>
          <w:sz w:val="24"/>
          <w:szCs w:val="24"/>
        </w:rPr>
        <w:t xml:space="preserve">power to detect differences across treatment groups. </w:t>
      </w:r>
      <w:r w:rsidR="00A8679F">
        <w:rPr>
          <w:rFonts w:ascii="Times New Roman" w:hAnsi="Times New Roman" w:cs="Times New Roman"/>
          <w:sz w:val="24"/>
          <w:szCs w:val="24"/>
        </w:rPr>
        <w:t xml:space="preserve">To </w:t>
      </w:r>
      <w:r w:rsidR="002941B8">
        <w:rPr>
          <w:rFonts w:ascii="Times New Roman" w:hAnsi="Times New Roman" w:cs="Times New Roman"/>
          <w:sz w:val="24"/>
          <w:szCs w:val="24"/>
        </w:rPr>
        <w:t xml:space="preserve">evaluate the </w:t>
      </w:r>
      <w:r w:rsidR="006B1DEA">
        <w:rPr>
          <w:rFonts w:ascii="Times New Roman" w:hAnsi="Times New Roman" w:cs="Times New Roman"/>
          <w:sz w:val="24"/>
          <w:szCs w:val="24"/>
        </w:rPr>
        <w:t xml:space="preserve">sufficiency </w:t>
      </w:r>
      <w:r w:rsidR="002941B8">
        <w:rPr>
          <w:rFonts w:ascii="Times New Roman" w:hAnsi="Times New Roman" w:cs="Times New Roman"/>
          <w:sz w:val="24"/>
          <w:szCs w:val="24"/>
        </w:rPr>
        <w:t>of the</w:t>
      </w:r>
      <w:r w:rsidR="00E055F3">
        <w:rPr>
          <w:rFonts w:ascii="Times New Roman" w:hAnsi="Times New Roman" w:cs="Times New Roman"/>
          <w:sz w:val="24"/>
          <w:szCs w:val="24"/>
        </w:rPr>
        <w:t xml:space="preserve"> initial</w:t>
      </w:r>
      <w:r w:rsidR="00A8679F">
        <w:rPr>
          <w:rFonts w:ascii="Times New Roman" w:hAnsi="Times New Roman" w:cs="Times New Roman"/>
          <w:sz w:val="24"/>
          <w:szCs w:val="24"/>
        </w:rPr>
        <w:t xml:space="preserve"> NTEWS </w:t>
      </w:r>
      <w:r w:rsidR="002941B8">
        <w:rPr>
          <w:rFonts w:ascii="Times New Roman" w:hAnsi="Times New Roman" w:cs="Times New Roman"/>
          <w:sz w:val="24"/>
          <w:szCs w:val="24"/>
        </w:rPr>
        <w:t xml:space="preserve">sample for </w:t>
      </w:r>
      <w:r w:rsidR="00780085">
        <w:rPr>
          <w:rFonts w:ascii="Times New Roman" w:hAnsi="Times New Roman" w:cs="Times New Roman"/>
          <w:sz w:val="24"/>
          <w:szCs w:val="24"/>
        </w:rPr>
        <w:t xml:space="preserve">detecting differences among treatment groups, </w:t>
      </w:r>
      <w:r w:rsidR="0020709D">
        <w:rPr>
          <w:rFonts w:ascii="Times New Roman" w:hAnsi="Times New Roman" w:cs="Times New Roman"/>
          <w:sz w:val="24"/>
          <w:szCs w:val="24"/>
        </w:rPr>
        <w:t>a power analysis was condu</w:t>
      </w:r>
      <w:r w:rsidR="00804404">
        <w:rPr>
          <w:rFonts w:ascii="Times New Roman" w:hAnsi="Times New Roman" w:cs="Times New Roman"/>
          <w:sz w:val="24"/>
          <w:szCs w:val="24"/>
        </w:rPr>
        <w:t>ct</w:t>
      </w:r>
      <w:r w:rsidR="0020709D">
        <w:rPr>
          <w:rFonts w:ascii="Times New Roman" w:hAnsi="Times New Roman" w:cs="Times New Roman"/>
          <w:sz w:val="24"/>
          <w:szCs w:val="24"/>
        </w:rPr>
        <w:t>ed</w:t>
      </w:r>
      <w:r w:rsidR="00804404">
        <w:rPr>
          <w:rFonts w:ascii="Times New Roman" w:hAnsi="Times New Roman" w:cs="Times New Roman"/>
          <w:sz w:val="24"/>
          <w:szCs w:val="24"/>
        </w:rPr>
        <w:t>.</w:t>
      </w:r>
      <w:r w:rsidR="00AE3521">
        <w:rPr>
          <w:rFonts w:ascii="Times New Roman" w:hAnsi="Times New Roman" w:cs="Times New Roman"/>
          <w:sz w:val="24"/>
          <w:szCs w:val="24"/>
        </w:rPr>
        <w:t xml:space="preserve"> </w:t>
      </w:r>
      <w:r w:rsidRPr="00AE3521" w:rsidR="00AE3521">
        <w:rPr>
          <w:rFonts w:ascii="Times New Roman" w:hAnsi="Times New Roman" w:cs="Times New Roman"/>
          <w:sz w:val="24"/>
          <w:szCs w:val="24"/>
        </w:rPr>
        <w:t xml:space="preserve"> </w:t>
      </w:r>
      <w:r w:rsidR="00AE3521">
        <w:rPr>
          <w:rFonts w:ascii="Times New Roman" w:hAnsi="Times New Roman" w:cs="Times New Roman"/>
          <w:sz w:val="24"/>
          <w:szCs w:val="24"/>
        </w:rPr>
        <w:t>The overarching goal of the power analyses for the methodological experiments was to confirm that, given the planned national sample size of</w:t>
      </w:r>
      <w:r w:rsidR="00974EB4">
        <w:rPr>
          <w:rFonts w:ascii="Times New Roman" w:hAnsi="Times New Roman" w:cs="Times New Roman"/>
          <w:sz w:val="24"/>
          <w:szCs w:val="24"/>
        </w:rPr>
        <w:t xml:space="preserve"> 43,200</w:t>
      </w:r>
      <w:r w:rsidR="0008434D">
        <w:rPr>
          <w:rFonts w:ascii="Times New Roman" w:hAnsi="Times New Roman" w:cs="Times New Roman"/>
          <w:sz w:val="24"/>
          <w:szCs w:val="24"/>
        </w:rPr>
        <w:t>,</w:t>
      </w:r>
      <w:r w:rsidR="00AE3521">
        <w:rPr>
          <w:rFonts w:ascii="Times New Roman" w:hAnsi="Times New Roman" w:cs="Times New Roman"/>
          <w:sz w:val="24"/>
          <w:szCs w:val="24"/>
        </w:rPr>
        <w:t xml:space="preserve"> the planned comparisons could be conducted with acceptable minimum detectable differences between treatment groups. </w:t>
      </w:r>
    </w:p>
    <w:p w:rsidR="002E7892" w:rsidRDefault="00112783" w14:paraId="37479F5E" w14:textId="28F39D51">
      <w:pPr>
        <w:rPr>
          <w:rFonts w:ascii="Times New Roman" w:hAnsi="Times New Roman" w:cs="Times New Roman"/>
          <w:sz w:val="24"/>
          <w:szCs w:val="24"/>
        </w:rPr>
      </w:pPr>
      <w:r>
        <w:rPr>
          <w:rFonts w:ascii="Times New Roman" w:hAnsi="Times New Roman" w:cs="Times New Roman"/>
          <w:sz w:val="24"/>
          <w:szCs w:val="24"/>
        </w:rPr>
        <w:t xml:space="preserve">Additionally, and separate from the nationally representative sample, the NTEWS will be administered to a convenience sample of 1,000 known postsecondary certificate holders. This “seeded” sample </w:t>
      </w:r>
      <w:r w:rsidR="001E5137">
        <w:rPr>
          <w:rFonts w:ascii="Times New Roman" w:hAnsi="Times New Roman" w:cs="Times New Roman"/>
          <w:sz w:val="24"/>
          <w:szCs w:val="24"/>
        </w:rPr>
        <w:t>is</w:t>
      </w:r>
      <w:r>
        <w:rPr>
          <w:rFonts w:ascii="Times New Roman" w:hAnsi="Times New Roman" w:cs="Times New Roman"/>
          <w:sz w:val="24"/>
          <w:szCs w:val="24"/>
        </w:rPr>
        <w:t xml:space="preserve"> included to assess measurement error in the postsecondary certificate attainment item, which has been substantially revised from the prior version included on the ATES.</w:t>
      </w:r>
      <w:r w:rsidR="006071F6">
        <w:rPr>
          <w:rFonts w:ascii="Times New Roman" w:hAnsi="Times New Roman" w:cs="Times New Roman"/>
          <w:sz w:val="24"/>
          <w:szCs w:val="24"/>
        </w:rPr>
        <w:t xml:space="preserve"> A </w:t>
      </w:r>
      <w:r w:rsidR="00422129">
        <w:rPr>
          <w:rFonts w:ascii="Times New Roman" w:hAnsi="Times New Roman" w:cs="Times New Roman"/>
          <w:sz w:val="24"/>
          <w:szCs w:val="24"/>
        </w:rPr>
        <w:t>separate analysis was</w:t>
      </w:r>
      <w:r w:rsidR="006071F6">
        <w:rPr>
          <w:rFonts w:ascii="Times New Roman" w:hAnsi="Times New Roman" w:cs="Times New Roman"/>
          <w:sz w:val="24"/>
          <w:szCs w:val="24"/>
        </w:rPr>
        <w:t xml:space="preserve"> conducted to determine the requisite sample size for </w:t>
      </w:r>
      <w:r w:rsidR="001906FC">
        <w:rPr>
          <w:rFonts w:ascii="Times New Roman" w:hAnsi="Times New Roman" w:cs="Times New Roman"/>
          <w:sz w:val="24"/>
          <w:szCs w:val="24"/>
        </w:rPr>
        <w:t xml:space="preserve">evaluating measurement error </w:t>
      </w:r>
      <w:r w:rsidR="005E0AAD">
        <w:rPr>
          <w:rFonts w:ascii="Times New Roman" w:hAnsi="Times New Roman" w:cs="Times New Roman"/>
          <w:sz w:val="24"/>
          <w:szCs w:val="24"/>
        </w:rPr>
        <w:t>in th</w:t>
      </w:r>
      <w:r w:rsidR="003E4E2C">
        <w:rPr>
          <w:rFonts w:ascii="Times New Roman" w:hAnsi="Times New Roman" w:cs="Times New Roman"/>
          <w:sz w:val="24"/>
          <w:szCs w:val="24"/>
        </w:rPr>
        <w:t>is</w:t>
      </w:r>
      <w:r w:rsidR="005E0AAD">
        <w:rPr>
          <w:rFonts w:ascii="Times New Roman" w:hAnsi="Times New Roman" w:cs="Times New Roman"/>
          <w:sz w:val="24"/>
          <w:szCs w:val="24"/>
        </w:rPr>
        <w:t xml:space="preserve"> certificate item.</w:t>
      </w:r>
    </w:p>
    <w:p w:rsidRPr="00E2125B" w:rsidR="00856771" w:rsidRDefault="00571402" w14:paraId="4F7AD6D6" w14:textId="1336694C">
      <w:pPr>
        <w:rPr>
          <w:rFonts w:ascii="Times New Roman" w:hAnsi="Times New Roman" w:cs="Times New Roman"/>
          <w:i/>
          <w:iCs/>
          <w:sz w:val="24"/>
          <w:szCs w:val="24"/>
        </w:rPr>
      </w:pPr>
      <w:r>
        <w:rPr>
          <w:rFonts w:ascii="Times New Roman" w:hAnsi="Times New Roman" w:cs="Times New Roman"/>
          <w:i/>
          <w:iCs/>
          <w:sz w:val="24"/>
          <w:szCs w:val="24"/>
        </w:rPr>
        <w:t>1</w:t>
      </w:r>
      <w:r w:rsidR="00856771">
        <w:rPr>
          <w:rFonts w:ascii="Times New Roman" w:hAnsi="Times New Roman" w:cs="Times New Roman"/>
          <w:i/>
          <w:iCs/>
          <w:sz w:val="24"/>
          <w:szCs w:val="24"/>
        </w:rPr>
        <w:t xml:space="preserve">.1. </w:t>
      </w:r>
      <w:r w:rsidR="009964FA">
        <w:rPr>
          <w:rFonts w:ascii="Times New Roman" w:hAnsi="Times New Roman" w:cs="Times New Roman"/>
          <w:i/>
          <w:iCs/>
          <w:sz w:val="24"/>
          <w:szCs w:val="24"/>
        </w:rPr>
        <w:t>Overview of p</w:t>
      </w:r>
      <w:r w:rsidR="00DF2D8F">
        <w:rPr>
          <w:rFonts w:ascii="Times New Roman" w:hAnsi="Times New Roman" w:cs="Times New Roman"/>
          <w:i/>
          <w:iCs/>
          <w:sz w:val="24"/>
          <w:szCs w:val="24"/>
        </w:rPr>
        <w:t>lanned methodological experiments</w:t>
      </w:r>
      <w:r w:rsidR="003E1984">
        <w:rPr>
          <w:rFonts w:ascii="Times New Roman" w:hAnsi="Times New Roman" w:cs="Times New Roman"/>
          <w:i/>
          <w:iCs/>
          <w:sz w:val="24"/>
          <w:szCs w:val="24"/>
        </w:rPr>
        <w:t xml:space="preserve"> and seeded sample</w:t>
      </w:r>
    </w:p>
    <w:p w:rsidR="00A34FFD" w:rsidRDefault="00C265E1" w14:paraId="6E3D3FB7" w14:textId="344673A0">
      <w:pPr>
        <w:rPr>
          <w:rFonts w:ascii="Times New Roman" w:hAnsi="Times New Roman" w:cs="Times New Roman"/>
          <w:sz w:val="24"/>
          <w:szCs w:val="24"/>
        </w:rPr>
      </w:pPr>
      <w:r w:rsidRPr="00EE41FA">
        <w:rPr>
          <w:rFonts w:ascii="Times New Roman" w:hAnsi="Times New Roman" w:cs="Times New Roman"/>
          <w:sz w:val="24"/>
          <w:szCs w:val="24"/>
        </w:rPr>
        <w:t>The</w:t>
      </w:r>
      <w:r w:rsidRPr="00EE41FA" w:rsidR="00A27D0C">
        <w:rPr>
          <w:rFonts w:ascii="Times New Roman" w:hAnsi="Times New Roman" w:cs="Times New Roman"/>
          <w:sz w:val="24"/>
          <w:szCs w:val="24"/>
        </w:rPr>
        <w:t xml:space="preserve"> planned </w:t>
      </w:r>
      <w:r w:rsidRPr="00EE41FA" w:rsidR="00E34B4A">
        <w:rPr>
          <w:rFonts w:ascii="Times New Roman" w:hAnsi="Times New Roman" w:cs="Times New Roman"/>
          <w:sz w:val="24"/>
          <w:szCs w:val="24"/>
        </w:rPr>
        <w:t>national</w:t>
      </w:r>
      <w:r w:rsidRPr="00EE41FA" w:rsidR="00F267FB">
        <w:rPr>
          <w:rFonts w:ascii="Times New Roman" w:hAnsi="Times New Roman" w:cs="Times New Roman"/>
          <w:sz w:val="24"/>
          <w:szCs w:val="24"/>
        </w:rPr>
        <w:t xml:space="preserve"> </w:t>
      </w:r>
      <w:r w:rsidRPr="00EE41FA" w:rsidR="00317F40">
        <w:rPr>
          <w:rFonts w:ascii="Times New Roman" w:hAnsi="Times New Roman" w:cs="Times New Roman"/>
          <w:sz w:val="24"/>
          <w:szCs w:val="24"/>
        </w:rPr>
        <w:t>sample size for the</w:t>
      </w:r>
      <w:r w:rsidR="001D6839">
        <w:rPr>
          <w:rFonts w:ascii="Times New Roman" w:hAnsi="Times New Roman" w:cs="Times New Roman"/>
          <w:sz w:val="24"/>
          <w:szCs w:val="24"/>
        </w:rPr>
        <w:t xml:space="preserve"> initial cycle of the</w:t>
      </w:r>
      <w:r w:rsidRPr="00EE41FA" w:rsidR="00317F40">
        <w:rPr>
          <w:rFonts w:ascii="Times New Roman" w:hAnsi="Times New Roman" w:cs="Times New Roman"/>
          <w:sz w:val="24"/>
          <w:szCs w:val="24"/>
        </w:rPr>
        <w:t xml:space="preserve"> NTEWS (excluding the seeded sample) is </w:t>
      </w:r>
      <w:r w:rsidR="005A466E">
        <w:rPr>
          <w:rFonts w:ascii="Times New Roman" w:hAnsi="Times New Roman" w:cs="Times New Roman"/>
          <w:sz w:val="24"/>
          <w:szCs w:val="24"/>
        </w:rPr>
        <w:t>4</w:t>
      </w:r>
      <w:r w:rsidR="00E20BDC">
        <w:rPr>
          <w:rFonts w:ascii="Times New Roman" w:hAnsi="Times New Roman" w:cs="Times New Roman"/>
          <w:sz w:val="24"/>
          <w:szCs w:val="24"/>
        </w:rPr>
        <w:t>3</w:t>
      </w:r>
      <w:r w:rsidR="005A466E">
        <w:rPr>
          <w:rFonts w:ascii="Times New Roman" w:hAnsi="Times New Roman" w:cs="Times New Roman"/>
          <w:sz w:val="24"/>
          <w:szCs w:val="24"/>
        </w:rPr>
        <w:t>,</w:t>
      </w:r>
      <w:r w:rsidR="00E20BDC">
        <w:rPr>
          <w:rFonts w:ascii="Times New Roman" w:hAnsi="Times New Roman" w:cs="Times New Roman"/>
          <w:sz w:val="24"/>
          <w:szCs w:val="24"/>
        </w:rPr>
        <w:t>2</w:t>
      </w:r>
      <w:r w:rsidR="005A466E">
        <w:rPr>
          <w:rFonts w:ascii="Times New Roman" w:hAnsi="Times New Roman" w:cs="Times New Roman"/>
          <w:sz w:val="24"/>
          <w:szCs w:val="24"/>
        </w:rPr>
        <w:t>00</w:t>
      </w:r>
      <w:r w:rsidRPr="00EE41FA" w:rsidR="007E5D39">
        <w:rPr>
          <w:rFonts w:ascii="Times New Roman" w:hAnsi="Times New Roman" w:cs="Times New Roman"/>
          <w:sz w:val="24"/>
          <w:szCs w:val="24"/>
        </w:rPr>
        <w:t>.</w:t>
      </w:r>
      <w:r w:rsidRPr="00EE41FA" w:rsidR="00D36225">
        <w:rPr>
          <w:rFonts w:ascii="Times New Roman" w:hAnsi="Times New Roman" w:cs="Times New Roman"/>
          <w:sz w:val="24"/>
          <w:szCs w:val="24"/>
        </w:rPr>
        <w:t xml:space="preserve"> </w:t>
      </w:r>
      <w:r w:rsidR="00A34FFD">
        <w:rPr>
          <w:rFonts w:ascii="Times New Roman" w:hAnsi="Times New Roman" w:cs="Times New Roman"/>
          <w:sz w:val="24"/>
          <w:szCs w:val="24"/>
        </w:rPr>
        <w:t xml:space="preserve">This sample size was chosen to </w:t>
      </w:r>
      <w:r w:rsidR="00890CEC">
        <w:rPr>
          <w:rFonts w:ascii="Times New Roman" w:hAnsi="Times New Roman" w:cs="Times New Roman"/>
          <w:sz w:val="24"/>
          <w:szCs w:val="24"/>
        </w:rPr>
        <w:t xml:space="preserve">achieve </w:t>
      </w:r>
      <w:r w:rsidR="00134978">
        <w:rPr>
          <w:rFonts w:ascii="Times New Roman" w:hAnsi="Times New Roman" w:cs="Times New Roman"/>
          <w:sz w:val="24"/>
          <w:szCs w:val="24"/>
        </w:rPr>
        <w:t xml:space="preserve">precision targets </w:t>
      </w:r>
      <w:r w:rsidR="00397683">
        <w:rPr>
          <w:rFonts w:ascii="Times New Roman" w:hAnsi="Times New Roman" w:cs="Times New Roman"/>
          <w:sz w:val="24"/>
          <w:szCs w:val="24"/>
        </w:rPr>
        <w:t xml:space="preserve">for the estimated prevalence of key </w:t>
      </w:r>
      <w:r w:rsidR="00737D19">
        <w:rPr>
          <w:rFonts w:ascii="Times New Roman" w:hAnsi="Times New Roman" w:cs="Times New Roman"/>
          <w:sz w:val="24"/>
          <w:szCs w:val="24"/>
        </w:rPr>
        <w:t xml:space="preserve">credentials (certificates and licenses, postsecondary certificates, and </w:t>
      </w:r>
      <w:r w:rsidR="003B3A54">
        <w:rPr>
          <w:rFonts w:ascii="Times New Roman" w:hAnsi="Times New Roman" w:cs="Times New Roman"/>
          <w:sz w:val="24"/>
          <w:szCs w:val="24"/>
        </w:rPr>
        <w:t>work experience programs)</w:t>
      </w:r>
      <w:r w:rsidR="00362DC3">
        <w:rPr>
          <w:rFonts w:ascii="Times New Roman" w:hAnsi="Times New Roman" w:cs="Times New Roman"/>
          <w:sz w:val="24"/>
          <w:szCs w:val="24"/>
        </w:rPr>
        <w:t xml:space="preserve"> within </w:t>
      </w:r>
      <w:r w:rsidR="00E47247">
        <w:rPr>
          <w:rFonts w:ascii="Times New Roman" w:hAnsi="Times New Roman" w:cs="Times New Roman"/>
          <w:sz w:val="24"/>
          <w:szCs w:val="24"/>
        </w:rPr>
        <w:t xml:space="preserve">specified subpopulations. </w:t>
      </w:r>
      <w:r w:rsidR="0013724A">
        <w:rPr>
          <w:rFonts w:ascii="Times New Roman" w:hAnsi="Times New Roman" w:cs="Times New Roman"/>
          <w:sz w:val="24"/>
          <w:szCs w:val="24"/>
        </w:rPr>
        <w:t xml:space="preserve">The power analysis </w:t>
      </w:r>
      <w:r w:rsidR="007C3C76">
        <w:rPr>
          <w:rFonts w:ascii="Times New Roman" w:hAnsi="Times New Roman" w:cs="Times New Roman"/>
          <w:sz w:val="24"/>
          <w:szCs w:val="24"/>
        </w:rPr>
        <w:t>for the methodological experiments was then conducted</w:t>
      </w:r>
      <w:r w:rsidR="00BB04E2">
        <w:rPr>
          <w:rFonts w:ascii="Times New Roman" w:hAnsi="Times New Roman" w:cs="Times New Roman"/>
          <w:sz w:val="24"/>
          <w:szCs w:val="24"/>
        </w:rPr>
        <w:t xml:space="preserve"> </w:t>
      </w:r>
      <w:r w:rsidR="003C3BFE">
        <w:rPr>
          <w:rFonts w:ascii="Times New Roman" w:hAnsi="Times New Roman" w:cs="Times New Roman"/>
          <w:sz w:val="24"/>
          <w:szCs w:val="24"/>
        </w:rPr>
        <w:t>conditional on</w:t>
      </w:r>
      <w:r w:rsidR="00BB04E2">
        <w:rPr>
          <w:rFonts w:ascii="Times New Roman" w:hAnsi="Times New Roman" w:cs="Times New Roman"/>
          <w:sz w:val="24"/>
          <w:szCs w:val="24"/>
        </w:rPr>
        <w:t xml:space="preserve"> this </w:t>
      </w:r>
      <w:r w:rsidR="00B66043">
        <w:rPr>
          <w:rFonts w:ascii="Times New Roman" w:hAnsi="Times New Roman" w:cs="Times New Roman"/>
          <w:sz w:val="24"/>
          <w:szCs w:val="24"/>
        </w:rPr>
        <w:t>expected sample size.</w:t>
      </w:r>
      <w:r w:rsidR="00BB04E2">
        <w:rPr>
          <w:rFonts w:ascii="Times New Roman" w:hAnsi="Times New Roman" w:cs="Times New Roman"/>
          <w:sz w:val="24"/>
          <w:szCs w:val="24"/>
        </w:rPr>
        <w:t xml:space="preserve"> </w:t>
      </w:r>
      <w:r w:rsidR="00907200">
        <w:rPr>
          <w:rFonts w:ascii="Times New Roman" w:hAnsi="Times New Roman" w:cs="Times New Roman"/>
          <w:sz w:val="24"/>
          <w:szCs w:val="24"/>
        </w:rPr>
        <w:t>That is, the purpose of the power analysis was to determine what differences</w:t>
      </w:r>
      <w:r w:rsidR="00C05932">
        <w:rPr>
          <w:rFonts w:ascii="Times New Roman" w:hAnsi="Times New Roman" w:cs="Times New Roman"/>
          <w:sz w:val="24"/>
          <w:szCs w:val="24"/>
        </w:rPr>
        <w:t xml:space="preserve"> in response rates and estimates</w:t>
      </w:r>
      <w:r w:rsidR="00907200">
        <w:rPr>
          <w:rFonts w:ascii="Times New Roman" w:hAnsi="Times New Roman" w:cs="Times New Roman"/>
          <w:sz w:val="24"/>
          <w:szCs w:val="24"/>
        </w:rPr>
        <w:t xml:space="preserve"> could be detected between experimental treatments </w:t>
      </w:r>
      <w:r w:rsidR="00C05932">
        <w:rPr>
          <w:rFonts w:ascii="Times New Roman" w:hAnsi="Times New Roman" w:cs="Times New Roman"/>
          <w:sz w:val="24"/>
          <w:szCs w:val="24"/>
        </w:rPr>
        <w:t xml:space="preserve">given the selected sample size, </w:t>
      </w:r>
      <w:r w:rsidR="00C05932">
        <w:rPr>
          <w:rFonts w:ascii="Times New Roman" w:hAnsi="Times New Roman" w:cs="Times New Roman"/>
          <w:sz w:val="24"/>
          <w:szCs w:val="24"/>
        </w:rPr>
        <w:lastRenderedPageBreak/>
        <w:t>rather than to inform the choice of the sample size</w:t>
      </w:r>
      <w:r w:rsidR="003B3239">
        <w:rPr>
          <w:rFonts w:ascii="Times New Roman" w:hAnsi="Times New Roman" w:cs="Times New Roman"/>
          <w:sz w:val="24"/>
          <w:szCs w:val="24"/>
        </w:rPr>
        <w:t xml:space="preserve"> (which was determined independently of the experiments)</w:t>
      </w:r>
      <w:r w:rsidR="00C05932">
        <w:rPr>
          <w:rFonts w:ascii="Times New Roman" w:hAnsi="Times New Roman" w:cs="Times New Roman"/>
          <w:sz w:val="24"/>
          <w:szCs w:val="24"/>
        </w:rPr>
        <w:t xml:space="preserve">. </w:t>
      </w:r>
      <w:r w:rsidR="00E23C28">
        <w:rPr>
          <w:rFonts w:ascii="Times New Roman" w:hAnsi="Times New Roman" w:cs="Times New Roman"/>
          <w:sz w:val="24"/>
          <w:szCs w:val="24"/>
        </w:rPr>
        <w:t xml:space="preserve">Refer </w:t>
      </w:r>
      <w:r w:rsidRPr="00246B3C" w:rsidR="00E23C28">
        <w:rPr>
          <w:rFonts w:ascii="Times New Roman" w:hAnsi="Times New Roman" w:cs="Times New Roman"/>
          <w:sz w:val="24"/>
          <w:szCs w:val="24"/>
        </w:rPr>
        <w:t xml:space="preserve">to Appendix </w:t>
      </w:r>
      <w:r w:rsidRPr="00246B3C" w:rsidR="00246B3C">
        <w:rPr>
          <w:rFonts w:ascii="Times New Roman" w:hAnsi="Times New Roman" w:cs="Times New Roman"/>
          <w:sz w:val="24"/>
          <w:szCs w:val="24"/>
        </w:rPr>
        <w:t>C</w:t>
      </w:r>
      <w:r w:rsidRPr="00246B3C" w:rsidR="00E23C28">
        <w:rPr>
          <w:rFonts w:ascii="Times New Roman" w:hAnsi="Times New Roman" w:cs="Times New Roman"/>
          <w:sz w:val="24"/>
          <w:szCs w:val="24"/>
        </w:rPr>
        <w:t xml:space="preserve"> for</w:t>
      </w:r>
      <w:r w:rsidR="00E23C28">
        <w:rPr>
          <w:rFonts w:ascii="Times New Roman" w:hAnsi="Times New Roman" w:cs="Times New Roman"/>
          <w:sz w:val="24"/>
          <w:szCs w:val="24"/>
        </w:rPr>
        <w:t xml:space="preserve"> </w:t>
      </w:r>
      <w:r w:rsidR="006565B5">
        <w:rPr>
          <w:rFonts w:ascii="Times New Roman" w:hAnsi="Times New Roman" w:cs="Times New Roman"/>
          <w:sz w:val="24"/>
          <w:szCs w:val="24"/>
        </w:rPr>
        <w:t xml:space="preserve">a more detailed discussion of </w:t>
      </w:r>
      <w:r w:rsidR="007F56BD">
        <w:rPr>
          <w:rFonts w:ascii="Times New Roman" w:hAnsi="Times New Roman" w:cs="Times New Roman"/>
          <w:sz w:val="24"/>
          <w:szCs w:val="24"/>
        </w:rPr>
        <w:t>the sample design for the NTEWS.</w:t>
      </w:r>
    </w:p>
    <w:p w:rsidRPr="00EE41FA" w:rsidR="00222B02" w:rsidRDefault="00D36225" w14:paraId="4117BC1A" w14:textId="26A39FFC">
      <w:pPr>
        <w:rPr>
          <w:rFonts w:ascii="Times New Roman" w:hAnsi="Times New Roman" w:cs="Times New Roman"/>
          <w:sz w:val="24"/>
          <w:szCs w:val="24"/>
        </w:rPr>
      </w:pPr>
      <w:r w:rsidRPr="00EE41FA">
        <w:rPr>
          <w:rFonts w:ascii="Times New Roman" w:hAnsi="Times New Roman" w:cs="Times New Roman"/>
          <w:sz w:val="24"/>
          <w:szCs w:val="24"/>
        </w:rPr>
        <w:t xml:space="preserve">Two </w:t>
      </w:r>
      <w:r w:rsidR="0009797A">
        <w:rPr>
          <w:rFonts w:ascii="Times New Roman" w:hAnsi="Times New Roman" w:cs="Times New Roman"/>
          <w:sz w:val="24"/>
          <w:szCs w:val="24"/>
        </w:rPr>
        <w:t xml:space="preserve">randomized </w:t>
      </w:r>
      <w:r w:rsidRPr="00EE41FA">
        <w:rPr>
          <w:rFonts w:ascii="Times New Roman" w:hAnsi="Times New Roman" w:cs="Times New Roman"/>
          <w:sz w:val="24"/>
          <w:szCs w:val="24"/>
        </w:rPr>
        <w:t>methodological experiments will be incorporated into the national sample:</w:t>
      </w:r>
    </w:p>
    <w:p w:rsidRPr="00EE41FA" w:rsidR="00D36225" w:rsidP="00E2125B" w:rsidRDefault="000C334A" w14:paraId="44431A51" w14:textId="3F14044D">
      <w:pPr>
        <w:pStyle w:val="ListParagraph"/>
        <w:numPr>
          <w:ilvl w:val="0"/>
          <w:numId w:val="8"/>
        </w:numPr>
        <w:rPr>
          <w:rFonts w:ascii="Times New Roman" w:hAnsi="Times New Roman" w:cs="Times New Roman"/>
          <w:sz w:val="24"/>
          <w:szCs w:val="24"/>
        </w:rPr>
      </w:pPr>
      <w:bookmarkStart w:name="_Hlk20232847" w:id="0"/>
      <w:r w:rsidRPr="00EE41FA">
        <w:rPr>
          <w:rFonts w:ascii="Times New Roman" w:hAnsi="Times New Roman" w:cs="Times New Roman"/>
          <w:sz w:val="24"/>
          <w:szCs w:val="24"/>
        </w:rPr>
        <w:t>Contact</w:t>
      </w:r>
      <w:r w:rsidR="00F840FF">
        <w:rPr>
          <w:rFonts w:ascii="Times New Roman" w:hAnsi="Times New Roman" w:cs="Times New Roman"/>
          <w:sz w:val="24"/>
          <w:szCs w:val="24"/>
        </w:rPr>
        <w:t>-</w:t>
      </w:r>
      <w:r w:rsidRPr="00EE41FA">
        <w:rPr>
          <w:rFonts w:ascii="Times New Roman" w:hAnsi="Times New Roman" w:cs="Times New Roman"/>
          <w:sz w:val="24"/>
          <w:szCs w:val="24"/>
        </w:rPr>
        <w:t>strateg</w:t>
      </w:r>
      <w:r w:rsidR="00D40F52">
        <w:rPr>
          <w:rFonts w:ascii="Times New Roman" w:hAnsi="Times New Roman" w:cs="Times New Roman"/>
          <w:sz w:val="24"/>
          <w:szCs w:val="24"/>
        </w:rPr>
        <w:t>ies</w:t>
      </w:r>
      <w:r w:rsidRPr="00EE41FA">
        <w:rPr>
          <w:rFonts w:ascii="Times New Roman" w:hAnsi="Times New Roman" w:cs="Times New Roman"/>
          <w:sz w:val="24"/>
          <w:szCs w:val="24"/>
        </w:rPr>
        <w:t xml:space="preserve"> experiment</w:t>
      </w:r>
      <w:r w:rsidR="00963BA1">
        <w:rPr>
          <w:rFonts w:ascii="Times New Roman" w:hAnsi="Times New Roman" w:cs="Times New Roman"/>
          <w:sz w:val="24"/>
          <w:szCs w:val="24"/>
        </w:rPr>
        <w:t xml:space="preserve"> </w:t>
      </w:r>
    </w:p>
    <w:p w:rsidRPr="00EE41FA" w:rsidR="00C2203E" w:rsidP="000C334A" w:rsidRDefault="00E320BE" w14:paraId="26526E81" w14:textId="47026B19">
      <w:pPr>
        <w:pStyle w:val="ListParagraph"/>
        <w:numPr>
          <w:ilvl w:val="1"/>
          <w:numId w:val="6"/>
        </w:numPr>
        <w:rPr>
          <w:rFonts w:ascii="Times New Roman" w:hAnsi="Times New Roman" w:cs="Times New Roman"/>
          <w:sz w:val="24"/>
          <w:szCs w:val="24"/>
        </w:rPr>
      </w:pPr>
      <w:r w:rsidRPr="00EE41FA">
        <w:rPr>
          <w:rFonts w:ascii="Times New Roman" w:hAnsi="Times New Roman" w:cs="Times New Roman"/>
          <w:sz w:val="24"/>
          <w:szCs w:val="24"/>
        </w:rPr>
        <w:t xml:space="preserve">NSCG-style </w:t>
      </w:r>
      <w:r w:rsidRPr="00EE41FA" w:rsidR="004E3E8F">
        <w:rPr>
          <w:rFonts w:ascii="Times New Roman" w:hAnsi="Times New Roman" w:cs="Times New Roman"/>
          <w:sz w:val="24"/>
          <w:szCs w:val="24"/>
        </w:rPr>
        <w:t>alternating modes</w:t>
      </w:r>
      <w:r w:rsidR="00271C31">
        <w:rPr>
          <w:rFonts w:ascii="Times New Roman" w:hAnsi="Times New Roman" w:cs="Times New Roman"/>
          <w:sz w:val="24"/>
          <w:szCs w:val="24"/>
        </w:rPr>
        <w:t xml:space="preserve"> (</w:t>
      </w:r>
      <w:r w:rsidR="00271C31">
        <w:rPr>
          <w:rFonts w:ascii="Times New Roman" w:hAnsi="Times New Roman" w:cs="Times New Roman"/>
          <w:i/>
          <w:sz w:val="24"/>
          <w:szCs w:val="24"/>
        </w:rPr>
        <w:t>NSCG</w:t>
      </w:r>
      <w:r w:rsidR="00271C31">
        <w:rPr>
          <w:rFonts w:ascii="Times New Roman" w:hAnsi="Times New Roman" w:cs="Times New Roman"/>
          <w:sz w:val="24"/>
          <w:szCs w:val="24"/>
        </w:rPr>
        <w:t>)</w:t>
      </w:r>
      <w:r w:rsidRPr="00EE41FA" w:rsidR="004E3E8F">
        <w:rPr>
          <w:rFonts w:ascii="Times New Roman" w:hAnsi="Times New Roman" w:cs="Times New Roman"/>
          <w:sz w:val="24"/>
          <w:szCs w:val="24"/>
        </w:rPr>
        <w:t xml:space="preserve">: </w:t>
      </w:r>
      <w:r w:rsidR="005E07BF">
        <w:rPr>
          <w:rFonts w:ascii="Times New Roman" w:hAnsi="Times New Roman" w:cs="Times New Roman"/>
          <w:sz w:val="24"/>
          <w:szCs w:val="24"/>
        </w:rPr>
        <w:t>9,</w:t>
      </w:r>
      <w:r w:rsidR="00E20BDC">
        <w:rPr>
          <w:rFonts w:ascii="Times New Roman" w:hAnsi="Times New Roman" w:cs="Times New Roman"/>
          <w:sz w:val="24"/>
          <w:szCs w:val="24"/>
        </w:rPr>
        <w:t>720</w:t>
      </w:r>
      <w:r w:rsidRPr="00EE41FA" w:rsidR="00E20BDC">
        <w:rPr>
          <w:rFonts w:ascii="Times New Roman" w:hAnsi="Times New Roman" w:cs="Times New Roman"/>
          <w:sz w:val="24"/>
          <w:szCs w:val="24"/>
        </w:rPr>
        <w:t xml:space="preserve"> </w:t>
      </w:r>
      <w:r w:rsidR="00677881">
        <w:rPr>
          <w:rFonts w:ascii="Times New Roman" w:hAnsi="Times New Roman" w:cs="Times New Roman"/>
          <w:sz w:val="24"/>
          <w:szCs w:val="24"/>
        </w:rPr>
        <w:t>sample members</w:t>
      </w:r>
    </w:p>
    <w:p w:rsidRPr="00EE41FA" w:rsidR="003E3CC0" w:rsidP="003E3CC0" w:rsidRDefault="00C2203E" w14:paraId="1019AD1D" w14:textId="4395C276">
      <w:pPr>
        <w:pStyle w:val="ListParagraph"/>
        <w:numPr>
          <w:ilvl w:val="1"/>
          <w:numId w:val="6"/>
        </w:numPr>
        <w:rPr>
          <w:rFonts w:ascii="Times New Roman" w:hAnsi="Times New Roman" w:cs="Times New Roman"/>
          <w:sz w:val="24"/>
          <w:szCs w:val="24"/>
        </w:rPr>
      </w:pPr>
      <w:r w:rsidRPr="00EE41FA">
        <w:rPr>
          <w:rFonts w:ascii="Times New Roman" w:hAnsi="Times New Roman" w:cs="Times New Roman"/>
          <w:sz w:val="24"/>
          <w:szCs w:val="24"/>
        </w:rPr>
        <w:t>NHES-style sequential modes</w:t>
      </w:r>
      <w:r w:rsidR="0023024E">
        <w:rPr>
          <w:rFonts w:ascii="Times New Roman" w:hAnsi="Times New Roman" w:cs="Times New Roman"/>
          <w:sz w:val="24"/>
          <w:szCs w:val="24"/>
        </w:rPr>
        <w:t xml:space="preserve"> (</w:t>
      </w:r>
      <w:r w:rsidR="0023024E">
        <w:rPr>
          <w:rFonts w:ascii="Times New Roman" w:hAnsi="Times New Roman" w:cs="Times New Roman"/>
          <w:i/>
          <w:sz w:val="24"/>
          <w:szCs w:val="24"/>
        </w:rPr>
        <w:t>NHES</w:t>
      </w:r>
      <w:r w:rsidR="0023024E">
        <w:rPr>
          <w:rFonts w:ascii="Times New Roman" w:hAnsi="Times New Roman" w:cs="Times New Roman"/>
          <w:sz w:val="24"/>
          <w:szCs w:val="24"/>
        </w:rPr>
        <w:t>)</w:t>
      </w:r>
      <w:r w:rsidRPr="00EE41FA">
        <w:rPr>
          <w:rFonts w:ascii="Times New Roman" w:hAnsi="Times New Roman" w:cs="Times New Roman"/>
          <w:sz w:val="24"/>
          <w:szCs w:val="24"/>
        </w:rPr>
        <w:t xml:space="preserve">: </w:t>
      </w:r>
      <w:r w:rsidR="005E07BF">
        <w:rPr>
          <w:rFonts w:ascii="Times New Roman" w:hAnsi="Times New Roman" w:cs="Times New Roman"/>
          <w:sz w:val="24"/>
          <w:szCs w:val="24"/>
        </w:rPr>
        <w:t>9,</w:t>
      </w:r>
      <w:r w:rsidR="00E20BDC">
        <w:rPr>
          <w:rFonts w:ascii="Times New Roman" w:hAnsi="Times New Roman" w:cs="Times New Roman"/>
          <w:sz w:val="24"/>
          <w:szCs w:val="24"/>
        </w:rPr>
        <w:t>720</w:t>
      </w:r>
      <w:r w:rsidRPr="00EE41FA" w:rsidR="00E20BDC">
        <w:rPr>
          <w:rFonts w:ascii="Times New Roman" w:hAnsi="Times New Roman" w:cs="Times New Roman"/>
          <w:sz w:val="24"/>
          <w:szCs w:val="24"/>
        </w:rPr>
        <w:t xml:space="preserve"> </w:t>
      </w:r>
      <w:r w:rsidR="00677881">
        <w:rPr>
          <w:rFonts w:ascii="Times New Roman" w:hAnsi="Times New Roman" w:cs="Times New Roman"/>
          <w:sz w:val="24"/>
          <w:szCs w:val="24"/>
        </w:rPr>
        <w:t>sample members</w:t>
      </w:r>
    </w:p>
    <w:p w:rsidRPr="00EE41FA" w:rsidR="000C334A" w:rsidP="003E3CC0" w:rsidRDefault="009A153E" w14:paraId="25AD43B3" w14:textId="63520181">
      <w:pPr>
        <w:pStyle w:val="ListParagraph"/>
        <w:numPr>
          <w:ilvl w:val="1"/>
          <w:numId w:val="6"/>
        </w:numPr>
        <w:rPr>
          <w:rFonts w:ascii="Times New Roman" w:hAnsi="Times New Roman" w:cs="Times New Roman"/>
          <w:sz w:val="24"/>
          <w:szCs w:val="24"/>
        </w:rPr>
      </w:pPr>
      <w:r w:rsidRPr="00EE41FA">
        <w:rPr>
          <w:rFonts w:ascii="Times New Roman" w:hAnsi="Times New Roman" w:cs="Times New Roman"/>
          <w:sz w:val="24"/>
          <w:szCs w:val="24"/>
        </w:rPr>
        <w:t xml:space="preserve">Choice (no </w:t>
      </w:r>
      <w:r w:rsidR="00245DDD">
        <w:rPr>
          <w:rFonts w:ascii="Times New Roman" w:hAnsi="Times New Roman" w:cs="Times New Roman"/>
          <w:sz w:val="24"/>
          <w:szCs w:val="24"/>
        </w:rPr>
        <w:t>contingent</w:t>
      </w:r>
      <w:r w:rsidRPr="00EE41FA" w:rsidR="00245DDD">
        <w:rPr>
          <w:rFonts w:ascii="Times New Roman" w:hAnsi="Times New Roman" w:cs="Times New Roman"/>
          <w:sz w:val="24"/>
          <w:szCs w:val="24"/>
        </w:rPr>
        <w:t xml:space="preserve"> </w:t>
      </w:r>
      <w:r w:rsidRPr="00EE41FA">
        <w:rPr>
          <w:rFonts w:ascii="Times New Roman" w:hAnsi="Times New Roman" w:cs="Times New Roman"/>
          <w:sz w:val="24"/>
          <w:szCs w:val="24"/>
        </w:rPr>
        <w:t>incentive)</w:t>
      </w:r>
      <w:r w:rsidR="00A85481">
        <w:rPr>
          <w:rFonts w:ascii="Times New Roman" w:hAnsi="Times New Roman" w:cs="Times New Roman"/>
          <w:sz w:val="24"/>
          <w:szCs w:val="24"/>
        </w:rPr>
        <w:t xml:space="preserve"> (</w:t>
      </w:r>
      <w:r w:rsidR="00A85481">
        <w:rPr>
          <w:rFonts w:ascii="Times New Roman" w:hAnsi="Times New Roman" w:cs="Times New Roman"/>
          <w:i/>
          <w:sz w:val="24"/>
          <w:szCs w:val="24"/>
        </w:rPr>
        <w:t>CHOICE</w:t>
      </w:r>
      <w:r w:rsidR="00A85481">
        <w:rPr>
          <w:rFonts w:ascii="Times New Roman" w:hAnsi="Times New Roman" w:cs="Times New Roman"/>
          <w:sz w:val="24"/>
          <w:szCs w:val="24"/>
        </w:rPr>
        <w:t>)</w:t>
      </w:r>
      <w:r w:rsidRPr="00EE41FA">
        <w:rPr>
          <w:rFonts w:ascii="Times New Roman" w:hAnsi="Times New Roman" w:cs="Times New Roman"/>
          <w:sz w:val="24"/>
          <w:szCs w:val="24"/>
        </w:rPr>
        <w:t xml:space="preserve">: </w:t>
      </w:r>
      <w:r w:rsidR="005E07BF">
        <w:rPr>
          <w:rFonts w:ascii="Times New Roman" w:hAnsi="Times New Roman" w:cs="Times New Roman"/>
          <w:sz w:val="24"/>
          <w:szCs w:val="24"/>
        </w:rPr>
        <w:t>4,</w:t>
      </w:r>
      <w:r w:rsidR="00E20BDC">
        <w:rPr>
          <w:rFonts w:ascii="Times New Roman" w:hAnsi="Times New Roman" w:cs="Times New Roman"/>
          <w:sz w:val="24"/>
          <w:szCs w:val="24"/>
        </w:rPr>
        <w:t>860</w:t>
      </w:r>
      <w:r w:rsidRPr="00EE41FA">
        <w:rPr>
          <w:rFonts w:ascii="Times New Roman" w:hAnsi="Times New Roman" w:cs="Times New Roman"/>
          <w:sz w:val="24"/>
          <w:szCs w:val="24"/>
        </w:rPr>
        <w:t xml:space="preserve"> </w:t>
      </w:r>
      <w:r w:rsidR="00677881">
        <w:rPr>
          <w:rFonts w:ascii="Times New Roman" w:hAnsi="Times New Roman" w:cs="Times New Roman"/>
          <w:sz w:val="24"/>
          <w:szCs w:val="24"/>
        </w:rPr>
        <w:t>sample members</w:t>
      </w:r>
    </w:p>
    <w:p w:rsidRPr="00EE41FA" w:rsidR="009A153E" w:rsidP="003E3CC0" w:rsidRDefault="009A153E" w14:paraId="3D132907" w14:textId="5C10AD7E">
      <w:pPr>
        <w:pStyle w:val="ListParagraph"/>
        <w:numPr>
          <w:ilvl w:val="1"/>
          <w:numId w:val="6"/>
        </w:numPr>
        <w:rPr>
          <w:rFonts w:ascii="Times New Roman" w:hAnsi="Times New Roman" w:cs="Times New Roman"/>
          <w:sz w:val="24"/>
          <w:szCs w:val="24"/>
        </w:rPr>
      </w:pPr>
      <w:r w:rsidRPr="00EE41FA">
        <w:rPr>
          <w:rFonts w:ascii="Times New Roman" w:hAnsi="Times New Roman" w:cs="Times New Roman"/>
          <w:sz w:val="24"/>
          <w:szCs w:val="24"/>
        </w:rPr>
        <w:t xml:space="preserve">Choice-plus ($20 </w:t>
      </w:r>
      <w:r w:rsidR="00245DDD">
        <w:rPr>
          <w:rFonts w:ascii="Times New Roman" w:hAnsi="Times New Roman" w:cs="Times New Roman"/>
          <w:sz w:val="24"/>
          <w:szCs w:val="24"/>
        </w:rPr>
        <w:t>contingent</w:t>
      </w:r>
      <w:r w:rsidRPr="00EE41FA" w:rsidR="00245DDD">
        <w:rPr>
          <w:rFonts w:ascii="Times New Roman" w:hAnsi="Times New Roman" w:cs="Times New Roman"/>
          <w:sz w:val="24"/>
          <w:szCs w:val="24"/>
        </w:rPr>
        <w:t xml:space="preserve"> </w:t>
      </w:r>
      <w:r w:rsidRPr="00EE41FA">
        <w:rPr>
          <w:rFonts w:ascii="Times New Roman" w:hAnsi="Times New Roman" w:cs="Times New Roman"/>
          <w:sz w:val="24"/>
          <w:szCs w:val="24"/>
        </w:rPr>
        <w:t>incentive)</w:t>
      </w:r>
      <w:r w:rsidR="00962212">
        <w:rPr>
          <w:rFonts w:ascii="Times New Roman" w:hAnsi="Times New Roman" w:cs="Times New Roman"/>
          <w:sz w:val="24"/>
          <w:szCs w:val="24"/>
        </w:rPr>
        <w:t xml:space="preserve"> (</w:t>
      </w:r>
      <w:r w:rsidR="00962212">
        <w:rPr>
          <w:rFonts w:ascii="Times New Roman" w:hAnsi="Times New Roman" w:cs="Times New Roman"/>
          <w:i/>
          <w:sz w:val="24"/>
          <w:szCs w:val="24"/>
        </w:rPr>
        <w:t>CHOICEPLUS</w:t>
      </w:r>
      <w:r w:rsidR="00962212">
        <w:rPr>
          <w:rFonts w:ascii="Times New Roman" w:hAnsi="Times New Roman" w:cs="Times New Roman"/>
          <w:sz w:val="24"/>
          <w:szCs w:val="24"/>
        </w:rPr>
        <w:t>)</w:t>
      </w:r>
      <w:r w:rsidRPr="00EE41FA">
        <w:rPr>
          <w:rFonts w:ascii="Times New Roman" w:hAnsi="Times New Roman" w:cs="Times New Roman"/>
          <w:sz w:val="24"/>
          <w:szCs w:val="24"/>
        </w:rPr>
        <w:t xml:space="preserve">: </w:t>
      </w:r>
      <w:r w:rsidR="005E07BF">
        <w:rPr>
          <w:rFonts w:ascii="Times New Roman" w:hAnsi="Times New Roman" w:cs="Times New Roman"/>
          <w:sz w:val="24"/>
          <w:szCs w:val="24"/>
        </w:rPr>
        <w:t>4,</w:t>
      </w:r>
      <w:r w:rsidR="00E20BDC">
        <w:rPr>
          <w:rFonts w:ascii="Times New Roman" w:hAnsi="Times New Roman" w:cs="Times New Roman"/>
          <w:sz w:val="24"/>
          <w:szCs w:val="24"/>
        </w:rPr>
        <w:t>860</w:t>
      </w:r>
      <w:r w:rsidR="005E07BF">
        <w:rPr>
          <w:rFonts w:ascii="Times New Roman" w:hAnsi="Times New Roman" w:cs="Times New Roman"/>
          <w:sz w:val="24"/>
          <w:szCs w:val="24"/>
        </w:rPr>
        <w:t xml:space="preserve"> </w:t>
      </w:r>
      <w:r w:rsidR="00677881">
        <w:rPr>
          <w:rFonts w:ascii="Times New Roman" w:hAnsi="Times New Roman" w:cs="Times New Roman"/>
          <w:sz w:val="24"/>
          <w:szCs w:val="24"/>
        </w:rPr>
        <w:t>sample members</w:t>
      </w:r>
    </w:p>
    <w:p w:rsidRPr="00EE41FA" w:rsidR="009A153E" w:rsidP="003E3CC0" w:rsidRDefault="0000550D" w14:paraId="28D5EFEA" w14:textId="06DCAFBE">
      <w:pPr>
        <w:pStyle w:val="ListParagraph"/>
        <w:numPr>
          <w:ilvl w:val="1"/>
          <w:numId w:val="6"/>
        </w:numPr>
        <w:rPr>
          <w:rFonts w:ascii="Times New Roman" w:hAnsi="Times New Roman" w:cs="Times New Roman"/>
          <w:sz w:val="24"/>
          <w:szCs w:val="24"/>
        </w:rPr>
      </w:pPr>
      <w:r w:rsidRPr="00EE41FA">
        <w:rPr>
          <w:rFonts w:ascii="Times New Roman" w:hAnsi="Times New Roman" w:cs="Times New Roman"/>
          <w:sz w:val="24"/>
          <w:szCs w:val="24"/>
        </w:rPr>
        <w:t>Paper-focused</w:t>
      </w:r>
      <w:r w:rsidR="00D64050">
        <w:rPr>
          <w:rFonts w:ascii="Times New Roman" w:hAnsi="Times New Roman" w:cs="Times New Roman"/>
          <w:sz w:val="24"/>
          <w:szCs w:val="24"/>
        </w:rPr>
        <w:t xml:space="preserve"> (</w:t>
      </w:r>
      <w:r w:rsidR="00D64050">
        <w:rPr>
          <w:rFonts w:ascii="Times New Roman" w:hAnsi="Times New Roman" w:cs="Times New Roman"/>
          <w:i/>
          <w:sz w:val="24"/>
          <w:szCs w:val="24"/>
        </w:rPr>
        <w:t>PAP</w:t>
      </w:r>
      <w:r w:rsidR="00D64050">
        <w:rPr>
          <w:rFonts w:ascii="Times New Roman" w:hAnsi="Times New Roman" w:cs="Times New Roman"/>
          <w:sz w:val="24"/>
          <w:szCs w:val="24"/>
        </w:rPr>
        <w:t>)</w:t>
      </w:r>
      <w:r w:rsidRPr="00EE41FA">
        <w:rPr>
          <w:rFonts w:ascii="Times New Roman" w:hAnsi="Times New Roman" w:cs="Times New Roman"/>
          <w:sz w:val="24"/>
          <w:szCs w:val="24"/>
        </w:rPr>
        <w:t xml:space="preserve">: </w:t>
      </w:r>
      <w:r w:rsidR="005E07BF">
        <w:rPr>
          <w:rFonts w:ascii="Times New Roman" w:hAnsi="Times New Roman" w:cs="Times New Roman"/>
          <w:sz w:val="24"/>
          <w:szCs w:val="24"/>
        </w:rPr>
        <w:t>9,</w:t>
      </w:r>
      <w:r w:rsidR="00E20BDC">
        <w:rPr>
          <w:rFonts w:ascii="Times New Roman" w:hAnsi="Times New Roman" w:cs="Times New Roman"/>
          <w:sz w:val="24"/>
          <w:szCs w:val="24"/>
        </w:rPr>
        <w:t>720</w:t>
      </w:r>
      <w:r w:rsidRPr="00EE41FA">
        <w:rPr>
          <w:rFonts w:ascii="Times New Roman" w:hAnsi="Times New Roman" w:cs="Times New Roman"/>
          <w:sz w:val="24"/>
          <w:szCs w:val="24"/>
        </w:rPr>
        <w:t xml:space="preserve"> </w:t>
      </w:r>
      <w:r w:rsidR="00677881">
        <w:rPr>
          <w:rFonts w:ascii="Times New Roman" w:hAnsi="Times New Roman" w:cs="Times New Roman"/>
          <w:sz w:val="24"/>
          <w:szCs w:val="24"/>
        </w:rPr>
        <w:t>sample members</w:t>
      </w:r>
    </w:p>
    <w:p w:rsidRPr="00EE41FA" w:rsidR="0000550D" w:rsidP="003E3CC0" w:rsidRDefault="0000550D" w14:paraId="48AD03BB" w14:textId="7471E18F">
      <w:pPr>
        <w:pStyle w:val="ListParagraph"/>
        <w:numPr>
          <w:ilvl w:val="1"/>
          <w:numId w:val="6"/>
        </w:numPr>
        <w:rPr>
          <w:rFonts w:ascii="Times New Roman" w:hAnsi="Times New Roman" w:cs="Times New Roman"/>
          <w:sz w:val="24"/>
          <w:szCs w:val="24"/>
        </w:rPr>
      </w:pPr>
      <w:r w:rsidRPr="00EE41FA">
        <w:rPr>
          <w:rFonts w:ascii="Times New Roman" w:hAnsi="Times New Roman" w:cs="Times New Roman"/>
          <w:sz w:val="24"/>
          <w:szCs w:val="24"/>
        </w:rPr>
        <w:t>CATI-focused</w:t>
      </w:r>
      <w:r w:rsidR="004F4227">
        <w:rPr>
          <w:rFonts w:ascii="Times New Roman" w:hAnsi="Times New Roman" w:cs="Times New Roman"/>
          <w:sz w:val="24"/>
          <w:szCs w:val="24"/>
        </w:rPr>
        <w:t xml:space="preserve"> (</w:t>
      </w:r>
      <w:r w:rsidR="004F4227">
        <w:rPr>
          <w:rFonts w:ascii="Times New Roman" w:hAnsi="Times New Roman" w:cs="Times New Roman"/>
          <w:i/>
          <w:sz w:val="24"/>
          <w:szCs w:val="24"/>
        </w:rPr>
        <w:t>CAT</w:t>
      </w:r>
      <w:r w:rsidR="004F4227">
        <w:rPr>
          <w:rFonts w:ascii="Times New Roman" w:hAnsi="Times New Roman" w:cs="Times New Roman"/>
          <w:sz w:val="24"/>
          <w:szCs w:val="24"/>
        </w:rPr>
        <w:t>)</w:t>
      </w:r>
      <w:r w:rsidRPr="00EE41FA">
        <w:rPr>
          <w:rFonts w:ascii="Times New Roman" w:hAnsi="Times New Roman" w:cs="Times New Roman"/>
          <w:sz w:val="24"/>
          <w:szCs w:val="24"/>
        </w:rPr>
        <w:t xml:space="preserve">: </w:t>
      </w:r>
      <w:r w:rsidR="005E07BF">
        <w:rPr>
          <w:rFonts w:ascii="Times New Roman" w:hAnsi="Times New Roman" w:cs="Times New Roman"/>
          <w:sz w:val="24"/>
          <w:szCs w:val="24"/>
        </w:rPr>
        <w:t>4,</w:t>
      </w:r>
      <w:r w:rsidR="00E20BDC">
        <w:rPr>
          <w:rFonts w:ascii="Times New Roman" w:hAnsi="Times New Roman" w:cs="Times New Roman"/>
          <w:sz w:val="24"/>
          <w:szCs w:val="24"/>
        </w:rPr>
        <w:t>32</w:t>
      </w:r>
      <w:r w:rsidR="005E07BF">
        <w:rPr>
          <w:rFonts w:ascii="Times New Roman" w:hAnsi="Times New Roman" w:cs="Times New Roman"/>
          <w:sz w:val="24"/>
          <w:szCs w:val="24"/>
        </w:rPr>
        <w:t>0</w:t>
      </w:r>
      <w:r w:rsidRPr="00EE41FA">
        <w:rPr>
          <w:rFonts w:ascii="Times New Roman" w:hAnsi="Times New Roman" w:cs="Times New Roman"/>
          <w:sz w:val="24"/>
          <w:szCs w:val="24"/>
        </w:rPr>
        <w:t xml:space="preserve"> </w:t>
      </w:r>
      <w:r w:rsidR="00677881">
        <w:rPr>
          <w:rFonts w:ascii="Times New Roman" w:hAnsi="Times New Roman" w:cs="Times New Roman"/>
          <w:sz w:val="24"/>
          <w:szCs w:val="24"/>
        </w:rPr>
        <w:t>sample members</w:t>
      </w:r>
    </w:p>
    <w:p w:rsidRPr="00EE41FA" w:rsidR="0000550D" w:rsidP="00E2125B" w:rsidRDefault="007D4EF1" w14:paraId="7C0D8D15" w14:textId="352783D1">
      <w:pPr>
        <w:pStyle w:val="ListParagraph"/>
        <w:numPr>
          <w:ilvl w:val="0"/>
          <w:numId w:val="8"/>
        </w:numPr>
        <w:rPr>
          <w:rFonts w:ascii="Times New Roman" w:hAnsi="Times New Roman" w:cs="Times New Roman"/>
          <w:sz w:val="24"/>
          <w:szCs w:val="24"/>
        </w:rPr>
      </w:pPr>
      <w:r w:rsidRPr="00EE41FA">
        <w:rPr>
          <w:rFonts w:ascii="Times New Roman" w:hAnsi="Times New Roman" w:cs="Times New Roman"/>
          <w:sz w:val="24"/>
          <w:szCs w:val="24"/>
        </w:rPr>
        <w:t>Noncontingent</w:t>
      </w:r>
      <w:r w:rsidR="003819D8">
        <w:rPr>
          <w:rFonts w:ascii="Times New Roman" w:hAnsi="Times New Roman" w:cs="Times New Roman"/>
          <w:sz w:val="24"/>
          <w:szCs w:val="24"/>
        </w:rPr>
        <w:t>-</w:t>
      </w:r>
      <w:r w:rsidRPr="00EE41FA">
        <w:rPr>
          <w:rFonts w:ascii="Times New Roman" w:hAnsi="Times New Roman" w:cs="Times New Roman"/>
          <w:sz w:val="24"/>
          <w:szCs w:val="24"/>
        </w:rPr>
        <w:t>incentive experiment</w:t>
      </w:r>
      <w:r w:rsidR="00B874A9">
        <w:rPr>
          <w:rFonts w:ascii="Times New Roman" w:hAnsi="Times New Roman" w:cs="Times New Roman"/>
          <w:sz w:val="24"/>
          <w:szCs w:val="24"/>
        </w:rPr>
        <w:t xml:space="preserve"> (incentives in week 1 mailing, </w:t>
      </w:r>
      <w:r w:rsidR="00910B57">
        <w:rPr>
          <w:rFonts w:ascii="Times New Roman" w:hAnsi="Times New Roman" w:cs="Times New Roman"/>
          <w:sz w:val="24"/>
          <w:szCs w:val="24"/>
        </w:rPr>
        <w:t xml:space="preserve">except for </w:t>
      </w:r>
      <w:r w:rsidR="00F546E5">
        <w:rPr>
          <w:rFonts w:ascii="Times New Roman" w:hAnsi="Times New Roman" w:cs="Times New Roman"/>
          <w:sz w:val="24"/>
          <w:szCs w:val="24"/>
        </w:rPr>
        <w:t>late-stage</w:t>
      </w:r>
      <w:r w:rsidR="00910B57">
        <w:rPr>
          <w:rFonts w:ascii="Times New Roman" w:hAnsi="Times New Roman" w:cs="Times New Roman"/>
          <w:sz w:val="24"/>
          <w:szCs w:val="24"/>
        </w:rPr>
        <w:t xml:space="preserve"> incentive</w:t>
      </w:r>
      <w:r w:rsidR="00B874A9">
        <w:rPr>
          <w:rFonts w:ascii="Times New Roman" w:hAnsi="Times New Roman" w:cs="Times New Roman"/>
          <w:sz w:val="24"/>
          <w:szCs w:val="24"/>
        </w:rPr>
        <w:t>)</w:t>
      </w:r>
      <w:r w:rsidR="00EC2ADE">
        <w:rPr>
          <w:rFonts w:ascii="Times New Roman" w:hAnsi="Times New Roman" w:cs="Times New Roman"/>
          <w:sz w:val="24"/>
          <w:szCs w:val="24"/>
        </w:rPr>
        <w:t xml:space="preserve"> </w:t>
      </w:r>
    </w:p>
    <w:p w:rsidRPr="005E07BF" w:rsidR="007D4EF1" w:rsidP="007D4EF1" w:rsidRDefault="007D4EF1" w14:paraId="7EF2BEB2" w14:textId="73C55999">
      <w:pPr>
        <w:pStyle w:val="ListParagraph"/>
        <w:numPr>
          <w:ilvl w:val="1"/>
          <w:numId w:val="6"/>
        </w:numPr>
        <w:rPr>
          <w:rFonts w:ascii="Times New Roman" w:hAnsi="Times New Roman" w:cs="Times New Roman"/>
          <w:sz w:val="24"/>
          <w:szCs w:val="24"/>
        </w:rPr>
      </w:pPr>
      <w:r w:rsidRPr="00EE41FA">
        <w:rPr>
          <w:rFonts w:ascii="Times New Roman" w:hAnsi="Times New Roman" w:cs="Times New Roman"/>
          <w:sz w:val="24"/>
          <w:szCs w:val="24"/>
        </w:rPr>
        <w:t>No incentive</w:t>
      </w:r>
      <w:r w:rsidRPr="005E07BF">
        <w:rPr>
          <w:rFonts w:ascii="Times New Roman" w:hAnsi="Times New Roman" w:cs="Times New Roman"/>
          <w:sz w:val="24"/>
          <w:szCs w:val="24"/>
        </w:rPr>
        <w:t xml:space="preserve">: </w:t>
      </w:r>
      <w:r w:rsidRPr="005E07BF" w:rsidR="005E07BF">
        <w:rPr>
          <w:rFonts w:ascii="Times New Roman" w:hAnsi="Times New Roman" w:cs="Times New Roman"/>
          <w:sz w:val="24"/>
          <w:szCs w:val="24"/>
        </w:rPr>
        <w:t>10,</w:t>
      </w:r>
      <w:r w:rsidR="00E20BDC">
        <w:rPr>
          <w:rFonts w:ascii="Times New Roman" w:hAnsi="Times New Roman" w:cs="Times New Roman"/>
          <w:sz w:val="24"/>
          <w:szCs w:val="24"/>
        </w:rPr>
        <w:t>800</w:t>
      </w:r>
      <w:r w:rsidRPr="005E07BF" w:rsidR="00E20BDC">
        <w:rPr>
          <w:rFonts w:ascii="Times New Roman" w:hAnsi="Times New Roman" w:cs="Times New Roman"/>
          <w:sz w:val="24"/>
          <w:szCs w:val="24"/>
        </w:rPr>
        <w:t xml:space="preserve"> </w:t>
      </w:r>
      <w:r w:rsidRPr="005E07BF" w:rsidR="001B26ED">
        <w:rPr>
          <w:rFonts w:ascii="Times New Roman" w:hAnsi="Times New Roman" w:cs="Times New Roman"/>
          <w:sz w:val="24"/>
          <w:szCs w:val="24"/>
        </w:rPr>
        <w:t>sample members</w:t>
      </w:r>
      <w:r w:rsidRPr="005E07BF">
        <w:rPr>
          <w:rFonts w:ascii="Times New Roman" w:hAnsi="Times New Roman" w:cs="Times New Roman"/>
          <w:sz w:val="24"/>
          <w:szCs w:val="24"/>
        </w:rPr>
        <w:t>, further divided into:</w:t>
      </w:r>
    </w:p>
    <w:p w:rsidRPr="005E07BF" w:rsidR="007D4EF1" w:rsidP="007D4EF1" w:rsidRDefault="007D4EF1" w14:paraId="14FF1888" w14:textId="4992A76C">
      <w:pPr>
        <w:pStyle w:val="ListParagraph"/>
        <w:numPr>
          <w:ilvl w:val="2"/>
          <w:numId w:val="6"/>
        </w:numPr>
        <w:rPr>
          <w:rFonts w:ascii="Times New Roman" w:hAnsi="Times New Roman" w:cs="Times New Roman"/>
          <w:sz w:val="24"/>
          <w:szCs w:val="24"/>
        </w:rPr>
      </w:pPr>
      <w:r w:rsidRPr="005E07BF">
        <w:rPr>
          <w:rFonts w:ascii="Times New Roman" w:hAnsi="Times New Roman" w:cs="Times New Roman"/>
          <w:sz w:val="24"/>
          <w:szCs w:val="24"/>
        </w:rPr>
        <w:t xml:space="preserve">No incentive with </w:t>
      </w:r>
      <w:r w:rsidRPr="005E07BF" w:rsidR="00EB5547">
        <w:rPr>
          <w:rFonts w:ascii="Times New Roman" w:hAnsi="Times New Roman" w:cs="Times New Roman"/>
          <w:sz w:val="24"/>
          <w:szCs w:val="24"/>
        </w:rPr>
        <w:t>w</w:t>
      </w:r>
      <w:r w:rsidRPr="005E07BF">
        <w:rPr>
          <w:rFonts w:ascii="Times New Roman" w:hAnsi="Times New Roman" w:cs="Times New Roman"/>
          <w:sz w:val="24"/>
          <w:szCs w:val="24"/>
        </w:rPr>
        <w:t>eek 23 mailing</w:t>
      </w:r>
      <w:r w:rsidRPr="005E07BF" w:rsidR="000D19BB">
        <w:rPr>
          <w:rFonts w:ascii="Times New Roman" w:hAnsi="Times New Roman" w:cs="Times New Roman"/>
          <w:sz w:val="24"/>
          <w:szCs w:val="24"/>
        </w:rPr>
        <w:t xml:space="preserve"> (</w:t>
      </w:r>
      <w:r w:rsidRPr="005E07BF" w:rsidR="000D19BB">
        <w:rPr>
          <w:rFonts w:ascii="Times New Roman" w:hAnsi="Times New Roman" w:cs="Times New Roman"/>
          <w:i/>
          <w:sz w:val="24"/>
          <w:szCs w:val="24"/>
        </w:rPr>
        <w:t>INC0</w:t>
      </w:r>
      <w:r w:rsidRPr="005E07BF" w:rsidR="000D19BB">
        <w:rPr>
          <w:rFonts w:ascii="Times New Roman" w:hAnsi="Times New Roman" w:cs="Times New Roman"/>
          <w:sz w:val="24"/>
          <w:szCs w:val="24"/>
        </w:rPr>
        <w:t>)</w:t>
      </w:r>
      <w:r w:rsidRPr="005E07BF">
        <w:rPr>
          <w:rFonts w:ascii="Times New Roman" w:hAnsi="Times New Roman" w:cs="Times New Roman"/>
          <w:sz w:val="24"/>
          <w:szCs w:val="24"/>
        </w:rPr>
        <w:t xml:space="preserve">: </w:t>
      </w:r>
      <w:r w:rsidRPr="00475845" w:rsidR="005E07BF">
        <w:rPr>
          <w:rFonts w:ascii="Times New Roman" w:hAnsi="Times New Roman" w:cs="Times New Roman"/>
          <w:sz w:val="24"/>
          <w:szCs w:val="24"/>
        </w:rPr>
        <w:t>5,</w:t>
      </w:r>
      <w:r w:rsidR="00E20BDC">
        <w:rPr>
          <w:rFonts w:ascii="Times New Roman" w:hAnsi="Times New Roman" w:cs="Times New Roman"/>
          <w:sz w:val="24"/>
          <w:szCs w:val="24"/>
        </w:rPr>
        <w:t>400</w:t>
      </w:r>
      <w:r w:rsidRPr="00475845" w:rsidR="00E20BDC">
        <w:rPr>
          <w:rFonts w:ascii="Times New Roman" w:hAnsi="Times New Roman" w:cs="Times New Roman"/>
          <w:sz w:val="24"/>
          <w:szCs w:val="24"/>
        </w:rPr>
        <w:t xml:space="preserve"> </w:t>
      </w:r>
      <w:r w:rsidRPr="005E07BF" w:rsidR="00677881">
        <w:rPr>
          <w:rFonts w:ascii="Times New Roman" w:hAnsi="Times New Roman" w:cs="Times New Roman"/>
          <w:sz w:val="24"/>
          <w:szCs w:val="24"/>
        </w:rPr>
        <w:t>sample members</w:t>
      </w:r>
    </w:p>
    <w:p w:rsidRPr="005E07BF" w:rsidR="00ED247B" w:rsidP="007D4EF1" w:rsidRDefault="00ED247B" w14:paraId="7D95F059" w14:textId="66EC085D">
      <w:pPr>
        <w:pStyle w:val="ListParagraph"/>
        <w:numPr>
          <w:ilvl w:val="2"/>
          <w:numId w:val="6"/>
        </w:numPr>
        <w:rPr>
          <w:rFonts w:ascii="Times New Roman" w:hAnsi="Times New Roman" w:cs="Times New Roman"/>
          <w:sz w:val="24"/>
          <w:szCs w:val="24"/>
        </w:rPr>
      </w:pPr>
      <w:r w:rsidRPr="005E07BF">
        <w:rPr>
          <w:rFonts w:ascii="Times New Roman" w:hAnsi="Times New Roman" w:cs="Times New Roman"/>
          <w:sz w:val="24"/>
          <w:szCs w:val="24"/>
        </w:rPr>
        <w:t xml:space="preserve">$30 </w:t>
      </w:r>
      <w:r w:rsidR="00F546E5">
        <w:rPr>
          <w:rFonts w:ascii="Times New Roman" w:hAnsi="Times New Roman" w:cs="Times New Roman"/>
          <w:sz w:val="24"/>
          <w:szCs w:val="24"/>
        </w:rPr>
        <w:t>late-stage</w:t>
      </w:r>
      <w:r w:rsidRPr="005E07BF">
        <w:rPr>
          <w:rFonts w:ascii="Times New Roman" w:hAnsi="Times New Roman" w:cs="Times New Roman"/>
          <w:sz w:val="24"/>
          <w:szCs w:val="24"/>
        </w:rPr>
        <w:t xml:space="preserve"> </w:t>
      </w:r>
      <w:r w:rsidRPr="005E07BF" w:rsidR="005639EF">
        <w:rPr>
          <w:rFonts w:ascii="Times New Roman" w:hAnsi="Times New Roman" w:cs="Times New Roman"/>
          <w:sz w:val="24"/>
          <w:szCs w:val="24"/>
        </w:rPr>
        <w:t>debit card</w:t>
      </w:r>
      <w:r w:rsidRPr="005E07BF">
        <w:rPr>
          <w:rFonts w:ascii="Times New Roman" w:hAnsi="Times New Roman" w:cs="Times New Roman"/>
          <w:sz w:val="24"/>
          <w:szCs w:val="24"/>
        </w:rPr>
        <w:t xml:space="preserve"> with </w:t>
      </w:r>
      <w:r w:rsidRPr="005E07BF" w:rsidR="00EB5547">
        <w:rPr>
          <w:rFonts w:ascii="Times New Roman" w:hAnsi="Times New Roman" w:cs="Times New Roman"/>
          <w:sz w:val="24"/>
          <w:szCs w:val="24"/>
        </w:rPr>
        <w:t>w</w:t>
      </w:r>
      <w:r w:rsidRPr="005E07BF">
        <w:rPr>
          <w:rFonts w:ascii="Times New Roman" w:hAnsi="Times New Roman" w:cs="Times New Roman"/>
          <w:sz w:val="24"/>
          <w:szCs w:val="24"/>
        </w:rPr>
        <w:t>eek 23 mailing</w:t>
      </w:r>
      <w:r w:rsidRPr="005E07BF" w:rsidR="000C4B49">
        <w:rPr>
          <w:rFonts w:ascii="Times New Roman" w:hAnsi="Times New Roman" w:cs="Times New Roman"/>
          <w:sz w:val="24"/>
          <w:szCs w:val="24"/>
        </w:rPr>
        <w:t xml:space="preserve"> (</w:t>
      </w:r>
      <w:r w:rsidRPr="005E07BF" w:rsidR="000C4B49">
        <w:rPr>
          <w:rFonts w:ascii="Times New Roman" w:hAnsi="Times New Roman" w:cs="Times New Roman"/>
          <w:i/>
          <w:sz w:val="24"/>
          <w:szCs w:val="24"/>
        </w:rPr>
        <w:t>INC0L</w:t>
      </w:r>
      <w:r w:rsidRPr="005E07BF" w:rsidR="000C4B49">
        <w:rPr>
          <w:rFonts w:ascii="Times New Roman" w:hAnsi="Times New Roman" w:cs="Times New Roman"/>
          <w:sz w:val="24"/>
          <w:szCs w:val="24"/>
        </w:rPr>
        <w:t>)</w:t>
      </w:r>
      <w:r w:rsidRPr="005E07BF" w:rsidR="00EB5547">
        <w:rPr>
          <w:rFonts w:ascii="Times New Roman" w:hAnsi="Times New Roman" w:cs="Times New Roman"/>
          <w:sz w:val="24"/>
          <w:szCs w:val="24"/>
        </w:rPr>
        <w:t xml:space="preserve">: </w:t>
      </w:r>
      <w:r w:rsidRPr="005E07BF" w:rsidR="005E07BF">
        <w:rPr>
          <w:rFonts w:ascii="Times New Roman" w:hAnsi="Times New Roman" w:cs="Times New Roman"/>
          <w:sz w:val="24"/>
          <w:szCs w:val="24"/>
        </w:rPr>
        <w:t>5,</w:t>
      </w:r>
      <w:r w:rsidR="00E20BDC">
        <w:rPr>
          <w:rFonts w:ascii="Times New Roman" w:hAnsi="Times New Roman" w:cs="Times New Roman"/>
          <w:sz w:val="24"/>
          <w:szCs w:val="24"/>
        </w:rPr>
        <w:t>400</w:t>
      </w:r>
      <w:r w:rsidRPr="005E07BF" w:rsidR="00E20BDC">
        <w:rPr>
          <w:rFonts w:ascii="Times New Roman" w:hAnsi="Times New Roman" w:cs="Times New Roman"/>
          <w:sz w:val="24"/>
          <w:szCs w:val="24"/>
        </w:rPr>
        <w:t xml:space="preserve"> </w:t>
      </w:r>
      <w:r w:rsidRPr="005E07BF" w:rsidR="00677881">
        <w:rPr>
          <w:rFonts w:ascii="Times New Roman" w:hAnsi="Times New Roman" w:cs="Times New Roman"/>
          <w:sz w:val="24"/>
          <w:szCs w:val="24"/>
        </w:rPr>
        <w:t>sample members</w:t>
      </w:r>
    </w:p>
    <w:p w:rsidRPr="005E07BF" w:rsidR="00EB5547" w:rsidP="00EB5547" w:rsidRDefault="00B53A26" w14:paraId="54163025" w14:textId="752058EB">
      <w:pPr>
        <w:pStyle w:val="ListParagraph"/>
        <w:numPr>
          <w:ilvl w:val="1"/>
          <w:numId w:val="6"/>
        </w:numPr>
        <w:rPr>
          <w:rFonts w:ascii="Times New Roman" w:hAnsi="Times New Roman" w:cs="Times New Roman"/>
          <w:sz w:val="24"/>
          <w:szCs w:val="24"/>
        </w:rPr>
      </w:pPr>
      <w:r w:rsidRPr="005E07BF">
        <w:rPr>
          <w:rFonts w:ascii="Times New Roman" w:hAnsi="Times New Roman" w:cs="Times New Roman"/>
          <w:sz w:val="24"/>
          <w:szCs w:val="24"/>
        </w:rPr>
        <w:t xml:space="preserve">$10 </w:t>
      </w:r>
      <w:r w:rsidRPr="005E07BF" w:rsidR="00615274">
        <w:rPr>
          <w:rFonts w:ascii="Times New Roman" w:hAnsi="Times New Roman" w:cs="Times New Roman"/>
          <w:sz w:val="24"/>
          <w:szCs w:val="24"/>
        </w:rPr>
        <w:t>debit card</w:t>
      </w:r>
      <w:r w:rsidRPr="005E07BF" w:rsidR="00BC7349">
        <w:rPr>
          <w:rFonts w:ascii="Times New Roman" w:hAnsi="Times New Roman" w:cs="Times New Roman"/>
          <w:sz w:val="24"/>
          <w:szCs w:val="24"/>
        </w:rPr>
        <w:t xml:space="preserve"> (</w:t>
      </w:r>
      <w:r w:rsidRPr="005E07BF" w:rsidR="00BC7349">
        <w:rPr>
          <w:rFonts w:ascii="Times New Roman" w:hAnsi="Times New Roman" w:cs="Times New Roman"/>
          <w:i/>
          <w:sz w:val="24"/>
          <w:szCs w:val="24"/>
        </w:rPr>
        <w:t>INC10</w:t>
      </w:r>
      <w:r w:rsidRPr="005E07BF" w:rsidR="00BC7349">
        <w:rPr>
          <w:rFonts w:ascii="Times New Roman" w:hAnsi="Times New Roman" w:cs="Times New Roman"/>
          <w:sz w:val="24"/>
          <w:szCs w:val="24"/>
        </w:rPr>
        <w:t>)</w:t>
      </w:r>
      <w:r w:rsidRPr="005E07BF">
        <w:rPr>
          <w:rFonts w:ascii="Times New Roman" w:hAnsi="Times New Roman" w:cs="Times New Roman"/>
          <w:sz w:val="24"/>
          <w:szCs w:val="24"/>
        </w:rPr>
        <w:t xml:space="preserve">: </w:t>
      </w:r>
      <w:r w:rsidRPr="00475845" w:rsidR="00615274">
        <w:rPr>
          <w:rFonts w:ascii="Times New Roman" w:hAnsi="Times New Roman" w:cs="Times New Roman"/>
          <w:sz w:val="24"/>
          <w:szCs w:val="24"/>
        </w:rPr>
        <w:t>10,</w:t>
      </w:r>
      <w:r w:rsidR="00E20BDC">
        <w:rPr>
          <w:rFonts w:ascii="Times New Roman" w:hAnsi="Times New Roman" w:cs="Times New Roman"/>
          <w:sz w:val="24"/>
          <w:szCs w:val="24"/>
        </w:rPr>
        <w:t>800</w:t>
      </w:r>
      <w:r w:rsidRPr="005E07BF" w:rsidR="00E20BDC">
        <w:rPr>
          <w:rFonts w:ascii="Times New Roman" w:hAnsi="Times New Roman" w:cs="Times New Roman"/>
          <w:sz w:val="24"/>
          <w:szCs w:val="24"/>
        </w:rPr>
        <w:t xml:space="preserve"> </w:t>
      </w:r>
      <w:r w:rsidRPr="005E07BF" w:rsidR="00677881">
        <w:rPr>
          <w:rFonts w:ascii="Times New Roman" w:hAnsi="Times New Roman" w:cs="Times New Roman"/>
          <w:sz w:val="24"/>
          <w:szCs w:val="24"/>
        </w:rPr>
        <w:t>sample members</w:t>
      </w:r>
    </w:p>
    <w:p w:rsidRPr="005E07BF" w:rsidR="00615274" w:rsidP="00EB5547" w:rsidRDefault="00615274" w14:paraId="4D693C5D" w14:textId="2FFB861C">
      <w:pPr>
        <w:pStyle w:val="ListParagraph"/>
        <w:numPr>
          <w:ilvl w:val="1"/>
          <w:numId w:val="6"/>
        </w:numPr>
        <w:rPr>
          <w:rFonts w:ascii="Times New Roman" w:hAnsi="Times New Roman" w:cs="Times New Roman"/>
          <w:sz w:val="24"/>
          <w:szCs w:val="24"/>
        </w:rPr>
      </w:pPr>
      <w:r w:rsidRPr="005E07BF">
        <w:rPr>
          <w:rFonts w:ascii="Times New Roman" w:hAnsi="Times New Roman" w:cs="Times New Roman"/>
          <w:sz w:val="24"/>
          <w:szCs w:val="24"/>
        </w:rPr>
        <w:t xml:space="preserve">$20 debit card </w:t>
      </w:r>
      <w:r w:rsidRPr="005E07BF" w:rsidR="00557EC1">
        <w:rPr>
          <w:rFonts w:ascii="Times New Roman" w:hAnsi="Times New Roman" w:cs="Times New Roman"/>
          <w:sz w:val="24"/>
          <w:szCs w:val="24"/>
        </w:rPr>
        <w:t>(</w:t>
      </w:r>
      <w:r w:rsidRPr="005E07BF" w:rsidR="00557EC1">
        <w:rPr>
          <w:rFonts w:ascii="Times New Roman" w:hAnsi="Times New Roman" w:cs="Times New Roman"/>
          <w:i/>
          <w:sz w:val="24"/>
          <w:szCs w:val="24"/>
        </w:rPr>
        <w:t>INC20</w:t>
      </w:r>
      <w:r w:rsidRPr="005E07BF" w:rsidR="00557EC1">
        <w:rPr>
          <w:rFonts w:ascii="Times New Roman" w:hAnsi="Times New Roman" w:cs="Times New Roman"/>
          <w:sz w:val="24"/>
          <w:szCs w:val="24"/>
        </w:rPr>
        <w:t>)</w:t>
      </w:r>
      <w:r w:rsidRPr="005E07BF">
        <w:rPr>
          <w:rFonts w:ascii="Times New Roman" w:hAnsi="Times New Roman" w:cs="Times New Roman"/>
          <w:sz w:val="24"/>
          <w:szCs w:val="24"/>
        </w:rPr>
        <w:t xml:space="preserve">: </w:t>
      </w:r>
      <w:r w:rsidRPr="00475845">
        <w:rPr>
          <w:rFonts w:ascii="Times New Roman" w:hAnsi="Times New Roman" w:cs="Times New Roman"/>
          <w:sz w:val="24"/>
          <w:szCs w:val="24"/>
        </w:rPr>
        <w:t>10,</w:t>
      </w:r>
      <w:r w:rsidR="00E20BDC">
        <w:rPr>
          <w:rFonts w:ascii="Times New Roman" w:hAnsi="Times New Roman" w:cs="Times New Roman"/>
          <w:sz w:val="24"/>
          <w:szCs w:val="24"/>
        </w:rPr>
        <w:t>800</w:t>
      </w:r>
      <w:r w:rsidRPr="005E07BF" w:rsidR="00E20BDC">
        <w:rPr>
          <w:rFonts w:ascii="Times New Roman" w:hAnsi="Times New Roman" w:cs="Times New Roman"/>
          <w:sz w:val="24"/>
          <w:szCs w:val="24"/>
        </w:rPr>
        <w:t xml:space="preserve"> </w:t>
      </w:r>
      <w:r w:rsidRPr="005E07BF" w:rsidR="00677881">
        <w:rPr>
          <w:rFonts w:ascii="Times New Roman" w:hAnsi="Times New Roman" w:cs="Times New Roman"/>
          <w:sz w:val="24"/>
          <w:szCs w:val="24"/>
        </w:rPr>
        <w:t>sample members</w:t>
      </w:r>
    </w:p>
    <w:p w:rsidRPr="005E07BF" w:rsidR="00615274" w:rsidP="00EB5547" w:rsidRDefault="00615274" w14:paraId="24891B90" w14:textId="50D5723C">
      <w:pPr>
        <w:pStyle w:val="ListParagraph"/>
        <w:numPr>
          <w:ilvl w:val="1"/>
          <w:numId w:val="6"/>
        </w:numPr>
        <w:rPr>
          <w:rFonts w:ascii="Times New Roman" w:hAnsi="Times New Roman" w:cs="Times New Roman"/>
          <w:sz w:val="24"/>
          <w:szCs w:val="24"/>
        </w:rPr>
      </w:pPr>
      <w:r w:rsidRPr="005E07BF">
        <w:rPr>
          <w:rFonts w:ascii="Times New Roman" w:hAnsi="Times New Roman" w:cs="Times New Roman"/>
          <w:sz w:val="24"/>
          <w:szCs w:val="24"/>
        </w:rPr>
        <w:t xml:space="preserve">$30 debit card </w:t>
      </w:r>
      <w:r w:rsidRPr="005E07BF" w:rsidR="00956504">
        <w:rPr>
          <w:rFonts w:ascii="Times New Roman" w:hAnsi="Times New Roman" w:cs="Times New Roman"/>
          <w:sz w:val="24"/>
          <w:szCs w:val="24"/>
        </w:rPr>
        <w:t>(</w:t>
      </w:r>
      <w:r w:rsidRPr="005E07BF" w:rsidR="00956504">
        <w:rPr>
          <w:rFonts w:ascii="Times New Roman" w:hAnsi="Times New Roman" w:cs="Times New Roman"/>
          <w:i/>
          <w:sz w:val="24"/>
          <w:szCs w:val="24"/>
        </w:rPr>
        <w:t>INC30</w:t>
      </w:r>
      <w:r w:rsidRPr="005E07BF" w:rsidR="00956504">
        <w:rPr>
          <w:rFonts w:ascii="Times New Roman" w:hAnsi="Times New Roman" w:cs="Times New Roman"/>
          <w:sz w:val="24"/>
          <w:szCs w:val="24"/>
        </w:rPr>
        <w:t>)</w:t>
      </w:r>
      <w:r w:rsidRPr="005E07BF">
        <w:rPr>
          <w:rFonts w:ascii="Times New Roman" w:hAnsi="Times New Roman" w:cs="Times New Roman"/>
          <w:sz w:val="24"/>
          <w:szCs w:val="24"/>
        </w:rPr>
        <w:t xml:space="preserve">: </w:t>
      </w:r>
      <w:r w:rsidRPr="00475845">
        <w:rPr>
          <w:rFonts w:ascii="Times New Roman" w:hAnsi="Times New Roman" w:cs="Times New Roman"/>
          <w:sz w:val="24"/>
          <w:szCs w:val="24"/>
        </w:rPr>
        <w:t>10,</w:t>
      </w:r>
      <w:r w:rsidR="00E20BDC">
        <w:rPr>
          <w:rFonts w:ascii="Times New Roman" w:hAnsi="Times New Roman" w:cs="Times New Roman"/>
          <w:sz w:val="24"/>
          <w:szCs w:val="24"/>
        </w:rPr>
        <w:t>800</w:t>
      </w:r>
      <w:r w:rsidRPr="005E07BF">
        <w:rPr>
          <w:rFonts w:ascii="Times New Roman" w:hAnsi="Times New Roman" w:cs="Times New Roman"/>
          <w:sz w:val="24"/>
          <w:szCs w:val="24"/>
        </w:rPr>
        <w:t xml:space="preserve"> </w:t>
      </w:r>
      <w:r w:rsidRPr="005E07BF" w:rsidR="00677881">
        <w:rPr>
          <w:rFonts w:ascii="Times New Roman" w:hAnsi="Times New Roman" w:cs="Times New Roman"/>
          <w:sz w:val="24"/>
          <w:szCs w:val="24"/>
        </w:rPr>
        <w:t>sample members</w:t>
      </w:r>
    </w:p>
    <w:bookmarkEnd w:id="0"/>
    <w:p w:rsidRPr="00EE41FA" w:rsidR="00615274" w:rsidP="00615274" w:rsidRDefault="004F25A9" w14:paraId="5DF05309" w14:textId="17E9FD65">
      <w:pPr>
        <w:rPr>
          <w:rFonts w:ascii="Times New Roman" w:hAnsi="Times New Roman" w:cs="Times New Roman"/>
          <w:sz w:val="24"/>
          <w:szCs w:val="24"/>
        </w:rPr>
      </w:pPr>
      <w:r w:rsidRPr="00EE41FA">
        <w:rPr>
          <w:rFonts w:ascii="Times New Roman" w:hAnsi="Times New Roman" w:cs="Times New Roman"/>
          <w:sz w:val="24"/>
          <w:szCs w:val="24"/>
        </w:rPr>
        <w:t xml:space="preserve">Note that the above sample sizes </w:t>
      </w:r>
      <w:r w:rsidRPr="00EE41FA" w:rsidR="005551EB">
        <w:rPr>
          <w:rFonts w:ascii="Times New Roman" w:hAnsi="Times New Roman" w:cs="Times New Roman"/>
          <w:sz w:val="24"/>
          <w:szCs w:val="24"/>
        </w:rPr>
        <w:t xml:space="preserve">may vary slightly </w:t>
      </w:r>
      <w:r w:rsidRPr="00EE41FA" w:rsidR="006026CB">
        <w:rPr>
          <w:rFonts w:ascii="Times New Roman" w:hAnsi="Times New Roman" w:cs="Times New Roman"/>
          <w:sz w:val="24"/>
          <w:szCs w:val="24"/>
        </w:rPr>
        <w:t xml:space="preserve">due to rounding. </w:t>
      </w:r>
      <w:r w:rsidRPr="00EE41FA" w:rsidR="008C4BB6">
        <w:rPr>
          <w:rFonts w:ascii="Times New Roman" w:hAnsi="Times New Roman" w:cs="Times New Roman"/>
          <w:sz w:val="24"/>
          <w:szCs w:val="24"/>
        </w:rPr>
        <w:t xml:space="preserve">The </w:t>
      </w:r>
      <w:r w:rsidRPr="00EE41FA" w:rsidR="00063236">
        <w:rPr>
          <w:rFonts w:ascii="Times New Roman" w:hAnsi="Times New Roman" w:cs="Times New Roman"/>
          <w:sz w:val="24"/>
          <w:szCs w:val="24"/>
        </w:rPr>
        <w:t xml:space="preserve">treatment groups for both experiments will be assigned </w:t>
      </w:r>
      <w:r w:rsidRPr="00EE41FA" w:rsidR="00072F87">
        <w:rPr>
          <w:rFonts w:ascii="Times New Roman" w:hAnsi="Times New Roman" w:cs="Times New Roman"/>
          <w:sz w:val="24"/>
          <w:szCs w:val="24"/>
        </w:rPr>
        <w:t xml:space="preserve">using a </w:t>
      </w:r>
      <w:r w:rsidR="009709B5">
        <w:rPr>
          <w:rFonts w:ascii="Times New Roman" w:hAnsi="Times New Roman" w:cs="Times New Roman"/>
          <w:sz w:val="24"/>
          <w:szCs w:val="24"/>
        </w:rPr>
        <w:t xml:space="preserve">fully crossed </w:t>
      </w:r>
      <w:r w:rsidRPr="00EE41FA" w:rsidR="00072F87">
        <w:rPr>
          <w:rFonts w:ascii="Times New Roman" w:hAnsi="Times New Roman" w:cs="Times New Roman"/>
          <w:sz w:val="24"/>
          <w:szCs w:val="24"/>
        </w:rPr>
        <w:t>factorial design</w:t>
      </w:r>
      <w:r w:rsidR="001D6839">
        <w:rPr>
          <w:rFonts w:ascii="Times New Roman" w:hAnsi="Times New Roman" w:cs="Times New Roman"/>
          <w:sz w:val="24"/>
          <w:szCs w:val="24"/>
        </w:rPr>
        <w:t>, leading to a total of 30 treatment groups</w:t>
      </w:r>
      <w:r w:rsidRPr="00EE41FA" w:rsidR="00072F87">
        <w:rPr>
          <w:rFonts w:ascii="Times New Roman" w:hAnsi="Times New Roman" w:cs="Times New Roman"/>
          <w:sz w:val="24"/>
          <w:szCs w:val="24"/>
        </w:rPr>
        <w:t xml:space="preserve">. </w:t>
      </w:r>
      <w:r w:rsidRPr="00EE41FA" w:rsidR="00074AA0">
        <w:rPr>
          <w:rFonts w:ascii="Times New Roman" w:hAnsi="Times New Roman" w:cs="Times New Roman"/>
          <w:sz w:val="24"/>
          <w:szCs w:val="24"/>
        </w:rPr>
        <w:t>The</w:t>
      </w:r>
      <w:r w:rsidR="00A122D5">
        <w:rPr>
          <w:rFonts w:ascii="Times New Roman" w:hAnsi="Times New Roman" w:cs="Times New Roman"/>
          <w:sz w:val="24"/>
          <w:szCs w:val="24"/>
        </w:rPr>
        <w:t xml:space="preserve"> national</w:t>
      </w:r>
      <w:r w:rsidRPr="00EE41FA" w:rsidR="00074AA0">
        <w:rPr>
          <w:rFonts w:ascii="Times New Roman" w:hAnsi="Times New Roman" w:cs="Times New Roman"/>
          <w:sz w:val="24"/>
          <w:szCs w:val="24"/>
        </w:rPr>
        <w:t xml:space="preserve"> sample </w:t>
      </w:r>
      <w:r w:rsidRPr="00EE41FA" w:rsidR="00405B92">
        <w:rPr>
          <w:rFonts w:ascii="Times New Roman" w:hAnsi="Times New Roman" w:cs="Times New Roman"/>
          <w:sz w:val="24"/>
          <w:szCs w:val="24"/>
        </w:rPr>
        <w:t xml:space="preserve">is designed to permit </w:t>
      </w:r>
      <w:r w:rsidRPr="00EE41FA" w:rsidR="0098694D">
        <w:rPr>
          <w:rFonts w:ascii="Times New Roman" w:hAnsi="Times New Roman" w:cs="Times New Roman"/>
          <w:sz w:val="24"/>
          <w:szCs w:val="24"/>
        </w:rPr>
        <w:t>statistical evaluations of</w:t>
      </w:r>
      <w:r w:rsidRPr="00EE41FA" w:rsidR="00405B92">
        <w:rPr>
          <w:rFonts w:ascii="Times New Roman" w:hAnsi="Times New Roman" w:cs="Times New Roman"/>
          <w:sz w:val="24"/>
          <w:szCs w:val="24"/>
        </w:rPr>
        <w:t xml:space="preserve"> main effects </w:t>
      </w:r>
      <w:r w:rsidRPr="00EE41FA" w:rsidR="00440D59">
        <w:rPr>
          <w:rFonts w:ascii="Times New Roman" w:hAnsi="Times New Roman" w:cs="Times New Roman"/>
          <w:sz w:val="24"/>
          <w:szCs w:val="24"/>
        </w:rPr>
        <w:t xml:space="preserve">for each experiment, but not </w:t>
      </w:r>
      <w:r w:rsidRPr="00EE41FA" w:rsidR="00131D2D">
        <w:rPr>
          <w:rFonts w:ascii="Times New Roman" w:hAnsi="Times New Roman" w:cs="Times New Roman"/>
          <w:sz w:val="24"/>
          <w:szCs w:val="24"/>
        </w:rPr>
        <w:t>of interactions</w:t>
      </w:r>
      <w:r w:rsidRPr="00EE41FA" w:rsidR="002E333F">
        <w:rPr>
          <w:rFonts w:ascii="Times New Roman" w:hAnsi="Times New Roman" w:cs="Times New Roman"/>
          <w:sz w:val="24"/>
          <w:szCs w:val="24"/>
        </w:rPr>
        <w:t xml:space="preserve"> between treatments </w:t>
      </w:r>
      <w:r w:rsidR="0055336A">
        <w:rPr>
          <w:rFonts w:ascii="Times New Roman" w:hAnsi="Times New Roman" w:cs="Times New Roman"/>
          <w:sz w:val="24"/>
          <w:szCs w:val="24"/>
        </w:rPr>
        <w:t>(</w:t>
      </w:r>
      <w:r w:rsidRPr="00EE41FA" w:rsidR="002E333F">
        <w:rPr>
          <w:rFonts w:ascii="Times New Roman" w:hAnsi="Times New Roman" w:cs="Times New Roman"/>
          <w:sz w:val="24"/>
          <w:szCs w:val="24"/>
        </w:rPr>
        <w:t xml:space="preserve">except </w:t>
      </w:r>
      <w:r w:rsidRPr="00EE41FA" w:rsidR="007C398E">
        <w:rPr>
          <w:rFonts w:ascii="Times New Roman" w:hAnsi="Times New Roman" w:cs="Times New Roman"/>
          <w:sz w:val="24"/>
          <w:szCs w:val="24"/>
        </w:rPr>
        <w:t>on an exploratory basis</w:t>
      </w:r>
      <w:r w:rsidR="0055336A">
        <w:rPr>
          <w:rFonts w:ascii="Times New Roman" w:hAnsi="Times New Roman" w:cs="Times New Roman"/>
          <w:sz w:val="24"/>
          <w:szCs w:val="24"/>
        </w:rPr>
        <w:t>)</w:t>
      </w:r>
      <w:r w:rsidRPr="00EE41FA" w:rsidR="007C398E">
        <w:rPr>
          <w:rFonts w:ascii="Times New Roman" w:hAnsi="Times New Roman" w:cs="Times New Roman"/>
          <w:sz w:val="24"/>
          <w:szCs w:val="24"/>
        </w:rPr>
        <w:t>.</w:t>
      </w:r>
    </w:p>
    <w:p w:rsidRPr="00EE41FA" w:rsidR="008306FE" w:rsidP="00615274" w:rsidRDefault="00C83F05" w14:paraId="3D7F08C5" w14:textId="10F1E0E9">
      <w:pPr>
        <w:rPr>
          <w:rFonts w:ascii="Times New Roman" w:hAnsi="Times New Roman" w:cs="Times New Roman"/>
          <w:sz w:val="24"/>
          <w:szCs w:val="24"/>
        </w:rPr>
      </w:pPr>
      <w:r>
        <w:rPr>
          <w:rFonts w:ascii="Times New Roman" w:hAnsi="Times New Roman" w:cs="Times New Roman"/>
          <w:sz w:val="24"/>
          <w:szCs w:val="24"/>
        </w:rPr>
        <w:t>Separate from</w:t>
      </w:r>
      <w:r w:rsidRPr="00EE41FA" w:rsidR="00F473E6">
        <w:rPr>
          <w:rFonts w:ascii="Times New Roman" w:hAnsi="Times New Roman" w:cs="Times New Roman"/>
          <w:sz w:val="24"/>
          <w:szCs w:val="24"/>
        </w:rPr>
        <w:t xml:space="preserve"> the </w:t>
      </w:r>
      <w:r w:rsidR="00E1781E">
        <w:rPr>
          <w:rFonts w:ascii="Times New Roman" w:hAnsi="Times New Roman" w:cs="Times New Roman"/>
          <w:sz w:val="24"/>
          <w:szCs w:val="24"/>
        </w:rPr>
        <w:t>4</w:t>
      </w:r>
      <w:r w:rsidR="00E20BDC">
        <w:rPr>
          <w:rFonts w:ascii="Times New Roman" w:hAnsi="Times New Roman" w:cs="Times New Roman"/>
          <w:sz w:val="24"/>
          <w:szCs w:val="24"/>
        </w:rPr>
        <w:t>3</w:t>
      </w:r>
      <w:r w:rsidR="00E1781E">
        <w:rPr>
          <w:rFonts w:ascii="Times New Roman" w:hAnsi="Times New Roman" w:cs="Times New Roman"/>
          <w:sz w:val="24"/>
          <w:szCs w:val="24"/>
        </w:rPr>
        <w:t>,</w:t>
      </w:r>
      <w:r w:rsidR="00E20BDC">
        <w:rPr>
          <w:rFonts w:ascii="Times New Roman" w:hAnsi="Times New Roman" w:cs="Times New Roman"/>
          <w:sz w:val="24"/>
          <w:szCs w:val="24"/>
        </w:rPr>
        <w:t>2</w:t>
      </w:r>
      <w:r w:rsidR="00E1781E">
        <w:rPr>
          <w:rFonts w:ascii="Times New Roman" w:hAnsi="Times New Roman" w:cs="Times New Roman"/>
          <w:sz w:val="24"/>
          <w:szCs w:val="24"/>
        </w:rPr>
        <w:t>00</w:t>
      </w:r>
      <w:r w:rsidRPr="00EE41FA" w:rsidR="00F473E6">
        <w:rPr>
          <w:rFonts w:ascii="Times New Roman" w:hAnsi="Times New Roman" w:cs="Times New Roman"/>
          <w:sz w:val="24"/>
          <w:szCs w:val="24"/>
        </w:rPr>
        <w:t xml:space="preserve">-person </w:t>
      </w:r>
      <w:r w:rsidR="003B00D9">
        <w:rPr>
          <w:rFonts w:ascii="Times New Roman" w:hAnsi="Times New Roman" w:cs="Times New Roman"/>
          <w:sz w:val="24"/>
          <w:szCs w:val="24"/>
        </w:rPr>
        <w:t>production</w:t>
      </w:r>
      <w:r w:rsidRPr="00EE41FA" w:rsidR="00F473E6">
        <w:rPr>
          <w:rFonts w:ascii="Times New Roman" w:hAnsi="Times New Roman" w:cs="Times New Roman"/>
          <w:sz w:val="24"/>
          <w:szCs w:val="24"/>
        </w:rPr>
        <w:t xml:space="preserve"> sample, </w:t>
      </w:r>
      <w:r w:rsidRPr="00EE41FA" w:rsidR="008E4AA8">
        <w:rPr>
          <w:rFonts w:ascii="Times New Roman" w:hAnsi="Times New Roman" w:cs="Times New Roman"/>
          <w:sz w:val="24"/>
          <w:szCs w:val="24"/>
        </w:rPr>
        <w:t xml:space="preserve">the seeded sample will consist of 1,000 known </w:t>
      </w:r>
      <w:r w:rsidRPr="00EE41FA" w:rsidR="00376316">
        <w:rPr>
          <w:rFonts w:ascii="Times New Roman" w:hAnsi="Times New Roman" w:cs="Times New Roman"/>
          <w:sz w:val="24"/>
          <w:szCs w:val="24"/>
        </w:rPr>
        <w:t xml:space="preserve">postsecondary </w:t>
      </w:r>
      <w:r w:rsidRPr="00EE41FA" w:rsidR="008E4AA8">
        <w:rPr>
          <w:rFonts w:ascii="Times New Roman" w:hAnsi="Times New Roman" w:cs="Times New Roman"/>
          <w:sz w:val="24"/>
          <w:szCs w:val="24"/>
        </w:rPr>
        <w:t xml:space="preserve">certificate holders selected from </w:t>
      </w:r>
      <w:r w:rsidR="0098189D">
        <w:rPr>
          <w:rFonts w:ascii="Times New Roman" w:hAnsi="Times New Roman" w:cs="Times New Roman"/>
          <w:sz w:val="24"/>
          <w:szCs w:val="24"/>
        </w:rPr>
        <w:t>a convenience frame</w:t>
      </w:r>
      <w:r w:rsidRPr="00EE41FA" w:rsidR="0098189D">
        <w:rPr>
          <w:rFonts w:ascii="Times New Roman" w:hAnsi="Times New Roman" w:cs="Times New Roman"/>
          <w:sz w:val="24"/>
          <w:szCs w:val="24"/>
        </w:rPr>
        <w:t xml:space="preserve"> </w:t>
      </w:r>
      <w:r w:rsidR="00EA3758">
        <w:rPr>
          <w:rFonts w:ascii="Times New Roman" w:hAnsi="Times New Roman" w:cs="Times New Roman"/>
          <w:sz w:val="24"/>
          <w:szCs w:val="24"/>
        </w:rPr>
        <w:t>assembled</w:t>
      </w:r>
      <w:r w:rsidRPr="00EE41FA" w:rsidR="00EA3758">
        <w:rPr>
          <w:rFonts w:ascii="Times New Roman" w:hAnsi="Times New Roman" w:cs="Times New Roman"/>
          <w:sz w:val="24"/>
          <w:szCs w:val="24"/>
        </w:rPr>
        <w:t xml:space="preserve"> </w:t>
      </w:r>
      <w:r w:rsidRPr="00EE41FA" w:rsidR="008E4AA8">
        <w:rPr>
          <w:rFonts w:ascii="Times New Roman" w:hAnsi="Times New Roman" w:cs="Times New Roman"/>
          <w:sz w:val="24"/>
          <w:szCs w:val="24"/>
        </w:rPr>
        <w:t xml:space="preserve">from </w:t>
      </w:r>
      <w:r w:rsidRPr="00EE41FA" w:rsidR="00F412B7">
        <w:rPr>
          <w:rFonts w:ascii="Times New Roman" w:hAnsi="Times New Roman" w:cs="Times New Roman"/>
          <w:sz w:val="24"/>
          <w:szCs w:val="24"/>
        </w:rPr>
        <w:t>several certificate providers</w:t>
      </w:r>
      <w:r w:rsidRPr="00EE41FA" w:rsidR="005773AB">
        <w:rPr>
          <w:rFonts w:ascii="Times New Roman" w:hAnsi="Times New Roman" w:cs="Times New Roman"/>
          <w:sz w:val="24"/>
          <w:szCs w:val="24"/>
        </w:rPr>
        <w:t xml:space="preserve"> (e.g., community colleges)</w:t>
      </w:r>
      <w:r w:rsidRPr="00EE41FA" w:rsidR="00F412B7">
        <w:rPr>
          <w:rFonts w:ascii="Times New Roman" w:hAnsi="Times New Roman" w:cs="Times New Roman"/>
          <w:sz w:val="24"/>
          <w:szCs w:val="24"/>
        </w:rPr>
        <w:t xml:space="preserve">. </w:t>
      </w:r>
      <w:r w:rsidRPr="00EE41FA" w:rsidR="00411A5A">
        <w:rPr>
          <w:rFonts w:ascii="Times New Roman" w:hAnsi="Times New Roman" w:cs="Times New Roman"/>
          <w:sz w:val="24"/>
          <w:szCs w:val="24"/>
        </w:rPr>
        <w:t xml:space="preserve">The </w:t>
      </w:r>
      <w:r w:rsidR="00771B83">
        <w:rPr>
          <w:rFonts w:ascii="Times New Roman" w:hAnsi="Times New Roman" w:cs="Times New Roman"/>
          <w:sz w:val="24"/>
          <w:szCs w:val="24"/>
        </w:rPr>
        <w:t>seeded sample will not</w:t>
      </w:r>
      <w:r w:rsidR="007056C6">
        <w:rPr>
          <w:rFonts w:ascii="Times New Roman" w:hAnsi="Times New Roman" w:cs="Times New Roman"/>
          <w:sz w:val="24"/>
          <w:szCs w:val="24"/>
        </w:rPr>
        <w:t xml:space="preserve"> </w:t>
      </w:r>
      <w:r w:rsidRPr="00EE41FA" w:rsidR="007056C6">
        <w:rPr>
          <w:rFonts w:ascii="Times New Roman" w:hAnsi="Times New Roman" w:cs="Times New Roman"/>
          <w:sz w:val="24"/>
          <w:szCs w:val="24"/>
        </w:rPr>
        <w:t xml:space="preserve">be nationally </w:t>
      </w:r>
      <w:r w:rsidRPr="00EE41FA" w:rsidR="0098621B">
        <w:rPr>
          <w:rFonts w:ascii="Times New Roman" w:hAnsi="Times New Roman" w:cs="Times New Roman"/>
          <w:sz w:val="24"/>
          <w:szCs w:val="24"/>
        </w:rPr>
        <w:t>representative,</w:t>
      </w:r>
      <w:r w:rsidR="007056C6">
        <w:rPr>
          <w:rFonts w:ascii="Times New Roman" w:hAnsi="Times New Roman" w:cs="Times New Roman"/>
          <w:sz w:val="24"/>
          <w:szCs w:val="24"/>
        </w:rPr>
        <w:t xml:space="preserve"> nor</w:t>
      </w:r>
      <w:r w:rsidR="00771B83">
        <w:rPr>
          <w:rFonts w:ascii="Times New Roman" w:hAnsi="Times New Roman" w:cs="Times New Roman"/>
          <w:sz w:val="24"/>
          <w:szCs w:val="24"/>
        </w:rPr>
        <w:t xml:space="preserve"> </w:t>
      </w:r>
      <w:r w:rsidR="00300686">
        <w:rPr>
          <w:rFonts w:ascii="Times New Roman" w:hAnsi="Times New Roman" w:cs="Times New Roman"/>
          <w:sz w:val="24"/>
          <w:szCs w:val="24"/>
        </w:rPr>
        <w:t xml:space="preserve">will it </w:t>
      </w:r>
      <w:r w:rsidR="00771B83">
        <w:rPr>
          <w:rFonts w:ascii="Times New Roman" w:hAnsi="Times New Roman" w:cs="Times New Roman"/>
          <w:sz w:val="24"/>
          <w:szCs w:val="24"/>
        </w:rPr>
        <w:t xml:space="preserve">implement the </w:t>
      </w:r>
      <w:r w:rsidRPr="00EE41FA" w:rsidR="00411A5A">
        <w:rPr>
          <w:rFonts w:ascii="Times New Roman" w:hAnsi="Times New Roman" w:cs="Times New Roman"/>
          <w:sz w:val="24"/>
          <w:szCs w:val="24"/>
        </w:rPr>
        <w:t>methodological experiments</w:t>
      </w:r>
      <w:r w:rsidR="009A0E5D">
        <w:rPr>
          <w:rFonts w:ascii="Times New Roman" w:hAnsi="Times New Roman" w:cs="Times New Roman"/>
          <w:sz w:val="24"/>
          <w:szCs w:val="24"/>
        </w:rPr>
        <w:t xml:space="preserve"> (though seeded sample members will receive a $10 debit card with the week 1 mailing to encourage response)</w:t>
      </w:r>
      <w:r w:rsidR="007056C6">
        <w:rPr>
          <w:rFonts w:ascii="Times New Roman" w:hAnsi="Times New Roman" w:cs="Times New Roman"/>
          <w:sz w:val="24"/>
          <w:szCs w:val="24"/>
        </w:rPr>
        <w:t xml:space="preserve">. </w:t>
      </w:r>
      <w:r w:rsidR="009518E9">
        <w:rPr>
          <w:rFonts w:ascii="Times New Roman" w:hAnsi="Times New Roman" w:cs="Times New Roman"/>
          <w:sz w:val="24"/>
          <w:szCs w:val="24"/>
        </w:rPr>
        <w:t xml:space="preserve">The primary statistical goal of the seeded sample is to estimate the percentage of known postsecondary certificate holders who report that they do </w:t>
      </w:r>
      <w:r w:rsidR="009518E9">
        <w:rPr>
          <w:rFonts w:ascii="Times New Roman" w:hAnsi="Times New Roman" w:cs="Times New Roman"/>
          <w:i/>
          <w:sz w:val="24"/>
          <w:szCs w:val="24"/>
        </w:rPr>
        <w:t>not</w:t>
      </w:r>
      <w:r w:rsidR="009518E9">
        <w:rPr>
          <w:rFonts w:ascii="Times New Roman" w:hAnsi="Times New Roman" w:cs="Times New Roman"/>
          <w:sz w:val="24"/>
          <w:szCs w:val="24"/>
        </w:rPr>
        <w:t xml:space="preserve"> hold a certificate (the certificate underreporting rate).</w:t>
      </w:r>
      <w:r w:rsidRPr="00EE41FA" w:rsidR="00C8327E">
        <w:rPr>
          <w:rFonts w:ascii="Times New Roman" w:hAnsi="Times New Roman" w:cs="Times New Roman"/>
          <w:sz w:val="24"/>
          <w:szCs w:val="24"/>
        </w:rPr>
        <w:t xml:space="preserve"> </w:t>
      </w:r>
    </w:p>
    <w:p w:rsidR="00DF2268" w:rsidP="00615274" w:rsidRDefault="00571402" w14:paraId="0B7493C3" w14:textId="083405FF">
      <w:pPr>
        <w:rPr>
          <w:rFonts w:ascii="Times New Roman" w:hAnsi="Times New Roman" w:cs="Times New Roman"/>
          <w:sz w:val="24"/>
          <w:szCs w:val="24"/>
        </w:rPr>
      </w:pPr>
      <w:r>
        <w:rPr>
          <w:rFonts w:ascii="Times New Roman" w:hAnsi="Times New Roman" w:cs="Times New Roman"/>
          <w:i/>
          <w:iCs/>
          <w:sz w:val="24"/>
          <w:szCs w:val="24"/>
        </w:rPr>
        <w:t>1</w:t>
      </w:r>
      <w:r w:rsidR="009C4A89">
        <w:rPr>
          <w:rFonts w:ascii="Times New Roman" w:hAnsi="Times New Roman" w:cs="Times New Roman"/>
          <w:i/>
          <w:iCs/>
          <w:sz w:val="24"/>
          <w:szCs w:val="24"/>
        </w:rPr>
        <w:t xml:space="preserve">.2. </w:t>
      </w:r>
      <w:r w:rsidR="00042017">
        <w:rPr>
          <w:rFonts w:ascii="Times New Roman" w:hAnsi="Times New Roman" w:cs="Times New Roman"/>
          <w:i/>
          <w:iCs/>
          <w:sz w:val="24"/>
          <w:szCs w:val="24"/>
        </w:rPr>
        <w:t xml:space="preserve">Structure </w:t>
      </w:r>
      <w:r w:rsidR="00571999">
        <w:rPr>
          <w:rFonts w:ascii="Times New Roman" w:hAnsi="Times New Roman" w:cs="Times New Roman"/>
          <w:i/>
          <w:iCs/>
          <w:sz w:val="24"/>
          <w:szCs w:val="24"/>
        </w:rPr>
        <w:t>of power analysis</w:t>
      </w:r>
    </w:p>
    <w:p w:rsidR="00B126AD" w:rsidP="00615274" w:rsidRDefault="001A0EF5" w14:paraId="7785F88E" w14:textId="21D2140F">
      <w:pPr>
        <w:rPr>
          <w:rFonts w:ascii="Times New Roman" w:hAnsi="Times New Roman" w:cs="Times New Roman"/>
          <w:sz w:val="24"/>
          <w:szCs w:val="24"/>
        </w:rPr>
      </w:pPr>
      <w:r>
        <w:rPr>
          <w:rFonts w:ascii="Times New Roman" w:hAnsi="Times New Roman" w:cs="Times New Roman"/>
          <w:sz w:val="24"/>
          <w:szCs w:val="24"/>
        </w:rPr>
        <w:t xml:space="preserve">The power </w:t>
      </w:r>
      <w:r w:rsidR="00474701">
        <w:rPr>
          <w:rFonts w:ascii="Times New Roman" w:hAnsi="Times New Roman" w:cs="Times New Roman"/>
          <w:sz w:val="24"/>
          <w:szCs w:val="24"/>
        </w:rPr>
        <w:t xml:space="preserve">calculations </w:t>
      </w:r>
      <w:r w:rsidR="00C11CF2">
        <w:rPr>
          <w:rFonts w:ascii="Times New Roman" w:hAnsi="Times New Roman" w:cs="Times New Roman"/>
          <w:sz w:val="24"/>
          <w:szCs w:val="24"/>
        </w:rPr>
        <w:t>assumed a power requirement of 0.8 and an alpha requirement of 0.05 (equivalently, a 95 percent confidence level for a two-sided statistical test).</w:t>
      </w:r>
      <w:r w:rsidR="003E089F">
        <w:rPr>
          <w:rFonts w:ascii="Times New Roman" w:hAnsi="Times New Roman" w:cs="Times New Roman"/>
          <w:sz w:val="24"/>
          <w:szCs w:val="24"/>
        </w:rPr>
        <w:t xml:space="preserve"> </w:t>
      </w:r>
      <w:r w:rsidR="0015149F">
        <w:rPr>
          <w:rFonts w:ascii="Times New Roman" w:hAnsi="Times New Roman" w:cs="Times New Roman"/>
          <w:sz w:val="24"/>
          <w:szCs w:val="24"/>
        </w:rPr>
        <w:t xml:space="preserve">Therefore, </w:t>
      </w:r>
      <w:r w:rsidR="008051AA">
        <w:rPr>
          <w:rFonts w:ascii="Times New Roman" w:hAnsi="Times New Roman" w:cs="Times New Roman"/>
          <w:sz w:val="24"/>
          <w:szCs w:val="24"/>
        </w:rPr>
        <w:t xml:space="preserve">the minimum detectable difference for a given comparison is the </w:t>
      </w:r>
      <w:r w:rsidR="00F760E8">
        <w:rPr>
          <w:rFonts w:ascii="Times New Roman" w:hAnsi="Times New Roman" w:cs="Times New Roman"/>
          <w:sz w:val="24"/>
          <w:szCs w:val="24"/>
        </w:rPr>
        <w:t xml:space="preserve">smallest </w:t>
      </w:r>
      <w:r w:rsidR="004645CE">
        <w:rPr>
          <w:rFonts w:ascii="Times New Roman" w:hAnsi="Times New Roman" w:cs="Times New Roman"/>
          <w:i/>
          <w:iCs/>
          <w:sz w:val="24"/>
          <w:szCs w:val="24"/>
        </w:rPr>
        <w:t>true</w:t>
      </w:r>
      <w:r w:rsidR="004645CE">
        <w:rPr>
          <w:rFonts w:ascii="Times New Roman" w:hAnsi="Times New Roman" w:cs="Times New Roman"/>
          <w:sz w:val="24"/>
          <w:szCs w:val="24"/>
        </w:rPr>
        <w:t xml:space="preserve"> difference </w:t>
      </w:r>
      <w:r w:rsidR="00B13472">
        <w:rPr>
          <w:rFonts w:ascii="Times New Roman" w:hAnsi="Times New Roman" w:cs="Times New Roman"/>
          <w:sz w:val="24"/>
          <w:szCs w:val="24"/>
        </w:rPr>
        <w:t>for which</w:t>
      </w:r>
      <w:r w:rsidR="006313CD">
        <w:rPr>
          <w:rFonts w:ascii="Times New Roman" w:hAnsi="Times New Roman" w:cs="Times New Roman"/>
          <w:sz w:val="24"/>
          <w:szCs w:val="24"/>
        </w:rPr>
        <w:t>, given the expected sample size,</w:t>
      </w:r>
      <w:r w:rsidR="00B13472">
        <w:rPr>
          <w:rFonts w:ascii="Times New Roman" w:hAnsi="Times New Roman" w:cs="Times New Roman"/>
          <w:sz w:val="24"/>
          <w:szCs w:val="24"/>
        </w:rPr>
        <w:t xml:space="preserve"> </w:t>
      </w:r>
      <w:r w:rsidR="006E1972">
        <w:rPr>
          <w:rFonts w:ascii="Times New Roman" w:hAnsi="Times New Roman" w:cs="Times New Roman"/>
          <w:sz w:val="24"/>
          <w:szCs w:val="24"/>
        </w:rPr>
        <w:t xml:space="preserve">there is at least an 80 percent probability that </w:t>
      </w:r>
      <w:r w:rsidR="00234728">
        <w:rPr>
          <w:rFonts w:ascii="Times New Roman" w:hAnsi="Times New Roman" w:cs="Times New Roman"/>
          <w:sz w:val="24"/>
          <w:szCs w:val="24"/>
        </w:rPr>
        <w:t xml:space="preserve">a two-sided statistical test would </w:t>
      </w:r>
      <w:r w:rsidR="001E709F">
        <w:rPr>
          <w:rFonts w:ascii="Times New Roman" w:hAnsi="Times New Roman" w:cs="Times New Roman"/>
          <w:sz w:val="24"/>
          <w:szCs w:val="24"/>
        </w:rPr>
        <w:t xml:space="preserve">show a statistically significant </w:t>
      </w:r>
      <w:r w:rsidR="00FE5F88">
        <w:rPr>
          <w:rFonts w:ascii="Times New Roman" w:hAnsi="Times New Roman" w:cs="Times New Roman"/>
          <w:sz w:val="24"/>
          <w:szCs w:val="24"/>
        </w:rPr>
        <w:t xml:space="preserve">difference </w:t>
      </w:r>
      <w:r w:rsidR="00A051CD">
        <w:rPr>
          <w:rFonts w:ascii="Times New Roman" w:hAnsi="Times New Roman" w:cs="Times New Roman"/>
          <w:sz w:val="24"/>
          <w:szCs w:val="24"/>
        </w:rPr>
        <w:t>at the 0.05 level</w:t>
      </w:r>
      <w:r w:rsidR="0039746B">
        <w:rPr>
          <w:rFonts w:ascii="Times New Roman" w:hAnsi="Times New Roman" w:cs="Times New Roman"/>
          <w:sz w:val="24"/>
          <w:szCs w:val="24"/>
        </w:rPr>
        <w:t>.</w:t>
      </w:r>
      <w:r w:rsidR="009A5F11">
        <w:rPr>
          <w:rFonts w:ascii="Times New Roman" w:hAnsi="Times New Roman" w:cs="Times New Roman"/>
          <w:sz w:val="24"/>
          <w:szCs w:val="24"/>
        </w:rPr>
        <w:t xml:space="preserve"> </w:t>
      </w:r>
      <w:r w:rsidRPr="00EE41FA" w:rsidR="009A5F11">
        <w:rPr>
          <w:rFonts w:ascii="Times New Roman" w:hAnsi="Times New Roman" w:cs="Times New Roman"/>
          <w:sz w:val="24"/>
          <w:szCs w:val="24"/>
        </w:rPr>
        <w:t>NCSES expect</w:t>
      </w:r>
      <w:r w:rsidR="0065102D">
        <w:rPr>
          <w:rFonts w:ascii="Times New Roman" w:hAnsi="Times New Roman" w:cs="Times New Roman"/>
          <w:sz w:val="24"/>
          <w:szCs w:val="24"/>
        </w:rPr>
        <w:t>s</w:t>
      </w:r>
      <w:r w:rsidRPr="00EE41FA" w:rsidR="009A5F11">
        <w:rPr>
          <w:rFonts w:ascii="Times New Roman" w:hAnsi="Times New Roman" w:cs="Times New Roman"/>
          <w:sz w:val="24"/>
          <w:szCs w:val="24"/>
        </w:rPr>
        <w:t xml:space="preserve"> that many comparisons (especially comparisons within subgroups) will be conducted on an </w:t>
      </w:r>
      <w:r w:rsidRPr="00EE41FA" w:rsidR="009A5F11">
        <w:rPr>
          <w:rFonts w:ascii="Times New Roman" w:hAnsi="Times New Roman" w:cs="Times New Roman"/>
          <w:sz w:val="24"/>
          <w:szCs w:val="24"/>
        </w:rPr>
        <w:lastRenderedPageBreak/>
        <w:t xml:space="preserve">exploratory basis and that, in certain circumstances, decisions could be based on observed differences that do not meet standard statistical significance levels. However, for the purpose of calculating the </w:t>
      </w:r>
      <w:r w:rsidR="00F152F1">
        <w:rPr>
          <w:rFonts w:ascii="Times New Roman" w:hAnsi="Times New Roman" w:cs="Times New Roman"/>
          <w:sz w:val="24"/>
          <w:szCs w:val="24"/>
        </w:rPr>
        <w:t>minimum detectable difference</w:t>
      </w:r>
      <w:r w:rsidRPr="00EE41FA" w:rsidR="009A5F11">
        <w:rPr>
          <w:rFonts w:ascii="Times New Roman" w:hAnsi="Times New Roman" w:cs="Times New Roman"/>
          <w:sz w:val="24"/>
          <w:szCs w:val="24"/>
        </w:rPr>
        <w:t>, the standard power of 0.8 and alpha of 0.05 were assumed.</w:t>
      </w:r>
      <w:r w:rsidR="00D22B9F">
        <w:rPr>
          <w:rFonts w:ascii="Times New Roman" w:hAnsi="Times New Roman" w:cs="Times New Roman"/>
          <w:sz w:val="24"/>
          <w:szCs w:val="24"/>
        </w:rPr>
        <w:t xml:space="preserve"> Results are also shown with an alpha of 0.1, which implies smaller minimum detectable differences.</w:t>
      </w:r>
    </w:p>
    <w:p w:rsidR="00AF172D" w:rsidP="00615274" w:rsidRDefault="001D3B33" w14:paraId="79875474" w14:textId="3E3F45BB">
      <w:pPr>
        <w:rPr>
          <w:rFonts w:ascii="Times New Roman" w:hAnsi="Times New Roman" w:cs="Times New Roman"/>
          <w:sz w:val="24"/>
          <w:szCs w:val="24"/>
        </w:rPr>
      </w:pPr>
      <w:r>
        <w:rPr>
          <w:rFonts w:ascii="Times New Roman" w:hAnsi="Times New Roman" w:cs="Times New Roman"/>
          <w:sz w:val="24"/>
          <w:szCs w:val="24"/>
        </w:rPr>
        <w:t>Power analyses were conducted</w:t>
      </w:r>
      <w:r w:rsidR="004C125B">
        <w:rPr>
          <w:rFonts w:ascii="Times New Roman" w:hAnsi="Times New Roman" w:cs="Times New Roman"/>
          <w:sz w:val="24"/>
          <w:szCs w:val="24"/>
        </w:rPr>
        <w:t xml:space="preserve"> for several types of comparisons, </w:t>
      </w:r>
      <w:r w:rsidR="00F7345F">
        <w:rPr>
          <w:rFonts w:ascii="Times New Roman" w:hAnsi="Times New Roman" w:cs="Times New Roman"/>
          <w:sz w:val="24"/>
          <w:szCs w:val="24"/>
        </w:rPr>
        <w:t xml:space="preserve">reflecting </w:t>
      </w:r>
      <w:r w:rsidR="0010729C">
        <w:rPr>
          <w:rFonts w:ascii="Times New Roman" w:hAnsi="Times New Roman" w:cs="Times New Roman"/>
          <w:sz w:val="24"/>
          <w:szCs w:val="24"/>
        </w:rPr>
        <w:t>several</w:t>
      </w:r>
      <w:r w:rsidR="00596F6A">
        <w:rPr>
          <w:rFonts w:ascii="Times New Roman" w:hAnsi="Times New Roman" w:cs="Times New Roman"/>
          <w:sz w:val="24"/>
          <w:szCs w:val="24"/>
        </w:rPr>
        <w:t xml:space="preserve"> types of </w:t>
      </w:r>
      <w:r w:rsidR="00905896">
        <w:rPr>
          <w:rFonts w:ascii="Times New Roman" w:hAnsi="Times New Roman" w:cs="Times New Roman"/>
          <w:sz w:val="24"/>
          <w:szCs w:val="24"/>
        </w:rPr>
        <w:t xml:space="preserve">planned </w:t>
      </w:r>
      <w:r w:rsidR="00596F6A">
        <w:rPr>
          <w:rFonts w:ascii="Times New Roman" w:hAnsi="Times New Roman" w:cs="Times New Roman"/>
          <w:sz w:val="24"/>
          <w:szCs w:val="24"/>
        </w:rPr>
        <w:t>post-collection analyses</w:t>
      </w:r>
      <w:r w:rsidR="00AA016D">
        <w:rPr>
          <w:rFonts w:ascii="Times New Roman" w:hAnsi="Times New Roman" w:cs="Times New Roman"/>
          <w:sz w:val="24"/>
          <w:szCs w:val="24"/>
        </w:rPr>
        <w:t xml:space="preserve">. </w:t>
      </w:r>
      <w:r w:rsidR="00A359B9">
        <w:rPr>
          <w:rFonts w:ascii="Times New Roman" w:hAnsi="Times New Roman" w:cs="Times New Roman"/>
          <w:sz w:val="24"/>
          <w:szCs w:val="24"/>
        </w:rPr>
        <w:t xml:space="preserve">First, </w:t>
      </w:r>
      <w:r w:rsidR="00DB366B">
        <w:rPr>
          <w:rFonts w:ascii="Times New Roman" w:hAnsi="Times New Roman" w:cs="Times New Roman"/>
          <w:sz w:val="24"/>
          <w:szCs w:val="24"/>
        </w:rPr>
        <w:t xml:space="preserve">minimum detectable differences were calculated for comparisons of both </w:t>
      </w:r>
      <w:r w:rsidR="00DB366B">
        <w:rPr>
          <w:rFonts w:ascii="Times New Roman" w:hAnsi="Times New Roman" w:cs="Times New Roman"/>
          <w:i/>
          <w:iCs/>
          <w:sz w:val="24"/>
          <w:szCs w:val="24"/>
        </w:rPr>
        <w:t>overall response rates</w:t>
      </w:r>
      <w:r w:rsidR="00DB366B">
        <w:rPr>
          <w:rFonts w:ascii="Times New Roman" w:hAnsi="Times New Roman" w:cs="Times New Roman"/>
          <w:sz w:val="24"/>
          <w:szCs w:val="24"/>
        </w:rPr>
        <w:t xml:space="preserve"> and of </w:t>
      </w:r>
      <w:r w:rsidR="00DB366B">
        <w:rPr>
          <w:rFonts w:ascii="Times New Roman" w:hAnsi="Times New Roman" w:cs="Times New Roman"/>
          <w:i/>
          <w:iCs/>
          <w:sz w:val="24"/>
          <w:szCs w:val="24"/>
        </w:rPr>
        <w:t>response rates within subgroups</w:t>
      </w:r>
      <w:r w:rsidR="00DB366B">
        <w:rPr>
          <w:rFonts w:ascii="Times New Roman" w:hAnsi="Times New Roman" w:cs="Times New Roman"/>
          <w:sz w:val="24"/>
          <w:szCs w:val="24"/>
        </w:rPr>
        <w:t xml:space="preserve">. </w:t>
      </w:r>
      <w:r w:rsidR="003809FD">
        <w:rPr>
          <w:rFonts w:ascii="Times New Roman" w:hAnsi="Times New Roman" w:cs="Times New Roman"/>
          <w:sz w:val="24"/>
          <w:szCs w:val="24"/>
        </w:rPr>
        <w:t xml:space="preserve">The overall response rate is a critical outcome of any data collection, as it </w:t>
      </w:r>
      <w:r w:rsidR="00FC744D">
        <w:rPr>
          <w:rFonts w:ascii="Times New Roman" w:hAnsi="Times New Roman" w:cs="Times New Roman"/>
          <w:sz w:val="24"/>
          <w:szCs w:val="24"/>
        </w:rPr>
        <w:t xml:space="preserve">determines the cost of obtaining </w:t>
      </w:r>
      <w:proofErr w:type="gramStart"/>
      <w:r w:rsidR="00FC744D">
        <w:rPr>
          <w:rFonts w:ascii="Times New Roman" w:hAnsi="Times New Roman" w:cs="Times New Roman"/>
          <w:sz w:val="24"/>
          <w:szCs w:val="24"/>
        </w:rPr>
        <w:t>a sufficient number of</w:t>
      </w:r>
      <w:proofErr w:type="gramEnd"/>
      <w:r w:rsidR="00FC744D">
        <w:rPr>
          <w:rFonts w:ascii="Times New Roman" w:hAnsi="Times New Roman" w:cs="Times New Roman"/>
          <w:sz w:val="24"/>
          <w:szCs w:val="24"/>
        </w:rPr>
        <w:t xml:space="preserve"> responses and </w:t>
      </w:r>
      <w:r w:rsidR="00C55781">
        <w:rPr>
          <w:rFonts w:ascii="Times New Roman" w:hAnsi="Times New Roman" w:cs="Times New Roman"/>
          <w:sz w:val="24"/>
          <w:szCs w:val="24"/>
        </w:rPr>
        <w:t xml:space="preserve">is also </w:t>
      </w:r>
      <w:r w:rsidR="00B042ED">
        <w:rPr>
          <w:rFonts w:ascii="Times New Roman" w:hAnsi="Times New Roman" w:cs="Times New Roman"/>
          <w:sz w:val="24"/>
          <w:szCs w:val="24"/>
        </w:rPr>
        <w:t xml:space="preserve">a potential driver of nonresponse bias. </w:t>
      </w:r>
      <w:r w:rsidR="00D12F26">
        <w:rPr>
          <w:rFonts w:ascii="Times New Roman" w:hAnsi="Times New Roman" w:cs="Times New Roman"/>
          <w:sz w:val="24"/>
          <w:szCs w:val="24"/>
        </w:rPr>
        <w:t>Accordingly,</w:t>
      </w:r>
      <w:r w:rsidR="0016642D">
        <w:rPr>
          <w:rFonts w:ascii="Times New Roman" w:hAnsi="Times New Roman" w:cs="Times New Roman"/>
          <w:sz w:val="24"/>
          <w:szCs w:val="24"/>
        </w:rPr>
        <w:t xml:space="preserve"> </w:t>
      </w:r>
      <w:r w:rsidR="00557DA2">
        <w:rPr>
          <w:rFonts w:ascii="Times New Roman" w:hAnsi="Times New Roman" w:cs="Times New Roman"/>
          <w:sz w:val="24"/>
          <w:szCs w:val="24"/>
        </w:rPr>
        <w:t xml:space="preserve">NCSES </w:t>
      </w:r>
      <w:r w:rsidR="004A6F6F">
        <w:rPr>
          <w:rFonts w:ascii="Times New Roman" w:hAnsi="Times New Roman" w:cs="Times New Roman"/>
          <w:sz w:val="24"/>
          <w:szCs w:val="24"/>
        </w:rPr>
        <w:t>plan</w:t>
      </w:r>
      <w:r w:rsidR="003359E8">
        <w:rPr>
          <w:rFonts w:ascii="Times New Roman" w:hAnsi="Times New Roman" w:cs="Times New Roman"/>
          <w:sz w:val="24"/>
          <w:szCs w:val="24"/>
        </w:rPr>
        <w:t>s</w:t>
      </w:r>
      <w:r w:rsidR="004A6F6F">
        <w:rPr>
          <w:rFonts w:ascii="Times New Roman" w:hAnsi="Times New Roman" w:cs="Times New Roman"/>
          <w:sz w:val="24"/>
          <w:szCs w:val="24"/>
        </w:rPr>
        <w:t xml:space="preserve"> to compare overall response rates between treatment groups </w:t>
      </w:r>
      <w:r w:rsidR="00557DA2">
        <w:rPr>
          <w:rFonts w:ascii="Times New Roman" w:hAnsi="Times New Roman" w:cs="Times New Roman"/>
          <w:sz w:val="24"/>
          <w:szCs w:val="24"/>
        </w:rPr>
        <w:t xml:space="preserve">to </w:t>
      </w:r>
      <w:r w:rsidR="00871A9F">
        <w:rPr>
          <w:rFonts w:ascii="Times New Roman" w:hAnsi="Times New Roman" w:cs="Times New Roman"/>
          <w:sz w:val="24"/>
          <w:szCs w:val="24"/>
        </w:rPr>
        <w:t xml:space="preserve">identify the </w:t>
      </w:r>
      <w:r w:rsidR="00DD0B58">
        <w:rPr>
          <w:rFonts w:ascii="Times New Roman" w:hAnsi="Times New Roman" w:cs="Times New Roman"/>
          <w:sz w:val="24"/>
          <w:szCs w:val="24"/>
        </w:rPr>
        <w:t xml:space="preserve">single </w:t>
      </w:r>
      <w:r w:rsidR="00871A9F">
        <w:rPr>
          <w:rFonts w:ascii="Times New Roman" w:hAnsi="Times New Roman" w:cs="Times New Roman"/>
          <w:sz w:val="24"/>
          <w:szCs w:val="24"/>
        </w:rPr>
        <w:t>contact strategy and</w:t>
      </w:r>
      <w:r w:rsidR="00DD0B58">
        <w:rPr>
          <w:rFonts w:ascii="Times New Roman" w:hAnsi="Times New Roman" w:cs="Times New Roman"/>
          <w:sz w:val="24"/>
          <w:szCs w:val="24"/>
        </w:rPr>
        <w:t xml:space="preserve"> single</w:t>
      </w:r>
      <w:r w:rsidR="00871A9F">
        <w:rPr>
          <w:rFonts w:ascii="Times New Roman" w:hAnsi="Times New Roman" w:cs="Times New Roman"/>
          <w:sz w:val="24"/>
          <w:szCs w:val="24"/>
        </w:rPr>
        <w:t xml:space="preserve"> incentive structure that </w:t>
      </w:r>
      <w:r w:rsidR="00AE6EA8">
        <w:rPr>
          <w:rFonts w:ascii="Times New Roman" w:hAnsi="Times New Roman" w:cs="Times New Roman"/>
          <w:sz w:val="24"/>
          <w:szCs w:val="24"/>
        </w:rPr>
        <w:t>obtain responses</w:t>
      </w:r>
      <w:r w:rsidR="00234B7D">
        <w:rPr>
          <w:rFonts w:ascii="Times New Roman" w:hAnsi="Times New Roman" w:cs="Times New Roman"/>
          <w:sz w:val="24"/>
          <w:szCs w:val="24"/>
        </w:rPr>
        <w:t xml:space="preserve"> from the </w:t>
      </w:r>
      <w:r w:rsidR="008B6B3B">
        <w:rPr>
          <w:rFonts w:ascii="Times New Roman" w:hAnsi="Times New Roman" w:cs="Times New Roman"/>
          <w:sz w:val="24"/>
          <w:szCs w:val="24"/>
        </w:rPr>
        <w:t xml:space="preserve">largest percentage of the </w:t>
      </w:r>
      <w:r w:rsidR="00D95AD9">
        <w:rPr>
          <w:rFonts w:ascii="Times New Roman" w:hAnsi="Times New Roman" w:cs="Times New Roman"/>
          <w:sz w:val="24"/>
          <w:szCs w:val="24"/>
        </w:rPr>
        <w:t>NTEWS sample</w:t>
      </w:r>
      <w:r w:rsidR="00A46E5E">
        <w:rPr>
          <w:rFonts w:ascii="Times New Roman" w:hAnsi="Times New Roman" w:cs="Times New Roman"/>
          <w:sz w:val="24"/>
          <w:szCs w:val="24"/>
        </w:rPr>
        <w:t xml:space="preserve">. </w:t>
      </w:r>
      <w:r w:rsidR="007F3E7C">
        <w:rPr>
          <w:rFonts w:ascii="Times New Roman" w:hAnsi="Times New Roman" w:cs="Times New Roman"/>
          <w:sz w:val="24"/>
          <w:szCs w:val="24"/>
        </w:rPr>
        <w:t>At the same time, i</w:t>
      </w:r>
      <w:r w:rsidR="00977BA2">
        <w:rPr>
          <w:rFonts w:ascii="Times New Roman" w:hAnsi="Times New Roman" w:cs="Times New Roman"/>
          <w:sz w:val="24"/>
          <w:szCs w:val="24"/>
        </w:rPr>
        <w:t xml:space="preserve">t is possible </w:t>
      </w:r>
      <w:r w:rsidR="008A2137">
        <w:rPr>
          <w:rFonts w:ascii="Times New Roman" w:hAnsi="Times New Roman" w:cs="Times New Roman"/>
          <w:sz w:val="24"/>
          <w:szCs w:val="24"/>
        </w:rPr>
        <w:t xml:space="preserve">that </w:t>
      </w:r>
      <w:r w:rsidR="001A380C">
        <w:rPr>
          <w:rFonts w:ascii="Times New Roman" w:hAnsi="Times New Roman" w:cs="Times New Roman"/>
          <w:sz w:val="24"/>
          <w:szCs w:val="24"/>
        </w:rPr>
        <w:t xml:space="preserve">the optimal </w:t>
      </w:r>
      <w:r w:rsidR="00383C00">
        <w:rPr>
          <w:rFonts w:ascii="Times New Roman" w:hAnsi="Times New Roman" w:cs="Times New Roman"/>
          <w:sz w:val="24"/>
          <w:szCs w:val="24"/>
        </w:rPr>
        <w:t>contact strategy and/or incentive structure will vary between identifiable subgroups within the NTEWS sample.</w:t>
      </w:r>
      <w:r w:rsidR="00014F79">
        <w:rPr>
          <w:rFonts w:ascii="Times New Roman" w:hAnsi="Times New Roman" w:cs="Times New Roman"/>
          <w:sz w:val="24"/>
          <w:szCs w:val="24"/>
        </w:rPr>
        <w:t xml:space="preserve"> </w:t>
      </w:r>
      <w:r w:rsidR="00E4207A">
        <w:rPr>
          <w:rFonts w:ascii="Times New Roman" w:hAnsi="Times New Roman" w:cs="Times New Roman"/>
          <w:sz w:val="24"/>
          <w:szCs w:val="24"/>
        </w:rPr>
        <w:t xml:space="preserve">For example, </w:t>
      </w:r>
      <w:r w:rsidR="006B67E8">
        <w:rPr>
          <w:rFonts w:ascii="Times New Roman" w:hAnsi="Times New Roman" w:cs="Times New Roman"/>
          <w:sz w:val="24"/>
          <w:szCs w:val="24"/>
        </w:rPr>
        <w:t xml:space="preserve">incentives may be necessary for sample members with relatively low response propensities, but not for those with relatively high response propensities. </w:t>
      </w:r>
      <w:r w:rsidR="0090208E">
        <w:rPr>
          <w:rFonts w:ascii="Times New Roman" w:hAnsi="Times New Roman" w:cs="Times New Roman"/>
          <w:sz w:val="24"/>
          <w:szCs w:val="24"/>
        </w:rPr>
        <w:t>Comparisons of</w:t>
      </w:r>
      <w:r w:rsidR="00014F79">
        <w:rPr>
          <w:rFonts w:ascii="Times New Roman" w:hAnsi="Times New Roman" w:cs="Times New Roman"/>
          <w:sz w:val="24"/>
          <w:szCs w:val="24"/>
        </w:rPr>
        <w:t xml:space="preserve"> </w:t>
      </w:r>
      <w:r w:rsidRPr="00E2125B" w:rsidR="00BA1120">
        <w:rPr>
          <w:rFonts w:ascii="Times New Roman" w:hAnsi="Times New Roman" w:cs="Times New Roman"/>
          <w:sz w:val="24"/>
          <w:szCs w:val="24"/>
        </w:rPr>
        <w:t>response rates within subgroups</w:t>
      </w:r>
      <w:r w:rsidR="00BA1120">
        <w:rPr>
          <w:rFonts w:ascii="Times New Roman" w:hAnsi="Times New Roman" w:cs="Times New Roman"/>
          <w:sz w:val="24"/>
          <w:szCs w:val="24"/>
        </w:rPr>
        <w:t xml:space="preserve"> will </w:t>
      </w:r>
      <w:r w:rsidR="00B3292C">
        <w:rPr>
          <w:rFonts w:ascii="Times New Roman" w:hAnsi="Times New Roman" w:cs="Times New Roman"/>
          <w:sz w:val="24"/>
          <w:szCs w:val="24"/>
        </w:rPr>
        <w:t xml:space="preserve">help to determine whether this is the case and, if so, </w:t>
      </w:r>
      <w:r w:rsidR="00141CA0">
        <w:rPr>
          <w:rFonts w:ascii="Times New Roman" w:hAnsi="Times New Roman" w:cs="Times New Roman"/>
          <w:sz w:val="24"/>
          <w:szCs w:val="24"/>
        </w:rPr>
        <w:t xml:space="preserve">enable </w:t>
      </w:r>
      <w:r w:rsidR="00AB4138">
        <w:rPr>
          <w:rFonts w:ascii="Times New Roman" w:hAnsi="Times New Roman" w:cs="Times New Roman"/>
          <w:sz w:val="24"/>
          <w:szCs w:val="24"/>
        </w:rPr>
        <w:t>NC</w:t>
      </w:r>
      <w:r w:rsidR="00222C1B">
        <w:rPr>
          <w:rFonts w:ascii="Times New Roman" w:hAnsi="Times New Roman" w:cs="Times New Roman"/>
          <w:sz w:val="24"/>
          <w:szCs w:val="24"/>
        </w:rPr>
        <w:t>S</w:t>
      </w:r>
      <w:r w:rsidR="00AB4138">
        <w:rPr>
          <w:rFonts w:ascii="Times New Roman" w:hAnsi="Times New Roman" w:cs="Times New Roman"/>
          <w:sz w:val="24"/>
          <w:szCs w:val="24"/>
        </w:rPr>
        <w:t xml:space="preserve">ES to </w:t>
      </w:r>
      <w:r w:rsidR="00685877">
        <w:rPr>
          <w:rFonts w:ascii="Times New Roman" w:hAnsi="Times New Roman" w:cs="Times New Roman"/>
          <w:sz w:val="24"/>
          <w:szCs w:val="24"/>
        </w:rPr>
        <w:t xml:space="preserve">develop </w:t>
      </w:r>
      <w:r w:rsidR="00240BA9">
        <w:rPr>
          <w:rFonts w:ascii="Times New Roman" w:hAnsi="Times New Roman" w:cs="Times New Roman"/>
          <w:sz w:val="24"/>
          <w:szCs w:val="24"/>
        </w:rPr>
        <w:t xml:space="preserve">adaptive design strategies </w:t>
      </w:r>
      <w:r w:rsidR="00050837">
        <w:rPr>
          <w:rFonts w:ascii="Times New Roman" w:hAnsi="Times New Roman" w:cs="Times New Roman"/>
          <w:sz w:val="24"/>
          <w:szCs w:val="24"/>
        </w:rPr>
        <w:t xml:space="preserve">that could further </w:t>
      </w:r>
      <w:r w:rsidR="008A7512">
        <w:rPr>
          <w:rFonts w:ascii="Times New Roman" w:hAnsi="Times New Roman" w:cs="Times New Roman"/>
          <w:sz w:val="24"/>
          <w:szCs w:val="24"/>
        </w:rPr>
        <w:t xml:space="preserve">improve response rates and/or </w:t>
      </w:r>
      <w:r w:rsidR="00AE2526">
        <w:rPr>
          <w:rFonts w:ascii="Times New Roman" w:hAnsi="Times New Roman" w:cs="Times New Roman"/>
          <w:sz w:val="24"/>
          <w:szCs w:val="24"/>
        </w:rPr>
        <w:t xml:space="preserve">mitigate </w:t>
      </w:r>
      <w:r w:rsidR="00A40D6B">
        <w:rPr>
          <w:rFonts w:ascii="Times New Roman" w:hAnsi="Times New Roman" w:cs="Times New Roman"/>
          <w:sz w:val="24"/>
          <w:szCs w:val="24"/>
        </w:rPr>
        <w:t xml:space="preserve">nonresponse bias </w:t>
      </w:r>
      <w:r w:rsidR="006D7FC6">
        <w:rPr>
          <w:rFonts w:ascii="Times New Roman" w:hAnsi="Times New Roman" w:cs="Times New Roman"/>
          <w:sz w:val="24"/>
          <w:szCs w:val="24"/>
        </w:rPr>
        <w:t>in future NTEWS cycles.</w:t>
      </w:r>
      <w:r w:rsidR="009175BA">
        <w:rPr>
          <w:rFonts w:ascii="Times New Roman" w:hAnsi="Times New Roman" w:cs="Times New Roman"/>
          <w:sz w:val="24"/>
          <w:szCs w:val="24"/>
        </w:rPr>
        <w:t xml:space="preserve"> </w:t>
      </w:r>
    </w:p>
    <w:p w:rsidR="00417F02" w:rsidP="00615274" w:rsidRDefault="00F20991" w14:paraId="27C04502" w14:textId="6E62FE17">
      <w:pPr>
        <w:rPr>
          <w:rFonts w:ascii="Times New Roman" w:hAnsi="Times New Roman" w:cs="Times New Roman"/>
          <w:sz w:val="24"/>
          <w:szCs w:val="24"/>
        </w:rPr>
      </w:pPr>
      <w:r>
        <w:rPr>
          <w:rFonts w:ascii="Times New Roman" w:hAnsi="Times New Roman" w:cs="Times New Roman"/>
          <w:sz w:val="24"/>
          <w:szCs w:val="24"/>
        </w:rPr>
        <w:t xml:space="preserve">Minimum detectable differences were also calculated for comparisons of </w:t>
      </w:r>
      <w:r w:rsidR="00C36F18">
        <w:rPr>
          <w:rFonts w:ascii="Times New Roman" w:hAnsi="Times New Roman" w:cs="Times New Roman"/>
          <w:i/>
          <w:iCs/>
          <w:sz w:val="24"/>
          <w:szCs w:val="24"/>
        </w:rPr>
        <w:t>substantive</w:t>
      </w:r>
      <w:r w:rsidR="00B03455">
        <w:rPr>
          <w:rFonts w:ascii="Times New Roman" w:hAnsi="Times New Roman" w:cs="Times New Roman"/>
          <w:i/>
          <w:iCs/>
          <w:sz w:val="24"/>
          <w:szCs w:val="24"/>
        </w:rPr>
        <w:t xml:space="preserve"> NTEWS</w:t>
      </w:r>
      <w:r w:rsidR="00C36F18">
        <w:rPr>
          <w:rFonts w:ascii="Times New Roman" w:hAnsi="Times New Roman" w:cs="Times New Roman"/>
          <w:i/>
          <w:iCs/>
          <w:sz w:val="24"/>
          <w:szCs w:val="24"/>
        </w:rPr>
        <w:t xml:space="preserve"> estimates</w:t>
      </w:r>
      <w:r w:rsidR="00C36F18">
        <w:rPr>
          <w:rFonts w:ascii="Times New Roman" w:hAnsi="Times New Roman" w:cs="Times New Roman"/>
          <w:sz w:val="24"/>
          <w:szCs w:val="24"/>
        </w:rPr>
        <w:t xml:space="preserve"> </w:t>
      </w:r>
      <w:r w:rsidR="00B4536A">
        <w:rPr>
          <w:rFonts w:ascii="Times New Roman" w:hAnsi="Times New Roman" w:cs="Times New Roman"/>
          <w:sz w:val="24"/>
          <w:szCs w:val="24"/>
        </w:rPr>
        <w:t xml:space="preserve">obtained from </w:t>
      </w:r>
      <w:r w:rsidR="005257E8">
        <w:rPr>
          <w:rFonts w:ascii="Times New Roman" w:hAnsi="Times New Roman" w:cs="Times New Roman"/>
          <w:sz w:val="24"/>
          <w:szCs w:val="24"/>
        </w:rPr>
        <w:t xml:space="preserve">respondents in </w:t>
      </w:r>
      <w:r w:rsidR="00145824">
        <w:rPr>
          <w:rFonts w:ascii="Times New Roman" w:hAnsi="Times New Roman" w:cs="Times New Roman"/>
          <w:sz w:val="24"/>
          <w:szCs w:val="24"/>
        </w:rPr>
        <w:t xml:space="preserve">different treatment groups. </w:t>
      </w:r>
      <w:r w:rsidR="00E2782E">
        <w:rPr>
          <w:rFonts w:ascii="Times New Roman" w:hAnsi="Times New Roman" w:cs="Times New Roman"/>
          <w:sz w:val="24"/>
          <w:szCs w:val="24"/>
        </w:rPr>
        <w:t xml:space="preserve">Examples of substantive estimates would include the percentage of respondents reporting a specific type of credential and the distribution of a demographic variable among respondents. </w:t>
      </w:r>
      <w:r w:rsidR="00045581">
        <w:rPr>
          <w:rFonts w:ascii="Times New Roman" w:hAnsi="Times New Roman" w:cs="Times New Roman"/>
          <w:sz w:val="24"/>
          <w:szCs w:val="24"/>
        </w:rPr>
        <w:t xml:space="preserve">NCSES </w:t>
      </w:r>
      <w:r w:rsidR="00782D51">
        <w:rPr>
          <w:rFonts w:ascii="Times New Roman" w:hAnsi="Times New Roman" w:cs="Times New Roman"/>
          <w:sz w:val="24"/>
          <w:szCs w:val="24"/>
        </w:rPr>
        <w:t>plan</w:t>
      </w:r>
      <w:r w:rsidR="0057172A">
        <w:rPr>
          <w:rFonts w:ascii="Times New Roman" w:hAnsi="Times New Roman" w:cs="Times New Roman"/>
          <w:sz w:val="24"/>
          <w:szCs w:val="24"/>
        </w:rPr>
        <w:t>s</w:t>
      </w:r>
      <w:r w:rsidR="00782D51">
        <w:rPr>
          <w:rFonts w:ascii="Times New Roman" w:hAnsi="Times New Roman" w:cs="Times New Roman"/>
          <w:sz w:val="24"/>
          <w:szCs w:val="24"/>
        </w:rPr>
        <w:t xml:space="preserve"> to compare substantive estimates to assess the extent to</w:t>
      </w:r>
      <w:r w:rsidR="008021F9">
        <w:rPr>
          <w:rFonts w:ascii="Times New Roman" w:hAnsi="Times New Roman" w:cs="Times New Roman"/>
          <w:sz w:val="24"/>
          <w:szCs w:val="24"/>
        </w:rPr>
        <w:t xml:space="preserve"> which </w:t>
      </w:r>
      <w:r w:rsidR="004777AA">
        <w:rPr>
          <w:rFonts w:ascii="Times New Roman" w:hAnsi="Times New Roman" w:cs="Times New Roman"/>
          <w:sz w:val="24"/>
          <w:szCs w:val="24"/>
        </w:rPr>
        <w:t xml:space="preserve">different contact and incentive strategies </w:t>
      </w:r>
      <w:r w:rsidR="001B1774">
        <w:rPr>
          <w:rFonts w:ascii="Times New Roman" w:hAnsi="Times New Roman" w:cs="Times New Roman"/>
          <w:sz w:val="24"/>
          <w:szCs w:val="24"/>
        </w:rPr>
        <w:t xml:space="preserve">affect the composition </w:t>
      </w:r>
      <w:r w:rsidR="00CC35B1">
        <w:rPr>
          <w:rFonts w:ascii="Times New Roman" w:hAnsi="Times New Roman" w:cs="Times New Roman"/>
          <w:sz w:val="24"/>
          <w:szCs w:val="24"/>
        </w:rPr>
        <w:t xml:space="preserve">of NTEWS respondents. </w:t>
      </w:r>
      <w:r w:rsidR="00830D84">
        <w:rPr>
          <w:rFonts w:ascii="Times New Roman" w:hAnsi="Times New Roman" w:cs="Times New Roman"/>
          <w:sz w:val="24"/>
          <w:szCs w:val="24"/>
        </w:rPr>
        <w:t xml:space="preserve">This will </w:t>
      </w:r>
      <w:r w:rsidR="009D705B">
        <w:rPr>
          <w:rFonts w:ascii="Times New Roman" w:hAnsi="Times New Roman" w:cs="Times New Roman"/>
          <w:sz w:val="24"/>
          <w:szCs w:val="24"/>
        </w:rPr>
        <w:t xml:space="preserve">allow NCSES determine whether a given contact strategy or incentive protocol would affect officially reported statistics from the NTEWS, and </w:t>
      </w:r>
      <w:r w:rsidR="008E0185">
        <w:rPr>
          <w:rFonts w:ascii="Times New Roman" w:hAnsi="Times New Roman" w:cs="Times New Roman"/>
          <w:sz w:val="24"/>
          <w:szCs w:val="24"/>
        </w:rPr>
        <w:t xml:space="preserve">to </w:t>
      </w:r>
      <w:r w:rsidR="00BA516E">
        <w:rPr>
          <w:rFonts w:ascii="Times New Roman" w:hAnsi="Times New Roman" w:cs="Times New Roman"/>
          <w:sz w:val="24"/>
          <w:szCs w:val="24"/>
        </w:rPr>
        <w:t xml:space="preserve">evaluate </w:t>
      </w:r>
      <w:r w:rsidR="008E0185">
        <w:rPr>
          <w:rFonts w:ascii="Times New Roman" w:hAnsi="Times New Roman" w:cs="Times New Roman"/>
          <w:sz w:val="24"/>
          <w:szCs w:val="24"/>
        </w:rPr>
        <w:t>the effect of these design features on</w:t>
      </w:r>
      <w:r w:rsidR="007A46E3">
        <w:rPr>
          <w:rFonts w:ascii="Times New Roman" w:hAnsi="Times New Roman" w:cs="Times New Roman"/>
          <w:sz w:val="24"/>
          <w:szCs w:val="24"/>
        </w:rPr>
        <w:t xml:space="preserve"> nonresponse bias. </w:t>
      </w:r>
      <w:r w:rsidR="0072311C">
        <w:rPr>
          <w:rFonts w:ascii="Times New Roman" w:hAnsi="Times New Roman" w:cs="Times New Roman"/>
          <w:sz w:val="24"/>
          <w:szCs w:val="24"/>
        </w:rPr>
        <w:t>For the contact</w:t>
      </w:r>
      <w:r w:rsidR="00F840FF">
        <w:rPr>
          <w:rFonts w:ascii="Times New Roman" w:hAnsi="Times New Roman" w:cs="Times New Roman"/>
          <w:sz w:val="24"/>
          <w:szCs w:val="24"/>
        </w:rPr>
        <w:t>-</w:t>
      </w:r>
      <w:r w:rsidR="0072311C">
        <w:rPr>
          <w:rFonts w:ascii="Times New Roman" w:hAnsi="Times New Roman" w:cs="Times New Roman"/>
          <w:sz w:val="24"/>
          <w:szCs w:val="24"/>
        </w:rPr>
        <w:t xml:space="preserve">strategies experiment, </w:t>
      </w:r>
      <w:r w:rsidR="00164D8B">
        <w:rPr>
          <w:rFonts w:ascii="Times New Roman" w:hAnsi="Times New Roman" w:cs="Times New Roman"/>
          <w:sz w:val="24"/>
          <w:szCs w:val="24"/>
        </w:rPr>
        <w:t xml:space="preserve">comparisons of substantive estimates will also </w:t>
      </w:r>
      <w:r w:rsidR="003772F3">
        <w:rPr>
          <w:rFonts w:ascii="Times New Roman" w:hAnsi="Times New Roman" w:cs="Times New Roman"/>
          <w:sz w:val="24"/>
          <w:szCs w:val="24"/>
        </w:rPr>
        <w:t>allow the assessment of mode effects</w:t>
      </w:r>
      <w:r w:rsidR="00062D7F">
        <w:rPr>
          <w:rFonts w:ascii="Times New Roman" w:hAnsi="Times New Roman" w:cs="Times New Roman"/>
          <w:sz w:val="24"/>
          <w:szCs w:val="24"/>
        </w:rPr>
        <w:t xml:space="preserve"> to determine whether </w:t>
      </w:r>
      <w:r w:rsidR="00647B4F">
        <w:rPr>
          <w:rFonts w:ascii="Times New Roman" w:hAnsi="Times New Roman" w:cs="Times New Roman"/>
          <w:sz w:val="24"/>
          <w:szCs w:val="24"/>
        </w:rPr>
        <w:t xml:space="preserve">measurement error </w:t>
      </w:r>
      <w:r w:rsidR="00EC057F">
        <w:rPr>
          <w:rFonts w:ascii="Times New Roman" w:hAnsi="Times New Roman" w:cs="Times New Roman"/>
          <w:sz w:val="24"/>
          <w:szCs w:val="24"/>
        </w:rPr>
        <w:t xml:space="preserve">in key NTEWS items </w:t>
      </w:r>
      <w:r w:rsidR="006F4772">
        <w:rPr>
          <w:rFonts w:ascii="Times New Roman" w:hAnsi="Times New Roman" w:cs="Times New Roman"/>
          <w:sz w:val="24"/>
          <w:szCs w:val="24"/>
        </w:rPr>
        <w:t xml:space="preserve">(e.g., whether the respondent reports a certification) </w:t>
      </w:r>
      <w:r w:rsidR="00FB6641">
        <w:rPr>
          <w:rFonts w:ascii="Times New Roman" w:hAnsi="Times New Roman" w:cs="Times New Roman"/>
          <w:sz w:val="24"/>
          <w:szCs w:val="24"/>
        </w:rPr>
        <w:t xml:space="preserve">varies </w:t>
      </w:r>
      <w:r w:rsidR="0073732C">
        <w:rPr>
          <w:rFonts w:ascii="Times New Roman" w:hAnsi="Times New Roman" w:cs="Times New Roman"/>
          <w:sz w:val="24"/>
          <w:szCs w:val="24"/>
        </w:rPr>
        <w:t>among</w:t>
      </w:r>
      <w:r w:rsidR="00FB6641">
        <w:rPr>
          <w:rFonts w:ascii="Times New Roman" w:hAnsi="Times New Roman" w:cs="Times New Roman"/>
          <w:sz w:val="24"/>
          <w:szCs w:val="24"/>
        </w:rPr>
        <w:t xml:space="preserve"> response modes</w:t>
      </w:r>
      <w:r w:rsidR="0073732C">
        <w:rPr>
          <w:rFonts w:ascii="Times New Roman" w:hAnsi="Times New Roman" w:cs="Times New Roman"/>
          <w:sz w:val="24"/>
          <w:szCs w:val="24"/>
        </w:rPr>
        <w:t xml:space="preserve"> (web, paper, </w:t>
      </w:r>
      <w:r w:rsidR="0016186D">
        <w:rPr>
          <w:rFonts w:ascii="Times New Roman" w:hAnsi="Times New Roman" w:cs="Times New Roman"/>
          <w:sz w:val="24"/>
          <w:szCs w:val="24"/>
        </w:rPr>
        <w:t xml:space="preserve">or computer-assisted </w:t>
      </w:r>
      <w:r w:rsidR="0073732C">
        <w:rPr>
          <w:rFonts w:ascii="Times New Roman" w:hAnsi="Times New Roman" w:cs="Times New Roman"/>
          <w:sz w:val="24"/>
          <w:szCs w:val="24"/>
        </w:rPr>
        <w:t>telephone</w:t>
      </w:r>
      <w:r w:rsidR="0016186D">
        <w:rPr>
          <w:rFonts w:ascii="Times New Roman" w:hAnsi="Times New Roman" w:cs="Times New Roman"/>
          <w:sz w:val="24"/>
          <w:szCs w:val="24"/>
        </w:rPr>
        <w:t xml:space="preserve"> interview </w:t>
      </w:r>
      <w:r w:rsidR="003F3751">
        <w:rPr>
          <w:rFonts w:ascii="Times New Roman" w:hAnsi="Times New Roman" w:cs="Times New Roman"/>
          <w:sz w:val="24"/>
          <w:szCs w:val="24"/>
        </w:rPr>
        <w:t>[</w:t>
      </w:r>
      <w:r w:rsidR="0016186D">
        <w:rPr>
          <w:rFonts w:ascii="Times New Roman" w:hAnsi="Times New Roman" w:cs="Times New Roman"/>
          <w:sz w:val="24"/>
          <w:szCs w:val="24"/>
        </w:rPr>
        <w:t>CATI</w:t>
      </w:r>
      <w:r w:rsidR="003F3751">
        <w:rPr>
          <w:rFonts w:ascii="Times New Roman" w:hAnsi="Times New Roman" w:cs="Times New Roman"/>
          <w:sz w:val="24"/>
          <w:szCs w:val="24"/>
        </w:rPr>
        <w:t>]</w:t>
      </w:r>
      <w:r w:rsidR="0073732C">
        <w:rPr>
          <w:rFonts w:ascii="Times New Roman" w:hAnsi="Times New Roman" w:cs="Times New Roman"/>
          <w:sz w:val="24"/>
          <w:szCs w:val="24"/>
        </w:rPr>
        <w:t>)</w:t>
      </w:r>
      <w:r w:rsidR="003772F3">
        <w:rPr>
          <w:rFonts w:ascii="Times New Roman" w:hAnsi="Times New Roman" w:cs="Times New Roman"/>
          <w:sz w:val="24"/>
          <w:szCs w:val="24"/>
        </w:rPr>
        <w:t>.</w:t>
      </w:r>
    </w:p>
    <w:p w:rsidRPr="00C36F18" w:rsidR="00BC1092" w:rsidP="00615274" w:rsidRDefault="00EA359C" w14:paraId="229E339A" w14:textId="7851675D">
      <w:pPr>
        <w:rPr>
          <w:rFonts w:ascii="Times New Roman" w:hAnsi="Times New Roman" w:cs="Times New Roman"/>
          <w:sz w:val="24"/>
          <w:szCs w:val="24"/>
        </w:rPr>
      </w:pPr>
      <w:r>
        <w:rPr>
          <w:rFonts w:ascii="Times New Roman" w:hAnsi="Times New Roman" w:cs="Times New Roman"/>
          <w:sz w:val="24"/>
          <w:szCs w:val="24"/>
        </w:rPr>
        <w:t xml:space="preserve">For the seeded sample, </w:t>
      </w:r>
      <w:r w:rsidR="003A4599">
        <w:rPr>
          <w:rFonts w:ascii="Times New Roman" w:hAnsi="Times New Roman" w:cs="Times New Roman"/>
          <w:sz w:val="24"/>
          <w:szCs w:val="24"/>
        </w:rPr>
        <w:t xml:space="preserve">the </w:t>
      </w:r>
      <w:r w:rsidR="00560A74">
        <w:rPr>
          <w:rFonts w:ascii="Times New Roman" w:hAnsi="Times New Roman" w:cs="Times New Roman"/>
          <w:sz w:val="24"/>
          <w:szCs w:val="24"/>
        </w:rPr>
        <w:t xml:space="preserve">structure </w:t>
      </w:r>
      <w:r w:rsidR="003A4599">
        <w:rPr>
          <w:rFonts w:ascii="Times New Roman" w:hAnsi="Times New Roman" w:cs="Times New Roman"/>
          <w:sz w:val="24"/>
          <w:szCs w:val="24"/>
        </w:rPr>
        <w:t>of the power analysis differed</w:t>
      </w:r>
      <w:r w:rsidR="00775C81">
        <w:rPr>
          <w:rFonts w:ascii="Times New Roman" w:hAnsi="Times New Roman" w:cs="Times New Roman"/>
          <w:sz w:val="24"/>
          <w:szCs w:val="24"/>
        </w:rPr>
        <w:t xml:space="preserve">. </w:t>
      </w:r>
      <w:r w:rsidR="007D18A3">
        <w:rPr>
          <w:rFonts w:ascii="Times New Roman" w:hAnsi="Times New Roman" w:cs="Times New Roman"/>
          <w:sz w:val="24"/>
          <w:szCs w:val="24"/>
        </w:rPr>
        <w:t xml:space="preserve">The power analysis for the seeded sample was conducted to determine </w:t>
      </w:r>
      <w:r w:rsidR="000D17E7">
        <w:rPr>
          <w:rFonts w:ascii="Times New Roman" w:hAnsi="Times New Roman" w:cs="Times New Roman"/>
          <w:sz w:val="24"/>
          <w:szCs w:val="24"/>
        </w:rPr>
        <w:t xml:space="preserve">a sample size that would allow </w:t>
      </w:r>
      <w:r w:rsidR="00175CAE">
        <w:rPr>
          <w:rFonts w:ascii="Times New Roman" w:hAnsi="Times New Roman" w:cs="Times New Roman"/>
          <w:sz w:val="24"/>
          <w:szCs w:val="24"/>
        </w:rPr>
        <w:t xml:space="preserve">the estimation of </w:t>
      </w:r>
      <w:r w:rsidR="0044754E">
        <w:rPr>
          <w:rFonts w:ascii="Times New Roman" w:hAnsi="Times New Roman" w:cs="Times New Roman"/>
          <w:sz w:val="24"/>
          <w:szCs w:val="24"/>
        </w:rPr>
        <w:t xml:space="preserve">the certificate underreporting </w:t>
      </w:r>
      <w:r w:rsidR="00175CAE">
        <w:rPr>
          <w:rFonts w:ascii="Times New Roman" w:hAnsi="Times New Roman" w:cs="Times New Roman"/>
          <w:sz w:val="24"/>
          <w:szCs w:val="24"/>
        </w:rPr>
        <w:t xml:space="preserve">rate at a reasonable level of precision—specifically, </w:t>
      </w:r>
      <w:r w:rsidR="00194F02">
        <w:rPr>
          <w:rFonts w:ascii="Times New Roman" w:hAnsi="Times New Roman" w:cs="Times New Roman"/>
          <w:sz w:val="24"/>
          <w:szCs w:val="24"/>
        </w:rPr>
        <w:t xml:space="preserve">a margin of error (MOE) of </w:t>
      </w:r>
      <w:r w:rsidR="000277C6">
        <w:rPr>
          <w:rFonts w:ascii="Times New Roman" w:hAnsi="Times New Roman" w:cs="Times New Roman"/>
          <w:sz w:val="24"/>
          <w:szCs w:val="24"/>
        </w:rPr>
        <w:t>4</w:t>
      </w:r>
      <w:r w:rsidR="00194F02">
        <w:rPr>
          <w:rFonts w:ascii="Times New Roman" w:hAnsi="Times New Roman" w:cs="Times New Roman"/>
          <w:sz w:val="24"/>
          <w:szCs w:val="24"/>
        </w:rPr>
        <w:t xml:space="preserve"> percentage points or below.</w:t>
      </w:r>
    </w:p>
    <w:p w:rsidRPr="00EE41FA" w:rsidR="0065115D" w:rsidP="00615274" w:rsidRDefault="00EE41FA" w14:paraId="1927817E" w14:textId="0B4695EA">
      <w:pPr>
        <w:rPr>
          <w:rFonts w:ascii="Times New Roman" w:hAnsi="Times New Roman" w:cs="Times New Roman"/>
          <w:sz w:val="24"/>
          <w:szCs w:val="24"/>
        </w:rPr>
      </w:pPr>
      <w:r>
        <w:rPr>
          <w:rFonts w:ascii="Times New Roman" w:hAnsi="Times New Roman" w:cs="Times New Roman"/>
          <w:b/>
          <w:sz w:val="24"/>
          <w:szCs w:val="24"/>
          <w:u w:val="single"/>
        </w:rPr>
        <w:t xml:space="preserve">2. </w:t>
      </w:r>
      <w:r w:rsidR="003C72D7">
        <w:rPr>
          <w:rFonts w:ascii="Times New Roman" w:hAnsi="Times New Roman" w:cs="Times New Roman"/>
          <w:b/>
          <w:sz w:val="24"/>
          <w:szCs w:val="24"/>
          <w:u w:val="single"/>
        </w:rPr>
        <w:t>Analysis for</w:t>
      </w:r>
      <w:r w:rsidRPr="00EE41FA" w:rsidR="008306FE">
        <w:rPr>
          <w:rFonts w:ascii="Times New Roman" w:hAnsi="Times New Roman" w:cs="Times New Roman"/>
          <w:b/>
          <w:sz w:val="24"/>
          <w:szCs w:val="24"/>
          <w:u w:val="single"/>
        </w:rPr>
        <w:t xml:space="preserve"> </w:t>
      </w:r>
      <w:r w:rsidRPr="00EE41FA" w:rsidR="0065115D">
        <w:rPr>
          <w:rFonts w:ascii="Times New Roman" w:hAnsi="Times New Roman" w:cs="Times New Roman"/>
          <w:b/>
          <w:sz w:val="24"/>
          <w:szCs w:val="24"/>
          <w:u w:val="single"/>
        </w:rPr>
        <w:t>methodological experiments in national sample</w:t>
      </w:r>
    </w:p>
    <w:p w:rsidRPr="00EE41FA" w:rsidR="00C36D2A" w:rsidP="00615274" w:rsidRDefault="00935D00" w14:paraId="73DD283E" w14:textId="26BA82D9">
      <w:pPr>
        <w:rPr>
          <w:rFonts w:ascii="Times New Roman" w:hAnsi="Times New Roman" w:cs="Times New Roman"/>
          <w:sz w:val="24"/>
          <w:szCs w:val="24"/>
        </w:rPr>
      </w:pPr>
      <w:r>
        <w:rPr>
          <w:rFonts w:ascii="Times New Roman" w:hAnsi="Times New Roman" w:cs="Times New Roman"/>
          <w:i/>
          <w:sz w:val="24"/>
          <w:szCs w:val="24"/>
        </w:rPr>
        <w:t xml:space="preserve">2.1. </w:t>
      </w:r>
      <w:r w:rsidRPr="00EE41FA" w:rsidR="00FD228C">
        <w:rPr>
          <w:rFonts w:ascii="Times New Roman" w:hAnsi="Times New Roman" w:cs="Times New Roman"/>
          <w:i/>
          <w:sz w:val="24"/>
          <w:szCs w:val="24"/>
        </w:rPr>
        <w:t>Parameters to be compared</w:t>
      </w:r>
    </w:p>
    <w:p w:rsidRPr="00EE41FA" w:rsidR="003F315B" w:rsidP="00615274" w:rsidRDefault="00CD7F8B" w14:paraId="14AC9319" w14:textId="0811D496">
      <w:pPr>
        <w:rPr>
          <w:rFonts w:ascii="Times New Roman" w:hAnsi="Times New Roman" w:cs="Times New Roman"/>
          <w:sz w:val="24"/>
          <w:szCs w:val="24"/>
        </w:rPr>
      </w:pPr>
      <w:r>
        <w:rPr>
          <w:rFonts w:ascii="Times New Roman" w:hAnsi="Times New Roman" w:cs="Times New Roman"/>
          <w:sz w:val="24"/>
          <w:szCs w:val="24"/>
        </w:rPr>
        <w:t xml:space="preserve">As noted above, </w:t>
      </w:r>
      <w:r w:rsidR="0054116C">
        <w:rPr>
          <w:rFonts w:ascii="Times New Roman" w:hAnsi="Times New Roman" w:cs="Times New Roman"/>
          <w:sz w:val="24"/>
          <w:szCs w:val="24"/>
        </w:rPr>
        <w:t xml:space="preserve">power analyses were conducted for </w:t>
      </w:r>
      <w:r w:rsidR="00DC1B45">
        <w:rPr>
          <w:rFonts w:ascii="Times New Roman" w:hAnsi="Times New Roman" w:cs="Times New Roman"/>
          <w:sz w:val="24"/>
          <w:szCs w:val="24"/>
        </w:rPr>
        <w:t>comparisons of response rates</w:t>
      </w:r>
      <w:r w:rsidR="00E06322">
        <w:rPr>
          <w:rFonts w:ascii="Times New Roman" w:hAnsi="Times New Roman" w:cs="Times New Roman"/>
          <w:sz w:val="24"/>
          <w:szCs w:val="24"/>
        </w:rPr>
        <w:t xml:space="preserve"> between</w:t>
      </w:r>
      <w:r w:rsidR="008500BE">
        <w:rPr>
          <w:rFonts w:ascii="Times New Roman" w:hAnsi="Times New Roman" w:cs="Times New Roman"/>
          <w:sz w:val="24"/>
          <w:szCs w:val="24"/>
        </w:rPr>
        <w:t xml:space="preserve"> any</w:t>
      </w:r>
      <w:r w:rsidR="00E06322">
        <w:rPr>
          <w:rFonts w:ascii="Times New Roman" w:hAnsi="Times New Roman" w:cs="Times New Roman"/>
          <w:sz w:val="24"/>
          <w:szCs w:val="24"/>
        </w:rPr>
        <w:t xml:space="preserve"> </w:t>
      </w:r>
      <w:r w:rsidR="008500BE">
        <w:rPr>
          <w:rFonts w:ascii="Times New Roman" w:hAnsi="Times New Roman" w:cs="Times New Roman"/>
          <w:sz w:val="24"/>
          <w:szCs w:val="24"/>
        </w:rPr>
        <w:t>two</w:t>
      </w:r>
      <w:r w:rsidR="00E06322">
        <w:rPr>
          <w:rFonts w:ascii="Times New Roman" w:hAnsi="Times New Roman" w:cs="Times New Roman"/>
          <w:sz w:val="24"/>
          <w:szCs w:val="24"/>
        </w:rPr>
        <w:t xml:space="preserve"> experimental treatment groups, both </w:t>
      </w:r>
      <w:r w:rsidR="004B785D">
        <w:rPr>
          <w:rFonts w:ascii="Times New Roman" w:hAnsi="Times New Roman" w:cs="Times New Roman"/>
          <w:sz w:val="24"/>
          <w:szCs w:val="24"/>
        </w:rPr>
        <w:t xml:space="preserve">overall and within </w:t>
      </w:r>
      <w:r w:rsidR="00C71782">
        <w:rPr>
          <w:rFonts w:ascii="Times New Roman" w:hAnsi="Times New Roman" w:cs="Times New Roman"/>
          <w:sz w:val="24"/>
          <w:szCs w:val="24"/>
        </w:rPr>
        <w:t xml:space="preserve">key </w:t>
      </w:r>
      <w:r w:rsidR="004B785D">
        <w:rPr>
          <w:rFonts w:ascii="Times New Roman" w:hAnsi="Times New Roman" w:cs="Times New Roman"/>
          <w:sz w:val="24"/>
          <w:szCs w:val="24"/>
        </w:rPr>
        <w:t>subgroups</w:t>
      </w:r>
      <w:r w:rsidRPr="00EE41FA" w:rsidR="00053984">
        <w:rPr>
          <w:rFonts w:ascii="Times New Roman" w:hAnsi="Times New Roman" w:cs="Times New Roman"/>
          <w:sz w:val="24"/>
          <w:szCs w:val="24"/>
        </w:rPr>
        <w:t>.</w:t>
      </w:r>
      <w:r w:rsidR="0092197A">
        <w:rPr>
          <w:rFonts w:ascii="Times New Roman" w:hAnsi="Times New Roman" w:cs="Times New Roman"/>
          <w:sz w:val="24"/>
          <w:szCs w:val="24"/>
        </w:rPr>
        <w:t xml:space="preserve"> </w:t>
      </w:r>
      <w:r w:rsidR="00692E61">
        <w:rPr>
          <w:rFonts w:ascii="Times New Roman" w:hAnsi="Times New Roman" w:cs="Times New Roman"/>
          <w:sz w:val="24"/>
          <w:szCs w:val="24"/>
        </w:rPr>
        <w:t xml:space="preserve">For the purpose of </w:t>
      </w:r>
      <w:r w:rsidR="00692E61">
        <w:rPr>
          <w:rFonts w:ascii="Times New Roman" w:hAnsi="Times New Roman" w:cs="Times New Roman"/>
          <w:sz w:val="24"/>
          <w:szCs w:val="24"/>
        </w:rPr>
        <w:lastRenderedPageBreak/>
        <w:t>these calculations, the response rate was</w:t>
      </w:r>
      <w:r w:rsidR="0092197A">
        <w:rPr>
          <w:rFonts w:ascii="Times New Roman" w:hAnsi="Times New Roman" w:cs="Times New Roman"/>
          <w:sz w:val="24"/>
          <w:szCs w:val="24"/>
        </w:rPr>
        <w:t xml:space="preserve"> defined as the percentage of the sample that complete</w:t>
      </w:r>
      <w:r w:rsidR="00347CD5">
        <w:rPr>
          <w:rFonts w:ascii="Times New Roman" w:hAnsi="Times New Roman" w:cs="Times New Roman"/>
          <w:sz w:val="24"/>
          <w:szCs w:val="24"/>
        </w:rPr>
        <w:t>d</w:t>
      </w:r>
      <w:r w:rsidR="0092197A">
        <w:rPr>
          <w:rFonts w:ascii="Times New Roman" w:hAnsi="Times New Roman" w:cs="Times New Roman"/>
          <w:sz w:val="24"/>
          <w:szCs w:val="24"/>
        </w:rPr>
        <w:t xml:space="preserve"> the NTEWS questionnaire.</w:t>
      </w:r>
      <w:r w:rsidRPr="00EE41FA" w:rsidR="00053984">
        <w:rPr>
          <w:rStyle w:val="FootnoteReference"/>
          <w:rFonts w:ascii="Times New Roman" w:hAnsi="Times New Roman" w:cs="Times New Roman"/>
          <w:sz w:val="24"/>
          <w:szCs w:val="24"/>
        </w:rPr>
        <w:footnoteReference w:id="1"/>
      </w:r>
      <w:r w:rsidRPr="00EE41FA" w:rsidR="00053984">
        <w:rPr>
          <w:rFonts w:ascii="Times New Roman" w:hAnsi="Times New Roman" w:cs="Times New Roman"/>
          <w:sz w:val="24"/>
          <w:szCs w:val="24"/>
        </w:rPr>
        <w:t xml:space="preserve"> </w:t>
      </w:r>
    </w:p>
    <w:p w:rsidRPr="00EE41FA" w:rsidR="001D31D3" w:rsidP="00615274" w:rsidRDefault="00637584" w14:paraId="33A528FB" w14:textId="14E7AE5F">
      <w:pPr>
        <w:rPr>
          <w:rFonts w:ascii="Times New Roman" w:hAnsi="Times New Roman" w:cs="Times New Roman"/>
          <w:sz w:val="24"/>
          <w:szCs w:val="24"/>
        </w:rPr>
      </w:pPr>
      <w:r>
        <w:rPr>
          <w:rFonts w:ascii="Times New Roman" w:hAnsi="Times New Roman" w:cs="Times New Roman"/>
          <w:sz w:val="24"/>
          <w:szCs w:val="24"/>
        </w:rPr>
        <w:t>Power analyses were</w:t>
      </w:r>
      <w:r w:rsidRPr="00EE41FA" w:rsidR="00A425F4">
        <w:rPr>
          <w:rFonts w:ascii="Times New Roman" w:hAnsi="Times New Roman" w:cs="Times New Roman"/>
          <w:sz w:val="24"/>
          <w:szCs w:val="24"/>
        </w:rPr>
        <w:t xml:space="preserve"> </w:t>
      </w:r>
      <w:r w:rsidR="00B01AC3">
        <w:rPr>
          <w:rFonts w:ascii="Times New Roman" w:hAnsi="Times New Roman" w:cs="Times New Roman"/>
          <w:sz w:val="24"/>
          <w:szCs w:val="24"/>
        </w:rPr>
        <w:t xml:space="preserve">also </w:t>
      </w:r>
      <w:r w:rsidRPr="00EE41FA" w:rsidR="00A425F4">
        <w:rPr>
          <w:rFonts w:ascii="Times New Roman" w:hAnsi="Times New Roman" w:cs="Times New Roman"/>
          <w:sz w:val="24"/>
          <w:szCs w:val="24"/>
        </w:rPr>
        <w:t xml:space="preserve">conducted for two types of </w:t>
      </w:r>
      <w:r w:rsidRPr="00EE41FA" w:rsidR="00275EFA">
        <w:rPr>
          <w:rFonts w:ascii="Times New Roman" w:hAnsi="Times New Roman" w:cs="Times New Roman"/>
          <w:sz w:val="24"/>
          <w:szCs w:val="24"/>
        </w:rPr>
        <w:t>comparisons of</w:t>
      </w:r>
      <w:r w:rsidR="00194A6D">
        <w:rPr>
          <w:rFonts w:ascii="Times New Roman" w:hAnsi="Times New Roman" w:cs="Times New Roman"/>
          <w:sz w:val="24"/>
          <w:szCs w:val="24"/>
        </w:rPr>
        <w:t xml:space="preserve"> </w:t>
      </w:r>
      <w:r w:rsidRPr="00EE41FA" w:rsidR="00275EFA">
        <w:rPr>
          <w:rFonts w:ascii="Times New Roman" w:hAnsi="Times New Roman" w:cs="Times New Roman"/>
          <w:sz w:val="24"/>
          <w:szCs w:val="24"/>
        </w:rPr>
        <w:t>estimates.</w:t>
      </w:r>
      <w:r w:rsidRPr="00EE41FA" w:rsidR="005E2E16">
        <w:rPr>
          <w:rFonts w:ascii="Times New Roman" w:hAnsi="Times New Roman" w:cs="Times New Roman"/>
          <w:sz w:val="24"/>
          <w:szCs w:val="24"/>
        </w:rPr>
        <w:t xml:space="preserve"> For both the </w:t>
      </w:r>
      <w:r w:rsidRPr="00EE41FA" w:rsidR="00C6449F">
        <w:rPr>
          <w:rFonts w:ascii="Times New Roman" w:hAnsi="Times New Roman" w:cs="Times New Roman"/>
          <w:sz w:val="24"/>
          <w:szCs w:val="24"/>
        </w:rPr>
        <w:t>contact</w:t>
      </w:r>
      <w:r w:rsidR="00F840FF">
        <w:rPr>
          <w:rFonts w:ascii="Times New Roman" w:hAnsi="Times New Roman" w:cs="Times New Roman"/>
          <w:sz w:val="24"/>
          <w:szCs w:val="24"/>
        </w:rPr>
        <w:t>-</w:t>
      </w:r>
      <w:r w:rsidRPr="00EE41FA" w:rsidR="00C6449F">
        <w:rPr>
          <w:rFonts w:ascii="Times New Roman" w:hAnsi="Times New Roman" w:cs="Times New Roman"/>
          <w:sz w:val="24"/>
          <w:szCs w:val="24"/>
        </w:rPr>
        <w:t>strateg</w:t>
      </w:r>
      <w:r w:rsidR="00D40F52">
        <w:rPr>
          <w:rFonts w:ascii="Times New Roman" w:hAnsi="Times New Roman" w:cs="Times New Roman"/>
          <w:sz w:val="24"/>
          <w:szCs w:val="24"/>
        </w:rPr>
        <w:t>ies</w:t>
      </w:r>
      <w:r w:rsidRPr="00EE41FA" w:rsidR="00C6449F">
        <w:rPr>
          <w:rFonts w:ascii="Times New Roman" w:hAnsi="Times New Roman" w:cs="Times New Roman"/>
          <w:sz w:val="24"/>
          <w:szCs w:val="24"/>
        </w:rPr>
        <w:t xml:space="preserve"> and </w:t>
      </w:r>
      <w:r w:rsidR="00F840FF">
        <w:rPr>
          <w:rFonts w:ascii="Times New Roman" w:hAnsi="Times New Roman" w:cs="Times New Roman"/>
          <w:sz w:val="24"/>
          <w:szCs w:val="24"/>
        </w:rPr>
        <w:t>noncontingent-</w:t>
      </w:r>
      <w:r w:rsidRPr="00EE41FA" w:rsidR="00C6449F">
        <w:rPr>
          <w:rFonts w:ascii="Times New Roman" w:hAnsi="Times New Roman" w:cs="Times New Roman"/>
          <w:sz w:val="24"/>
          <w:szCs w:val="24"/>
        </w:rPr>
        <w:t>incentive experiments,</w:t>
      </w:r>
      <w:r w:rsidR="0005035B">
        <w:rPr>
          <w:rFonts w:ascii="Times New Roman" w:hAnsi="Times New Roman" w:cs="Times New Roman"/>
          <w:sz w:val="24"/>
          <w:szCs w:val="24"/>
        </w:rPr>
        <w:t xml:space="preserve"> detectable differences were calculated for</w:t>
      </w:r>
      <w:r w:rsidRPr="00EE41FA" w:rsidR="00C6449F">
        <w:rPr>
          <w:rFonts w:ascii="Times New Roman" w:hAnsi="Times New Roman" w:cs="Times New Roman"/>
          <w:sz w:val="24"/>
          <w:szCs w:val="24"/>
        </w:rPr>
        <w:t xml:space="preserve"> </w:t>
      </w:r>
      <w:r w:rsidRPr="009C4B99" w:rsidR="0000034D">
        <w:rPr>
          <w:rFonts w:ascii="Times New Roman" w:hAnsi="Times New Roman" w:cs="Times New Roman"/>
          <w:i/>
          <w:iCs/>
          <w:sz w:val="24"/>
          <w:szCs w:val="24"/>
        </w:rPr>
        <w:t>comparisons of</w:t>
      </w:r>
      <w:r w:rsidR="0000034D">
        <w:rPr>
          <w:rFonts w:ascii="Times New Roman" w:hAnsi="Times New Roman" w:cs="Times New Roman"/>
          <w:sz w:val="24"/>
          <w:szCs w:val="24"/>
        </w:rPr>
        <w:t xml:space="preserve"> </w:t>
      </w:r>
      <w:r w:rsidRPr="00EE41FA" w:rsidR="00A637FA">
        <w:rPr>
          <w:rFonts w:ascii="Times New Roman" w:hAnsi="Times New Roman" w:cs="Times New Roman"/>
          <w:i/>
          <w:sz w:val="24"/>
          <w:szCs w:val="24"/>
        </w:rPr>
        <w:t>overall</w:t>
      </w:r>
      <w:r w:rsidRPr="00EE41FA" w:rsidR="00A637FA">
        <w:rPr>
          <w:rFonts w:ascii="Times New Roman" w:hAnsi="Times New Roman" w:cs="Times New Roman"/>
          <w:sz w:val="24"/>
          <w:szCs w:val="24"/>
        </w:rPr>
        <w:t xml:space="preserve"> </w:t>
      </w:r>
      <w:r w:rsidRPr="00EE41FA" w:rsidR="00A637FA">
        <w:rPr>
          <w:rFonts w:ascii="Times New Roman" w:hAnsi="Times New Roman" w:cs="Times New Roman"/>
          <w:i/>
          <w:sz w:val="24"/>
          <w:szCs w:val="24"/>
        </w:rPr>
        <w:t>estimates</w:t>
      </w:r>
      <w:r w:rsidRPr="00EE41FA" w:rsidR="00E90E43">
        <w:rPr>
          <w:rFonts w:ascii="Times New Roman" w:hAnsi="Times New Roman" w:cs="Times New Roman"/>
          <w:sz w:val="24"/>
          <w:szCs w:val="24"/>
        </w:rPr>
        <w:t xml:space="preserve">—those obtained </w:t>
      </w:r>
      <w:r w:rsidRPr="00EE41FA" w:rsidR="00A95A43">
        <w:rPr>
          <w:rFonts w:ascii="Times New Roman" w:hAnsi="Times New Roman" w:cs="Times New Roman"/>
          <w:sz w:val="24"/>
          <w:szCs w:val="24"/>
        </w:rPr>
        <w:t xml:space="preserve">from </w:t>
      </w:r>
      <w:r w:rsidRPr="00EE41FA" w:rsidR="00A95A43">
        <w:rPr>
          <w:rFonts w:ascii="Times New Roman" w:hAnsi="Times New Roman" w:cs="Times New Roman"/>
          <w:i/>
          <w:sz w:val="24"/>
          <w:szCs w:val="24"/>
        </w:rPr>
        <w:t>all</w:t>
      </w:r>
      <w:r w:rsidRPr="00EE41FA" w:rsidR="00A95A43">
        <w:rPr>
          <w:rFonts w:ascii="Times New Roman" w:hAnsi="Times New Roman" w:cs="Times New Roman"/>
          <w:sz w:val="24"/>
          <w:szCs w:val="24"/>
        </w:rPr>
        <w:t xml:space="preserve"> respondents from a given treatment group.</w:t>
      </w:r>
      <w:r w:rsidR="004D188F">
        <w:rPr>
          <w:rFonts w:ascii="Times New Roman" w:hAnsi="Times New Roman" w:cs="Times New Roman"/>
          <w:sz w:val="24"/>
          <w:szCs w:val="24"/>
        </w:rPr>
        <w:t xml:space="preserve"> </w:t>
      </w:r>
      <w:r w:rsidRPr="00EE41FA" w:rsidR="00D80302">
        <w:rPr>
          <w:rFonts w:ascii="Times New Roman" w:hAnsi="Times New Roman" w:cs="Times New Roman"/>
          <w:sz w:val="24"/>
          <w:szCs w:val="24"/>
        </w:rPr>
        <w:t xml:space="preserve">For the </w:t>
      </w:r>
      <w:r w:rsidRPr="00EE41FA" w:rsidR="00636011">
        <w:rPr>
          <w:rFonts w:ascii="Times New Roman" w:hAnsi="Times New Roman" w:cs="Times New Roman"/>
          <w:sz w:val="24"/>
          <w:szCs w:val="24"/>
        </w:rPr>
        <w:t xml:space="preserve">NHES-style, </w:t>
      </w:r>
      <w:r w:rsidRPr="00EE41FA" w:rsidR="00907CE4">
        <w:rPr>
          <w:rFonts w:ascii="Times New Roman" w:hAnsi="Times New Roman" w:cs="Times New Roman"/>
          <w:sz w:val="24"/>
          <w:szCs w:val="24"/>
        </w:rPr>
        <w:t xml:space="preserve">paper-focused, and CATI-focused treatments within the </w:t>
      </w:r>
      <w:r w:rsidRPr="00EE41FA" w:rsidR="00D80302">
        <w:rPr>
          <w:rFonts w:ascii="Times New Roman" w:hAnsi="Times New Roman" w:cs="Times New Roman"/>
          <w:sz w:val="24"/>
          <w:szCs w:val="24"/>
        </w:rPr>
        <w:t>contact</w:t>
      </w:r>
      <w:r w:rsidR="00F840FF">
        <w:rPr>
          <w:rFonts w:ascii="Times New Roman" w:hAnsi="Times New Roman" w:cs="Times New Roman"/>
          <w:sz w:val="24"/>
          <w:szCs w:val="24"/>
        </w:rPr>
        <w:t>-</w:t>
      </w:r>
      <w:r w:rsidRPr="00EE41FA" w:rsidR="00D80302">
        <w:rPr>
          <w:rFonts w:ascii="Times New Roman" w:hAnsi="Times New Roman" w:cs="Times New Roman"/>
          <w:sz w:val="24"/>
          <w:szCs w:val="24"/>
        </w:rPr>
        <w:t>strateg</w:t>
      </w:r>
      <w:r w:rsidR="007C36DB">
        <w:rPr>
          <w:rFonts w:ascii="Times New Roman" w:hAnsi="Times New Roman" w:cs="Times New Roman"/>
          <w:sz w:val="24"/>
          <w:szCs w:val="24"/>
        </w:rPr>
        <w:t>ies</w:t>
      </w:r>
      <w:r w:rsidRPr="00EE41FA" w:rsidR="00D80302">
        <w:rPr>
          <w:rFonts w:ascii="Times New Roman" w:hAnsi="Times New Roman" w:cs="Times New Roman"/>
          <w:sz w:val="24"/>
          <w:szCs w:val="24"/>
        </w:rPr>
        <w:t xml:space="preserve"> experiment</w:t>
      </w:r>
      <w:r w:rsidRPr="00EE41FA" w:rsidR="00203237">
        <w:rPr>
          <w:rFonts w:ascii="Times New Roman" w:hAnsi="Times New Roman" w:cs="Times New Roman"/>
          <w:sz w:val="24"/>
          <w:szCs w:val="24"/>
        </w:rPr>
        <w:t>,</w:t>
      </w:r>
      <w:r w:rsidR="004917F2">
        <w:rPr>
          <w:rFonts w:ascii="Times New Roman" w:hAnsi="Times New Roman" w:cs="Times New Roman"/>
          <w:sz w:val="24"/>
          <w:szCs w:val="24"/>
        </w:rPr>
        <w:t xml:space="preserve"> detectable differences were also calculated for</w:t>
      </w:r>
      <w:r w:rsidRPr="00EE41FA" w:rsidR="00203237">
        <w:rPr>
          <w:rFonts w:ascii="Times New Roman" w:hAnsi="Times New Roman" w:cs="Times New Roman"/>
          <w:sz w:val="24"/>
          <w:szCs w:val="24"/>
        </w:rPr>
        <w:t xml:space="preserve"> </w:t>
      </w:r>
      <w:r w:rsidRPr="00EE41FA" w:rsidR="00F240D9">
        <w:rPr>
          <w:rFonts w:ascii="Times New Roman" w:hAnsi="Times New Roman" w:cs="Times New Roman"/>
          <w:i/>
          <w:sz w:val="24"/>
          <w:szCs w:val="24"/>
        </w:rPr>
        <w:t>mode effects</w:t>
      </w:r>
      <w:r w:rsidRPr="00EE41FA" w:rsidR="00F240D9">
        <w:rPr>
          <w:rFonts w:ascii="Times New Roman" w:hAnsi="Times New Roman" w:cs="Times New Roman"/>
          <w:sz w:val="24"/>
          <w:szCs w:val="24"/>
        </w:rPr>
        <w:t xml:space="preserve"> </w:t>
      </w:r>
      <w:r w:rsidRPr="00E2125B" w:rsidR="00F240D9">
        <w:rPr>
          <w:rFonts w:ascii="Times New Roman" w:hAnsi="Times New Roman" w:cs="Times New Roman"/>
          <w:i/>
          <w:iCs/>
          <w:sz w:val="24"/>
          <w:szCs w:val="24"/>
        </w:rPr>
        <w:t>comparisons</w:t>
      </w:r>
      <w:r w:rsidRPr="00EE41FA" w:rsidR="00BF6D0E">
        <w:rPr>
          <w:rFonts w:ascii="Times New Roman" w:hAnsi="Times New Roman" w:cs="Times New Roman"/>
          <w:sz w:val="24"/>
          <w:szCs w:val="24"/>
        </w:rPr>
        <w:t xml:space="preserve">. </w:t>
      </w:r>
      <w:r w:rsidR="00CD1325">
        <w:rPr>
          <w:rFonts w:ascii="Times New Roman" w:hAnsi="Times New Roman" w:cs="Times New Roman"/>
          <w:sz w:val="24"/>
          <w:szCs w:val="24"/>
        </w:rPr>
        <w:t>To isolate the impact of the response mode on responses to key NTEWS items, t</w:t>
      </w:r>
      <w:r w:rsidRPr="00EE41FA" w:rsidR="00C853D5">
        <w:rPr>
          <w:rFonts w:ascii="Times New Roman" w:hAnsi="Times New Roman" w:cs="Times New Roman"/>
          <w:sz w:val="24"/>
          <w:szCs w:val="24"/>
        </w:rPr>
        <w:t xml:space="preserve">hese </w:t>
      </w:r>
      <w:r w:rsidRPr="00EE41FA" w:rsidR="007E34BE">
        <w:rPr>
          <w:rFonts w:ascii="Times New Roman" w:hAnsi="Times New Roman" w:cs="Times New Roman"/>
          <w:sz w:val="24"/>
          <w:szCs w:val="24"/>
        </w:rPr>
        <w:t xml:space="preserve">comparisons use only those respondents </w:t>
      </w:r>
      <w:r w:rsidRPr="00EE41FA" w:rsidR="00FD4BF0">
        <w:rPr>
          <w:rFonts w:ascii="Times New Roman" w:hAnsi="Times New Roman" w:cs="Times New Roman"/>
          <w:sz w:val="24"/>
          <w:szCs w:val="24"/>
        </w:rPr>
        <w:t>from the first 11 weeks of data collection</w:t>
      </w:r>
      <w:r w:rsidR="00303906">
        <w:rPr>
          <w:rFonts w:ascii="Times New Roman" w:hAnsi="Times New Roman" w:cs="Times New Roman"/>
          <w:sz w:val="24"/>
          <w:szCs w:val="24"/>
        </w:rPr>
        <w:t xml:space="preserve">. As shown in </w:t>
      </w:r>
      <w:r w:rsidRPr="0057488C" w:rsidR="00303906">
        <w:rPr>
          <w:rFonts w:ascii="Times New Roman" w:hAnsi="Times New Roman" w:cs="Times New Roman"/>
          <w:sz w:val="24"/>
          <w:szCs w:val="24"/>
        </w:rPr>
        <w:t xml:space="preserve">table </w:t>
      </w:r>
      <w:r w:rsidRPr="0057488C" w:rsidR="0057488C">
        <w:rPr>
          <w:rFonts w:ascii="Times New Roman" w:hAnsi="Times New Roman" w:cs="Times New Roman"/>
          <w:sz w:val="24"/>
          <w:szCs w:val="24"/>
        </w:rPr>
        <w:t>C</w:t>
      </w:r>
      <w:r w:rsidRPr="0057488C" w:rsidR="00303906">
        <w:rPr>
          <w:rFonts w:ascii="Times New Roman" w:hAnsi="Times New Roman" w:cs="Times New Roman"/>
          <w:sz w:val="24"/>
          <w:szCs w:val="24"/>
        </w:rPr>
        <w:t>.</w:t>
      </w:r>
      <w:r w:rsidRPr="0057488C" w:rsidR="00042E54">
        <w:rPr>
          <w:rFonts w:ascii="Times New Roman" w:hAnsi="Times New Roman" w:cs="Times New Roman"/>
          <w:sz w:val="24"/>
          <w:szCs w:val="24"/>
        </w:rPr>
        <w:t>2</w:t>
      </w:r>
      <w:r w:rsidRPr="0057488C" w:rsidR="00303906">
        <w:rPr>
          <w:rFonts w:ascii="Times New Roman" w:hAnsi="Times New Roman" w:cs="Times New Roman"/>
          <w:sz w:val="24"/>
          <w:szCs w:val="24"/>
        </w:rPr>
        <w:t xml:space="preserve"> of</w:t>
      </w:r>
      <w:r w:rsidR="00303906">
        <w:rPr>
          <w:rFonts w:ascii="Times New Roman" w:hAnsi="Times New Roman" w:cs="Times New Roman"/>
          <w:sz w:val="24"/>
          <w:szCs w:val="24"/>
        </w:rPr>
        <w:t xml:space="preserve"> the experimental design appendix (</w:t>
      </w:r>
      <w:r w:rsidR="00193A33">
        <w:rPr>
          <w:rFonts w:ascii="Times New Roman" w:hAnsi="Times New Roman" w:cs="Times New Roman"/>
          <w:sz w:val="24"/>
          <w:szCs w:val="24"/>
        </w:rPr>
        <w:t>A</w:t>
      </w:r>
      <w:r w:rsidR="00303906">
        <w:rPr>
          <w:rFonts w:ascii="Times New Roman" w:hAnsi="Times New Roman" w:cs="Times New Roman"/>
          <w:sz w:val="24"/>
          <w:szCs w:val="24"/>
        </w:rPr>
        <w:t xml:space="preserve">ppendix </w:t>
      </w:r>
      <w:r w:rsidR="0057488C">
        <w:rPr>
          <w:rFonts w:ascii="Times New Roman" w:hAnsi="Times New Roman" w:cs="Times New Roman"/>
          <w:sz w:val="24"/>
          <w:szCs w:val="24"/>
        </w:rPr>
        <w:t>C</w:t>
      </w:r>
      <w:r w:rsidR="00303906">
        <w:rPr>
          <w:rFonts w:ascii="Times New Roman" w:hAnsi="Times New Roman" w:cs="Times New Roman"/>
          <w:sz w:val="24"/>
          <w:szCs w:val="24"/>
        </w:rPr>
        <w:t>), the NHES-style, paper-focused, and CATI-focused treatments offer only</w:t>
      </w:r>
      <w:r w:rsidRPr="00EE41FA" w:rsidR="001C1AE7">
        <w:rPr>
          <w:rFonts w:ascii="Times New Roman" w:hAnsi="Times New Roman" w:cs="Times New Roman"/>
          <w:sz w:val="24"/>
          <w:szCs w:val="24"/>
        </w:rPr>
        <w:t xml:space="preserve"> </w:t>
      </w:r>
      <w:r w:rsidRPr="00EE41FA" w:rsidR="00F72C19">
        <w:rPr>
          <w:rFonts w:ascii="Times New Roman" w:hAnsi="Times New Roman" w:cs="Times New Roman"/>
          <w:sz w:val="24"/>
          <w:szCs w:val="24"/>
        </w:rPr>
        <w:t>web, paper, or CATI</w:t>
      </w:r>
      <w:r w:rsidR="00303906">
        <w:rPr>
          <w:rFonts w:ascii="Times New Roman" w:hAnsi="Times New Roman" w:cs="Times New Roman"/>
          <w:sz w:val="24"/>
          <w:szCs w:val="24"/>
        </w:rPr>
        <w:t xml:space="preserve"> response modes</w:t>
      </w:r>
      <w:r w:rsidRPr="00EE41FA" w:rsidR="00F72C19">
        <w:rPr>
          <w:rFonts w:ascii="Times New Roman" w:hAnsi="Times New Roman" w:cs="Times New Roman"/>
          <w:sz w:val="24"/>
          <w:szCs w:val="24"/>
        </w:rPr>
        <w:t xml:space="preserve"> (respectively)</w:t>
      </w:r>
      <w:r w:rsidR="00303906">
        <w:rPr>
          <w:rFonts w:ascii="Times New Roman" w:hAnsi="Times New Roman" w:cs="Times New Roman"/>
          <w:sz w:val="24"/>
          <w:szCs w:val="24"/>
        </w:rPr>
        <w:t xml:space="preserve"> for the first 11 weeks of data collection</w:t>
      </w:r>
      <w:r w:rsidRPr="00EE41FA" w:rsidR="00F72C19">
        <w:rPr>
          <w:rFonts w:ascii="Times New Roman" w:hAnsi="Times New Roman" w:cs="Times New Roman"/>
          <w:sz w:val="24"/>
          <w:szCs w:val="24"/>
        </w:rPr>
        <w:t>.</w:t>
      </w:r>
      <w:r w:rsidRPr="00EE41FA" w:rsidR="00AF2504">
        <w:rPr>
          <w:rFonts w:ascii="Times New Roman" w:hAnsi="Times New Roman" w:cs="Times New Roman"/>
          <w:sz w:val="24"/>
          <w:szCs w:val="24"/>
        </w:rPr>
        <w:t xml:space="preserve"> </w:t>
      </w:r>
    </w:p>
    <w:p w:rsidRPr="00EE41FA" w:rsidR="00F539EB" w:rsidP="00615274" w:rsidRDefault="00935D00" w14:paraId="27832BB6" w14:textId="0CB75FB6">
      <w:pPr>
        <w:rPr>
          <w:rFonts w:ascii="Times New Roman" w:hAnsi="Times New Roman" w:cs="Times New Roman"/>
          <w:sz w:val="24"/>
          <w:szCs w:val="24"/>
        </w:rPr>
      </w:pPr>
      <w:r>
        <w:rPr>
          <w:rFonts w:ascii="Times New Roman" w:hAnsi="Times New Roman" w:cs="Times New Roman"/>
          <w:i/>
          <w:sz w:val="24"/>
          <w:szCs w:val="24"/>
        </w:rPr>
        <w:t xml:space="preserve">2.2. </w:t>
      </w:r>
      <w:r w:rsidRPr="00EE41FA" w:rsidR="00F539EB">
        <w:rPr>
          <w:rFonts w:ascii="Times New Roman" w:hAnsi="Times New Roman" w:cs="Times New Roman"/>
          <w:i/>
          <w:sz w:val="24"/>
          <w:szCs w:val="24"/>
        </w:rPr>
        <w:t>Assumptions</w:t>
      </w:r>
    </w:p>
    <w:p w:rsidRPr="00EE41FA" w:rsidR="00CF71CA" w:rsidP="00615274" w:rsidRDefault="00D905FA" w14:paraId="5A72838E" w14:textId="25A43AE0">
      <w:pPr>
        <w:rPr>
          <w:rFonts w:ascii="Times New Roman" w:hAnsi="Times New Roman" w:cs="Times New Roman"/>
          <w:sz w:val="24"/>
          <w:szCs w:val="24"/>
        </w:rPr>
      </w:pPr>
      <w:r w:rsidRPr="00EE41FA">
        <w:rPr>
          <w:rFonts w:ascii="Times New Roman" w:hAnsi="Times New Roman" w:cs="Times New Roman"/>
          <w:sz w:val="24"/>
          <w:szCs w:val="24"/>
        </w:rPr>
        <w:t xml:space="preserve">Because of the complex sample design, </w:t>
      </w:r>
      <w:r w:rsidRPr="00EE41FA" w:rsidR="002607CE">
        <w:rPr>
          <w:rFonts w:ascii="Times New Roman" w:hAnsi="Times New Roman" w:cs="Times New Roman"/>
          <w:sz w:val="24"/>
          <w:szCs w:val="24"/>
        </w:rPr>
        <w:t>the NTEWS sample will be subject to weighting variability that will</w:t>
      </w:r>
      <w:r w:rsidRPr="00EE41FA" w:rsidR="006C52FE">
        <w:rPr>
          <w:rFonts w:ascii="Times New Roman" w:hAnsi="Times New Roman" w:cs="Times New Roman"/>
          <w:sz w:val="24"/>
          <w:szCs w:val="24"/>
        </w:rPr>
        <w:t xml:space="preserve"> likely</w:t>
      </w:r>
      <w:r w:rsidRPr="00EE41FA" w:rsidR="002607CE">
        <w:rPr>
          <w:rFonts w:ascii="Times New Roman" w:hAnsi="Times New Roman" w:cs="Times New Roman"/>
          <w:sz w:val="24"/>
          <w:szCs w:val="24"/>
        </w:rPr>
        <w:t xml:space="preserve"> </w:t>
      </w:r>
      <w:r w:rsidRPr="00EE41FA" w:rsidR="00904DC4">
        <w:rPr>
          <w:rFonts w:ascii="Times New Roman" w:hAnsi="Times New Roman" w:cs="Times New Roman"/>
          <w:sz w:val="24"/>
          <w:szCs w:val="24"/>
        </w:rPr>
        <w:t>inflate the variances</w:t>
      </w:r>
      <w:r w:rsidRPr="00EE41FA" w:rsidR="002607CE">
        <w:rPr>
          <w:rFonts w:ascii="Times New Roman" w:hAnsi="Times New Roman" w:cs="Times New Roman"/>
          <w:sz w:val="24"/>
          <w:szCs w:val="24"/>
        </w:rPr>
        <w:t xml:space="preserve"> of</w:t>
      </w:r>
      <w:r w:rsidR="00360DE4">
        <w:rPr>
          <w:rFonts w:ascii="Times New Roman" w:hAnsi="Times New Roman" w:cs="Times New Roman"/>
          <w:sz w:val="24"/>
          <w:szCs w:val="24"/>
        </w:rPr>
        <w:t xml:space="preserve"> most</w:t>
      </w:r>
      <w:r w:rsidR="00267D76">
        <w:rPr>
          <w:rFonts w:ascii="Times New Roman" w:hAnsi="Times New Roman" w:cs="Times New Roman"/>
          <w:sz w:val="24"/>
          <w:szCs w:val="24"/>
        </w:rPr>
        <w:t xml:space="preserve"> weighted</w:t>
      </w:r>
      <w:r w:rsidRPr="00EE41FA" w:rsidR="002607CE">
        <w:rPr>
          <w:rFonts w:ascii="Times New Roman" w:hAnsi="Times New Roman" w:cs="Times New Roman"/>
          <w:sz w:val="24"/>
          <w:szCs w:val="24"/>
        </w:rPr>
        <w:t xml:space="preserve"> </w:t>
      </w:r>
      <w:r w:rsidRPr="00EE41FA" w:rsidR="00903BD3">
        <w:rPr>
          <w:rFonts w:ascii="Times New Roman" w:hAnsi="Times New Roman" w:cs="Times New Roman"/>
          <w:sz w:val="24"/>
          <w:szCs w:val="24"/>
        </w:rPr>
        <w:t xml:space="preserve">estimates relative to what would be obtained from a simple random sample (SRS) of the same size. </w:t>
      </w:r>
      <w:r w:rsidRPr="00EE41FA" w:rsidR="00904DC4">
        <w:rPr>
          <w:rFonts w:ascii="Times New Roman" w:hAnsi="Times New Roman" w:cs="Times New Roman"/>
          <w:sz w:val="24"/>
          <w:szCs w:val="24"/>
        </w:rPr>
        <w:t>This variance in</w:t>
      </w:r>
      <w:r w:rsidRPr="00EE41FA" w:rsidR="00350FB2">
        <w:rPr>
          <w:rFonts w:ascii="Times New Roman" w:hAnsi="Times New Roman" w:cs="Times New Roman"/>
          <w:sz w:val="24"/>
          <w:szCs w:val="24"/>
        </w:rPr>
        <w:t xml:space="preserve">flation factor </w:t>
      </w:r>
      <w:r w:rsidR="00125760">
        <w:rPr>
          <w:rFonts w:ascii="Times New Roman" w:hAnsi="Times New Roman" w:cs="Times New Roman"/>
          <w:sz w:val="24"/>
          <w:szCs w:val="24"/>
        </w:rPr>
        <w:t>attributable to</w:t>
      </w:r>
      <w:r w:rsidR="007F1632">
        <w:rPr>
          <w:rFonts w:ascii="Times New Roman" w:hAnsi="Times New Roman" w:cs="Times New Roman"/>
          <w:sz w:val="24"/>
          <w:szCs w:val="24"/>
        </w:rPr>
        <w:t xml:space="preserve"> departures from simple random sampling</w:t>
      </w:r>
      <w:r w:rsidRPr="00EE41FA" w:rsidR="007F2927">
        <w:rPr>
          <w:rFonts w:ascii="Times New Roman" w:hAnsi="Times New Roman" w:cs="Times New Roman"/>
          <w:sz w:val="24"/>
          <w:szCs w:val="24"/>
        </w:rPr>
        <w:t xml:space="preserve"> is referred to as the </w:t>
      </w:r>
      <w:r w:rsidRPr="00EE41FA" w:rsidR="007F2927">
        <w:rPr>
          <w:rFonts w:ascii="Times New Roman" w:hAnsi="Times New Roman" w:cs="Times New Roman"/>
          <w:i/>
          <w:sz w:val="24"/>
          <w:szCs w:val="24"/>
        </w:rPr>
        <w:t>design effect</w:t>
      </w:r>
      <w:r w:rsidRPr="00EE41FA" w:rsidR="007F2927">
        <w:rPr>
          <w:rFonts w:ascii="Times New Roman" w:hAnsi="Times New Roman" w:cs="Times New Roman"/>
          <w:sz w:val="24"/>
          <w:szCs w:val="24"/>
        </w:rPr>
        <w:t xml:space="preserve">. </w:t>
      </w:r>
      <w:r w:rsidR="00AF2BE5">
        <w:rPr>
          <w:rFonts w:ascii="Times New Roman" w:hAnsi="Times New Roman" w:cs="Times New Roman"/>
          <w:sz w:val="24"/>
          <w:szCs w:val="24"/>
        </w:rPr>
        <w:t>M</w:t>
      </w:r>
      <w:r w:rsidRPr="00EE41FA" w:rsidR="00AF2BE5">
        <w:rPr>
          <w:rFonts w:ascii="Times New Roman" w:hAnsi="Times New Roman" w:cs="Times New Roman"/>
          <w:sz w:val="24"/>
          <w:szCs w:val="24"/>
        </w:rPr>
        <w:t>inimum detectable differences</w:t>
      </w:r>
      <w:r w:rsidR="00AF2BE5">
        <w:rPr>
          <w:rFonts w:ascii="Times New Roman" w:hAnsi="Times New Roman" w:cs="Times New Roman"/>
          <w:sz w:val="24"/>
          <w:szCs w:val="24"/>
        </w:rPr>
        <w:t xml:space="preserve"> for the NTEWS experiments</w:t>
      </w:r>
      <w:r w:rsidRPr="00EE41FA" w:rsidR="00AF2BE5">
        <w:rPr>
          <w:rFonts w:ascii="Times New Roman" w:hAnsi="Times New Roman" w:cs="Times New Roman"/>
          <w:sz w:val="24"/>
          <w:szCs w:val="24"/>
        </w:rPr>
        <w:t xml:space="preserve"> were calculated </w:t>
      </w:r>
      <w:r w:rsidR="00247DF8">
        <w:rPr>
          <w:rFonts w:ascii="Times New Roman" w:hAnsi="Times New Roman" w:cs="Times New Roman"/>
          <w:sz w:val="24"/>
          <w:szCs w:val="24"/>
        </w:rPr>
        <w:t xml:space="preserve">in </w:t>
      </w:r>
      <w:r w:rsidRPr="00EE41FA" w:rsidR="00AF2BE5">
        <w:rPr>
          <w:rFonts w:ascii="Times New Roman" w:hAnsi="Times New Roman" w:cs="Times New Roman"/>
          <w:sz w:val="24"/>
          <w:szCs w:val="24"/>
        </w:rPr>
        <w:t xml:space="preserve">two ways: </w:t>
      </w:r>
      <w:r w:rsidR="00AF2BE5">
        <w:rPr>
          <w:rFonts w:ascii="Times New Roman" w:hAnsi="Times New Roman" w:cs="Times New Roman"/>
          <w:sz w:val="24"/>
          <w:szCs w:val="24"/>
        </w:rPr>
        <w:t xml:space="preserve">(1) </w:t>
      </w:r>
      <w:r w:rsidRPr="00EE41FA" w:rsidR="00AF2BE5">
        <w:rPr>
          <w:rFonts w:ascii="Times New Roman" w:hAnsi="Times New Roman" w:cs="Times New Roman"/>
          <w:sz w:val="24"/>
          <w:szCs w:val="24"/>
        </w:rPr>
        <w:t xml:space="preserve">ignoring the design effect (i.e., using SRS formulas) and </w:t>
      </w:r>
      <w:r w:rsidR="00AF2BE5">
        <w:rPr>
          <w:rFonts w:ascii="Times New Roman" w:hAnsi="Times New Roman" w:cs="Times New Roman"/>
          <w:sz w:val="24"/>
          <w:szCs w:val="24"/>
        </w:rPr>
        <w:t xml:space="preserve">(2) </w:t>
      </w:r>
      <w:r w:rsidRPr="00EE41FA" w:rsidR="00AF2BE5">
        <w:rPr>
          <w:rFonts w:ascii="Times New Roman" w:hAnsi="Times New Roman" w:cs="Times New Roman"/>
          <w:sz w:val="24"/>
          <w:szCs w:val="24"/>
        </w:rPr>
        <w:t xml:space="preserve">incorporating the design effect. </w:t>
      </w:r>
      <w:r w:rsidR="00BC6F53">
        <w:rPr>
          <w:rFonts w:ascii="Times New Roman" w:hAnsi="Times New Roman" w:cs="Times New Roman"/>
          <w:sz w:val="24"/>
          <w:szCs w:val="24"/>
        </w:rPr>
        <w:t>For the latter, a</w:t>
      </w:r>
      <w:r w:rsidRPr="00EE41FA" w:rsidR="00AF2BE5">
        <w:rPr>
          <w:rFonts w:ascii="Times New Roman" w:hAnsi="Times New Roman" w:cs="Times New Roman"/>
          <w:sz w:val="24"/>
          <w:szCs w:val="24"/>
        </w:rPr>
        <w:t xml:space="preserve"> design effect of 2</w:t>
      </w:r>
      <w:r w:rsidR="00E1781E">
        <w:rPr>
          <w:rFonts w:ascii="Times New Roman" w:hAnsi="Times New Roman" w:cs="Times New Roman"/>
          <w:sz w:val="24"/>
          <w:szCs w:val="24"/>
        </w:rPr>
        <w:t xml:space="preserve"> </w:t>
      </w:r>
      <w:r w:rsidRPr="00EE41FA" w:rsidR="00AF2BE5">
        <w:rPr>
          <w:rFonts w:ascii="Times New Roman" w:hAnsi="Times New Roman" w:cs="Times New Roman"/>
          <w:sz w:val="24"/>
          <w:szCs w:val="24"/>
        </w:rPr>
        <w:t>was assumed based on the weighting variation observed in a test sample drawn by the Census Bureau using the planned NTEWS sample design.</w:t>
      </w:r>
      <w:r w:rsidR="00EC4B81">
        <w:rPr>
          <w:rFonts w:ascii="Times New Roman" w:hAnsi="Times New Roman" w:cs="Times New Roman"/>
          <w:sz w:val="24"/>
          <w:szCs w:val="24"/>
        </w:rPr>
        <w:t xml:space="preserve"> </w:t>
      </w:r>
      <w:r w:rsidR="0043561B">
        <w:rPr>
          <w:rFonts w:ascii="Times New Roman" w:hAnsi="Times New Roman" w:cs="Times New Roman"/>
          <w:sz w:val="24"/>
          <w:szCs w:val="24"/>
        </w:rPr>
        <w:t>NTEWS</w:t>
      </w:r>
      <w:r w:rsidRPr="00EE41FA" w:rsidR="00C041A0">
        <w:rPr>
          <w:rFonts w:ascii="Times New Roman" w:hAnsi="Times New Roman" w:cs="Times New Roman"/>
          <w:sz w:val="24"/>
          <w:szCs w:val="24"/>
        </w:rPr>
        <w:t xml:space="preserve"> sample</w:t>
      </w:r>
      <w:r w:rsidR="003D40C1">
        <w:rPr>
          <w:rFonts w:ascii="Times New Roman" w:hAnsi="Times New Roman" w:cs="Times New Roman"/>
          <w:sz w:val="24"/>
          <w:szCs w:val="24"/>
        </w:rPr>
        <w:t xml:space="preserve"> members</w:t>
      </w:r>
      <w:r w:rsidRPr="00EE41FA" w:rsidR="00764A05">
        <w:rPr>
          <w:rFonts w:ascii="Times New Roman" w:hAnsi="Times New Roman" w:cs="Times New Roman"/>
          <w:sz w:val="24"/>
          <w:szCs w:val="24"/>
        </w:rPr>
        <w:t xml:space="preserve"> </w:t>
      </w:r>
      <w:r w:rsidRPr="00EE41FA" w:rsidR="007270C5">
        <w:rPr>
          <w:rFonts w:ascii="Times New Roman" w:hAnsi="Times New Roman" w:cs="Times New Roman"/>
          <w:sz w:val="24"/>
          <w:szCs w:val="24"/>
        </w:rPr>
        <w:t>will be randomly assigned</w:t>
      </w:r>
      <w:r w:rsidRPr="00EE41FA" w:rsidR="00C85125">
        <w:rPr>
          <w:rFonts w:ascii="Times New Roman" w:hAnsi="Times New Roman" w:cs="Times New Roman"/>
          <w:sz w:val="24"/>
          <w:szCs w:val="24"/>
        </w:rPr>
        <w:t xml:space="preserve"> </w:t>
      </w:r>
      <w:r w:rsidR="007030B9">
        <w:rPr>
          <w:rFonts w:ascii="Times New Roman" w:hAnsi="Times New Roman" w:cs="Times New Roman"/>
          <w:sz w:val="24"/>
          <w:szCs w:val="24"/>
        </w:rPr>
        <w:t xml:space="preserve">to treatment groups </w:t>
      </w:r>
      <w:r w:rsidRPr="00EE41FA" w:rsidR="00530E5F">
        <w:rPr>
          <w:rFonts w:ascii="Times New Roman" w:hAnsi="Times New Roman" w:cs="Times New Roman"/>
          <w:sz w:val="24"/>
          <w:szCs w:val="24"/>
        </w:rPr>
        <w:t>using a systematic design</w:t>
      </w:r>
      <w:r w:rsidR="005013D5">
        <w:rPr>
          <w:rFonts w:ascii="Times New Roman" w:hAnsi="Times New Roman" w:cs="Times New Roman"/>
          <w:sz w:val="24"/>
          <w:szCs w:val="24"/>
        </w:rPr>
        <w:t>; therefore</w:t>
      </w:r>
      <w:r w:rsidRPr="00EE41FA" w:rsidR="00B055F0">
        <w:rPr>
          <w:rFonts w:ascii="Times New Roman" w:hAnsi="Times New Roman" w:cs="Times New Roman"/>
          <w:sz w:val="24"/>
          <w:szCs w:val="24"/>
        </w:rPr>
        <w:t xml:space="preserve">, despite the complex sample design, </w:t>
      </w:r>
      <w:r w:rsidRPr="00EE41FA" w:rsidR="00E50529">
        <w:rPr>
          <w:rFonts w:ascii="Times New Roman" w:hAnsi="Times New Roman" w:cs="Times New Roman"/>
          <w:sz w:val="24"/>
          <w:szCs w:val="24"/>
        </w:rPr>
        <w:t>unweighted comparisons between treatment groups (</w:t>
      </w:r>
      <w:r w:rsidRPr="00EE41FA" w:rsidR="00B25FEF">
        <w:rPr>
          <w:rFonts w:ascii="Times New Roman" w:hAnsi="Times New Roman" w:cs="Times New Roman"/>
          <w:sz w:val="24"/>
          <w:szCs w:val="24"/>
        </w:rPr>
        <w:t xml:space="preserve">which </w:t>
      </w:r>
      <w:r w:rsidR="009252C8">
        <w:rPr>
          <w:rFonts w:ascii="Times New Roman" w:hAnsi="Times New Roman" w:cs="Times New Roman"/>
          <w:sz w:val="24"/>
          <w:szCs w:val="24"/>
        </w:rPr>
        <w:t>will</w:t>
      </w:r>
      <w:r w:rsidRPr="00EE41FA" w:rsidR="009252C8">
        <w:rPr>
          <w:rFonts w:ascii="Times New Roman" w:hAnsi="Times New Roman" w:cs="Times New Roman"/>
          <w:sz w:val="24"/>
          <w:szCs w:val="24"/>
        </w:rPr>
        <w:t xml:space="preserve"> </w:t>
      </w:r>
      <w:r w:rsidRPr="00EE41FA" w:rsidR="00B25FEF">
        <w:rPr>
          <w:rFonts w:ascii="Times New Roman" w:hAnsi="Times New Roman" w:cs="Times New Roman"/>
          <w:sz w:val="24"/>
          <w:szCs w:val="24"/>
        </w:rPr>
        <w:t xml:space="preserve">not be subject to the design effect) </w:t>
      </w:r>
      <w:r w:rsidR="00FC62F5">
        <w:rPr>
          <w:rFonts w:ascii="Times New Roman" w:hAnsi="Times New Roman" w:cs="Times New Roman"/>
          <w:sz w:val="24"/>
          <w:szCs w:val="24"/>
        </w:rPr>
        <w:t>will be internally valid</w:t>
      </w:r>
      <w:r w:rsidRPr="00EE41FA" w:rsidR="00F67CEF">
        <w:rPr>
          <w:rFonts w:ascii="Times New Roman" w:hAnsi="Times New Roman" w:cs="Times New Roman"/>
          <w:sz w:val="24"/>
          <w:szCs w:val="24"/>
        </w:rPr>
        <w:t xml:space="preserve">. </w:t>
      </w:r>
      <w:r w:rsidR="00BF6CA2">
        <w:rPr>
          <w:rFonts w:ascii="Times New Roman" w:hAnsi="Times New Roman" w:cs="Times New Roman"/>
          <w:sz w:val="24"/>
          <w:szCs w:val="24"/>
        </w:rPr>
        <w:t xml:space="preserve">That is, </w:t>
      </w:r>
      <w:r w:rsidR="003A2DE7">
        <w:rPr>
          <w:rFonts w:ascii="Times New Roman" w:hAnsi="Times New Roman" w:cs="Times New Roman"/>
          <w:sz w:val="24"/>
          <w:szCs w:val="24"/>
        </w:rPr>
        <w:t xml:space="preserve">it will be possible to conclude </w:t>
      </w:r>
      <w:r w:rsidR="00C61AD5">
        <w:rPr>
          <w:rFonts w:ascii="Times New Roman" w:hAnsi="Times New Roman" w:cs="Times New Roman"/>
          <w:sz w:val="24"/>
          <w:szCs w:val="24"/>
        </w:rPr>
        <w:t>(</w:t>
      </w:r>
      <w:r w:rsidR="003A2DE7">
        <w:rPr>
          <w:rFonts w:ascii="Times New Roman" w:hAnsi="Times New Roman" w:cs="Times New Roman"/>
          <w:sz w:val="24"/>
          <w:szCs w:val="24"/>
        </w:rPr>
        <w:t>with</w:t>
      </w:r>
      <w:r w:rsidR="00C61AD5">
        <w:rPr>
          <w:rFonts w:ascii="Times New Roman" w:hAnsi="Times New Roman" w:cs="Times New Roman"/>
          <w:sz w:val="24"/>
          <w:szCs w:val="24"/>
        </w:rPr>
        <w:t xml:space="preserve"> 95 percent</w:t>
      </w:r>
      <w:r w:rsidR="003A2DE7">
        <w:rPr>
          <w:rFonts w:ascii="Times New Roman" w:hAnsi="Times New Roman" w:cs="Times New Roman"/>
          <w:sz w:val="24"/>
          <w:szCs w:val="24"/>
        </w:rPr>
        <w:t xml:space="preserve"> confidence</w:t>
      </w:r>
      <w:r w:rsidR="0082424B">
        <w:rPr>
          <w:rFonts w:ascii="Times New Roman" w:hAnsi="Times New Roman" w:cs="Times New Roman"/>
          <w:sz w:val="24"/>
          <w:szCs w:val="24"/>
        </w:rPr>
        <w:t>)</w:t>
      </w:r>
      <w:r w:rsidR="003A2DE7">
        <w:rPr>
          <w:rFonts w:ascii="Times New Roman" w:hAnsi="Times New Roman" w:cs="Times New Roman"/>
          <w:sz w:val="24"/>
          <w:szCs w:val="24"/>
        </w:rPr>
        <w:t xml:space="preserve"> that a statistically significant </w:t>
      </w:r>
      <w:r w:rsidR="000922EB">
        <w:rPr>
          <w:rFonts w:ascii="Times New Roman" w:hAnsi="Times New Roman" w:cs="Times New Roman"/>
          <w:sz w:val="24"/>
          <w:szCs w:val="24"/>
        </w:rPr>
        <w:t xml:space="preserve">unweighted </w:t>
      </w:r>
      <w:r w:rsidR="003A2DE7">
        <w:rPr>
          <w:rFonts w:ascii="Times New Roman" w:hAnsi="Times New Roman" w:cs="Times New Roman"/>
          <w:sz w:val="24"/>
          <w:szCs w:val="24"/>
        </w:rPr>
        <w:t xml:space="preserve">effect is </w:t>
      </w:r>
      <w:r w:rsidR="00F25BBB">
        <w:rPr>
          <w:rFonts w:ascii="Times New Roman" w:hAnsi="Times New Roman" w:cs="Times New Roman"/>
          <w:sz w:val="24"/>
          <w:szCs w:val="24"/>
        </w:rPr>
        <w:t xml:space="preserve">a true effect </w:t>
      </w:r>
      <w:r w:rsidR="00F25BBB">
        <w:rPr>
          <w:rFonts w:ascii="Times New Roman" w:hAnsi="Times New Roman" w:cs="Times New Roman"/>
          <w:i/>
          <w:sz w:val="24"/>
          <w:szCs w:val="24"/>
        </w:rPr>
        <w:t>within the 202</w:t>
      </w:r>
      <w:r w:rsidR="00262DD0">
        <w:rPr>
          <w:rFonts w:ascii="Times New Roman" w:hAnsi="Times New Roman" w:cs="Times New Roman"/>
          <w:i/>
          <w:sz w:val="24"/>
          <w:szCs w:val="24"/>
        </w:rPr>
        <w:t>2</w:t>
      </w:r>
      <w:r w:rsidR="00F25BBB">
        <w:rPr>
          <w:rFonts w:ascii="Times New Roman" w:hAnsi="Times New Roman" w:cs="Times New Roman"/>
          <w:i/>
          <w:sz w:val="24"/>
          <w:szCs w:val="24"/>
        </w:rPr>
        <w:t xml:space="preserve"> NTEWS sample</w:t>
      </w:r>
      <w:r w:rsidR="00F25BBB">
        <w:rPr>
          <w:rFonts w:ascii="Times New Roman" w:hAnsi="Times New Roman" w:cs="Times New Roman"/>
          <w:sz w:val="24"/>
          <w:szCs w:val="24"/>
        </w:rPr>
        <w:t xml:space="preserve">. </w:t>
      </w:r>
      <w:r w:rsidR="006747A1">
        <w:rPr>
          <w:rFonts w:ascii="Times New Roman" w:hAnsi="Times New Roman" w:cs="Times New Roman"/>
          <w:sz w:val="24"/>
          <w:szCs w:val="24"/>
        </w:rPr>
        <w:t xml:space="preserve">However, </w:t>
      </w:r>
      <w:r w:rsidR="00AD78D7">
        <w:rPr>
          <w:rFonts w:ascii="Times New Roman" w:hAnsi="Times New Roman" w:cs="Times New Roman"/>
          <w:sz w:val="24"/>
          <w:szCs w:val="24"/>
        </w:rPr>
        <w:t xml:space="preserve">weights </w:t>
      </w:r>
      <w:r w:rsidR="00804F97">
        <w:rPr>
          <w:rFonts w:ascii="Times New Roman" w:hAnsi="Times New Roman" w:cs="Times New Roman"/>
          <w:sz w:val="24"/>
          <w:szCs w:val="24"/>
        </w:rPr>
        <w:t xml:space="preserve">and the design effect </w:t>
      </w:r>
      <w:r w:rsidR="00AD78D7">
        <w:rPr>
          <w:rFonts w:ascii="Times New Roman" w:hAnsi="Times New Roman" w:cs="Times New Roman"/>
          <w:sz w:val="24"/>
          <w:szCs w:val="24"/>
        </w:rPr>
        <w:t xml:space="preserve">will need to be used </w:t>
      </w:r>
      <w:r w:rsidR="006747A1">
        <w:rPr>
          <w:rFonts w:ascii="Times New Roman" w:hAnsi="Times New Roman" w:cs="Times New Roman"/>
          <w:sz w:val="24"/>
          <w:szCs w:val="24"/>
        </w:rPr>
        <w:t xml:space="preserve">to obtain </w:t>
      </w:r>
      <w:r w:rsidR="00AD78D7">
        <w:rPr>
          <w:rFonts w:ascii="Times New Roman" w:hAnsi="Times New Roman" w:cs="Times New Roman"/>
          <w:sz w:val="24"/>
          <w:szCs w:val="24"/>
        </w:rPr>
        <w:t xml:space="preserve">externally </w:t>
      </w:r>
      <w:r w:rsidR="006747A1">
        <w:rPr>
          <w:rFonts w:ascii="Times New Roman" w:hAnsi="Times New Roman" w:cs="Times New Roman"/>
          <w:sz w:val="24"/>
          <w:szCs w:val="24"/>
        </w:rPr>
        <w:t xml:space="preserve">valid estimates of the treatment effect over the </w:t>
      </w:r>
      <w:r w:rsidR="00CE1F13">
        <w:rPr>
          <w:rFonts w:ascii="Times New Roman" w:hAnsi="Times New Roman" w:cs="Times New Roman"/>
          <w:sz w:val="24"/>
          <w:szCs w:val="24"/>
        </w:rPr>
        <w:t xml:space="preserve">NTEWS </w:t>
      </w:r>
      <w:r w:rsidR="005E4302">
        <w:rPr>
          <w:rFonts w:ascii="Times New Roman" w:hAnsi="Times New Roman" w:cs="Times New Roman"/>
          <w:sz w:val="24"/>
          <w:szCs w:val="24"/>
        </w:rPr>
        <w:t xml:space="preserve">target </w:t>
      </w:r>
      <w:r w:rsidR="00CE1F13">
        <w:rPr>
          <w:rFonts w:ascii="Times New Roman" w:hAnsi="Times New Roman" w:cs="Times New Roman"/>
          <w:sz w:val="24"/>
          <w:szCs w:val="24"/>
        </w:rPr>
        <w:t>population</w:t>
      </w:r>
      <w:r w:rsidR="005E4302">
        <w:rPr>
          <w:rFonts w:ascii="Times New Roman" w:hAnsi="Times New Roman" w:cs="Times New Roman"/>
          <w:sz w:val="24"/>
          <w:szCs w:val="24"/>
        </w:rPr>
        <w:t xml:space="preserve"> (U.S. adults ages 16 through 75 and not enrolled in </w:t>
      </w:r>
      <w:r w:rsidR="00256D82">
        <w:rPr>
          <w:rFonts w:ascii="Times New Roman" w:hAnsi="Times New Roman" w:cs="Times New Roman"/>
          <w:sz w:val="24"/>
          <w:szCs w:val="24"/>
        </w:rPr>
        <w:t>primary or secondary school</w:t>
      </w:r>
      <w:r w:rsidR="005E4302">
        <w:rPr>
          <w:rFonts w:ascii="Times New Roman" w:hAnsi="Times New Roman" w:cs="Times New Roman"/>
          <w:sz w:val="24"/>
          <w:szCs w:val="24"/>
        </w:rPr>
        <w:t>)</w:t>
      </w:r>
      <w:r w:rsidR="00583364">
        <w:rPr>
          <w:rFonts w:ascii="Times New Roman" w:hAnsi="Times New Roman" w:cs="Times New Roman"/>
          <w:sz w:val="24"/>
          <w:szCs w:val="24"/>
        </w:rPr>
        <w:t>.</w:t>
      </w:r>
      <w:r w:rsidR="00F43E44">
        <w:rPr>
          <w:rFonts w:ascii="Times New Roman" w:hAnsi="Times New Roman" w:cs="Times New Roman"/>
          <w:sz w:val="24"/>
          <w:szCs w:val="24"/>
        </w:rPr>
        <w:t xml:space="preserve"> Therefore, detectable differences </w:t>
      </w:r>
      <w:r w:rsidR="00A04F65">
        <w:rPr>
          <w:rFonts w:ascii="Times New Roman" w:hAnsi="Times New Roman" w:cs="Times New Roman"/>
          <w:sz w:val="24"/>
          <w:szCs w:val="24"/>
        </w:rPr>
        <w:t>that ignore</w:t>
      </w:r>
      <w:r w:rsidR="000B20D0">
        <w:rPr>
          <w:rFonts w:ascii="Times New Roman" w:hAnsi="Times New Roman" w:cs="Times New Roman"/>
          <w:sz w:val="24"/>
          <w:szCs w:val="24"/>
        </w:rPr>
        <w:t xml:space="preserve"> the </w:t>
      </w:r>
      <w:r w:rsidR="008B467B">
        <w:rPr>
          <w:rFonts w:ascii="Times New Roman" w:hAnsi="Times New Roman" w:cs="Times New Roman"/>
          <w:sz w:val="24"/>
          <w:szCs w:val="24"/>
        </w:rPr>
        <w:t xml:space="preserve">weights and the </w:t>
      </w:r>
      <w:r w:rsidR="000B20D0">
        <w:rPr>
          <w:rFonts w:ascii="Times New Roman" w:hAnsi="Times New Roman" w:cs="Times New Roman"/>
          <w:sz w:val="24"/>
          <w:szCs w:val="24"/>
        </w:rPr>
        <w:t xml:space="preserve">design effect are </w:t>
      </w:r>
      <w:r w:rsidR="008B467B">
        <w:rPr>
          <w:rFonts w:ascii="Times New Roman" w:hAnsi="Times New Roman" w:cs="Times New Roman"/>
          <w:sz w:val="24"/>
          <w:szCs w:val="24"/>
        </w:rPr>
        <w:t xml:space="preserve">still </w:t>
      </w:r>
      <w:r w:rsidR="000B20D0">
        <w:rPr>
          <w:rFonts w:ascii="Times New Roman" w:hAnsi="Times New Roman" w:cs="Times New Roman"/>
          <w:sz w:val="24"/>
          <w:szCs w:val="24"/>
        </w:rPr>
        <w:t xml:space="preserve">detectable differences at the </w:t>
      </w:r>
      <w:r w:rsidR="000B20D0">
        <w:rPr>
          <w:rFonts w:ascii="Times New Roman" w:hAnsi="Times New Roman" w:cs="Times New Roman"/>
          <w:i/>
          <w:sz w:val="24"/>
          <w:szCs w:val="24"/>
        </w:rPr>
        <w:t>sample</w:t>
      </w:r>
      <w:r w:rsidR="000B20D0">
        <w:rPr>
          <w:rFonts w:ascii="Times New Roman" w:hAnsi="Times New Roman" w:cs="Times New Roman"/>
          <w:sz w:val="24"/>
          <w:szCs w:val="24"/>
        </w:rPr>
        <w:t xml:space="preserve"> level</w:t>
      </w:r>
      <w:r w:rsidR="00C608BB">
        <w:rPr>
          <w:rFonts w:ascii="Times New Roman" w:hAnsi="Times New Roman" w:cs="Times New Roman"/>
          <w:sz w:val="24"/>
          <w:szCs w:val="24"/>
        </w:rPr>
        <w:t xml:space="preserve"> but may be biased estimates of differences at the population level, with incorrect uncertainty estimates associated with them. Differences</w:t>
      </w:r>
      <w:r w:rsidR="000B20D0">
        <w:rPr>
          <w:rFonts w:ascii="Times New Roman" w:hAnsi="Times New Roman" w:cs="Times New Roman"/>
          <w:sz w:val="24"/>
          <w:szCs w:val="24"/>
        </w:rPr>
        <w:t xml:space="preserve"> that incorporate </w:t>
      </w:r>
      <w:r w:rsidR="00B276EC">
        <w:rPr>
          <w:rFonts w:ascii="Times New Roman" w:hAnsi="Times New Roman" w:cs="Times New Roman"/>
          <w:sz w:val="24"/>
          <w:szCs w:val="24"/>
        </w:rPr>
        <w:t xml:space="preserve">weights and </w:t>
      </w:r>
      <w:r w:rsidR="000B20D0">
        <w:rPr>
          <w:rFonts w:ascii="Times New Roman" w:hAnsi="Times New Roman" w:cs="Times New Roman"/>
          <w:sz w:val="24"/>
          <w:szCs w:val="24"/>
        </w:rPr>
        <w:t>the design effect</w:t>
      </w:r>
      <w:r w:rsidR="00A70098">
        <w:rPr>
          <w:rFonts w:ascii="Times New Roman" w:hAnsi="Times New Roman" w:cs="Times New Roman"/>
          <w:sz w:val="24"/>
          <w:szCs w:val="24"/>
        </w:rPr>
        <w:t xml:space="preserve"> are detectable differences at the </w:t>
      </w:r>
      <w:r w:rsidR="00A70098">
        <w:rPr>
          <w:rFonts w:ascii="Times New Roman" w:hAnsi="Times New Roman" w:cs="Times New Roman"/>
          <w:i/>
          <w:sz w:val="24"/>
          <w:szCs w:val="24"/>
        </w:rPr>
        <w:t>population</w:t>
      </w:r>
      <w:r w:rsidR="00A70098">
        <w:rPr>
          <w:rFonts w:ascii="Times New Roman" w:hAnsi="Times New Roman" w:cs="Times New Roman"/>
          <w:sz w:val="24"/>
          <w:szCs w:val="24"/>
        </w:rPr>
        <w:t xml:space="preserve"> level.</w:t>
      </w:r>
      <w:r w:rsidR="000B20D0">
        <w:rPr>
          <w:rFonts w:ascii="Times New Roman" w:hAnsi="Times New Roman" w:cs="Times New Roman"/>
          <w:sz w:val="24"/>
          <w:szCs w:val="24"/>
        </w:rPr>
        <w:t xml:space="preserve"> </w:t>
      </w:r>
      <w:r w:rsidR="00BB1435">
        <w:rPr>
          <w:rFonts w:ascii="Times New Roman" w:hAnsi="Times New Roman" w:cs="Times New Roman"/>
          <w:sz w:val="24"/>
          <w:szCs w:val="24"/>
        </w:rPr>
        <w:t xml:space="preserve">Sample-level differences </w:t>
      </w:r>
      <w:r w:rsidR="00F273F8">
        <w:rPr>
          <w:rFonts w:ascii="Times New Roman" w:hAnsi="Times New Roman" w:cs="Times New Roman"/>
          <w:sz w:val="24"/>
          <w:szCs w:val="24"/>
        </w:rPr>
        <w:t xml:space="preserve">may be sufficient for making decisions about future NTEWS cycles if the sample design remains approximately unchanged; whereas population-level differences would be more appropriate if </w:t>
      </w:r>
      <w:r w:rsidR="004E2806">
        <w:rPr>
          <w:rFonts w:ascii="Times New Roman" w:hAnsi="Times New Roman" w:cs="Times New Roman"/>
          <w:sz w:val="24"/>
          <w:szCs w:val="24"/>
        </w:rPr>
        <w:t>there are meaningful changes to the sample design</w:t>
      </w:r>
      <w:r w:rsidR="00F273F8">
        <w:rPr>
          <w:rFonts w:ascii="Times New Roman" w:hAnsi="Times New Roman" w:cs="Times New Roman"/>
          <w:sz w:val="24"/>
          <w:szCs w:val="24"/>
        </w:rPr>
        <w:t>.</w:t>
      </w:r>
    </w:p>
    <w:p w:rsidR="002C664E" w:rsidP="00615274" w:rsidRDefault="00BE2CB9" w14:paraId="39FFD4E3" w14:textId="3C8B18F3">
      <w:pPr>
        <w:rPr>
          <w:rFonts w:ascii="Times New Roman" w:hAnsi="Times New Roman" w:cs="Times New Roman"/>
          <w:sz w:val="24"/>
          <w:szCs w:val="24"/>
        </w:rPr>
      </w:pPr>
      <w:r w:rsidRPr="00EE41FA">
        <w:rPr>
          <w:rFonts w:ascii="Times New Roman" w:hAnsi="Times New Roman" w:cs="Times New Roman"/>
          <w:sz w:val="24"/>
          <w:szCs w:val="24"/>
        </w:rPr>
        <w:lastRenderedPageBreak/>
        <w:t xml:space="preserve">An assumed </w:t>
      </w:r>
      <w:r w:rsidRPr="00EE41FA">
        <w:rPr>
          <w:rFonts w:ascii="Times New Roman" w:hAnsi="Times New Roman" w:cs="Times New Roman"/>
          <w:i/>
          <w:sz w:val="24"/>
          <w:szCs w:val="24"/>
        </w:rPr>
        <w:t>response rate</w:t>
      </w:r>
      <w:r w:rsidRPr="00EE41FA">
        <w:rPr>
          <w:rFonts w:ascii="Times New Roman" w:hAnsi="Times New Roman" w:cs="Times New Roman"/>
          <w:sz w:val="24"/>
          <w:szCs w:val="24"/>
        </w:rPr>
        <w:t xml:space="preserve"> was needed </w:t>
      </w:r>
      <w:r w:rsidRPr="00EE41FA" w:rsidR="00DB5791">
        <w:rPr>
          <w:rFonts w:ascii="Times New Roman" w:hAnsi="Times New Roman" w:cs="Times New Roman"/>
          <w:sz w:val="24"/>
          <w:szCs w:val="24"/>
        </w:rPr>
        <w:t xml:space="preserve">to </w:t>
      </w:r>
      <w:r w:rsidRPr="00EE41FA" w:rsidR="00F1458D">
        <w:rPr>
          <w:rFonts w:ascii="Times New Roman" w:hAnsi="Times New Roman" w:cs="Times New Roman"/>
          <w:sz w:val="24"/>
          <w:szCs w:val="24"/>
        </w:rPr>
        <w:t>determine sample sizes for comparisons of estimates</w:t>
      </w:r>
      <w:r w:rsidRPr="00EE41FA" w:rsidR="001B34E7">
        <w:rPr>
          <w:rFonts w:ascii="Times New Roman" w:hAnsi="Times New Roman" w:cs="Times New Roman"/>
          <w:sz w:val="24"/>
          <w:szCs w:val="24"/>
        </w:rPr>
        <w:t xml:space="preserve"> (which </w:t>
      </w:r>
      <w:r w:rsidR="00F5000E">
        <w:rPr>
          <w:rFonts w:ascii="Times New Roman" w:hAnsi="Times New Roman" w:cs="Times New Roman"/>
          <w:sz w:val="24"/>
          <w:szCs w:val="24"/>
        </w:rPr>
        <w:t>can</w:t>
      </w:r>
      <w:r w:rsidRPr="00EE41FA" w:rsidR="001B34E7">
        <w:rPr>
          <w:rFonts w:ascii="Times New Roman" w:hAnsi="Times New Roman" w:cs="Times New Roman"/>
          <w:sz w:val="24"/>
          <w:szCs w:val="24"/>
        </w:rPr>
        <w:t xml:space="preserve"> be conducted only among respondents)</w:t>
      </w:r>
      <w:r w:rsidRPr="00EE41FA" w:rsidR="0033030B">
        <w:rPr>
          <w:rFonts w:ascii="Times New Roman" w:hAnsi="Times New Roman" w:cs="Times New Roman"/>
          <w:sz w:val="24"/>
          <w:szCs w:val="24"/>
        </w:rPr>
        <w:t xml:space="preserve">. </w:t>
      </w:r>
      <w:r w:rsidRPr="00EE41FA" w:rsidR="008F3FF5">
        <w:rPr>
          <w:rFonts w:ascii="Times New Roman" w:hAnsi="Times New Roman" w:cs="Times New Roman"/>
          <w:sz w:val="24"/>
          <w:szCs w:val="24"/>
        </w:rPr>
        <w:t xml:space="preserve">For this analysis, </w:t>
      </w:r>
      <w:r w:rsidRPr="00EE41FA" w:rsidR="00007652">
        <w:rPr>
          <w:rFonts w:ascii="Times New Roman" w:hAnsi="Times New Roman" w:cs="Times New Roman"/>
          <w:sz w:val="24"/>
          <w:szCs w:val="24"/>
        </w:rPr>
        <w:t>a response rate of 62.5 percent was assumed</w:t>
      </w:r>
      <w:r w:rsidRPr="00EE41FA" w:rsidR="00134C9D">
        <w:rPr>
          <w:rFonts w:ascii="Times New Roman" w:hAnsi="Times New Roman" w:cs="Times New Roman"/>
          <w:sz w:val="24"/>
          <w:szCs w:val="24"/>
        </w:rPr>
        <w:t xml:space="preserve"> for</w:t>
      </w:r>
      <w:r w:rsidR="00F5000E">
        <w:rPr>
          <w:rFonts w:ascii="Times New Roman" w:hAnsi="Times New Roman" w:cs="Times New Roman"/>
          <w:sz w:val="24"/>
          <w:szCs w:val="24"/>
        </w:rPr>
        <w:t xml:space="preserve"> most</w:t>
      </w:r>
      <w:r w:rsidRPr="00EE41FA" w:rsidR="00134C9D">
        <w:rPr>
          <w:rFonts w:ascii="Times New Roman" w:hAnsi="Times New Roman" w:cs="Times New Roman"/>
          <w:sz w:val="24"/>
          <w:szCs w:val="24"/>
        </w:rPr>
        <w:t xml:space="preserve"> treatment groups</w:t>
      </w:r>
      <w:r w:rsidRPr="00EE41FA" w:rsidR="001758EB">
        <w:rPr>
          <w:rFonts w:ascii="Times New Roman" w:hAnsi="Times New Roman" w:cs="Times New Roman"/>
          <w:sz w:val="24"/>
          <w:szCs w:val="24"/>
        </w:rPr>
        <w:t>. Thi</w:t>
      </w:r>
      <w:r w:rsidRPr="00EE41FA" w:rsidR="0089470F">
        <w:rPr>
          <w:rFonts w:ascii="Times New Roman" w:hAnsi="Times New Roman" w:cs="Times New Roman"/>
          <w:sz w:val="24"/>
          <w:szCs w:val="24"/>
        </w:rPr>
        <w:t>s</w:t>
      </w:r>
      <w:r w:rsidRPr="00EE41FA" w:rsidR="00E83446">
        <w:rPr>
          <w:rFonts w:ascii="Times New Roman" w:hAnsi="Times New Roman" w:cs="Times New Roman"/>
          <w:sz w:val="24"/>
          <w:szCs w:val="24"/>
        </w:rPr>
        <w:t xml:space="preserve"> was the same response rate used </w:t>
      </w:r>
      <w:r w:rsidR="0091591B">
        <w:rPr>
          <w:rFonts w:ascii="Times New Roman" w:hAnsi="Times New Roman" w:cs="Times New Roman"/>
          <w:sz w:val="24"/>
          <w:szCs w:val="24"/>
        </w:rPr>
        <w:t>in the NTEWS burden calculations</w:t>
      </w:r>
      <w:r w:rsidRPr="00EE41FA" w:rsidR="00D87A5B">
        <w:rPr>
          <w:rFonts w:ascii="Times New Roman" w:hAnsi="Times New Roman" w:cs="Times New Roman"/>
          <w:sz w:val="24"/>
          <w:szCs w:val="24"/>
        </w:rPr>
        <w:t>.</w:t>
      </w:r>
      <w:r w:rsidRPr="00EE41FA" w:rsidR="00C74E3B">
        <w:rPr>
          <w:rFonts w:ascii="Times New Roman" w:hAnsi="Times New Roman" w:cs="Times New Roman"/>
          <w:sz w:val="24"/>
          <w:szCs w:val="24"/>
        </w:rPr>
        <w:t xml:space="preserve"> </w:t>
      </w:r>
      <w:r w:rsidRPr="00EE41FA" w:rsidR="00551515">
        <w:rPr>
          <w:rFonts w:ascii="Times New Roman" w:hAnsi="Times New Roman" w:cs="Times New Roman"/>
          <w:sz w:val="24"/>
          <w:szCs w:val="24"/>
        </w:rPr>
        <w:t>The exceptions were for the treatment groups receiving no incentive</w:t>
      </w:r>
      <w:r w:rsidRPr="00EE41FA" w:rsidR="00FF0FAF">
        <w:rPr>
          <w:rFonts w:ascii="Times New Roman" w:hAnsi="Times New Roman" w:cs="Times New Roman"/>
          <w:sz w:val="24"/>
          <w:szCs w:val="24"/>
        </w:rPr>
        <w:t xml:space="preserve"> at week 1, for which </w:t>
      </w:r>
      <w:r w:rsidRPr="00EE41FA" w:rsidR="00154E8B">
        <w:rPr>
          <w:rFonts w:ascii="Times New Roman" w:hAnsi="Times New Roman" w:cs="Times New Roman"/>
          <w:sz w:val="24"/>
          <w:szCs w:val="24"/>
        </w:rPr>
        <w:t xml:space="preserve">a </w:t>
      </w:r>
      <w:r w:rsidRPr="00EE41FA" w:rsidR="009020A7">
        <w:rPr>
          <w:rFonts w:ascii="Times New Roman" w:hAnsi="Times New Roman" w:cs="Times New Roman"/>
          <w:sz w:val="24"/>
          <w:szCs w:val="24"/>
        </w:rPr>
        <w:t xml:space="preserve">57.5 percent response rate (5 percentage points lower) was assumed; </w:t>
      </w:r>
      <w:r w:rsidRPr="00EE41FA" w:rsidR="004C07D2">
        <w:rPr>
          <w:rFonts w:ascii="Times New Roman" w:hAnsi="Times New Roman" w:cs="Times New Roman"/>
          <w:sz w:val="24"/>
          <w:szCs w:val="24"/>
        </w:rPr>
        <w:t>and the treatment group receiving a $30 incentive at week 1, for which a 67.5 percent response rate (5 percentage points higher) was assumed.</w:t>
      </w:r>
    </w:p>
    <w:p w:rsidRPr="00EE41FA" w:rsidR="00B30AEE" w:rsidP="00615274" w:rsidRDefault="00B30AEE" w14:paraId="7D6A8F7A" w14:textId="5BC2508C">
      <w:pPr>
        <w:rPr>
          <w:rFonts w:ascii="Times New Roman" w:hAnsi="Times New Roman" w:cs="Times New Roman"/>
          <w:sz w:val="24"/>
          <w:szCs w:val="24"/>
        </w:rPr>
      </w:pPr>
      <w:r w:rsidRPr="00EE41FA">
        <w:rPr>
          <w:rFonts w:ascii="Times New Roman" w:hAnsi="Times New Roman" w:cs="Times New Roman"/>
          <w:sz w:val="24"/>
          <w:szCs w:val="24"/>
        </w:rPr>
        <w:t xml:space="preserve">For comparisons within subgroups, the minimum detectable </w:t>
      </w:r>
      <w:r w:rsidR="001D23D8">
        <w:rPr>
          <w:rFonts w:ascii="Times New Roman" w:hAnsi="Times New Roman" w:cs="Times New Roman"/>
          <w:sz w:val="24"/>
          <w:szCs w:val="24"/>
        </w:rPr>
        <w:t>difference</w:t>
      </w:r>
      <w:r w:rsidRPr="00EE41FA">
        <w:rPr>
          <w:rFonts w:ascii="Times New Roman" w:hAnsi="Times New Roman" w:cs="Times New Roman"/>
          <w:sz w:val="24"/>
          <w:szCs w:val="24"/>
        </w:rPr>
        <w:t xml:space="preserve"> depends on the </w:t>
      </w:r>
      <w:r w:rsidRPr="00EE41FA">
        <w:rPr>
          <w:rFonts w:ascii="Times New Roman" w:hAnsi="Times New Roman" w:cs="Times New Roman"/>
          <w:i/>
          <w:sz w:val="24"/>
          <w:szCs w:val="24"/>
        </w:rPr>
        <w:t>size of the subgroup</w:t>
      </w:r>
      <w:r w:rsidRPr="00EE41FA">
        <w:rPr>
          <w:rFonts w:ascii="Times New Roman" w:hAnsi="Times New Roman" w:cs="Times New Roman"/>
          <w:sz w:val="24"/>
          <w:szCs w:val="24"/>
        </w:rPr>
        <w:t xml:space="preserve"> as a proportion of the total sample. For the purpose of these calculations, the subgroup of interest was assumed to constitute 25 percent of the total sample.</w:t>
      </w:r>
      <w:r w:rsidR="00257C59">
        <w:rPr>
          <w:rFonts w:ascii="Times New Roman" w:hAnsi="Times New Roman" w:cs="Times New Roman"/>
          <w:sz w:val="24"/>
          <w:szCs w:val="24"/>
        </w:rPr>
        <w:t xml:space="preserve"> In practice, </w:t>
      </w:r>
      <w:proofErr w:type="gramStart"/>
      <w:r w:rsidR="00630C10">
        <w:rPr>
          <w:rFonts w:ascii="Times New Roman" w:hAnsi="Times New Roman" w:cs="Times New Roman"/>
          <w:sz w:val="24"/>
          <w:szCs w:val="24"/>
        </w:rPr>
        <w:t>a number of</w:t>
      </w:r>
      <w:proofErr w:type="gramEnd"/>
      <w:r w:rsidR="00630C10">
        <w:rPr>
          <w:rFonts w:ascii="Times New Roman" w:hAnsi="Times New Roman" w:cs="Times New Roman"/>
          <w:sz w:val="24"/>
          <w:szCs w:val="24"/>
        </w:rPr>
        <w:t xml:space="preserve"> subgroups are likely to be </w:t>
      </w:r>
      <w:r w:rsidR="002A61BB">
        <w:rPr>
          <w:rFonts w:ascii="Times New Roman" w:hAnsi="Times New Roman" w:cs="Times New Roman"/>
          <w:sz w:val="24"/>
          <w:szCs w:val="24"/>
        </w:rPr>
        <w:t>of interest in the analysis of the experiments</w:t>
      </w:r>
      <w:r w:rsidR="009D20D6">
        <w:rPr>
          <w:rFonts w:ascii="Times New Roman" w:hAnsi="Times New Roman" w:cs="Times New Roman"/>
          <w:sz w:val="24"/>
          <w:szCs w:val="24"/>
        </w:rPr>
        <w:t xml:space="preserve">, some of which will constitute less or more than 25 percent of the sample. </w:t>
      </w:r>
      <w:r w:rsidR="00480CBE">
        <w:rPr>
          <w:rFonts w:ascii="Times New Roman" w:hAnsi="Times New Roman" w:cs="Times New Roman"/>
          <w:sz w:val="24"/>
          <w:szCs w:val="24"/>
        </w:rPr>
        <w:t>Detectable differences for subgroups constituting 25 percent of the sample were calculated to provide a general idea of how well the selected sample sizes would support evaluations of the effects of the treatments within subgroups.</w:t>
      </w:r>
    </w:p>
    <w:p w:rsidRPr="00EE41FA" w:rsidR="00AE08A5" w:rsidP="001F67A1" w:rsidRDefault="00451427" w14:paraId="3BA4084C" w14:textId="480E5D64">
      <w:pPr>
        <w:rPr>
          <w:rFonts w:ascii="Times New Roman" w:hAnsi="Times New Roman" w:cs="Times New Roman"/>
          <w:sz w:val="24"/>
          <w:szCs w:val="24"/>
        </w:rPr>
      </w:pPr>
      <w:r>
        <w:rPr>
          <w:rFonts w:ascii="Times New Roman" w:hAnsi="Times New Roman" w:cs="Times New Roman"/>
          <w:sz w:val="24"/>
          <w:szCs w:val="24"/>
        </w:rPr>
        <w:t xml:space="preserve">In general, when </w:t>
      </w:r>
      <w:r w:rsidR="005D5DE5">
        <w:rPr>
          <w:rFonts w:ascii="Times New Roman" w:hAnsi="Times New Roman" w:cs="Times New Roman"/>
          <w:sz w:val="24"/>
          <w:szCs w:val="24"/>
        </w:rPr>
        <w:t>conducting power calculations for comparisons of proportions</w:t>
      </w:r>
      <w:r w:rsidRPr="00EE41FA" w:rsidR="007B0764">
        <w:rPr>
          <w:rFonts w:ascii="Times New Roman" w:hAnsi="Times New Roman" w:cs="Times New Roman"/>
          <w:sz w:val="24"/>
          <w:szCs w:val="24"/>
        </w:rPr>
        <w:t xml:space="preserve">, </w:t>
      </w:r>
      <w:r w:rsidR="00C67E19">
        <w:rPr>
          <w:rFonts w:ascii="Times New Roman" w:hAnsi="Times New Roman" w:cs="Times New Roman"/>
          <w:sz w:val="24"/>
          <w:szCs w:val="24"/>
        </w:rPr>
        <w:t xml:space="preserve">it is necessary to choose a </w:t>
      </w:r>
      <w:r w:rsidR="00C67E19">
        <w:rPr>
          <w:rFonts w:ascii="Times New Roman" w:hAnsi="Times New Roman" w:cs="Times New Roman"/>
          <w:i/>
          <w:iCs/>
          <w:sz w:val="24"/>
          <w:szCs w:val="24"/>
        </w:rPr>
        <w:t>baseline</w:t>
      </w:r>
      <w:r w:rsidR="00C67E19">
        <w:rPr>
          <w:rFonts w:ascii="Times New Roman" w:hAnsi="Times New Roman" w:cs="Times New Roman"/>
          <w:sz w:val="24"/>
          <w:szCs w:val="24"/>
        </w:rPr>
        <w:t xml:space="preserve"> proportion. </w:t>
      </w:r>
      <w:r w:rsidR="000B78AA">
        <w:rPr>
          <w:rFonts w:ascii="Times New Roman" w:hAnsi="Times New Roman" w:cs="Times New Roman"/>
          <w:sz w:val="24"/>
          <w:szCs w:val="24"/>
        </w:rPr>
        <w:t>F</w:t>
      </w:r>
      <w:r w:rsidR="00175EEB">
        <w:rPr>
          <w:rFonts w:ascii="Times New Roman" w:hAnsi="Times New Roman" w:cs="Times New Roman"/>
          <w:sz w:val="24"/>
          <w:szCs w:val="24"/>
        </w:rPr>
        <w:t>or</w:t>
      </w:r>
      <w:r w:rsidR="00C67E19">
        <w:rPr>
          <w:rFonts w:ascii="Times New Roman" w:hAnsi="Times New Roman" w:cs="Times New Roman"/>
          <w:sz w:val="24"/>
          <w:szCs w:val="24"/>
        </w:rPr>
        <w:t xml:space="preserve"> a given sample size, the minimum detectable difference is highest for a 50 percent estimate and decreases the closer an estimate is to either 0 or 100 percent. </w:t>
      </w:r>
      <w:r w:rsidRPr="00EE41FA" w:rsidR="005663E8">
        <w:rPr>
          <w:rFonts w:ascii="Times New Roman" w:hAnsi="Times New Roman" w:cs="Times New Roman"/>
          <w:sz w:val="24"/>
          <w:szCs w:val="24"/>
        </w:rPr>
        <w:t xml:space="preserve">For comparisons of </w:t>
      </w:r>
      <w:r w:rsidR="005C058D">
        <w:rPr>
          <w:rFonts w:ascii="Times New Roman" w:hAnsi="Times New Roman" w:cs="Times New Roman"/>
          <w:sz w:val="24"/>
          <w:szCs w:val="24"/>
        </w:rPr>
        <w:t>NTEWS</w:t>
      </w:r>
      <w:r w:rsidRPr="00EE41FA" w:rsidR="005663E8">
        <w:rPr>
          <w:rFonts w:ascii="Times New Roman" w:hAnsi="Times New Roman" w:cs="Times New Roman"/>
          <w:sz w:val="24"/>
          <w:szCs w:val="24"/>
        </w:rPr>
        <w:t xml:space="preserve"> estimates</w:t>
      </w:r>
      <w:r w:rsidR="00BA59F5">
        <w:rPr>
          <w:rFonts w:ascii="Times New Roman" w:hAnsi="Times New Roman" w:cs="Times New Roman"/>
          <w:sz w:val="24"/>
          <w:szCs w:val="24"/>
        </w:rPr>
        <w:t xml:space="preserve"> (e.g., the percentage reporting a credential)</w:t>
      </w:r>
      <w:r w:rsidRPr="00EE41FA" w:rsidR="005663E8">
        <w:rPr>
          <w:rFonts w:ascii="Times New Roman" w:hAnsi="Times New Roman" w:cs="Times New Roman"/>
          <w:sz w:val="24"/>
          <w:szCs w:val="24"/>
        </w:rPr>
        <w:t xml:space="preserve">, a </w:t>
      </w:r>
      <w:r w:rsidR="006A2711">
        <w:rPr>
          <w:rFonts w:ascii="Times New Roman" w:hAnsi="Times New Roman" w:cs="Times New Roman"/>
          <w:sz w:val="24"/>
          <w:szCs w:val="24"/>
        </w:rPr>
        <w:t>baseline</w:t>
      </w:r>
      <w:r w:rsidRPr="00EE41FA" w:rsidR="00140002">
        <w:rPr>
          <w:rFonts w:ascii="Times New Roman" w:hAnsi="Times New Roman" w:cs="Times New Roman"/>
          <w:sz w:val="24"/>
          <w:szCs w:val="24"/>
        </w:rPr>
        <w:t xml:space="preserve"> proportion </w:t>
      </w:r>
      <w:r w:rsidRPr="00EE41FA" w:rsidR="00B4045B">
        <w:rPr>
          <w:rFonts w:ascii="Times New Roman" w:hAnsi="Times New Roman" w:cs="Times New Roman"/>
          <w:sz w:val="24"/>
          <w:szCs w:val="24"/>
        </w:rPr>
        <w:t xml:space="preserve">of 25 percent was assumed. </w:t>
      </w:r>
      <w:r w:rsidRPr="00EE41FA" w:rsidR="00772092">
        <w:rPr>
          <w:rFonts w:ascii="Times New Roman" w:hAnsi="Times New Roman" w:cs="Times New Roman"/>
          <w:sz w:val="24"/>
          <w:szCs w:val="24"/>
        </w:rPr>
        <w:t xml:space="preserve">This </w:t>
      </w:r>
      <w:r w:rsidR="009564D1">
        <w:rPr>
          <w:rFonts w:ascii="Times New Roman" w:hAnsi="Times New Roman" w:cs="Times New Roman"/>
          <w:sz w:val="24"/>
          <w:szCs w:val="24"/>
        </w:rPr>
        <w:t>is</w:t>
      </w:r>
      <w:r w:rsidRPr="00EE41FA" w:rsidR="00772092">
        <w:rPr>
          <w:rFonts w:ascii="Times New Roman" w:hAnsi="Times New Roman" w:cs="Times New Roman"/>
          <w:sz w:val="24"/>
          <w:szCs w:val="24"/>
        </w:rPr>
        <w:t xml:space="preserve"> the approximate population prevalence of certifications and licenses</w:t>
      </w:r>
      <w:r w:rsidRPr="00EE41FA" w:rsidR="00B065D0">
        <w:rPr>
          <w:rFonts w:ascii="Times New Roman" w:hAnsi="Times New Roman" w:cs="Times New Roman"/>
          <w:sz w:val="24"/>
          <w:szCs w:val="24"/>
        </w:rPr>
        <w:t xml:space="preserve"> estimated by </w:t>
      </w:r>
      <w:r w:rsidRPr="00EE41FA" w:rsidR="000974D5">
        <w:rPr>
          <w:rFonts w:ascii="Times New Roman" w:hAnsi="Times New Roman" w:cs="Times New Roman"/>
          <w:sz w:val="24"/>
          <w:szCs w:val="24"/>
        </w:rPr>
        <w:t xml:space="preserve">the </w:t>
      </w:r>
      <w:r w:rsidR="009B3896">
        <w:rPr>
          <w:rFonts w:ascii="Times New Roman" w:hAnsi="Times New Roman" w:cs="Times New Roman"/>
          <w:sz w:val="24"/>
          <w:szCs w:val="24"/>
        </w:rPr>
        <w:t xml:space="preserve">NCES </w:t>
      </w:r>
      <w:r w:rsidRPr="00EE41FA" w:rsidR="000974D5">
        <w:rPr>
          <w:rFonts w:ascii="Times New Roman" w:hAnsi="Times New Roman" w:cs="Times New Roman"/>
          <w:sz w:val="24"/>
          <w:szCs w:val="24"/>
        </w:rPr>
        <w:t xml:space="preserve">2016 ATES, </w:t>
      </w:r>
      <w:r w:rsidR="00CB05FD">
        <w:rPr>
          <w:rFonts w:ascii="Times New Roman" w:hAnsi="Times New Roman" w:cs="Times New Roman"/>
          <w:sz w:val="24"/>
          <w:szCs w:val="24"/>
        </w:rPr>
        <w:t xml:space="preserve">a </w:t>
      </w:r>
      <w:r w:rsidRPr="00EE41FA" w:rsidR="000974D5">
        <w:rPr>
          <w:rFonts w:ascii="Times New Roman" w:hAnsi="Times New Roman" w:cs="Times New Roman"/>
          <w:sz w:val="24"/>
          <w:szCs w:val="24"/>
        </w:rPr>
        <w:t>predecessor</w:t>
      </w:r>
      <w:r w:rsidR="00CB05FD">
        <w:rPr>
          <w:rFonts w:ascii="Times New Roman" w:hAnsi="Times New Roman" w:cs="Times New Roman"/>
          <w:sz w:val="24"/>
          <w:szCs w:val="24"/>
        </w:rPr>
        <w:t xml:space="preserve"> collection</w:t>
      </w:r>
      <w:r w:rsidRPr="00EE41FA" w:rsidR="000974D5">
        <w:rPr>
          <w:rFonts w:ascii="Times New Roman" w:hAnsi="Times New Roman" w:cs="Times New Roman"/>
          <w:sz w:val="24"/>
          <w:szCs w:val="24"/>
        </w:rPr>
        <w:t xml:space="preserve"> to the NTEWS. </w:t>
      </w:r>
      <w:r w:rsidRPr="00EE41FA" w:rsidR="00EF1D2E">
        <w:rPr>
          <w:rFonts w:ascii="Times New Roman" w:hAnsi="Times New Roman" w:cs="Times New Roman"/>
          <w:sz w:val="24"/>
          <w:szCs w:val="24"/>
        </w:rPr>
        <w:t xml:space="preserve">The population prevalence </w:t>
      </w:r>
      <w:r w:rsidR="00B125F9">
        <w:rPr>
          <w:rFonts w:ascii="Times New Roman" w:hAnsi="Times New Roman" w:cs="Times New Roman"/>
          <w:sz w:val="24"/>
          <w:szCs w:val="24"/>
        </w:rPr>
        <w:t xml:space="preserve">for each </w:t>
      </w:r>
      <w:r w:rsidRPr="00EE41FA" w:rsidR="00EF1D2E">
        <w:rPr>
          <w:rFonts w:ascii="Times New Roman" w:hAnsi="Times New Roman" w:cs="Times New Roman"/>
          <w:sz w:val="24"/>
          <w:szCs w:val="24"/>
        </w:rPr>
        <w:t xml:space="preserve">of the other </w:t>
      </w:r>
      <w:r w:rsidRPr="00EE41FA" w:rsidR="005651D9">
        <w:rPr>
          <w:rFonts w:ascii="Times New Roman" w:hAnsi="Times New Roman" w:cs="Times New Roman"/>
          <w:sz w:val="24"/>
          <w:szCs w:val="24"/>
        </w:rPr>
        <w:t xml:space="preserve">key characteristics </w:t>
      </w:r>
      <w:r w:rsidRPr="00EE41FA" w:rsidR="00A67A29">
        <w:rPr>
          <w:rFonts w:ascii="Times New Roman" w:hAnsi="Times New Roman" w:cs="Times New Roman"/>
          <w:sz w:val="24"/>
          <w:szCs w:val="24"/>
        </w:rPr>
        <w:t>measured by the NTEWS</w:t>
      </w:r>
      <w:r w:rsidRPr="00EE41FA" w:rsidR="006629ED">
        <w:rPr>
          <w:rFonts w:ascii="Times New Roman" w:hAnsi="Times New Roman" w:cs="Times New Roman"/>
          <w:sz w:val="24"/>
          <w:szCs w:val="24"/>
        </w:rPr>
        <w:t xml:space="preserve">—attainment of </w:t>
      </w:r>
      <w:r w:rsidRPr="00EE41FA" w:rsidR="00572E66">
        <w:rPr>
          <w:rFonts w:ascii="Times New Roman" w:hAnsi="Times New Roman" w:cs="Times New Roman"/>
          <w:sz w:val="24"/>
          <w:szCs w:val="24"/>
        </w:rPr>
        <w:t>postsecondary certificates and completion of a work experience program—is expected to be</w:t>
      </w:r>
      <w:r w:rsidRPr="00EE41FA" w:rsidR="009A3045">
        <w:rPr>
          <w:rFonts w:ascii="Times New Roman" w:hAnsi="Times New Roman" w:cs="Times New Roman"/>
          <w:sz w:val="24"/>
          <w:szCs w:val="24"/>
        </w:rPr>
        <w:t xml:space="preserve"> the same or</w:t>
      </w:r>
      <w:r w:rsidRPr="00EE41FA" w:rsidR="00572E66">
        <w:rPr>
          <w:rFonts w:ascii="Times New Roman" w:hAnsi="Times New Roman" w:cs="Times New Roman"/>
          <w:sz w:val="24"/>
          <w:szCs w:val="24"/>
        </w:rPr>
        <w:t xml:space="preserve"> </w:t>
      </w:r>
      <w:r w:rsidRPr="00EE41FA" w:rsidR="00713080">
        <w:rPr>
          <w:rFonts w:ascii="Times New Roman" w:hAnsi="Times New Roman" w:cs="Times New Roman"/>
          <w:sz w:val="24"/>
          <w:szCs w:val="24"/>
        </w:rPr>
        <w:t xml:space="preserve">lower than </w:t>
      </w:r>
      <w:r w:rsidRPr="00EE41FA" w:rsidR="00940D84">
        <w:rPr>
          <w:rFonts w:ascii="Times New Roman" w:hAnsi="Times New Roman" w:cs="Times New Roman"/>
          <w:sz w:val="24"/>
          <w:szCs w:val="24"/>
        </w:rPr>
        <w:t xml:space="preserve">that of certifications and licenses, so detectable effects for comparisons of these other </w:t>
      </w:r>
      <w:r w:rsidRPr="00EE41FA" w:rsidR="002840A7">
        <w:rPr>
          <w:rFonts w:ascii="Times New Roman" w:hAnsi="Times New Roman" w:cs="Times New Roman"/>
          <w:sz w:val="24"/>
          <w:szCs w:val="24"/>
        </w:rPr>
        <w:t xml:space="preserve">key </w:t>
      </w:r>
      <w:r w:rsidRPr="00EE41FA" w:rsidR="00F36B0F">
        <w:rPr>
          <w:rFonts w:ascii="Times New Roman" w:hAnsi="Times New Roman" w:cs="Times New Roman"/>
          <w:sz w:val="24"/>
          <w:szCs w:val="24"/>
        </w:rPr>
        <w:t xml:space="preserve">substantive estimates may be </w:t>
      </w:r>
      <w:r w:rsidR="00BF3643">
        <w:rPr>
          <w:rFonts w:ascii="Times New Roman" w:hAnsi="Times New Roman" w:cs="Times New Roman"/>
          <w:sz w:val="24"/>
          <w:szCs w:val="24"/>
        </w:rPr>
        <w:t>smaller</w:t>
      </w:r>
      <w:r w:rsidRPr="00EE41FA" w:rsidR="00BF3643">
        <w:rPr>
          <w:rFonts w:ascii="Times New Roman" w:hAnsi="Times New Roman" w:cs="Times New Roman"/>
          <w:sz w:val="24"/>
          <w:szCs w:val="24"/>
        </w:rPr>
        <w:t xml:space="preserve"> </w:t>
      </w:r>
      <w:r w:rsidRPr="00EE41FA" w:rsidR="00F36B0F">
        <w:rPr>
          <w:rFonts w:ascii="Times New Roman" w:hAnsi="Times New Roman" w:cs="Times New Roman"/>
          <w:sz w:val="24"/>
          <w:szCs w:val="24"/>
        </w:rPr>
        <w:t>than shown here.</w:t>
      </w:r>
    </w:p>
    <w:p w:rsidRPr="00EE41FA" w:rsidR="002640D4" w:rsidP="001F67A1" w:rsidRDefault="0020640A" w14:paraId="4017C3D2" w14:textId="1E359BDA">
      <w:pPr>
        <w:rPr>
          <w:rFonts w:ascii="Times New Roman" w:hAnsi="Times New Roman" w:cs="Times New Roman"/>
          <w:sz w:val="24"/>
          <w:szCs w:val="24"/>
        </w:rPr>
      </w:pPr>
      <w:r w:rsidRPr="00EE41FA">
        <w:rPr>
          <w:rFonts w:ascii="Times New Roman" w:hAnsi="Times New Roman" w:cs="Times New Roman"/>
          <w:sz w:val="24"/>
          <w:szCs w:val="24"/>
        </w:rPr>
        <w:t xml:space="preserve">Finally, </w:t>
      </w:r>
      <w:r w:rsidRPr="00EE41FA" w:rsidR="007B1892">
        <w:rPr>
          <w:rFonts w:ascii="Times New Roman" w:hAnsi="Times New Roman" w:cs="Times New Roman"/>
          <w:sz w:val="24"/>
          <w:szCs w:val="24"/>
        </w:rPr>
        <w:t>some comparisons are expected to focus on</w:t>
      </w:r>
      <w:r w:rsidRPr="00EE41FA" w:rsidR="00FF2AE5">
        <w:rPr>
          <w:rFonts w:ascii="Times New Roman" w:hAnsi="Times New Roman" w:cs="Times New Roman"/>
          <w:sz w:val="24"/>
          <w:szCs w:val="24"/>
        </w:rPr>
        <w:t>ly on respondents as of a certain point in data collection</w:t>
      </w:r>
      <w:r w:rsidRPr="00EE41FA" w:rsidR="00164DE7">
        <w:rPr>
          <w:rFonts w:ascii="Times New Roman" w:hAnsi="Times New Roman" w:cs="Times New Roman"/>
          <w:sz w:val="24"/>
          <w:szCs w:val="24"/>
        </w:rPr>
        <w:t xml:space="preserve">. </w:t>
      </w:r>
      <w:r w:rsidRPr="00EE41FA" w:rsidR="00B117BC">
        <w:rPr>
          <w:rFonts w:ascii="Times New Roman" w:hAnsi="Times New Roman" w:cs="Times New Roman"/>
          <w:sz w:val="24"/>
          <w:szCs w:val="24"/>
        </w:rPr>
        <w:t xml:space="preserve">Evaluations of mode effects will be restricted </w:t>
      </w:r>
      <w:r w:rsidR="003472EB">
        <w:rPr>
          <w:rFonts w:ascii="Times New Roman" w:hAnsi="Times New Roman" w:cs="Times New Roman"/>
          <w:sz w:val="24"/>
          <w:szCs w:val="24"/>
        </w:rPr>
        <w:t>to</w:t>
      </w:r>
      <w:r w:rsidRPr="00EE41FA" w:rsidR="003472EB">
        <w:rPr>
          <w:rFonts w:ascii="Times New Roman" w:hAnsi="Times New Roman" w:cs="Times New Roman"/>
          <w:sz w:val="24"/>
          <w:szCs w:val="24"/>
        </w:rPr>
        <w:t xml:space="preserve"> </w:t>
      </w:r>
      <w:r w:rsidRPr="00EE41FA" w:rsidR="00B117BC">
        <w:rPr>
          <w:rFonts w:ascii="Times New Roman" w:hAnsi="Times New Roman" w:cs="Times New Roman"/>
          <w:sz w:val="24"/>
          <w:szCs w:val="24"/>
        </w:rPr>
        <w:t xml:space="preserve">respondents </w:t>
      </w:r>
      <w:r w:rsidR="003472EB">
        <w:rPr>
          <w:rFonts w:ascii="Times New Roman" w:hAnsi="Times New Roman" w:cs="Times New Roman"/>
          <w:sz w:val="24"/>
          <w:szCs w:val="24"/>
        </w:rPr>
        <w:t>from</w:t>
      </w:r>
      <w:r w:rsidRPr="00EE41FA" w:rsidR="003472EB">
        <w:rPr>
          <w:rFonts w:ascii="Times New Roman" w:hAnsi="Times New Roman" w:cs="Times New Roman"/>
          <w:sz w:val="24"/>
          <w:szCs w:val="24"/>
        </w:rPr>
        <w:t xml:space="preserve"> </w:t>
      </w:r>
      <w:r w:rsidRPr="00EE41FA" w:rsidR="00B117BC">
        <w:rPr>
          <w:rFonts w:ascii="Times New Roman" w:hAnsi="Times New Roman" w:cs="Times New Roman"/>
          <w:sz w:val="24"/>
          <w:szCs w:val="24"/>
        </w:rPr>
        <w:t xml:space="preserve">the </w:t>
      </w:r>
      <w:r w:rsidRPr="00EE41FA" w:rsidR="00B117BC">
        <w:rPr>
          <w:rFonts w:ascii="Times New Roman" w:hAnsi="Times New Roman" w:cs="Times New Roman"/>
          <w:i/>
          <w:sz w:val="24"/>
          <w:szCs w:val="24"/>
        </w:rPr>
        <w:t>first 11 weeks of data</w:t>
      </w:r>
      <w:r w:rsidRPr="00EE41FA" w:rsidR="00B117BC">
        <w:rPr>
          <w:rFonts w:ascii="Times New Roman" w:hAnsi="Times New Roman" w:cs="Times New Roman"/>
          <w:sz w:val="24"/>
          <w:szCs w:val="24"/>
        </w:rPr>
        <w:t xml:space="preserve"> </w:t>
      </w:r>
      <w:r w:rsidRPr="0022776E" w:rsidR="00B117BC">
        <w:rPr>
          <w:rFonts w:ascii="Times New Roman" w:hAnsi="Times New Roman" w:cs="Times New Roman"/>
          <w:i/>
          <w:sz w:val="24"/>
          <w:szCs w:val="24"/>
        </w:rPr>
        <w:t>collection</w:t>
      </w:r>
      <w:r w:rsidRPr="00EE41FA" w:rsidR="00B117BC">
        <w:rPr>
          <w:rFonts w:ascii="Times New Roman" w:hAnsi="Times New Roman" w:cs="Times New Roman"/>
          <w:sz w:val="24"/>
          <w:szCs w:val="24"/>
        </w:rPr>
        <w:t xml:space="preserve"> to focus on the period during which only a single response mode was offered </w:t>
      </w:r>
      <w:r w:rsidR="003D2FAC">
        <w:rPr>
          <w:rFonts w:ascii="Times New Roman" w:hAnsi="Times New Roman" w:cs="Times New Roman"/>
          <w:sz w:val="24"/>
          <w:szCs w:val="24"/>
        </w:rPr>
        <w:t>(</w:t>
      </w:r>
      <w:r w:rsidRPr="00EE41FA" w:rsidR="00B117BC">
        <w:rPr>
          <w:rFonts w:ascii="Times New Roman" w:hAnsi="Times New Roman" w:cs="Times New Roman"/>
          <w:sz w:val="24"/>
          <w:szCs w:val="24"/>
        </w:rPr>
        <w:t>in the NHES-style, paper-focused, and CATI-focused treatments</w:t>
      </w:r>
      <w:r w:rsidR="003D2FAC">
        <w:rPr>
          <w:rFonts w:ascii="Times New Roman" w:hAnsi="Times New Roman" w:cs="Times New Roman"/>
          <w:sz w:val="24"/>
          <w:szCs w:val="24"/>
        </w:rPr>
        <w:t>)</w:t>
      </w:r>
      <w:r w:rsidRPr="00EE41FA" w:rsidR="00B117BC">
        <w:rPr>
          <w:rFonts w:ascii="Times New Roman" w:hAnsi="Times New Roman" w:cs="Times New Roman"/>
          <w:sz w:val="24"/>
          <w:szCs w:val="24"/>
        </w:rPr>
        <w:t xml:space="preserve">. For </w:t>
      </w:r>
      <w:r w:rsidR="00F82376">
        <w:rPr>
          <w:rFonts w:ascii="Times New Roman" w:hAnsi="Times New Roman" w:cs="Times New Roman"/>
          <w:sz w:val="24"/>
          <w:szCs w:val="24"/>
        </w:rPr>
        <w:t xml:space="preserve">these </w:t>
      </w:r>
      <w:r w:rsidRPr="00EE41FA" w:rsidR="00B117BC">
        <w:rPr>
          <w:rFonts w:ascii="Times New Roman" w:hAnsi="Times New Roman" w:cs="Times New Roman"/>
          <w:sz w:val="24"/>
          <w:szCs w:val="24"/>
        </w:rPr>
        <w:t xml:space="preserve">mode effects comparisons, it was assumed, </w:t>
      </w:r>
      <w:r w:rsidRPr="00EE41FA" w:rsidR="00D40971">
        <w:rPr>
          <w:rFonts w:ascii="Times New Roman" w:hAnsi="Times New Roman" w:cs="Times New Roman"/>
          <w:sz w:val="24"/>
          <w:szCs w:val="24"/>
        </w:rPr>
        <w:t>based on the experience of the NSCG</w:t>
      </w:r>
      <w:r w:rsidRPr="00EE41FA" w:rsidR="00B117BC">
        <w:rPr>
          <w:rFonts w:ascii="Times New Roman" w:hAnsi="Times New Roman" w:cs="Times New Roman"/>
          <w:sz w:val="24"/>
          <w:szCs w:val="24"/>
        </w:rPr>
        <w:t xml:space="preserve">, that 60 percent of respondents will complete the NTEWS in the first 11 weeks of collection. </w:t>
      </w:r>
      <w:r w:rsidRPr="00EE41FA" w:rsidR="00180564">
        <w:rPr>
          <w:rFonts w:ascii="Times New Roman" w:hAnsi="Times New Roman" w:cs="Times New Roman"/>
          <w:sz w:val="24"/>
          <w:szCs w:val="24"/>
        </w:rPr>
        <w:t xml:space="preserve">Evaluations of the effect of the week 1 incentive will be </w:t>
      </w:r>
      <w:r w:rsidRPr="00EE41FA" w:rsidR="003C4ADD">
        <w:rPr>
          <w:rFonts w:ascii="Times New Roman" w:hAnsi="Times New Roman" w:cs="Times New Roman"/>
          <w:sz w:val="24"/>
          <w:szCs w:val="24"/>
        </w:rPr>
        <w:t xml:space="preserve">restricted to respondents from the </w:t>
      </w:r>
      <w:r w:rsidRPr="00EE41FA" w:rsidR="003C4ADD">
        <w:rPr>
          <w:rFonts w:ascii="Times New Roman" w:hAnsi="Times New Roman" w:cs="Times New Roman"/>
          <w:i/>
          <w:sz w:val="24"/>
          <w:szCs w:val="24"/>
        </w:rPr>
        <w:t xml:space="preserve">first </w:t>
      </w:r>
      <w:r w:rsidRPr="00EE41FA" w:rsidR="00DE5E4D">
        <w:rPr>
          <w:rFonts w:ascii="Times New Roman" w:hAnsi="Times New Roman" w:cs="Times New Roman"/>
          <w:i/>
          <w:sz w:val="24"/>
          <w:szCs w:val="24"/>
        </w:rPr>
        <w:t>22 weeks of data collection</w:t>
      </w:r>
      <w:r w:rsidRPr="00EE41FA" w:rsidR="00DE5E4D">
        <w:rPr>
          <w:rFonts w:ascii="Times New Roman" w:hAnsi="Times New Roman" w:cs="Times New Roman"/>
          <w:sz w:val="24"/>
          <w:szCs w:val="24"/>
        </w:rPr>
        <w:t xml:space="preserve"> to avoid confounding by the </w:t>
      </w:r>
      <w:r w:rsidR="00F546E5">
        <w:rPr>
          <w:rFonts w:ascii="Times New Roman" w:hAnsi="Times New Roman" w:cs="Times New Roman"/>
          <w:sz w:val="24"/>
          <w:szCs w:val="24"/>
        </w:rPr>
        <w:t>late-stage</w:t>
      </w:r>
      <w:r w:rsidRPr="00EE41FA" w:rsidR="00DE5E4D">
        <w:rPr>
          <w:rFonts w:ascii="Times New Roman" w:hAnsi="Times New Roman" w:cs="Times New Roman"/>
          <w:sz w:val="24"/>
          <w:szCs w:val="24"/>
        </w:rPr>
        <w:t xml:space="preserve"> incentive</w:t>
      </w:r>
      <w:r w:rsidRPr="00EE41FA" w:rsidR="00D234B1">
        <w:rPr>
          <w:rFonts w:ascii="Times New Roman" w:hAnsi="Times New Roman" w:cs="Times New Roman"/>
          <w:sz w:val="24"/>
          <w:szCs w:val="24"/>
        </w:rPr>
        <w:t xml:space="preserve"> that will be sent to half of the $0</w:t>
      </w:r>
      <w:r w:rsidR="00170552">
        <w:rPr>
          <w:rFonts w:ascii="Times New Roman" w:hAnsi="Times New Roman" w:cs="Times New Roman"/>
          <w:sz w:val="24"/>
          <w:szCs w:val="24"/>
        </w:rPr>
        <w:t>-incentive</w:t>
      </w:r>
      <w:r w:rsidRPr="00EE41FA" w:rsidR="00D234B1">
        <w:rPr>
          <w:rFonts w:ascii="Times New Roman" w:hAnsi="Times New Roman" w:cs="Times New Roman"/>
          <w:sz w:val="24"/>
          <w:szCs w:val="24"/>
        </w:rPr>
        <w:t xml:space="preserve"> group in week </w:t>
      </w:r>
      <w:r w:rsidRPr="00EE41FA" w:rsidR="00D8372A">
        <w:rPr>
          <w:rFonts w:ascii="Times New Roman" w:hAnsi="Times New Roman" w:cs="Times New Roman"/>
          <w:sz w:val="24"/>
          <w:szCs w:val="24"/>
        </w:rPr>
        <w:t>23</w:t>
      </w:r>
      <w:r w:rsidRPr="00EE41FA" w:rsidR="00D234B1">
        <w:rPr>
          <w:rFonts w:ascii="Times New Roman" w:hAnsi="Times New Roman" w:cs="Times New Roman"/>
          <w:sz w:val="24"/>
          <w:szCs w:val="24"/>
        </w:rPr>
        <w:t xml:space="preserve">. </w:t>
      </w:r>
      <w:r w:rsidRPr="00EE41FA" w:rsidR="007E71B4">
        <w:rPr>
          <w:rFonts w:ascii="Times New Roman" w:hAnsi="Times New Roman" w:cs="Times New Roman"/>
          <w:sz w:val="24"/>
          <w:szCs w:val="24"/>
        </w:rPr>
        <w:t xml:space="preserve">Similarly, evaluations of the effect of this </w:t>
      </w:r>
      <w:r w:rsidR="00F546E5">
        <w:rPr>
          <w:rFonts w:ascii="Times New Roman" w:hAnsi="Times New Roman" w:cs="Times New Roman"/>
          <w:sz w:val="24"/>
          <w:szCs w:val="24"/>
        </w:rPr>
        <w:t>late-stage</w:t>
      </w:r>
      <w:r w:rsidRPr="00EE41FA" w:rsidR="007E71B4">
        <w:rPr>
          <w:rFonts w:ascii="Times New Roman" w:hAnsi="Times New Roman" w:cs="Times New Roman"/>
          <w:sz w:val="24"/>
          <w:szCs w:val="24"/>
        </w:rPr>
        <w:t xml:space="preserve"> incentive will focus on </w:t>
      </w:r>
      <w:r w:rsidR="00D35BFA">
        <w:rPr>
          <w:rFonts w:ascii="Times New Roman" w:hAnsi="Times New Roman" w:cs="Times New Roman"/>
          <w:sz w:val="24"/>
          <w:szCs w:val="24"/>
        </w:rPr>
        <w:t>sample members</w:t>
      </w:r>
      <w:r w:rsidRPr="00EE41FA" w:rsidR="00D35BFA">
        <w:rPr>
          <w:rFonts w:ascii="Times New Roman" w:hAnsi="Times New Roman" w:cs="Times New Roman"/>
          <w:sz w:val="24"/>
          <w:szCs w:val="24"/>
        </w:rPr>
        <w:t xml:space="preserve"> </w:t>
      </w:r>
      <w:r w:rsidRPr="00EE41FA" w:rsidR="00537020">
        <w:rPr>
          <w:rFonts w:ascii="Times New Roman" w:hAnsi="Times New Roman" w:cs="Times New Roman"/>
          <w:sz w:val="24"/>
          <w:szCs w:val="24"/>
        </w:rPr>
        <w:t xml:space="preserve">that have </w:t>
      </w:r>
      <w:r w:rsidRPr="00EE41FA" w:rsidR="00537020">
        <w:rPr>
          <w:rFonts w:ascii="Times New Roman" w:hAnsi="Times New Roman" w:cs="Times New Roman"/>
          <w:i/>
          <w:sz w:val="24"/>
          <w:szCs w:val="24"/>
        </w:rPr>
        <w:t>not</w:t>
      </w:r>
      <w:r w:rsidRPr="00EE41FA" w:rsidR="00537020">
        <w:rPr>
          <w:rFonts w:ascii="Times New Roman" w:hAnsi="Times New Roman" w:cs="Times New Roman"/>
          <w:sz w:val="24"/>
          <w:szCs w:val="24"/>
        </w:rPr>
        <w:t xml:space="preserve"> responded by week 23</w:t>
      </w:r>
      <w:r w:rsidR="00E557ED">
        <w:rPr>
          <w:rFonts w:ascii="Times New Roman" w:hAnsi="Times New Roman" w:cs="Times New Roman"/>
          <w:sz w:val="24"/>
          <w:szCs w:val="24"/>
        </w:rPr>
        <w:t>,</w:t>
      </w:r>
      <w:r w:rsidRPr="00EE41FA" w:rsidR="00537020">
        <w:rPr>
          <w:rFonts w:ascii="Times New Roman" w:hAnsi="Times New Roman" w:cs="Times New Roman"/>
          <w:sz w:val="24"/>
          <w:szCs w:val="24"/>
        </w:rPr>
        <w:t xml:space="preserve"> </w:t>
      </w:r>
      <w:r w:rsidRPr="00EE41FA" w:rsidR="00BC7453">
        <w:rPr>
          <w:rFonts w:ascii="Times New Roman" w:hAnsi="Times New Roman" w:cs="Times New Roman"/>
          <w:sz w:val="24"/>
          <w:szCs w:val="24"/>
        </w:rPr>
        <w:t xml:space="preserve">to determine the incremental effect of the </w:t>
      </w:r>
      <w:r w:rsidR="00F546E5">
        <w:rPr>
          <w:rFonts w:ascii="Times New Roman" w:hAnsi="Times New Roman" w:cs="Times New Roman"/>
          <w:sz w:val="24"/>
          <w:szCs w:val="24"/>
        </w:rPr>
        <w:t>late-stage</w:t>
      </w:r>
      <w:r w:rsidRPr="00EE41FA" w:rsidR="00A75C55">
        <w:rPr>
          <w:rFonts w:ascii="Times New Roman" w:hAnsi="Times New Roman" w:cs="Times New Roman"/>
          <w:sz w:val="24"/>
          <w:szCs w:val="24"/>
        </w:rPr>
        <w:t xml:space="preserve"> incentive. </w:t>
      </w:r>
      <w:r w:rsidRPr="00EE41FA" w:rsidR="005F1C20">
        <w:rPr>
          <w:rFonts w:ascii="Times New Roman" w:hAnsi="Times New Roman" w:cs="Times New Roman"/>
          <w:sz w:val="24"/>
          <w:szCs w:val="24"/>
        </w:rPr>
        <w:t xml:space="preserve">For these comparisons, </w:t>
      </w:r>
      <w:r w:rsidRPr="00EE41FA" w:rsidR="005C3933">
        <w:rPr>
          <w:rFonts w:ascii="Times New Roman" w:hAnsi="Times New Roman" w:cs="Times New Roman"/>
          <w:sz w:val="24"/>
          <w:szCs w:val="24"/>
        </w:rPr>
        <w:t>it was assumed</w:t>
      </w:r>
      <w:r w:rsidRPr="00EE41FA" w:rsidR="00366417">
        <w:rPr>
          <w:rFonts w:ascii="Times New Roman" w:hAnsi="Times New Roman" w:cs="Times New Roman"/>
          <w:sz w:val="24"/>
          <w:szCs w:val="24"/>
        </w:rPr>
        <w:t xml:space="preserve">, </w:t>
      </w:r>
      <w:r w:rsidRPr="00EE41FA" w:rsidR="00707284">
        <w:rPr>
          <w:rFonts w:ascii="Times New Roman" w:hAnsi="Times New Roman" w:cs="Times New Roman"/>
          <w:sz w:val="24"/>
          <w:szCs w:val="24"/>
        </w:rPr>
        <w:t>again based on the experience of the NSCG,</w:t>
      </w:r>
      <w:r w:rsidRPr="00EE41FA" w:rsidR="005C3933">
        <w:rPr>
          <w:rFonts w:ascii="Times New Roman" w:hAnsi="Times New Roman" w:cs="Times New Roman"/>
          <w:sz w:val="24"/>
          <w:szCs w:val="24"/>
        </w:rPr>
        <w:t xml:space="preserve"> that 90 percent of </w:t>
      </w:r>
      <w:r w:rsidRPr="00EE41FA" w:rsidR="00E048B0">
        <w:rPr>
          <w:rFonts w:ascii="Times New Roman" w:hAnsi="Times New Roman" w:cs="Times New Roman"/>
          <w:sz w:val="24"/>
          <w:szCs w:val="24"/>
        </w:rPr>
        <w:t>respon</w:t>
      </w:r>
      <w:r w:rsidRPr="00EE41FA" w:rsidR="00B261FF">
        <w:rPr>
          <w:rFonts w:ascii="Times New Roman" w:hAnsi="Times New Roman" w:cs="Times New Roman"/>
          <w:sz w:val="24"/>
          <w:szCs w:val="24"/>
        </w:rPr>
        <w:t xml:space="preserve">dents will complete the NTEWS in the first 22 weeks of </w:t>
      </w:r>
      <w:r w:rsidRPr="00EE41FA" w:rsidR="000C44D9">
        <w:rPr>
          <w:rFonts w:ascii="Times New Roman" w:hAnsi="Times New Roman" w:cs="Times New Roman"/>
          <w:sz w:val="24"/>
          <w:szCs w:val="24"/>
        </w:rPr>
        <w:t xml:space="preserve">the collection. </w:t>
      </w:r>
    </w:p>
    <w:p w:rsidR="00FC1FE5" w:rsidP="001F67A1" w:rsidRDefault="00FC1FE5" w14:paraId="022F0FC1" w14:textId="77777777">
      <w:pPr>
        <w:rPr>
          <w:rFonts w:ascii="Times New Roman" w:hAnsi="Times New Roman" w:cs="Times New Roman"/>
          <w:i/>
          <w:sz w:val="24"/>
          <w:szCs w:val="24"/>
        </w:rPr>
      </w:pPr>
    </w:p>
    <w:p w:rsidRPr="00EE41FA" w:rsidR="00030699" w:rsidP="001F67A1" w:rsidRDefault="00935D00" w14:paraId="57B08600" w14:textId="2D21BBD1">
      <w:pPr>
        <w:rPr>
          <w:rFonts w:ascii="Times New Roman" w:hAnsi="Times New Roman" w:cs="Times New Roman"/>
          <w:sz w:val="24"/>
          <w:szCs w:val="24"/>
        </w:rPr>
      </w:pPr>
      <w:r>
        <w:rPr>
          <w:rFonts w:ascii="Times New Roman" w:hAnsi="Times New Roman" w:cs="Times New Roman"/>
          <w:i/>
          <w:sz w:val="24"/>
          <w:szCs w:val="24"/>
        </w:rPr>
        <w:lastRenderedPageBreak/>
        <w:t xml:space="preserve">2.3. </w:t>
      </w:r>
      <w:r w:rsidRPr="00EE41FA" w:rsidR="00030699">
        <w:rPr>
          <w:rFonts w:ascii="Times New Roman" w:hAnsi="Times New Roman" w:cs="Times New Roman"/>
          <w:i/>
          <w:sz w:val="24"/>
          <w:szCs w:val="24"/>
        </w:rPr>
        <w:t>Results</w:t>
      </w:r>
    </w:p>
    <w:p w:rsidRPr="0057488C" w:rsidR="00030699" w:rsidP="001F67A1" w:rsidRDefault="00780C43" w14:paraId="1000C61D" w14:textId="07E60892">
      <w:pPr>
        <w:rPr>
          <w:rFonts w:ascii="Times New Roman" w:hAnsi="Times New Roman" w:cs="Times New Roman"/>
          <w:sz w:val="24"/>
          <w:szCs w:val="24"/>
        </w:rPr>
      </w:pPr>
      <w:r>
        <w:rPr>
          <w:rFonts w:ascii="Times New Roman" w:hAnsi="Times New Roman" w:cs="Times New Roman"/>
          <w:sz w:val="24"/>
          <w:szCs w:val="24"/>
        </w:rPr>
        <w:t xml:space="preserve">Table </w:t>
      </w:r>
      <w:r w:rsidRPr="0057488C" w:rsidR="0057488C">
        <w:rPr>
          <w:rFonts w:ascii="Times New Roman" w:hAnsi="Times New Roman" w:cs="Times New Roman"/>
          <w:sz w:val="24"/>
          <w:szCs w:val="24"/>
        </w:rPr>
        <w:t>L</w:t>
      </w:r>
      <w:r w:rsidRPr="0057488C">
        <w:rPr>
          <w:rFonts w:ascii="Times New Roman" w:hAnsi="Times New Roman" w:cs="Times New Roman"/>
          <w:sz w:val="24"/>
          <w:szCs w:val="24"/>
        </w:rPr>
        <w:t xml:space="preserve">.1 </w:t>
      </w:r>
      <w:r w:rsidR="00F26764">
        <w:rPr>
          <w:rFonts w:ascii="Times New Roman" w:hAnsi="Times New Roman" w:cs="Times New Roman"/>
          <w:sz w:val="24"/>
          <w:szCs w:val="24"/>
        </w:rPr>
        <w:t xml:space="preserve">on page 7 </w:t>
      </w:r>
      <w:r w:rsidRPr="0057488C">
        <w:rPr>
          <w:rFonts w:ascii="Times New Roman" w:hAnsi="Times New Roman" w:cs="Times New Roman"/>
          <w:sz w:val="24"/>
          <w:szCs w:val="24"/>
        </w:rPr>
        <w:t>shows detectable differences, in percentage point terms, for main effect comparisons between any two contact</w:t>
      </w:r>
      <w:r w:rsidRPr="0057488C" w:rsidR="00F840FF">
        <w:rPr>
          <w:rFonts w:ascii="Times New Roman" w:hAnsi="Times New Roman" w:cs="Times New Roman"/>
          <w:sz w:val="24"/>
          <w:szCs w:val="24"/>
        </w:rPr>
        <w:t>-</w:t>
      </w:r>
      <w:r w:rsidRPr="0057488C">
        <w:rPr>
          <w:rFonts w:ascii="Times New Roman" w:hAnsi="Times New Roman" w:cs="Times New Roman"/>
          <w:sz w:val="24"/>
          <w:szCs w:val="24"/>
        </w:rPr>
        <w:t>strategy treatments</w:t>
      </w:r>
      <w:r w:rsidRPr="0057488C" w:rsidR="003F4C0D">
        <w:rPr>
          <w:rFonts w:ascii="Times New Roman" w:hAnsi="Times New Roman" w:cs="Times New Roman"/>
          <w:sz w:val="24"/>
          <w:szCs w:val="24"/>
        </w:rPr>
        <w:t>, from power analyses using the assumptions</w:t>
      </w:r>
      <w:r w:rsidRPr="0057488C" w:rsidR="005E17C8">
        <w:rPr>
          <w:rFonts w:ascii="Times New Roman" w:hAnsi="Times New Roman" w:cs="Times New Roman"/>
          <w:sz w:val="24"/>
          <w:szCs w:val="24"/>
        </w:rPr>
        <w:t xml:space="preserve"> described</w:t>
      </w:r>
      <w:r w:rsidRPr="0057488C" w:rsidR="003F4C0D">
        <w:rPr>
          <w:rFonts w:ascii="Times New Roman" w:hAnsi="Times New Roman" w:cs="Times New Roman"/>
          <w:sz w:val="24"/>
          <w:szCs w:val="24"/>
        </w:rPr>
        <w:t xml:space="preserve"> above</w:t>
      </w:r>
      <w:r w:rsidRPr="0057488C" w:rsidR="00345577">
        <w:rPr>
          <w:rFonts w:ascii="Times New Roman" w:hAnsi="Times New Roman" w:cs="Times New Roman"/>
          <w:sz w:val="24"/>
          <w:szCs w:val="24"/>
        </w:rPr>
        <w:t xml:space="preserve"> and a significance level of 0.05</w:t>
      </w:r>
      <w:r w:rsidRPr="0057488C">
        <w:rPr>
          <w:rFonts w:ascii="Times New Roman" w:hAnsi="Times New Roman" w:cs="Times New Roman"/>
          <w:sz w:val="24"/>
          <w:szCs w:val="24"/>
        </w:rPr>
        <w:t>.</w:t>
      </w:r>
      <w:r w:rsidRPr="0057488C" w:rsidR="00C16A09">
        <w:rPr>
          <w:rFonts w:ascii="Times New Roman" w:hAnsi="Times New Roman" w:cs="Times New Roman"/>
          <w:sz w:val="24"/>
          <w:szCs w:val="24"/>
        </w:rPr>
        <w:t xml:space="preserve"> Table </w:t>
      </w:r>
      <w:r w:rsidRPr="0057488C" w:rsidR="0057488C">
        <w:rPr>
          <w:rFonts w:ascii="Times New Roman" w:hAnsi="Times New Roman" w:cs="Times New Roman"/>
          <w:sz w:val="24"/>
          <w:szCs w:val="24"/>
        </w:rPr>
        <w:t>L.</w:t>
      </w:r>
      <w:r w:rsidRPr="0057488C" w:rsidR="00C16A09">
        <w:rPr>
          <w:rFonts w:ascii="Times New Roman" w:hAnsi="Times New Roman" w:cs="Times New Roman"/>
          <w:sz w:val="24"/>
          <w:szCs w:val="24"/>
        </w:rPr>
        <w:t>2</w:t>
      </w:r>
      <w:r w:rsidR="00F26764">
        <w:rPr>
          <w:rFonts w:ascii="Times New Roman" w:hAnsi="Times New Roman" w:cs="Times New Roman"/>
          <w:sz w:val="24"/>
          <w:szCs w:val="24"/>
        </w:rPr>
        <w:t xml:space="preserve"> on page 8</w:t>
      </w:r>
      <w:r w:rsidRPr="0057488C" w:rsidR="00C16A09">
        <w:rPr>
          <w:rFonts w:ascii="Times New Roman" w:hAnsi="Times New Roman" w:cs="Times New Roman"/>
          <w:sz w:val="24"/>
          <w:szCs w:val="24"/>
        </w:rPr>
        <w:t xml:space="preserve"> shows the same for main effect comparisons </w:t>
      </w:r>
      <w:r w:rsidRPr="0057488C" w:rsidR="002E4BA8">
        <w:rPr>
          <w:rFonts w:ascii="Times New Roman" w:hAnsi="Times New Roman" w:cs="Times New Roman"/>
          <w:sz w:val="24"/>
          <w:szCs w:val="24"/>
        </w:rPr>
        <w:t>between any two noncontingent</w:t>
      </w:r>
      <w:r w:rsidRPr="0057488C" w:rsidR="003819D8">
        <w:rPr>
          <w:rFonts w:ascii="Times New Roman" w:hAnsi="Times New Roman" w:cs="Times New Roman"/>
          <w:sz w:val="24"/>
          <w:szCs w:val="24"/>
        </w:rPr>
        <w:t>-</w:t>
      </w:r>
      <w:r w:rsidRPr="0057488C" w:rsidR="002E4BA8">
        <w:rPr>
          <w:rFonts w:ascii="Times New Roman" w:hAnsi="Times New Roman" w:cs="Times New Roman"/>
          <w:sz w:val="24"/>
          <w:szCs w:val="24"/>
        </w:rPr>
        <w:t>incentive treatments</w:t>
      </w:r>
      <w:r w:rsidRPr="0057488C" w:rsidR="00345577">
        <w:rPr>
          <w:rFonts w:ascii="Times New Roman" w:hAnsi="Times New Roman" w:cs="Times New Roman"/>
          <w:sz w:val="24"/>
          <w:szCs w:val="24"/>
        </w:rPr>
        <w:t>, again with a significance level of 0.05</w:t>
      </w:r>
      <w:r w:rsidRPr="0057488C" w:rsidR="002E4BA8">
        <w:rPr>
          <w:rFonts w:ascii="Times New Roman" w:hAnsi="Times New Roman" w:cs="Times New Roman"/>
          <w:sz w:val="24"/>
          <w:szCs w:val="24"/>
        </w:rPr>
        <w:t>.</w:t>
      </w:r>
    </w:p>
    <w:p w:rsidR="00345577" w:rsidP="00615274" w:rsidRDefault="00345577" w14:paraId="7A7072A6" w14:textId="0B7BB5D3">
      <w:pPr>
        <w:rPr>
          <w:rFonts w:ascii="Times New Roman" w:hAnsi="Times New Roman" w:cs="Times New Roman"/>
          <w:bCs/>
          <w:sz w:val="24"/>
          <w:szCs w:val="24"/>
        </w:rPr>
      </w:pPr>
      <w:r>
        <w:rPr>
          <w:rFonts w:ascii="Times New Roman" w:hAnsi="Times New Roman" w:cs="Times New Roman"/>
          <w:bCs/>
          <w:sz w:val="24"/>
          <w:szCs w:val="24"/>
        </w:rPr>
        <w:t xml:space="preserve">Tables </w:t>
      </w:r>
      <w:r w:rsidR="0057488C">
        <w:rPr>
          <w:rFonts w:ascii="Times New Roman" w:hAnsi="Times New Roman" w:cs="Times New Roman"/>
          <w:bCs/>
          <w:sz w:val="24"/>
          <w:szCs w:val="24"/>
        </w:rPr>
        <w:t>L</w:t>
      </w:r>
      <w:r>
        <w:rPr>
          <w:rFonts w:ascii="Times New Roman" w:hAnsi="Times New Roman" w:cs="Times New Roman"/>
          <w:bCs/>
          <w:sz w:val="24"/>
          <w:szCs w:val="24"/>
        </w:rPr>
        <w:t xml:space="preserve">.3 and </w:t>
      </w:r>
      <w:r w:rsidR="0057488C">
        <w:rPr>
          <w:rFonts w:ascii="Times New Roman" w:hAnsi="Times New Roman" w:cs="Times New Roman"/>
          <w:bCs/>
          <w:sz w:val="24"/>
          <w:szCs w:val="24"/>
        </w:rPr>
        <w:t>L</w:t>
      </w:r>
      <w:r>
        <w:rPr>
          <w:rFonts w:ascii="Times New Roman" w:hAnsi="Times New Roman" w:cs="Times New Roman"/>
          <w:bCs/>
          <w:sz w:val="24"/>
          <w:szCs w:val="24"/>
        </w:rPr>
        <w:t xml:space="preserve">.4 </w:t>
      </w:r>
      <w:r w:rsidR="00F26764">
        <w:rPr>
          <w:rFonts w:ascii="Times New Roman" w:hAnsi="Times New Roman" w:cs="Times New Roman"/>
          <w:bCs/>
          <w:sz w:val="24"/>
          <w:szCs w:val="24"/>
        </w:rPr>
        <w:t xml:space="preserve">(pages 9 and 10, respectively) </w:t>
      </w:r>
      <w:r>
        <w:rPr>
          <w:rFonts w:ascii="Times New Roman" w:hAnsi="Times New Roman" w:cs="Times New Roman"/>
          <w:bCs/>
          <w:sz w:val="24"/>
          <w:szCs w:val="24"/>
        </w:rPr>
        <w:t>show detectable differences for the contact-strategies and noncontingent-incentive experiments (respectively) assuming a significance level of 0.1.</w:t>
      </w:r>
    </w:p>
    <w:p w:rsidRPr="00475845" w:rsidR="00870616" w:rsidP="00615274" w:rsidRDefault="00870616" w14:paraId="32B8939F" w14:textId="77777777">
      <w:pPr>
        <w:rPr>
          <w:rFonts w:ascii="Times New Roman" w:hAnsi="Times New Roman" w:cs="Times New Roman"/>
          <w:bCs/>
          <w:sz w:val="24"/>
          <w:szCs w:val="24"/>
        </w:rPr>
      </w:pPr>
    </w:p>
    <w:p w:rsidRPr="00EE41FA" w:rsidR="00A05228" w:rsidP="00615274" w:rsidRDefault="00EE41FA" w14:paraId="446DE331" w14:textId="1F8E5751">
      <w:pPr>
        <w:rPr>
          <w:rFonts w:ascii="Times New Roman" w:hAnsi="Times New Roman" w:cs="Times New Roman"/>
          <w:sz w:val="24"/>
          <w:szCs w:val="24"/>
        </w:rPr>
      </w:pPr>
      <w:r>
        <w:rPr>
          <w:rFonts w:ascii="Times New Roman" w:hAnsi="Times New Roman" w:cs="Times New Roman"/>
          <w:b/>
          <w:sz w:val="24"/>
          <w:szCs w:val="24"/>
          <w:u w:val="single"/>
        </w:rPr>
        <w:t xml:space="preserve">3. </w:t>
      </w:r>
      <w:r w:rsidR="00FF5FBC">
        <w:rPr>
          <w:rFonts w:ascii="Times New Roman" w:hAnsi="Times New Roman" w:cs="Times New Roman"/>
          <w:b/>
          <w:sz w:val="24"/>
          <w:szCs w:val="24"/>
          <w:u w:val="single"/>
        </w:rPr>
        <w:t>A</w:t>
      </w:r>
      <w:r w:rsidRPr="00EE41FA" w:rsidR="0065115D">
        <w:rPr>
          <w:rFonts w:ascii="Times New Roman" w:hAnsi="Times New Roman" w:cs="Times New Roman"/>
          <w:b/>
          <w:sz w:val="24"/>
          <w:szCs w:val="24"/>
          <w:u w:val="single"/>
        </w:rPr>
        <w:t>nalysis for seeded sample</w:t>
      </w:r>
      <w:r w:rsidRPr="00EE41FA" w:rsidR="002E5E81">
        <w:rPr>
          <w:rFonts w:ascii="Times New Roman" w:hAnsi="Times New Roman" w:cs="Times New Roman"/>
          <w:sz w:val="24"/>
          <w:szCs w:val="24"/>
        </w:rPr>
        <w:t xml:space="preserve"> </w:t>
      </w:r>
    </w:p>
    <w:p w:rsidR="006E4F4C" w:rsidP="004B1454" w:rsidRDefault="002832E3" w14:paraId="5919A70D" w14:textId="4E3EBEC0">
      <w:pPr>
        <w:rPr>
          <w:rFonts w:ascii="Times New Roman" w:hAnsi="Times New Roman" w:cs="Times New Roman"/>
          <w:sz w:val="24"/>
          <w:szCs w:val="24"/>
        </w:rPr>
      </w:pPr>
      <w:r>
        <w:rPr>
          <w:rFonts w:ascii="Times New Roman" w:hAnsi="Times New Roman" w:cs="Times New Roman"/>
          <w:sz w:val="24"/>
          <w:szCs w:val="24"/>
        </w:rPr>
        <w:t xml:space="preserve">Because the </w:t>
      </w:r>
      <w:r w:rsidR="00670DF4">
        <w:rPr>
          <w:rFonts w:ascii="Times New Roman" w:hAnsi="Times New Roman" w:cs="Times New Roman"/>
          <w:sz w:val="24"/>
          <w:szCs w:val="24"/>
        </w:rPr>
        <w:t xml:space="preserve">1,000-person </w:t>
      </w:r>
      <w:r w:rsidR="0024702F">
        <w:rPr>
          <w:rFonts w:ascii="Times New Roman" w:hAnsi="Times New Roman" w:cs="Times New Roman"/>
          <w:sz w:val="24"/>
          <w:szCs w:val="24"/>
        </w:rPr>
        <w:t xml:space="preserve">seeded sample is </w:t>
      </w:r>
      <w:r w:rsidR="00985FBC">
        <w:rPr>
          <w:rFonts w:ascii="Times New Roman" w:hAnsi="Times New Roman" w:cs="Times New Roman"/>
          <w:sz w:val="24"/>
          <w:szCs w:val="24"/>
        </w:rPr>
        <w:t>not included in the</w:t>
      </w:r>
      <w:r w:rsidR="0024702F">
        <w:rPr>
          <w:rFonts w:ascii="Times New Roman" w:hAnsi="Times New Roman" w:cs="Times New Roman"/>
          <w:sz w:val="24"/>
          <w:szCs w:val="24"/>
        </w:rPr>
        <w:t xml:space="preserve"> </w:t>
      </w:r>
      <w:r>
        <w:rPr>
          <w:rFonts w:ascii="Times New Roman" w:hAnsi="Times New Roman" w:cs="Times New Roman"/>
          <w:sz w:val="24"/>
          <w:szCs w:val="24"/>
        </w:rPr>
        <w:t>methodological experiments</w:t>
      </w:r>
      <w:r w:rsidR="0024702F">
        <w:rPr>
          <w:rFonts w:ascii="Times New Roman" w:hAnsi="Times New Roman" w:cs="Times New Roman"/>
          <w:sz w:val="24"/>
          <w:szCs w:val="24"/>
        </w:rPr>
        <w:t>,</w:t>
      </w:r>
      <w:r>
        <w:rPr>
          <w:rFonts w:ascii="Times New Roman" w:hAnsi="Times New Roman" w:cs="Times New Roman"/>
          <w:sz w:val="24"/>
          <w:szCs w:val="24"/>
        </w:rPr>
        <w:t xml:space="preserve"> </w:t>
      </w:r>
      <w:r w:rsidR="00131A7B">
        <w:rPr>
          <w:rFonts w:ascii="Times New Roman" w:hAnsi="Times New Roman" w:cs="Times New Roman"/>
          <w:sz w:val="24"/>
          <w:szCs w:val="24"/>
        </w:rPr>
        <w:t xml:space="preserve">no experimental comparisons will be conducted within the seeded sample. </w:t>
      </w:r>
      <w:r w:rsidR="00C23F2F">
        <w:rPr>
          <w:rFonts w:ascii="Times New Roman" w:hAnsi="Times New Roman" w:cs="Times New Roman"/>
          <w:sz w:val="24"/>
          <w:szCs w:val="24"/>
        </w:rPr>
        <w:t xml:space="preserve">Rather, the primary </w:t>
      </w:r>
      <w:r w:rsidR="00806167">
        <w:rPr>
          <w:rFonts w:ascii="Times New Roman" w:hAnsi="Times New Roman" w:cs="Times New Roman"/>
          <w:sz w:val="24"/>
          <w:szCs w:val="24"/>
        </w:rPr>
        <w:t xml:space="preserve">statistical goal of the seeded sample is to estimate the </w:t>
      </w:r>
      <w:r w:rsidR="009D20A3">
        <w:rPr>
          <w:rFonts w:ascii="Times New Roman" w:hAnsi="Times New Roman" w:cs="Times New Roman"/>
          <w:sz w:val="24"/>
          <w:szCs w:val="24"/>
        </w:rPr>
        <w:t xml:space="preserve">percentage of </w:t>
      </w:r>
      <w:r w:rsidR="00887E34">
        <w:rPr>
          <w:rFonts w:ascii="Times New Roman" w:hAnsi="Times New Roman" w:cs="Times New Roman"/>
          <w:sz w:val="24"/>
          <w:szCs w:val="24"/>
        </w:rPr>
        <w:t xml:space="preserve">known postsecondary </w:t>
      </w:r>
      <w:r w:rsidR="00C3278A">
        <w:rPr>
          <w:rFonts w:ascii="Times New Roman" w:hAnsi="Times New Roman" w:cs="Times New Roman"/>
          <w:sz w:val="24"/>
          <w:szCs w:val="24"/>
        </w:rPr>
        <w:t>certificate holders</w:t>
      </w:r>
      <w:r w:rsidR="00D76AB9">
        <w:rPr>
          <w:rFonts w:ascii="Times New Roman" w:hAnsi="Times New Roman" w:cs="Times New Roman"/>
          <w:sz w:val="24"/>
          <w:szCs w:val="24"/>
        </w:rPr>
        <w:t xml:space="preserve"> who report that they </w:t>
      </w:r>
      <w:r w:rsidR="004B7EE2">
        <w:rPr>
          <w:rFonts w:ascii="Times New Roman" w:hAnsi="Times New Roman" w:cs="Times New Roman"/>
          <w:sz w:val="24"/>
          <w:szCs w:val="24"/>
        </w:rPr>
        <w:t xml:space="preserve">do </w:t>
      </w:r>
      <w:r w:rsidR="004B7EE2">
        <w:rPr>
          <w:rFonts w:ascii="Times New Roman" w:hAnsi="Times New Roman" w:cs="Times New Roman"/>
          <w:i/>
          <w:sz w:val="24"/>
          <w:szCs w:val="24"/>
        </w:rPr>
        <w:t>not</w:t>
      </w:r>
      <w:r w:rsidR="004B7EE2">
        <w:rPr>
          <w:rFonts w:ascii="Times New Roman" w:hAnsi="Times New Roman" w:cs="Times New Roman"/>
          <w:sz w:val="24"/>
          <w:szCs w:val="24"/>
        </w:rPr>
        <w:t xml:space="preserve"> hold a certificate</w:t>
      </w:r>
      <w:r w:rsidR="00D41EA6">
        <w:rPr>
          <w:rFonts w:ascii="Times New Roman" w:hAnsi="Times New Roman" w:cs="Times New Roman"/>
          <w:sz w:val="24"/>
          <w:szCs w:val="24"/>
        </w:rPr>
        <w:t xml:space="preserve"> (the certificate underreporting rate).</w:t>
      </w:r>
      <w:r w:rsidR="0089190C">
        <w:rPr>
          <w:rFonts w:ascii="Times New Roman" w:hAnsi="Times New Roman" w:cs="Times New Roman"/>
          <w:sz w:val="24"/>
          <w:szCs w:val="24"/>
        </w:rPr>
        <w:t xml:space="preserve"> </w:t>
      </w:r>
      <w:r w:rsidR="00AD15BE">
        <w:rPr>
          <w:rFonts w:ascii="Times New Roman" w:hAnsi="Times New Roman" w:cs="Times New Roman"/>
          <w:sz w:val="24"/>
          <w:szCs w:val="24"/>
        </w:rPr>
        <w:t xml:space="preserve">For this reason, </w:t>
      </w:r>
      <w:r w:rsidR="003220EC">
        <w:rPr>
          <w:rFonts w:ascii="Times New Roman" w:hAnsi="Times New Roman" w:cs="Times New Roman"/>
          <w:sz w:val="24"/>
          <w:szCs w:val="24"/>
        </w:rPr>
        <w:t xml:space="preserve">the size of the seeded sample was chosen </w:t>
      </w:r>
      <w:r w:rsidR="00E75F94">
        <w:rPr>
          <w:rFonts w:ascii="Times New Roman" w:hAnsi="Times New Roman" w:cs="Times New Roman"/>
          <w:sz w:val="24"/>
          <w:szCs w:val="24"/>
        </w:rPr>
        <w:t xml:space="preserve">to allow estimation of the certificate underreporting rate with </w:t>
      </w:r>
      <w:r w:rsidR="003E4D77">
        <w:rPr>
          <w:rFonts w:ascii="Times New Roman" w:hAnsi="Times New Roman" w:cs="Times New Roman"/>
          <w:sz w:val="24"/>
          <w:szCs w:val="24"/>
        </w:rPr>
        <w:t>an MOE</w:t>
      </w:r>
      <w:r w:rsidR="00E75F94">
        <w:rPr>
          <w:rFonts w:ascii="Times New Roman" w:hAnsi="Times New Roman" w:cs="Times New Roman"/>
          <w:sz w:val="24"/>
          <w:szCs w:val="24"/>
        </w:rPr>
        <w:t xml:space="preserve"> of </w:t>
      </w:r>
      <w:r w:rsidR="00EC27C6">
        <w:rPr>
          <w:rFonts w:ascii="Times New Roman" w:hAnsi="Times New Roman" w:cs="Times New Roman"/>
          <w:sz w:val="24"/>
          <w:szCs w:val="24"/>
        </w:rPr>
        <w:t xml:space="preserve">4 </w:t>
      </w:r>
      <w:r w:rsidR="00E75F94">
        <w:rPr>
          <w:rFonts w:ascii="Times New Roman" w:hAnsi="Times New Roman" w:cs="Times New Roman"/>
          <w:sz w:val="24"/>
          <w:szCs w:val="24"/>
        </w:rPr>
        <w:t>percentage points or below.</w:t>
      </w:r>
    </w:p>
    <w:p w:rsidR="000142AA" w:rsidP="004B1454" w:rsidRDefault="00A967DB" w14:paraId="7E48FF81" w14:textId="7B333955">
      <w:pPr>
        <w:rPr>
          <w:rFonts w:ascii="Times New Roman" w:hAnsi="Times New Roman" w:cs="Times New Roman"/>
          <w:sz w:val="24"/>
          <w:szCs w:val="24"/>
        </w:rPr>
      </w:pPr>
      <w:r>
        <w:rPr>
          <w:rFonts w:ascii="Times New Roman" w:hAnsi="Times New Roman" w:cs="Times New Roman"/>
          <w:sz w:val="24"/>
          <w:szCs w:val="24"/>
        </w:rPr>
        <w:t xml:space="preserve">The precision with which this </w:t>
      </w:r>
      <w:r w:rsidR="00757FB4">
        <w:rPr>
          <w:rFonts w:ascii="Times New Roman" w:hAnsi="Times New Roman" w:cs="Times New Roman"/>
          <w:sz w:val="24"/>
          <w:szCs w:val="24"/>
        </w:rPr>
        <w:t>rate</w:t>
      </w:r>
      <w:r>
        <w:rPr>
          <w:rFonts w:ascii="Times New Roman" w:hAnsi="Times New Roman" w:cs="Times New Roman"/>
          <w:sz w:val="24"/>
          <w:szCs w:val="24"/>
        </w:rPr>
        <w:t xml:space="preserve"> </w:t>
      </w:r>
      <w:r w:rsidR="007F61B2">
        <w:rPr>
          <w:rFonts w:ascii="Times New Roman" w:hAnsi="Times New Roman" w:cs="Times New Roman"/>
          <w:sz w:val="24"/>
          <w:szCs w:val="24"/>
        </w:rPr>
        <w:t xml:space="preserve">can be estimated will depend on </w:t>
      </w:r>
      <w:r w:rsidR="00D65283">
        <w:rPr>
          <w:rFonts w:ascii="Times New Roman" w:hAnsi="Times New Roman" w:cs="Times New Roman"/>
          <w:sz w:val="24"/>
          <w:szCs w:val="24"/>
        </w:rPr>
        <w:t xml:space="preserve">the response rate to the seeded sample. </w:t>
      </w:r>
      <w:r w:rsidR="00F4091C">
        <w:rPr>
          <w:rFonts w:ascii="Times New Roman" w:hAnsi="Times New Roman" w:cs="Times New Roman"/>
          <w:sz w:val="24"/>
          <w:szCs w:val="24"/>
        </w:rPr>
        <w:t xml:space="preserve">This response rate may differ from the 62.5 percent response rate assumed for </w:t>
      </w:r>
      <w:r w:rsidR="008E508C">
        <w:rPr>
          <w:rFonts w:ascii="Times New Roman" w:hAnsi="Times New Roman" w:cs="Times New Roman"/>
          <w:sz w:val="24"/>
          <w:szCs w:val="24"/>
        </w:rPr>
        <w:t xml:space="preserve">the </w:t>
      </w:r>
      <w:r w:rsidR="005E341B">
        <w:rPr>
          <w:rFonts w:ascii="Times New Roman" w:hAnsi="Times New Roman" w:cs="Times New Roman"/>
          <w:sz w:val="24"/>
          <w:szCs w:val="24"/>
        </w:rPr>
        <w:t>national sample</w:t>
      </w:r>
      <w:r w:rsidR="007377A5">
        <w:rPr>
          <w:rFonts w:ascii="Times New Roman" w:hAnsi="Times New Roman" w:cs="Times New Roman"/>
          <w:sz w:val="24"/>
          <w:szCs w:val="24"/>
        </w:rPr>
        <w:t>,</w:t>
      </w:r>
      <w:r w:rsidR="005E341B">
        <w:rPr>
          <w:rFonts w:ascii="Times New Roman" w:hAnsi="Times New Roman" w:cs="Times New Roman"/>
          <w:sz w:val="24"/>
          <w:szCs w:val="24"/>
        </w:rPr>
        <w:t xml:space="preserve"> because the seeded sample </w:t>
      </w:r>
      <w:r w:rsidR="00224D75">
        <w:rPr>
          <w:rFonts w:ascii="Times New Roman" w:hAnsi="Times New Roman" w:cs="Times New Roman"/>
          <w:sz w:val="24"/>
          <w:szCs w:val="24"/>
        </w:rPr>
        <w:t>will be</w:t>
      </w:r>
      <w:r w:rsidR="005E341B">
        <w:rPr>
          <w:rFonts w:ascii="Times New Roman" w:hAnsi="Times New Roman" w:cs="Times New Roman"/>
          <w:sz w:val="24"/>
          <w:szCs w:val="24"/>
        </w:rPr>
        <w:t xml:space="preserve"> drawn from a different </w:t>
      </w:r>
      <w:r w:rsidR="00D70F28">
        <w:rPr>
          <w:rFonts w:ascii="Times New Roman" w:hAnsi="Times New Roman" w:cs="Times New Roman"/>
          <w:sz w:val="24"/>
          <w:szCs w:val="24"/>
        </w:rPr>
        <w:t>frame</w:t>
      </w:r>
      <w:r w:rsidR="008165B9">
        <w:rPr>
          <w:rFonts w:ascii="Times New Roman" w:hAnsi="Times New Roman" w:cs="Times New Roman"/>
          <w:sz w:val="24"/>
          <w:szCs w:val="24"/>
        </w:rPr>
        <w:t xml:space="preserve"> (lists of </w:t>
      </w:r>
      <w:r w:rsidR="008420EF">
        <w:rPr>
          <w:rFonts w:ascii="Times New Roman" w:hAnsi="Times New Roman" w:cs="Times New Roman"/>
          <w:sz w:val="24"/>
          <w:szCs w:val="24"/>
        </w:rPr>
        <w:t xml:space="preserve">known certificate holders provided by </w:t>
      </w:r>
      <w:r w:rsidR="0092157B">
        <w:rPr>
          <w:rFonts w:ascii="Times New Roman" w:hAnsi="Times New Roman" w:cs="Times New Roman"/>
          <w:sz w:val="24"/>
          <w:szCs w:val="24"/>
        </w:rPr>
        <w:t xml:space="preserve">a convenience sample of </w:t>
      </w:r>
      <w:r w:rsidR="008D4A1E">
        <w:rPr>
          <w:rFonts w:ascii="Times New Roman" w:hAnsi="Times New Roman" w:cs="Times New Roman"/>
          <w:sz w:val="24"/>
          <w:szCs w:val="24"/>
        </w:rPr>
        <w:t>postsecondary institutions</w:t>
      </w:r>
      <w:r w:rsidR="0054194D">
        <w:rPr>
          <w:rFonts w:ascii="Times New Roman" w:hAnsi="Times New Roman" w:cs="Times New Roman"/>
          <w:sz w:val="24"/>
          <w:szCs w:val="24"/>
        </w:rPr>
        <w:t>)</w:t>
      </w:r>
      <w:r w:rsidR="00DD5A15">
        <w:rPr>
          <w:rFonts w:ascii="Times New Roman" w:hAnsi="Times New Roman" w:cs="Times New Roman"/>
          <w:sz w:val="24"/>
          <w:szCs w:val="24"/>
        </w:rPr>
        <w:t xml:space="preserve"> and will not be nationally representative</w:t>
      </w:r>
      <w:r w:rsidR="005E341B">
        <w:rPr>
          <w:rFonts w:ascii="Times New Roman" w:hAnsi="Times New Roman" w:cs="Times New Roman"/>
          <w:sz w:val="24"/>
          <w:szCs w:val="24"/>
        </w:rPr>
        <w:t>.</w:t>
      </w:r>
      <w:r w:rsidR="00451819">
        <w:rPr>
          <w:rStyle w:val="FootnoteReference"/>
          <w:rFonts w:ascii="Times New Roman" w:hAnsi="Times New Roman" w:cs="Times New Roman"/>
          <w:sz w:val="24"/>
          <w:szCs w:val="24"/>
        </w:rPr>
        <w:footnoteReference w:id="2"/>
      </w:r>
      <w:r w:rsidR="005E341B">
        <w:rPr>
          <w:rFonts w:ascii="Times New Roman" w:hAnsi="Times New Roman" w:cs="Times New Roman"/>
          <w:sz w:val="24"/>
          <w:szCs w:val="24"/>
        </w:rPr>
        <w:t xml:space="preserve"> </w:t>
      </w:r>
      <w:r w:rsidR="005E1663">
        <w:rPr>
          <w:rFonts w:ascii="Times New Roman" w:hAnsi="Times New Roman" w:cs="Times New Roman"/>
          <w:sz w:val="24"/>
          <w:szCs w:val="24"/>
        </w:rPr>
        <w:t xml:space="preserve">For the purpose of this calculation, </w:t>
      </w:r>
      <w:r w:rsidR="00397321">
        <w:rPr>
          <w:rFonts w:ascii="Times New Roman" w:hAnsi="Times New Roman" w:cs="Times New Roman"/>
          <w:sz w:val="24"/>
          <w:szCs w:val="24"/>
        </w:rPr>
        <w:t xml:space="preserve">a response rate of </w:t>
      </w:r>
      <w:r w:rsidR="008E6FA2">
        <w:rPr>
          <w:rFonts w:ascii="Times New Roman" w:hAnsi="Times New Roman" w:cs="Times New Roman"/>
          <w:sz w:val="24"/>
          <w:szCs w:val="24"/>
        </w:rPr>
        <w:t xml:space="preserve">60 </w:t>
      </w:r>
      <w:r w:rsidR="00A70A83">
        <w:rPr>
          <w:rFonts w:ascii="Times New Roman" w:hAnsi="Times New Roman" w:cs="Times New Roman"/>
          <w:sz w:val="24"/>
          <w:szCs w:val="24"/>
        </w:rPr>
        <w:t xml:space="preserve">percent </w:t>
      </w:r>
      <w:r w:rsidR="001256E0">
        <w:rPr>
          <w:rFonts w:ascii="Times New Roman" w:hAnsi="Times New Roman" w:cs="Times New Roman"/>
          <w:sz w:val="24"/>
          <w:szCs w:val="24"/>
        </w:rPr>
        <w:t xml:space="preserve">was assumed for the seeded sample. This </w:t>
      </w:r>
      <w:r w:rsidR="001C50D2">
        <w:rPr>
          <w:rFonts w:ascii="Times New Roman" w:hAnsi="Times New Roman" w:cs="Times New Roman"/>
          <w:sz w:val="24"/>
          <w:szCs w:val="24"/>
        </w:rPr>
        <w:t xml:space="preserve">implies </w:t>
      </w:r>
      <w:r w:rsidR="0068704E">
        <w:rPr>
          <w:rFonts w:ascii="Times New Roman" w:hAnsi="Times New Roman" w:cs="Times New Roman"/>
          <w:sz w:val="24"/>
          <w:szCs w:val="24"/>
        </w:rPr>
        <w:t xml:space="preserve">that the 1,000-person seeded sample would yield </w:t>
      </w:r>
      <w:r w:rsidR="009839F7">
        <w:rPr>
          <w:rFonts w:ascii="Times New Roman" w:hAnsi="Times New Roman" w:cs="Times New Roman"/>
          <w:sz w:val="24"/>
          <w:szCs w:val="24"/>
        </w:rPr>
        <w:t xml:space="preserve">about </w:t>
      </w:r>
      <w:r w:rsidR="008E6FA2">
        <w:rPr>
          <w:rFonts w:ascii="Times New Roman" w:hAnsi="Times New Roman" w:cs="Times New Roman"/>
          <w:sz w:val="24"/>
          <w:szCs w:val="24"/>
        </w:rPr>
        <w:t xml:space="preserve">600 </w:t>
      </w:r>
      <w:r w:rsidR="009839F7">
        <w:rPr>
          <w:rFonts w:ascii="Times New Roman" w:hAnsi="Times New Roman" w:cs="Times New Roman"/>
          <w:sz w:val="24"/>
          <w:szCs w:val="24"/>
        </w:rPr>
        <w:t>respondents.</w:t>
      </w:r>
      <w:r w:rsidR="000B5F42">
        <w:rPr>
          <w:rFonts w:ascii="Times New Roman" w:hAnsi="Times New Roman" w:cs="Times New Roman"/>
          <w:sz w:val="24"/>
          <w:szCs w:val="24"/>
        </w:rPr>
        <w:t xml:space="preserve"> Because </w:t>
      </w:r>
      <w:r w:rsidR="00505B0D">
        <w:rPr>
          <w:rFonts w:ascii="Times New Roman" w:hAnsi="Times New Roman" w:cs="Times New Roman"/>
          <w:sz w:val="24"/>
          <w:szCs w:val="24"/>
        </w:rPr>
        <w:t xml:space="preserve">weights will not be calculated </w:t>
      </w:r>
      <w:r w:rsidR="004B58D6">
        <w:rPr>
          <w:rFonts w:ascii="Times New Roman" w:hAnsi="Times New Roman" w:cs="Times New Roman"/>
          <w:sz w:val="24"/>
          <w:szCs w:val="24"/>
        </w:rPr>
        <w:t>for the seeded sample,</w:t>
      </w:r>
      <w:r w:rsidR="00C90F86">
        <w:rPr>
          <w:rFonts w:ascii="Times New Roman" w:hAnsi="Times New Roman" w:cs="Times New Roman"/>
          <w:sz w:val="24"/>
          <w:szCs w:val="24"/>
        </w:rPr>
        <w:t xml:space="preserve"> </w:t>
      </w:r>
      <w:r w:rsidR="00A64A5B">
        <w:rPr>
          <w:rFonts w:ascii="Times New Roman" w:hAnsi="Times New Roman" w:cs="Times New Roman"/>
          <w:sz w:val="24"/>
          <w:szCs w:val="24"/>
        </w:rPr>
        <w:t>there will be no design effect.</w:t>
      </w:r>
    </w:p>
    <w:p w:rsidR="002469D7" w:rsidP="00483675" w:rsidRDefault="00C70EC0" w14:paraId="26C87D52" w14:textId="7FFD2093">
      <w:pPr>
        <w:rPr>
          <w:rFonts w:ascii="Times New Roman" w:hAnsi="Times New Roman" w:cs="Times New Roman"/>
          <w:sz w:val="24"/>
          <w:szCs w:val="24"/>
        </w:rPr>
      </w:pPr>
      <w:r>
        <w:rPr>
          <w:rFonts w:ascii="Times New Roman" w:hAnsi="Times New Roman" w:cs="Times New Roman"/>
          <w:sz w:val="24"/>
          <w:szCs w:val="24"/>
        </w:rPr>
        <w:t>In the 2016</w:t>
      </w:r>
      <w:r w:rsidR="001C02C9">
        <w:rPr>
          <w:rFonts w:ascii="Times New Roman" w:hAnsi="Times New Roman" w:cs="Times New Roman"/>
          <w:sz w:val="24"/>
          <w:szCs w:val="24"/>
        </w:rPr>
        <w:t xml:space="preserve"> </w:t>
      </w:r>
      <w:r w:rsidR="001844CB">
        <w:rPr>
          <w:rFonts w:ascii="Times New Roman" w:hAnsi="Times New Roman" w:cs="Times New Roman"/>
          <w:sz w:val="24"/>
          <w:szCs w:val="24"/>
        </w:rPr>
        <w:t xml:space="preserve">ATES </w:t>
      </w:r>
      <w:r w:rsidR="001C02C9">
        <w:rPr>
          <w:rFonts w:ascii="Times New Roman" w:hAnsi="Times New Roman" w:cs="Times New Roman"/>
          <w:sz w:val="24"/>
          <w:szCs w:val="24"/>
        </w:rPr>
        <w:t>seeded</w:t>
      </w:r>
      <w:r>
        <w:rPr>
          <w:rFonts w:ascii="Times New Roman" w:hAnsi="Times New Roman" w:cs="Times New Roman"/>
          <w:sz w:val="24"/>
          <w:szCs w:val="24"/>
        </w:rPr>
        <w:t xml:space="preserve"> sample, an underreporting rate of close to 50 percent was observed. </w:t>
      </w:r>
      <w:r w:rsidR="008E6FA2">
        <w:rPr>
          <w:rFonts w:ascii="Times New Roman" w:hAnsi="Times New Roman" w:cs="Times New Roman"/>
          <w:sz w:val="24"/>
          <w:szCs w:val="24"/>
        </w:rPr>
        <w:t>Expecting</w:t>
      </w:r>
      <w:r w:rsidR="00FD183A">
        <w:rPr>
          <w:rFonts w:ascii="Times New Roman" w:hAnsi="Times New Roman" w:cs="Times New Roman"/>
          <w:sz w:val="24"/>
          <w:szCs w:val="24"/>
        </w:rPr>
        <w:t xml:space="preserve"> </w:t>
      </w:r>
      <w:r w:rsidR="008E6FA2">
        <w:rPr>
          <w:rFonts w:ascii="Times New Roman" w:hAnsi="Times New Roman" w:cs="Times New Roman"/>
          <w:sz w:val="24"/>
          <w:szCs w:val="24"/>
        </w:rPr>
        <w:t xml:space="preserve">600 </w:t>
      </w:r>
      <w:r>
        <w:rPr>
          <w:rFonts w:ascii="Times New Roman" w:hAnsi="Times New Roman" w:cs="Times New Roman"/>
          <w:sz w:val="24"/>
          <w:szCs w:val="24"/>
        </w:rPr>
        <w:t>respondents</w:t>
      </w:r>
      <w:r w:rsidR="00FD183A">
        <w:rPr>
          <w:rFonts w:ascii="Times New Roman" w:hAnsi="Times New Roman" w:cs="Times New Roman"/>
          <w:sz w:val="24"/>
          <w:szCs w:val="24"/>
        </w:rPr>
        <w:t>,</w:t>
      </w:r>
      <w:r w:rsidR="00917EE5">
        <w:rPr>
          <w:rFonts w:ascii="Times New Roman" w:hAnsi="Times New Roman" w:cs="Times New Roman"/>
          <w:sz w:val="24"/>
          <w:szCs w:val="24"/>
        </w:rPr>
        <w:t xml:space="preserve"> and </w:t>
      </w:r>
      <w:r w:rsidR="00FD183A">
        <w:rPr>
          <w:rFonts w:ascii="Times New Roman" w:hAnsi="Times New Roman" w:cs="Times New Roman"/>
          <w:sz w:val="24"/>
          <w:szCs w:val="24"/>
        </w:rPr>
        <w:t xml:space="preserve">having </w:t>
      </w:r>
      <w:r w:rsidR="00917EE5">
        <w:rPr>
          <w:rFonts w:ascii="Times New Roman" w:hAnsi="Times New Roman" w:cs="Times New Roman"/>
          <w:sz w:val="24"/>
          <w:szCs w:val="24"/>
        </w:rPr>
        <w:t>no design effect</w:t>
      </w:r>
      <w:r>
        <w:rPr>
          <w:rFonts w:ascii="Times New Roman" w:hAnsi="Times New Roman" w:cs="Times New Roman"/>
          <w:sz w:val="24"/>
          <w:szCs w:val="24"/>
        </w:rPr>
        <w:t xml:space="preserve">, </w:t>
      </w:r>
      <w:r w:rsidR="00FD183A">
        <w:rPr>
          <w:rFonts w:ascii="Times New Roman" w:hAnsi="Times New Roman" w:cs="Times New Roman"/>
          <w:sz w:val="24"/>
          <w:szCs w:val="24"/>
        </w:rPr>
        <w:t xml:space="preserve">NCSES and NCES estimate that </w:t>
      </w:r>
      <w:r>
        <w:rPr>
          <w:rFonts w:ascii="Times New Roman" w:hAnsi="Times New Roman" w:cs="Times New Roman"/>
          <w:sz w:val="24"/>
          <w:szCs w:val="24"/>
        </w:rPr>
        <w:t xml:space="preserve">the NTEWS seeded sample would </w:t>
      </w:r>
      <w:r w:rsidR="00285C6A">
        <w:rPr>
          <w:rFonts w:ascii="Times New Roman" w:hAnsi="Times New Roman" w:cs="Times New Roman"/>
          <w:sz w:val="24"/>
          <w:szCs w:val="24"/>
        </w:rPr>
        <w:t xml:space="preserve">estimate </w:t>
      </w:r>
      <w:r w:rsidR="00C06CB6">
        <w:rPr>
          <w:rFonts w:ascii="Times New Roman" w:hAnsi="Times New Roman" w:cs="Times New Roman"/>
          <w:sz w:val="24"/>
          <w:szCs w:val="24"/>
        </w:rPr>
        <w:t xml:space="preserve">a </w:t>
      </w:r>
      <w:r w:rsidR="007D065C">
        <w:rPr>
          <w:rFonts w:ascii="Times New Roman" w:hAnsi="Times New Roman" w:cs="Times New Roman"/>
          <w:sz w:val="24"/>
          <w:szCs w:val="24"/>
        </w:rPr>
        <w:t xml:space="preserve">50 percent underreporting rate with </w:t>
      </w:r>
      <w:r w:rsidR="00A53D54">
        <w:rPr>
          <w:rFonts w:ascii="Times New Roman" w:hAnsi="Times New Roman" w:cs="Times New Roman"/>
          <w:sz w:val="24"/>
          <w:szCs w:val="24"/>
        </w:rPr>
        <w:t>an MOE</w:t>
      </w:r>
      <w:r w:rsidR="007D065C">
        <w:rPr>
          <w:rFonts w:ascii="Times New Roman" w:hAnsi="Times New Roman" w:cs="Times New Roman"/>
          <w:sz w:val="24"/>
          <w:szCs w:val="24"/>
        </w:rPr>
        <w:t xml:space="preserve"> of about </w:t>
      </w:r>
      <w:r w:rsidR="008E6FA2">
        <w:rPr>
          <w:rFonts w:ascii="Times New Roman" w:hAnsi="Times New Roman" w:cs="Times New Roman"/>
          <w:sz w:val="24"/>
          <w:szCs w:val="24"/>
        </w:rPr>
        <w:t>4</w:t>
      </w:r>
      <w:r w:rsidR="007D065C">
        <w:rPr>
          <w:rFonts w:ascii="Times New Roman" w:hAnsi="Times New Roman" w:cs="Times New Roman"/>
          <w:sz w:val="24"/>
          <w:szCs w:val="24"/>
        </w:rPr>
        <w:t xml:space="preserve"> percentage points.</w:t>
      </w:r>
      <w:r w:rsidR="00C05D88">
        <w:rPr>
          <w:rFonts w:ascii="Times New Roman" w:hAnsi="Times New Roman" w:cs="Times New Roman"/>
          <w:sz w:val="24"/>
          <w:szCs w:val="24"/>
        </w:rPr>
        <w:t xml:space="preserve"> If in fact the </w:t>
      </w:r>
      <w:r w:rsidR="00546549">
        <w:rPr>
          <w:rFonts w:ascii="Times New Roman" w:hAnsi="Times New Roman" w:cs="Times New Roman"/>
          <w:sz w:val="24"/>
          <w:szCs w:val="24"/>
        </w:rPr>
        <w:t>underreporting rate with the revised certificate item is either greater than or less than 50 percent, the MOE will be lower.</w:t>
      </w:r>
      <w:r w:rsidR="007D065C">
        <w:rPr>
          <w:rFonts w:ascii="Times New Roman" w:hAnsi="Times New Roman" w:cs="Times New Roman"/>
          <w:sz w:val="24"/>
          <w:szCs w:val="24"/>
        </w:rPr>
        <w:t xml:space="preserve"> </w:t>
      </w:r>
    </w:p>
    <w:p w:rsidR="00F26764" w:rsidP="00483675" w:rsidRDefault="00F26764" w14:paraId="2CD79300" w14:textId="652F3A8B">
      <w:pPr>
        <w:rPr>
          <w:rFonts w:ascii="Times New Roman" w:hAnsi="Times New Roman" w:cs="Times New Roman"/>
          <w:sz w:val="24"/>
          <w:szCs w:val="24"/>
        </w:rPr>
      </w:pPr>
    </w:p>
    <w:p w:rsidR="00F26764" w:rsidP="00483675" w:rsidRDefault="00F26764" w14:paraId="4098143B" w14:textId="77777777">
      <w:pPr>
        <w:rPr>
          <w:rFonts w:ascii="Times New Roman" w:hAnsi="Times New Roman" w:cs="Times New Roman"/>
          <w:sz w:val="24"/>
          <w:szCs w:val="24"/>
        </w:rPr>
        <w:sectPr w:rsidR="00F26764" w:rsidSect="00827E4C">
          <w:pgSz w:w="12240" w:h="15840"/>
          <w:pgMar w:top="1440" w:right="1440" w:bottom="1440" w:left="1440" w:header="720" w:footer="720" w:gutter="0"/>
          <w:pgNumType w:start="1"/>
          <w:cols w:space="720"/>
          <w:docGrid w:linePitch="360"/>
        </w:sectPr>
      </w:pPr>
    </w:p>
    <w:tbl>
      <w:tblPr>
        <w:tblW w:w="11604" w:type="dxa"/>
        <w:jc w:val="center"/>
        <w:tblLook w:val="04A0" w:firstRow="1" w:lastRow="0" w:firstColumn="1" w:lastColumn="0" w:noHBand="0" w:noVBand="1"/>
      </w:tblPr>
      <w:tblGrid>
        <w:gridCol w:w="1350"/>
        <w:gridCol w:w="2230"/>
        <w:gridCol w:w="2791"/>
        <w:gridCol w:w="2791"/>
        <w:gridCol w:w="1341"/>
        <w:gridCol w:w="1121"/>
      </w:tblGrid>
      <w:tr w:rsidRPr="00DE54B0" w:rsidR="00F26764" w:rsidTr="004C1302" w14:paraId="70BF463B" w14:textId="77777777">
        <w:trPr>
          <w:trHeight w:val="315"/>
          <w:jc w:val="center"/>
        </w:trPr>
        <w:tc>
          <w:tcPr>
            <w:tcW w:w="1350" w:type="dxa"/>
            <w:tcBorders>
              <w:top w:val="nil"/>
              <w:left w:val="nil"/>
              <w:bottom w:val="single" w:color="auto" w:sz="12" w:space="0"/>
              <w:right w:val="nil"/>
            </w:tcBorders>
            <w:shd w:val="clear" w:color="auto" w:fill="auto"/>
            <w:noWrap/>
            <w:hideMark/>
          </w:tcPr>
          <w:p w:rsidRPr="0057488C" w:rsidR="00F26764" w:rsidP="004C1302" w:rsidRDefault="00F26764" w14:paraId="52B961F1" w14:textId="77777777">
            <w:pPr>
              <w:spacing w:after="0" w:line="240" w:lineRule="auto"/>
              <w:rPr>
                <w:rFonts w:ascii="Times New Roman" w:hAnsi="Times New Roman" w:eastAsia="Times New Roman" w:cs="Times New Roman"/>
                <w:color w:val="000000"/>
              </w:rPr>
            </w:pPr>
            <w:r w:rsidRPr="0057488C">
              <w:rPr>
                <w:rFonts w:ascii="Times New Roman" w:hAnsi="Times New Roman" w:eastAsia="Times New Roman" w:cs="Times New Roman"/>
                <w:color w:val="000000"/>
              </w:rPr>
              <w:lastRenderedPageBreak/>
              <w:t>Table L.1.</w:t>
            </w:r>
          </w:p>
        </w:tc>
        <w:tc>
          <w:tcPr>
            <w:tcW w:w="10254" w:type="dxa"/>
            <w:gridSpan w:val="5"/>
            <w:tcBorders>
              <w:top w:val="nil"/>
              <w:left w:val="nil"/>
              <w:bottom w:val="single" w:color="auto" w:sz="12" w:space="0"/>
              <w:right w:val="nil"/>
            </w:tcBorders>
          </w:tcPr>
          <w:p w:rsidRPr="00DE54B0" w:rsidR="00F26764" w:rsidP="004C1302" w:rsidRDefault="00F26764" w14:paraId="2CEF3B36" w14:textId="77777777">
            <w:pPr>
              <w:spacing w:after="0" w:line="240" w:lineRule="auto"/>
              <w:rPr>
                <w:rFonts w:ascii="Times New Roman" w:hAnsi="Times New Roman" w:eastAsia="Times New Roman" w:cs="Times New Roman"/>
                <w:color w:val="000000"/>
              </w:rPr>
            </w:pPr>
            <w:r w:rsidRPr="0057488C">
              <w:rPr>
                <w:rFonts w:ascii="Times New Roman" w:hAnsi="Times New Roman" w:eastAsia="Times New Roman" w:cs="Times New Roman"/>
                <w:color w:val="000000"/>
              </w:rPr>
              <w:t>Detectable differences for comparisons between any two contact-strategy treatments, 0.05 significance level</w:t>
            </w:r>
          </w:p>
        </w:tc>
      </w:tr>
      <w:tr w:rsidRPr="00DE54B0" w:rsidR="00F26764" w:rsidTr="004C1302" w14:paraId="005B1DF6" w14:textId="77777777">
        <w:trPr>
          <w:trHeight w:val="375"/>
          <w:jc w:val="center"/>
        </w:trPr>
        <w:tc>
          <w:tcPr>
            <w:tcW w:w="3580" w:type="dxa"/>
            <w:gridSpan w:val="2"/>
            <w:vMerge w:val="restart"/>
            <w:tcBorders>
              <w:top w:val="single" w:color="auto" w:sz="12" w:space="0"/>
              <w:left w:val="nil"/>
              <w:bottom w:val="single" w:color="auto" w:sz="4" w:space="0"/>
              <w:right w:val="nil"/>
            </w:tcBorders>
            <w:shd w:val="clear" w:color="auto" w:fill="auto"/>
            <w:noWrap/>
            <w:vAlign w:val="bottom"/>
          </w:tcPr>
          <w:p w:rsidRPr="00DE54B0" w:rsidR="00F26764" w:rsidP="004C1302" w:rsidRDefault="00F26764" w14:paraId="74F62770"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Parameter</w:t>
            </w:r>
          </w:p>
        </w:tc>
        <w:tc>
          <w:tcPr>
            <w:tcW w:w="2791" w:type="dxa"/>
            <w:vMerge w:val="restart"/>
            <w:tcBorders>
              <w:top w:val="single" w:color="auto" w:sz="12" w:space="0"/>
              <w:left w:val="nil"/>
              <w:bottom w:val="single" w:color="auto" w:sz="4" w:space="0"/>
              <w:right w:val="nil"/>
            </w:tcBorders>
            <w:shd w:val="clear" w:color="auto" w:fill="auto"/>
            <w:noWrap/>
            <w:vAlign w:val="bottom"/>
          </w:tcPr>
          <w:p w:rsidRPr="00DE54B0" w:rsidR="00F26764" w:rsidP="004C1302" w:rsidRDefault="00F26764" w14:paraId="2253E402"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Control group</w:t>
            </w:r>
          </w:p>
        </w:tc>
        <w:tc>
          <w:tcPr>
            <w:tcW w:w="2791" w:type="dxa"/>
            <w:vMerge w:val="restart"/>
            <w:tcBorders>
              <w:top w:val="single" w:color="auto" w:sz="12" w:space="0"/>
              <w:left w:val="nil"/>
              <w:bottom w:val="single" w:color="auto" w:sz="4" w:space="0"/>
              <w:right w:val="nil"/>
            </w:tcBorders>
            <w:shd w:val="clear" w:color="auto" w:fill="auto"/>
            <w:noWrap/>
            <w:vAlign w:val="bottom"/>
          </w:tcPr>
          <w:p w:rsidRPr="00DE54B0" w:rsidR="00F26764" w:rsidP="004C1302" w:rsidRDefault="00F26764" w14:paraId="075EDEFF"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Treatment group</w:t>
            </w:r>
          </w:p>
        </w:tc>
        <w:tc>
          <w:tcPr>
            <w:tcW w:w="2442" w:type="dxa"/>
            <w:gridSpan w:val="2"/>
            <w:tcBorders>
              <w:top w:val="single" w:color="auto" w:sz="12" w:space="0"/>
              <w:left w:val="nil"/>
              <w:bottom w:val="single" w:color="auto" w:sz="4" w:space="0"/>
              <w:right w:val="nil"/>
            </w:tcBorders>
          </w:tcPr>
          <w:p w:rsidRPr="00DE54B0" w:rsidR="00F26764" w:rsidP="004C1302" w:rsidRDefault="00F26764" w14:paraId="5D9D8DF0" w14:textId="77777777">
            <w:pPr>
              <w:spacing w:after="0" w:line="240" w:lineRule="auto"/>
              <w:jc w:val="center"/>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Detectable difference (percentage points)</w:t>
            </w:r>
          </w:p>
        </w:tc>
      </w:tr>
      <w:tr w:rsidRPr="00DE54B0" w:rsidR="00F26764" w:rsidTr="004C1302" w14:paraId="534E62D1" w14:textId="77777777">
        <w:trPr>
          <w:trHeight w:val="168"/>
          <w:jc w:val="center"/>
        </w:trPr>
        <w:tc>
          <w:tcPr>
            <w:tcW w:w="3580" w:type="dxa"/>
            <w:gridSpan w:val="2"/>
            <w:vMerge/>
            <w:tcBorders>
              <w:top w:val="single" w:color="auto" w:sz="4" w:space="0"/>
              <w:left w:val="nil"/>
              <w:bottom w:val="single" w:color="auto" w:sz="12" w:space="0"/>
              <w:right w:val="nil"/>
            </w:tcBorders>
            <w:shd w:val="clear" w:color="auto" w:fill="auto"/>
            <w:noWrap/>
            <w:vAlign w:val="bottom"/>
            <w:hideMark/>
          </w:tcPr>
          <w:p w:rsidRPr="00DE54B0" w:rsidR="00F26764" w:rsidP="004C1302" w:rsidRDefault="00F26764" w14:paraId="42991DD0" w14:textId="77777777">
            <w:pPr>
              <w:spacing w:after="0" w:line="240" w:lineRule="auto"/>
              <w:rPr>
                <w:rFonts w:ascii="Times New Roman" w:hAnsi="Times New Roman" w:eastAsia="Times New Roman" w:cs="Times New Roman"/>
                <w:b/>
                <w:bCs/>
                <w:color w:val="000000"/>
              </w:rPr>
            </w:pPr>
          </w:p>
        </w:tc>
        <w:tc>
          <w:tcPr>
            <w:tcW w:w="2791" w:type="dxa"/>
            <w:vMerge/>
            <w:tcBorders>
              <w:top w:val="single" w:color="auto" w:sz="4" w:space="0"/>
              <w:left w:val="nil"/>
              <w:bottom w:val="single" w:color="auto" w:sz="12" w:space="0"/>
              <w:right w:val="nil"/>
            </w:tcBorders>
            <w:shd w:val="clear" w:color="auto" w:fill="auto"/>
            <w:noWrap/>
            <w:vAlign w:val="bottom"/>
            <w:hideMark/>
          </w:tcPr>
          <w:p w:rsidRPr="00DE54B0" w:rsidR="00F26764" w:rsidP="004C1302" w:rsidRDefault="00F26764" w14:paraId="07199E4B" w14:textId="77777777">
            <w:pPr>
              <w:spacing w:after="0" w:line="240" w:lineRule="auto"/>
              <w:rPr>
                <w:rFonts w:ascii="Times New Roman" w:hAnsi="Times New Roman" w:eastAsia="Times New Roman" w:cs="Times New Roman"/>
                <w:b/>
                <w:bCs/>
                <w:color w:val="000000"/>
              </w:rPr>
            </w:pPr>
          </w:p>
        </w:tc>
        <w:tc>
          <w:tcPr>
            <w:tcW w:w="2791" w:type="dxa"/>
            <w:vMerge/>
            <w:tcBorders>
              <w:top w:val="single" w:color="auto" w:sz="4" w:space="0"/>
              <w:left w:val="nil"/>
              <w:bottom w:val="single" w:color="auto" w:sz="12" w:space="0"/>
              <w:right w:val="nil"/>
            </w:tcBorders>
            <w:shd w:val="clear" w:color="auto" w:fill="auto"/>
            <w:noWrap/>
            <w:vAlign w:val="bottom"/>
            <w:hideMark/>
          </w:tcPr>
          <w:p w:rsidRPr="00DE54B0" w:rsidR="00F26764" w:rsidP="004C1302" w:rsidRDefault="00F26764" w14:paraId="7CDA4A0E" w14:textId="77777777">
            <w:pPr>
              <w:spacing w:after="0" w:line="240" w:lineRule="auto"/>
              <w:rPr>
                <w:rFonts w:ascii="Times New Roman" w:hAnsi="Times New Roman" w:eastAsia="Times New Roman" w:cs="Times New Roman"/>
                <w:b/>
                <w:bCs/>
                <w:color w:val="000000"/>
              </w:rPr>
            </w:pPr>
          </w:p>
        </w:tc>
        <w:tc>
          <w:tcPr>
            <w:tcW w:w="1334" w:type="dxa"/>
            <w:tcBorders>
              <w:top w:val="single" w:color="auto" w:sz="4" w:space="0"/>
              <w:left w:val="nil"/>
              <w:bottom w:val="single" w:color="auto" w:sz="12" w:space="0"/>
              <w:right w:val="nil"/>
            </w:tcBorders>
            <w:vAlign w:val="bottom"/>
          </w:tcPr>
          <w:p w:rsidRPr="00DE54B0" w:rsidR="00F26764" w:rsidP="004C1302" w:rsidRDefault="00F26764" w14:paraId="5D57FEBC" w14:textId="77777777">
            <w:pPr>
              <w:spacing w:after="0" w:line="240" w:lineRule="auto"/>
              <w:jc w:val="right"/>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Unweighted</w:t>
            </w:r>
          </w:p>
        </w:tc>
        <w:tc>
          <w:tcPr>
            <w:tcW w:w="1108" w:type="dxa"/>
            <w:tcBorders>
              <w:top w:val="single" w:color="auto" w:sz="4" w:space="0"/>
              <w:left w:val="nil"/>
              <w:bottom w:val="single" w:color="auto" w:sz="12" w:space="0"/>
              <w:right w:val="nil"/>
            </w:tcBorders>
            <w:shd w:val="clear" w:color="auto" w:fill="auto"/>
            <w:vAlign w:val="bottom"/>
            <w:hideMark/>
          </w:tcPr>
          <w:p w:rsidRPr="00DE54B0" w:rsidR="00F26764" w:rsidP="004C1302" w:rsidRDefault="00F26764" w14:paraId="13D451AF" w14:textId="77777777">
            <w:pPr>
              <w:spacing w:after="0" w:line="240" w:lineRule="auto"/>
              <w:jc w:val="right"/>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Weighted</w:t>
            </w:r>
          </w:p>
        </w:tc>
      </w:tr>
      <w:tr w:rsidRPr="00DE54B0" w:rsidR="00F26764" w:rsidTr="004C1302" w14:paraId="218352A4" w14:textId="77777777">
        <w:trPr>
          <w:trHeight w:val="315"/>
          <w:jc w:val="center"/>
        </w:trPr>
        <w:tc>
          <w:tcPr>
            <w:tcW w:w="3580" w:type="dxa"/>
            <w:gridSpan w:val="2"/>
            <w:vMerge w:val="restart"/>
            <w:tcBorders>
              <w:top w:val="nil"/>
              <w:left w:val="nil"/>
              <w:bottom w:val="nil"/>
              <w:right w:val="nil"/>
            </w:tcBorders>
            <w:shd w:val="clear" w:color="auto" w:fill="auto"/>
            <w:noWrap/>
            <w:vAlign w:val="center"/>
            <w:hideMark/>
          </w:tcPr>
          <w:p w:rsidRPr="00DE54B0" w:rsidR="00F26764" w:rsidP="004C1302" w:rsidRDefault="00F26764" w14:paraId="0131C744"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Response rate</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6DB63F49"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03A6CD9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1334" w:type="dxa"/>
            <w:tcBorders>
              <w:top w:val="nil"/>
              <w:left w:val="nil"/>
              <w:bottom w:val="nil"/>
              <w:right w:val="nil"/>
            </w:tcBorders>
            <w:shd w:val="clear" w:color="auto" w:fill="auto"/>
            <w:vAlign w:val="center"/>
          </w:tcPr>
          <w:p w:rsidRPr="00642EDC" w:rsidR="00F26764" w:rsidP="004C1302" w:rsidRDefault="00F26764" w14:paraId="31298819"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2.0</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2156FF0D"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2.8</w:t>
            </w:r>
          </w:p>
        </w:tc>
      </w:tr>
      <w:tr w:rsidRPr="00DE54B0" w:rsidR="00F26764" w:rsidTr="004C1302" w14:paraId="39610578"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46062AE7"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75A8CB2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6785FB2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1334" w:type="dxa"/>
            <w:tcBorders>
              <w:top w:val="nil"/>
              <w:left w:val="nil"/>
              <w:bottom w:val="nil"/>
              <w:right w:val="nil"/>
            </w:tcBorders>
            <w:shd w:val="clear" w:color="auto" w:fill="auto"/>
            <w:vAlign w:val="center"/>
          </w:tcPr>
          <w:p w:rsidRPr="00642EDC" w:rsidR="00F26764" w:rsidP="004C1302" w:rsidRDefault="00F26764" w14:paraId="1A0096FB"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2.4</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23ACDB2D"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3.4</w:t>
            </w:r>
          </w:p>
        </w:tc>
      </w:tr>
      <w:tr w:rsidRPr="00DE54B0" w:rsidR="00F26764" w:rsidTr="004C1302" w14:paraId="5429EA35"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5A1BA84E"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72149EC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1C1B844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CHOICEPLUS</w:t>
            </w:r>
          </w:p>
        </w:tc>
        <w:tc>
          <w:tcPr>
            <w:tcW w:w="1334" w:type="dxa"/>
            <w:tcBorders>
              <w:top w:val="nil"/>
              <w:left w:val="nil"/>
              <w:bottom w:val="nil"/>
              <w:right w:val="nil"/>
            </w:tcBorders>
            <w:shd w:val="clear" w:color="auto" w:fill="auto"/>
            <w:vAlign w:val="center"/>
          </w:tcPr>
          <w:p w:rsidRPr="00642EDC" w:rsidR="00F26764" w:rsidP="004C1302" w:rsidRDefault="00F26764" w14:paraId="66AF08FC"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2.8</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63F8A049"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w:t>
            </w:r>
            <w:r w:rsidRPr="00DE54B0">
              <w:rPr>
                <w:rFonts w:ascii="Times New Roman" w:hAnsi="Times New Roman" w:eastAsia="Times New Roman" w:cs="Times New Roman"/>
                <w:color w:val="000000"/>
              </w:rPr>
              <w:t>.</w:t>
            </w:r>
            <w:r>
              <w:rPr>
                <w:rFonts w:ascii="Times New Roman" w:hAnsi="Times New Roman" w:eastAsia="Times New Roman" w:cs="Times New Roman"/>
                <w:color w:val="000000"/>
              </w:rPr>
              <w:t>9</w:t>
            </w:r>
          </w:p>
        </w:tc>
      </w:tr>
      <w:tr w:rsidRPr="00DE54B0" w:rsidR="00F26764" w:rsidTr="004C1302" w14:paraId="0DF82AED"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670ADD5A"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26DAA754"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2D520EFE"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34" w:type="dxa"/>
            <w:tcBorders>
              <w:top w:val="nil"/>
              <w:left w:val="nil"/>
              <w:bottom w:val="nil"/>
              <w:right w:val="nil"/>
            </w:tcBorders>
            <w:shd w:val="clear" w:color="auto" w:fill="auto"/>
            <w:vAlign w:val="center"/>
          </w:tcPr>
          <w:p w:rsidRPr="00642EDC" w:rsidR="00F26764" w:rsidP="004C1302" w:rsidRDefault="00F26764" w14:paraId="4015F912"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2.5</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2600F65E"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3.5</w:t>
            </w:r>
          </w:p>
        </w:tc>
      </w:tr>
      <w:tr w:rsidRPr="00DE54B0" w:rsidR="00F26764" w:rsidTr="004C1302" w14:paraId="66F1EDAA"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0493711C"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2766FCB1"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34F8CAA6"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34" w:type="dxa"/>
            <w:tcBorders>
              <w:top w:val="nil"/>
              <w:left w:val="nil"/>
              <w:bottom w:val="nil"/>
              <w:right w:val="nil"/>
            </w:tcBorders>
            <w:shd w:val="clear" w:color="auto" w:fill="auto"/>
            <w:vAlign w:val="center"/>
          </w:tcPr>
          <w:p w:rsidRPr="00642EDC" w:rsidR="00F26764" w:rsidP="004C1302" w:rsidRDefault="00F26764" w14:paraId="47830C8F"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2.9</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0985A404" w14:textId="77777777">
            <w:pPr>
              <w:spacing w:after="0" w:line="240" w:lineRule="auto"/>
              <w:jc w:val="right"/>
              <w:rPr>
                <w:rFonts w:ascii="Times New Roman" w:hAnsi="Times New Roman" w:eastAsia="Times New Roman" w:cs="Times New Roman"/>
                <w:color w:val="000000"/>
              </w:rPr>
            </w:pPr>
            <w:r w:rsidRPr="00DE54B0">
              <w:rPr>
                <w:rFonts w:ascii="Times New Roman" w:hAnsi="Times New Roman" w:eastAsia="Times New Roman" w:cs="Times New Roman"/>
                <w:color w:val="000000"/>
              </w:rPr>
              <w:t>4.</w:t>
            </w:r>
            <w:r>
              <w:rPr>
                <w:rFonts w:ascii="Times New Roman" w:hAnsi="Times New Roman" w:eastAsia="Times New Roman" w:cs="Times New Roman"/>
                <w:color w:val="000000"/>
              </w:rPr>
              <w:t>0</w:t>
            </w:r>
          </w:p>
        </w:tc>
      </w:tr>
      <w:tr w:rsidRPr="00DE54B0" w:rsidR="00F26764" w:rsidTr="004C1302" w14:paraId="5C2DCD86" w14:textId="77777777">
        <w:trPr>
          <w:trHeight w:val="300"/>
          <w:jc w:val="center"/>
        </w:trPr>
        <w:tc>
          <w:tcPr>
            <w:tcW w:w="3580" w:type="dxa"/>
            <w:gridSpan w:val="2"/>
            <w:vMerge w:val="restart"/>
            <w:tcBorders>
              <w:top w:val="dashed" w:color="auto" w:sz="4" w:space="0"/>
              <w:left w:val="nil"/>
              <w:bottom w:val="dashed" w:color="000000" w:sz="4" w:space="0"/>
              <w:right w:val="nil"/>
            </w:tcBorders>
            <w:shd w:val="clear" w:color="auto" w:fill="auto"/>
            <w:noWrap/>
            <w:vAlign w:val="center"/>
            <w:hideMark/>
          </w:tcPr>
          <w:p w:rsidRPr="00DE54B0" w:rsidR="00F26764" w:rsidP="004C1302" w:rsidRDefault="00F26764" w14:paraId="6A37862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Response rate within 25% subgroup</w:t>
            </w:r>
          </w:p>
        </w:tc>
        <w:tc>
          <w:tcPr>
            <w:tcW w:w="2791" w:type="dxa"/>
            <w:tcBorders>
              <w:top w:val="dashed" w:color="auto" w:sz="4" w:space="0"/>
              <w:left w:val="nil"/>
              <w:bottom w:val="nil"/>
              <w:right w:val="nil"/>
            </w:tcBorders>
            <w:shd w:val="clear" w:color="auto" w:fill="auto"/>
            <w:noWrap/>
            <w:vAlign w:val="bottom"/>
            <w:hideMark/>
          </w:tcPr>
          <w:p w:rsidRPr="00DE54B0" w:rsidR="00F26764" w:rsidP="004C1302" w:rsidRDefault="00F26764" w14:paraId="6F222F27"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dashed" w:color="auto" w:sz="4" w:space="0"/>
              <w:left w:val="nil"/>
              <w:bottom w:val="nil"/>
              <w:right w:val="nil"/>
            </w:tcBorders>
            <w:shd w:val="clear" w:color="auto" w:fill="auto"/>
            <w:noWrap/>
            <w:vAlign w:val="bottom"/>
            <w:hideMark/>
          </w:tcPr>
          <w:p w:rsidRPr="00DE54B0" w:rsidR="00F26764" w:rsidP="004C1302" w:rsidRDefault="00F26764" w14:paraId="0D77D2B9"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1334" w:type="dxa"/>
            <w:tcBorders>
              <w:top w:val="dashed" w:color="auto" w:sz="4" w:space="0"/>
              <w:left w:val="nil"/>
              <w:bottom w:val="nil"/>
              <w:right w:val="nil"/>
            </w:tcBorders>
            <w:shd w:val="clear" w:color="auto" w:fill="auto"/>
            <w:vAlign w:val="center"/>
          </w:tcPr>
          <w:p w:rsidRPr="00642EDC" w:rsidR="00F26764" w:rsidP="004C1302" w:rsidRDefault="00F26764" w14:paraId="48DBB7E2"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3.9</w:t>
            </w:r>
          </w:p>
        </w:tc>
        <w:tc>
          <w:tcPr>
            <w:tcW w:w="1108" w:type="dxa"/>
            <w:tcBorders>
              <w:top w:val="dashed" w:color="auto" w:sz="4" w:space="0"/>
              <w:left w:val="nil"/>
              <w:bottom w:val="nil"/>
              <w:right w:val="nil"/>
            </w:tcBorders>
            <w:shd w:val="clear" w:color="auto" w:fill="auto"/>
            <w:noWrap/>
            <w:vAlign w:val="center"/>
            <w:hideMark/>
          </w:tcPr>
          <w:p w:rsidRPr="00DE54B0" w:rsidR="00F26764" w:rsidP="004C1302" w:rsidRDefault="00F26764" w14:paraId="302A272E"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5.6</w:t>
            </w:r>
          </w:p>
        </w:tc>
      </w:tr>
      <w:tr w:rsidRPr="00DE54B0" w:rsidR="00F26764" w:rsidTr="004C1302" w14:paraId="5DB97976" w14:textId="77777777">
        <w:trPr>
          <w:trHeight w:val="300"/>
          <w:jc w:val="center"/>
        </w:trPr>
        <w:tc>
          <w:tcPr>
            <w:tcW w:w="3580" w:type="dxa"/>
            <w:gridSpan w:val="2"/>
            <w:vMerge/>
            <w:tcBorders>
              <w:top w:val="dashed" w:color="auto" w:sz="4" w:space="0"/>
              <w:left w:val="nil"/>
              <w:bottom w:val="dashed" w:color="000000" w:sz="4" w:space="0"/>
              <w:right w:val="nil"/>
            </w:tcBorders>
            <w:vAlign w:val="center"/>
            <w:hideMark/>
          </w:tcPr>
          <w:p w:rsidRPr="00DE54B0" w:rsidR="00F26764" w:rsidP="004C1302" w:rsidRDefault="00F26764" w14:paraId="64328843"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01A2527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4B42C78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1334" w:type="dxa"/>
            <w:tcBorders>
              <w:top w:val="nil"/>
              <w:left w:val="nil"/>
              <w:bottom w:val="nil"/>
              <w:right w:val="nil"/>
            </w:tcBorders>
            <w:shd w:val="clear" w:color="auto" w:fill="auto"/>
            <w:vAlign w:val="center"/>
          </w:tcPr>
          <w:p w:rsidRPr="00642EDC" w:rsidR="00F26764" w:rsidP="004C1302" w:rsidRDefault="00F26764" w14:paraId="5BED11CE"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4.</w:t>
            </w:r>
            <w:r>
              <w:rPr>
                <w:rFonts w:ascii="Times New Roman" w:hAnsi="Times New Roman" w:eastAsia="Times New Roman" w:cs="Times New Roman"/>
                <w:color w:val="000000"/>
              </w:rPr>
              <w:t>8</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30D104FF"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6.8</w:t>
            </w:r>
          </w:p>
        </w:tc>
      </w:tr>
      <w:tr w:rsidRPr="00DE54B0" w:rsidR="00F26764" w:rsidTr="004C1302" w14:paraId="6D0BC174" w14:textId="77777777">
        <w:trPr>
          <w:trHeight w:val="300"/>
          <w:jc w:val="center"/>
        </w:trPr>
        <w:tc>
          <w:tcPr>
            <w:tcW w:w="3580" w:type="dxa"/>
            <w:gridSpan w:val="2"/>
            <w:vMerge/>
            <w:tcBorders>
              <w:top w:val="dashed" w:color="auto" w:sz="4" w:space="0"/>
              <w:left w:val="nil"/>
              <w:bottom w:val="dashed" w:color="000000" w:sz="4" w:space="0"/>
              <w:right w:val="nil"/>
            </w:tcBorders>
            <w:vAlign w:val="center"/>
            <w:hideMark/>
          </w:tcPr>
          <w:p w:rsidRPr="00DE54B0" w:rsidR="00F26764" w:rsidP="004C1302" w:rsidRDefault="00F26764" w14:paraId="2F758101"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49E2D4B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1E08142E"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CHOICEPLUS</w:t>
            </w:r>
          </w:p>
        </w:tc>
        <w:tc>
          <w:tcPr>
            <w:tcW w:w="1334" w:type="dxa"/>
            <w:tcBorders>
              <w:top w:val="nil"/>
              <w:left w:val="nil"/>
              <w:bottom w:val="nil"/>
              <w:right w:val="nil"/>
            </w:tcBorders>
            <w:shd w:val="clear" w:color="auto" w:fill="auto"/>
            <w:vAlign w:val="center"/>
          </w:tcPr>
          <w:p w:rsidRPr="00642EDC" w:rsidR="00F26764" w:rsidP="004C1302" w:rsidRDefault="00F26764" w14:paraId="36FAE10F"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5.</w:t>
            </w:r>
            <w:r>
              <w:rPr>
                <w:rFonts w:ascii="Times New Roman" w:hAnsi="Times New Roman" w:eastAsia="Times New Roman" w:cs="Times New Roman"/>
                <w:color w:val="000000"/>
              </w:rPr>
              <w:t>6</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5198C6B4"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7.9</w:t>
            </w:r>
          </w:p>
        </w:tc>
      </w:tr>
      <w:tr w:rsidRPr="00DE54B0" w:rsidR="00F26764" w:rsidTr="004C1302" w14:paraId="41CB3F0B" w14:textId="77777777">
        <w:trPr>
          <w:trHeight w:val="300"/>
          <w:jc w:val="center"/>
        </w:trPr>
        <w:tc>
          <w:tcPr>
            <w:tcW w:w="3580" w:type="dxa"/>
            <w:gridSpan w:val="2"/>
            <w:vMerge/>
            <w:tcBorders>
              <w:top w:val="dashed" w:color="auto" w:sz="4" w:space="0"/>
              <w:left w:val="nil"/>
              <w:bottom w:val="dashed" w:color="000000" w:sz="4" w:space="0"/>
              <w:right w:val="nil"/>
            </w:tcBorders>
            <w:vAlign w:val="center"/>
            <w:hideMark/>
          </w:tcPr>
          <w:p w:rsidRPr="00DE54B0" w:rsidR="00F26764" w:rsidP="004C1302" w:rsidRDefault="00F26764" w14:paraId="770965B7"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3E9010F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37E6EA4F"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34" w:type="dxa"/>
            <w:tcBorders>
              <w:top w:val="nil"/>
              <w:left w:val="nil"/>
              <w:bottom w:val="nil"/>
              <w:right w:val="nil"/>
            </w:tcBorders>
            <w:shd w:val="clear" w:color="auto" w:fill="auto"/>
            <w:vAlign w:val="center"/>
          </w:tcPr>
          <w:p w:rsidRPr="00642EDC" w:rsidR="00F26764" w:rsidP="004C1302" w:rsidRDefault="00F26764" w14:paraId="30B79CBC"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5.</w:t>
            </w:r>
            <w:r>
              <w:rPr>
                <w:rFonts w:ascii="Times New Roman" w:hAnsi="Times New Roman" w:eastAsia="Times New Roman" w:cs="Times New Roman"/>
                <w:color w:val="000000"/>
              </w:rPr>
              <w:t>0</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0F04AF71"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7.1</w:t>
            </w:r>
          </w:p>
        </w:tc>
      </w:tr>
      <w:tr w:rsidRPr="00DE54B0" w:rsidR="00F26764" w:rsidTr="004C1302" w14:paraId="269D05DD" w14:textId="77777777">
        <w:trPr>
          <w:trHeight w:val="300"/>
          <w:jc w:val="center"/>
        </w:trPr>
        <w:tc>
          <w:tcPr>
            <w:tcW w:w="3580" w:type="dxa"/>
            <w:gridSpan w:val="2"/>
            <w:vMerge/>
            <w:tcBorders>
              <w:top w:val="dashed" w:color="auto" w:sz="4" w:space="0"/>
              <w:left w:val="nil"/>
              <w:bottom w:val="dashed" w:color="000000" w:sz="4" w:space="0"/>
              <w:right w:val="nil"/>
            </w:tcBorders>
            <w:vAlign w:val="center"/>
            <w:hideMark/>
          </w:tcPr>
          <w:p w:rsidRPr="00DE54B0" w:rsidR="00F26764" w:rsidP="004C1302" w:rsidRDefault="00F26764" w14:paraId="2D3E5D4B"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dashed" w:color="auto" w:sz="4" w:space="0"/>
              <w:right w:val="nil"/>
            </w:tcBorders>
            <w:shd w:val="clear" w:color="auto" w:fill="auto"/>
            <w:noWrap/>
            <w:vAlign w:val="bottom"/>
            <w:hideMark/>
          </w:tcPr>
          <w:p w:rsidRPr="00DE54B0" w:rsidR="00F26764" w:rsidP="004C1302" w:rsidRDefault="00F26764" w14:paraId="4C8DC6F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2791" w:type="dxa"/>
            <w:tcBorders>
              <w:top w:val="nil"/>
              <w:left w:val="nil"/>
              <w:bottom w:val="dashed" w:color="auto" w:sz="4" w:space="0"/>
              <w:right w:val="nil"/>
            </w:tcBorders>
            <w:shd w:val="clear" w:color="auto" w:fill="auto"/>
            <w:noWrap/>
            <w:vAlign w:val="bottom"/>
            <w:hideMark/>
          </w:tcPr>
          <w:p w:rsidRPr="00DE54B0" w:rsidR="00F26764" w:rsidP="004C1302" w:rsidRDefault="00F26764" w14:paraId="761788F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34" w:type="dxa"/>
            <w:tcBorders>
              <w:top w:val="nil"/>
              <w:left w:val="nil"/>
              <w:bottom w:val="dashed" w:color="auto" w:sz="4" w:space="0"/>
              <w:right w:val="nil"/>
            </w:tcBorders>
            <w:shd w:val="clear" w:color="auto" w:fill="auto"/>
            <w:vAlign w:val="center"/>
          </w:tcPr>
          <w:p w:rsidRPr="00642EDC" w:rsidR="00F26764" w:rsidP="004C1302" w:rsidRDefault="00F26764" w14:paraId="7FEF2AC6"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5.</w:t>
            </w:r>
            <w:r>
              <w:rPr>
                <w:rFonts w:ascii="Times New Roman" w:hAnsi="Times New Roman" w:eastAsia="Times New Roman" w:cs="Times New Roman"/>
                <w:color w:val="000000"/>
              </w:rPr>
              <w:t>7</w:t>
            </w:r>
          </w:p>
        </w:tc>
        <w:tc>
          <w:tcPr>
            <w:tcW w:w="1108" w:type="dxa"/>
            <w:tcBorders>
              <w:top w:val="nil"/>
              <w:left w:val="nil"/>
              <w:bottom w:val="dashed" w:color="auto" w:sz="4" w:space="0"/>
              <w:right w:val="nil"/>
            </w:tcBorders>
            <w:shd w:val="clear" w:color="auto" w:fill="auto"/>
            <w:noWrap/>
            <w:vAlign w:val="center"/>
            <w:hideMark/>
          </w:tcPr>
          <w:p w:rsidRPr="00DE54B0" w:rsidR="00F26764" w:rsidP="004C1302" w:rsidRDefault="00F26764" w14:paraId="1548D842"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8.2</w:t>
            </w:r>
          </w:p>
        </w:tc>
      </w:tr>
      <w:tr w:rsidRPr="00DE54B0" w:rsidR="00F26764" w:rsidTr="004C1302" w14:paraId="7DE80701" w14:textId="77777777">
        <w:trPr>
          <w:trHeight w:val="300"/>
          <w:jc w:val="center"/>
        </w:trPr>
        <w:tc>
          <w:tcPr>
            <w:tcW w:w="3580" w:type="dxa"/>
            <w:gridSpan w:val="2"/>
            <w:vMerge w:val="restart"/>
            <w:tcBorders>
              <w:top w:val="nil"/>
              <w:left w:val="nil"/>
              <w:bottom w:val="nil"/>
              <w:right w:val="nil"/>
            </w:tcBorders>
            <w:shd w:val="clear" w:color="auto" w:fill="auto"/>
            <w:noWrap/>
            <w:vAlign w:val="center"/>
            <w:hideMark/>
          </w:tcPr>
          <w:p w:rsidRPr="00DE54B0" w:rsidR="00F26764" w:rsidP="004C1302" w:rsidRDefault="00F26764" w14:paraId="70F6B75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Estimate (all respondents)</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43E560F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1C50EF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1334" w:type="dxa"/>
            <w:tcBorders>
              <w:top w:val="nil"/>
              <w:left w:val="nil"/>
              <w:bottom w:val="nil"/>
              <w:right w:val="nil"/>
            </w:tcBorders>
            <w:shd w:val="clear" w:color="auto" w:fill="auto"/>
            <w:vAlign w:val="center"/>
          </w:tcPr>
          <w:p w:rsidRPr="00642EDC" w:rsidR="00F26764" w:rsidP="004C1302" w:rsidRDefault="00F26764" w14:paraId="0FDCC90B"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2.</w:t>
            </w:r>
            <w:r>
              <w:rPr>
                <w:rFonts w:ascii="Times New Roman" w:hAnsi="Times New Roman" w:eastAsia="Times New Roman" w:cs="Times New Roman"/>
                <w:color w:val="000000"/>
              </w:rPr>
              <w:t>2</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24196943" w14:textId="77777777">
            <w:pPr>
              <w:spacing w:after="0" w:line="240" w:lineRule="auto"/>
              <w:jc w:val="right"/>
              <w:rPr>
                <w:rFonts w:ascii="Times New Roman" w:hAnsi="Times New Roman" w:eastAsia="Times New Roman" w:cs="Times New Roman"/>
                <w:color w:val="000000"/>
              </w:rPr>
            </w:pPr>
            <w:r w:rsidRPr="00DE54B0">
              <w:rPr>
                <w:rFonts w:ascii="Times New Roman" w:hAnsi="Times New Roman" w:eastAsia="Times New Roman" w:cs="Times New Roman"/>
                <w:color w:val="000000"/>
              </w:rPr>
              <w:t>3.</w:t>
            </w:r>
            <w:r>
              <w:rPr>
                <w:rFonts w:ascii="Times New Roman" w:hAnsi="Times New Roman" w:eastAsia="Times New Roman" w:cs="Times New Roman"/>
                <w:color w:val="000000"/>
              </w:rPr>
              <w:t>2</w:t>
            </w:r>
          </w:p>
        </w:tc>
      </w:tr>
      <w:tr w:rsidRPr="00DE54B0" w:rsidR="00F26764" w:rsidTr="004C1302" w14:paraId="01214081"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49619F22"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4122B93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6C29237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1334" w:type="dxa"/>
            <w:tcBorders>
              <w:top w:val="nil"/>
              <w:left w:val="nil"/>
              <w:bottom w:val="nil"/>
              <w:right w:val="nil"/>
            </w:tcBorders>
            <w:shd w:val="clear" w:color="auto" w:fill="auto"/>
            <w:vAlign w:val="center"/>
          </w:tcPr>
          <w:p w:rsidRPr="00642EDC" w:rsidR="00F26764" w:rsidP="004C1302" w:rsidRDefault="00F26764" w14:paraId="01435372"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2.</w:t>
            </w:r>
            <w:r>
              <w:rPr>
                <w:rFonts w:ascii="Times New Roman" w:hAnsi="Times New Roman" w:eastAsia="Times New Roman" w:cs="Times New Roman"/>
                <w:color w:val="000000"/>
              </w:rPr>
              <w:t>7</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0EE4F896"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3.9</w:t>
            </w:r>
          </w:p>
        </w:tc>
      </w:tr>
      <w:tr w:rsidRPr="00DE54B0" w:rsidR="00F26764" w:rsidTr="004C1302" w14:paraId="58B917A7"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73B441B4"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65499EB9"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45B046F"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CHOICEPLUS</w:t>
            </w:r>
          </w:p>
        </w:tc>
        <w:tc>
          <w:tcPr>
            <w:tcW w:w="1334" w:type="dxa"/>
            <w:tcBorders>
              <w:top w:val="nil"/>
              <w:left w:val="nil"/>
              <w:bottom w:val="nil"/>
              <w:right w:val="nil"/>
            </w:tcBorders>
            <w:shd w:val="clear" w:color="auto" w:fill="auto"/>
            <w:vAlign w:val="center"/>
          </w:tcPr>
          <w:p w:rsidRPr="00642EDC" w:rsidR="00F26764" w:rsidP="004C1302" w:rsidRDefault="00F26764" w14:paraId="42C5FF60"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3.2</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40E2D2AD"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4.5</w:t>
            </w:r>
          </w:p>
        </w:tc>
      </w:tr>
      <w:tr w:rsidRPr="00DE54B0" w:rsidR="00F26764" w:rsidTr="004C1302" w14:paraId="556E77CC"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4FCD5595"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13590EE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A9D31E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34" w:type="dxa"/>
            <w:tcBorders>
              <w:top w:val="nil"/>
              <w:left w:val="nil"/>
              <w:bottom w:val="nil"/>
              <w:right w:val="nil"/>
            </w:tcBorders>
            <w:shd w:val="clear" w:color="auto" w:fill="auto"/>
            <w:vAlign w:val="center"/>
          </w:tcPr>
          <w:p w:rsidRPr="00642EDC" w:rsidR="00F26764" w:rsidP="004C1302" w:rsidRDefault="00F26764" w14:paraId="5B8FFBB3"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2.</w:t>
            </w:r>
            <w:r>
              <w:rPr>
                <w:rFonts w:ascii="Times New Roman" w:hAnsi="Times New Roman" w:eastAsia="Times New Roman" w:cs="Times New Roman"/>
                <w:color w:val="000000"/>
              </w:rPr>
              <w:t>8</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3DB7F63E"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4.1</w:t>
            </w:r>
          </w:p>
        </w:tc>
      </w:tr>
      <w:tr w:rsidRPr="00DE54B0" w:rsidR="00F26764" w:rsidTr="004C1302" w14:paraId="596C7D8C"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09F6ADB2"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7723E4F"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4CD42D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34" w:type="dxa"/>
            <w:tcBorders>
              <w:top w:val="nil"/>
              <w:left w:val="nil"/>
              <w:bottom w:val="nil"/>
              <w:right w:val="nil"/>
            </w:tcBorders>
            <w:shd w:val="clear" w:color="auto" w:fill="auto"/>
            <w:vAlign w:val="center"/>
          </w:tcPr>
          <w:p w:rsidRPr="00642EDC" w:rsidR="00F26764" w:rsidP="004C1302" w:rsidRDefault="00F26764" w14:paraId="61898898"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3.3</w:t>
            </w:r>
          </w:p>
        </w:tc>
        <w:tc>
          <w:tcPr>
            <w:tcW w:w="1108" w:type="dxa"/>
            <w:tcBorders>
              <w:top w:val="nil"/>
              <w:left w:val="nil"/>
              <w:bottom w:val="nil"/>
              <w:right w:val="nil"/>
            </w:tcBorders>
            <w:shd w:val="clear" w:color="auto" w:fill="auto"/>
            <w:noWrap/>
            <w:vAlign w:val="center"/>
            <w:hideMark/>
          </w:tcPr>
          <w:p w:rsidRPr="00DE54B0" w:rsidR="00F26764" w:rsidP="004C1302" w:rsidRDefault="00F26764" w14:paraId="744A174B"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4.7</w:t>
            </w:r>
          </w:p>
        </w:tc>
      </w:tr>
      <w:tr w:rsidRPr="00DE54B0" w:rsidR="00F26764" w:rsidTr="004C1302" w14:paraId="60F0E406" w14:textId="77777777">
        <w:trPr>
          <w:trHeight w:val="345"/>
          <w:jc w:val="center"/>
        </w:trPr>
        <w:tc>
          <w:tcPr>
            <w:tcW w:w="3580" w:type="dxa"/>
            <w:gridSpan w:val="2"/>
            <w:vMerge w:val="restart"/>
            <w:tcBorders>
              <w:top w:val="dashed" w:color="auto" w:sz="4" w:space="0"/>
              <w:left w:val="nil"/>
              <w:bottom w:val="single" w:color="000000" w:sz="4" w:space="0"/>
              <w:right w:val="nil"/>
            </w:tcBorders>
            <w:shd w:val="clear" w:color="auto" w:fill="auto"/>
            <w:noWrap/>
            <w:vAlign w:val="center"/>
            <w:hideMark/>
          </w:tcPr>
          <w:p w:rsidRPr="00DE54B0" w:rsidR="00F26764" w:rsidP="004C1302" w:rsidRDefault="00F26764" w14:paraId="321953E1"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Estimate (mode effects)</w:t>
            </w:r>
            <w:r w:rsidRPr="00DE54B0">
              <w:rPr>
                <w:rFonts w:ascii="Times New Roman" w:hAnsi="Times New Roman" w:eastAsia="Times New Roman" w:cs="Times New Roman"/>
                <w:color w:val="000000"/>
                <w:vertAlign w:val="superscript"/>
              </w:rPr>
              <w:t>1</w:t>
            </w:r>
          </w:p>
        </w:tc>
        <w:tc>
          <w:tcPr>
            <w:tcW w:w="2791" w:type="dxa"/>
            <w:tcBorders>
              <w:top w:val="dashed" w:color="auto" w:sz="4" w:space="0"/>
              <w:left w:val="nil"/>
              <w:bottom w:val="nil"/>
              <w:right w:val="nil"/>
            </w:tcBorders>
            <w:shd w:val="clear" w:color="auto" w:fill="auto"/>
            <w:noWrap/>
            <w:vAlign w:val="bottom"/>
            <w:hideMark/>
          </w:tcPr>
          <w:p w:rsidRPr="00DE54B0" w:rsidR="00F26764" w:rsidP="004C1302" w:rsidRDefault="00F26764" w14:paraId="10B3A76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NHES</w:t>
            </w:r>
          </w:p>
        </w:tc>
        <w:tc>
          <w:tcPr>
            <w:tcW w:w="2791" w:type="dxa"/>
            <w:tcBorders>
              <w:top w:val="dashed" w:color="auto" w:sz="4" w:space="0"/>
              <w:left w:val="nil"/>
              <w:bottom w:val="nil"/>
              <w:right w:val="nil"/>
            </w:tcBorders>
            <w:shd w:val="clear" w:color="auto" w:fill="auto"/>
            <w:noWrap/>
            <w:vAlign w:val="bottom"/>
            <w:hideMark/>
          </w:tcPr>
          <w:p w:rsidRPr="00DE54B0" w:rsidR="00F26764" w:rsidP="004C1302" w:rsidRDefault="00F26764" w14:paraId="572A950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PAP</w:t>
            </w:r>
          </w:p>
        </w:tc>
        <w:tc>
          <w:tcPr>
            <w:tcW w:w="1334" w:type="dxa"/>
            <w:tcBorders>
              <w:top w:val="dashed" w:color="auto" w:sz="4" w:space="0"/>
              <w:left w:val="nil"/>
              <w:bottom w:val="nil"/>
              <w:right w:val="nil"/>
            </w:tcBorders>
            <w:shd w:val="clear" w:color="auto" w:fill="auto"/>
            <w:vAlign w:val="center"/>
          </w:tcPr>
          <w:p w:rsidRPr="00642EDC" w:rsidR="00F26764" w:rsidP="004C1302" w:rsidRDefault="00F26764" w14:paraId="17A5041E" w14:textId="77777777">
            <w:pPr>
              <w:spacing w:after="0" w:line="240" w:lineRule="auto"/>
              <w:jc w:val="right"/>
              <w:rPr>
                <w:rFonts w:ascii="Times New Roman" w:hAnsi="Times New Roman" w:eastAsia="Times New Roman" w:cs="Times New Roman"/>
                <w:color w:val="000000"/>
              </w:rPr>
            </w:pPr>
            <w:r w:rsidRPr="00642EDC">
              <w:rPr>
                <w:rFonts w:ascii="Times New Roman" w:hAnsi="Times New Roman" w:eastAsia="Times New Roman" w:cs="Times New Roman"/>
                <w:color w:val="000000"/>
              </w:rPr>
              <w:t>3.</w:t>
            </w:r>
            <w:r>
              <w:rPr>
                <w:rFonts w:ascii="Times New Roman" w:hAnsi="Times New Roman" w:eastAsia="Times New Roman" w:cs="Times New Roman"/>
                <w:color w:val="000000"/>
              </w:rPr>
              <w:t>0</w:t>
            </w:r>
          </w:p>
        </w:tc>
        <w:tc>
          <w:tcPr>
            <w:tcW w:w="1108" w:type="dxa"/>
            <w:tcBorders>
              <w:top w:val="dashed" w:color="auto" w:sz="4" w:space="0"/>
              <w:left w:val="nil"/>
              <w:bottom w:val="nil"/>
              <w:right w:val="nil"/>
            </w:tcBorders>
            <w:shd w:val="clear" w:color="auto" w:fill="auto"/>
            <w:noWrap/>
            <w:vAlign w:val="center"/>
            <w:hideMark/>
          </w:tcPr>
          <w:p w:rsidRPr="00DE54B0" w:rsidR="00F26764" w:rsidP="004C1302" w:rsidRDefault="00F26764" w14:paraId="309BB80F" w14:textId="77777777">
            <w:pPr>
              <w:spacing w:after="0" w:line="240" w:lineRule="auto"/>
              <w:jc w:val="right"/>
              <w:rPr>
                <w:rFonts w:ascii="Times New Roman" w:hAnsi="Times New Roman" w:eastAsia="Times New Roman" w:cs="Times New Roman"/>
                <w:color w:val="000000"/>
              </w:rPr>
            </w:pPr>
            <w:r w:rsidRPr="00DE54B0">
              <w:rPr>
                <w:rFonts w:ascii="Times New Roman" w:hAnsi="Times New Roman" w:eastAsia="Times New Roman" w:cs="Times New Roman"/>
                <w:color w:val="000000"/>
              </w:rPr>
              <w:t>4.</w:t>
            </w:r>
            <w:r>
              <w:rPr>
                <w:rFonts w:ascii="Times New Roman" w:hAnsi="Times New Roman" w:eastAsia="Times New Roman" w:cs="Times New Roman"/>
                <w:color w:val="000000"/>
              </w:rPr>
              <w:t>3</w:t>
            </w:r>
          </w:p>
        </w:tc>
      </w:tr>
      <w:tr w:rsidRPr="00DE54B0" w:rsidR="00F26764" w:rsidTr="004C1302" w14:paraId="217FDD23" w14:textId="77777777">
        <w:trPr>
          <w:trHeight w:val="300"/>
          <w:jc w:val="center"/>
        </w:trPr>
        <w:tc>
          <w:tcPr>
            <w:tcW w:w="3580" w:type="dxa"/>
            <w:gridSpan w:val="2"/>
            <w:vMerge/>
            <w:tcBorders>
              <w:top w:val="dashed" w:color="auto" w:sz="4" w:space="0"/>
              <w:left w:val="nil"/>
              <w:bottom w:val="single" w:color="000000" w:sz="4" w:space="0"/>
              <w:right w:val="nil"/>
            </w:tcBorders>
            <w:vAlign w:val="center"/>
            <w:hideMark/>
          </w:tcPr>
          <w:p w:rsidRPr="00DE54B0" w:rsidR="00F26764" w:rsidP="004C1302" w:rsidRDefault="00F26764" w14:paraId="1468AC73"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single" w:color="auto" w:sz="4" w:space="0"/>
              <w:right w:val="nil"/>
            </w:tcBorders>
            <w:shd w:val="clear" w:color="auto" w:fill="auto"/>
            <w:noWrap/>
            <w:vAlign w:val="bottom"/>
            <w:hideMark/>
          </w:tcPr>
          <w:p w:rsidRPr="00DE54B0" w:rsidR="00F26764" w:rsidP="004C1302" w:rsidRDefault="00F26764" w14:paraId="0EAC6B5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NHES or PAP</w:t>
            </w:r>
          </w:p>
        </w:tc>
        <w:tc>
          <w:tcPr>
            <w:tcW w:w="2791" w:type="dxa"/>
            <w:tcBorders>
              <w:top w:val="nil"/>
              <w:left w:val="nil"/>
              <w:bottom w:val="single" w:color="auto" w:sz="4" w:space="0"/>
              <w:right w:val="nil"/>
            </w:tcBorders>
            <w:shd w:val="clear" w:color="auto" w:fill="auto"/>
            <w:noWrap/>
            <w:vAlign w:val="bottom"/>
            <w:hideMark/>
          </w:tcPr>
          <w:p w:rsidRPr="00DE54B0" w:rsidR="00F26764" w:rsidP="004C1302" w:rsidRDefault="00F26764" w14:paraId="079E4E29"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34" w:type="dxa"/>
            <w:tcBorders>
              <w:top w:val="nil"/>
              <w:left w:val="nil"/>
              <w:bottom w:val="single" w:color="auto" w:sz="4" w:space="0"/>
              <w:right w:val="nil"/>
            </w:tcBorders>
            <w:shd w:val="clear" w:color="auto" w:fill="auto"/>
            <w:vAlign w:val="center"/>
          </w:tcPr>
          <w:p w:rsidRPr="00642EDC" w:rsidR="00F26764" w:rsidP="004C1302" w:rsidRDefault="00F26764" w14:paraId="5F2929CC"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3.9</w:t>
            </w:r>
          </w:p>
        </w:tc>
        <w:tc>
          <w:tcPr>
            <w:tcW w:w="1108" w:type="dxa"/>
            <w:tcBorders>
              <w:top w:val="nil"/>
              <w:left w:val="nil"/>
              <w:bottom w:val="single" w:color="auto" w:sz="4" w:space="0"/>
              <w:right w:val="nil"/>
            </w:tcBorders>
            <w:shd w:val="clear" w:color="auto" w:fill="auto"/>
            <w:noWrap/>
            <w:vAlign w:val="center"/>
            <w:hideMark/>
          </w:tcPr>
          <w:p w:rsidRPr="00DE54B0" w:rsidR="00F26764" w:rsidP="004C1302" w:rsidRDefault="00F26764" w14:paraId="49356C12"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5.5</w:t>
            </w:r>
          </w:p>
        </w:tc>
      </w:tr>
      <w:tr w:rsidRPr="00DE54B0" w:rsidR="00F26764" w:rsidTr="004C1302" w14:paraId="17BDB5AA" w14:textId="77777777">
        <w:trPr>
          <w:trHeight w:val="413"/>
          <w:jc w:val="center"/>
        </w:trPr>
        <w:tc>
          <w:tcPr>
            <w:tcW w:w="11604" w:type="dxa"/>
            <w:gridSpan w:val="6"/>
            <w:tcBorders>
              <w:top w:val="nil"/>
              <w:left w:val="nil"/>
              <w:bottom w:val="nil"/>
              <w:right w:val="nil"/>
            </w:tcBorders>
          </w:tcPr>
          <w:p w:rsidR="00F26764" w:rsidP="004C1302" w:rsidRDefault="00F26764" w14:paraId="41533F16"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1</w:t>
            </w:r>
            <w:r w:rsidRPr="00DE54B0">
              <w:rPr>
                <w:rFonts w:ascii="Times New Roman" w:hAnsi="Times New Roman" w:eastAsia="Times New Roman" w:cs="Times New Roman"/>
                <w:color w:val="000000"/>
                <w:sz w:val="18"/>
                <w:szCs w:val="18"/>
              </w:rPr>
              <w:t>Mode effects comparisons would use data only from the first 11 weeks of data collection from the NHES, paper-focused, and CATI-focused groups, to isolate the impact of mode on responses to key items.</w:t>
            </w:r>
          </w:p>
          <w:p w:rsidRPr="00DE54B0" w:rsidR="00F26764" w:rsidP="004C1302" w:rsidRDefault="00F26764" w14:paraId="31A811C0"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NOTE: Calculations assume a total sample size of 43,200. The unweighted detectable difference is calculated ignoring the design effect and is therefore the detectable difference at the sample level. The weighted detectable difference is calculated assuming a design effect of 2 and is therefore the detectable difference at the population level. Detectable differences reflect a power requirement of 0.8 and a required significance level of 0.05.</w:t>
            </w:r>
          </w:p>
        </w:tc>
      </w:tr>
    </w:tbl>
    <w:p w:rsidR="00F26764" w:rsidP="00483675" w:rsidRDefault="00F26764" w14:paraId="5FE5D4A4" w14:textId="63EEF619">
      <w:pPr>
        <w:rPr>
          <w:rFonts w:ascii="Times New Roman" w:hAnsi="Times New Roman" w:cs="Times New Roman"/>
          <w:sz w:val="24"/>
          <w:szCs w:val="24"/>
        </w:rPr>
      </w:pPr>
    </w:p>
    <w:p w:rsidR="00F26764" w:rsidP="00483675" w:rsidRDefault="00F26764" w14:paraId="616417E3" w14:textId="57F55480">
      <w:pPr>
        <w:rPr>
          <w:rFonts w:ascii="Times New Roman" w:hAnsi="Times New Roman" w:cs="Times New Roman"/>
          <w:sz w:val="24"/>
          <w:szCs w:val="24"/>
        </w:rPr>
      </w:pPr>
    </w:p>
    <w:p w:rsidR="00F26764" w:rsidP="00483675" w:rsidRDefault="00F26764" w14:paraId="79B7A80F" w14:textId="15B7476E">
      <w:pPr>
        <w:rPr>
          <w:rFonts w:ascii="Times New Roman" w:hAnsi="Times New Roman" w:cs="Times New Roman"/>
          <w:sz w:val="24"/>
          <w:szCs w:val="24"/>
        </w:rPr>
      </w:pPr>
    </w:p>
    <w:p w:rsidR="00F26764" w:rsidP="00483675" w:rsidRDefault="00F26764" w14:paraId="333C03BB" w14:textId="2067DC53">
      <w:pPr>
        <w:rPr>
          <w:rFonts w:ascii="Times New Roman" w:hAnsi="Times New Roman" w:cs="Times New Roman"/>
          <w:sz w:val="24"/>
          <w:szCs w:val="24"/>
        </w:rPr>
      </w:pPr>
    </w:p>
    <w:p w:rsidR="00F26764" w:rsidP="00483675" w:rsidRDefault="00F26764" w14:paraId="4B7C2941" w14:textId="754778EE">
      <w:pPr>
        <w:rPr>
          <w:rFonts w:ascii="Times New Roman" w:hAnsi="Times New Roman" w:cs="Times New Roman"/>
          <w:sz w:val="24"/>
          <w:szCs w:val="24"/>
        </w:rPr>
      </w:pPr>
    </w:p>
    <w:tbl>
      <w:tblPr>
        <w:tblW w:w="11424" w:type="dxa"/>
        <w:jc w:val="center"/>
        <w:tblLook w:val="04A0" w:firstRow="1" w:lastRow="0" w:firstColumn="1" w:lastColumn="0" w:noHBand="0" w:noVBand="1"/>
      </w:tblPr>
      <w:tblGrid>
        <w:gridCol w:w="1170"/>
        <w:gridCol w:w="2890"/>
        <w:gridCol w:w="2600"/>
        <w:gridCol w:w="2302"/>
        <w:gridCol w:w="1341"/>
        <w:gridCol w:w="1121"/>
      </w:tblGrid>
      <w:tr w:rsidRPr="00DE54B0" w:rsidR="00F26764" w:rsidTr="004C1302" w14:paraId="0395AB28" w14:textId="77777777">
        <w:trPr>
          <w:trHeight w:val="225"/>
          <w:jc w:val="center"/>
        </w:trPr>
        <w:tc>
          <w:tcPr>
            <w:tcW w:w="1170" w:type="dxa"/>
            <w:tcBorders>
              <w:top w:val="nil"/>
              <w:left w:val="nil"/>
              <w:bottom w:val="nil"/>
              <w:right w:val="nil"/>
            </w:tcBorders>
            <w:shd w:val="clear" w:color="auto" w:fill="auto"/>
            <w:noWrap/>
            <w:hideMark/>
          </w:tcPr>
          <w:p w:rsidRPr="0057488C" w:rsidR="00F26764" w:rsidP="004C1302" w:rsidRDefault="00F26764" w14:paraId="24E6262A" w14:textId="77777777">
            <w:pPr>
              <w:spacing w:after="0" w:line="240" w:lineRule="auto"/>
              <w:rPr>
                <w:rFonts w:ascii="Times New Roman" w:hAnsi="Times New Roman" w:eastAsia="Times New Roman" w:cs="Times New Roman"/>
                <w:color w:val="000000"/>
              </w:rPr>
            </w:pPr>
            <w:r w:rsidRPr="0057488C">
              <w:rPr>
                <w:rFonts w:ascii="Times New Roman" w:hAnsi="Times New Roman" w:eastAsia="Times New Roman" w:cs="Times New Roman"/>
                <w:color w:val="000000"/>
              </w:rPr>
              <w:t>Table L.2.</w:t>
            </w:r>
          </w:p>
        </w:tc>
        <w:tc>
          <w:tcPr>
            <w:tcW w:w="10254" w:type="dxa"/>
            <w:gridSpan w:val="5"/>
            <w:tcBorders>
              <w:top w:val="nil"/>
              <w:left w:val="nil"/>
              <w:bottom w:val="nil"/>
              <w:right w:val="nil"/>
            </w:tcBorders>
          </w:tcPr>
          <w:p w:rsidRPr="0057488C" w:rsidR="00F26764" w:rsidP="004C1302" w:rsidRDefault="00F26764" w14:paraId="2C52E7DC" w14:textId="77777777">
            <w:pPr>
              <w:spacing w:after="0" w:line="240" w:lineRule="auto"/>
              <w:rPr>
                <w:rFonts w:ascii="Times New Roman" w:hAnsi="Times New Roman" w:eastAsia="Times New Roman" w:cs="Times New Roman"/>
                <w:color w:val="000000"/>
              </w:rPr>
            </w:pPr>
            <w:r w:rsidRPr="0057488C">
              <w:rPr>
                <w:rFonts w:ascii="Times New Roman" w:hAnsi="Times New Roman" w:eastAsia="Times New Roman" w:cs="Times New Roman"/>
                <w:color w:val="000000"/>
              </w:rPr>
              <w:t>Detectable differences between any two noncontingent-incentive treatments, 0.05 significance level</w:t>
            </w:r>
          </w:p>
        </w:tc>
      </w:tr>
      <w:tr w:rsidRPr="00DE54B0" w:rsidR="00F26764" w:rsidTr="004C1302" w14:paraId="7F457E84" w14:textId="77777777">
        <w:trPr>
          <w:trHeight w:val="375"/>
          <w:jc w:val="center"/>
        </w:trPr>
        <w:tc>
          <w:tcPr>
            <w:tcW w:w="4060" w:type="dxa"/>
            <w:gridSpan w:val="2"/>
            <w:vMerge w:val="restart"/>
            <w:tcBorders>
              <w:top w:val="single" w:color="auto" w:sz="12" w:space="0"/>
              <w:left w:val="nil"/>
              <w:right w:val="nil"/>
            </w:tcBorders>
            <w:shd w:val="clear" w:color="auto" w:fill="auto"/>
            <w:noWrap/>
            <w:vAlign w:val="bottom"/>
          </w:tcPr>
          <w:p w:rsidRPr="00DE54B0" w:rsidR="00F26764" w:rsidP="004C1302" w:rsidRDefault="00F26764" w14:paraId="1FD3D4E8"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Parameter</w:t>
            </w:r>
          </w:p>
        </w:tc>
        <w:tc>
          <w:tcPr>
            <w:tcW w:w="2600" w:type="dxa"/>
            <w:vMerge w:val="restart"/>
            <w:tcBorders>
              <w:top w:val="single" w:color="auto" w:sz="12" w:space="0"/>
              <w:left w:val="nil"/>
              <w:right w:val="nil"/>
            </w:tcBorders>
            <w:shd w:val="clear" w:color="auto" w:fill="auto"/>
            <w:noWrap/>
            <w:vAlign w:val="bottom"/>
          </w:tcPr>
          <w:p w:rsidRPr="00DE54B0" w:rsidR="00F26764" w:rsidP="004C1302" w:rsidRDefault="00F26764" w14:paraId="1C9B84AD"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Control group</w:t>
            </w:r>
          </w:p>
        </w:tc>
        <w:tc>
          <w:tcPr>
            <w:tcW w:w="2302" w:type="dxa"/>
            <w:vMerge w:val="restart"/>
            <w:tcBorders>
              <w:top w:val="single" w:color="auto" w:sz="12" w:space="0"/>
              <w:left w:val="nil"/>
              <w:right w:val="nil"/>
            </w:tcBorders>
            <w:shd w:val="clear" w:color="auto" w:fill="auto"/>
            <w:noWrap/>
            <w:vAlign w:val="bottom"/>
          </w:tcPr>
          <w:p w:rsidRPr="00DE54B0" w:rsidR="00F26764" w:rsidP="004C1302" w:rsidRDefault="00F26764" w14:paraId="153DA3C3"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Treatment group</w:t>
            </w:r>
          </w:p>
        </w:tc>
        <w:tc>
          <w:tcPr>
            <w:tcW w:w="2462" w:type="dxa"/>
            <w:gridSpan w:val="2"/>
            <w:tcBorders>
              <w:top w:val="single" w:color="auto" w:sz="12" w:space="0"/>
              <w:left w:val="nil"/>
              <w:bottom w:val="single" w:color="auto" w:sz="12" w:space="0"/>
              <w:right w:val="nil"/>
            </w:tcBorders>
            <w:vAlign w:val="bottom"/>
          </w:tcPr>
          <w:p w:rsidRPr="00DE54B0" w:rsidR="00F26764" w:rsidP="004C1302" w:rsidRDefault="00F26764" w14:paraId="78C02B2E" w14:textId="77777777">
            <w:pPr>
              <w:spacing w:after="0" w:line="240" w:lineRule="auto"/>
              <w:jc w:val="center"/>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Detectable difference (percentage points)</w:t>
            </w:r>
          </w:p>
        </w:tc>
      </w:tr>
      <w:tr w:rsidRPr="00DE54B0" w:rsidR="00F26764" w:rsidTr="004C1302" w14:paraId="468E1940" w14:textId="77777777">
        <w:trPr>
          <w:trHeight w:val="195"/>
          <w:jc w:val="center"/>
        </w:trPr>
        <w:tc>
          <w:tcPr>
            <w:tcW w:w="4060" w:type="dxa"/>
            <w:gridSpan w:val="2"/>
            <w:vMerge/>
            <w:tcBorders>
              <w:left w:val="nil"/>
              <w:bottom w:val="single" w:color="auto" w:sz="12" w:space="0"/>
              <w:right w:val="nil"/>
            </w:tcBorders>
            <w:shd w:val="clear" w:color="auto" w:fill="auto"/>
            <w:noWrap/>
            <w:vAlign w:val="bottom"/>
            <w:hideMark/>
          </w:tcPr>
          <w:p w:rsidRPr="00DE54B0" w:rsidR="00F26764" w:rsidP="004C1302" w:rsidRDefault="00F26764" w14:paraId="28138311" w14:textId="77777777">
            <w:pPr>
              <w:spacing w:after="0" w:line="240" w:lineRule="auto"/>
              <w:rPr>
                <w:rFonts w:ascii="Times New Roman" w:hAnsi="Times New Roman" w:eastAsia="Times New Roman" w:cs="Times New Roman"/>
                <w:b/>
                <w:bCs/>
                <w:color w:val="000000"/>
              </w:rPr>
            </w:pPr>
          </w:p>
        </w:tc>
        <w:tc>
          <w:tcPr>
            <w:tcW w:w="2600" w:type="dxa"/>
            <w:vMerge/>
            <w:tcBorders>
              <w:left w:val="nil"/>
              <w:bottom w:val="single" w:color="auto" w:sz="12" w:space="0"/>
              <w:right w:val="nil"/>
            </w:tcBorders>
            <w:shd w:val="clear" w:color="auto" w:fill="auto"/>
            <w:noWrap/>
            <w:vAlign w:val="bottom"/>
            <w:hideMark/>
          </w:tcPr>
          <w:p w:rsidRPr="00DE54B0" w:rsidR="00F26764" w:rsidP="004C1302" w:rsidRDefault="00F26764" w14:paraId="0F97F96C" w14:textId="77777777">
            <w:pPr>
              <w:spacing w:after="0" w:line="240" w:lineRule="auto"/>
              <w:rPr>
                <w:rFonts w:ascii="Times New Roman" w:hAnsi="Times New Roman" w:eastAsia="Times New Roman" w:cs="Times New Roman"/>
                <w:b/>
                <w:bCs/>
                <w:color w:val="000000"/>
              </w:rPr>
            </w:pPr>
          </w:p>
        </w:tc>
        <w:tc>
          <w:tcPr>
            <w:tcW w:w="2302" w:type="dxa"/>
            <w:vMerge/>
            <w:tcBorders>
              <w:left w:val="nil"/>
              <w:bottom w:val="single" w:color="auto" w:sz="12" w:space="0"/>
              <w:right w:val="nil"/>
            </w:tcBorders>
            <w:shd w:val="clear" w:color="auto" w:fill="auto"/>
            <w:noWrap/>
            <w:vAlign w:val="bottom"/>
            <w:hideMark/>
          </w:tcPr>
          <w:p w:rsidRPr="00DE54B0" w:rsidR="00F26764" w:rsidP="004C1302" w:rsidRDefault="00F26764" w14:paraId="54485A55" w14:textId="77777777">
            <w:pPr>
              <w:spacing w:after="0" w:line="240" w:lineRule="auto"/>
              <w:rPr>
                <w:rFonts w:ascii="Times New Roman" w:hAnsi="Times New Roman" w:eastAsia="Times New Roman" w:cs="Times New Roman"/>
                <w:b/>
                <w:bCs/>
                <w:color w:val="000000"/>
              </w:rPr>
            </w:pPr>
          </w:p>
        </w:tc>
        <w:tc>
          <w:tcPr>
            <w:tcW w:w="1341" w:type="dxa"/>
            <w:tcBorders>
              <w:top w:val="single" w:color="auto" w:sz="12" w:space="0"/>
              <w:left w:val="nil"/>
              <w:bottom w:val="single" w:color="auto" w:sz="12" w:space="0"/>
              <w:right w:val="nil"/>
            </w:tcBorders>
            <w:vAlign w:val="bottom"/>
          </w:tcPr>
          <w:p w:rsidRPr="00DE54B0" w:rsidR="00F26764" w:rsidP="004C1302" w:rsidRDefault="00F26764" w14:paraId="76BE4E42" w14:textId="77777777">
            <w:pPr>
              <w:spacing w:after="0" w:line="240" w:lineRule="auto"/>
              <w:jc w:val="right"/>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Unweighted</w:t>
            </w:r>
          </w:p>
        </w:tc>
        <w:tc>
          <w:tcPr>
            <w:tcW w:w="1121" w:type="dxa"/>
            <w:tcBorders>
              <w:top w:val="single" w:color="auto" w:sz="12" w:space="0"/>
              <w:left w:val="nil"/>
              <w:bottom w:val="single" w:color="auto" w:sz="12" w:space="0"/>
              <w:right w:val="nil"/>
            </w:tcBorders>
            <w:shd w:val="clear" w:color="auto" w:fill="auto"/>
            <w:vAlign w:val="bottom"/>
            <w:hideMark/>
          </w:tcPr>
          <w:p w:rsidRPr="00DE54B0" w:rsidR="00F26764" w:rsidP="004C1302" w:rsidRDefault="00F26764" w14:paraId="7DCD42F1" w14:textId="77777777">
            <w:pPr>
              <w:spacing w:after="0" w:line="240" w:lineRule="auto"/>
              <w:jc w:val="right"/>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Weighted</w:t>
            </w:r>
          </w:p>
        </w:tc>
      </w:tr>
      <w:tr w:rsidRPr="00DE54B0" w:rsidR="00F26764" w:rsidTr="004C1302" w14:paraId="0C4A7018" w14:textId="77777777">
        <w:trPr>
          <w:trHeight w:val="360"/>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546B9646"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Response rate before week 23</w:t>
            </w:r>
            <w:r w:rsidRPr="00DE54B0">
              <w:rPr>
                <w:rFonts w:ascii="Times New Roman" w:hAnsi="Times New Roman" w:eastAsia="Times New Roman" w:cs="Times New Roman"/>
                <w:color w:val="000000"/>
                <w:vertAlign w:val="superscript"/>
              </w:rPr>
              <w:t>1</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3E70D618"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09D2285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1341" w:type="dxa"/>
            <w:tcBorders>
              <w:top w:val="nil"/>
              <w:left w:val="nil"/>
              <w:bottom w:val="nil"/>
              <w:right w:val="nil"/>
            </w:tcBorders>
            <w:shd w:val="clear" w:color="auto" w:fill="auto"/>
            <w:vAlign w:val="center"/>
          </w:tcPr>
          <w:p w:rsidRPr="00DE54B0" w:rsidR="00F26764" w:rsidP="004C1302" w:rsidRDefault="00F26764" w14:paraId="5E617DD8" w14:textId="77777777">
            <w:pPr>
              <w:spacing w:after="0" w:line="240" w:lineRule="auto"/>
              <w:jc w:val="right"/>
              <w:rPr>
                <w:rFonts w:ascii="Times New Roman" w:hAnsi="Times New Roman" w:eastAsia="Times New Roman" w:cs="Times New Roman"/>
                <w:color w:val="000000"/>
              </w:rPr>
            </w:pPr>
            <w:r w:rsidRPr="00DE54B0">
              <w:rPr>
                <w:rFonts w:ascii="Times New Roman" w:hAnsi="Times New Roman" w:eastAsia="Times New Roman" w:cs="Times New Roman"/>
                <w:color w:val="000000"/>
              </w:rPr>
              <w:t>1.9</w:t>
            </w:r>
          </w:p>
        </w:tc>
        <w:tc>
          <w:tcPr>
            <w:tcW w:w="1121" w:type="dxa"/>
            <w:tcBorders>
              <w:top w:val="nil"/>
              <w:left w:val="nil"/>
              <w:bottom w:val="nil"/>
              <w:right w:val="nil"/>
            </w:tcBorders>
            <w:shd w:val="clear" w:color="auto" w:fill="auto"/>
            <w:noWrap/>
            <w:vAlign w:val="center"/>
            <w:hideMark/>
          </w:tcPr>
          <w:p w:rsidRPr="00DE54B0" w:rsidR="00F26764" w:rsidP="004C1302" w:rsidRDefault="00F26764" w14:paraId="5D25C02D"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2.7</w:t>
            </w:r>
          </w:p>
        </w:tc>
      </w:tr>
      <w:tr w:rsidRPr="00DE54B0" w:rsidR="00F26764" w:rsidTr="004C1302" w14:paraId="36881648" w14:textId="77777777">
        <w:trPr>
          <w:trHeight w:val="345"/>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1EBAF1DB"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Incremental response rate after week 23</w:t>
            </w:r>
            <w:r w:rsidRPr="00DE54B0">
              <w:rPr>
                <w:rFonts w:ascii="Times New Roman" w:hAnsi="Times New Roman" w:eastAsia="Times New Roman" w:cs="Times New Roman"/>
                <w:color w:val="000000"/>
                <w:vertAlign w:val="superscript"/>
              </w:rPr>
              <w:t>2</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04DD2DB0"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342E6539"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INC0L</w:t>
            </w:r>
          </w:p>
        </w:tc>
        <w:tc>
          <w:tcPr>
            <w:tcW w:w="1341" w:type="dxa"/>
            <w:tcBorders>
              <w:top w:val="nil"/>
              <w:left w:val="nil"/>
              <w:bottom w:val="nil"/>
              <w:right w:val="nil"/>
            </w:tcBorders>
            <w:shd w:val="clear" w:color="auto" w:fill="auto"/>
            <w:vAlign w:val="center"/>
          </w:tcPr>
          <w:p w:rsidRPr="00DE54B0" w:rsidR="00F26764" w:rsidP="004C1302" w:rsidRDefault="00F26764" w14:paraId="72EDFC98" w14:textId="77777777">
            <w:pPr>
              <w:spacing w:after="0" w:line="240" w:lineRule="auto"/>
              <w:jc w:val="right"/>
              <w:rPr>
                <w:rFonts w:ascii="Times New Roman" w:hAnsi="Times New Roman" w:eastAsia="Times New Roman" w:cs="Times New Roman"/>
                <w:color w:val="000000"/>
              </w:rPr>
            </w:pPr>
            <w:r w:rsidRPr="00DE54B0">
              <w:rPr>
                <w:rFonts w:ascii="Times New Roman" w:hAnsi="Times New Roman" w:eastAsia="Times New Roman" w:cs="Times New Roman"/>
                <w:color w:val="000000"/>
              </w:rPr>
              <w:t>2.</w:t>
            </w:r>
            <w:r>
              <w:rPr>
                <w:rFonts w:ascii="Times New Roman" w:hAnsi="Times New Roman" w:eastAsia="Times New Roman" w:cs="Times New Roman"/>
                <w:color w:val="000000"/>
              </w:rPr>
              <w:t>6</w:t>
            </w:r>
          </w:p>
        </w:tc>
        <w:tc>
          <w:tcPr>
            <w:tcW w:w="1121" w:type="dxa"/>
            <w:tcBorders>
              <w:top w:val="nil"/>
              <w:left w:val="nil"/>
              <w:bottom w:val="nil"/>
              <w:right w:val="nil"/>
            </w:tcBorders>
            <w:shd w:val="clear" w:color="auto" w:fill="auto"/>
            <w:noWrap/>
            <w:vAlign w:val="center"/>
            <w:hideMark/>
          </w:tcPr>
          <w:p w:rsidRPr="00DE54B0" w:rsidR="00F26764" w:rsidP="004C1302" w:rsidRDefault="00F26764" w14:paraId="2F003899"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3.8</w:t>
            </w:r>
          </w:p>
        </w:tc>
      </w:tr>
      <w:tr w:rsidRPr="00DE54B0" w:rsidR="00F26764" w:rsidTr="004C1302" w14:paraId="53DE46F3" w14:textId="77777777">
        <w:trPr>
          <w:trHeight w:val="345"/>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1DCB93B0"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Response rate before week 23 within 25% subgroup</w:t>
            </w:r>
            <w:r w:rsidRPr="00DE54B0">
              <w:rPr>
                <w:rFonts w:ascii="Times New Roman" w:hAnsi="Times New Roman" w:eastAsia="Times New Roman" w:cs="Times New Roman"/>
                <w:color w:val="000000"/>
                <w:vertAlign w:val="superscript"/>
              </w:rPr>
              <w:t>1</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25ED7E0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2307FFF9"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1341" w:type="dxa"/>
            <w:tcBorders>
              <w:top w:val="nil"/>
              <w:left w:val="nil"/>
              <w:bottom w:val="nil"/>
              <w:right w:val="nil"/>
            </w:tcBorders>
            <w:shd w:val="clear" w:color="auto" w:fill="auto"/>
            <w:vAlign w:val="center"/>
          </w:tcPr>
          <w:p w:rsidRPr="00DE54B0" w:rsidR="00F26764" w:rsidP="004C1302" w:rsidRDefault="00F26764" w14:paraId="04F3C6DB"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3.8</w:t>
            </w:r>
          </w:p>
        </w:tc>
        <w:tc>
          <w:tcPr>
            <w:tcW w:w="1121" w:type="dxa"/>
            <w:tcBorders>
              <w:top w:val="nil"/>
              <w:left w:val="nil"/>
              <w:bottom w:val="nil"/>
              <w:right w:val="nil"/>
            </w:tcBorders>
            <w:shd w:val="clear" w:color="auto" w:fill="auto"/>
            <w:noWrap/>
            <w:vAlign w:val="center"/>
            <w:hideMark/>
          </w:tcPr>
          <w:p w:rsidRPr="00DE54B0" w:rsidR="00F26764" w:rsidP="004C1302" w:rsidRDefault="00F26764" w14:paraId="17207968"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5.4</w:t>
            </w:r>
          </w:p>
        </w:tc>
      </w:tr>
      <w:tr w:rsidRPr="00DE54B0" w:rsidR="00F26764" w:rsidTr="004C1302" w14:paraId="24CDDA1D" w14:textId="77777777">
        <w:trPr>
          <w:trHeight w:val="345"/>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1154ACA6"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Incremental response rate after week 23 within 25% subgroup</w:t>
            </w:r>
            <w:r w:rsidRPr="00DE54B0">
              <w:rPr>
                <w:rFonts w:ascii="Times New Roman" w:hAnsi="Times New Roman" w:eastAsia="Times New Roman" w:cs="Times New Roman"/>
                <w:color w:val="000000"/>
                <w:vertAlign w:val="superscript"/>
              </w:rPr>
              <w:t>2</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7870240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01225A6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INC0L</w:t>
            </w:r>
          </w:p>
        </w:tc>
        <w:tc>
          <w:tcPr>
            <w:tcW w:w="1341" w:type="dxa"/>
            <w:tcBorders>
              <w:top w:val="nil"/>
              <w:left w:val="nil"/>
              <w:bottom w:val="nil"/>
              <w:right w:val="nil"/>
            </w:tcBorders>
            <w:shd w:val="clear" w:color="auto" w:fill="auto"/>
            <w:vAlign w:val="center"/>
          </w:tcPr>
          <w:p w:rsidRPr="00DE54B0" w:rsidR="00F26764" w:rsidP="004C1302" w:rsidRDefault="00F26764" w14:paraId="1DF34763" w14:textId="77777777">
            <w:pPr>
              <w:spacing w:after="0" w:line="240" w:lineRule="auto"/>
              <w:jc w:val="right"/>
              <w:rPr>
                <w:rFonts w:ascii="Times New Roman" w:hAnsi="Times New Roman" w:eastAsia="Times New Roman" w:cs="Times New Roman"/>
                <w:color w:val="000000"/>
              </w:rPr>
            </w:pPr>
            <w:r w:rsidRPr="00DE54B0">
              <w:rPr>
                <w:rFonts w:ascii="Times New Roman" w:hAnsi="Times New Roman" w:eastAsia="Times New Roman" w:cs="Times New Roman"/>
                <w:color w:val="000000"/>
              </w:rPr>
              <w:t>5.</w:t>
            </w:r>
            <w:r>
              <w:rPr>
                <w:rFonts w:ascii="Times New Roman" w:hAnsi="Times New Roman" w:eastAsia="Times New Roman" w:cs="Times New Roman"/>
                <w:color w:val="000000"/>
              </w:rPr>
              <w:t>5</w:t>
            </w:r>
          </w:p>
        </w:tc>
        <w:tc>
          <w:tcPr>
            <w:tcW w:w="1121" w:type="dxa"/>
            <w:tcBorders>
              <w:top w:val="nil"/>
              <w:left w:val="nil"/>
              <w:bottom w:val="nil"/>
              <w:right w:val="nil"/>
            </w:tcBorders>
            <w:shd w:val="clear" w:color="auto" w:fill="auto"/>
            <w:noWrap/>
            <w:vAlign w:val="center"/>
            <w:hideMark/>
          </w:tcPr>
          <w:p w:rsidRPr="00DE54B0" w:rsidR="00F26764" w:rsidP="004C1302" w:rsidRDefault="00F26764" w14:paraId="19066142"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8.0</w:t>
            </w:r>
          </w:p>
        </w:tc>
      </w:tr>
      <w:tr w:rsidRPr="00DE54B0" w:rsidR="00F26764" w:rsidTr="004C1302" w14:paraId="5490E82E" w14:textId="77777777">
        <w:trPr>
          <w:trHeight w:val="345"/>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08353E0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Estimate (respondents prior to week 23)</w:t>
            </w:r>
            <w:r w:rsidRPr="00DE54B0">
              <w:rPr>
                <w:rFonts w:ascii="Times New Roman" w:hAnsi="Times New Roman" w:eastAsia="Times New Roman" w:cs="Times New Roman"/>
                <w:color w:val="000000"/>
                <w:vertAlign w:val="superscript"/>
              </w:rPr>
              <w:t>3</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7D9A3AB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20CAA92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1341" w:type="dxa"/>
            <w:tcBorders>
              <w:top w:val="nil"/>
              <w:left w:val="nil"/>
              <w:bottom w:val="nil"/>
              <w:right w:val="nil"/>
            </w:tcBorders>
            <w:shd w:val="clear" w:color="auto" w:fill="auto"/>
            <w:vAlign w:val="center"/>
          </w:tcPr>
          <w:p w:rsidRPr="00DE54B0" w:rsidR="00F26764" w:rsidP="004C1302" w:rsidRDefault="00F26764" w14:paraId="19C8F1CD" w14:textId="77777777">
            <w:pPr>
              <w:spacing w:after="0" w:line="240" w:lineRule="auto"/>
              <w:jc w:val="right"/>
              <w:rPr>
                <w:rFonts w:ascii="Times New Roman" w:hAnsi="Times New Roman" w:eastAsia="Times New Roman" w:cs="Times New Roman"/>
                <w:color w:val="000000"/>
              </w:rPr>
            </w:pPr>
            <w:r w:rsidRPr="00DE54B0">
              <w:rPr>
                <w:rFonts w:ascii="Times New Roman" w:hAnsi="Times New Roman" w:eastAsia="Times New Roman" w:cs="Times New Roman"/>
                <w:color w:val="000000"/>
              </w:rPr>
              <w:t>2.2 - 2.3</w:t>
            </w:r>
          </w:p>
        </w:tc>
        <w:tc>
          <w:tcPr>
            <w:tcW w:w="1121" w:type="dxa"/>
            <w:tcBorders>
              <w:top w:val="nil"/>
              <w:left w:val="nil"/>
              <w:bottom w:val="nil"/>
              <w:right w:val="nil"/>
            </w:tcBorders>
            <w:shd w:val="clear" w:color="auto" w:fill="auto"/>
            <w:noWrap/>
            <w:vAlign w:val="center"/>
            <w:hideMark/>
          </w:tcPr>
          <w:p w:rsidRPr="00DE54B0" w:rsidR="00F26764" w:rsidP="004C1302" w:rsidRDefault="00F26764" w14:paraId="4CF0FFC4"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3.1 - 3.2</w:t>
            </w:r>
          </w:p>
        </w:tc>
      </w:tr>
      <w:tr w:rsidRPr="00DE54B0" w:rsidR="00F26764" w:rsidTr="004C1302" w14:paraId="199A0E58" w14:textId="77777777">
        <w:trPr>
          <w:trHeight w:val="345"/>
          <w:jc w:val="center"/>
        </w:trPr>
        <w:tc>
          <w:tcPr>
            <w:tcW w:w="4060" w:type="dxa"/>
            <w:gridSpan w:val="2"/>
            <w:tcBorders>
              <w:top w:val="nil"/>
              <w:left w:val="nil"/>
              <w:bottom w:val="single" w:color="auto" w:sz="4" w:space="0"/>
              <w:right w:val="nil"/>
            </w:tcBorders>
            <w:shd w:val="clear" w:color="auto" w:fill="auto"/>
            <w:noWrap/>
            <w:vAlign w:val="center"/>
            <w:hideMark/>
          </w:tcPr>
          <w:p w:rsidRPr="00DE54B0" w:rsidR="00F26764" w:rsidP="004C1302" w:rsidRDefault="00F26764" w14:paraId="56280EB7"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Estimate (all respondents)</w:t>
            </w:r>
            <w:r w:rsidRPr="00DE54B0">
              <w:rPr>
                <w:rFonts w:ascii="Times New Roman" w:hAnsi="Times New Roman" w:eastAsia="Times New Roman" w:cs="Times New Roman"/>
                <w:color w:val="000000"/>
                <w:vertAlign w:val="superscript"/>
              </w:rPr>
              <w:t>4</w:t>
            </w:r>
          </w:p>
        </w:tc>
        <w:tc>
          <w:tcPr>
            <w:tcW w:w="2600" w:type="dxa"/>
            <w:tcBorders>
              <w:top w:val="nil"/>
              <w:left w:val="nil"/>
              <w:bottom w:val="single" w:color="auto" w:sz="4" w:space="0"/>
              <w:right w:val="nil"/>
            </w:tcBorders>
            <w:shd w:val="clear" w:color="auto" w:fill="auto"/>
            <w:noWrap/>
            <w:vAlign w:val="center"/>
            <w:hideMark/>
          </w:tcPr>
          <w:p w:rsidRPr="00DE54B0" w:rsidR="00F26764" w:rsidP="004C1302" w:rsidRDefault="00F26764" w14:paraId="59C972C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w:t>
            </w:r>
          </w:p>
        </w:tc>
        <w:tc>
          <w:tcPr>
            <w:tcW w:w="2302" w:type="dxa"/>
            <w:tcBorders>
              <w:top w:val="nil"/>
              <w:left w:val="nil"/>
              <w:bottom w:val="single" w:color="auto" w:sz="4" w:space="0"/>
              <w:right w:val="nil"/>
            </w:tcBorders>
            <w:shd w:val="clear" w:color="auto" w:fill="auto"/>
            <w:noWrap/>
            <w:vAlign w:val="center"/>
            <w:hideMark/>
          </w:tcPr>
          <w:p w:rsidRPr="00DE54B0" w:rsidR="00F26764" w:rsidP="004C1302" w:rsidRDefault="00F26764" w14:paraId="2045E0A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INC0L</w:t>
            </w:r>
          </w:p>
        </w:tc>
        <w:tc>
          <w:tcPr>
            <w:tcW w:w="1341" w:type="dxa"/>
            <w:tcBorders>
              <w:top w:val="nil"/>
              <w:left w:val="nil"/>
              <w:bottom w:val="single" w:color="auto" w:sz="4" w:space="0"/>
              <w:right w:val="nil"/>
            </w:tcBorders>
            <w:shd w:val="clear" w:color="auto" w:fill="auto"/>
            <w:vAlign w:val="center"/>
          </w:tcPr>
          <w:p w:rsidRPr="00DE54B0" w:rsidR="00F26764" w:rsidP="004C1302" w:rsidRDefault="00F26764" w14:paraId="33C8AA75" w14:textId="77777777">
            <w:pPr>
              <w:spacing w:after="0" w:line="240" w:lineRule="auto"/>
              <w:jc w:val="right"/>
              <w:rPr>
                <w:rFonts w:ascii="Times New Roman" w:hAnsi="Times New Roman" w:eastAsia="Times New Roman" w:cs="Times New Roman"/>
                <w:color w:val="000000"/>
              </w:rPr>
            </w:pPr>
            <w:r w:rsidRPr="00DE54B0">
              <w:rPr>
                <w:rFonts w:ascii="Times New Roman" w:hAnsi="Times New Roman" w:eastAsia="Times New Roman" w:cs="Times New Roman"/>
                <w:color w:val="000000"/>
              </w:rPr>
              <w:t>3.</w:t>
            </w:r>
            <w:r>
              <w:rPr>
                <w:rFonts w:ascii="Times New Roman" w:hAnsi="Times New Roman" w:eastAsia="Times New Roman" w:cs="Times New Roman"/>
                <w:color w:val="000000"/>
              </w:rPr>
              <w:t>1</w:t>
            </w:r>
          </w:p>
        </w:tc>
        <w:tc>
          <w:tcPr>
            <w:tcW w:w="1121" w:type="dxa"/>
            <w:tcBorders>
              <w:top w:val="nil"/>
              <w:left w:val="nil"/>
              <w:bottom w:val="single" w:color="auto" w:sz="4" w:space="0"/>
              <w:right w:val="nil"/>
            </w:tcBorders>
            <w:shd w:val="clear" w:color="auto" w:fill="auto"/>
            <w:noWrap/>
            <w:vAlign w:val="center"/>
            <w:hideMark/>
          </w:tcPr>
          <w:p w:rsidRPr="00DE54B0" w:rsidR="00F26764" w:rsidP="004C1302" w:rsidRDefault="00F26764" w14:paraId="34401608"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4.5</w:t>
            </w:r>
          </w:p>
        </w:tc>
      </w:tr>
      <w:tr w:rsidRPr="00DE54B0" w:rsidR="00F26764" w:rsidTr="004C1302" w14:paraId="166ADA98" w14:textId="77777777">
        <w:trPr>
          <w:trHeight w:val="300"/>
          <w:jc w:val="center"/>
        </w:trPr>
        <w:tc>
          <w:tcPr>
            <w:tcW w:w="11424" w:type="dxa"/>
            <w:gridSpan w:val="6"/>
            <w:tcBorders>
              <w:top w:val="nil"/>
              <w:left w:val="nil"/>
              <w:bottom w:val="nil"/>
              <w:right w:val="nil"/>
            </w:tcBorders>
          </w:tcPr>
          <w:p w:rsidRPr="00DE54B0" w:rsidR="00F26764" w:rsidP="004C1302" w:rsidRDefault="00F26764" w14:paraId="46250CDA"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1</w:t>
            </w:r>
            <w:r w:rsidRPr="00DE54B0">
              <w:rPr>
                <w:rFonts w:ascii="Times New Roman" w:hAnsi="Times New Roman" w:eastAsia="Times New Roman" w:cs="Times New Roman"/>
                <w:color w:val="000000"/>
                <w:sz w:val="18"/>
                <w:szCs w:val="18"/>
              </w:rPr>
              <w:t xml:space="preserve">Response rate comparisons by prepaid incentive amount use response rates prior to week 23 to avoid confounding by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incentive.</w:t>
            </w:r>
          </w:p>
        </w:tc>
      </w:tr>
      <w:tr w:rsidRPr="00DE54B0" w:rsidR="00F26764" w:rsidTr="004C1302" w14:paraId="5EF24F57" w14:textId="77777777">
        <w:trPr>
          <w:trHeight w:val="300"/>
          <w:jc w:val="center"/>
        </w:trPr>
        <w:tc>
          <w:tcPr>
            <w:tcW w:w="11424" w:type="dxa"/>
            <w:gridSpan w:val="6"/>
            <w:tcBorders>
              <w:top w:val="nil"/>
              <w:left w:val="nil"/>
              <w:bottom w:val="nil"/>
              <w:right w:val="nil"/>
            </w:tcBorders>
          </w:tcPr>
          <w:p w:rsidRPr="00DE54B0" w:rsidR="00F26764" w:rsidP="004C1302" w:rsidRDefault="00F26764" w14:paraId="1C50B311"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2</w:t>
            </w:r>
            <w:r w:rsidRPr="00DE54B0">
              <w:rPr>
                <w:rFonts w:ascii="Times New Roman" w:hAnsi="Times New Roman" w:eastAsia="Times New Roman" w:cs="Times New Roman"/>
                <w:color w:val="000000"/>
                <w:sz w:val="18"/>
                <w:szCs w:val="18"/>
              </w:rPr>
              <w:t xml:space="preserve">Response rate comparisons of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vs. no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groups focus on the incremental response rate after week 23, because </w:t>
            </w:r>
            <w:r>
              <w:rPr>
                <w:rFonts w:ascii="Times New Roman" w:hAnsi="Times New Roman" w:eastAsia="Times New Roman" w:cs="Times New Roman"/>
                <w:color w:val="000000"/>
                <w:sz w:val="18"/>
                <w:szCs w:val="18"/>
              </w:rPr>
              <w:t>this is the mailing at which the late-stage incentive is sent.</w:t>
            </w:r>
          </w:p>
        </w:tc>
      </w:tr>
      <w:tr w:rsidRPr="00DE54B0" w:rsidR="00F26764" w:rsidTr="004C1302" w14:paraId="31B84C50" w14:textId="77777777">
        <w:trPr>
          <w:trHeight w:val="300"/>
          <w:jc w:val="center"/>
        </w:trPr>
        <w:tc>
          <w:tcPr>
            <w:tcW w:w="11424" w:type="dxa"/>
            <w:gridSpan w:val="6"/>
            <w:tcBorders>
              <w:top w:val="nil"/>
              <w:left w:val="nil"/>
              <w:bottom w:val="nil"/>
              <w:right w:val="nil"/>
            </w:tcBorders>
          </w:tcPr>
          <w:p w:rsidRPr="00DE54B0" w:rsidR="00F26764" w:rsidP="004C1302" w:rsidRDefault="00F26764" w14:paraId="10DAB757"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3</w:t>
            </w:r>
            <w:r w:rsidRPr="00DE54B0">
              <w:rPr>
                <w:rFonts w:ascii="Times New Roman" w:hAnsi="Times New Roman" w:eastAsia="Times New Roman" w:cs="Times New Roman"/>
                <w:color w:val="000000"/>
                <w:sz w:val="18"/>
                <w:szCs w:val="18"/>
              </w:rPr>
              <w:t xml:space="preserve">Comparisons of key estimates by prepaid incentive amount are restricted to respondents prior to week 23 to avoid confounding by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incentive.</w:t>
            </w:r>
            <w:r>
              <w:rPr>
                <w:rFonts w:ascii="Times New Roman" w:hAnsi="Times New Roman" w:eastAsia="Times New Roman" w:cs="Times New Roman"/>
                <w:color w:val="000000"/>
                <w:sz w:val="18"/>
                <w:szCs w:val="18"/>
              </w:rPr>
              <w:t xml:space="preserve"> Detectable differences vary for this comparison because the response rate was assumed to be lower than average in INC0+INC0L and higher than average in INC30; therefore, the detectable difference depends in the specific groups between which estimates are compared.</w:t>
            </w:r>
          </w:p>
        </w:tc>
      </w:tr>
      <w:tr w:rsidRPr="00DE54B0" w:rsidR="00F26764" w:rsidTr="004C1302" w14:paraId="6FCEC4D7" w14:textId="77777777">
        <w:trPr>
          <w:trHeight w:val="300"/>
          <w:jc w:val="center"/>
        </w:trPr>
        <w:tc>
          <w:tcPr>
            <w:tcW w:w="11424" w:type="dxa"/>
            <w:gridSpan w:val="6"/>
            <w:tcBorders>
              <w:top w:val="nil"/>
              <w:left w:val="nil"/>
              <w:bottom w:val="nil"/>
              <w:right w:val="nil"/>
            </w:tcBorders>
          </w:tcPr>
          <w:p w:rsidRPr="00DE54B0" w:rsidR="00F26764" w:rsidP="004C1302" w:rsidRDefault="00F26764" w14:paraId="06546C63"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4</w:t>
            </w:r>
            <w:r w:rsidRPr="00DE54B0">
              <w:rPr>
                <w:rFonts w:ascii="Times New Roman" w:hAnsi="Times New Roman" w:eastAsia="Times New Roman" w:cs="Times New Roman"/>
                <w:color w:val="000000"/>
                <w:sz w:val="18"/>
                <w:szCs w:val="18"/>
              </w:rPr>
              <w:t xml:space="preserve">Comparisons of key estimates by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incentive amount use all respondents to evaluate the effect of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incentive on the final respondent composition.</w:t>
            </w:r>
          </w:p>
        </w:tc>
      </w:tr>
      <w:tr w:rsidRPr="00DE54B0" w:rsidR="00F26764" w:rsidTr="004C1302" w14:paraId="590DB09F" w14:textId="77777777">
        <w:trPr>
          <w:trHeight w:val="300"/>
          <w:jc w:val="center"/>
        </w:trPr>
        <w:tc>
          <w:tcPr>
            <w:tcW w:w="11424" w:type="dxa"/>
            <w:gridSpan w:val="6"/>
            <w:tcBorders>
              <w:top w:val="nil"/>
              <w:left w:val="nil"/>
              <w:bottom w:val="nil"/>
              <w:right w:val="nil"/>
            </w:tcBorders>
          </w:tcPr>
          <w:p w:rsidRPr="00DE54B0" w:rsidR="00F26764" w:rsidP="004C1302" w:rsidRDefault="00F26764" w14:paraId="6A6252C1"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rPr>
              <w:t>NOTE: "INC0+INC0L" refers to INC0 and INC0L combined.</w:t>
            </w:r>
            <w:r>
              <w:rPr>
                <w:rFonts w:ascii="Times New Roman" w:hAnsi="Times New Roman" w:eastAsia="Times New Roman" w:cs="Times New Roman"/>
                <w:color w:val="000000"/>
                <w:sz w:val="18"/>
                <w:szCs w:val="18"/>
              </w:rPr>
              <w:t xml:space="preserve"> Calculations assume a total sample size of 43,200. The unweighted detectable difference is calculated ignoring the design effect and is therefore the detectable difference at the sample level. The weighted detectable difference is calculated assuming a design effect of 2 and is therefore the detectable difference at the population level. Detectable differences reflect a power requirement of 0.8 and a required significance level of 0.05.</w:t>
            </w:r>
          </w:p>
        </w:tc>
      </w:tr>
    </w:tbl>
    <w:p w:rsidR="00F26764" w:rsidP="00483675" w:rsidRDefault="00F26764" w14:paraId="51F725E4" w14:textId="7D3D9CEC">
      <w:pPr>
        <w:rPr>
          <w:rFonts w:ascii="Times New Roman" w:hAnsi="Times New Roman" w:cs="Times New Roman"/>
          <w:sz w:val="24"/>
          <w:szCs w:val="24"/>
        </w:rPr>
      </w:pPr>
    </w:p>
    <w:p w:rsidR="00F26764" w:rsidP="00483675" w:rsidRDefault="00F26764" w14:paraId="3FBA0FC8" w14:textId="5FFC43D8">
      <w:pPr>
        <w:rPr>
          <w:rFonts w:ascii="Times New Roman" w:hAnsi="Times New Roman" w:cs="Times New Roman"/>
          <w:sz w:val="24"/>
          <w:szCs w:val="24"/>
        </w:rPr>
      </w:pPr>
    </w:p>
    <w:p w:rsidR="00F26764" w:rsidP="00483675" w:rsidRDefault="00F26764" w14:paraId="6BC3ADA7" w14:textId="073F3CF2">
      <w:pPr>
        <w:rPr>
          <w:rFonts w:ascii="Times New Roman" w:hAnsi="Times New Roman" w:cs="Times New Roman"/>
          <w:sz w:val="24"/>
          <w:szCs w:val="24"/>
        </w:rPr>
      </w:pPr>
    </w:p>
    <w:p w:rsidR="00F26764" w:rsidP="00483675" w:rsidRDefault="00F26764" w14:paraId="2011BFB8" w14:textId="63F4CB56">
      <w:pPr>
        <w:rPr>
          <w:rFonts w:ascii="Times New Roman" w:hAnsi="Times New Roman" w:cs="Times New Roman"/>
          <w:sz w:val="24"/>
          <w:szCs w:val="24"/>
        </w:rPr>
      </w:pPr>
    </w:p>
    <w:p w:rsidR="00F26764" w:rsidP="00483675" w:rsidRDefault="00F26764" w14:paraId="412985BF" w14:textId="70FCD29D">
      <w:pPr>
        <w:rPr>
          <w:rFonts w:ascii="Times New Roman" w:hAnsi="Times New Roman" w:cs="Times New Roman"/>
          <w:sz w:val="24"/>
          <w:szCs w:val="24"/>
        </w:rPr>
      </w:pPr>
    </w:p>
    <w:tbl>
      <w:tblPr>
        <w:tblW w:w="11624" w:type="dxa"/>
        <w:jc w:val="center"/>
        <w:tblLook w:val="04A0" w:firstRow="1" w:lastRow="0" w:firstColumn="1" w:lastColumn="0" w:noHBand="0" w:noVBand="1"/>
      </w:tblPr>
      <w:tblGrid>
        <w:gridCol w:w="1350"/>
        <w:gridCol w:w="2230"/>
        <w:gridCol w:w="2791"/>
        <w:gridCol w:w="2791"/>
        <w:gridCol w:w="1341"/>
        <w:gridCol w:w="1121"/>
      </w:tblGrid>
      <w:tr w:rsidRPr="00DE54B0" w:rsidR="00F26764" w:rsidTr="004C1302" w14:paraId="2B3DCB4F" w14:textId="77777777">
        <w:trPr>
          <w:trHeight w:val="315"/>
          <w:jc w:val="center"/>
        </w:trPr>
        <w:tc>
          <w:tcPr>
            <w:tcW w:w="1350" w:type="dxa"/>
            <w:tcBorders>
              <w:top w:val="nil"/>
              <w:left w:val="nil"/>
              <w:bottom w:val="single" w:color="auto" w:sz="12" w:space="0"/>
              <w:right w:val="nil"/>
            </w:tcBorders>
            <w:shd w:val="clear" w:color="auto" w:fill="auto"/>
            <w:noWrap/>
            <w:hideMark/>
          </w:tcPr>
          <w:p w:rsidRPr="00DE54B0" w:rsidR="00F26764" w:rsidP="004C1302" w:rsidRDefault="00F26764" w14:paraId="6FB07A50" w14:textId="77777777">
            <w:pPr>
              <w:spacing w:after="0" w:line="240" w:lineRule="auto"/>
              <w:rPr>
                <w:rFonts w:ascii="Times New Roman" w:hAnsi="Times New Roman" w:eastAsia="Times New Roman" w:cs="Times New Roman"/>
                <w:color w:val="000000"/>
              </w:rPr>
            </w:pPr>
            <w:r w:rsidRPr="0057488C">
              <w:rPr>
                <w:rFonts w:ascii="Times New Roman" w:hAnsi="Times New Roman" w:eastAsia="Times New Roman" w:cs="Times New Roman"/>
                <w:color w:val="000000"/>
              </w:rPr>
              <w:lastRenderedPageBreak/>
              <w:t>Table L.3.</w:t>
            </w:r>
          </w:p>
        </w:tc>
        <w:tc>
          <w:tcPr>
            <w:tcW w:w="10274" w:type="dxa"/>
            <w:gridSpan w:val="5"/>
            <w:tcBorders>
              <w:top w:val="nil"/>
              <w:left w:val="nil"/>
              <w:bottom w:val="single" w:color="auto" w:sz="12" w:space="0"/>
              <w:right w:val="nil"/>
            </w:tcBorders>
          </w:tcPr>
          <w:p w:rsidRPr="00DE54B0" w:rsidR="00F26764" w:rsidP="004C1302" w:rsidRDefault="00F26764" w14:paraId="6051552F"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Detectable differences for comparisons between any two contact</w:t>
            </w:r>
            <w:r>
              <w:rPr>
                <w:rFonts w:ascii="Times New Roman" w:hAnsi="Times New Roman" w:eastAsia="Times New Roman" w:cs="Times New Roman"/>
                <w:color w:val="000000"/>
              </w:rPr>
              <w:t>-</w:t>
            </w:r>
            <w:r w:rsidRPr="00DE54B0">
              <w:rPr>
                <w:rFonts w:ascii="Times New Roman" w:hAnsi="Times New Roman" w:eastAsia="Times New Roman" w:cs="Times New Roman"/>
                <w:color w:val="000000"/>
              </w:rPr>
              <w:t>strategy treatments</w:t>
            </w:r>
            <w:r>
              <w:rPr>
                <w:rFonts w:ascii="Times New Roman" w:hAnsi="Times New Roman" w:eastAsia="Times New Roman" w:cs="Times New Roman"/>
                <w:color w:val="000000"/>
              </w:rPr>
              <w:t>, 0.1 significance level</w:t>
            </w:r>
          </w:p>
        </w:tc>
      </w:tr>
      <w:tr w:rsidRPr="00DE54B0" w:rsidR="00F26764" w:rsidTr="004C1302" w14:paraId="7CF941CA" w14:textId="77777777">
        <w:trPr>
          <w:trHeight w:val="375"/>
          <w:jc w:val="center"/>
        </w:trPr>
        <w:tc>
          <w:tcPr>
            <w:tcW w:w="3580" w:type="dxa"/>
            <w:gridSpan w:val="2"/>
            <w:vMerge w:val="restart"/>
            <w:tcBorders>
              <w:top w:val="single" w:color="auto" w:sz="12" w:space="0"/>
              <w:left w:val="nil"/>
              <w:bottom w:val="single" w:color="auto" w:sz="4" w:space="0"/>
              <w:right w:val="nil"/>
            </w:tcBorders>
            <w:shd w:val="clear" w:color="auto" w:fill="auto"/>
            <w:noWrap/>
            <w:vAlign w:val="bottom"/>
          </w:tcPr>
          <w:p w:rsidRPr="00DE54B0" w:rsidR="00F26764" w:rsidP="004C1302" w:rsidRDefault="00F26764" w14:paraId="7CAD6A5D"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Parameter</w:t>
            </w:r>
          </w:p>
        </w:tc>
        <w:tc>
          <w:tcPr>
            <w:tcW w:w="2791" w:type="dxa"/>
            <w:vMerge w:val="restart"/>
            <w:tcBorders>
              <w:top w:val="single" w:color="auto" w:sz="12" w:space="0"/>
              <w:left w:val="nil"/>
              <w:bottom w:val="single" w:color="auto" w:sz="4" w:space="0"/>
              <w:right w:val="nil"/>
            </w:tcBorders>
            <w:shd w:val="clear" w:color="auto" w:fill="auto"/>
            <w:noWrap/>
            <w:vAlign w:val="bottom"/>
          </w:tcPr>
          <w:p w:rsidRPr="00DE54B0" w:rsidR="00F26764" w:rsidP="004C1302" w:rsidRDefault="00F26764" w14:paraId="23D67BBB"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Control group</w:t>
            </w:r>
          </w:p>
        </w:tc>
        <w:tc>
          <w:tcPr>
            <w:tcW w:w="2791" w:type="dxa"/>
            <w:vMerge w:val="restart"/>
            <w:tcBorders>
              <w:top w:val="single" w:color="auto" w:sz="12" w:space="0"/>
              <w:left w:val="nil"/>
              <w:bottom w:val="single" w:color="auto" w:sz="4" w:space="0"/>
              <w:right w:val="nil"/>
            </w:tcBorders>
            <w:shd w:val="clear" w:color="auto" w:fill="auto"/>
            <w:noWrap/>
            <w:vAlign w:val="bottom"/>
          </w:tcPr>
          <w:p w:rsidRPr="00DE54B0" w:rsidR="00F26764" w:rsidP="004C1302" w:rsidRDefault="00F26764" w14:paraId="765577D7"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Treatment group</w:t>
            </w:r>
          </w:p>
        </w:tc>
        <w:tc>
          <w:tcPr>
            <w:tcW w:w="2462" w:type="dxa"/>
            <w:gridSpan w:val="2"/>
            <w:tcBorders>
              <w:top w:val="single" w:color="auto" w:sz="12" w:space="0"/>
              <w:left w:val="nil"/>
              <w:bottom w:val="single" w:color="auto" w:sz="4" w:space="0"/>
              <w:right w:val="nil"/>
            </w:tcBorders>
          </w:tcPr>
          <w:p w:rsidRPr="00DE54B0" w:rsidR="00F26764" w:rsidP="004C1302" w:rsidRDefault="00F26764" w14:paraId="47E37B2D" w14:textId="77777777">
            <w:pPr>
              <w:spacing w:after="0" w:line="240" w:lineRule="auto"/>
              <w:jc w:val="center"/>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Detectable difference (percentage points)</w:t>
            </w:r>
          </w:p>
        </w:tc>
      </w:tr>
      <w:tr w:rsidRPr="00DE54B0" w:rsidR="00F26764" w:rsidTr="004C1302" w14:paraId="34961DCE" w14:textId="77777777">
        <w:trPr>
          <w:trHeight w:val="168"/>
          <w:jc w:val="center"/>
        </w:trPr>
        <w:tc>
          <w:tcPr>
            <w:tcW w:w="3580" w:type="dxa"/>
            <w:gridSpan w:val="2"/>
            <w:vMerge/>
            <w:tcBorders>
              <w:top w:val="single" w:color="auto" w:sz="4" w:space="0"/>
              <w:left w:val="nil"/>
              <w:bottom w:val="single" w:color="auto" w:sz="12" w:space="0"/>
              <w:right w:val="nil"/>
            </w:tcBorders>
            <w:shd w:val="clear" w:color="auto" w:fill="auto"/>
            <w:noWrap/>
            <w:vAlign w:val="bottom"/>
            <w:hideMark/>
          </w:tcPr>
          <w:p w:rsidRPr="00DE54B0" w:rsidR="00F26764" w:rsidP="004C1302" w:rsidRDefault="00F26764" w14:paraId="015DD76D" w14:textId="77777777">
            <w:pPr>
              <w:spacing w:after="0" w:line="240" w:lineRule="auto"/>
              <w:rPr>
                <w:rFonts w:ascii="Times New Roman" w:hAnsi="Times New Roman" w:eastAsia="Times New Roman" w:cs="Times New Roman"/>
                <w:b/>
                <w:bCs/>
                <w:color w:val="000000"/>
              </w:rPr>
            </w:pPr>
          </w:p>
        </w:tc>
        <w:tc>
          <w:tcPr>
            <w:tcW w:w="2791" w:type="dxa"/>
            <w:vMerge/>
            <w:tcBorders>
              <w:top w:val="single" w:color="auto" w:sz="4" w:space="0"/>
              <w:left w:val="nil"/>
              <w:bottom w:val="single" w:color="auto" w:sz="12" w:space="0"/>
              <w:right w:val="nil"/>
            </w:tcBorders>
            <w:shd w:val="clear" w:color="auto" w:fill="auto"/>
            <w:noWrap/>
            <w:vAlign w:val="bottom"/>
            <w:hideMark/>
          </w:tcPr>
          <w:p w:rsidRPr="00DE54B0" w:rsidR="00F26764" w:rsidP="004C1302" w:rsidRDefault="00F26764" w14:paraId="081E1996" w14:textId="77777777">
            <w:pPr>
              <w:spacing w:after="0" w:line="240" w:lineRule="auto"/>
              <w:rPr>
                <w:rFonts w:ascii="Times New Roman" w:hAnsi="Times New Roman" w:eastAsia="Times New Roman" w:cs="Times New Roman"/>
                <w:b/>
                <w:bCs/>
                <w:color w:val="000000"/>
              </w:rPr>
            </w:pPr>
          </w:p>
        </w:tc>
        <w:tc>
          <w:tcPr>
            <w:tcW w:w="2791" w:type="dxa"/>
            <w:vMerge/>
            <w:tcBorders>
              <w:top w:val="single" w:color="auto" w:sz="4" w:space="0"/>
              <w:left w:val="nil"/>
              <w:bottom w:val="single" w:color="auto" w:sz="12" w:space="0"/>
              <w:right w:val="nil"/>
            </w:tcBorders>
            <w:shd w:val="clear" w:color="auto" w:fill="auto"/>
            <w:noWrap/>
            <w:vAlign w:val="bottom"/>
            <w:hideMark/>
          </w:tcPr>
          <w:p w:rsidRPr="00DE54B0" w:rsidR="00F26764" w:rsidP="004C1302" w:rsidRDefault="00F26764" w14:paraId="05C850AF" w14:textId="77777777">
            <w:pPr>
              <w:spacing w:after="0" w:line="240" w:lineRule="auto"/>
              <w:rPr>
                <w:rFonts w:ascii="Times New Roman" w:hAnsi="Times New Roman" w:eastAsia="Times New Roman" w:cs="Times New Roman"/>
                <w:b/>
                <w:bCs/>
                <w:color w:val="000000"/>
              </w:rPr>
            </w:pPr>
          </w:p>
        </w:tc>
        <w:tc>
          <w:tcPr>
            <w:tcW w:w="1341" w:type="dxa"/>
            <w:tcBorders>
              <w:top w:val="single" w:color="auto" w:sz="4" w:space="0"/>
              <w:left w:val="nil"/>
              <w:bottom w:val="single" w:color="auto" w:sz="12" w:space="0"/>
              <w:right w:val="nil"/>
            </w:tcBorders>
            <w:vAlign w:val="bottom"/>
          </w:tcPr>
          <w:p w:rsidRPr="00DE54B0" w:rsidR="00F26764" w:rsidP="004C1302" w:rsidRDefault="00F26764" w14:paraId="70CC0999" w14:textId="77777777">
            <w:pPr>
              <w:spacing w:after="0" w:line="240" w:lineRule="auto"/>
              <w:jc w:val="right"/>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Unweighted</w:t>
            </w:r>
          </w:p>
        </w:tc>
        <w:tc>
          <w:tcPr>
            <w:tcW w:w="1121" w:type="dxa"/>
            <w:tcBorders>
              <w:top w:val="single" w:color="auto" w:sz="4" w:space="0"/>
              <w:left w:val="nil"/>
              <w:bottom w:val="single" w:color="auto" w:sz="12" w:space="0"/>
              <w:right w:val="nil"/>
            </w:tcBorders>
            <w:shd w:val="clear" w:color="auto" w:fill="auto"/>
            <w:vAlign w:val="bottom"/>
            <w:hideMark/>
          </w:tcPr>
          <w:p w:rsidRPr="00DE54B0" w:rsidR="00F26764" w:rsidP="004C1302" w:rsidRDefault="00F26764" w14:paraId="5E9927BB" w14:textId="77777777">
            <w:pPr>
              <w:spacing w:after="0" w:line="240" w:lineRule="auto"/>
              <w:jc w:val="right"/>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Weighted</w:t>
            </w:r>
          </w:p>
        </w:tc>
      </w:tr>
      <w:tr w:rsidRPr="00DE54B0" w:rsidR="00F26764" w:rsidTr="004C1302" w14:paraId="39FBED04" w14:textId="77777777">
        <w:trPr>
          <w:trHeight w:val="315"/>
          <w:jc w:val="center"/>
        </w:trPr>
        <w:tc>
          <w:tcPr>
            <w:tcW w:w="3580" w:type="dxa"/>
            <w:gridSpan w:val="2"/>
            <w:vMerge w:val="restart"/>
            <w:tcBorders>
              <w:top w:val="nil"/>
              <w:left w:val="nil"/>
              <w:bottom w:val="nil"/>
              <w:right w:val="nil"/>
            </w:tcBorders>
            <w:shd w:val="clear" w:color="auto" w:fill="auto"/>
            <w:noWrap/>
            <w:vAlign w:val="center"/>
            <w:hideMark/>
          </w:tcPr>
          <w:p w:rsidRPr="00DE54B0" w:rsidR="00F26764" w:rsidP="004C1302" w:rsidRDefault="00F26764" w14:paraId="7E023EC0"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Response rate</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372E4090"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046FB50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1341" w:type="dxa"/>
            <w:tcBorders>
              <w:top w:val="nil"/>
              <w:left w:val="nil"/>
              <w:bottom w:val="nil"/>
              <w:right w:val="nil"/>
            </w:tcBorders>
            <w:shd w:val="clear" w:color="auto" w:fill="auto"/>
            <w:vAlign w:val="bottom"/>
          </w:tcPr>
          <w:p w:rsidRPr="00E93273" w:rsidR="00F26764" w:rsidP="004C1302" w:rsidRDefault="00F26764" w14:paraId="4C8153F1"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1.</w:t>
            </w:r>
            <w:r>
              <w:rPr>
                <w:rFonts w:ascii="Times New Roman" w:hAnsi="Times New Roman" w:cs="Times New Roman"/>
              </w:rPr>
              <w:t>7</w:t>
            </w:r>
          </w:p>
        </w:tc>
        <w:tc>
          <w:tcPr>
            <w:tcW w:w="1121" w:type="dxa"/>
            <w:tcBorders>
              <w:top w:val="nil"/>
              <w:left w:val="nil"/>
              <w:bottom w:val="nil"/>
              <w:right w:val="nil"/>
            </w:tcBorders>
            <w:shd w:val="clear" w:color="auto" w:fill="auto"/>
            <w:noWrap/>
            <w:vAlign w:val="bottom"/>
          </w:tcPr>
          <w:p w:rsidRPr="00E93273" w:rsidR="00F26764" w:rsidP="004C1302" w:rsidRDefault="00F26764" w14:paraId="187E2270"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2.5</w:t>
            </w:r>
          </w:p>
        </w:tc>
      </w:tr>
      <w:tr w:rsidRPr="00DE54B0" w:rsidR="00F26764" w:rsidTr="004C1302" w14:paraId="52F80188"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10C0937D"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46E6DE81"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21F2C844"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1341" w:type="dxa"/>
            <w:tcBorders>
              <w:top w:val="nil"/>
              <w:left w:val="nil"/>
              <w:bottom w:val="nil"/>
              <w:right w:val="nil"/>
            </w:tcBorders>
            <w:shd w:val="clear" w:color="auto" w:fill="auto"/>
            <w:vAlign w:val="bottom"/>
          </w:tcPr>
          <w:p w:rsidRPr="00E93273" w:rsidR="00F26764" w:rsidP="004C1302" w:rsidRDefault="00F26764" w14:paraId="79F9A487"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2.1</w:t>
            </w:r>
          </w:p>
        </w:tc>
        <w:tc>
          <w:tcPr>
            <w:tcW w:w="1121" w:type="dxa"/>
            <w:tcBorders>
              <w:top w:val="nil"/>
              <w:left w:val="nil"/>
              <w:bottom w:val="nil"/>
              <w:right w:val="nil"/>
            </w:tcBorders>
            <w:shd w:val="clear" w:color="auto" w:fill="auto"/>
            <w:noWrap/>
            <w:vAlign w:val="bottom"/>
          </w:tcPr>
          <w:p w:rsidRPr="00E93273" w:rsidR="00F26764" w:rsidP="004C1302" w:rsidRDefault="00F26764" w14:paraId="7929C859"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3.0</w:t>
            </w:r>
          </w:p>
        </w:tc>
      </w:tr>
      <w:tr w:rsidRPr="00DE54B0" w:rsidR="00F26764" w:rsidTr="004C1302" w14:paraId="31AB7CB6"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0F5F9A59"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61B0F6F0"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CFE2E47"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CHOICEPLUS</w:t>
            </w:r>
          </w:p>
        </w:tc>
        <w:tc>
          <w:tcPr>
            <w:tcW w:w="1341" w:type="dxa"/>
            <w:tcBorders>
              <w:top w:val="nil"/>
              <w:left w:val="nil"/>
              <w:bottom w:val="nil"/>
              <w:right w:val="nil"/>
            </w:tcBorders>
            <w:shd w:val="clear" w:color="auto" w:fill="auto"/>
            <w:vAlign w:val="bottom"/>
          </w:tcPr>
          <w:p w:rsidRPr="00E93273" w:rsidR="00F26764" w:rsidP="004C1302" w:rsidRDefault="00F26764" w14:paraId="1E423283"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2.5</w:t>
            </w:r>
          </w:p>
        </w:tc>
        <w:tc>
          <w:tcPr>
            <w:tcW w:w="1121" w:type="dxa"/>
            <w:tcBorders>
              <w:top w:val="nil"/>
              <w:left w:val="nil"/>
              <w:bottom w:val="nil"/>
              <w:right w:val="nil"/>
            </w:tcBorders>
            <w:shd w:val="clear" w:color="auto" w:fill="auto"/>
            <w:noWrap/>
            <w:vAlign w:val="bottom"/>
          </w:tcPr>
          <w:p w:rsidRPr="00E93273" w:rsidR="00F26764" w:rsidP="004C1302" w:rsidRDefault="00F26764" w14:paraId="6C988176"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3.5</w:t>
            </w:r>
          </w:p>
        </w:tc>
      </w:tr>
      <w:tr w:rsidRPr="00DE54B0" w:rsidR="00F26764" w:rsidTr="004C1302" w14:paraId="05EAFC28"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1ADC1AE0"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08FFC52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73BA22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41" w:type="dxa"/>
            <w:tcBorders>
              <w:top w:val="nil"/>
              <w:left w:val="nil"/>
              <w:bottom w:val="nil"/>
              <w:right w:val="nil"/>
            </w:tcBorders>
            <w:shd w:val="clear" w:color="auto" w:fill="auto"/>
            <w:vAlign w:val="bottom"/>
          </w:tcPr>
          <w:p w:rsidRPr="00E93273" w:rsidR="00F26764" w:rsidP="004C1302" w:rsidRDefault="00F26764" w14:paraId="25C91128"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2.2</w:t>
            </w:r>
          </w:p>
        </w:tc>
        <w:tc>
          <w:tcPr>
            <w:tcW w:w="1121" w:type="dxa"/>
            <w:tcBorders>
              <w:top w:val="nil"/>
              <w:left w:val="nil"/>
              <w:bottom w:val="nil"/>
              <w:right w:val="nil"/>
            </w:tcBorders>
            <w:shd w:val="clear" w:color="auto" w:fill="auto"/>
            <w:noWrap/>
            <w:vAlign w:val="bottom"/>
          </w:tcPr>
          <w:p w:rsidRPr="00E93273" w:rsidR="00F26764" w:rsidP="004C1302" w:rsidRDefault="00F26764" w14:paraId="2DA3F496"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w:t>
            </w:r>
            <w:r>
              <w:rPr>
                <w:rFonts w:ascii="Times New Roman" w:hAnsi="Times New Roman" w:cs="Times New Roman"/>
              </w:rPr>
              <w:t>1</w:t>
            </w:r>
          </w:p>
        </w:tc>
      </w:tr>
      <w:tr w:rsidRPr="00DE54B0" w:rsidR="00F26764" w:rsidTr="004C1302" w14:paraId="6ED5A07F"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22D83FF5"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D1A6109"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809779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41" w:type="dxa"/>
            <w:tcBorders>
              <w:top w:val="nil"/>
              <w:left w:val="nil"/>
              <w:bottom w:val="nil"/>
              <w:right w:val="nil"/>
            </w:tcBorders>
            <w:shd w:val="clear" w:color="auto" w:fill="auto"/>
            <w:vAlign w:val="bottom"/>
          </w:tcPr>
          <w:p w:rsidRPr="00E93273" w:rsidR="00F26764" w:rsidP="004C1302" w:rsidRDefault="00F26764" w14:paraId="7E3E26E8"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w:t>
            </w:r>
            <w:r>
              <w:rPr>
                <w:rFonts w:ascii="Times New Roman" w:hAnsi="Times New Roman" w:cs="Times New Roman"/>
              </w:rPr>
              <w:t>5</w:t>
            </w:r>
          </w:p>
        </w:tc>
        <w:tc>
          <w:tcPr>
            <w:tcW w:w="1121" w:type="dxa"/>
            <w:tcBorders>
              <w:top w:val="nil"/>
              <w:left w:val="nil"/>
              <w:bottom w:val="nil"/>
              <w:right w:val="nil"/>
            </w:tcBorders>
            <w:shd w:val="clear" w:color="auto" w:fill="auto"/>
            <w:noWrap/>
            <w:vAlign w:val="bottom"/>
          </w:tcPr>
          <w:p w:rsidRPr="00E93273" w:rsidR="00F26764" w:rsidP="004C1302" w:rsidRDefault="00F26764" w14:paraId="31679BED"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3.6</w:t>
            </w:r>
          </w:p>
        </w:tc>
      </w:tr>
      <w:tr w:rsidRPr="00DE54B0" w:rsidR="00F26764" w:rsidTr="004C1302" w14:paraId="646F520B" w14:textId="77777777">
        <w:trPr>
          <w:trHeight w:val="300"/>
          <w:jc w:val="center"/>
        </w:trPr>
        <w:tc>
          <w:tcPr>
            <w:tcW w:w="3580" w:type="dxa"/>
            <w:gridSpan w:val="2"/>
            <w:vMerge w:val="restart"/>
            <w:tcBorders>
              <w:top w:val="dashed" w:color="auto" w:sz="4" w:space="0"/>
              <w:left w:val="nil"/>
              <w:bottom w:val="dashed" w:color="000000" w:sz="4" w:space="0"/>
              <w:right w:val="nil"/>
            </w:tcBorders>
            <w:shd w:val="clear" w:color="auto" w:fill="auto"/>
            <w:noWrap/>
            <w:vAlign w:val="center"/>
            <w:hideMark/>
          </w:tcPr>
          <w:p w:rsidRPr="00DE54B0" w:rsidR="00F26764" w:rsidP="004C1302" w:rsidRDefault="00F26764" w14:paraId="147B1A5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Response rate within 25% subgroup</w:t>
            </w:r>
          </w:p>
        </w:tc>
        <w:tc>
          <w:tcPr>
            <w:tcW w:w="2791" w:type="dxa"/>
            <w:tcBorders>
              <w:top w:val="dashed" w:color="auto" w:sz="4" w:space="0"/>
              <w:left w:val="nil"/>
              <w:bottom w:val="nil"/>
              <w:right w:val="nil"/>
            </w:tcBorders>
            <w:shd w:val="clear" w:color="auto" w:fill="auto"/>
            <w:noWrap/>
            <w:vAlign w:val="bottom"/>
            <w:hideMark/>
          </w:tcPr>
          <w:p w:rsidRPr="00DE54B0" w:rsidR="00F26764" w:rsidP="004C1302" w:rsidRDefault="00F26764" w14:paraId="51ADDB76"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dashed" w:color="auto" w:sz="4" w:space="0"/>
              <w:left w:val="nil"/>
              <w:bottom w:val="nil"/>
              <w:right w:val="nil"/>
            </w:tcBorders>
            <w:shd w:val="clear" w:color="auto" w:fill="auto"/>
            <w:noWrap/>
            <w:vAlign w:val="bottom"/>
            <w:hideMark/>
          </w:tcPr>
          <w:p w:rsidRPr="00DE54B0" w:rsidR="00F26764" w:rsidP="004C1302" w:rsidRDefault="00F26764" w14:paraId="15C91AA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1341" w:type="dxa"/>
            <w:tcBorders>
              <w:top w:val="dashed" w:color="auto" w:sz="4" w:space="0"/>
              <w:left w:val="nil"/>
              <w:bottom w:val="nil"/>
              <w:right w:val="nil"/>
            </w:tcBorders>
            <w:shd w:val="clear" w:color="auto" w:fill="auto"/>
            <w:vAlign w:val="bottom"/>
          </w:tcPr>
          <w:p w:rsidRPr="00E93273" w:rsidR="00F26764" w:rsidP="004C1302" w:rsidRDefault="00F26764" w14:paraId="5F0F6761"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3.5</w:t>
            </w:r>
          </w:p>
        </w:tc>
        <w:tc>
          <w:tcPr>
            <w:tcW w:w="1121" w:type="dxa"/>
            <w:tcBorders>
              <w:top w:val="dashed" w:color="auto" w:sz="4" w:space="0"/>
              <w:left w:val="nil"/>
              <w:bottom w:val="nil"/>
              <w:right w:val="nil"/>
            </w:tcBorders>
            <w:shd w:val="clear" w:color="auto" w:fill="auto"/>
            <w:noWrap/>
            <w:vAlign w:val="bottom"/>
          </w:tcPr>
          <w:p w:rsidRPr="00E93273" w:rsidR="00F26764" w:rsidP="004C1302" w:rsidRDefault="00F26764" w14:paraId="6CFDECB8" w14:textId="77777777">
            <w:pPr>
              <w:spacing w:after="0" w:line="240" w:lineRule="auto"/>
              <w:jc w:val="right"/>
              <w:rPr>
                <w:rFonts w:ascii="Times New Roman" w:hAnsi="Times New Roman" w:eastAsia="Times New Roman" w:cs="Times New Roman"/>
                <w:color w:val="000000"/>
              </w:rPr>
            </w:pPr>
            <w:r>
              <w:rPr>
                <w:rFonts w:ascii="Times New Roman" w:hAnsi="Times New Roman" w:cs="Times New Roman"/>
              </w:rPr>
              <w:t>4.9</w:t>
            </w:r>
          </w:p>
        </w:tc>
      </w:tr>
      <w:tr w:rsidRPr="00DE54B0" w:rsidR="00F26764" w:rsidTr="004C1302" w14:paraId="0FCBC995" w14:textId="77777777">
        <w:trPr>
          <w:trHeight w:val="300"/>
          <w:jc w:val="center"/>
        </w:trPr>
        <w:tc>
          <w:tcPr>
            <w:tcW w:w="3580" w:type="dxa"/>
            <w:gridSpan w:val="2"/>
            <w:vMerge/>
            <w:tcBorders>
              <w:top w:val="dashed" w:color="auto" w:sz="4" w:space="0"/>
              <w:left w:val="nil"/>
              <w:bottom w:val="dashed" w:color="000000" w:sz="4" w:space="0"/>
              <w:right w:val="nil"/>
            </w:tcBorders>
            <w:vAlign w:val="center"/>
            <w:hideMark/>
          </w:tcPr>
          <w:p w:rsidRPr="00DE54B0" w:rsidR="00F26764" w:rsidP="004C1302" w:rsidRDefault="00F26764" w14:paraId="1DAB4BEF"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4F8CE4CB"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6B3218D5"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1341" w:type="dxa"/>
            <w:tcBorders>
              <w:top w:val="nil"/>
              <w:left w:val="nil"/>
              <w:bottom w:val="nil"/>
              <w:right w:val="nil"/>
            </w:tcBorders>
            <w:shd w:val="clear" w:color="auto" w:fill="auto"/>
            <w:vAlign w:val="bottom"/>
          </w:tcPr>
          <w:p w:rsidRPr="00E93273" w:rsidR="00F26764" w:rsidP="004C1302" w:rsidRDefault="00F26764" w14:paraId="7BEFA274"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4.3</w:t>
            </w:r>
          </w:p>
        </w:tc>
        <w:tc>
          <w:tcPr>
            <w:tcW w:w="1121" w:type="dxa"/>
            <w:tcBorders>
              <w:top w:val="nil"/>
              <w:left w:val="nil"/>
              <w:bottom w:val="nil"/>
              <w:right w:val="nil"/>
            </w:tcBorders>
            <w:shd w:val="clear" w:color="auto" w:fill="auto"/>
            <w:noWrap/>
            <w:vAlign w:val="bottom"/>
          </w:tcPr>
          <w:p w:rsidRPr="00E93273" w:rsidR="00F26764" w:rsidP="004C1302" w:rsidRDefault="00F26764" w14:paraId="33383EBE"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6.1</w:t>
            </w:r>
          </w:p>
        </w:tc>
      </w:tr>
      <w:tr w:rsidRPr="00DE54B0" w:rsidR="00F26764" w:rsidTr="004C1302" w14:paraId="0936A652" w14:textId="77777777">
        <w:trPr>
          <w:trHeight w:val="300"/>
          <w:jc w:val="center"/>
        </w:trPr>
        <w:tc>
          <w:tcPr>
            <w:tcW w:w="3580" w:type="dxa"/>
            <w:gridSpan w:val="2"/>
            <w:vMerge/>
            <w:tcBorders>
              <w:top w:val="dashed" w:color="auto" w:sz="4" w:space="0"/>
              <w:left w:val="nil"/>
              <w:bottom w:val="dashed" w:color="000000" w:sz="4" w:space="0"/>
              <w:right w:val="nil"/>
            </w:tcBorders>
            <w:vAlign w:val="center"/>
            <w:hideMark/>
          </w:tcPr>
          <w:p w:rsidRPr="00DE54B0" w:rsidR="00F26764" w:rsidP="004C1302" w:rsidRDefault="00F26764" w14:paraId="18010258"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79C399B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5FEC368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CHOICEPLUS</w:t>
            </w:r>
          </w:p>
        </w:tc>
        <w:tc>
          <w:tcPr>
            <w:tcW w:w="1341" w:type="dxa"/>
            <w:tcBorders>
              <w:top w:val="nil"/>
              <w:left w:val="nil"/>
              <w:bottom w:val="nil"/>
              <w:right w:val="nil"/>
            </w:tcBorders>
            <w:shd w:val="clear" w:color="auto" w:fill="auto"/>
            <w:vAlign w:val="bottom"/>
          </w:tcPr>
          <w:p w:rsidRPr="00E93273" w:rsidR="00F26764" w:rsidP="004C1302" w:rsidRDefault="00F26764" w14:paraId="03F5A6DA" w14:textId="77777777">
            <w:pPr>
              <w:spacing w:after="0" w:line="240" w:lineRule="auto"/>
              <w:jc w:val="right"/>
              <w:rPr>
                <w:rFonts w:ascii="Times New Roman" w:hAnsi="Times New Roman" w:eastAsia="Times New Roman" w:cs="Times New Roman"/>
                <w:color w:val="000000"/>
              </w:rPr>
            </w:pPr>
            <w:r>
              <w:rPr>
                <w:rFonts w:ascii="Times New Roman" w:hAnsi="Times New Roman" w:cs="Times New Roman"/>
              </w:rPr>
              <w:t>4</w:t>
            </w:r>
            <w:r w:rsidRPr="00475845">
              <w:rPr>
                <w:rFonts w:ascii="Times New Roman" w:hAnsi="Times New Roman" w:cs="Times New Roman"/>
              </w:rPr>
              <w:t>.</w:t>
            </w:r>
            <w:r>
              <w:rPr>
                <w:rFonts w:ascii="Times New Roman" w:hAnsi="Times New Roman" w:cs="Times New Roman"/>
              </w:rPr>
              <w:t>9</w:t>
            </w:r>
          </w:p>
        </w:tc>
        <w:tc>
          <w:tcPr>
            <w:tcW w:w="1121" w:type="dxa"/>
            <w:tcBorders>
              <w:top w:val="nil"/>
              <w:left w:val="nil"/>
              <w:bottom w:val="nil"/>
              <w:right w:val="nil"/>
            </w:tcBorders>
            <w:shd w:val="clear" w:color="auto" w:fill="auto"/>
            <w:noWrap/>
            <w:vAlign w:val="bottom"/>
          </w:tcPr>
          <w:p w:rsidRPr="00E93273" w:rsidR="00F26764" w:rsidP="004C1302" w:rsidRDefault="00F26764" w14:paraId="020EB4B1"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7.</w:t>
            </w:r>
            <w:r>
              <w:rPr>
                <w:rFonts w:ascii="Times New Roman" w:hAnsi="Times New Roman" w:cs="Times New Roman"/>
              </w:rPr>
              <w:t>0</w:t>
            </w:r>
          </w:p>
        </w:tc>
      </w:tr>
      <w:tr w:rsidRPr="00DE54B0" w:rsidR="00F26764" w:rsidTr="004C1302" w14:paraId="307267AD" w14:textId="77777777">
        <w:trPr>
          <w:trHeight w:val="300"/>
          <w:jc w:val="center"/>
        </w:trPr>
        <w:tc>
          <w:tcPr>
            <w:tcW w:w="3580" w:type="dxa"/>
            <w:gridSpan w:val="2"/>
            <w:vMerge/>
            <w:tcBorders>
              <w:top w:val="dashed" w:color="auto" w:sz="4" w:space="0"/>
              <w:left w:val="nil"/>
              <w:bottom w:val="dashed" w:color="000000" w:sz="4" w:space="0"/>
              <w:right w:val="nil"/>
            </w:tcBorders>
            <w:vAlign w:val="center"/>
            <w:hideMark/>
          </w:tcPr>
          <w:p w:rsidRPr="00DE54B0" w:rsidR="00F26764" w:rsidP="004C1302" w:rsidRDefault="00F26764" w14:paraId="10975E3A"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1A0697A7"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09F49BEE"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41" w:type="dxa"/>
            <w:tcBorders>
              <w:top w:val="nil"/>
              <w:left w:val="nil"/>
              <w:bottom w:val="nil"/>
              <w:right w:val="nil"/>
            </w:tcBorders>
            <w:shd w:val="clear" w:color="auto" w:fill="auto"/>
            <w:vAlign w:val="bottom"/>
          </w:tcPr>
          <w:p w:rsidRPr="00E93273" w:rsidR="00F26764" w:rsidP="004C1302" w:rsidRDefault="00F26764" w14:paraId="080EA26A"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4.</w:t>
            </w:r>
            <w:r>
              <w:rPr>
                <w:rFonts w:ascii="Times New Roman" w:hAnsi="Times New Roman" w:cs="Times New Roman"/>
              </w:rPr>
              <w:t>4</w:t>
            </w:r>
          </w:p>
        </w:tc>
        <w:tc>
          <w:tcPr>
            <w:tcW w:w="1121" w:type="dxa"/>
            <w:tcBorders>
              <w:top w:val="nil"/>
              <w:left w:val="nil"/>
              <w:bottom w:val="nil"/>
              <w:right w:val="nil"/>
            </w:tcBorders>
            <w:shd w:val="clear" w:color="auto" w:fill="auto"/>
            <w:noWrap/>
            <w:vAlign w:val="bottom"/>
          </w:tcPr>
          <w:p w:rsidRPr="00E93273" w:rsidR="00F26764" w:rsidP="004C1302" w:rsidRDefault="00F26764" w14:paraId="34796708"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6.</w:t>
            </w:r>
            <w:r>
              <w:rPr>
                <w:rFonts w:ascii="Times New Roman" w:hAnsi="Times New Roman" w:cs="Times New Roman"/>
              </w:rPr>
              <w:t>3</w:t>
            </w:r>
          </w:p>
        </w:tc>
      </w:tr>
      <w:tr w:rsidRPr="00DE54B0" w:rsidR="00F26764" w:rsidTr="004C1302" w14:paraId="31A558DA" w14:textId="77777777">
        <w:trPr>
          <w:trHeight w:val="300"/>
          <w:jc w:val="center"/>
        </w:trPr>
        <w:tc>
          <w:tcPr>
            <w:tcW w:w="3580" w:type="dxa"/>
            <w:gridSpan w:val="2"/>
            <w:vMerge/>
            <w:tcBorders>
              <w:top w:val="dashed" w:color="auto" w:sz="4" w:space="0"/>
              <w:left w:val="nil"/>
              <w:bottom w:val="dashed" w:color="000000" w:sz="4" w:space="0"/>
              <w:right w:val="nil"/>
            </w:tcBorders>
            <w:vAlign w:val="center"/>
            <w:hideMark/>
          </w:tcPr>
          <w:p w:rsidRPr="00DE54B0" w:rsidR="00F26764" w:rsidP="004C1302" w:rsidRDefault="00F26764" w14:paraId="300017CD"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dashed" w:color="auto" w:sz="4" w:space="0"/>
              <w:right w:val="nil"/>
            </w:tcBorders>
            <w:shd w:val="clear" w:color="auto" w:fill="auto"/>
            <w:noWrap/>
            <w:vAlign w:val="bottom"/>
            <w:hideMark/>
          </w:tcPr>
          <w:p w:rsidRPr="00DE54B0" w:rsidR="00F26764" w:rsidP="004C1302" w:rsidRDefault="00F26764" w14:paraId="0E9DDB4B"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2791" w:type="dxa"/>
            <w:tcBorders>
              <w:top w:val="nil"/>
              <w:left w:val="nil"/>
              <w:bottom w:val="dashed" w:color="auto" w:sz="4" w:space="0"/>
              <w:right w:val="nil"/>
            </w:tcBorders>
            <w:shd w:val="clear" w:color="auto" w:fill="auto"/>
            <w:noWrap/>
            <w:vAlign w:val="bottom"/>
            <w:hideMark/>
          </w:tcPr>
          <w:p w:rsidRPr="00DE54B0" w:rsidR="00F26764" w:rsidP="004C1302" w:rsidRDefault="00F26764" w14:paraId="58F296D6"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41" w:type="dxa"/>
            <w:tcBorders>
              <w:top w:val="nil"/>
              <w:left w:val="nil"/>
              <w:bottom w:val="dashed" w:color="auto" w:sz="4" w:space="0"/>
              <w:right w:val="nil"/>
            </w:tcBorders>
            <w:shd w:val="clear" w:color="auto" w:fill="auto"/>
            <w:vAlign w:val="bottom"/>
          </w:tcPr>
          <w:p w:rsidRPr="00E93273" w:rsidR="00F26764" w:rsidP="004C1302" w:rsidRDefault="00F26764" w14:paraId="6D9175FB"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5.1</w:t>
            </w:r>
          </w:p>
        </w:tc>
        <w:tc>
          <w:tcPr>
            <w:tcW w:w="1121" w:type="dxa"/>
            <w:tcBorders>
              <w:top w:val="nil"/>
              <w:left w:val="nil"/>
              <w:bottom w:val="dashed" w:color="auto" w:sz="4" w:space="0"/>
              <w:right w:val="nil"/>
            </w:tcBorders>
            <w:shd w:val="clear" w:color="auto" w:fill="auto"/>
            <w:noWrap/>
            <w:vAlign w:val="bottom"/>
          </w:tcPr>
          <w:p w:rsidRPr="00E93273" w:rsidR="00F26764" w:rsidP="004C1302" w:rsidRDefault="00F26764" w14:paraId="00680570"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7.</w:t>
            </w:r>
            <w:r>
              <w:rPr>
                <w:rFonts w:ascii="Times New Roman" w:hAnsi="Times New Roman" w:cs="Times New Roman"/>
              </w:rPr>
              <w:t>2</w:t>
            </w:r>
          </w:p>
        </w:tc>
      </w:tr>
      <w:tr w:rsidRPr="00DE54B0" w:rsidR="00F26764" w:rsidTr="004C1302" w14:paraId="5BC2504A" w14:textId="77777777">
        <w:trPr>
          <w:trHeight w:val="300"/>
          <w:jc w:val="center"/>
        </w:trPr>
        <w:tc>
          <w:tcPr>
            <w:tcW w:w="3580" w:type="dxa"/>
            <w:gridSpan w:val="2"/>
            <w:vMerge w:val="restart"/>
            <w:tcBorders>
              <w:top w:val="nil"/>
              <w:left w:val="nil"/>
              <w:bottom w:val="nil"/>
              <w:right w:val="nil"/>
            </w:tcBorders>
            <w:shd w:val="clear" w:color="auto" w:fill="auto"/>
            <w:noWrap/>
            <w:vAlign w:val="center"/>
            <w:hideMark/>
          </w:tcPr>
          <w:p w:rsidRPr="00DE54B0" w:rsidR="00F26764" w:rsidP="004C1302" w:rsidRDefault="00F26764" w14:paraId="2F4E81C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Estimate (all respondents)</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71D4BA2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08F7543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1341" w:type="dxa"/>
            <w:tcBorders>
              <w:top w:val="nil"/>
              <w:left w:val="nil"/>
              <w:bottom w:val="nil"/>
              <w:right w:val="nil"/>
            </w:tcBorders>
            <w:shd w:val="clear" w:color="auto" w:fill="auto"/>
            <w:vAlign w:val="bottom"/>
          </w:tcPr>
          <w:p w:rsidRPr="00E93273" w:rsidR="00F26764" w:rsidP="004C1302" w:rsidRDefault="00F26764" w14:paraId="1366DC90"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2.0</w:t>
            </w:r>
          </w:p>
        </w:tc>
        <w:tc>
          <w:tcPr>
            <w:tcW w:w="1121" w:type="dxa"/>
            <w:tcBorders>
              <w:top w:val="nil"/>
              <w:left w:val="nil"/>
              <w:bottom w:val="nil"/>
              <w:right w:val="nil"/>
            </w:tcBorders>
            <w:shd w:val="clear" w:color="auto" w:fill="auto"/>
            <w:noWrap/>
            <w:vAlign w:val="bottom"/>
          </w:tcPr>
          <w:p w:rsidRPr="00E93273" w:rsidR="00F26764" w:rsidP="004C1302" w:rsidRDefault="00F26764" w14:paraId="6C282939"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2.8</w:t>
            </w:r>
          </w:p>
        </w:tc>
      </w:tr>
      <w:tr w:rsidRPr="00DE54B0" w:rsidR="00F26764" w:rsidTr="004C1302" w14:paraId="50FBC7B9"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488F05F7"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31E4C1D4"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2FECA77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1341" w:type="dxa"/>
            <w:tcBorders>
              <w:top w:val="nil"/>
              <w:left w:val="nil"/>
              <w:bottom w:val="nil"/>
              <w:right w:val="nil"/>
            </w:tcBorders>
            <w:shd w:val="clear" w:color="auto" w:fill="auto"/>
            <w:vAlign w:val="bottom"/>
          </w:tcPr>
          <w:p w:rsidRPr="00E93273" w:rsidR="00F26764" w:rsidP="004C1302" w:rsidRDefault="00F26764" w14:paraId="24E1B569"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w:t>
            </w:r>
            <w:r>
              <w:rPr>
                <w:rFonts w:ascii="Times New Roman" w:hAnsi="Times New Roman" w:cs="Times New Roman"/>
              </w:rPr>
              <w:t>4</w:t>
            </w:r>
          </w:p>
        </w:tc>
        <w:tc>
          <w:tcPr>
            <w:tcW w:w="1121" w:type="dxa"/>
            <w:tcBorders>
              <w:top w:val="nil"/>
              <w:left w:val="nil"/>
              <w:bottom w:val="nil"/>
              <w:right w:val="nil"/>
            </w:tcBorders>
            <w:shd w:val="clear" w:color="auto" w:fill="auto"/>
            <w:noWrap/>
            <w:vAlign w:val="bottom"/>
          </w:tcPr>
          <w:p w:rsidRPr="00E93273" w:rsidR="00F26764" w:rsidP="004C1302" w:rsidRDefault="00F26764" w14:paraId="01F93891"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w:t>
            </w:r>
            <w:r>
              <w:rPr>
                <w:rFonts w:ascii="Times New Roman" w:hAnsi="Times New Roman" w:cs="Times New Roman"/>
              </w:rPr>
              <w:t>4</w:t>
            </w:r>
          </w:p>
        </w:tc>
      </w:tr>
      <w:tr w:rsidRPr="00DE54B0" w:rsidR="00F26764" w:rsidTr="004C1302" w14:paraId="37421B95"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6629F520"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72ADB33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0CC09EE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CHOICEPLUS</w:t>
            </w:r>
          </w:p>
        </w:tc>
        <w:tc>
          <w:tcPr>
            <w:tcW w:w="1341" w:type="dxa"/>
            <w:tcBorders>
              <w:top w:val="nil"/>
              <w:left w:val="nil"/>
              <w:bottom w:val="nil"/>
              <w:right w:val="nil"/>
            </w:tcBorders>
            <w:shd w:val="clear" w:color="auto" w:fill="auto"/>
            <w:vAlign w:val="bottom"/>
          </w:tcPr>
          <w:p w:rsidRPr="00E93273" w:rsidR="00F26764" w:rsidP="004C1302" w:rsidRDefault="00F26764" w14:paraId="549D6CB8"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2.8</w:t>
            </w:r>
          </w:p>
        </w:tc>
        <w:tc>
          <w:tcPr>
            <w:tcW w:w="1121" w:type="dxa"/>
            <w:tcBorders>
              <w:top w:val="nil"/>
              <w:left w:val="nil"/>
              <w:bottom w:val="nil"/>
              <w:right w:val="nil"/>
            </w:tcBorders>
            <w:shd w:val="clear" w:color="auto" w:fill="auto"/>
            <w:noWrap/>
            <w:vAlign w:val="bottom"/>
          </w:tcPr>
          <w:p w:rsidRPr="00E93273" w:rsidR="00F26764" w:rsidP="004C1302" w:rsidRDefault="00F26764" w14:paraId="3660B665"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4.0</w:t>
            </w:r>
          </w:p>
        </w:tc>
      </w:tr>
      <w:tr w:rsidRPr="00DE54B0" w:rsidR="00F26764" w:rsidTr="004C1302" w14:paraId="2FA79DFA"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7E28E344"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01A39421"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NSCG, NHES, or PAP</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7B76632B"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41" w:type="dxa"/>
            <w:tcBorders>
              <w:top w:val="nil"/>
              <w:left w:val="nil"/>
              <w:bottom w:val="nil"/>
              <w:right w:val="nil"/>
            </w:tcBorders>
            <w:shd w:val="clear" w:color="auto" w:fill="auto"/>
            <w:vAlign w:val="bottom"/>
          </w:tcPr>
          <w:p w:rsidRPr="00E93273" w:rsidR="00F26764" w:rsidP="004C1302" w:rsidRDefault="00F26764" w14:paraId="07C756C5"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w:t>
            </w:r>
            <w:r>
              <w:rPr>
                <w:rFonts w:ascii="Times New Roman" w:hAnsi="Times New Roman" w:cs="Times New Roman"/>
              </w:rPr>
              <w:t>5</w:t>
            </w:r>
          </w:p>
        </w:tc>
        <w:tc>
          <w:tcPr>
            <w:tcW w:w="1121" w:type="dxa"/>
            <w:tcBorders>
              <w:top w:val="nil"/>
              <w:left w:val="nil"/>
              <w:bottom w:val="nil"/>
              <w:right w:val="nil"/>
            </w:tcBorders>
            <w:shd w:val="clear" w:color="auto" w:fill="auto"/>
            <w:noWrap/>
            <w:vAlign w:val="bottom"/>
          </w:tcPr>
          <w:p w:rsidRPr="00E93273" w:rsidR="00F26764" w:rsidP="004C1302" w:rsidRDefault="00F26764" w14:paraId="05588309"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3.6</w:t>
            </w:r>
          </w:p>
        </w:tc>
      </w:tr>
      <w:tr w:rsidRPr="00DE54B0" w:rsidR="00F26764" w:rsidTr="004C1302" w14:paraId="493A6A01" w14:textId="77777777">
        <w:trPr>
          <w:trHeight w:val="300"/>
          <w:jc w:val="center"/>
        </w:trPr>
        <w:tc>
          <w:tcPr>
            <w:tcW w:w="3580" w:type="dxa"/>
            <w:gridSpan w:val="2"/>
            <w:vMerge/>
            <w:tcBorders>
              <w:top w:val="nil"/>
              <w:left w:val="nil"/>
              <w:bottom w:val="nil"/>
              <w:right w:val="nil"/>
            </w:tcBorders>
            <w:vAlign w:val="center"/>
            <w:hideMark/>
          </w:tcPr>
          <w:p w:rsidRPr="00DE54B0" w:rsidR="00F26764" w:rsidP="004C1302" w:rsidRDefault="00F26764" w14:paraId="4C645204"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3FAB474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CHOICE or CHOICEPLUS</w:t>
            </w:r>
          </w:p>
        </w:tc>
        <w:tc>
          <w:tcPr>
            <w:tcW w:w="2791" w:type="dxa"/>
            <w:tcBorders>
              <w:top w:val="nil"/>
              <w:left w:val="nil"/>
              <w:bottom w:val="nil"/>
              <w:right w:val="nil"/>
            </w:tcBorders>
            <w:shd w:val="clear" w:color="auto" w:fill="auto"/>
            <w:noWrap/>
            <w:vAlign w:val="bottom"/>
            <w:hideMark/>
          </w:tcPr>
          <w:p w:rsidRPr="00DE54B0" w:rsidR="00F26764" w:rsidP="004C1302" w:rsidRDefault="00F26764" w14:paraId="28D986B8"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41" w:type="dxa"/>
            <w:tcBorders>
              <w:top w:val="nil"/>
              <w:left w:val="nil"/>
              <w:bottom w:val="nil"/>
              <w:right w:val="nil"/>
            </w:tcBorders>
            <w:shd w:val="clear" w:color="auto" w:fill="auto"/>
            <w:vAlign w:val="bottom"/>
          </w:tcPr>
          <w:p w:rsidRPr="00E93273" w:rsidR="00F26764" w:rsidP="004C1302" w:rsidRDefault="00F26764" w14:paraId="3C120F38"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2.9</w:t>
            </w:r>
          </w:p>
        </w:tc>
        <w:tc>
          <w:tcPr>
            <w:tcW w:w="1121" w:type="dxa"/>
            <w:tcBorders>
              <w:top w:val="nil"/>
              <w:left w:val="nil"/>
              <w:bottom w:val="nil"/>
              <w:right w:val="nil"/>
            </w:tcBorders>
            <w:shd w:val="clear" w:color="auto" w:fill="auto"/>
            <w:noWrap/>
            <w:vAlign w:val="bottom"/>
          </w:tcPr>
          <w:p w:rsidRPr="00E93273" w:rsidR="00F26764" w:rsidP="004C1302" w:rsidRDefault="00F26764" w14:paraId="1BDEB109"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4.</w:t>
            </w:r>
            <w:r>
              <w:rPr>
                <w:rFonts w:ascii="Times New Roman" w:hAnsi="Times New Roman" w:cs="Times New Roman"/>
              </w:rPr>
              <w:t>1</w:t>
            </w:r>
          </w:p>
        </w:tc>
      </w:tr>
      <w:tr w:rsidRPr="00DE54B0" w:rsidR="00F26764" w:rsidTr="004C1302" w14:paraId="6442DD6A" w14:textId="77777777">
        <w:trPr>
          <w:trHeight w:val="345"/>
          <w:jc w:val="center"/>
        </w:trPr>
        <w:tc>
          <w:tcPr>
            <w:tcW w:w="3580" w:type="dxa"/>
            <w:gridSpan w:val="2"/>
            <w:vMerge w:val="restart"/>
            <w:tcBorders>
              <w:top w:val="dashed" w:color="auto" w:sz="4" w:space="0"/>
              <w:left w:val="nil"/>
              <w:bottom w:val="single" w:color="000000" w:sz="4" w:space="0"/>
              <w:right w:val="nil"/>
            </w:tcBorders>
            <w:shd w:val="clear" w:color="auto" w:fill="auto"/>
            <w:noWrap/>
            <w:vAlign w:val="center"/>
            <w:hideMark/>
          </w:tcPr>
          <w:p w:rsidRPr="00DE54B0" w:rsidR="00F26764" w:rsidP="004C1302" w:rsidRDefault="00F26764" w14:paraId="610189FE"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Estimate (mode effects)</w:t>
            </w:r>
            <w:r w:rsidRPr="00DE54B0">
              <w:rPr>
                <w:rFonts w:ascii="Times New Roman" w:hAnsi="Times New Roman" w:eastAsia="Times New Roman" w:cs="Times New Roman"/>
                <w:color w:val="000000"/>
                <w:vertAlign w:val="superscript"/>
              </w:rPr>
              <w:t>1</w:t>
            </w:r>
          </w:p>
        </w:tc>
        <w:tc>
          <w:tcPr>
            <w:tcW w:w="2791" w:type="dxa"/>
            <w:tcBorders>
              <w:top w:val="dashed" w:color="auto" w:sz="4" w:space="0"/>
              <w:left w:val="nil"/>
              <w:bottom w:val="nil"/>
              <w:right w:val="nil"/>
            </w:tcBorders>
            <w:shd w:val="clear" w:color="auto" w:fill="auto"/>
            <w:noWrap/>
            <w:vAlign w:val="bottom"/>
            <w:hideMark/>
          </w:tcPr>
          <w:p w:rsidRPr="00DE54B0" w:rsidR="00F26764" w:rsidP="004C1302" w:rsidRDefault="00F26764" w14:paraId="1317C91E"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NHES</w:t>
            </w:r>
          </w:p>
        </w:tc>
        <w:tc>
          <w:tcPr>
            <w:tcW w:w="2791" w:type="dxa"/>
            <w:tcBorders>
              <w:top w:val="dashed" w:color="auto" w:sz="4" w:space="0"/>
              <w:left w:val="nil"/>
              <w:bottom w:val="nil"/>
              <w:right w:val="nil"/>
            </w:tcBorders>
            <w:shd w:val="clear" w:color="auto" w:fill="auto"/>
            <w:noWrap/>
            <w:vAlign w:val="bottom"/>
            <w:hideMark/>
          </w:tcPr>
          <w:p w:rsidRPr="00DE54B0" w:rsidR="00F26764" w:rsidP="004C1302" w:rsidRDefault="00F26764" w14:paraId="128B3056"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PAP</w:t>
            </w:r>
          </w:p>
        </w:tc>
        <w:tc>
          <w:tcPr>
            <w:tcW w:w="1341" w:type="dxa"/>
            <w:tcBorders>
              <w:top w:val="dashed" w:color="auto" w:sz="4" w:space="0"/>
              <w:left w:val="nil"/>
              <w:bottom w:val="nil"/>
              <w:right w:val="nil"/>
            </w:tcBorders>
            <w:shd w:val="clear" w:color="auto" w:fill="auto"/>
            <w:vAlign w:val="bottom"/>
          </w:tcPr>
          <w:p w:rsidRPr="00E93273" w:rsidR="00F26764" w:rsidP="004C1302" w:rsidRDefault="00F26764" w14:paraId="00C9FBB5"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2.7</w:t>
            </w:r>
          </w:p>
        </w:tc>
        <w:tc>
          <w:tcPr>
            <w:tcW w:w="1121" w:type="dxa"/>
            <w:tcBorders>
              <w:top w:val="dashed" w:color="auto" w:sz="4" w:space="0"/>
              <w:left w:val="nil"/>
              <w:bottom w:val="nil"/>
              <w:right w:val="nil"/>
            </w:tcBorders>
            <w:shd w:val="clear" w:color="auto" w:fill="auto"/>
            <w:noWrap/>
            <w:vAlign w:val="bottom"/>
          </w:tcPr>
          <w:p w:rsidRPr="00E93273" w:rsidR="00F26764" w:rsidP="004C1302" w:rsidRDefault="00F26764" w14:paraId="5FCA0586"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3.8</w:t>
            </w:r>
          </w:p>
        </w:tc>
      </w:tr>
      <w:tr w:rsidRPr="00DE54B0" w:rsidR="00F26764" w:rsidTr="004C1302" w14:paraId="4BCE96C0" w14:textId="77777777">
        <w:trPr>
          <w:trHeight w:val="300"/>
          <w:jc w:val="center"/>
        </w:trPr>
        <w:tc>
          <w:tcPr>
            <w:tcW w:w="3580" w:type="dxa"/>
            <w:gridSpan w:val="2"/>
            <w:vMerge/>
            <w:tcBorders>
              <w:top w:val="dashed" w:color="auto" w:sz="4" w:space="0"/>
              <w:left w:val="nil"/>
              <w:bottom w:val="single" w:color="000000" w:sz="4" w:space="0"/>
              <w:right w:val="nil"/>
            </w:tcBorders>
            <w:vAlign w:val="center"/>
            <w:hideMark/>
          </w:tcPr>
          <w:p w:rsidRPr="00DE54B0" w:rsidR="00F26764" w:rsidP="004C1302" w:rsidRDefault="00F26764" w14:paraId="74351AD9" w14:textId="77777777">
            <w:pPr>
              <w:spacing w:after="0" w:line="240" w:lineRule="auto"/>
              <w:rPr>
                <w:rFonts w:ascii="Times New Roman" w:hAnsi="Times New Roman" w:eastAsia="Times New Roman" w:cs="Times New Roman"/>
                <w:color w:val="000000"/>
              </w:rPr>
            </w:pPr>
          </w:p>
        </w:tc>
        <w:tc>
          <w:tcPr>
            <w:tcW w:w="2791" w:type="dxa"/>
            <w:tcBorders>
              <w:top w:val="nil"/>
              <w:left w:val="nil"/>
              <w:bottom w:val="single" w:color="auto" w:sz="4" w:space="0"/>
              <w:right w:val="nil"/>
            </w:tcBorders>
            <w:shd w:val="clear" w:color="auto" w:fill="auto"/>
            <w:noWrap/>
            <w:vAlign w:val="bottom"/>
            <w:hideMark/>
          </w:tcPr>
          <w:p w:rsidRPr="00DE54B0" w:rsidR="00F26764" w:rsidP="004C1302" w:rsidRDefault="00F26764" w14:paraId="3453F3E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NHES or PAP</w:t>
            </w:r>
          </w:p>
        </w:tc>
        <w:tc>
          <w:tcPr>
            <w:tcW w:w="2791" w:type="dxa"/>
            <w:tcBorders>
              <w:top w:val="nil"/>
              <w:left w:val="nil"/>
              <w:bottom w:val="single" w:color="auto" w:sz="4" w:space="0"/>
              <w:right w:val="nil"/>
            </w:tcBorders>
            <w:shd w:val="clear" w:color="auto" w:fill="auto"/>
            <w:noWrap/>
            <w:vAlign w:val="bottom"/>
            <w:hideMark/>
          </w:tcPr>
          <w:p w:rsidRPr="00DE54B0" w:rsidR="00F26764" w:rsidP="004C1302" w:rsidRDefault="00F26764" w14:paraId="13C02B7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CAT</w:t>
            </w:r>
          </w:p>
        </w:tc>
        <w:tc>
          <w:tcPr>
            <w:tcW w:w="1341" w:type="dxa"/>
            <w:tcBorders>
              <w:top w:val="nil"/>
              <w:left w:val="nil"/>
              <w:bottom w:val="single" w:color="auto" w:sz="4" w:space="0"/>
              <w:right w:val="nil"/>
            </w:tcBorders>
            <w:shd w:val="clear" w:color="auto" w:fill="auto"/>
            <w:vAlign w:val="bottom"/>
          </w:tcPr>
          <w:p w:rsidRPr="00E93273" w:rsidR="00F26764" w:rsidP="004C1302" w:rsidRDefault="00F26764" w14:paraId="4E4FA867"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w:t>
            </w:r>
            <w:r>
              <w:rPr>
                <w:rFonts w:ascii="Times New Roman" w:hAnsi="Times New Roman" w:cs="Times New Roman"/>
              </w:rPr>
              <w:t>4</w:t>
            </w:r>
          </w:p>
        </w:tc>
        <w:tc>
          <w:tcPr>
            <w:tcW w:w="1121" w:type="dxa"/>
            <w:tcBorders>
              <w:top w:val="nil"/>
              <w:left w:val="nil"/>
              <w:bottom w:val="single" w:color="auto" w:sz="4" w:space="0"/>
              <w:right w:val="nil"/>
            </w:tcBorders>
            <w:shd w:val="clear" w:color="auto" w:fill="auto"/>
            <w:noWrap/>
            <w:vAlign w:val="bottom"/>
          </w:tcPr>
          <w:p w:rsidRPr="00E93273" w:rsidR="00F26764" w:rsidP="004C1302" w:rsidRDefault="00F26764" w14:paraId="60FC5826" w14:textId="77777777">
            <w:pPr>
              <w:spacing w:after="0" w:line="240" w:lineRule="auto"/>
              <w:jc w:val="right"/>
              <w:rPr>
                <w:rFonts w:ascii="Times New Roman" w:hAnsi="Times New Roman" w:eastAsia="Times New Roman" w:cs="Times New Roman"/>
                <w:color w:val="000000"/>
              </w:rPr>
            </w:pPr>
            <w:r>
              <w:rPr>
                <w:rFonts w:ascii="Times New Roman" w:hAnsi="Times New Roman" w:cs="Times New Roman"/>
              </w:rPr>
              <w:t>4</w:t>
            </w:r>
            <w:r w:rsidRPr="00475845">
              <w:rPr>
                <w:rFonts w:ascii="Times New Roman" w:hAnsi="Times New Roman" w:cs="Times New Roman"/>
              </w:rPr>
              <w:t>.</w:t>
            </w:r>
            <w:r>
              <w:rPr>
                <w:rFonts w:ascii="Times New Roman" w:hAnsi="Times New Roman" w:cs="Times New Roman"/>
              </w:rPr>
              <w:t>9</w:t>
            </w:r>
          </w:p>
        </w:tc>
      </w:tr>
      <w:tr w:rsidRPr="00DE54B0" w:rsidR="00F26764" w:rsidTr="004C1302" w14:paraId="2E119988" w14:textId="77777777">
        <w:trPr>
          <w:trHeight w:val="413"/>
          <w:jc w:val="center"/>
        </w:trPr>
        <w:tc>
          <w:tcPr>
            <w:tcW w:w="11624" w:type="dxa"/>
            <w:gridSpan w:val="6"/>
            <w:tcBorders>
              <w:top w:val="nil"/>
              <w:left w:val="nil"/>
              <w:bottom w:val="nil"/>
              <w:right w:val="nil"/>
            </w:tcBorders>
          </w:tcPr>
          <w:p w:rsidR="00F26764" w:rsidP="004C1302" w:rsidRDefault="00F26764" w14:paraId="4F7A21A2"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1</w:t>
            </w:r>
            <w:r w:rsidRPr="00DE54B0">
              <w:rPr>
                <w:rFonts w:ascii="Times New Roman" w:hAnsi="Times New Roman" w:eastAsia="Times New Roman" w:cs="Times New Roman"/>
                <w:color w:val="000000"/>
                <w:sz w:val="18"/>
                <w:szCs w:val="18"/>
              </w:rPr>
              <w:t>Mode effects comparisons would use data only from the first 11 weeks of data collection from the NHES, paper-focused, and CATI-focused groups, to isolate the impact of mode on responses to key items.</w:t>
            </w:r>
          </w:p>
          <w:p w:rsidRPr="00DE54B0" w:rsidR="00F26764" w:rsidP="004C1302" w:rsidRDefault="00F26764" w14:paraId="1B69348C"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NOTE: Calculations assume a total sample size of 43,200. The unweighted detectable difference is calculated ignoring the design effect and is therefore the detectable difference at the sample level. The weighted detectable difference is calculated assuming a design effect of 2 and is therefore the detectable difference at the population level. Detectable differences reflect a power requirement of 0.8 and a required significance level of 0.1.</w:t>
            </w:r>
          </w:p>
        </w:tc>
      </w:tr>
    </w:tbl>
    <w:p w:rsidR="00F26764" w:rsidP="00483675" w:rsidRDefault="00F26764" w14:paraId="2E28D642" w14:textId="77777777">
      <w:pPr>
        <w:rPr>
          <w:rFonts w:ascii="Times New Roman" w:hAnsi="Times New Roman" w:cs="Times New Roman"/>
          <w:sz w:val="24"/>
          <w:szCs w:val="24"/>
        </w:rPr>
      </w:pPr>
    </w:p>
    <w:p w:rsidR="00F26764" w:rsidP="00483675" w:rsidRDefault="00F26764" w14:paraId="3F83EAB2" w14:textId="42CF8222">
      <w:pPr>
        <w:rPr>
          <w:rFonts w:ascii="Times New Roman" w:hAnsi="Times New Roman" w:cs="Times New Roman"/>
          <w:sz w:val="24"/>
          <w:szCs w:val="24"/>
        </w:rPr>
      </w:pPr>
    </w:p>
    <w:p w:rsidR="00F26764" w:rsidP="00483675" w:rsidRDefault="00F26764" w14:paraId="2DC03987" w14:textId="426BCE74">
      <w:pPr>
        <w:rPr>
          <w:rFonts w:ascii="Times New Roman" w:hAnsi="Times New Roman" w:cs="Times New Roman"/>
          <w:sz w:val="24"/>
          <w:szCs w:val="24"/>
        </w:rPr>
      </w:pPr>
    </w:p>
    <w:p w:rsidR="00F26764" w:rsidP="00483675" w:rsidRDefault="00F26764" w14:paraId="3CDC0CE3" w14:textId="60E724A6">
      <w:pPr>
        <w:rPr>
          <w:rFonts w:ascii="Times New Roman" w:hAnsi="Times New Roman" w:cs="Times New Roman"/>
          <w:sz w:val="24"/>
          <w:szCs w:val="24"/>
        </w:rPr>
      </w:pPr>
    </w:p>
    <w:p w:rsidR="00F26764" w:rsidP="00483675" w:rsidRDefault="00F26764" w14:paraId="1E75D963" w14:textId="2A215FB7">
      <w:pPr>
        <w:rPr>
          <w:rFonts w:ascii="Times New Roman" w:hAnsi="Times New Roman" w:cs="Times New Roman"/>
          <w:sz w:val="24"/>
          <w:szCs w:val="24"/>
        </w:rPr>
      </w:pPr>
    </w:p>
    <w:tbl>
      <w:tblPr>
        <w:tblW w:w="11424" w:type="dxa"/>
        <w:jc w:val="center"/>
        <w:tblLook w:val="04A0" w:firstRow="1" w:lastRow="0" w:firstColumn="1" w:lastColumn="0" w:noHBand="0" w:noVBand="1"/>
      </w:tblPr>
      <w:tblGrid>
        <w:gridCol w:w="1170"/>
        <w:gridCol w:w="2890"/>
        <w:gridCol w:w="2600"/>
        <w:gridCol w:w="2302"/>
        <w:gridCol w:w="1341"/>
        <w:gridCol w:w="1121"/>
      </w:tblGrid>
      <w:tr w:rsidRPr="00DE54B0" w:rsidR="00F26764" w:rsidTr="004C1302" w14:paraId="089BB8F3" w14:textId="77777777">
        <w:trPr>
          <w:trHeight w:val="225"/>
          <w:jc w:val="center"/>
        </w:trPr>
        <w:tc>
          <w:tcPr>
            <w:tcW w:w="1170" w:type="dxa"/>
            <w:tcBorders>
              <w:top w:val="nil"/>
              <w:left w:val="nil"/>
              <w:bottom w:val="nil"/>
              <w:right w:val="nil"/>
            </w:tcBorders>
            <w:shd w:val="clear" w:color="auto" w:fill="auto"/>
            <w:noWrap/>
            <w:hideMark/>
          </w:tcPr>
          <w:p w:rsidRPr="00DE54B0" w:rsidR="00F26764" w:rsidP="004C1302" w:rsidRDefault="00F26764" w14:paraId="787B1823" w14:textId="77777777">
            <w:pPr>
              <w:spacing w:after="0" w:line="240" w:lineRule="auto"/>
              <w:rPr>
                <w:rFonts w:ascii="Times New Roman" w:hAnsi="Times New Roman" w:eastAsia="Times New Roman" w:cs="Times New Roman"/>
                <w:color w:val="000000"/>
              </w:rPr>
            </w:pPr>
            <w:r w:rsidRPr="0057488C">
              <w:rPr>
                <w:rFonts w:ascii="Times New Roman" w:hAnsi="Times New Roman" w:eastAsia="Times New Roman" w:cs="Times New Roman"/>
                <w:color w:val="000000"/>
              </w:rPr>
              <w:t>Table L.4.</w:t>
            </w:r>
          </w:p>
        </w:tc>
        <w:tc>
          <w:tcPr>
            <w:tcW w:w="10254" w:type="dxa"/>
            <w:gridSpan w:val="5"/>
            <w:tcBorders>
              <w:top w:val="nil"/>
              <w:left w:val="nil"/>
              <w:bottom w:val="nil"/>
              <w:right w:val="nil"/>
            </w:tcBorders>
          </w:tcPr>
          <w:p w:rsidRPr="00DE54B0" w:rsidR="00F26764" w:rsidP="004C1302" w:rsidRDefault="00F26764" w14:paraId="2559FF16"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Detectable differences between any two noncontingent</w:t>
            </w:r>
            <w:r>
              <w:rPr>
                <w:rFonts w:ascii="Times New Roman" w:hAnsi="Times New Roman" w:eastAsia="Times New Roman" w:cs="Times New Roman"/>
                <w:color w:val="000000"/>
              </w:rPr>
              <w:t>-</w:t>
            </w:r>
            <w:r w:rsidRPr="00DE54B0">
              <w:rPr>
                <w:rFonts w:ascii="Times New Roman" w:hAnsi="Times New Roman" w:eastAsia="Times New Roman" w:cs="Times New Roman"/>
                <w:color w:val="000000"/>
              </w:rPr>
              <w:t>incentive treatments</w:t>
            </w:r>
            <w:r>
              <w:rPr>
                <w:rFonts w:ascii="Times New Roman" w:hAnsi="Times New Roman" w:eastAsia="Times New Roman" w:cs="Times New Roman"/>
                <w:color w:val="000000"/>
              </w:rPr>
              <w:t>, 0.1 significance level</w:t>
            </w:r>
          </w:p>
        </w:tc>
      </w:tr>
      <w:tr w:rsidRPr="00DE54B0" w:rsidR="00F26764" w:rsidTr="004C1302" w14:paraId="5E27E61B" w14:textId="77777777">
        <w:trPr>
          <w:trHeight w:val="375"/>
          <w:jc w:val="center"/>
        </w:trPr>
        <w:tc>
          <w:tcPr>
            <w:tcW w:w="4060" w:type="dxa"/>
            <w:gridSpan w:val="2"/>
            <w:vMerge w:val="restart"/>
            <w:tcBorders>
              <w:top w:val="single" w:color="auto" w:sz="12" w:space="0"/>
              <w:left w:val="nil"/>
              <w:right w:val="nil"/>
            </w:tcBorders>
            <w:shd w:val="clear" w:color="auto" w:fill="auto"/>
            <w:noWrap/>
            <w:vAlign w:val="bottom"/>
          </w:tcPr>
          <w:p w:rsidRPr="00DE54B0" w:rsidR="00F26764" w:rsidP="004C1302" w:rsidRDefault="00F26764" w14:paraId="59130077"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Parameter</w:t>
            </w:r>
          </w:p>
        </w:tc>
        <w:tc>
          <w:tcPr>
            <w:tcW w:w="2600" w:type="dxa"/>
            <w:vMerge w:val="restart"/>
            <w:tcBorders>
              <w:top w:val="single" w:color="auto" w:sz="12" w:space="0"/>
              <w:left w:val="nil"/>
              <w:right w:val="nil"/>
            </w:tcBorders>
            <w:shd w:val="clear" w:color="auto" w:fill="auto"/>
            <w:noWrap/>
            <w:vAlign w:val="bottom"/>
          </w:tcPr>
          <w:p w:rsidRPr="00DE54B0" w:rsidR="00F26764" w:rsidP="004C1302" w:rsidRDefault="00F26764" w14:paraId="4905CC4B"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Control group</w:t>
            </w:r>
          </w:p>
        </w:tc>
        <w:tc>
          <w:tcPr>
            <w:tcW w:w="2302" w:type="dxa"/>
            <w:vMerge w:val="restart"/>
            <w:tcBorders>
              <w:top w:val="single" w:color="auto" w:sz="12" w:space="0"/>
              <w:left w:val="nil"/>
              <w:right w:val="nil"/>
            </w:tcBorders>
            <w:shd w:val="clear" w:color="auto" w:fill="auto"/>
            <w:noWrap/>
            <w:vAlign w:val="bottom"/>
          </w:tcPr>
          <w:p w:rsidRPr="00DE54B0" w:rsidR="00F26764" w:rsidP="004C1302" w:rsidRDefault="00F26764" w14:paraId="7E7B24C5" w14:textId="77777777">
            <w:pPr>
              <w:spacing w:after="0" w:line="240" w:lineRule="auto"/>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Treatment group</w:t>
            </w:r>
          </w:p>
        </w:tc>
        <w:tc>
          <w:tcPr>
            <w:tcW w:w="2462" w:type="dxa"/>
            <w:gridSpan w:val="2"/>
            <w:tcBorders>
              <w:top w:val="single" w:color="auto" w:sz="12" w:space="0"/>
              <w:left w:val="nil"/>
              <w:bottom w:val="single" w:color="auto" w:sz="12" w:space="0"/>
              <w:right w:val="nil"/>
            </w:tcBorders>
            <w:vAlign w:val="bottom"/>
          </w:tcPr>
          <w:p w:rsidRPr="00DE54B0" w:rsidR="00F26764" w:rsidP="004C1302" w:rsidRDefault="00F26764" w14:paraId="553E9D5D" w14:textId="77777777">
            <w:pPr>
              <w:spacing w:after="0" w:line="240" w:lineRule="auto"/>
              <w:jc w:val="center"/>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Detectable difference (percentage points)</w:t>
            </w:r>
          </w:p>
        </w:tc>
      </w:tr>
      <w:tr w:rsidRPr="00DE54B0" w:rsidR="00F26764" w:rsidTr="004C1302" w14:paraId="270BC208" w14:textId="77777777">
        <w:trPr>
          <w:trHeight w:val="195"/>
          <w:jc w:val="center"/>
        </w:trPr>
        <w:tc>
          <w:tcPr>
            <w:tcW w:w="4060" w:type="dxa"/>
            <w:gridSpan w:val="2"/>
            <w:vMerge/>
            <w:tcBorders>
              <w:left w:val="nil"/>
              <w:bottom w:val="single" w:color="auto" w:sz="12" w:space="0"/>
              <w:right w:val="nil"/>
            </w:tcBorders>
            <w:shd w:val="clear" w:color="auto" w:fill="auto"/>
            <w:noWrap/>
            <w:vAlign w:val="bottom"/>
            <w:hideMark/>
          </w:tcPr>
          <w:p w:rsidRPr="00DE54B0" w:rsidR="00F26764" w:rsidP="004C1302" w:rsidRDefault="00F26764" w14:paraId="3BB3742C" w14:textId="77777777">
            <w:pPr>
              <w:spacing w:after="0" w:line="240" w:lineRule="auto"/>
              <w:rPr>
                <w:rFonts w:ascii="Times New Roman" w:hAnsi="Times New Roman" w:eastAsia="Times New Roman" w:cs="Times New Roman"/>
                <w:b/>
                <w:bCs/>
                <w:color w:val="000000"/>
              </w:rPr>
            </w:pPr>
          </w:p>
        </w:tc>
        <w:tc>
          <w:tcPr>
            <w:tcW w:w="2600" w:type="dxa"/>
            <w:vMerge/>
            <w:tcBorders>
              <w:left w:val="nil"/>
              <w:bottom w:val="single" w:color="auto" w:sz="12" w:space="0"/>
              <w:right w:val="nil"/>
            </w:tcBorders>
            <w:shd w:val="clear" w:color="auto" w:fill="auto"/>
            <w:noWrap/>
            <w:vAlign w:val="bottom"/>
            <w:hideMark/>
          </w:tcPr>
          <w:p w:rsidRPr="00DE54B0" w:rsidR="00F26764" w:rsidP="004C1302" w:rsidRDefault="00F26764" w14:paraId="6E7C9812" w14:textId="77777777">
            <w:pPr>
              <w:spacing w:after="0" w:line="240" w:lineRule="auto"/>
              <w:rPr>
                <w:rFonts w:ascii="Times New Roman" w:hAnsi="Times New Roman" w:eastAsia="Times New Roman" w:cs="Times New Roman"/>
                <w:b/>
                <w:bCs/>
                <w:color w:val="000000"/>
              </w:rPr>
            </w:pPr>
          </w:p>
        </w:tc>
        <w:tc>
          <w:tcPr>
            <w:tcW w:w="2302" w:type="dxa"/>
            <w:vMerge/>
            <w:tcBorders>
              <w:left w:val="nil"/>
              <w:bottom w:val="single" w:color="auto" w:sz="12" w:space="0"/>
              <w:right w:val="nil"/>
            </w:tcBorders>
            <w:shd w:val="clear" w:color="auto" w:fill="auto"/>
            <w:noWrap/>
            <w:vAlign w:val="bottom"/>
            <w:hideMark/>
          </w:tcPr>
          <w:p w:rsidRPr="00DE54B0" w:rsidR="00F26764" w:rsidP="004C1302" w:rsidRDefault="00F26764" w14:paraId="3CE2CD72" w14:textId="77777777">
            <w:pPr>
              <w:spacing w:after="0" w:line="240" w:lineRule="auto"/>
              <w:rPr>
                <w:rFonts w:ascii="Times New Roman" w:hAnsi="Times New Roman" w:eastAsia="Times New Roman" w:cs="Times New Roman"/>
                <w:b/>
                <w:bCs/>
                <w:color w:val="000000"/>
              </w:rPr>
            </w:pPr>
          </w:p>
        </w:tc>
        <w:tc>
          <w:tcPr>
            <w:tcW w:w="1341" w:type="dxa"/>
            <w:tcBorders>
              <w:top w:val="single" w:color="auto" w:sz="12" w:space="0"/>
              <w:left w:val="nil"/>
              <w:bottom w:val="single" w:color="auto" w:sz="12" w:space="0"/>
              <w:right w:val="nil"/>
            </w:tcBorders>
            <w:vAlign w:val="bottom"/>
          </w:tcPr>
          <w:p w:rsidRPr="00DE54B0" w:rsidR="00F26764" w:rsidP="004C1302" w:rsidRDefault="00F26764" w14:paraId="63F05F43" w14:textId="77777777">
            <w:pPr>
              <w:spacing w:after="0" w:line="240" w:lineRule="auto"/>
              <w:jc w:val="right"/>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Unweighted</w:t>
            </w:r>
          </w:p>
        </w:tc>
        <w:tc>
          <w:tcPr>
            <w:tcW w:w="1121" w:type="dxa"/>
            <w:tcBorders>
              <w:top w:val="single" w:color="auto" w:sz="12" w:space="0"/>
              <w:left w:val="nil"/>
              <w:bottom w:val="single" w:color="auto" w:sz="12" w:space="0"/>
              <w:right w:val="nil"/>
            </w:tcBorders>
            <w:shd w:val="clear" w:color="auto" w:fill="auto"/>
            <w:vAlign w:val="bottom"/>
            <w:hideMark/>
          </w:tcPr>
          <w:p w:rsidRPr="00DE54B0" w:rsidR="00F26764" w:rsidP="004C1302" w:rsidRDefault="00F26764" w14:paraId="178366CF" w14:textId="77777777">
            <w:pPr>
              <w:spacing w:after="0" w:line="240" w:lineRule="auto"/>
              <w:jc w:val="right"/>
              <w:rPr>
                <w:rFonts w:ascii="Times New Roman" w:hAnsi="Times New Roman" w:eastAsia="Times New Roman" w:cs="Times New Roman"/>
                <w:b/>
                <w:bCs/>
                <w:color w:val="000000"/>
              </w:rPr>
            </w:pPr>
            <w:r w:rsidRPr="00DE54B0">
              <w:rPr>
                <w:rFonts w:ascii="Times New Roman" w:hAnsi="Times New Roman" w:eastAsia="Times New Roman" w:cs="Times New Roman"/>
                <w:b/>
                <w:bCs/>
                <w:color w:val="000000"/>
              </w:rPr>
              <w:t>Weighted</w:t>
            </w:r>
          </w:p>
        </w:tc>
      </w:tr>
      <w:tr w:rsidRPr="00DE54B0" w:rsidR="00F26764" w:rsidTr="004C1302" w14:paraId="52407590" w14:textId="77777777">
        <w:trPr>
          <w:trHeight w:val="360"/>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091F748B"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Response rate before week 23</w:t>
            </w:r>
            <w:r w:rsidRPr="00DE54B0">
              <w:rPr>
                <w:rFonts w:ascii="Times New Roman" w:hAnsi="Times New Roman" w:eastAsia="Times New Roman" w:cs="Times New Roman"/>
                <w:color w:val="000000"/>
                <w:vertAlign w:val="superscript"/>
              </w:rPr>
              <w:t>1</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16C69E7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5CBAD868"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1341" w:type="dxa"/>
            <w:tcBorders>
              <w:top w:val="nil"/>
              <w:left w:val="nil"/>
              <w:bottom w:val="nil"/>
              <w:right w:val="nil"/>
            </w:tcBorders>
            <w:shd w:val="clear" w:color="auto" w:fill="auto"/>
            <w:vAlign w:val="center"/>
          </w:tcPr>
          <w:p w:rsidRPr="001A5BE1" w:rsidR="00F26764" w:rsidP="004C1302" w:rsidRDefault="00F26764" w14:paraId="070CF410"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1.7</w:t>
            </w:r>
          </w:p>
        </w:tc>
        <w:tc>
          <w:tcPr>
            <w:tcW w:w="1121" w:type="dxa"/>
            <w:tcBorders>
              <w:top w:val="nil"/>
              <w:left w:val="nil"/>
              <w:bottom w:val="nil"/>
              <w:right w:val="nil"/>
            </w:tcBorders>
            <w:shd w:val="clear" w:color="auto" w:fill="auto"/>
            <w:noWrap/>
            <w:vAlign w:val="center"/>
          </w:tcPr>
          <w:p w:rsidRPr="001A5BE1" w:rsidR="00F26764" w:rsidP="004C1302" w:rsidRDefault="00F26764" w14:paraId="16FBBAF8"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2.4</w:t>
            </w:r>
          </w:p>
        </w:tc>
      </w:tr>
      <w:tr w:rsidRPr="00DE54B0" w:rsidR="00F26764" w:rsidTr="004C1302" w14:paraId="541A99DC" w14:textId="77777777">
        <w:trPr>
          <w:trHeight w:val="345"/>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0DEAFB5E"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Incremental response rate after week 23</w:t>
            </w:r>
            <w:r w:rsidRPr="00DE54B0">
              <w:rPr>
                <w:rFonts w:ascii="Times New Roman" w:hAnsi="Times New Roman" w:eastAsia="Times New Roman" w:cs="Times New Roman"/>
                <w:color w:val="000000"/>
                <w:vertAlign w:val="superscript"/>
              </w:rPr>
              <w:t>2</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0ABA07C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1DC889A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INC0L</w:t>
            </w:r>
          </w:p>
        </w:tc>
        <w:tc>
          <w:tcPr>
            <w:tcW w:w="1341" w:type="dxa"/>
            <w:tcBorders>
              <w:top w:val="nil"/>
              <w:left w:val="nil"/>
              <w:bottom w:val="nil"/>
              <w:right w:val="nil"/>
            </w:tcBorders>
            <w:shd w:val="clear" w:color="auto" w:fill="auto"/>
            <w:vAlign w:val="center"/>
          </w:tcPr>
          <w:p w:rsidRPr="001A5BE1" w:rsidR="00F26764" w:rsidP="004C1302" w:rsidRDefault="00F26764" w14:paraId="3156706A"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2.3</w:t>
            </w:r>
          </w:p>
        </w:tc>
        <w:tc>
          <w:tcPr>
            <w:tcW w:w="1121" w:type="dxa"/>
            <w:tcBorders>
              <w:top w:val="nil"/>
              <w:left w:val="nil"/>
              <w:bottom w:val="nil"/>
              <w:right w:val="nil"/>
            </w:tcBorders>
            <w:shd w:val="clear" w:color="auto" w:fill="auto"/>
            <w:noWrap/>
            <w:vAlign w:val="center"/>
          </w:tcPr>
          <w:p w:rsidRPr="001A5BE1" w:rsidR="00F26764" w:rsidP="004C1302" w:rsidRDefault="00F26764" w14:paraId="5C235FAF"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w:t>
            </w:r>
            <w:r>
              <w:rPr>
                <w:rFonts w:ascii="Times New Roman" w:hAnsi="Times New Roman" w:cs="Times New Roman"/>
              </w:rPr>
              <w:t>3</w:t>
            </w:r>
          </w:p>
        </w:tc>
      </w:tr>
      <w:tr w:rsidRPr="00DE54B0" w:rsidR="00F26764" w:rsidTr="004C1302" w14:paraId="376E5FB4" w14:textId="77777777">
        <w:trPr>
          <w:trHeight w:val="345"/>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1B8D6C3C"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Response rate before week 23 within 25% subgroup</w:t>
            </w:r>
            <w:r w:rsidRPr="00DE54B0">
              <w:rPr>
                <w:rFonts w:ascii="Times New Roman" w:hAnsi="Times New Roman" w:eastAsia="Times New Roman" w:cs="Times New Roman"/>
                <w:color w:val="000000"/>
                <w:vertAlign w:val="superscript"/>
              </w:rPr>
              <w:t>1</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1B7DEF1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494964FF"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1341" w:type="dxa"/>
            <w:tcBorders>
              <w:top w:val="nil"/>
              <w:left w:val="nil"/>
              <w:bottom w:val="nil"/>
              <w:right w:val="nil"/>
            </w:tcBorders>
            <w:shd w:val="clear" w:color="auto" w:fill="auto"/>
            <w:vAlign w:val="center"/>
          </w:tcPr>
          <w:p w:rsidRPr="001A5BE1" w:rsidR="00F26764" w:rsidP="004C1302" w:rsidRDefault="00F26764" w14:paraId="1FB47437"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3.4</w:t>
            </w:r>
          </w:p>
        </w:tc>
        <w:tc>
          <w:tcPr>
            <w:tcW w:w="1121" w:type="dxa"/>
            <w:tcBorders>
              <w:top w:val="nil"/>
              <w:left w:val="nil"/>
              <w:bottom w:val="nil"/>
              <w:right w:val="nil"/>
            </w:tcBorders>
            <w:shd w:val="clear" w:color="auto" w:fill="auto"/>
            <w:noWrap/>
            <w:vAlign w:val="center"/>
          </w:tcPr>
          <w:p w:rsidRPr="001A5BE1" w:rsidR="00F26764" w:rsidP="004C1302" w:rsidRDefault="00F26764" w14:paraId="68DB12D5"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4.8</w:t>
            </w:r>
          </w:p>
        </w:tc>
      </w:tr>
      <w:tr w:rsidRPr="00DE54B0" w:rsidR="00F26764" w:rsidTr="004C1302" w14:paraId="43E366B2" w14:textId="77777777">
        <w:trPr>
          <w:trHeight w:val="345"/>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205A4C91"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Incremental response rate after week 23 within 25% subgroup</w:t>
            </w:r>
            <w:r w:rsidRPr="00DE54B0">
              <w:rPr>
                <w:rFonts w:ascii="Times New Roman" w:hAnsi="Times New Roman" w:eastAsia="Times New Roman" w:cs="Times New Roman"/>
                <w:color w:val="000000"/>
                <w:vertAlign w:val="superscript"/>
              </w:rPr>
              <w:t>2</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433817C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59F5744D"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INC0L</w:t>
            </w:r>
          </w:p>
        </w:tc>
        <w:tc>
          <w:tcPr>
            <w:tcW w:w="1341" w:type="dxa"/>
            <w:tcBorders>
              <w:top w:val="nil"/>
              <w:left w:val="nil"/>
              <w:bottom w:val="nil"/>
              <w:right w:val="nil"/>
            </w:tcBorders>
            <w:shd w:val="clear" w:color="auto" w:fill="auto"/>
            <w:vAlign w:val="center"/>
          </w:tcPr>
          <w:p w:rsidRPr="001A5BE1" w:rsidR="00F26764" w:rsidP="004C1302" w:rsidRDefault="00F26764" w14:paraId="387B9899"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4.</w:t>
            </w:r>
            <w:r>
              <w:rPr>
                <w:rFonts w:ascii="Times New Roman" w:hAnsi="Times New Roman" w:cs="Times New Roman"/>
              </w:rPr>
              <w:t>8</w:t>
            </w:r>
          </w:p>
        </w:tc>
        <w:tc>
          <w:tcPr>
            <w:tcW w:w="1121" w:type="dxa"/>
            <w:tcBorders>
              <w:top w:val="nil"/>
              <w:left w:val="nil"/>
              <w:bottom w:val="nil"/>
              <w:right w:val="nil"/>
            </w:tcBorders>
            <w:shd w:val="clear" w:color="auto" w:fill="auto"/>
            <w:noWrap/>
            <w:vAlign w:val="center"/>
          </w:tcPr>
          <w:p w:rsidRPr="001A5BE1" w:rsidR="00F26764" w:rsidP="004C1302" w:rsidRDefault="00F26764" w14:paraId="7899EB43"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7.</w:t>
            </w:r>
            <w:r>
              <w:rPr>
                <w:rFonts w:ascii="Times New Roman" w:hAnsi="Times New Roman" w:cs="Times New Roman"/>
              </w:rPr>
              <w:t>0</w:t>
            </w:r>
          </w:p>
        </w:tc>
      </w:tr>
      <w:tr w:rsidRPr="00DE54B0" w:rsidR="00F26764" w:rsidTr="004C1302" w14:paraId="2F5203DC" w14:textId="77777777">
        <w:trPr>
          <w:trHeight w:val="345"/>
          <w:jc w:val="center"/>
        </w:trPr>
        <w:tc>
          <w:tcPr>
            <w:tcW w:w="4060" w:type="dxa"/>
            <w:gridSpan w:val="2"/>
            <w:tcBorders>
              <w:top w:val="nil"/>
              <w:left w:val="nil"/>
              <w:bottom w:val="nil"/>
              <w:right w:val="nil"/>
            </w:tcBorders>
            <w:shd w:val="clear" w:color="auto" w:fill="auto"/>
            <w:noWrap/>
            <w:vAlign w:val="center"/>
            <w:hideMark/>
          </w:tcPr>
          <w:p w:rsidRPr="00DE54B0" w:rsidR="00F26764" w:rsidP="004C1302" w:rsidRDefault="00F26764" w14:paraId="05E79029"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Estimate (respondents prior to week 23)</w:t>
            </w:r>
            <w:r w:rsidRPr="00DE54B0">
              <w:rPr>
                <w:rFonts w:ascii="Times New Roman" w:hAnsi="Times New Roman" w:eastAsia="Times New Roman" w:cs="Times New Roman"/>
                <w:color w:val="000000"/>
                <w:vertAlign w:val="superscript"/>
              </w:rPr>
              <w:t>3</w:t>
            </w:r>
          </w:p>
        </w:tc>
        <w:tc>
          <w:tcPr>
            <w:tcW w:w="2600" w:type="dxa"/>
            <w:tcBorders>
              <w:top w:val="nil"/>
              <w:left w:val="nil"/>
              <w:bottom w:val="nil"/>
              <w:right w:val="nil"/>
            </w:tcBorders>
            <w:shd w:val="clear" w:color="auto" w:fill="auto"/>
            <w:noWrap/>
            <w:vAlign w:val="center"/>
            <w:hideMark/>
          </w:tcPr>
          <w:p w:rsidRPr="00DE54B0" w:rsidR="00F26764" w:rsidP="004C1302" w:rsidRDefault="00F26764" w14:paraId="1F92320A"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2302" w:type="dxa"/>
            <w:tcBorders>
              <w:top w:val="nil"/>
              <w:left w:val="nil"/>
              <w:bottom w:val="nil"/>
              <w:right w:val="nil"/>
            </w:tcBorders>
            <w:shd w:val="clear" w:color="auto" w:fill="auto"/>
            <w:noWrap/>
            <w:vAlign w:val="center"/>
            <w:hideMark/>
          </w:tcPr>
          <w:p w:rsidRPr="00DE54B0" w:rsidR="00F26764" w:rsidP="004C1302" w:rsidRDefault="00F26764" w14:paraId="46966580"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INC0+INC0L, INC10, INC20, or INC30</w:t>
            </w:r>
          </w:p>
        </w:tc>
        <w:tc>
          <w:tcPr>
            <w:tcW w:w="1341" w:type="dxa"/>
            <w:tcBorders>
              <w:top w:val="nil"/>
              <w:left w:val="nil"/>
              <w:bottom w:val="nil"/>
              <w:right w:val="nil"/>
            </w:tcBorders>
            <w:shd w:val="clear" w:color="auto" w:fill="auto"/>
            <w:vAlign w:val="center"/>
          </w:tcPr>
          <w:p w:rsidRPr="001A5BE1" w:rsidR="00F26764" w:rsidP="004C1302" w:rsidRDefault="00F26764" w14:paraId="12C0BE5D" w14:textId="77777777">
            <w:pPr>
              <w:spacing w:after="0"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 xml:space="preserve">1.9 - </w:t>
            </w:r>
            <w:r w:rsidRPr="001A5BE1">
              <w:rPr>
                <w:rFonts w:ascii="Times New Roman" w:hAnsi="Times New Roman" w:eastAsia="Times New Roman" w:cs="Times New Roman"/>
                <w:color w:val="000000"/>
              </w:rPr>
              <w:t>2.0</w:t>
            </w:r>
          </w:p>
        </w:tc>
        <w:tc>
          <w:tcPr>
            <w:tcW w:w="1121" w:type="dxa"/>
            <w:tcBorders>
              <w:top w:val="nil"/>
              <w:left w:val="nil"/>
              <w:bottom w:val="nil"/>
              <w:right w:val="nil"/>
            </w:tcBorders>
            <w:shd w:val="clear" w:color="auto" w:fill="auto"/>
            <w:noWrap/>
            <w:vAlign w:val="center"/>
          </w:tcPr>
          <w:p w:rsidRPr="001A5BE1" w:rsidR="00F26764" w:rsidP="004C1302" w:rsidRDefault="00F26764" w14:paraId="0753A79E" w14:textId="77777777">
            <w:pPr>
              <w:spacing w:after="0" w:line="240" w:lineRule="auto"/>
              <w:jc w:val="right"/>
              <w:rPr>
                <w:rFonts w:ascii="Times New Roman" w:hAnsi="Times New Roman" w:eastAsia="Times New Roman" w:cs="Times New Roman"/>
                <w:color w:val="000000"/>
              </w:rPr>
            </w:pPr>
            <w:r w:rsidRPr="001A5BE1">
              <w:rPr>
                <w:rFonts w:ascii="Times New Roman" w:hAnsi="Times New Roman" w:eastAsia="Times New Roman" w:cs="Times New Roman"/>
                <w:color w:val="000000"/>
              </w:rPr>
              <w:t>2.8 - 2.9</w:t>
            </w:r>
          </w:p>
        </w:tc>
      </w:tr>
      <w:tr w:rsidRPr="00DE54B0" w:rsidR="00F26764" w:rsidTr="004C1302" w14:paraId="34C88113" w14:textId="77777777">
        <w:trPr>
          <w:trHeight w:val="345"/>
          <w:jc w:val="center"/>
        </w:trPr>
        <w:tc>
          <w:tcPr>
            <w:tcW w:w="4060" w:type="dxa"/>
            <w:gridSpan w:val="2"/>
            <w:tcBorders>
              <w:top w:val="nil"/>
              <w:left w:val="nil"/>
              <w:bottom w:val="single" w:color="auto" w:sz="4" w:space="0"/>
              <w:right w:val="nil"/>
            </w:tcBorders>
            <w:shd w:val="clear" w:color="auto" w:fill="auto"/>
            <w:noWrap/>
            <w:vAlign w:val="center"/>
            <w:hideMark/>
          </w:tcPr>
          <w:p w:rsidRPr="00DE54B0" w:rsidR="00F26764" w:rsidP="004C1302" w:rsidRDefault="00F26764" w14:paraId="786ACFE2"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Estimate (all respondents)</w:t>
            </w:r>
            <w:r w:rsidRPr="00DE54B0">
              <w:rPr>
                <w:rFonts w:ascii="Times New Roman" w:hAnsi="Times New Roman" w:eastAsia="Times New Roman" w:cs="Times New Roman"/>
                <w:color w:val="000000"/>
                <w:vertAlign w:val="superscript"/>
              </w:rPr>
              <w:t>4</w:t>
            </w:r>
          </w:p>
        </w:tc>
        <w:tc>
          <w:tcPr>
            <w:tcW w:w="2600" w:type="dxa"/>
            <w:tcBorders>
              <w:top w:val="nil"/>
              <w:left w:val="nil"/>
              <w:bottom w:val="single" w:color="auto" w:sz="4" w:space="0"/>
              <w:right w:val="nil"/>
            </w:tcBorders>
            <w:shd w:val="clear" w:color="auto" w:fill="auto"/>
            <w:noWrap/>
            <w:vAlign w:val="center"/>
            <w:hideMark/>
          </w:tcPr>
          <w:p w:rsidRPr="00DE54B0" w:rsidR="00F26764" w:rsidP="004C1302" w:rsidRDefault="00F26764" w14:paraId="34B5FD73"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w:t>
            </w:r>
          </w:p>
        </w:tc>
        <w:tc>
          <w:tcPr>
            <w:tcW w:w="2302" w:type="dxa"/>
            <w:tcBorders>
              <w:top w:val="nil"/>
              <w:left w:val="nil"/>
              <w:bottom w:val="single" w:color="auto" w:sz="4" w:space="0"/>
              <w:right w:val="nil"/>
            </w:tcBorders>
            <w:shd w:val="clear" w:color="auto" w:fill="auto"/>
            <w:noWrap/>
            <w:vAlign w:val="center"/>
            <w:hideMark/>
          </w:tcPr>
          <w:p w:rsidRPr="00DE54B0" w:rsidR="00F26764" w:rsidP="004C1302" w:rsidRDefault="00F26764" w14:paraId="44C8F16E" w14:textId="77777777">
            <w:pPr>
              <w:spacing w:after="0" w:line="240" w:lineRule="auto"/>
              <w:rPr>
                <w:rFonts w:ascii="Times New Roman" w:hAnsi="Times New Roman" w:eastAsia="Times New Roman" w:cs="Times New Roman"/>
                <w:color w:val="000000"/>
              </w:rPr>
            </w:pPr>
            <w:r w:rsidRPr="00DE54B0">
              <w:rPr>
                <w:rFonts w:ascii="Times New Roman" w:hAnsi="Times New Roman" w:eastAsia="Times New Roman" w:cs="Times New Roman"/>
                <w:color w:val="000000"/>
              </w:rPr>
              <w:t>INC0L</w:t>
            </w:r>
          </w:p>
        </w:tc>
        <w:tc>
          <w:tcPr>
            <w:tcW w:w="1341" w:type="dxa"/>
            <w:tcBorders>
              <w:top w:val="nil"/>
              <w:left w:val="nil"/>
              <w:bottom w:val="single" w:color="auto" w:sz="4" w:space="0"/>
              <w:right w:val="nil"/>
            </w:tcBorders>
            <w:shd w:val="clear" w:color="auto" w:fill="auto"/>
            <w:vAlign w:val="center"/>
          </w:tcPr>
          <w:p w:rsidRPr="001A5BE1" w:rsidR="00F26764" w:rsidP="004C1302" w:rsidRDefault="00F26764" w14:paraId="6BE2DBD4"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2.8</w:t>
            </w:r>
          </w:p>
        </w:tc>
        <w:tc>
          <w:tcPr>
            <w:tcW w:w="1121" w:type="dxa"/>
            <w:tcBorders>
              <w:top w:val="nil"/>
              <w:left w:val="nil"/>
              <w:bottom w:val="single" w:color="auto" w:sz="4" w:space="0"/>
              <w:right w:val="nil"/>
            </w:tcBorders>
            <w:shd w:val="clear" w:color="auto" w:fill="auto"/>
            <w:noWrap/>
            <w:vAlign w:val="center"/>
          </w:tcPr>
          <w:p w:rsidRPr="001A5BE1" w:rsidR="00F26764" w:rsidP="004C1302" w:rsidRDefault="00F26764" w14:paraId="7918502B" w14:textId="77777777">
            <w:pPr>
              <w:spacing w:after="0" w:line="240" w:lineRule="auto"/>
              <w:jc w:val="right"/>
              <w:rPr>
                <w:rFonts w:ascii="Times New Roman" w:hAnsi="Times New Roman" w:eastAsia="Times New Roman" w:cs="Times New Roman"/>
                <w:color w:val="000000"/>
              </w:rPr>
            </w:pPr>
            <w:r w:rsidRPr="00475845">
              <w:rPr>
                <w:rFonts w:ascii="Times New Roman" w:hAnsi="Times New Roman" w:cs="Times New Roman"/>
              </w:rPr>
              <w:t>4.0</w:t>
            </w:r>
          </w:p>
        </w:tc>
      </w:tr>
      <w:tr w:rsidRPr="00DE54B0" w:rsidR="00F26764" w:rsidTr="004C1302" w14:paraId="7BCAFF81" w14:textId="77777777">
        <w:trPr>
          <w:trHeight w:val="300"/>
          <w:jc w:val="center"/>
        </w:trPr>
        <w:tc>
          <w:tcPr>
            <w:tcW w:w="11424" w:type="dxa"/>
            <w:gridSpan w:val="6"/>
            <w:tcBorders>
              <w:top w:val="nil"/>
              <w:left w:val="nil"/>
              <w:bottom w:val="nil"/>
              <w:right w:val="nil"/>
            </w:tcBorders>
          </w:tcPr>
          <w:p w:rsidRPr="00DE54B0" w:rsidR="00F26764" w:rsidP="004C1302" w:rsidRDefault="00F26764" w14:paraId="0B0C8EB2"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1</w:t>
            </w:r>
            <w:r w:rsidRPr="00DE54B0">
              <w:rPr>
                <w:rFonts w:ascii="Times New Roman" w:hAnsi="Times New Roman" w:eastAsia="Times New Roman" w:cs="Times New Roman"/>
                <w:color w:val="000000"/>
                <w:sz w:val="18"/>
                <w:szCs w:val="18"/>
              </w:rPr>
              <w:t xml:space="preserve">Response rate comparisons by prepaid incentive amount use response rates prior to week 23 to avoid confounding by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incentive.</w:t>
            </w:r>
          </w:p>
        </w:tc>
      </w:tr>
      <w:tr w:rsidRPr="00DE54B0" w:rsidR="00F26764" w:rsidTr="004C1302" w14:paraId="1126178D" w14:textId="77777777">
        <w:trPr>
          <w:trHeight w:val="300"/>
          <w:jc w:val="center"/>
        </w:trPr>
        <w:tc>
          <w:tcPr>
            <w:tcW w:w="11424" w:type="dxa"/>
            <w:gridSpan w:val="6"/>
            <w:tcBorders>
              <w:top w:val="nil"/>
              <w:left w:val="nil"/>
              <w:bottom w:val="nil"/>
              <w:right w:val="nil"/>
            </w:tcBorders>
          </w:tcPr>
          <w:p w:rsidRPr="00DE54B0" w:rsidR="00F26764" w:rsidP="004C1302" w:rsidRDefault="00F26764" w14:paraId="35B8E496"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2</w:t>
            </w:r>
            <w:r w:rsidRPr="00DE54B0">
              <w:rPr>
                <w:rFonts w:ascii="Times New Roman" w:hAnsi="Times New Roman" w:eastAsia="Times New Roman" w:cs="Times New Roman"/>
                <w:color w:val="000000"/>
                <w:sz w:val="18"/>
                <w:szCs w:val="18"/>
              </w:rPr>
              <w:t xml:space="preserve">Response rate comparisons of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vs. no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groups focus on the incremental response rate after week 23, because </w:t>
            </w:r>
            <w:r>
              <w:rPr>
                <w:rFonts w:ascii="Times New Roman" w:hAnsi="Times New Roman" w:eastAsia="Times New Roman" w:cs="Times New Roman"/>
                <w:color w:val="000000"/>
                <w:sz w:val="18"/>
                <w:szCs w:val="18"/>
              </w:rPr>
              <w:t>this is the mailing at which the late-stage incentive is sent.</w:t>
            </w:r>
          </w:p>
        </w:tc>
      </w:tr>
      <w:tr w:rsidRPr="00DE54B0" w:rsidR="00F26764" w:rsidTr="004C1302" w14:paraId="3B5F511B" w14:textId="77777777">
        <w:trPr>
          <w:trHeight w:val="300"/>
          <w:jc w:val="center"/>
        </w:trPr>
        <w:tc>
          <w:tcPr>
            <w:tcW w:w="11424" w:type="dxa"/>
            <w:gridSpan w:val="6"/>
            <w:tcBorders>
              <w:top w:val="nil"/>
              <w:left w:val="nil"/>
              <w:bottom w:val="nil"/>
              <w:right w:val="nil"/>
            </w:tcBorders>
          </w:tcPr>
          <w:p w:rsidRPr="00DE54B0" w:rsidR="00F26764" w:rsidP="004C1302" w:rsidRDefault="00F26764" w14:paraId="7D623384"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3</w:t>
            </w:r>
            <w:r w:rsidRPr="00DE54B0">
              <w:rPr>
                <w:rFonts w:ascii="Times New Roman" w:hAnsi="Times New Roman" w:eastAsia="Times New Roman" w:cs="Times New Roman"/>
                <w:color w:val="000000"/>
                <w:sz w:val="18"/>
                <w:szCs w:val="18"/>
              </w:rPr>
              <w:t xml:space="preserve">Comparisons of key estimates by prepaid incentive amount are restricted to respondents prior to week 23 to avoid confounding by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incentive.</w:t>
            </w:r>
            <w:r>
              <w:rPr>
                <w:rFonts w:ascii="Times New Roman" w:hAnsi="Times New Roman" w:eastAsia="Times New Roman" w:cs="Times New Roman"/>
                <w:color w:val="000000"/>
                <w:sz w:val="18"/>
                <w:szCs w:val="18"/>
              </w:rPr>
              <w:t xml:space="preserve"> Detectable differences vary for this comparison because the response rate was assumed to be lower than average in INC0+INC0L and higher than average in INC30; therefore, the detectable difference depends in the specific groups between which estimates are compared.</w:t>
            </w:r>
          </w:p>
        </w:tc>
      </w:tr>
      <w:tr w:rsidRPr="00DE54B0" w:rsidR="00F26764" w:rsidTr="004C1302" w14:paraId="5B1BDC4F" w14:textId="77777777">
        <w:trPr>
          <w:trHeight w:val="300"/>
          <w:jc w:val="center"/>
        </w:trPr>
        <w:tc>
          <w:tcPr>
            <w:tcW w:w="11424" w:type="dxa"/>
            <w:gridSpan w:val="6"/>
            <w:tcBorders>
              <w:top w:val="nil"/>
              <w:left w:val="nil"/>
              <w:bottom w:val="nil"/>
              <w:right w:val="nil"/>
            </w:tcBorders>
          </w:tcPr>
          <w:p w:rsidRPr="00DE54B0" w:rsidR="00F26764" w:rsidP="004C1302" w:rsidRDefault="00F26764" w14:paraId="52B73FEA"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vertAlign w:val="superscript"/>
              </w:rPr>
              <w:t>4</w:t>
            </w:r>
            <w:r w:rsidRPr="00DE54B0">
              <w:rPr>
                <w:rFonts w:ascii="Times New Roman" w:hAnsi="Times New Roman" w:eastAsia="Times New Roman" w:cs="Times New Roman"/>
                <w:color w:val="000000"/>
                <w:sz w:val="18"/>
                <w:szCs w:val="18"/>
              </w:rPr>
              <w:t xml:space="preserve">Comparisons of key estimates by the </w:t>
            </w:r>
            <w:r>
              <w:rPr>
                <w:rFonts w:ascii="Times New Roman" w:hAnsi="Times New Roman" w:eastAsia="Times New Roman" w:cs="Times New Roman"/>
                <w:color w:val="000000"/>
                <w:sz w:val="18"/>
                <w:szCs w:val="18"/>
              </w:rPr>
              <w:t>late-stage</w:t>
            </w:r>
            <w:r w:rsidRPr="00DE54B0">
              <w:rPr>
                <w:rFonts w:ascii="Times New Roman" w:hAnsi="Times New Roman" w:eastAsia="Times New Roman" w:cs="Times New Roman"/>
                <w:color w:val="000000"/>
                <w:sz w:val="18"/>
                <w:szCs w:val="18"/>
              </w:rPr>
              <w:t xml:space="preserve"> incentive amount use all respondents to evaluate the effect of the </w:t>
            </w:r>
            <w:r>
              <w:rPr>
                <w:rFonts w:ascii="Times New Roman" w:hAnsi="Times New Roman" w:eastAsia="Times New Roman" w:cs="Times New Roman"/>
                <w:color w:val="000000"/>
                <w:sz w:val="18"/>
                <w:szCs w:val="18"/>
              </w:rPr>
              <w:t xml:space="preserve">late-stage </w:t>
            </w:r>
            <w:r w:rsidRPr="00DE54B0">
              <w:rPr>
                <w:rFonts w:ascii="Times New Roman" w:hAnsi="Times New Roman" w:eastAsia="Times New Roman" w:cs="Times New Roman"/>
                <w:color w:val="000000"/>
                <w:sz w:val="18"/>
                <w:szCs w:val="18"/>
              </w:rPr>
              <w:t>incentive on the final respondent composition.</w:t>
            </w:r>
          </w:p>
        </w:tc>
      </w:tr>
      <w:tr w:rsidRPr="00DE54B0" w:rsidR="00F26764" w:rsidTr="004C1302" w14:paraId="5A9F3626" w14:textId="77777777">
        <w:trPr>
          <w:trHeight w:val="300"/>
          <w:jc w:val="center"/>
        </w:trPr>
        <w:tc>
          <w:tcPr>
            <w:tcW w:w="11424" w:type="dxa"/>
            <w:gridSpan w:val="6"/>
            <w:tcBorders>
              <w:top w:val="nil"/>
              <w:left w:val="nil"/>
              <w:bottom w:val="nil"/>
              <w:right w:val="nil"/>
            </w:tcBorders>
          </w:tcPr>
          <w:p w:rsidRPr="00DE54B0" w:rsidR="00F26764" w:rsidP="004C1302" w:rsidRDefault="00F26764" w14:paraId="56DF968B" w14:textId="77777777">
            <w:pPr>
              <w:spacing w:after="0" w:line="240" w:lineRule="auto"/>
              <w:rPr>
                <w:rFonts w:ascii="Times New Roman" w:hAnsi="Times New Roman" w:eastAsia="Times New Roman" w:cs="Times New Roman"/>
                <w:color w:val="000000"/>
                <w:sz w:val="18"/>
                <w:szCs w:val="18"/>
              </w:rPr>
            </w:pPr>
            <w:r w:rsidRPr="00DE54B0">
              <w:rPr>
                <w:rFonts w:ascii="Times New Roman" w:hAnsi="Times New Roman" w:eastAsia="Times New Roman" w:cs="Times New Roman"/>
                <w:color w:val="000000"/>
                <w:sz w:val="18"/>
                <w:szCs w:val="18"/>
              </w:rPr>
              <w:t>NOTE: "INC0+INC0L" refers to INC0 and INC0L combined.</w:t>
            </w:r>
            <w:r>
              <w:rPr>
                <w:rFonts w:ascii="Times New Roman" w:hAnsi="Times New Roman" w:eastAsia="Times New Roman" w:cs="Times New Roman"/>
                <w:color w:val="000000"/>
                <w:sz w:val="18"/>
                <w:szCs w:val="18"/>
              </w:rPr>
              <w:t xml:space="preserve"> Calculations assume a total sample size of 43,200. The unweighted detectable difference is calculated ignoring the design effect and is therefore the detectable difference at the sample level. The weighted detectable difference is calculated assuming a design effect of 2 and is therefore the detectable difference at the population level. Detectable differences reflect a power requirement of 0.8 and a required significance level of 0.1.</w:t>
            </w:r>
          </w:p>
        </w:tc>
      </w:tr>
    </w:tbl>
    <w:p w:rsidRPr="00483675" w:rsidR="00F26764" w:rsidP="00483675" w:rsidRDefault="00F26764" w14:paraId="5D61C486" w14:textId="77777777">
      <w:pPr>
        <w:rPr>
          <w:rFonts w:ascii="Times New Roman" w:hAnsi="Times New Roman" w:cs="Times New Roman"/>
          <w:sz w:val="24"/>
          <w:szCs w:val="24"/>
        </w:rPr>
      </w:pPr>
    </w:p>
    <w:sectPr w:rsidRPr="00483675" w:rsidR="00F26764" w:rsidSect="00F267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A09A" w14:textId="77777777" w:rsidR="00891254" w:rsidRDefault="00891254" w:rsidP="00831416">
      <w:pPr>
        <w:spacing w:after="0" w:line="240" w:lineRule="auto"/>
      </w:pPr>
      <w:r>
        <w:separator/>
      </w:r>
    </w:p>
  </w:endnote>
  <w:endnote w:type="continuationSeparator" w:id="0">
    <w:p w14:paraId="62319F8D" w14:textId="77777777" w:rsidR="00891254" w:rsidRDefault="00891254" w:rsidP="0083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01208"/>
      <w:docPartObj>
        <w:docPartGallery w:val="Page Numbers (Bottom of Page)"/>
        <w:docPartUnique/>
      </w:docPartObj>
    </w:sdtPr>
    <w:sdtEndPr>
      <w:rPr>
        <w:noProof/>
      </w:rPr>
    </w:sdtEndPr>
    <w:sdtContent>
      <w:p w14:paraId="3B845C9B" w14:textId="69EC98BE" w:rsidR="003D65F8" w:rsidRDefault="003D65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6D93E" w14:textId="77777777" w:rsidR="003D65F8" w:rsidRDefault="003D6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F485" w14:textId="77777777" w:rsidR="00891254" w:rsidRDefault="00891254" w:rsidP="00831416">
      <w:pPr>
        <w:spacing w:after="0" w:line="240" w:lineRule="auto"/>
      </w:pPr>
      <w:r>
        <w:separator/>
      </w:r>
    </w:p>
  </w:footnote>
  <w:footnote w:type="continuationSeparator" w:id="0">
    <w:p w14:paraId="76113298" w14:textId="77777777" w:rsidR="00891254" w:rsidRDefault="00891254" w:rsidP="00831416">
      <w:pPr>
        <w:spacing w:after="0" w:line="240" w:lineRule="auto"/>
      </w:pPr>
      <w:r>
        <w:continuationSeparator/>
      </w:r>
    </w:p>
  </w:footnote>
  <w:footnote w:id="1">
    <w:p w14:paraId="6160D2B9" w14:textId="302E2748" w:rsidR="003D65F8" w:rsidRPr="00923FDA" w:rsidRDefault="003D65F8" w:rsidP="00475845">
      <w:pPr>
        <w:pStyle w:val="FootnoteText"/>
        <w:keepLines/>
        <w:rPr>
          <w:rFonts w:ascii="Times New Roman" w:hAnsi="Times New Roman" w:cs="Times New Roman"/>
        </w:rPr>
      </w:pPr>
      <w:r w:rsidRPr="00923FDA">
        <w:rPr>
          <w:rStyle w:val="FootnoteReference"/>
          <w:rFonts w:ascii="Times New Roman" w:hAnsi="Times New Roman" w:cs="Times New Roman"/>
        </w:rPr>
        <w:footnoteRef/>
      </w:r>
      <w:r w:rsidRPr="00923FDA">
        <w:rPr>
          <w:rFonts w:ascii="Times New Roman" w:hAnsi="Times New Roman" w:cs="Times New Roman"/>
        </w:rPr>
        <w:t xml:space="preserve"> For the purpose of the power analysis, it was assumed that sampled persons who indicate on the NTEWS that they are still enrolled in grades K-12—and thus are outside the target population for the NTEWS—would be counted as respondents because the knowledge that a </w:t>
      </w:r>
      <w:r>
        <w:rPr>
          <w:rFonts w:ascii="Times New Roman" w:hAnsi="Times New Roman" w:cs="Times New Roman"/>
        </w:rPr>
        <w:t xml:space="preserve">sampled </w:t>
      </w:r>
      <w:r w:rsidRPr="00923FDA">
        <w:rPr>
          <w:rFonts w:ascii="Times New Roman" w:hAnsi="Times New Roman" w:cs="Times New Roman"/>
        </w:rPr>
        <w:t xml:space="preserve">person is outside the target population is, operationally, useful information. For this reason, the </w:t>
      </w:r>
      <w:r w:rsidRPr="00923FDA">
        <w:rPr>
          <w:rFonts w:ascii="Times New Roman" w:hAnsi="Times New Roman" w:cs="Times New Roman"/>
          <w:i/>
        </w:rPr>
        <w:t>operational</w:t>
      </w:r>
      <w:r w:rsidRPr="00923FDA">
        <w:rPr>
          <w:rFonts w:ascii="Times New Roman" w:hAnsi="Times New Roman" w:cs="Times New Roman"/>
        </w:rPr>
        <w:t xml:space="preserve"> response rates used for these experimental comparisons may differ from the officially reported NTEWS response rates, which would treat such persons as ineligible.</w:t>
      </w:r>
    </w:p>
  </w:footnote>
  <w:footnote w:id="2">
    <w:p w14:paraId="5C4B8677" w14:textId="280BCD92" w:rsidR="003D65F8" w:rsidRPr="00475845" w:rsidRDefault="003D65F8">
      <w:pPr>
        <w:pStyle w:val="FootnoteText"/>
        <w:rPr>
          <w:rFonts w:ascii="Times New Roman" w:hAnsi="Times New Roman" w:cs="Times New Roman"/>
        </w:rPr>
      </w:pPr>
      <w:r w:rsidRPr="00475845">
        <w:rPr>
          <w:rStyle w:val="FootnoteReference"/>
          <w:rFonts w:ascii="Times New Roman" w:hAnsi="Times New Roman" w:cs="Times New Roman"/>
        </w:rPr>
        <w:footnoteRef/>
      </w:r>
      <w:r w:rsidRPr="00475845">
        <w:rPr>
          <w:rFonts w:ascii="Times New Roman" w:hAnsi="Times New Roman" w:cs="Times New Roman"/>
        </w:rPr>
        <w:t xml:space="preserve"> A convenience</w:t>
      </w:r>
      <w:r>
        <w:rPr>
          <w:rFonts w:ascii="Times New Roman" w:hAnsi="Times New Roman" w:cs="Times New Roman"/>
        </w:rPr>
        <w:t xml:space="preserve"> sample was used because an exhaustive list of certificate holders in the U.S. does not currently exist. Assembling such a list for the purpose of the NTEWS would have been cost-prohibitive.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82D7F"/>
    <w:multiLevelType w:val="hybridMultilevel"/>
    <w:tmpl w:val="144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70DDE"/>
    <w:multiLevelType w:val="hybridMultilevel"/>
    <w:tmpl w:val="75D62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6D51B1"/>
    <w:multiLevelType w:val="hybridMultilevel"/>
    <w:tmpl w:val="5B88C5F8"/>
    <w:lvl w:ilvl="0" w:tplc="4CE0899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7476F"/>
    <w:multiLevelType w:val="hybridMultilevel"/>
    <w:tmpl w:val="4FFE2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47A58"/>
    <w:multiLevelType w:val="hybridMultilevel"/>
    <w:tmpl w:val="65BC6D3C"/>
    <w:lvl w:ilvl="0" w:tplc="63DA07B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C009A"/>
    <w:multiLevelType w:val="hybridMultilevel"/>
    <w:tmpl w:val="689A3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7363D9"/>
    <w:multiLevelType w:val="hybridMultilevel"/>
    <w:tmpl w:val="947604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18472A"/>
    <w:multiLevelType w:val="hybridMultilevel"/>
    <w:tmpl w:val="ACF48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81D74"/>
    <w:multiLevelType w:val="hybridMultilevel"/>
    <w:tmpl w:val="42E814E8"/>
    <w:lvl w:ilvl="0" w:tplc="94BEDF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0E1278"/>
    <w:multiLevelType w:val="hybridMultilevel"/>
    <w:tmpl w:val="6F3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9"/>
  </w:num>
  <w:num w:numId="5">
    <w:abstractNumId w:val="3"/>
  </w:num>
  <w:num w:numId="6">
    <w:abstractNumId w:val="5"/>
  </w:num>
  <w:num w:numId="7">
    <w:abstractNumId w:val="4"/>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F7"/>
    <w:rsid w:val="0000034D"/>
    <w:rsid w:val="00005255"/>
    <w:rsid w:val="0000550D"/>
    <w:rsid w:val="00005BAE"/>
    <w:rsid w:val="00006378"/>
    <w:rsid w:val="00007228"/>
    <w:rsid w:val="00007652"/>
    <w:rsid w:val="00010E06"/>
    <w:rsid w:val="00012628"/>
    <w:rsid w:val="00013151"/>
    <w:rsid w:val="000142AA"/>
    <w:rsid w:val="000143D0"/>
    <w:rsid w:val="00014F79"/>
    <w:rsid w:val="00015A77"/>
    <w:rsid w:val="0001642E"/>
    <w:rsid w:val="0002540E"/>
    <w:rsid w:val="0002575B"/>
    <w:rsid w:val="000265E7"/>
    <w:rsid w:val="000277C6"/>
    <w:rsid w:val="000278AD"/>
    <w:rsid w:val="00030699"/>
    <w:rsid w:val="00030A35"/>
    <w:rsid w:val="00030F94"/>
    <w:rsid w:val="0003274C"/>
    <w:rsid w:val="00034426"/>
    <w:rsid w:val="0003497C"/>
    <w:rsid w:val="00037B04"/>
    <w:rsid w:val="00041E57"/>
    <w:rsid w:val="00042017"/>
    <w:rsid w:val="000425F9"/>
    <w:rsid w:val="00042E54"/>
    <w:rsid w:val="00044294"/>
    <w:rsid w:val="0004442E"/>
    <w:rsid w:val="00045581"/>
    <w:rsid w:val="000462B7"/>
    <w:rsid w:val="00047CCA"/>
    <w:rsid w:val="000500D0"/>
    <w:rsid w:val="0005035B"/>
    <w:rsid w:val="00050837"/>
    <w:rsid w:val="00050ABA"/>
    <w:rsid w:val="00050BE0"/>
    <w:rsid w:val="00050FC2"/>
    <w:rsid w:val="00053984"/>
    <w:rsid w:val="00054D2C"/>
    <w:rsid w:val="00056A9A"/>
    <w:rsid w:val="000604DF"/>
    <w:rsid w:val="0006097E"/>
    <w:rsid w:val="000613FE"/>
    <w:rsid w:val="000628CC"/>
    <w:rsid w:val="00062D7F"/>
    <w:rsid w:val="000630BA"/>
    <w:rsid w:val="00063236"/>
    <w:rsid w:val="000642DC"/>
    <w:rsid w:val="000649A7"/>
    <w:rsid w:val="00064FE7"/>
    <w:rsid w:val="00065F27"/>
    <w:rsid w:val="00067917"/>
    <w:rsid w:val="000700EE"/>
    <w:rsid w:val="00072C4E"/>
    <w:rsid w:val="00072F87"/>
    <w:rsid w:val="00074789"/>
    <w:rsid w:val="00074AA0"/>
    <w:rsid w:val="0007509E"/>
    <w:rsid w:val="00075441"/>
    <w:rsid w:val="00076525"/>
    <w:rsid w:val="0007724C"/>
    <w:rsid w:val="00077516"/>
    <w:rsid w:val="00081DB0"/>
    <w:rsid w:val="0008254F"/>
    <w:rsid w:val="00082BC5"/>
    <w:rsid w:val="0008434D"/>
    <w:rsid w:val="00086068"/>
    <w:rsid w:val="0009019B"/>
    <w:rsid w:val="000922EB"/>
    <w:rsid w:val="00092EC2"/>
    <w:rsid w:val="000932BE"/>
    <w:rsid w:val="00093450"/>
    <w:rsid w:val="00093883"/>
    <w:rsid w:val="00094BBC"/>
    <w:rsid w:val="00095B8D"/>
    <w:rsid w:val="00096A1C"/>
    <w:rsid w:val="000974D5"/>
    <w:rsid w:val="0009797A"/>
    <w:rsid w:val="000A01C9"/>
    <w:rsid w:val="000A2CA4"/>
    <w:rsid w:val="000A3399"/>
    <w:rsid w:val="000A7134"/>
    <w:rsid w:val="000A7681"/>
    <w:rsid w:val="000A7F2B"/>
    <w:rsid w:val="000B20D0"/>
    <w:rsid w:val="000B2144"/>
    <w:rsid w:val="000B465E"/>
    <w:rsid w:val="000B46C7"/>
    <w:rsid w:val="000B4B43"/>
    <w:rsid w:val="000B5F42"/>
    <w:rsid w:val="000B78AA"/>
    <w:rsid w:val="000C02C6"/>
    <w:rsid w:val="000C14AD"/>
    <w:rsid w:val="000C1AC3"/>
    <w:rsid w:val="000C334A"/>
    <w:rsid w:val="000C3A0E"/>
    <w:rsid w:val="000C44D9"/>
    <w:rsid w:val="000C4B49"/>
    <w:rsid w:val="000C68C6"/>
    <w:rsid w:val="000D0426"/>
    <w:rsid w:val="000D17E7"/>
    <w:rsid w:val="000D19BB"/>
    <w:rsid w:val="000D3946"/>
    <w:rsid w:val="000D3AF3"/>
    <w:rsid w:val="000D4CE5"/>
    <w:rsid w:val="000D5431"/>
    <w:rsid w:val="000D6F79"/>
    <w:rsid w:val="000E0AC8"/>
    <w:rsid w:val="000E6894"/>
    <w:rsid w:val="000E6F8E"/>
    <w:rsid w:val="000F0E42"/>
    <w:rsid w:val="000F3900"/>
    <w:rsid w:val="000F7F36"/>
    <w:rsid w:val="0010104E"/>
    <w:rsid w:val="00101741"/>
    <w:rsid w:val="0010185F"/>
    <w:rsid w:val="00101FC7"/>
    <w:rsid w:val="001032D5"/>
    <w:rsid w:val="00105846"/>
    <w:rsid w:val="001058E2"/>
    <w:rsid w:val="00106DD2"/>
    <w:rsid w:val="0010729C"/>
    <w:rsid w:val="00107DB0"/>
    <w:rsid w:val="00110020"/>
    <w:rsid w:val="001102B1"/>
    <w:rsid w:val="00112783"/>
    <w:rsid w:val="00112C6F"/>
    <w:rsid w:val="00113654"/>
    <w:rsid w:val="00115445"/>
    <w:rsid w:val="0011545C"/>
    <w:rsid w:val="00115BD1"/>
    <w:rsid w:val="00116366"/>
    <w:rsid w:val="001174BC"/>
    <w:rsid w:val="00123ECA"/>
    <w:rsid w:val="001256E0"/>
    <w:rsid w:val="00125760"/>
    <w:rsid w:val="001260CD"/>
    <w:rsid w:val="00126F7F"/>
    <w:rsid w:val="001274A9"/>
    <w:rsid w:val="00130511"/>
    <w:rsid w:val="00131A7B"/>
    <w:rsid w:val="00131D2D"/>
    <w:rsid w:val="00131FAA"/>
    <w:rsid w:val="00132C83"/>
    <w:rsid w:val="00133560"/>
    <w:rsid w:val="00133616"/>
    <w:rsid w:val="001346AD"/>
    <w:rsid w:val="00134978"/>
    <w:rsid w:val="00134C9D"/>
    <w:rsid w:val="00135DA4"/>
    <w:rsid w:val="00135DA5"/>
    <w:rsid w:val="0013724A"/>
    <w:rsid w:val="001372B4"/>
    <w:rsid w:val="001373F9"/>
    <w:rsid w:val="00140002"/>
    <w:rsid w:val="001413C8"/>
    <w:rsid w:val="00141CA0"/>
    <w:rsid w:val="001421D2"/>
    <w:rsid w:val="0014236E"/>
    <w:rsid w:val="001443E8"/>
    <w:rsid w:val="00145824"/>
    <w:rsid w:val="00147851"/>
    <w:rsid w:val="0015149F"/>
    <w:rsid w:val="00152ED9"/>
    <w:rsid w:val="00153EE2"/>
    <w:rsid w:val="00154995"/>
    <w:rsid w:val="00154E8B"/>
    <w:rsid w:val="00157976"/>
    <w:rsid w:val="0016186D"/>
    <w:rsid w:val="00161B4C"/>
    <w:rsid w:val="00163B0F"/>
    <w:rsid w:val="00163C5F"/>
    <w:rsid w:val="00164D8B"/>
    <w:rsid w:val="00164DE7"/>
    <w:rsid w:val="0016642D"/>
    <w:rsid w:val="001668D0"/>
    <w:rsid w:val="00166ECB"/>
    <w:rsid w:val="00167CF8"/>
    <w:rsid w:val="00170552"/>
    <w:rsid w:val="0017311C"/>
    <w:rsid w:val="00173401"/>
    <w:rsid w:val="00174B1A"/>
    <w:rsid w:val="001758EB"/>
    <w:rsid w:val="00175CAE"/>
    <w:rsid w:val="00175EEB"/>
    <w:rsid w:val="001762F0"/>
    <w:rsid w:val="00176F3C"/>
    <w:rsid w:val="00180564"/>
    <w:rsid w:val="00181755"/>
    <w:rsid w:val="00181A17"/>
    <w:rsid w:val="00183579"/>
    <w:rsid w:val="001844CB"/>
    <w:rsid w:val="00184715"/>
    <w:rsid w:val="001857A9"/>
    <w:rsid w:val="001906FC"/>
    <w:rsid w:val="001908DE"/>
    <w:rsid w:val="00190A0F"/>
    <w:rsid w:val="00191092"/>
    <w:rsid w:val="00193A33"/>
    <w:rsid w:val="00193AB6"/>
    <w:rsid w:val="00193C15"/>
    <w:rsid w:val="0019410C"/>
    <w:rsid w:val="00194A6D"/>
    <w:rsid w:val="00194F02"/>
    <w:rsid w:val="0019704D"/>
    <w:rsid w:val="001A095A"/>
    <w:rsid w:val="001A0EF5"/>
    <w:rsid w:val="001A3507"/>
    <w:rsid w:val="001A380C"/>
    <w:rsid w:val="001A5BE1"/>
    <w:rsid w:val="001B1180"/>
    <w:rsid w:val="001B1774"/>
    <w:rsid w:val="001B26ED"/>
    <w:rsid w:val="001B34E7"/>
    <w:rsid w:val="001B6BC6"/>
    <w:rsid w:val="001B6C5E"/>
    <w:rsid w:val="001C02C9"/>
    <w:rsid w:val="001C0ABC"/>
    <w:rsid w:val="001C0D2C"/>
    <w:rsid w:val="001C1725"/>
    <w:rsid w:val="001C1AE7"/>
    <w:rsid w:val="001C1EF8"/>
    <w:rsid w:val="001C40D3"/>
    <w:rsid w:val="001C50D2"/>
    <w:rsid w:val="001C521E"/>
    <w:rsid w:val="001C6285"/>
    <w:rsid w:val="001C6852"/>
    <w:rsid w:val="001D007B"/>
    <w:rsid w:val="001D23D8"/>
    <w:rsid w:val="001D271F"/>
    <w:rsid w:val="001D2DF8"/>
    <w:rsid w:val="001D31D3"/>
    <w:rsid w:val="001D3B33"/>
    <w:rsid w:val="001D58A3"/>
    <w:rsid w:val="001D6839"/>
    <w:rsid w:val="001D70D7"/>
    <w:rsid w:val="001D7512"/>
    <w:rsid w:val="001E0324"/>
    <w:rsid w:val="001E09FC"/>
    <w:rsid w:val="001E1A3E"/>
    <w:rsid w:val="001E5137"/>
    <w:rsid w:val="001E5D1D"/>
    <w:rsid w:val="001E5F47"/>
    <w:rsid w:val="001E64F4"/>
    <w:rsid w:val="001E709F"/>
    <w:rsid w:val="001F0591"/>
    <w:rsid w:val="001F088A"/>
    <w:rsid w:val="001F2EE8"/>
    <w:rsid w:val="001F3406"/>
    <w:rsid w:val="001F3E3E"/>
    <w:rsid w:val="001F5231"/>
    <w:rsid w:val="001F67A1"/>
    <w:rsid w:val="001F6E43"/>
    <w:rsid w:val="001F75AC"/>
    <w:rsid w:val="002001EE"/>
    <w:rsid w:val="0020111B"/>
    <w:rsid w:val="0020220C"/>
    <w:rsid w:val="00203237"/>
    <w:rsid w:val="0020640A"/>
    <w:rsid w:val="00206C48"/>
    <w:rsid w:val="0020709D"/>
    <w:rsid w:val="0020759B"/>
    <w:rsid w:val="00212354"/>
    <w:rsid w:val="0021278F"/>
    <w:rsid w:val="00215DD4"/>
    <w:rsid w:val="00215DEF"/>
    <w:rsid w:val="00216FDD"/>
    <w:rsid w:val="00221923"/>
    <w:rsid w:val="00222B02"/>
    <w:rsid w:val="00222C1B"/>
    <w:rsid w:val="0022310E"/>
    <w:rsid w:val="00224D75"/>
    <w:rsid w:val="002276C7"/>
    <w:rsid w:val="0022776E"/>
    <w:rsid w:val="00227AA5"/>
    <w:rsid w:val="0023024E"/>
    <w:rsid w:val="00230628"/>
    <w:rsid w:val="00234728"/>
    <w:rsid w:val="00234801"/>
    <w:rsid w:val="00234B7D"/>
    <w:rsid w:val="0023550F"/>
    <w:rsid w:val="002371F1"/>
    <w:rsid w:val="002372FC"/>
    <w:rsid w:val="00240BA9"/>
    <w:rsid w:val="00243967"/>
    <w:rsid w:val="0024564F"/>
    <w:rsid w:val="002456D9"/>
    <w:rsid w:val="00245DDD"/>
    <w:rsid w:val="00245F9D"/>
    <w:rsid w:val="002469D7"/>
    <w:rsid w:val="00246B3C"/>
    <w:rsid w:val="00246E42"/>
    <w:rsid w:val="00246EBD"/>
    <w:rsid w:val="0024702F"/>
    <w:rsid w:val="00247DF8"/>
    <w:rsid w:val="002501BA"/>
    <w:rsid w:val="00251A35"/>
    <w:rsid w:val="002539C9"/>
    <w:rsid w:val="00253E5A"/>
    <w:rsid w:val="00255C9C"/>
    <w:rsid w:val="00256D82"/>
    <w:rsid w:val="00257C59"/>
    <w:rsid w:val="002607CE"/>
    <w:rsid w:val="00260DAF"/>
    <w:rsid w:val="002620C4"/>
    <w:rsid w:val="00262185"/>
    <w:rsid w:val="00262DD0"/>
    <w:rsid w:val="00263E5B"/>
    <w:rsid w:val="002640D4"/>
    <w:rsid w:val="0026505C"/>
    <w:rsid w:val="002669D7"/>
    <w:rsid w:val="00267162"/>
    <w:rsid w:val="00267CC1"/>
    <w:rsid w:val="00267D76"/>
    <w:rsid w:val="00270805"/>
    <w:rsid w:val="002712E2"/>
    <w:rsid w:val="00271C31"/>
    <w:rsid w:val="00272195"/>
    <w:rsid w:val="00273EDC"/>
    <w:rsid w:val="00275DA2"/>
    <w:rsid w:val="00275EFA"/>
    <w:rsid w:val="00276878"/>
    <w:rsid w:val="00276932"/>
    <w:rsid w:val="002832E3"/>
    <w:rsid w:val="002837C2"/>
    <w:rsid w:val="002840A7"/>
    <w:rsid w:val="00284257"/>
    <w:rsid w:val="00285C6A"/>
    <w:rsid w:val="002866A5"/>
    <w:rsid w:val="00290DE5"/>
    <w:rsid w:val="002925C3"/>
    <w:rsid w:val="00293949"/>
    <w:rsid w:val="002941B8"/>
    <w:rsid w:val="002950BB"/>
    <w:rsid w:val="00296EBC"/>
    <w:rsid w:val="0029755C"/>
    <w:rsid w:val="002A003F"/>
    <w:rsid w:val="002A009B"/>
    <w:rsid w:val="002A0E61"/>
    <w:rsid w:val="002A21A2"/>
    <w:rsid w:val="002A5B93"/>
    <w:rsid w:val="002A61BB"/>
    <w:rsid w:val="002A61F4"/>
    <w:rsid w:val="002B18A3"/>
    <w:rsid w:val="002B3246"/>
    <w:rsid w:val="002B33D9"/>
    <w:rsid w:val="002B3917"/>
    <w:rsid w:val="002B518E"/>
    <w:rsid w:val="002B5997"/>
    <w:rsid w:val="002B66D7"/>
    <w:rsid w:val="002C0415"/>
    <w:rsid w:val="002C0EDD"/>
    <w:rsid w:val="002C1BDC"/>
    <w:rsid w:val="002C299A"/>
    <w:rsid w:val="002C3C1F"/>
    <w:rsid w:val="002C4196"/>
    <w:rsid w:val="002C5FE1"/>
    <w:rsid w:val="002C664E"/>
    <w:rsid w:val="002D0BA3"/>
    <w:rsid w:val="002D1003"/>
    <w:rsid w:val="002D3259"/>
    <w:rsid w:val="002D3710"/>
    <w:rsid w:val="002D3F5B"/>
    <w:rsid w:val="002D635F"/>
    <w:rsid w:val="002D66A9"/>
    <w:rsid w:val="002D6FBE"/>
    <w:rsid w:val="002E194E"/>
    <w:rsid w:val="002E333F"/>
    <w:rsid w:val="002E42FE"/>
    <w:rsid w:val="002E4BA8"/>
    <w:rsid w:val="002E55E0"/>
    <w:rsid w:val="002E5E81"/>
    <w:rsid w:val="002E6010"/>
    <w:rsid w:val="002E77DD"/>
    <w:rsid w:val="002E7892"/>
    <w:rsid w:val="002F0276"/>
    <w:rsid w:val="002F032A"/>
    <w:rsid w:val="002F27C1"/>
    <w:rsid w:val="002F3F7B"/>
    <w:rsid w:val="002F495A"/>
    <w:rsid w:val="002F6170"/>
    <w:rsid w:val="002F6573"/>
    <w:rsid w:val="002F65C5"/>
    <w:rsid w:val="00300686"/>
    <w:rsid w:val="00300874"/>
    <w:rsid w:val="00303672"/>
    <w:rsid w:val="00303906"/>
    <w:rsid w:val="0030506F"/>
    <w:rsid w:val="00306205"/>
    <w:rsid w:val="00306690"/>
    <w:rsid w:val="00307B7A"/>
    <w:rsid w:val="003132E4"/>
    <w:rsid w:val="003140B5"/>
    <w:rsid w:val="00314F7C"/>
    <w:rsid w:val="00316F3D"/>
    <w:rsid w:val="00317F40"/>
    <w:rsid w:val="003220EC"/>
    <w:rsid w:val="0032210B"/>
    <w:rsid w:val="003237F9"/>
    <w:rsid w:val="00326898"/>
    <w:rsid w:val="00327EE3"/>
    <w:rsid w:val="0033030B"/>
    <w:rsid w:val="00331092"/>
    <w:rsid w:val="003315C5"/>
    <w:rsid w:val="00332B63"/>
    <w:rsid w:val="003333C2"/>
    <w:rsid w:val="00333D7F"/>
    <w:rsid w:val="00333F49"/>
    <w:rsid w:val="003359E8"/>
    <w:rsid w:val="00336803"/>
    <w:rsid w:val="003371F4"/>
    <w:rsid w:val="00341078"/>
    <w:rsid w:val="00342B82"/>
    <w:rsid w:val="0034325E"/>
    <w:rsid w:val="00345577"/>
    <w:rsid w:val="00345A38"/>
    <w:rsid w:val="00346B74"/>
    <w:rsid w:val="003472EB"/>
    <w:rsid w:val="0034749F"/>
    <w:rsid w:val="00347CD5"/>
    <w:rsid w:val="00350FB2"/>
    <w:rsid w:val="00351541"/>
    <w:rsid w:val="00351CE3"/>
    <w:rsid w:val="00352548"/>
    <w:rsid w:val="00352C93"/>
    <w:rsid w:val="00352FA4"/>
    <w:rsid w:val="003553DA"/>
    <w:rsid w:val="00360DE4"/>
    <w:rsid w:val="00361991"/>
    <w:rsid w:val="00362DC3"/>
    <w:rsid w:val="00366417"/>
    <w:rsid w:val="0036693A"/>
    <w:rsid w:val="00367AFC"/>
    <w:rsid w:val="00370807"/>
    <w:rsid w:val="0037246D"/>
    <w:rsid w:val="00376316"/>
    <w:rsid w:val="00377006"/>
    <w:rsid w:val="003772F3"/>
    <w:rsid w:val="003777A5"/>
    <w:rsid w:val="0038010C"/>
    <w:rsid w:val="003809FD"/>
    <w:rsid w:val="003819D8"/>
    <w:rsid w:val="00383C00"/>
    <w:rsid w:val="00383F44"/>
    <w:rsid w:val="003852E7"/>
    <w:rsid w:val="00385A25"/>
    <w:rsid w:val="0039296C"/>
    <w:rsid w:val="00393A98"/>
    <w:rsid w:val="00395D73"/>
    <w:rsid w:val="00397321"/>
    <w:rsid w:val="0039746B"/>
    <w:rsid w:val="0039757C"/>
    <w:rsid w:val="00397683"/>
    <w:rsid w:val="00397A7B"/>
    <w:rsid w:val="003A0154"/>
    <w:rsid w:val="003A198B"/>
    <w:rsid w:val="003A2DE7"/>
    <w:rsid w:val="003A4546"/>
    <w:rsid w:val="003A4599"/>
    <w:rsid w:val="003A48F8"/>
    <w:rsid w:val="003A5FD4"/>
    <w:rsid w:val="003A6DE8"/>
    <w:rsid w:val="003A78A7"/>
    <w:rsid w:val="003B00D9"/>
    <w:rsid w:val="003B010E"/>
    <w:rsid w:val="003B3239"/>
    <w:rsid w:val="003B3A54"/>
    <w:rsid w:val="003B492B"/>
    <w:rsid w:val="003B52C7"/>
    <w:rsid w:val="003B57CC"/>
    <w:rsid w:val="003B6B40"/>
    <w:rsid w:val="003B76F8"/>
    <w:rsid w:val="003C01C3"/>
    <w:rsid w:val="003C3522"/>
    <w:rsid w:val="003C364F"/>
    <w:rsid w:val="003C3BFE"/>
    <w:rsid w:val="003C3F6A"/>
    <w:rsid w:val="003C4922"/>
    <w:rsid w:val="003C4ADD"/>
    <w:rsid w:val="003C4CF8"/>
    <w:rsid w:val="003C72D7"/>
    <w:rsid w:val="003D1ADC"/>
    <w:rsid w:val="003D1B62"/>
    <w:rsid w:val="003D2FAC"/>
    <w:rsid w:val="003D40C1"/>
    <w:rsid w:val="003D54BC"/>
    <w:rsid w:val="003D65F8"/>
    <w:rsid w:val="003E089F"/>
    <w:rsid w:val="003E0F49"/>
    <w:rsid w:val="003E188D"/>
    <w:rsid w:val="003E1984"/>
    <w:rsid w:val="003E3CC0"/>
    <w:rsid w:val="003E438D"/>
    <w:rsid w:val="003E49F4"/>
    <w:rsid w:val="003E4B70"/>
    <w:rsid w:val="003E4D77"/>
    <w:rsid w:val="003E4E2C"/>
    <w:rsid w:val="003E5063"/>
    <w:rsid w:val="003E552E"/>
    <w:rsid w:val="003E5A04"/>
    <w:rsid w:val="003F1A0B"/>
    <w:rsid w:val="003F315B"/>
    <w:rsid w:val="003F31AE"/>
    <w:rsid w:val="003F33B2"/>
    <w:rsid w:val="003F3751"/>
    <w:rsid w:val="003F3E36"/>
    <w:rsid w:val="003F4C0D"/>
    <w:rsid w:val="003F4E6A"/>
    <w:rsid w:val="003F5882"/>
    <w:rsid w:val="003F59CE"/>
    <w:rsid w:val="003F60CD"/>
    <w:rsid w:val="003F6224"/>
    <w:rsid w:val="003F67D6"/>
    <w:rsid w:val="00402A19"/>
    <w:rsid w:val="004034EA"/>
    <w:rsid w:val="00404064"/>
    <w:rsid w:val="00405B92"/>
    <w:rsid w:val="0041089C"/>
    <w:rsid w:val="00411A5A"/>
    <w:rsid w:val="00417E9E"/>
    <w:rsid w:val="00417F02"/>
    <w:rsid w:val="00422129"/>
    <w:rsid w:val="00422A24"/>
    <w:rsid w:val="00423859"/>
    <w:rsid w:val="00423CA4"/>
    <w:rsid w:val="00424769"/>
    <w:rsid w:val="00424E39"/>
    <w:rsid w:val="0042666A"/>
    <w:rsid w:val="00430B34"/>
    <w:rsid w:val="00433450"/>
    <w:rsid w:val="0043521F"/>
    <w:rsid w:val="0043561B"/>
    <w:rsid w:val="00437070"/>
    <w:rsid w:val="00437107"/>
    <w:rsid w:val="00440D59"/>
    <w:rsid w:val="00440E8B"/>
    <w:rsid w:val="00443D95"/>
    <w:rsid w:val="00444120"/>
    <w:rsid w:val="00446A35"/>
    <w:rsid w:val="004471B2"/>
    <w:rsid w:val="0044754E"/>
    <w:rsid w:val="00450E19"/>
    <w:rsid w:val="00451427"/>
    <w:rsid w:val="00451819"/>
    <w:rsid w:val="00452360"/>
    <w:rsid w:val="00452A4B"/>
    <w:rsid w:val="00454CEB"/>
    <w:rsid w:val="00455513"/>
    <w:rsid w:val="00455E32"/>
    <w:rsid w:val="00456243"/>
    <w:rsid w:val="004563F2"/>
    <w:rsid w:val="0045734D"/>
    <w:rsid w:val="00457919"/>
    <w:rsid w:val="00461E0E"/>
    <w:rsid w:val="00461FE7"/>
    <w:rsid w:val="004645CE"/>
    <w:rsid w:val="004659A9"/>
    <w:rsid w:val="00466040"/>
    <w:rsid w:val="00471143"/>
    <w:rsid w:val="00471992"/>
    <w:rsid w:val="00471D33"/>
    <w:rsid w:val="00473896"/>
    <w:rsid w:val="004744AF"/>
    <w:rsid w:val="00474701"/>
    <w:rsid w:val="00474877"/>
    <w:rsid w:val="00474F68"/>
    <w:rsid w:val="00475797"/>
    <w:rsid w:val="00475845"/>
    <w:rsid w:val="00475B36"/>
    <w:rsid w:val="00476438"/>
    <w:rsid w:val="00476789"/>
    <w:rsid w:val="004777AA"/>
    <w:rsid w:val="00480CBE"/>
    <w:rsid w:val="00481370"/>
    <w:rsid w:val="004820ED"/>
    <w:rsid w:val="0048254B"/>
    <w:rsid w:val="00483675"/>
    <w:rsid w:val="004844A0"/>
    <w:rsid w:val="00484A6B"/>
    <w:rsid w:val="00485068"/>
    <w:rsid w:val="00486DA5"/>
    <w:rsid w:val="004917F2"/>
    <w:rsid w:val="00491CBD"/>
    <w:rsid w:val="004923A8"/>
    <w:rsid w:val="00494213"/>
    <w:rsid w:val="00494C00"/>
    <w:rsid w:val="00497B24"/>
    <w:rsid w:val="004A021C"/>
    <w:rsid w:val="004A0470"/>
    <w:rsid w:val="004A14CA"/>
    <w:rsid w:val="004A2827"/>
    <w:rsid w:val="004A6E11"/>
    <w:rsid w:val="004A6F6F"/>
    <w:rsid w:val="004B0D9B"/>
    <w:rsid w:val="004B1454"/>
    <w:rsid w:val="004B2D3E"/>
    <w:rsid w:val="004B2FB0"/>
    <w:rsid w:val="004B324F"/>
    <w:rsid w:val="004B38B5"/>
    <w:rsid w:val="004B4F72"/>
    <w:rsid w:val="004B58D6"/>
    <w:rsid w:val="004B6945"/>
    <w:rsid w:val="004B785D"/>
    <w:rsid w:val="004B7EE2"/>
    <w:rsid w:val="004C07D2"/>
    <w:rsid w:val="004C096E"/>
    <w:rsid w:val="004C125B"/>
    <w:rsid w:val="004C2D24"/>
    <w:rsid w:val="004C2E28"/>
    <w:rsid w:val="004C3991"/>
    <w:rsid w:val="004C405F"/>
    <w:rsid w:val="004C4CDC"/>
    <w:rsid w:val="004C5A13"/>
    <w:rsid w:val="004C7239"/>
    <w:rsid w:val="004C7BEB"/>
    <w:rsid w:val="004C7C51"/>
    <w:rsid w:val="004D0772"/>
    <w:rsid w:val="004D188F"/>
    <w:rsid w:val="004D1B0E"/>
    <w:rsid w:val="004D1CCD"/>
    <w:rsid w:val="004D1EBA"/>
    <w:rsid w:val="004D1F5C"/>
    <w:rsid w:val="004D2B3C"/>
    <w:rsid w:val="004D2EE0"/>
    <w:rsid w:val="004D4697"/>
    <w:rsid w:val="004D484A"/>
    <w:rsid w:val="004D4FB6"/>
    <w:rsid w:val="004D5665"/>
    <w:rsid w:val="004D664A"/>
    <w:rsid w:val="004D70A1"/>
    <w:rsid w:val="004D73B8"/>
    <w:rsid w:val="004E03C5"/>
    <w:rsid w:val="004E07E5"/>
    <w:rsid w:val="004E1216"/>
    <w:rsid w:val="004E2806"/>
    <w:rsid w:val="004E3E8F"/>
    <w:rsid w:val="004E43B2"/>
    <w:rsid w:val="004E460F"/>
    <w:rsid w:val="004E566F"/>
    <w:rsid w:val="004E5746"/>
    <w:rsid w:val="004E5E33"/>
    <w:rsid w:val="004F131E"/>
    <w:rsid w:val="004F25A9"/>
    <w:rsid w:val="004F3F80"/>
    <w:rsid w:val="004F4227"/>
    <w:rsid w:val="004F4777"/>
    <w:rsid w:val="004F5DF4"/>
    <w:rsid w:val="005013D5"/>
    <w:rsid w:val="00502049"/>
    <w:rsid w:val="005032A5"/>
    <w:rsid w:val="0050464C"/>
    <w:rsid w:val="00505B0D"/>
    <w:rsid w:val="00505C1F"/>
    <w:rsid w:val="00507EEC"/>
    <w:rsid w:val="005123D2"/>
    <w:rsid w:val="0051566D"/>
    <w:rsid w:val="00520E7D"/>
    <w:rsid w:val="00524C7D"/>
    <w:rsid w:val="00524DD7"/>
    <w:rsid w:val="005257E8"/>
    <w:rsid w:val="00530242"/>
    <w:rsid w:val="005306B0"/>
    <w:rsid w:val="00530E5F"/>
    <w:rsid w:val="0053221B"/>
    <w:rsid w:val="00536920"/>
    <w:rsid w:val="00537020"/>
    <w:rsid w:val="00537796"/>
    <w:rsid w:val="00541080"/>
    <w:rsid w:val="0054116C"/>
    <w:rsid w:val="005417DA"/>
    <w:rsid w:val="0054194D"/>
    <w:rsid w:val="00542128"/>
    <w:rsid w:val="005429C8"/>
    <w:rsid w:val="0054303A"/>
    <w:rsid w:val="0054571B"/>
    <w:rsid w:val="00546549"/>
    <w:rsid w:val="005473A8"/>
    <w:rsid w:val="00551515"/>
    <w:rsid w:val="00551DC4"/>
    <w:rsid w:val="005527B4"/>
    <w:rsid w:val="005530E8"/>
    <w:rsid w:val="0055336A"/>
    <w:rsid w:val="00553E83"/>
    <w:rsid w:val="005546E9"/>
    <w:rsid w:val="005551EB"/>
    <w:rsid w:val="0055569C"/>
    <w:rsid w:val="00555747"/>
    <w:rsid w:val="00557098"/>
    <w:rsid w:val="005578BC"/>
    <w:rsid w:val="00557DA2"/>
    <w:rsid w:val="00557EC1"/>
    <w:rsid w:val="00560A74"/>
    <w:rsid w:val="0056106D"/>
    <w:rsid w:val="0056291D"/>
    <w:rsid w:val="00563888"/>
    <w:rsid w:val="005639EF"/>
    <w:rsid w:val="00563DC2"/>
    <w:rsid w:val="00564B36"/>
    <w:rsid w:val="005651D9"/>
    <w:rsid w:val="005663E8"/>
    <w:rsid w:val="00566EED"/>
    <w:rsid w:val="00571402"/>
    <w:rsid w:val="0057172A"/>
    <w:rsid w:val="00571999"/>
    <w:rsid w:val="00572E66"/>
    <w:rsid w:val="0057488C"/>
    <w:rsid w:val="0057562A"/>
    <w:rsid w:val="00575C3E"/>
    <w:rsid w:val="005760AB"/>
    <w:rsid w:val="005773AB"/>
    <w:rsid w:val="0058064A"/>
    <w:rsid w:val="00580A4C"/>
    <w:rsid w:val="00583364"/>
    <w:rsid w:val="005903CD"/>
    <w:rsid w:val="005913A5"/>
    <w:rsid w:val="00594A4F"/>
    <w:rsid w:val="00595532"/>
    <w:rsid w:val="00596F6A"/>
    <w:rsid w:val="005A1D2C"/>
    <w:rsid w:val="005A2398"/>
    <w:rsid w:val="005A384F"/>
    <w:rsid w:val="005A466E"/>
    <w:rsid w:val="005A659C"/>
    <w:rsid w:val="005A71AA"/>
    <w:rsid w:val="005B249F"/>
    <w:rsid w:val="005B5252"/>
    <w:rsid w:val="005B559E"/>
    <w:rsid w:val="005B56BE"/>
    <w:rsid w:val="005B58EC"/>
    <w:rsid w:val="005C058D"/>
    <w:rsid w:val="005C1B5D"/>
    <w:rsid w:val="005C2E45"/>
    <w:rsid w:val="005C3933"/>
    <w:rsid w:val="005C785F"/>
    <w:rsid w:val="005D056B"/>
    <w:rsid w:val="005D4947"/>
    <w:rsid w:val="005D5DE5"/>
    <w:rsid w:val="005D674F"/>
    <w:rsid w:val="005D7469"/>
    <w:rsid w:val="005E07BF"/>
    <w:rsid w:val="005E0899"/>
    <w:rsid w:val="005E0AAD"/>
    <w:rsid w:val="005E1663"/>
    <w:rsid w:val="005E17C8"/>
    <w:rsid w:val="005E2B0B"/>
    <w:rsid w:val="005E2E16"/>
    <w:rsid w:val="005E3216"/>
    <w:rsid w:val="005E341B"/>
    <w:rsid w:val="005E4302"/>
    <w:rsid w:val="005E5467"/>
    <w:rsid w:val="005F0624"/>
    <w:rsid w:val="005F062F"/>
    <w:rsid w:val="005F0BC2"/>
    <w:rsid w:val="005F1B40"/>
    <w:rsid w:val="005F1C20"/>
    <w:rsid w:val="005F4A96"/>
    <w:rsid w:val="005F4ADE"/>
    <w:rsid w:val="005F4E15"/>
    <w:rsid w:val="005F5354"/>
    <w:rsid w:val="005F552F"/>
    <w:rsid w:val="005F5C81"/>
    <w:rsid w:val="005F625B"/>
    <w:rsid w:val="0060071F"/>
    <w:rsid w:val="00601449"/>
    <w:rsid w:val="0060231D"/>
    <w:rsid w:val="006026CB"/>
    <w:rsid w:val="0060308D"/>
    <w:rsid w:val="00603145"/>
    <w:rsid w:val="006038FC"/>
    <w:rsid w:val="0060685D"/>
    <w:rsid w:val="00606BCD"/>
    <w:rsid w:val="006071F6"/>
    <w:rsid w:val="0061067C"/>
    <w:rsid w:val="00610F05"/>
    <w:rsid w:val="00615274"/>
    <w:rsid w:val="00616F88"/>
    <w:rsid w:val="00617480"/>
    <w:rsid w:val="006225B2"/>
    <w:rsid w:val="00622E7E"/>
    <w:rsid w:val="00627AB6"/>
    <w:rsid w:val="00627D63"/>
    <w:rsid w:val="00630B22"/>
    <w:rsid w:val="00630C10"/>
    <w:rsid w:val="006313CD"/>
    <w:rsid w:val="0063217F"/>
    <w:rsid w:val="00632EE8"/>
    <w:rsid w:val="00633ABC"/>
    <w:rsid w:val="00636011"/>
    <w:rsid w:val="00636C8E"/>
    <w:rsid w:val="00637584"/>
    <w:rsid w:val="00637630"/>
    <w:rsid w:val="00637D9F"/>
    <w:rsid w:val="00640CA9"/>
    <w:rsid w:val="00642BC4"/>
    <w:rsid w:val="00642EDC"/>
    <w:rsid w:val="00643104"/>
    <w:rsid w:val="006449BA"/>
    <w:rsid w:val="006462AC"/>
    <w:rsid w:val="00646F86"/>
    <w:rsid w:val="00647B4F"/>
    <w:rsid w:val="0065102D"/>
    <w:rsid w:val="0065115D"/>
    <w:rsid w:val="00652163"/>
    <w:rsid w:val="00652366"/>
    <w:rsid w:val="00653A4B"/>
    <w:rsid w:val="006547A0"/>
    <w:rsid w:val="006547C6"/>
    <w:rsid w:val="00654E5F"/>
    <w:rsid w:val="00655EDD"/>
    <w:rsid w:val="006565B5"/>
    <w:rsid w:val="0065750D"/>
    <w:rsid w:val="00657887"/>
    <w:rsid w:val="006606DD"/>
    <w:rsid w:val="00661820"/>
    <w:rsid w:val="006628AD"/>
    <w:rsid w:val="006629ED"/>
    <w:rsid w:val="00662E69"/>
    <w:rsid w:val="006650F5"/>
    <w:rsid w:val="006706CF"/>
    <w:rsid w:val="006709D1"/>
    <w:rsid w:val="00670DF4"/>
    <w:rsid w:val="00671B22"/>
    <w:rsid w:val="0067429E"/>
    <w:rsid w:val="006743FE"/>
    <w:rsid w:val="006747A1"/>
    <w:rsid w:val="006757AD"/>
    <w:rsid w:val="006759EB"/>
    <w:rsid w:val="00677019"/>
    <w:rsid w:val="00677881"/>
    <w:rsid w:val="00677E4E"/>
    <w:rsid w:val="00680FD4"/>
    <w:rsid w:val="0068121C"/>
    <w:rsid w:val="006824D5"/>
    <w:rsid w:val="006851D5"/>
    <w:rsid w:val="00685811"/>
    <w:rsid w:val="00685877"/>
    <w:rsid w:val="0068704E"/>
    <w:rsid w:val="00687609"/>
    <w:rsid w:val="00687BEB"/>
    <w:rsid w:val="00691435"/>
    <w:rsid w:val="00691A12"/>
    <w:rsid w:val="00692E61"/>
    <w:rsid w:val="006949C8"/>
    <w:rsid w:val="00697191"/>
    <w:rsid w:val="006A189C"/>
    <w:rsid w:val="006A2711"/>
    <w:rsid w:val="006A4A85"/>
    <w:rsid w:val="006A4DA6"/>
    <w:rsid w:val="006A4F63"/>
    <w:rsid w:val="006A55D9"/>
    <w:rsid w:val="006A7F18"/>
    <w:rsid w:val="006B0921"/>
    <w:rsid w:val="006B1DEA"/>
    <w:rsid w:val="006B64EC"/>
    <w:rsid w:val="006B6771"/>
    <w:rsid w:val="006B67E8"/>
    <w:rsid w:val="006B6DF7"/>
    <w:rsid w:val="006C02A3"/>
    <w:rsid w:val="006C1745"/>
    <w:rsid w:val="006C2BE8"/>
    <w:rsid w:val="006C2F61"/>
    <w:rsid w:val="006C3963"/>
    <w:rsid w:val="006C3CA4"/>
    <w:rsid w:val="006C427F"/>
    <w:rsid w:val="006C52FE"/>
    <w:rsid w:val="006C68F0"/>
    <w:rsid w:val="006D0778"/>
    <w:rsid w:val="006D225C"/>
    <w:rsid w:val="006D308A"/>
    <w:rsid w:val="006D6008"/>
    <w:rsid w:val="006D7FC6"/>
    <w:rsid w:val="006E1972"/>
    <w:rsid w:val="006E3E92"/>
    <w:rsid w:val="006E4750"/>
    <w:rsid w:val="006E4F4C"/>
    <w:rsid w:val="006E6E81"/>
    <w:rsid w:val="006E7145"/>
    <w:rsid w:val="006E7670"/>
    <w:rsid w:val="006E78D6"/>
    <w:rsid w:val="006E7A92"/>
    <w:rsid w:val="006F04B0"/>
    <w:rsid w:val="006F160C"/>
    <w:rsid w:val="006F1803"/>
    <w:rsid w:val="006F1D76"/>
    <w:rsid w:val="006F4772"/>
    <w:rsid w:val="006F5480"/>
    <w:rsid w:val="006F7B50"/>
    <w:rsid w:val="007030B9"/>
    <w:rsid w:val="0070327B"/>
    <w:rsid w:val="007056C6"/>
    <w:rsid w:val="00706501"/>
    <w:rsid w:val="007065F0"/>
    <w:rsid w:val="00707284"/>
    <w:rsid w:val="007108A6"/>
    <w:rsid w:val="00710ADE"/>
    <w:rsid w:val="007110DB"/>
    <w:rsid w:val="00711F05"/>
    <w:rsid w:val="00712B64"/>
    <w:rsid w:val="00713080"/>
    <w:rsid w:val="00713A55"/>
    <w:rsid w:val="00715F2D"/>
    <w:rsid w:val="007162F3"/>
    <w:rsid w:val="007201E9"/>
    <w:rsid w:val="007209CE"/>
    <w:rsid w:val="00722AE7"/>
    <w:rsid w:val="0072311C"/>
    <w:rsid w:val="0072353A"/>
    <w:rsid w:val="00724CC6"/>
    <w:rsid w:val="0072637B"/>
    <w:rsid w:val="007270C5"/>
    <w:rsid w:val="0072777C"/>
    <w:rsid w:val="007278EA"/>
    <w:rsid w:val="00730013"/>
    <w:rsid w:val="00730211"/>
    <w:rsid w:val="00731319"/>
    <w:rsid w:val="00731787"/>
    <w:rsid w:val="00731ADB"/>
    <w:rsid w:val="00732CCA"/>
    <w:rsid w:val="00736997"/>
    <w:rsid w:val="0073732C"/>
    <w:rsid w:val="007377A5"/>
    <w:rsid w:val="00737992"/>
    <w:rsid w:val="00737D19"/>
    <w:rsid w:val="00741D1A"/>
    <w:rsid w:val="00742DA2"/>
    <w:rsid w:val="0074426D"/>
    <w:rsid w:val="0074760C"/>
    <w:rsid w:val="00752C32"/>
    <w:rsid w:val="00754D9C"/>
    <w:rsid w:val="00756F35"/>
    <w:rsid w:val="00757FB4"/>
    <w:rsid w:val="007617C6"/>
    <w:rsid w:val="0076237F"/>
    <w:rsid w:val="00763A31"/>
    <w:rsid w:val="00764A05"/>
    <w:rsid w:val="00764E9C"/>
    <w:rsid w:val="00771B83"/>
    <w:rsid w:val="00772092"/>
    <w:rsid w:val="00774509"/>
    <w:rsid w:val="00774856"/>
    <w:rsid w:val="00775C81"/>
    <w:rsid w:val="0077600E"/>
    <w:rsid w:val="007760F5"/>
    <w:rsid w:val="00776967"/>
    <w:rsid w:val="00780085"/>
    <w:rsid w:val="00780C43"/>
    <w:rsid w:val="00782949"/>
    <w:rsid w:val="00782D51"/>
    <w:rsid w:val="00783627"/>
    <w:rsid w:val="00785061"/>
    <w:rsid w:val="00786012"/>
    <w:rsid w:val="007950CD"/>
    <w:rsid w:val="00795728"/>
    <w:rsid w:val="007971E7"/>
    <w:rsid w:val="007978D9"/>
    <w:rsid w:val="00797D2C"/>
    <w:rsid w:val="007A0750"/>
    <w:rsid w:val="007A1232"/>
    <w:rsid w:val="007A1437"/>
    <w:rsid w:val="007A41B2"/>
    <w:rsid w:val="007A46E3"/>
    <w:rsid w:val="007A54DF"/>
    <w:rsid w:val="007A55F7"/>
    <w:rsid w:val="007A649D"/>
    <w:rsid w:val="007A6930"/>
    <w:rsid w:val="007A6E67"/>
    <w:rsid w:val="007B0764"/>
    <w:rsid w:val="007B1892"/>
    <w:rsid w:val="007B3406"/>
    <w:rsid w:val="007B6024"/>
    <w:rsid w:val="007B64FD"/>
    <w:rsid w:val="007C0523"/>
    <w:rsid w:val="007C2A65"/>
    <w:rsid w:val="007C33EE"/>
    <w:rsid w:val="007C36DB"/>
    <w:rsid w:val="007C398E"/>
    <w:rsid w:val="007C3C76"/>
    <w:rsid w:val="007C4566"/>
    <w:rsid w:val="007C581E"/>
    <w:rsid w:val="007C61F0"/>
    <w:rsid w:val="007C6A09"/>
    <w:rsid w:val="007C6E26"/>
    <w:rsid w:val="007C7E6B"/>
    <w:rsid w:val="007C7FC1"/>
    <w:rsid w:val="007D065C"/>
    <w:rsid w:val="007D072E"/>
    <w:rsid w:val="007D18A3"/>
    <w:rsid w:val="007D2C58"/>
    <w:rsid w:val="007D311E"/>
    <w:rsid w:val="007D4EF1"/>
    <w:rsid w:val="007D591F"/>
    <w:rsid w:val="007D62BE"/>
    <w:rsid w:val="007D6F8E"/>
    <w:rsid w:val="007D7795"/>
    <w:rsid w:val="007E1824"/>
    <w:rsid w:val="007E337F"/>
    <w:rsid w:val="007E34BE"/>
    <w:rsid w:val="007E48EC"/>
    <w:rsid w:val="007E4D80"/>
    <w:rsid w:val="007E51C7"/>
    <w:rsid w:val="007E5AB9"/>
    <w:rsid w:val="007E5D39"/>
    <w:rsid w:val="007E71B4"/>
    <w:rsid w:val="007F1632"/>
    <w:rsid w:val="007F1B12"/>
    <w:rsid w:val="007F2801"/>
    <w:rsid w:val="007F2927"/>
    <w:rsid w:val="007F3D98"/>
    <w:rsid w:val="007F3E7C"/>
    <w:rsid w:val="007F4E02"/>
    <w:rsid w:val="007F56BD"/>
    <w:rsid w:val="007F61B2"/>
    <w:rsid w:val="00800A86"/>
    <w:rsid w:val="008021F9"/>
    <w:rsid w:val="00802DE3"/>
    <w:rsid w:val="0080417F"/>
    <w:rsid w:val="00804404"/>
    <w:rsid w:val="00804DAB"/>
    <w:rsid w:val="00804F97"/>
    <w:rsid w:val="008051AA"/>
    <w:rsid w:val="00806167"/>
    <w:rsid w:val="00807516"/>
    <w:rsid w:val="00807BD3"/>
    <w:rsid w:val="008105B6"/>
    <w:rsid w:val="008134BE"/>
    <w:rsid w:val="00815666"/>
    <w:rsid w:val="008165B9"/>
    <w:rsid w:val="0082424B"/>
    <w:rsid w:val="00826037"/>
    <w:rsid w:val="008267E4"/>
    <w:rsid w:val="00826948"/>
    <w:rsid w:val="008270E4"/>
    <w:rsid w:val="00827E4C"/>
    <w:rsid w:val="008306FE"/>
    <w:rsid w:val="00830C3B"/>
    <w:rsid w:val="00830D84"/>
    <w:rsid w:val="00830E8B"/>
    <w:rsid w:val="00831416"/>
    <w:rsid w:val="008327A6"/>
    <w:rsid w:val="00832B0E"/>
    <w:rsid w:val="0083619A"/>
    <w:rsid w:val="00837C8D"/>
    <w:rsid w:val="00841E10"/>
    <w:rsid w:val="008420EF"/>
    <w:rsid w:val="00842301"/>
    <w:rsid w:val="00845983"/>
    <w:rsid w:val="00847AE4"/>
    <w:rsid w:val="008500BE"/>
    <w:rsid w:val="00851335"/>
    <w:rsid w:val="00852153"/>
    <w:rsid w:val="00853482"/>
    <w:rsid w:val="00854369"/>
    <w:rsid w:val="00855B6E"/>
    <w:rsid w:val="00856547"/>
    <w:rsid w:val="00856771"/>
    <w:rsid w:val="0085762F"/>
    <w:rsid w:val="00857FAF"/>
    <w:rsid w:val="008606DA"/>
    <w:rsid w:val="00860A8E"/>
    <w:rsid w:val="00861E46"/>
    <w:rsid w:val="008621DE"/>
    <w:rsid w:val="00863FD2"/>
    <w:rsid w:val="00866EC1"/>
    <w:rsid w:val="00870616"/>
    <w:rsid w:val="00870893"/>
    <w:rsid w:val="00871133"/>
    <w:rsid w:val="00871A9F"/>
    <w:rsid w:val="00872A1B"/>
    <w:rsid w:val="00873EA0"/>
    <w:rsid w:val="008755D4"/>
    <w:rsid w:val="008801FB"/>
    <w:rsid w:val="0088043D"/>
    <w:rsid w:val="00881DBF"/>
    <w:rsid w:val="00884136"/>
    <w:rsid w:val="008848D0"/>
    <w:rsid w:val="00887E34"/>
    <w:rsid w:val="00890CEC"/>
    <w:rsid w:val="00891254"/>
    <w:rsid w:val="0089190C"/>
    <w:rsid w:val="00892FC8"/>
    <w:rsid w:val="0089470F"/>
    <w:rsid w:val="0089474A"/>
    <w:rsid w:val="00894B32"/>
    <w:rsid w:val="008965B9"/>
    <w:rsid w:val="0089665D"/>
    <w:rsid w:val="00896C0A"/>
    <w:rsid w:val="0089792A"/>
    <w:rsid w:val="008A2137"/>
    <w:rsid w:val="008A3344"/>
    <w:rsid w:val="008A59A3"/>
    <w:rsid w:val="008A7254"/>
    <w:rsid w:val="008A7512"/>
    <w:rsid w:val="008B0DB0"/>
    <w:rsid w:val="008B3162"/>
    <w:rsid w:val="008B316D"/>
    <w:rsid w:val="008B3465"/>
    <w:rsid w:val="008B394B"/>
    <w:rsid w:val="008B467B"/>
    <w:rsid w:val="008B5747"/>
    <w:rsid w:val="008B5929"/>
    <w:rsid w:val="008B6B3B"/>
    <w:rsid w:val="008B71A5"/>
    <w:rsid w:val="008B77B0"/>
    <w:rsid w:val="008C10C6"/>
    <w:rsid w:val="008C1B2F"/>
    <w:rsid w:val="008C4621"/>
    <w:rsid w:val="008C493C"/>
    <w:rsid w:val="008C4BB6"/>
    <w:rsid w:val="008C6741"/>
    <w:rsid w:val="008C7403"/>
    <w:rsid w:val="008C79CB"/>
    <w:rsid w:val="008D0A63"/>
    <w:rsid w:val="008D2183"/>
    <w:rsid w:val="008D4A1E"/>
    <w:rsid w:val="008D77D5"/>
    <w:rsid w:val="008D7A63"/>
    <w:rsid w:val="008E0185"/>
    <w:rsid w:val="008E19F0"/>
    <w:rsid w:val="008E29E7"/>
    <w:rsid w:val="008E3541"/>
    <w:rsid w:val="008E3DC5"/>
    <w:rsid w:val="008E4120"/>
    <w:rsid w:val="008E48F2"/>
    <w:rsid w:val="008E4AA8"/>
    <w:rsid w:val="008E508C"/>
    <w:rsid w:val="008E545D"/>
    <w:rsid w:val="008E5B9A"/>
    <w:rsid w:val="008E6FA2"/>
    <w:rsid w:val="008E7F04"/>
    <w:rsid w:val="008F28C1"/>
    <w:rsid w:val="008F3FF5"/>
    <w:rsid w:val="008F4DB6"/>
    <w:rsid w:val="008F57E1"/>
    <w:rsid w:val="008F5E28"/>
    <w:rsid w:val="0090208E"/>
    <w:rsid w:val="009020A7"/>
    <w:rsid w:val="00902EF8"/>
    <w:rsid w:val="009033D1"/>
    <w:rsid w:val="0090382D"/>
    <w:rsid w:val="00903BD3"/>
    <w:rsid w:val="00903E2E"/>
    <w:rsid w:val="00903FF1"/>
    <w:rsid w:val="009041F1"/>
    <w:rsid w:val="00904DC4"/>
    <w:rsid w:val="009051A5"/>
    <w:rsid w:val="00905896"/>
    <w:rsid w:val="00907200"/>
    <w:rsid w:val="00907CE4"/>
    <w:rsid w:val="00907FCD"/>
    <w:rsid w:val="0091056B"/>
    <w:rsid w:val="00910B57"/>
    <w:rsid w:val="009140E0"/>
    <w:rsid w:val="0091591B"/>
    <w:rsid w:val="009175BA"/>
    <w:rsid w:val="00917EE5"/>
    <w:rsid w:val="009207A5"/>
    <w:rsid w:val="00920B2D"/>
    <w:rsid w:val="0092157B"/>
    <w:rsid w:val="0092197A"/>
    <w:rsid w:val="009239B9"/>
    <w:rsid w:val="00923FDA"/>
    <w:rsid w:val="0092458C"/>
    <w:rsid w:val="00924B4E"/>
    <w:rsid w:val="00924E21"/>
    <w:rsid w:val="009252C8"/>
    <w:rsid w:val="00925D95"/>
    <w:rsid w:val="00927EFD"/>
    <w:rsid w:val="00930A67"/>
    <w:rsid w:val="00930D4F"/>
    <w:rsid w:val="00932529"/>
    <w:rsid w:val="009329B8"/>
    <w:rsid w:val="00933025"/>
    <w:rsid w:val="00933D02"/>
    <w:rsid w:val="0093505E"/>
    <w:rsid w:val="00935D00"/>
    <w:rsid w:val="00935E95"/>
    <w:rsid w:val="00940D84"/>
    <w:rsid w:val="00940DDD"/>
    <w:rsid w:val="00944E62"/>
    <w:rsid w:val="00946685"/>
    <w:rsid w:val="00950128"/>
    <w:rsid w:val="0095113A"/>
    <w:rsid w:val="009518E9"/>
    <w:rsid w:val="00951F0B"/>
    <w:rsid w:val="00953585"/>
    <w:rsid w:val="00954FAD"/>
    <w:rsid w:val="009564D1"/>
    <w:rsid w:val="00956504"/>
    <w:rsid w:val="009605A2"/>
    <w:rsid w:val="00962212"/>
    <w:rsid w:val="00963721"/>
    <w:rsid w:val="00963BA1"/>
    <w:rsid w:val="00965E03"/>
    <w:rsid w:val="009663D9"/>
    <w:rsid w:val="00967126"/>
    <w:rsid w:val="00967B92"/>
    <w:rsid w:val="009709B5"/>
    <w:rsid w:val="0097320B"/>
    <w:rsid w:val="00973DA6"/>
    <w:rsid w:val="00973FF3"/>
    <w:rsid w:val="009740D7"/>
    <w:rsid w:val="00974293"/>
    <w:rsid w:val="009748A4"/>
    <w:rsid w:val="00974C70"/>
    <w:rsid w:val="00974EB4"/>
    <w:rsid w:val="0097659C"/>
    <w:rsid w:val="009770D0"/>
    <w:rsid w:val="00977BA2"/>
    <w:rsid w:val="00977E04"/>
    <w:rsid w:val="009802EE"/>
    <w:rsid w:val="0098189D"/>
    <w:rsid w:val="009839F7"/>
    <w:rsid w:val="00984BA3"/>
    <w:rsid w:val="00984ED7"/>
    <w:rsid w:val="00985FBC"/>
    <w:rsid w:val="0098621B"/>
    <w:rsid w:val="0098694D"/>
    <w:rsid w:val="0099438D"/>
    <w:rsid w:val="00994F28"/>
    <w:rsid w:val="0099535F"/>
    <w:rsid w:val="00995573"/>
    <w:rsid w:val="009964FA"/>
    <w:rsid w:val="00996AEA"/>
    <w:rsid w:val="00997700"/>
    <w:rsid w:val="00997839"/>
    <w:rsid w:val="009A08C5"/>
    <w:rsid w:val="009A0E5D"/>
    <w:rsid w:val="009A153E"/>
    <w:rsid w:val="009A1DD4"/>
    <w:rsid w:val="009A1FC7"/>
    <w:rsid w:val="009A20C4"/>
    <w:rsid w:val="009A3045"/>
    <w:rsid w:val="009A403F"/>
    <w:rsid w:val="009A594C"/>
    <w:rsid w:val="009A5F11"/>
    <w:rsid w:val="009B1210"/>
    <w:rsid w:val="009B312D"/>
    <w:rsid w:val="009B3896"/>
    <w:rsid w:val="009B3ED6"/>
    <w:rsid w:val="009B4A68"/>
    <w:rsid w:val="009B4F00"/>
    <w:rsid w:val="009B4FCB"/>
    <w:rsid w:val="009B6BA5"/>
    <w:rsid w:val="009B70AE"/>
    <w:rsid w:val="009B7E4E"/>
    <w:rsid w:val="009C2ECD"/>
    <w:rsid w:val="009C4A89"/>
    <w:rsid w:val="009C4B99"/>
    <w:rsid w:val="009C5150"/>
    <w:rsid w:val="009C63DC"/>
    <w:rsid w:val="009D02C2"/>
    <w:rsid w:val="009D0B9C"/>
    <w:rsid w:val="009D171F"/>
    <w:rsid w:val="009D20A3"/>
    <w:rsid w:val="009D20D6"/>
    <w:rsid w:val="009D2662"/>
    <w:rsid w:val="009D45A5"/>
    <w:rsid w:val="009D6278"/>
    <w:rsid w:val="009D6885"/>
    <w:rsid w:val="009D705B"/>
    <w:rsid w:val="009E2DA6"/>
    <w:rsid w:val="009E2DD5"/>
    <w:rsid w:val="009E43C8"/>
    <w:rsid w:val="009E4E7F"/>
    <w:rsid w:val="009E66A8"/>
    <w:rsid w:val="009F0FDE"/>
    <w:rsid w:val="009F30CF"/>
    <w:rsid w:val="009F5D9E"/>
    <w:rsid w:val="009F706E"/>
    <w:rsid w:val="009F7910"/>
    <w:rsid w:val="00A00EF0"/>
    <w:rsid w:val="00A015A6"/>
    <w:rsid w:val="00A0487E"/>
    <w:rsid w:val="00A04D36"/>
    <w:rsid w:val="00A04F65"/>
    <w:rsid w:val="00A051CD"/>
    <w:rsid w:val="00A05228"/>
    <w:rsid w:val="00A05D61"/>
    <w:rsid w:val="00A0697F"/>
    <w:rsid w:val="00A0722A"/>
    <w:rsid w:val="00A11220"/>
    <w:rsid w:val="00A122D5"/>
    <w:rsid w:val="00A12539"/>
    <w:rsid w:val="00A12B8A"/>
    <w:rsid w:val="00A147FD"/>
    <w:rsid w:val="00A159E3"/>
    <w:rsid w:val="00A20D36"/>
    <w:rsid w:val="00A21D77"/>
    <w:rsid w:val="00A22165"/>
    <w:rsid w:val="00A23746"/>
    <w:rsid w:val="00A24126"/>
    <w:rsid w:val="00A246AE"/>
    <w:rsid w:val="00A27480"/>
    <w:rsid w:val="00A27D0C"/>
    <w:rsid w:val="00A32AAA"/>
    <w:rsid w:val="00A34111"/>
    <w:rsid w:val="00A34FFD"/>
    <w:rsid w:val="00A359B2"/>
    <w:rsid w:val="00A359B9"/>
    <w:rsid w:val="00A36375"/>
    <w:rsid w:val="00A36B6C"/>
    <w:rsid w:val="00A36FAE"/>
    <w:rsid w:val="00A40D6B"/>
    <w:rsid w:val="00A42467"/>
    <w:rsid w:val="00A425F4"/>
    <w:rsid w:val="00A44790"/>
    <w:rsid w:val="00A46E5E"/>
    <w:rsid w:val="00A5007F"/>
    <w:rsid w:val="00A50421"/>
    <w:rsid w:val="00A5183C"/>
    <w:rsid w:val="00A52D87"/>
    <w:rsid w:val="00A53D54"/>
    <w:rsid w:val="00A5553E"/>
    <w:rsid w:val="00A56534"/>
    <w:rsid w:val="00A57B9B"/>
    <w:rsid w:val="00A61775"/>
    <w:rsid w:val="00A619D6"/>
    <w:rsid w:val="00A624A6"/>
    <w:rsid w:val="00A62CE3"/>
    <w:rsid w:val="00A637FA"/>
    <w:rsid w:val="00A64A5B"/>
    <w:rsid w:val="00A676AD"/>
    <w:rsid w:val="00A67A29"/>
    <w:rsid w:val="00A70098"/>
    <w:rsid w:val="00A70A83"/>
    <w:rsid w:val="00A7142B"/>
    <w:rsid w:val="00A74F73"/>
    <w:rsid w:val="00A75C55"/>
    <w:rsid w:val="00A762EF"/>
    <w:rsid w:val="00A76394"/>
    <w:rsid w:val="00A76D03"/>
    <w:rsid w:val="00A8040A"/>
    <w:rsid w:val="00A80714"/>
    <w:rsid w:val="00A80B93"/>
    <w:rsid w:val="00A80BC4"/>
    <w:rsid w:val="00A82352"/>
    <w:rsid w:val="00A82BEE"/>
    <w:rsid w:val="00A85481"/>
    <w:rsid w:val="00A8679F"/>
    <w:rsid w:val="00A87419"/>
    <w:rsid w:val="00A909CA"/>
    <w:rsid w:val="00A95A43"/>
    <w:rsid w:val="00A9664E"/>
    <w:rsid w:val="00A967DB"/>
    <w:rsid w:val="00A972B8"/>
    <w:rsid w:val="00A9799B"/>
    <w:rsid w:val="00AA016D"/>
    <w:rsid w:val="00AA0578"/>
    <w:rsid w:val="00AA13C2"/>
    <w:rsid w:val="00AA2447"/>
    <w:rsid w:val="00AA24A1"/>
    <w:rsid w:val="00AA263B"/>
    <w:rsid w:val="00AA29BE"/>
    <w:rsid w:val="00AA3F2C"/>
    <w:rsid w:val="00AA4F24"/>
    <w:rsid w:val="00AA4F5B"/>
    <w:rsid w:val="00AA6A3E"/>
    <w:rsid w:val="00AB30E6"/>
    <w:rsid w:val="00AB4138"/>
    <w:rsid w:val="00AB4B2E"/>
    <w:rsid w:val="00AB4D48"/>
    <w:rsid w:val="00AC1FBC"/>
    <w:rsid w:val="00AC5B88"/>
    <w:rsid w:val="00AC62B5"/>
    <w:rsid w:val="00AC7586"/>
    <w:rsid w:val="00AD0C13"/>
    <w:rsid w:val="00AD15BE"/>
    <w:rsid w:val="00AD213A"/>
    <w:rsid w:val="00AD4ABB"/>
    <w:rsid w:val="00AD6DE1"/>
    <w:rsid w:val="00AD7100"/>
    <w:rsid w:val="00AD78D7"/>
    <w:rsid w:val="00AD7B27"/>
    <w:rsid w:val="00AD7C4E"/>
    <w:rsid w:val="00AE0646"/>
    <w:rsid w:val="00AE08A5"/>
    <w:rsid w:val="00AE194F"/>
    <w:rsid w:val="00AE2526"/>
    <w:rsid w:val="00AE2D19"/>
    <w:rsid w:val="00AE3521"/>
    <w:rsid w:val="00AE5B7B"/>
    <w:rsid w:val="00AE68EC"/>
    <w:rsid w:val="00AE6EA8"/>
    <w:rsid w:val="00AE6FCB"/>
    <w:rsid w:val="00AE724D"/>
    <w:rsid w:val="00AE79DD"/>
    <w:rsid w:val="00AF0AEB"/>
    <w:rsid w:val="00AF0D5F"/>
    <w:rsid w:val="00AF172D"/>
    <w:rsid w:val="00AF1B29"/>
    <w:rsid w:val="00AF2504"/>
    <w:rsid w:val="00AF2BE5"/>
    <w:rsid w:val="00AF2F38"/>
    <w:rsid w:val="00AF4002"/>
    <w:rsid w:val="00AF6D41"/>
    <w:rsid w:val="00AF798D"/>
    <w:rsid w:val="00B00E1C"/>
    <w:rsid w:val="00B01AC3"/>
    <w:rsid w:val="00B03455"/>
    <w:rsid w:val="00B035FB"/>
    <w:rsid w:val="00B03951"/>
    <w:rsid w:val="00B042ED"/>
    <w:rsid w:val="00B046F4"/>
    <w:rsid w:val="00B055F0"/>
    <w:rsid w:val="00B065D0"/>
    <w:rsid w:val="00B1058B"/>
    <w:rsid w:val="00B10A3F"/>
    <w:rsid w:val="00B117BC"/>
    <w:rsid w:val="00B125F9"/>
    <w:rsid w:val="00B126AD"/>
    <w:rsid w:val="00B12712"/>
    <w:rsid w:val="00B12970"/>
    <w:rsid w:val="00B13472"/>
    <w:rsid w:val="00B1379A"/>
    <w:rsid w:val="00B149E8"/>
    <w:rsid w:val="00B16B18"/>
    <w:rsid w:val="00B17808"/>
    <w:rsid w:val="00B17B38"/>
    <w:rsid w:val="00B23253"/>
    <w:rsid w:val="00B2446C"/>
    <w:rsid w:val="00B2548B"/>
    <w:rsid w:val="00B255A3"/>
    <w:rsid w:val="00B25FEF"/>
    <w:rsid w:val="00B261FF"/>
    <w:rsid w:val="00B276EC"/>
    <w:rsid w:val="00B30AEE"/>
    <w:rsid w:val="00B32593"/>
    <w:rsid w:val="00B3292C"/>
    <w:rsid w:val="00B335BC"/>
    <w:rsid w:val="00B3423E"/>
    <w:rsid w:val="00B34E75"/>
    <w:rsid w:val="00B3569A"/>
    <w:rsid w:val="00B4045B"/>
    <w:rsid w:val="00B4536A"/>
    <w:rsid w:val="00B46815"/>
    <w:rsid w:val="00B52F57"/>
    <w:rsid w:val="00B5333C"/>
    <w:rsid w:val="00B5375D"/>
    <w:rsid w:val="00B53A26"/>
    <w:rsid w:val="00B53BD9"/>
    <w:rsid w:val="00B54D96"/>
    <w:rsid w:val="00B565EE"/>
    <w:rsid w:val="00B62473"/>
    <w:rsid w:val="00B6302E"/>
    <w:rsid w:val="00B631F5"/>
    <w:rsid w:val="00B64130"/>
    <w:rsid w:val="00B6474E"/>
    <w:rsid w:val="00B649CD"/>
    <w:rsid w:val="00B66043"/>
    <w:rsid w:val="00B664C3"/>
    <w:rsid w:val="00B71157"/>
    <w:rsid w:val="00B723BF"/>
    <w:rsid w:val="00B72E0D"/>
    <w:rsid w:val="00B73BD6"/>
    <w:rsid w:val="00B73E18"/>
    <w:rsid w:val="00B77830"/>
    <w:rsid w:val="00B804C0"/>
    <w:rsid w:val="00B81095"/>
    <w:rsid w:val="00B848DF"/>
    <w:rsid w:val="00B86DD8"/>
    <w:rsid w:val="00B874A9"/>
    <w:rsid w:val="00B922B0"/>
    <w:rsid w:val="00B92943"/>
    <w:rsid w:val="00B93D03"/>
    <w:rsid w:val="00B96384"/>
    <w:rsid w:val="00B96F63"/>
    <w:rsid w:val="00B97D79"/>
    <w:rsid w:val="00B97DB8"/>
    <w:rsid w:val="00BA1120"/>
    <w:rsid w:val="00BA1253"/>
    <w:rsid w:val="00BA4045"/>
    <w:rsid w:val="00BA4A22"/>
    <w:rsid w:val="00BA516E"/>
    <w:rsid w:val="00BA53B8"/>
    <w:rsid w:val="00BA59F5"/>
    <w:rsid w:val="00BA712E"/>
    <w:rsid w:val="00BA7601"/>
    <w:rsid w:val="00BB04E2"/>
    <w:rsid w:val="00BB0781"/>
    <w:rsid w:val="00BB1435"/>
    <w:rsid w:val="00BB19C8"/>
    <w:rsid w:val="00BB29CA"/>
    <w:rsid w:val="00BB70C6"/>
    <w:rsid w:val="00BC0EA4"/>
    <w:rsid w:val="00BC1092"/>
    <w:rsid w:val="00BC3E43"/>
    <w:rsid w:val="00BC586F"/>
    <w:rsid w:val="00BC6008"/>
    <w:rsid w:val="00BC6F53"/>
    <w:rsid w:val="00BC7349"/>
    <w:rsid w:val="00BC7453"/>
    <w:rsid w:val="00BC7A59"/>
    <w:rsid w:val="00BD0F42"/>
    <w:rsid w:val="00BD1BA6"/>
    <w:rsid w:val="00BD2051"/>
    <w:rsid w:val="00BD5425"/>
    <w:rsid w:val="00BD6B6F"/>
    <w:rsid w:val="00BE1F19"/>
    <w:rsid w:val="00BE2CB9"/>
    <w:rsid w:val="00BE34F4"/>
    <w:rsid w:val="00BE4D29"/>
    <w:rsid w:val="00BE509D"/>
    <w:rsid w:val="00BE7647"/>
    <w:rsid w:val="00BE7981"/>
    <w:rsid w:val="00BF0077"/>
    <w:rsid w:val="00BF02B5"/>
    <w:rsid w:val="00BF2962"/>
    <w:rsid w:val="00BF2AC5"/>
    <w:rsid w:val="00BF3643"/>
    <w:rsid w:val="00BF3FE6"/>
    <w:rsid w:val="00BF5842"/>
    <w:rsid w:val="00BF5C45"/>
    <w:rsid w:val="00BF6A4E"/>
    <w:rsid w:val="00BF6CA2"/>
    <w:rsid w:val="00BF6D0E"/>
    <w:rsid w:val="00BF70FC"/>
    <w:rsid w:val="00C0135D"/>
    <w:rsid w:val="00C01946"/>
    <w:rsid w:val="00C041A0"/>
    <w:rsid w:val="00C05622"/>
    <w:rsid w:val="00C05932"/>
    <w:rsid w:val="00C05D88"/>
    <w:rsid w:val="00C0622B"/>
    <w:rsid w:val="00C06B40"/>
    <w:rsid w:val="00C06CB6"/>
    <w:rsid w:val="00C0727B"/>
    <w:rsid w:val="00C0744E"/>
    <w:rsid w:val="00C114FC"/>
    <w:rsid w:val="00C11CF2"/>
    <w:rsid w:val="00C124A7"/>
    <w:rsid w:val="00C1338F"/>
    <w:rsid w:val="00C13991"/>
    <w:rsid w:val="00C14859"/>
    <w:rsid w:val="00C1696F"/>
    <w:rsid w:val="00C16A09"/>
    <w:rsid w:val="00C201EB"/>
    <w:rsid w:val="00C205B9"/>
    <w:rsid w:val="00C2203E"/>
    <w:rsid w:val="00C232B3"/>
    <w:rsid w:val="00C23B0D"/>
    <w:rsid w:val="00C23F2F"/>
    <w:rsid w:val="00C265E1"/>
    <w:rsid w:val="00C27CAF"/>
    <w:rsid w:val="00C3130C"/>
    <w:rsid w:val="00C3278A"/>
    <w:rsid w:val="00C34452"/>
    <w:rsid w:val="00C35D1B"/>
    <w:rsid w:val="00C369A1"/>
    <w:rsid w:val="00C36C13"/>
    <w:rsid w:val="00C36D2A"/>
    <w:rsid w:val="00C36F18"/>
    <w:rsid w:val="00C37745"/>
    <w:rsid w:val="00C40712"/>
    <w:rsid w:val="00C4295E"/>
    <w:rsid w:val="00C45349"/>
    <w:rsid w:val="00C46516"/>
    <w:rsid w:val="00C46909"/>
    <w:rsid w:val="00C47AA9"/>
    <w:rsid w:val="00C5266B"/>
    <w:rsid w:val="00C53AEC"/>
    <w:rsid w:val="00C5473E"/>
    <w:rsid w:val="00C55781"/>
    <w:rsid w:val="00C5652E"/>
    <w:rsid w:val="00C602D2"/>
    <w:rsid w:val="00C608BB"/>
    <w:rsid w:val="00C61814"/>
    <w:rsid w:val="00C61AD5"/>
    <w:rsid w:val="00C63D7D"/>
    <w:rsid w:val="00C6406E"/>
    <w:rsid w:val="00C6449F"/>
    <w:rsid w:val="00C66201"/>
    <w:rsid w:val="00C67E19"/>
    <w:rsid w:val="00C70C77"/>
    <w:rsid w:val="00C70EC0"/>
    <w:rsid w:val="00C71782"/>
    <w:rsid w:val="00C72615"/>
    <w:rsid w:val="00C74322"/>
    <w:rsid w:val="00C74E3B"/>
    <w:rsid w:val="00C8163A"/>
    <w:rsid w:val="00C820D4"/>
    <w:rsid w:val="00C8327E"/>
    <w:rsid w:val="00C83F05"/>
    <w:rsid w:val="00C84B1D"/>
    <w:rsid w:val="00C85125"/>
    <w:rsid w:val="00C853D5"/>
    <w:rsid w:val="00C85B27"/>
    <w:rsid w:val="00C85C48"/>
    <w:rsid w:val="00C8648B"/>
    <w:rsid w:val="00C90F86"/>
    <w:rsid w:val="00C91279"/>
    <w:rsid w:val="00C915AF"/>
    <w:rsid w:val="00C93B6E"/>
    <w:rsid w:val="00C93C4B"/>
    <w:rsid w:val="00C94ADC"/>
    <w:rsid w:val="00CA094A"/>
    <w:rsid w:val="00CA0AB3"/>
    <w:rsid w:val="00CA0C11"/>
    <w:rsid w:val="00CA0C36"/>
    <w:rsid w:val="00CA3D4C"/>
    <w:rsid w:val="00CA404D"/>
    <w:rsid w:val="00CA5C87"/>
    <w:rsid w:val="00CA60ED"/>
    <w:rsid w:val="00CA62B4"/>
    <w:rsid w:val="00CA6988"/>
    <w:rsid w:val="00CA7742"/>
    <w:rsid w:val="00CB004A"/>
    <w:rsid w:val="00CB05FD"/>
    <w:rsid w:val="00CB268D"/>
    <w:rsid w:val="00CB295E"/>
    <w:rsid w:val="00CB392C"/>
    <w:rsid w:val="00CB6B09"/>
    <w:rsid w:val="00CB7F91"/>
    <w:rsid w:val="00CC1416"/>
    <w:rsid w:val="00CC1863"/>
    <w:rsid w:val="00CC2072"/>
    <w:rsid w:val="00CC35B1"/>
    <w:rsid w:val="00CC40C9"/>
    <w:rsid w:val="00CC4F43"/>
    <w:rsid w:val="00CC6293"/>
    <w:rsid w:val="00CD028A"/>
    <w:rsid w:val="00CD1325"/>
    <w:rsid w:val="00CD259D"/>
    <w:rsid w:val="00CD6D52"/>
    <w:rsid w:val="00CD6D7D"/>
    <w:rsid w:val="00CD7840"/>
    <w:rsid w:val="00CD7F8B"/>
    <w:rsid w:val="00CE137F"/>
    <w:rsid w:val="00CE1F13"/>
    <w:rsid w:val="00CE3993"/>
    <w:rsid w:val="00CE4754"/>
    <w:rsid w:val="00CE4B71"/>
    <w:rsid w:val="00CE60FA"/>
    <w:rsid w:val="00CE6446"/>
    <w:rsid w:val="00CE6773"/>
    <w:rsid w:val="00CE7006"/>
    <w:rsid w:val="00CF046D"/>
    <w:rsid w:val="00CF38EF"/>
    <w:rsid w:val="00CF4AFD"/>
    <w:rsid w:val="00CF6131"/>
    <w:rsid w:val="00CF6623"/>
    <w:rsid w:val="00CF6DED"/>
    <w:rsid w:val="00CF71CA"/>
    <w:rsid w:val="00D0027C"/>
    <w:rsid w:val="00D031EF"/>
    <w:rsid w:val="00D033FA"/>
    <w:rsid w:val="00D04F84"/>
    <w:rsid w:val="00D054C7"/>
    <w:rsid w:val="00D05777"/>
    <w:rsid w:val="00D061C0"/>
    <w:rsid w:val="00D064DF"/>
    <w:rsid w:val="00D1002E"/>
    <w:rsid w:val="00D12F26"/>
    <w:rsid w:val="00D139E7"/>
    <w:rsid w:val="00D13B7F"/>
    <w:rsid w:val="00D14684"/>
    <w:rsid w:val="00D14CA9"/>
    <w:rsid w:val="00D179B1"/>
    <w:rsid w:val="00D17C6E"/>
    <w:rsid w:val="00D21490"/>
    <w:rsid w:val="00D217F4"/>
    <w:rsid w:val="00D219B5"/>
    <w:rsid w:val="00D229AB"/>
    <w:rsid w:val="00D22B1B"/>
    <w:rsid w:val="00D22B9F"/>
    <w:rsid w:val="00D234B1"/>
    <w:rsid w:val="00D24507"/>
    <w:rsid w:val="00D25167"/>
    <w:rsid w:val="00D25441"/>
    <w:rsid w:val="00D26EC2"/>
    <w:rsid w:val="00D27914"/>
    <w:rsid w:val="00D31CD8"/>
    <w:rsid w:val="00D32D44"/>
    <w:rsid w:val="00D336B9"/>
    <w:rsid w:val="00D35BFA"/>
    <w:rsid w:val="00D36049"/>
    <w:rsid w:val="00D36225"/>
    <w:rsid w:val="00D36BC3"/>
    <w:rsid w:val="00D36D0A"/>
    <w:rsid w:val="00D379AE"/>
    <w:rsid w:val="00D40301"/>
    <w:rsid w:val="00D40971"/>
    <w:rsid w:val="00D40BD5"/>
    <w:rsid w:val="00D40EB3"/>
    <w:rsid w:val="00D40F52"/>
    <w:rsid w:val="00D41A44"/>
    <w:rsid w:val="00D41EA6"/>
    <w:rsid w:val="00D43CB3"/>
    <w:rsid w:val="00D43E98"/>
    <w:rsid w:val="00D46D42"/>
    <w:rsid w:val="00D47F9A"/>
    <w:rsid w:val="00D50689"/>
    <w:rsid w:val="00D5140B"/>
    <w:rsid w:val="00D53532"/>
    <w:rsid w:val="00D5354E"/>
    <w:rsid w:val="00D605A2"/>
    <w:rsid w:val="00D61D79"/>
    <w:rsid w:val="00D6224B"/>
    <w:rsid w:val="00D62F9B"/>
    <w:rsid w:val="00D64029"/>
    <w:rsid w:val="00D64050"/>
    <w:rsid w:val="00D6410C"/>
    <w:rsid w:val="00D644B6"/>
    <w:rsid w:val="00D64907"/>
    <w:rsid w:val="00D64B41"/>
    <w:rsid w:val="00D65283"/>
    <w:rsid w:val="00D65462"/>
    <w:rsid w:val="00D65E03"/>
    <w:rsid w:val="00D6689B"/>
    <w:rsid w:val="00D66A24"/>
    <w:rsid w:val="00D67B9C"/>
    <w:rsid w:val="00D70F28"/>
    <w:rsid w:val="00D7112A"/>
    <w:rsid w:val="00D71AF3"/>
    <w:rsid w:val="00D72A0B"/>
    <w:rsid w:val="00D7333F"/>
    <w:rsid w:val="00D76AB9"/>
    <w:rsid w:val="00D77AD9"/>
    <w:rsid w:val="00D80302"/>
    <w:rsid w:val="00D80F33"/>
    <w:rsid w:val="00D836A7"/>
    <w:rsid w:val="00D8372A"/>
    <w:rsid w:val="00D84876"/>
    <w:rsid w:val="00D85C83"/>
    <w:rsid w:val="00D86E0A"/>
    <w:rsid w:val="00D8702F"/>
    <w:rsid w:val="00D879B4"/>
    <w:rsid w:val="00D87A5B"/>
    <w:rsid w:val="00D905FA"/>
    <w:rsid w:val="00D949F0"/>
    <w:rsid w:val="00D94B0C"/>
    <w:rsid w:val="00D959DF"/>
    <w:rsid w:val="00D95AD9"/>
    <w:rsid w:val="00D95F83"/>
    <w:rsid w:val="00D96AE6"/>
    <w:rsid w:val="00D97AC8"/>
    <w:rsid w:val="00DA0174"/>
    <w:rsid w:val="00DA468C"/>
    <w:rsid w:val="00DA683B"/>
    <w:rsid w:val="00DA6DAD"/>
    <w:rsid w:val="00DA70A4"/>
    <w:rsid w:val="00DB084C"/>
    <w:rsid w:val="00DB165C"/>
    <w:rsid w:val="00DB366B"/>
    <w:rsid w:val="00DB428E"/>
    <w:rsid w:val="00DB5791"/>
    <w:rsid w:val="00DB6C6B"/>
    <w:rsid w:val="00DC00B7"/>
    <w:rsid w:val="00DC0F71"/>
    <w:rsid w:val="00DC1B45"/>
    <w:rsid w:val="00DC6D26"/>
    <w:rsid w:val="00DC6E25"/>
    <w:rsid w:val="00DC7631"/>
    <w:rsid w:val="00DD0B58"/>
    <w:rsid w:val="00DD1648"/>
    <w:rsid w:val="00DD201A"/>
    <w:rsid w:val="00DD406C"/>
    <w:rsid w:val="00DD5A15"/>
    <w:rsid w:val="00DD64C1"/>
    <w:rsid w:val="00DD68E7"/>
    <w:rsid w:val="00DD6B29"/>
    <w:rsid w:val="00DE1F8A"/>
    <w:rsid w:val="00DE30D0"/>
    <w:rsid w:val="00DE3556"/>
    <w:rsid w:val="00DE4093"/>
    <w:rsid w:val="00DE4682"/>
    <w:rsid w:val="00DE4BC2"/>
    <w:rsid w:val="00DE54B0"/>
    <w:rsid w:val="00DE5E4D"/>
    <w:rsid w:val="00DF0A47"/>
    <w:rsid w:val="00DF1619"/>
    <w:rsid w:val="00DF2268"/>
    <w:rsid w:val="00DF2822"/>
    <w:rsid w:val="00DF2D8F"/>
    <w:rsid w:val="00DF36EF"/>
    <w:rsid w:val="00DF3C58"/>
    <w:rsid w:val="00DF45EE"/>
    <w:rsid w:val="00DF5ACA"/>
    <w:rsid w:val="00DF5F92"/>
    <w:rsid w:val="00DF6DAD"/>
    <w:rsid w:val="00DF71B8"/>
    <w:rsid w:val="00E02D4E"/>
    <w:rsid w:val="00E048B0"/>
    <w:rsid w:val="00E048E7"/>
    <w:rsid w:val="00E055F3"/>
    <w:rsid w:val="00E06322"/>
    <w:rsid w:val="00E06724"/>
    <w:rsid w:val="00E07594"/>
    <w:rsid w:val="00E11CFF"/>
    <w:rsid w:val="00E12F13"/>
    <w:rsid w:val="00E14CFF"/>
    <w:rsid w:val="00E14EE3"/>
    <w:rsid w:val="00E1781E"/>
    <w:rsid w:val="00E20BDC"/>
    <w:rsid w:val="00E2114A"/>
    <w:rsid w:val="00E2125B"/>
    <w:rsid w:val="00E215C6"/>
    <w:rsid w:val="00E23031"/>
    <w:rsid w:val="00E235BD"/>
    <w:rsid w:val="00E23C28"/>
    <w:rsid w:val="00E26049"/>
    <w:rsid w:val="00E2782E"/>
    <w:rsid w:val="00E320BE"/>
    <w:rsid w:val="00E34B4A"/>
    <w:rsid w:val="00E373E2"/>
    <w:rsid w:val="00E3755B"/>
    <w:rsid w:val="00E37C99"/>
    <w:rsid w:val="00E40DE0"/>
    <w:rsid w:val="00E41A77"/>
    <w:rsid w:val="00E41D74"/>
    <w:rsid w:val="00E4207A"/>
    <w:rsid w:val="00E42352"/>
    <w:rsid w:val="00E427F3"/>
    <w:rsid w:val="00E4359F"/>
    <w:rsid w:val="00E439A4"/>
    <w:rsid w:val="00E4623F"/>
    <w:rsid w:val="00E46FF2"/>
    <w:rsid w:val="00E47247"/>
    <w:rsid w:val="00E47521"/>
    <w:rsid w:val="00E47777"/>
    <w:rsid w:val="00E50529"/>
    <w:rsid w:val="00E509F2"/>
    <w:rsid w:val="00E50B49"/>
    <w:rsid w:val="00E52369"/>
    <w:rsid w:val="00E537B0"/>
    <w:rsid w:val="00E5470C"/>
    <w:rsid w:val="00E557ED"/>
    <w:rsid w:val="00E55E01"/>
    <w:rsid w:val="00E60C39"/>
    <w:rsid w:val="00E61D80"/>
    <w:rsid w:val="00E65493"/>
    <w:rsid w:val="00E65FE0"/>
    <w:rsid w:val="00E70700"/>
    <w:rsid w:val="00E70F9A"/>
    <w:rsid w:val="00E71E47"/>
    <w:rsid w:val="00E75F94"/>
    <w:rsid w:val="00E76070"/>
    <w:rsid w:val="00E765C9"/>
    <w:rsid w:val="00E80808"/>
    <w:rsid w:val="00E814A5"/>
    <w:rsid w:val="00E81E5C"/>
    <w:rsid w:val="00E8242E"/>
    <w:rsid w:val="00E83446"/>
    <w:rsid w:val="00E84710"/>
    <w:rsid w:val="00E86C55"/>
    <w:rsid w:val="00E8784B"/>
    <w:rsid w:val="00E9006F"/>
    <w:rsid w:val="00E906D6"/>
    <w:rsid w:val="00E90E43"/>
    <w:rsid w:val="00E93273"/>
    <w:rsid w:val="00E937C5"/>
    <w:rsid w:val="00E96775"/>
    <w:rsid w:val="00EA262C"/>
    <w:rsid w:val="00EA2D3F"/>
    <w:rsid w:val="00EA359C"/>
    <w:rsid w:val="00EA3758"/>
    <w:rsid w:val="00EA41B3"/>
    <w:rsid w:val="00EA5E9E"/>
    <w:rsid w:val="00EB438B"/>
    <w:rsid w:val="00EB4BFE"/>
    <w:rsid w:val="00EB4DAA"/>
    <w:rsid w:val="00EB5547"/>
    <w:rsid w:val="00EB7425"/>
    <w:rsid w:val="00EB7880"/>
    <w:rsid w:val="00EC057F"/>
    <w:rsid w:val="00EC065E"/>
    <w:rsid w:val="00EC0AC1"/>
    <w:rsid w:val="00EC27C6"/>
    <w:rsid w:val="00EC2ADE"/>
    <w:rsid w:val="00EC380A"/>
    <w:rsid w:val="00EC39E7"/>
    <w:rsid w:val="00EC4643"/>
    <w:rsid w:val="00EC4B81"/>
    <w:rsid w:val="00EC4DF2"/>
    <w:rsid w:val="00EC5DC6"/>
    <w:rsid w:val="00EC7510"/>
    <w:rsid w:val="00ED0707"/>
    <w:rsid w:val="00ED0A97"/>
    <w:rsid w:val="00ED0B5F"/>
    <w:rsid w:val="00ED247B"/>
    <w:rsid w:val="00ED2F1F"/>
    <w:rsid w:val="00ED50DC"/>
    <w:rsid w:val="00ED5886"/>
    <w:rsid w:val="00ED6C46"/>
    <w:rsid w:val="00ED6FC4"/>
    <w:rsid w:val="00EE015A"/>
    <w:rsid w:val="00EE0A6B"/>
    <w:rsid w:val="00EE0E17"/>
    <w:rsid w:val="00EE1D85"/>
    <w:rsid w:val="00EE3099"/>
    <w:rsid w:val="00EE41FA"/>
    <w:rsid w:val="00EE53F7"/>
    <w:rsid w:val="00EE54F7"/>
    <w:rsid w:val="00EE5674"/>
    <w:rsid w:val="00EE7C93"/>
    <w:rsid w:val="00EF01CB"/>
    <w:rsid w:val="00EF037F"/>
    <w:rsid w:val="00EF062C"/>
    <w:rsid w:val="00EF08F1"/>
    <w:rsid w:val="00EF1655"/>
    <w:rsid w:val="00EF1D2E"/>
    <w:rsid w:val="00EF2F8C"/>
    <w:rsid w:val="00EF3386"/>
    <w:rsid w:val="00EF5981"/>
    <w:rsid w:val="00EF5CA6"/>
    <w:rsid w:val="00EF5F9F"/>
    <w:rsid w:val="00EF6191"/>
    <w:rsid w:val="00EF705B"/>
    <w:rsid w:val="00EF7D32"/>
    <w:rsid w:val="00F009EA"/>
    <w:rsid w:val="00F00D2E"/>
    <w:rsid w:val="00F017D2"/>
    <w:rsid w:val="00F019BD"/>
    <w:rsid w:val="00F0291E"/>
    <w:rsid w:val="00F03813"/>
    <w:rsid w:val="00F050FC"/>
    <w:rsid w:val="00F06E34"/>
    <w:rsid w:val="00F07D52"/>
    <w:rsid w:val="00F1112B"/>
    <w:rsid w:val="00F12994"/>
    <w:rsid w:val="00F12AA7"/>
    <w:rsid w:val="00F12F44"/>
    <w:rsid w:val="00F133F8"/>
    <w:rsid w:val="00F135C4"/>
    <w:rsid w:val="00F135E6"/>
    <w:rsid w:val="00F1458D"/>
    <w:rsid w:val="00F14BDA"/>
    <w:rsid w:val="00F152F1"/>
    <w:rsid w:val="00F16206"/>
    <w:rsid w:val="00F20991"/>
    <w:rsid w:val="00F210D0"/>
    <w:rsid w:val="00F23091"/>
    <w:rsid w:val="00F240D9"/>
    <w:rsid w:val="00F25BBB"/>
    <w:rsid w:val="00F26764"/>
    <w:rsid w:val="00F267FB"/>
    <w:rsid w:val="00F273F8"/>
    <w:rsid w:val="00F279A5"/>
    <w:rsid w:val="00F27B3E"/>
    <w:rsid w:val="00F27C3C"/>
    <w:rsid w:val="00F312CB"/>
    <w:rsid w:val="00F33FF0"/>
    <w:rsid w:val="00F3425C"/>
    <w:rsid w:val="00F34652"/>
    <w:rsid w:val="00F35B10"/>
    <w:rsid w:val="00F36B0F"/>
    <w:rsid w:val="00F4052D"/>
    <w:rsid w:val="00F40761"/>
    <w:rsid w:val="00F4091C"/>
    <w:rsid w:val="00F40B9A"/>
    <w:rsid w:val="00F412B7"/>
    <w:rsid w:val="00F415E9"/>
    <w:rsid w:val="00F43E44"/>
    <w:rsid w:val="00F43F92"/>
    <w:rsid w:val="00F44D53"/>
    <w:rsid w:val="00F44FF6"/>
    <w:rsid w:val="00F46DF2"/>
    <w:rsid w:val="00F473E6"/>
    <w:rsid w:val="00F475B2"/>
    <w:rsid w:val="00F5000E"/>
    <w:rsid w:val="00F52F70"/>
    <w:rsid w:val="00F539EB"/>
    <w:rsid w:val="00F546E5"/>
    <w:rsid w:val="00F55863"/>
    <w:rsid w:val="00F576FF"/>
    <w:rsid w:val="00F578EE"/>
    <w:rsid w:val="00F61C13"/>
    <w:rsid w:val="00F61D66"/>
    <w:rsid w:val="00F63329"/>
    <w:rsid w:val="00F637DC"/>
    <w:rsid w:val="00F6557F"/>
    <w:rsid w:val="00F65635"/>
    <w:rsid w:val="00F660AE"/>
    <w:rsid w:val="00F67CC9"/>
    <w:rsid w:val="00F67CEF"/>
    <w:rsid w:val="00F72C19"/>
    <w:rsid w:val="00F7345F"/>
    <w:rsid w:val="00F73926"/>
    <w:rsid w:val="00F74C70"/>
    <w:rsid w:val="00F7550D"/>
    <w:rsid w:val="00F760E8"/>
    <w:rsid w:val="00F80E27"/>
    <w:rsid w:val="00F82376"/>
    <w:rsid w:val="00F840FF"/>
    <w:rsid w:val="00F84994"/>
    <w:rsid w:val="00F85743"/>
    <w:rsid w:val="00F8630F"/>
    <w:rsid w:val="00F918AA"/>
    <w:rsid w:val="00F92FB8"/>
    <w:rsid w:val="00F95ED3"/>
    <w:rsid w:val="00F95EFF"/>
    <w:rsid w:val="00F97FDC"/>
    <w:rsid w:val="00FA18AC"/>
    <w:rsid w:val="00FA1D80"/>
    <w:rsid w:val="00FA29A0"/>
    <w:rsid w:val="00FA2B6D"/>
    <w:rsid w:val="00FA48BF"/>
    <w:rsid w:val="00FA4B49"/>
    <w:rsid w:val="00FA6C66"/>
    <w:rsid w:val="00FA79E7"/>
    <w:rsid w:val="00FB2A74"/>
    <w:rsid w:val="00FB45AC"/>
    <w:rsid w:val="00FB658A"/>
    <w:rsid w:val="00FB6641"/>
    <w:rsid w:val="00FB7394"/>
    <w:rsid w:val="00FB7E05"/>
    <w:rsid w:val="00FC039E"/>
    <w:rsid w:val="00FC049B"/>
    <w:rsid w:val="00FC1158"/>
    <w:rsid w:val="00FC1FE5"/>
    <w:rsid w:val="00FC5A02"/>
    <w:rsid w:val="00FC60E3"/>
    <w:rsid w:val="00FC62F5"/>
    <w:rsid w:val="00FC744D"/>
    <w:rsid w:val="00FC7D5E"/>
    <w:rsid w:val="00FD0AB9"/>
    <w:rsid w:val="00FD183A"/>
    <w:rsid w:val="00FD228C"/>
    <w:rsid w:val="00FD3F4C"/>
    <w:rsid w:val="00FD4BF0"/>
    <w:rsid w:val="00FD65B0"/>
    <w:rsid w:val="00FD78D6"/>
    <w:rsid w:val="00FE2899"/>
    <w:rsid w:val="00FE2B36"/>
    <w:rsid w:val="00FE345A"/>
    <w:rsid w:val="00FE3659"/>
    <w:rsid w:val="00FE3AA8"/>
    <w:rsid w:val="00FE4B70"/>
    <w:rsid w:val="00FE5F88"/>
    <w:rsid w:val="00FE6021"/>
    <w:rsid w:val="00FF0C4B"/>
    <w:rsid w:val="00FF0FAF"/>
    <w:rsid w:val="00FF2AE5"/>
    <w:rsid w:val="00FF3DEF"/>
    <w:rsid w:val="00FF4568"/>
    <w:rsid w:val="00FF5712"/>
    <w:rsid w:val="00FF5DF6"/>
    <w:rsid w:val="00FF5FBC"/>
    <w:rsid w:val="00FF6511"/>
    <w:rsid w:val="00FF75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9B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40B"/>
    <w:pPr>
      <w:ind w:left="720"/>
      <w:contextualSpacing/>
    </w:pPr>
  </w:style>
  <w:style w:type="character" w:styleId="CommentReference">
    <w:name w:val="annotation reference"/>
    <w:basedOn w:val="DefaultParagraphFont"/>
    <w:uiPriority w:val="99"/>
    <w:semiHidden/>
    <w:unhideWhenUsed/>
    <w:rsid w:val="00F95EFF"/>
    <w:rPr>
      <w:sz w:val="16"/>
      <w:szCs w:val="16"/>
    </w:rPr>
  </w:style>
  <w:style w:type="paragraph" w:styleId="CommentText">
    <w:name w:val="annotation text"/>
    <w:basedOn w:val="Normal"/>
    <w:link w:val="CommentTextChar"/>
    <w:uiPriority w:val="99"/>
    <w:semiHidden/>
    <w:unhideWhenUsed/>
    <w:rsid w:val="00F95EFF"/>
    <w:pPr>
      <w:spacing w:line="240" w:lineRule="auto"/>
    </w:pPr>
    <w:rPr>
      <w:sz w:val="20"/>
      <w:szCs w:val="20"/>
    </w:rPr>
  </w:style>
  <w:style w:type="character" w:customStyle="1" w:styleId="CommentTextChar">
    <w:name w:val="Comment Text Char"/>
    <w:basedOn w:val="DefaultParagraphFont"/>
    <w:link w:val="CommentText"/>
    <w:uiPriority w:val="99"/>
    <w:semiHidden/>
    <w:rsid w:val="00F95EFF"/>
    <w:rPr>
      <w:sz w:val="20"/>
      <w:szCs w:val="20"/>
    </w:rPr>
  </w:style>
  <w:style w:type="paragraph" w:styleId="CommentSubject">
    <w:name w:val="annotation subject"/>
    <w:basedOn w:val="CommentText"/>
    <w:next w:val="CommentText"/>
    <w:link w:val="CommentSubjectChar"/>
    <w:uiPriority w:val="99"/>
    <w:semiHidden/>
    <w:unhideWhenUsed/>
    <w:rsid w:val="00F95EFF"/>
    <w:rPr>
      <w:b/>
      <w:bCs/>
    </w:rPr>
  </w:style>
  <w:style w:type="character" w:customStyle="1" w:styleId="CommentSubjectChar">
    <w:name w:val="Comment Subject Char"/>
    <w:basedOn w:val="CommentTextChar"/>
    <w:link w:val="CommentSubject"/>
    <w:uiPriority w:val="99"/>
    <w:semiHidden/>
    <w:rsid w:val="00F95EFF"/>
    <w:rPr>
      <w:b/>
      <w:bCs/>
      <w:sz w:val="20"/>
      <w:szCs w:val="20"/>
    </w:rPr>
  </w:style>
  <w:style w:type="paragraph" w:styleId="BalloonText">
    <w:name w:val="Balloon Text"/>
    <w:basedOn w:val="Normal"/>
    <w:link w:val="BalloonTextChar"/>
    <w:uiPriority w:val="99"/>
    <w:semiHidden/>
    <w:unhideWhenUsed/>
    <w:rsid w:val="00F95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EFF"/>
    <w:rPr>
      <w:rFonts w:ascii="Segoe UI" w:hAnsi="Segoe UI" w:cs="Segoe UI"/>
      <w:sz w:val="18"/>
      <w:szCs w:val="18"/>
    </w:rPr>
  </w:style>
  <w:style w:type="paragraph" w:styleId="FootnoteText">
    <w:name w:val="footnote text"/>
    <w:basedOn w:val="Normal"/>
    <w:link w:val="FootnoteTextChar"/>
    <w:uiPriority w:val="99"/>
    <w:semiHidden/>
    <w:unhideWhenUsed/>
    <w:rsid w:val="008314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1416"/>
    <w:rPr>
      <w:sz w:val="20"/>
      <w:szCs w:val="20"/>
    </w:rPr>
  </w:style>
  <w:style w:type="character" w:styleId="FootnoteReference">
    <w:name w:val="footnote reference"/>
    <w:basedOn w:val="DefaultParagraphFont"/>
    <w:uiPriority w:val="99"/>
    <w:semiHidden/>
    <w:unhideWhenUsed/>
    <w:rsid w:val="00831416"/>
    <w:rPr>
      <w:vertAlign w:val="superscript"/>
    </w:rPr>
  </w:style>
  <w:style w:type="paragraph" w:styleId="Header">
    <w:name w:val="header"/>
    <w:basedOn w:val="Normal"/>
    <w:link w:val="HeaderChar"/>
    <w:uiPriority w:val="99"/>
    <w:unhideWhenUsed/>
    <w:rsid w:val="009B1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210"/>
  </w:style>
  <w:style w:type="paragraph" w:styleId="Footer">
    <w:name w:val="footer"/>
    <w:basedOn w:val="Normal"/>
    <w:link w:val="FooterChar"/>
    <w:uiPriority w:val="99"/>
    <w:unhideWhenUsed/>
    <w:rsid w:val="009B1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210"/>
  </w:style>
  <w:style w:type="paragraph" w:styleId="Revision">
    <w:name w:val="Revision"/>
    <w:hidden/>
    <w:uiPriority w:val="99"/>
    <w:semiHidden/>
    <w:rsid w:val="00327EE3"/>
    <w:pPr>
      <w:spacing w:after="0" w:line="240" w:lineRule="auto"/>
    </w:pPr>
  </w:style>
  <w:style w:type="character" w:styleId="Hyperlink">
    <w:name w:val="Hyperlink"/>
    <w:basedOn w:val="DefaultParagraphFont"/>
    <w:uiPriority w:val="99"/>
    <w:semiHidden/>
    <w:unhideWhenUsed/>
    <w:rsid w:val="003F1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9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35cf3226f487f3fd88b120cdd215f82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e709f4dc9bc2f9b70937280fcccc78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1FE34-CFE4-45DA-A107-F465E1B3E253}">
  <ds:schemaRefs>
    <ds:schemaRef ds:uri="http://schemas.openxmlformats.org/officeDocument/2006/bibliography"/>
  </ds:schemaRefs>
</ds:datastoreItem>
</file>

<file path=customXml/itemProps2.xml><?xml version="1.0" encoding="utf-8"?>
<ds:datastoreItem xmlns:ds="http://schemas.openxmlformats.org/officeDocument/2006/customXml" ds:itemID="{D00B218E-54FD-463B-B7DD-4BF2AEB14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A4C72-45A2-4319-A5DD-006ED21016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1AE8FC-EE07-4602-9554-709E0D9C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2021-08-25T16:56:00Z</dcterms:created>
  <dcterms:modified xsi:type="dcterms:W3CDTF">2021-09-24T18:32:00Z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