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5CFF" w:rsidR="00FF2570" w:rsidP="00DD5345" w:rsidRDefault="00FF2570" w14:paraId="7F2CE5A2" w14:textId="048E5BF4">
      <w:pPr>
        <w:pStyle w:val="Hdng1Report-IPR"/>
        <w:jc w:val="both"/>
      </w:pPr>
      <w:bookmarkStart w:name="_Toc416426640" w:id="0"/>
      <w:r>
        <w:t xml:space="preserve">Supporting statement </w:t>
      </w:r>
      <w:r w:rsidRPr="000B5CFF">
        <w:t>PART b:</w:t>
      </w:r>
      <w:r>
        <w:t xml:space="preserve"> </w:t>
      </w:r>
      <w:r w:rsidRPr="000B5CFF">
        <w:t>Collection of Information Employing Statistical Methods</w:t>
      </w:r>
      <w:bookmarkEnd w:id="0"/>
    </w:p>
    <w:p w:rsidRPr="00674B0D" w:rsidR="00FF2570" w:rsidP="00DD5345" w:rsidRDefault="00FF2570" w14:paraId="78726FBC" w14:textId="77777777">
      <w:pPr>
        <w:pStyle w:val="Hdng2-IPR"/>
        <w:jc w:val="both"/>
      </w:pPr>
      <w:bookmarkStart w:name="_Toc416426641" w:id="1"/>
      <w:r w:rsidRPr="00674B0D">
        <w:t>B.1.</w:t>
      </w:r>
      <w:r w:rsidRPr="00674B0D">
        <w:tab/>
        <w:t>Respondent Universe and Selection Methods</w:t>
      </w:r>
      <w:bookmarkEnd w:id="1"/>
    </w:p>
    <w:p w:rsidRPr="00674B0D" w:rsidR="00FF2570" w:rsidP="00DD5345" w:rsidRDefault="00FF2570" w14:paraId="5935711D" w14:textId="77777777">
      <w:pPr>
        <w:pStyle w:val="OMBRequirementCalibri"/>
        <w:jc w:val="both"/>
      </w:pPr>
      <w:r w:rsidRPr="000B5CFF">
        <w:t>Describe (including a numerical estimate) the potential respondent universe and any sampling or other respondent selection method to be used.</w:t>
      </w:r>
      <w:r>
        <w:t xml:space="preserve"> </w:t>
      </w:r>
      <w:r w:rsidRPr="000B5CFF">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t xml:space="preserve"> </w:t>
      </w:r>
      <w:r w:rsidRPr="000B5CFF">
        <w:t>Indicate expected response rates for the collection as a whole.</w:t>
      </w:r>
      <w:r>
        <w:t xml:space="preserve"> </w:t>
      </w:r>
      <w:r w:rsidRPr="000B5CFF">
        <w:t>If the collection had been conducted previously, include the actual response rate achieved during the last collection.</w:t>
      </w:r>
    </w:p>
    <w:p w:rsidR="00500279" w:rsidP="00DD5345" w:rsidRDefault="00614BB8" w14:paraId="62BB0556" w14:textId="0DC77AF4">
      <w:pPr>
        <w:pStyle w:val="CommentText"/>
        <w:spacing w:line="480" w:lineRule="auto"/>
        <w:ind w:firstLine="720"/>
        <w:jc w:val="both"/>
        <w:rPr>
          <w:sz w:val="24"/>
          <w:szCs w:val="24"/>
        </w:rPr>
      </w:pPr>
      <w:bookmarkStart w:name="_Hlk56973740" w:id="2"/>
      <w:r w:rsidRPr="1513EC46">
        <w:rPr>
          <w:sz w:val="24"/>
          <w:szCs w:val="24"/>
        </w:rPr>
        <w:t>The statistical method employed in the NRT monitoring task collection is a</w:t>
      </w:r>
      <w:r w:rsidRPr="1513EC46" w:rsidR="007E39DF">
        <w:rPr>
          <w:sz w:val="24"/>
          <w:szCs w:val="24"/>
        </w:rPr>
        <w:t xml:space="preserve"> census</w:t>
      </w:r>
      <w:r w:rsidRPr="1513EC46" w:rsidR="00A776B8">
        <w:rPr>
          <w:sz w:val="24"/>
          <w:szCs w:val="24"/>
        </w:rPr>
        <w:t xml:space="preserve"> that</w:t>
      </w:r>
      <w:r w:rsidRPr="1513EC46" w:rsidR="003A2A18">
        <w:rPr>
          <w:sz w:val="24"/>
          <w:szCs w:val="24"/>
        </w:rPr>
        <w:t xml:space="preserve"> includes</w:t>
      </w:r>
      <w:r w:rsidRPr="1513EC46" w:rsidR="003E2908">
        <w:rPr>
          <w:sz w:val="24"/>
          <w:szCs w:val="24"/>
        </w:rPr>
        <w:t xml:space="preserve"> all</w:t>
      </w:r>
      <w:r w:rsidRPr="1513EC46" w:rsidR="003A2A18">
        <w:rPr>
          <w:sz w:val="24"/>
          <w:szCs w:val="24"/>
        </w:rPr>
        <w:t xml:space="preserve"> active NRT awards</w:t>
      </w:r>
      <w:r w:rsidRPr="1513EC46" w:rsidR="00A776B8">
        <w:rPr>
          <w:sz w:val="24"/>
          <w:szCs w:val="24"/>
        </w:rPr>
        <w:t>.</w:t>
      </w:r>
      <w:r w:rsidRPr="1513EC46" w:rsidR="007E39DF">
        <w:rPr>
          <w:sz w:val="24"/>
          <w:szCs w:val="24"/>
        </w:rPr>
        <w:t xml:space="preserve"> </w:t>
      </w:r>
      <w:r w:rsidRPr="1513EC46" w:rsidR="00A776B8">
        <w:rPr>
          <w:sz w:val="24"/>
          <w:szCs w:val="24"/>
        </w:rPr>
        <w:t>S</w:t>
      </w:r>
      <w:r w:rsidRPr="1513EC46" w:rsidR="007E39DF">
        <w:rPr>
          <w:sz w:val="24"/>
          <w:szCs w:val="24"/>
        </w:rPr>
        <w:t xml:space="preserve">ince this collection will primarily be used for accountability and </w:t>
      </w:r>
      <w:r w:rsidR="002B7F7C">
        <w:rPr>
          <w:sz w:val="24"/>
          <w:szCs w:val="24"/>
        </w:rPr>
        <w:t>program management</w:t>
      </w:r>
      <w:r w:rsidRPr="1513EC46" w:rsidR="002B7F7C">
        <w:rPr>
          <w:sz w:val="24"/>
          <w:szCs w:val="24"/>
        </w:rPr>
        <w:t xml:space="preserve"> </w:t>
      </w:r>
      <w:r w:rsidRPr="1513EC46" w:rsidR="007E39DF">
        <w:rPr>
          <w:sz w:val="24"/>
          <w:szCs w:val="24"/>
        </w:rPr>
        <w:t xml:space="preserve">purposes, including responding to queries from </w:t>
      </w:r>
      <w:r w:rsidR="008C6916">
        <w:rPr>
          <w:sz w:val="24"/>
          <w:szCs w:val="24"/>
        </w:rPr>
        <w:t>Committee of Visitors</w:t>
      </w:r>
      <w:r w:rsidR="00D268B8">
        <w:rPr>
          <w:rStyle w:val="FootnoteReference"/>
          <w:sz w:val="24"/>
          <w:szCs w:val="24"/>
        </w:rPr>
        <w:footnoteReference w:id="2"/>
      </w:r>
      <w:r w:rsidR="00D268B8">
        <w:rPr>
          <w:sz w:val="24"/>
          <w:szCs w:val="24"/>
        </w:rPr>
        <w:t xml:space="preserve"> </w:t>
      </w:r>
      <w:r w:rsidR="008C6916">
        <w:rPr>
          <w:sz w:val="24"/>
          <w:szCs w:val="24"/>
        </w:rPr>
        <w:t>(</w:t>
      </w:r>
      <w:r w:rsidRPr="1513EC46" w:rsidR="007E39DF">
        <w:rPr>
          <w:sz w:val="24"/>
          <w:szCs w:val="24"/>
        </w:rPr>
        <w:t>COVs</w:t>
      </w:r>
      <w:r w:rsidR="008C6916">
        <w:rPr>
          <w:sz w:val="24"/>
          <w:szCs w:val="24"/>
        </w:rPr>
        <w:t>)</w:t>
      </w:r>
      <w:r w:rsidRPr="1513EC46" w:rsidR="007E39DF">
        <w:rPr>
          <w:sz w:val="24"/>
          <w:szCs w:val="24"/>
        </w:rPr>
        <w:t xml:space="preserve"> and other scientific experts, a census rather than sampling design is necessary. T</w:t>
      </w:r>
      <w:r w:rsidRPr="1513EC46">
        <w:rPr>
          <w:sz w:val="24"/>
          <w:szCs w:val="24"/>
        </w:rPr>
        <w:t xml:space="preserve">his project has </w:t>
      </w:r>
      <w:r w:rsidRPr="1513EC46" w:rsidR="00413535">
        <w:rPr>
          <w:sz w:val="24"/>
          <w:szCs w:val="24"/>
        </w:rPr>
        <w:t>f</w:t>
      </w:r>
      <w:r w:rsidRPr="1513EC46" w:rsidR="00500279">
        <w:rPr>
          <w:sz w:val="24"/>
          <w:szCs w:val="24"/>
        </w:rPr>
        <w:t>ive</w:t>
      </w:r>
      <w:r w:rsidRPr="1513EC46" w:rsidR="00397D9C">
        <w:rPr>
          <w:sz w:val="24"/>
          <w:szCs w:val="24"/>
        </w:rPr>
        <w:t xml:space="preserve"> </w:t>
      </w:r>
      <w:r w:rsidRPr="1513EC46">
        <w:rPr>
          <w:sz w:val="24"/>
          <w:szCs w:val="24"/>
        </w:rPr>
        <w:t>respondent type</w:t>
      </w:r>
      <w:r w:rsidRPr="1513EC46" w:rsidR="00397D9C">
        <w:rPr>
          <w:sz w:val="24"/>
          <w:szCs w:val="24"/>
        </w:rPr>
        <w:t>s</w:t>
      </w:r>
      <w:r w:rsidRPr="1513EC46" w:rsidR="00775199">
        <w:rPr>
          <w:sz w:val="24"/>
          <w:szCs w:val="24"/>
        </w:rPr>
        <w:t xml:space="preserve"> (</w:t>
      </w:r>
      <w:r w:rsidRPr="1513EC46">
        <w:rPr>
          <w:sz w:val="24"/>
          <w:szCs w:val="24"/>
        </w:rPr>
        <w:t>Principal Investigator</w:t>
      </w:r>
      <w:r w:rsidRPr="1513EC46" w:rsidR="007A0366">
        <w:rPr>
          <w:sz w:val="24"/>
          <w:szCs w:val="24"/>
        </w:rPr>
        <w:t>s</w:t>
      </w:r>
      <w:r w:rsidRPr="1513EC46">
        <w:rPr>
          <w:sz w:val="24"/>
          <w:szCs w:val="24"/>
        </w:rPr>
        <w:t xml:space="preserve"> (PI</w:t>
      </w:r>
      <w:r w:rsidR="00EB4B13">
        <w:rPr>
          <w:sz w:val="24"/>
          <w:szCs w:val="24"/>
        </w:rPr>
        <w:t>s</w:t>
      </w:r>
      <w:r w:rsidRPr="1513EC46">
        <w:rPr>
          <w:sz w:val="24"/>
          <w:szCs w:val="24"/>
        </w:rPr>
        <w:t>),</w:t>
      </w:r>
      <w:r w:rsidRPr="1513EC46" w:rsidR="00397D9C">
        <w:rPr>
          <w:sz w:val="24"/>
          <w:szCs w:val="24"/>
        </w:rPr>
        <w:t xml:space="preserve"> Co-PI</w:t>
      </w:r>
      <w:r w:rsidRPr="1513EC46" w:rsidR="007A0366">
        <w:rPr>
          <w:sz w:val="24"/>
          <w:szCs w:val="24"/>
        </w:rPr>
        <w:t>s</w:t>
      </w:r>
      <w:r w:rsidRPr="1513EC46" w:rsidR="008A6EDA">
        <w:rPr>
          <w:sz w:val="24"/>
          <w:szCs w:val="24"/>
        </w:rPr>
        <w:t xml:space="preserve">, </w:t>
      </w:r>
      <w:r w:rsidRPr="1513EC46" w:rsidR="00C216D6">
        <w:rPr>
          <w:sz w:val="24"/>
          <w:szCs w:val="24"/>
        </w:rPr>
        <w:t>Coordinators</w:t>
      </w:r>
      <w:r w:rsidRPr="1513EC46" w:rsidR="00500279">
        <w:rPr>
          <w:sz w:val="24"/>
          <w:szCs w:val="24"/>
        </w:rPr>
        <w:t xml:space="preserve">, </w:t>
      </w:r>
      <w:r w:rsidRPr="1513EC46" w:rsidR="008A6EDA">
        <w:rPr>
          <w:sz w:val="24"/>
          <w:szCs w:val="24"/>
        </w:rPr>
        <w:t>Faculty</w:t>
      </w:r>
      <w:r w:rsidRPr="1513EC46" w:rsidR="00397D9C">
        <w:rPr>
          <w:sz w:val="24"/>
          <w:szCs w:val="24"/>
        </w:rPr>
        <w:t xml:space="preserve">, and </w:t>
      </w:r>
      <w:r w:rsidRPr="1513EC46" w:rsidR="008A6EDA">
        <w:rPr>
          <w:sz w:val="24"/>
          <w:szCs w:val="24"/>
        </w:rPr>
        <w:t>T</w:t>
      </w:r>
      <w:r w:rsidRPr="1513EC46" w:rsidR="00397D9C">
        <w:rPr>
          <w:sz w:val="24"/>
          <w:szCs w:val="24"/>
        </w:rPr>
        <w:t>rainees</w:t>
      </w:r>
      <w:r w:rsidRPr="1513EC46" w:rsidR="00775199">
        <w:rPr>
          <w:sz w:val="24"/>
          <w:szCs w:val="24"/>
        </w:rPr>
        <w:t>)</w:t>
      </w:r>
      <w:r w:rsidRPr="1513EC46" w:rsidR="006715CD">
        <w:rPr>
          <w:sz w:val="24"/>
          <w:szCs w:val="24"/>
        </w:rPr>
        <w:t xml:space="preserve"> and is comprised of five</w:t>
      </w:r>
      <w:r w:rsidRPr="1513EC46" w:rsidR="00775199">
        <w:rPr>
          <w:sz w:val="24"/>
          <w:szCs w:val="24"/>
        </w:rPr>
        <w:t xml:space="preserve"> survey instruments</w:t>
      </w:r>
      <w:r w:rsidR="00EC71E4">
        <w:rPr>
          <w:sz w:val="24"/>
          <w:szCs w:val="24"/>
        </w:rPr>
        <w:t xml:space="preserve"> (Project, PI, Co-PI</w:t>
      </w:r>
      <w:r w:rsidR="0003047C">
        <w:rPr>
          <w:sz w:val="24"/>
          <w:szCs w:val="24"/>
        </w:rPr>
        <w:t>,</w:t>
      </w:r>
      <w:r w:rsidR="00EC71E4">
        <w:rPr>
          <w:sz w:val="24"/>
          <w:szCs w:val="24"/>
        </w:rPr>
        <w:t xml:space="preserve"> Faculty</w:t>
      </w:r>
      <w:r w:rsidR="00EE5D66">
        <w:rPr>
          <w:sz w:val="24"/>
          <w:szCs w:val="24"/>
        </w:rPr>
        <w:t>, and</w:t>
      </w:r>
      <w:r w:rsidR="001E3FE0">
        <w:rPr>
          <w:sz w:val="24"/>
          <w:szCs w:val="24"/>
        </w:rPr>
        <w:t xml:space="preserve"> Trainee</w:t>
      </w:r>
      <w:r w:rsidR="0003047C">
        <w:rPr>
          <w:sz w:val="24"/>
          <w:szCs w:val="24"/>
        </w:rPr>
        <w:t xml:space="preserve"> surveys)</w:t>
      </w:r>
      <w:r w:rsidRPr="1513EC46" w:rsidR="00397D9C">
        <w:rPr>
          <w:sz w:val="24"/>
          <w:szCs w:val="24"/>
        </w:rPr>
        <w:t xml:space="preserve">. </w:t>
      </w:r>
      <w:r w:rsidRPr="1513EC46" w:rsidR="00500279">
        <w:rPr>
          <w:sz w:val="24"/>
          <w:szCs w:val="24"/>
        </w:rPr>
        <w:t>Table</w:t>
      </w:r>
      <w:r w:rsidRPr="1513EC46" w:rsidR="0073076D">
        <w:rPr>
          <w:sz w:val="24"/>
          <w:szCs w:val="24"/>
        </w:rPr>
        <w:t xml:space="preserve"> B.1.1 below shows the survey types</w:t>
      </w:r>
      <w:r w:rsidRPr="1513EC46" w:rsidR="00174730">
        <w:rPr>
          <w:sz w:val="24"/>
          <w:szCs w:val="24"/>
        </w:rPr>
        <w:t xml:space="preserve"> </w:t>
      </w:r>
      <w:r w:rsidRPr="1513EC46" w:rsidR="0073076D">
        <w:rPr>
          <w:sz w:val="24"/>
          <w:szCs w:val="24"/>
        </w:rPr>
        <w:t>and the respondents</w:t>
      </w:r>
      <w:r w:rsidRPr="1513EC46" w:rsidR="00500279">
        <w:rPr>
          <w:sz w:val="24"/>
          <w:szCs w:val="24"/>
        </w:rPr>
        <w:t xml:space="preserve"> </w:t>
      </w:r>
      <w:r w:rsidRPr="1513EC46" w:rsidR="0073076D">
        <w:rPr>
          <w:sz w:val="24"/>
          <w:szCs w:val="24"/>
        </w:rPr>
        <w:t>charged with</w:t>
      </w:r>
      <w:r w:rsidRPr="1513EC46" w:rsidR="00500279">
        <w:rPr>
          <w:sz w:val="24"/>
          <w:szCs w:val="24"/>
        </w:rPr>
        <w:t xml:space="preserve"> completing those surveys.</w:t>
      </w:r>
      <w:r w:rsidRPr="1513EC46" w:rsidR="00397D9C">
        <w:rPr>
          <w:sz w:val="24"/>
          <w:szCs w:val="24"/>
        </w:rPr>
        <w:t xml:space="preserve"> </w:t>
      </w:r>
    </w:p>
    <w:tbl>
      <w:tblPr>
        <w:tblpPr w:leftFromText="180" w:rightFromText="180" w:vertAnchor="page" w:horzAnchor="page" w:tblpX="1537" w:tblpY="10085"/>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47"/>
        <w:gridCol w:w="1386"/>
        <w:gridCol w:w="1386"/>
        <w:gridCol w:w="1386"/>
        <w:gridCol w:w="1386"/>
        <w:gridCol w:w="1386"/>
      </w:tblGrid>
      <w:tr w:rsidRPr="008B7BED" w:rsidR="00033C0A" w:rsidTr="00CD3265" w14:paraId="7FB68D82" w14:textId="77777777">
        <w:trPr>
          <w:trHeight w:val="276"/>
        </w:trPr>
        <w:tc>
          <w:tcPr>
            <w:tcW w:w="2247"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C4E87" w:rsidR="00033C0A" w:rsidP="00B24AB7" w:rsidRDefault="00033C0A" w14:paraId="63E85459" w14:textId="0A2B4A64">
            <w:pPr>
              <w:spacing w:before="100" w:beforeAutospacing="1" w:after="100" w:afterAutospacing="1"/>
              <w:jc w:val="center"/>
              <w:textAlignment w:val="baseline"/>
              <w:rPr>
                <w:rFonts w:cs="Times New Roman"/>
                <w:b/>
                <w:sz w:val="20"/>
                <w:szCs w:val="20"/>
              </w:rPr>
            </w:pPr>
          </w:p>
        </w:tc>
        <w:tc>
          <w:tcPr>
            <w:tcW w:w="6930" w:type="dxa"/>
            <w:gridSpan w:val="5"/>
            <w:tcBorders>
              <w:top w:val="single" w:color="auto" w:sz="6" w:space="0"/>
              <w:left w:val="nil"/>
              <w:bottom w:val="single" w:color="auto" w:sz="6" w:space="0"/>
              <w:right w:val="single" w:color="auto" w:sz="6" w:space="0"/>
            </w:tcBorders>
            <w:shd w:val="clear" w:color="auto" w:fill="auto"/>
            <w:vAlign w:val="center"/>
            <w:hideMark/>
          </w:tcPr>
          <w:p w:rsidRPr="002C4E87" w:rsidR="00033C0A" w:rsidP="00B24AB7" w:rsidRDefault="00033C0A" w14:paraId="62F8D955" w14:textId="42AE251C">
            <w:pPr>
              <w:spacing w:before="100" w:beforeAutospacing="1" w:after="100" w:afterAutospacing="1"/>
              <w:jc w:val="center"/>
              <w:textAlignment w:val="baseline"/>
              <w:rPr>
                <w:rFonts w:cs="Times New Roman"/>
                <w:b/>
                <w:sz w:val="20"/>
                <w:szCs w:val="20"/>
              </w:rPr>
            </w:pPr>
            <w:r w:rsidRPr="002C4E87">
              <w:rPr>
                <w:rFonts w:cs="Times New Roman"/>
                <w:b/>
                <w:sz w:val="20"/>
                <w:szCs w:val="20"/>
              </w:rPr>
              <w:t>Respondent</w:t>
            </w:r>
            <w:r w:rsidR="00787B5F">
              <w:rPr>
                <w:rFonts w:cs="Times New Roman"/>
                <w:b/>
                <w:sz w:val="20"/>
                <w:szCs w:val="20"/>
              </w:rPr>
              <w:t xml:space="preserve"> Type</w:t>
            </w:r>
          </w:p>
        </w:tc>
      </w:tr>
      <w:tr w:rsidRPr="008B7BED" w:rsidR="00033C0A" w:rsidTr="00CD3265" w14:paraId="782E7277" w14:textId="77777777">
        <w:trPr>
          <w:trHeight w:val="276"/>
        </w:trPr>
        <w:tc>
          <w:tcPr>
            <w:tcW w:w="2247" w:type="dxa"/>
            <w:tcBorders>
              <w:top w:val="nil"/>
              <w:left w:val="single" w:color="auto" w:sz="6" w:space="0"/>
              <w:bottom w:val="single" w:color="auto" w:sz="6" w:space="0"/>
              <w:right w:val="single" w:color="auto" w:sz="6" w:space="0"/>
            </w:tcBorders>
            <w:shd w:val="clear" w:color="auto" w:fill="auto"/>
            <w:vAlign w:val="center"/>
          </w:tcPr>
          <w:p w:rsidRPr="002C4E87" w:rsidR="00033C0A" w:rsidP="00F313D6" w:rsidRDefault="001F3F11" w14:paraId="195FA931" w14:textId="5F2EFF67">
            <w:pPr>
              <w:spacing w:before="100" w:beforeAutospacing="1" w:after="100" w:afterAutospacing="1"/>
              <w:jc w:val="center"/>
              <w:textAlignment w:val="baseline"/>
              <w:rPr>
                <w:rFonts w:cs="Times New Roman"/>
                <w:bCs/>
                <w:sz w:val="20"/>
                <w:szCs w:val="20"/>
              </w:rPr>
            </w:pPr>
            <w:r w:rsidRPr="002C4E87">
              <w:rPr>
                <w:rFonts w:cs="Times New Roman"/>
                <w:b/>
                <w:bCs/>
                <w:sz w:val="20"/>
                <w:szCs w:val="20"/>
              </w:rPr>
              <w:t>Survey Type</w:t>
            </w: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05EA851C" w14:textId="77777777">
            <w:pPr>
              <w:spacing w:before="100" w:beforeAutospacing="1" w:after="100" w:afterAutospacing="1"/>
              <w:textAlignment w:val="baseline"/>
              <w:rPr>
                <w:rFonts w:cs="Times New Roman"/>
                <w:sz w:val="20"/>
                <w:szCs w:val="20"/>
              </w:rPr>
            </w:pPr>
            <w:r w:rsidRPr="002C4E87">
              <w:rPr>
                <w:rFonts w:cs="Times New Roman"/>
                <w:sz w:val="20"/>
                <w:szCs w:val="20"/>
              </w:rPr>
              <w:t>PI</w:t>
            </w: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11014184" w14:textId="77777777">
            <w:pPr>
              <w:spacing w:before="100" w:beforeAutospacing="1" w:after="100" w:afterAutospacing="1"/>
              <w:textAlignment w:val="baseline"/>
              <w:rPr>
                <w:rFonts w:cs="Times New Roman"/>
                <w:sz w:val="20"/>
                <w:szCs w:val="20"/>
              </w:rPr>
            </w:pPr>
            <w:r w:rsidRPr="002C4E87">
              <w:rPr>
                <w:rFonts w:cs="Times New Roman"/>
                <w:sz w:val="20"/>
                <w:szCs w:val="20"/>
              </w:rPr>
              <w:t>Co-PI</w:t>
            </w: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783B1D39" w14:textId="77777777">
            <w:pPr>
              <w:spacing w:before="100" w:beforeAutospacing="1" w:after="100" w:afterAutospacing="1"/>
              <w:textAlignment w:val="baseline"/>
              <w:rPr>
                <w:rFonts w:cs="Times New Roman"/>
                <w:sz w:val="20"/>
                <w:szCs w:val="20"/>
              </w:rPr>
            </w:pPr>
            <w:r w:rsidRPr="002C4E87">
              <w:rPr>
                <w:rFonts w:cs="Times New Roman"/>
                <w:sz w:val="20"/>
                <w:szCs w:val="20"/>
              </w:rPr>
              <w:t>Coordinator</w:t>
            </w: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0EDCFD5C" w14:textId="77777777">
            <w:pPr>
              <w:spacing w:before="100" w:beforeAutospacing="1" w:after="100" w:afterAutospacing="1"/>
              <w:textAlignment w:val="baseline"/>
              <w:rPr>
                <w:rFonts w:cs="Times New Roman"/>
                <w:sz w:val="20"/>
                <w:szCs w:val="20"/>
              </w:rPr>
            </w:pPr>
            <w:r w:rsidRPr="002C4E87">
              <w:rPr>
                <w:rFonts w:cs="Times New Roman"/>
                <w:sz w:val="20"/>
                <w:szCs w:val="20"/>
              </w:rPr>
              <w:t>Faculty</w:t>
            </w: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4EF06A65" w14:textId="77777777">
            <w:pPr>
              <w:spacing w:before="100" w:beforeAutospacing="1" w:after="100" w:afterAutospacing="1"/>
              <w:textAlignment w:val="baseline"/>
              <w:rPr>
                <w:rFonts w:cs="Times New Roman"/>
                <w:sz w:val="20"/>
                <w:szCs w:val="20"/>
              </w:rPr>
            </w:pPr>
            <w:r w:rsidRPr="002C4E87">
              <w:rPr>
                <w:rFonts w:cs="Times New Roman"/>
                <w:sz w:val="20"/>
                <w:szCs w:val="20"/>
              </w:rPr>
              <w:t>Trainee</w:t>
            </w:r>
          </w:p>
        </w:tc>
      </w:tr>
      <w:tr w:rsidRPr="008B7BED" w:rsidR="00033C0A" w:rsidTr="00CD3265" w14:paraId="2E5708DA" w14:textId="77777777">
        <w:trPr>
          <w:trHeight w:val="276"/>
        </w:trPr>
        <w:tc>
          <w:tcPr>
            <w:tcW w:w="2247" w:type="dxa"/>
            <w:tcBorders>
              <w:top w:val="nil"/>
              <w:left w:val="single" w:color="auto" w:sz="6" w:space="0"/>
              <w:bottom w:val="single" w:color="auto" w:sz="6" w:space="0"/>
              <w:right w:val="single" w:color="auto" w:sz="6" w:space="0"/>
            </w:tcBorders>
            <w:shd w:val="clear" w:color="auto" w:fill="auto"/>
            <w:vAlign w:val="center"/>
            <w:hideMark/>
          </w:tcPr>
          <w:p w:rsidRPr="002C4E87" w:rsidR="00033C0A" w:rsidP="00B24AB7" w:rsidRDefault="00033C0A" w14:paraId="28EA2DE7" w14:textId="77777777">
            <w:pPr>
              <w:spacing w:before="100" w:beforeAutospacing="1" w:after="100" w:afterAutospacing="1"/>
              <w:textAlignment w:val="baseline"/>
              <w:rPr>
                <w:rFonts w:cs="Times New Roman"/>
                <w:sz w:val="20"/>
                <w:szCs w:val="20"/>
              </w:rPr>
            </w:pPr>
            <w:r w:rsidRPr="002C4E87">
              <w:rPr>
                <w:rFonts w:cs="Times New Roman"/>
                <w:bCs/>
                <w:sz w:val="20"/>
                <w:szCs w:val="20"/>
              </w:rPr>
              <w:t>Project Survey</w:t>
            </w:r>
          </w:p>
        </w:tc>
        <w:tc>
          <w:tcPr>
            <w:tcW w:w="1386" w:type="dxa"/>
            <w:tcBorders>
              <w:top w:val="nil"/>
              <w:left w:val="nil"/>
              <w:bottom w:val="single" w:color="auto" w:sz="6" w:space="0"/>
              <w:right w:val="single" w:color="auto" w:sz="6" w:space="0"/>
            </w:tcBorders>
            <w:shd w:val="clear" w:color="auto" w:fill="auto"/>
            <w:vAlign w:val="center"/>
            <w:hideMark/>
          </w:tcPr>
          <w:p w:rsidRPr="002C4E87" w:rsidR="00033C0A" w:rsidP="00B24AB7" w:rsidRDefault="00033C0A" w14:paraId="3AEFB555" w14:textId="77777777">
            <w:pPr>
              <w:spacing w:before="100" w:beforeAutospacing="1" w:after="100" w:afterAutospacing="1"/>
              <w:jc w:val="center"/>
              <w:textAlignment w:val="baseline"/>
              <w:rPr>
                <w:rFonts w:cs="Times New Roman"/>
                <w:sz w:val="20"/>
                <w:szCs w:val="20"/>
              </w:rPr>
            </w:pPr>
            <w:r w:rsidRPr="002C4E87">
              <w:rPr>
                <w:rFonts w:cs="Times New Roman"/>
                <w:sz w:val="20"/>
                <w:szCs w:val="20"/>
              </w:rPr>
              <w:t>X</w:t>
            </w: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190C637C" w14:textId="77777777">
            <w:pPr>
              <w:spacing w:before="100" w:beforeAutospacing="1" w:after="100" w:afterAutospacing="1"/>
              <w:jc w:val="center"/>
              <w:textAlignment w:val="baseline"/>
              <w:rPr>
                <w:rFonts w:cs="Times New Roman"/>
                <w:sz w:val="20"/>
                <w:szCs w:val="20"/>
              </w:rPr>
            </w:pPr>
            <w:r w:rsidRPr="002C4E87">
              <w:rPr>
                <w:rFonts w:cs="Times New Roman"/>
                <w:sz w:val="20"/>
                <w:szCs w:val="20"/>
              </w:rPr>
              <w:t>X*</w:t>
            </w: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0B514B37" w14:textId="121BE80C">
            <w:pPr>
              <w:spacing w:before="100" w:beforeAutospacing="1" w:after="100" w:afterAutospacing="1"/>
              <w:jc w:val="center"/>
              <w:textAlignment w:val="baseline"/>
              <w:rPr>
                <w:rFonts w:cs="Times New Roman"/>
                <w:sz w:val="20"/>
                <w:szCs w:val="20"/>
              </w:rPr>
            </w:pPr>
            <w:r w:rsidRPr="002C4E87">
              <w:rPr>
                <w:rFonts w:cs="Times New Roman"/>
                <w:sz w:val="20"/>
                <w:szCs w:val="20"/>
              </w:rPr>
              <w:t>X</w:t>
            </w: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48BF352D" w14:textId="77777777">
            <w:pPr>
              <w:spacing w:before="100" w:beforeAutospacing="1" w:after="100" w:afterAutospacing="1"/>
              <w:jc w:val="center"/>
              <w:textAlignment w:val="baseline"/>
              <w:rPr>
                <w:rFonts w:cs="Times New Roman"/>
                <w:sz w:val="20"/>
                <w:szCs w:val="20"/>
              </w:rPr>
            </w:pP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6A67E207" w14:textId="77777777">
            <w:pPr>
              <w:spacing w:before="100" w:beforeAutospacing="1" w:after="100" w:afterAutospacing="1"/>
              <w:jc w:val="center"/>
              <w:textAlignment w:val="baseline"/>
              <w:rPr>
                <w:rFonts w:cs="Times New Roman"/>
                <w:sz w:val="20"/>
                <w:szCs w:val="20"/>
              </w:rPr>
            </w:pPr>
          </w:p>
        </w:tc>
      </w:tr>
      <w:tr w:rsidRPr="008B7BED" w:rsidR="00033C0A" w:rsidTr="00CD3265" w14:paraId="051CC7C2" w14:textId="77777777">
        <w:trPr>
          <w:trHeight w:val="276"/>
        </w:trPr>
        <w:tc>
          <w:tcPr>
            <w:tcW w:w="2247" w:type="dxa"/>
            <w:tcBorders>
              <w:top w:val="nil"/>
              <w:left w:val="single" w:color="auto" w:sz="6" w:space="0"/>
              <w:bottom w:val="single" w:color="auto" w:sz="6" w:space="0"/>
              <w:right w:val="single" w:color="auto" w:sz="6" w:space="0"/>
            </w:tcBorders>
            <w:shd w:val="clear" w:color="auto" w:fill="auto"/>
            <w:vAlign w:val="center"/>
            <w:hideMark/>
          </w:tcPr>
          <w:p w:rsidRPr="002C4E87" w:rsidR="00033C0A" w:rsidP="00B24AB7" w:rsidRDefault="00033C0A" w14:paraId="5BFB52A8" w14:textId="77777777">
            <w:pPr>
              <w:spacing w:before="100" w:beforeAutospacing="1" w:after="100" w:afterAutospacing="1"/>
              <w:textAlignment w:val="baseline"/>
              <w:rPr>
                <w:rFonts w:cs="Times New Roman"/>
                <w:sz w:val="20"/>
                <w:szCs w:val="20"/>
              </w:rPr>
            </w:pPr>
            <w:r w:rsidRPr="002C4E87">
              <w:rPr>
                <w:rFonts w:cs="Times New Roman"/>
                <w:bCs/>
                <w:sz w:val="20"/>
                <w:szCs w:val="20"/>
              </w:rPr>
              <w:t>PI</w:t>
            </w:r>
            <w:r w:rsidRPr="002C4E87">
              <w:rPr>
                <w:rFonts w:cs="Times New Roman"/>
                <w:sz w:val="20"/>
                <w:szCs w:val="20"/>
              </w:rPr>
              <w:t> Survey</w:t>
            </w:r>
          </w:p>
        </w:tc>
        <w:tc>
          <w:tcPr>
            <w:tcW w:w="1386" w:type="dxa"/>
            <w:tcBorders>
              <w:top w:val="nil"/>
              <w:left w:val="nil"/>
              <w:bottom w:val="single" w:color="auto" w:sz="6" w:space="0"/>
              <w:right w:val="single" w:color="auto" w:sz="6" w:space="0"/>
            </w:tcBorders>
            <w:shd w:val="clear" w:color="auto" w:fill="auto"/>
            <w:vAlign w:val="center"/>
            <w:hideMark/>
          </w:tcPr>
          <w:p w:rsidRPr="002C4E87" w:rsidR="00033C0A" w:rsidP="00B24AB7" w:rsidRDefault="00033C0A" w14:paraId="539EF177" w14:textId="77777777">
            <w:pPr>
              <w:spacing w:before="100" w:beforeAutospacing="1" w:after="100" w:afterAutospacing="1"/>
              <w:jc w:val="center"/>
              <w:textAlignment w:val="baseline"/>
              <w:rPr>
                <w:rFonts w:cs="Times New Roman"/>
                <w:sz w:val="20"/>
                <w:szCs w:val="20"/>
              </w:rPr>
            </w:pPr>
            <w:r w:rsidRPr="002C4E87">
              <w:rPr>
                <w:rFonts w:cs="Times New Roman"/>
                <w:sz w:val="20"/>
                <w:szCs w:val="20"/>
              </w:rPr>
              <w:t>X</w:t>
            </w: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13A2346E" w14:textId="77777777">
            <w:pPr>
              <w:spacing w:before="100" w:beforeAutospacing="1" w:after="100" w:afterAutospacing="1"/>
              <w:jc w:val="center"/>
              <w:textAlignment w:val="baseline"/>
              <w:rPr>
                <w:rFonts w:cs="Times New Roman"/>
                <w:sz w:val="20"/>
                <w:szCs w:val="20"/>
              </w:rPr>
            </w:pP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50C21D67" w14:textId="77777777">
            <w:pPr>
              <w:spacing w:before="100" w:beforeAutospacing="1" w:after="100" w:afterAutospacing="1"/>
              <w:jc w:val="center"/>
              <w:textAlignment w:val="baseline"/>
              <w:rPr>
                <w:rFonts w:cs="Times New Roman"/>
                <w:sz w:val="20"/>
                <w:szCs w:val="20"/>
              </w:rPr>
            </w:pP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41EED029" w14:textId="77777777">
            <w:pPr>
              <w:spacing w:before="100" w:beforeAutospacing="1" w:after="100" w:afterAutospacing="1"/>
              <w:jc w:val="center"/>
              <w:textAlignment w:val="baseline"/>
              <w:rPr>
                <w:rFonts w:cs="Times New Roman"/>
                <w:sz w:val="20"/>
                <w:szCs w:val="20"/>
              </w:rPr>
            </w:pP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01B48346" w14:textId="77777777">
            <w:pPr>
              <w:spacing w:before="100" w:beforeAutospacing="1" w:after="100" w:afterAutospacing="1"/>
              <w:jc w:val="center"/>
              <w:textAlignment w:val="baseline"/>
              <w:rPr>
                <w:rFonts w:cs="Times New Roman"/>
                <w:sz w:val="20"/>
                <w:szCs w:val="20"/>
              </w:rPr>
            </w:pPr>
          </w:p>
        </w:tc>
      </w:tr>
      <w:tr w:rsidRPr="008B7BED" w:rsidR="00033C0A" w:rsidTr="00CD3265" w14:paraId="58655FB8" w14:textId="77777777">
        <w:trPr>
          <w:trHeight w:val="276"/>
        </w:trPr>
        <w:tc>
          <w:tcPr>
            <w:tcW w:w="2247" w:type="dxa"/>
            <w:tcBorders>
              <w:top w:val="nil"/>
              <w:left w:val="single" w:color="auto" w:sz="6" w:space="0"/>
              <w:bottom w:val="single" w:color="auto" w:sz="6" w:space="0"/>
              <w:right w:val="single" w:color="auto" w:sz="6" w:space="0"/>
            </w:tcBorders>
            <w:shd w:val="clear" w:color="auto" w:fill="auto"/>
            <w:vAlign w:val="center"/>
          </w:tcPr>
          <w:p w:rsidRPr="002C4E87" w:rsidR="00033C0A" w:rsidP="00B24AB7" w:rsidRDefault="00033C0A" w14:paraId="241DAFDD" w14:textId="3E2ADB6F">
            <w:pPr>
              <w:spacing w:before="100" w:beforeAutospacing="1" w:after="100" w:afterAutospacing="1"/>
              <w:textAlignment w:val="baseline"/>
              <w:rPr>
                <w:rFonts w:cs="Times New Roman"/>
                <w:bCs/>
                <w:sz w:val="20"/>
                <w:szCs w:val="20"/>
              </w:rPr>
            </w:pPr>
            <w:r w:rsidRPr="002C4E87">
              <w:rPr>
                <w:rFonts w:cs="Times New Roman"/>
                <w:bCs/>
                <w:sz w:val="20"/>
                <w:szCs w:val="20"/>
              </w:rPr>
              <w:t>Co-PI Survey</w:t>
            </w: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21F06D61" w14:textId="77777777">
            <w:pPr>
              <w:spacing w:before="100" w:beforeAutospacing="1" w:after="100" w:afterAutospacing="1"/>
              <w:jc w:val="center"/>
              <w:textAlignment w:val="baseline"/>
              <w:rPr>
                <w:rFonts w:cs="Times New Roman"/>
                <w:sz w:val="20"/>
                <w:szCs w:val="20"/>
              </w:rPr>
            </w:pP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1FA0EFA4" w14:textId="77777777">
            <w:pPr>
              <w:spacing w:before="100" w:beforeAutospacing="1" w:after="100" w:afterAutospacing="1"/>
              <w:jc w:val="center"/>
              <w:textAlignment w:val="baseline"/>
              <w:rPr>
                <w:rFonts w:cs="Times New Roman"/>
                <w:sz w:val="20"/>
                <w:szCs w:val="20"/>
              </w:rPr>
            </w:pPr>
            <w:r w:rsidRPr="002C4E87">
              <w:rPr>
                <w:rFonts w:cs="Times New Roman"/>
                <w:sz w:val="20"/>
                <w:szCs w:val="20"/>
              </w:rPr>
              <w:t>X</w:t>
            </w: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7C163267" w14:textId="77777777">
            <w:pPr>
              <w:spacing w:before="100" w:beforeAutospacing="1" w:after="100" w:afterAutospacing="1"/>
              <w:jc w:val="center"/>
              <w:textAlignment w:val="baseline"/>
              <w:rPr>
                <w:rFonts w:cs="Times New Roman"/>
                <w:sz w:val="20"/>
                <w:szCs w:val="20"/>
              </w:rPr>
            </w:pP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7A9892B9" w14:textId="0D311941">
            <w:pPr>
              <w:spacing w:before="100" w:beforeAutospacing="1" w:after="100" w:afterAutospacing="1"/>
              <w:jc w:val="center"/>
              <w:textAlignment w:val="baseline"/>
              <w:rPr>
                <w:rFonts w:cs="Times New Roman"/>
                <w:sz w:val="20"/>
                <w:szCs w:val="20"/>
              </w:rPr>
            </w:pP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4A41C668" w14:textId="77777777">
            <w:pPr>
              <w:spacing w:before="100" w:beforeAutospacing="1" w:after="100" w:afterAutospacing="1"/>
              <w:jc w:val="center"/>
              <w:textAlignment w:val="baseline"/>
              <w:rPr>
                <w:rFonts w:cs="Times New Roman"/>
                <w:sz w:val="20"/>
                <w:szCs w:val="20"/>
              </w:rPr>
            </w:pPr>
          </w:p>
        </w:tc>
      </w:tr>
      <w:tr w:rsidRPr="008B7BED" w:rsidR="00540838" w:rsidTr="00CD3265" w14:paraId="57EC0650" w14:textId="77777777">
        <w:trPr>
          <w:trHeight w:val="276"/>
        </w:trPr>
        <w:tc>
          <w:tcPr>
            <w:tcW w:w="2247" w:type="dxa"/>
            <w:tcBorders>
              <w:top w:val="nil"/>
              <w:left w:val="single" w:color="auto" w:sz="6" w:space="0"/>
              <w:bottom w:val="single" w:color="auto" w:sz="6" w:space="0"/>
              <w:right w:val="single" w:color="auto" w:sz="6" w:space="0"/>
            </w:tcBorders>
            <w:shd w:val="clear" w:color="auto" w:fill="auto"/>
            <w:vAlign w:val="center"/>
          </w:tcPr>
          <w:p w:rsidRPr="002C4E87" w:rsidR="00540838" w:rsidP="00B24AB7" w:rsidRDefault="00540838" w14:paraId="26589088" w14:textId="43FC058E">
            <w:pPr>
              <w:spacing w:before="100" w:beforeAutospacing="1" w:after="100" w:afterAutospacing="1"/>
              <w:textAlignment w:val="baseline"/>
              <w:rPr>
                <w:rFonts w:cs="Times New Roman"/>
                <w:bCs/>
                <w:sz w:val="20"/>
                <w:szCs w:val="20"/>
              </w:rPr>
            </w:pPr>
            <w:r>
              <w:rPr>
                <w:rFonts w:cs="Times New Roman"/>
                <w:bCs/>
                <w:sz w:val="20"/>
                <w:szCs w:val="20"/>
              </w:rPr>
              <w:t>Faculty Survey</w:t>
            </w:r>
          </w:p>
        </w:tc>
        <w:tc>
          <w:tcPr>
            <w:tcW w:w="1386" w:type="dxa"/>
            <w:tcBorders>
              <w:top w:val="nil"/>
              <w:left w:val="nil"/>
              <w:bottom w:val="single" w:color="auto" w:sz="6" w:space="0"/>
              <w:right w:val="single" w:color="auto" w:sz="6" w:space="0"/>
            </w:tcBorders>
            <w:shd w:val="clear" w:color="auto" w:fill="auto"/>
            <w:vAlign w:val="center"/>
          </w:tcPr>
          <w:p w:rsidRPr="002C4E87" w:rsidR="00540838" w:rsidP="00B24AB7" w:rsidRDefault="00540838" w14:paraId="2EAD6CD3" w14:textId="77777777">
            <w:pPr>
              <w:spacing w:before="100" w:beforeAutospacing="1" w:after="100" w:afterAutospacing="1"/>
              <w:jc w:val="center"/>
              <w:textAlignment w:val="baseline"/>
              <w:rPr>
                <w:rFonts w:cs="Times New Roman"/>
                <w:sz w:val="20"/>
                <w:szCs w:val="20"/>
              </w:rPr>
            </w:pPr>
          </w:p>
        </w:tc>
        <w:tc>
          <w:tcPr>
            <w:tcW w:w="1386" w:type="dxa"/>
            <w:tcBorders>
              <w:top w:val="nil"/>
              <w:left w:val="nil"/>
              <w:bottom w:val="single" w:color="auto" w:sz="6" w:space="0"/>
              <w:right w:val="single" w:color="auto" w:sz="6" w:space="0"/>
            </w:tcBorders>
            <w:shd w:val="clear" w:color="auto" w:fill="auto"/>
            <w:vAlign w:val="center"/>
          </w:tcPr>
          <w:p w:rsidRPr="002C4E87" w:rsidR="00540838" w:rsidP="00B24AB7" w:rsidRDefault="00540838" w14:paraId="4E34B610" w14:textId="77777777">
            <w:pPr>
              <w:spacing w:before="100" w:beforeAutospacing="1" w:after="100" w:afterAutospacing="1"/>
              <w:jc w:val="center"/>
              <w:textAlignment w:val="baseline"/>
              <w:rPr>
                <w:rFonts w:cs="Times New Roman"/>
                <w:sz w:val="20"/>
                <w:szCs w:val="20"/>
              </w:rPr>
            </w:pPr>
          </w:p>
        </w:tc>
        <w:tc>
          <w:tcPr>
            <w:tcW w:w="1386" w:type="dxa"/>
            <w:tcBorders>
              <w:top w:val="nil"/>
              <w:left w:val="nil"/>
              <w:bottom w:val="single" w:color="auto" w:sz="6" w:space="0"/>
              <w:right w:val="single" w:color="auto" w:sz="6" w:space="0"/>
            </w:tcBorders>
            <w:shd w:val="clear" w:color="auto" w:fill="auto"/>
            <w:vAlign w:val="center"/>
          </w:tcPr>
          <w:p w:rsidRPr="002C4E87" w:rsidR="00540838" w:rsidP="00B24AB7" w:rsidRDefault="00540838" w14:paraId="573974BA" w14:textId="77777777">
            <w:pPr>
              <w:spacing w:before="100" w:beforeAutospacing="1" w:after="100" w:afterAutospacing="1"/>
              <w:jc w:val="center"/>
              <w:textAlignment w:val="baseline"/>
              <w:rPr>
                <w:rFonts w:cs="Times New Roman"/>
                <w:sz w:val="20"/>
                <w:szCs w:val="20"/>
              </w:rPr>
            </w:pPr>
          </w:p>
        </w:tc>
        <w:tc>
          <w:tcPr>
            <w:tcW w:w="1386" w:type="dxa"/>
            <w:tcBorders>
              <w:top w:val="nil"/>
              <w:left w:val="nil"/>
              <w:bottom w:val="single" w:color="auto" w:sz="6" w:space="0"/>
              <w:right w:val="single" w:color="auto" w:sz="6" w:space="0"/>
            </w:tcBorders>
            <w:shd w:val="clear" w:color="auto" w:fill="auto"/>
            <w:vAlign w:val="center"/>
          </w:tcPr>
          <w:p w:rsidRPr="002C4E87" w:rsidR="00540838" w:rsidP="00B24AB7" w:rsidRDefault="002E40EA" w14:paraId="523FF982" w14:textId="00E61DD1">
            <w:pPr>
              <w:spacing w:before="100" w:beforeAutospacing="1" w:after="100" w:afterAutospacing="1"/>
              <w:jc w:val="center"/>
              <w:textAlignment w:val="baseline"/>
              <w:rPr>
                <w:rFonts w:cs="Times New Roman"/>
                <w:sz w:val="20"/>
                <w:szCs w:val="20"/>
              </w:rPr>
            </w:pPr>
            <w:r>
              <w:rPr>
                <w:rFonts w:cs="Times New Roman"/>
                <w:sz w:val="20"/>
                <w:szCs w:val="20"/>
              </w:rPr>
              <w:t>X</w:t>
            </w:r>
          </w:p>
        </w:tc>
        <w:tc>
          <w:tcPr>
            <w:tcW w:w="1386" w:type="dxa"/>
            <w:tcBorders>
              <w:top w:val="nil"/>
              <w:left w:val="nil"/>
              <w:bottom w:val="single" w:color="auto" w:sz="6" w:space="0"/>
              <w:right w:val="single" w:color="auto" w:sz="6" w:space="0"/>
            </w:tcBorders>
            <w:shd w:val="clear" w:color="auto" w:fill="auto"/>
            <w:vAlign w:val="center"/>
          </w:tcPr>
          <w:p w:rsidRPr="002C4E87" w:rsidR="00540838" w:rsidP="00B24AB7" w:rsidRDefault="00540838" w14:paraId="7B53C651" w14:textId="77777777">
            <w:pPr>
              <w:spacing w:before="100" w:beforeAutospacing="1" w:after="100" w:afterAutospacing="1"/>
              <w:jc w:val="center"/>
              <w:textAlignment w:val="baseline"/>
              <w:rPr>
                <w:rFonts w:cs="Times New Roman"/>
                <w:sz w:val="20"/>
                <w:szCs w:val="20"/>
              </w:rPr>
            </w:pPr>
          </w:p>
        </w:tc>
      </w:tr>
      <w:tr w:rsidRPr="008B7BED" w:rsidR="00033C0A" w:rsidTr="00CD3265" w14:paraId="5E5BD64B" w14:textId="77777777">
        <w:trPr>
          <w:trHeight w:val="251"/>
        </w:trPr>
        <w:tc>
          <w:tcPr>
            <w:tcW w:w="2247" w:type="dxa"/>
            <w:tcBorders>
              <w:top w:val="nil"/>
              <w:left w:val="single" w:color="auto" w:sz="6" w:space="0"/>
              <w:bottom w:val="single" w:color="auto" w:sz="6" w:space="0"/>
              <w:right w:val="single" w:color="auto" w:sz="6" w:space="0"/>
            </w:tcBorders>
            <w:shd w:val="clear" w:color="auto" w:fill="auto"/>
            <w:vAlign w:val="center"/>
            <w:hideMark/>
          </w:tcPr>
          <w:p w:rsidRPr="002C4E87" w:rsidR="00033C0A" w:rsidP="00B24AB7" w:rsidRDefault="00033C0A" w14:paraId="4415EAD0" w14:textId="77777777">
            <w:pPr>
              <w:spacing w:before="100" w:beforeAutospacing="1" w:after="100" w:afterAutospacing="1"/>
              <w:textAlignment w:val="baseline"/>
              <w:rPr>
                <w:rFonts w:cs="Times New Roman"/>
                <w:sz w:val="20"/>
                <w:szCs w:val="20"/>
              </w:rPr>
            </w:pPr>
            <w:r w:rsidRPr="002C4E87">
              <w:rPr>
                <w:rFonts w:cs="Times New Roman"/>
                <w:bCs/>
                <w:sz w:val="20"/>
                <w:szCs w:val="20"/>
              </w:rPr>
              <w:t>Trainee Survey</w:t>
            </w:r>
          </w:p>
        </w:tc>
        <w:tc>
          <w:tcPr>
            <w:tcW w:w="1386" w:type="dxa"/>
            <w:tcBorders>
              <w:top w:val="nil"/>
              <w:left w:val="nil"/>
              <w:bottom w:val="single" w:color="auto" w:sz="6" w:space="0"/>
              <w:right w:val="single" w:color="auto" w:sz="6" w:space="0"/>
            </w:tcBorders>
            <w:shd w:val="clear" w:color="auto" w:fill="auto"/>
            <w:vAlign w:val="center"/>
            <w:hideMark/>
          </w:tcPr>
          <w:p w:rsidRPr="002C4E87" w:rsidR="00033C0A" w:rsidP="00B24AB7" w:rsidRDefault="00033C0A" w14:paraId="17DE06A8" w14:textId="77777777">
            <w:pPr>
              <w:spacing w:before="100" w:beforeAutospacing="1" w:after="100" w:afterAutospacing="1"/>
              <w:jc w:val="center"/>
              <w:textAlignment w:val="baseline"/>
              <w:rPr>
                <w:rFonts w:cs="Times New Roman"/>
                <w:sz w:val="20"/>
                <w:szCs w:val="20"/>
              </w:rPr>
            </w:pP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3BB20D62" w14:textId="77777777">
            <w:pPr>
              <w:spacing w:before="100" w:beforeAutospacing="1" w:after="100" w:afterAutospacing="1"/>
              <w:jc w:val="center"/>
              <w:textAlignment w:val="baseline"/>
              <w:rPr>
                <w:rFonts w:cs="Times New Roman"/>
                <w:sz w:val="20"/>
                <w:szCs w:val="20"/>
              </w:rPr>
            </w:pP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38B844D7" w14:textId="77777777">
            <w:pPr>
              <w:spacing w:before="100" w:beforeAutospacing="1" w:after="100" w:afterAutospacing="1"/>
              <w:jc w:val="center"/>
              <w:textAlignment w:val="baseline"/>
              <w:rPr>
                <w:rFonts w:cs="Times New Roman"/>
                <w:sz w:val="20"/>
                <w:szCs w:val="20"/>
              </w:rPr>
            </w:pP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1035B696" w14:textId="77777777">
            <w:pPr>
              <w:spacing w:before="100" w:beforeAutospacing="1" w:after="100" w:afterAutospacing="1"/>
              <w:jc w:val="center"/>
              <w:textAlignment w:val="baseline"/>
              <w:rPr>
                <w:rFonts w:cs="Times New Roman"/>
                <w:sz w:val="20"/>
                <w:szCs w:val="20"/>
              </w:rPr>
            </w:pPr>
          </w:p>
        </w:tc>
        <w:tc>
          <w:tcPr>
            <w:tcW w:w="1386" w:type="dxa"/>
            <w:tcBorders>
              <w:top w:val="nil"/>
              <w:left w:val="nil"/>
              <w:bottom w:val="single" w:color="auto" w:sz="6" w:space="0"/>
              <w:right w:val="single" w:color="auto" w:sz="6" w:space="0"/>
            </w:tcBorders>
            <w:shd w:val="clear" w:color="auto" w:fill="auto"/>
            <w:vAlign w:val="center"/>
          </w:tcPr>
          <w:p w:rsidRPr="002C4E87" w:rsidR="00033C0A" w:rsidP="00B24AB7" w:rsidRDefault="00033C0A" w14:paraId="77AA6118" w14:textId="77777777">
            <w:pPr>
              <w:spacing w:before="100" w:beforeAutospacing="1" w:after="100" w:afterAutospacing="1"/>
              <w:jc w:val="center"/>
              <w:textAlignment w:val="baseline"/>
              <w:rPr>
                <w:rFonts w:cs="Times New Roman"/>
                <w:sz w:val="20"/>
                <w:szCs w:val="20"/>
              </w:rPr>
            </w:pPr>
            <w:r w:rsidRPr="002C4E87">
              <w:rPr>
                <w:rFonts w:cs="Times New Roman"/>
                <w:sz w:val="20"/>
                <w:szCs w:val="20"/>
              </w:rPr>
              <w:t>X</w:t>
            </w:r>
          </w:p>
        </w:tc>
      </w:tr>
    </w:tbl>
    <w:p w:rsidRPr="00F313D6" w:rsidR="00B24AB7" w:rsidP="00CD3265" w:rsidRDefault="00033C0A" w14:paraId="448F3AEC" w14:textId="74CFB273">
      <w:pPr>
        <w:pStyle w:val="CommentText"/>
        <w:spacing w:line="480" w:lineRule="auto"/>
        <w:jc w:val="center"/>
        <w:rPr>
          <w:b/>
          <w:sz w:val="22"/>
          <w:szCs w:val="22"/>
        </w:rPr>
      </w:pPr>
      <w:r w:rsidRPr="00F313D6">
        <w:rPr>
          <w:b/>
          <w:sz w:val="22"/>
          <w:szCs w:val="22"/>
        </w:rPr>
        <w:t>Table B.1.1</w:t>
      </w:r>
      <w:r w:rsidRPr="00F313D6">
        <w:rPr>
          <w:sz w:val="22"/>
          <w:szCs w:val="22"/>
        </w:rPr>
        <w:t xml:space="preserve"> </w:t>
      </w:r>
      <w:r w:rsidRPr="00F313D6">
        <w:rPr>
          <w:b/>
          <w:sz w:val="22"/>
          <w:szCs w:val="22"/>
        </w:rPr>
        <w:t xml:space="preserve">NRT Instrument Surveys and </w:t>
      </w:r>
      <w:r w:rsidRPr="00F313D6" w:rsidR="005D1426">
        <w:rPr>
          <w:b/>
          <w:sz w:val="22"/>
          <w:szCs w:val="22"/>
        </w:rPr>
        <w:t xml:space="preserve">Respondents </w:t>
      </w:r>
      <w:r w:rsidRPr="00F313D6">
        <w:rPr>
          <w:b/>
          <w:sz w:val="22"/>
          <w:szCs w:val="22"/>
        </w:rPr>
        <w:t>Responsible</w:t>
      </w:r>
      <w:r w:rsidR="00F624B1">
        <w:rPr>
          <w:b/>
          <w:sz w:val="22"/>
          <w:szCs w:val="22"/>
        </w:rPr>
        <w:t xml:space="preserve"> for Survey Completion</w:t>
      </w:r>
      <w:r w:rsidRPr="00F313D6">
        <w:rPr>
          <w:b/>
          <w:sz w:val="22"/>
          <w:szCs w:val="22"/>
        </w:rPr>
        <w:t xml:space="preserve"> </w:t>
      </w:r>
    </w:p>
    <w:p w:rsidRPr="00F313D6" w:rsidR="00033C0A" w:rsidDel="00033C0A" w:rsidP="00F313D6" w:rsidRDefault="00033C0A" w14:paraId="331C2D15" w14:textId="5102656D">
      <w:pPr>
        <w:pStyle w:val="Bullets12ptCalibri-IPR"/>
        <w:numPr>
          <w:ilvl w:val="0"/>
          <w:numId w:val="0"/>
        </w:numPr>
        <w:ind w:left="720"/>
        <w:rPr>
          <w:sz w:val="18"/>
          <w:szCs w:val="18"/>
        </w:rPr>
      </w:pPr>
      <w:r w:rsidRPr="00F313D6">
        <w:rPr>
          <w:sz w:val="18"/>
          <w:szCs w:val="18"/>
        </w:rPr>
        <w:t>*The PI</w:t>
      </w:r>
      <w:r w:rsidRPr="00F313D6" w:rsidR="009E7F9A">
        <w:rPr>
          <w:sz w:val="18"/>
          <w:szCs w:val="18"/>
        </w:rPr>
        <w:t xml:space="preserve"> and Coordinator both have the a</w:t>
      </w:r>
      <w:r w:rsidRPr="00F313D6" w:rsidR="001E3A8E">
        <w:rPr>
          <w:sz w:val="18"/>
          <w:szCs w:val="18"/>
        </w:rPr>
        <w:t>b</w:t>
      </w:r>
      <w:r w:rsidRPr="00F313D6" w:rsidR="009E7F9A">
        <w:rPr>
          <w:sz w:val="18"/>
          <w:szCs w:val="18"/>
        </w:rPr>
        <w:t>ility</w:t>
      </w:r>
      <w:r w:rsidRPr="00F313D6" w:rsidR="001E3A8E">
        <w:rPr>
          <w:sz w:val="18"/>
          <w:szCs w:val="18"/>
        </w:rPr>
        <w:t xml:space="preserve"> to respond to the Project Survey. </w:t>
      </w:r>
      <w:r w:rsidRPr="00F313D6" w:rsidR="002E5420">
        <w:rPr>
          <w:sz w:val="18"/>
          <w:szCs w:val="18"/>
        </w:rPr>
        <w:t>In addition</w:t>
      </w:r>
      <w:r w:rsidR="006424BE">
        <w:rPr>
          <w:sz w:val="18"/>
          <w:szCs w:val="18"/>
        </w:rPr>
        <w:t>,</w:t>
      </w:r>
      <w:r w:rsidRPr="00F313D6" w:rsidR="002E5420">
        <w:rPr>
          <w:sz w:val="18"/>
          <w:szCs w:val="18"/>
        </w:rPr>
        <w:t xml:space="preserve"> the PI</w:t>
      </w:r>
      <w:r w:rsidRPr="00F313D6" w:rsidR="009E7F9A">
        <w:rPr>
          <w:sz w:val="18"/>
          <w:szCs w:val="18"/>
        </w:rPr>
        <w:t xml:space="preserve"> </w:t>
      </w:r>
      <w:r w:rsidRPr="00F313D6">
        <w:rPr>
          <w:sz w:val="18"/>
          <w:szCs w:val="18"/>
        </w:rPr>
        <w:t xml:space="preserve">can grant permission to the Co-PI to </w:t>
      </w:r>
      <w:r w:rsidRPr="00F313D6" w:rsidR="002E5420">
        <w:rPr>
          <w:sz w:val="18"/>
          <w:szCs w:val="18"/>
        </w:rPr>
        <w:t xml:space="preserve">access and </w:t>
      </w:r>
      <w:r w:rsidRPr="00F313D6">
        <w:rPr>
          <w:sz w:val="18"/>
          <w:szCs w:val="18"/>
        </w:rPr>
        <w:t>complete the Project Survey</w:t>
      </w:r>
      <w:r w:rsidRPr="00F313D6" w:rsidR="009E7FFE">
        <w:rPr>
          <w:sz w:val="18"/>
          <w:szCs w:val="18"/>
        </w:rPr>
        <w:t xml:space="preserve"> </w:t>
      </w:r>
      <w:r w:rsidRPr="00F313D6" w:rsidR="002E5420">
        <w:rPr>
          <w:sz w:val="18"/>
          <w:szCs w:val="18"/>
        </w:rPr>
        <w:t>if they wish</w:t>
      </w:r>
      <w:r w:rsidRPr="00F313D6">
        <w:rPr>
          <w:sz w:val="18"/>
          <w:szCs w:val="18"/>
        </w:rPr>
        <w:t>.</w:t>
      </w:r>
    </w:p>
    <w:p w:rsidR="00E63DAD" w:rsidP="00DD5345" w:rsidRDefault="00614BB8" w14:paraId="622F0488" w14:textId="0F72819C">
      <w:pPr>
        <w:pStyle w:val="CommentText"/>
        <w:spacing w:line="480" w:lineRule="auto"/>
        <w:ind w:firstLine="720"/>
        <w:jc w:val="both"/>
        <w:rPr>
          <w:sz w:val="24"/>
          <w:szCs w:val="24"/>
        </w:rPr>
      </w:pPr>
      <w:r w:rsidRPr="7178BC45">
        <w:rPr>
          <w:sz w:val="24"/>
          <w:szCs w:val="24"/>
        </w:rPr>
        <w:lastRenderedPageBreak/>
        <w:t xml:space="preserve">Data collection for the </w:t>
      </w:r>
      <w:r w:rsidRPr="7178BC45" w:rsidR="00397D9C">
        <w:rPr>
          <w:sz w:val="24"/>
          <w:szCs w:val="24"/>
        </w:rPr>
        <w:t xml:space="preserve">project </w:t>
      </w:r>
      <w:r w:rsidRPr="7178BC45">
        <w:rPr>
          <w:sz w:val="24"/>
          <w:szCs w:val="24"/>
        </w:rPr>
        <w:t>involve</w:t>
      </w:r>
      <w:r w:rsidRPr="7178BC45" w:rsidR="00397D9C">
        <w:rPr>
          <w:sz w:val="24"/>
          <w:szCs w:val="24"/>
        </w:rPr>
        <w:t xml:space="preserve">s all </w:t>
      </w:r>
      <w:r w:rsidRPr="7178BC45" w:rsidR="00411FAA">
        <w:rPr>
          <w:sz w:val="24"/>
          <w:szCs w:val="24"/>
        </w:rPr>
        <w:t xml:space="preserve">PIs, Co-PIs, Coordinators, Faculty, and Trainees </w:t>
      </w:r>
      <w:r w:rsidRPr="7178BC45" w:rsidR="00397D9C">
        <w:rPr>
          <w:sz w:val="24"/>
          <w:szCs w:val="24"/>
        </w:rPr>
        <w:t xml:space="preserve">in the </w:t>
      </w:r>
      <w:r w:rsidRPr="7178BC45" w:rsidR="00411FAA">
        <w:rPr>
          <w:sz w:val="24"/>
          <w:szCs w:val="24"/>
        </w:rPr>
        <w:t xml:space="preserve">NRT </w:t>
      </w:r>
      <w:r w:rsidRPr="7178BC45" w:rsidR="00397D9C">
        <w:rPr>
          <w:sz w:val="24"/>
          <w:szCs w:val="24"/>
        </w:rPr>
        <w:t>program</w:t>
      </w:r>
      <w:r w:rsidRPr="7178BC45">
        <w:rPr>
          <w:sz w:val="24"/>
          <w:szCs w:val="24"/>
        </w:rPr>
        <w:t>.</w:t>
      </w:r>
      <w:r w:rsidRPr="7178BC45" w:rsidR="000850D2">
        <w:rPr>
          <w:sz w:val="24"/>
          <w:szCs w:val="24"/>
        </w:rPr>
        <w:t xml:space="preserve"> The universe of respondents is estimated to be </w:t>
      </w:r>
      <w:r w:rsidRPr="7178BC45" w:rsidR="00664338">
        <w:rPr>
          <w:sz w:val="24"/>
          <w:szCs w:val="24"/>
        </w:rPr>
        <w:t xml:space="preserve">2448 </w:t>
      </w:r>
      <w:r w:rsidRPr="7178BC45" w:rsidR="008B6966">
        <w:rPr>
          <w:sz w:val="24"/>
          <w:szCs w:val="24"/>
        </w:rPr>
        <w:t>respondents</w:t>
      </w:r>
      <w:r w:rsidRPr="7178BC45" w:rsidR="00216570">
        <w:rPr>
          <w:sz w:val="24"/>
          <w:szCs w:val="24"/>
        </w:rPr>
        <w:t xml:space="preserve">. This estimate is based on </w:t>
      </w:r>
      <w:r w:rsidRPr="7178BC45" w:rsidR="00537EB5">
        <w:rPr>
          <w:sz w:val="24"/>
          <w:szCs w:val="24"/>
        </w:rPr>
        <w:t xml:space="preserve">24 respondents per award with </w:t>
      </w:r>
      <w:r w:rsidRPr="7178BC45" w:rsidR="00261EFF">
        <w:rPr>
          <w:sz w:val="24"/>
          <w:szCs w:val="24"/>
        </w:rPr>
        <w:t xml:space="preserve">102 </w:t>
      </w:r>
      <w:r w:rsidRPr="7178BC45" w:rsidR="00216570">
        <w:rPr>
          <w:sz w:val="24"/>
          <w:szCs w:val="24"/>
        </w:rPr>
        <w:t>awards</w:t>
      </w:r>
      <w:r w:rsidRPr="7178BC45" w:rsidR="00472E54">
        <w:rPr>
          <w:sz w:val="24"/>
          <w:szCs w:val="24"/>
        </w:rPr>
        <w:t xml:space="preserve"> total. A</w:t>
      </w:r>
      <w:r w:rsidRPr="7178BC45" w:rsidR="002E5C65">
        <w:rPr>
          <w:sz w:val="24"/>
          <w:szCs w:val="24"/>
        </w:rPr>
        <w:t xml:space="preserve"> typical award</w:t>
      </w:r>
      <w:r w:rsidRPr="7178BC45" w:rsidR="00472E54">
        <w:rPr>
          <w:sz w:val="24"/>
          <w:szCs w:val="24"/>
        </w:rPr>
        <w:t xml:space="preserve"> is</w:t>
      </w:r>
      <w:r w:rsidRPr="7178BC45" w:rsidR="002E5C65">
        <w:rPr>
          <w:sz w:val="24"/>
          <w:szCs w:val="24"/>
        </w:rPr>
        <w:t xml:space="preserve"> comprised of </w:t>
      </w:r>
      <w:r w:rsidRPr="7178BC45" w:rsidR="00216570">
        <w:rPr>
          <w:sz w:val="24"/>
          <w:szCs w:val="24"/>
        </w:rPr>
        <w:t>one PI, two Co-PI</w:t>
      </w:r>
      <w:r w:rsidRPr="7178BC45" w:rsidR="002E5C65">
        <w:rPr>
          <w:sz w:val="24"/>
          <w:szCs w:val="24"/>
        </w:rPr>
        <w:t xml:space="preserve">s, one Coordinator, </w:t>
      </w:r>
      <w:r w:rsidRPr="7178BC45" w:rsidR="00664338">
        <w:rPr>
          <w:sz w:val="24"/>
          <w:szCs w:val="24"/>
        </w:rPr>
        <w:t xml:space="preserve">ten </w:t>
      </w:r>
      <w:r w:rsidRPr="7178BC45" w:rsidR="00495127">
        <w:rPr>
          <w:sz w:val="24"/>
          <w:szCs w:val="24"/>
        </w:rPr>
        <w:t>Faculty, and ten Trainees.</w:t>
      </w:r>
      <w:r w:rsidRPr="7178BC45">
        <w:rPr>
          <w:sz w:val="24"/>
          <w:szCs w:val="24"/>
        </w:rPr>
        <w:t xml:space="preserve"> </w:t>
      </w:r>
      <w:r w:rsidRPr="7178BC45" w:rsidR="00E63DAD">
        <w:rPr>
          <w:sz w:val="24"/>
          <w:szCs w:val="24"/>
        </w:rPr>
        <w:t xml:space="preserve">It should be noted that the </w:t>
      </w:r>
      <w:proofErr w:type="gramStart"/>
      <w:r w:rsidRPr="7178BC45" w:rsidR="00E63DAD">
        <w:rPr>
          <w:sz w:val="24"/>
          <w:szCs w:val="24"/>
        </w:rPr>
        <w:t>Coordinator</w:t>
      </w:r>
      <w:proofErr w:type="gramEnd"/>
      <w:r w:rsidRPr="7178BC45" w:rsidR="00E63DAD">
        <w:rPr>
          <w:sz w:val="24"/>
          <w:szCs w:val="24"/>
        </w:rPr>
        <w:t xml:space="preserve"> is </w:t>
      </w:r>
      <w:r w:rsidRPr="7178BC45" w:rsidR="00AC1E25">
        <w:rPr>
          <w:sz w:val="24"/>
          <w:szCs w:val="24"/>
        </w:rPr>
        <w:t xml:space="preserve">tasked with assisting the PI with the completion of the project survey. They are </w:t>
      </w:r>
      <w:r w:rsidRPr="7178BC45" w:rsidR="00E63DAD">
        <w:rPr>
          <w:sz w:val="24"/>
          <w:szCs w:val="24"/>
        </w:rPr>
        <w:t>not asked to complete a</w:t>
      </w:r>
      <w:r w:rsidRPr="7178BC45" w:rsidR="00AC1E25">
        <w:rPr>
          <w:sz w:val="24"/>
          <w:szCs w:val="24"/>
        </w:rPr>
        <w:t xml:space="preserve"> Coordinator survey as the only information collected about Coordinators consists of </w:t>
      </w:r>
      <w:r w:rsidRPr="7178BC45" w:rsidR="00211AC2">
        <w:rPr>
          <w:sz w:val="24"/>
          <w:szCs w:val="24"/>
        </w:rPr>
        <w:t>their contact details and this is entered by the PI.</w:t>
      </w:r>
      <w:r w:rsidRPr="7178BC45" w:rsidR="00E63DAD">
        <w:rPr>
          <w:sz w:val="24"/>
          <w:szCs w:val="24"/>
        </w:rPr>
        <w:t xml:space="preserve"> </w:t>
      </w:r>
    </w:p>
    <w:p w:rsidRPr="00397D9C" w:rsidR="00FF2570" w:rsidP="00DD5345" w:rsidRDefault="00397D9C" w14:paraId="35FE6F4C" w14:textId="549B3AE3">
      <w:pPr>
        <w:pStyle w:val="CommentText"/>
        <w:spacing w:line="480" w:lineRule="auto"/>
        <w:ind w:firstLine="720"/>
        <w:jc w:val="both"/>
        <w:rPr>
          <w:sz w:val="24"/>
          <w:szCs w:val="24"/>
        </w:rPr>
      </w:pPr>
      <w:r w:rsidRPr="1513EC46">
        <w:rPr>
          <w:sz w:val="24"/>
          <w:szCs w:val="24"/>
        </w:rPr>
        <w:t xml:space="preserve">The universe of respondents is </w:t>
      </w:r>
      <w:r w:rsidRPr="1513EC46" w:rsidR="00067783">
        <w:rPr>
          <w:sz w:val="24"/>
          <w:szCs w:val="24"/>
        </w:rPr>
        <w:t>expected to remain stable over time as new awards are added and</w:t>
      </w:r>
      <w:r w:rsidRPr="1513EC46" w:rsidR="004F15CC">
        <w:rPr>
          <w:sz w:val="24"/>
          <w:szCs w:val="24"/>
        </w:rPr>
        <w:t xml:space="preserve"> other awards </w:t>
      </w:r>
      <w:proofErr w:type="gramStart"/>
      <w:r w:rsidRPr="1513EC46" w:rsidR="40686E96">
        <w:rPr>
          <w:sz w:val="24"/>
          <w:szCs w:val="24"/>
        </w:rPr>
        <w:t>conclude</w:t>
      </w:r>
      <w:r w:rsidRPr="1513EC46" w:rsidR="004F15CC">
        <w:rPr>
          <w:sz w:val="24"/>
          <w:szCs w:val="24"/>
        </w:rPr>
        <w:t>.</w:t>
      </w:r>
      <w:r w:rsidRPr="1513EC46" w:rsidR="00CB7B70">
        <w:rPr>
          <w:rStyle w:val="CommentReference"/>
        </w:rPr>
        <w:t>.</w:t>
      </w:r>
      <w:proofErr w:type="gramEnd"/>
      <w:r w:rsidRPr="1513EC46" w:rsidR="00067783">
        <w:rPr>
          <w:rStyle w:val="CommentReference"/>
        </w:rPr>
        <w:t xml:space="preserve"> </w:t>
      </w:r>
    </w:p>
    <w:p w:rsidRPr="000B5CFF" w:rsidR="00FF2570" w:rsidP="00DD5345" w:rsidRDefault="00FF2570" w14:paraId="7D007BC4" w14:textId="77777777">
      <w:pPr>
        <w:pStyle w:val="Hdng2-IPR"/>
        <w:jc w:val="both"/>
      </w:pPr>
      <w:bookmarkStart w:name="_Toc416426642" w:id="3"/>
      <w:bookmarkEnd w:id="2"/>
      <w:r w:rsidRPr="000B5CFF">
        <w:t>B.2.</w:t>
      </w:r>
      <w:r w:rsidRPr="000B5CFF">
        <w:tab/>
        <w:t>Procedures for the Collection of Information</w:t>
      </w:r>
      <w:bookmarkEnd w:id="3"/>
    </w:p>
    <w:p w:rsidR="00B530B7" w:rsidP="00B530B7" w:rsidRDefault="00F259BD" w14:paraId="4CB17232" w14:textId="77777777">
      <w:pPr>
        <w:pStyle w:val="Body12ptCalibri-IPR"/>
      </w:pPr>
      <w:r>
        <w:t xml:space="preserve">The </w:t>
      </w:r>
      <w:r w:rsidR="00D234B4">
        <w:t xml:space="preserve">NRT </w:t>
      </w:r>
      <w:r>
        <w:t xml:space="preserve">data collection </w:t>
      </w:r>
      <w:r w:rsidR="00D234B4">
        <w:t>will</w:t>
      </w:r>
      <w:r w:rsidR="00881BD9">
        <w:t xml:space="preserve"> use Web-based instruments, and e</w:t>
      </w:r>
      <w:r>
        <w:t xml:space="preserve">ach respondent </w:t>
      </w:r>
      <w:r w:rsidR="009F7D82">
        <w:t>(PIs, Co-P</w:t>
      </w:r>
      <w:r w:rsidR="007A7EA0">
        <w:t>I</w:t>
      </w:r>
      <w:r w:rsidR="009F7D82">
        <w:t>s</w:t>
      </w:r>
      <w:r w:rsidR="00AA716A">
        <w:t>, Coordinators</w:t>
      </w:r>
      <w:r w:rsidR="00FF53F7">
        <w:t>,</w:t>
      </w:r>
      <w:r w:rsidR="009D3EAA">
        <w:t xml:space="preserve"> </w:t>
      </w:r>
      <w:r w:rsidR="00FF53F7">
        <w:t>F</w:t>
      </w:r>
      <w:r w:rsidR="00705DFB">
        <w:t>aculty</w:t>
      </w:r>
      <w:r w:rsidR="009F7D82">
        <w:t xml:space="preserve">, and Trainees) </w:t>
      </w:r>
      <w:r>
        <w:t xml:space="preserve">will </w:t>
      </w:r>
      <w:r w:rsidR="009F7D82">
        <w:t>enter data annually</w:t>
      </w:r>
      <w:r w:rsidR="00AA716A">
        <w:t xml:space="preserve"> to satisfy their </w:t>
      </w:r>
      <w:r w:rsidR="007A4030">
        <w:t xml:space="preserve">usual </w:t>
      </w:r>
    </w:p>
    <w:p w:rsidRPr="009F7D82" w:rsidR="00FF2570" w:rsidP="00F313D6" w:rsidRDefault="00B530B7" w14:paraId="18E84650" w14:textId="00477915">
      <w:pPr>
        <w:pStyle w:val="Body12ptCalibri-IPR"/>
        <w:ind w:firstLine="0"/>
      </w:pPr>
      <w:r>
        <w:t>Research Performance Progress Report (RPPR)</w:t>
      </w:r>
      <w:r w:rsidR="006637E8">
        <w:t xml:space="preserve"> </w:t>
      </w:r>
      <w:r w:rsidR="00AA716A">
        <w:t>requirements</w:t>
      </w:r>
      <w:r w:rsidR="009F7D82">
        <w:t xml:space="preserve">. To ensure that </w:t>
      </w:r>
      <w:r w:rsidR="00A87B4B">
        <w:t xml:space="preserve">data </w:t>
      </w:r>
      <w:r w:rsidR="00E642E2">
        <w:t>are</w:t>
      </w:r>
      <w:r w:rsidR="00881BD9">
        <w:t xml:space="preserve"> entered in a timely manner,</w:t>
      </w:r>
      <w:r w:rsidR="00A87B4B">
        <w:t xml:space="preserve"> </w:t>
      </w:r>
      <w:r w:rsidR="006D7885">
        <w:t>respondents</w:t>
      </w:r>
      <w:r w:rsidR="00FF2570">
        <w:t xml:space="preserve"> will receive an </w:t>
      </w:r>
      <w:r w:rsidR="00A87B4B">
        <w:t xml:space="preserve">initial </w:t>
      </w:r>
      <w:r w:rsidR="00FF2570">
        <w:t>email</w:t>
      </w:r>
      <w:r w:rsidR="00FA5CA0">
        <w:t xml:space="preserve"> from the contractor</w:t>
      </w:r>
      <w:r w:rsidR="00FF2570">
        <w:t xml:space="preserve"> </w:t>
      </w:r>
      <w:r w:rsidR="008F420A">
        <w:t>with the link to their</w:t>
      </w:r>
      <w:r w:rsidR="003E74F5">
        <w:t xml:space="preserve"> specific survey(s), directions for setting up their login credentials, and a note </w:t>
      </w:r>
      <w:r w:rsidR="00F259BD">
        <w:t xml:space="preserve">encouraging them to log in to the monitoring system and begin entering data. </w:t>
      </w:r>
      <w:r w:rsidR="007A4030">
        <w:t xml:space="preserve">Requirements for </w:t>
      </w:r>
      <w:r w:rsidR="00A52131">
        <w:t xml:space="preserve">login, data entry, and timelines will also be shared at annual program and new PI orientation meetings. </w:t>
      </w:r>
    </w:p>
    <w:p w:rsidR="009C3592" w:rsidP="009C3592" w:rsidRDefault="00FF2570" w14:paraId="780ACB24" w14:textId="77777777">
      <w:pPr>
        <w:pStyle w:val="Body12ptCalibri-IPR"/>
        <w:ind w:firstLine="0"/>
      </w:pPr>
      <w:r w:rsidRPr="000B5CFF">
        <w:rPr>
          <w:b/>
          <w:i/>
        </w:rPr>
        <w:t>B.2.</w:t>
      </w:r>
      <w:r>
        <w:rPr>
          <w:b/>
          <w:i/>
        </w:rPr>
        <w:t xml:space="preserve">1 </w:t>
      </w:r>
      <w:r w:rsidRPr="000B5CFF">
        <w:rPr>
          <w:b/>
          <w:i/>
        </w:rPr>
        <w:t>Statistical Methodology for Stratification and Sample Selection</w:t>
      </w:r>
      <w:r w:rsidRPr="000B5CFF">
        <w:rPr>
          <w:i/>
        </w:rPr>
        <w:t>.</w:t>
      </w:r>
      <w:r>
        <w:t xml:space="preserve"> </w:t>
      </w:r>
    </w:p>
    <w:p w:rsidRPr="000B5CFF" w:rsidR="00FF2570" w:rsidP="00FE5208" w:rsidRDefault="00FE5208" w14:paraId="1C8D7F19" w14:textId="5EAC6FF1">
      <w:pPr>
        <w:pStyle w:val="Body12ptCalibri-IPR"/>
      </w:pPr>
      <w:r>
        <w:t>Not applicable</w:t>
      </w:r>
      <w:r w:rsidR="00810FC2">
        <w:t>.</w:t>
      </w:r>
    </w:p>
    <w:p w:rsidR="009C3592" w:rsidP="009C3592" w:rsidRDefault="00FF2570" w14:paraId="1B02CDE0" w14:textId="77777777">
      <w:pPr>
        <w:pStyle w:val="Body12ptCalibri-IPR"/>
        <w:ind w:firstLine="0"/>
      </w:pPr>
      <w:r w:rsidRPr="000B5CFF">
        <w:rPr>
          <w:b/>
          <w:i/>
        </w:rPr>
        <w:t>B.2.</w:t>
      </w:r>
      <w:r>
        <w:rPr>
          <w:b/>
          <w:i/>
        </w:rPr>
        <w:t>2</w:t>
      </w:r>
      <w:r w:rsidRPr="000B5CFF">
        <w:rPr>
          <w:b/>
          <w:i/>
        </w:rPr>
        <w:tab/>
        <w:t>Estimation Procedures</w:t>
      </w:r>
      <w:r w:rsidRPr="000B5CFF">
        <w:t>.</w:t>
      </w:r>
      <w:r>
        <w:t xml:space="preserve"> </w:t>
      </w:r>
    </w:p>
    <w:p w:rsidR="00FF2570" w:rsidP="009C3592" w:rsidRDefault="0046652A" w14:paraId="010CA2E2" w14:textId="55A0BB01">
      <w:pPr>
        <w:pStyle w:val="Body12ptCalibri-IPR"/>
      </w:pPr>
      <w:r>
        <w:t>Not applicable.</w:t>
      </w:r>
    </w:p>
    <w:p w:rsidR="009C3592" w:rsidP="009C3592" w:rsidRDefault="00FF2570" w14:paraId="1232EAC9" w14:textId="77777777">
      <w:pPr>
        <w:pStyle w:val="Body12ptCalibri-IPR"/>
        <w:ind w:firstLine="0"/>
        <w:rPr>
          <w:b/>
          <w:bCs/>
          <w:i/>
          <w:iCs/>
        </w:rPr>
      </w:pPr>
      <w:r w:rsidRPr="00F04ECE">
        <w:rPr>
          <w:b/>
          <w:bCs/>
          <w:i/>
          <w:iCs/>
        </w:rPr>
        <w:t>B.2.</w:t>
      </w:r>
      <w:r>
        <w:rPr>
          <w:b/>
          <w:bCs/>
          <w:i/>
          <w:iCs/>
        </w:rPr>
        <w:t>3</w:t>
      </w:r>
      <w:r w:rsidRPr="00F04ECE">
        <w:rPr>
          <w:b/>
          <w:bCs/>
          <w:i/>
          <w:iCs/>
        </w:rPr>
        <w:t>. Degree of accuracy needed</w:t>
      </w:r>
    </w:p>
    <w:p w:rsidRPr="009C3592" w:rsidR="009C3592" w:rsidP="009C3592" w:rsidRDefault="00FF2570" w14:paraId="0FB33167" w14:textId="4665D731">
      <w:pPr>
        <w:pStyle w:val="Body12ptCalibri-IPR"/>
        <w:rPr>
          <w:b/>
          <w:bCs/>
          <w:i/>
          <w:iCs/>
        </w:rPr>
      </w:pPr>
      <w:r w:rsidRPr="00F04ECE">
        <w:rPr>
          <w:b/>
          <w:bCs/>
          <w:i/>
          <w:iCs/>
        </w:rPr>
        <w:lastRenderedPageBreak/>
        <w:t xml:space="preserve"> </w:t>
      </w:r>
      <w:r w:rsidR="009C3592">
        <w:t>Not applicable.</w:t>
      </w:r>
    </w:p>
    <w:p w:rsidRPr="00F04ECE" w:rsidR="00FF2570" w:rsidP="00FF2570" w:rsidRDefault="00FF2570" w14:paraId="7DE81BAA" w14:textId="77777777">
      <w:pPr>
        <w:pStyle w:val="Body12ptCalibri-IPR"/>
        <w:ind w:firstLine="0"/>
        <w:rPr>
          <w:b/>
          <w:bCs/>
          <w:i/>
          <w:iCs/>
        </w:rPr>
      </w:pPr>
      <w:r w:rsidRPr="00F04ECE">
        <w:rPr>
          <w:b/>
          <w:bCs/>
          <w:i/>
          <w:iCs/>
        </w:rPr>
        <w:t>B.2.</w:t>
      </w:r>
      <w:r>
        <w:rPr>
          <w:b/>
          <w:bCs/>
          <w:i/>
          <w:iCs/>
        </w:rPr>
        <w:t>4</w:t>
      </w:r>
      <w:r w:rsidRPr="00F04ECE">
        <w:rPr>
          <w:b/>
          <w:bCs/>
          <w:i/>
          <w:iCs/>
        </w:rPr>
        <w:t>. Unusual problems requiring specialized sampling procedures</w:t>
      </w:r>
    </w:p>
    <w:p w:rsidR="00FF2570" w:rsidP="009C3592" w:rsidRDefault="000E19F7" w14:paraId="4C7A504D" w14:textId="5631AADC">
      <w:pPr>
        <w:pStyle w:val="Body12ptCalibri-IPR"/>
      </w:pPr>
      <w:r>
        <w:t>Not applicable.</w:t>
      </w:r>
    </w:p>
    <w:p w:rsidR="00FF2570" w:rsidP="00FF2570" w:rsidRDefault="00FF2570" w14:paraId="0B678A72" w14:textId="77777777">
      <w:pPr>
        <w:pStyle w:val="Body12ptCalibri-IPR"/>
        <w:ind w:firstLine="0"/>
        <w:rPr>
          <w:b/>
          <w:bCs/>
          <w:i/>
          <w:iCs/>
        </w:rPr>
      </w:pPr>
      <w:r w:rsidRPr="00F04ECE">
        <w:rPr>
          <w:b/>
          <w:bCs/>
          <w:i/>
          <w:iCs/>
        </w:rPr>
        <w:t>B.2.</w:t>
      </w:r>
      <w:r>
        <w:rPr>
          <w:b/>
          <w:bCs/>
          <w:i/>
          <w:iCs/>
        </w:rPr>
        <w:t>5</w:t>
      </w:r>
      <w:r w:rsidRPr="00F04ECE">
        <w:rPr>
          <w:b/>
          <w:bCs/>
          <w:i/>
          <w:iCs/>
        </w:rPr>
        <w:t>. Any use of periodic (less frequent than annual) data collection cycles to reduce burden</w:t>
      </w:r>
    </w:p>
    <w:p w:rsidRPr="0055573C" w:rsidR="00FF2570" w:rsidP="00FF2570" w:rsidRDefault="009C3592" w14:paraId="1E36DD2E" w14:textId="7A9E7FB4">
      <w:pPr>
        <w:pStyle w:val="Body12ptCalibri-IPR"/>
        <w:ind w:firstLine="0"/>
      </w:pPr>
      <w:r>
        <w:tab/>
        <w:t>Not applicable.</w:t>
      </w:r>
    </w:p>
    <w:p w:rsidRPr="000B5CFF" w:rsidR="00FF2570" w:rsidP="00DD5345" w:rsidRDefault="00FF2570" w14:paraId="39CFF62B" w14:textId="77777777">
      <w:pPr>
        <w:pStyle w:val="Hdng2-IPR"/>
        <w:jc w:val="both"/>
      </w:pPr>
      <w:bookmarkStart w:name="_Toc416426643" w:id="4"/>
      <w:r>
        <w:t>B.3.</w:t>
      </w:r>
      <w:r>
        <w:tab/>
        <w:t>Methods to Maximize Response Rates and the Issue of NonResponse</w:t>
      </w:r>
      <w:bookmarkEnd w:id="4"/>
    </w:p>
    <w:p w:rsidRPr="000B5CFF" w:rsidR="00FF2570" w:rsidP="00DD5345" w:rsidRDefault="00FF2570" w14:paraId="7A239BE5" w14:textId="77777777">
      <w:pPr>
        <w:pStyle w:val="OMBRequirementCalibri"/>
        <w:jc w:val="both"/>
      </w:pPr>
      <w:r w:rsidRPr="000B5CFF">
        <w:t>Describe methods to maximize response rates and to deal with issues of nonresponse.</w:t>
      </w:r>
      <w:r>
        <w:t xml:space="preserve"> </w:t>
      </w:r>
      <w:r w:rsidRPr="000B5CFF">
        <w:t>The accuracy and reliability of information collected must be shown to be adequate for intended uses.</w:t>
      </w:r>
      <w:r>
        <w:t xml:space="preserve"> </w:t>
      </w:r>
      <w:r w:rsidRPr="000B5CFF">
        <w:t>For collections based on sampling, a special justification must be provided for any collection that will not yield “reliable” data that can be generalized to the universe studied.</w:t>
      </w:r>
    </w:p>
    <w:p w:rsidRPr="00C47CF6" w:rsidR="00FF2570" w:rsidP="344289A7" w:rsidRDefault="00FF2570" w14:paraId="43209CF2" w14:textId="2B8351C0">
      <w:pPr>
        <w:pStyle w:val="Body12ptCalibri-IPR"/>
      </w:pPr>
      <w:r>
        <w:t xml:space="preserve">The data collection methodology described above incorporates strategies intended to maximize </w:t>
      </w:r>
      <w:r w:rsidR="002050CD">
        <w:t xml:space="preserve">the </w:t>
      </w:r>
      <w:r>
        <w:t xml:space="preserve">response rates for the target population of </w:t>
      </w:r>
      <w:r w:rsidR="00CA68E7">
        <w:t>respondents</w:t>
      </w:r>
      <w:r w:rsidR="00C47CF6">
        <w:t>. The</w:t>
      </w:r>
      <w:r w:rsidR="00BE0E40">
        <w:t xml:space="preserve"> expected response rate </w:t>
      </w:r>
      <w:r w:rsidR="00C47CF6">
        <w:t>for the NRT program</w:t>
      </w:r>
      <w:r w:rsidR="00BE0E40">
        <w:t xml:space="preserve"> is 100%</w:t>
      </w:r>
      <w:r w:rsidR="003A2A18">
        <w:t xml:space="preserve">, as data reporting for the NRT program </w:t>
      </w:r>
      <w:r w:rsidR="00164A95">
        <w:t>will</w:t>
      </w:r>
      <w:r w:rsidR="00FF4D5B">
        <w:t xml:space="preserve"> satisfy </w:t>
      </w:r>
      <w:r w:rsidR="00164A95">
        <w:t>awardee’s</w:t>
      </w:r>
      <w:r w:rsidR="00FF4D5B">
        <w:t xml:space="preserve"> usual RPPR requirements</w:t>
      </w:r>
      <w:r w:rsidR="003A2A18">
        <w:t>.</w:t>
      </w:r>
      <w:r w:rsidR="00C47CF6">
        <w:t xml:space="preserve"> </w:t>
      </w:r>
      <w:r>
        <w:t xml:space="preserve">The following strategies will be used to help achieve the </w:t>
      </w:r>
      <w:r w:rsidR="000E19F7">
        <w:t>expected</w:t>
      </w:r>
      <w:r>
        <w:t xml:space="preserve"> response rate:</w:t>
      </w:r>
    </w:p>
    <w:p w:rsidRPr="00C47CF6" w:rsidR="00FF2570" w:rsidP="00FF2570" w:rsidRDefault="00FF2570" w14:paraId="5531DA63" w14:textId="07CE71EC">
      <w:pPr>
        <w:pStyle w:val="Body12ptCalibri-IPR"/>
        <w:numPr>
          <w:ilvl w:val="0"/>
          <w:numId w:val="5"/>
        </w:numPr>
      </w:pPr>
      <w:r w:rsidRPr="15EE2328">
        <w:rPr>
          <w:b/>
          <w:bCs/>
          <w:i/>
          <w:iCs/>
        </w:rPr>
        <w:t xml:space="preserve">Convenience of Web survey instrument: </w:t>
      </w:r>
      <w:r w:rsidR="00284766">
        <w:t xml:space="preserve">A </w:t>
      </w:r>
      <w:r w:rsidR="00DD0742">
        <w:t>W</w:t>
      </w:r>
      <w:r>
        <w:t>eb</w:t>
      </w:r>
      <w:r w:rsidR="00284766">
        <w:t xml:space="preserve">-based </w:t>
      </w:r>
      <w:r w:rsidR="00CC4C3E">
        <w:t xml:space="preserve">data collection system </w:t>
      </w:r>
      <w:r w:rsidR="00284766">
        <w:t>has been selected as the</w:t>
      </w:r>
      <w:r>
        <w:t xml:space="preserve"> mode to reduce respondent burden and improve </w:t>
      </w:r>
      <w:r w:rsidR="00284766">
        <w:t xml:space="preserve">overall </w:t>
      </w:r>
      <w:r>
        <w:t>response</w:t>
      </w:r>
      <w:r w:rsidR="00BE0E40">
        <w:t xml:space="preserve">. </w:t>
      </w:r>
      <w:r w:rsidR="00476369">
        <w:t xml:space="preserve">The proposed system of online </w:t>
      </w:r>
      <w:r>
        <w:t>survey</w:t>
      </w:r>
      <w:r w:rsidR="00476369">
        <w:t>s</w:t>
      </w:r>
      <w:r>
        <w:t xml:space="preserve"> will allow respondents to complete the survey</w:t>
      </w:r>
      <w:r w:rsidR="00CB7B2D">
        <w:t>s</w:t>
      </w:r>
      <w:r>
        <w:t xml:space="preserve"> at their convenience</w:t>
      </w:r>
      <w:r w:rsidR="005F3631">
        <w:t xml:space="preserve"> </w:t>
      </w:r>
      <w:r w:rsidR="009310FD">
        <w:t>(</w:t>
      </w:r>
      <w:r w:rsidR="005F3631">
        <w:t xml:space="preserve">within the </w:t>
      </w:r>
      <w:r w:rsidR="007F3986">
        <w:t xml:space="preserve">annual </w:t>
      </w:r>
      <w:r w:rsidR="005F3631">
        <w:t xml:space="preserve">timeframe of </w:t>
      </w:r>
      <w:r w:rsidR="007F3986">
        <w:t>the system open</w:t>
      </w:r>
      <w:r w:rsidR="006E6BFD">
        <w:t>ing</w:t>
      </w:r>
      <w:r w:rsidR="007F3986">
        <w:t xml:space="preserve"> to the system close</w:t>
      </w:r>
      <w:r w:rsidR="00284766">
        <w:t>.</w:t>
      </w:r>
      <w:r w:rsidR="006E6BFD">
        <w:t>)</w:t>
      </w:r>
      <w:r w:rsidR="00284766">
        <w:t xml:space="preserve"> </w:t>
      </w:r>
      <w:r>
        <w:t>Respondents will automatically be routed to questions that apply to them</w:t>
      </w:r>
      <w:r w:rsidR="00284766">
        <w:t xml:space="preserve"> through the use of skip patterns</w:t>
      </w:r>
      <w:r w:rsidR="00D23335">
        <w:t xml:space="preserve">. Respondents will be able to </w:t>
      </w:r>
      <w:r w:rsidR="00284766">
        <w:t>save and resume the survey</w:t>
      </w:r>
      <w:r>
        <w:t xml:space="preserve"> as needed</w:t>
      </w:r>
      <w:r w:rsidR="001F1596">
        <w:t xml:space="preserve"> within the allowed timeframe</w:t>
      </w:r>
      <w:r>
        <w:t xml:space="preserve">. </w:t>
      </w:r>
      <w:r w:rsidR="009F15B0">
        <w:t xml:space="preserve">To further reduce burden, </w:t>
      </w:r>
      <w:r w:rsidR="005F3CE7">
        <w:t xml:space="preserve">the system will </w:t>
      </w:r>
      <w:r w:rsidR="006F5825">
        <w:t xml:space="preserve">carryover </w:t>
      </w:r>
      <w:r w:rsidR="005F3CE7">
        <w:t xml:space="preserve">any </w:t>
      </w:r>
      <w:r w:rsidR="006F5825">
        <w:t>data</w:t>
      </w:r>
      <w:r w:rsidR="005F3CE7">
        <w:t xml:space="preserve"> that can be pre-populated </w:t>
      </w:r>
      <w:r w:rsidR="006F5825">
        <w:t>after the initial award year.</w:t>
      </w:r>
      <w:r w:rsidR="00EF7129">
        <w:t xml:space="preserve"> </w:t>
      </w:r>
    </w:p>
    <w:p w:rsidR="007D428B" w:rsidP="00FA5CA0" w:rsidRDefault="00FF2570" w14:paraId="2A16534B" w14:textId="7A1A75D0">
      <w:pPr>
        <w:pStyle w:val="Bullets12ptCalibri-IPR"/>
        <w:spacing w:line="480" w:lineRule="auto"/>
        <w:jc w:val="both"/>
      </w:pPr>
      <w:r w:rsidRPr="15EE2328">
        <w:rPr>
          <w:b/>
          <w:bCs/>
          <w:i/>
          <w:iCs/>
        </w:rPr>
        <w:lastRenderedPageBreak/>
        <w:t>Targeted outreach to non</w:t>
      </w:r>
      <w:r w:rsidRPr="15EE2328" w:rsidR="000E19F7">
        <w:rPr>
          <w:b/>
          <w:bCs/>
          <w:i/>
          <w:iCs/>
        </w:rPr>
        <w:t>-</w:t>
      </w:r>
      <w:r w:rsidRPr="15EE2328">
        <w:rPr>
          <w:b/>
          <w:bCs/>
          <w:i/>
          <w:iCs/>
        </w:rPr>
        <w:t>respondents</w:t>
      </w:r>
      <w:r w:rsidRPr="15EE2328" w:rsidR="000E19F7">
        <w:rPr>
          <w:b/>
          <w:bCs/>
          <w:i/>
          <w:iCs/>
        </w:rPr>
        <w:t>:</w:t>
      </w:r>
      <w:r w:rsidRPr="15EE2328">
        <w:rPr>
          <w:b/>
          <w:bCs/>
        </w:rPr>
        <w:t xml:space="preserve"> </w:t>
      </w:r>
      <w:r w:rsidR="007D428B">
        <w:t xml:space="preserve">PIs </w:t>
      </w:r>
      <w:r w:rsidR="00D961AC">
        <w:t xml:space="preserve">and Coordinators </w:t>
      </w:r>
      <w:r w:rsidR="00E13E42">
        <w:t>will be</w:t>
      </w:r>
      <w:r w:rsidR="007D428B">
        <w:t xml:space="preserve"> responsible for ensuring that other individuals involved in the project submit all necessary </w:t>
      </w:r>
      <w:r w:rsidR="00C47CF6">
        <w:t>data</w:t>
      </w:r>
      <w:r w:rsidR="00EE0F29">
        <w:t>,</w:t>
      </w:r>
      <w:r w:rsidR="00C47CF6">
        <w:t xml:space="preserve"> and</w:t>
      </w:r>
      <w:r w:rsidR="00EB2F56">
        <w:t xml:space="preserve"> </w:t>
      </w:r>
      <w:r w:rsidR="0070628B">
        <w:t>as such</w:t>
      </w:r>
      <w:r w:rsidR="008F4611">
        <w:t xml:space="preserve"> </w:t>
      </w:r>
      <w:r w:rsidR="00E13E42">
        <w:t>the</w:t>
      </w:r>
      <w:r w:rsidR="008F4611">
        <w:t>y</w:t>
      </w:r>
      <w:r w:rsidR="00E13E42">
        <w:t xml:space="preserve"> </w:t>
      </w:r>
      <w:r w:rsidR="00996B76">
        <w:t>will</w:t>
      </w:r>
      <w:r w:rsidR="007D428B">
        <w:t xml:space="preserve"> have access to status information via the Web-based system indicating whether </w:t>
      </w:r>
      <w:r w:rsidR="000E19F7">
        <w:t xml:space="preserve">the </w:t>
      </w:r>
      <w:r w:rsidR="007D428B">
        <w:t xml:space="preserve">individual respondents in their projects have completed their data entry. In addition, </w:t>
      </w:r>
      <w:r w:rsidR="00C47CF6">
        <w:t xml:space="preserve">NRT </w:t>
      </w:r>
      <w:r w:rsidR="007D428B">
        <w:t xml:space="preserve">staff </w:t>
      </w:r>
      <w:r w:rsidR="00114DFF">
        <w:t>will</w:t>
      </w:r>
      <w:r w:rsidR="007D428B">
        <w:t xml:space="preserve"> have access t</w:t>
      </w:r>
      <w:r w:rsidR="000E19F7">
        <w:t xml:space="preserve">o online monitoring </w:t>
      </w:r>
      <w:r w:rsidR="00E65181">
        <w:t>tools to</w:t>
      </w:r>
      <w:r w:rsidR="007D428B">
        <w:t xml:space="preserve"> check the status of reporting</w:t>
      </w:r>
      <w:r w:rsidR="00E65181">
        <w:t xml:space="preserve"> by award</w:t>
      </w:r>
      <w:r w:rsidR="007D428B">
        <w:t xml:space="preserve">. </w:t>
      </w:r>
      <w:r w:rsidR="00B50E1E">
        <w:t>Furthermore, e</w:t>
      </w:r>
      <w:r w:rsidR="007D428B">
        <w:t xml:space="preserve">-mail messages </w:t>
      </w:r>
      <w:r w:rsidR="00902BF0">
        <w:t xml:space="preserve">sent by the contractor </w:t>
      </w:r>
      <w:r w:rsidR="00D408E0">
        <w:t>will be</w:t>
      </w:r>
      <w:r w:rsidR="007D428B">
        <w:t xml:space="preserve"> used to follow up with respondents </w:t>
      </w:r>
      <w:r w:rsidR="000E19F7">
        <w:t>to</w:t>
      </w:r>
      <w:r w:rsidR="007D428B">
        <w:t xml:space="preserve"> ensure that </w:t>
      </w:r>
      <w:r w:rsidR="000E19F7">
        <w:t>all necessary data are reported in a timely manner</w:t>
      </w:r>
      <w:r w:rsidR="007D428B">
        <w:t>.</w:t>
      </w:r>
      <w:r w:rsidR="00C47CF6">
        <w:t xml:space="preserve"> </w:t>
      </w:r>
      <w:r w:rsidR="00610779">
        <w:t>The contractor will implement the following outreach plan</w:t>
      </w:r>
      <w:r w:rsidR="005F6C9E">
        <w:t xml:space="preserve"> shown in Table B.3.1</w:t>
      </w:r>
      <w:r w:rsidR="00610779">
        <w:t>:</w:t>
      </w:r>
    </w:p>
    <w:p w:rsidRPr="00E77942" w:rsidR="00B24AB7" w:rsidP="00E77942" w:rsidRDefault="00B24AB7" w14:paraId="4BDFAF19" w14:textId="77777777">
      <w:pPr>
        <w:pStyle w:val="Bullets12ptCalibri-IPR"/>
        <w:numPr>
          <w:ilvl w:val="0"/>
          <w:numId w:val="0"/>
        </w:numPr>
        <w:jc w:val="center"/>
        <w:rPr>
          <w:b/>
        </w:rPr>
      </w:pPr>
      <w:r w:rsidRPr="00E77942">
        <w:rPr>
          <w:b/>
        </w:rPr>
        <w:t>Table B.3.1 NRT Targeted Outreach Timeline</w:t>
      </w:r>
    </w:p>
    <w:tbl>
      <w:tblPr>
        <w:tblStyle w:val="TableGrid"/>
        <w:tblpPr w:leftFromText="187" w:rightFromText="187" w:vertAnchor="text" w:horzAnchor="page" w:tblpX="1630" w:tblpY="171"/>
        <w:tblOverlap w:val="never"/>
        <w:tblW w:w="0" w:type="auto"/>
        <w:tblLook w:val="04A0" w:firstRow="1" w:lastRow="0" w:firstColumn="1" w:lastColumn="0" w:noHBand="0" w:noVBand="1"/>
      </w:tblPr>
      <w:tblGrid>
        <w:gridCol w:w="2695"/>
        <w:gridCol w:w="6655"/>
      </w:tblGrid>
      <w:tr w:rsidRPr="00F469B4" w:rsidR="00B24AB7" w:rsidTr="1513EC46" w14:paraId="213963BF" w14:textId="77777777">
        <w:tc>
          <w:tcPr>
            <w:tcW w:w="2695" w:type="dxa"/>
          </w:tcPr>
          <w:p w:rsidRPr="00F469B4" w:rsidR="00B24AB7" w:rsidP="00B24AB7" w:rsidRDefault="00B24AB7" w14:paraId="36F3D46E" w14:textId="77777777">
            <w:pPr>
              <w:jc w:val="center"/>
              <w:rPr>
                <w:rFonts w:ascii="Calibri" w:hAnsi="Calibri" w:cs="Times New Roman"/>
                <w:b/>
                <w:sz w:val="20"/>
                <w:szCs w:val="20"/>
              </w:rPr>
            </w:pPr>
            <w:r>
              <w:rPr>
                <w:rFonts w:ascii="Calibri" w:hAnsi="Calibri" w:cs="Times New Roman"/>
                <w:b/>
                <w:sz w:val="20"/>
                <w:szCs w:val="20"/>
              </w:rPr>
              <w:t>Notification Timeline</w:t>
            </w:r>
          </w:p>
        </w:tc>
        <w:tc>
          <w:tcPr>
            <w:tcW w:w="6655" w:type="dxa"/>
          </w:tcPr>
          <w:p w:rsidRPr="00F469B4" w:rsidR="00B24AB7" w:rsidP="00B24AB7" w:rsidRDefault="00B24AB7" w14:paraId="43294498" w14:textId="77777777">
            <w:pPr>
              <w:jc w:val="center"/>
              <w:rPr>
                <w:rFonts w:ascii="Calibri" w:hAnsi="Calibri" w:cs="Times New Roman"/>
                <w:b/>
                <w:sz w:val="20"/>
                <w:szCs w:val="20"/>
              </w:rPr>
            </w:pPr>
            <w:r w:rsidRPr="00F469B4">
              <w:rPr>
                <w:rFonts w:ascii="Calibri" w:hAnsi="Calibri" w:cs="Times New Roman"/>
                <w:b/>
                <w:sz w:val="20"/>
                <w:szCs w:val="20"/>
              </w:rPr>
              <w:t>Notification</w:t>
            </w:r>
            <w:r>
              <w:rPr>
                <w:rFonts w:ascii="Calibri" w:hAnsi="Calibri" w:cs="Times New Roman"/>
                <w:b/>
                <w:sz w:val="20"/>
                <w:szCs w:val="20"/>
              </w:rPr>
              <w:t xml:space="preserve"> Purpose</w:t>
            </w:r>
          </w:p>
        </w:tc>
      </w:tr>
      <w:tr w:rsidRPr="00F469B4" w:rsidR="00B24AB7" w:rsidTr="1513EC46" w14:paraId="75E0AD44" w14:textId="77777777">
        <w:tc>
          <w:tcPr>
            <w:tcW w:w="2695" w:type="dxa"/>
          </w:tcPr>
          <w:p w:rsidRPr="00F469B4" w:rsidR="00B24AB7" w:rsidP="00B24AB7" w:rsidRDefault="00B24AB7" w14:paraId="31B458C6" w14:textId="77777777">
            <w:pPr>
              <w:pStyle w:val="paragraph"/>
              <w:textAlignment w:val="baseline"/>
              <w:rPr>
                <w:rFonts w:ascii="Calibri" w:hAnsi="Calibri"/>
                <w:sz w:val="20"/>
                <w:szCs w:val="20"/>
              </w:rPr>
            </w:pPr>
            <w:r w:rsidRPr="00F469B4">
              <w:rPr>
                <w:rStyle w:val="normaltextrun"/>
                <w:rFonts w:ascii="Calibri" w:hAnsi="Calibri"/>
                <w:sz w:val="20"/>
                <w:szCs w:val="20"/>
              </w:rPr>
              <w:t>Initial survey invitation email</w:t>
            </w:r>
          </w:p>
          <w:p w:rsidRPr="00F469B4" w:rsidR="00B24AB7" w:rsidP="00B24AB7" w:rsidRDefault="00B24AB7" w14:paraId="6EBE7B38" w14:textId="77777777">
            <w:pPr>
              <w:rPr>
                <w:rFonts w:ascii="Calibri" w:hAnsi="Calibri" w:cs="Times New Roman"/>
                <w:sz w:val="20"/>
                <w:szCs w:val="20"/>
              </w:rPr>
            </w:pPr>
          </w:p>
        </w:tc>
        <w:tc>
          <w:tcPr>
            <w:tcW w:w="6655" w:type="dxa"/>
          </w:tcPr>
          <w:p w:rsidRPr="00F469B4" w:rsidR="00B24AB7" w:rsidP="00B24AB7" w:rsidRDefault="0074767F" w14:paraId="1C8A04A3" w14:textId="10B33774">
            <w:pPr>
              <w:rPr>
                <w:rFonts w:ascii="Calibri" w:hAnsi="Calibri" w:cs="Times New Roman"/>
                <w:sz w:val="20"/>
                <w:szCs w:val="20"/>
              </w:rPr>
            </w:pPr>
            <w:r>
              <w:rPr>
                <w:rStyle w:val="normaltextrun"/>
                <w:rFonts w:ascii="Calibri" w:hAnsi="Calibri"/>
                <w:sz w:val="20"/>
                <w:szCs w:val="20"/>
              </w:rPr>
              <w:t>Al</w:t>
            </w:r>
            <w:r>
              <w:rPr>
                <w:rStyle w:val="normaltextrun"/>
              </w:rPr>
              <w:t>l</w:t>
            </w:r>
            <w:r w:rsidRPr="00F469B4">
              <w:rPr>
                <w:rStyle w:val="normaltextrun"/>
                <w:rFonts w:ascii="Calibri" w:hAnsi="Calibri"/>
                <w:sz w:val="20"/>
                <w:szCs w:val="20"/>
              </w:rPr>
              <w:t xml:space="preserve"> </w:t>
            </w:r>
            <w:r>
              <w:rPr>
                <w:rStyle w:val="normaltextrun"/>
                <w:rFonts w:ascii="Calibri" w:hAnsi="Calibri"/>
                <w:sz w:val="20"/>
                <w:szCs w:val="20"/>
              </w:rPr>
              <w:t>PI</w:t>
            </w:r>
            <w:r>
              <w:rPr>
                <w:rStyle w:val="normaltextrun"/>
              </w:rPr>
              <w:t>s and Coordinators</w:t>
            </w:r>
            <w:r w:rsidRPr="00F469B4">
              <w:rPr>
                <w:rStyle w:val="normaltextrun"/>
                <w:rFonts w:ascii="Calibri" w:hAnsi="Calibri"/>
                <w:sz w:val="20"/>
                <w:szCs w:val="20"/>
              </w:rPr>
              <w:t xml:space="preserve"> </w:t>
            </w:r>
            <w:r w:rsidRPr="00F469B4" w:rsidR="00B24AB7">
              <w:rPr>
                <w:rStyle w:val="normaltextrun"/>
                <w:rFonts w:ascii="Calibri" w:hAnsi="Calibri"/>
                <w:sz w:val="20"/>
                <w:szCs w:val="20"/>
              </w:rPr>
              <w:t>will receive an email invitation containing a unique link to the web survey, details on setting up their login credentials, and requesting that they begin the survey. </w:t>
            </w:r>
            <w:r w:rsidRPr="00F469B4" w:rsidR="00B24AB7">
              <w:rPr>
                <w:rStyle w:val="eop"/>
                <w:rFonts w:ascii="Calibri" w:hAnsi="Calibri"/>
                <w:sz w:val="20"/>
                <w:szCs w:val="20"/>
              </w:rPr>
              <w:t> </w:t>
            </w:r>
          </w:p>
        </w:tc>
      </w:tr>
      <w:tr w:rsidRPr="00F469B4" w:rsidR="00B24AB7" w:rsidTr="1513EC46" w14:paraId="19C1AF04" w14:textId="77777777">
        <w:tc>
          <w:tcPr>
            <w:tcW w:w="2695" w:type="dxa"/>
          </w:tcPr>
          <w:p w:rsidRPr="00F469B4" w:rsidR="00B24AB7" w:rsidP="00B24AB7" w:rsidRDefault="00B24AB7" w14:paraId="4763F18E" w14:textId="77777777">
            <w:pPr>
              <w:pStyle w:val="paragraph"/>
              <w:textAlignment w:val="baseline"/>
              <w:rPr>
                <w:rStyle w:val="normaltextrun"/>
                <w:rFonts w:ascii="Calibri" w:hAnsi="Calibri"/>
                <w:sz w:val="20"/>
                <w:szCs w:val="20"/>
              </w:rPr>
            </w:pPr>
            <w:r w:rsidRPr="00F469B4">
              <w:rPr>
                <w:rStyle w:val="normaltextrun"/>
                <w:rFonts w:ascii="Calibri" w:hAnsi="Calibri"/>
                <w:sz w:val="20"/>
                <w:szCs w:val="20"/>
              </w:rPr>
              <w:t>First follow-up email</w:t>
            </w:r>
          </w:p>
          <w:p w:rsidRPr="00F469B4" w:rsidR="00B24AB7" w:rsidP="00B24AB7" w:rsidRDefault="00B24AB7" w14:paraId="6036A522" w14:textId="77777777">
            <w:pPr>
              <w:rPr>
                <w:rFonts w:ascii="Calibri" w:hAnsi="Calibri" w:cs="Times New Roman"/>
                <w:sz w:val="20"/>
                <w:szCs w:val="20"/>
              </w:rPr>
            </w:pPr>
          </w:p>
        </w:tc>
        <w:tc>
          <w:tcPr>
            <w:tcW w:w="6655" w:type="dxa"/>
          </w:tcPr>
          <w:p w:rsidRPr="00F469B4" w:rsidR="00B24AB7" w:rsidP="00B24AB7" w:rsidRDefault="00B24AB7" w14:paraId="2B69ED4F" w14:textId="6426B8E7">
            <w:pPr>
              <w:rPr>
                <w:rFonts w:ascii="Calibri" w:hAnsi="Calibri" w:cs="Times New Roman"/>
                <w:sz w:val="20"/>
                <w:szCs w:val="20"/>
              </w:rPr>
            </w:pPr>
            <w:r w:rsidRPr="00F469B4">
              <w:rPr>
                <w:rStyle w:val="normaltextrun"/>
                <w:rFonts w:ascii="Calibri" w:hAnsi="Calibri"/>
                <w:sz w:val="20"/>
                <w:szCs w:val="20"/>
              </w:rPr>
              <w:t>Within one week after the initial invitation is sent, emails will be sent to individuals who have not yet logged in.</w:t>
            </w:r>
          </w:p>
        </w:tc>
      </w:tr>
      <w:tr w:rsidRPr="00F469B4" w:rsidR="00B24AB7" w:rsidTr="1513EC46" w14:paraId="5B768DBC" w14:textId="77777777">
        <w:tc>
          <w:tcPr>
            <w:tcW w:w="2695" w:type="dxa"/>
          </w:tcPr>
          <w:p w:rsidRPr="00F469B4" w:rsidR="00B24AB7" w:rsidP="005B705E" w:rsidRDefault="00B24AB7" w14:paraId="335E3EEF" w14:textId="7603CBEA">
            <w:pPr>
              <w:pStyle w:val="paragraph"/>
              <w:textAlignment w:val="baseline"/>
              <w:rPr>
                <w:rFonts w:ascii="Calibri" w:hAnsi="Calibri"/>
                <w:sz w:val="20"/>
                <w:szCs w:val="20"/>
              </w:rPr>
            </w:pPr>
            <w:r w:rsidRPr="00B24AB7">
              <w:rPr>
                <w:rStyle w:val="normaltextrun"/>
                <w:rFonts w:ascii="Calibri" w:hAnsi="Calibri"/>
                <w:sz w:val="20"/>
                <w:szCs w:val="20"/>
              </w:rPr>
              <w:t>Second follow</w:t>
            </w:r>
            <w:r w:rsidRPr="00E77942">
              <w:rPr>
                <w:rFonts w:ascii="Calibri" w:hAnsi="Calibri"/>
                <w:sz w:val="20"/>
                <w:szCs w:val="20"/>
              </w:rPr>
              <w:t>-up email</w:t>
            </w:r>
            <w:r w:rsidR="00AC2F83">
              <w:rPr>
                <w:rStyle w:val="FootnoteReference"/>
                <w:rFonts w:ascii="Calibri" w:hAnsi="Calibri"/>
                <w:sz w:val="20"/>
                <w:szCs w:val="20"/>
              </w:rPr>
              <w:footnoteReference w:id="3"/>
            </w:r>
          </w:p>
        </w:tc>
        <w:tc>
          <w:tcPr>
            <w:tcW w:w="6655" w:type="dxa"/>
          </w:tcPr>
          <w:p w:rsidRPr="00F469B4" w:rsidR="00B24AB7" w:rsidP="00B24AB7" w:rsidRDefault="00B24AB7" w14:paraId="41A11384" w14:textId="77777777">
            <w:pPr>
              <w:rPr>
                <w:rFonts w:ascii="Calibri" w:hAnsi="Calibri" w:cs="Times New Roman"/>
                <w:sz w:val="20"/>
                <w:szCs w:val="20"/>
              </w:rPr>
            </w:pPr>
            <w:r w:rsidRPr="00F469B4">
              <w:rPr>
                <w:rStyle w:val="normaltextrun"/>
                <w:rFonts w:ascii="Calibri" w:hAnsi="Calibri"/>
                <w:sz w:val="20"/>
                <w:szCs w:val="20"/>
              </w:rPr>
              <w:t>Within two weeks, emails will be sent to individuals who have not yet logged in and individuals who have logged in but who have not entered and saved data.</w:t>
            </w:r>
          </w:p>
        </w:tc>
      </w:tr>
      <w:tr w:rsidRPr="00F469B4" w:rsidR="00B24AB7" w:rsidTr="1513EC46" w14:paraId="575A2D05" w14:textId="77777777">
        <w:tc>
          <w:tcPr>
            <w:tcW w:w="2695" w:type="dxa"/>
          </w:tcPr>
          <w:p w:rsidRPr="00CB111C" w:rsidR="00B24AB7" w:rsidP="00B24AB7" w:rsidRDefault="00B24AB7" w14:paraId="6E285CE1" w14:textId="428CC1E1">
            <w:pPr>
              <w:pStyle w:val="paragraph"/>
              <w:textAlignment w:val="baseline"/>
              <w:rPr>
                <w:rFonts w:ascii="Calibri" w:hAnsi="Calibri"/>
                <w:sz w:val="20"/>
                <w:szCs w:val="20"/>
                <w:vertAlign w:val="superscript"/>
              </w:rPr>
            </w:pPr>
            <w:r w:rsidRPr="00B24AB7">
              <w:rPr>
                <w:rStyle w:val="normaltextrun"/>
                <w:rFonts w:ascii="Calibri" w:hAnsi="Calibri"/>
                <w:sz w:val="20"/>
                <w:szCs w:val="20"/>
              </w:rPr>
              <w:t>Third follow-</w:t>
            </w:r>
            <w:r w:rsidRPr="00E77942">
              <w:rPr>
                <w:rFonts w:ascii="Calibri" w:hAnsi="Calibri"/>
                <w:sz w:val="20"/>
                <w:szCs w:val="20"/>
              </w:rPr>
              <w:t>up email</w:t>
            </w:r>
            <w:r w:rsidR="00CB111C">
              <w:rPr>
                <w:rFonts w:ascii="Calibri" w:hAnsi="Calibri"/>
                <w:sz w:val="20"/>
                <w:szCs w:val="20"/>
                <w:vertAlign w:val="superscript"/>
              </w:rPr>
              <w:t>2</w:t>
            </w:r>
          </w:p>
        </w:tc>
        <w:tc>
          <w:tcPr>
            <w:tcW w:w="6655" w:type="dxa"/>
          </w:tcPr>
          <w:p w:rsidRPr="00F469B4" w:rsidR="00B24AB7" w:rsidP="00B24AB7" w:rsidRDefault="00F93634" w14:paraId="1D80200C" w14:textId="577B481F">
            <w:pPr>
              <w:rPr>
                <w:rFonts w:ascii="Calibri" w:hAnsi="Calibri" w:cs="Times New Roman"/>
                <w:sz w:val="20"/>
                <w:szCs w:val="20"/>
              </w:rPr>
            </w:pPr>
            <w:r>
              <w:rPr>
                <w:rFonts w:ascii="Calibri" w:hAnsi="Calibri"/>
                <w:sz w:val="20"/>
                <w:szCs w:val="20"/>
              </w:rPr>
              <w:t>At the end of</w:t>
            </w:r>
            <w:r w:rsidR="00C5126B">
              <w:rPr>
                <w:rFonts w:ascii="Calibri" w:hAnsi="Calibri"/>
                <w:sz w:val="20"/>
                <w:szCs w:val="20"/>
              </w:rPr>
              <w:t xml:space="preserve"> </w:t>
            </w:r>
            <w:r>
              <w:rPr>
                <w:rFonts w:ascii="Calibri" w:hAnsi="Calibri"/>
                <w:sz w:val="20"/>
                <w:szCs w:val="20"/>
              </w:rPr>
              <w:t>the first month</w:t>
            </w:r>
            <w:r w:rsidRPr="1513EC46" w:rsidR="00B24AB7">
              <w:rPr>
                <w:rFonts w:ascii="Calibri" w:hAnsi="Calibri"/>
                <w:sz w:val="20"/>
                <w:szCs w:val="20"/>
              </w:rPr>
              <w:t xml:space="preserve">, </w:t>
            </w:r>
            <w:r w:rsidRPr="1513EC46" w:rsidR="00B24AB7">
              <w:rPr>
                <w:rStyle w:val="normaltextrun"/>
                <w:rFonts w:ascii="Calibri" w:hAnsi="Calibri"/>
                <w:sz w:val="20"/>
                <w:szCs w:val="20"/>
              </w:rPr>
              <w:t>emails will be sent to individuals who have not yet logged in and individuals who have logged in but who have not entered and saved data.</w:t>
            </w:r>
          </w:p>
        </w:tc>
      </w:tr>
      <w:tr w:rsidRPr="00F469B4" w:rsidR="00B24AB7" w:rsidTr="1513EC46" w14:paraId="7DA82E77" w14:textId="77777777">
        <w:tc>
          <w:tcPr>
            <w:tcW w:w="2695" w:type="dxa"/>
          </w:tcPr>
          <w:p w:rsidRPr="00F469B4" w:rsidR="00B24AB7" w:rsidP="00B24AB7" w:rsidRDefault="00B24AB7" w14:paraId="397E0FA7" w14:textId="77777777">
            <w:pPr>
              <w:pStyle w:val="paragraph"/>
              <w:textAlignment w:val="baseline"/>
              <w:rPr>
                <w:rFonts w:ascii="Calibri" w:hAnsi="Calibri"/>
                <w:sz w:val="20"/>
                <w:szCs w:val="20"/>
              </w:rPr>
            </w:pPr>
            <w:r w:rsidRPr="00F469B4">
              <w:rPr>
                <w:rStyle w:val="normaltextrun"/>
                <w:rFonts w:ascii="Calibri" w:hAnsi="Calibri"/>
                <w:sz w:val="20"/>
                <w:szCs w:val="20"/>
              </w:rPr>
              <w:t>Phone call</w:t>
            </w:r>
          </w:p>
        </w:tc>
        <w:tc>
          <w:tcPr>
            <w:tcW w:w="6655" w:type="dxa"/>
          </w:tcPr>
          <w:p w:rsidRPr="00F469B4" w:rsidR="00B24AB7" w:rsidP="00B24AB7" w:rsidRDefault="00B24AB7" w14:paraId="342B56A8" w14:textId="46631A95">
            <w:pPr>
              <w:rPr>
                <w:rFonts w:ascii="Calibri" w:hAnsi="Calibri" w:cs="Times New Roman"/>
                <w:sz w:val="20"/>
                <w:szCs w:val="20"/>
              </w:rPr>
            </w:pPr>
            <w:r w:rsidRPr="00F469B4">
              <w:rPr>
                <w:rFonts w:ascii="Calibri" w:hAnsi="Calibri"/>
                <w:sz w:val="20"/>
                <w:szCs w:val="20"/>
              </w:rPr>
              <w:t xml:space="preserve">If an individual has not responded to any emails after the </w:t>
            </w:r>
            <w:r w:rsidR="00B3049B">
              <w:rPr>
                <w:rFonts w:ascii="Calibri" w:hAnsi="Calibri"/>
                <w:sz w:val="20"/>
                <w:szCs w:val="20"/>
              </w:rPr>
              <w:t>one-month</w:t>
            </w:r>
            <w:r w:rsidRPr="00F469B4">
              <w:rPr>
                <w:rFonts w:ascii="Calibri" w:hAnsi="Calibri"/>
                <w:sz w:val="20"/>
                <w:szCs w:val="20"/>
              </w:rPr>
              <w:t xml:space="preserve"> mark, the contractor will reach out to that individual by phone.</w:t>
            </w:r>
          </w:p>
        </w:tc>
      </w:tr>
      <w:tr w:rsidRPr="00F469B4" w:rsidR="00B24AB7" w:rsidTr="1513EC46" w14:paraId="0E352052" w14:textId="77777777">
        <w:trPr>
          <w:trHeight w:val="845"/>
        </w:trPr>
        <w:tc>
          <w:tcPr>
            <w:tcW w:w="2695" w:type="dxa"/>
          </w:tcPr>
          <w:p w:rsidRPr="00F469B4" w:rsidR="00B24AB7" w:rsidP="00B24AB7" w:rsidRDefault="00B24AB7" w14:paraId="380B775A" w14:textId="77777777">
            <w:pPr>
              <w:pStyle w:val="paragraph"/>
              <w:textAlignment w:val="baseline"/>
              <w:rPr>
                <w:rFonts w:ascii="Calibri" w:hAnsi="Calibri"/>
                <w:sz w:val="20"/>
                <w:szCs w:val="20"/>
              </w:rPr>
            </w:pPr>
            <w:r w:rsidRPr="00F469B4">
              <w:rPr>
                <w:rStyle w:val="normaltextrun"/>
                <w:rFonts w:ascii="Calibri" w:hAnsi="Calibri"/>
                <w:sz w:val="20"/>
                <w:szCs w:val="20"/>
              </w:rPr>
              <w:t>NSF involvement</w:t>
            </w:r>
          </w:p>
          <w:p w:rsidRPr="00F469B4" w:rsidR="00B24AB7" w:rsidP="00B24AB7" w:rsidRDefault="00B24AB7" w14:paraId="2AEE95BB" w14:textId="77777777">
            <w:pPr>
              <w:rPr>
                <w:rFonts w:ascii="Calibri" w:hAnsi="Calibri" w:cs="Times New Roman"/>
                <w:sz w:val="20"/>
                <w:szCs w:val="20"/>
              </w:rPr>
            </w:pPr>
          </w:p>
        </w:tc>
        <w:tc>
          <w:tcPr>
            <w:tcW w:w="6655" w:type="dxa"/>
          </w:tcPr>
          <w:p w:rsidRPr="00F469B4" w:rsidR="00B24AB7" w:rsidP="00B24AB7" w:rsidRDefault="00B24AB7" w14:paraId="1DF2FF34" w14:textId="0A0C813B">
            <w:pPr>
              <w:rPr>
                <w:rFonts w:ascii="Calibri" w:hAnsi="Calibri" w:cs="Times New Roman"/>
                <w:sz w:val="20"/>
                <w:szCs w:val="20"/>
              </w:rPr>
            </w:pPr>
            <w:r w:rsidRPr="00F469B4">
              <w:rPr>
                <w:rFonts w:ascii="Calibri" w:hAnsi="Calibri"/>
                <w:sz w:val="20"/>
                <w:szCs w:val="20"/>
              </w:rPr>
              <w:t xml:space="preserve">In the event that an individual has not responded to </w:t>
            </w:r>
            <w:r w:rsidR="00CB111C">
              <w:rPr>
                <w:rFonts w:ascii="Calibri" w:hAnsi="Calibri"/>
                <w:sz w:val="20"/>
                <w:szCs w:val="20"/>
              </w:rPr>
              <w:t xml:space="preserve">any </w:t>
            </w:r>
            <w:r w:rsidRPr="00F469B4">
              <w:rPr>
                <w:rFonts w:ascii="Calibri" w:hAnsi="Calibri"/>
                <w:sz w:val="20"/>
                <w:szCs w:val="20"/>
              </w:rPr>
              <w:t xml:space="preserve">emails or phone calls within </w:t>
            </w:r>
            <w:r w:rsidR="0074767F">
              <w:rPr>
                <w:rFonts w:ascii="Calibri" w:hAnsi="Calibri"/>
                <w:sz w:val="20"/>
                <w:szCs w:val="20"/>
              </w:rPr>
              <w:t>six weeks</w:t>
            </w:r>
            <w:r w:rsidRPr="00F469B4">
              <w:rPr>
                <w:rFonts w:ascii="Calibri" w:hAnsi="Calibri"/>
                <w:sz w:val="20"/>
                <w:szCs w:val="20"/>
              </w:rPr>
              <w:t xml:space="preserve"> </w:t>
            </w:r>
            <w:r w:rsidR="001F7EA3">
              <w:rPr>
                <w:rFonts w:ascii="Calibri" w:hAnsi="Calibri"/>
                <w:sz w:val="20"/>
                <w:szCs w:val="20"/>
              </w:rPr>
              <w:t>from</w:t>
            </w:r>
            <w:r w:rsidRPr="00F469B4" w:rsidR="001F7EA3">
              <w:rPr>
                <w:rFonts w:ascii="Calibri" w:hAnsi="Calibri"/>
                <w:sz w:val="20"/>
                <w:szCs w:val="20"/>
              </w:rPr>
              <w:t xml:space="preserve"> </w:t>
            </w:r>
            <w:r w:rsidRPr="00F469B4">
              <w:rPr>
                <w:rFonts w:ascii="Calibri" w:hAnsi="Calibri"/>
                <w:sz w:val="20"/>
                <w:szCs w:val="20"/>
              </w:rPr>
              <w:t xml:space="preserve">the initial email, the contractor will bring </w:t>
            </w:r>
            <w:r w:rsidR="001F7EA3">
              <w:rPr>
                <w:rFonts w:ascii="Calibri" w:hAnsi="Calibri"/>
                <w:sz w:val="20"/>
                <w:szCs w:val="20"/>
              </w:rPr>
              <w:t xml:space="preserve">this </w:t>
            </w:r>
            <w:r w:rsidRPr="00F469B4">
              <w:rPr>
                <w:rFonts w:ascii="Calibri" w:hAnsi="Calibri"/>
                <w:sz w:val="20"/>
                <w:szCs w:val="20"/>
              </w:rPr>
              <w:t>to NSF’s attention.</w:t>
            </w:r>
          </w:p>
        </w:tc>
      </w:tr>
      <w:tr w:rsidRPr="00F469B4" w:rsidR="00B24AB7" w:rsidTr="1513EC46" w14:paraId="68159746" w14:textId="77777777">
        <w:tc>
          <w:tcPr>
            <w:tcW w:w="2695" w:type="dxa"/>
          </w:tcPr>
          <w:p w:rsidRPr="00F469B4" w:rsidR="00B24AB7" w:rsidP="00B24AB7" w:rsidRDefault="003D5B8B" w14:paraId="2725A6A2" w14:textId="3B60F16C">
            <w:pPr>
              <w:pStyle w:val="paragraph"/>
              <w:textAlignment w:val="baseline"/>
              <w:rPr>
                <w:rStyle w:val="normaltextrun"/>
                <w:rFonts w:ascii="Calibri" w:hAnsi="Calibri"/>
                <w:sz w:val="20"/>
                <w:szCs w:val="20"/>
              </w:rPr>
            </w:pPr>
            <w:r>
              <w:rPr>
                <w:rStyle w:val="normaltextrun"/>
                <w:rFonts w:ascii="Calibri" w:hAnsi="Calibri"/>
                <w:sz w:val="20"/>
                <w:szCs w:val="20"/>
              </w:rPr>
              <w:t>Monthly</w:t>
            </w:r>
            <w:r w:rsidRPr="00F469B4" w:rsidR="00B24AB7">
              <w:rPr>
                <w:rStyle w:val="normaltextrun"/>
                <w:rFonts w:ascii="Calibri" w:hAnsi="Calibri"/>
                <w:sz w:val="20"/>
                <w:szCs w:val="20"/>
              </w:rPr>
              <w:t xml:space="preserve"> status reports</w:t>
            </w:r>
          </w:p>
          <w:p w:rsidRPr="00F469B4" w:rsidR="00B24AB7" w:rsidP="00B24AB7" w:rsidRDefault="00B24AB7" w14:paraId="6A765B35" w14:textId="77777777">
            <w:pPr>
              <w:rPr>
                <w:rFonts w:ascii="Calibri" w:hAnsi="Calibri" w:cs="Times New Roman"/>
                <w:sz w:val="20"/>
                <w:szCs w:val="20"/>
              </w:rPr>
            </w:pPr>
          </w:p>
        </w:tc>
        <w:tc>
          <w:tcPr>
            <w:tcW w:w="6655" w:type="dxa"/>
          </w:tcPr>
          <w:p w:rsidRPr="00F469B4" w:rsidR="00B24AB7" w:rsidP="00B24AB7" w:rsidRDefault="00B24AB7" w14:paraId="5995EF99" w14:textId="111A9ACC">
            <w:pPr>
              <w:rPr>
                <w:rFonts w:ascii="Calibri" w:hAnsi="Calibri" w:cs="Times New Roman"/>
                <w:sz w:val="20"/>
                <w:szCs w:val="20"/>
              </w:rPr>
            </w:pPr>
            <w:r w:rsidRPr="00F469B4">
              <w:rPr>
                <w:rStyle w:val="normaltextrun"/>
                <w:rFonts w:ascii="Calibri" w:hAnsi="Calibri"/>
                <w:sz w:val="20"/>
                <w:szCs w:val="20"/>
              </w:rPr>
              <w:t xml:space="preserve">Every </w:t>
            </w:r>
            <w:r w:rsidR="003D5B8B">
              <w:rPr>
                <w:rStyle w:val="normaltextrun"/>
                <w:rFonts w:ascii="Calibri" w:hAnsi="Calibri"/>
                <w:sz w:val="20"/>
                <w:szCs w:val="20"/>
              </w:rPr>
              <w:t>month</w:t>
            </w:r>
            <w:r w:rsidRPr="00F469B4">
              <w:rPr>
                <w:rStyle w:val="normaltextrun"/>
                <w:rFonts w:ascii="Calibri" w:hAnsi="Calibri"/>
                <w:sz w:val="20"/>
                <w:szCs w:val="20"/>
              </w:rPr>
              <w:t xml:space="preserve">, the contractor will generate a report to send to each Coordinator and PI. This report will include updates on login statuses, data entry, etc., </w:t>
            </w:r>
            <w:r w:rsidR="000D2985">
              <w:rPr>
                <w:rStyle w:val="normaltextrun"/>
                <w:rFonts w:ascii="Calibri" w:hAnsi="Calibri"/>
                <w:sz w:val="20"/>
                <w:szCs w:val="20"/>
              </w:rPr>
              <w:t xml:space="preserve">for their award, </w:t>
            </w:r>
            <w:r w:rsidRPr="00F469B4">
              <w:rPr>
                <w:rStyle w:val="normaltextrun"/>
                <w:rFonts w:ascii="Calibri" w:hAnsi="Calibri"/>
                <w:sz w:val="20"/>
                <w:szCs w:val="20"/>
              </w:rPr>
              <w:t>while encouraging the Coordinator and PI to check-in with members of their projects.</w:t>
            </w:r>
          </w:p>
        </w:tc>
      </w:tr>
      <w:tr w:rsidRPr="00F469B4" w:rsidR="00B24AB7" w:rsidTr="1513EC46" w14:paraId="58357F5F" w14:textId="77777777">
        <w:tc>
          <w:tcPr>
            <w:tcW w:w="2695" w:type="dxa"/>
          </w:tcPr>
          <w:p w:rsidRPr="005B705E" w:rsidR="00B24AB7" w:rsidP="00B24AB7" w:rsidRDefault="00B24AB7" w14:paraId="3CD32843" w14:textId="062CB6CA">
            <w:pPr>
              <w:pStyle w:val="paragraph"/>
              <w:textAlignment w:val="baseline"/>
              <w:rPr>
                <w:rStyle w:val="normaltextrun"/>
                <w:rFonts w:ascii="Calibri" w:hAnsi="Calibri"/>
                <w:sz w:val="20"/>
                <w:szCs w:val="20"/>
              </w:rPr>
            </w:pPr>
            <w:r w:rsidRPr="00F469B4">
              <w:rPr>
                <w:rStyle w:val="normaltextrun"/>
                <w:rFonts w:ascii="Calibri" w:hAnsi="Calibri"/>
                <w:sz w:val="20"/>
                <w:szCs w:val="20"/>
              </w:rPr>
              <w:t xml:space="preserve">One month prior to deadline </w:t>
            </w:r>
          </w:p>
        </w:tc>
        <w:tc>
          <w:tcPr>
            <w:tcW w:w="6655" w:type="dxa"/>
          </w:tcPr>
          <w:p w:rsidRPr="00F469B4" w:rsidR="00B24AB7" w:rsidP="00B24AB7" w:rsidRDefault="00B24AB7" w14:paraId="0BBC7732" w14:textId="173455C5">
            <w:pPr>
              <w:rPr>
                <w:rStyle w:val="normaltextrun"/>
                <w:rFonts w:ascii="Calibri" w:hAnsi="Calibri"/>
                <w:sz w:val="20"/>
                <w:szCs w:val="20"/>
              </w:rPr>
            </w:pPr>
            <w:r w:rsidRPr="00F469B4">
              <w:rPr>
                <w:rStyle w:val="normaltextrun"/>
                <w:rFonts w:ascii="Calibri" w:hAnsi="Calibri"/>
                <w:sz w:val="20"/>
                <w:szCs w:val="20"/>
              </w:rPr>
              <w:t xml:space="preserve">The contractor will send a reminder </w:t>
            </w:r>
            <w:r w:rsidR="00410269">
              <w:rPr>
                <w:rStyle w:val="normaltextrun"/>
                <w:rFonts w:ascii="Calibri" w:hAnsi="Calibri"/>
                <w:sz w:val="20"/>
                <w:szCs w:val="20"/>
              </w:rPr>
              <w:t xml:space="preserve">of the approaching deadline </w:t>
            </w:r>
            <w:r w:rsidRPr="00F469B4">
              <w:rPr>
                <w:rStyle w:val="normaltextrun"/>
                <w:rFonts w:ascii="Calibri" w:hAnsi="Calibri"/>
                <w:sz w:val="20"/>
                <w:szCs w:val="20"/>
              </w:rPr>
              <w:t>to those individuals who have not submitted the survey.</w:t>
            </w:r>
          </w:p>
        </w:tc>
      </w:tr>
      <w:tr w:rsidRPr="00F469B4" w:rsidR="00B24AB7" w:rsidTr="1513EC46" w14:paraId="623A4EFC" w14:textId="77777777">
        <w:tc>
          <w:tcPr>
            <w:tcW w:w="2695" w:type="dxa"/>
          </w:tcPr>
          <w:p w:rsidRPr="005B705E" w:rsidR="00B24AB7" w:rsidP="00B24AB7" w:rsidRDefault="00B24AB7" w14:paraId="7C1B564D" w14:textId="281296F4">
            <w:pPr>
              <w:pStyle w:val="paragraph"/>
              <w:textAlignment w:val="baseline"/>
              <w:rPr>
                <w:rStyle w:val="normaltextrun"/>
                <w:rFonts w:ascii="Calibri" w:hAnsi="Calibri"/>
                <w:sz w:val="20"/>
                <w:szCs w:val="20"/>
              </w:rPr>
            </w:pPr>
            <w:r w:rsidRPr="00F469B4">
              <w:rPr>
                <w:rStyle w:val="normaltextrun"/>
                <w:rFonts w:ascii="Calibri" w:hAnsi="Calibri"/>
                <w:sz w:val="20"/>
                <w:szCs w:val="20"/>
              </w:rPr>
              <w:t>One week prior to deadline</w:t>
            </w:r>
          </w:p>
        </w:tc>
        <w:tc>
          <w:tcPr>
            <w:tcW w:w="6655" w:type="dxa"/>
          </w:tcPr>
          <w:p w:rsidRPr="00F469B4" w:rsidR="00B24AB7" w:rsidP="00B24AB7" w:rsidRDefault="00B24AB7" w14:paraId="3FCACD7F" w14:textId="04DDDC39">
            <w:pPr>
              <w:rPr>
                <w:rStyle w:val="normaltextrun"/>
                <w:rFonts w:ascii="Calibri" w:hAnsi="Calibri"/>
                <w:sz w:val="20"/>
                <w:szCs w:val="20"/>
              </w:rPr>
            </w:pPr>
            <w:r w:rsidRPr="00F469B4">
              <w:rPr>
                <w:rStyle w:val="normaltextrun"/>
                <w:rFonts w:ascii="Calibri" w:hAnsi="Calibri"/>
                <w:sz w:val="20"/>
                <w:szCs w:val="20"/>
              </w:rPr>
              <w:t xml:space="preserve">The contractor will send a </w:t>
            </w:r>
            <w:r w:rsidR="0050230C">
              <w:rPr>
                <w:rStyle w:val="normaltextrun"/>
                <w:rFonts w:ascii="Calibri" w:hAnsi="Calibri"/>
                <w:sz w:val="20"/>
                <w:szCs w:val="20"/>
              </w:rPr>
              <w:t xml:space="preserve">deadline </w:t>
            </w:r>
            <w:r w:rsidRPr="00F469B4">
              <w:rPr>
                <w:rStyle w:val="normaltextrun"/>
                <w:rFonts w:ascii="Calibri" w:hAnsi="Calibri"/>
                <w:sz w:val="20"/>
                <w:szCs w:val="20"/>
              </w:rPr>
              <w:t>reminder to those individuals who have not submitted the survey.</w:t>
            </w:r>
          </w:p>
        </w:tc>
      </w:tr>
      <w:tr w:rsidRPr="00F469B4" w:rsidR="00B24AB7" w:rsidTr="1513EC46" w14:paraId="744F6FA1" w14:textId="77777777">
        <w:tc>
          <w:tcPr>
            <w:tcW w:w="2695" w:type="dxa"/>
          </w:tcPr>
          <w:p w:rsidRPr="005B705E" w:rsidR="00B24AB7" w:rsidP="00B24AB7" w:rsidRDefault="00B24AB7" w14:paraId="61545EA8" w14:textId="1FD6B35A">
            <w:pPr>
              <w:pStyle w:val="paragraph"/>
              <w:textAlignment w:val="baseline"/>
              <w:rPr>
                <w:rStyle w:val="normaltextrun"/>
                <w:rFonts w:ascii="Calibri" w:hAnsi="Calibri"/>
                <w:sz w:val="20"/>
                <w:szCs w:val="20"/>
              </w:rPr>
            </w:pPr>
            <w:r w:rsidRPr="00F469B4">
              <w:rPr>
                <w:rStyle w:val="normaltextrun"/>
                <w:rFonts w:ascii="Calibri" w:hAnsi="Calibri"/>
                <w:sz w:val="20"/>
                <w:szCs w:val="20"/>
              </w:rPr>
              <w:lastRenderedPageBreak/>
              <w:t>One day prior to deadline</w:t>
            </w:r>
          </w:p>
        </w:tc>
        <w:tc>
          <w:tcPr>
            <w:tcW w:w="6655" w:type="dxa"/>
          </w:tcPr>
          <w:p w:rsidRPr="00F469B4" w:rsidR="00B24AB7" w:rsidP="00B24AB7" w:rsidRDefault="00B24AB7" w14:paraId="7CC0321D" w14:textId="598EEAE7">
            <w:pPr>
              <w:rPr>
                <w:rStyle w:val="normaltextrun"/>
                <w:rFonts w:ascii="Calibri" w:hAnsi="Calibri"/>
                <w:sz w:val="20"/>
                <w:szCs w:val="20"/>
              </w:rPr>
            </w:pPr>
            <w:r w:rsidRPr="00F469B4">
              <w:rPr>
                <w:rStyle w:val="normaltextrun"/>
                <w:rFonts w:ascii="Calibri" w:hAnsi="Calibri"/>
                <w:sz w:val="20"/>
                <w:szCs w:val="20"/>
              </w:rPr>
              <w:t xml:space="preserve">The contractor will send a final </w:t>
            </w:r>
            <w:r w:rsidR="003467C5">
              <w:rPr>
                <w:rStyle w:val="normaltextrun"/>
                <w:rFonts w:ascii="Calibri" w:hAnsi="Calibri"/>
                <w:sz w:val="20"/>
                <w:szCs w:val="20"/>
              </w:rPr>
              <w:t xml:space="preserve">deadline </w:t>
            </w:r>
            <w:r w:rsidRPr="00F469B4">
              <w:rPr>
                <w:rStyle w:val="normaltextrun"/>
                <w:rFonts w:ascii="Calibri" w:hAnsi="Calibri"/>
                <w:sz w:val="20"/>
                <w:szCs w:val="20"/>
              </w:rPr>
              <w:t>reminder to those individuals who have not submitted the survey.</w:t>
            </w:r>
          </w:p>
        </w:tc>
      </w:tr>
      <w:tr w:rsidRPr="00F469B4" w:rsidR="00B24AB7" w:rsidTr="1513EC46" w14:paraId="0EA46D76" w14:textId="77777777">
        <w:tc>
          <w:tcPr>
            <w:tcW w:w="2695" w:type="dxa"/>
          </w:tcPr>
          <w:p w:rsidRPr="00F469B4" w:rsidR="00B24AB7" w:rsidP="00B24AB7" w:rsidRDefault="00B24AB7" w14:paraId="267A5F50" w14:textId="77777777">
            <w:pPr>
              <w:pStyle w:val="paragraph"/>
              <w:textAlignment w:val="baseline"/>
              <w:rPr>
                <w:rStyle w:val="normaltextrun"/>
                <w:rFonts w:ascii="Calibri" w:hAnsi="Calibri"/>
                <w:sz w:val="20"/>
                <w:szCs w:val="20"/>
              </w:rPr>
            </w:pPr>
            <w:r w:rsidRPr="00F469B4">
              <w:rPr>
                <w:rStyle w:val="normaltextrun"/>
                <w:rFonts w:ascii="Calibri" w:hAnsi="Calibri"/>
                <w:sz w:val="20"/>
                <w:szCs w:val="20"/>
              </w:rPr>
              <w:t>One day post deadline:</w:t>
            </w:r>
          </w:p>
        </w:tc>
        <w:tc>
          <w:tcPr>
            <w:tcW w:w="6655" w:type="dxa"/>
          </w:tcPr>
          <w:p w:rsidRPr="00F469B4" w:rsidR="00B24AB7" w:rsidP="00B24AB7" w:rsidRDefault="00B24AB7" w14:paraId="3FA74239" w14:textId="44B1406D">
            <w:pPr>
              <w:rPr>
                <w:rStyle w:val="normaltextrun"/>
                <w:rFonts w:ascii="Calibri" w:hAnsi="Calibri"/>
                <w:sz w:val="20"/>
                <w:szCs w:val="20"/>
              </w:rPr>
            </w:pPr>
            <w:r w:rsidRPr="00F469B4">
              <w:rPr>
                <w:rStyle w:val="normaltextrun"/>
                <w:rFonts w:ascii="Calibri" w:hAnsi="Calibri"/>
                <w:sz w:val="20"/>
                <w:szCs w:val="20"/>
              </w:rPr>
              <w:t xml:space="preserve">The contractor will send an email informing the individual of the missed deadline </w:t>
            </w:r>
            <w:r w:rsidR="003467C5">
              <w:rPr>
                <w:rStyle w:val="normaltextrun"/>
                <w:rFonts w:ascii="Calibri" w:hAnsi="Calibri"/>
                <w:sz w:val="20"/>
                <w:szCs w:val="20"/>
              </w:rPr>
              <w:t xml:space="preserve">and </w:t>
            </w:r>
            <w:r w:rsidR="0006414F">
              <w:rPr>
                <w:rStyle w:val="normaltextrun"/>
                <w:rFonts w:ascii="Calibri" w:hAnsi="Calibri"/>
                <w:sz w:val="20"/>
                <w:szCs w:val="20"/>
              </w:rPr>
              <w:t xml:space="preserve">will </w:t>
            </w:r>
            <w:r w:rsidR="003467C5">
              <w:rPr>
                <w:rStyle w:val="normaltextrun"/>
                <w:rFonts w:ascii="Calibri" w:hAnsi="Calibri"/>
                <w:sz w:val="20"/>
                <w:szCs w:val="20"/>
              </w:rPr>
              <w:t xml:space="preserve">ask them to </w:t>
            </w:r>
            <w:r w:rsidR="00973C04">
              <w:rPr>
                <w:rStyle w:val="normaltextrun"/>
                <w:rFonts w:ascii="Calibri" w:hAnsi="Calibri"/>
                <w:sz w:val="20"/>
                <w:szCs w:val="20"/>
              </w:rPr>
              <w:t>respond with their plans to complete the survey</w:t>
            </w:r>
            <w:r w:rsidRPr="00F469B4">
              <w:rPr>
                <w:rStyle w:val="normaltextrun"/>
                <w:rFonts w:ascii="Calibri" w:hAnsi="Calibri"/>
                <w:sz w:val="20"/>
                <w:szCs w:val="20"/>
              </w:rPr>
              <w:t>.</w:t>
            </w:r>
            <w:r w:rsidR="00973C04">
              <w:rPr>
                <w:rStyle w:val="normaltextrun"/>
                <w:rFonts w:ascii="Calibri" w:hAnsi="Calibri"/>
                <w:sz w:val="20"/>
                <w:szCs w:val="20"/>
              </w:rPr>
              <w:t xml:space="preserve"> Any requests for extensions will be forward to the COR for approval</w:t>
            </w:r>
            <w:r w:rsidR="000F5B23">
              <w:rPr>
                <w:rStyle w:val="normaltextrun"/>
                <w:rFonts w:ascii="Calibri" w:hAnsi="Calibri"/>
                <w:sz w:val="20"/>
                <w:szCs w:val="20"/>
              </w:rPr>
              <w:t>.</w:t>
            </w:r>
          </w:p>
        </w:tc>
      </w:tr>
    </w:tbl>
    <w:p w:rsidRPr="00E77942" w:rsidR="00610779" w:rsidP="00E77942" w:rsidRDefault="00610779" w14:paraId="1C03C18F" w14:textId="7854FF7E">
      <w:pPr>
        <w:pStyle w:val="Bullets12ptCalibri-IPR"/>
        <w:numPr>
          <w:ilvl w:val="0"/>
          <w:numId w:val="0"/>
        </w:numPr>
        <w:spacing w:line="480" w:lineRule="auto"/>
        <w:jc w:val="both"/>
        <w:rPr>
          <w:b/>
          <w:bCs/>
          <w:iCs/>
          <w:u w:val="single"/>
        </w:rPr>
      </w:pPr>
    </w:p>
    <w:p w:rsidRPr="00E77942" w:rsidR="00FF2570" w:rsidP="019091E5" w:rsidRDefault="00FF2570" w14:paraId="2644500E" w14:textId="606E2D66">
      <w:pPr>
        <w:pStyle w:val="Bullets12ptCalibri-IPR"/>
        <w:spacing w:line="480" w:lineRule="auto"/>
        <w:jc w:val="both"/>
        <w:rPr>
          <w:b/>
          <w:bCs/>
          <w:i/>
          <w:iCs/>
        </w:rPr>
      </w:pPr>
      <w:r w:rsidRPr="019091E5">
        <w:rPr>
          <w:b/>
          <w:bCs/>
          <w:i/>
          <w:iCs/>
        </w:rPr>
        <w:t>Survey support (for technical issues and survey content questions)</w:t>
      </w:r>
      <w:r w:rsidRPr="019091E5" w:rsidR="000E19F7">
        <w:rPr>
          <w:b/>
          <w:bCs/>
          <w:i/>
          <w:iCs/>
        </w:rPr>
        <w:t>:</w:t>
      </w:r>
      <w:r>
        <w:t xml:space="preserve"> A helpdesk</w:t>
      </w:r>
      <w:r w:rsidR="00156F76">
        <w:t>/technical support</w:t>
      </w:r>
      <w:r>
        <w:t xml:space="preserve"> email </w:t>
      </w:r>
      <w:r w:rsidR="000E19F7">
        <w:t xml:space="preserve">and phone number </w:t>
      </w:r>
      <w:r>
        <w:t xml:space="preserve">will be provided to respondents on </w:t>
      </w:r>
      <w:r w:rsidR="00BE0E40">
        <w:t xml:space="preserve">the survey and </w:t>
      </w:r>
      <w:r>
        <w:t>all outreach emails</w:t>
      </w:r>
      <w:r w:rsidR="007C2ACE">
        <w:t>,</w:t>
      </w:r>
      <w:r>
        <w:t xml:space="preserve"> so that they may contact a representative with questions about the survey</w:t>
      </w:r>
      <w:r w:rsidR="000E19F7">
        <w:t xml:space="preserve"> or </w:t>
      </w:r>
      <w:r w:rsidR="00156F76">
        <w:t>troubleshoot</w:t>
      </w:r>
      <w:r w:rsidR="000E19F7">
        <w:t>ing</w:t>
      </w:r>
      <w:r w:rsidR="00156F76">
        <w:t xml:space="preserve"> issues such as login requirements</w:t>
      </w:r>
      <w:r w:rsidR="000E19F7">
        <w:t>.</w:t>
      </w:r>
      <w:r w:rsidR="00902BF0">
        <w:t xml:space="preserve"> The contractor will </w:t>
      </w:r>
      <w:r w:rsidR="00FE5208">
        <w:t>aim to respond to</w:t>
      </w:r>
      <w:r w:rsidR="005C255A">
        <w:t xml:space="preserve"> all initial questions within four hours o</w:t>
      </w:r>
      <w:r w:rsidR="00DD5228">
        <w:t xml:space="preserve">f receipt </w:t>
      </w:r>
      <w:r w:rsidR="005C255A">
        <w:t xml:space="preserve">and </w:t>
      </w:r>
      <w:r w:rsidR="00FE5208">
        <w:t xml:space="preserve">resolve those </w:t>
      </w:r>
      <w:r w:rsidR="005C255A">
        <w:t>issues within 48 hours</w:t>
      </w:r>
      <w:r w:rsidR="00FE5208">
        <w:t xml:space="preserve"> of receipt</w:t>
      </w:r>
      <w:r w:rsidR="005C255A">
        <w:t>.</w:t>
      </w:r>
      <w:r w:rsidR="00520AD7">
        <w:t xml:space="preserve"> </w:t>
      </w:r>
      <w:r w:rsidR="00474210">
        <w:t xml:space="preserve">It is our expectation that the vast majority of </w:t>
      </w:r>
      <w:r w:rsidR="00520AD7">
        <w:t xml:space="preserve">issues will be resolved </w:t>
      </w:r>
      <w:r w:rsidR="00474210">
        <w:t>on the same day they are received.</w:t>
      </w:r>
      <w:r w:rsidR="009F7D82">
        <w:t xml:space="preserve"> </w:t>
      </w:r>
      <w:r w:rsidR="00EA3A23">
        <w:t>The contractor</w:t>
      </w:r>
      <w:r w:rsidR="0003637C">
        <w:t xml:space="preserve"> staff will use</w:t>
      </w:r>
      <w:r w:rsidR="00E957A7">
        <w:t xml:space="preserve"> a</w:t>
      </w:r>
      <w:r w:rsidR="009F7D82">
        <w:t xml:space="preserve"> </w:t>
      </w:r>
      <w:r w:rsidR="007B24DE">
        <w:t xml:space="preserve">ticket </w:t>
      </w:r>
      <w:r w:rsidR="009F7D82">
        <w:t xml:space="preserve">management system </w:t>
      </w:r>
      <w:r w:rsidR="0003637C">
        <w:t xml:space="preserve">to log all </w:t>
      </w:r>
      <w:r w:rsidR="0028766F">
        <w:t xml:space="preserve">requests, to </w:t>
      </w:r>
      <w:r w:rsidR="009F7D82">
        <w:t xml:space="preserve">track completed </w:t>
      </w:r>
      <w:r w:rsidR="005B7C0B">
        <w:t>tickets</w:t>
      </w:r>
      <w:r w:rsidR="009F7D82">
        <w:t xml:space="preserve">, partially completed </w:t>
      </w:r>
      <w:r w:rsidR="005B7C0B">
        <w:t>tickets</w:t>
      </w:r>
      <w:r w:rsidR="009F7D82">
        <w:t xml:space="preserve">, and nonresponse </w:t>
      </w:r>
      <w:r w:rsidR="005B7C0B">
        <w:t xml:space="preserve">tickets </w:t>
      </w:r>
      <w:r w:rsidR="009F7D82">
        <w:t>throughout the data collection period</w:t>
      </w:r>
      <w:r w:rsidR="00DE3568">
        <w:t>; t</w:t>
      </w:r>
      <w:r w:rsidR="005B7C0B">
        <w:t>he ticket management system will be used daily by the contractor</w:t>
      </w:r>
      <w:r w:rsidR="005C255A">
        <w:t xml:space="preserve"> to </w:t>
      </w:r>
      <w:r w:rsidR="00840C94">
        <w:t xml:space="preserve">manage </w:t>
      </w:r>
      <w:r w:rsidR="005C255A">
        <w:t xml:space="preserve">open tickets through </w:t>
      </w:r>
      <w:r w:rsidR="00840C94">
        <w:t>to resolution</w:t>
      </w:r>
      <w:r w:rsidR="005B7C0B">
        <w:t>.</w:t>
      </w:r>
      <w:r w:rsidR="00DD5228">
        <w:t xml:space="preserve"> The </w:t>
      </w:r>
      <w:r w:rsidR="009F729B">
        <w:t xml:space="preserve">ticket management </w:t>
      </w:r>
      <w:r w:rsidR="00DD5228">
        <w:t>system will be available to NSF</w:t>
      </w:r>
      <w:r w:rsidR="00C76DB4">
        <w:t xml:space="preserve"> staff</w:t>
      </w:r>
      <w:r w:rsidR="00DD5228">
        <w:t xml:space="preserve">, and the contractor will </w:t>
      </w:r>
      <w:r w:rsidR="00FE5208">
        <w:t>submit</w:t>
      </w:r>
      <w:r w:rsidR="00DD5228">
        <w:t xml:space="preserve"> </w:t>
      </w:r>
      <w:r w:rsidR="009F729B">
        <w:t xml:space="preserve">weekly </w:t>
      </w:r>
      <w:r w:rsidR="00134568">
        <w:t xml:space="preserve">status </w:t>
      </w:r>
      <w:r w:rsidR="00DD5228">
        <w:t>reports</w:t>
      </w:r>
      <w:r w:rsidR="00134568">
        <w:t xml:space="preserve"> </w:t>
      </w:r>
      <w:r w:rsidR="00DD5228">
        <w:t>to the COR</w:t>
      </w:r>
      <w:r w:rsidR="009F729B">
        <w:t xml:space="preserve"> to report the number of open tickets, the number of tickets resolved, and the average time taken to resolve tickets</w:t>
      </w:r>
      <w:r w:rsidR="00DD5228">
        <w:t>.</w:t>
      </w:r>
      <w:r w:rsidR="009F7D82">
        <w:t xml:space="preserve">  </w:t>
      </w:r>
    </w:p>
    <w:p w:rsidRPr="000B5CFF" w:rsidR="00FF2570" w:rsidP="00DD5345" w:rsidRDefault="00FF2570" w14:paraId="1C01158A" w14:textId="589F249F">
      <w:pPr>
        <w:pStyle w:val="Hdng2-IPR"/>
        <w:jc w:val="both"/>
      </w:pPr>
      <w:bookmarkStart w:name="_Toc416426644" w:id="5"/>
      <w:r w:rsidRPr="00BE0E40">
        <w:t xml:space="preserve">B.4. </w:t>
      </w:r>
      <w:r w:rsidRPr="00BE0E40">
        <w:tab/>
        <w:t>Tests of Procedures</w:t>
      </w:r>
      <w:bookmarkEnd w:id="5"/>
      <w:r w:rsidR="009D6805">
        <w:t xml:space="preserve"> or Methods</w:t>
      </w:r>
    </w:p>
    <w:p w:rsidRPr="000B5CFF" w:rsidR="00FF2570" w:rsidP="00DD5345" w:rsidRDefault="00FF2570" w14:paraId="70A408D3" w14:textId="77777777">
      <w:pPr>
        <w:pStyle w:val="OMBRequirementCalibri"/>
        <w:jc w:val="both"/>
      </w:pPr>
      <w:r w:rsidRPr="000B5CFF">
        <w:t>Describe any tests of procedures or methods to be undertaken.</w:t>
      </w:r>
      <w:r>
        <w:t xml:space="preserve"> </w:t>
      </w:r>
      <w:r w:rsidRPr="000B5CFF">
        <w:t>Testing is encouraged as an effective means of refining collections of information to minimize burden and improve utility.</w:t>
      </w:r>
      <w:r>
        <w:t xml:space="preserve"> </w:t>
      </w:r>
      <w:r w:rsidRPr="000B5CFF">
        <w:t>Tests must be approved if they call for answers to identical questions from 10 or more respondents.</w:t>
      </w:r>
      <w:r>
        <w:t xml:space="preserve"> </w:t>
      </w:r>
      <w:r w:rsidRPr="000B5CFF">
        <w:t>A proposed test or set of tests may be submitted for approval separately or in combination with the main collection of information.</w:t>
      </w:r>
    </w:p>
    <w:p w:rsidR="009D7D1F" w:rsidP="00330C3E" w:rsidRDefault="00EC210C" w14:paraId="6D8278FF" w14:textId="130215D7">
      <w:pPr>
        <w:pStyle w:val="Body12ptCalibri-IPR"/>
      </w:pPr>
      <w:r>
        <w:lastRenderedPageBreak/>
        <w:t>T</w:t>
      </w:r>
      <w:r w:rsidR="00DC1C3B">
        <w:t xml:space="preserve">he </w:t>
      </w:r>
      <w:r>
        <w:t xml:space="preserve">NRT data </w:t>
      </w:r>
      <w:r w:rsidR="00DC1C3B">
        <w:t xml:space="preserve">collection </w:t>
      </w:r>
      <w:r w:rsidR="000809CE">
        <w:t xml:space="preserve">has been </w:t>
      </w:r>
      <w:r w:rsidR="00DC1C3B">
        <w:t>tested</w:t>
      </w:r>
      <w:r w:rsidR="001A2964">
        <w:t xml:space="preserve"> </w:t>
      </w:r>
      <w:r w:rsidRPr="7178BC45" w:rsidR="001A2964">
        <w:rPr>
          <w:rFonts w:ascii="Calibri" w:hAnsi="Calibri"/>
        </w:rPr>
        <w:t>using a pilot test to obtain user f</w:t>
      </w:r>
      <w:r w:rsidRPr="7178BC45" w:rsidR="001A2964">
        <w:rPr>
          <w:rStyle w:val="normaltextrun"/>
          <w:rFonts w:ascii="Calibri" w:hAnsi="Calibri"/>
        </w:rPr>
        <w:t>eedback to ensure that the questions can be answered in a reasonable amount of time (i.e.</w:t>
      </w:r>
      <w:r w:rsidRPr="7178BC45" w:rsidR="2065DB91">
        <w:rPr>
          <w:rStyle w:val="normaltextrun"/>
          <w:rFonts w:ascii="Calibri" w:hAnsi="Calibri"/>
        </w:rPr>
        <w:t>,</w:t>
      </w:r>
      <w:r w:rsidRPr="7178BC45" w:rsidR="001A2964">
        <w:rPr>
          <w:rStyle w:val="normaltextrun"/>
          <w:rFonts w:ascii="Calibri" w:hAnsi="Calibri"/>
        </w:rPr>
        <w:t xml:space="preserve"> that the burden estimates are accurate) and that the directions and question content are easy to understand and follow.</w:t>
      </w:r>
      <w:r w:rsidRPr="7178BC45" w:rsidR="001A2964">
        <w:rPr>
          <w:rStyle w:val="eop"/>
          <w:rFonts w:ascii="Calibri" w:hAnsi="Calibri"/>
        </w:rPr>
        <w:t xml:space="preserve"> The pilot test involved nine individuals who were either PIs or Coordinators. </w:t>
      </w:r>
      <w:r w:rsidRPr="7178BC45" w:rsidR="00193001">
        <w:rPr>
          <w:rStyle w:val="eop"/>
          <w:rFonts w:ascii="Calibri" w:hAnsi="Calibri"/>
        </w:rPr>
        <w:t>M</w:t>
      </w:r>
      <w:r w:rsidRPr="7178BC45" w:rsidR="001A2964">
        <w:rPr>
          <w:rStyle w:val="eop"/>
          <w:rFonts w:ascii="Calibri" w:hAnsi="Calibri"/>
        </w:rPr>
        <w:t xml:space="preserve">embers from the contracting team and NSF moderated video “Think Aloud” exercises with two </w:t>
      </w:r>
      <w:r w:rsidRPr="7178BC45" w:rsidR="00193001">
        <w:rPr>
          <w:rStyle w:val="eop"/>
          <w:rFonts w:ascii="Calibri" w:hAnsi="Calibri"/>
        </w:rPr>
        <w:t>of the nine pilot testers</w:t>
      </w:r>
      <w:r w:rsidRPr="7178BC45" w:rsidR="001A2964">
        <w:rPr>
          <w:rStyle w:val="eop"/>
          <w:rFonts w:ascii="Calibri" w:hAnsi="Calibri"/>
        </w:rPr>
        <w:t xml:space="preserve">. Data obtained from </w:t>
      </w:r>
      <w:r w:rsidRPr="7178BC45" w:rsidR="009F705E">
        <w:rPr>
          <w:rStyle w:val="eop"/>
          <w:rFonts w:ascii="Calibri" w:hAnsi="Calibri"/>
        </w:rPr>
        <w:t>pilot test</w:t>
      </w:r>
      <w:r w:rsidRPr="7178BC45" w:rsidR="001A2964">
        <w:rPr>
          <w:rStyle w:val="eop"/>
          <w:rFonts w:ascii="Calibri" w:hAnsi="Calibri"/>
        </w:rPr>
        <w:t xml:space="preserve"> revealed some areas </w:t>
      </w:r>
      <w:r w:rsidRPr="7178BC45" w:rsidR="0095591E">
        <w:rPr>
          <w:rStyle w:val="eop"/>
          <w:rFonts w:ascii="Calibri" w:hAnsi="Calibri"/>
        </w:rPr>
        <w:t xml:space="preserve">needing </w:t>
      </w:r>
      <w:r w:rsidRPr="7178BC45" w:rsidR="001A2964">
        <w:rPr>
          <w:rStyle w:val="eop"/>
          <w:rFonts w:ascii="Calibri" w:hAnsi="Calibri"/>
        </w:rPr>
        <w:t xml:space="preserve">clarification that have since been addressed. </w:t>
      </w:r>
      <w:r w:rsidRPr="7178BC45" w:rsidR="001A2964">
        <w:rPr>
          <w:rFonts w:ascii="Calibri" w:hAnsi="Calibri"/>
        </w:rPr>
        <w:t>The system will continue to be tested throughout the data collection by allowing respondents to provide comments and feedback using the Web system.</w:t>
      </w:r>
      <w:r w:rsidRPr="7178BC45" w:rsidR="00F0284B">
        <w:rPr>
          <w:rFonts w:ascii="Calibri" w:hAnsi="Calibri"/>
        </w:rPr>
        <w:t xml:space="preserve"> </w:t>
      </w:r>
      <w:r w:rsidR="00745FCE">
        <w:t>Any i</w:t>
      </w:r>
      <w:r w:rsidR="00DC1C3B">
        <w:t>nput on th</w:t>
      </w:r>
      <w:r w:rsidR="00745FCE">
        <w:t>e</w:t>
      </w:r>
      <w:r w:rsidR="00DC1C3B">
        <w:t xml:space="preserve"> system received from users </w:t>
      </w:r>
      <w:r w:rsidR="00745FCE">
        <w:t>will be shared with NSF</w:t>
      </w:r>
      <w:r w:rsidR="00B87E75">
        <w:t>,</w:t>
      </w:r>
      <w:r w:rsidR="00745FCE">
        <w:t xml:space="preserve"> and</w:t>
      </w:r>
      <w:r w:rsidR="00AB5174">
        <w:t xml:space="preserve"> </w:t>
      </w:r>
      <w:r w:rsidR="00210F93">
        <w:t xml:space="preserve">any </w:t>
      </w:r>
      <w:r w:rsidR="00AB5174">
        <w:t>changes</w:t>
      </w:r>
      <w:r w:rsidR="00210F93">
        <w:t xml:space="preserve"> needed</w:t>
      </w:r>
      <w:r w:rsidR="00AB5174">
        <w:t xml:space="preserve"> </w:t>
      </w:r>
      <w:r w:rsidR="00455A47">
        <w:t>will</w:t>
      </w:r>
      <w:r w:rsidR="00AB5174">
        <w:t xml:space="preserve"> be</w:t>
      </w:r>
      <w:r w:rsidR="00DC1C3B">
        <w:t xml:space="preserve"> implemented as the system is upgraded</w:t>
      </w:r>
      <w:r w:rsidR="00210F93">
        <w:t xml:space="preserve"> in the future</w:t>
      </w:r>
      <w:r w:rsidR="00DC1C3B">
        <w:t xml:space="preserve">. Other </w:t>
      </w:r>
      <w:r w:rsidR="00FE5208">
        <w:t>opportunities</w:t>
      </w:r>
      <w:r w:rsidR="00DC1C3B">
        <w:t xml:space="preserve"> </w:t>
      </w:r>
      <w:r w:rsidR="00FE5208">
        <w:t>to obtain feedback for improvement purposes</w:t>
      </w:r>
      <w:r w:rsidR="00DC1C3B">
        <w:t xml:space="preserve"> include </w:t>
      </w:r>
      <w:r w:rsidR="004B704B">
        <w:t xml:space="preserve">collecting </w:t>
      </w:r>
      <w:r w:rsidR="00DC1C3B">
        <w:t>feedback from PIs</w:t>
      </w:r>
      <w:r w:rsidR="005100A7">
        <w:t xml:space="preserve"> </w:t>
      </w:r>
      <w:r w:rsidR="00DC1C3B">
        <w:t xml:space="preserve">during meetings and conferences; </w:t>
      </w:r>
      <w:r w:rsidR="004B704B">
        <w:t xml:space="preserve">comprehensive </w:t>
      </w:r>
      <w:r w:rsidR="00DC1C3B">
        <w:t>review</w:t>
      </w:r>
      <w:r w:rsidR="004B704B">
        <w:t>s</w:t>
      </w:r>
      <w:r w:rsidR="00DC1C3B">
        <w:t xml:space="preserve"> by NSF staff; and testing performed by the system developers. </w:t>
      </w:r>
      <w:r w:rsidR="002E7E71">
        <w:t>In addition, t</w:t>
      </w:r>
      <w:r w:rsidR="000F4786">
        <w:t>he NRT</w:t>
      </w:r>
      <w:r w:rsidR="00DC1C3B">
        <w:t xml:space="preserve"> system </w:t>
      </w:r>
      <w:r w:rsidR="000F4786">
        <w:t>is</w:t>
      </w:r>
      <w:r w:rsidR="00DC1C3B">
        <w:t xml:space="preserve"> based on data collection methods currently used by other NSF </w:t>
      </w:r>
      <w:r w:rsidR="000C34B3">
        <w:t>data collections</w:t>
      </w:r>
      <w:r w:rsidR="00DC1C3B">
        <w:t xml:space="preserve">, and many of the items and response categories follow formats that are already in </w:t>
      </w:r>
      <w:r w:rsidR="00CF6B08">
        <w:t>use</w:t>
      </w:r>
      <w:r w:rsidR="00F4204C">
        <w:t xml:space="preserve">. </w:t>
      </w:r>
    </w:p>
    <w:p w:rsidRPr="000B5CFF" w:rsidR="00FF2570" w:rsidP="00DD5345" w:rsidRDefault="00FF2570" w14:paraId="54D629C7" w14:textId="77777777">
      <w:pPr>
        <w:pStyle w:val="Hdng2-IPR"/>
        <w:jc w:val="both"/>
      </w:pPr>
      <w:bookmarkStart w:name="_Toc416426645" w:id="6"/>
      <w:r w:rsidRPr="000B5CFF">
        <w:t xml:space="preserve">B.5. </w:t>
      </w:r>
      <w:r w:rsidRPr="000B5CFF">
        <w:tab/>
        <w:t>Consultants</w:t>
      </w:r>
      <w:bookmarkEnd w:id="6"/>
      <w:r w:rsidRPr="000B5CFF">
        <w:t xml:space="preserve"> </w:t>
      </w:r>
    </w:p>
    <w:p w:rsidRPr="000B5CFF" w:rsidR="00FF2570" w:rsidP="00DD5345" w:rsidRDefault="00FF2570" w14:paraId="370D9D1F" w14:textId="77777777">
      <w:pPr>
        <w:pStyle w:val="OMBRequirementCalibri"/>
        <w:jc w:val="both"/>
      </w:pPr>
      <w:r w:rsidRPr="000B5CFF">
        <w:t>Provide the name and telephone number of individuals consulted on statistical aspects of the design and the name of the agency unit, contractor(s), grantee(s), or other person(s) who will actually collect and/or analyze the information for the agency.</w:t>
      </w:r>
    </w:p>
    <w:p w:rsidRPr="000B5CFF" w:rsidR="00FF2570" w:rsidP="344289A7" w:rsidRDefault="00FF2570" w14:paraId="20518255" w14:textId="2F401960">
      <w:pPr>
        <w:pStyle w:val="Body12ptCalibri-IPR"/>
        <w:rPr>
          <w:b/>
          <w:bCs/>
          <w:sz w:val="18"/>
          <w:szCs w:val="18"/>
        </w:rPr>
      </w:pPr>
      <w:r>
        <w:t xml:space="preserve">NSF has contracted with </w:t>
      </w:r>
      <w:r w:rsidR="00BF4A96">
        <w:t>Creative Business Solutions, Inc. (CBS)</w:t>
      </w:r>
      <w:r>
        <w:t xml:space="preserve"> to </w:t>
      </w:r>
      <w:r w:rsidR="00B76B3A">
        <w:t xml:space="preserve">produce and </w:t>
      </w:r>
      <w:r w:rsidR="000E19F7">
        <w:t>conduct the</w:t>
      </w:r>
      <w:r>
        <w:t xml:space="preserve"> </w:t>
      </w:r>
      <w:r w:rsidR="00173BFE">
        <w:t xml:space="preserve">data collection using the </w:t>
      </w:r>
      <w:r w:rsidR="00B76B3A">
        <w:t>NRT monitoring system</w:t>
      </w:r>
      <w:r>
        <w:t>. Table B.5.1 identifies specific</w:t>
      </w:r>
      <w:r w:rsidR="008F4632">
        <w:t xml:space="preserve"> individuals who</w:t>
      </w:r>
      <w:r>
        <w:t xml:space="preserve"> </w:t>
      </w:r>
      <w:r w:rsidR="000E19F7">
        <w:t>consulted on</w:t>
      </w:r>
      <w:r>
        <w:t xml:space="preserve"> </w:t>
      </w:r>
      <w:r w:rsidR="005866C7">
        <w:t xml:space="preserve">survey </w:t>
      </w:r>
      <w:r>
        <w:t>design</w:t>
      </w:r>
      <w:r w:rsidR="005866C7">
        <w:t xml:space="preserve"> and development</w:t>
      </w:r>
      <w:r>
        <w:t xml:space="preserve"> and </w:t>
      </w:r>
      <w:r w:rsidR="005866C7">
        <w:t xml:space="preserve">who </w:t>
      </w:r>
      <w:r>
        <w:t>will be responsible for collecting and analyzing the data.</w:t>
      </w:r>
      <w:r w:rsidR="000E19F7">
        <w:t xml:space="preserve"> </w:t>
      </w:r>
      <w:r>
        <w:t xml:space="preserve">The Contracting Officer Representative (COR), </w:t>
      </w:r>
      <w:r w:rsidR="00F93BBD">
        <w:t>Elizabeth Webber,</w:t>
      </w:r>
      <w:r>
        <w:t xml:space="preserve"> will be </w:t>
      </w:r>
      <w:r>
        <w:lastRenderedPageBreak/>
        <w:t>responsible for receiving and approving all contract deliverables.</w:t>
      </w:r>
      <w:bookmarkStart w:name="_Toc297294266" w:id="7"/>
      <w:bookmarkStart w:name="_Toc309717690" w:id="8"/>
      <w:r w:rsidR="005508DF">
        <w:t xml:space="preserve"> CBS’s project manager, Sean Teehan</w:t>
      </w:r>
      <w:r w:rsidR="0000432A">
        <w:t>, (see below for contact details) will work with the COR</w:t>
      </w:r>
      <w:r w:rsidR="001F3210">
        <w:t xml:space="preserve"> on any data analysis needs.</w:t>
      </w:r>
    </w:p>
    <w:p w:rsidR="007C2685" w:rsidP="00DD5345" w:rsidRDefault="007C2685" w14:paraId="6CA7589F" w14:textId="77777777">
      <w:pPr>
        <w:pStyle w:val="TableTitle"/>
        <w:jc w:val="left"/>
      </w:pPr>
    </w:p>
    <w:p w:rsidR="007C2685" w:rsidP="00DD5345" w:rsidRDefault="007C2685" w14:paraId="6F5AF5D7" w14:textId="77777777">
      <w:pPr>
        <w:pStyle w:val="TableTitle"/>
        <w:jc w:val="left"/>
      </w:pPr>
    </w:p>
    <w:p w:rsidR="007C2685" w:rsidP="00DD5345" w:rsidRDefault="007C2685" w14:paraId="107AA4F3" w14:textId="77777777">
      <w:pPr>
        <w:pStyle w:val="TableTitle"/>
        <w:jc w:val="left"/>
      </w:pPr>
    </w:p>
    <w:p w:rsidRPr="006C4F77" w:rsidR="00FF2570" w:rsidP="00DD5345" w:rsidRDefault="00FF2570" w14:paraId="7201C913" w14:textId="0F9634F7">
      <w:pPr>
        <w:pStyle w:val="TableTitle"/>
        <w:jc w:val="left"/>
      </w:pPr>
      <w:r w:rsidRPr="006C4F77">
        <w:t>Table B.5.1</w:t>
      </w:r>
    </w:p>
    <w:p w:rsidRPr="00BC2681" w:rsidR="00FF2570" w:rsidP="00DD5345" w:rsidRDefault="00FF2570" w14:paraId="498BC1B5" w14:textId="1DCE9F9C">
      <w:pPr>
        <w:pStyle w:val="TableTitle"/>
        <w:jc w:val="left"/>
      </w:pPr>
      <w:r w:rsidRPr="00EC0830">
        <w:t>Individuals Responsible for Statistical Aspects</w:t>
      </w:r>
      <w:r w:rsidR="00437095">
        <w:t>,</w:t>
      </w:r>
      <w:r w:rsidRPr="00EC0830">
        <w:t xml:space="preserve"> Data Collection</w:t>
      </w:r>
      <w:r w:rsidR="00437095">
        <w:t>,</w:t>
      </w:r>
      <w:r w:rsidRPr="00EC0830">
        <w:t xml:space="preserve"> and Analysis</w:t>
      </w:r>
      <w:bookmarkEnd w:id="7"/>
      <w:bookmarkEnd w:id="8"/>
    </w:p>
    <w:tbl>
      <w:tblPr>
        <w:tblStyle w:val="LightShading"/>
        <w:tblW w:w="5000" w:type="pct"/>
        <w:jc w:val="center"/>
        <w:tblLook w:val="04A0" w:firstRow="1" w:lastRow="0" w:firstColumn="1" w:lastColumn="0" w:noHBand="0" w:noVBand="1"/>
      </w:tblPr>
      <w:tblGrid>
        <w:gridCol w:w="1778"/>
        <w:gridCol w:w="2550"/>
        <w:gridCol w:w="3167"/>
        <w:gridCol w:w="1865"/>
      </w:tblGrid>
      <w:tr w:rsidRPr="006C4F77" w:rsidR="00FF2570" w:rsidTr="00D36BBC" w14:paraId="4CE95A76" w14:textId="77777777">
        <w:trPr>
          <w:cnfStyle w:val="100000000000" w:firstRow="1" w:lastRow="0" w:firstColumn="0" w:lastColumn="0" w:oddVBand="0" w:evenVBand="0" w:oddHBand="0"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950" w:type="pct"/>
            <w:tcBorders>
              <w:bottom w:val="nil"/>
            </w:tcBorders>
            <w:shd w:val="clear" w:color="auto" w:fill="8496B0" w:themeFill="text2" w:themeFillTint="99"/>
          </w:tcPr>
          <w:p w:rsidRPr="005866C7" w:rsidR="00FF2570" w:rsidP="00D36BBC" w:rsidRDefault="00FF2570" w14:paraId="11931480" w14:textId="77777777">
            <w:pPr>
              <w:pStyle w:val="TableText-IPR"/>
              <w:rPr>
                <w:color w:val="FFFFFF" w:themeColor="background1"/>
              </w:rPr>
            </w:pPr>
            <w:r w:rsidRPr="005866C7">
              <w:rPr>
                <w:color w:val="FFFFFF" w:themeColor="background1"/>
              </w:rPr>
              <w:t>Name</w:t>
            </w:r>
          </w:p>
        </w:tc>
        <w:tc>
          <w:tcPr>
            <w:tcW w:w="1362" w:type="pct"/>
            <w:tcBorders>
              <w:bottom w:val="nil"/>
            </w:tcBorders>
            <w:shd w:val="clear" w:color="auto" w:fill="8496B0" w:themeFill="text2" w:themeFillTint="99"/>
          </w:tcPr>
          <w:p w:rsidRPr="005866C7" w:rsidR="00FF2570" w:rsidP="00D36BBC" w:rsidRDefault="00FF2570" w14:paraId="52861A83" w14:textId="77777777">
            <w:pPr>
              <w:pStyle w:val="TableText-IPR"/>
              <w:cnfStyle w:val="100000000000" w:firstRow="1" w:lastRow="0" w:firstColumn="0" w:lastColumn="0" w:oddVBand="0" w:evenVBand="0" w:oddHBand="0" w:evenHBand="0" w:firstRowFirstColumn="0" w:firstRowLastColumn="0" w:lastRowFirstColumn="0" w:lastRowLastColumn="0"/>
              <w:rPr>
                <w:color w:val="FFFFFF" w:themeColor="background1"/>
              </w:rPr>
            </w:pPr>
            <w:r w:rsidRPr="005866C7">
              <w:rPr>
                <w:color w:val="FFFFFF" w:themeColor="background1"/>
              </w:rPr>
              <w:t>Title (Project Role)</w:t>
            </w:r>
          </w:p>
        </w:tc>
        <w:tc>
          <w:tcPr>
            <w:tcW w:w="1692" w:type="pct"/>
            <w:tcBorders>
              <w:bottom w:val="nil"/>
            </w:tcBorders>
            <w:shd w:val="clear" w:color="auto" w:fill="8496B0" w:themeFill="text2" w:themeFillTint="99"/>
          </w:tcPr>
          <w:p w:rsidRPr="005866C7" w:rsidR="00FF2570" w:rsidP="00D36BBC" w:rsidRDefault="00FF2570" w14:paraId="7DB3ED47" w14:textId="77777777">
            <w:pPr>
              <w:pStyle w:val="TableText-IPR"/>
              <w:cnfStyle w:val="100000000000" w:firstRow="1" w:lastRow="0" w:firstColumn="0" w:lastColumn="0" w:oddVBand="0" w:evenVBand="0" w:oddHBand="0" w:evenHBand="0" w:firstRowFirstColumn="0" w:firstRowLastColumn="0" w:lastRowFirstColumn="0" w:lastRowLastColumn="0"/>
              <w:rPr>
                <w:color w:val="FFFFFF" w:themeColor="background1"/>
              </w:rPr>
            </w:pPr>
            <w:r w:rsidRPr="005866C7">
              <w:rPr>
                <w:color w:val="FFFFFF" w:themeColor="background1"/>
              </w:rPr>
              <w:t>Organizational Affiliation and Address</w:t>
            </w:r>
          </w:p>
        </w:tc>
        <w:tc>
          <w:tcPr>
            <w:tcW w:w="996" w:type="pct"/>
            <w:tcBorders>
              <w:bottom w:val="nil"/>
            </w:tcBorders>
            <w:shd w:val="clear" w:color="auto" w:fill="8496B0" w:themeFill="text2" w:themeFillTint="99"/>
          </w:tcPr>
          <w:p w:rsidRPr="005866C7" w:rsidR="00FF2570" w:rsidP="00D36BBC" w:rsidRDefault="00FF2570" w14:paraId="7AA2A6E3" w14:textId="77777777">
            <w:pPr>
              <w:pStyle w:val="TableText-IPR"/>
              <w:cnfStyle w:val="100000000000" w:firstRow="1" w:lastRow="0" w:firstColumn="0" w:lastColumn="0" w:oddVBand="0" w:evenVBand="0" w:oddHBand="0" w:evenHBand="0" w:firstRowFirstColumn="0" w:firstRowLastColumn="0" w:lastRowFirstColumn="0" w:lastRowLastColumn="0"/>
              <w:rPr>
                <w:color w:val="FFFFFF" w:themeColor="background1"/>
              </w:rPr>
            </w:pPr>
            <w:r w:rsidRPr="005866C7">
              <w:rPr>
                <w:color w:val="FFFFFF" w:themeColor="background1"/>
              </w:rPr>
              <w:t>Phone Number</w:t>
            </w:r>
          </w:p>
        </w:tc>
      </w:tr>
      <w:tr w:rsidRPr="000B5CFF" w:rsidR="00FF2570" w:rsidDel="00F721F7" w:rsidTr="00F93BBD" w14:paraId="4DCDD19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950" w:type="pct"/>
            <w:tcBorders>
              <w:top w:val="nil"/>
              <w:bottom w:val="nil"/>
            </w:tcBorders>
            <w:shd w:val="clear" w:color="auto" w:fill="auto"/>
            <w:vAlign w:val="center"/>
          </w:tcPr>
          <w:p w:rsidRPr="005866C7" w:rsidR="00FF2570" w:rsidDel="00F721F7" w:rsidP="00F93BBD" w:rsidRDefault="007F7603" w14:paraId="2F402E6B" w14:textId="2DE0E83F">
            <w:pPr>
              <w:pStyle w:val="TableText-IPR"/>
            </w:pPr>
            <w:r w:rsidRPr="005866C7">
              <w:t>Elizabeth Webber</w:t>
            </w:r>
          </w:p>
        </w:tc>
        <w:tc>
          <w:tcPr>
            <w:tcW w:w="1362" w:type="pct"/>
            <w:tcBorders>
              <w:top w:val="nil"/>
              <w:bottom w:val="nil"/>
            </w:tcBorders>
            <w:shd w:val="clear" w:color="auto" w:fill="auto"/>
            <w:vAlign w:val="center"/>
          </w:tcPr>
          <w:p w:rsidRPr="005866C7" w:rsidR="00FF2570" w:rsidDel="00F721F7" w:rsidP="00F93BBD" w:rsidRDefault="00F93BBD" w14:paraId="0B896FEC" w14:textId="12393615">
            <w:pPr>
              <w:pStyle w:val="TableText-IPR"/>
              <w:cnfStyle w:val="000000100000" w:firstRow="0" w:lastRow="0" w:firstColumn="0" w:lastColumn="0" w:oddVBand="0" w:evenVBand="0" w:oddHBand="1" w:evenHBand="0" w:firstRowFirstColumn="0" w:firstRowLastColumn="0" w:lastRowFirstColumn="0" w:lastRowLastColumn="0"/>
              <w:rPr>
                <w:color w:val="auto"/>
              </w:rPr>
            </w:pPr>
            <w:r w:rsidRPr="005866C7">
              <w:rPr>
                <w:color w:val="auto"/>
              </w:rPr>
              <w:t>NSF Contract</w:t>
            </w:r>
            <w:r w:rsidR="005866C7">
              <w:rPr>
                <w:color w:val="auto"/>
              </w:rPr>
              <w:t>ing Officer Representative</w:t>
            </w:r>
          </w:p>
        </w:tc>
        <w:tc>
          <w:tcPr>
            <w:tcW w:w="1692" w:type="pct"/>
            <w:tcBorders>
              <w:top w:val="nil"/>
              <w:bottom w:val="nil"/>
            </w:tcBorders>
            <w:shd w:val="clear" w:color="auto" w:fill="auto"/>
            <w:vAlign w:val="center"/>
          </w:tcPr>
          <w:p w:rsidRPr="005866C7" w:rsidR="005866C7" w:rsidP="005866C7" w:rsidRDefault="005866C7" w14:paraId="67A6922E" w14:textId="77777777">
            <w:pPr>
              <w:cnfStyle w:val="000000100000" w:firstRow="0" w:lastRow="0" w:firstColumn="0" w:lastColumn="0" w:oddVBand="0" w:evenVBand="0" w:oddHBand="1" w:evenHBand="0" w:firstRowFirstColumn="0" w:firstRowLastColumn="0" w:lastRowFirstColumn="0" w:lastRowLastColumn="0"/>
              <w:rPr>
                <w:rFonts w:ascii="Calibri" w:hAnsi="Calibri"/>
                <w:b/>
                <w:color w:val="auto"/>
                <w:sz w:val="20"/>
                <w:szCs w:val="20"/>
              </w:rPr>
            </w:pPr>
            <w:r w:rsidRPr="005866C7">
              <w:rPr>
                <w:rFonts w:ascii="Calibri" w:hAnsi="Calibri"/>
                <w:b/>
                <w:bCs/>
                <w:color w:val="auto"/>
                <w:sz w:val="20"/>
                <w:szCs w:val="20"/>
              </w:rPr>
              <w:t>National Science Foundation</w:t>
            </w:r>
          </w:p>
          <w:p w:rsidR="005866C7" w:rsidP="005866C7" w:rsidRDefault="005866C7" w14:paraId="37DC89B0" w14:textId="6E58DDCC">
            <w:pPr>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0"/>
              </w:rPr>
            </w:pPr>
            <w:r>
              <w:rPr>
                <w:rFonts w:ascii="Calibri" w:hAnsi="Calibri"/>
                <w:color w:val="auto"/>
                <w:sz w:val="20"/>
                <w:szCs w:val="20"/>
              </w:rPr>
              <w:t>2415 Eisenhower Ave.</w:t>
            </w:r>
          </w:p>
          <w:p w:rsidRPr="005866C7" w:rsidR="00FF2570" w:rsidDel="00F721F7" w:rsidP="005866C7" w:rsidRDefault="005866C7" w14:paraId="41725DEA" w14:textId="229AF869">
            <w:pPr>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0"/>
              </w:rPr>
            </w:pPr>
            <w:r w:rsidRPr="005866C7">
              <w:rPr>
                <w:rFonts w:ascii="Calibri" w:hAnsi="Calibri"/>
                <w:color w:val="auto"/>
                <w:sz w:val="20"/>
                <w:szCs w:val="20"/>
              </w:rPr>
              <w:t>Alexandria, VA 22314</w:t>
            </w:r>
          </w:p>
        </w:tc>
        <w:tc>
          <w:tcPr>
            <w:tcW w:w="996" w:type="pct"/>
            <w:tcBorders>
              <w:top w:val="nil"/>
              <w:bottom w:val="nil"/>
            </w:tcBorders>
            <w:shd w:val="clear" w:color="auto" w:fill="auto"/>
            <w:vAlign w:val="center"/>
          </w:tcPr>
          <w:p w:rsidRPr="005866C7" w:rsidR="00FF2570" w:rsidDel="00F721F7" w:rsidP="00F93BBD" w:rsidRDefault="005866C7" w14:paraId="5B89BABD" w14:textId="575117D2">
            <w:pPr>
              <w:pStyle w:val="TableText-IPR"/>
              <w:cnfStyle w:val="000000100000" w:firstRow="0" w:lastRow="0" w:firstColumn="0" w:lastColumn="0" w:oddVBand="0" w:evenVBand="0" w:oddHBand="1" w:evenHBand="0" w:firstRowFirstColumn="0" w:firstRowLastColumn="0" w:lastRowFirstColumn="0" w:lastRowLastColumn="0"/>
            </w:pPr>
            <w:r w:rsidRPr="005866C7">
              <w:t>703-292-4316</w:t>
            </w:r>
          </w:p>
        </w:tc>
      </w:tr>
      <w:tr w:rsidRPr="000B5CFF" w:rsidR="00FF2570" w:rsidTr="00F93BBD" w14:paraId="7434795F"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950" w:type="pct"/>
            <w:tcBorders>
              <w:top w:val="nil"/>
              <w:bottom w:val="nil"/>
            </w:tcBorders>
            <w:shd w:val="clear" w:color="auto" w:fill="D9D9D9" w:themeFill="background1" w:themeFillShade="D9"/>
            <w:vAlign w:val="center"/>
          </w:tcPr>
          <w:p w:rsidRPr="005866C7" w:rsidR="00FF2570" w:rsidP="00F93BBD" w:rsidRDefault="00F93BBD" w14:paraId="6BEF0531" w14:textId="1EE16CEA">
            <w:pPr>
              <w:pStyle w:val="TableText-IPR"/>
            </w:pPr>
            <w:r w:rsidRPr="005866C7">
              <w:t>Daniel Denecke</w:t>
            </w:r>
          </w:p>
        </w:tc>
        <w:tc>
          <w:tcPr>
            <w:tcW w:w="1362" w:type="pct"/>
            <w:tcBorders>
              <w:top w:val="nil"/>
              <w:bottom w:val="nil"/>
            </w:tcBorders>
            <w:shd w:val="clear" w:color="auto" w:fill="D9D9D9" w:themeFill="background1" w:themeFillShade="D9"/>
            <w:vAlign w:val="center"/>
          </w:tcPr>
          <w:p w:rsidRPr="005866C7" w:rsidR="00FF2570" w:rsidP="00F93BBD" w:rsidRDefault="00FF2570" w14:paraId="6489D7CE" w14:textId="1AAD80F0">
            <w:pPr>
              <w:pStyle w:val="TableText-IPR"/>
              <w:cnfStyle w:val="000000000000" w:firstRow="0" w:lastRow="0" w:firstColumn="0" w:lastColumn="0" w:oddVBand="0" w:evenVBand="0" w:oddHBand="0" w:evenHBand="0" w:firstRowFirstColumn="0" w:firstRowLastColumn="0" w:lastRowFirstColumn="0" w:lastRowLastColumn="0"/>
            </w:pPr>
            <w:r w:rsidRPr="005866C7">
              <w:t xml:space="preserve"> </w:t>
            </w:r>
            <w:r w:rsidRPr="005866C7" w:rsidR="00F93BBD">
              <w:t>NSF-NRT Program Director</w:t>
            </w:r>
          </w:p>
        </w:tc>
        <w:tc>
          <w:tcPr>
            <w:tcW w:w="1692" w:type="pct"/>
            <w:tcBorders>
              <w:top w:val="nil"/>
              <w:bottom w:val="nil"/>
            </w:tcBorders>
            <w:shd w:val="clear" w:color="auto" w:fill="D9D9D9" w:themeFill="background1" w:themeFillShade="D9"/>
            <w:vAlign w:val="center"/>
          </w:tcPr>
          <w:p w:rsidRPr="005866C7" w:rsidR="005866C7" w:rsidP="005866C7" w:rsidRDefault="005866C7" w14:paraId="68786EB4" w14:textId="77777777">
            <w:pPr>
              <w:pStyle w:val="TableText-IPR"/>
              <w:cnfStyle w:val="000000000000" w:firstRow="0" w:lastRow="0" w:firstColumn="0" w:lastColumn="0" w:oddVBand="0" w:evenVBand="0" w:oddHBand="0" w:evenHBand="0" w:firstRowFirstColumn="0" w:firstRowLastColumn="0" w:lastRowFirstColumn="0" w:lastRowLastColumn="0"/>
              <w:rPr>
                <w:b/>
              </w:rPr>
            </w:pPr>
            <w:r w:rsidRPr="005866C7">
              <w:rPr>
                <w:b/>
                <w:bCs/>
              </w:rPr>
              <w:t>National Science Foundation</w:t>
            </w:r>
          </w:p>
          <w:p w:rsidRPr="005866C7" w:rsidR="005866C7" w:rsidP="005866C7" w:rsidRDefault="005866C7" w14:paraId="6F3BE3AD" w14:textId="77777777">
            <w:pPr>
              <w:pStyle w:val="TableText-IPR"/>
              <w:cnfStyle w:val="000000000000" w:firstRow="0" w:lastRow="0" w:firstColumn="0" w:lastColumn="0" w:oddVBand="0" w:evenVBand="0" w:oddHBand="0" w:evenHBand="0" w:firstRowFirstColumn="0" w:firstRowLastColumn="0" w:lastRowFirstColumn="0" w:lastRowLastColumn="0"/>
            </w:pPr>
            <w:r w:rsidRPr="005866C7">
              <w:t>2415 Eisenhower Ave.</w:t>
            </w:r>
          </w:p>
          <w:p w:rsidRPr="005866C7" w:rsidR="00FF2570" w:rsidP="005866C7" w:rsidRDefault="005866C7" w14:paraId="01DE0A23" w14:textId="679A6074">
            <w:pPr>
              <w:pStyle w:val="TableText-IPR"/>
              <w:cnfStyle w:val="000000000000" w:firstRow="0" w:lastRow="0" w:firstColumn="0" w:lastColumn="0" w:oddVBand="0" w:evenVBand="0" w:oddHBand="0" w:evenHBand="0" w:firstRowFirstColumn="0" w:firstRowLastColumn="0" w:lastRowFirstColumn="0" w:lastRowLastColumn="0"/>
            </w:pPr>
            <w:r w:rsidRPr="005866C7">
              <w:t>Alexandria, VA 22314</w:t>
            </w:r>
          </w:p>
        </w:tc>
        <w:tc>
          <w:tcPr>
            <w:tcW w:w="996" w:type="pct"/>
            <w:tcBorders>
              <w:top w:val="nil"/>
              <w:bottom w:val="nil"/>
            </w:tcBorders>
            <w:shd w:val="clear" w:color="auto" w:fill="D9D9D9" w:themeFill="background1" w:themeFillShade="D9"/>
            <w:vAlign w:val="center"/>
          </w:tcPr>
          <w:p w:rsidRPr="005866C7" w:rsidR="00FF2570" w:rsidP="00F93BBD" w:rsidRDefault="00AA77AB" w14:paraId="3E378D4C" w14:textId="7FDCF3D6">
            <w:pPr>
              <w:pStyle w:val="TableText-IPR"/>
              <w:cnfStyle w:val="000000000000" w:firstRow="0" w:lastRow="0" w:firstColumn="0" w:lastColumn="0" w:oddVBand="0" w:evenVBand="0" w:oddHBand="0" w:evenHBand="0" w:firstRowFirstColumn="0" w:firstRowLastColumn="0" w:lastRowFirstColumn="0" w:lastRowLastColumn="0"/>
              <w:rPr>
                <w:color w:val="auto"/>
              </w:rPr>
            </w:pPr>
            <w:r>
              <w:rPr>
                <w:color w:val="auto"/>
              </w:rPr>
              <w:t>703-292-</w:t>
            </w:r>
            <w:r w:rsidR="00254B77">
              <w:rPr>
                <w:color w:val="auto"/>
              </w:rPr>
              <w:t>8072</w:t>
            </w:r>
          </w:p>
        </w:tc>
      </w:tr>
      <w:tr w:rsidRPr="000B5CFF" w:rsidR="00FF2570" w:rsidTr="00F93BBD" w14:paraId="1BE8AC42"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950" w:type="pct"/>
            <w:tcBorders>
              <w:top w:val="nil"/>
              <w:bottom w:val="nil"/>
            </w:tcBorders>
            <w:shd w:val="clear" w:color="auto" w:fill="auto"/>
            <w:vAlign w:val="center"/>
          </w:tcPr>
          <w:p w:rsidRPr="005866C7" w:rsidR="00FF2570" w:rsidP="00F93BBD" w:rsidRDefault="00F93BBD" w14:paraId="1C211D69" w14:textId="59976433">
            <w:pPr>
              <w:pStyle w:val="TableText-IPR"/>
            </w:pPr>
            <w:r w:rsidRPr="005866C7">
              <w:t>Sean Teehan</w:t>
            </w:r>
          </w:p>
        </w:tc>
        <w:tc>
          <w:tcPr>
            <w:tcW w:w="1362" w:type="pct"/>
            <w:tcBorders>
              <w:top w:val="nil"/>
              <w:bottom w:val="nil"/>
            </w:tcBorders>
            <w:shd w:val="clear" w:color="auto" w:fill="auto"/>
            <w:vAlign w:val="center"/>
          </w:tcPr>
          <w:p w:rsidRPr="005866C7" w:rsidR="00FF2570" w:rsidP="00F93BBD" w:rsidRDefault="00FF2570" w14:paraId="5B979830" w14:textId="585DABF8">
            <w:pPr>
              <w:pStyle w:val="TableText-IPR"/>
              <w:cnfStyle w:val="000000100000" w:firstRow="0" w:lastRow="0" w:firstColumn="0" w:lastColumn="0" w:oddVBand="0" w:evenVBand="0" w:oddHBand="1" w:evenHBand="0" w:firstRowFirstColumn="0" w:firstRowLastColumn="0" w:lastRowFirstColumn="0" w:lastRowLastColumn="0"/>
            </w:pPr>
            <w:r w:rsidRPr="005866C7">
              <w:t xml:space="preserve"> </w:t>
            </w:r>
            <w:r w:rsidRPr="005866C7" w:rsidR="00F93BBD">
              <w:t>CBS-NRT Project Manager</w:t>
            </w:r>
          </w:p>
        </w:tc>
        <w:tc>
          <w:tcPr>
            <w:tcW w:w="1692" w:type="pct"/>
            <w:tcBorders>
              <w:top w:val="nil"/>
              <w:bottom w:val="nil"/>
            </w:tcBorders>
            <w:shd w:val="clear" w:color="auto" w:fill="auto"/>
            <w:vAlign w:val="center"/>
          </w:tcPr>
          <w:p w:rsidRPr="005866C7" w:rsidR="00F93BBD" w:rsidP="00F93BBD" w:rsidRDefault="00F93BBD" w14:paraId="7CD4EF95" w14:textId="6989FC3D">
            <w:pPr>
              <w:pStyle w:val="TableText-IPR"/>
              <w:cnfStyle w:val="000000100000" w:firstRow="0" w:lastRow="0" w:firstColumn="0" w:lastColumn="0" w:oddVBand="0" w:evenVBand="0" w:oddHBand="1" w:evenHBand="0" w:firstRowFirstColumn="0" w:firstRowLastColumn="0" w:lastRowFirstColumn="0" w:lastRowLastColumn="0"/>
              <w:rPr>
                <w:b/>
              </w:rPr>
            </w:pPr>
            <w:r w:rsidRPr="005866C7">
              <w:rPr>
                <w:b/>
              </w:rPr>
              <w:t>Creative Business Solutions, Inc.</w:t>
            </w:r>
          </w:p>
          <w:p w:rsidRPr="0085080B" w:rsidR="0085080B" w:rsidP="00DD5345" w:rsidRDefault="00D739EF" w14:paraId="6551C785" w14:textId="5A83538C">
            <w:pPr>
              <w:shd w:val="clear" w:color="auto" w:fill="FFFFFF"/>
              <w:cnfStyle w:val="000000100000" w:firstRow="0" w:lastRow="0" w:firstColumn="0" w:lastColumn="0" w:oddVBand="0" w:evenVBand="0" w:oddHBand="1" w:evenHBand="0" w:firstRowFirstColumn="0" w:firstRowLastColumn="0" w:lastRowFirstColumn="0" w:lastRowLastColumn="0"/>
              <w:rPr>
                <w:rFonts w:ascii="Calibri" w:hAnsi="Calibri"/>
                <w:color w:val="201F1E"/>
                <w:sz w:val="20"/>
                <w:szCs w:val="20"/>
              </w:rPr>
            </w:pPr>
            <w:r w:rsidRPr="00413839">
              <w:rPr>
                <w:rFonts w:ascii="Calibri" w:hAnsi="Calibri"/>
                <w:color w:val="201F1E"/>
                <w:sz w:val="20"/>
                <w:szCs w:val="20"/>
                <w:bdr w:val="none" w:color="auto" w:sz="0" w:space="0" w:frame="1"/>
                <w:lang w:val="fr-FR"/>
              </w:rPr>
              <w:t xml:space="preserve">13003 </w:t>
            </w:r>
            <w:proofErr w:type="spellStart"/>
            <w:r w:rsidRPr="00413839">
              <w:rPr>
                <w:rFonts w:ascii="Calibri" w:hAnsi="Calibri"/>
                <w:color w:val="201F1E"/>
                <w:sz w:val="20"/>
                <w:szCs w:val="20"/>
                <w:bdr w:val="none" w:color="auto" w:sz="0" w:space="0" w:frame="1"/>
                <w:lang w:val="fr-FR"/>
              </w:rPr>
              <w:t>Win</w:t>
            </w:r>
            <w:r w:rsidRPr="00413839" w:rsidR="00D10AE1">
              <w:rPr>
                <w:rFonts w:ascii="Calibri" w:hAnsi="Calibri"/>
                <w:color w:val="201F1E"/>
                <w:sz w:val="20"/>
                <w:szCs w:val="20"/>
                <w:bdr w:val="none" w:color="auto" w:sz="0" w:space="0" w:frame="1"/>
                <w:lang w:val="fr-FR"/>
              </w:rPr>
              <w:t>d</w:t>
            </w:r>
            <w:r w:rsidRPr="0085080B" w:rsidR="0085080B">
              <w:rPr>
                <w:rFonts w:ascii="Calibri" w:hAnsi="Calibri"/>
                <w:color w:val="201F1E"/>
                <w:sz w:val="20"/>
                <w:szCs w:val="20"/>
                <w:bdr w:val="none" w:color="auto" w:sz="0" w:space="0" w:frame="1"/>
                <w:lang w:val="fr-FR"/>
              </w:rPr>
              <w:t>ing</w:t>
            </w:r>
            <w:proofErr w:type="spellEnd"/>
            <w:r w:rsidRPr="0085080B" w:rsidR="0085080B">
              <w:rPr>
                <w:rFonts w:ascii="Calibri" w:hAnsi="Calibri"/>
                <w:color w:val="201F1E"/>
                <w:sz w:val="20"/>
                <w:szCs w:val="20"/>
                <w:bdr w:val="none" w:color="auto" w:sz="0" w:space="0" w:frame="1"/>
                <w:lang w:val="fr-FR"/>
              </w:rPr>
              <w:t xml:space="preserve"> Creek Rd.</w:t>
            </w:r>
          </w:p>
          <w:p w:rsidRPr="0085080B" w:rsidR="00FF2570" w:rsidP="00DD5345" w:rsidRDefault="0085080B" w14:paraId="65BA8BC6" w14:textId="10636491">
            <w:pPr>
              <w:shd w:val="clear" w:color="auto" w:fill="FFFFFF"/>
              <w:cnfStyle w:val="000000100000" w:firstRow="0" w:lastRow="0" w:firstColumn="0" w:lastColumn="0" w:oddVBand="0" w:evenVBand="0" w:oddHBand="1" w:evenHBand="0" w:firstRowFirstColumn="0" w:firstRowLastColumn="0" w:lastRowFirstColumn="0" w:lastRowLastColumn="0"/>
              <w:rPr>
                <w:rFonts w:ascii="Calibri" w:hAnsi="Calibri"/>
                <w:color w:val="201F1E"/>
              </w:rPr>
            </w:pPr>
            <w:r w:rsidRPr="0085080B">
              <w:rPr>
                <w:rFonts w:ascii="Calibri" w:hAnsi="Calibri"/>
                <w:color w:val="201F1E"/>
                <w:sz w:val="20"/>
                <w:szCs w:val="20"/>
                <w:bdr w:val="none" w:color="auto" w:sz="0" w:space="0" w:frame="1"/>
              </w:rPr>
              <w:t>Bowie, MD 20721</w:t>
            </w:r>
          </w:p>
        </w:tc>
        <w:tc>
          <w:tcPr>
            <w:tcW w:w="996" w:type="pct"/>
            <w:tcBorders>
              <w:top w:val="nil"/>
              <w:bottom w:val="nil"/>
            </w:tcBorders>
            <w:shd w:val="clear" w:color="auto" w:fill="auto"/>
            <w:vAlign w:val="center"/>
          </w:tcPr>
          <w:p w:rsidRPr="005866C7" w:rsidR="00FF2570" w:rsidP="00F93BBD" w:rsidRDefault="005866C7" w14:paraId="40912942" w14:textId="4A9039EB">
            <w:pPr>
              <w:pStyle w:val="TableText-IPR"/>
              <w:cnfStyle w:val="000000100000" w:firstRow="0" w:lastRow="0" w:firstColumn="0" w:lastColumn="0" w:oddVBand="0" w:evenVBand="0" w:oddHBand="1" w:evenHBand="0" w:firstRowFirstColumn="0" w:firstRowLastColumn="0" w:lastRowFirstColumn="0" w:lastRowLastColumn="0"/>
            </w:pPr>
            <w:r>
              <w:t>571-235-</w:t>
            </w:r>
            <w:r w:rsidRPr="005866C7" w:rsidR="00F93BBD">
              <w:t>4111</w:t>
            </w:r>
          </w:p>
        </w:tc>
      </w:tr>
    </w:tbl>
    <w:p w:rsidR="00FF2570" w:rsidP="00DD5345" w:rsidRDefault="00FF2570" w14:paraId="07C00385" w14:textId="77777777">
      <w:pPr>
        <w:jc w:val="both"/>
      </w:pPr>
    </w:p>
    <w:p w:rsidR="00807FA8" w:rsidP="00DD5345" w:rsidRDefault="00807FA8" w14:paraId="2C078E63" w14:textId="77777777">
      <w:pPr>
        <w:jc w:val="both"/>
      </w:pPr>
    </w:p>
    <w:sectPr w:rsidR="00807FA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BF55" w14:textId="77777777" w:rsidR="00AA4BC7" w:rsidRDefault="00AA4BC7" w:rsidP="00FF2570">
      <w:pPr>
        <w:spacing w:after="0" w:line="240" w:lineRule="auto"/>
      </w:pPr>
      <w:r>
        <w:separator/>
      </w:r>
    </w:p>
  </w:endnote>
  <w:endnote w:type="continuationSeparator" w:id="0">
    <w:p w14:paraId="1157A4A4" w14:textId="77777777" w:rsidR="00AA4BC7" w:rsidRDefault="00AA4BC7" w:rsidP="00FF2570">
      <w:pPr>
        <w:spacing w:after="0" w:line="240" w:lineRule="auto"/>
      </w:pPr>
      <w:r>
        <w:continuationSeparator/>
      </w:r>
    </w:p>
  </w:endnote>
  <w:endnote w:type="continuationNotice" w:id="1">
    <w:p w14:paraId="2F54EAC2" w14:textId="77777777" w:rsidR="00AA4BC7" w:rsidRDefault="00AA4B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AAEC477" w14:paraId="261EFB47" w14:textId="77777777" w:rsidTr="00F313D6">
      <w:tc>
        <w:tcPr>
          <w:tcW w:w="3120" w:type="dxa"/>
        </w:tcPr>
        <w:p w14:paraId="69AC7119" w14:textId="7E142563" w:rsidR="7AAEC477" w:rsidRDefault="7AAEC477" w:rsidP="00BF0B6E">
          <w:pPr>
            <w:pStyle w:val="Header"/>
            <w:ind w:left="-115"/>
          </w:pPr>
        </w:p>
      </w:tc>
      <w:tc>
        <w:tcPr>
          <w:tcW w:w="3120" w:type="dxa"/>
        </w:tcPr>
        <w:p w14:paraId="4BF8359E" w14:textId="0B4C8678" w:rsidR="7AAEC477" w:rsidRDefault="7AAEC477" w:rsidP="00BF0B6E">
          <w:pPr>
            <w:pStyle w:val="Header"/>
            <w:jc w:val="center"/>
          </w:pPr>
        </w:p>
      </w:tc>
      <w:tc>
        <w:tcPr>
          <w:tcW w:w="3120" w:type="dxa"/>
        </w:tcPr>
        <w:p w14:paraId="18677AC0" w14:textId="477F7727" w:rsidR="7AAEC477" w:rsidRDefault="7AAEC477" w:rsidP="00BF0B6E">
          <w:pPr>
            <w:pStyle w:val="Header"/>
            <w:ind w:right="-115"/>
            <w:jc w:val="right"/>
          </w:pPr>
        </w:p>
      </w:tc>
    </w:tr>
  </w:tbl>
  <w:p w14:paraId="7E539C97" w14:textId="10B12E39" w:rsidR="7AAEC477" w:rsidRDefault="7AAEC477" w:rsidP="00F31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CE86B" w14:textId="77777777" w:rsidR="00AA4BC7" w:rsidRDefault="00AA4BC7" w:rsidP="00FF2570">
      <w:pPr>
        <w:spacing w:after="0" w:line="240" w:lineRule="auto"/>
      </w:pPr>
      <w:r>
        <w:separator/>
      </w:r>
    </w:p>
  </w:footnote>
  <w:footnote w:type="continuationSeparator" w:id="0">
    <w:p w14:paraId="14EAF536" w14:textId="77777777" w:rsidR="00AA4BC7" w:rsidRDefault="00AA4BC7" w:rsidP="00FF2570">
      <w:pPr>
        <w:spacing w:after="0" w:line="240" w:lineRule="auto"/>
      </w:pPr>
      <w:r>
        <w:continuationSeparator/>
      </w:r>
    </w:p>
  </w:footnote>
  <w:footnote w:type="continuationNotice" w:id="1">
    <w:p w14:paraId="34BCD62B" w14:textId="77777777" w:rsidR="00AA4BC7" w:rsidRDefault="00AA4BC7">
      <w:pPr>
        <w:spacing w:after="0" w:line="240" w:lineRule="auto"/>
      </w:pPr>
    </w:p>
  </w:footnote>
  <w:footnote w:id="2">
    <w:p w14:paraId="374A6FD6" w14:textId="7F94F9A2" w:rsidR="00D268B8" w:rsidRPr="00D268B8" w:rsidRDefault="00D268B8">
      <w:pPr>
        <w:pStyle w:val="FootnoteText"/>
        <w:rPr>
          <w:sz w:val="16"/>
          <w:szCs w:val="16"/>
        </w:rPr>
      </w:pPr>
      <w:r>
        <w:rPr>
          <w:rStyle w:val="FootnoteReference"/>
        </w:rPr>
        <w:footnoteRef/>
      </w:r>
      <w:r>
        <w:t xml:space="preserve"> </w:t>
      </w:r>
      <w:hyperlink r:id="rId1" w:history="1">
        <w:r w:rsidRPr="00D268B8">
          <w:rPr>
            <w:rStyle w:val="Hyperlink"/>
          </w:rPr>
          <w:t>https://www.nsf.gov/od/oia/activities/cov/</w:t>
        </w:r>
      </w:hyperlink>
    </w:p>
  </w:footnote>
  <w:footnote w:id="3">
    <w:p w14:paraId="0AB2C93F" w14:textId="4FBDE1D0" w:rsidR="00AC2F83" w:rsidRDefault="00AC2F83">
      <w:pPr>
        <w:pStyle w:val="FootnoteText"/>
      </w:pPr>
      <w:r>
        <w:rPr>
          <w:rStyle w:val="FootnoteReference"/>
        </w:rPr>
        <w:footnoteRef/>
      </w:r>
      <w:r>
        <w:t xml:space="preserve"> </w:t>
      </w:r>
      <w:r w:rsidR="00B06D8B">
        <w:t xml:space="preserve">Respondents may opt out of these reminders by emailing </w:t>
      </w:r>
      <w:r w:rsidR="00CB111C">
        <w:t>technical support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AAEC477" w14:paraId="21428B6F" w14:textId="77777777" w:rsidTr="00F313D6">
      <w:tc>
        <w:tcPr>
          <w:tcW w:w="3120" w:type="dxa"/>
        </w:tcPr>
        <w:p w14:paraId="302298EC" w14:textId="17859A0E" w:rsidR="7AAEC477" w:rsidRDefault="7AAEC477" w:rsidP="00FB4DA7">
          <w:pPr>
            <w:pStyle w:val="Header"/>
            <w:ind w:left="-115"/>
          </w:pPr>
        </w:p>
      </w:tc>
      <w:tc>
        <w:tcPr>
          <w:tcW w:w="3120" w:type="dxa"/>
        </w:tcPr>
        <w:p w14:paraId="73D96206" w14:textId="48917EB9" w:rsidR="7AAEC477" w:rsidRDefault="7AAEC477" w:rsidP="00FB4DA7">
          <w:pPr>
            <w:pStyle w:val="Header"/>
            <w:jc w:val="center"/>
          </w:pPr>
        </w:p>
      </w:tc>
      <w:tc>
        <w:tcPr>
          <w:tcW w:w="3120" w:type="dxa"/>
        </w:tcPr>
        <w:p w14:paraId="3C765DDD" w14:textId="46A094C1" w:rsidR="7AAEC477" w:rsidRDefault="7AAEC477" w:rsidP="00FB4DA7">
          <w:pPr>
            <w:pStyle w:val="Header"/>
            <w:ind w:right="-115"/>
            <w:jc w:val="right"/>
          </w:pPr>
        </w:p>
      </w:tc>
    </w:tr>
  </w:tbl>
  <w:p w14:paraId="2CB31171" w14:textId="6D512F27" w:rsidR="7AAEC477" w:rsidRDefault="7AAEC477" w:rsidP="00F31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EA055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22734D58"/>
    <w:multiLevelType w:val="multilevel"/>
    <w:tmpl w:val="0F5A555C"/>
    <w:numStyleLink w:val="BulletListStyleRed-IPR"/>
  </w:abstractNum>
  <w:abstractNum w:abstractNumId="3" w15:restartNumberingAfterBreak="0">
    <w:nsid w:val="2DFB22ED"/>
    <w:multiLevelType w:val="hybridMultilevel"/>
    <w:tmpl w:val="311EC854"/>
    <w:lvl w:ilvl="0" w:tplc="8A207E7E">
      <w:start w:val="1"/>
      <w:numFmt w:val="bullet"/>
      <w:lvlText w:val=""/>
      <w:lvlJc w:val="left"/>
      <w:pPr>
        <w:ind w:left="720" w:hanging="360"/>
      </w:pPr>
      <w:rPr>
        <w:rFonts w:ascii="Symbol" w:hAnsi="Symbol" w:hint="default"/>
      </w:rPr>
    </w:lvl>
    <w:lvl w:ilvl="1" w:tplc="1CA2DF9A">
      <w:start w:val="1"/>
      <w:numFmt w:val="bullet"/>
      <w:lvlText w:val="o"/>
      <w:lvlJc w:val="left"/>
      <w:pPr>
        <w:ind w:left="1440" w:hanging="360"/>
      </w:pPr>
      <w:rPr>
        <w:rFonts w:ascii="Courier New" w:hAnsi="Courier New" w:cs="Courier New" w:hint="default"/>
      </w:rPr>
    </w:lvl>
    <w:lvl w:ilvl="2" w:tplc="D076D096">
      <w:start w:val="1"/>
      <w:numFmt w:val="bullet"/>
      <w:lvlText w:val=""/>
      <w:lvlJc w:val="left"/>
      <w:pPr>
        <w:ind w:left="2160" w:hanging="360"/>
      </w:pPr>
      <w:rPr>
        <w:rFonts w:ascii="Wingdings" w:hAnsi="Wingdings" w:hint="default"/>
      </w:rPr>
    </w:lvl>
    <w:lvl w:ilvl="3" w:tplc="BA2CDD30">
      <w:start w:val="1"/>
      <w:numFmt w:val="bullet"/>
      <w:lvlText w:val=""/>
      <w:lvlJc w:val="left"/>
      <w:pPr>
        <w:ind w:left="2880" w:hanging="360"/>
      </w:pPr>
      <w:rPr>
        <w:rFonts w:ascii="Symbol" w:hAnsi="Symbol" w:hint="default"/>
      </w:rPr>
    </w:lvl>
    <w:lvl w:ilvl="4" w:tplc="FC0E655A">
      <w:start w:val="1"/>
      <w:numFmt w:val="bullet"/>
      <w:lvlText w:val="o"/>
      <w:lvlJc w:val="left"/>
      <w:pPr>
        <w:ind w:left="3600" w:hanging="360"/>
      </w:pPr>
      <w:rPr>
        <w:rFonts w:ascii="Courier New" w:hAnsi="Courier New" w:cs="Courier New" w:hint="default"/>
      </w:rPr>
    </w:lvl>
    <w:lvl w:ilvl="5" w:tplc="A9883B34">
      <w:start w:val="1"/>
      <w:numFmt w:val="bullet"/>
      <w:lvlText w:val=""/>
      <w:lvlJc w:val="left"/>
      <w:pPr>
        <w:ind w:left="4320" w:hanging="360"/>
      </w:pPr>
      <w:rPr>
        <w:rFonts w:ascii="Wingdings" w:hAnsi="Wingdings" w:hint="default"/>
      </w:rPr>
    </w:lvl>
    <w:lvl w:ilvl="6" w:tplc="93EAECCE">
      <w:start w:val="1"/>
      <w:numFmt w:val="bullet"/>
      <w:lvlText w:val=""/>
      <w:lvlJc w:val="left"/>
      <w:pPr>
        <w:ind w:left="5040" w:hanging="360"/>
      </w:pPr>
      <w:rPr>
        <w:rFonts w:ascii="Symbol" w:hAnsi="Symbol" w:hint="default"/>
      </w:rPr>
    </w:lvl>
    <w:lvl w:ilvl="7" w:tplc="36A85488">
      <w:start w:val="1"/>
      <w:numFmt w:val="bullet"/>
      <w:lvlText w:val="o"/>
      <w:lvlJc w:val="left"/>
      <w:pPr>
        <w:ind w:left="5760" w:hanging="360"/>
      </w:pPr>
      <w:rPr>
        <w:rFonts w:ascii="Courier New" w:hAnsi="Courier New" w:cs="Courier New" w:hint="default"/>
      </w:rPr>
    </w:lvl>
    <w:lvl w:ilvl="8" w:tplc="7D8CDF90">
      <w:start w:val="1"/>
      <w:numFmt w:val="bullet"/>
      <w:lvlText w:val=""/>
      <w:lvlJc w:val="left"/>
      <w:pPr>
        <w:ind w:left="6480" w:hanging="360"/>
      </w:pPr>
      <w:rPr>
        <w:rFonts w:ascii="Wingdings" w:hAnsi="Wingdings" w:hint="default"/>
      </w:rPr>
    </w:lvl>
  </w:abstractNum>
  <w:abstractNum w:abstractNumId="4" w15:restartNumberingAfterBreak="0">
    <w:nsid w:val="2F5E659F"/>
    <w:multiLevelType w:val="hybridMultilevel"/>
    <w:tmpl w:val="BE404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B6726F"/>
    <w:multiLevelType w:val="hybridMultilevel"/>
    <w:tmpl w:val="B90CA47A"/>
    <w:lvl w:ilvl="0" w:tplc="520044AE">
      <w:start w:val="1"/>
      <w:numFmt w:val="bullet"/>
      <w:pStyle w:val="Bullets12ptCalibri-IPR"/>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D5B8E"/>
    <w:multiLevelType w:val="hybridMultilevel"/>
    <w:tmpl w:val="394A18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A852C3"/>
    <w:multiLevelType w:val="hybridMultilevel"/>
    <w:tmpl w:val="085C0BC8"/>
    <w:lvl w:ilvl="0" w:tplc="79B0D2CC">
      <w:start w:val="1"/>
      <w:numFmt w:val="decimal"/>
      <w:pStyle w:val="Numbers12ptCalibri-IP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1"/>
  </w:num>
  <w:num w:numId="4">
    <w:abstractNumId w:val="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WxNLI0BUJzIxNjIyUdpeDU4uLM/DyQAqNaAFdvw30sAAAA"/>
  </w:docVars>
  <w:rsids>
    <w:rsidRoot w:val="5801ADA3"/>
    <w:rsid w:val="0000432A"/>
    <w:rsid w:val="00024092"/>
    <w:rsid w:val="0003047C"/>
    <w:rsid w:val="000338F2"/>
    <w:rsid w:val="00033C0A"/>
    <w:rsid w:val="000354F5"/>
    <w:rsid w:val="0003637C"/>
    <w:rsid w:val="0004214B"/>
    <w:rsid w:val="0006414F"/>
    <w:rsid w:val="00067783"/>
    <w:rsid w:val="0006785E"/>
    <w:rsid w:val="00072499"/>
    <w:rsid w:val="00075C76"/>
    <w:rsid w:val="000809CE"/>
    <w:rsid w:val="000850D2"/>
    <w:rsid w:val="00087F56"/>
    <w:rsid w:val="000930B7"/>
    <w:rsid w:val="000A208F"/>
    <w:rsid w:val="000A2710"/>
    <w:rsid w:val="000C34B3"/>
    <w:rsid w:val="000C7074"/>
    <w:rsid w:val="000D2985"/>
    <w:rsid w:val="000E19F7"/>
    <w:rsid w:val="000F4786"/>
    <w:rsid w:val="000F5B23"/>
    <w:rsid w:val="00114DFF"/>
    <w:rsid w:val="001265B9"/>
    <w:rsid w:val="00133C47"/>
    <w:rsid w:val="001344E7"/>
    <w:rsid w:val="00134568"/>
    <w:rsid w:val="00146AB1"/>
    <w:rsid w:val="00156F76"/>
    <w:rsid w:val="00164A95"/>
    <w:rsid w:val="00167769"/>
    <w:rsid w:val="00173BFE"/>
    <w:rsid w:val="00173C60"/>
    <w:rsid w:val="00174730"/>
    <w:rsid w:val="0018158D"/>
    <w:rsid w:val="00182050"/>
    <w:rsid w:val="0018696A"/>
    <w:rsid w:val="00193001"/>
    <w:rsid w:val="00196A20"/>
    <w:rsid w:val="001A2964"/>
    <w:rsid w:val="001A3052"/>
    <w:rsid w:val="001A7FCC"/>
    <w:rsid w:val="001D284F"/>
    <w:rsid w:val="001E3A8E"/>
    <w:rsid w:val="001E3FE0"/>
    <w:rsid w:val="001E4CD1"/>
    <w:rsid w:val="001E6B7B"/>
    <w:rsid w:val="001F1596"/>
    <w:rsid w:val="001F25BA"/>
    <w:rsid w:val="001F3210"/>
    <w:rsid w:val="001F3F11"/>
    <w:rsid w:val="001F60D4"/>
    <w:rsid w:val="001F7EA3"/>
    <w:rsid w:val="0020034F"/>
    <w:rsid w:val="002050CD"/>
    <w:rsid w:val="00207681"/>
    <w:rsid w:val="00210F93"/>
    <w:rsid w:val="00211AC2"/>
    <w:rsid w:val="00213B36"/>
    <w:rsid w:val="00216058"/>
    <w:rsid w:val="00216570"/>
    <w:rsid w:val="00221226"/>
    <w:rsid w:val="002276B8"/>
    <w:rsid w:val="00227AA3"/>
    <w:rsid w:val="002319C2"/>
    <w:rsid w:val="0025184C"/>
    <w:rsid w:val="002534F1"/>
    <w:rsid w:val="00254B77"/>
    <w:rsid w:val="00261EFF"/>
    <w:rsid w:val="00264D59"/>
    <w:rsid w:val="002715F6"/>
    <w:rsid w:val="002757DA"/>
    <w:rsid w:val="00276D1D"/>
    <w:rsid w:val="00276E14"/>
    <w:rsid w:val="00277255"/>
    <w:rsid w:val="00281A4F"/>
    <w:rsid w:val="00284766"/>
    <w:rsid w:val="0028766F"/>
    <w:rsid w:val="002901C8"/>
    <w:rsid w:val="0029150D"/>
    <w:rsid w:val="00291DCB"/>
    <w:rsid w:val="002928A8"/>
    <w:rsid w:val="00293DF4"/>
    <w:rsid w:val="00296DE7"/>
    <w:rsid w:val="002A49DA"/>
    <w:rsid w:val="002B7F7C"/>
    <w:rsid w:val="002C4E87"/>
    <w:rsid w:val="002D7354"/>
    <w:rsid w:val="002E40EA"/>
    <w:rsid w:val="002E5420"/>
    <w:rsid w:val="002E5C65"/>
    <w:rsid w:val="002E7B79"/>
    <w:rsid w:val="002E7E71"/>
    <w:rsid w:val="002F31C3"/>
    <w:rsid w:val="00314742"/>
    <w:rsid w:val="0032682F"/>
    <w:rsid w:val="00327A5F"/>
    <w:rsid w:val="00330C3E"/>
    <w:rsid w:val="003467C5"/>
    <w:rsid w:val="0035119A"/>
    <w:rsid w:val="00357123"/>
    <w:rsid w:val="00363A42"/>
    <w:rsid w:val="00370740"/>
    <w:rsid w:val="00376C94"/>
    <w:rsid w:val="00397D9C"/>
    <w:rsid w:val="003A2A18"/>
    <w:rsid w:val="003B0116"/>
    <w:rsid w:val="003B3164"/>
    <w:rsid w:val="003C5BCE"/>
    <w:rsid w:val="003D5B8B"/>
    <w:rsid w:val="003D764B"/>
    <w:rsid w:val="003E2908"/>
    <w:rsid w:val="003E74F5"/>
    <w:rsid w:val="00410269"/>
    <w:rsid w:val="0041167D"/>
    <w:rsid w:val="00411FAA"/>
    <w:rsid w:val="00413535"/>
    <w:rsid w:val="00413839"/>
    <w:rsid w:val="004217E1"/>
    <w:rsid w:val="0043015B"/>
    <w:rsid w:val="0043048B"/>
    <w:rsid w:val="004351D9"/>
    <w:rsid w:val="00437095"/>
    <w:rsid w:val="00447121"/>
    <w:rsid w:val="004475D8"/>
    <w:rsid w:val="004532F3"/>
    <w:rsid w:val="00455A47"/>
    <w:rsid w:val="00457A55"/>
    <w:rsid w:val="0046652A"/>
    <w:rsid w:val="004675EE"/>
    <w:rsid w:val="00472E54"/>
    <w:rsid w:val="00474210"/>
    <w:rsid w:val="00476369"/>
    <w:rsid w:val="00495127"/>
    <w:rsid w:val="004970C5"/>
    <w:rsid w:val="004A0626"/>
    <w:rsid w:val="004A2CE7"/>
    <w:rsid w:val="004B63D5"/>
    <w:rsid w:val="004B704B"/>
    <w:rsid w:val="004C33DE"/>
    <w:rsid w:val="004C7EE9"/>
    <w:rsid w:val="004D3D12"/>
    <w:rsid w:val="004F15CC"/>
    <w:rsid w:val="004F24F1"/>
    <w:rsid w:val="004F2C1F"/>
    <w:rsid w:val="004F3137"/>
    <w:rsid w:val="004F4EAA"/>
    <w:rsid w:val="00500279"/>
    <w:rsid w:val="005010CC"/>
    <w:rsid w:val="0050230C"/>
    <w:rsid w:val="005100A7"/>
    <w:rsid w:val="00510F93"/>
    <w:rsid w:val="00511580"/>
    <w:rsid w:val="00513191"/>
    <w:rsid w:val="00517468"/>
    <w:rsid w:val="00520AD7"/>
    <w:rsid w:val="00524CCA"/>
    <w:rsid w:val="0052534C"/>
    <w:rsid w:val="00537EB5"/>
    <w:rsid w:val="00540838"/>
    <w:rsid w:val="005508DF"/>
    <w:rsid w:val="0056486E"/>
    <w:rsid w:val="00564D8B"/>
    <w:rsid w:val="005754E2"/>
    <w:rsid w:val="00580F2B"/>
    <w:rsid w:val="00585F29"/>
    <w:rsid w:val="005866C7"/>
    <w:rsid w:val="00592C53"/>
    <w:rsid w:val="00593F39"/>
    <w:rsid w:val="005A2CF4"/>
    <w:rsid w:val="005A39F2"/>
    <w:rsid w:val="005B140F"/>
    <w:rsid w:val="005B277A"/>
    <w:rsid w:val="005B705E"/>
    <w:rsid w:val="005B7C0B"/>
    <w:rsid w:val="005C255A"/>
    <w:rsid w:val="005C3A83"/>
    <w:rsid w:val="005D1426"/>
    <w:rsid w:val="005D7BD6"/>
    <w:rsid w:val="005E4690"/>
    <w:rsid w:val="005E4E6A"/>
    <w:rsid w:val="005F3631"/>
    <w:rsid w:val="005F3CE7"/>
    <w:rsid w:val="005F628C"/>
    <w:rsid w:val="005F6C9E"/>
    <w:rsid w:val="00610751"/>
    <w:rsid w:val="00610779"/>
    <w:rsid w:val="006136B7"/>
    <w:rsid w:val="00614BB8"/>
    <w:rsid w:val="00624056"/>
    <w:rsid w:val="0063001B"/>
    <w:rsid w:val="00636F31"/>
    <w:rsid w:val="0064033A"/>
    <w:rsid w:val="006424BE"/>
    <w:rsid w:val="00652420"/>
    <w:rsid w:val="006524B6"/>
    <w:rsid w:val="006637E8"/>
    <w:rsid w:val="00664338"/>
    <w:rsid w:val="00670689"/>
    <w:rsid w:val="006715CD"/>
    <w:rsid w:val="00671E2C"/>
    <w:rsid w:val="00693BD1"/>
    <w:rsid w:val="00697D40"/>
    <w:rsid w:val="006B3DCE"/>
    <w:rsid w:val="006D7885"/>
    <w:rsid w:val="006E6BFD"/>
    <w:rsid w:val="006F5825"/>
    <w:rsid w:val="007013C4"/>
    <w:rsid w:val="007039DF"/>
    <w:rsid w:val="00705DFB"/>
    <w:rsid w:val="0070628B"/>
    <w:rsid w:val="00713EC9"/>
    <w:rsid w:val="0073076D"/>
    <w:rsid w:val="00730A10"/>
    <w:rsid w:val="00740417"/>
    <w:rsid w:val="00740483"/>
    <w:rsid w:val="00745FCE"/>
    <w:rsid w:val="0074767F"/>
    <w:rsid w:val="00754111"/>
    <w:rsid w:val="00775199"/>
    <w:rsid w:val="007840E1"/>
    <w:rsid w:val="00787B5F"/>
    <w:rsid w:val="00792837"/>
    <w:rsid w:val="007A0366"/>
    <w:rsid w:val="007A4030"/>
    <w:rsid w:val="007A7616"/>
    <w:rsid w:val="007A7EA0"/>
    <w:rsid w:val="007B24DE"/>
    <w:rsid w:val="007B6141"/>
    <w:rsid w:val="007B6ED1"/>
    <w:rsid w:val="007C2685"/>
    <w:rsid w:val="007C2ACE"/>
    <w:rsid w:val="007D0744"/>
    <w:rsid w:val="007D0DC2"/>
    <w:rsid w:val="007D428B"/>
    <w:rsid w:val="007E1619"/>
    <w:rsid w:val="007E39DF"/>
    <w:rsid w:val="007E4EA6"/>
    <w:rsid w:val="007F0E8A"/>
    <w:rsid w:val="007F2C6A"/>
    <w:rsid w:val="007F3986"/>
    <w:rsid w:val="007F7603"/>
    <w:rsid w:val="0080114A"/>
    <w:rsid w:val="00806693"/>
    <w:rsid w:val="00807FA8"/>
    <w:rsid w:val="00810FC2"/>
    <w:rsid w:val="008238E7"/>
    <w:rsid w:val="008250BD"/>
    <w:rsid w:val="00832822"/>
    <w:rsid w:val="00840C94"/>
    <w:rsid w:val="00842325"/>
    <w:rsid w:val="00847CD9"/>
    <w:rsid w:val="0085080B"/>
    <w:rsid w:val="00864501"/>
    <w:rsid w:val="008750DB"/>
    <w:rsid w:val="00881BD9"/>
    <w:rsid w:val="008823D1"/>
    <w:rsid w:val="00882D80"/>
    <w:rsid w:val="008904AF"/>
    <w:rsid w:val="00894B09"/>
    <w:rsid w:val="008962B0"/>
    <w:rsid w:val="008A6EDA"/>
    <w:rsid w:val="008B6966"/>
    <w:rsid w:val="008C2642"/>
    <w:rsid w:val="008C6916"/>
    <w:rsid w:val="008D2872"/>
    <w:rsid w:val="008D4A94"/>
    <w:rsid w:val="008E5039"/>
    <w:rsid w:val="008F420A"/>
    <w:rsid w:val="008F4611"/>
    <w:rsid w:val="008F4632"/>
    <w:rsid w:val="00902BF0"/>
    <w:rsid w:val="00913B45"/>
    <w:rsid w:val="00915766"/>
    <w:rsid w:val="00922E23"/>
    <w:rsid w:val="009310FD"/>
    <w:rsid w:val="00942EAA"/>
    <w:rsid w:val="00944455"/>
    <w:rsid w:val="00951CA3"/>
    <w:rsid w:val="0095591E"/>
    <w:rsid w:val="00972CEE"/>
    <w:rsid w:val="00973C04"/>
    <w:rsid w:val="009753F4"/>
    <w:rsid w:val="0098224C"/>
    <w:rsid w:val="00982D25"/>
    <w:rsid w:val="0098791C"/>
    <w:rsid w:val="00991785"/>
    <w:rsid w:val="00993592"/>
    <w:rsid w:val="00996B76"/>
    <w:rsid w:val="009C2860"/>
    <w:rsid w:val="009C3592"/>
    <w:rsid w:val="009C3E9F"/>
    <w:rsid w:val="009D0228"/>
    <w:rsid w:val="009D3EAA"/>
    <w:rsid w:val="009D4B0F"/>
    <w:rsid w:val="009D6805"/>
    <w:rsid w:val="009D7D1F"/>
    <w:rsid w:val="009E7F9A"/>
    <w:rsid w:val="009E7FFE"/>
    <w:rsid w:val="009F15B0"/>
    <w:rsid w:val="009F705E"/>
    <w:rsid w:val="009F729B"/>
    <w:rsid w:val="009F7D82"/>
    <w:rsid w:val="00A04D41"/>
    <w:rsid w:val="00A11E9B"/>
    <w:rsid w:val="00A21A57"/>
    <w:rsid w:val="00A224EB"/>
    <w:rsid w:val="00A438E7"/>
    <w:rsid w:val="00A52131"/>
    <w:rsid w:val="00A776B8"/>
    <w:rsid w:val="00A87B4B"/>
    <w:rsid w:val="00A9066C"/>
    <w:rsid w:val="00AA00AF"/>
    <w:rsid w:val="00AA433D"/>
    <w:rsid w:val="00AA4BC7"/>
    <w:rsid w:val="00AA6C4D"/>
    <w:rsid w:val="00AA716A"/>
    <w:rsid w:val="00AA77AB"/>
    <w:rsid w:val="00AB5174"/>
    <w:rsid w:val="00AC1E25"/>
    <w:rsid w:val="00AC2F83"/>
    <w:rsid w:val="00AD33DE"/>
    <w:rsid w:val="00AF2609"/>
    <w:rsid w:val="00B00EFF"/>
    <w:rsid w:val="00B02A4D"/>
    <w:rsid w:val="00B06D8B"/>
    <w:rsid w:val="00B07E25"/>
    <w:rsid w:val="00B16F2B"/>
    <w:rsid w:val="00B24AB7"/>
    <w:rsid w:val="00B3049B"/>
    <w:rsid w:val="00B50E1E"/>
    <w:rsid w:val="00B530B7"/>
    <w:rsid w:val="00B62981"/>
    <w:rsid w:val="00B63ADC"/>
    <w:rsid w:val="00B63B31"/>
    <w:rsid w:val="00B66737"/>
    <w:rsid w:val="00B76B3A"/>
    <w:rsid w:val="00B87E75"/>
    <w:rsid w:val="00B96EE1"/>
    <w:rsid w:val="00BA58B5"/>
    <w:rsid w:val="00BA5CDE"/>
    <w:rsid w:val="00BB094B"/>
    <w:rsid w:val="00BB4284"/>
    <w:rsid w:val="00BC5B3D"/>
    <w:rsid w:val="00BD516D"/>
    <w:rsid w:val="00BE0E40"/>
    <w:rsid w:val="00BE482E"/>
    <w:rsid w:val="00BF0B6E"/>
    <w:rsid w:val="00BF4A96"/>
    <w:rsid w:val="00C00BEB"/>
    <w:rsid w:val="00C20D51"/>
    <w:rsid w:val="00C216D6"/>
    <w:rsid w:val="00C2306F"/>
    <w:rsid w:val="00C31D11"/>
    <w:rsid w:val="00C40305"/>
    <w:rsid w:val="00C4749E"/>
    <w:rsid w:val="00C47CF6"/>
    <w:rsid w:val="00C5126B"/>
    <w:rsid w:val="00C707DB"/>
    <w:rsid w:val="00C74472"/>
    <w:rsid w:val="00C76DB4"/>
    <w:rsid w:val="00CA054C"/>
    <w:rsid w:val="00CA0853"/>
    <w:rsid w:val="00CA0CEE"/>
    <w:rsid w:val="00CA13F4"/>
    <w:rsid w:val="00CA34BF"/>
    <w:rsid w:val="00CA4817"/>
    <w:rsid w:val="00CA68E7"/>
    <w:rsid w:val="00CB111C"/>
    <w:rsid w:val="00CB32DE"/>
    <w:rsid w:val="00CB44F9"/>
    <w:rsid w:val="00CB5C7A"/>
    <w:rsid w:val="00CB7B2D"/>
    <w:rsid w:val="00CB7B70"/>
    <w:rsid w:val="00CC099A"/>
    <w:rsid w:val="00CC33E0"/>
    <w:rsid w:val="00CC4C3E"/>
    <w:rsid w:val="00CD3265"/>
    <w:rsid w:val="00CD4D9F"/>
    <w:rsid w:val="00CD671E"/>
    <w:rsid w:val="00CE060A"/>
    <w:rsid w:val="00CE4C81"/>
    <w:rsid w:val="00CE5672"/>
    <w:rsid w:val="00CE6372"/>
    <w:rsid w:val="00CF6B08"/>
    <w:rsid w:val="00D10AE1"/>
    <w:rsid w:val="00D137AC"/>
    <w:rsid w:val="00D1519F"/>
    <w:rsid w:val="00D1548A"/>
    <w:rsid w:val="00D20FD5"/>
    <w:rsid w:val="00D23335"/>
    <w:rsid w:val="00D234B4"/>
    <w:rsid w:val="00D268B8"/>
    <w:rsid w:val="00D34BBA"/>
    <w:rsid w:val="00D36BBC"/>
    <w:rsid w:val="00D408E0"/>
    <w:rsid w:val="00D4284D"/>
    <w:rsid w:val="00D44160"/>
    <w:rsid w:val="00D7148B"/>
    <w:rsid w:val="00D739EF"/>
    <w:rsid w:val="00D80F05"/>
    <w:rsid w:val="00D848DA"/>
    <w:rsid w:val="00D90E29"/>
    <w:rsid w:val="00D94E44"/>
    <w:rsid w:val="00D961AC"/>
    <w:rsid w:val="00DA7B57"/>
    <w:rsid w:val="00DC1C3B"/>
    <w:rsid w:val="00DC71CB"/>
    <w:rsid w:val="00DD0742"/>
    <w:rsid w:val="00DD5228"/>
    <w:rsid w:val="00DD5345"/>
    <w:rsid w:val="00DE08FD"/>
    <w:rsid w:val="00DE3568"/>
    <w:rsid w:val="00E05DD5"/>
    <w:rsid w:val="00E10AB3"/>
    <w:rsid w:val="00E13E42"/>
    <w:rsid w:val="00E15BC9"/>
    <w:rsid w:val="00E177D8"/>
    <w:rsid w:val="00E22EEC"/>
    <w:rsid w:val="00E3483C"/>
    <w:rsid w:val="00E4052E"/>
    <w:rsid w:val="00E4437C"/>
    <w:rsid w:val="00E557F2"/>
    <w:rsid w:val="00E63DAD"/>
    <w:rsid w:val="00E642E2"/>
    <w:rsid w:val="00E65181"/>
    <w:rsid w:val="00E77574"/>
    <w:rsid w:val="00E77942"/>
    <w:rsid w:val="00E93927"/>
    <w:rsid w:val="00E957A7"/>
    <w:rsid w:val="00E96AFC"/>
    <w:rsid w:val="00EA1CD6"/>
    <w:rsid w:val="00EA3A23"/>
    <w:rsid w:val="00EA4066"/>
    <w:rsid w:val="00EB2F56"/>
    <w:rsid w:val="00EB4B13"/>
    <w:rsid w:val="00EB4CB2"/>
    <w:rsid w:val="00EB7EC1"/>
    <w:rsid w:val="00EC210C"/>
    <w:rsid w:val="00EC71E4"/>
    <w:rsid w:val="00EC7685"/>
    <w:rsid w:val="00ED1454"/>
    <w:rsid w:val="00ED7677"/>
    <w:rsid w:val="00EE0F29"/>
    <w:rsid w:val="00EE355E"/>
    <w:rsid w:val="00EE3A36"/>
    <w:rsid w:val="00EE5D66"/>
    <w:rsid w:val="00EF3A80"/>
    <w:rsid w:val="00EF5917"/>
    <w:rsid w:val="00EF7129"/>
    <w:rsid w:val="00F021BB"/>
    <w:rsid w:val="00F0284B"/>
    <w:rsid w:val="00F16B72"/>
    <w:rsid w:val="00F20B5D"/>
    <w:rsid w:val="00F259BD"/>
    <w:rsid w:val="00F26E58"/>
    <w:rsid w:val="00F313D6"/>
    <w:rsid w:val="00F318A3"/>
    <w:rsid w:val="00F367BC"/>
    <w:rsid w:val="00F4204C"/>
    <w:rsid w:val="00F5352B"/>
    <w:rsid w:val="00F5413C"/>
    <w:rsid w:val="00F624B1"/>
    <w:rsid w:val="00F63490"/>
    <w:rsid w:val="00F93634"/>
    <w:rsid w:val="00F93BBD"/>
    <w:rsid w:val="00F9590F"/>
    <w:rsid w:val="00F9663C"/>
    <w:rsid w:val="00F96CDF"/>
    <w:rsid w:val="00F973B0"/>
    <w:rsid w:val="00FA0C16"/>
    <w:rsid w:val="00FA5CA0"/>
    <w:rsid w:val="00FB4DA7"/>
    <w:rsid w:val="00FB5947"/>
    <w:rsid w:val="00FC5592"/>
    <w:rsid w:val="00FC692C"/>
    <w:rsid w:val="00FD6705"/>
    <w:rsid w:val="00FE5208"/>
    <w:rsid w:val="00FE64B7"/>
    <w:rsid w:val="00FF2570"/>
    <w:rsid w:val="00FF4D5B"/>
    <w:rsid w:val="00FF53F7"/>
    <w:rsid w:val="019091E5"/>
    <w:rsid w:val="0CC1F6B1"/>
    <w:rsid w:val="10733C0F"/>
    <w:rsid w:val="10A7C175"/>
    <w:rsid w:val="10E7BCCC"/>
    <w:rsid w:val="120F0C70"/>
    <w:rsid w:val="1399A1FD"/>
    <w:rsid w:val="14EF4C7F"/>
    <w:rsid w:val="1513EC46"/>
    <w:rsid w:val="15EE2328"/>
    <w:rsid w:val="17657B05"/>
    <w:rsid w:val="2065DB91"/>
    <w:rsid w:val="206FEF68"/>
    <w:rsid w:val="2190EC66"/>
    <w:rsid w:val="242AD5B0"/>
    <w:rsid w:val="24B47B7A"/>
    <w:rsid w:val="25392C61"/>
    <w:rsid w:val="2A2A586D"/>
    <w:rsid w:val="2F2B202B"/>
    <w:rsid w:val="31B7FC75"/>
    <w:rsid w:val="344289A7"/>
    <w:rsid w:val="384CD67B"/>
    <w:rsid w:val="399EEE05"/>
    <w:rsid w:val="3A8D2DDB"/>
    <w:rsid w:val="3F9AA605"/>
    <w:rsid w:val="40686E96"/>
    <w:rsid w:val="4652784F"/>
    <w:rsid w:val="47528886"/>
    <w:rsid w:val="4ACDF147"/>
    <w:rsid w:val="4CEB3CE5"/>
    <w:rsid w:val="51542390"/>
    <w:rsid w:val="55245D51"/>
    <w:rsid w:val="5801ADA3"/>
    <w:rsid w:val="5DDF6A2A"/>
    <w:rsid w:val="64358351"/>
    <w:rsid w:val="69A4DDBA"/>
    <w:rsid w:val="6CAFC90E"/>
    <w:rsid w:val="7178BC45"/>
    <w:rsid w:val="791EBE72"/>
    <w:rsid w:val="7A3CA51E"/>
    <w:rsid w:val="7AAEC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ADA3"/>
  <w15:chartTrackingRefBased/>
  <w15:docId w15:val="{64A06E17-54CD-45BD-8719-A9B01D9E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ng1Report-IPR">
    <w:name w:val="Hdng1Report-IPR"/>
    <w:link w:val="Hdng1Report-IPRChar"/>
    <w:qFormat/>
    <w:rsid w:val="00FF2570"/>
    <w:pPr>
      <w:keepNext/>
      <w:spacing w:after="240" w:line="240" w:lineRule="auto"/>
      <w:outlineLvl w:val="0"/>
    </w:pPr>
    <w:rPr>
      <w:rFonts w:ascii="Arial" w:eastAsia="Calibri" w:hAnsi="Arial" w:cs="Arial"/>
      <w:b/>
      <w:bCs/>
      <w:caps/>
      <w:color w:val="B80000"/>
      <w:sz w:val="28"/>
      <w:szCs w:val="28"/>
    </w:rPr>
  </w:style>
  <w:style w:type="character" w:customStyle="1" w:styleId="Hdng1Report-IPRChar">
    <w:name w:val="Hdng1Report-IPR Char"/>
    <w:basedOn w:val="DefaultParagraphFont"/>
    <w:link w:val="Hdng1Report-IPR"/>
    <w:rsid w:val="00FF2570"/>
    <w:rPr>
      <w:rFonts w:ascii="Arial" w:eastAsia="Calibri" w:hAnsi="Arial" w:cs="Arial"/>
      <w:b/>
      <w:bCs/>
      <w:caps/>
      <w:color w:val="B80000"/>
      <w:sz w:val="28"/>
      <w:szCs w:val="28"/>
    </w:rPr>
  </w:style>
  <w:style w:type="paragraph" w:customStyle="1" w:styleId="Body12ptCalibri-IPR">
    <w:name w:val="Body12ptCalibri-IPR"/>
    <w:link w:val="Body12ptCalibri-IPRChar"/>
    <w:qFormat/>
    <w:rsid w:val="00FF2570"/>
    <w:pPr>
      <w:autoSpaceDE w:val="0"/>
      <w:autoSpaceDN w:val="0"/>
      <w:adjustRightInd w:val="0"/>
      <w:spacing w:after="0" w:line="480" w:lineRule="auto"/>
      <w:ind w:firstLine="720"/>
      <w:jc w:val="both"/>
    </w:pPr>
    <w:rPr>
      <w:rFonts w:eastAsia="Calibri" w:cs="Times New Roman"/>
      <w:sz w:val="24"/>
    </w:rPr>
  </w:style>
  <w:style w:type="character" w:customStyle="1" w:styleId="Body12ptCalibri-IPRChar">
    <w:name w:val="Body12ptCalibri-IPR Char"/>
    <w:link w:val="Body12ptCalibri-IPR"/>
    <w:rsid w:val="00FF2570"/>
    <w:rPr>
      <w:rFonts w:eastAsia="Calibri" w:cs="Times New Roman"/>
      <w:sz w:val="24"/>
    </w:rPr>
  </w:style>
  <w:style w:type="paragraph" w:customStyle="1" w:styleId="Hdng2-IPR">
    <w:name w:val="Hdng2-IPR"/>
    <w:link w:val="Hdng2-IPRChar"/>
    <w:qFormat/>
    <w:rsid w:val="00FF2570"/>
    <w:pPr>
      <w:keepNext/>
      <w:spacing w:after="240" w:line="240" w:lineRule="auto"/>
      <w:ind w:left="720" w:hanging="720"/>
      <w:outlineLvl w:val="1"/>
    </w:pPr>
    <w:rPr>
      <w:rFonts w:ascii="Arial Bold" w:eastAsia="Calibri" w:hAnsi="Arial Bold" w:cs="Arial"/>
      <w:b/>
      <w:caps/>
      <w:color w:val="44546A" w:themeColor="text2"/>
      <w:sz w:val="24"/>
      <w:szCs w:val="24"/>
    </w:rPr>
  </w:style>
  <w:style w:type="character" w:customStyle="1" w:styleId="Hdng2-IPRChar">
    <w:name w:val="Hdng2-IPR Char"/>
    <w:basedOn w:val="DefaultParagraphFont"/>
    <w:link w:val="Hdng2-IPR"/>
    <w:rsid w:val="00FF2570"/>
    <w:rPr>
      <w:rFonts w:ascii="Arial Bold" w:eastAsia="Calibri" w:hAnsi="Arial Bold" w:cs="Arial"/>
      <w:b/>
      <w:caps/>
      <w:color w:val="44546A" w:themeColor="text2"/>
      <w:sz w:val="24"/>
      <w:szCs w:val="24"/>
    </w:rPr>
  </w:style>
  <w:style w:type="paragraph" w:customStyle="1" w:styleId="OMBRequirementCalibri">
    <w:name w:val="OMB RequirementCalibri"/>
    <w:qFormat/>
    <w:rsid w:val="00FF2570"/>
    <w:pPr>
      <w:spacing w:after="240" w:line="240" w:lineRule="auto"/>
    </w:pPr>
    <w:rPr>
      <w:rFonts w:eastAsia="Times New Roman" w:cs="Calibri"/>
      <w:b/>
      <w:sz w:val="24"/>
      <w:szCs w:val="24"/>
    </w:rPr>
  </w:style>
  <w:style w:type="paragraph" w:styleId="CommentText">
    <w:name w:val="annotation text"/>
    <w:basedOn w:val="Normal"/>
    <w:link w:val="CommentTextChar"/>
    <w:uiPriority w:val="99"/>
    <w:unhideWhenUsed/>
    <w:rsid w:val="00FF2570"/>
    <w:pPr>
      <w:spacing w:line="240" w:lineRule="auto"/>
    </w:pPr>
    <w:rPr>
      <w:sz w:val="20"/>
      <w:szCs w:val="20"/>
    </w:rPr>
  </w:style>
  <w:style w:type="character" w:customStyle="1" w:styleId="CommentTextChar">
    <w:name w:val="Comment Text Char"/>
    <w:basedOn w:val="DefaultParagraphFont"/>
    <w:link w:val="CommentText"/>
    <w:uiPriority w:val="99"/>
    <w:rsid w:val="00FF2570"/>
    <w:rPr>
      <w:sz w:val="20"/>
      <w:szCs w:val="20"/>
    </w:rPr>
  </w:style>
  <w:style w:type="paragraph" w:customStyle="1" w:styleId="Bullets12ptCalibri-IPR">
    <w:name w:val="Bullets12ptCalibri-IPR"/>
    <w:link w:val="Bullets12ptCalibri-IPRChar"/>
    <w:qFormat/>
    <w:rsid w:val="00FF2570"/>
    <w:pPr>
      <w:numPr>
        <w:numId w:val="1"/>
      </w:numPr>
      <w:spacing w:after="240" w:line="240" w:lineRule="auto"/>
    </w:pPr>
    <w:rPr>
      <w:rFonts w:ascii="Calibri" w:hAnsi="Calibri"/>
      <w:sz w:val="24"/>
      <w:szCs w:val="24"/>
    </w:rPr>
  </w:style>
  <w:style w:type="character" w:customStyle="1" w:styleId="Bullets12ptCalibri-IPRChar">
    <w:name w:val="Bullets12ptCalibri-IPR Char"/>
    <w:basedOn w:val="DefaultParagraphFont"/>
    <w:link w:val="Bullets12ptCalibri-IPR"/>
    <w:rsid w:val="00FF2570"/>
    <w:rPr>
      <w:rFonts w:ascii="Calibri" w:hAnsi="Calibri"/>
      <w:sz w:val="24"/>
      <w:szCs w:val="24"/>
    </w:rPr>
  </w:style>
  <w:style w:type="paragraph" w:customStyle="1" w:styleId="TableTitle">
    <w:name w:val="Table Title"/>
    <w:next w:val="Normal"/>
    <w:qFormat/>
    <w:rsid w:val="00FF2570"/>
    <w:pPr>
      <w:keepNext/>
      <w:keepLines/>
      <w:spacing w:after="0" w:line="240" w:lineRule="auto"/>
      <w:jc w:val="center"/>
    </w:pPr>
    <w:rPr>
      <w:rFonts w:ascii="Calibri" w:eastAsia="Times New Roman" w:hAnsi="Calibri" w:cs="Calibri"/>
      <w:b/>
      <w:bCs/>
      <w:sz w:val="24"/>
      <w:szCs w:val="24"/>
    </w:rPr>
  </w:style>
  <w:style w:type="table" w:styleId="LightShading">
    <w:name w:val="Light Shading"/>
    <w:basedOn w:val="TableNormal"/>
    <w:uiPriority w:val="60"/>
    <w:rsid w:val="00FF2570"/>
    <w:pPr>
      <w:spacing w:after="0" w:line="240" w:lineRule="auto"/>
    </w:pPr>
    <w:rPr>
      <w:rFonts w:ascii="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IPR">
    <w:name w:val="TableText-IPR"/>
    <w:link w:val="TableText-IPRChar"/>
    <w:qFormat/>
    <w:rsid w:val="00FF2570"/>
    <w:pPr>
      <w:spacing w:after="0" w:line="240" w:lineRule="auto"/>
    </w:pPr>
    <w:rPr>
      <w:rFonts w:ascii="Calibri" w:eastAsiaTheme="minorEastAsia" w:hAnsi="Calibri" w:cs="Times New Roman"/>
      <w:sz w:val="20"/>
      <w:szCs w:val="20"/>
    </w:rPr>
  </w:style>
  <w:style w:type="character" w:customStyle="1" w:styleId="TableText-IPRChar">
    <w:name w:val="TableText-IPR Char"/>
    <w:basedOn w:val="DefaultParagraphFont"/>
    <w:link w:val="TableText-IPR"/>
    <w:rsid w:val="00FF2570"/>
    <w:rPr>
      <w:rFonts w:ascii="Calibri" w:eastAsiaTheme="minorEastAsia" w:hAnsi="Calibri" w:cs="Times New Roman"/>
      <w:sz w:val="20"/>
      <w:szCs w:val="20"/>
    </w:rPr>
  </w:style>
  <w:style w:type="paragraph" w:styleId="ListParagraph">
    <w:name w:val="List Paragraph"/>
    <w:basedOn w:val="Normal"/>
    <w:link w:val="ListParagraphChar"/>
    <w:uiPriority w:val="34"/>
    <w:qFormat/>
    <w:rsid w:val="00FF2570"/>
    <w:pPr>
      <w:spacing w:after="200" w:line="276" w:lineRule="auto"/>
      <w:ind w:left="720"/>
      <w:contextualSpacing/>
    </w:pPr>
  </w:style>
  <w:style w:type="character" w:customStyle="1" w:styleId="ListParagraphChar">
    <w:name w:val="List Paragraph Char"/>
    <w:basedOn w:val="DefaultParagraphFont"/>
    <w:link w:val="ListParagraph"/>
    <w:uiPriority w:val="34"/>
    <w:rsid w:val="00FF2570"/>
  </w:style>
  <w:style w:type="paragraph" w:customStyle="1" w:styleId="BulletsRed-IPR">
    <w:name w:val="BulletsRed-IPR"/>
    <w:link w:val="BulletsRed-IPRChar"/>
    <w:qFormat/>
    <w:rsid w:val="00FF2570"/>
    <w:pPr>
      <w:numPr>
        <w:numId w:val="4"/>
      </w:numPr>
      <w:spacing w:after="120" w:line="240" w:lineRule="auto"/>
    </w:pPr>
    <w:rPr>
      <w:rFonts w:ascii="Calibri" w:hAnsi="Calibri" w:cs="Times New Roman"/>
      <w:szCs w:val="24"/>
    </w:rPr>
  </w:style>
  <w:style w:type="character" w:customStyle="1" w:styleId="BulletsRed-IPRChar">
    <w:name w:val="BulletsRed-IPR Char"/>
    <w:basedOn w:val="DefaultParagraphFont"/>
    <w:link w:val="BulletsRed-IPR"/>
    <w:rsid w:val="00FF2570"/>
    <w:rPr>
      <w:rFonts w:ascii="Calibri" w:hAnsi="Calibri" w:cs="Times New Roman"/>
      <w:szCs w:val="24"/>
    </w:rPr>
  </w:style>
  <w:style w:type="numbering" w:customStyle="1" w:styleId="BulletListStyleRed-IPR">
    <w:name w:val="BulletListStyleRed-IPR"/>
    <w:uiPriority w:val="99"/>
    <w:rsid w:val="00FF2570"/>
    <w:pPr>
      <w:numPr>
        <w:numId w:val="3"/>
      </w:numPr>
    </w:pPr>
  </w:style>
  <w:style w:type="character" w:styleId="Hyperlink">
    <w:name w:val="Hyperlink"/>
    <w:uiPriority w:val="99"/>
    <w:rsid w:val="00FF2570"/>
    <w:rPr>
      <w:color w:val="0000FF"/>
      <w:u w:val="single"/>
    </w:rPr>
  </w:style>
  <w:style w:type="paragraph" w:styleId="FootnoteText">
    <w:name w:val="footnote text"/>
    <w:basedOn w:val="Normal"/>
    <w:link w:val="FootnoteTextChar"/>
    <w:uiPriority w:val="99"/>
    <w:semiHidden/>
    <w:unhideWhenUsed/>
    <w:rsid w:val="00FF2570"/>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F2570"/>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F2570"/>
    <w:rPr>
      <w:vertAlign w:val="superscript"/>
    </w:rPr>
  </w:style>
  <w:style w:type="paragraph" w:customStyle="1" w:styleId="Numbers12ptCalibri-IPR">
    <w:name w:val="Numbers12ptCalibri-IPR"/>
    <w:link w:val="Numbers12ptCalibri-IPRChar"/>
    <w:qFormat/>
    <w:rsid w:val="00FF2570"/>
    <w:pPr>
      <w:numPr>
        <w:numId w:val="7"/>
      </w:numPr>
      <w:spacing w:after="240" w:line="240" w:lineRule="auto"/>
      <w:ind w:left="720"/>
    </w:pPr>
    <w:rPr>
      <w:rFonts w:ascii="Calibri" w:hAnsi="Calibri"/>
      <w:sz w:val="24"/>
    </w:rPr>
  </w:style>
  <w:style w:type="character" w:customStyle="1" w:styleId="Numbers12ptCalibri-IPRChar">
    <w:name w:val="Numbers12ptCalibri-IPR Char"/>
    <w:basedOn w:val="DefaultParagraphFont"/>
    <w:link w:val="Numbers12ptCalibri-IPR"/>
    <w:rsid w:val="00FF2570"/>
    <w:rPr>
      <w:rFonts w:ascii="Calibri" w:hAnsi="Calibri"/>
      <w:sz w:val="24"/>
    </w:rPr>
  </w:style>
  <w:style w:type="character" w:styleId="CommentReference">
    <w:name w:val="annotation reference"/>
    <w:basedOn w:val="DefaultParagraphFont"/>
    <w:uiPriority w:val="99"/>
    <w:semiHidden/>
    <w:unhideWhenUsed/>
    <w:rsid w:val="004675EE"/>
    <w:rPr>
      <w:sz w:val="18"/>
      <w:szCs w:val="18"/>
    </w:rPr>
  </w:style>
  <w:style w:type="paragraph" w:styleId="CommentSubject">
    <w:name w:val="annotation subject"/>
    <w:basedOn w:val="CommentText"/>
    <w:next w:val="CommentText"/>
    <w:link w:val="CommentSubjectChar"/>
    <w:uiPriority w:val="99"/>
    <w:semiHidden/>
    <w:unhideWhenUsed/>
    <w:rsid w:val="004675EE"/>
    <w:rPr>
      <w:b/>
      <w:bCs/>
    </w:rPr>
  </w:style>
  <w:style w:type="character" w:customStyle="1" w:styleId="CommentSubjectChar">
    <w:name w:val="Comment Subject Char"/>
    <w:basedOn w:val="CommentTextChar"/>
    <w:link w:val="CommentSubject"/>
    <w:uiPriority w:val="99"/>
    <w:semiHidden/>
    <w:rsid w:val="004675EE"/>
    <w:rPr>
      <w:b/>
      <w:bCs/>
      <w:sz w:val="20"/>
      <w:szCs w:val="20"/>
    </w:rPr>
  </w:style>
  <w:style w:type="paragraph" w:styleId="BalloonText">
    <w:name w:val="Balloon Text"/>
    <w:basedOn w:val="Normal"/>
    <w:link w:val="BalloonTextChar"/>
    <w:uiPriority w:val="99"/>
    <w:semiHidden/>
    <w:unhideWhenUsed/>
    <w:rsid w:val="004675E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75EE"/>
    <w:rPr>
      <w:rFonts w:ascii="Times New Roman" w:hAnsi="Times New Roman" w:cs="Times New Roman"/>
      <w:sz w:val="18"/>
      <w:szCs w:val="18"/>
    </w:rPr>
  </w:style>
  <w:style w:type="paragraph" w:styleId="NormalWeb">
    <w:name w:val="Normal (Web)"/>
    <w:basedOn w:val="Normal"/>
    <w:uiPriority w:val="99"/>
    <w:semiHidden/>
    <w:unhideWhenUsed/>
    <w:rsid w:val="00330C3E"/>
    <w:rPr>
      <w:rFonts w:ascii="Times New Roman" w:hAnsi="Times New Roman" w:cs="Times New Roman"/>
      <w:sz w:val="24"/>
      <w:szCs w:val="24"/>
    </w:rPr>
  </w:style>
  <w:style w:type="paragraph" w:styleId="Header">
    <w:name w:val="header"/>
    <w:basedOn w:val="Normal"/>
    <w:link w:val="HeaderChar"/>
    <w:uiPriority w:val="99"/>
    <w:unhideWhenUsed/>
    <w:rsid w:val="004B6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3D5"/>
  </w:style>
  <w:style w:type="paragraph" w:styleId="Footer">
    <w:name w:val="footer"/>
    <w:basedOn w:val="Normal"/>
    <w:link w:val="FooterChar"/>
    <w:uiPriority w:val="99"/>
    <w:unhideWhenUsed/>
    <w:rsid w:val="004B6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3D5"/>
  </w:style>
  <w:style w:type="paragraph" w:styleId="Revision">
    <w:name w:val="Revision"/>
    <w:hidden/>
    <w:uiPriority w:val="99"/>
    <w:semiHidden/>
    <w:rsid w:val="00E642E2"/>
    <w:pPr>
      <w:spacing w:after="0" w:line="240" w:lineRule="auto"/>
    </w:pPr>
  </w:style>
  <w:style w:type="table" w:styleId="TableGrid">
    <w:name w:val="Table Grid"/>
    <w:basedOn w:val="TableNormal"/>
    <w:uiPriority w:val="39"/>
    <w:rsid w:val="00500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A2964"/>
  </w:style>
  <w:style w:type="character" w:customStyle="1" w:styleId="eop">
    <w:name w:val="eop"/>
    <w:basedOn w:val="DefaultParagraphFont"/>
    <w:rsid w:val="001A2964"/>
  </w:style>
  <w:style w:type="paragraph" w:customStyle="1" w:styleId="paragraph">
    <w:name w:val="paragraph"/>
    <w:basedOn w:val="Normal"/>
    <w:rsid w:val="005F6C9E"/>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rsid w:val="00D268B8"/>
    <w:rPr>
      <w:color w:val="605E5C"/>
      <w:shd w:val="clear" w:color="auto" w:fill="E1DFDD"/>
    </w:rPr>
  </w:style>
  <w:style w:type="character" w:styleId="FollowedHyperlink">
    <w:name w:val="FollowedHyperlink"/>
    <w:basedOn w:val="DefaultParagraphFont"/>
    <w:uiPriority w:val="99"/>
    <w:semiHidden/>
    <w:unhideWhenUsed/>
    <w:rsid w:val="00D268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5716">
      <w:bodyDiv w:val="1"/>
      <w:marLeft w:val="0"/>
      <w:marRight w:val="0"/>
      <w:marTop w:val="0"/>
      <w:marBottom w:val="0"/>
      <w:divBdr>
        <w:top w:val="none" w:sz="0" w:space="0" w:color="auto"/>
        <w:left w:val="none" w:sz="0" w:space="0" w:color="auto"/>
        <w:bottom w:val="none" w:sz="0" w:space="0" w:color="auto"/>
        <w:right w:val="none" w:sz="0" w:space="0" w:color="auto"/>
      </w:divBdr>
    </w:div>
    <w:div w:id="369493944">
      <w:bodyDiv w:val="1"/>
      <w:marLeft w:val="0"/>
      <w:marRight w:val="0"/>
      <w:marTop w:val="0"/>
      <w:marBottom w:val="0"/>
      <w:divBdr>
        <w:top w:val="none" w:sz="0" w:space="0" w:color="auto"/>
        <w:left w:val="none" w:sz="0" w:space="0" w:color="auto"/>
        <w:bottom w:val="none" w:sz="0" w:space="0" w:color="auto"/>
        <w:right w:val="none" w:sz="0" w:space="0" w:color="auto"/>
      </w:divBdr>
    </w:div>
    <w:div w:id="424307075">
      <w:bodyDiv w:val="1"/>
      <w:marLeft w:val="0"/>
      <w:marRight w:val="0"/>
      <w:marTop w:val="0"/>
      <w:marBottom w:val="0"/>
      <w:divBdr>
        <w:top w:val="none" w:sz="0" w:space="0" w:color="auto"/>
        <w:left w:val="none" w:sz="0" w:space="0" w:color="auto"/>
        <w:bottom w:val="none" w:sz="0" w:space="0" w:color="auto"/>
        <w:right w:val="none" w:sz="0" w:space="0" w:color="auto"/>
      </w:divBdr>
    </w:div>
    <w:div w:id="985166862">
      <w:bodyDiv w:val="1"/>
      <w:marLeft w:val="0"/>
      <w:marRight w:val="0"/>
      <w:marTop w:val="0"/>
      <w:marBottom w:val="0"/>
      <w:divBdr>
        <w:top w:val="none" w:sz="0" w:space="0" w:color="auto"/>
        <w:left w:val="none" w:sz="0" w:space="0" w:color="auto"/>
        <w:bottom w:val="none" w:sz="0" w:space="0" w:color="auto"/>
        <w:right w:val="none" w:sz="0" w:space="0" w:color="auto"/>
      </w:divBdr>
      <w:divsChild>
        <w:div w:id="438571287">
          <w:marLeft w:val="0"/>
          <w:marRight w:val="0"/>
          <w:marTop w:val="0"/>
          <w:marBottom w:val="0"/>
          <w:divBdr>
            <w:top w:val="none" w:sz="0" w:space="0" w:color="auto"/>
            <w:left w:val="none" w:sz="0" w:space="0" w:color="auto"/>
            <w:bottom w:val="none" w:sz="0" w:space="0" w:color="auto"/>
            <w:right w:val="none" w:sz="0" w:space="0" w:color="auto"/>
          </w:divBdr>
          <w:divsChild>
            <w:div w:id="289171911">
              <w:marLeft w:val="0"/>
              <w:marRight w:val="0"/>
              <w:marTop w:val="0"/>
              <w:marBottom w:val="0"/>
              <w:divBdr>
                <w:top w:val="none" w:sz="0" w:space="0" w:color="auto"/>
                <w:left w:val="none" w:sz="0" w:space="0" w:color="auto"/>
                <w:bottom w:val="none" w:sz="0" w:space="0" w:color="auto"/>
                <w:right w:val="none" w:sz="0" w:space="0" w:color="auto"/>
              </w:divBdr>
              <w:divsChild>
                <w:div w:id="983043480">
                  <w:marLeft w:val="0"/>
                  <w:marRight w:val="0"/>
                  <w:marTop w:val="0"/>
                  <w:marBottom w:val="0"/>
                  <w:divBdr>
                    <w:top w:val="none" w:sz="0" w:space="0" w:color="auto"/>
                    <w:left w:val="none" w:sz="0" w:space="0" w:color="auto"/>
                    <w:bottom w:val="none" w:sz="0" w:space="0" w:color="auto"/>
                    <w:right w:val="none" w:sz="0" w:space="0" w:color="auto"/>
                  </w:divBdr>
                  <w:divsChild>
                    <w:div w:id="1686786502">
                      <w:marLeft w:val="0"/>
                      <w:marRight w:val="0"/>
                      <w:marTop w:val="0"/>
                      <w:marBottom w:val="0"/>
                      <w:divBdr>
                        <w:top w:val="none" w:sz="0" w:space="0" w:color="auto"/>
                        <w:left w:val="none" w:sz="0" w:space="0" w:color="auto"/>
                        <w:bottom w:val="none" w:sz="0" w:space="0" w:color="auto"/>
                        <w:right w:val="none" w:sz="0" w:space="0" w:color="auto"/>
                      </w:divBdr>
                      <w:divsChild>
                        <w:div w:id="3301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9873">
              <w:marLeft w:val="0"/>
              <w:marRight w:val="0"/>
              <w:marTop w:val="0"/>
              <w:marBottom w:val="0"/>
              <w:divBdr>
                <w:top w:val="none" w:sz="0" w:space="0" w:color="auto"/>
                <w:left w:val="none" w:sz="0" w:space="0" w:color="auto"/>
                <w:bottom w:val="none" w:sz="0" w:space="0" w:color="auto"/>
                <w:right w:val="none" w:sz="0" w:space="0" w:color="auto"/>
              </w:divBdr>
              <w:divsChild>
                <w:div w:id="252781474">
                  <w:marLeft w:val="0"/>
                  <w:marRight w:val="0"/>
                  <w:marTop w:val="0"/>
                  <w:marBottom w:val="0"/>
                  <w:divBdr>
                    <w:top w:val="none" w:sz="0" w:space="0" w:color="auto"/>
                    <w:left w:val="none" w:sz="0" w:space="0" w:color="auto"/>
                    <w:bottom w:val="none" w:sz="0" w:space="0" w:color="auto"/>
                    <w:right w:val="none" w:sz="0" w:space="0" w:color="auto"/>
                  </w:divBdr>
                  <w:divsChild>
                    <w:div w:id="1679230613">
                      <w:marLeft w:val="0"/>
                      <w:marRight w:val="0"/>
                      <w:marTop w:val="0"/>
                      <w:marBottom w:val="0"/>
                      <w:divBdr>
                        <w:top w:val="none" w:sz="0" w:space="0" w:color="auto"/>
                        <w:left w:val="none" w:sz="0" w:space="0" w:color="auto"/>
                        <w:bottom w:val="none" w:sz="0" w:space="0" w:color="auto"/>
                        <w:right w:val="none" w:sz="0" w:space="0" w:color="auto"/>
                      </w:divBdr>
                      <w:divsChild>
                        <w:div w:id="75189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87389">
              <w:marLeft w:val="0"/>
              <w:marRight w:val="0"/>
              <w:marTop w:val="0"/>
              <w:marBottom w:val="0"/>
              <w:divBdr>
                <w:top w:val="none" w:sz="0" w:space="0" w:color="auto"/>
                <w:left w:val="none" w:sz="0" w:space="0" w:color="auto"/>
                <w:bottom w:val="none" w:sz="0" w:space="0" w:color="auto"/>
                <w:right w:val="none" w:sz="0" w:space="0" w:color="auto"/>
              </w:divBdr>
            </w:div>
            <w:div w:id="1229003199">
              <w:marLeft w:val="0"/>
              <w:marRight w:val="0"/>
              <w:marTop w:val="0"/>
              <w:marBottom w:val="0"/>
              <w:divBdr>
                <w:top w:val="none" w:sz="0" w:space="0" w:color="auto"/>
                <w:left w:val="none" w:sz="0" w:space="0" w:color="auto"/>
                <w:bottom w:val="none" w:sz="0" w:space="0" w:color="auto"/>
                <w:right w:val="none" w:sz="0" w:space="0" w:color="auto"/>
              </w:divBdr>
              <w:divsChild>
                <w:div w:id="430665337">
                  <w:marLeft w:val="0"/>
                  <w:marRight w:val="0"/>
                  <w:marTop w:val="0"/>
                  <w:marBottom w:val="0"/>
                  <w:divBdr>
                    <w:top w:val="none" w:sz="0" w:space="0" w:color="auto"/>
                    <w:left w:val="none" w:sz="0" w:space="0" w:color="auto"/>
                    <w:bottom w:val="none" w:sz="0" w:space="0" w:color="auto"/>
                    <w:right w:val="none" w:sz="0" w:space="0" w:color="auto"/>
                  </w:divBdr>
                  <w:divsChild>
                    <w:div w:id="131409710">
                      <w:marLeft w:val="0"/>
                      <w:marRight w:val="0"/>
                      <w:marTop w:val="0"/>
                      <w:marBottom w:val="0"/>
                      <w:divBdr>
                        <w:top w:val="none" w:sz="0" w:space="0" w:color="auto"/>
                        <w:left w:val="none" w:sz="0" w:space="0" w:color="auto"/>
                        <w:bottom w:val="none" w:sz="0" w:space="0" w:color="auto"/>
                        <w:right w:val="none" w:sz="0" w:space="0" w:color="auto"/>
                      </w:divBdr>
                      <w:divsChild>
                        <w:div w:id="7036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16585">
      <w:bodyDiv w:val="1"/>
      <w:marLeft w:val="0"/>
      <w:marRight w:val="0"/>
      <w:marTop w:val="0"/>
      <w:marBottom w:val="0"/>
      <w:divBdr>
        <w:top w:val="none" w:sz="0" w:space="0" w:color="auto"/>
        <w:left w:val="none" w:sz="0" w:space="0" w:color="auto"/>
        <w:bottom w:val="none" w:sz="0" w:space="0" w:color="auto"/>
        <w:right w:val="none" w:sz="0" w:space="0" w:color="auto"/>
      </w:divBdr>
    </w:div>
    <w:div w:id="1210415131">
      <w:bodyDiv w:val="1"/>
      <w:marLeft w:val="0"/>
      <w:marRight w:val="0"/>
      <w:marTop w:val="0"/>
      <w:marBottom w:val="0"/>
      <w:divBdr>
        <w:top w:val="none" w:sz="0" w:space="0" w:color="auto"/>
        <w:left w:val="none" w:sz="0" w:space="0" w:color="auto"/>
        <w:bottom w:val="none" w:sz="0" w:space="0" w:color="auto"/>
        <w:right w:val="none" w:sz="0" w:space="0" w:color="auto"/>
      </w:divBdr>
    </w:div>
    <w:div w:id="1985308688">
      <w:bodyDiv w:val="1"/>
      <w:marLeft w:val="0"/>
      <w:marRight w:val="0"/>
      <w:marTop w:val="0"/>
      <w:marBottom w:val="0"/>
      <w:divBdr>
        <w:top w:val="none" w:sz="0" w:space="0" w:color="auto"/>
        <w:left w:val="none" w:sz="0" w:space="0" w:color="auto"/>
        <w:bottom w:val="none" w:sz="0" w:space="0" w:color="auto"/>
        <w:right w:val="none" w:sz="0" w:space="0" w:color="auto"/>
      </w:divBdr>
    </w:div>
    <w:div w:id="211998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sf.gov/od/oia/activities/c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in_x0020_Document xmlns="174df122-fda3-47f7-b024-ac81f54c7aeb">true</Main_x0020_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9890C6496F7A4593105337EB1B5F37" ma:contentTypeVersion="13" ma:contentTypeDescription="Create a new document." ma:contentTypeScope="" ma:versionID="62b134728a1ed73122d2a20cbc756f18">
  <xsd:schema xmlns:xsd="http://www.w3.org/2001/XMLSchema" xmlns:xs="http://www.w3.org/2001/XMLSchema" xmlns:p="http://schemas.microsoft.com/office/2006/metadata/properties" xmlns:ns2="174df122-fda3-47f7-b024-ac81f54c7aeb" xmlns:ns3="6b2702c7-f0be-439e-a0ec-9c2baddf7ef9" targetNamespace="http://schemas.microsoft.com/office/2006/metadata/properties" ma:root="true" ma:fieldsID="e7035ce907eee1f93fc953b2bfe52594" ns2:_="" ns3:_="">
    <xsd:import namespace="174df122-fda3-47f7-b024-ac81f54c7aeb"/>
    <xsd:import namespace="6b2702c7-f0be-439e-a0ec-9c2baddf7ef9"/>
    <xsd:element name="properties">
      <xsd:complexType>
        <xsd:sequence>
          <xsd:element name="documentManagement">
            <xsd:complexType>
              <xsd:all>
                <xsd:element ref="ns2:Main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df122-fda3-47f7-b024-ac81f54c7aeb" elementFormDefault="qualified">
    <xsd:import namespace="http://schemas.microsoft.com/office/2006/documentManagement/types"/>
    <xsd:import namespace="http://schemas.microsoft.com/office/infopath/2007/PartnerControls"/>
    <xsd:element name="Main_x0020_Document" ma:index="8" nillable="true" ma:displayName="Main Document" ma:default="0" ma:internalName="Main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2702c7-f0be-439e-a0ec-9c2baddf7ef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BC764-C52D-4986-A6E2-F7F0A01B9AB6}">
  <ds:schemaRefs>
    <ds:schemaRef ds:uri="http://schemas.microsoft.com/sharepoint/v3/contenttype/forms"/>
  </ds:schemaRefs>
</ds:datastoreItem>
</file>

<file path=customXml/itemProps2.xml><?xml version="1.0" encoding="utf-8"?>
<ds:datastoreItem xmlns:ds="http://schemas.openxmlformats.org/officeDocument/2006/customXml" ds:itemID="{F56E1057-4E7F-4280-BB3A-39A0442AC6F2}">
  <ds:schemaRefs>
    <ds:schemaRef ds:uri="174df122-fda3-47f7-b024-ac81f54c7aeb"/>
    <ds:schemaRef ds:uri="6b2702c7-f0be-439e-a0ec-9c2baddf7ef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C9DA048-2F4B-40C4-A827-C1AE0E96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df122-fda3-47f7-b024-ac81f54c7aeb"/>
    <ds:schemaRef ds:uri="6b2702c7-f0be-439e-a0ec-9c2baddf7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E3774-02B0-4940-9F00-26854DFC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1831</Words>
  <Characters>10439</Characters>
  <Application>Microsoft Office Word</Application>
  <DocSecurity>0</DocSecurity>
  <Lines>86</Lines>
  <Paragraphs>24</Paragraphs>
  <ScaleCrop>false</ScaleCrop>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Strickland</dc:creator>
  <cp:keywords/>
  <dc:description/>
  <cp:lastModifiedBy>Plimpton, Suzanne H.</cp:lastModifiedBy>
  <cp:revision>2</cp:revision>
  <dcterms:created xsi:type="dcterms:W3CDTF">2021-09-29T12:33:00Z</dcterms:created>
  <dcterms:modified xsi:type="dcterms:W3CDTF">2021-09-29T12:33:00Z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0x0101004C9890C6496F7A4593105337EB1B5F37</vt:lpwstr>
  </property>
</Properties>
</file>