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7967" w:rsidR="00636235" w:rsidP="00B66D35" w:rsidRDefault="00636235" w14:paraId="552A8B2A" w14:textId="77777777">
      <w:pPr>
        <w:widowControl/>
        <w:ind w:left="90"/>
        <w:jc w:val="center"/>
        <w:rPr>
          <w:rFonts w:cs="Arial"/>
          <w:szCs w:val="22"/>
        </w:rPr>
      </w:pPr>
      <w:bookmarkStart w:name="_GoBack" w:id="0"/>
      <w:bookmarkEnd w:id="0"/>
      <w:r w:rsidRPr="00737967">
        <w:rPr>
          <w:rFonts w:cs="Arial"/>
          <w:szCs w:val="22"/>
        </w:rPr>
        <w:t>Ju</w:t>
      </w:r>
      <w:r w:rsidRPr="00737967" w:rsidR="00EE2E66">
        <w:rPr>
          <w:rFonts w:cs="Arial"/>
          <w:szCs w:val="22"/>
        </w:rPr>
        <w:t>s</w:t>
      </w:r>
      <w:r w:rsidRPr="00737967">
        <w:rPr>
          <w:rFonts w:cs="Arial"/>
          <w:szCs w:val="22"/>
        </w:rPr>
        <w:t>tification</w:t>
      </w:r>
    </w:p>
    <w:p w:rsidRPr="00737967" w:rsidR="008002DB" w:rsidP="00B66D35" w:rsidRDefault="008002DB" w14:paraId="5C29A25F" w14:textId="77777777">
      <w:pPr>
        <w:widowControl/>
        <w:ind w:left="90"/>
        <w:jc w:val="center"/>
        <w:rPr>
          <w:rFonts w:cs="Arial"/>
          <w:szCs w:val="22"/>
        </w:rPr>
      </w:pPr>
      <w:r w:rsidRPr="00737967">
        <w:rPr>
          <w:rFonts w:cs="Arial"/>
          <w:b/>
          <w:bCs/>
          <w:szCs w:val="22"/>
        </w:rPr>
        <w:t>Gross Earnings Report</w:t>
      </w:r>
    </w:p>
    <w:p w:rsidRPr="00737967" w:rsidR="00B66D35" w:rsidP="00A26760" w:rsidRDefault="008002DB" w14:paraId="74005604" w14:textId="7E85B664">
      <w:pPr>
        <w:widowControl/>
        <w:ind w:left="90"/>
        <w:jc w:val="center"/>
        <w:rPr>
          <w:rFonts w:cs="Arial"/>
          <w:szCs w:val="22"/>
        </w:rPr>
      </w:pPr>
      <w:r w:rsidRPr="00737967">
        <w:rPr>
          <w:rFonts w:cs="Arial"/>
          <w:szCs w:val="22"/>
        </w:rPr>
        <w:t>RRB Form BA-11</w:t>
      </w:r>
      <w:r w:rsidRPr="00737967" w:rsidR="001D4EA3">
        <w:rPr>
          <w:rFonts w:cs="Arial"/>
          <w:szCs w:val="22"/>
        </w:rPr>
        <w:t xml:space="preserve"> and BA-11 (Internet)</w:t>
      </w:r>
    </w:p>
    <w:p w:rsidRPr="00737967" w:rsidR="008002DB" w:rsidP="00B66D35" w:rsidRDefault="008002DB" w14:paraId="4BF0C36D" w14:textId="77777777">
      <w:pPr>
        <w:widowControl/>
        <w:jc w:val="both"/>
        <w:rPr>
          <w:rFonts w:cs="Arial"/>
          <w:szCs w:val="22"/>
        </w:rPr>
      </w:pPr>
    </w:p>
    <w:p w:rsidRPr="00737967" w:rsidR="008002DB" w:rsidP="00B86714" w:rsidRDefault="008002DB" w14:paraId="6E85FCB2" w14:textId="22F22216">
      <w:pPr>
        <w:widowControl/>
        <w:tabs>
          <w:tab w:val="left" w:pos="540"/>
        </w:tabs>
        <w:ind w:left="547" w:hanging="540"/>
        <w:jc w:val="both"/>
        <w:rPr>
          <w:rFonts w:cs="Arial"/>
          <w:szCs w:val="22"/>
        </w:rPr>
      </w:pPr>
      <w:r w:rsidRPr="00737967">
        <w:rPr>
          <w:rFonts w:cs="Arial"/>
          <w:szCs w:val="22"/>
        </w:rPr>
        <w:t>1.</w:t>
      </w:r>
      <w:r w:rsidRPr="00737967">
        <w:rPr>
          <w:rFonts w:cs="Arial"/>
          <w:b/>
          <w:szCs w:val="22"/>
        </w:rPr>
        <w:tab/>
      </w:r>
      <w:r w:rsidRPr="00737967">
        <w:rPr>
          <w:rFonts w:cs="Arial"/>
          <w:szCs w:val="22"/>
          <w:u w:val="single"/>
        </w:rPr>
        <w:t>Circumstances of information collection</w:t>
      </w:r>
      <w:r w:rsidRPr="00737967" w:rsidR="009C198C">
        <w:rPr>
          <w:rFonts w:cs="Arial"/>
          <w:szCs w:val="22"/>
        </w:rPr>
        <w:t xml:space="preserve"> - </w:t>
      </w:r>
      <w:r w:rsidRPr="00737967">
        <w:rPr>
          <w:rFonts w:cs="Arial"/>
          <w:szCs w:val="22"/>
        </w:rPr>
        <w:t xml:space="preserve">To carry out the financial interchange provisions of </w:t>
      </w:r>
      <w:r w:rsidR="00521991">
        <w:rPr>
          <w:rFonts w:cs="Arial"/>
          <w:szCs w:val="22"/>
        </w:rPr>
        <w:t>S</w:t>
      </w:r>
      <w:r w:rsidRPr="00737967">
        <w:rPr>
          <w:rFonts w:cs="Arial"/>
          <w:szCs w:val="22"/>
        </w:rPr>
        <w:t>ection 7(c)(2) of the Railroad Retirement Act (RRA)</w:t>
      </w:r>
      <w:r w:rsidR="00521991">
        <w:rPr>
          <w:rFonts w:cs="Arial"/>
          <w:szCs w:val="22"/>
        </w:rPr>
        <w:t xml:space="preserve"> (45 U.S.C. 231f)</w:t>
      </w:r>
      <w:r w:rsidRPr="00737967" w:rsidR="00F226AF">
        <w:rPr>
          <w:rFonts w:cs="Arial"/>
          <w:szCs w:val="22"/>
        </w:rPr>
        <w:t>,</w:t>
      </w:r>
      <w:r w:rsidRPr="00737967">
        <w:rPr>
          <w:rFonts w:cs="Arial"/>
          <w:szCs w:val="22"/>
        </w:rPr>
        <w:t xml:space="preserve"> </w:t>
      </w:r>
      <w:r w:rsidRPr="00737967" w:rsidR="0064686E">
        <w:rPr>
          <w:rFonts w:cs="Arial"/>
          <w:szCs w:val="22"/>
        </w:rPr>
        <w:t xml:space="preserve">each year </w:t>
      </w:r>
      <w:r w:rsidRPr="00737967" w:rsidR="00F226AF">
        <w:rPr>
          <w:rFonts w:cs="Arial"/>
          <w:szCs w:val="22"/>
        </w:rPr>
        <w:t>employer</w:t>
      </w:r>
      <w:r w:rsidRPr="00737967" w:rsidR="0064686E">
        <w:rPr>
          <w:rFonts w:cs="Arial"/>
          <w:szCs w:val="22"/>
        </w:rPr>
        <w:t>s</w:t>
      </w:r>
      <w:r w:rsidRPr="00737967" w:rsidR="00F226AF">
        <w:rPr>
          <w:rFonts w:cs="Arial"/>
          <w:szCs w:val="22"/>
        </w:rPr>
        <w:t xml:space="preserve"> </w:t>
      </w:r>
      <w:r w:rsidRPr="00737967" w:rsidR="0064686E">
        <w:rPr>
          <w:rFonts w:cs="Arial"/>
          <w:szCs w:val="22"/>
        </w:rPr>
        <w:t>are</w:t>
      </w:r>
      <w:r w:rsidRPr="00737967" w:rsidR="00F226AF">
        <w:rPr>
          <w:rFonts w:cs="Arial"/>
          <w:szCs w:val="22"/>
        </w:rPr>
        <w:t xml:space="preserve"> required to report the gross earnings of a one-percent sample group of railroad employees to the Railroad Retirement Board (RRB)</w:t>
      </w:r>
      <w:r w:rsidRPr="00737967" w:rsidR="0064686E">
        <w:rPr>
          <w:rFonts w:cs="Arial"/>
          <w:szCs w:val="22"/>
        </w:rPr>
        <w:t>.</w:t>
      </w:r>
      <w:r w:rsidRPr="00737967" w:rsidR="00296935">
        <w:rPr>
          <w:rFonts w:cs="Arial"/>
          <w:szCs w:val="22"/>
        </w:rPr>
        <w:t xml:space="preserve">  </w:t>
      </w:r>
      <w:r w:rsidRPr="00737967" w:rsidR="00F226AF">
        <w:rPr>
          <w:rFonts w:cs="Arial"/>
          <w:szCs w:val="22"/>
        </w:rPr>
        <w:t>T</w:t>
      </w:r>
      <w:r w:rsidRPr="00737967" w:rsidR="00296935">
        <w:rPr>
          <w:rFonts w:cs="Arial"/>
          <w:szCs w:val="22"/>
        </w:rPr>
        <w:t>he gross earnings sample is based on the earnings of th</w:t>
      </w:r>
      <w:r w:rsidRPr="00737967" w:rsidR="00A8462E">
        <w:rPr>
          <w:rFonts w:cs="Arial"/>
          <w:szCs w:val="22"/>
        </w:rPr>
        <w:t>e</w:t>
      </w:r>
      <w:r w:rsidRPr="00737967" w:rsidR="00296935">
        <w:rPr>
          <w:rFonts w:cs="Arial"/>
          <w:szCs w:val="22"/>
        </w:rPr>
        <w:t xml:space="preserve"> employees whose social security numbers end with "30." </w:t>
      </w:r>
      <w:r w:rsidRPr="00737967" w:rsidR="00B66D35">
        <w:rPr>
          <w:rFonts w:cs="Arial"/>
          <w:szCs w:val="22"/>
        </w:rPr>
        <w:t xml:space="preserve"> </w:t>
      </w:r>
      <w:r w:rsidRPr="00737967" w:rsidR="00296935">
        <w:rPr>
          <w:rFonts w:cs="Arial"/>
          <w:szCs w:val="22"/>
        </w:rPr>
        <w:t xml:space="preserve">The gross earnings </w:t>
      </w:r>
      <w:r w:rsidRPr="00737967" w:rsidR="00D57F7D">
        <w:rPr>
          <w:rFonts w:cs="Arial"/>
          <w:szCs w:val="22"/>
        </w:rPr>
        <w:t xml:space="preserve">of these employees </w:t>
      </w:r>
      <w:r w:rsidRPr="00737967" w:rsidR="00296935">
        <w:rPr>
          <w:rFonts w:cs="Arial"/>
          <w:szCs w:val="22"/>
        </w:rPr>
        <w:t>are then used to determine payroll taxes under the financial interchange.</w:t>
      </w:r>
      <w:r w:rsidRPr="00737967" w:rsidR="001C2A07">
        <w:rPr>
          <w:rFonts w:cs="Arial"/>
          <w:szCs w:val="22"/>
        </w:rPr>
        <w:t xml:space="preserve"> </w:t>
      </w:r>
      <w:r w:rsidRPr="00737967">
        <w:rPr>
          <w:rFonts w:cs="Arial"/>
          <w:szCs w:val="22"/>
        </w:rPr>
        <w:t xml:space="preserve"> </w:t>
      </w:r>
    </w:p>
    <w:p w:rsidRPr="00737967" w:rsidR="008002DB" w:rsidP="00B86714" w:rsidRDefault="008002DB" w14:paraId="253C192C" w14:textId="77777777">
      <w:pPr>
        <w:widowControl/>
        <w:tabs>
          <w:tab w:val="left" w:pos="540"/>
        </w:tabs>
        <w:ind w:left="547" w:hanging="540"/>
        <w:jc w:val="both"/>
        <w:rPr>
          <w:rFonts w:cs="Arial"/>
          <w:szCs w:val="22"/>
        </w:rPr>
      </w:pPr>
    </w:p>
    <w:p w:rsidRPr="00737967" w:rsidR="008002DB" w:rsidP="00B86714" w:rsidRDefault="008002DB" w14:paraId="0D9E8507" w14:textId="77777777">
      <w:pPr>
        <w:widowControl/>
        <w:tabs>
          <w:tab w:val="left" w:pos="540"/>
        </w:tabs>
        <w:ind w:left="547"/>
        <w:jc w:val="both"/>
        <w:rPr>
          <w:rFonts w:cs="Arial"/>
          <w:szCs w:val="22"/>
        </w:rPr>
      </w:pPr>
      <w:r w:rsidRPr="00737967">
        <w:rPr>
          <w:rFonts w:cs="Arial"/>
          <w:szCs w:val="22"/>
        </w:rPr>
        <w:t>The financial interchange between the railroad retirement and social security systems was established by the 1951 amendments to the RRA and was made retroactive to January 1, 1937</w:t>
      </w:r>
      <w:r w:rsidRPr="00737967" w:rsidR="00B73AA1">
        <w:rPr>
          <w:rFonts w:cs="Arial"/>
          <w:szCs w:val="22"/>
        </w:rPr>
        <w:t xml:space="preserve">.  </w:t>
      </w:r>
      <w:r w:rsidRPr="00737967">
        <w:rPr>
          <w:rFonts w:cs="Arial"/>
          <w:szCs w:val="22"/>
        </w:rPr>
        <w:t xml:space="preserve">The purpose of the financial interchange between the railroad retirement and social security systems is to put the social security (OASDHI) trust funds in the same position they would have been </w:t>
      </w:r>
      <w:r w:rsidRPr="00737967" w:rsidR="00D57F7D">
        <w:rPr>
          <w:rFonts w:cs="Arial"/>
          <w:szCs w:val="22"/>
        </w:rPr>
        <w:t xml:space="preserve">in if </w:t>
      </w:r>
      <w:r w:rsidRPr="00737967">
        <w:rPr>
          <w:rFonts w:cs="Arial"/>
          <w:szCs w:val="22"/>
        </w:rPr>
        <w:t xml:space="preserve">railroad employment </w:t>
      </w:r>
      <w:r w:rsidRPr="00737967" w:rsidR="00D57F7D">
        <w:rPr>
          <w:rFonts w:cs="Arial"/>
          <w:szCs w:val="22"/>
        </w:rPr>
        <w:t xml:space="preserve">had </w:t>
      </w:r>
      <w:r w:rsidRPr="00737967">
        <w:rPr>
          <w:rFonts w:cs="Arial"/>
          <w:szCs w:val="22"/>
        </w:rPr>
        <w:t xml:space="preserve">been covered under the Social Security </w:t>
      </w:r>
      <w:r w:rsidRPr="00737967" w:rsidR="00D27269">
        <w:rPr>
          <w:rFonts w:cs="Arial"/>
          <w:szCs w:val="22"/>
        </w:rPr>
        <w:t xml:space="preserve">and Federal Insurance Contributions </w:t>
      </w:r>
      <w:r w:rsidRPr="00737967">
        <w:rPr>
          <w:rFonts w:cs="Arial"/>
          <w:szCs w:val="22"/>
        </w:rPr>
        <w:t>Act since its inception.</w:t>
      </w:r>
    </w:p>
    <w:p w:rsidRPr="00737967" w:rsidR="00E3547E" w:rsidP="00B86714" w:rsidRDefault="00E3547E" w14:paraId="1562216E" w14:textId="77777777">
      <w:pPr>
        <w:widowControl/>
        <w:tabs>
          <w:tab w:val="left" w:pos="540"/>
        </w:tabs>
        <w:ind w:left="547" w:hanging="540"/>
        <w:jc w:val="both"/>
        <w:rPr>
          <w:rFonts w:cs="Arial"/>
          <w:szCs w:val="22"/>
        </w:rPr>
      </w:pPr>
    </w:p>
    <w:p w:rsidRPr="00737967" w:rsidR="008002DB" w:rsidP="00B86714" w:rsidRDefault="00E3547E" w14:paraId="70A9422A" w14:textId="77777777">
      <w:pPr>
        <w:widowControl/>
        <w:tabs>
          <w:tab w:val="left" w:pos="540"/>
        </w:tabs>
        <w:ind w:left="547"/>
        <w:jc w:val="both"/>
        <w:rPr>
          <w:rFonts w:cs="Arial"/>
          <w:szCs w:val="22"/>
        </w:rPr>
      </w:pPr>
      <w:r w:rsidRPr="00737967">
        <w:rPr>
          <w:rFonts w:cs="Arial"/>
          <w:szCs w:val="22"/>
        </w:rPr>
        <w:t xml:space="preserve">Under the Railroad Retirement Solvency Act of 1983, sickness payments became creditable as compensation. </w:t>
      </w:r>
      <w:r w:rsidRPr="00737967" w:rsidR="00B66D35">
        <w:rPr>
          <w:rFonts w:cs="Arial"/>
          <w:szCs w:val="22"/>
        </w:rPr>
        <w:t xml:space="preserve"> </w:t>
      </w:r>
      <w:r w:rsidRPr="00737967">
        <w:rPr>
          <w:rFonts w:cs="Arial"/>
          <w:szCs w:val="22"/>
        </w:rPr>
        <w:t>Railroad employers are asked to include the sickness payments with other compensation in gross earn</w:t>
      </w:r>
      <w:r w:rsidRPr="00737967">
        <w:rPr>
          <w:rFonts w:cs="Arial"/>
          <w:szCs w:val="22"/>
        </w:rPr>
        <w:softHyphen/>
        <w:t>ings reports.</w:t>
      </w:r>
    </w:p>
    <w:p w:rsidRPr="00737967" w:rsidR="00E3547E" w:rsidP="00B86714" w:rsidRDefault="00E3547E" w14:paraId="285C30DB" w14:textId="77777777">
      <w:pPr>
        <w:widowControl/>
        <w:tabs>
          <w:tab w:val="left" w:pos="540"/>
        </w:tabs>
        <w:ind w:left="547"/>
        <w:jc w:val="both"/>
        <w:rPr>
          <w:rFonts w:cs="Arial"/>
          <w:szCs w:val="22"/>
        </w:rPr>
      </w:pPr>
    </w:p>
    <w:p w:rsidRPr="00737967" w:rsidR="008002DB" w:rsidP="00B86714" w:rsidRDefault="008002DB" w14:paraId="73CB151A" w14:textId="77777777">
      <w:pPr>
        <w:widowControl/>
        <w:tabs>
          <w:tab w:val="left" w:pos="540"/>
        </w:tabs>
        <w:ind w:left="547"/>
        <w:jc w:val="both"/>
        <w:rPr>
          <w:rFonts w:cs="Arial"/>
          <w:szCs w:val="22"/>
        </w:rPr>
      </w:pPr>
      <w:r w:rsidRPr="00737967">
        <w:rPr>
          <w:rFonts w:cs="Arial"/>
          <w:szCs w:val="22"/>
        </w:rPr>
        <w:t>The procedures pertaining to the RRB's collection of gross earnings information needed to carry out the financial interchange provisions of the RRA are contained in 20 CFR 209.13.</w:t>
      </w:r>
    </w:p>
    <w:p w:rsidRPr="00737967" w:rsidR="002E3E06" w:rsidP="00B66D35" w:rsidRDefault="002E3E06" w14:paraId="50F57497" w14:textId="77777777">
      <w:pPr>
        <w:widowControl/>
        <w:tabs>
          <w:tab w:val="left" w:pos="540"/>
        </w:tabs>
        <w:ind w:left="547"/>
        <w:jc w:val="both"/>
        <w:rPr>
          <w:rFonts w:cs="Arial"/>
          <w:szCs w:val="22"/>
        </w:rPr>
      </w:pPr>
    </w:p>
    <w:p w:rsidRPr="00737967" w:rsidR="008002DB" w:rsidP="00B66D35" w:rsidRDefault="008002DB" w14:paraId="73869F4B" w14:textId="77777777">
      <w:pPr>
        <w:widowControl/>
        <w:tabs>
          <w:tab w:val="left" w:pos="540"/>
        </w:tabs>
        <w:ind w:left="547" w:hanging="540"/>
        <w:jc w:val="both"/>
        <w:rPr>
          <w:rFonts w:cs="Arial"/>
          <w:szCs w:val="22"/>
        </w:rPr>
      </w:pPr>
      <w:r w:rsidRPr="00737967">
        <w:rPr>
          <w:rFonts w:cs="Arial"/>
          <w:szCs w:val="22"/>
        </w:rPr>
        <w:t xml:space="preserve"> 2.</w:t>
      </w:r>
      <w:r w:rsidRPr="00737967">
        <w:rPr>
          <w:rFonts w:cs="Arial"/>
          <w:b/>
          <w:szCs w:val="22"/>
        </w:rPr>
        <w:tab/>
      </w:r>
      <w:r w:rsidRPr="00737967">
        <w:rPr>
          <w:rFonts w:cs="Arial"/>
          <w:szCs w:val="22"/>
          <w:u w:val="single"/>
        </w:rPr>
        <w:t>Purposes of collecting/consequences of not collecting the information</w:t>
      </w:r>
      <w:r w:rsidRPr="00737967" w:rsidR="00ED02AD">
        <w:rPr>
          <w:rFonts w:cs="Arial"/>
          <w:szCs w:val="22"/>
        </w:rPr>
        <w:t xml:space="preserve"> - </w:t>
      </w:r>
      <w:r w:rsidRPr="00737967" w:rsidR="007B1B78">
        <w:rPr>
          <w:rFonts w:cs="Arial"/>
          <w:szCs w:val="22"/>
        </w:rPr>
        <w:t>The g</w:t>
      </w:r>
      <w:r w:rsidRPr="00737967">
        <w:rPr>
          <w:rFonts w:cs="Arial"/>
          <w:szCs w:val="22"/>
        </w:rPr>
        <w:t xml:space="preserve">ross earnings information is essential in determining the </w:t>
      </w:r>
      <w:r w:rsidRPr="00737967" w:rsidR="00133708">
        <w:rPr>
          <w:rFonts w:cs="Arial"/>
          <w:szCs w:val="22"/>
        </w:rPr>
        <w:t xml:space="preserve">tax amounts </w:t>
      </w:r>
      <w:r w:rsidRPr="00737967">
        <w:rPr>
          <w:rFonts w:cs="Arial"/>
          <w:szCs w:val="22"/>
        </w:rPr>
        <w:t xml:space="preserve">involved in the financial interchange with the Social Security Administration and </w:t>
      </w:r>
      <w:r w:rsidRPr="00737967" w:rsidR="00636235">
        <w:rPr>
          <w:rFonts w:cs="Arial"/>
          <w:szCs w:val="22"/>
        </w:rPr>
        <w:t xml:space="preserve">the Centers for Medicare </w:t>
      </w:r>
      <w:r w:rsidRPr="00737967" w:rsidR="00E7770D">
        <w:rPr>
          <w:rFonts w:cs="Arial"/>
          <w:szCs w:val="22"/>
        </w:rPr>
        <w:t xml:space="preserve">&amp; </w:t>
      </w:r>
      <w:r w:rsidRPr="00737967" w:rsidR="00636235">
        <w:rPr>
          <w:rFonts w:cs="Arial"/>
          <w:szCs w:val="22"/>
        </w:rPr>
        <w:t>Medicaid</w:t>
      </w:r>
      <w:r w:rsidRPr="00737967">
        <w:rPr>
          <w:rFonts w:cs="Arial"/>
          <w:szCs w:val="22"/>
        </w:rPr>
        <w:t xml:space="preserve"> </w:t>
      </w:r>
      <w:r w:rsidRPr="00737967" w:rsidR="00636235">
        <w:rPr>
          <w:rFonts w:cs="Arial"/>
          <w:szCs w:val="22"/>
        </w:rPr>
        <w:t>Services</w:t>
      </w:r>
      <w:r w:rsidRPr="00737967">
        <w:rPr>
          <w:rFonts w:cs="Arial"/>
          <w:szCs w:val="22"/>
        </w:rPr>
        <w:t xml:space="preserve">. </w:t>
      </w:r>
      <w:r w:rsidRPr="00737967" w:rsidR="007B1B78">
        <w:rPr>
          <w:rFonts w:cs="Arial"/>
          <w:szCs w:val="22"/>
        </w:rPr>
        <w:t xml:space="preserve"> </w:t>
      </w:r>
      <w:r w:rsidRPr="00737967">
        <w:rPr>
          <w:rFonts w:cs="Arial"/>
          <w:szCs w:val="22"/>
        </w:rPr>
        <w:t xml:space="preserve">Besides being necessary for current financial interchange calculations, the gross earnings file tabulations are also an integral part of the data needed to estimate future tax income and corresponding financial interchange amounts.  These estimates are made for internal use and to satisfy requests from other government agencies and interested groups.  In addition, cash-flow projections of the social security equivalent benefit account and railroad retirement account and cost estimates made for proposed amendments to laws administered by the </w:t>
      </w:r>
      <w:r w:rsidRPr="00737967" w:rsidR="0086437D">
        <w:rPr>
          <w:rFonts w:cs="Arial"/>
          <w:szCs w:val="22"/>
        </w:rPr>
        <w:t>RRB,</w:t>
      </w:r>
      <w:r w:rsidRPr="00737967">
        <w:rPr>
          <w:rFonts w:cs="Arial"/>
          <w:szCs w:val="22"/>
        </w:rPr>
        <w:t xml:space="preserve"> are dependent upon input developed from the information collection.</w:t>
      </w:r>
    </w:p>
    <w:p w:rsidRPr="00737967" w:rsidR="008002DB" w:rsidP="00B66D35" w:rsidRDefault="008002DB" w14:paraId="0E99E34E" w14:textId="77777777">
      <w:pPr>
        <w:widowControl/>
        <w:tabs>
          <w:tab w:val="left" w:pos="540"/>
        </w:tabs>
        <w:ind w:left="547" w:hanging="540"/>
        <w:jc w:val="both"/>
        <w:rPr>
          <w:rFonts w:cs="Arial"/>
          <w:szCs w:val="22"/>
        </w:rPr>
      </w:pPr>
    </w:p>
    <w:p w:rsidRPr="00737967" w:rsidR="00B86714" w:rsidP="00B66D35" w:rsidRDefault="0075036F" w14:paraId="40B1DFE8" w14:textId="77777777">
      <w:pPr>
        <w:widowControl/>
        <w:tabs>
          <w:tab w:val="left" w:pos="540"/>
        </w:tabs>
        <w:ind w:left="547"/>
        <w:jc w:val="both"/>
        <w:rPr>
          <w:rFonts w:cs="Arial"/>
          <w:strike/>
        </w:rPr>
      </w:pPr>
      <w:r w:rsidRPr="00737967">
        <w:rPr>
          <w:rFonts w:cs="Arial"/>
          <w:szCs w:val="22"/>
        </w:rPr>
        <w:t>The RRB uses</w:t>
      </w:r>
      <w:r w:rsidRPr="00737967">
        <w:rPr>
          <w:rFonts w:cs="Arial"/>
          <w:b/>
          <w:szCs w:val="22"/>
        </w:rPr>
        <w:t xml:space="preserve"> </w:t>
      </w:r>
      <w:r w:rsidRPr="00737967" w:rsidR="00AA21B9">
        <w:rPr>
          <w:rFonts w:cs="Arial"/>
          <w:b/>
          <w:szCs w:val="22"/>
        </w:rPr>
        <w:t xml:space="preserve">Form </w:t>
      </w:r>
      <w:r w:rsidRPr="00737967" w:rsidR="002D4845">
        <w:rPr>
          <w:rFonts w:cs="Arial"/>
          <w:b/>
          <w:szCs w:val="22"/>
        </w:rPr>
        <w:t>BA-11</w:t>
      </w:r>
      <w:r w:rsidRPr="00737967">
        <w:rPr>
          <w:rFonts w:cs="Arial"/>
          <w:b/>
        </w:rPr>
        <w:t>, Gross Earnings Report,</w:t>
      </w:r>
      <w:r w:rsidRPr="00737967" w:rsidR="002D4845">
        <w:rPr>
          <w:rFonts w:cs="Arial"/>
          <w:szCs w:val="22"/>
        </w:rPr>
        <w:t xml:space="preserve"> </w:t>
      </w:r>
      <w:r w:rsidRPr="00737967">
        <w:rPr>
          <w:rFonts w:cs="Arial"/>
          <w:szCs w:val="22"/>
        </w:rPr>
        <w:t xml:space="preserve">to </w:t>
      </w:r>
      <w:r w:rsidRPr="00737967" w:rsidR="00E7770D">
        <w:rPr>
          <w:rFonts w:cs="Arial"/>
          <w:szCs w:val="22"/>
        </w:rPr>
        <w:t>request</w:t>
      </w:r>
      <w:r w:rsidRPr="00737967" w:rsidR="002D4845">
        <w:rPr>
          <w:rFonts w:cs="Arial"/>
          <w:szCs w:val="22"/>
        </w:rPr>
        <w:t xml:space="preserve"> </w:t>
      </w:r>
      <w:r w:rsidRPr="00737967" w:rsidR="00E7770D">
        <w:rPr>
          <w:rFonts w:cs="Arial"/>
          <w:szCs w:val="22"/>
        </w:rPr>
        <w:t>pertinent employer and report identifying information</w:t>
      </w:r>
      <w:r w:rsidRPr="00737967" w:rsidR="00026E5B">
        <w:rPr>
          <w:rFonts w:cs="Arial"/>
          <w:szCs w:val="22"/>
        </w:rPr>
        <w:t xml:space="preserve"> as well as </w:t>
      </w:r>
      <w:r w:rsidRPr="00737967" w:rsidR="00AA21B9">
        <w:rPr>
          <w:rFonts w:cs="Arial"/>
          <w:szCs w:val="22"/>
        </w:rPr>
        <w:t>each employ</w:t>
      </w:r>
      <w:r w:rsidRPr="00737967" w:rsidR="00AA21B9">
        <w:rPr>
          <w:rFonts w:cs="Arial"/>
          <w:szCs w:val="22"/>
        </w:rPr>
        <w:softHyphen/>
        <w:t>ee's social security number, name</w:t>
      </w:r>
      <w:r w:rsidRPr="00737967" w:rsidR="00133708">
        <w:rPr>
          <w:rFonts w:cs="Arial"/>
          <w:szCs w:val="22"/>
        </w:rPr>
        <w:t>,</w:t>
      </w:r>
      <w:r w:rsidRPr="00737967" w:rsidR="00AA21B9">
        <w:rPr>
          <w:rFonts w:cs="Arial"/>
          <w:szCs w:val="22"/>
        </w:rPr>
        <w:t xml:space="preserve"> and </w:t>
      </w:r>
      <w:r w:rsidRPr="00737967" w:rsidR="00D858F8">
        <w:rPr>
          <w:rFonts w:cs="Arial"/>
          <w:szCs w:val="22"/>
        </w:rPr>
        <w:t xml:space="preserve">the </w:t>
      </w:r>
      <w:r w:rsidRPr="00737967" w:rsidR="00AA21B9">
        <w:rPr>
          <w:rFonts w:cs="Arial"/>
          <w:szCs w:val="22"/>
        </w:rPr>
        <w:t>gross earnings amounts</w:t>
      </w:r>
      <w:r w:rsidRPr="00737967" w:rsidR="00026E5B">
        <w:rPr>
          <w:rFonts w:cs="Arial"/>
          <w:szCs w:val="22"/>
        </w:rPr>
        <w:t>,</w:t>
      </w:r>
      <w:r w:rsidRPr="00737967" w:rsidR="00133708">
        <w:rPr>
          <w:rFonts w:cs="Arial"/>
          <w:szCs w:val="22"/>
        </w:rPr>
        <w:t xml:space="preserve"> which can be </w:t>
      </w:r>
      <w:r w:rsidRPr="00737967" w:rsidR="00D858F8">
        <w:rPr>
          <w:rFonts w:cs="Arial"/>
          <w:szCs w:val="22"/>
        </w:rPr>
        <w:t>reported</w:t>
      </w:r>
      <w:r w:rsidRPr="00737967" w:rsidR="00AA21B9">
        <w:rPr>
          <w:rFonts w:cs="Arial"/>
          <w:szCs w:val="22"/>
        </w:rPr>
        <w:t xml:space="preserve"> </w:t>
      </w:r>
      <w:r w:rsidRPr="00737967" w:rsidR="00585625">
        <w:rPr>
          <w:rFonts w:cs="Arial"/>
          <w:szCs w:val="22"/>
        </w:rPr>
        <w:t>with a</w:t>
      </w:r>
      <w:r w:rsidRPr="00737967" w:rsidR="00026E5B">
        <w:rPr>
          <w:rFonts w:cs="Arial"/>
          <w:szCs w:val="22"/>
        </w:rPr>
        <w:t xml:space="preserve">n </w:t>
      </w:r>
      <w:r w:rsidRPr="00737967" w:rsidR="00AA21B9">
        <w:rPr>
          <w:rFonts w:cs="Arial"/>
          <w:szCs w:val="22"/>
        </w:rPr>
        <w:t>annual, quarterly</w:t>
      </w:r>
      <w:r w:rsidRPr="00737967" w:rsidR="00026E5B">
        <w:rPr>
          <w:rFonts w:cs="Arial"/>
          <w:szCs w:val="22"/>
        </w:rPr>
        <w:t>,</w:t>
      </w:r>
      <w:r w:rsidRPr="00737967" w:rsidR="00AA21B9">
        <w:rPr>
          <w:rFonts w:cs="Arial"/>
          <w:szCs w:val="22"/>
        </w:rPr>
        <w:t xml:space="preserve"> or monthly </w:t>
      </w:r>
      <w:r w:rsidRPr="00737967" w:rsidR="00600125">
        <w:rPr>
          <w:rFonts w:cs="Arial"/>
          <w:szCs w:val="22"/>
        </w:rPr>
        <w:t>b</w:t>
      </w:r>
      <w:r w:rsidRPr="00737967" w:rsidR="00585625">
        <w:rPr>
          <w:rFonts w:cs="Arial"/>
          <w:szCs w:val="22"/>
        </w:rPr>
        <w:t>reakdown</w:t>
      </w:r>
      <w:r w:rsidRPr="00737967" w:rsidR="00AA21B9">
        <w:rPr>
          <w:rFonts w:cs="Arial"/>
          <w:szCs w:val="22"/>
        </w:rPr>
        <w:t xml:space="preserve">. </w:t>
      </w:r>
      <w:r w:rsidRPr="00737967" w:rsidR="00133708">
        <w:rPr>
          <w:rFonts w:cs="Arial"/>
          <w:szCs w:val="22"/>
        </w:rPr>
        <w:t xml:space="preserve"> </w:t>
      </w:r>
    </w:p>
    <w:p w:rsidRPr="00737967" w:rsidR="00AB1B1C" w:rsidP="00B66D35" w:rsidRDefault="00AB1B1C" w14:paraId="02E7A672" w14:textId="77777777">
      <w:pPr>
        <w:widowControl/>
        <w:tabs>
          <w:tab w:val="left" w:pos="540"/>
        </w:tabs>
        <w:ind w:left="547"/>
        <w:jc w:val="both"/>
        <w:rPr>
          <w:rFonts w:cs="Arial"/>
          <w:dstrike/>
        </w:rPr>
      </w:pPr>
    </w:p>
    <w:p w:rsidRPr="00737967" w:rsidR="00026E5B" w:rsidP="00B66D35" w:rsidRDefault="0075036F" w14:paraId="0BE90AC1" w14:textId="77777777">
      <w:pPr>
        <w:widowControl/>
        <w:tabs>
          <w:tab w:val="left" w:pos="540"/>
        </w:tabs>
        <w:ind w:left="547"/>
        <w:jc w:val="both"/>
        <w:rPr>
          <w:rFonts w:cs="Arial"/>
        </w:rPr>
      </w:pPr>
      <w:r w:rsidRPr="00737967">
        <w:rPr>
          <w:rFonts w:cs="Arial"/>
        </w:rPr>
        <w:t>T</w:t>
      </w:r>
      <w:r w:rsidRPr="00737967" w:rsidR="00026E5B">
        <w:rPr>
          <w:rFonts w:cs="Arial"/>
        </w:rPr>
        <w:t xml:space="preserve">he primary method for submitting the report to the RRB is by </w:t>
      </w:r>
      <w:r w:rsidRPr="00737967">
        <w:rPr>
          <w:rFonts w:cs="Arial"/>
        </w:rPr>
        <w:t xml:space="preserve">using online </w:t>
      </w:r>
      <w:r w:rsidRPr="00737967" w:rsidR="00EA7507">
        <w:rPr>
          <w:rFonts w:cs="Arial"/>
          <w:b/>
        </w:rPr>
        <w:t>Form BA-11 (Internet)</w:t>
      </w:r>
      <w:r w:rsidRPr="00737967" w:rsidR="00EA7507">
        <w:rPr>
          <w:rFonts w:cs="Arial"/>
        </w:rPr>
        <w:t xml:space="preserve">, </w:t>
      </w:r>
      <w:r w:rsidRPr="00737967" w:rsidR="001D495E">
        <w:rPr>
          <w:rFonts w:cs="Arial"/>
          <w:b/>
        </w:rPr>
        <w:t>Gross Earnings Report,</w:t>
      </w:r>
      <w:r w:rsidRPr="00737967" w:rsidR="000078FD">
        <w:rPr>
          <w:rFonts w:cs="Arial"/>
          <w:b/>
        </w:rPr>
        <w:t xml:space="preserve"> </w:t>
      </w:r>
      <w:r w:rsidRPr="00737967" w:rsidR="000078FD">
        <w:rPr>
          <w:rFonts w:cs="Arial"/>
          <w:bCs/>
        </w:rPr>
        <w:t xml:space="preserve">via the RRB’s Employer Reporting System.  </w:t>
      </w:r>
      <w:r w:rsidRPr="00737967" w:rsidR="00026E5B">
        <w:rPr>
          <w:rFonts w:cs="Arial"/>
        </w:rPr>
        <w:t xml:space="preserve">The </w:t>
      </w:r>
      <w:r w:rsidRPr="00737967" w:rsidR="00AB3B94">
        <w:rPr>
          <w:rFonts w:cs="Arial"/>
        </w:rPr>
        <w:t xml:space="preserve">completion </w:t>
      </w:r>
      <w:r w:rsidRPr="00737967" w:rsidR="00026E5B">
        <w:rPr>
          <w:rFonts w:cs="Arial"/>
        </w:rPr>
        <w:t xml:space="preserve">instructions are contained in </w:t>
      </w:r>
      <w:r w:rsidRPr="00737967" w:rsidR="000321CA">
        <w:rPr>
          <w:rFonts w:cs="Arial"/>
          <w:szCs w:val="22"/>
        </w:rPr>
        <w:t>a circular letter that is sent annually to each employer as a reminder to file</w:t>
      </w:r>
      <w:r w:rsidRPr="00737967" w:rsidR="000321CA">
        <w:rPr>
          <w:rFonts w:cs="Arial"/>
        </w:rPr>
        <w:t xml:space="preserve"> as well as in </w:t>
      </w:r>
      <w:r w:rsidRPr="00737967" w:rsidR="00026E5B">
        <w:rPr>
          <w:rFonts w:cs="Arial"/>
        </w:rPr>
        <w:t xml:space="preserve">the RRB’s </w:t>
      </w:r>
      <w:r w:rsidRPr="00737967" w:rsidR="00AB3B94">
        <w:rPr>
          <w:rFonts w:cs="Arial"/>
        </w:rPr>
        <w:t xml:space="preserve">online </w:t>
      </w:r>
      <w:r w:rsidRPr="00737967" w:rsidR="00026E5B">
        <w:rPr>
          <w:rFonts w:cs="Arial"/>
        </w:rPr>
        <w:t>“Employer Reporting Instructions</w:t>
      </w:r>
      <w:r w:rsidRPr="00737967" w:rsidR="00A76429">
        <w:rPr>
          <w:rFonts w:cs="Arial"/>
        </w:rPr>
        <w:t>,</w:t>
      </w:r>
      <w:r w:rsidRPr="00737967" w:rsidR="00026E5B">
        <w:rPr>
          <w:rFonts w:cs="Arial"/>
        </w:rPr>
        <w:t xml:space="preserve">” </w:t>
      </w:r>
      <w:r w:rsidRPr="00737967" w:rsidR="000321CA">
        <w:rPr>
          <w:rFonts w:cs="Arial"/>
        </w:rPr>
        <w:t xml:space="preserve">Part V, Chapter 7 and </w:t>
      </w:r>
      <w:r w:rsidRPr="00737967" w:rsidR="00A76429">
        <w:rPr>
          <w:rFonts w:cs="Arial"/>
        </w:rPr>
        <w:t>Part VIII, Chapter 3d</w:t>
      </w:r>
      <w:r w:rsidRPr="00737967" w:rsidR="00026E5B">
        <w:rPr>
          <w:rFonts w:cs="Arial"/>
        </w:rPr>
        <w:t>.</w:t>
      </w:r>
      <w:r w:rsidRPr="00737967" w:rsidR="000078FD">
        <w:rPr>
          <w:rFonts w:cs="Arial"/>
        </w:rPr>
        <w:t xml:space="preserve">  </w:t>
      </w:r>
      <w:r w:rsidRPr="00737967" w:rsidR="000078FD">
        <w:rPr>
          <w:rFonts w:cs="Arial"/>
          <w:bCs/>
        </w:rPr>
        <w:t>The Paperwork Reduction Act Notic</w:t>
      </w:r>
      <w:r w:rsidRPr="00737967" w:rsidR="000321CA">
        <w:rPr>
          <w:rFonts w:cs="Arial"/>
          <w:bCs/>
        </w:rPr>
        <w:t>e and burden statement</w:t>
      </w:r>
      <w:r w:rsidRPr="00737967" w:rsidR="000078FD">
        <w:rPr>
          <w:rFonts w:cs="Arial"/>
          <w:bCs/>
        </w:rPr>
        <w:t xml:space="preserve"> </w:t>
      </w:r>
      <w:r w:rsidRPr="00737967" w:rsidR="000321CA">
        <w:rPr>
          <w:rFonts w:cs="Arial"/>
          <w:bCs/>
        </w:rPr>
        <w:t>are</w:t>
      </w:r>
      <w:r w:rsidRPr="00737967" w:rsidR="000078FD">
        <w:rPr>
          <w:rFonts w:cs="Arial"/>
          <w:bCs/>
        </w:rPr>
        <w:t xml:space="preserve"> accessed at the bottom of the</w:t>
      </w:r>
      <w:r w:rsidRPr="00737967" w:rsidR="00A6357C">
        <w:rPr>
          <w:rFonts w:cs="Arial"/>
          <w:bCs/>
        </w:rPr>
        <w:t xml:space="preserve"> Internet screen</w:t>
      </w:r>
      <w:r w:rsidRPr="00737967" w:rsidR="000078FD">
        <w:rPr>
          <w:rFonts w:cs="Arial"/>
          <w:bCs/>
        </w:rPr>
        <w:t>.</w:t>
      </w:r>
    </w:p>
    <w:p w:rsidRPr="00737967" w:rsidR="00026E5B" w:rsidP="00B66D35" w:rsidRDefault="00026E5B" w14:paraId="064E4F75" w14:textId="77777777">
      <w:pPr>
        <w:widowControl/>
        <w:tabs>
          <w:tab w:val="left" w:pos="540"/>
        </w:tabs>
        <w:ind w:left="547"/>
        <w:jc w:val="both"/>
        <w:rPr>
          <w:rFonts w:cs="Arial"/>
        </w:rPr>
      </w:pPr>
    </w:p>
    <w:p w:rsidRPr="00737967" w:rsidR="008002DB" w:rsidP="00AB1B1C" w:rsidRDefault="00A81F94" w14:paraId="054AEE99" w14:textId="77777777">
      <w:pPr>
        <w:widowControl/>
        <w:tabs>
          <w:tab w:val="left" w:pos="540"/>
        </w:tabs>
        <w:ind w:left="547"/>
        <w:jc w:val="both"/>
        <w:rPr>
          <w:rFonts w:cs="Arial"/>
          <w:szCs w:val="22"/>
        </w:rPr>
      </w:pPr>
      <w:r w:rsidRPr="00737967">
        <w:rPr>
          <w:rFonts w:cs="Arial"/>
          <w:szCs w:val="22"/>
        </w:rPr>
        <w:lastRenderedPageBreak/>
        <w:t>E</w:t>
      </w:r>
      <w:r w:rsidRPr="00737967" w:rsidR="002E3E06">
        <w:rPr>
          <w:rFonts w:cs="Arial"/>
          <w:szCs w:val="22"/>
        </w:rPr>
        <w:t>mployers</w:t>
      </w:r>
      <w:r w:rsidRPr="00737967" w:rsidR="00A32908">
        <w:rPr>
          <w:rFonts w:cs="Arial"/>
          <w:szCs w:val="22"/>
        </w:rPr>
        <w:t xml:space="preserve"> </w:t>
      </w:r>
      <w:r w:rsidRPr="00737967" w:rsidR="00133708">
        <w:rPr>
          <w:rFonts w:cs="Arial"/>
          <w:szCs w:val="22"/>
        </w:rPr>
        <w:t xml:space="preserve">also </w:t>
      </w:r>
      <w:r w:rsidRPr="00737967" w:rsidR="0086437D">
        <w:rPr>
          <w:rFonts w:cs="Arial"/>
        </w:rPr>
        <w:t>have the option of submitting their reports on</w:t>
      </w:r>
      <w:r w:rsidRPr="00737967" w:rsidR="00EA1831">
        <w:rPr>
          <w:rFonts w:cs="Arial"/>
        </w:rPr>
        <w:t xml:space="preserve"> </w:t>
      </w:r>
      <w:r w:rsidRPr="00737967" w:rsidR="002E3E06">
        <w:rPr>
          <w:rFonts w:cs="Arial"/>
          <w:szCs w:val="22"/>
        </w:rPr>
        <w:t>CD</w:t>
      </w:r>
      <w:r w:rsidRPr="00737967" w:rsidR="00133708">
        <w:rPr>
          <w:rFonts w:cs="Arial"/>
          <w:szCs w:val="22"/>
        </w:rPr>
        <w:noBreakHyphen/>
      </w:r>
      <w:r w:rsidRPr="00737967" w:rsidR="002E3E06">
        <w:rPr>
          <w:rFonts w:cs="Arial"/>
          <w:szCs w:val="22"/>
        </w:rPr>
        <w:t>R</w:t>
      </w:r>
      <w:r w:rsidRPr="00737967" w:rsidR="0086437D">
        <w:rPr>
          <w:rFonts w:cs="Arial"/>
          <w:szCs w:val="22"/>
        </w:rPr>
        <w:t>OM</w:t>
      </w:r>
      <w:r w:rsidRPr="00737967" w:rsidR="00C956C6">
        <w:rPr>
          <w:rFonts w:cs="Arial"/>
          <w:szCs w:val="22"/>
        </w:rPr>
        <w:t xml:space="preserve">, by </w:t>
      </w:r>
      <w:r w:rsidRPr="00737967" w:rsidR="00834426">
        <w:rPr>
          <w:rFonts w:cs="Arial"/>
          <w:szCs w:val="22"/>
        </w:rPr>
        <w:t>secure E</w:t>
      </w:r>
      <w:r w:rsidRPr="00737967" w:rsidR="002E3E06">
        <w:rPr>
          <w:rFonts w:cs="Arial"/>
          <w:szCs w:val="22"/>
        </w:rPr>
        <w:t>mail</w:t>
      </w:r>
      <w:r w:rsidRPr="00737967" w:rsidR="00834426">
        <w:rPr>
          <w:rFonts w:cs="Arial"/>
          <w:szCs w:val="22"/>
        </w:rPr>
        <w:t>,</w:t>
      </w:r>
      <w:r w:rsidRPr="00737967" w:rsidR="002E3E06">
        <w:rPr>
          <w:rFonts w:cs="Arial"/>
          <w:szCs w:val="22"/>
        </w:rPr>
        <w:t xml:space="preserve"> or</w:t>
      </w:r>
      <w:r w:rsidRPr="00737967" w:rsidR="00B52ADE">
        <w:rPr>
          <w:rFonts w:cs="Arial"/>
          <w:szCs w:val="22"/>
        </w:rPr>
        <w:t xml:space="preserve"> </w:t>
      </w:r>
      <w:r w:rsidRPr="00737967" w:rsidR="00026E5B">
        <w:rPr>
          <w:rFonts w:cs="Arial"/>
          <w:szCs w:val="22"/>
        </w:rPr>
        <w:t xml:space="preserve">by </w:t>
      </w:r>
      <w:r w:rsidRPr="00737967" w:rsidR="0086437D">
        <w:rPr>
          <w:rFonts w:cs="Arial"/>
        </w:rPr>
        <w:t>File Transfer Protocol (</w:t>
      </w:r>
      <w:r w:rsidRPr="00737967" w:rsidR="002E3E06">
        <w:rPr>
          <w:rFonts w:cs="Arial"/>
          <w:szCs w:val="22"/>
        </w:rPr>
        <w:t>FTP</w:t>
      </w:r>
      <w:r w:rsidRPr="00737967" w:rsidR="0086437D">
        <w:rPr>
          <w:rFonts w:cs="Arial"/>
          <w:szCs w:val="22"/>
        </w:rPr>
        <w:t>)</w:t>
      </w:r>
      <w:r w:rsidRPr="00737967" w:rsidR="002E3E06">
        <w:rPr>
          <w:rFonts w:cs="Arial"/>
          <w:szCs w:val="22"/>
        </w:rPr>
        <w:t xml:space="preserve">.  </w:t>
      </w:r>
      <w:r w:rsidRPr="00737967" w:rsidR="008002DB">
        <w:rPr>
          <w:rFonts w:cs="Arial"/>
          <w:szCs w:val="22"/>
        </w:rPr>
        <w:t>The instructions and format</w:t>
      </w:r>
      <w:r w:rsidRPr="00737967" w:rsidR="00EA1831">
        <w:rPr>
          <w:rFonts w:cs="Arial"/>
          <w:szCs w:val="22"/>
        </w:rPr>
        <w:t xml:space="preserve"> </w:t>
      </w:r>
      <w:r w:rsidRPr="00737967" w:rsidR="005D3ADF">
        <w:rPr>
          <w:rFonts w:cs="Arial"/>
          <w:szCs w:val="22"/>
        </w:rPr>
        <w:t xml:space="preserve">requirements </w:t>
      </w:r>
      <w:r w:rsidRPr="00737967" w:rsidR="008002DB">
        <w:rPr>
          <w:rFonts w:cs="Arial"/>
          <w:szCs w:val="22"/>
        </w:rPr>
        <w:t xml:space="preserve">for submitting </w:t>
      </w:r>
      <w:r w:rsidRPr="00737967" w:rsidR="00026E5B">
        <w:rPr>
          <w:rFonts w:cs="Arial"/>
          <w:szCs w:val="22"/>
        </w:rPr>
        <w:t xml:space="preserve">these </w:t>
      </w:r>
      <w:r w:rsidRPr="00737967" w:rsidR="00834426">
        <w:rPr>
          <w:rFonts w:cs="Arial"/>
          <w:szCs w:val="22"/>
        </w:rPr>
        <w:t xml:space="preserve">reports </w:t>
      </w:r>
      <w:r w:rsidRPr="00737967" w:rsidR="008002DB">
        <w:rPr>
          <w:rFonts w:cs="Arial"/>
          <w:szCs w:val="22"/>
        </w:rPr>
        <w:t xml:space="preserve">the </w:t>
      </w:r>
      <w:r w:rsidRPr="00737967" w:rsidR="005D3ADF">
        <w:rPr>
          <w:rFonts w:cs="Arial"/>
        </w:rPr>
        <w:t>magnetic tape cartridges and FTP</w:t>
      </w:r>
      <w:r w:rsidRPr="00737967" w:rsidR="00EA7507">
        <w:rPr>
          <w:rFonts w:cs="Arial"/>
        </w:rPr>
        <w:t xml:space="preserve"> </w:t>
      </w:r>
      <w:r w:rsidRPr="00737967" w:rsidR="000321CA">
        <w:rPr>
          <w:rFonts w:cs="Arial"/>
          <w:szCs w:val="22"/>
        </w:rPr>
        <w:t xml:space="preserve">and the Paperwork Reduction Act Notice and burden statement </w:t>
      </w:r>
      <w:r w:rsidRPr="00737967" w:rsidR="008002DB">
        <w:rPr>
          <w:rFonts w:cs="Arial"/>
          <w:szCs w:val="22"/>
        </w:rPr>
        <w:t xml:space="preserve">are contained in </w:t>
      </w:r>
      <w:r w:rsidRPr="00737967" w:rsidR="000A6984">
        <w:rPr>
          <w:rFonts w:cs="Arial"/>
          <w:szCs w:val="22"/>
        </w:rPr>
        <w:t xml:space="preserve">Appendix </w:t>
      </w:r>
      <w:r w:rsidRPr="00737967" w:rsidR="000321CA">
        <w:rPr>
          <w:rFonts w:cs="Arial"/>
          <w:szCs w:val="22"/>
        </w:rPr>
        <w:t>1</w:t>
      </w:r>
      <w:r w:rsidRPr="00737967" w:rsidR="000A6984">
        <w:rPr>
          <w:rFonts w:cs="Arial"/>
          <w:szCs w:val="22"/>
        </w:rPr>
        <w:t xml:space="preserve"> of </w:t>
      </w:r>
      <w:r w:rsidRPr="00737967" w:rsidR="008002DB">
        <w:rPr>
          <w:rFonts w:cs="Arial"/>
          <w:szCs w:val="22"/>
        </w:rPr>
        <w:t xml:space="preserve">the </w:t>
      </w:r>
      <w:r w:rsidRPr="00737967" w:rsidR="005D3ADF">
        <w:rPr>
          <w:rFonts w:cs="Arial"/>
        </w:rPr>
        <w:t>RRB's</w:t>
      </w:r>
      <w:r w:rsidRPr="00737967" w:rsidR="005D3ADF">
        <w:rPr>
          <w:rFonts w:cs="Arial"/>
          <w:szCs w:val="22"/>
        </w:rPr>
        <w:t xml:space="preserve"> </w:t>
      </w:r>
      <w:r w:rsidRPr="00737967" w:rsidR="000A6984">
        <w:rPr>
          <w:rFonts w:cs="Arial"/>
          <w:szCs w:val="22"/>
        </w:rPr>
        <w:t xml:space="preserve">online </w:t>
      </w:r>
      <w:r w:rsidRPr="00737967" w:rsidR="008002DB">
        <w:rPr>
          <w:rFonts w:cs="Arial"/>
          <w:szCs w:val="22"/>
        </w:rPr>
        <w:t>"</w:t>
      </w:r>
      <w:r w:rsidRPr="00737967" w:rsidR="005D3ADF">
        <w:rPr>
          <w:rFonts w:cs="Arial"/>
          <w:szCs w:val="22"/>
        </w:rPr>
        <w:t>Reporting</w:t>
      </w:r>
      <w:r w:rsidRPr="00737967" w:rsidR="00EA1831">
        <w:rPr>
          <w:rFonts w:cs="Arial"/>
          <w:szCs w:val="22"/>
        </w:rPr>
        <w:t xml:space="preserve"> </w:t>
      </w:r>
      <w:r w:rsidRPr="00737967" w:rsidR="008002DB">
        <w:rPr>
          <w:rFonts w:cs="Arial"/>
          <w:szCs w:val="22"/>
        </w:rPr>
        <w:t>Instructions to Employers</w:t>
      </w:r>
      <w:r w:rsidRPr="00737967" w:rsidR="00EE7504">
        <w:rPr>
          <w:rFonts w:cs="Arial"/>
          <w:szCs w:val="22"/>
        </w:rPr>
        <w:t>,</w:t>
      </w:r>
      <w:r w:rsidRPr="00737967" w:rsidR="008002DB">
        <w:rPr>
          <w:rFonts w:cs="Arial"/>
          <w:szCs w:val="22"/>
        </w:rPr>
        <w:t>"</w:t>
      </w:r>
      <w:r w:rsidRPr="00737967" w:rsidR="000A6984">
        <w:rPr>
          <w:rFonts w:cs="Arial"/>
          <w:szCs w:val="22"/>
        </w:rPr>
        <w:t xml:space="preserve"> </w:t>
      </w:r>
      <w:r w:rsidRPr="00737967" w:rsidR="00EE7504">
        <w:rPr>
          <w:rFonts w:cs="Arial"/>
          <w:szCs w:val="22"/>
        </w:rPr>
        <w:t>the reminder letter sent annually to each employer, and</w:t>
      </w:r>
      <w:r w:rsidRPr="00737967" w:rsidR="000A6984">
        <w:rPr>
          <w:rFonts w:cs="Arial"/>
        </w:rPr>
        <w:t xml:space="preserve"> </w:t>
      </w:r>
      <w:r w:rsidRPr="00737967" w:rsidR="0062768A">
        <w:rPr>
          <w:rFonts w:cs="Arial"/>
        </w:rPr>
        <w:t>Program Letter 2008-05</w:t>
      </w:r>
      <w:r w:rsidRPr="00737967" w:rsidR="005D3ADF">
        <w:rPr>
          <w:rFonts w:cs="Arial"/>
        </w:rPr>
        <w:t>.</w:t>
      </w:r>
      <w:r w:rsidRPr="00737967" w:rsidR="00AB1B1C">
        <w:rPr>
          <w:rFonts w:cs="Arial"/>
        </w:rPr>
        <w:t xml:space="preserve">  Reporting by CD</w:t>
      </w:r>
      <w:r w:rsidRPr="00737967" w:rsidR="00AB1B1C">
        <w:rPr>
          <w:rFonts w:cs="Arial"/>
        </w:rPr>
        <w:noBreakHyphen/>
        <w:t xml:space="preserve">ROM, secure Email, and FTP </w:t>
      </w:r>
      <w:r w:rsidRPr="00737967" w:rsidR="00566CC4">
        <w:rPr>
          <w:rFonts w:cs="Arial"/>
          <w:szCs w:val="22"/>
        </w:rPr>
        <w:t xml:space="preserve">also </w:t>
      </w:r>
      <w:r w:rsidRPr="00737967" w:rsidR="00A32908">
        <w:rPr>
          <w:rFonts w:cs="Arial"/>
        </w:rPr>
        <w:t>require</w:t>
      </w:r>
      <w:r w:rsidRPr="00737967" w:rsidR="00566CC4">
        <w:rPr>
          <w:rFonts w:cs="Arial"/>
        </w:rPr>
        <w:t>s</w:t>
      </w:r>
      <w:r w:rsidRPr="00737967" w:rsidR="00A32908">
        <w:rPr>
          <w:rFonts w:cs="Arial"/>
        </w:rPr>
        <w:t xml:space="preserve"> a </w:t>
      </w:r>
      <w:r w:rsidRPr="00737967" w:rsidR="00D858F8">
        <w:rPr>
          <w:rFonts w:cs="Arial"/>
        </w:rPr>
        <w:t xml:space="preserve">signed </w:t>
      </w:r>
      <w:r w:rsidRPr="00737967" w:rsidR="009370ED">
        <w:rPr>
          <w:rFonts w:cs="Arial"/>
        </w:rPr>
        <w:t xml:space="preserve">fraud and </w:t>
      </w:r>
      <w:r w:rsidRPr="00737967" w:rsidR="00A32908">
        <w:rPr>
          <w:rFonts w:cs="Arial"/>
        </w:rPr>
        <w:t xml:space="preserve">certification statement that is provided on </w:t>
      </w:r>
      <w:r w:rsidRPr="00737967" w:rsidR="00766724">
        <w:rPr>
          <w:rFonts w:cs="Arial"/>
        </w:rPr>
        <w:t xml:space="preserve">RRB </w:t>
      </w:r>
      <w:r w:rsidRPr="00737967" w:rsidR="008002DB">
        <w:rPr>
          <w:rFonts w:cs="Arial"/>
          <w:szCs w:val="22"/>
        </w:rPr>
        <w:t xml:space="preserve">Form G-440, </w:t>
      </w:r>
      <w:r w:rsidRPr="00737967" w:rsidR="008002DB">
        <w:rPr>
          <w:rFonts w:cs="Arial"/>
          <w:iCs/>
          <w:szCs w:val="22"/>
        </w:rPr>
        <w:t>Report Specification</w:t>
      </w:r>
      <w:r w:rsidRPr="00737967" w:rsidR="002049A6">
        <w:rPr>
          <w:rFonts w:cs="Arial"/>
          <w:iCs/>
          <w:szCs w:val="22"/>
        </w:rPr>
        <w:t>s</w:t>
      </w:r>
      <w:r w:rsidRPr="00737967" w:rsidR="008002DB">
        <w:rPr>
          <w:rFonts w:cs="Arial"/>
          <w:iCs/>
          <w:szCs w:val="22"/>
        </w:rPr>
        <w:t xml:space="preserve"> Sheet</w:t>
      </w:r>
      <w:r w:rsidRPr="00737967" w:rsidR="00761C13">
        <w:rPr>
          <w:rFonts w:cs="Arial"/>
          <w:iCs/>
          <w:szCs w:val="22"/>
        </w:rPr>
        <w:t xml:space="preserve"> (OMB 3220-0008)</w:t>
      </w:r>
      <w:r w:rsidRPr="00737967" w:rsidR="00643037">
        <w:rPr>
          <w:rFonts w:cs="Arial"/>
          <w:iCs/>
          <w:szCs w:val="22"/>
        </w:rPr>
        <w:t>, which must accompany each report</w:t>
      </w:r>
      <w:r w:rsidRPr="00737967" w:rsidR="008002DB">
        <w:rPr>
          <w:rFonts w:cs="Arial"/>
          <w:szCs w:val="22"/>
        </w:rPr>
        <w:t>.</w:t>
      </w:r>
      <w:r w:rsidRPr="00737967" w:rsidR="00615E0F">
        <w:rPr>
          <w:rFonts w:cs="Arial"/>
          <w:szCs w:val="22"/>
        </w:rPr>
        <w:t xml:space="preserve">  </w:t>
      </w:r>
    </w:p>
    <w:p w:rsidRPr="00737967" w:rsidR="008002DB" w:rsidP="00B66D35" w:rsidRDefault="008002DB" w14:paraId="26B02985" w14:textId="77777777">
      <w:pPr>
        <w:widowControl/>
        <w:tabs>
          <w:tab w:val="left" w:pos="540"/>
        </w:tabs>
        <w:ind w:left="540"/>
        <w:jc w:val="both"/>
        <w:rPr>
          <w:rFonts w:cs="Arial"/>
          <w:szCs w:val="22"/>
        </w:rPr>
      </w:pPr>
    </w:p>
    <w:p w:rsidRPr="00737967" w:rsidR="00AB1B1C" w:rsidP="00AB1B1C" w:rsidRDefault="00615E0F" w14:paraId="4F35A042" w14:textId="77777777">
      <w:pPr>
        <w:widowControl/>
        <w:tabs>
          <w:tab w:val="left" w:pos="540"/>
        </w:tabs>
        <w:ind w:left="547"/>
        <w:jc w:val="both"/>
        <w:rPr>
          <w:rFonts w:cs="Arial"/>
        </w:rPr>
      </w:pPr>
      <w:r w:rsidRPr="00737967">
        <w:rPr>
          <w:rFonts w:cs="Arial"/>
        </w:rPr>
        <w:t xml:space="preserve">Form G-440 </w:t>
      </w:r>
      <w:r w:rsidRPr="00737967" w:rsidR="005B72A2">
        <w:rPr>
          <w:rFonts w:cs="Arial"/>
        </w:rPr>
        <w:t xml:space="preserve">is also used by employers </w:t>
      </w:r>
      <w:r w:rsidRPr="00737967">
        <w:rPr>
          <w:rFonts w:cs="Arial"/>
        </w:rPr>
        <w:t xml:space="preserve">to submit a negative report when they have no employees </w:t>
      </w:r>
      <w:r w:rsidRPr="00737967" w:rsidR="00766724">
        <w:rPr>
          <w:rFonts w:cs="Arial"/>
        </w:rPr>
        <w:t>with a social security number that ends in “30</w:t>
      </w:r>
      <w:r w:rsidRPr="00737967">
        <w:rPr>
          <w:rFonts w:cs="Arial"/>
        </w:rPr>
        <w:t>.</w:t>
      </w:r>
      <w:r w:rsidRPr="00737967" w:rsidR="00766724">
        <w:rPr>
          <w:rFonts w:cs="Arial"/>
        </w:rPr>
        <w:t xml:space="preserve">”  </w:t>
      </w:r>
      <w:r w:rsidRPr="00737967" w:rsidR="00935FCE">
        <w:rPr>
          <w:rFonts w:cs="Arial"/>
        </w:rPr>
        <w:t>E</w:t>
      </w:r>
      <w:r w:rsidRPr="00737967">
        <w:rPr>
          <w:rFonts w:cs="Arial"/>
        </w:rPr>
        <w:t xml:space="preserve">mployers who </w:t>
      </w:r>
      <w:r w:rsidRPr="00737967" w:rsidR="00EE7504">
        <w:rPr>
          <w:rFonts w:cs="Arial"/>
        </w:rPr>
        <w:t>file using</w:t>
      </w:r>
      <w:r w:rsidRPr="00737967" w:rsidR="000A6984">
        <w:rPr>
          <w:rFonts w:cs="Arial"/>
        </w:rPr>
        <w:t xml:space="preserve"> ER</w:t>
      </w:r>
      <w:r w:rsidRPr="00737967" w:rsidR="00EE7504">
        <w:rPr>
          <w:rFonts w:cs="Arial"/>
        </w:rPr>
        <w:t>S utilize</w:t>
      </w:r>
      <w:r w:rsidRPr="00737967" w:rsidR="000A6984">
        <w:rPr>
          <w:rFonts w:cs="Arial"/>
        </w:rPr>
        <w:t xml:space="preserve"> </w:t>
      </w:r>
      <w:r w:rsidRPr="00737967" w:rsidR="00EE7504">
        <w:rPr>
          <w:rFonts w:cs="Arial"/>
        </w:rPr>
        <w:t xml:space="preserve">an online </w:t>
      </w:r>
      <w:r w:rsidRPr="00737967">
        <w:rPr>
          <w:rFonts w:cs="Arial"/>
        </w:rPr>
        <w:t xml:space="preserve">option to </w:t>
      </w:r>
      <w:r w:rsidRPr="00737967" w:rsidR="00332D9F">
        <w:rPr>
          <w:rFonts w:cs="Arial"/>
        </w:rPr>
        <w:t xml:space="preserve">indicate that they are filing </w:t>
      </w:r>
      <w:r w:rsidRPr="00737967">
        <w:rPr>
          <w:rFonts w:cs="Arial"/>
        </w:rPr>
        <w:t xml:space="preserve">a “negative” report, </w:t>
      </w:r>
      <w:r w:rsidRPr="00737967" w:rsidR="00935FCE">
        <w:rPr>
          <w:rFonts w:cs="Arial"/>
        </w:rPr>
        <w:t xml:space="preserve">and do not </w:t>
      </w:r>
      <w:r w:rsidRPr="00737967">
        <w:rPr>
          <w:rFonts w:cs="Arial"/>
        </w:rPr>
        <w:t xml:space="preserve">need to file </w:t>
      </w:r>
      <w:r w:rsidRPr="00737967" w:rsidR="00EE7504">
        <w:rPr>
          <w:rFonts w:cs="Arial"/>
        </w:rPr>
        <w:t xml:space="preserve">complete </w:t>
      </w:r>
      <w:r w:rsidRPr="00737967">
        <w:rPr>
          <w:rFonts w:cs="Arial"/>
        </w:rPr>
        <w:t xml:space="preserve">a separate Form G-440, </w:t>
      </w:r>
      <w:r w:rsidRPr="00737967">
        <w:rPr>
          <w:rFonts w:cs="Arial"/>
          <w:i/>
        </w:rPr>
        <w:t>Report Specifications Sheet</w:t>
      </w:r>
      <w:r w:rsidRPr="00737967">
        <w:rPr>
          <w:rFonts w:cs="Arial"/>
        </w:rPr>
        <w:t xml:space="preserve"> </w:t>
      </w:r>
      <w:r w:rsidRPr="00737967">
        <w:rPr>
          <w:rFonts w:cs="Arial"/>
          <w:iCs/>
          <w:szCs w:val="22"/>
        </w:rPr>
        <w:t>(OMB 3220-0008).</w:t>
      </w:r>
    </w:p>
    <w:p w:rsidRPr="00737967" w:rsidR="00AB1B1C" w:rsidP="00B66D35" w:rsidRDefault="00AB1B1C" w14:paraId="5751E379" w14:textId="77777777">
      <w:pPr>
        <w:widowControl/>
        <w:tabs>
          <w:tab w:val="left" w:pos="540"/>
        </w:tabs>
        <w:ind w:left="540"/>
        <w:jc w:val="both"/>
        <w:rPr>
          <w:rFonts w:cs="Arial"/>
          <w:szCs w:val="22"/>
        </w:rPr>
      </w:pPr>
    </w:p>
    <w:p w:rsidRPr="00737967" w:rsidR="00191613" w:rsidP="00B66D35" w:rsidRDefault="00191613" w14:paraId="7B9072DE" w14:textId="77777777">
      <w:pPr>
        <w:widowControl/>
        <w:ind w:left="540"/>
        <w:jc w:val="both"/>
        <w:rPr>
          <w:rFonts w:cs="Arial"/>
          <w:szCs w:val="22"/>
        </w:rPr>
      </w:pPr>
      <w:r w:rsidRPr="00737967">
        <w:rPr>
          <w:rFonts w:cs="Arial"/>
          <w:szCs w:val="22"/>
        </w:rPr>
        <w:t xml:space="preserve">Form BA-11 is similar to RRB Form BA-3, </w:t>
      </w:r>
      <w:r w:rsidRPr="00737967">
        <w:rPr>
          <w:rFonts w:cs="Arial"/>
          <w:iCs/>
          <w:szCs w:val="22"/>
        </w:rPr>
        <w:t>Annual Report of Creditable Compensation</w:t>
      </w:r>
      <w:r w:rsidRPr="00737967">
        <w:rPr>
          <w:rFonts w:cs="Arial"/>
          <w:szCs w:val="22"/>
        </w:rPr>
        <w:t xml:space="preserve"> (OMB No. 3220-0008).</w:t>
      </w:r>
    </w:p>
    <w:p w:rsidRPr="00737967" w:rsidR="00191613" w:rsidP="00B66D35" w:rsidRDefault="00191613" w14:paraId="6F93ADA6" w14:textId="77777777">
      <w:pPr>
        <w:widowControl/>
        <w:tabs>
          <w:tab w:val="left" w:pos="540"/>
        </w:tabs>
        <w:ind w:left="540"/>
        <w:jc w:val="both"/>
        <w:rPr>
          <w:rFonts w:cs="Arial"/>
          <w:szCs w:val="22"/>
        </w:rPr>
      </w:pPr>
    </w:p>
    <w:p w:rsidRPr="00737967" w:rsidR="00CF6F6D" w:rsidP="00B66D35" w:rsidRDefault="001A7ECA" w14:paraId="0F79B504" w14:textId="77777777">
      <w:pPr>
        <w:widowControl/>
        <w:tabs>
          <w:tab w:val="left" w:pos="540"/>
        </w:tabs>
        <w:ind w:left="540"/>
        <w:jc w:val="both"/>
        <w:rPr>
          <w:rFonts w:cs="Arial"/>
          <w:b/>
          <w:bCs/>
          <w:szCs w:val="22"/>
        </w:rPr>
      </w:pPr>
      <w:r w:rsidRPr="00737967">
        <w:rPr>
          <w:rFonts w:cs="Arial"/>
          <w:b/>
          <w:bCs/>
          <w:szCs w:val="22"/>
        </w:rPr>
        <w:t>T</w:t>
      </w:r>
      <w:r w:rsidRPr="00737967" w:rsidR="008002DB">
        <w:rPr>
          <w:rFonts w:cs="Arial"/>
          <w:b/>
          <w:bCs/>
          <w:szCs w:val="22"/>
        </w:rPr>
        <w:t>he RRB proposes</w:t>
      </w:r>
      <w:r w:rsidRPr="00737967">
        <w:rPr>
          <w:rFonts w:cs="Arial"/>
          <w:b/>
          <w:bCs/>
          <w:szCs w:val="22"/>
        </w:rPr>
        <w:t xml:space="preserve"> </w:t>
      </w:r>
      <w:r w:rsidRPr="00737967" w:rsidR="00F4496A">
        <w:rPr>
          <w:rFonts w:cs="Arial"/>
          <w:b/>
          <w:bCs/>
          <w:szCs w:val="22"/>
        </w:rPr>
        <w:t xml:space="preserve">no changes to Form BA-11.  </w:t>
      </w:r>
    </w:p>
    <w:p w:rsidRPr="00737967" w:rsidR="0057489F" w:rsidP="00A26760" w:rsidRDefault="0057489F" w14:paraId="630508DD" w14:textId="58A05BFB">
      <w:pPr>
        <w:widowControl/>
        <w:jc w:val="both"/>
        <w:rPr>
          <w:rFonts w:cs="Arial"/>
          <w:szCs w:val="22"/>
        </w:rPr>
      </w:pPr>
    </w:p>
    <w:p w:rsidRPr="00737967" w:rsidR="008002DB" w:rsidP="00B66D35" w:rsidRDefault="008002DB" w14:paraId="5331E5F8" w14:textId="77777777">
      <w:pPr>
        <w:widowControl/>
        <w:tabs>
          <w:tab w:val="left" w:pos="540"/>
        </w:tabs>
        <w:ind w:left="540" w:hanging="540"/>
        <w:jc w:val="both"/>
        <w:rPr>
          <w:rFonts w:cs="Arial"/>
          <w:szCs w:val="22"/>
        </w:rPr>
      </w:pPr>
      <w:r w:rsidRPr="00737967">
        <w:rPr>
          <w:rFonts w:cs="Arial"/>
          <w:szCs w:val="22"/>
        </w:rPr>
        <w:t>3.</w:t>
      </w:r>
      <w:r w:rsidRPr="00737967">
        <w:rPr>
          <w:rFonts w:cs="Arial"/>
          <w:b/>
          <w:szCs w:val="22"/>
        </w:rPr>
        <w:tab/>
      </w:r>
      <w:r w:rsidRPr="00737967">
        <w:rPr>
          <w:rFonts w:cs="Arial"/>
          <w:szCs w:val="22"/>
          <w:u w:val="single"/>
        </w:rPr>
        <w:t>Planned use of improved information technology or technical/legal impediments to further burden reduction</w:t>
      </w:r>
      <w:r w:rsidRPr="00737967">
        <w:rPr>
          <w:rFonts w:cs="Arial"/>
          <w:szCs w:val="22"/>
        </w:rPr>
        <w:t xml:space="preserve"> </w:t>
      </w:r>
      <w:r w:rsidRPr="00737967" w:rsidR="00DA0077">
        <w:rPr>
          <w:rFonts w:cs="Arial"/>
          <w:szCs w:val="22"/>
        </w:rPr>
        <w:t>–</w:t>
      </w:r>
      <w:r w:rsidRPr="00737967" w:rsidR="00935FCE">
        <w:rPr>
          <w:rFonts w:cs="Arial"/>
          <w:szCs w:val="22"/>
        </w:rPr>
        <w:t xml:space="preserve"> None</w:t>
      </w:r>
      <w:r w:rsidRPr="00737967" w:rsidR="000321CA">
        <w:rPr>
          <w:rFonts w:cs="Arial"/>
          <w:szCs w:val="22"/>
        </w:rPr>
        <w:t xml:space="preserve">. </w:t>
      </w:r>
      <w:r w:rsidRPr="00737967" w:rsidR="00681924">
        <w:rPr>
          <w:rFonts w:cs="Arial"/>
          <w:szCs w:val="22"/>
        </w:rPr>
        <w:t xml:space="preserve"> </w:t>
      </w:r>
      <w:r w:rsidRPr="00737967" w:rsidR="00716BE3">
        <w:rPr>
          <w:rFonts w:cs="CG Times"/>
        </w:rPr>
        <w:t xml:space="preserve">Consistent with previously stated GPEA goals, the RRB </w:t>
      </w:r>
      <w:r w:rsidRPr="00737967" w:rsidR="00DA3E5F">
        <w:rPr>
          <w:rFonts w:cs="CG Times"/>
        </w:rPr>
        <w:t xml:space="preserve">now </w:t>
      </w:r>
      <w:r w:rsidRPr="00737967" w:rsidR="00716BE3">
        <w:rPr>
          <w:rFonts w:cs="CG Times"/>
        </w:rPr>
        <w:t xml:space="preserve">offers </w:t>
      </w:r>
      <w:r w:rsidRPr="00737967" w:rsidR="000321CA">
        <w:rPr>
          <w:rFonts w:cs="Arial"/>
          <w:szCs w:val="22"/>
        </w:rPr>
        <w:t>Form BA-11 online</w:t>
      </w:r>
      <w:r w:rsidRPr="00737967" w:rsidR="00F4496A">
        <w:rPr>
          <w:rFonts w:cs="Arial"/>
          <w:szCs w:val="22"/>
        </w:rPr>
        <w:t xml:space="preserve"> via ERS</w:t>
      </w:r>
      <w:r w:rsidRPr="00737967" w:rsidR="000321CA">
        <w:rPr>
          <w:rFonts w:cs="Arial"/>
          <w:szCs w:val="22"/>
        </w:rPr>
        <w:t>, CD</w:t>
      </w:r>
      <w:r w:rsidRPr="00737967" w:rsidR="000321CA">
        <w:rPr>
          <w:rFonts w:cs="Arial"/>
          <w:szCs w:val="22"/>
        </w:rPr>
        <w:noBreakHyphen/>
        <w:t xml:space="preserve">ROM, by secure Email, and </w:t>
      </w:r>
      <w:r w:rsidRPr="00737967" w:rsidR="000321CA">
        <w:rPr>
          <w:rFonts w:cs="Arial"/>
        </w:rPr>
        <w:t>File Transfer Protocol (</w:t>
      </w:r>
      <w:r w:rsidRPr="00737967" w:rsidR="000321CA">
        <w:rPr>
          <w:rFonts w:cs="Arial"/>
          <w:szCs w:val="22"/>
        </w:rPr>
        <w:t>FTP</w:t>
      </w:r>
      <w:r w:rsidRPr="00737967" w:rsidR="00F4496A">
        <w:rPr>
          <w:rFonts w:cs="Arial"/>
          <w:szCs w:val="22"/>
        </w:rPr>
        <w:t>)</w:t>
      </w:r>
      <w:r w:rsidRPr="00737967" w:rsidR="003D3E2E">
        <w:rPr>
          <w:rFonts w:cs="Arial"/>
          <w:szCs w:val="22"/>
        </w:rPr>
        <w:t>.</w:t>
      </w:r>
      <w:r w:rsidRPr="00737967" w:rsidR="0061580C">
        <w:rPr>
          <w:rFonts w:cs="Arial"/>
          <w:szCs w:val="22"/>
        </w:rPr>
        <w:t xml:space="preserve"> </w:t>
      </w:r>
    </w:p>
    <w:p w:rsidRPr="00737967" w:rsidR="0065785F" w:rsidP="00B66D35" w:rsidRDefault="0065785F" w14:paraId="3C503336" w14:textId="77777777">
      <w:pPr>
        <w:widowControl/>
        <w:tabs>
          <w:tab w:val="left" w:pos="540"/>
        </w:tabs>
        <w:ind w:left="540" w:hanging="540"/>
        <w:jc w:val="both"/>
        <w:rPr>
          <w:rFonts w:cs="Arial"/>
          <w:szCs w:val="22"/>
        </w:rPr>
      </w:pPr>
    </w:p>
    <w:p w:rsidRPr="00737967" w:rsidR="008002DB" w:rsidP="00B66D35" w:rsidRDefault="008002DB" w14:paraId="6BC96978" w14:textId="45D895E4">
      <w:pPr>
        <w:widowControl/>
        <w:tabs>
          <w:tab w:val="left" w:pos="540"/>
        </w:tabs>
        <w:ind w:left="540" w:hanging="540"/>
        <w:jc w:val="both"/>
        <w:rPr>
          <w:rFonts w:cs="Arial"/>
          <w:szCs w:val="22"/>
        </w:rPr>
      </w:pPr>
      <w:r w:rsidRPr="00737967">
        <w:rPr>
          <w:rFonts w:cs="Arial"/>
          <w:szCs w:val="22"/>
        </w:rPr>
        <w:t>4.</w:t>
      </w:r>
      <w:r w:rsidRPr="00737967">
        <w:rPr>
          <w:rFonts w:cs="Arial"/>
          <w:b/>
          <w:szCs w:val="22"/>
        </w:rPr>
        <w:tab/>
      </w:r>
      <w:r w:rsidRPr="00737967">
        <w:rPr>
          <w:rFonts w:cs="Arial"/>
          <w:szCs w:val="22"/>
          <w:u w:val="single"/>
        </w:rPr>
        <w:t>Efforts to identify duplication</w:t>
      </w:r>
      <w:r w:rsidRPr="00737967">
        <w:rPr>
          <w:rFonts w:cs="Arial"/>
          <w:szCs w:val="22"/>
        </w:rPr>
        <w:t xml:space="preserve"> - </w:t>
      </w:r>
      <w:r w:rsidR="003E045F">
        <w:rPr>
          <w:rFonts w:cs="Arial"/>
          <w:szCs w:val="22"/>
        </w:rPr>
        <w:t xml:space="preserve">To our </w:t>
      </w:r>
      <w:r w:rsidRPr="00D8588C" w:rsidR="003E045F">
        <w:rPr>
          <w:rFonts w:cs="Arial"/>
          <w:szCs w:val="22"/>
        </w:rPr>
        <w:t xml:space="preserve">knowledge, no other agency use similar forms and </w:t>
      </w:r>
      <w:r w:rsidRPr="00D8588C" w:rsidR="00D8588C">
        <w:rPr>
          <w:rFonts w:cs="Arial"/>
          <w:szCs w:val="22"/>
        </w:rPr>
        <w:t>this</w:t>
      </w:r>
      <w:r w:rsidRPr="00D8588C" w:rsidR="00D8588C">
        <w:rPr>
          <w:rFonts w:cs="Arial"/>
        </w:rPr>
        <w:t xml:space="preserve"> </w:t>
      </w:r>
      <w:r w:rsidRPr="00D8588C" w:rsidR="00D8588C">
        <w:rPr>
          <w:rFonts w:cs="Arial"/>
          <w:szCs w:val="22"/>
        </w:rPr>
        <w:t>information</w:t>
      </w:r>
      <w:r w:rsidRPr="00D8588C">
        <w:rPr>
          <w:rFonts w:cs="Arial"/>
          <w:szCs w:val="22"/>
        </w:rPr>
        <w:t xml:space="preserve"> collection does not duplicate any other </w:t>
      </w:r>
      <w:r w:rsidRPr="00D8588C" w:rsidR="003E045F">
        <w:rPr>
          <w:rFonts w:cs="Arial"/>
          <w:szCs w:val="22"/>
        </w:rPr>
        <w:t xml:space="preserve">RRB </w:t>
      </w:r>
      <w:r w:rsidRPr="00D8588C">
        <w:rPr>
          <w:rFonts w:cs="Arial"/>
          <w:szCs w:val="22"/>
        </w:rPr>
        <w:t>information collection.</w:t>
      </w:r>
    </w:p>
    <w:p w:rsidRPr="00737967" w:rsidR="003248D1" w:rsidP="00B66D35" w:rsidRDefault="003248D1" w14:paraId="28E00C0B" w14:textId="77777777">
      <w:pPr>
        <w:widowControl/>
        <w:tabs>
          <w:tab w:val="left" w:pos="-1440"/>
          <w:tab w:val="left" w:pos="540"/>
        </w:tabs>
        <w:ind w:left="540" w:hanging="540"/>
        <w:jc w:val="both"/>
        <w:rPr>
          <w:rFonts w:cs="Arial"/>
          <w:szCs w:val="22"/>
        </w:rPr>
      </w:pPr>
    </w:p>
    <w:p w:rsidRPr="00737967" w:rsidR="008002DB" w:rsidP="00B66D35" w:rsidRDefault="008002DB" w14:paraId="363AC7C1" w14:textId="77777777">
      <w:pPr>
        <w:widowControl/>
        <w:tabs>
          <w:tab w:val="left" w:pos="540"/>
        </w:tabs>
        <w:ind w:left="540" w:hanging="540"/>
        <w:jc w:val="both"/>
        <w:rPr>
          <w:rFonts w:cs="Arial"/>
          <w:szCs w:val="22"/>
        </w:rPr>
      </w:pPr>
      <w:r w:rsidRPr="00737967">
        <w:rPr>
          <w:rFonts w:cs="Arial"/>
          <w:szCs w:val="22"/>
        </w:rPr>
        <w:t>5.</w:t>
      </w:r>
      <w:r w:rsidRPr="00737967">
        <w:rPr>
          <w:rFonts w:cs="Arial"/>
          <w:b/>
          <w:szCs w:val="22"/>
        </w:rPr>
        <w:tab/>
      </w:r>
      <w:r w:rsidRPr="00737967">
        <w:rPr>
          <w:rFonts w:cs="Arial"/>
          <w:szCs w:val="22"/>
          <w:u w:val="single"/>
        </w:rPr>
        <w:t>Small business respondents</w:t>
      </w:r>
      <w:r w:rsidRPr="00737967">
        <w:rPr>
          <w:rFonts w:cs="Arial"/>
          <w:szCs w:val="22"/>
        </w:rPr>
        <w:t xml:space="preserve"> - N.A.</w:t>
      </w:r>
    </w:p>
    <w:p w:rsidRPr="00737967" w:rsidR="008002DB" w:rsidP="00B66D35" w:rsidRDefault="008002DB" w14:paraId="080E1514" w14:textId="77777777">
      <w:pPr>
        <w:widowControl/>
        <w:tabs>
          <w:tab w:val="left" w:pos="540"/>
        </w:tabs>
        <w:ind w:left="540" w:hanging="540"/>
        <w:jc w:val="both"/>
        <w:rPr>
          <w:rFonts w:cs="Arial"/>
          <w:szCs w:val="22"/>
        </w:rPr>
      </w:pPr>
    </w:p>
    <w:p w:rsidRPr="00737967" w:rsidR="008002DB" w:rsidP="00B66D35" w:rsidRDefault="008002DB" w14:paraId="1F4B4B34" w14:textId="77777777">
      <w:pPr>
        <w:widowControl/>
        <w:tabs>
          <w:tab w:val="left" w:pos="540"/>
        </w:tabs>
        <w:ind w:left="540" w:hanging="540"/>
        <w:jc w:val="both"/>
        <w:rPr>
          <w:rFonts w:cs="Arial"/>
          <w:szCs w:val="22"/>
        </w:rPr>
      </w:pPr>
      <w:r w:rsidRPr="00737967">
        <w:rPr>
          <w:rFonts w:cs="Arial"/>
          <w:szCs w:val="22"/>
        </w:rPr>
        <w:t>6.</w:t>
      </w:r>
      <w:r w:rsidRPr="00737967">
        <w:rPr>
          <w:rFonts w:cs="Arial"/>
          <w:b/>
          <w:szCs w:val="22"/>
        </w:rPr>
        <w:tab/>
      </w:r>
      <w:r w:rsidRPr="00737967">
        <w:rPr>
          <w:rFonts w:cs="Arial"/>
          <w:szCs w:val="22"/>
          <w:u w:val="single"/>
        </w:rPr>
        <w:t>Consequences of less frequent collection</w:t>
      </w:r>
      <w:r w:rsidRPr="00737967">
        <w:rPr>
          <w:rFonts w:cs="Arial"/>
          <w:szCs w:val="22"/>
        </w:rPr>
        <w:t xml:space="preserve"> - N.A.</w:t>
      </w:r>
    </w:p>
    <w:p w:rsidRPr="00737967" w:rsidR="008002DB" w:rsidP="00B66D35" w:rsidRDefault="008002DB" w14:paraId="2690C071" w14:textId="77777777">
      <w:pPr>
        <w:widowControl/>
        <w:tabs>
          <w:tab w:val="left" w:pos="540"/>
        </w:tabs>
        <w:ind w:left="540" w:hanging="540"/>
        <w:jc w:val="both"/>
        <w:rPr>
          <w:rFonts w:cs="Arial"/>
          <w:szCs w:val="22"/>
        </w:rPr>
      </w:pPr>
    </w:p>
    <w:p w:rsidRPr="00737967" w:rsidR="008002DB" w:rsidP="00B66D35" w:rsidRDefault="008002DB" w14:paraId="1A336B85" w14:textId="77777777">
      <w:pPr>
        <w:widowControl/>
        <w:tabs>
          <w:tab w:val="left" w:pos="540"/>
        </w:tabs>
        <w:ind w:left="540" w:hanging="540"/>
        <w:jc w:val="both"/>
        <w:rPr>
          <w:rFonts w:cs="Arial"/>
          <w:szCs w:val="22"/>
        </w:rPr>
      </w:pPr>
      <w:r w:rsidRPr="00737967">
        <w:rPr>
          <w:rFonts w:cs="Arial"/>
          <w:szCs w:val="22"/>
        </w:rPr>
        <w:t>7.</w:t>
      </w:r>
      <w:r w:rsidRPr="00737967">
        <w:rPr>
          <w:rFonts w:cs="Arial"/>
          <w:b/>
          <w:szCs w:val="22"/>
        </w:rPr>
        <w:tab/>
      </w:r>
      <w:r w:rsidRPr="00737967">
        <w:rPr>
          <w:rFonts w:cs="Arial"/>
          <w:szCs w:val="22"/>
          <w:u w:val="single"/>
        </w:rPr>
        <w:t>Special circumstances</w:t>
      </w:r>
      <w:r w:rsidRPr="00737967">
        <w:rPr>
          <w:rFonts w:cs="Arial"/>
          <w:szCs w:val="22"/>
        </w:rPr>
        <w:t xml:space="preserve"> - N.A</w:t>
      </w:r>
    </w:p>
    <w:p w:rsidRPr="00737967" w:rsidR="008002DB" w:rsidP="00B66D35" w:rsidRDefault="008002DB" w14:paraId="41B09732" w14:textId="77777777">
      <w:pPr>
        <w:widowControl/>
        <w:tabs>
          <w:tab w:val="left" w:pos="540"/>
        </w:tabs>
        <w:ind w:left="540" w:hanging="540"/>
        <w:jc w:val="both"/>
        <w:rPr>
          <w:rFonts w:cs="Arial"/>
          <w:szCs w:val="22"/>
        </w:rPr>
      </w:pPr>
    </w:p>
    <w:p w:rsidRPr="00737967" w:rsidR="008002DB" w:rsidP="00B66D35" w:rsidRDefault="008002DB" w14:paraId="2EA536C0" w14:textId="25428F6A">
      <w:pPr>
        <w:widowControl/>
        <w:tabs>
          <w:tab w:val="left" w:pos="540"/>
        </w:tabs>
        <w:ind w:left="540" w:hanging="540"/>
        <w:jc w:val="both"/>
        <w:rPr>
          <w:rFonts w:cs="Arial"/>
          <w:szCs w:val="22"/>
        </w:rPr>
      </w:pPr>
      <w:r w:rsidRPr="00737967">
        <w:rPr>
          <w:rFonts w:cs="Arial"/>
          <w:szCs w:val="22"/>
        </w:rPr>
        <w:t>8.</w:t>
      </w:r>
      <w:r w:rsidRPr="00737967">
        <w:rPr>
          <w:rFonts w:cs="Arial"/>
          <w:b/>
          <w:szCs w:val="22"/>
        </w:rPr>
        <w:tab/>
      </w:r>
      <w:r w:rsidRPr="00737967">
        <w:rPr>
          <w:rFonts w:cs="Arial"/>
          <w:szCs w:val="22"/>
          <w:u w:val="single"/>
        </w:rPr>
        <w:t>Public comments/consultations outside the agency</w:t>
      </w:r>
      <w:r w:rsidRPr="00737967">
        <w:rPr>
          <w:rFonts w:cs="Arial"/>
          <w:szCs w:val="22"/>
        </w:rPr>
        <w:t xml:space="preserve"> - In accordance with 5 CFR 1320.8(d), comments were invited from the public regarding the information collection.  The notice to the public was published on page</w:t>
      </w:r>
      <w:r w:rsidR="00E864F3">
        <w:rPr>
          <w:rFonts w:cs="Arial"/>
          <w:szCs w:val="22"/>
        </w:rPr>
        <w:t xml:space="preserve"> </w:t>
      </w:r>
      <w:r w:rsidRPr="00D8588C" w:rsidR="00E864F3">
        <w:rPr>
          <w:rFonts w:cs="Arial"/>
          <w:szCs w:val="22"/>
        </w:rPr>
        <w:t>38508</w:t>
      </w:r>
      <w:r w:rsidRPr="00D8588C" w:rsidR="00935FCE">
        <w:rPr>
          <w:rFonts w:cs="Arial"/>
          <w:szCs w:val="22"/>
        </w:rPr>
        <w:t xml:space="preserve"> </w:t>
      </w:r>
      <w:r w:rsidRPr="00D8588C">
        <w:rPr>
          <w:rFonts w:cs="Arial"/>
          <w:szCs w:val="22"/>
        </w:rPr>
        <w:t>of the</w:t>
      </w:r>
      <w:r w:rsidRPr="00D8588C" w:rsidR="00E864F3">
        <w:rPr>
          <w:rFonts w:cs="Arial"/>
          <w:szCs w:val="22"/>
        </w:rPr>
        <w:t xml:space="preserve"> July 21, 2021</w:t>
      </w:r>
      <w:r w:rsidRPr="00D8588C" w:rsidR="00FA7DBB">
        <w:rPr>
          <w:rFonts w:cs="Arial"/>
          <w:szCs w:val="22"/>
        </w:rPr>
        <w:t xml:space="preserve">, </w:t>
      </w:r>
      <w:r w:rsidRPr="00D8588C">
        <w:rPr>
          <w:rFonts w:cs="Arial"/>
          <w:szCs w:val="22"/>
          <w:u w:val="single"/>
        </w:rPr>
        <w:t>Federal Register</w:t>
      </w:r>
      <w:r w:rsidRPr="00D8588C">
        <w:rPr>
          <w:rFonts w:cs="Arial"/>
          <w:szCs w:val="22"/>
        </w:rPr>
        <w:t xml:space="preserve">.  </w:t>
      </w:r>
      <w:r w:rsidRPr="00D8588C" w:rsidR="003248D1">
        <w:rPr>
          <w:rFonts w:cs="Arial"/>
          <w:szCs w:val="22"/>
        </w:rPr>
        <w:t>No comments pertinent to the information collection were received.</w:t>
      </w:r>
      <w:r w:rsidRPr="00737967" w:rsidR="003248D1">
        <w:rPr>
          <w:rFonts w:cs="Arial"/>
          <w:szCs w:val="22"/>
        </w:rPr>
        <w:t xml:space="preserve">  </w:t>
      </w:r>
    </w:p>
    <w:p w:rsidRPr="00737967" w:rsidR="003248D1" w:rsidP="00B66D35" w:rsidRDefault="003248D1" w14:paraId="13323892" w14:textId="77777777">
      <w:pPr>
        <w:widowControl/>
        <w:tabs>
          <w:tab w:val="left" w:pos="-1440"/>
          <w:tab w:val="left" w:pos="540"/>
        </w:tabs>
        <w:ind w:left="540" w:hanging="540"/>
        <w:jc w:val="both"/>
        <w:rPr>
          <w:rFonts w:cs="Arial"/>
          <w:szCs w:val="22"/>
        </w:rPr>
      </w:pPr>
    </w:p>
    <w:p w:rsidRPr="00737967" w:rsidR="008002DB" w:rsidP="00B66D35" w:rsidRDefault="008002DB" w14:paraId="08B10432" w14:textId="77777777">
      <w:pPr>
        <w:widowControl/>
        <w:tabs>
          <w:tab w:val="left" w:pos="540"/>
        </w:tabs>
        <w:ind w:left="540" w:hanging="540"/>
        <w:jc w:val="both"/>
        <w:rPr>
          <w:rFonts w:cs="Arial"/>
          <w:szCs w:val="22"/>
          <w:u w:val="single"/>
        </w:rPr>
      </w:pPr>
      <w:r w:rsidRPr="00737967">
        <w:rPr>
          <w:rFonts w:cs="Arial"/>
          <w:szCs w:val="22"/>
        </w:rPr>
        <w:t>9.</w:t>
      </w:r>
      <w:r w:rsidRPr="00737967">
        <w:rPr>
          <w:rFonts w:cs="Arial"/>
          <w:b/>
          <w:szCs w:val="22"/>
        </w:rPr>
        <w:tab/>
      </w:r>
      <w:r w:rsidRPr="00737967">
        <w:rPr>
          <w:rFonts w:cs="Arial"/>
          <w:szCs w:val="22"/>
          <w:u w:val="single"/>
        </w:rPr>
        <w:t>Payments or gifts to respondents</w:t>
      </w:r>
      <w:r w:rsidRPr="00737967">
        <w:rPr>
          <w:rFonts w:cs="Arial"/>
          <w:szCs w:val="22"/>
        </w:rPr>
        <w:t xml:space="preserve"> - None</w:t>
      </w:r>
    </w:p>
    <w:p w:rsidRPr="00737967" w:rsidR="008002DB" w:rsidP="00B66D35" w:rsidRDefault="008002DB" w14:paraId="09FAACC3" w14:textId="77777777">
      <w:pPr>
        <w:widowControl/>
        <w:tabs>
          <w:tab w:val="left" w:pos="540"/>
        </w:tabs>
        <w:ind w:left="540" w:hanging="540"/>
        <w:jc w:val="both"/>
        <w:rPr>
          <w:rFonts w:cs="Arial"/>
          <w:szCs w:val="22"/>
        </w:rPr>
      </w:pPr>
      <w:r w:rsidRPr="00737967">
        <w:rPr>
          <w:rFonts w:cs="Arial"/>
          <w:szCs w:val="22"/>
        </w:rPr>
        <w:t xml:space="preserve"> </w:t>
      </w:r>
    </w:p>
    <w:p w:rsidRPr="00737967" w:rsidR="00F24C7D" w:rsidP="00F24C7D" w:rsidRDefault="008002DB" w14:paraId="70C269F6" w14:textId="77777777">
      <w:pPr>
        <w:widowControl/>
        <w:tabs>
          <w:tab w:val="left" w:pos="540"/>
        </w:tabs>
        <w:ind w:left="540" w:hanging="540"/>
        <w:jc w:val="both"/>
        <w:rPr>
          <w:rFonts w:cs="Arial"/>
          <w:szCs w:val="22"/>
        </w:rPr>
      </w:pPr>
      <w:r w:rsidRPr="00737967">
        <w:rPr>
          <w:rFonts w:cs="Arial"/>
          <w:szCs w:val="22"/>
        </w:rPr>
        <w:t>10.</w:t>
      </w:r>
      <w:r w:rsidRPr="00737967">
        <w:rPr>
          <w:rFonts w:cs="Arial"/>
          <w:b/>
          <w:szCs w:val="22"/>
        </w:rPr>
        <w:tab/>
      </w:r>
      <w:r w:rsidRPr="00737967">
        <w:rPr>
          <w:rFonts w:cs="Arial"/>
          <w:szCs w:val="22"/>
          <w:u w:val="single"/>
        </w:rPr>
        <w:t>Confidentiality</w:t>
      </w:r>
      <w:r w:rsidRPr="00737967">
        <w:rPr>
          <w:rFonts w:cs="Arial"/>
          <w:szCs w:val="22"/>
        </w:rPr>
        <w:t xml:space="preserve"> - Privacy Act System of Records, RRB-29, Railroad Employees' </w:t>
      </w:r>
      <w:r w:rsidRPr="00737967" w:rsidR="002C3337">
        <w:rPr>
          <w:rFonts w:cs="Arial"/>
          <w:szCs w:val="22"/>
        </w:rPr>
        <w:t xml:space="preserve">Annual </w:t>
      </w:r>
      <w:r w:rsidRPr="00737967">
        <w:rPr>
          <w:rFonts w:cs="Arial"/>
          <w:szCs w:val="22"/>
        </w:rPr>
        <w:t>Gross Earnings Master File-RRB</w:t>
      </w:r>
      <w:r w:rsidRPr="00737967" w:rsidR="0013450E">
        <w:rPr>
          <w:rFonts w:cs="Arial"/>
          <w:szCs w:val="22"/>
        </w:rPr>
        <w:t xml:space="preserve">.  </w:t>
      </w:r>
      <w:r w:rsidRPr="00737967" w:rsidR="00925EF6">
        <w:rPr>
          <w:rFonts w:cs="Arial"/>
          <w:szCs w:val="22"/>
        </w:rPr>
        <w:t xml:space="preserve">In accordance with OMB Circular M-03-22, a Privacy Impact Assessment for this information collection was completed and can be found at </w:t>
      </w:r>
      <w:hyperlink w:history="1" r:id="rId8">
        <w:r w:rsidRPr="00C02F8B" w:rsidR="00925EF6">
          <w:rPr>
            <w:rStyle w:val="Hyperlink"/>
            <w:rFonts w:cs="CG Times"/>
          </w:rPr>
          <w:t>https://www.rrb.gov/sites/default/files/2017-06/PIA-FI-Public.pdf</w:t>
        </w:r>
      </w:hyperlink>
      <w:r w:rsidRPr="00C02F8B" w:rsidR="00F24C7D">
        <w:rPr>
          <w:rFonts w:cs="Arial"/>
          <w:szCs w:val="22"/>
        </w:rPr>
        <w:t>.</w:t>
      </w:r>
    </w:p>
    <w:p w:rsidRPr="00737967" w:rsidR="00A964DD" w:rsidP="00F24C7D" w:rsidRDefault="00A964DD" w14:paraId="6D67FA40" w14:textId="0C5EBAB4">
      <w:pPr>
        <w:widowControl/>
        <w:tabs>
          <w:tab w:val="left" w:pos="540"/>
        </w:tabs>
        <w:ind w:left="540" w:hanging="540"/>
        <w:jc w:val="both"/>
        <w:rPr>
          <w:rFonts w:cs="Arial"/>
          <w:szCs w:val="22"/>
        </w:rPr>
      </w:pPr>
    </w:p>
    <w:p w:rsidRPr="00737967" w:rsidR="008002DB" w:rsidP="00480B45" w:rsidRDefault="008002DB" w14:paraId="48F85B11" w14:textId="77777777">
      <w:pPr>
        <w:widowControl/>
        <w:numPr>
          <w:ilvl w:val="0"/>
          <w:numId w:val="1"/>
        </w:numPr>
        <w:tabs>
          <w:tab w:val="clear" w:pos="720"/>
          <w:tab w:val="left" w:pos="540"/>
        </w:tabs>
        <w:ind w:left="540" w:hanging="540"/>
        <w:jc w:val="both"/>
        <w:rPr>
          <w:rFonts w:cs="Arial"/>
          <w:szCs w:val="22"/>
        </w:rPr>
      </w:pPr>
      <w:r w:rsidRPr="00737967">
        <w:rPr>
          <w:rFonts w:cs="Arial"/>
          <w:szCs w:val="22"/>
          <w:u w:val="single"/>
        </w:rPr>
        <w:t>Sensitive questions</w:t>
      </w:r>
      <w:r w:rsidRPr="00737967" w:rsidR="00A964DD">
        <w:rPr>
          <w:rFonts w:cs="Arial"/>
          <w:szCs w:val="22"/>
        </w:rPr>
        <w:t xml:space="preserve"> - N.A.</w:t>
      </w:r>
    </w:p>
    <w:p w:rsidRPr="00737967" w:rsidR="00CF6F6D" w:rsidP="00B66D35" w:rsidRDefault="00CF6F6D" w14:paraId="7ACA71B7" w14:textId="77777777">
      <w:pPr>
        <w:widowControl/>
        <w:tabs>
          <w:tab w:val="left" w:pos="540"/>
        </w:tabs>
        <w:ind w:left="360"/>
        <w:jc w:val="both"/>
        <w:rPr>
          <w:rFonts w:cs="Arial"/>
          <w:szCs w:val="22"/>
        </w:rPr>
      </w:pPr>
    </w:p>
    <w:p w:rsidRPr="00D8588C" w:rsidR="00464AB1" w:rsidP="00B66D35" w:rsidRDefault="008002DB" w14:paraId="437971D1" w14:textId="77777777">
      <w:pPr>
        <w:widowControl/>
        <w:numPr>
          <w:ilvl w:val="0"/>
          <w:numId w:val="1"/>
        </w:numPr>
        <w:tabs>
          <w:tab w:val="clear" w:pos="720"/>
          <w:tab w:val="left" w:pos="540"/>
        </w:tabs>
        <w:ind w:left="540" w:hanging="540"/>
        <w:jc w:val="both"/>
        <w:rPr>
          <w:rFonts w:cs="Arial"/>
          <w:szCs w:val="22"/>
        </w:rPr>
      </w:pPr>
      <w:r w:rsidRPr="00737967">
        <w:rPr>
          <w:rFonts w:cs="Arial"/>
          <w:szCs w:val="22"/>
          <w:u w:val="single"/>
        </w:rPr>
        <w:t>Estimate of respondent burden</w:t>
      </w:r>
      <w:r w:rsidRPr="00737967">
        <w:rPr>
          <w:rFonts w:cs="Arial"/>
          <w:szCs w:val="22"/>
        </w:rPr>
        <w:t xml:space="preserve"> </w:t>
      </w:r>
      <w:r w:rsidRPr="00737967" w:rsidR="00A964DD">
        <w:rPr>
          <w:rFonts w:cs="Arial"/>
          <w:szCs w:val="22"/>
        </w:rPr>
        <w:t xml:space="preserve">- </w:t>
      </w:r>
      <w:r w:rsidRPr="00737967" w:rsidR="003248D1">
        <w:rPr>
          <w:rFonts w:cs="Arial"/>
          <w:szCs w:val="22"/>
        </w:rPr>
        <w:t>T</w:t>
      </w:r>
      <w:r w:rsidRPr="00737967">
        <w:rPr>
          <w:rFonts w:cs="Arial"/>
          <w:szCs w:val="22"/>
        </w:rPr>
        <w:t xml:space="preserve">he gross earnings reports are required annually from all employers reporting railroad service and compensation. </w:t>
      </w:r>
      <w:r w:rsidRPr="00737967" w:rsidR="002C3337">
        <w:rPr>
          <w:rFonts w:cs="Arial"/>
          <w:szCs w:val="22"/>
        </w:rPr>
        <w:t xml:space="preserve"> </w:t>
      </w:r>
      <w:r w:rsidRPr="00737967">
        <w:rPr>
          <w:rFonts w:cs="Arial"/>
          <w:szCs w:val="22"/>
        </w:rPr>
        <w:t>Most large railr</w:t>
      </w:r>
      <w:r w:rsidRPr="00737967" w:rsidR="00B65A73">
        <w:rPr>
          <w:rFonts w:cs="Arial"/>
          <w:szCs w:val="22"/>
        </w:rPr>
        <w:t xml:space="preserve">oad employers include their railroad subsidiaries in their gross earnings reports.  Also, there are railroad </w:t>
      </w:r>
      <w:r w:rsidRPr="00D8588C" w:rsidR="00B65A73">
        <w:rPr>
          <w:rFonts w:cs="Arial"/>
          <w:szCs w:val="22"/>
        </w:rPr>
        <w:lastRenderedPageBreak/>
        <w:t>employers having work</w:t>
      </w:r>
      <w:r w:rsidRPr="00D8588C" w:rsidR="00783BC8">
        <w:rPr>
          <w:rFonts w:cs="Arial"/>
          <w:szCs w:val="22"/>
        </w:rPr>
        <w:t>-</w:t>
      </w:r>
      <w:r w:rsidRPr="00D8588C" w:rsidR="009F25D3">
        <w:rPr>
          <w:rFonts w:cs="Arial"/>
          <w:szCs w:val="22"/>
        </w:rPr>
        <w:t>f</w:t>
      </w:r>
      <w:r w:rsidRPr="00D8588C" w:rsidR="00B65A73">
        <w:rPr>
          <w:rFonts w:cs="Arial"/>
          <w:szCs w:val="22"/>
        </w:rPr>
        <w:t xml:space="preserve">orces so small </w:t>
      </w:r>
      <w:r w:rsidRPr="00D8588C" w:rsidR="0010307E">
        <w:rPr>
          <w:rFonts w:cs="Arial"/>
          <w:szCs w:val="22"/>
        </w:rPr>
        <w:t xml:space="preserve">that </w:t>
      </w:r>
      <w:r w:rsidRPr="00D8588C" w:rsidR="00B65A73">
        <w:rPr>
          <w:rFonts w:cs="Arial"/>
          <w:szCs w:val="22"/>
        </w:rPr>
        <w:t xml:space="preserve">they have </w:t>
      </w:r>
      <w:r w:rsidRPr="00D8588C" w:rsidR="0010307E">
        <w:rPr>
          <w:rFonts w:cs="Arial"/>
          <w:szCs w:val="22"/>
        </w:rPr>
        <w:t xml:space="preserve">no </w:t>
      </w:r>
      <w:r w:rsidRPr="00D8588C" w:rsidR="00B65A73">
        <w:rPr>
          <w:rFonts w:cs="Arial"/>
          <w:szCs w:val="22"/>
        </w:rPr>
        <w:t>employees with social security numbers ending in “30</w:t>
      </w:r>
      <w:r w:rsidRPr="00D8588C" w:rsidR="00A964DD">
        <w:rPr>
          <w:rFonts w:cs="Arial"/>
          <w:szCs w:val="22"/>
        </w:rPr>
        <w:t>.</w:t>
      </w:r>
      <w:r w:rsidRPr="00D8588C" w:rsidR="00B65A73">
        <w:rPr>
          <w:rFonts w:cs="Arial"/>
          <w:szCs w:val="22"/>
        </w:rPr>
        <w:t>”</w:t>
      </w:r>
      <w:r w:rsidRPr="00D8588C" w:rsidR="00B50B3F">
        <w:rPr>
          <w:rFonts w:cs="Arial"/>
          <w:szCs w:val="22"/>
        </w:rPr>
        <w:t xml:space="preserve">  These employers </w:t>
      </w:r>
      <w:r w:rsidRPr="00D8588C" w:rsidR="0027475A">
        <w:rPr>
          <w:rFonts w:cs="Arial"/>
          <w:szCs w:val="22"/>
        </w:rPr>
        <w:t xml:space="preserve">file </w:t>
      </w:r>
      <w:r w:rsidRPr="00D8588C" w:rsidR="009932C6">
        <w:rPr>
          <w:rFonts w:cs="Arial"/>
          <w:szCs w:val="22"/>
        </w:rPr>
        <w:t xml:space="preserve">“negative” BA-11 responses </w:t>
      </w:r>
      <w:r w:rsidRPr="00D8588C" w:rsidR="009A33E5">
        <w:rPr>
          <w:rFonts w:cs="Arial"/>
          <w:szCs w:val="22"/>
        </w:rPr>
        <w:t xml:space="preserve">with </w:t>
      </w:r>
      <w:r w:rsidRPr="00D8588C" w:rsidR="009932C6">
        <w:rPr>
          <w:rFonts w:cs="Arial"/>
          <w:szCs w:val="22"/>
        </w:rPr>
        <w:t>the RRB.</w:t>
      </w:r>
    </w:p>
    <w:p w:rsidRPr="00D8588C" w:rsidR="00902E38" w:rsidP="00B66D35" w:rsidRDefault="00902E38" w14:paraId="25102DFA" w14:textId="77777777">
      <w:pPr>
        <w:widowControl/>
        <w:tabs>
          <w:tab w:val="left" w:pos="540"/>
        </w:tabs>
        <w:ind w:left="540"/>
        <w:jc w:val="both"/>
        <w:rPr>
          <w:rFonts w:cs="Arial"/>
          <w:szCs w:val="22"/>
        </w:rPr>
      </w:pPr>
    </w:p>
    <w:p w:rsidRPr="00D8588C" w:rsidR="004B46B2" w:rsidP="00B66D35" w:rsidRDefault="00B65A73" w14:paraId="78C09B7F" w14:textId="77777777">
      <w:pPr>
        <w:widowControl/>
        <w:tabs>
          <w:tab w:val="left" w:pos="540"/>
        </w:tabs>
        <w:ind w:left="540"/>
        <w:jc w:val="both"/>
        <w:rPr>
          <w:rFonts w:cs="Arial"/>
          <w:szCs w:val="22"/>
        </w:rPr>
      </w:pPr>
      <w:r w:rsidRPr="00D8588C">
        <w:rPr>
          <w:rFonts w:cs="Arial"/>
          <w:szCs w:val="22"/>
        </w:rPr>
        <w:t xml:space="preserve">Overall, on an annual basis, the RRB </w:t>
      </w:r>
      <w:r w:rsidRPr="00D8588C" w:rsidR="00B50B3F">
        <w:rPr>
          <w:rFonts w:cs="Arial"/>
          <w:szCs w:val="22"/>
        </w:rPr>
        <w:t xml:space="preserve">estimates receipt of </w:t>
      </w:r>
      <w:r w:rsidRPr="00D8588C" w:rsidR="00935FCE">
        <w:rPr>
          <w:rFonts w:cs="Arial"/>
          <w:szCs w:val="22"/>
        </w:rPr>
        <w:t xml:space="preserve">approximately </w:t>
      </w:r>
      <w:r w:rsidRPr="00D8588C" w:rsidR="00D27270">
        <w:rPr>
          <w:rFonts w:cs="Arial"/>
          <w:szCs w:val="22"/>
        </w:rPr>
        <w:t>16</w:t>
      </w:r>
      <w:r w:rsidRPr="00D8588C" w:rsidR="00C02F8B">
        <w:rPr>
          <w:rFonts w:cs="Arial"/>
          <w:szCs w:val="22"/>
        </w:rPr>
        <w:t>5</w:t>
      </w:r>
      <w:r w:rsidRPr="00D8588C" w:rsidR="00A964DD">
        <w:rPr>
          <w:rFonts w:cs="Arial"/>
          <w:szCs w:val="22"/>
        </w:rPr>
        <w:t xml:space="preserve"> </w:t>
      </w:r>
      <w:r w:rsidRPr="00D8588C" w:rsidR="00BA0D5E">
        <w:rPr>
          <w:rFonts w:cs="Arial"/>
          <w:szCs w:val="22"/>
        </w:rPr>
        <w:t>(</w:t>
      </w:r>
      <w:r w:rsidRPr="00D8588C" w:rsidR="0040092B">
        <w:rPr>
          <w:rFonts w:cs="Arial"/>
          <w:szCs w:val="22"/>
        </w:rPr>
        <w:t>“</w:t>
      </w:r>
      <w:r w:rsidRPr="00D8588C">
        <w:rPr>
          <w:rFonts w:cs="Arial"/>
          <w:szCs w:val="22"/>
        </w:rPr>
        <w:t xml:space="preserve">positive” </w:t>
      </w:r>
      <w:r w:rsidRPr="00D8588C" w:rsidR="00032B35">
        <w:rPr>
          <w:rFonts w:cs="Arial"/>
          <w:szCs w:val="22"/>
        </w:rPr>
        <w:t>completed BA</w:t>
      </w:r>
      <w:r w:rsidRPr="00D8588C" w:rsidR="004626C3">
        <w:rPr>
          <w:rFonts w:cs="Arial"/>
          <w:szCs w:val="22"/>
        </w:rPr>
        <w:noBreakHyphen/>
      </w:r>
      <w:r w:rsidRPr="00D8588C" w:rsidR="00032B35">
        <w:rPr>
          <w:rFonts w:cs="Arial"/>
          <w:szCs w:val="22"/>
        </w:rPr>
        <w:t xml:space="preserve">11 </w:t>
      </w:r>
      <w:r w:rsidRPr="00D8588C" w:rsidR="009A33E5">
        <w:rPr>
          <w:rFonts w:cs="Arial"/>
          <w:szCs w:val="22"/>
        </w:rPr>
        <w:t>responses</w:t>
      </w:r>
      <w:r w:rsidRPr="00D8588C" w:rsidR="004626C3">
        <w:rPr>
          <w:rFonts w:cs="Arial"/>
          <w:szCs w:val="22"/>
        </w:rPr>
        <w:t xml:space="preserve"> </w:t>
      </w:r>
      <w:r w:rsidRPr="00D8588C" w:rsidR="005B72A2">
        <w:rPr>
          <w:rFonts w:cs="Arial"/>
          <w:szCs w:val="22"/>
        </w:rPr>
        <w:t>(</w:t>
      </w:r>
      <w:r w:rsidRPr="00D8588C" w:rsidR="00D27270">
        <w:rPr>
          <w:rFonts w:cs="Arial"/>
          <w:szCs w:val="22"/>
        </w:rPr>
        <w:t>1</w:t>
      </w:r>
      <w:r w:rsidRPr="00D8588C" w:rsidR="006C560B">
        <w:rPr>
          <w:rFonts w:cs="Arial"/>
          <w:szCs w:val="22"/>
        </w:rPr>
        <w:t>1</w:t>
      </w:r>
      <w:r w:rsidRPr="00D8588C" w:rsidR="009932C6">
        <w:rPr>
          <w:rFonts w:cs="Arial"/>
          <w:szCs w:val="22"/>
        </w:rPr>
        <w:t xml:space="preserve"> reports filed by secure e-mail, CD-ROM, or File</w:t>
      </w:r>
      <w:r w:rsidRPr="00D8588C" w:rsidR="00032B35">
        <w:rPr>
          <w:rFonts w:cs="Arial"/>
          <w:szCs w:val="22"/>
        </w:rPr>
        <w:t xml:space="preserve"> </w:t>
      </w:r>
      <w:r w:rsidRPr="00D8588C" w:rsidR="009932C6">
        <w:rPr>
          <w:rFonts w:cs="Arial"/>
          <w:szCs w:val="22"/>
        </w:rPr>
        <w:t>Transfer Protocol</w:t>
      </w:r>
      <w:r w:rsidRPr="00D8588C" w:rsidR="00585625">
        <w:rPr>
          <w:rFonts w:cs="Arial"/>
          <w:szCs w:val="22"/>
        </w:rPr>
        <w:t xml:space="preserve"> that together account for about 60 percent of the employees reported</w:t>
      </w:r>
      <w:r w:rsidRPr="00D8588C" w:rsidR="00B50B3F">
        <w:rPr>
          <w:rFonts w:cs="Arial"/>
          <w:szCs w:val="22"/>
        </w:rPr>
        <w:t>,</w:t>
      </w:r>
      <w:r w:rsidRPr="00D8588C" w:rsidR="009932C6">
        <w:rPr>
          <w:rFonts w:cs="Arial"/>
          <w:szCs w:val="22"/>
        </w:rPr>
        <w:t xml:space="preserve"> </w:t>
      </w:r>
      <w:r w:rsidRPr="00D8588C" w:rsidR="002726B9">
        <w:rPr>
          <w:rFonts w:cs="Arial"/>
          <w:szCs w:val="22"/>
        </w:rPr>
        <w:t xml:space="preserve">approximately </w:t>
      </w:r>
      <w:r w:rsidRPr="00D8588C" w:rsidR="00D27270">
        <w:rPr>
          <w:rFonts w:cs="Arial"/>
          <w:szCs w:val="22"/>
        </w:rPr>
        <w:t>154</w:t>
      </w:r>
      <w:r w:rsidRPr="00D8588C" w:rsidR="00B50B3F">
        <w:rPr>
          <w:rFonts w:cs="Arial"/>
          <w:szCs w:val="22"/>
        </w:rPr>
        <w:t xml:space="preserve"> u</w:t>
      </w:r>
      <w:r w:rsidRPr="00D8588C" w:rsidR="00A964DD">
        <w:rPr>
          <w:rFonts w:cs="Arial"/>
          <w:szCs w:val="22"/>
        </w:rPr>
        <w:t>sing</w:t>
      </w:r>
      <w:r w:rsidRPr="00D8588C" w:rsidR="00B50B3F">
        <w:rPr>
          <w:rFonts w:cs="Arial"/>
          <w:szCs w:val="22"/>
        </w:rPr>
        <w:t xml:space="preserve"> the </w:t>
      </w:r>
      <w:r w:rsidRPr="00D8588C" w:rsidR="002726B9">
        <w:rPr>
          <w:rFonts w:cs="Arial"/>
          <w:szCs w:val="22"/>
        </w:rPr>
        <w:t>BA-11 (Internet)</w:t>
      </w:r>
      <w:r w:rsidRPr="00D8588C" w:rsidR="005B72A2">
        <w:rPr>
          <w:rFonts w:cs="Arial"/>
          <w:szCs w:val="22"/>
        </w:rPr>
        <w:t>)</w:t>
      </w:r>
      <w:r w:rsidRPr="00D8588C" w:rsidR="00B50B3F">
        <w:rPr>
          <w:rFonts w:cs="Arial"/>
          <w:szCs w:val="22"/>
        </w:rPr>
        <w:t xml:space="preserve">.  The RRB estimates that </w:t>
      </w:r>
      <w:r w:rsidRPr="00D8588C" w:rsidR="00D27270">
        <w:rPr>
          <w:rFonts w:cs="Arial"/>
          <w:szCs w:val="22"/>
        </w:rPr>
        <w:t>424</w:t>
      </w:r>
      <w:r w:rsidRPr="00D8588C" w:rsidR="00A964DD">
        <w:rPr>
          <w:rFonts w:cs="Arial"/>
          <w:szCs w:val="22"/>
        </w:rPr>
        <w:t xml:space="preserve"> </w:t>
      </w:r>
      <w:r w:rsidRPr="00D8588C" w:rsidR="00B50B3F">
        <w:rPr>
          <w:rFonts w:cs="Arial"/>
          <w:szCs w:val="22"/>
        </w:rPr>
        <w:t xml:space="preserve">employers use the “negative” response feature </w:t>
      </w:r>
      <w:r w:rsidRPr="00D8588C" w:rsidR="00A964DD">
        <w:rPr>
          <w:rFonts w:cs="Arial"/>
          <w:szCs w:val="22"/>
        </w:rPr>
        <w:t>Form BA-11 (Internet).</w:t>
      </w:r>
      <w:r w:rsidRPr="00D8588C" w:rsidR="00B50B3F">
        <w:rPr>
          <w:rFonts w:cs="Arial"/>
          <w:szCs w:val="22"/>
        </w:rPr>
        <w:t xml:space="preserve">   </w:t>
      </w:r>
    </w:p>
    <w:p w:rsidRPr="00D8588C" w:rsidR="004626C3" w:rsidP="00B66D35" w:rsidRDefault="004626C3" w14:paraId="101A4283" w14:textId="77777777">
      <w:pPr>
        <w:widowControl/>
        <w:tabs>
          <w:tab w:val="left" w:pos="540"/>
        </w:tabs>
        <w:ind w:left="540"/>
        <w:jc w:val="both"/>
        <w:rPr>
          <w:rFonts w:cs="Arial"/>
          <w:szCs w:val="22"/>
        </w:rPr>
      </w:pPr>
    </w:p>
    <w:p w:rsidR="00B74A9F" w:rsidP="00B74A9F" w:rsidRDefault="00B74A9F" w14:paraId="5A765A4E" w14:textId="0584ACE1">
      <w:pPr>
        <w:keepNext/>
        <w:widowControl/>
        <w:tabs>
          <w:tab w:val="left" w:pos="540"/>
          <w:tab w:val="num" w:pos="720"/>
        </w:tabs>
        <w:ind w:left="547"/>
        <w:jc w:val="both"/>
        <w:rPr>
          <w:rFonts w:cs="Arial"/>
        </w:rPr>
      </w:pPr>
      <w:r w:rsidRPr="00D8588C">
        <w:rPr>
          <w:rFonts w:cs="Arial"/>
        </w:rPr>
        <w:t xml:space="preserve">The current </w:t>
      </w:r>
      <w:r w:rsidRPr="00D8588C" w:rsidR="00151E8A">
        <w:rPr>
          <w:rFonts w:cs="Arial"/>
        </w:rPr>
        <w:t xml:space="preserve">annual </w:t>
      </w:r>
      <w:r w:rsidRPr="00D8588C">
        <w:rPr>
          <w:rFonts w:cs="Arial"/>
        </w:rPr>
        <w:t xml:space="preserve">burden for this collection </w:t>
      </w:r>
      <w:r w:rsidRPr="00D8588C" w:rsidR="00824990">
        <w:rPr>
          <w:rFonts w:cs="Arial"/>
        </w:rPr>
        <w:t xml:space="preserve">is </w:t>
      </w:r>
      <w:r w:rsidRPr="00D8588C">
        <w:rPr>
          <w:rFonts w:cs="Arial"/>
        </w:rPr>
        <w:t xml:space="preserve">shown </w:t>
      </w:r>
      <w:r w:rsidRPr="00D8588C" w:rsidR="00151E8A">
        <w:rPr>
          <w:rFonts w:cs="Arial"/>
        </w:rPr>
        <w:t>as follows:</w:t>
      </w:r>
      <w:r w:rsidR="00151E8A">
        <w:rPr>
          <w:rFonts w:cs="Arial"/>
        </w:rPr>
        <w:t xml:space="preserve">  </w:t>
      </w:r>
      <w:r w:rsidRPr="00737967">
        <w:rPr>
          <w:rFonts w:cs="Arial"/>
        </w:rPr>
        <w:t xml:space="preserve"> </w:t>
      </w:r>
    </w:p>
    <w:p w:rsidR="009B63DA" w:rsidP="00B74A9F" w:rsidRDefault="009B63DA" w14:paraId="09733D74" w14:textId="77777777">
      <w:pPr>
        <w:keepNext/>
        <w:widowControl/>
        <w:tabs>
          <w:tab w:val="left" w:pos="540"/>
          <w:tab w:val="num" w:pos="720"/>
        </w:tabs>
        <w:ind w:left="547"/>
        <w:jc w:val="both"/>
        <w:rPr>
          <w:rFonts w:cs="Arial"/>
        </w:rPr>
      </w:pPr>
    </w:p>
    <w:p w:rsidRPr="00737967" w:rsidR="009B63DA" w:rsidP="009B63DA" w:rsidRDefault="009B63DA" w14:paraId="250939D3" w14:textId="77777777">
      <w:pPr>
        <w:keepNext/>
        <w:widowControl/>
        <w:ind w:left="547"/>
        <w:jc w:val="center"/>
        <w:rPr>
          <w:rFonts w:ascii="Arial Bold" w:hAnsi="Arial Bold" w:cs="Arial"/>
          <w:bCs/>
          <w:szCs w:val="22"/>
        </w:rPr>
      </w:pPr>
      <w:r>
        <w:rPr>
          <w:rFonts w:ascii="Arial Bold" w:hAnsi="Arial Bold" w:cs="Arial"/>
          <w:bCs/>
          <w:szCs w:val="22"/>
        </w:rPr>
        <w:t>Current Burden</w:t>
      </w:r>
    </w:p>
    <w:p w:rsidRPr="00737967" w:rsidR="009B63DA" w:rsidP="009B63DA" w:rsidRDefault="009B63DA" w14:paraId="6DFC0D58" w14:textId="77777777">
      <w:pPr>
        <w:keepNext/>
        <w:widowControl/>
        <w:ind w:left="547"/>
        <w:jc w:val="center"/>
        <w:rPr>
          <w:rFonts w:ascii="Arial Bold" w:hAnsi="Arial Bold" w:cs="Arial"/>
          <w:bCs/>
          <w:szCs w:val="22"/>
        </w:rPr>
      </w:pPr>
    </w:p>
    <w:tbl>
      <w:tblPr>
        <w:tblW w:w="8820" w:type="dxa"/>
        <w:tblInd w:w="648" w:type="dxa"/>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Layout w:type="fixed"/>
        <w:tblLook w:val="01E0" w:firstRow="1" w:lastRow="1" w:firstColumn="1" w:lastColumn="1" w:noHBand="0" w:noVBand="0"/>
      </w:tblPr>
      <w:tblGrid>
        <w:gridCol w:w="3150"/>
        <w:gridCol w:w="2070"/>
        <w:gridCol w:w="1710"/>
        <w:gridCol w:w="1890"/>
      </w:tblGrid>
      <w:tr w:rsidRPr="00737967" w:rsidR="009B63DA" w:rsidTr="004D0AB5" w14:paraId="691615C0" w14:textId="77777777">
        <w:trPr>
          <w:cantSplit/>
          <w:trHeight w:val="500" w:hRule="exact"/>
        </w:trPr>
        <w:tc>
          <w:tcPr>
            <w:tcW w:w="3150" w:type="dxa"/>
            <w:vAlign w:val="center"/>
          </w:tcPr>
          <w:p w:rsidRPr="00737967" w:rsidR="009B63DA" w:rsidP="004D0AB5" w:rsidRDefault="009B63DA" w14:paraId="7998E3EC" w14:textId="77777777">
            <w:pPr>
              <w:keepNext/>
              <w:widowControl/>
              <w:rPr>
                <w:rFonts w:cs="Arial"/>
                <w:szCs w:val="22"/>
              </w:rPr>
            </w:pPr>
            <w:r w:rsidRPr="00737967">
              <w:rPr>
                <w:rFonts w:cs="Arial"/>
                <w:szCs w:val="22"/>
              </w:rPr>
              <w:t>Form Number</w:t>
            </w:r>
          </w:p>
        </w:tc>
        <w:tc>
          <w:tcPr>
            <w:tcW w:w="2070" w:type="dxa"/>
            <w:vAlign w:val="center"/>
          </w:tcPr>
          <w:p w:rsidRPr="00737967" w:rsidR="009B63DA" w:rsidP="004D0AB5" w:rsidRDefault="009B63DA" w14:paraId="796CD7C8" w14:textId="77777777">
            <w:pPr>
              <w:keepNext/>
              <w:widowControl/>
              <w:rPr>
                <w:rFonts w:cs="Arial"/>
                <w:szCs w:val="22"/>
              </w:rPr>
            </w:pPr>
            <w:r w:rsidRPr="00737967">
              <w:rPr>
                <w:rFonts w:cs="Arial"/>
                <w:szCs w:val="22"/>
              </w:rPr>
              <w:t>Annual Responses</w:t>
            </w:r>
          </w:p>
        </w:tc>
        <w:tc>
          <w:tcPr>
            <w:tcW w:w="1710" w:type="dxa"/>
            <w:vAlign w:val="center"/>
          </w:tcPr>
          <w:p w:rsidRPr="00737967" w:rsidR="009B63DA" w:rsidP="004D0AB5" w:rsidRDefault="009B63DA" w14:paraId="5F9F0805" w14:textId="77777777">
            <w:pPr>
              <w:keepNext/>
              <w:widowControl/>
              <w:rPr>
                <w:rFonts w:cs="Arial"/>
                <w:szCs w:val="22"/>
              </w:rPr>
            </w:pPr>
            <w:r w:rsidRPr="00737967">
              <w:rPr>
                <w:rFonts w:cs="Arial"/>
                <w:bCs/>
                <w:szCs w:val="22"/>
              </w:rPr>
              <w:t>Time (Minutes)</w:t>
            </w:r>
          </w:p>
        </w:tc>
        <w:tc>
          <w:tcPr>
            <w:tcW w:w="1890" w:type="dxa"/>
            <w:vAlign w:val="center"/>
          </w:tcPr>
          <w:p w:rsidRPr="00737967" w:rsidR="009B63DA" w:rsidP="004D0AB5" w:rsidRDefault="009B63DA" w14:paraId="73038519" w14:textId="77777777">
            <w:pPr>
              <w:keepNext/>
              <w:widowControl/>
              <w:rPr>
                <w:rFonts w:cs="Arial"/>
                <w:szCs w:val="22"/>
              </w:rPr>
            </w:pPr>
            <w:r w:rsidRPr="00737967">
              <w:rPr>
                <w:rFonts w:cs="Arial"/>
                <w:bCs/>
                <w:szCs w:val="22"/>
              </w:rPr>
              <w:t>Burden(Hours)</w:t>
            </w:r>
          </w:p>
        </w:tc>
      </w:tr>
      <w:tr w:rsidRPr="00737967" w:rsidR="009B63DA" w:rsidTr="004D0AB5" w14:paraId="1A85B8C2" w14:textId="77777777">
        <w:trPr>
          <w:cantSplit/>
          <w:trHeight w:val="433" w:hRule="exact"/>
        </w:trPr>
        <w:tc>
          <w:tcPr>
            <w:tcW w:w="3150" w:type="dxa"/>
            <w:vAlign w:val="center"/>
          </w:tcPr>
          <w:p w:rsidRPr="00737967" w:rsidR="009B63DA" w:rsidP="004D0AB5" w:rsidRDefault="009B63DA" w14:paraId="0F4D68C1" w14:textId="77777777">
            <w:pPr>
              <w:keepNext/>
              <w:widowControl/>
              <w:rPr>
                <w:rFonts w:cs="Arial"/>
                <w:szCs w:val="22"/>
              </w:rPr>
            </w:pPr>
            <w:r w:rsidRPr="00737967">
              <w:rPr>
                <w:rFonts w:cs="Arial"/>
                <w:szCs w:val="22"/>
              </w:rPr>
              <w:t>BA-11 CD-ROM*</w:t>
            </w:r>
          </w:p>
        </w:tc>
        <w:tc>
          <w:tcPr>
            <w:tcW w:w="2070" w:type="dxa"/>
            <w:vAlign w:val="center"/>
          </w:tcPr>
          <w:p w:rsidRPr="00737967" w:rsidR="009B63DA" w:rsidP="004D0AB5" w:rsidRDefault="009B63DA" w14:paraId="27B86D36" w14:textId="77777777">
            <w:pPr>
              <w:keepNext/>
              <w:widowControl/>
              <w:tabs>
                <w:tab w:val="right" w:pos="1152"/>
              </w:tabs>
              <w:rPr>
                <w:rFonts w:cs="Arial"/>
                <w:szCs w:val="22"/>
              </w:rPr>
            </w:pPr>
            <w:r w:rsidRPr="00737967">
              <w:rPr>
                <w:rFonts w:cs="Arial"/>
                <w:szCs w:val="22"/>
              </w:rPr>
              <w:tab/>
              <w:t>5</w:t>
            </w:r>
          </w:p>
        </w:tc>
        <w:tc>
          <w:tcPr>
            <w:tcW w:w="1710" w:type="dxa"/>
            <w:vAlign w:val="center"/>
          </w:tcPr>
          <w:p w:rsidRPr="00737967" w:rsidR="009B63DA" w:rsidP="004D0AB5" w:rsidRDefault="009B63DA" w14:paraId="694273D3" w14:textId="77777777">
            <w:pPr>
              <w:keepNext/>
              <w:widowControl/>
              <w:tabs>
                <w:tab w:val="right" w:pos="882"/>
              </w:tabs>
              <w:rPr>
                <w:rFonts w:cs="Arial"/>
                <w:szCs w:val="22"/>
              </w:rPr>
            </w:pPr>
            <w:r w:rsidRPr="00737967">
              <w:rPr>
                <w:rFonts w:cs="Arial"/>
                <w:szCs w:val="22"/>
              </w:rPr>
              <w:tab/>
              <w:t>30</w:t>
            </w:r>
          </w:p>
        </w:tc>
        <w:tc>
          <w:tcPr>
            <w:tcW w:w="1890" w:type="dxa"/>
            <w:vAlign w:val="center"/>
          </w:tcPr>
          <w:p w:rsidRPr="00737967" w:rsidR="009B63DA" w:rsidP="004D0AB5" w:rsidRDefault="009B63DA" w14:paraId="3562633C" w14:textId="77777777">
            <w:pPr>
              <w:keepNext/>
              <w:widowControl/>
              <w:tabs>
                <w:tab w:val="right" w:pos="951"/>
              </w:tabs>
              <w:rPr>
                <w:rFonts w:cs="Arial"/>
                <w:szCs w:val="22"/>
              </w:rPr>
            </w:pPr>
            <w:r w:rsidRPr="00737967">
              <w:rPr>
                <w:rFonts w:cs="Arial"/>
                <w:szCs w:val="22"/>
              </w:rPr>
              <w:tab/>
              <w:t>2</w:t>
            </w:r>
          </w:p>
        </w:tc>
      </w:tr>
      <w:tr w:rsidRPr="00737967" w:rsidR="009B63DA" w:rsidTr="004D0AB5" w14:paraId="7021A539" w14:textId="77777777">
        <w:trPr>
          <w:cantSplit/>
          <w:trHeight w:val="500" w:hRule="exact"/>
        </w:trPr>
        <w:tc>
          <w:tcPr>
            <w:tcW w:w="3150" w:type="dxa"/>
            <w:vAlign w:val="center"/>
          </w:tcPr>
          <w:p w:rsidRPr="00737967" w:rsidR="009B63DA" w:rsidP="004D0AB5" w:rsidRDefault="009B63DA" w14:paraId="170DBAA7" w14:textId="77777777">
            <w:pPr>
              <w:keepNext/>
              <w:widowControl/>
              <w:rPr>
                <w:rFonts w:cs="Arial"/>
                <w:szCs w:val="22"/>
              </w:rPr>
            </w:pPr>
            <w:r w:rsidRPr="00737967">
              <w:rPr>
                <w:rFonts w:cs="Arial"/>
                <w:szCs w:val="22"/>
              </w:rPr>
              <w:t>BA-11 File Transfer Protocol**</w:t>
            </w:r>
          </w:p>
        </w:tc>
        <w:tc>
          <w:tcPr>
            <w:tcW w:w="2070" w:type="dxa"/>
            <w:vAlign w:val="center"/>
          </w:tcPr>
          <w:p w:rsidRPr="00737967" w:rsidR="009B63DA" w:rsidP="004D0AB5" w:rsidRDefault="009B63DA" w14:paraId="04BE59C9" w14:textId="77777777">
            <w:pPr>
              <w:keepNext/>
              <w:widowControl/>
              <w:tabs>
                <w:tab w:val="right" w:pos="1152"/>
              </w:tabs>
              <w:rPr>
                <w:rFonts w:cs="Arial"/>
                <w:szCs w:val="22"/>
              </w:rPr>
            </w:pPr>
            <w:r w:rsidRPr="00737967">
              <w:rPr>
                <w:rFonts w:cs="Arial"/>
                <w:szCs w:val="22"/>
              </w:rPr>
              <w:tab/>
              <w:t>7</w:t>
            </w:r>
          </w:p>
        </w:tc>
        <w:tc>
          <w:tcPr>
            <w:tcW w:w="1710" w:type="dxa"/>
            <w:vAlign w:val="center"/>
          </w:tcPr>
          <w:p w:rsidRPr="00737967" w:rsidR="009B63DA" w:rsidP="004D0AB5" w:rsidRDefault="009B63DA" w14:paraId="15872194" w14:textId="77777777">
            <w:pPr>
              <w:keepNext/>
              <w:widowControl/>
              <w:tabs>
                <w:tab w:val="right" w:pos="882"/>
              </w:tabs>
              <w:jc w:val="center"/>
              <w:rPr>
                <w:rFonts w:cs="Arial"/>
                <w:szCs w:val="22"/>
              </w:rPr>
            </w:pPr>
            <w:r w:rsidRPr="00737967">
              <w:rPr>
                <w:rFonts w:cs="Arial"/>
                <w:szCs w:val="22"/>
              </w:rPr>
              <w:t>300 (5 hours)</w:t>
            </w:r>
          </w:p>
        </w:tc>
        <w:tc>
          <w:tcPr>
            <w:tcW w:w="1890" w:type="dxa"/>
            <w:vAlign w:val="center"/>
          </w:tcPr>
          <w:p w:rsidRPr="00737967" w:rsidR="009B63DA" w:rsidP="004D0AB5" w:rsidRDefault="009B63DA" w14:paraId="7C1FEF06" w14:textId="77777777">
            <w:pPr>
              <w:keepNext/>
              <w:widowControl/>
              <w:tabs>
                <w:tab w:val="right" w:pos="951"/>
              </w:tabs>
              <w:rPr>
                <w:rFonts w:cs="Arial"/>
                <w:szCs w:val="22"/>
              </w:rPr>
            </w:pPr>
            <w:r w:rsidRPr="00737967">
              <w:rPr>
                <w:rFonts w:cs="Arial"/>
                <w:szCs w:val="22"/>
              </w:rPr>
              <w:tab/>
              <w:t>35</w:t>
            </w:r>
          </w:p>
        </w:tc>
      </w:tr>
      <w:tr w:rsidRPr="00737967" w:rsidR="009B63DA" w:rsidTr="004D0AB5" w14:paraId="506E3DD7" w14:textId="77777777">
        <w:trPr>
          <w:cantSplit/>
          <w:trHeight w:val="397" w:hRule="exact"/>
        </w:trPr>
        <w:tc>
          <w:tcPr>
            <w:tcW w:w="3150" w:type="dxa"/>
            <w:vAlign w:val="center"/>
          </w:tcPr>
          <w:p w:rsidRPr="00737967" w:rsidR="009B63DA" w:rsidP="004D0AB5" w:rsidRDefault="009B63DA" w14:paraId="55CC7936" w14:textId="77777777">
            <w:pPr>
              <w:keepNext/>
              <w:widowControl/>
              <w:rPr>
                <w:rFonts w:cs="Arial"/>
                <w:szCs w:val="22"/>
              </w:rPr>
            </w:pPr>
            <w:r w:rsidRPr="00737967">
              <w:rPr>
                <w:rFonts w:cs="Arial"/>
                <w:szCs w:val="22"/>
              </w:rPr>
              <w:t>BA-11 Secure Email**</w:t>
            </w:r>
          </w:p>
        </w:tc>
        <w:tc>
          <w:tcPr>
            <w:tcW w:w="2070" w:type="dxa"/>
            <w:vAlign w:val="center"/>
          </w:tcPr>
          <w:p w:rsidRPr="00737967" w:rsidR="009B63DA" w:rsidP="004D0AB5" w:rsidRDefault="009B63DA" w14:paraId="2052F00D" w14:textId="77777777">
            <w:pPr>
              <w:keepNext/>
              <w:widowControl/>
              <w:tabs>
                <w:tab w:val="right" w:pos="1152"/>
              </w:tabs>
              <w:rPr>
                <w:rFonts w:cs="Arial"/>
                <w:szCs w:val="22"/>
              </w:rPr>
            </w:pPr>
            <w:r w:rsidRPr="00737967">
              <w:rPr>
                <w:rFonts w:cs="Arial"/>
                <w:szCs w:val="22"/>
              </w:rPr>
              <w:tab/>
              <w:t>5</w:t>
            </w:r>
          </w:p>
        </w:tc>
        <w:tc>
          <w:tcPr>
            <w:tcW w:w="1710" w:type="dxa"/>
            <w:vAlign w:val="center"/>
          </w:tcPr>
          <w:p w:rsidRPr="00737967" w:rsidR="009B63DA" w:rsidP="004D0AB5" w:rsidRDefault="009B63DA" w14:paraId="28CFD7A0" w14:textId="77777777">
            <w:pPr>
              <w:keepNext/>
              <w:widowControl/>
              <w:tabs>
                <w:tab w:val="right" w:pos="882"/>
              </w:tabs>
              <w:rPr>
                <w:rFonts w:cs="Arial"/>
                <w:szCs w:val="22"/>
              </w:rPr>
            </w:pPr>
            <w:r w:rsidRPr="00737967">
              <w:rPr>
                <w:rFonts w:cs="Arial"/>
                <w:szCs w:val="22"/>
              </w:rPr>
              <w:tab/>
              <w:t>30</w:t>
            </w:r>
          </w:p>
        </w:tc>
        <w:tc>
          <w:tcPr>
            <w:tcW w:w="1890" w:type="dxa"/>
            <w:vAlign w:val="center"/>
          </w:tcPr>
          <w:p w:rsidRPr="00737967" w:rsidR="009B63DA" w:rsidP="004D0AB5" w:rsidRDefault="009B63DA" w14:paraId="488FD1BE" w14:textId="77777777">
            <w:pPr>
              <w:keepNext/>
              <w:widowControl/>
              <w:tabs>
                <w:tab w:val="right" w:pos="951"/>
              </w:tabs>
              <w:rPr>
                <w:rFonts w:cs="Arial"/>
                <w:szCs w:val="22"/>
              </w:rPr>
            </w:pPr>
            <w:r w:rsidRPr="00737967">
              <w:rPr>
                <w:rFonts w:cs="Arial"/>
                <w:szCs w:val="22"/>
              </w:rPr>
              <w:tab/>
              <w:t>2</w:t>
            </w:r>
          </w:p>
        </w:tc>
      </w:tr>
      <w:tr w:rsidRPr="00737967" w:rsidR="009B63DA" w:rsidTr="004D0AB5" w14:paraId="7AEF2ABF" w14:textId="77777777">
        <w:trPr>
          <w:cantSplit/>
        </w:trPr>
        <w:tc>
          <w:tcPr>
            <w:tcW w:w="3150" w:type="dxa"/>
            <w:vAlign w:val="center"/>
          </w:tcPr>
          <w:p w:rsidRPr="00737967" w:rsidR="009B63DA" w:rsidP="004D0AB5" w:rsidRDefault="009B63DA" w14:paraId="30473673" w14:textId="77777777">
            <w:pPr>
              <w:keepNext/>
              <w:widowControl/>
              <w:rPr>
                <w:rFonts w:cs="Arial"/>
                <w:szCs w:val="22"/>
              </w:rPr>
            </w:pPr>
            <w:r w:rsidRPr="00737967">
              <w:rPr>
                <w:rFonts w:cs="Arial"/>
                <w:szCs w:val="22"/>
              </w:rPr>
              <w:t>BA-11 (Internet) – Positive**</w:t>
            </w:r>
          </w:p>
          <w:p w:rsidRPr="00737967" w:rsidR="009B63DA" w:rsidP="004D0AB5" w:rsidRDefault="009B63DA" w14:paraId="3700AF59" w14:textId="77777777">
            <w:pPr>
              <w:keepNext/>
              <w:rPr>
                <w:rFonts w:cs="Arial"/>
                <w:szCs w:val="22"/>
              </w:rPr>
            </w:pPr>
            <w:r w:rsidRPr="00737967">
              <w:rPr>
                <w:rFonts w:cs="Arial"/>
                <w:szCs w:val="22"/>
              </w:rPr>
              <w:t>BA-11 (Internet) – Negative**</w:t>
            </w:r>
          </w:p>
        </w:tc>
        <w:tc>
          <w:tcPr>
            <w:tcW w:w="2070" w:type="dxa"/>
            <w:vAlign w:val="center"/>
          </w:tcPr>
          <w:p w:rsidRPr="00737967" w:rsidR="009B63DA" w:rsidP="004D0AB5" w:rsidRDefault="009B63DA" w14:paraId="3053AD71" w14:textId="77777777">
            <w:pPr>
              <w:keepNext/>
              <w:widowControl/>
              <w:tabs>
                <w:tab w:val="right" w:pos="1152"/>
              </w:tabs>
              <w:rPr>
                <w:rFonts w:cs="Arial"/>
                <w:szCs w:val="22"/>
              </w:rPr>
            </w:pPr>
            <w:r w:rsidRPr="00737967">
              <w:rPr>
                <w:rFonts w:cs="Arial"/>
                <w:szCs w:val="22"/>
              </w:rPr>
              <w:tab/>
              <w:t>137</w:t>
            </w:r>
          </w:p>
          <w:p w:rsidRPr="00737967" w:rsidR="009B63DA" w:rsidP="004D0AB5" w:rsidRDefault="009B63DA" w14:paraId="1531A62A" w14:textId="77777777">
            <w:pPr>
              <w:keepNext/>
              <w:tabs>
                <w:tab w:val="right" w:pos="1152"/>
              </w:tabs>
              <w:rPr>
                <w:rFonts w:cs="Arial"/>
                <w:szCs w:val="22"/>
              </w:rPr>
            </w:pPr>
            <w:r w:rsidRPr="00737967">
              <w:rPr>
                <w:rFonts w:cs="Arial"/>
                <w:szCs w:val="22"/>
              </w:rPr>
              <w:tab/>
              <w:t>329</w:t>
            </w:r>
          </w:p>
        </w:tc>
        <w:tc>
          <w:tcPr>
            <w:tcW w:w="1710" w:type="dxa"/>
            <w:vAlign w:val="center"/>
          </w:tcPr>
          <w:p w:rsidRPr="00737967" w:rsidR="009B63DA" w:rsidP="004D0AB5" w:rsidRDefault="009B63DA" w14:paraId="2CC05221" w14:textId="77777777">
            <w:pPr>
              <w:keepNext/>
              <w:widowControl/>
              <w:tabs>
                <w:tab w:val="right" w:pos="882"/>
              </w:tabs>
              <w:rPr>
                <w:rFonts w:cs="Arial"/>
                <w:szCs w:val="22"/>
              </w:rPr>
            </w:pPr>
            <w:r w:rsidRPr="00737967">
              <w:rPr>
                <w:rFonts w:cs="Arial"/>
                <w:szCs w:val="22"/>
              </w:rPr>
              <w:tab/>
              <w:t>30</w:t>
            </w:r>
          </w:p>
          <w:p w:rsidRPr="00737967" w:rsidR="009B63DA" w:rsidP="004D0AB5" w:rsidRDefault="009B63DA" w14:paraId="691B90A8" w14:textId="77777777">
            <w:pPr>
              <w:keepNext/>
              <w:tabs>
                <w:tab w:val="right" w:pos="882"/>
              </w:tabs>
              <w:rPr>
                <w:rFonts w:cs="Arial"/>
                <w:szCs w:val="22"/>
              </w:rPr>
            </w:pPr>
            <w:r w:rsidRPr="00737967">
              <w:rPr>
                <w:rFonts w:cs="Arial"/>
                <w:szCs w:val="22"/>
              </w:rPr>
              <w:tab/>
              <w:t>15</w:t>
            </w:r>
          </w:p>
        </w:tc>
        <w:tc>
          <w:tcPr>
            <w:tcW w:w="1890" w:type="dxa"/>
            <w:vAlign w:val="center"/>
          </w:tcPr>
          <w:p w:rsidRPr="00737967" w:rsidR="009B63DA" w:rsidP="004D0AB5" w:rsidRDefault="009B63DA" w14:paraId="6189609C" w14:textId="77777777">
            <w:pPr>
              <w:keepNext/>
              <w:widowControl/>
              <w:tabs>
                <w:tab w:val="right" w:pos="951"/>
              </w:tabs>
              <w:rPr>
                <w:rFonts w:cs="Arial"/>
                <w:szCs w:val="22"/>
              </w:rPr>
            </w:pPr>
            <w:r w:rsidRPr="00737967">
              <w:rPr>
                <w:rFonts w:cs="Arial"/>
                <w:szCs w:val="22"/>
              </w:rPr>
              <w:tab/>
              <w:t>68</w:t>
            </w:r>
          </w:p>
          <w:p w:rsidRPr="00737967" w:rsidR="009B63DA" w:rsidP="004D0AB5" w:rsidRDefault="009B63DA" w14:paraId="6E4C29DE" w14:textId="77777777">
            <w:pPr>
              <w:keepNext/>
              <w:tabs>
                <w:tab w:val="right" w:pos="951"/>
              </w:tabs>
              <w:rPr>
                <w:rFonts w:cs="Arial"/>
                <w:szCs w:val="22"/>
              </w:rPr>
            </w:pPr>
            <w:r w:rsidRPr="00737967">
              <w:rPr>
                <w:rFonts w:cs="Arial"/>
                <w:szCs w:val="22"/>
              </w:rPr>
              <w:tab/>
              <w:t>82</w:t>
            </w:r>
          </w:p>
        </w:tc>
      </w:tr>
      <w:tr w:rsidRPr="00737967" w:rsidR="009B63DA" w:rsidTr="004D0AB5" w14:paraId="0A661647" w14:textId="77777777">
        <w:trPr>
          <w:cantSplit/>
          <w:trHeight w:val="500" w:hRule="exact"/>
        </w:trPr>
        <w:tc>
          <w:tcPr>
            <w:tcW w:w="3150" w:type="dxa"/>
            <w:tcBorders>
              <w:top w:val="double" w:color="auto" w:sz="12" w:space="0"/>
              <w:bottom w:val="double" w:color="auto" w:sz="12" w:space="0"/>
            </w:tcBorders>
            <w:vAlign w:val="center"/>
          </w:tcPr>
          <w:p w:rsidRPr="00737967" w:rsidR="009B63DA" w:rsidP="004D0AB5" w:rsidRDefault="009B63DA" w14:paraId="4447E064" w14:textId="77777777">
            <w:pPr>
              <w:keepNext/>
              <w:widowControl/>
              <w:jc w:val="center"/>
              <w:rPr>
                <w:rFonts w:cs="Arial"/>
                <w:b/>
                <w:szCs w:val="22"/>
              </w:rPr>
            </w:pPr>
            <w:r w:rsidRPr="00737967">
              <w:rPr>
                <w:rFonts w:cs="Arial"/>
                <w:b/>
                <w:szCs w:val="22"/>
              </w:rPr>
              <w:t>Total</w:t>
            </w:r>
          </w:p>
        </w:tc>
        <w:tc>
          <w:tcPr>
            <w:tcW w:w="2070" w:type="dxa"/>
            <w:tcBorders>
              <w:top w:val="double" w:color="auto" w:sz="12" w:space="0"/>
              <w:bottom w:val="double" w:color="auto" w:sz="12" w:space="0"/>
            </w:tcBorders>
            <w:vAlign w:val="center"/>
          </w:tcPr>
          <w:p w:rsidRPr="00737967" w:rsidR="009B63DA" w:rsidP="004D0AB5" w:rsidRDefault="009B63DA" w14:paraId="147831AD" w14:textId="77777777">
            <w:pPr>
              <w:keepNext/>
              <w:widowControl/>
              <w:tabs>
                <w:tab w:val="right" w:pos="1152"/>
              </w:tabs>
              <w:jc w:val="both"/>
              <w:rPr>
                <w:rFonts w:cs="Arial"/>
                <w:b/>
                <w:szCs w:val="22"/>
              </w:rPr>
            </w:pPr>
            <w:r w:rsidRPr="00737967">
              <w:rPr>
                <w:rFonts w:cs="Arial"/>
                <w:b/>
                <w:szCs w:val="22"/>
              </w:rPr>
              <w:tab/>
              <w:t>483</w:t>
            </w:r>
          </w:p>
        </w:tc>
        <w:tc>
          <w:tcPr>
            <w:tcW w:w="1710" w:type="dxa"/>
            <w:tcBorders>
              <w:top w:val="double" w:color="auto" w:sz="12" w:space="0"/>
              <w:bottom w:val="double" w:color="auto" w:sz="12" w:space="0"/>
            </w:tcBorders>
            <w:vAlign w:val="center"/>
          </w:tcPr>
          <w:p w:rsidRPr="00737967" w:rsidR="009B63DA" w:rsidP="004D0AB5" w:rsidRDefault="009B63DA" w14:paraId="6216690D" w14:textId="77777777">
            <w:pPr>
              <w:keepNext/>
              <w:widowControl/>
              <w:jc w:val="both"/>
              <w:rPr>
                <w:rFonts w:cs="Arial"/>
                <w:b/>
                <w:szCs w:val="22"/>
              </w:rPr>
            </w:pPr>
          </w:p>
        </w:tc>
        <w:tc>
          <w:tcPr>
            <w:tcW w:w="1890" w:type="dxa"/>
            <w:tcBorders>
              <w:top w:val="double" w:color="auto" w:sz="12" w:space="0"/>
              <w:bottom w:val="double" w:color="auto" w:sz="12" w:space="0"/>
            </w:tcBorders>
            <w:vAlign w:val="center"/>
          </w:tcPr>
          <w:p w:rsidRPr="00737967" w:rsidR="009B63DA" w:rsidP="004D0AB5" w:rsidRDefault="009B63DA" w14:paraId="10C90233" w14:textId="77777777">
            <w:pPr>
              <w:keepNext/>
              <w:widowControl/>
              <w:tabs>
                <w:tab w:val="right" w:pos="972"/>
              </w:tabs>
              <w:jc w:val="both"/>
              <w:rPr>
                <w:rFonts w:cs="Arial"/>
                <w:b/>
                <w:szCs w:val="22"/>
              </w:rPr>
            </w:pPr>
            <w:r w:rsidRPr="00737967">
              <w:rPr>
                <w:rFonts w:cs="Arial"/>
                <w:b/>
                <w:szCs w:val="22"/>
              </w:rPr>
              <w:tab/>
              <w:t>189</w:t>
            </w:r>
          </w:p>
        </w:tc>
      </w:tr>
    </w:tbl>
    <w:p w:rsidRPr="00737967" w:rsidR="00FD0919" w:rsidP="00C25B49" w:rsidRDefault="00FD0919" w14:paraId="5CB0006D" w14:textId="77777777">
      <w:pPr>
        <w:keepNext/>
        <w:widowControl/>
        <w:ind w:left="547"/>
        <w:jc w:val="center"/>
        <w:rPr>
          <w:rFonts w:ascii="Arial Bold" w:hAnsi="Arial Bold" w:cs="Arial"/>
          <w:bCs/>
          <w:dstrike/>
          <w:szCs w:val="22"/>
        </w:rPr>
      </w:pPr>
    </w:p>
    <w:p w:rsidRPr="00737967" w:rsidR="00A964DD" w:rsidP="00C25B49" w:rsidRDefault="009B63DA" w14:paraId="670D392D" w14:textId="4DE8DF45">
      <w:pPr>
        <w:keepNext/>
        <w:widowControl/>
        <w:ind w:left="547"/>
        <w:jc w:val="center"/>
        <w:rPr>
          <w:rFonts w:ascii="Arial Bold" w:hAnsi="Arial Bold" w:cs="Arial"/>
          <w:bCs/>
          <w:szCs w:val="22"/>
        </w:rPr>
      </w:pPr>
      <w:r>
        <w:rPr>
          <w:rFonts w:ascii="Arial Bold" w:hAnsi="Arial Bold" w:cs="Arial"/>
          <w:bCs/>
          <w:szCs w:val="22"/>
        </w:rPr>
        <w:t>Proposed Burden</w:t>
      </w:r>
    </w:p>
    <w:p w:rsidRPr="00737967" w:rsidR="00480B45" w:rsidP="006376E1" w:rsidRDefault="00480B45" w14:paraId="01575C8D" w14:textId="77777777">
      <w:pPr>
        <w:keepNext/>
        <w:widowControl/>
        <w:ind w:left="547"/>
        <w:jc w:val="center"/>
        <w:rPr>
          <w:rFonts w:ascii="Arial Bold" w:hAnsi="Arial Bold" w:cs="Arial"/>
          <w:bCs/>
          <w:szCs w:val="22"/>
        </w:rPr>
      </w:pPr>
    </w:p>
    <w:tbl>
      <w:tblPr>
        <w:tblW w:w="8883" w:type="dxa"/>
        <w:tblInd w:w="585" w:type="dxa"/>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Layout w:type="fixed"/>
        <w:tblLook w:val="01E0" w:firstRow="1" w:lastRow="1" w:firstColumn="1" w:lastColumn="1" w:noHBand="0" w:noVBand="0"/>
      </w:tblPr>
      <w:tblGrid>
        <w:gridCol w:w="3150"/>
        <w:gridCol w:w="2070"/>
        <w:gridCol w:w="1890"/>
        <w:gridCol w:w="1773"/>
      </w:tblGrid>
      <w:tr w:rsidRPr="00737967" w:rsidR="00647B29" w:rsidTr="00D8588C" w14:paraId="7799BC7A" w14:textId="77777777">
        <w:trPr>
          <w:cantSplit/>
          <w:trHeight w:val="500" w:hRule="exact"/>
        </w:trPr>
        <w:tc>
          <w:tcPr>
            <w:tcW w:w="3150" w:type="dxa"/>
            <w:vAlign w:val="center"/>
          </w:tcPr>
          <w:p w:rsidRPr="00737967" w:rsidR="00647B29" w:rsidP="00C25B49" w:rsidRDefault="00E96C7B" w14:paraId="0F86419A" w14:textId="77777777">
            <w:pPr>
              <w:keepNext/>
              <w:widowControl/>
              <w:rPr>
                <w:rFonts w:cs="Arial"/>
                <w:szCs w:val="22"/>
              </w:rPr>
            </w:pPr>
            <w:r w:rsidRPr="00737967">
              <w:rPr>
                <w:rFonts w:cs="Arial"/>
                <w:szCs w:val="22"/>
              </w:rPr>
              <w:t>Form Number</w:t>
            </w:r>
          </w:p>
        </w:tc>
        <w:tc>
          <w:tcPr>
            <w:tcW w:w="2070" w:type="dxa"/>
            <w:vAlign w:val="center"/>
          </w:tcPr>
          <w:p w:rsidRPr="00737967" w:rsidR="00647B29" w:rsidP="00C25B49" w:rsidRDefault="00647B29" w14:paraId="2C8F6326" w14:textId="77777777">
            <w:pPr>
              <w:keepNext/>
              <w:widowControl/>
              <w:rPr>
                <w:rFonts w:cs="Arial"/>
                <w:szCs w:val="22"/>
              </w:rPr>
            </w:pPr>
            <w:r w:rsidRPr="00737967">
              <w:rPr>
                <w:rFonts w:cs="Arial"/>
                <w:szCs w:val="22"/>
              </w:rPr>
              <w:t>Annual Responses</w:t>
            </w:r>
          </w:p>
        </w:tc>
        <w:tc>
          <w:tcPr>
            <w:tcW w:w="1890" w:type="dxa"/>
            <w:vAlign w:val="center"/>
          </w:tcPr>
          <w:p w:rsidRPr="00737967" w:rsidR="00647B29" w:rsidP="00C25B49" w:rsidRDefault="00647B29" w14:paraId="13DB829C" w14:textId="11BA074B">
            <w:pPr>
              <w:keepNext/>
              <w:widowControl/>
              <w:rPr>
                <w:rFonts w:cs="Arial"/>
                <w:szCs w:val="22"/>
              </w:rPr>
            </w:pPr>
            <w:r w:rsidRPr="00737967">
              <w:rPr>
                <w:rFonts w:cs="Arial"/>
                <w:bCs/>
                <w:szCs w:val="22"/>
              </w:rPr>
              <w:t>Time (Minutes)</w:t>
            </w:r>
            <w:r w:rsidR="009709FB">
              <w:rPr>
                <w:rFonts w:cs="Arial"/>
                <w:bCs/>
                <w:szCs w:val="22"/>
              </w:rPr>
              <w:t>1/</w:t>
            </w:r>
          </w:p>
        </w:tc>
        <w:tc>
          <w:tcPr>
            <w:tcW w:w="1773" w:type="dxa"/>
            <w:vAlign w:val="center"/>
          </w:tcPr>
          <w:p w:rsidRPr="00737967" w:rsidR="00647B29" w:rsidP="00C25B49" w:rsidRDefault="00647B29" w14:paraId="672E55AD" w14:textId="77777777">
            <w:pPr>
              <w:keepNext/>
              <w:widowControl/>
              <w:rPr>
                <w:rFonts w:cs="Arial"/>
                <w:szCs w:val="22"/>
              </w:rPr>
            </w:pPr>
            <w:r w:rsidRPr="00737967">
              <w:rPr>
                <w:rFonts w:cs="Arial"/>
                <w:bCs/>
                <w:szCs w:val="22"/>
              </w:rPr>
              <w:t>Burden(Hours)</w:t>
            </w:r>
          </w:p>
        </w:tc>
      </w:tr>
      <w:tr w:rsidRPr="00737967" w:rsidR="00D822A6" w:rsidTr="004D0AB5" w14:paraId="1C240592" w14:textId="77777777">
        <w:trPr>
          <w:cantSplit/>
          <w:trHeight w:val="424" w:hRule="exact"/>
        </w:trPr>
        <w:tc>
          <w:tcPr>
            <w:tcW w:w="3150" w:type="dxa"/>
            <w:vAlign w:val="center"/>
          </w:tcPr>
          <w:p w:rsidRPr="00D8588C" w:rsidR="00D822A6" w:rsidP="00C25B49" w:rsidRDefault="00D822A6" w14:paraId="5FE088C2" w14:textId="77777777">
            <w:pPr>
              <w:keepNext/>
              <w:widowControl/>
              <w:rPr>
                <w:rFonts w:cs="Arial"/>
                <w:szCs w:val="22"/>
              </w:rPr>
            </w:pPr>
            <w:r w:rsidRPr="00D8588C">
              <w:rPr>
                <w:rFonts w:cs="Arial"/>
                <w:szCs w:val="22"/>
              </w:rPr>
              <w:t>BA-11 CD-ROM*</w:t>
            </w:r>
          </w:p>
        </w:tc>
        <w:tc>
          <w:tcPr>
            <w:tcW w:w="2070" w:type="dxa"/>
            <w:vAlign w:val="center"/>
          </w:tcPr>
          <w:p w:rsidRPr="00D8588C" w:rsidR="00D822A6" w:rsidP="00D27270" w:rsidRDefault="00D822A6" w14:paraId="43EB5ECE" w14:textId="77777777">
            <w:pPr>
              <w:keepNext/>
              <w:widowControl/>
              <w:tabs>
                <w:tab w:val="right" w:pos="1152"/>
              </w:tabs>
              <w:rPr>
                <w:rFonts w:cs="Arial"/>
                <w:szCs w:val="22"/>
              </w:rPr>
            </w:pPr>
            <w:r w:rsidRPr="00D8588C">
              <w:rPr>
                <w:rFonts w:cs="Arial"/>
                <w:szCs w:val="22"/>
              </w:rPr>
              <w:tab/>
            </w:r>
            <w:r w:rsidRPr="00D8588C" w:rsidR="00D27270">
              <w:rPr>
                <w:rFonts w:cs="Arial"/>
                <w:szCs w:val="22"/>
              </w:rPr>
              <w:t>0</w:t>
            </w:r>
          </w:p>
        </w:tc>
        <w:tc>
          <w:tcPr>
            <w:tcW w:w="1890" w:type="dxa"/>
            <w:vAlign w:val="center"/>
          </w:tcPr>
          <w:p w:rsidRPr="00D8588C" w:rsidR="00D822A6" w:rsidP="00C25B49" w:rsidRDefault="00D822A6" w14:paraId="37A0E6FE" w14:textId="77777777">
            <w:pPr>
              <w:keepNext/>
              <w:widowControl/>
              <w:tabs>
                <w:tab w:val="right" w:pos="882"/>
              </w:tabs>
              <w:rPr>
                <w:rFonts w:cs="Arial"/>
                <w:szCs w:val="22"/>
              </w:rPr>
            </w:pPr>
            <w:r w:rsidRPr="00D8588C">
              <w:rPr>
                <w:rFonts w:cs="Arial"/>
                <w:szCs w:val="22"/>
              </w:rPr>
              <w:tab/>
              <w:t>30</w:t>
            </w:r>
          </w:p>
        </w:tc>
        <w:tc>
          <w:tcPr>
            <w:tcW w:w="1773" w:type="dxa"/>
            <w:vAlign w:val="center"/>
          </w:tcPr>
          <w:p w:rsidRPr="00D8588C" w:rsidR="00D822A6" w:rsidP="00D27270" w:rsidRDefault="000A3C63" w14:paraId="32CA762A" w14:textId="77777777">
            <w:pPr>
              <w:keepNext/>
              <w:widowControl/>
              <w:tabs>
                <w:tab w:val="right" w:pos="951"/>
              </w:tabs>
              <w:rPr>
                <w:rFonts w:cs="Arial"/>
                <w:szCs w:val="22"/>
              </w:rPr>
            </w:pPr>
            <w:r w:rsidRPr="00D8588C">
              <w:rPr>
                <w:rFonts w:cs="Arial"/>
                <w:szCs w:val="22"/>
              </w:rPr>
              <w:tab/>
            </w:r>
            <w:r w:rsidRPr="00D8588C" w:rsidR="00D27270">
              <w:rPr>
                <w:rFonts w:cs="Arial"/>
                <w:szCs w:val="22"/>
              </w:rPr>
              <w:t>0</w:t>
            </w:r>
          </w:p>
        </w:tc>
      </w:tr>
      <w:tr w:rsidRPr="00737967" w:rsidR="00D822A6" w:rsidTr="00D8588C" w14:paraId="2625CF10" w14:textId="77777777">
        <w:trPr>
          <w:cantSplit/>
          <w:trHeight w:val="500" w:hRule="exact"/>
        </w:trPr>
        <w:tc>
          <w:tcPr>
            <w:tcW w:w="3150" w:type="dxa"/>
            <w:vAlign w:val="center"/>
          </w:tcPr>
          <w:p w:rsidRPr="00D8588C" w:rsidR="00D822A6" w:rsidP="00C25B49" w:rsidRDefault="00D822A6" w14:paraId="2CF6837D" w14:textId="77777777">
            <w:pPr>
              <w:keepNext/>
              <w:widowControl/>
              <w:rPr>
                <w:rFonts w:cs="Arial"/>
                <w:szCs w:val="22"/>
              </w:rPr>
            </w:pPr>
            <w:r w:rsidRPr="00D8588C">
              <w:rPr>
                <w:rFonts w:cs="Arial"/>
                <w:szCs w:val="22"/>
              </w:rPr>
              <w:t>BA-11</w:t>
            </w:r>
            <w:r w:rsidRPr="00D8588C" w:rsidR="00686168">
              <w:rPr>
                <w:rFonts w:cs="Arial"/>
                <w:szCs w:val="22"/>
              </w:rPr>
              <w:t xml:space="preserve"> </w:t>
            </w:r>
            <w:r w:rsidRPr="00D8588C" w:rsidR="006376E1">
              <w:rPr>
                <w:rFonts w:cs="Arial"/>
                <w:szCs w:val="22"/>
              </w:rPr>
              <w:t>F</w:t>
            </w:r>
            <w:r w:rsidRPr="00D8588C" w:rsidR="00237AB2">
              <w:rPr>
                <w:rFonts w:cs="Arial"/>
                <w:szCs w:val="22"/>
              </w:rPr>
              <w:t xml:space="preserve">ile </w:t>
            </w:r>
            <w:r w:rsidRPr="00D8588C" w:rsidR="006376E1">
              <w:rPr>
                <w:rFonts w:cs="Arial"/>
                <w:szCs w:val="22"/>
              </w:rPr>
              <w:t>T</w:t>
            </w:r>
            <w:r w:rsidRPr="00D8588C" w:rsidR="00237AB2">
              <w:rPr>
                <w:rFonts w:cs="Arial"/>
                <w:szCs w:val="22"/>
              </w:rPr>
              <w:t>ransfer</w:t>
            </w:r>
            <w:r w:rsidRPr="00D8588C" w:rsidR="006376E1">
              <w:rPr>
                <w:rFonts w:cs="Arial"/>
                <w:szCs w:val="22"/>
              </w:rPr>
              <w:t xml:space="preserve"> </w:t>
            </w:r>
            <w:r w:rsidRPr="00D8588C" w:rsidR="00686168">
              <w:rPr>
                <w:rFonts w:cs="Arial"/>
                <w:szCs w:val="22"/>
              </w:rPr>
              <w:t>P</w:t>
            </w:r>
            <w:r w:rsidRPr="00D8588C" w:rsidR="00237AB2">
              <w:rPr>
                <w:rFonts w:cs="Arial"/>
                <w:szCs w:val="22"/>
              </w:rPr>
              <w:t>rotocol</w:t>
            </w:r>
            <w:r w:rsidRPr="00D8588C">
              <w:rPr>
                <w:rFonts w:cs="Arial"/>
                <w:szCs w:val="22"/>
              </w:rPr>
              <w:t>**</w:t>
            </w:r>
          </w:p>
        </w:tc>
        <w:tc>
          <w:tcPr>
            <w:tcW w:w="2070" w:type="dxa"/>
            <w:vAlign w:val="center"/>
          </w:tcPr>
          <w:p w:rsidRPr="00D8588C" w:rsidR="00D822A6" w:rsidP="006C560B" w:rsidRDefault="00D822A6" w14:paraId="081F16E6" w14:textId="77777777">
            <w:pPr>
              <w:keepNext/>
              <w:widowControl/>
              <w:tabs>
                <w:tab w:val="right" w:pos="1152"/>
              </w:tabs>
              <w:rPr>
                <w:rFonts w:cs="Arial"/>
                <w:szCs w:val="22"/>
              </w:rPr>
            </w:pPr>
            <w:r w:rsidRPr="00D8588C">
              <w:rPr>
                <w:rFonts w:cs="Arial"/>
                <w:szCs w:val="22"/>
              </w:rPr>
              <w:tab/>
            </w:r>
            <w:r w:rsidRPr="00D8588C" w:rsidR="00D27270">
              <w:rPr>
                <w:rFonts w:cs="Arial"/>
                <w:szCs w:val="22"/>
              </w:rPr>
              <w:t>1</w:t>
            </w:r>
            <w:r w:rsidRPr="00D8588C" w:rsidR="006C560B">
              <w:rPr>
                <w:rFonts w:cs="Arial"/>
                <w:szCs w:val="22"/>
              </w:rPr>
              <w:t>1</w:t>
            </w:r>
          </w:p>
        </w:tc>
        <w:tc>
          <w:tcPr>
            <w:tcW w:w="1890" w:type="dxa"/>
            <w:vAlign w:val="center"/>
          </w:tcPr>
          <w:p w:rsidRPr="00D8588C" w:rsidR="00CE7D8A" w:rsidP="00C25B49" w:rsidRDefault="00D822A6" w14:paraId="2BBE29C8" w14:textId="77777777">
            <w:pPr>
              <w:keepNext/>
              <w:widowControl/>
              <w:tabs>
                <w:tab w:val="right" w:pos="882"/>
              </w:tabs>
              <w:jc w:val="center"/>
              <w:rPr>
                <w:rFonts w:cs="Arial"/>
                <w:szCs w:val="22"/>
              </w:rPr>
            </w:pPr>
            <w:r w:rsidRPr="00D8588C">
              <w:rPr>
                <w:rFonts w:cs="Arial"/>
                <w:szCs w:val="22"/>
              </w:rPr>
              <w:t>300 (5 hours)</w:t>
            </w:r>
          </w:p>
        </w:tc>
        <w:tc>
          <w:tcPr>
            <w:tcW w:w="1773" w:type="dxa"/>
            <w:vAlign w:val="center"/>
          </w:tcPr>
          <w:p w:rsidRPr="00D8588C" w:rsidR="00D822A6" w:rsidP="006C560B" w:rsidRDefault="00D822A6" w14:paraId="3955A849" w14:textId="77777777">
            <w:pPr>
              <w:keepNext/>
              <w:widowControl/>
              <w:tabs>
                <w:tab w:val="right" w:pos="951"/>
              </w:tabs>
              <w:rPr>
                <w:rFonts w:cs="Arial"/>
                <w:szCs w:val="22"/>
              </w:rPr>
            </w:pPr>
            <w:r w:rsidRPr="00D8588C">
              <w:rPr>
                <w:rFonts w:cs="Arial"/>
                <w:szCs w:val="22"/>
              </w:rPr>
              <w:tab/>
            </w:r>
            <w:r w:rsidRPr="00D8588C" w:rsidR="006C560B">
              <w:rPr>
                <w:rFonts w:cs="Arial"/>
                <w:szCs w:val="22"/>
              </w:rPr>
              <w:t>55</w:t>
            </w:r>
          </w:p>
        </w:tc>
      </w:tr>
      <w:tr w:rsidRPr="00737967" w:rsidR="00647B29" w:rsidTr="004D0AB5" w14:paraId="59CFD2AE" w14:textId="77777777">
        <w:trPr>
          <w:cantSplit/>
          <w:trHeight w:val="397" w:hRule="exact"/>
        </w:trPr>
        <w:tc>
          <w:tcPr>
            <w:tcW w:w="3150" w:type="dxa"/>
            <w:vAlign w:val="center"/>
          </w:tcPr>
          <w:p w:rsidRPr="00D8588C" w:rsidR="00647B29" w:rsidP="00CE2F59" w:rsidRDefault="00647B29" w14:paraId="13856AC9" w14:textId="77777777">
            <w:pPr>
              <w:keepNext/>
              <w:widowControl/>
              <w:rPr>
                <w:rFonts w:cs="Arial"/>
                <w:szCs w:val="22"/>
              </w:rPr>
            </w:pPr>
            <w:r w:rsidRPr="00D8588C">
              <w:rPr>
                <w:rFonts w:cs="Arial"/>
                <w:szCs w:val="22"/>
              </w:rPr>
              <w:t xml:space="preserve">BA-11 </w:t>
            </w:r>
            <w:r w:rsidRPr="00D8588C" w:rsidR="00CE2F59">
              <w:rPr>
                <w:rFonts w:cs="Arial"/>
                <w:szCs w:val="22"/>
              </w:rPr>
              <w:t>S</w:t>
            </w:r>
            <w:r w:rsidRPr="00D8588C" w:rsidR="00D822A6">
              <w:rPr>
                <w:rFonts w:cs="Arial"/>
                <w:szCs w:val="22"/>
              </w:rPr>
              <w:t>ecure E</w:t>
            </w:r>
            <w:r w:rsidRPr="00D8588C">
              <w:rPr>
                <w:rFonts w:cs="Arial"/>
                <w:szCs w:val="22"/>
              </w:rPr>
              <w:t>mail</w:t>
            </w:r>
            <w:r w:rsidRPr="00D8588C" w:rsidR="00D822A6">
              <w:rPr>
                <w:rFonts w:cs="Arial"/>
                <w:szCs w:val="22"/>
              </w:rPr>
              <w:t>**</w:t>
            </w:r>
          </w:p>
        </w:tc>
        <w:tc>
          <w:tcPr>
            <w:tcW w:w="2070" w:type="dxa"/>
            <w:vAlign w:val="center"/>
          </w:tcPr>
          <w:p w:rsidRPr="00D8588C" w:rsidR="00647B29" w:rsidP="00D27270" w:rsidRDefault="00647B29" w14:paraId="005E6FEC" w14:textId="77777777">
            <w:pPr>
              <w:keepNext/>
              <w:widowControl/>
              <w:tabs>
                <w:tab w:val="right" w:pos="1152"/>
              </w:tabs>
              <w:rPr>
                <w:rFonts w:cs="Arial"/>
                <w:szCs w:val="22"/>
              </w:rPr>
            </w:pPr>
            <w:r w:rsidRPr="00D8588C">
              <w:rPr>
                <w:rFonts w:cs="Arial"/>
                <w:szCs w:val="22"/>
              </w:rPr>
              <w:tab/>
            </w:r>
            <w:r w:rsidRPr="00D8588C" w:rsidR="00D27270">
              <w:rPr>
                <w:rFonts w:cs="Arial"/>
                <w:szCs w:val="22"/>
              </w:rPr>
              <w:t>0</w:t>
            </w:r>
          </w:p>
        </w:tc>
        <w:tc>
          <w:tcPr>
            <w:tcW w:w="1890" w:type="dxa"/>
            <w:vAlign w:val="center"/>
          </w:tcPr>
          <w:p w:rsidRPr="00D8588C" w:rsidR="00647B29" w:rsidP="00C25B49" w:rsidRDefault="00647B29" w14:paraId="41F86E7A" w14:textId="77777777">
            <w:pPr>
              <w:keepNext/>
              <w:widowControl/>
              <w:tabs>
                <w:tab w:val="right" w:pos="882"/>
              </w:tabs>
              <w:rPr>
                <w:rFonts w:cs="Arial"/>
                <w:szCs w:val="22"/>
              </w:rPr>
            </w:pPr>
            <w:r w:rsidRPr="00D8588C">
              <w:rPr>
                <w:rFonts w:cs="Arial"/>
                <w:szCs w:val="22"/>
              </w:rPr>
              <w:tab/>
              <w:t>30</w:t>
            </w:r>
          </w:p>
        </w:tc>
        <w:tc>
          <w:tcPr>
            <w:tcW w:w="1773" w:type="dxa"/>
            <w:vAlign w:val="center"/>
          </w:tcPr>
          <w:p w:rsidRPr="00D8588C" w:rsidR="00647B29" w:rsidP="00D27270" w:rsidRDefault="000A3C63" w14:paraId="72B30B92" w14:textId="77777777">
            <w:pPr>
              <w:keepNext/>
              <w:widowControl/>
              <w:tabs>
                <w:tab w:val="right" w:pos="951"/>
              </w:tabs>
              <w:rPr>
                <w:rFonts w:cs="Arial"/>
                <w:szCs w:val="22"/>
              </w:rPr>
            </w:pPr>
            <w:r w:rsidRPr="00D8588C">
              <w:rPr>
                <w:rFonts w:cs="Arial"/>
                <w:szCs w:val="22"/>
              </w:rPr>
              <w:tab/>
            </w:r>
            <w:r w:rsidRPr="00D8588C" w:rsidR="00D27270">
              <w:rPr>
                <w:rFonts w:cs="Arial"/>
                <w:szCs w:val="22"/>
              </w:rPr>
              <w:t>0</w:t>
            </w:r>
          </w:p>
        </w:tc>
      </w:tr>
      <w:tr w:rsidRPr="00737967" w:rsidR="00C25B49" w:rsidTr="00D8588C" w14:paraId="6B3FDC7E" w14:textId="77777777">
        <w:trPr>
          <w:cantSplit/>
        </w:trPr>
        <w:tc>
          <w:tcPr>
            <w:tcW w:w="3150" w:type="dxa"/>
            <w:vAlign w:val="center"/>
          </w:tcPr>
          <w:p w:rsidRPr="00D8588C" w:rsidR="00C25B49" w:rsidP="00C25B49" w:rsidRDefault="00C25B49" w14:paraId="14D233C2" w14:textId="77777777">
            <w:pPr>
              <w:keepNext/>
              <w:widowControl/>
              <w:rPr>
                <w:rFonts w:cs="Arial"/>
                <w:szCs w:val="22"/>
              </w:rPr>
            </w:pPr>
            <w:r w:rsidRPr="00D8588C">
              <w:rPr>
                <w:rFonts w:cs="Arial"/>
                <w:szCs w:val="22"/>
              </w:rPr>
              <w:t>BA-11 (Internet) – Positive**</w:t>
            </w:r>
          </w:p>
          <w:p w:rsidRPr="00D8588C" w:rsidR="00C25B49" w:rsidP="00C25B49" w:rsidRDefault="00C25B49" w14:paraId="5F184515" w14:textId="77777777">
            <w:pPr>
              <w:keepNext/>
              <w:rPr>
                <w:rFonts w:cs="Arial"/>
                <w:szCs w:val="22"/>
              </w:rPr>
            </w:pPr>
            <w:r w:rsidRPr="00D8588C">
              <w:rPr>
                <w:rFonts w:cs="Arial"/>
                <w:szCs w:val="22"/>
              </w:rPr>
              <w:t>BA-11 (Internet) – Negative**</w:t>
            </w:r>
          </w:p>
        </w:tc>
        <w:tc>
          <w:tcPr>
            <w:tcW w:w="2070" w:type="dxa"/>
            <w:vAlign w:val="center"/>
          </w:tcPr>
          <w:p w:rsidRPr="00D8588C" w:rsidR="00C25B49" w:rsidP="00C25B49" w:rsidRDefault="00C25B49" w14:paraId="411F2BE4" w14:textId="77777777">
            <w:pPr>
              <w:keepNext/>
              <w:widowControl/>
              <w:tabs>
                <w:tab w:val="right" w:pos="1152"/>
              </w:tabs>
              <w:rPr>
                <w:rFonts w:cs="Arial"/>
                <w:szCs w:val="22"/>
              </w:rPr>
            </w:pPr>
            <w:r w:rsidRPr="00D8588C">
              <w:rPr>
                <w:rFonts w:cs="Arial"/>
                <w:szCs w:val="22"/>
              </w:rPr>
              <w:tab/>
            </w:r>
            <w:r w:rsidRPr="00D8588C" w:rsidR="00D27270">
              <w:rPr>
                <w:rFonts w:cs="Arial"/>
                <w:szCs w:val="22"/>
              </w:rPr>
              <w:t>154</w:t>
            </w:r>
          </w:p>
          <w:p w:rsidRPr="00D8588C" w:rsidR="00C25B49" w:rsidP="00D27270" w:rsidRDefault="00C25B49" w14:paraId="63E3ADEE" w14:textId="77777777">
            <w:pPr>
              <w:keepNext/>
              <w:tabs>
                <w:tab w:val="right" w:pos="1152"/>
              </w:tabs>
              <w:rPr>
                <w:rFonts w:cs="Arial"/>
                <w:szCs w:val="22"/>
              </w:rPr>
            </w:pPr>
            <w:r w:rsidRPr="00D8588C">
              <w:rPr>
                <w:rFonts w:cs="Arial"/>
                <w:szCs w:val="22"/>
              </w:rPr>
              <w:tab/>
            </w:r>
            <w:r w:rsidRPr="00D8588C" w:rsidR="00D27270">
              <w:rPr>
                <w:rFonts w:cs="Arial"/>
                <w:szCs w:val="22"/>
              </w:rPr>
              <w:t>424</w:t>
            </w:r>
          </w:p>
        </w:tc>
        <w:tc>
          <w:tcPr>
            <w:tcW w:w="1890" w:type="dxa"/>
            <w:vAlign w:val="center"/>
          </w:tcPr>
          <w:p w:rsidRPr="00D8588C" w:rsidR="00C25B49" w:rsidP="00C25B49" w:rsidRDefault="00C25B49" w14:paraId="30947714" w14:textId="77777777">
            <w:pPr>
              <w:keepNext/>
              <w:widowControl/>
              <w:tabs>
                <w:tab w:val="right" w:pos="882"/>
              </w:tabs>
              <w:rPr>
                <w:rFonts w:cs="Arial"/>
                <w:szCs w:val="22"/>
              </w:rPr>
            </w:pPr>
            <w:r w:rsidRPr="00D8588C">
              <w:rPr>
                <w:rFonts w:cs="Arial"/>
                <w:szCs w:val="22"/>
              </w:rPr>
              <w:tab/>
              <w:t>30</w:t>
            </w:r>
          </w:p>
          <w:p w:rsidRPr="00D8588C" w:rsidR="00C25B49" w:rsidP="00C25B49" w:rsidRDefault="00C25B49" w14:paraId="4AA8F828" w14:textId="77777777">
            <w:pPr>
              <w:keepNext/>
              <w:tabs>
                <w:tab w:val="right" w:pos="882"/>
              </w:tabs>
              <w:rPr>
                <w:rFonts w:cs="Arial"/>
                <w:szCs w:val="22"/>
              </w:rPr>
            </w:pPr>
            <w:r w:rsidRPr="00D8588C">
              <w:rPr>
                <w:rFonts w:cs="Arial"/>
                <w:szCs w:val="22"/>
              </w:rPr>
              <w:tab/>
              <w:t>15</w:t>
            </w:r>
          </w:p>
        </w:tc>
        <w:tc>
          <w:tcPr>
            <w:tcW w:w="1773" w:type="dxa"/>
            <w:vAlign w:val="center"/>
          </w:tcPr>
          <w:p w:rsidRPr="00D8588C" w:rsidR="00C25B49" w:rsidP="00C25B49" w:rsidRDefault="00C25B49" w14:paraId="4F44F1B8" w14:textId="77777777">
            <w:pPr>
              <w:keepNext/>
              <w:widowControl/>
              <w:tabs>
                <w:tab w:val="right" w:pos="951"/>
              </w:tabs>
              <w:rPr>
                <w:rFonts w:cs="Arial"/>
                <w:szCs w:val="22"/>
              </w:rPr>
            </w:pPr>
            <w:r w:rsidRPr="00D8588C">
              <w:rPr>
                <w:rFonts w:cs="Arial"/>
                <w:szCs w:val="22"/>
              </w:rPr>
              <w:tab/>
            </w:r>
            <w:r w:rsidRPr="00D8588C" w:rsidR="00D27270">
              <w:rPr>
                <w:rFonts w:cs="Arial"/>
                <w:szCs w:val="22"/>
              </w:rPr>
              <w:t>77</w:t>
            </w:r>
          </w:p>
          <w:p w:rsidRPr="00D8588C" w:rsidR="00C25B49" w:rsidP="00D27270" w:rsidRDefault="00C25B49" w14:paraId="22F9FBDC" w14:textId="77777777">
            <w:pPr>
              <w:keepNext/>
              <w:tabs>
                <w:tab w:val="right" w:pos="951"/>
              </w:tabs>
              <w:rPr>
                <w:rFonts w:cs="Arial"/>
                <w:szCs w:val="22"/>
              </w:rPr>
            </w:pPr>
            <w:r w:rsidRPr="00D8588C">
              <w:rPr>
                <w:rFonts w:cs="Arial"/>
                <w:szCs w:val="22"/>
              </w:rPr>
              <w:tab/>
            </w:r>
            <w:r w:rsidRPr="00D8588C" w:rsidR="00D27270">
              <w:rPr>
                <w:rFonts w:cs="Arial"/>
                <w:szCs w:val="22"/>
              </w:rPr>
              <w:t>106</w:t>
            </w:r>
          </w:p>
        </w:tc>
      </w:tr>
      <w:tr w:rsidRPr="00737967" w:rsidR="00647B29" w:rsidTr="00D8588C" w14:paraId="54F7FF4B" w14:textId="77777777">
        <w:trPr>
          <w:cantSplit/>
          <w:trHeight w:val="500" w:hRule="exact"/>
        </w:trPr>
        <w:tc>
          <w:tcPr>
            <w:tcW w:w="3150" w:type="dxa"/>
            <w:tcBorders>
              <w:top w:val="double" w:color="auto" w:sz="12" w:space="0"/>
              <w:bottom w:val="double" w:color="auto" w:sz="12" w:space="0"/>
            </w:tcBorders>
            <w:vAlign w:val="center"/>
          </w:tcPr>
          <w:p w:rsidRPr="00D8588C" w:rsidR="00647B29" w:rsidP="00480B45" w:rsidRDefault="00647B29" w14:paraId="0BFAC91C" w14:textId="77777777">
            <w:pPr>
              <w:keepNext/>
              <w:widowControl/>
              <w:jc w:val="center"/>
              <w:rPr>
                <w:rFonts w:cs="Arial"/>
                <w:b/>
                <w:szCs w:val="22"/>
              </w:rPr>
            </w:pPr>
            <w:r w:rsidRPr="00D8588C">
              <w:rPr>
                <w:rFonts w:cs="Arial"/>
                <w:b/>
                <w:szCs w:val="22"/>
              </w:rPr>
              <w:t>Total</w:t>
            </w:r>
          </w:p>
        </w:tc>
        <w:tc>
          <w:tcPr>
            <w:tcW w:w="2070" w:type="dxa"/>
            <w:tcBorders>
              <w:top w:val="double" w:color="auto" w:sz="12" w:space="0"/>
              <w:bottom w:val="double" w:color="auto" w:sz="12" w:space="0"/>
            </w:tcBorders>
            <w:vAlign w:val="center"/>
          </w:tcPr>
          <w:p w:rsidRPr="00D8588C" w:rsidR="00647B29" w:rsidP="00C02F8B" w:rsidRDefault="00647B29" w14:paraId="2F01EA0D" w14:textId="79CA485C">
            <w:pPr>
              <w:keepNext/>
              <w:widowControl/>
              <w:tabs>
                <w:tab w:val="right" w:pos="1152"/>
              </w:tabs>
              <w:jc w:val="both"/>
              <w:rPr>
                <w:rFonts w:cs="Arial"/>
                <w:b/>
                <w:szCs w:val="22"/>
              </w:rPr>
            </w:pPr>
            <w:r w:rsidRPr="00D8588C">
              <w:rPr>
                <w:rFonts w:cs="Arial"/>
                <w:b/>
                <w:szCs w:val="22"/>
              </w:rPr>
              <w:tab/>
            </w:r>
            <w:r w:rsidRPr="00D8588C" w:rsidR="00D27270">
              <w:rPr>
                <w:rFonts w:cs="Arial"/>
                <w:b/>
                <w:szCs w:val="22"/>
              </w:rPr>
              <w:t>5</w:t>
            </w:r>
            <w:r w:rsidRPr="00D8588C" w:rsidR="00C02F8B">
              <w:rPr>
                <w:rFonts w:cs="Arial"/>
                <w:b/>
                <w:szCs w:val="22"/>
              </w:rPr>
              <w:t>8</w:t>
            </w:r>
            <w:r w:rsidRPr="00D8588C" w:rsidR="005B3A44">
              <w:rPr>
                <w:rFonts w:cs="Arial"/>
                <w:b/>
                <w:szCs w:val="22"/>
              </w:rPr>
              <w:t>9</w:t>
            </w:r>
          </w:p>
        </w:tc>
        <w:tc>
          <w:tcPr>
            <w:tcW w:w="1890" w:type="dxa"/>
            <w:tcBorders>
              <w:top w:val="double" w:color="auto" w:sz="12" w:space="0"/>
              <w:bottom w:val="double" w:color="auto" w:sz="12" w:space="0"/>
            </w:tcBorders>
            <w:vAlign w:val="center"/>
          </w:tcPr>
          <w:p w:rsidRPr="00D8588C" w:rsidR="00647B29" w:rsidP="00480B45" w:rsidRDefault="00647B29" w14:paraId="777CB502" w14:textId="77777777">
            <w:pPr>
              <w:keepNext/>
              <w:widowControl/>
              <w:jc w:val="both"/>
              <w:rPr>
                <w:rFonts w:cs="Arial"/>
                <w:b/>
                <w:szCs w:val="22"/>
              </w:rPr>
            </w:pPr>
          </w:p>
        </w:tc>
        <w:tc>
          <w:tcPr>
            <w:tcW w:w="1773" w:type="dxa"/>
            <w:tcBorders>
              <w:top w:val="double" w:color="auto" w:sz="12" w:space="0"/>
              <w:bottom w:val="double" w:color="auto" w:sz="12" w:space="0"/>
            </w:tcBorders>
            <w:vAlign w:val="center"/>
          </w:tcPr>
          <w:p w:rsidRPr="00D8588C" w:rsidR="00647B29" w:rsidP="006C560B" w:rsidRDefault="00647B29" w14:paraId="06390817" w14:textId="77777777">
            <w:pPr>
              <w:keepNext/>
              <w:widowControl/>
              <w:tabs>
                <w:tab w:val="right" w:pos="972"/>
              </w:tabs>
              <w:jc w:val="both"/>
              <w:rPr>
                <w:rFonts w:cs="Arial"/>
                <w:b/>
                <w:szCs w:val="22"/>
              </w:rPr>
            </w:pPr>
            <w:r w:rsidRPr="00D8588C">
              <w:rPr>
                <w:rFonts w:cs="Arial"/>
                <w:b/>
                <w:szCs w:val="22"/>
              </w:rPr>
              <w:tab/>
            </w:r>
            <w:r w:rsidRPr="00D8588C" w:rsidR="00D27270">
              <w:rPr>
                <w:rFonts w:cs="Arial"/>
                <w:b/>
                <w:szCs w:val="22"/>
              </w:rPr>
              <w:t>2</w:t>
            </w:r>
            <w:r w:rsidRPr="00D8588C" w:rsidR="006C560B">
              <w:rPr>
                <w:rFonts w:cs="Arial"/>
                <w:b/>
                <w:szCs w:val="22"/>
              </w:rPr>
              <w:t>38</w:t>
            </w:r>
          </w:p>
        </w:tc>
      </w:tr>
    </w:tbl>
    <w:p w:rsidR="002C0A9D" w:rsidP="00B66D35" w:rsidRDefault="002C0A9D" w14:paraId="3C5CB043" w14:textId="77777777">
      <w:pPr>
        <w:widowControl/>
        <w:tabs>
          <w:tab w:val="left" w:pos="540"/>
          <w:tab w:val="left" w:pos="810"/>
        </w:tabs>
        <w:ind w:left="540"/>
        <w:jc w:val="both"/>
        <w:rPr>
          <w:rFonts w:cs="Arial"/>
          <w:bCs/>
          <w:szCs w:val="22"/>
        </w:rPr>
      </w:pPr>
    </w:p>
    <w:p w:rsidRPr="004D0AB5" w:rsidR="004D0AB5" w:rsidP="004D0AB5" w:rsidRDefault="004D0AB5" w14:paraId="55C684EB" w14:textId="77777777">
      <w:pPr>
        <w:tabs>
          <w:tab w:val="left" w:pos="4140"/>
          <w:tab w:val="left" w:pos="6120"/>
        </w:tabs>
        <w:ind w:left="1800" w:firstLine="2347"/>
        <w:jc w:val="both"/>
        <w:rPr>
          <w:rFonts w:cs="Arial"/>
          <w:b/>
        </w:rPr>
      </w:pPr>
      <w:r w:rsidRPr="004D0AB5">
        <w:rPr>
          <w:rFonts w:cs="Arial"/>
          <w:b/>
        </w:rPr>
        <w:t>Responses</w:t>
      </w:r>
      <w:r w:rsidRPr="004D0AB5">
        <w:rPr>
          <w:rFonts w:cs="Arial"/>
          <w:b/>
        </w:rPr>
        <w:tab/>
        <w:t>Hours</w:t>
      </w:r>
    </w:p>
    <w:p w:rsidRPr="004D0AB5" w:rsidR="004D0AB5" w:rsidP="00DB372C" w:rsidRDefault="004D0AB5" w14:paraId="3BE61073" w14:textId="34C6E981">
      <w:pPr>
        <w:tabs>
          <w:tab w:val="right" w:pos="4860"/>
          <w:tab w:val="right" w:pos="6570"/>
        </w:tabs>
        <w:ind w:left="1800"/>
        <w:jc w:val="both"/>
        <w:rPr>
          <w:rFonts w:cs="Arial"/>
          <w:b/>
        </w:rPr>
      </w:pPr>
      <w:r w:rsidRPr="004D0AB5">
        <w:rPr>
          <w:rFonts w:cs="Arial"/>
          <w:b/>
        </w:rPr>
        <w:t>Total burden Change</w:t>
      </w:r>
      <w:r w:rsidRPr="004D0AB5">
        <w:rPr>
          <w:rFonts w:cs="Arial"/>
          <w:b/>
        </w:rPr>
        <w:tab/>
      </w:r>
      <w:r>
        <w:rPr>
          <w:rFonts w:cs="Arial"/>
          <w:b/>
          <w:u w:val="single"/>
        </w:rPr>
        <w:t xml:space="preserve"> +106</w:t>
      </w:r>
      <w:r w:rsidRPr="004D0AB5">
        <w:rPr>
          <w:rFonts w:cs="Arial"/>
          <w:b/>
        </w:rPr>
        <w:tab/>
      </w:r>
      <w:r>
        <w:rPr>
          <w:rFonts w:cs="Arial"/>
          <w:b/>
          <w:u w:val="single"/>
        </w:rPr>
        <w:t>+49</w:t>
      </w:r>
    </w:p>
    <w:p w:rsidRPr="004D0AB5" w:rsidR="004D0AB5" w:rsidP="00DB372C" w:rsidRDefault="00DB372C" w14:paraId="0411E6E5" w14:textId="2B230A4C">
      <w:pPr>
        <w:tabs>
          <w:tab w:val="right" w:pos="4860"/>
          <w:tab w:val="right" w:pos="6570"/>
        </w:tabs>
        <w:ind w:left="1800"/>
        <w:jc w:val="both"/>
        <w:rPr>
          <w:rFonts w:cs="Arial"/>
          <w:b/>
        </w:rPr>
      </w:pPr>
      <w:r>
        <w:rPr>
          <w:rFonts w:cs="Arial"/>
          <w:b/>
        </w:rPr>
        <w:t>Program Change</w:t>
      </w:r>
      <w:r w:rsidR="004D0AB5">
        <w:rPr>
          <w:rFonts w:cs="Arial"/>
          <w:b/>
        </w:rPr>
        <w:t xml:space="preserve"> </w:t>
      </w:r>
      <w:r w:rsidR="004D0AB5">
        <w:rPr>
          <w:rFonts w:cs="Arial"/>
          <w:b/>
        </w:rPr>
        <w:tab/>
        <w:t>+106</w:t>
      </w:r>
      <w:r w:rsidRPr="004D0AB5" w:rsidR="004D0AB5">
        <w:rPr>
          <w:rFonts w:cs="Arial"/>
          <w:b/>
        </w:rPr>
        <w:tab/>
      </w:r>
      <w:r w:rsidR="004D0AB5">
        <w:rPr>
          <w:rFonts w:cs="Arial"/>
          <w:b/>
        </w:rPr>
        <w:t>+49</w:t>
      </w:r>
    </w:p>
    <w:p w:rsidR="002C0A9D" w:rsidP="00B66D35" w:rsidRDefault="002C0A9D" w14:paraId="1ED2545E" w14:textId="77777777">
      <w:pPr>
        <w:widowControl/>
        <w:tabs>
          <w:tab w:val="left" w:pos="540"/>
          <w:tab w:val="left" w:pos="810"/>
        </w:tabs>
        <w:ind w:left="540"/>
        <w:jc w:val="both"/>
        <w:rPr>
          <w:rFonts w:cs="Arial"/>
          <w:bCs/>
          <w:szCs w:val="22"/>
        </w:rPr>
      </w:pPr>
    </w:p>
    <w:p w:rsidRPr="00737967" w:rsidR="00F962D8" w:rsidP="00B66D35" w:rsidRDefault="00F962D8" w14:paraId="4909CF24" w14:textId="06E874B7">
      <w:pPr>
        <w:widowControl/>
        <w:tabs>
          <w:tab w:val="left" w:pos="540"/>
          <w:tab w:val="left" w:pos="810"/>
        </w:tabs>
        <w:ind w:left="540"/>
        <w:jc w:val="both"/>
        <w:rPr>
          <w:rFonts w:cs="Arial"/>
          <w:bCs/>
          <w:dstrike/>
          <w:szCs w:val="22"/>
        </w:rPr>
      </w:pPr>
      <w:r w:rsidRPr="00737967">
        <w:rPr>
          <w:rFonts w:cs="Arial"/>
          <w:bCs/>
          <w:szCs w:val="22"/>
        </w:rPr>
        <w:t>*</w:t>
      </w:r>
      <w:r w:rsidRPr="00737967" w:rsidR="001A5596">
        <w:rPr>
          <w:rFonts w:cs="Arial"/>
          <w:bCs/>
          <w:szCs w:val="22"/>
        </w:rPr>
        <w:tab/>
        <w:t>F</w:t>
      </w:r>
      <w:r w:rsidRPr="00737967">
        <w:rPr>
          <w:rFonts w:cs="Arial"/>
          <w:bCs/>
          <w:szCs w:val="22"/>
        </w:rPr>
        <w:t xml:space="preserve">illable, </w:t>
      </w:r>
      <w:proofErr w:type="spellStart"/>
      <w:r w:rsidRPr="00737967" w:rsidR="001A5596">
        <w:rPr>
          <w:rFonts w:cs="Arial"/>
          <w:bCs/>
          <w:szCs w:val="22"/>
        </w:rPr>
        <w:t>F</w:t>
      </w:r>
      <w:r w:rsidRPr="00737967">
        <w:rPr>
          <w:rFonts w:cs="Arial"/>
          <w:bCs/>
          <w:szCs w:val="22"/>
        </w:rPr>
        <w:t>ileable</w:t>
      </w:r>
      <w:proofErr w:type="spellEnd"/>
      <w:r w:rsidRPr="00737967">
        <w:rPr>
          <w:rFonts w:cs="Arial"/>
          <w:bCs/>
          <w:szCs w:val="22"/>
        </w:rPr>
        <w:t xml:space="preserve"> – </w:t>
      </w:r>
      <w:r w:rsidRPr="00737967" w:rsidR="001A5596">
        <w:rPr>
          <w:rFonts w:cs="Arial"/>
          <w:bCs/>
          <w:szCs w:val="22"/>
        </w:rPr>
        <w:t>N</w:t>
      </w:r>
      <w:r w:rsidRPr="00737967">
        <w:rPr>
          <w:rFonts w:cs="Arial"/>
          <w:bCs/>
          <w:szCs w:val="22"/>
        </w:rPr>
        <w:t>o electronic submission</w:t>
      </w:r>
      <w:r w:rsidRPr="00737967" w:rsidR="001A5596">
        <w:rPr>
          <w:rFonts w:cs="Arial"/>
          <w:bCs/>
          <w:szCs w:val="22"/>
        </w:rPr>
        <w:t>.</w:t>
      </w:r>
    </w:p>
    <w:p w:rsidRPr="00737967" w:rsidR="00F962D8" w:rsidP="00B66D35" w:rsidRDefault="00F962D8" w14:paraId="185C6B54" w14:textId="77777777">
      <w:pPr>
        <w:widowControl/>
        <w:tabs>
          <w:tab w:val="left" w:pos="540"/>
          <w:tab w:val="left" w:pos="810"/>
        </w:tabs>
        <w:ind w:left="540"/>
        <w:jc w:val="both"/>
        <w:rPr>
          <w:rFonts w:cs="Arial"/>
          <w:bCs/>
          <w:szCs w:val="22"/>
        </w:rPr>
      </w:pPr>
      <w:r w:rsidRPr="00737967">
        <w:rPr>
          <w:rFonts w:cs="Arial"/>
          <w:bCs/>
          <w:szCs w:val="22"/>
        </w:rPr>
        <w:t>**</w:t>
      </w:r>
      <w:r w:rsidRPr="00737967" w:rsidR="001A5596">
        <w:rPr>
          <w:rFonts w:cs="Arial"/>
          <w:bCs/>
          <w:szCs w:val="22"/>
        </w:rPr>
        <w:tab/>
        <w:t>F</w:t>
      </w:r>
      <w:r w:rsidRPr="00737967">
        <w:rPr>
          <w:rFonts w:cs="Arial"/>
          <w:bCs/>
          <w:szCs w:val="22"/>
        </w:rPr>
        <w:t xml:space="preserve">illable, </w:t>
      </w:r>
      <w:r w:rsidRPr="00737967" w:rsidR="001A5596">
        <w:rPr>
          <w:rFonts w:cs="Arial"/>
          <w:bCs/>
          <w:szCs w:val="22"/>
        </w:rPr>
        <w:t>F</w:t>
      </w:r>
      <w:r w:rsidRPr="00737967">
        <w:rPr>
          <w:rFonts w:cs="Arial"/>
          <w:bCs/>
          <w:szCs w:val="22"/>
        </w:rPr>
        <w:t xml:space="preserve">ileable – </w:t>
      </w:r>
      <w:r w:rsidRPr="00737967" w:rsidR="001A5596">
        <w:rPr>
          <w:rFonts w:cs="Arial"/>
          <w:bCs/>
          <w:szCs w:val="22"/>
        </w:rPr>
        <w:t>C</w:t>
      </w:r>
      <w:r w:rsidRPr="00737967" w:rsidR="005656ED">
        <w:rPr>
          <w:rFonts w:cs="Arial"/>
          <w:bCs/>
          <w:szCs w:val="22"/>
        </w:rPr>
        <w:t>an be electronically submitted</w:t>
      </w:r>
      <w:r w:rsidRPr="00737967" w:rsidR="001A5596">
        <w:rPr>
          <w:rFonts w:cs="Arial"/>
          <w:bCs/>
          <w:szCs w:val="22"/>
        </w:rPr>
        <w:t>.</w:t>
      </w:r>
    </w:p>
    <w:p w:rsidRPr="00D8588C" w:rsidR="00FD0919" w:rsidP="00D8588C" w:rsidRDefault="009709FB" w14:paraId="2C8E216D" w14:textId="78DB0DCF">
      <w:pPr>
        <w:keepNext/>
        <w:widowControl/>
        <w:ind w:left="547"/>
        <w:rPr>
          <w:rFonts w:cs="Arial"/>
          <w:bCs/>
          <w:szCs w:val="22"/>
        </w:rPr>
      </w:pPr>
      <w:r w:rsidRPr="00D8588C">
        <w:rPr>
          <w:rFonts w:cs="Arial"/>
          <w:bCs/>
          <w:szCs w:val="22"/>
        </w:rPr>
        <w:t xml:space="preserve">1/The RRB has been collecting the information on these forms since OMB approved the information collection.  Based on a sampling done when the form was originally created, </w:t>
      </w:r>
      <w:r w:rsidRPr="00D8588C">
        <w:rPr>
          <w:rFonts w:cs="Arial"/>
          <w:bCs/>
          <w:szCs w:val="22"/>
        </w:rPr>
        <w:lastRenderedPageBreak/>
        <w:t>the office calculated the estimated time, which includes time for getting the needed data and reviewing the completed form.</w:t>
      </w:r>
    </w:p>
    <w:p w:rsidRPr="00737967" w:rsidR="009709FB" w:rsidP="00F4496A" w:rsidRDefault="009709FB" w14:paraId="3CC2CD31" w14:textId="77777777">
      <w:pPr>
        <w:keepNext/>
        <w:widowControl/>
        <w:ind w:left="547"/>
        <w:jc w:val="center"/>
        <w:rPr>
          <w:rFonts w:ascii="Arial Bold" w:hAnsi="Arial Bold" w:cs="Arial"/>
          <w:bCs/>
          <w:szCs w:val="22"/>
        </w:rPr>
      </w:pPr>
    </w:p>
    <w:p w:rsidRPr="00737967" w:rsidR="008002DB" w:rsidP="00B66D35" w:rsidRDefault="008002DB" w14:paraId="63A51701" w14:textId="77777777">
      <w:pPr>
        <w:widowControl/>
        <w:tabs>
          <w:tab w:val="left" w:pos="540"/>
        </w:tabs>
        <w:ind w:left="540" w:hanging="540"/>
        <w:jc w:val="both"/>
        <w:rPr>
          <w:rFonts w:cs="Arial"/>
          <w:szCs w:val="22"/>
        </w:rPr>
      </w:pPr>
      <w:r w:rsidRPr="00737967">
        <w:rPr>
          <w:rFonts w:cs="Arial"/>
          <w:szCs w:val="22"/>
        </w:rPr>
        <w:t>13.</w:t>
      </w:r>
      <w:r w:rsidRPr="00737967">
        <w:rPr>
          <w:rFonts w:cs="Arial"/>
          <w:b/>
          <w:szCs w:val="22"/>
        </w:rPr>
        <w:tab/>
      </w:r>
      <w:r w:rsidRPr="00737967">
        <w:rPr>
          <w:rFonts w:cs="Arial"/>
          <w:szCs w:val="22"/>
          <w:u w:val="single"/>
        </w:rPr>
        <w:t>Estimate of annual cost to respondents or record keepers</w:t>
      </w:r>
      <w:r w:rsidRPr="00737967">
        <w:rPr>
          <w:rFonts w:cs="Arial"/>
          <w:szCs w:val="22"/>
        </w:rPr>
        <w:t xml:space="preserve"> - N.A</w:t>
      </w:r>
    </w:p>
    <w:p w:rsidR="00824990" w:rsidP="00B66D35" w:rsidRDefault="00824990" w14:paraId="4F707B59" w14:textId="77777777">
      <w:pPr>
        <w:widowControl/>
        <w:tabs>
          <w:tab w:val="left" w:pos="540"/>
        </w:tabs>
        <w:ind w:left="540" w:hanging="540"/>
        <w:jc w:val="both"/>
        <w:rPr>
          <w:rFonts w:cs="Arial"/>
          <w:szCs w:val="22"/>
        </w:rPr>
      </w:pPr>
    </w:p>
    <w:p w:rsidRPr="00737967" w:rsidR="008002DB" w:rsidP="00B66D35" w:rsidRDefault="00FF34CD" w14:paraId="2938D415" w14:textId="77777777">
      <w:pPr>
        <w:widowControl/>
        <w:tabs>
          <w:tab w:val="left" w:pos="540"/>
        </w:tabs>
        <w:ind w:left="540" w:hanging="540"/>
        <w:jc w:val="both"/>
        <w:rPr>
          <w:rFonts w:cs="Arial"/>
          <w:szCs w:val="22"/>
        </w:rPr>
      </w:pPr>
      <w:r w:rsidRPr="00737967">
        <w:rPr>
          <w:rFonts w:cs="Arial"/>
          <w:szCs w:val="22"/>
        </w:rPr>
        <w:t>14.</w:t>
      </w:r>
      <w:r w:rsidRPr="00737967">
        <w:rPr>
          <w:rFonts w:cs="Arial"/>
          <w:b/>
          <w:szCs w:val="22"/>
        </w:rPr>
        <w:tab/>
      </w:r>
      <w:r w:rsidRPr="00737967">
        <w:rPr>
          <w:rFonts w:cs="Arial"/>
          <w:szCs w:val="22"/>
          <w:u w:val="single"/>
        </w:rPr>
        <w:t>E</w:t>
      </w:r>
      <w:r w:rsidRPr="00737967" w:rsidR="005656ED">
        <w:rPr>
          <w:rFonts w:cs="Arial"/>
          <w:szCs w:val="22"/>
          <w:u w:val="single"/>
        </w:rPr>
        <w:t>stimate of cost to Federal G</w:t>
      </w:r>
      <w:r w:rsidRPr="00737967" w:rsidR="008002DB">
        <w:rPr>
          <w:rFonts w:cs="Arial"/>
          <w:szCs w:val="22"/>
          <w:u w:val="single"/>
        </w:rPr>
        <w:t>overnment</w:t>
      </w:r>
      <w:r w:rsidRPr="00737967" w:rsidR="008002DB">
        <w:rPr>
          <w:rFonts w:cs="Arial"/>
          <w:szCs w:val="22"/>
        </w:rPr>
        <w:t xml:space="preserve"> - N.A.</w:t>
      </w:r>
    </w:p>
    <w:p w:rsidRPr="00737967" w:rsidR="009C4D8B" w:rsidP="00B66D35" w:rsidRDefault="009C4D8B" w14:paraId="042CFFCD" w14:textId="77777777">
      <w:pPr>
        <w:widowControl/>
        <w:tabs>
          <w:tab w:val="left" w:pos="540"/>
        </w:tabs>
        <w:ind w:left="540" w:hanging="540"/>
        <w:jc w:val="both"/>
        <w:rPr>
          <w:rFonts w:cs="Arial"/>
          <w:szCs w:val="22"/>
        </w:rPr>
      </w:pPr>
    </w:p>
    <w:p w:rsidRPr="00737967" w:rsidR="00AE7843" w:rsidP="004C5950" w:rsidRDefault="009C4D8B" w14:paraId="4D5E0A9A" w14:textId="023BC188">
      <w:pPr>
        <w:widowControl/>
        <w:tabs>
          <w:tab w:val="left" w:pos="540"/>
        </w:tabs>
        <w:ind w:left="540" w:hanging="540"/>
        <w:jc w:val="both"/>
        <w:rPr>
          <w:rFonts w:cs="Arial"/>
        </w:rPr>
      </w:pPr>
      <w:r w:rsidRPr="00737967">
        <w:rPr>
          <w:rFonts w:cs="Arial"/>
          <w:szCs w:val="22"/>
        </w:rPr>
        <w:t>15.</w:t>
      </w:r>
      <w:r w:rsidRPr="00737967">
        <w:rPr>
          <w:rFonts w:cs="Arial"/>
          <w:szCs w:val="22"/>
        </w:rPr>
        <w:tab/>
      </w:r>
      <w:r w:rsidRPr="00737967" w:rsidR="008002DB">
        <w:rPr>
          <w:rFonts w:cs="Arial"/>
          <w:szCs w:val="22"/>
          <w:u w:val="single"/>
        </w:rPr>
        <w:t>Explanation for change in burden</w:t>
      </w:r>
      <w:r w:rsidRPr="00737967" w:rsidR="00FF2285">
        <w:rPr>
          <w:rFonts w:cs="Arial"/>
          <w:szCs w:val="22"/>
        </w:rPr>
        <w:t xml:space="preserve"> </w:t>
      </w:r>
      <w:r w:rsidR="00824990">
        <w:rPr>
          <w:rFonts w:cs="Arial"/>
          <w:szCs w:val="22"/>
        </w:rPr>
        <w:t>–</w:t>
      </w:r>
      <w:r w:rsidRPr="00737967" w:rsidR="004C5950">
        <w:rPr>
          <w:rFonts w:cs="Arial"/>
        </w:rPr>
        <w:t xml:space="preserve"> </w:t>
      </w:r>
      <w:r w:rsidRPr="00FB1122" w:rsidR="00DB372C">
        <w:rPr>
          <w:rFonts w:cs="Arial"/>
        </w:rPr>
        <w:t xml:space="preserve">The estimated overall </w:t>
      </w:r>
      <w:r w:rsidR="00DB372C">
        <w:rPr>
          <w:rFonts w:cs="Arial"/>
        </w:rPr>
        <w:t xml:space="preserve">annual </w:t>
      </w:r>
      <w:r w:rsidRPr="00FB1122" w:rsidR="00DB372C">
        <w:rPr>
          <w:rFonts w:cs="Arial"/>
        </w:rPr>
        <w:t xml:space="preserve">responses for this collection have </w:t>
      </w:r>
      <w:r w:rsidR="00DB372C">
        <w:rPr>
          <w:rFonts w:cs="Arial"/>
        </w:rPr>
        <w:t xml:space="preserve">increased from 483 to 589 (+106) and the </w:t>
      </w:r>
      <w:r w:rsidRPr="00FB1122" w:rsidR="00DB372C">
        <w:rPr>
          <w:rFonts w:cs="Arial"/>
        </w:rPr>
        <w:t>burden hours have increased by</w:t>
      </w:r>
      <w:r w:rsidR="00DB372C">
        <w:rPr>
          <w:rFonts w:cs="Arial"/>
        </w:rPr>
        <w:t xml:space="preserve"> 49, </w:t>
      </w:r>
      <w:r w:rsidRPr="00FB1122" w:rsidR="00DB372C">
        <w:rPr>
          <w:rFonts w:cs="Arial"/>
        </w:rPr>
        <w:t xml:space="preserve">from </w:t>
      </w:r>
      <w:r w:rsidR="00DB372C">
        <w:rPr>
          <w:rFonts w:cs="Arial"/>
        </w:rPr>
        <w:t xml:space="preserve">189 to 238. </w:t>
      </w:r>
      <w:r w:rsidRPr="00195396" w:rsidR="00195396">
        <w:rPr>
          <w:rFonts w:cs="Arial"/>
        </w:rPr>
        <w:t>The main driver of the increased burden are negative reports via the Internet through the RRB’s Employer Reporting System (ERS). As more railroads have become users of ERS, more are reporting their negative BA-11s via ERS, rather than not reporting at all.  The other cause is that some roads that previously submitted via CD-ROM or Secure E-Mail have changed their reporting method to the File Transfer Protocol, which has a higher time burden.</w:t>
      </w:r>
      <w:r w:rsidR="00DB372C">
        <w:rPr>
          <w:rFonts w:cs="Arial"/>
        </w:rPr>
        <w:t xml:space="preserve"> </w:t>
      </w:r>
    </w:p>
    <w:p w:rsidRPr="00737967" w:rsidR="00B72674" w:rsidP="00B66D35" w:rsidRDefault="00B72674" w14:paraId="2BC99974" w14:textId="77777777">
      <w:pPr>
        <w:widowControl/>
        <w:tabs>
          <w:tab w:val="left" w:pos="540"/>
        </w:tabs>
        <w:jc w:val="both"/>
        <w:rPr>
          <w:rFonts w:cs="Arial"/>
          <w:szCs w:val="22"/>
        </w:rPr>
      </w:pPr>
    </w:p>
    <w:p w:rsidRPr="00737967" w:rsidR="00B66D35" w:rsidP="00B66D35" w:rsidRDefault="00274D66" w14:paraId="7010B301" w14:textId="77777777">
      <w:pPr>
        <w:widowControl/>
        <w:tabs>
          <w:tab w:val="left" w:pos="540"/>
        </w:tabs>
        <w:ind w:left="540" w:hanging="540"/>
        <w:jc w:val="both"/>
        <w:rPr>
          <w:rFonts w:cs="Arial"/>
          <w:szCs w:val="22"/>
        </w:rPr>
      </w:pPr>
      <w:r w:rsidRPr="00737967">
        <w:rPr>
          <w:rFonts w:cs="Arial"/>
          <w:szCs w:val="22"/>
        </w:rPr>
        <w:t xml:space="preserve"> </w:t>
      </w:r>
      <w:r w:rsidRPr="00737967" w:rsidR="008002DB">
        <w:rPr>
          <w:rFonts w:cs="Arial"/>
          <w:szCs w:val="22"/>
        </w:rPr>
        <w:t>16.</w:t>
      </w:r>
      <w:r w:rsidRPr="00737967" w:rsidR="008002DB">
        <w:rPr>
          <w:rFonts w:cs="Arial"/>
          <w:b/>
          <w:szCs w:val="22"/>
        </w:rPr>
        <w:tab/>
      </w:r>
      <w:r w:rsidRPr="00737967" w:rsidR="008002DB">
        <w:rPr>
          <w:rFonts w:cs="Arial"/>
          <w:szCs w:val="22"/>
          <w:u w:val="single"/>
        </w:rPr>
        <w:t>Time schedule for data collection and publication</w:t>
      </w:r>
      <w:r w:rsidRPr="00737967" w:rsidR="008002DB">
        <w:rPr>
          <w:rFonts w:cs="Arial"/>
          <w:szCs w:val="22"/>
        </w:rPr>
        <w:t xml:space="preserve"> - The gross earnings report is obtained annually from railroad employers.  The summaries and tables pertaining to the </w:t>
      </w:r>
      <w:r w:rsidRPr="00737967" w:rsidR="008B7221">
        <w:rPr>
          <w:rFonts w:cs="Arial"/>
          <w:szCs w:val="22"/>
        </w:rPr>
        <w:t xml:space="preserve">payroll tax and benefit </w:t>
      </w:r>
      <w:r w:rsidRPr="00737967" w:rsidR="008002DB">
        <w:rPr>
          <w:rFonts w:cs="Arial"/>
          <w:szCs w:val="22"/>
        </w:rPr>
        <w:t>calculations, based on the gross earnings reports submitted by the employers, are published annually in the publication "RRB-SSA-</w:t>
      </w:r>
      <w:r w:rsidRPr="00737967" w:rsidR="00DC6431">
        <w:rPr>
          <w:rFonts w:cs="Arial"/>
          <w:szCs w:val="22"/>
        </w:rPr>
        <w:t>CMS</w:t>
      </w:r>
      <w:r w:rsidRPr="00737967" w:rsidR="008002DB">
        <w:rPr>
          <w:rFonts w:cs="Arial"/>
          <w:szCs w:val="22"/>
        </w:rPr>
        <w:t xml:space="preserve"> Financial Interchange."</w:t>
      </w:r>
    </w:p>
    <w:p w:rsidRPr="00737967" w:rsidR="00B66D35" w:rsidP="00B66D35" w:rsidRDefault="00B66D35" w14:paraId="4BB03296" w14:textId="77777777">
      <w:pPr>
        <w:widowControl/>
        <w:tabs>
          <w:tab w:val="left" w:pos="540"/>
        </w:tabs>
        <w:ind w:left="540" w:hanging="540"/>
        <w:jc w:val="both"/>
        <w:rPr>
          <w:rFonts w:cs="Arial"/>
          <w:szCs w:val="22"/>
        </w:rPr>
      </w:pPr>
    </w:p>
    <w:p w:rsidR="00521991" w:rsidP="00A26760" w:rsidRDefault="008002DB" w14:paraId="056ED724" w14:textId="66556BAC">
      <w:pPr>
        <w:tabs>
          <w:tab w:val="left" w:pos="-1440"/>
          <w:tab w:val="left" w:pos="540"/>
        </w:tabs>
        <w:ind w:left="540" w:hanging="540"/>
        <w:jc w:val="both"/>
        <w:rPr>
          <w:rFonts w:eastAsia="Calibri" w:cs="Arial"/>
          <w:szCs w:val="22"/>
          <w:u w:val="single"/>
        </w:rPr>
      </w:pPr>
      <w:r w:rsidRPr="00737967">
        <w:rPr>
          <w:rFonts w:cs="Arial"/>
          <w:szCs w:val="22"/>
        </w:rPr>
        <w:t>17.</w:t>
      </w:r>
      <w:r w:rsidRPr="00737967">
        <w:rPr>
          <w:rFonts w:cs="Arial"/>
          <w:b/>
          <w:szCs w:val="22"/>
        </w:rPr>
        <w:tab/>
      </w:r>
      <w:r w:rsidRPr="00737967">
        <w:rPr>
          <w:rFonts w:cs="Arial"/>
          <w:szCs w:val="22"/>
          <w:u w:val="single"/>
        </w:rPr>
        <w:t>Request not to display OMB expiration date</w:t>
      </w:r>
      <w:r w:rsidRPr="00737967">
        <w:rPr>
          <w:rFonts w:cs="Arial"/>
          <w:szCs w:val="22"/>
        </w:rPr>
        <w:t xml:space="preserve"> </w:t>
      </w:r>
      <w:r w:rsidRPr="00737967" w:rsidR="00902E38">
        <w:rPr>
          <w:rFonts w:cs="Arial"/>
          <w:szCs w:val="22"/>
        </w:rPr>
        <w:t>–</w:t>
      </w:r>
      <w:r w:rsidR="00521991">
        <w:rPr>
          <w:rFonts w:cs="Arial"/>
          <w:szCs w:val="22"/>
        </w:rPr>
        <w:t xml:space="preserve"> </w:t>
      </w:r>
      <w:r w:rsidRPr="00521991" w:rsidR="00521991">
        <w:rPr>
          <w:rFonts w:eastAsia="Calibri" w:cs="Arial"/>
          <w:szCs w:val="22"/>
        </w:rPr>
        <w:t>The RRB started an extensive multi-year IT Modernization Initiative at the beginning of Fiscal Year 2019 to transform our operations into the 21</w:t>
      </w:r>
      <w:r w:rsidRPr="00521991" w:rsidR="00521991">
        <w:rPr>
          <w:rFonts w:eastAsia="Calibri" w:cs="Arial"/>
          <w:szCs w:val="22"/>
          <w:vertAlign w:val="superscript"/>
        </w:rPr>
        <w:t>st</w:t>
      </w:r>
      <w:r w:rsidRPr="00521991" w:rsidR="00521991">
        <w:rPr>
          <w:rFonts w:eastAsia="Calibri" w:cs="Arial"/>
          <w:szCs w:val="22"/>
        </w:rPr>
        <w:t xml:space="preserve"> Century using multiple contractor services to improve mission performance, expand service capabilities, and strengthen cybersecurity. We provided OMB with a consolidated project timeline. </w:t>
      </w:r>
    </w:p>
    <w:p w:rsidRPr="00A26760" w:rsidR="00A26760" w:rsidP="00A26760" w:rsidRDefault="00A26760" w14:paraId="76108D7B" w14:textId="77777777">
      <w:pPr>
        <w:tabs>
          <w:tab w:val="left" w:pos="-1440"/>
          <w:tab w:val="left" w:pos="540"/>
        </w:tabs>
        <w:ind w:left="540" w:hanging="540"/>
        <w:jc w:val="both"/>
        <w:rPr>
          <w:rFonts w:eastAsia="Calibri" w:cs="Arial"/>
          <w:szCs w:val="22"/>
          <w:u w:val="single"/>
        </w:rPr>
      </w:pPr>
    </w:p>
    <w:p w:rsidRPr="00521991" w:rsidR="00521991" w:rsidP="00521991" w:rsidRDefault="00521991" w14:paraId="084038CD" w14:textId="77777777">
      <w:pPr>
        <w:widowControl/>
        <w:tabs>
          <w:tab w:val="left" w:pos="-1440"/>
          <w:tab w:val="left" w:pos="540"/>
        </w:tabs>
        <w:autoSpaceDE/>
        <w:autoSpaceDN/>
        <w:adjustRightInd/>
        <w:spacing w:after="160" w:line="259" w:lineRule="auto"/>
        <w:ind w:left="540"/>
        <w:jc w:val="both"/>
        <w:rPr>
          <w:rFonts w:eastAsia="Calibri" w:cs="Arial"/>
          <w:szCs w:val="22"/>
        </w:rPr>
      </w:pPr>
      <w:r w:rsidRPr="00521991">
        <w:rPr>
          <w:rFonts w:eastAsia="Calibri" w:cs="Arial"/>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521991">
        <w:rPr>
          <w:rFonts w:eastAsia="Calibri" w:cs="Arial"/>
          <w:b/>
          <w:szCs w:val="22"/>
        </w:rPr>
        <w:t xml:space="preserve"> </w:t>
      </w:r>
      <w:r w:rsidRPr="00521991">
        <w:rPr>
          <w:rFonts w:eastAsia="Calibri" w:cs="Arial"/>
          <w:b/>
          <w:szCs w:val="22"/>
          <w:u w:val="single"/>
        </w:rPr>
        <w:t>the RRB requests the authority to not display the expiration date on the forms</w:t>
      </w:r>
      <w:r w:rsidRPr="00521991">
        <w:rPr>
          <w:rFonts w:eastAsia="Calibri" w:cs="Arial"/>
          <w:szCs w:val="22"/>
        </w:rPr>
        <w:t>.</w:t>
      </w:r>
    </w:p>
    <w:p w:rsidRPr="00737967" w:rsidR="00A2728B" w:rsidP="00B86714" w:rsidRDefault="008002DB" w14:paraId="349D1B91" w14:textId="77777777">
      <w:pPr>
        <w:widowControl/>
        <w:numPr>
          <w:ilvl w:val="0"/>
          <w:numId w:val="7"/>
        </w:numPr>
        <w:tabs>
          <w:tab w:val="clear" w:pos="1080"/>
          <w:tab w:val="left" w:pos="540"/>
        </w:tabs>
        <w:ind w:left="540" w:hanging="540"/>
        <w:jc w:val="both"/>
        <w:rPr>
          <w:rFonts w:cs="Arial"/>
          <w:szCs w:val="22"/>
        </w:rPr>
      </w:pPr>
      <w:r w:rsidRPr="00737967">
        <w:rPr>
          <w:rFonts w:cs="Arial"/>
          <w:szCs w:val="22"/>
          <w:u w:val="single"/>
        </w:rPr>
        <w:t>Exceptions to certification statement</w:t>
      </w:r>
      <w:r w:rsidRPr="00737967">
        <w:rPr>
          <w:rFonts w:cs="Arial"/>
          <w:szCs w:val="22"/>
        </w:rPr>
        <w:t xml:space="preserve"> </w:t>
      </w:r>
      <w:r w:rsidRPr="00737967" w:rsidR="00B66D35">
        <w:rPr>
          <w:rFonts w:cs="Arial"/>
          <w:szCs w:val="22"/>
        </w:rPr>
        <w:t>-</w:t>
      </w:r>
      <w:r w:rsidRPr="00737967">
        <w:rPr>
          <w:rFonts w:cs="Arial"/>
          <w:szCs w:val="22"/>
        </w:rPr>
        <w:t xml:space="preserve"> None</w:t>
      </w:r>
    </w:p>
    <w:sectPr w:rsidRPr="00737967" w:rsidR="00A2728B" w:rsidSect="00930F00">
      <w:headerReference w:type="default" r:id="rId9"/>
      <w:footerReference w:type="default" r:id="rId1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1B817" w14:textId="77777777" w:rsidR="00170612" w:rsidRDefault="00170612">
      <w:r>
        <w:separator/>
      </w:r>
    </w:p>
  </w:endnote>
  <w:endnote w:type="continuationSeparator" w:id="0">
    <w:p w14:paraId="2D114F55" w14:textId="77777777" w:rsidR="00170612" w:rsidRDefault="0017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A83B3" w14:textId="279F2B25" w:rsidR="004D0AB5" w:rsidRDefault="004D0AB5" w:rsidP="00B66D35">
    <w:pPr>
      <w:pStyle w:val="Footer"/>
      <w:jc w:val="center"/>
    </w:pPr>
    <w:r>
      <w:t>-</w:t>
    </w:r>
    <w:r>
      <w:fldChar w:fldCharType="begin"/>
    </w:r>
    <w:r>
      <w:instrText xml:space="preserve"> PAGE   \* MERGEFORMAT </w:instrText>
    </w:r>
    <w:r>
      <w:fldChar w:fldCharType="separate"/>
    </w:r>
    <w:r w:rsidR="00D24F82">
      <w:rPr>
        <w:noProof/>
      </w:rPr>
      <w:t>3</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EBFB0" w14:textId="77777777" w:rsidR="00170612" w:rsidRDefault="00170612">
      <w:r>
        <w:separator/>
      </w:r>
    </w:p>
  </w:footnote>
  <w:footnote w:type="continuationSeparator" w:id="0">
    <w:p w14:paraId="12A02BA5" w14:textId="77777777" w:rsidR="00170612" w:rsidRDefault="0017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25578" w14:textId="77777777" w:rsidR="004D0AB5" w:rsidRPr="00B66D35" w:rsidRDefault="004D0AB5" w:rsidP="00006742">
    <w:pPr>
      <w:ind w:left="720"/>
      <w:jc w:val="right"/>
      <w:rPr>
        <w:rFonts w:cs="Arial"/>
        <w:szCs w:val="22"/>
      </w:rPr>
    </w:pPr>
    <w:r>
      <w:tab/>
    </w:r>
    <w:r w:rsidRPr="00B66D35">
      <w:rPr>
        <w:rFonts w:cs="Arial"/>
        <w:szCs w:val="22"/>
      </w:rPr>
      <w:t>OMB NO. 3220-0132</w:t>
    </w:r>
  </w:p>
  <w:p w14:paraId="0B159EC2" w14:textId="77777777" w:rsidR="004D0AB5" w:rsidRPr="00B66D35" w:rsidRDefault="004D0AB5" w:rsidP="00B66D35">
    <w:pPr>
      <w:rPr>
        <w:rFonts w:cs="Arial"/>
        <w:szCs w:val="22"/>
      </w:rPr>
    </w:pPr>
  </w:p>
  <w:p w14:paraId="57783ADD" w14:textId="77777777" w:rsidR="004D0AB5" w:rsidRPr="00B66D35" w:rsidRDefault="004D0AB5">
    <w:pPr>
      <w:spacing w:line="240" w:lineRule="exact"/>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524"/>
    <w:multiLevelType w:val="hybridMultilevel"/>
    <w:tmpl w:val="22383D26"/>
    <w:lvl w:ilvl="0" w:tplc="281415B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34CFC"/>
    <w:multiLevelType w:val="hybridMultilevel"/>
    <w:tmpl w:val="3522A42A"/>
    <w:lvl w:ilvl="0" w:tplc="64521C7C">
      <w:start w:val="15"/>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4609EE"/>
    <w:multiLevelType w:val="hybridMultilevel"/>
    <w:tmpl w:val="44B06EFE"/>
    <w:lvl w:ilvl="0" w:tplc="31A29916">
      <w:start w:val="1"/>
      <w:numFmt w:val="lowerLetter"/>
      <w:lvlText w:val="%1."/>
      <w:lvlJc w:val="left"/>
      <w:pPr>
        <w:ind w:left="1080" w:hanging="360"/>
      </w:pPr>
      <w:rPr>
        <w:rFonts w:hint="default"/>
      </w:rPr>
    </w:lvl>
    <w:lvl w:ilvl="1" w:tplc="A81A98A6">
      <w:start w:val="1"/>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6D6CF9"/>
    <w:multiLevelType w:val="hybridMultilevel"/>
    <w:tmpl w:val="D58ABCC4"/>
    <w:lvl w:ilvl="0" w:tplc="3B8A8B34">
      <w:start w:val="12"/>
      <w:numFmt w:val="decimal"/>
      <w:lvlText w:val="%1."/>
      <w:lvlJc w:val="left"/>
      <w:pPr>
        <w:tabs>
          <w:tab w:val="num" w:pos="810"/>
        </w:tabs>
        <w:ind w:left="810" w:hanging="360"/>
      </w:pPr>
      <w:rPr>
        <w:rFonts w:hint="default"/>
        <w:sz w:val="22"/>
        <w:szCs w:val="22"/>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27FA558E"/>
    <w:multiLevelType w:val="hybridMultilevel"/>
    <w:tmpl w:val="77C65908"/>
    <w:lvl w:ilvl="0" w:tplc="3FB20D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6211A"/>
    <w:multiLevelType w:val="hybridMultilevel"/>
    <w:tmpl w:val="B72206D0"/>
    <w:lvl w:ilvl="0" w:tplc="9EB4E1CA">
      <w:start w:val="18"/>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CA4865"/>
    <w:multiLevelType w:val="hybridMultilevel"/>
    <w:tmpl w:val="CF50A49A"/>
    <w:lvl w:ilvl="0" w:tplc="04090015">
      <w:start w:val="1"/>
      <w:numFmt w:val="upperLetter"/>
      <w:lvlText w:val="%1."/>
      <w:lvlJc w:val="left"/>
      <w:pPr>
        <w:ind w:left="360" w:hanging="360"/>
      </w:pPr>
      <w:rPr>
        <w:rFonts w:hint="default"/>
        <w:sz w:val="22"/>
      </w:rPr>
    </w:lvl>
    <w:lvl w:ilvl="1" w:tplc="11E844B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385E9F"/>
    <w:multiLevelType w:val="hybridMultilevel"/>
    <w:tmpl w:val="F0E627E4"/>
    <w:lvl w:ilvl="0" w:tplc="B28C4D5E">
      <w:start w:val="11"/>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31467EAD"/>
    <w:multiLevelType w:val="hybridMultilevel"/>
    <w:tmpl w:val="CC7A2216"/>
    <w:lvl w:ilvl="0" w:tplc="30CA159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A511E1"/>
    <w:multiLevelType w:val="hybridMultilevel"/>
    <w:tmpl w:val="1DAE14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9287632"/>
    <w:multiLevelType w:val="hybridMultilevel"/>
    <w:tmpl w:val="00D0625A"/>
    <w:lvl w:ilvl="0" w:tplc="A81A98A6">
      <w:start w:val="1"/>
      <w:numFmt w:val="lowerLetter"/>
      <w:lvlText w:val="(%1)"/>
      <w:lvlJc w:val="left"/>
      <w:pPr>
        <w:ind w:left="144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A995194"/>
    <w:multiLevelType w:val="hybridMultilevel"/>
    <w:tmpl w:val="43B042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5A20E59"/>
    <w:multiLevelType w:val="hybridMultilevel"/>
    <w:tmpl w:val="F696A13E"/>
    <w:lvl w:ilvl="0" w:tplc="11E844BC">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D6F5735"/>
    <w:multiLevelType w:val="hybridMultilevel"/>
    <w:tmpl w:val="9B5EFE34"/>
    <w:lvl w:ilvl="0" w:tplc="DFAEC6C6">
      <w:start w:val="15"/>
      <w:numFmt w:val="decimal"/>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3023C5"/>
    <w:multiLevelType w:val="hybridMultilevel"/>
    <w:tmpl w:val="C4BA8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ACBF48">
      <w:start w:val="1"/>
      <w:numFmt w:val="decimal"/>
      <w:lvlText w:val="(%3)"/>
      <w:lvlJc w:val="left"/>
      <w:pPr>
        <w:ind w:left="2340" w:hanging="360"/>
      </w:pPr>
      <w:rPr>
        <w:rFonts w:hint="default"/>
      </w:rPr>
    </w:lvl>
    <w:lvl w:ilvl="3" w:tplc="62D04180">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D5A3F"/>
    <w:multiLevelType w:val="hybridMultilevel"/>
    <w:tmpl w:val="F446CA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BFC7489"/>
    <w:multiLevelType w:val="hybridMultilevel"/>
    <w:tmpl w:val="9CC6F448"/>
    <w:lvl w:ilvl="0" w:tplc="04090019">
      <w:start w:val="1"/>
      <w:numFmt w:val="lowerLetter"/>
      <w:lvlText w:val="%1."/>
      <w:lvlJc w:val="left"/>
      <w:pPr>
        <w:ind w:left="1260" w:hanging="360"/>
      </w:pPr>
      <w:rPr>
        <w:rFonts w:hint="default"/>
      </w:rPr>
    </w:lvl>
    <w:lvl w:ilvl="1" w:tplc="04090011">
      <w:start w:val="1"/>
      <w:numFmt w:val="decimal"/>
      <w:lvlText w:val="%2)"/>
      <w:lvlJc w:val="left"/>
      <w:pPr>
        <w:ind w:left="1980" w:hanging="360"/>
      </w:pPr>
      <w:rPr>
        <w:rFont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1"/>
  </w:num>
  <w:num w:numId="3">
    <w:abstractNumId w:val="9"/>
  </w:num>
  <w:num w:numId="4">
    <w:abstractNumId w:val="11"/>
  </w:num>
  <w:num w:numId="5">
    <w:abstractNumId w:val="15"/>
  </w:num>
  <w:num w:numId="6">
    <w:abstractNumId w:val="13"/>
  </w:num>
  <w:num w:numId="7">
    <w:abstractNumId w:val="5"/>
  </w:num>
  <w:num w:numId="8">
    <w:abstractNumId w:val="16"/>
  </w:num>
  <w:num w:numId="9">
    <w:abstractNumId w:val="6"/>
  </w:num>
  <w:num w:numId="10">
    <w:abstractNumId w:val="2"/>
  </w:num>
  <w:num w:numId="11">
    <w:abstractNumId w:val="12"/>
  </w:num>
  <w:num w:numId="12">
    <w:abstractNumId w:val="10"/>
  </w:num>
  <w:num w:numId="13">
    <w:abstractNumId w:val="14"/>
  </w:num>
  <w:num w:numId="14">
    <w:abstractNumId w:val="8"/>
  </w:num>
  <w:num w:numId="15">
    <w:abstractNumId w:val="4"/>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DB"/>
    <w:rsid w:val="00002A0E"/>
    <w:rsid w:val="00004D03"/>
    <w:rsid w:val="00006742"/>
    <w:rsid w:val="000078FD"/>
    <w:rsid w:val="00010AAE"/>
    <w:rsid w:val="00025BAF"/>
    <w:rsid w:val="00026E5B"/>
    <w:rsid w:val="000321CA"/>
    <w:rsid w:val="00032B35"/>
    <w:rsid w:val="00034FEB"/>
    <w:rsid w:val="00040476"/>
    <w:rsid w:val="00052435"/>
    <w:rsid w:val="00065050"/>
    <w:rsid w:val="00084CAB"/>
    <w:rsid w:val="0009088C"/>
    <w:rsid w:val="000A0F93"/>
    <w:rsid w:val="000A3C63"/>
    <w:rsid w:val="000A4752"/>
    <w:rsid w:val="000A6984"/>
    <w:rsid w:val="000B2389"/>
    <w:rsid w:val="000C2449"/>
    <w:rsid w:val="000C70FB"/>
    <w:rsid w:val="000E3928"/>
    <w:rsid w:val="000F3BAF"/>
    <w:rsid w:val="00101FD9"/>
    <w:rsid w:val="0010307E"/>
    <w:rsid w:val="00103371"/>
    <w:rsid w:val="001045DF"/>
    <w:rsid w:val="00106729"/>
    <w:rsid w:val="00107DD8"/>
    <w:rsid w:val="00133708"/>
    <w:rsid w:val="0013450E"/>
    <w:rsid w:val="0014669B"/>
    <w:rsid w:val="00151E8A"/>
    <w:rsid w:val="0015230D"/>
    <w:rsid w:val="00156FD0"/>
    <w:rsid w:val="00164C1A"/>
    <w:rsid w:val="00170612"/>
    <w:rsid w:val="00172C5C"/>
    <w:rsid w:val="00172F07"/>
    <w:rsid w:val="00175BC2"/>
    <w:rsid w:val="001823BB"/>
    <w:rsid w:val="00183743"/>
    <w:rsid w:val="00191613"/>
    <w:rsid w:val="0019524B"/>
    <w:rsid w:val="00195396"/>
    <w:rsid w:val="001959E8"/>
    <w:rsid w:val="001A08A3"/>
    <w:rsid w:val="001A2060"/>
    <w:rsid w:val="001A2454"/>
    <w:rsid w:val="001A5596"/>
    <w:rsid w:val="001A7ECA"/>
    <w:rsid w:val="001B21A8"/>
    <w:rsid w:val="001C2A07"/>
    <w:rsid w:val="001C72CA"/>
    <w:rsid w:val="001D256C"/>
    <w:rsid w:val="001D495E"/>
    <w:rsid w:val="001D4EA3"/>
    <w:rsid w:val="001E02DC"/>
    <w:rsid w:val="001E3832"/>
    <w:rsid w:val="001F5375"/>
    <w:rsid w:val="002049A6"/>
    <w:rsid w:val="00206540"/>
    <w:rsid w:val="002108BB"/>
    <w:rsid w:val="002114C3"/>
    <w:rsid w:val="0022542C"/>
    <w:rsid w:val="0022595C"/>
    <w:rsid w:val="00230087"/>
    <w:rsid w:val="00237AB2"/>
    <w:rsid w:val="002403C5"/>
    <w:rsid w:val="00240D0A"/>
    <w:rsid w:val="002435E8"/>
    <w:rsid w:val="0024756A"/>
    <w:rsid w:val="00247622"/>
    <w:rsid w:val="0024771F"/>
    <w:rsid w:val="00251B0E"/>
    <w:rsid w:val="00261D29"/>
    <w:rsid w:val="00262776"/>
    <w:rsid w:val="00264440"/>
    <w:rsid w:val="002726B9"/>
    <w:rsid w:val="0027475A"/>
    <w:rsid w:val="00274D66"/>
    <w:rsid w:val="00292CA3"/>
    <w:rsid w:val="00296278"/>
    <w:rsid w:val="00296935"/>
    <w:rsid w:val="00297A1E"/>
    <w:rsid w:val="002A4E7B"/>
    <w:rsid w:val="002A5D6D"/>
    <w:rsid w:val="002A6262"/>
    <w:rsid w:val="002B0155"/>
    <w:rsid w:val="002C0A9D"/>
    <w:rsid w:val="002C3337"/>
    <w:rsid w:val="002C689B"/>
    <w:rsid w:val="002D3D59"/>
    <w:rsid w:val="002D4751"/>
    <w:rsid w:val="002D4845"/>
    <w:rsid w:val="002E33BA"/>
    <w:rsid w:val="002E3E06"/>
    <w:rsid w:val="002E42C1"/>
    <w:rsid w:val="002F1A9B"/>
    <w:rsid w:val="002F249B"/>
    <w:rsid w:val="002F304D"/>
    <w:rsid w:val="0030517E"/>
    <w:rsid w:val="00314EDB"/>
    <w:rsid w:val="003248D1"/>
    <w:rsid w:val="00324C19"/>
    <w:rsid w:val="00332D9F"/>
    <w:rsid w:val="00336C18"/>
    <w:rsid w:val="00354D49"/>
    <w:rsid w:val="00356467"/>
    <w:rsid w:val="003567F3"/>
    <w:rsid w:val="00361388"/>
    <w:rsid w:val="003A69D0"/>
    <w:rsid w:val="003D32A5"/>
    <w:rsid w:val="003D3E2E"/>
    <w:rsid w:val="003E045F"/>
    <w:rsid w:val="003E340C"/>
    <w:rsid w:val="003E4940"/>
    <w:rsid w:val="003F30C5"/>
    <w:rsid w:val="003F5103"/>
    <w:rsid w:val="003F75EA"/>
    <w:rsid w:val="0040092B"/>
    <w:rsid w:val="00410D3B"/>
    <w:rsid w:val="00415E31"/>
    <w:rsid w:val="004178F8"/>
    <w:rsid w:val="004341E7"/>
    <w:rsid w:val="00452EC3"/>
    <w:rsid w:val="00453506"/>
    <w:rsid w:val="004600C8"/>
    <w:rsid w:val="004626C3"/>
    <w:rsid w:val="00463458"/>
    <w:rsid w:val="00464AB1"/>
    <w:rsid w:val="00464E39"/>
    <w:rsid w:val="004738AC"/>
    <w:rsid w:val="00474E83"/>
    <w:rsid w:val="00480B45"/>
    <w:rsid w:val="00487BFB"/>
    <w:rsid w:val="004A3A0B"/>
    <w:rsid w:val="004A3C80"/>
    <w:rsid w:val="004A4EFE"/>
    <w:rsid w:val="004B0F70"/>
    <w:rsid w:val="004B46B2"/>
    <w:rsid w:val="004B6F0E"/>
    <w:rsid w:val="004C25BA"/>
    <w:rsid w:val="004C5950"/>
    <w:rsid w:val="004D0AB5"/>
    <w:rsid w:val="004D2314"/>
    <w:rsid w:val="004D2616"/>
    <w:rsid w:val="004D667F"/>
    <w:rsid w:val="004E3C94"/>
    <w:rsid w:val="004E6DCF"/>
    <w:rsid w:val="004F05AB"/>
    <w:rsid w:val="004F6B20"/>
    <w:rsid w:val="005141FB"/>
    <w:rsid w:val="00521991"/>
    <w:rsid w:val="00526FE3"/>
    <w:rsid w:val="005310EA"/>
    <w:rsid w:val="00535ABA"/>
    <w:rsid w:val="00535E1B"/>
    <w:rsid w:val="005364B6"/>
    <w:rsid w:val="00543509"/>
    <w:rsid w:val="0054477F"/>
    <w:rsid w:val="0055075D"/>
    <w:rsid w:val="00556D1D"/>
    <w:rsid w:val="00563171"/>
    <w:rsid w:val="005656ED"/>
    <w:rsid w:val="00566CC4"/>
    <w:rsid w:val="00572EB1"/>
    <w:rsid w:val="0057489F"/>
    <w:rsid w:val="0057717D"/>
    <w:rsid w:val="00585625"/>
    <w:rsid w:val="00592BE6"/>
    <w:rsid w:val="005A1084"/>
    <w:rsid w:val="005A2EB0"/>
    <w:rsid w:val="005A755A"/>
    <w:rsid w:val="005A7A26"/>
    <w:rsid w:val="005B22AD"/>
    <w:rsid w:val="005B3A44"/>
    <w:rsid w:val="005B6871"/>
    <w:rsid w:val="005B72A2"/>
    <w:rsid w:val="005C206B"/>
    <w:rsid w:val="005C54F4"/>
    <w:rsid w:val="005C639F"/>
    <w:rsid w:val="005D07FC"/>
    <w:rsid w:val="005D12FB"/>
    <w:rsid w:val="005D3ADF"/>
    <w:rsid w:val="005D6FB3"/>
    <w:rsid w:val="005F5CC8"/>
    <w:rsid w:val="00600125"/>
    <w:rsid w:val="0061580C"/>
    <w:rsid w:val="00615E0F"/>
    <w:rsid w:val="00620381"/>
    <w:rsid w:val="00621685"/>
    <w:rsid w:val="00624018"/>
    <w:rsid w:val="0062768A"/>
    <w:rsid w:val="00636235"/>
    <w:rsid w:val="00637312"/>
    <w:rsid w:val="006376E1"/>
    <w:rsid w:val="00643037"/>
    <w:rsid w:val="0064686E"/>
    <w:rsid w:val="00647B29"/>
    <w:rsid w:val="00657702"/>
    <w:rsid w:val="0065785F"/>
    <w:rsid w:val="006619F4"/>
    <w:rsid w:val="00661E0C"/>
    <w:rsid w:val="00681924"/>
    <w:rsid w:val="00686168"/>
    <w:rsid w:val="006953CB"/>
    <w:rsid w:val="006A04E2"/>
    <w:rsid w:val="006C560B"/>
    <w:rsid w:val="006D0D4B"/>
    <w:rsid w:val="006D3E4D"/>
    <w:rsid w:val="006D6E44"/>
    <w:rsid w:val="00700318"/>
    <w:rsid w:val="007014CA"/>
    <w:rsid w:val="00712DA6"/>
    <w:rsid w:val="00715D13"/>
    <w:rsid w:val="00716BE3"/>
    <w:rsid w:val="0072232C"/>
    <w:rsid w:val="00725FD2"/>
    <w:rsid w:val="00726353"/>
    <w:rsid w:val="007266ED"/>
    <w:rsid w:val="00736A2C"/>
    <w:rsid w:val="00737967"/>
    <w:rsid w:val="007401C9"/>
    <w:rsid w:val="0074510C"/>
    <w:rsid w:val="00750231"/>
    <w:rsid w:val="0075036F"/>
    <w:rsid w:val="00751BD2"/>
    <w:rsid w:val="0075296B"/>
    <w:rsid w:val="00760AD5"/>
    <w:rsid w:val="00761C13"/>
    <w:rsid w:val="00766724"/>
    <w:rsid w:val="007670E2"/>
    <w:rsid w:val="00767F84"/>
    <w:rsid w:val="00783BC8"/>
    <w:rsid w:val="00792385"/>
    <w:rsid w:val="00792A1F"/>
    <w:rsid w:val="007941A3"/>
    <w:rsid w:val="00795663"/>
    <w:rsid w:val="00797DE2"/>
    <w:rsid w:val="007A1EAD"/>
    <w:rsid w:val="007B0ECE"/>
    <w:rsid w:val="007B12A7"/>
    <w:rsid w:val="007B1596"/>
    <w:rsid w:val="007B1B78"/>
    <w:rsid w:val="007B1C08"/>
    <w:rsid w:val="007B5075"/>
    <w:rsid w:val="007C19B3"/>
    <w:rsid w:val="007C526A"/>
    <w:rsid w:val="007C7CF7"/>
    <w:rsid w:val="007D3AEB"/>
    <w:rsid w:val="007E0676"/>
    <w:rsid w:val="007E2494"/>
    <w:rsid w:val="007E2BEF"/>
    <w:rsid w:val="007E2D66"/>
    <w:rsid w:val="007E5DEC"/>
    <w:rsid w:val="007F4AD3"/>
    <w:rsid w:val="008002DB"/>
    <w:rsid w:val="0082385F"/>
    <w:rsid w:val="00824990"/>
    <w:rsid w:val="00834426"/>
    <w:rsid w:val="00851B30"/>
    <w:rsid w:val="00853D3F"/>
    <w:rsid w:val="00854013"/>
    <w:rsid w:val="0086437D"/>
    <w:rsid w:val="00865695"/>
    <w:rsid w:val="0086791C"/>
    <w:rsid w:val="008706BA"/>
    <w:rsid w:val="00875BCC"/>
    <w:rsid w:val="0087746B"/>
    <w:rsid w:val="00896CBA"/>
    <w:rsid w:val="008A5666"/>
    <w:rsid w:val="008B170E"/>
    <w:rsid w:val="008B1BD6"/>
    <w:rsid w:val="008B7221"/>
    <w:rsid w:val="008D333F"/>
    <w:rsid w:val="008D595A"/>
    <w:rsid w:val="008D5BC0"/>
    <w:rsid w:val="008D75F2"/>
    <w:rsid w:val="008E7C8D"/>
    <w:rsid w:val="008F3E7C"/>
    <w:rsid w:val="00902D86"/>
    <w:rsid w:val="00902E38"/>
    <w:rsid w:val="00913412"/>
    <w:rsid w:val="0092193C"/>
    <w:rsid w:val="00925BBA"/>
    <w:rsid w:val="00925EF6"/>
    <w:rsid w:val="00930F00"/>
    <w:rsid w:val="00935FCE"/>
    <w:rsid w:val="009370ED"/>
    <w:rsid w:val="00940C6E"/>
    <w:rsid w:val="0094169B"/>
    <w:rsid w:val="00942959"/>
    <w:rsid w:val="009436C5"/>
    <w:rsid w:val="00943766"/>
    <w:rsid w:val="00953A58"/>
    <w:rsid w:val="00964469"/>
    <w:rsid w:val="009709FB"/>
    <w:rsid w:val="00973077"/>
    <w:rsid w:val="00977C15"/>
    <w:rsid w:val="00987F58"/>
    <w:rsid w:val="009932C6"/>
    <w:rsid w:val="00996D6A"/>
    <w:rsid w:val="009A33E5"/>
    <w:rsid w:val="009A354E"/>
    <w:rsid w:val="009A73FC"/>
    <w:rsid w:val="009A7E68"/>
    <w:rsid w:val="009B0ECF"/>
    <w:rsid w:val="009B63DA"/>
    <w:rsid w:val="009C198C"/>
    <w:rsid w:val="009C4D8B"/>
    <w:rsid w:val="009C6E49"/>
    <w:rsid w:val="009D097A"/>
    <w:rsid w:val="009D0AFD"/>
    <w:rsid w:val="009D1BA8"/>
    <w:rsid w:val="009D431A"/>
    <w:rsid w:val="009D58A5"/>
    <w:rsid w:val="009E2C0F"/>
    <w:rsid w:val="009E5E3D"/>
    <w:rsid w:val="009F25D3"/>
    <w:rsid w:val="00A002DA"/>
    <w:rsid w:val="00A179D6"/>
    <w:rsid w:val="00A26760"/>
    <w:rsid w:val="00A2728B"/>
    <w:rsid w:val="00A30209"/>
    <w:rsid w:val="00A319F9"/>
    <w:rsid w:val="00A32908"/>
    <w:rsid w:val="00A3424A"/>
    <w:rsid w:val="00A366AD"/>
    <w:rsid w:val="00A47788"/>
    <w:rsid w:val="00A6119F"/>
    <w:rsid w:val="00A6357C"/>
    <w:rsid w:val="00A76429"/>
    <w:rsid w:val="00A7779C"/>
    <w:rsid w:val="00A81F94"/>
    <w:rsid w:val="00A8462E"/>
    <w:rsid w:val="00A87951"/>
    <w:rsid w:val="00A8797E"/>
    <w:rsid w:val="00A9087F"/>
    <w:rsid w:val="00A944E6"/>
    <w:rsid w:val="00A964DD"/>
    <w:rsid w:val="00AA21B9"/>
    <w:rsid w:val="00AA538D"/>
    <w:rsid w:val="00AB0020"/>
    <w:rsid w:val="00AB1B1C"/>
    <w:rsid w:val="00AB3300"/>
    <w:rsid w:val="00AB3B94"/>
    <w:rsid w:val="00AC18EA"/>
    <w:rsid w:val="00AD497A"/>
    <w:rsid w:val="00AD55E1"/>
    <w:rsid w:val="00AD79D3"/>
    <w:rsid w:val="00AD7D28"/>
    <w:rsid w:val="00AE598B"/>
    <w:rsid w:val="00AE6BB8"/>
    <w:rsid w:val="00AE74D8"/>
    <w:rsid w:val="00AE7843"/>
    <w:rsid w:val="00AE78CF"/>
    <w:rsid w:val="00B013FD"/>
    <w:rsid w:val="00B03245"/>
    <w:rsid w:val="00B12222"/>
    <w:rsid w:val="00B23547"/>
    <w:rsid w:val="00B308FC"/>
    <w:rsid w:val="00B4010E"/>
    <w:rsid w:val="00B410D6"/>
    <w:rsid w:val="00B460A2"/>
    <w:rsid w:val="00B46815"/>
    <w:rsid w:val="00B50B3F"/>
    <w:rsid w:val="00B52ADE"/>
    <w:rsid w:val="00B65A73"/>
    <w:rsid w:val="00B66D35"/>
    <w:rsid w:val="00B675ED"/>
    <w:rsid w:val="00B72674"/>
    <w:rsid w:val="00B73AA1"/>
    <w:rsid w:val="00B7482E"/>
    <w:rsid w:val="00B74A9F"/>
    <w:rsid w:val="00B83714"/>
    <w:rsid w:val="00B86714"/>
    <w:rsid w:val="00B926D3"/>
    <w:rsid w:val="00B94855"/>
    <w:rsid w:val="00B9726D"/>
    <w:rsid w:val="00BA0D5E"/>
    <w:rsid w:val="00BB62B5"/>
    <w:rsid w:val="00BC202E"/>
    <w:rsid w:val="00BD02B8"/>
    <w:rsid w:val="00BD306C"/>
    <w:rsid w:val="00C02CC1"/>
    <w:rsid w:val="00C02F8B"/>
    <w:rsid w:val="00C069E7"/>
    <w:rsid w:val="00C11684"/>
    <w:rsid w:val="00C25B49"/>
    <w:rsid w:val="00C30F65"/>
    <w:rsid w:val="00C40B41"/>
    <w:rsid w:val="00C6350D"/>
    <w:rsid w:val="00C65245"/>
    <w:rsid w:val="00C743B6"/>
    <w:rsid w:val="00C756C7"/>
    <w:rsid w:val="00C822F4"/>
    <w:rsid w:val="00C866BD"/>
    <w:rsid w:val="00C86F95"/>
    <w:rsid w:val="00C956C6"/>
    <w:rsid w:val="00C97B30"/>
    <w:rsid w:val="00CA01CE"/>
    <w:rsid w:val="00CA45BA"/>
    <w:rsid w:val="00CC5D19"/>
    <w:rsid w:val="00CD337F"/>
    <w:rsid w:val="00CE2EC3"/>
    <w:rsid w:val="00CE2F59"/>
    <w:rsid w:val="00CE7D8A"/>
    <w:rsid w:val="00CF5E15"/>
    <w:rsid w:val="00CF6F6D"/>
    <w:rsid w:val="00D03A36"/>
    <w:rsid w:val="00D1522A"/>
    <w:rsid w:val="00D21877"/>
    <w:rsid w:val="00D24F82"/>
    <w:rsid w:val="00D27269"/>
    <w:rsid w:val="00D27270"/>
    <w:rsid w:val="00D44A8C"/>
    <w:rsid w:val="00D576B3"/>
    <w:rsid w:val="00D57D70"/>
    <w:rsid w:val="00D57F7D"/>
    <w:rsid w:val="00D65A2E"/>
    <w:rsid w:val="00D66AC0"/>
    <w:rsid w:val="00D748F7"/>
    <w:rsid w:val="00D822A6"/>
    <w:rsid w:val="00D8588C"/>
    <w:rsid w:val="00D858F8"/>
    <w:rsid w:val="00DA0077"/>
    <w:rsid w:val="00DA3E5F"/>
    <w:rsid w:val="00DA3F1C"/>
    <w:rsid w:val="00DB372C"/>
    <w:rsid w:val="00DB4C8D"/>
    <w:rsid w:val="00DB7653"/>
    <w:rsid w:val="00DC1929"/>
    <w:rsid w:val="00DC6431"/>
    <w:rsid w:val="00DE3340"/>
    <w:rsid w:val="00DF21DC"/>
    <w:rsid w:val="00E03494"/>
    <w:rsid w:val="00E10503"/>
    <w:rsid w:val="00E25149"/>
    <w:rsid w:val="00E3547E"/>
    <w:rsid w:val="00E40747"/>
    <w:rsid w:val="00E41ED9"/>
    <w:rsid w:val="00E61F05"/>
    <w:rsid w:val="00E66820"/>
    <w:rsid w:val="00E70E15"/>
    <w:rsid w:val="00E7474E"/>
    <w:rsid w:val="00E7770D"/>
    <w:rsid w:val="00E843A1"/>
    <w:rsid w:val="00E853E4"/>
    <w:rsid w:val="00E864F3"/>
    <w:rsid w:val="00E915C9"/>
    <w:rsid w:val="00E93F94"/>
    <w:rsid w:val="00E96C7B"/>
    <w:rsid w:val="00EA1831"/>
    <w:rsid w:val="00EA7507"/>
    <w:rsid w:val="00EB0CB4"/>
    <w:rsid w:val="00EB0F65"/>
    <w:rsid w:val="00EB6AD8"/>
    <w:rsid w:val="00EC1661"/>
    <w:rsid w:val="00ED02AD"/>
    <w:rsid w:val="00ED280A"/>
    <w:rsid w:val="00ED4332"/>
    <w:rsid w:val="00EE2E66"/>
    <w:rsid w:val="00EE4AA1"/>
    <w:rsid w:val="00EE7504"/>
    <w:rsid w:val="00EF4174"/>
    <w:rsid w:val="00F0734E"/>
    <w:rsid w:val="00F100CF"/>
    <w:rsid w:val="00F13F9E"/>
    <w:rsid w:val="00F15C16"/>
    <w:rsid w:val="00F16E6E"/>
    <w:rsid w:val="00F20FFD"/>
    <w:rsid w:val="00F226AF"/>
    <w:rsid w:val="00F24C7D"/>
    <w:rsid w:val="00F3630F"/>
    <w:rsid w:val="00F4496A"/>
    <w:rsid w:val="00F4627B"/>
    <w:rsid w:val="00F802EC"/>
    <w:rsid w:val="00F8733A"/>
    <w:rsid w:val="00F87D00"/>
    <w:rsid w:val="00F962D8"/>
    <w:rsid w:val="00F97A6E"/>
    <w:rsid w:val="00FA271C"/>
    <w:rsid w:val="00FA7DBB"/>
    <w:rsid w:val="00FB3DB3"/>
    <w:rsid w:val="00FD0919"/>
    <w:rsid w:val="00FD0F20"/>
    <w:rsid w:val="00FD23AE"/>
    <w:rsid w:val="00FD39FF"/>
    <w:rsid w:val="00FD6BB8"/>
    <w:rsid w:val="00FE0AEC"/>
    <w:rsid w:val="00FE276A"/>
    <w:rsid w:val="00FE47D6"/>
    <w:rsid w:val="00FE5B46"/>
    <w:rsid w:val="00FE6089"/>
    <w:rsid w:val="00FF1EEC"/>
    <w:rsid w:val="00FF2285"/>
    <w:rsid w:val="00FF283D"/>
    <w:rsid w:val="00FF34CD"/>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9BEEAA6"/>
  <w15:chartTrackingRefBased/>
  <w15:docId w15:val="{88B00F5E-4EA7-4E7C-8E50-F96E770D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E7C"/>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9C198C"/>
    <w:pPr>
      <w:tabs>
        <w:tab w:val="center" w:pos="4320"/>
        <w:tab w:val="right" w:pos="8640"/>
      </w:tabs>
    </w:pPr>
  </w:style>
  <w:style w:type="paragraph" w:styleId="Footer">
    <w:name w:val="footer"/>
    <w:basedOn w:val="Normal"/>
    <w:link w:val="FooterChar"/>
    <w:uiPriority w:val="99"/>
    <w:rsid w:val="009C198C"/>
    <w:pPr>
      <w:tabs>
        <w:tab w:val="center" w:pos="4320"/>
        <w:tab w:val="right" w:pos="8640"/>
      </w:tabs>
    </w:pPr>
  </w:style>
  <w:style w:type="paragraph" w:styleId="BalloonText">
    <w:name w:val="Balloon Text"/>
    <w:basedOn w:val="Normal"/>
    <w:semiHidden/>
    <w:rsid w:val="007C7CF7"/>
    <w:rPr>
      <w:rFonts w:ascii="Tahoma" w:hAnsi="Tahoma" w:cs="Tahoma"/>
      <w:sz w:val="16"/>
      <w:szCs w:val="16"/>
    </w:rPr>
  </w:style>
  <w:style w:type="table" w:styleId="TableGrid">
    <w:name w:val="Table Grid"/>
    <w:basedOn w:val="TableNormal"/>
    <w:rsid w:val="00EB0F6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600C8"/>
    <w:rPr>
      <w:color w:val="0000FF"/>
      <w:u w:val="single"/>
    </w:rPr>
  </w:style>
  <w:style w:type="character" w:styleId="FollowedHyperlink">
    <w:name w:val="FollowedHyperlink"/>
    <w:rsid w:val="00E61F05"/>
    <w:rPr>
      <w:color w:val="800080"/>
      <w:u w:val="single"/>
    </w:rPr>
  </w:style>
  <w:style w:type="paragraph" w:styleId="ListParagraph">
    <w:name w:val="List Paragraph"/>
    <w:basedOn w:val="Normal"/>
    <w:uiPriority w:val="34"/>
    <w:qFormat/>
    <w:rsid w:val="00930F00"/>
    <w:pPr>
      <w:ind w:left="720"/>
    </w:pPr>
  </w:style>
  <w:style w:type="paragraph" w:styleId="EndnoteText">
    <w:name w:val="endnote text"/>
    <w:basedOn w:val="Normal"/>
    <w:link w:val="EndnoteTextChar"/>
    <w:rsid w:val="00761C13"/>
    <w:rPr>
      <w:sz w:val="20"/>
      <w:szCs w:val="20"/>
    </w:rPr>
  </w:style>
  <w:style w:type="character" w:customStyle="1" w:styleId="EndnoteTextChar">
    <w:name w:val="Endnote Text Char"/>
    <w:link w:val="EndnoteText"/>
    <w:rsid w:val="00761C13"/>
    <w:rPr>
      <w:rFonts w:ascii="Courier" w:hAnsi="Courier"/>
    </w:rPr>
  </w:style>
  <w:style w:type="character" w:styleId="EndnoteReference">
    <w:name w:val="endnote reference"/>
    <w:rsid w:val="00761C13"/>
    <w:rPr>
      <w:vertAlign w:val="superscript"/>
    </w:rPr>
  </w:style>
  <w:style w:type="character" w:styleId="CommentReference">
    <w:name w:val="annotation reference"/>
    <w:rsid w:val="00BD306C"/>
    <w:rPr>
      <w:sz w:val="16"/>
      <w:szCs w:val="16"/>
    </w:rPr>
  </w:style>
  <w:style w:type="paragraph" w:styleId="CommentText">
    <w:name w:val="annotation text"/>
    <w:basedOn w:val="Normal"/>
    <w:link w:val="CommentTextChar"/>
    <w:rsid w:val="00BD306C"/>
    <w:rPr>
      <w:sz w:val="20"/>
      <w:szCs w:val="20"/>
    </w:rPr>
  </w:style>
  <w:style w:type="character" w:customStyle="1" w:styleId="CommentTextChar">
    <w:name w:val="Comment Text Char"/>
    <w:link w:val="CommentText"/>
    <w:rsid w:val="00BD306C"/>
    <w:rPr>
      <w:rFonts w:ascii="Courier" w:hAnsi="Courier"/>
    </w:rPr>
  </w:style>
  <w:style w:type="character" w:customStyle="1" w:styleId="FooterChar">
    <w:name w:val="Footer Char"/>
    <w:link w:val="Footer"/>
    <w:uiPriority w:val="99"/>
    <w:rsid w:val="00B66D35"/>
    <w:rPr>
      <w:rFonts w:ascii="Arial" w:hAnsi="Arial"/>
      <w:sz w:val="22"/>
      <w:szCs w:val="24"/>
    </w:rPr>
  </w:style>
  <w:style w:type="paragraph" w:styleId="CommentSubject">
    <w:name w:val="annotation subject"/>
    <w:basedOn w:val="CommentText"/>
    <w:next w:val="CommentText"/>
    <w:link w:val="CommentSubjectChar"/>
    <w:rsid w:val="003E045F"/>
    <w:rPr>
      <w:b/>
      <w:bCs/>
    </w:rPr>
  </w:style>
  <w:style w:type="character" w:customStyle="1" w:styleId="CommentSubjectChar">
    <w:name w:val="Comment Subject Char"/>
    <w:basedOn w:val="CommentTextChar"/>
    <w:link w:val="CommentSubject"/>
    <w:rsid w:val="003E045F"/>
    <w:rPr>
      <w:rFonts w:ascii="Arial" w:hAnsi="Arial"/>
      <w:b/>
      <w:bCs/>
    </w:rPr>
  </w:style>
  <w:style w:type="paragraph" w:styleId="Revision">
    <w:name w:val="Revision"/>
    <w:hidden/>
    <w:uiPriority w:val="99"/>
    <w:semiHidden/>
    <w:rsid w:val="003E045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543294">
      <w:bodyDiv w:val="1"/>
      <w:marLeft w:val="0"/>
      <w:marRight w:val="0"/>
      <w:marTop w:val="0"/>
      <w:marBottom w:val="0"/>
      <w:divBdr>
        <w:top w:val="none" w:sz="0" w:space="0" w:color="auto"/>
        <w:left w:val="none" w:sz="0" w:space="0" w:color="auto"/>
        <w:bottom w:val="none" w:sz="0" w:space="0" w:color="auto"/>
        <w:right w:val="none" w:sz="0" w:space="0" w:color="auto"/>
      </w:divBdr>
    </w:div>
    <w:div w:id="121026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FI-Publi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0DC48-AF94-4ACE-9DF1-3EFBE306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9648</CharactersWithSpaces>
  <SharedDoc>false</SharedDoc>
  <HLinks>
    <vt:vector size="6" baseType="variant">
      <vt:variant>
        <vt:i4>1507335</vt:i4>
      </vt:variant>
      <vt:variant>
        <vt:i4>0</vt:i4>
      </vt:variant>
      <vt:variant>
        <vt:i4>0</vt:i4>
      </vt:variant>
      <vt:variant>
        <vt:i4>5</vt:i4>
      </vt:variant>
      <vt:variant>
        <vt:lpwstr>https://www.rrb.gov/sites/default/files/2017-06/PIA-FI-Public.pdf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cp:lastModifiedBy>Foster, Brian D.</cp:lastModifiedBy>
  <cp:revision>3</cp:revision>
  <cp:lastPrinted>2018-04-06T21:28:00Z</cp:lastPrinted>
  <dcterms:created xsi:type="dcterms:W3CDTF">2021-09-24T15:29:00Z</dcterms:created>
  <dcterms:modified xsi:type="dcterms:W3CDTF">2021-09-24T15:33:00Z</dcterms:modified>
</cp:coreProperties>
</file>