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5D4" w:rsidP="00B365D4" w:rsidRDefault="00B365D4" w14:paraId="4A148B7F" w14:textId="77777777">
      <w:pPr>
        <w:jc w:val="center"/>
        <w:rPr>
          <w:rFonts w:ascii="Times New Roman" w:hAnsi="Times New Roman"/>
          <w:b/>
          <w:szCs w:val="24"/>
        </w:rPr>
      </w:pPr>
      <w:r>
        <w:rPr>
          <w:rFonts w:ascii="Times New Roman" w:hAnsi="Times New Roman"/>
          <w:b/>
          <w:szCs w:val="24"/>
        </w:rPr>
        <w:t>SUPPORTING STATEMENT</w:t>
      </w:r>
    </w:p>
    <w:p w:rsidR="00B365D4" w:rsidP="00B365D4" w:rsidRDefault="00B365D4" w14:paraId="4A148B80" w14:textId="77777777">
      <w:pPr>
        <w:jc w:val="center"/>
        <w:rPr>
          <w:rFonts w:ascii="Times New Roman" w:hAnsi="Times New Roman"/>
          <w:b/>
          <w:u w:val="single"/>
        </w:rPr>
      </w:pPr>
    </w:p>
    <w:p w:rsidR="006F02FA" w:rsidP="00B365D4" w:rsidRDefault="00B365D4" w14:paraId="4A148B81" w14:textId="77777777">
      <w:pPr>
        <w:jc w:val="center"/>
        <w:rPr>
          <w:rFonts w:ascii="Times New Roman" w:hAnsi="Times New Roman"/>
          <w:b/>
          <w:szCs w:val="24"/>
        </w:rPr>
      </w:pPr>
      <w:r>
        <w:rPr>
          <w:rFonts w:ascii="Times New Roman" w:hAnsi="Times New Roman"/>
          <w:b/>
          <w:szCs w:val="24"/>
        </w:rPr>
        <w:t xml:space="preserve">FOR THE PAPERWORK REDUCTION ACT </w:t>
      </w:r>
      <w:r w:rsidR="006F02FA">
        <w:rPr>
          <w:rFonts w:ascii="Times New Roman" w:hAnsi="Times New Roman"/>
          <w:b/>
          <w:szCs w:val="24"/>
        </w:rPr>
        <w:t xml:space="preserve">INFORMATION COLLECTION </w:t>
      </w:r>
      <w:r>
        <w:rPr>
          <w:rFonts w:ascii="Times New Roman" w:hAnsi="Times New Roman"/>
          <w:b/>
          <w:szCs w:val="24"/>
        </w:rPr>
        <w:t xml:space="preserve">SUBMISSION </w:t>
      </w:r>
    </w:p>
    <w:p w:rsidR="006F02FA" w:rsidP="00B365D4" w:rsidRDefault="006F02FA" w14:paraId="4A148B82" w14:textId="77777777">
      <w:pPr>
        <w:jc w:val="center"/>
        <w:rPr>
          <w:rFonts w:ascii="Times New Roman" w:hAnsi="Times New Roman"/>
          <w:b/>
          <w:szCs w:val="24"/>
        </w:rPr>
      </w:pPr>
    </w:p>
    <w:p w:rsidR="009F3B27" w:rsidP="00B365D4" w:rsidRDefault="009F3B27" w14:paraId="4A148B83" w14:textId="7D6EAF6E">
      <w:pPr>
        <w:jc w:val="center"/>
        <w:rPr>
          <w:rFonts w:ascii="Times New Roman" w:hAnsi="Times New Roman"/>
          <w:b/>
          <w:szCs w:val="24"/>
        </w:rPr>
      </w:pPr>
      <w:r>
        <w:rPr>
          <w:rFonts w:ascii="Times New Roman" w:hAnsi="Times New Roman"/>
          <w:b/>
          <w:szCs w:val="24"/>
        </w:rPr>
        <w:t>C</w:t>
      </w:r>
      <w:r w:rsidR="00DF0DCF">
        <w:rPr>
          <w:rFonts w:ascii="Times New Roman" w:hAnsi="Times New Roman"/>
          <w:b/>
          <w:szCs w:val="24"/>
        </w:rPr>
        <w:t>ontract Standard for Contractor Workforce Inclusion</w:t>
      </w:r>
    </w:p>
    <w:p w:rsidR="00B365D4" w:rsidP="00B365D4" w:rsidRDefault="00503EAB" w14:paraId="4A148B84" w14:textId="77777777">
      <w:pPr>
        <w:jc w:val="center"/>
        <w:rPr>
          <w:rFonts w:ascii="Times New Roman" w:hAnsi="Times New Roman"/>
          <w:b/>
          <w:szCs w:val="24"/>
        </w:rPr>
      </w:pPr>
      <w:r>
        <w:rPr>
          <w:rFonts w:ascii="Times New Roman" w:hAnsi="Times New Roman"/>
          <w:b/>
          <w:szCs w:val="24"/>
        </w:rPr>
        <w:t>OMB Control No. 32</w:t>
      </w:r>
      <w:r w:rsidR="001E3447">
        <w:rPr>
          <w:rFonts w:ascii="Times New Roman" w:hAnsi="Times New Roman"/>
          <w:b/>
          <w:szCs w:val="24"/>
        </w:rPr>
        <w:t>3</w:t>
      </w:r>
      <w:r>
        <w:rPr>
          <w:rFonts w:ascii="Times New Roman" w:hAnsi="Times New Roman"/>
          <w:b/>
          <w:szCs w:val="24"/>
        </w:rPr>
        <w:t>5-0725</w:t>
      </w:r>
    </w:p>
    <w:p w:rsidR="00B365D4" w:rsidP="00B365D4" w:rsidRDefault="00B365D4" w14:paraId="4A148B85" w14:textId="77777777">
      <w:pPr>
        <w:jc w:val="center"/>
        <w:rPr>
          <w:rFonts w:ascii="Times New Roman" w:hAnsi="Times New Roman"/>
          <w:b/>
          <w:szCs w:val="24"/>
        </w:rPr>
      </w:pPr>
    </w:p>
    <w:p w:rsidRPr="00DC6425" w:rsidR="00B365D4" w:rsidP="00B365D4" w:rsidRDefault="00B365D4" w14:paraId="4A148B86" w14:textId="77777777">
      <w:pPr>
        <w:jc w:val="center"/>
        <w:rPr>
          <w:rFonts w:ascii="Times New Roman" w:hAnsi="Times New Roman"/>
          <w:b/>
          <w:szCs w:val="24"/>
        </w:rPr>
      </w:pPr>
    </w:p>
    <w:p w:rsidRPr="009F3B27" w:rsidR="00B365D4" w:rsidP="009F3B27" w:rsidRDefault="009F3B27" w14:paraId="4A148B87" w14:textId="77777777">
      <w:pPr>
        <w:pStyle w:val="ListParagraph"/>
        <w:numPr>
          <w:ilvl w:val="0"/>
          <w:numId w:val="1"/>
        </w:numPr>
        <w:rPr>
          <w:rFonts w:ascii="Times New Roman" w:hAnsi="Times New Roman"/>
          <w:b/>
        </w:rPr>
      </w:pPr>
      <w:r>
        <w:rPr>
          <w:rFonts w:ascii="Times New Roman" w:hAnsi="Times New Roman"/>
          <w:b/>
        </w:rPr>
        <w:t>JUSTIFICATION</w:t>
      </w:r>
    </w:p>
    <w:p w:rsidR="00B365D4" w:rsidP="00B365D4" w:rsidRDefault="00B365D4" w14:paraId="4A148B88" w14:textId="77777777">
      <w:pPr>
        <w:rPr>
          <w:rFonts w:ascii="Times New Roman" w:hAnsi="Times New Roman"/>
          <w:b/>
        </w:rPr>
      </w:pPr>
    </w:p>
    <w:p w:rsidR="00B365D4" w:rsidP="00B365D4" w:rsidRDefault="00B365D4" w14:paraId="4A148B89" w14:textId="77777777">
      <w:pPr>
        <w:ind w:firstLine="720"/>
        <w:rPr>
          <w:rFonts w:ascii="Times New Roman" w:hAnsi="Times New Roman"/>
          <w:b/>
        </w:rPr>
      </w:pPr>
      <w:r>
        <w:rPr>
          <w:rFonts w:ascii="Times New Roman" w:hAnsi="Times New Roman"/>
          <w:b/>
        </w:rPr>
        <w:t>1.</w:t>
      </w:r>
      <w:r>
        <w:rPr>
          <w:rFonts w:ascii="Times New Roman" w:hAnsi="Times New Roman"/>
          <w:b/>
        </w:rPr>
        <w:tab/>
      </w:r>
      <w:r w:rsidRPr="00DF0DCF" w:rsidR="00F36CE4">
        <w:rPr>
          <w:rFonts w:ascii="Times New Roman" w:hAnsi="Times New Roman"/>
          <w:b/>
          <w:u w:val="single"/>
        </w:rPr>
        <w:t>Legal and Administrative Requirements</w:t>
      </w:r>
    </w:p>
    <w:p w:rsidRPr="008415C7" w:rsidR="00B365D4" w:rsidP="00B365D4" w:rsidRDefault="00B365D4" w14:paraId="4A148B8A" w14:textId="77777777">
      <w:pPr>
        <w:pStyle w:val="FootnoteText"/>
        <w:spacing w:after="120"/>
        <w:ind w:hanging="1440"/>
        <w:rPr>
          <w:rFonts w:ascii="Times New Roman" w:hAnsi="Times New Roman"/>
          <w:sz w:val="24"/>
          <w:szCs w:val="24"/>
        </w:rPr>
      </w:pPr>
      <w:r>
        <w:rPr>
          <w:rFonts w:ascii="Times New Roman" w:hAnsi="Times New Roman"/>
        </w:rPr>
        <w:tab/>
      </w:r>
      <w:r>
        <w:rPr>
          <w:rFonts w:ascii="Times New Roman" w:hAnsi="Times New Roman"/>
        </w:rPr>
        <w:tab/>
      </w:r>
    </w:p>
    <w:p w:rsidR="00CD30EA" w:rsidP="006F02FA" w:rsidRDefault="004D0B26" w14:paraId="4A148B8B" w14:textId="77777777">
      <w:pPr>
        <w:ind w:firstLine="720"/>
        <w:rPr>
          <w:szCs w:val="24"/>
        </w:rPr>
      </w:pPr>
      <w:r w:rsidRPr="0066421B">
        <w:rPr>
          <w:szCs w:val="24"/>
        </w:rPr>
        <w:t>Section 342</w:t>
      </w:r>
      <w:r>
        <w:rPr>
          <w:szCs w:val="24"/>
        </w:rPr>
        <w:t>(a)(1)(A)</w:t>
      </w:r>
      <w:r w:rsidR="0066076F">
        <w:rPr>
          <w:szCs w:val="24"/>
        </w:rPr>
        <w:t xml:space="preserve"> of the Dodd-Frank Wall Street Reform and Consumer Protection Act (the Dodd-Frank Act) </w:t>
      </w:r>
      <w:r w:rsidRPr="0066421B">
        <w:rPr>
          <w:szCs w:val="24"/>
        </w:rPr>
        <w:t>provides for certain agencies, including the Securities and Exchange Commission</w:t>
      </w:r>
      <w:r>
        <w:rPr>
          <w:szCs w:val="24"/>
        </w:rPr>
        <w:t xml:space="preserve"> (the Commission)</w:t>
      </w:r>
      <w:r w:rsidRPr="0066421B">
        <w:rPr>
          <w:szCs w:val="24"/>
        </w:rPr>
        <w:t>, to establish an Office of</w:t>
      </w:r>
      <w:r w:rsidR="003D7FDA">
        <w:rPr>
          <w:szCs w:val="24"/>
        </w:rPr>
        <w:t xml:space="preserve"> Minority and Women Inclusion (OMWI</w:t>
      </w:r>
      <w:r w:rsidRPr="0066421B">
        <w:rPr>
          <w:szCs w:val="24"/>
        </w:rPr>
        <w:t>)</w:t>
      </w:r>
      <w:r>
        <w:rPr>
          <w:szCs w:val="24"/>
        </w:rPr>
        <w:t>.</w:t>
      </w:r>
      <w:r>
        <w:rPr>
          <w:rStyle w:val="FootnoteReference"/>
          <w:szCs w:val="24"/>
        </w:rPr>
        <w:footnoteReference w:id="1"/>
      </w:r>
      <w:r>
        <w:rPr>
          <w:szCs w:val="24"/>
        </w:rPr>
        <w:t xml:space="preserve">  </w:t>
      </w:r>
      <w:r w:rsidRPr="0066421B">
        <w:rPr>
          <w:szCs w:val="24"/>
        </w:rPr>
        <w:t>Section 342(c)(2)</w:t>
      </w:r>
      <w:r w:rsidRPr="00D45A60">
        <w:rPr>
          <w:szCs w:val="24"/>
        </w:rPr>
        <w:t xml:space="preserve"> </w:t>
      </w:r>
      <w:r w:rsidR="0066076F">
        <w:rPr>
          <w:szCs w:val="24"/>
        </w:rPr>
        <w:t xml:space="preserve">of the Dodd-Frank Act </w:t>
      </w:r>
      <w:r w:rsidR="0064771A">
        <w:rPr>
          <w:szCs w:val="24"/>
        </w:rPr>
        <w:t>requires that the OMWI Director include in the procedures for evaluating contract proposals and hiring service providers a component that gives consideration to the diversity of an applicant, to the extent consistent with applicable laws.  In addition, section 342(c)(2) requires that</w:t>
      </w:r>
      <w:r w:rsidR="006F02FA">
        <w:rPr>
          <w:szCs w:val="24"/>
        </w:rPr>
        <w:t xml:space="preserve"> the</w:t>
      </w:r>
      <w:r w:rsidR="0064771A">
        <w:rPr>
          <w:szCs w:val="24"/>
        </w:rPr>
        <w:t xml:space="preserve"> </w:t>
      </w:r>
      <w:r w:rsidR="0066076F">
        <w:rPr>
          <w:szCs w:val="24"/>
        </w:rPr>
        <w:t xml:space="preserve">contracting </w:t>
      </w:r>
      <w:r w:rsidRPr="0066421B" w:rsidR="0064771A">
        <w:rPr>
          <w:szCs w:val="24"/>
        </w:rPr>
        <w:t xml:space="preserve">procedures include a written statement, in </w:t>
      </w:r>
      <w:r w:rsidR="0064771A">
        <w:rPr>
          <w:szCs w:val="24"/>
        </w:rPr>
        <w:t>the</w:t>
      </w:r>
      <w:r w:rsidRPr="0066421B" w:rsidR="0064771A">
        <w:rPr>
          <w:szCs w:val="24"/>
        </w:rPr>
        <w:t xml:space="preserve"> form and content </w:t>
      </w:r>
      <w:r w:rsidR="0064771A">
        <w:rPr>
          <w:szCs w:val="24"/>
        </w:rPr>
        <w:t xml:space="preserve">prescribed by </w:t>
      </w:r>
      <w:r w:rsidRPr="0066421B" w:rsidR="0064771A">
        <w:rPr>
          <w:szCs w:val="24"/>
        </w:rPr>
        <w:t>the OMWI Director,</w:t>
      </w:r>
      <w:r w:rsidR="0064771A">
        <w:rPr>
          <w:szCs w:val="24"/>
        </w:rPr>
        <w:t xml:space="preserve"> </w:t>
      </w:r>
      <w:r w:rsidRPr="0066421B" w:rsidR="0064771A">
        <w:rPr>
          <w:szCs w:val="24"/>
        </w:rPr>
        <w:t>that a contractor shall ensure, to the maximum extent possible, the fair inclusion of women and minorities in the workforce of the contractor and, as applicable, subcontractors.</w:t>
      </w:r>
      <w:r w:rsidR="0064771A">
        <w:rPr>
          <w:szCs w:val="24"/>
        </w:rPr>
        <w:t xml:space="preserve">  </w:t>
      </w:r>
    </w:p>
    <w:p w:rsidR="006F02FA" w:rsidP="006F02FA" w:rsidRDefault="006F02FA" w14:paraId="4A148B8C" w14:textId="77777777">
      <w:pPr>
        <w:ind w:firstLine="720"/>
        <w:rPr>
          <w:szCs w:val="24"/>
        </w:rPr>
      </w:pPr>
    </w:p>
    <w:p w:rsidR="006F02FA" w:rsidP="006F02FA" w:rsidRDefault="004D0B26" w14:paraId="4A148B8D" w14:textId="77777777">
      <w:pPr>
        <w:ind w:firstLine="720"/>
        <w:rPr>
          <w:szCs w:val="24"/>
        </w:rPr>
      </w:pPr>
      <w:r>
        <w:rPr>
          <w:szCs w:val="24"/>
        </w:rPr>
        <w:t>Section 342(c)(3)(A)</w:t>
      </w:r>
      <w:r w:rsidR="00FF3A9D">
        <w:rPr>
          <w:szCs w:val="24"/>
        </w:rPr>
        <w:t xml:space="preserve"> of the Dodd-Frank Act</w:t>
      </w:r>
      <w:r>
        <w:rPr>
          <w:szCs w:val="24"/>
        </w:rPr>
        <w:t xml:space="preserve"> further requires the OMWI Director to establish standards and procedures for determining whether an agency contractor or subcontractor “has failed to make a good faith effort to include minorities and women” in its workforce.  If the OMWI Director determines that a contractor has failed to make good faith efforts, s</w:t>
      </w:r>
      <w:r w:rsidRPr="0066421B">
        <w:rPr>
          <w:szCs w:val="24"/>
        </w:rPr>
        <w:t>ection 342(c)(3)</w:t>
      </w:r>
      <w:r>
        <w:rPr>
          <w:szCs w:val="24"/>
        </w:rPr>
        <w:t>(B)(i) provides that the Director shall recommend to the agency administrator that the contract be terminated.  Upon receipt of such a recommendation, section 342(c)(3)(B)(ii) provides that the agency administrator may terminate the contract, make a referral to the Office of Federal Contract Compliance Programs of the Department of Labor, or take other appropriate action.</w:t>
      </w:r>
    </w:p>
    <w:p w:rsidR="006F02FA" w:rsidP="006F02FA" w:rsidRDefault="006F02FA" w14:paraId="4A148B8E" w14:textId="77777777">
      <w:pPr>
        <w:ind w:firstLine="720"/>
        <w:rPr>
          <w:szCs w:val="24"/>
        </w:rPr>
      </w:pPr>
    </w:p>
    <w:p w:rsidR="00D57BB0" w:rsidP="006F02FA" w:rsidRDefault="00503EAB" w14:paraId="4A148B8F" w14:textId="77777777">
      <w:pPr>
        <w:ind w:firstLine="720"/>
        <w:rPr>
          <w:szCs w:val="24"/>
        </w:rPr>
      </w:pPr>
      <w:r>
        <w:rPr>
          <w:szCs w:val="24"/>
        </w:rPr>
        <w:t>To implement the acquisition-specific requirements of section 342(c) of the Dodd-Frank Act, t</w:t>
      </w:r>
      <w:r w:rsidR="00363066">
        <w:rPr>
          <w:szCs w:val="24"/>
        </w:rPr>
        <w:t xml:space="preserve">he Commission </w:t>
      </w:r>
      <w:r>
        <w:rPr>
          <w:szCs w:val="24"/>
        </w:rPr>
        <w:t xml:space="preserve">adopted </w:t>
      </w:r>
      <w:r w:rsidR="004D0B26">
        <w:rPr>
          <w:szCs w:val="24"/>
        </w:rPr>
        <w:t>a Contract Standard for Contractor Workforce Inclusion (Contract Standard)</w:t>
      </w:r>
      <w:r>
        <w:rPr>
          <w:szCs w:val="24"/>
        </w:rPr>
        <w:t>.</w:t>
      </w:r>
      <w:r w:rsidR="006F02FA">
        <w:rPr>
          <w:szCs w:val="24"/>
        </w:rPr>
        <w:t xml:space="preserve">  </w:t>
      </w:r>
      <w:r>
        <w:rPr>
          <w:szCs w:val="24"/>
        </w:rPr>
        <w:t>Th</w:t>
      </w:r>
      <w:r w:rsidR="0064771A">
        <w:rPr>
          <w:szCs w:val="24"/>
        </w:rPr>
        <w:t>e Contract Standard</w:t>
      </w:r>
      <w:r w:rsidR="009D40BE">
        <w:rPr>
          <w:szCs w:val="24"/>
        </w:rPr>
        <w:t xml:space="preserve"> </w:t>
      </w:r>
      <w:r>
        <w:rPr>
          <w:szCs w:val="24"/>
        </w:rPr>
        <w:t>is</w:t>
      </w:r>
      <w:r w:rsidR="0064771A">
        <w:rPr>
          <w:szCs w:val="24"/>
        </w:rPr>
        <w:t xml:space="preserve"> included </w:t>
      </w:r>
      <w:r w:rsidR="004D0B26">
        <w:rPr>
          <w:szCs w:val="24"/>
        </w:rPr>
        <w:t xml:space="preserve">in </w:t>
      </w:r>
      <w:r w:rsidR="00363066">
        <w:rPr>
          <w:szCs w:val="24"/>
        </w:rPr>
        <w:t xml:space="preserve">the Commission’s </w:t>
      </w:r>
      <w:r w:rsidR="004D0B26">
        <w:rPr>
          <w:szCs w:val="24"/>
        </w:rPr>
        <w:t xml:space="preserve">solicitations and resulting contracts for services valued at $100,000 or more.  </w:t>
      </w:r>
      <w:r w:rsidR="00F36CE4">
        <w:rPr>
          <w:szCs w:val="24"/>
        </w:rPr>
        <w:t>T</w:t>
      </w:r>
      <w:r w:rsidRPr="0023311C" w:rsidR="00F36CE4">
        <w:rPr>
          <w:szCs w:val="24"/>
        </w:rPr>
        <w:t>he Contract Standard require</w:t>
      </w:r>
      <w:r w:rsidR="00F36CE4">
        <w:rPr>
          <w:szCs w:val="24"/>
        </w:rPr>
        <w:t>s</w:t>
      </w:r>
      <w:r w:rsidRPr="0023311C" w:rsidR="00F36CE4">
        <w:rPr>
          <w:szCs w:val="24"/>
        </w:rPr>
        <w:t xml:space="preserve"> the contractor to include the substance of the Contract Standard in all</w:t>
      </w:r>
      <w:r w:rsidR="00F36CE4">
        <w:rPr>
          <w:szCs w:val="24"/>
        </w:rPr>
        <w:t xml:space="preserve"> </w:t>
      </w:r>
      <w:r w:rsidRPr="0023311C" w:rsidR="00F36CE4">
        <w:rPr>
          <w:szCs w:val="24"/>
        </w:rPr>
        <w:t>subcontracts for services</w:t>
      </w:r>
      <w:r w:rsidRPr="00EC0491" w:rsidR="00F36CE4">
        <w:rPr>
          <w:szCs w:val="24"/>
        </w:rPr>
        <w:t xml:space="preserve"> </w:t>
      </w:r>
      <w:r>
        <w:rPr>
          <w:szCs w:val="24"/>
        </w:rPr>
        <w:t xml:space="preserve">with a dollar value of </w:t>
      </w:r>
      <w:r w:rsidRPr="00D717F4" w:rsidR="00F36CE4">
        <w:rPr>
          <w:szCs w:val="24"/>
        </w:rPr>
        <w:t>$100,000 or more</w:t>
      </w:r>
      <w:r>
        <w:rPr>
          <w:szCs w:val="24"/>
        </w:rPr>
        <w:t xml:space="preserve"> awarded under the contract</w:t>
      </w:r>
      <w:r w:rsidRPr="00D717F4" w:rsidR="00F36CE4">
        <w:rPr>
          <w:szCs w:val="24"/>
        </w:rPr>
        <w:t>.</w:t>
      </w:r>
      <w:r w:rsidRPr="0023311C" w:rsidR="00F36CE4">
        <w:rPr>
          <w:szCs w:val="24"/>
        </w:rPr>
        <w:t xml:space="preserve"> </w:t>
      </w:r>
      <w:r w:rsidR="00F36CE4">
        <w:rPr>
          <w:szCs w:val="24"/>
        </w:rPr>
        <w:t xml:space="preserve"> Accordingly, the requirements of the Contract Standard apply to covered subcontractors, as prescribed in section 342(c)(2) of the Dodd-Frank Act</w:t>
      </w:r>
      <w:r w:rsidR="00D57BB0">
        <w:rPr>
          <w:szCs w:val="24"/>
        </w:rPr>
        <w:t>.</w:t>
      </w:r>
    </w:p>
    <w:p w:rsidR="006F02FA" w:rsidP="006F02FA" w:rsidRDefault="006F02FA" w14:paraId="4A148B90" w14:textId="77777777">
      <w:pPr>
        <w:ind w:firstLine="720"/>
        <w:rPr>
          <w:szCs w:val="24"/>
        </w:rPr>
      </w:pPr>
    </w:p>
    <w:p w:rsidR="0064771A" w:rsidP="006F02FA" w:rsidRDefault="00E71731" w14:paraId="4A148B91" w14:textId="77777777">
      <w:pPr>
        <w:ind w:firstLine="720"/>
        <w:rPr>
          <w:szCs w:val="24"/>
        </w:rPr>
      </w:pPr>
      <w:r>
        <w:rPr>
          <w:szCs w:val="24"/>
        </w:rPr>
        <w:lastRenderedPageBreak/>
        <w:t>The Contract Standard contains a</w:t>
      </w:r>
      <w:r w:rsidR="00E32B48">
        <w:rPr>
          <w:szCs w:val="24"/>
        </w:rPr>
        <w:t xml:space="preserve"> “</w:t>
      </w:r>
      <w:r>
        <w:rPr>
          <w:szCs w:val="24"/>
        </w:rPr>
        <w:t>collection of information” within the meaning of the P</w:t>
      </w:r>
      <w:r w:rsidR="007357FE">
        <w:rPr>
          <w:szCs w:val="24"/>
        </w:rPr>
        <w:t>aperwork Reduction Act of 1995 (P</w:t>
      </w:r>
      <w:r>
        <w:rPr>
          <w:szCs w:val="24"/>
        </w:rPr>
        <w:t>RA</w:t>
      </w:r>
      <w:r w:rsidR="007357FE">
        <w:rPr>
          <w:szCs w:val="24"/>
        </w:rPr>
        <w:t>)</w:t>
      </w:r>
      <w:r>
        <w:rPr>
          <w:szCs w:val="24"/>
        </w:rPr>
        <w:t>.</w:t>
      </w:r>
      <w:r w:rsidR="007357FE">
        <w:rPr>
          <w:rStyle w:val="FootnoteReference"/>
          <w:szCs w:val="24"/>
        </w:rPr>
        <w:footnoteReference w:id="2"/>
      </w:r>
      <w:r>
        <w:rPr>
          <w:szCs w:val="24"/>
        </w:rPr>
        <w:t xml:space="preserve">  </w:t>
      </w:r>
      <w:r w:rsidR="0064771A">
        <w:rPr>
          <w:szCs w:val="24"/>
        </w:rPr>
        <w:t xml:space="preserve">The Contract Standard requires a contractor to provide </w:t>
      </w:r>
      <w:r w:rsidR="003D7FDA">
        <w:rPr>
          <w:szCs w:val="24"/>
        </w:rPr>
        <w:t xml:space="preserve">specified </w:t>
      </w:r>
      <w:r w:rsidR="0064771A">
        <w:rPr>
          <w:szCs w:val="24"/>
        </w:rPr>
        <w:t>documentation, upon the request of the</w:t>
      </w:r>
      <w:r w:rsidR="00784AFF">
        <w:rPr>
          <w:szCs w:val="24"/>
        </w:rPr>
        <w:t xml:space="preserve"> Commission’s </w:t>
      </w:r>
      <w:r w:rsidR="0064771A">
        <w:rPr>
          <w:szCs w:val="24"/>
        </w:rPr>
        <w:t>OMWI Director, to demonstrate that it has made good faith efforts to ensure the fair inclusion of minorities and women in its workforce and, as applicable, to demonstrate that its covered subcontractors have made such good faith efforts.</w:t>
      </w:r>
    </w:p>
    <w:p w:rsidR="006F02FA" w:rsidP="006F02FA" w:rsidRDefault="006F02FA" w14:paraId="4A148B92" w14:textId="77777777">
      <w:pPr>
        <w:ind w:firstLine="720"/>
        <w:rPr>
          <w:szCs w:val="24"/>
        </w:rPr>
      </w:pPr>
    </w:p>
    <w:p w:rsidR="00B365D4" w:rsidP="006F02FA" w:rsidRDefault="00B365D4" w14:paraId="4A148B93" w14:textId="77777777">
      <w:pPr>
        <w:ind w:firstLine="720"/>
        <w:rPr>
          <w:rFonts w:ascii="Times New Roman" w:hAnsi="Times New Roman"/>
          <w:b/>
        </w:rPr>
      </w:pPr>
      <w:r w:rsidRPr="008733F0">
        <w:rPr>
          <w:rFonts w:ascii="Times New Roman" w:hAnsi="Times New Roman"/>
          <w:b/>
        </w:rPr>
        <w:t>2.</w:t>
      </w:r>
      <w:r w:rsidRPr="008733F0">
        <w:rPr>
          <w:rFonts w:ascii="Times New Roman" w:hAnsi="Times New Roman"/>
          <w:b/>
        </w:rPr>
        <w:tab/>
      </w:r>
      <w:r w:rsidRPr="008733F0">
        <w:rPr>
          <w:rFonts w:ascii="Times New Roman" w:hAnsi="Times New Roman"/>
          <w:b/>
          <w:u w:val="single"/>
        </w:rPr>
        <w:t>Purpose and Use of the Information Collection</w:t>
      </w:r>
      <w:r>
        <w:rPr>
          <w:rFonts w:ascii="Times New Roman" w:hAnsi="Times New Roman"/>
          <w:b/>
          <w:u w:val="single"/>
        </w:rPr>
        <w:t xml:space="preserve"> </w:t>
      </w:r>
    </w:p>
    <w:p w:rsidR="00B365D4" w:rsidP="006F02FA" w:rsidRDefault="00B365D4" w14:paraId="4A148B94" w14:textId="77777777">
      <w:pPr>
        <w:rPr>
          <w:rFonts w:ascii="Times New Roman" w:hAnsi="Times New Roman"/>
        </w:rPr>
      </w:pPr>
    </w:p>
    <w:p w:rsidR="00B365D4" w:rsidP="006F02FA" w:rsidRDefault="00B365D4" w14:paraId="4A148B95" w14:textId="77777777">
      <w:pPr>
        <w:ind w:firstLine="720"/>
        <w:rPr>
          <w:rFonts w:ascii="Times New Roman" w:hAnsi="Times New Roman"/>
        </w:rPr>
      </w:pPr>
      <w:r w:rsidRPr="008733F0">
        <w:rPr>
          <w:rFonts w:ascii="Times New Roman" w:hAnsi="Times New Roman"/>
        </w:rPr>
        <w:t xml:space="preserve">The purpose of the </w:t>
      </w:r>
      <w:r w:rsidR="007357FE">
        <w:rPr>
          <w:rFonts w:ascii="Times New Roman" w:hAnsi="Times New Roman"/>
        </w:rPr>
        <w:t xml:space="preserve">collection of </w:t>
      </w:r>
      <w:r w:rsidRPr="008733F0">
        <w:rPr>
          <w:rFonts w:ascii="Times New Roman" w:hAnsi="Times New Roman"/>
        </w:rPr>
        <w:t xml:space="preserve">information </w:t>
      </w:r>
      <w:r w:rsidR="004210A3">
        <w:rPr>
          <w:rFonts w:ascii="Times New Roman" w:hAnsi="Times New Roman"/>
        </w:rPr>
        <w:t xml:space="preserve">is to </w:t>
      </w:r>
      <w:r w:rsidR="00784AFF">
        <w:rPr>
          <w:rFonts w:ascii="Times New Roman" w:hAnsi="Times New Roman"/>
        </w:rPr>
        <w:t xml:space="preserve">satisfy </w:t>
      </w:r>
      <w:r w:rsidR="00363066">
        <w:rPr>
          <w:rFonts w:ascii="Times New Roman" w:hAnsi="Times New Roman"/>
        </w:rPr>
        <w:t>the requirements of section 342(c)(3)(B)</w:t>
      </w:r>
      <w:r w:rsidR="00E32B48">
        <w:rPr>
          <w:rFonts w:ascii="Times New Roman" w:hAnsi="Times New Roman"/>
        </w:rPr>
        <w:t xml:space="preserve"> of the Dodd-Frank Act</w:t>
      </w:r>
      <w:r w:rsidR="004210A3">
        <w:rPr>
          <w:rFonts w:ascii="Times New Roman" w:hAnsi="Times New Roman"/>
        </w:rPr>
        <w:t xml:space="preserve">.  The </w:t>
      </w:r>
      <w:r w:rsidR="007357FE">
        <w:rPr>
          <w:rFonts w:ascii="Times New Roman" w:hAnsi="Times New Roman"/>
        </w:rPr>
        <w:t xml:space="preserve">collection of </w:t>
      </w:r>
      <w:r w:rsidR="004210A3">
        <w:rPr>
          <w:rFonts w:ascii="Times New Roman" w:hAnsi="Times New Roman"/>
        </w:rPr>
        <w:t>information allow</w:t>
      </w:r>
      <w:r w:rsidR="009D40BE">
        <w:rPr>
          <w:rFonts w:ascii="Times New Roman" w:hAnsi="Times New Roman"/>
        </w:rPr>
        <w:t>s</w:t>
      </w:r>
      <w:r w:rsidR="004210A3">
        <w:rPr>
          <w:rFonts w:ascii="Times New Roman" w:hAnsi="Times New Roman"/>
        </w:rPr>
        <w:t xml:space="preserve"> the </w:t>
      </w:r>
      <w:r w:rsidR="00784AFF">
        <w:rPr>
          <w:rFonts w:ascii="Times New Roman" w:hAnsi="Times New Roman"/>
        </w:rPr>
        <w:t xml:space="preserve">Commission’s </w:t>
      </w:r>
      <w:r w:rsidR="004210A3">
        <w:rPr>
          <w:rFonts w:ascii="Times New Roman" w:hAnsi="Times New Roman"/>
        </w:rPr>
        <w:t>OMWI Director to</w:t>
      </w:r>
      <w:r w:rsidR="00363066">
        <w:rPr>
          <w:rFonts w:ascii="Times New Roman" w:hAnsi="Times New Roman"/>
        </w:rPr>
        <w:t xml:space="preserve"> determine whether the contractor has complied with </w:t>
      </w:r>
      <w:r w:rsidR="00A11F4A">
        <w:rPr>
          <w:rFonts w:ascii="Times New Roman" w:hAnsi="Times New Roman"/>
        </w:rPr>
        <w:t>its obligations</w:t>
      </w:r>
      <w:r w:rsidR="006F02FA">
        <w:rPr>
          <w:rFonts w:ascii="Times New Roman" w:hAnsi="Times New Roman"/>
        </w:rPr>
        <w:t xml:space="preserve"> under the Contract Standard</w:t>
      </w:r>
      <w:r w:rsidR="00D352AE">
        <w:rPr>
          <w:rFonts w:ascii="Times New Roman" w:hAnsi="Times New Roman"/>
        </w:rPr>
        <w:t xml:space="preserve"> </w:t>
      </w:r>
      <w:r w:rsidR="00A11F4A">
        <w:rPr>
          <w:rFonts w:ascii="Times New Roman" w:hAnsi="Times New Roman"/>
        </w:rPr>
        <w:t xml:space="preserve">to </w:t>
      </w:r>
      <w:r w:rsidR="00363066">
        <w:rPr>
          <w:rFonts w:ascii="Times New Roman" w:hAnsi="Times New Roman"/>
        </w:rPr>
        <w:t>mak</w:t>
      </w:r>
      <w:r w:rsidR="00A11F4A">
        <w:rPr>
          <w:rFonts w:ascii="Times New Roman" w:hAnsi="Times New Roman"/>
        </w:rPr>
        <w:t>e</w:t>
      </w:r>
      <w:r w:rsidR="00363066">
        <w:rPr>
          <w:rFonts w:ascii="Times New Roman" w:hAnsi="Times New Roman"/>
        </w:rPr>
        <w:t xml:space="preserve"> good faith efforts to ensure the fair inclusion of minorities in its workforce, and as applicable, </w:t>
      </w:r>
      <w:r w:rsidR="00434E6D">
        <w:rPr>
          <w:rFonts w:ascii="Times New Roman" w:hAnsi="Times New Roman"/>
        </w:rPr>
        <w:t xml:space="preserve">to determine </w:t>
      </w:r>
      <w:r w:rsidR="00363066">
        <w:rPr>
          <w:rFonts w:ascii="Times New Roman" w:hAnsi="Times New Roman"/>
        </w:rPr>
        <w:t>whether the contractor’s covered subcontractor</w:t>
      </w:r>
      <w:r w:rsidR="00A20EFD">
        <w:rPr>
          <w:rFonts w:ascii="Times New Roman" w:hAnsi="Times New Roman"/>
        </w:rPr>
        <w:t>s</w:t>
      </w:r>
      <w:r w:rsidR="00A11F4A">
        <w:rPr>
          <w:rFonts w:ascii="Times New Roman" w:hAnsi="Times New Roman"/>
        </w:rPr>
        <w:t xml:space="preserve"> have similarly complied with their obligations to </w:t>
      </w:r>
      <w:r w:rsidR="00363066">
        <w:rPr>
          <w:rFonts w:ascii="Times New Roman" w:hAnsi="Times New Roman"/>
        </w:rPr>
        <w:t>ma</w:t>
      </w:r>
      <w:r w:rsidR="009D40BE">
        <w:rPr>
          <w:rFonts w:ascii="Times New Roman" w:hAnsi="Times New Roman"/>
        </w:rPr>
        <w:t>k</w:t>
      </w:r>
      <w:r w:rsidR="00363066">
        <w:rPr>
          <w:rFonts w:ascii="Times New Roman" w:hAnsi="Times New Roman"/>
        </w:rPr>
        <w:t xml:space="preserve">e such good faith efforts. </w:t>
      </w:r>
    </w:p>
    <w:p w:rsidRPr="008733F0" w:rsidR="006F02FA" w:rsidP="006F02FA" w:rsidRDefault="006F02FA" w14:paraId="4A148B96" w14:textId="77777777">
      <w:pPr>
        <w:ind w:firstLine="720"/>
        <w:rPr>
          <w:rFonts w:ascii="Times New Roman" w:hAnsi="Times New Roman"/>
        </w:rPr>
      </w:pPr>
    </w:p>
    <w:p w:rsidR="00B365D4" w:rsidP="006F02FA" w:rsidRDefault="00B365D4" w14:paraId="4A148B97" w14:textId="77777777">
      <w:pPr>
        <w:ind w:firstLine="720"/>
        <w:rPr>
          <w:b/>
          <w:u w:val="single"/>
        </w:rPr>
      </w:pPr>
      <w:r>
        <w:rPr>
          <w:rFonts w:ascii="Times New Roman" w:hAnsi="Times New Roman"/>
          <w:b/>
        </w:rPr>
        <w:t>3.</w:t>
      </w:r>
      <w:r>
        <w:rPr>
          <w:rFonts w:ascii="Times New Roman" w:hAnsi="Times New Roman"/>
          <w:b/>
        </w:rPr>
        <w:tab/>
      </w:r>
      <w:r w:rsidRPr="007178C7">
        <w:rPr>
          <w:b/>
          <w:u w:val="single"/>
        </w:rPr>
        <w:t>Consideration Given to Information Technology</w:t>
      </w:r>
    </w:p>
    <w:p w:rsidR="00B365D4" w:rsidP="006F02FA" w:rsidRDefault="00B365D4" w14:paraId="4A148B98" w14:textId="77777777">
      <w:pPr>
        <w:rPr>
          <w:rFonts w:ascii="Times New Roman" w:hAnsi="Times New Roman"/>
        </w:rPr>
      </w:pPr>
    </w:p>
    <w:p w:rsidR="00B365D4" w:rsidP="006F02FA" w:rsidRDefault="00434E6D" w14:paraId="4A148B99" w14:textId="77777777">
      <w:pPr>
        <w:ind w:firstLine="720"/>
        <w:rPr>
          <w:rFonts w:ascii="Times New Roman" w:hAnsi="Times New Roman"/>
        </w:rPr>
      </w:pPr>
      <w:r>
        <w:rPr>
          <w:rFonts w:ascii="Times New Roman" w:hAnsi="Times New Roman"/>
        </w:rPr>
        <w:t xml:space="preserve">Contractors have the option </w:t>
      </w:r>
      <w:r w:rsidR="00B7745D">
        <w:rPr>
          <w:rFonts w:ascii="Times New Roman" w:hAnsi="Times New Roman"/>
        </w:rPr>
        <w:t xml:space="preserve">of delivering this </w:t>
      </w:r>
      <w:r w:rsidR="00E32B48">
        <w:rPr>
          <w:rFonts w:ascii="Times New Roman" w:hAnsi="Times New Roman"/>
        </w:rPr>
        <w:t xml:space="preserve">collection of </w:t>
      </w:r>
      <w:r w:rsidR="00B7745D">
        <w:rPr>
          <w:rFonts w:ascii="Times New Roman" w:hAnsi="Times New Roman"/>
        </w:rPr>
        <w:t xml:space="preserve">information requirement by electronic or paper submissions. </w:t>
      </w:r>
    </w:p>
    <w:p w:rsidRPr="00A23736" w:rsidR="006F02FA" w:rsidP="006F02FA" w:rsidRDefault="006F02FA" w14:paraId="4A148B9A" w14:textId="77777777">
      <w:pPr>
        <w:ind w:firstLine="720"/>
        <w:rPr>
          <w:rFonts w:ascii="Times New Roman" w:hAnsi="Times New Roman"/>
        </w:rPr>
      </w:pPr>
    </w:p>
    <w:p w:rsidRPr="001549B9" w:rsidR="00B365D4" w:rsidP="006F02FA" w:rsidRDefault="00B365D4" w14:paraId="4A148B9B" w14:textId="77777777">
      <w:pPr>
        <w:tabs>
          <w:tab w:val="left" w:pos="1236"/>
        </w:tabs>
        <w:rPr>
          <w:rFonts w:ascii="Times New Roman" w:hAnsi="Times New Roman"/>
          <w:b/>
        </w:rPr>
      </w:pPr>
      <w:r>
        <w:rPr>
          <w:rFonts w:ascii="Times New Roman" w:hAnsi="Times New Roman"/>
          <w:szCs w:val="24"/>
        </w:rPr>
        <w:tab/>
      </w:r>
      <w:r w:rsidRPr="00DD1C57">
        <w:rPr>
          <w:rFonts w:ascii="Times New Roman" w:hAnsi="Times New Roman"/>
          <w:b/>
        </w:rPr>
        <w:t>4.</w:t>
      </w:r>
      <w:r w:rsidRPr="00DD1C57">
        <w:rPr>
          <w:rFonts w:ascii="Times New Roman" w:hAnsi="Times New Roman"/>
          <w:b/>
        </w:rPr>
        <w:tab/>
      </w:r>
      <w:r w:rsidRPr="00DD1C57">
        <w:rPr>
          <w:rFonts w:ascii="Times New Roman" w:hAnsi="Times New Roman"/>
          <w:b/>
          <w:u w:val="single"/>
        </w:rPr>
        <w:t>Duplication of Information</w:t>
      </w:r>
    </w:p>
    <w:p w:rsidRPr="001549B9" w:rsidR="00B365D4" w:rsidP="006F02FA" w:rsidRDefault="00B365D4" w14:paraId="4A148B9C" w14:textId="77777777">
      <w:pPr>
        <w:pStyle w:val="Footer"/>
        <w:tabs>
          <w:tab w:val="clear" w:pos="4320"/>
          <w:tab w:val="clear" w:pos="8640"/>
        </w:tabs>
        <w:rPr>
          <w:rFonts w:ascii="Times New Roman" w:hAnsi="Times New Roman"/>
        </w:rPr>
      </w:pPr>
      <w:r w:rsidRPr="001549B9">
        <w:rPr>
          <w:rFonts w:ascii="Times New Roman" w:hAnsi="Times New Roman"/>
        </w:rPr>
        <w:tab/>
      </w:r>
    </w:p>
    <w:p w:rsidRPr="00296F22" w:rsidR="00B365D4" w:rsidP="006F02FA" w:rsidRDefault="00B365D4" w14:paraId="4A148B9D" w14:textId="106362A0">
      <w:pPr>
        <w:rPr>
          <w:rFonts w:ascii="Times New Roman" w:hAnsi="Times New Roman"/>
        </w:rPr>
      </w:pPr>
      <w:r w:rsidRPr="001549B9">
        <w:rPr>
          <w:rFonts w:ascii="Times New Roman" w:hAnsi="Times New Roman"/>
        </w:rPr>
        <w:tab/>
      </w:r>
      <w:r w:rsidR="00920EB3">
        <w:rPr>
          <w:rFonts w:ascii="Times New Roman" w:hAnsi="Times New Roman"/>
        </w:rPr>
        <w:t xml:space="preserve">The collection of information </w:t>
      </w:r>
      <w:r w:rsidR="00F56A2A">
        <w:rPr>
          <w:rFonts w:ascii="Times New Roman" w:hAnsi="Times New Roman"/>
        </w:rPr>
        <w:t>avoids duplication by allowing respondents to fulfill the reporting requirement, where possible, by submitting information that already is available to, or compiled by, respondents for other purposes.</w:t>
      </w:r>
      <w:r w:rsidR="00920EB3">
        <w:rPr>
          <w:rFonts w:ascii="Times New Roman" w:hAnsi="Times New Roman"/>
        </w:rPr>
        <w:t xml:space="preserve"> </w:t>
      </w:r>
    </w:p>
    <w:p w:rsidR="00B365D4" w:rsidP="006F02FA" w:rsidRDefault="00B365D4" w14:paraId="4A148B9E" w14:textId="77777777">
      <w:pPr>
        <w:rPr>
          <w:rFonts w:ascii="Times New Roman" w:hAnsi="Times New Roman"/>
        </w:rPr>
      </w:pPr>
    </w:p>
    <w:p w:rsidR="00B365D4" w:rsidP="006F02FA" w:rsidRDefault="00B365D4" w14:paraId="4A148B9F" w14:textId="77777777">
      <w:pPr>
        <w:ind w:firstLine="720"/>
        <w:rPr>
          <w:rFonts w:ascii="Times New Roman" w:hAnsi="Times New Roman"/>
          <w:b/>
        </w:rPr>
      </w:pPr>
      <w:r>
        <w:rPr>
          <w:rFonts w:ascii="Times New Roman" w:hAnsi="Times New Roman"/>
          <w:b/>
        </w:rPr>
        <w:t>5.</w:t>
      </w:r>
      <w:r>
        <w:rPr>
          <w:rFonts w:ascii="Times New Roman" w:hAnsi="Times New Roman"/>
          <w:b/>
        </w:rPr>
        <w:tab/>
      </w:r>
      <w:r w:rsidRPr="0091485F">
        <w:rPr>
          <w:rFonts w:ascii="Times New Roman" w:hAnsi="Times New Roman"/>
          <w:b/>
          <w:u w:val="single"/>
        </w:rPr>
        <w:t>Reducing the Burden on Small Businesses</w:t>
      </w:r>
    </w:p>
    <w:p w:rsidR="00920EB3" w:rsidP="006F02FA" w:rsidRDefault="00B365D4" w14:paraId="4A148BA0" w14:textId="77777777">
      <w:pPr>
        <w:rPr>
          <w:rFonts w:ascii="Times New Roman" w:hAnsi="Times New Roman"/>
          <w:szCs w:val="24"/>
        </w:rPr>
      </w:pPr>
      <w:r w:rsidRPr="003E37D7">
        <w:rPr>
          <w:rFonts w:ascii="Times New Roman" w:hAnsi="Times New Roman"/>
          <w:szCs w:val="24"/>
        </w:rPr>
        <w:tab/>
      </w:r>
    </w:p>
    <w:p w:rsidR="00B365D4" w:rsidP="006F02FA" w:rsidRDefault="00920EB3" w14:paraId="4A148BA1" w14:textId="77777777">
      <w:pPr>
        <w:ind w:firstLine="720"/>
        <w:rPr>
          <w:rFonts w:ascii="Times New Roman" w:hAnsi="Times New Roman"/>
          <w:szCs w:val="24"/>
        </w:rPr>
      </w:pPr>
      <w:r>
        <w:rPr>
          <w:rFonts w:ascii="Times New Roman" w:hAnsi="Times New Roman"/>
          <w:szCs w:val="24"/>
        </w:rPr>
        <w:t xml:space="preserve">The </w:t>
      </w:r>
      <w:r w:rsidR="00E32B48">
        <w:rPr>
          <w:rFonts w:ascii="Times New Roman" w:hAnsi="Times New Roman"/>
          <w:szCs w:val="24"/>
        </w:rPr>
        <w:t>collection of i</w:t>
      </w:r>
      <w:r>
        <w:rPr>
          <w:rFonts w:ascii="Times New Roman" w:hAnsi="Times New Roman"/>
          <w:szCs w:val="24"/>
        </w:rPr>
        <w:t>nformation will affect small as well as larger entities.  As described below</w:t>
      </w:r>
      <w:r w:rsidR="00E32B48">
        <w:rPr>
          <w:rFonts w:ascii="Times New Roman" w:hAnsi="Times New Roman"/>
          <w:szCs w:val="24"/>
        </w:rPr>
        <w:t xml:space="preserve"> in Item 12 of this Supporting Statement</w:t>
      </w:r>
      <w:r>
        <w:rPr>
          <w:rFonts w:ascii="Times New Roman" w:hAnsi="Times New Roman"/>
          <w:szCs w:val="24"/>
        </w:rPr>
        <w:t xml:space="preserve">, </w:t>
      </w:r>
      <w:r w:rsidR="00E32B48">
        <w:rPr>
          <w:rFonts w:ascii="Times New Roman" w:hAnsi="Times New Roman"/>
          <w:szCs w:val="24"/>
        </w:rPr>
        <w:t>we</w:t>
      </w:r>
      <w:r>
        <w:rPr>
          <w:rFonts w:ascii="Times New Roman" w:hAnsi="Times New Roman"/>
          <w:szCs w:val="24"/>
        </w:rPr>
        <w:t xml:space="preserve"> believe the burden of complying with the collection of information will be low for all entities, regardless of size.</w:t>
      </w:r>
      <w:r w:rsidRPr="003E37D7" w:rsidR="00B365D4">
        <w:rPr>
          <w:rFonts w:ascii="Times New Roman" w:hAnsi="Times New Roman"/>
          <w:szCs w:val="24"/>
        </w:rPr>
        <w:t xml:space="preserve"> </w:t>
      </w:r>
    </w:p>
    <w:p w:rsidRPr="00882571" w:rsidR="006F02FA" w:rsidP="006F02FA" w:rsidRDefault="006F02FA" w14:paraId="4A148BA2" w14:textId="77777777">
      <w:pPr>
        <w:ind w:firstLine="720"/>
        <w:rPr>
          <w:rFonts w:ascii="Times New Roman" w:hAnsi="Times New Roman"/>
          <w:szCs w:val="24"/>
        </w:rPr>
      </w:pPr>
    </w:p>
    <w:p w:rsidR="00B365D4" w:rsidP="006F02FA" w:rsidRDefault="00B365D4" w14:paraId="4A148BA3" w14:textId="78086ADD">
      <w:pPr>
        <w:ind w:firstLine="720"/>
        <w:rPr>
          <w:rFonts w:ascii="Times New Roman" w:hAnsi="Times New Roman"/>
          <w:b/>
        </w:rPr>
      </w:pPr>
      <w:r w:rsidRPr="007777BB">
        <w:rPr>
          <w:rFonts w:ascii="Times New Roman" w:hAnsi="Times New Roman"/>
          <w:b/>
        </w:rPr>
        <w:t>6.</w:t>
      </w:r>
      <w:r w:rsidRPr="007777BB">
        <w:rPr>
          <w:rFonts w:ascii="Times New Roman" w:hAnsi="Times New Roman"/>
          <w:b/>
        </w:rPr>
        <w:tab/>
      </w:r>
      <w:r w:rsidRPr="007777BB">
        <w:rPr>
          <w:rFonts w:ascii="Times New Roman" w:hAnsi="Times New Roman"/>
          <w:b/>
          <w:u w:val="single"/>
        </w:rPr>
        <w:t xml:space="preserve">Consequences of </w:t>
      </w:r>
      <w:r w:rsidR="00C44082">
        <w:rPr>
          <w:rFonts w:ascii="Times New Roman" w:hAnsi="Times New Roman"/>
          <w:b/>
          <w:u w:val="single"/>
        </w:rPr>
        <w:t>Less Frequent Collection</w:t>
      </w:r>
    </w:p>
    <w:p w:rsidR="00B365D4" w:rsidP="006F02FA" w:rsidRDefault="00B365D4" w14:paraId="4A148BA4" w14:textId="77777777">
      <w:pPr>
        <w:rPr>
          <w:rFonts w:ascii="Times New Roman" w:hAnsi="Times New Roman"/>
        </w:rPr>
      </w:pPr>
    </w:p>
    <w:p w:rsidR="00B365D4" w:rsidP="006F02FA" w:rsidRDefault="00B365D4" w14:paraId="4A148BA5" w14:textId="043A9FCE">
      <w:pPr>
        <w:rPr>
          <w:rFonts w:ascii="Times New Roman" w:hAnsi="Times New Roman"/>
        </w:rPr>
      </w:pPr>
      <w:r>
        <w:rPr>
          <w:rFonts w:ascii="Times New Roman" w:hAnsi="Times New Roman"/>
        </w:rPr>
        <w:tab/>
      </w:r>
      <w:r w:rsidR="006B78A2">
        <w:rPr>
          <w:rFonts w:ascii="Times New Roman" w:hAnsi="Times New Roman"/>
        </w:rPr>
        <w:t xml:space="preserve">Generally, covered contractors will be required to submit information on their good faith inclusion efforts no more than once during any three-year period. </w:t>
      </w:r>
      <w:r w:rsidR="00C44082">
        <w:rPr>
          <w:rFonts w:ascii="Times New Roman" w:hAnsi="Times New Roman"/>
        </w:rPr>
        <w:t xml:space="preserve">To require less frequent submissions, </w:t>
      </w:r>
      <w:r w:rsidRPr="004D1DEF">
        <w:rPr>
          <w:rFonts w:ascii="Times New Roman" w:hAnsi="Times New Roman"/>
        </w:rPr>
        <w:t xml:space="preserve">the </w:t>
      </w:r>
      <w:r w:rsidR="00A11F4A">
        <w:rPr>
          <w:rFonts w:ascii="Times New Roman" w:hAnsi="Times New Roman"/>
        </w:rPr>
        <w:t xml:space="preserve">Commission would not be able to </w:t>
      </w:r>
      <w:r w:rsidR="00B7745D">
        <w:rPr>
          <w:rFonts w:ascii="Times New Roman" w:hAnsi="Times New Roman"/>
        </w:rPr>
        <w:t>satisfy</w:t>
      </w:r>
      <w:r w:rsidR="00A11F4A">
        <w:rPr>
          <w:rFonts w:ascii="Times New Roman" w:hAnsi="Times New Roman"/>
        </w:rPr>
        <w:t xml:space="preserve"> the requirement of section 342(c)(3)(B</w:t>
      </w:r>
      <w:r w:rsidR="00920EB3">
        <w:rPr>
          <w:rFonts w:ascii="Times New Roman" w:hAnsi="Times New Roman"/>
        </w:rPr>
        <w:t>)</w:t>
      </w:r>
      <w:r w:rsidR="00A11F4A">
        <w:rPr>
          <w:rFonts w:ascii="Times New Roman" w:hAnsi="Times New Roman"/>
        </w:rPr>
        <w:t xml:space="preserve"> </w:t>
      </w:r>
      <w:r w:rsidR="00D925AB">
        <w:rPr>
          <w:rFonts w:ascii="Times New Roman" w:hAnsi="Times New Roman"/>
        </w:rPr>
        <w:t xml:space="preserve">of the Dodd-Frank Act </w:t>
      </w:r>
      <w:r w:rsidR="00A11F4A">
        <w:rPr>
          <w:rFonts w:ascii="Times New Roman" w:hAnsi="Times New Roman"/>
        </w:rPr>
        <w:t xml:space="preserve">that </w:t>
      </w:r>
      <w:r w:rsidR="007357FE">
        <w:rPr>
          <w:rFonts w:ascii="Times New Roman" w:hAnsi="Times New Roman"/>
        </w:rPr>
        <w:t xml:space="preserve">the </w:t>
      </w:r>
      <w:r w:rsidR="00A11F4A">
        <w:rPr>
          <w:rFonts w:ascii="Times New Roman" w:hAnsi="Times New Roman"/>
        </w:rPr>
        <w:t>OMWI Director determine whether the agency contractors have failed to make good faith efforts</w:t>
      </w:r>
      <w:r w:rsidR="00920EB3">
        <w:rPr>
          <w:rFonts w:ascii="Times New Roman" w:hAnsi="Times New Roman"/>
        </w:rPr>
        <w:t xml:space="preserve"> to ensure the fair inclusion of minorities and women in their workforces.</w:t>
      </w:r>
    </w:p>
    <w:p w:rsidR="006F02FA" w:rsidP="006F02FA" w:rsidRDefault="006F02FA" w14:paraId="4A148BA6" w14:textId="77777777">
      <w:pPr>
        <w:rPr>
          <w:rFonts w:ascii="Times New Roman" w:hAnsi="Times New Roman"/>
        </w:rPr>
      </w:pPr>
    </w:p>
    <w:p w:rsidR="00B365D4" w:rsidP="006F02FA" w:rsidRDefault="00B365D4" w14:paraId="4A148BA7" w14:textId="77777777">
      <w:pPr>
        <w:ind w:firstLine="720"/>
        <w:rPr>
          <w:rFonts w:ascii="Times New Roman" w:hAnsi="Times New Roman"/>
          <w:b/>
        </w:rPr>
      </w:pPr>
      <w:r>
        <w:rPr>
          <w:rFonts w:ascii="Times New Roman" w:hAnsi="Times New Roman"/>
          <w:b/>
        </w:rPr>
        <w:t>7.</w:t>
      </w:r>
      <w:r>
        <w:rPr>
          <w:rFonts w:ascii="Times New Roman" w:hAnsi="Times New Roman"/>
          <w:b/>
        </w:rPr>
        <w:tab/>
      </w:r>
      <w:r>
        <w:rPr>
          <w:rFonts w:ascii="Times New Roman" w:hAnsi="Times New Roman"/>
          <w:b/>
          <w:u w:val="single"/>
        </w:rPr>
        <w:t>Inconsistencies with Guidelines in 5 CFR 1320.</w:t>
      </w:r>
      <w:r w:rsidR="00784AFF">
        <w:rPr>
          <w:rFonts w:ascii="Times New Roman" w:hAnsi="Times New Roman"/>
          <w:b/>
          <w:u w:val="single"/>
        </w:rPr>
        <w:t>5</w:t>
      </w:r>
      <w:r>
        <w:rPr>
          <w:rFonts w:ascii="Times New Roman" w:hAnsi="Times New Roman"/>
          <w:b/>
          <w:u w:val="single"/>
        </w:rPr>
        <w:t>(d)</w:t>
      </w:r>
    </w:p>
    <w:p w:rsidR="00B365D4" w:rsidP="006F02FA" w:rsidRDefault="00B365D4" w14:paraId="4A148BA8" w14:textId="77777777">
      <w:pPr>
        <w:rPr>
          <w:rFonts w:ascii="Times New Roman" w:hAnsi="Times New Roman"/>
        </w:rPr>
      </w:pPr>
    </w:p>
    <w:p w:rsidR="00C44082" w:rsidP="006F02FA" w:rsidRDefault="00B365D4" w14:paraId="05D347B1" w14:textId="7732561B">
      <w:r w:rsidRPr="008733F0">
        <w:rPr>
          <w:rFonts w:ascii="Times New Roman" w:hAnsi="Times New Roman"/>
        </w:rPr>
        <w:tab/>
      </w:r>
      <w:r w:rsidRPr="008733F0">
        <w:t>The</w:t>
      </w:r>
      <w:r w:rsidR="00B7745D">
        <w:t xml:space="preserve"> Contract Standard </w:t>
      </w:r>
      <w:r w:rsidR="007357FE">
        <w:t>call</w:t>
      </w:r>
      <w:r w:rsidR="00CD30EA">
        <w:t>s</w:t>
      </w:r>
      <w:r w:rsidR="007357FE">
        <w:t xml:space="preserve"> for c</w:t>
      </w:r>
      <w:r w:rsidR="00587FC4">
        <w:t>ontractors</w:t>
      </w:r>
      <w:r w:rsidR="007357FE">
        <w:t xml:space="preserve"> to</w:t>
      </w:r>
      <w:r w:rsidR="00587FC4">
        <w:t xml:space="preserve"> provide </w:t>
      </w:r>
      <w:r w:rsidR="00DC35D8">
        <w:t xml:space="preserve">the specified </w:t>
      </w:r>
      <w:r w:rsidR="00474FC8">
        <w:t>documentation</w:t>
      </w:r>
      <w:r w:rsidR="00C340D3">
        <w:t xml:space="preserve"> to demonstrate its g</w:t>
      </w:r>
      <w:r w:rsidR="00587FC4">
        <w:t xml:space="preserve">ood faith efforts to comply with the </w:t>
      </w:r>
      <w:r w:rsidR="007357FE">
        <w:t xml:space="preserve">provisions of the </w:t>
      </w:r>
      <w:r w:rsidR="00587FC4">
        <w:t xml:space="preserve">Contract Standard </w:t>
      </w:r>
      <w:r w:rsidR="0091665A">
        <w:t>within</w:t>
      </w:r>
      <w:r w:rsidR="00784AFF">
        <w:t xml:space="preserve"> ten (10)</w:t>
      </w:r>
      <w:r w:rsidR="0091665A">
        <w:t xml:space="preserve"> business days of a written request from the</w:t>
      </w:r>
      <w:r w:rsidR="00784AFF">
        <w:t xml:space="preserve"> Commission’s</w:t>
      </w:r>
      <w:r w:rsidR="0091665A">
        <w:t xml:space="preserve"> OMWI</w:t>
      </w:r>
      <w:r w:rsidR="00587FC4">
        <w:t xml:space="preserve"> Director or designee</w:t>
      </w:r>
      <w:r w:rsidR="0091665A">
        <w:t>, or such longer time as the OMWI Director or designee determines</w:t>
      </w:r>
      <w:r w:rsidR="00784AFF">
        <w:t xml:space="preserve">.  </w:t>
      </w:r>
      <w:r w:rsidR="00474FC8">
        <w:t>The specified documentation should be readily available when the request is received from the OMWI Director.  As explained in Item 12</w:t>
      </w:r>
      <w:r w:rsidR="00DC35D8">
        <w:t xml:space="preserve"> </w:t>
      </w:r>
      <w:r w:rsidR="00085959">
        <w:t>of this Supporting Statement</w:t>
      </w:r>
      <w:r w:rsidR="00474FC8">
        <w:t xml:space="preserve">, </w:t>
      </w:r>
      <w:r w:rsidR="00E32B48">
        <w:t>we estimate that</w:t>
      </w:r>
      <w:r w:rsidR="00474FC8">
        <w:t xml:space="preserve"> it will take all contractors on average approximately one hour to retrieve and submit the documentation specified in the Contract Standard.  </w:t>
      </w:r>
      <w:r w:rsidR="00285C5F">
        <w:t>Although</w:t>
      </w:r>
      <w:r w:rsidR="00085959">
        <w:t xml:space="preserve"> shorter than the</w:t>
      </w:r>
      <w:r w:rsidR="007357FE">
        <w:t xml:space="preserve"> 30-day</w:t>
      </w:r>
      <w:r w:rsidR="00085959">
        <w:t xml:space="preserve"> guideline in 5 CFR 1320.5(d)(2)(ii), </w:t>
      </w:r>
      <w:r w:rsidR="00E32B48">
        <w:t>we believe</w:t>
      </w:r>
      <w:r w:rsidR="00085959">
        <w:t xml:space="preserve"> that the </w:t>
      </w:r>
      <w:r w:rsidR="00E32B48">
        <w:t>ten d</w:t>
      </w:r>
      <w:r w:rsidR="00EE60A6">
        <w:t xml:space="preserve">ays </w:t>
      </w:r>
      <w:r w:rsidR="00085959">
        <w:t xml:space="preserve">provided </w:t>
      </w:r>
      <w:r w:rsidR="00EE60A6">
        <w:t xml:space="preserve">under the Contract Standard </w:t>
      </w:r>
      <w:r w:rsidR="00085959">
        <w:t>is a reasonable amount of time t</w:t>
      </w:r>
      <w:r w:rsidR="00EE60A6">
        <w:t xml:space="preserve">o respond </w:t>
      </w:r>
      <w:r w:rsidR="00285C5F">
        <w:t>a</w:t>
      </w:r>
      <w:r w:rsidR="00EE60A6">
        <w:t xml:space="preserve"> request from the OMWI Director to submit the specified documentation</w:t>
      </w:r>
      <w:r w:rsidR="00285C5F">
        <w:t>.</w:t>
      </w:r>
    </w:p>
    <w:p w:rsidR="00C44082" w:rsidP="006F02FA" w:rsidRDefault="00C44082" w14:paraId="611E2F69" w14:textId="77777777"/>
    <w:p w:rsidR="00C44082" w:rsidP="00D11FEF" w:rsidRDefault="00C44082" w14:paraId="74942D2C" w14:textId="274D345D">
      <w:pPr>
        <w:ind w:firstLine="720"/>
      </w:pPr>
      <w:r>
        <w:t xml:space="preserve">Section 342(c) and the </w:t>
      </w:r>
      <w:r w:rsidR="00EF1AC6">
        <w:t>Contract Standard</w:t>
      </w:r>
      <w:r>
        <w:t xml:space="preserve"> require contractors to engage in good faith efforts at all times during the term of a contract and not merely in the 30 days preceding the </w:t>
      </w:r>
      <w:r w:rsidR="00EF1AC6">
        <w:t xml:space="preserve">OMWI Director’s </w:t>
      </w:r>
      <w:r>
        <w:t xml:space="preserve">review. </w:t>
      </w:r>
      <w:r w:rsidR="00FB3226">
        <w:t xml:space="preserve"> </w:t>
      </w:r>
      <w:r>
        <w:t xml:space="preserve">Because each covered contractor should have a workforce inclusion plan in place at all times during the term of the contract, 10 days should normally be sufficient time to submit a copy of the plan to the </w:t>
      </w:r>
      <w:r w:rsidR="00EF1AC6">
        <w:t>OMWI Director</w:t>
      </w:r>
      <w:r>
        <w:t>.</w:t>
      </w:r>
      <w:r w:rsidR="00FB3226">
        <w:t xml:space="preserve"> </w:t>
      </w:r>
      <w:r>
        <w:t xml:space="preserve">The other data that may be required to be submitted under the </w:t>
      </w:r>
      <w:r w:rsidR="00EF1AC6">
        <w:t>Contract Standard</w:t>
      </w:r>
      <w:r>
        <w:t xml:space="preserve"> are factual in nature, and it is reasonable for contractors to be prepared to provide them. </w:t>
      </w:r>
      <w:r w:rsidR="00FB3226">
        <w:t xml:space="preserve"> </w:t>
      </w:r>
      <w:r>
        <w:t xml:space="preserve">Moreover, the </w:t>
      </w:r>
      <w:r w:rsidR="00EF1AC6">
        <w:t>Contractor Standard</w:t>
      </w:r>
      <w:r>
        <w:t xml:space="preserve"> requires that information be provided within 10 business days of a written request </w:t>
      </w:r>
      <w:r w:rsidR="00EF1AC6">
        <w:t xml:space="preserve">or such longer time as the OMWI Director or designee determines. </w:t>
      </w:r>
      <w:r w:rsidR="00FB3226">
        <w:t xml:space="preserve"> </w:t>
      </w:r>
      <w:r>
        <w:t xml:space="preserve">In addition, because most respondents may fulfill the reporting requirement by submitting information that has already been prepared for other purposes, the specified documentation should in most cases be readily available when the request is received. </w:t>
      </w:r>
      <w:r w:rsidR="00FB3226">
        <w:t xml:space="preserve"> </w:t>
      </w:r>
      <w:r>
        <w:t xml:space="preserve">As explained in Item #12 of this Supporting Statement, </w:t>
      </w:r>
      <w:r w:rsidR="00EF1AC6">
        <w:t>we estimate</w:t>
      </w:r>
      <w:r>
        <w:t xml:space="preserve"> that it will take contractors on average approximately one hour to retrieve and submit the documentation specified in the </w:t>
      </w:r>
      <w:r w:rsidR="00EF1AC6">
        <w:t xml:space="preserve">Contract Standard. </w:t>
      </w:r>
    </w:p>
    <w:p w:rsidRPr="008733F0" w:rsidR="006F02FA" w:rsidP="006F02FA" w:rsidRDefault="006F02FA" w14:paraId="4A148BAA" w14:textId="77777777">
      <w:pPr>
        <w:rPr>
          <w:rFonts w:ascii="Times New Roman" w:hAnsi="Times New Roman"/>
        </w:rPr>
      </w:pPr>
    </w:p>
    <w:p w:rsidR="00B365D4" w:rsidP="006F02FA" w:rsidRDefault="00B365D4" w14:paraId="4A148BAB" w14:textId="77777777">
      <w:pPr>
        <w:ind w:firstLine="720"/>
        <w:rPr>
          <w:rFonts w:ascii="Times New Roman" w:hAnsi="Times New Roman"/>
        </w:rPr>
      </w:pPr>
      <w:r>
        <w:rPr>
          <w:rFonts w:ascii="Times New Roman" w:hAnsi="Times New Roman"/>
          <w:b/>
        </w:rPr>
        <w:t>8.</w:t>
      </w:r>
      <w:r>
        <w:rPr>
          <w:rFonts w:ascii="Times New Roman" w:hAnsi="Times New Roman"/>
          <w:b/>
        </w:rPr>
        <w:tab/>
      </w:r>
      <w:r>
        <w:rPr>
          <w:rFonts w:ascii="Times New Roman" w:hAnsi="Times New Roman"/>
          <w:b/>
          <w:u w:val="single"/>
        </w:rPr>
        <w:t>Consultations Outside the Agency</w:t>
      </w:r>
    </w:p>
    <w:p w:rsidR="00B365D4" w:rsidP="006F02FA" w:rsidRDefault="00B365D4" w14:paraId="4A148BAC" w14:textId="77777777">
      <w:pPr>
        <w:rPr>
          <w:rFonts w:ascii="Times New Roman" w:hAnsi="Times New Roman"/>
        </w:rPr>
      </w:pPr>
    </w:p>
    <w:p w:rsidR="00B365D4" w:rsidP="006F02FA" w:rsidRDefault="00B365D4" w14:paraId="4A148BAD" w14:textId="20C6F18F">
      <w:pPr>
        <w:ind w:firstLine="720"/>
        <w:rPr>
          <w:rFonts w:ascii="Times New Roman" w:hAnsi="Times New Roman"/>
          <w:szCs w:val="24"/>
        </w:rPr>
      </w:pPr>
      <w:r>
        <w:rPr>
          <w:rFonts w:ascii="Times New Roman" w:hAnsi="Times New Roman"/>
          <w:snapToGrid w:val="0"/>
          <w:szCs w:val="24"/>
        </w:rPr>
        <w:t>On</w:t>
      </w:r>
      <w:r w:rsidR="00AF7ACC">
        <w:rPr>
          <w:rFonts w:ascii="Times New Roman" w:hAnsi="Times New Roman"/>
          <w:snapToGrid w:val="0"/>
          <w:szCs w:val="24"/>
        </w:rPr>
        <w:t xml:space="preserve"> </w:t>
      </w:r>
      <w:r w:rsidR="00EF1AC6">
        <w:rPr>
          <w:rFonts w:ascii="Times New Roman" w:hAnsi="Times New Roman"/>
          <w:snapToGrid w:val="0"/>
          <w:szCs w:val="24"/>
        </w:rPr>
        <w:t>July 8, 2021</w:t>
      </w:r>
      <w:r w:rsidR="009D40BE">
        <w:rPr>
          <w:rFonts w:ascii="Times New Roman" w:hAnsi="Times New Roman"/>
          <w:snapToGrid w:val="0"/>
          <w:szCs w:val="24"/>
        </w:rPr>
        <w:t>,</w:t>
      </w:r>
      <w:r>
        <w:rPr>
          <w:rFonts w:ascii="Times New Roman" w:hAnsi="Times New Roman"/>
          <w:snapToGrid w:val="0"/>
          <w:szCs w:val="24"/>
        </w:rPr>
        <w:t xml:space="preserve"> the Commission </w:t>
      </w:r>
      <w:r w:rsidRPr="008733F0">
        <w:rPr>
          <w:rFonts w:ascii="Times New Roman" w:hAnsi="Times New Roman"/>
          <w:snapToGrid w:val="0"/>
          <w:szCs w:val="24"/>
        </w:rPr>
        <w:t xml:space="preserve">published </w:t>
      </w:r>
      <w:r>
        <w:rPr>
          <w:rFonts w:ascii="Times New Roman" w:hAnsi="Times New Roman"/>
          <w:snapToGrid w:val="0"/>
          <w:szCs w:val="24"/>
        </w:rPr>
        <w:t>a notice in the</w:t>
      </w:r>
      <w:r w:rsidRPr="008733F0">
        <w:rPr>
          <w:rFonts w:ascii="Times New Roman" w:hAnsi="Times New Roman"/>
          <w:snapToGrid w:val="0"/>
          <w:szCs w:val="24"/>
        </w:rPr>
        <w:t xml:space="preserve"> Federal Register</w:t>
      </w:r>
      <w:r>
        <w:rPr>
          <w:rFonts w:ascii="Times New Roman" w:hAnsi="Times New Roman"/>
          <w:snapToGrid w:val="0"/>
          <w:szCs w:val="24"/>
        </w:rPr>
        <w:t xml:space="preserve"> (8</w:t>
      </w:r>
      <w:r w:rsidR="00D512EE">
        <w:rPr>
          <w:rFonts w:ascii="Times New Roman" w:hAnsi="Times New Roman"/>
          <w:snapToGrid w:val="0"/>
          <w:szCs w:val="24"/>
        </w:rPr>
        <w:t>6</w:t>
      </w:r>
      <w:r>
        <w:rPr>
          <w:rFonts w:ascii="Times New Roman" w:hAnsi="Times New Roman"/>
          <w:snapToGrid w:val="0"/>
          <w:szCs w:val="24"/>
        </w:rPr>
        <w:t xml:space="preserve"> FR </w:t>
      </w:r>
      <w:r w:rsidR="00D512EE">
        <w:rPr>
          <w:rFonts w:ascii="Times New Roman" w:hAnsi="Times New Roman"/>
          <w:snapToGrid w:val="0"/>
          <w:szCs w:val="24"/>
        </w:rPr>
        <w:t>36167</w:t>
      </w:r>
      <w:r>
        <w:rPr>
          <w:rFonts w:ascii="Times New Roman" w:hAnsi="Times New Roman"/>
          <w:snapToGrid w:val="0"/>
          <w:szCs w:val="24"/>
        </w:rPr>
        <w:t>)</w:t>
      </w:r>
      <w:r w:rsidRPr="008733F0">
        <w:rPr>
          <w:rFonts w:ascii="Times New Roman" w:hAnsi="Times New Roman"/>
          <w:snapToGrid w:val="0"/>
          <w:szCs w:val="24"/>
        </w:rPr>
        <w:t xml:space="preserve"> </w:t>
      </w:r>
      <w:r>
        <w:rPr>
          <w:rFonts w:ascii="Times New Roman" w:hAnsi="Times New Roman"/>
          <w:snapToGrid w:val="0"/>
          <w:szCs w:val="24"/>
        </w:rPr>
        <w:t xml:space="preserve">soliciting comments on </w:t>
      </w:r>
      <w:r w:rsidR="009D40BE">
        <w:rPr>
          <w:rFonts w:ascii="Times New Roman" w:hAnsi="Times New Roman"/>
          <w:snapToGrid w:val="0"/>
          <w:szCs w:val="24"/>
        </w:rPr>
        <w:t xml:space="preserve">its intention to request an extension of this currently approved </w:t>
      </w:r>
      <w:r>
        <w:rPr>
          <w:rFonts w:ascii="Times New Roman" w:hAnsi="Times New Roman"/>
          <w:snapToGrid w:val="0"/>
          <w:szCs w:val="24"/>
        </w:rPr>
        <w:t>information collection</w:t>
      </w:r>
      <w:r w:rsidR="009D40BE">
        <w:rPr>
          <w:rFonts w:ascii="Times New Roman" w:hAnsi="Times New Roman"/>
          <w:snapToGrid w:val="0"/>
          <w:szCs w:val="24"/>
        </w:rPr>
        <w:t>, and allowed the public</w:t>
      </w:r>
      <w:r>
        <w:rPr>
          <w:rFonts w:ascii="Times New Roman" w:hAnsi="Times New Roman"/>
          <w:snapToGrid w:val="0"/>
          <w:szCs w:val="24"/>
        </w:rPr>
        <w:t xml:space="preserve"> 60 days</w:t>
      </w:r>
      <w:r w:rsidR="009D40BE">
        <w:rPr>
          <w:rFonts w:ascii="Times New Roman" w:hAnsi="Times New Roman"/>
          <w:snapToGrid w:val="0"/>
          <w:szCs w:val="24"/>
        </w:rPr>
        <w:t xml:space="preserve"> to submit comments</w:t>
      </w:r>
      <w:r>
        <w:rPr>
          <w:rFonts w:ascii="Times New Roman" w:hAnsi="Times New Roman"/>
          <w:snapToGrid w:val="0"/>
          <w:szCs w:val="24"/>
        </w:rPr>
        <w:t>. The Commission received</w:t>
      </w:r>
      <w:r w:rsidR="00AF7ACC">
        <w:rPr>
          <w:rFonts w:ascii="Times New Roman" w:hAnsi="Times New Roman"/>
          <w:snapToGrid w:val="0"/>
          <w:szCs w:val="24"/>
        </w:rPr>
        <w:t xml:space="preserve"> no comments</w:t>
      </w:r>
      <w:r w:rsidR="009D40BE">
        <w:rPr>
          <w:rFonts w:ascii="Times New Roman" w:hAnsi="Times New Roman"/>
          <w:snapToGrid w:val="0"/>
          <w:szCs w:val="24"/>
        </w:rPr>
        <w:t>.</w:t>
      </w:r>
      <w:r>
        <w:rPr>
          <w:rFonts w:ascii="Times New Roman" w:hAnsi="Times New Roman"/>
          <w:snapToGrid w:val="0"/>
          <w:szCs w:val="24"/>
        </w:rPr>
        <w:t xml:space="preserve"> </w:t>
      </w:r>
      <w:r w:rsidRPr="008733F0">
        <w:rPr>
          <w:rFonts w:ascii="Times New Roman" w:hAnsi="Times New Roman"/>
          <w:szCs w:val="24"/>
        </w:rPr>
        <w:t xml:space="preserve"> </w:t>
      </w:r>
    </w:p>
    <w:p w:rsidRPr="008733F0" w:rsidR="00D352AE" w:rsidP="006F02FA" w:rsidRDefault="00D352AE" w14:paraId="4A148BAE" w14:textId="77777777">
      <w:pPr>
        <w:ind w:firstLine="720"/>
        <w:rPr>
          <w:rFonts w:ascii="Times New Roman" w:hAnsi="Times New Roman"/>
        </w:rPr>
      </w:pPr>
    </w:p>
    <w:p w:rsidR="00B365D4" w:rsidP="006F02FA" w:rsidRDefault="00B365D4" w14:paraId="4A148BAF" w14:textId="77777777">
      <w:pPr>
        <w:keepNext/>
        <w:ind w:firstLine="720"/>
        <w:rPr>
          <w:rFonts w:ascii="Times New Roman" w:hAnsi="Times New Roman"/>
          <w:b/>
        </w:rPr>
      </w:pPr>
      <w:r>
        <w:rPr>
          <w:rFonts w:ascii="Times New Roman" w:hAnsi="Times New Roman"/>
          <w:b/>
        </w:rPr>
        <w:t>9.</w:t>
      </w:r>
      <w:r>
        <w:rPr>
          <w:rFonts w:ascii="Times New Roman" w:hAnsi="Times New Roman"/>
          <w:b/>
        </w:rPr>
        <w:tab/>
      </w:r>
      <w:r>
        <w:rPr>
          <w:rFonts w:ascii="Times New Roman" w:hAnsi="Times New Roman"/>
          <w:b/>
          <w:u w:val="single"/>
        </w:rPr>
        <w:t>Payment or Gift to Respondents</w:t>
      </w:r>
    </w:p>
    <w:p w:rsidR="00B365D4" w:rsidP="006F02FA" w:rsidRDefault="00B365D4" w14:paraId="4A148BB0" w14:textId="77777777">
      <w:pPr>
        <w:keepNext/>
        <w:rPr>
          <w:rFonts w:ascii="Times New Roman" w:hAnsi="Times New Roman"/>
        </w:rPr>
      </w:pPr>
    </w:p>
    <w:p w:rsidRPr="008733F0" w:rsidR="00B365D4" w:rsidP="006F02FA" w:rsidRDefault="00B365D4" w14:paraId="4A148BB1" w14:textId="77777777">
      <w:pPr>
        <w:rPr>
          <w:rFonts w:ascii="Times New Roman" w:hAnsi="Times New Roman"/>
          <w:szCs w:val="24"/>
        </w:rPr>
      </w:pPr>
      <w:r w:rsidRPr="008733F0">
        <w:rPr>
          <w:rFonts w:ascii="Times New Roman" w:hAnsi="Times New Roman"/>
        </w:rPr>
        <w:tab/>
      </w:r>
      <w:r w:rsidRPr="008733F0">
        <w:rPr>
          <w:rFonts w:ascii="Times New Roman" w:hAnsi="Times New Roman"/>
          <w:szCs w:val="24"/>
        </w:rPr>
        <w:t>There are no gifts or payments to respondents.</w:t>
      </w:r>
    </w:p>
    <w:p w:rsidRPr="00E30DDA" w:rsidR="00B365D4" w:rsidP="006F02FA" w:rsidRDefault="00B365D4" w14:paraId="4A148BB2" w14:textId="77777777">
      <w:pPr>
        <w:rPr>
          <w:rFonts w:ascii="Times New Roman" w:hAnsi="Times New Roman"/>
          <w:szCs w:val="24"/>
        </w:rPr>
      </w:pPr>
    </w:p>
    <w:p w:rsidR="00B365D4" w:rsidP="006F02FA" w:rsidRDefault="00B365D4" w14:paraId="4A148BB3" w14:textId="77777777">
      <w:pPr>
        <w:ind w:firstLine="720"/>
        <w:rPr>
          <w:rFonts w:ascii="Times New Roman" w:hAnsi="Times New Roman"/>
          <w:b/>
        </w:rPr>
      </w:pPr>
      <w:r>
        <w:rPr>
          <w:rFonts w:ascii="Times New Roman" w:hAnsi="Times New Roman"/>
          <w:b/>
        </w:rPr>
        <w:t>10.</w:t>
      </w:r>
      <w:r>
        <w:rPr>
          <w:rFonts w:ascii="Times New Roman" w:hAnsi="Times New Roman"/>
          <w:b/>
        </w:rPr>
        <w:tab/>
      </w:r>
      <w:r w:rsidRPr="007178C7">
        <w:rPr>
          <w:rFonts w:ascii="Times New Roman" w:hAnsi="Times New Roman"/>
          <w:b/>
          <w:u w:val="single"/>
        </w:rPr>
        <w:t>Assurance of Confidentiality</w:t>
      </w:r>
    </w:p>
    <w:p w:rsidR="00C340D3" w:rsidP="006F02FA" w:rsidRDefault="00B365D4" w14:paraId="4A148BB4" w14:textId="77777777">
      <w:pPr>
        <w:rPr>
          <w:rFonts w:ascii="Times New Roman" w:hAnsi="Times New Roman"/>
        </w:rPr>
      </w:pPr>
      <w:r>
        <w:rPr>
          <w:rFonts w:ascii="Times New Roman" w:hAnsi="Times New Roman"/>
        </w:rPr>
        <w:tab/>
      </w:r>
    </w:p>
    <w:p w:rsidR="00B365D4" w:rsidP="006F02FA" w:rsidRDefault="00C340D3" w14:paraId="4A148BB5" w14:textId="77777777">
      <w:pPr>
        <w:ind w:firstLine="720"/>
        <w:rPr>
          <w:rFonts w:ascii="Times New Roman" w:hAnsi="Times New Roman" w:eastAsiaTheme="minorHAnsi" w:cstheme="minorBidi"/>
          <w:szCs w:val="22"/>
        </w:rPr>
      </w:pPr>
      <w:r>
        <w:rPr>
          <w:rFonts w:ascii="Times New Roman" w:hAnsi="Times New Roman"/>
        </w:rPr>
        <w:t>T</w:t>
      </w:r>
      <w:r w:rsidRPr="00DF0DCF" w:rsidR="00D0199C">
        <w:rPr>
          <w:rFonts w:ascii="Times New Roman" w:hAnsi="Times New Roman"/>
          <w:color w:val="000000"/>
        </w:rPr>
        <w:t xml:space="preserve">he </w:t>
      </w:r>
      <w:r w:rsidRPr="00DF0DCF" w:rsidR="009B5EDA">
        <w:rPr>
          <w:rFonts w:ascii="Times New Roman" w:hAnsi="Times New Roman"/>
          <w:color w:val="000000"/>
        </w:rPr>
        <w:t xml:space="preserve">Commission </w:t>
      </w:r>
      <w:r w:rsidRPr="00DF0DCF" w:rsidR="00D0199C">
        <w:rPr>
          <w:rFonts w:ascii="Times New Roman" w:hAnsi="Times New Roman"/>
          <w:color w:val="000000"/>
        </w:rPr>
        <w:t>makes no express assurance of confidentiality in relation to this information collection</w:t>
      </w:r>
      <w:r>
        <w:rPr>
          <w:rFonts w:ascii="Times New Roman" w:hAnsi="Times New Roman"/>
          <w:color w:val="000000"/>
        </w:rPr>
        <w:t>.  However, contractors submitting i</w:t>
      </w:r>
      <w:r w:rsidRPr="00DF0DCF" w:rsidR="00D0199C">
        <w:rPr>
          <w:rFonts w:ascii="Times New Roman" w:hAnsi="Times New Roman"/>
          <w:color w:val="000000"/>
        </w:rPr>
        <w:t>nformation</w:t>
      </w:r>
      <w:r>
        <w:rPr>
          <w:rFonts w:ascii="Times New Roman" w:hAnsi="Times New Roman"/>
          <w:color w:val="000000"/>
        </w:rPr>
        <w:t xml:space="preserve"> </w:t>
      </w:r>
      <w:r w:rsidR="00A20EFD">
        <w:rPr>
          <w:rFonts w:ascii="Times New Roman" w:hAnsi="Times New Roman"/>
          <w:color w:val="000000"/>
        </w:rPr>
        <w:t xml:space="preserve">in response to a request from the OMWI Director </w:t>
      </w:r>
      <w:r>
        <w:rPr>
          <w:rFonts w:ascii="Times New Roman" w:hAnsi="Times New Roman"/>
          <w:color w:val="000000"/>
        </w:rPr>
        <w:t xml:space="preserve">that is considered sensitive and confidential </w:t>
      </w:r>
      <w:r w:rsidR="009D40BE">
        <w:rPr>
          <w:rFonts w:ascii="Times New Roman" w:hAnsi="Times New Roman"/>
          <w:color w:val="000000"/>
        </w:rPr>
        <w:t>are</w:t>
      </w:r>
      <w:r>
        <w:rPr>
          <w:rFonts w:ascii="Times New Roman" w:hAnsi="Times New Roman"/>
          <w:color w:val="000000"/>
        </w:rPr>
        <w:t xml:space="preserve"> advised to </w:t>
      </w:r>
      <w:r w:rsidRPr="00DF0DCF" w:rsidR="009B5EDA">
        <w:rPr>
          <w:rFonts w:ascii="Times New Roman" w:hAnsi="Times New Roman"/>
          <w:color w:val="000000"/>
        </w:rPr>
        <w:t>follow the</w:t>
      </w:r>
      <w:r w:rsidR="00CD30EA">
        <w:rPr>
          <w:rFonts w:ascii="Times New Roman" w:hAnsi="Times New Roman"/>
          <w:color w:val="000000"/>
        </w:rPr>
        <w:t xml:space="preserve"> </w:t>
      </w:r>
      <w:r w:rsidRPr="00D0199C" w:rsidR="00D0199C">
        <w:rPr>
          <w:rFonts w:ascii="Times New Roman" w:hAnsi="Times New Roman" w:eastAsiaTheme="minorHAnsi" w:cstheme="minorBidi"/>
          <w:szCs w:val="22"/>
        </w:rPr>
        <w:t xml:space="preserve">procedures </w:t>
      </w:r>
      <w:r w:rsidR="009B5EDA">
        <w:rPr>
          <w:rFonts w:ascii="Times New Roman" w:hAnsi="Times New Roman" w:eastAsiaTheme="minorHAnsi" w:cstheme="minorBidi"/>
          <w:szCs w:val="22"/>
        </w:rPr>
        <w:t xml:space="preserve">under the Commission’s regulations implementing the Freedom </w:t>
      </w:r>
      <w:r w:rsidR="009B5EDA">
        <w:rPr>
          <w:rFonts w:ascii="Times New Roman" w:hAnsi="Times New Roman" w:eastAsiaTheme="minorHAnsi" w:cstheme="minorBidi"/>
          <w:szCs w:val="22"/>
        </w:rPr>
        <w:lastRenderedPageBreak/>
        <w:t>of Information Act (FOIA)</w:t>
      </w:r>
      <w:r w:rsidR="007D7DCD">
        <w:rPr>
          <w:rFonts w:ascii="Times New Roman" w:hAnsi="Times New Roman" w:eastAsiaTheme="minorHAnsi" w:cstheme="minorBidi"/>
          <w:szCs w:val="22"/>
        </w:rPr>
        <w:t xml:space="preserve"> </w:t>
      </w:r>
      <w:r w:rsidRPr="00D0199C" w:rsidR="00D0199C">
        <w:rPr>
          <w:rFonts w:ascii="Times New Roman" w:hAnsi="Times New Roman" w:eastAsiaTheme="minorHAnsi" w:cstheme="minorBidi"/>
          <w:szCs w:val="22"/>
        </w:rPr>
        <w:t xml:space="preserve">for designating information as confidential </w:t>
      </w:r>
      <w:r w:rsidR="009B5EDA">
        <w:rPr>
          <w:rFonts w:ascii="Times New Roman" w:hAnsi="Times New Roman" w:eastAsiaTheme="minorHAnsi" w:cstheme="minorBidi"/>
          <w:szCs w:val="22"/>
        </w:rPr>
        <w:t>business</w:t>
      </w:r>
      <w:r w:rsidRPr="00D0199C" w:rsidR="00D0199C">
        <w:rPr>
          <w:rFonts w:ascii="Times New Roman" w:hAnsi="Times New Roman" w:eastAsiaTheme="minorHAnsi" w:cstheme="minorBidi"/>
          <w:szCs w:val="22"/>
        </w:rPr>
        <w:t xml:space="preserve"> information or</w:t>
      </w:r>
      <w:r>
        <w:rPr>
          <w:rFonts w:ascii="Times New Roman" w:hAnsi="Times New Roman" w:eastAsiaTheme="minorHAnsi" w:cstheme="minorBidi"/>
          <w:szCs w:val="22"/>
        </w:rPr>
        <w:t xml:space="preserve"> seeking confidential treatment.</w:t>
      </w:r>
      <w:r w:rsidRPr="00D0199C" w:rsidR="00D0199C">
        <w:rPr>
          <w:rFonts w:ascii="Times New Roman" w:hAnsi="Times New Roman" w:eastAsiaTheme="minorHAnsi"/>
          <w:szCs w:val="22"/>
          <w:vertAlign w:val="superscript"/>
        </w:rPr>
        <w:footnoteReference w:id="3"/>
      </w:r>
    </w:p>
    <w:p w:rsidR="006F02FA" w:rsidP="006F02FA" w:rsidRDefault="006F02FA" w14:paraId="4A148BB6" w14:textId="77777777">
      <w:pPr>
        <w:ind w:firstLine="720"/>
        <w:rPr>
          <w:rFonts w:ascii="Times New Roman" w:hAnsi="Times New Roman"/>
        </w:rPr>
      </w:pPr>
    </w:p>
    <w:p w:rsidR="00B365D4" w:rsidP="006F02FA" w:rsidRDefault="009F3B27" w14:paraId="4A148BB7" w14:textId="77777777">
      <w:pPr>
        <w:rPr>
          <w:rFonts w:ascii="Times New Roman" w:hAnsi="Times New Roman"/>
          <w:b/>
        </w:rPr>
      </w:pPr>
      <w:r>
        <w:rPr>
          <w:rFonts w:ascii="Times New Roman" w:hAnsi="Times New Roman"/>
          <w:b/>
        </w:rPr>
        <w:tab/>
      </w:r>
      <w:r w:rsidR="00B365D4">
        <w:rPr>
          <w:rFonts w:ascii="Times New Roman" w:hAnsi="Times New Roman"/>
          <w:b/>
        </w:rPr>
        <w:t>11.</w:t>
      </w:r>
      <w:r w:rsidR="00B365D4">
        <w:rPr>
          <w:rFonts w:ascii="Times New Roman" w:hAnsi="Times New Roman"/>
          <w:b/>
        </w:rPr>
        <w:tab/>
      </w:r>
      <w:r w:rsidR="00B365D4">
        <w:rPr>
          <w:rFonts w:ascii="Times New Roman" w:hAnsi="Times New Roman"/>
          <w:b/>
          <w:u w:val="single"/>
        </w:rPr>
        <w:t>Sensitive Questions</w:t>
      </w:r>
    </w:p>
    <w:p w:rsidR="00B365D4" w:rsidP="006F02FA" w:rsidRDefault="00B365D4" w14:paraId="4A148BB8" w14:textId="77777777"/>
    <w:p w:rsidRPr="00C82AC1" w:rsidR="00B365D4" w:rsidP="006F02FA" w:rsidRDefault="00B365D4" w14:paraId="4A148BB9" w14:textId="77777777">
      <w:pPr>
        <w:ind w:firstLine="720"/>
      </w:pPr>
      <w:r w:rsidRPr="00C82AC1">
        <w:t>No questions</w:t>
      </w:r>
      <w:r w:rsidR="007D7DCD">
        <w:t xml:space="preserve"> </w:t>
      </w:r>
      <w:r w:rsidRPr="00C82AC1">
        <w:t>of a sensitive nature</w:t>
      </w:r>
      <w:r w:rsidR="007D7DCD">
        <w:t xml:space="preserve"> are asked.</w:t>
      </w:r>
    </w:p>
    <w:p w:rsidR="00B365D4" w:rsidP="006F02FA" w:rsidRDefault="00B365D4" w14:paraId="4A148BBA" w14:textId="77777777"/>
    <w:p w:rsidR="00B365D4" w:rsidP="006F02FA" w:rsidRDefault="00B365D4" w14:paraId="4A148BBB" w14:textId="77777777">
      <w:pPr>
        <w:ind w:firstLine="720"/>
        <w:rPr>
          <w:rFonts w:ascii="Times New Roman" w:hAnsi="Times New Roman"/>
          <w:b/>
          <w:u w:val="single"/>
        </w:rPr>
      </w:pPr>
      <w:r>
        <w:rPr>
          <w:rFonts w:ascii="Times New Roman" w:hAnsi="Times New Roman"/>
          <w:b/>
        </w:rPr>
        <w:t>12.</w:t>
      </w:r>
      <w:r>
        <w:rPr>
          <w:rFonts w:ascii="Times New Roman" w:hAnsi="Times New Roman"/>
          <w:b/>
        </w:rPr>
        <w:tab/>
      </w:r>
      <w:r>
        <w:rPr>
          <w:rFonts w:ascii="Times New Roman" w:hAnsi="Times New Roman"/>
          <w:b/>
          <w:u w:val="single"/>
        </w:rPr>
        <w:t xml:space="preserve">Estimate of </w:t>
      </w:r>
      <w:r w:rsidR="00285C5F">
        <w:rPr>
          <w:rFonts w:ascii="Times New Roman" w:hAnsi="Times New Roman"/>
          <w:b/>
          <w:u w:val="single"/>
        </w:rPr>
        <w:t xml:space="preserve">Information Collection </w:t>
      </w:r>
      <w:r>
        <w:rPr>
          <w:rFonts w:ascii="Times New Roman" w:hAnsi="Times New Roman"/>
          <w:b/>
          <w:u w:val="single"/>
        </w:rPr>
        <w:t>Burden</w:t>
      </w:r>
    </w:p>
    <w:p w:rsidR="00877A3B" w:rsidP="006F02FA" w:rsidRDefault="00877A3B" w14:paraId="4A148BBC" w14:textId="77777777">
      <w:pPr>
        <w:rPr>
          <w:rFonts w:ascii="Times New Roman" w:hAnsi="Times New Roman"/>
          <w:b/>
          <w:u w:val="single"/>
        </w:rPr>
      </w:pPr>
    </w:p>
    <w:p w:rsidRPr="00612FEB" w:rsidR="00877A3B" w:rsidP="006F02FA" w:rsidRDefault="00877A3B" w14:paraId="4A148BBD" w14:textId="77777777">
      <w:pPr>
        <w:pStyle w:val="ListParagraph"/>
        <w:numPr>
          <w:ilvl w:val="0"/>
          <w:numId w:val="3"/>
        </w:numPr>
        <w:spacing w:after="200"/>
        <w:rPr>
          <w:rFonts w:ascii="Times New Roman" w:hAnsi="Times New Roman" w:eastAsiaTheme="minorHAnsi"/>
          <w:szCs w:val="24"/>
          <w:u w:val="single"/>
        </w:rPr>
      </w:pPr>
      <w:r w:rsidRPr="00612FEB">
        <w:rPr>
          <w:rFonts w:ascii="Times New Roman" w:hAnsi="Times New Roman" w:eastAsiaTheme="minorHAnsi"/>
          <w:szCs w:val="24"/>
          <w:u w:val="single"/>
        </w:rPr>
        <w:t>Respondents</w:t>
      </w:r>
    </w:p>
    <w:p w:rsidR="00877A3B" w:rsidP="006F02FA" w:rsidRDefault="00763918" w14:paraId="4A148BBE" w14:textId="6BDC623B">
      <w:pPr>
        <w:spacing w:after="200"/>
        <w:ind w:firstLine="720"/>
        <w:rPr>
          <w:rFonts w:ascii="Times New Roman" w:hAnsi="Times New Roman" w:eastAsiaTheme="minorHAnsi"/>
          <w:szCs w:val="24"/>
        </w:rPr>
      </w:pPr>
      <w:r>
        <w:rPr>
          <w:rFonts w:ascii="Times New Roman" w:hAnsi="Times New Roman"/>
          <w:szCs w:val="24"/>
        </w:rPr>
        <w:t>SEC data on the dollar value of contracts awarded by the SEC for fiscal years 2019 and 2020 shows</w:t>
      </w:r>
      <w:r w:rsidRPr="00877A3B" w:rsidR="00877A3B">
        <w:rPr>
          <w:rFonts w:ascii="Times New Roman" w:hAnsi="Times New Roman" w:eastAsiaTheme="minorHAnsi"/>
          <w:szCs w:val="24"/>
        </w:rPr>
        <w:t xml:space="preserve"> that </w:t>
      </w:r>
      <w:r>
        <w:rPr>
          <w:rFonts w:ascii="Times New Roman" w:hAnsi="Times New Roman" w:eastAsiaTheme="minorHAnsi"/>
          <w:szCs w:val="24"/>
        </w:rPr>
        <w:t xml:space="preserve">approximately </w:t>
      </w:r>
      <w:r w:rsidRPr="00877A3B" w:rsidR="00877A3B">
        <w:rPr>
          <w:rFonts w:ascii="Times New Roman" w:hAnsi="Times New Roman" w:eastAsiaTheme="minorHAnsi"/>
          <w:szCs w:val="24"/>
        </w:rPr>
        <w:t>1</w:t>
      </w:r>
      <w:r w:rsidR="00516533">
        <w:rPr>
          <w:rFonts w:ascii="Times New Roman" w:hAnsi="Times New Roman" w:eastAsiaTheme="minorHAnsi"/>
          <w:szCs w:val="24"/>
        </w:rPr>
        <w:t>75</w:t>
      </w:r>
      <w:r w:rsidRPr="00877A3B" w:rsidR="00877A3B">
        <w:rPr>
          <w:rFonts w:ascii="Times New Roman" w:hAnsi="Times New Roman" w:eastAsiaTheme="minorHAnsi"/>
          <w:szCs w:val="24"/>
        </w:rPr>
        <w:t xml:space="preserve"> contractors</w:t>
      </w:r>
      <w:r w:rsidR="00D352AE">
        <w:rPr>
          <w:rFonts w:ascii="Times New Roman" w:hAnsi="Times New Roman" w:eastAsiaTheme="minorHAnsi"/>
          <w:szCs w:val="24"/>
        </w:rPr>
        <w:t xml:space="preserve"> </w:t>
      </w:r>
      <w:r w:rsidRPr="00877A3B" w:rsidR="00877A3B">
        <w:rPr>
          <w:rFonts w:ascii="Times New Roman" w:hAnsi="Times New Roman" w:eastAsiaTheme="minorHAnsi"/>
          <w:szCs w:val="24"/>
        </w:rPr>
        <w:t xml:space="preserve">would be subject to the </w:t>
      </w:r>
      <w:r w:rsidR="007357FE">
        <w:rPr>
          <w:rFonts w:ascii="Times New Roman" w:hAnsi="Times New Roman" w:eastAsiaTheme="minorHAnsi"/>
          <w:szCs w:val="24"/>
        </w:rPr>
        <w:t xml:space="preserve">collection of information requirement </w:t>
      </w:r>
      <w:r w:rsidRPr="00877A3B" w:rsidR="00877A3B">
        <w:rPr>
          <w:rFonts w:ascii="Times New Roman" w:hAnsi="Times New Roman" w:eastAsiaTheme="minorHAnsi"/>
          <w:szCs w:val="24"/>
        </w:rPr>
        <w:t xml:space="preserve">under the </w:t>
      </w:r>
      <w:r w:rsidR="00FF3A9D">
        <w:rPr>
          <w:rFonts w:ascii="Times New Roman" w:hAnsi="Times New Roman" w:eastAsiaTheme="minorHAnsi"/>
          <w:szCs w:val="24"/>
        </w:rPr>
        <w:t>Contract Standard.</w:t>
      </w:r>
      <w:r w:rsidRPr="00D352AE" w:rsidR="00D352AE">
        <w:rPr>
          <w:rFonts w:ascii="Times New Roman" w:hAnsi="Times New Roman" w:eastAsiaTheme="minorHAnsi"/>
          <w:szCs w:val="24"/>
          <w:vertAlign w:val="superscript"/>
        </w:rPr>
        <w:t xml:space="preserve"> </w:t>
      </w:r>
      <w:r w:rsidRPr="00877A3B" w:rsidR="00D352AE">
        <w:rPr>
          <w:rFonts w:ascii="Times New Roman" w:hAnsi="Times New Roman" w:eastAsiaTheme="minorHAnsi"/>
          <w:szCs w:val="24"/>
          <w:vertAlign w:val="superscript"/>
        </w:rPr>
        <w:footnoteReference w:id="4"/>
      </w:r>
      <w:r w:rsidRPr="00877A3B" w:rsidR="00D352AE">
        <w:rPr>
          <w:rFonts w:ascii="Times New Roman" w:hAnsi="Times New Roman" w:eastAsiaTheme="minorHAnsi"/>
          <w:szCs w:val="24"/>
        </w:rPr>
        <w:t xml:space="preserve"> </w:t>
      </w:r>
      <w:r w:rsidRPr="00877A3B" w:rsidR="00877A3B">
        <w:rPr>
          <w:rFonts w:ascii="Times New Roman" w:hAnsi="Times New Roman" w:eastAsiaTheme="minorHAnsi"/>
          <w:szCs w:val="24"/>
        </w:rPr>
        <w:t xml:space="preserve"> </w:t>
      </w:r>
      <w:r w:rsidR="00285C5F">
        <w:rPr>
          <w:rFonts w:ascii="Times New Roman" w:hAnsi="Times New Roman" w:eastAsiaTheme="minorHAnsi"/>
          <w:szCs w:val="24"/>
        </w:rPr>
        <w:t>A</w:t>
      </w:r>
      <w:r w:rsidRPr="00877A3B" w:rsidR="00877A3B">
        <w:rPr>
          <w:rFonts w:ascii="Times New Roman" w:hAnsi="Times New Roman" w:eastAsiaTheme="minorHAnsi"/>
          <w:szCs w:val="24"/>
        </w:rPr>
        <w:t>pproximately 1</w:t>
      </w:r>
      <w:r w:rsidR="00516533">
        <w:rPr>
          <w:rFonts w:ascii="Times New Roman" w:hAnsi="Times New Roman" w:eastAsiaTheme="minorHAnsi"/>
          <w:szCs w:val="24"/>
        </w:rPr>
        <w:t>02</w:t>
      </w:r>
      <w:r w:rsidR="00285C5F">
        <w:rPr>
          <w:rFonts w:ascii="Times New Roman" w:hAnsi="Times New Roman" w:eastAsiaTheme="minorHAnsi"/>
          <w:szCs w:val="24"/>
        </w:rPr>
        <w:t xml:space="preserve"> of these contractors have 50 or more employees, while about </w:t>
      </w:r>
      <w:r w:rsidR="009D40BE">
        <w:rPr>
          <w:rFonts w:ascii="Times New Roman" w:hAnsi="Times New Roman" w:eastAsiaTheme="minorHAnsi"/>
          <w:szCs w:val="24"/>
        </w:rPr>
        <w:t>7</w:t>
      </w:r>
      <w:r w:rsidR="00516533">
        <w:rPr>
          <w:rFonts w:ascii="Times New Roman" w:hAnsi="Times New Roman" w:eastAsiaTheme="minorHAnsi"/>
          <w:szCs w:val="24"/>
        </w:rPr>
        <w:t>3</w:t>
      </w:r>
      <w:r w:rsidR="00285C5F">
        <w:rPr>
          <w:rFonts w:ascii="Times New Roman" w:hAnsi="Times New Roman" w:eastAsiaTheme="minorHAnsi"/>
          <w:szCs w:val="24"/>
        </w:rPr>
        <w:t xml:space="preserve"> contractors have </w:t>
      </w:r>
      <w:r w:rsidRPr="00877A3B" w:rsidR="00877A3B">
        <w:rPr>
          <w:rFonts w:ascii="Times New Roman" w:hAnsi="Times New Roman" w:eastAsiaTheme="minorHAnsi"/>
          <w:szCs w:val="24"/>
        </w:rPr>
        <w:t xml:space="preserve">fewer than 50 employees. </w:t>
      </w:r>
      <w:r w:rsidR="009D40BE">
        <w:rPr>
          <w:rFonts w:ascii="Times New Roman" w:hAnsi="Times New Roman"/>
          <w:szCs w:val="24"/>
        </w:rPr>
        <w:t xml:space="preserve"> Since the last approval of this information collection, we adjusted the estimated number of contractors from 190 contractors</w:t>
      </w:r>
      <w:r w:rsidR="00516533">
        <w:rPr>
          <w:rFonts w:ascii="Times New Roman" w:hAnsi="Times New Roman"/>
          <w:szCs w:val="24"/>
        </w:rPr>
        <w:t xml:space="preserve"> to 175 contractors</w:t>
      </w:r>
      <w:r w:rsidR="009D40BE">
        <w:rPr>
          <w:rFonts w:ascii="Times New Roman" w:hAnsi="Times New Roman"/>
          <w:szCs w:val="24"/>
        </w:rPr>
        <w:t>.  In addition, we adjusted the number of contractors that have 50 or more employees and the number that have fewer than 50 employees to reflect the percentages of contractors meeting these workforce size thresholds among all contractors reviewed by OMWI for compliance with the Contract Standard during the last two years.</w:t>
      </w:r>
    </w:p>
    <w:p w:rsidRPr="006F02FA" w:rsidR="00B70548" w:rsidP="006F02FA" w:rsidRDefault="00B70548" w14:paraId="4A148BBF" w14:textId="77777777">
      <w:pPr>
        <w:pStyle w:val="ListParagraph"/>
        <w:numPr>
          <w:ilvl w:val="0"/>
          <w:numId w:val="3"/>
        </w:numPr>
        <w:rPr>
          <w:szCs w:val="24"/>
          <w:u w:val="single"/>
        </w:rPr>
      </w:pPr>
      <w:r w:rsidRPr="00612FEB">
        <w:rPr>
          <w:rFonts w:ascii="Times New Roman" w:hAnsi="Times New Roman"/>
          <w:szCs w:val="24"/>
          <w:u w:val="single"/>
        </w:rPr>
        <w:t xml:space="preserve">Recordkeeping Burden </w:t>
      </w:r>
    </w:p>
    <w:p w:rsidRPr="00612FEB" w:rsidR="006F02FA" w:rsidP="006F02FA" w:rsidRDefault="006F02FA" w14:paraId="4A148BC0" w14:textId="77777777">
      <w:pPr>
        <w:pStyle w:val="ListParagraph"/>
        <w:ind w:left="1800"/>
        <w:rPr>
          <w:szCs w:val="24"/>
          <w:u w:val="single"/>
        </w:rPr>
      </w:pPr>
    </w:p>
    <w:p w:rsidR="00D352AE" w:rsidP="006F02FA" w:rsidRDefault="003D7FDA" w14:paraId="4A148BC1" w14:textId="45F9900C">
      <w:pPr>
        <w:ind w:firstLine="720"/>
        <w:rPr>
          <w:szCs w:val="24"/>
        </w:rPr>
      </w:pPr>
      <w:r w:rsidRPr="001C5962">
        <w:rPr>
          <w:szCs w:val="24"/>
        </w:rPr>
        <w:t xml:space="preserve">The </w:t>
      </w:r>
      <w:r>
        <w:rPr>
          <w:szCs w:val="24"/>
        </w:rPr>
        <w:t xml:space="preserve">documentation requested to demonstrate good faith efforts to ensure </w:t>
      </w:r>
      <w:r w:rsidR="00A20EFD">
        <w:rPr>
          <w:szCs w:val="24"/>
        </w:rPr>
        <w:t xml:space="preserve">the </w:t>
      </w:r>
      <w:r>
        <w:rPr>
          <w:szCs w:val="24"/>
        </w:rPr>
        <w:t xml:space="preserve">fair inclusion of minorities in the contractor’s workforce </w:t>
      </w:r>
      <w:r w:rsidRPr="001C5962">
        <w:rPr>
          <w:szCs w:val="24"/>
        </w:rPr>
        <w:t>may include, but is not limited to</w:t>
      </w:r>
      <w:r>
        <w:rPr>
          <w:szCs w:val="24"/>
        </w:rPr>
        <w:t>: 1</w:t>
      </w:r>
      <w:r w:rsidRPr="001C5962">
        <w:rPr>
          <w:szCs w:val="24"/>
        </w:rPr>
        <w:t>)</w:t>
      </w:r>
      <w:r w:rsidR="00F84C5B">
        <w:rPr>
          <w:szCs w:val="24"/>
        </w:rPr>
        <w:t> </w:t>
      </w:r>
      <w:r>
        <w:rPr>
          <w:szCs w:val="24"/>
        </w:rPr>
        <w:t xml:space="preserve">the </w:t>
      </w:r>
      <w:r w:rsidRPr="001C5962">
        <w:rPr>
          <w:szCs w:val="24"/>
        </w:rPr>
        <w:t>total number of employees</w:t>
      </w:r>
      <w:r>
        <w:rPr>
          <w:szCs w:val="24"/>
        </w:rPr>
        <w:t xml:space="preserve"> in the contractor’s workforce</w:t>
      </w:r>
      <w:r w:rsidRPr="001C5962">
        <w:rPr>
          <w:szCs w:val="24"/>
        </w:rPr>
        <w:t>, and the number of employees by race, ethnicity, gender</w:t>
      </w:r>
      <w:r>
        <w:rPr>
          <w:szCs w:val="24"/>
        </w:rPr>
        <w:t xml:space="preserve">, and job title or EEO-1 job category </w:t>
      </w:r>
      <w:r w:rsidRPr="001C5962">
        <w:rPr>
          <w:szCs w:val="24"/>
        </w:rPr>
        <w:t>(e.g.,</w:t>
      </w:r>
      <w:r>
        <w:rPr>
          <w:szCs w:val="24"/>
        </w:rPr>
        <w:t xml:space="preserve"> </w:t>
      </w:r>
      <w:r w:rsidRPr="001C5962">
        <w:rPr>
          <w:szCs w:val="24"/>
        </w:rPr>
        <w:t>EEO-1 Report</w:t>
      </w:r>
      <w:r>
        <w:rPr>
          <w:szCs w:val="24"/>
        </w:rPr>
        <w:t>(s)</w:t>
      </w:r>
      <w:r w:rsidRPr="001C5962">
        <w:rPr>
          <w:szCs w:val="24"/>
        </w:rPr>
        <w:t xml:space="preserve">); </w:t>
      </w:r>
      <w:r>
        <w:rPr>
          <w:szCs w:val="24"/>
        </w:rPr>
        <w:t>2</w:t>
      </w:r>
      <w:r w:rsidRPr="001C5962">
        <w:rPr>
          <w:szCs w:val="24"/>
        </w:rPr>
        <w:t xml:space="preserve">) a list of </w:t>
      </w:r>
      <w:r>
        <w:rPr>
          <w:szCs w:val="24"/>
        </w:rPr>
        <w:t xml:space="preserve">covered </w:t>
      </w:r>
      <w:r w:rsidRPr="001C5962">
        <w:rPr>
          <w:szCs w:val="24"/>
        </w:rPr>
        <w:t xml:space="preserve">subcontract awards under the </w:t>
      </w:r>
      <w:r>
        <w:rPr>
          <w:szCs w:val="24"/>
        </w:rPr>
        <w:t>c</w:t>
      </w:r>
      <w:r w:rsidRPr="001C5962">
        <w:rPr>
          <w:szCs w:val="24"/>
        </w:rPr>
        <w:t xml:space="preserve">ontract that </w:t>
      </w:r>
      <w:r>
        <w:rPr>
          <w:szCs w:val="24"/>
        </w:rPr>
        <w:t>includes</w:t>
      </w:r>
      <w:r w:rsidRPr="001C5962">
        <w:rPr>
          <w:szCs w:val="24"/>
        </w:rPr>
        <w:t xml:space="preserve"> the dollar amount of </w:t>
      </w:r>
      <w:r>
        <w:rPr>
          <w:szCs w:val="24"/>
        </w:rPr>
        <w:t>each</w:t>
      </w:r>
      <w:r w:rsidRPr="001C5962">
        <w:rPr>
          <w:szCs w:val="24"/>
        </w:rPr>
        <w:t xml:space="preserve"> subcontract, date of award, </w:t>
      </w:r>
      <w:r>
        <w:rPr>
          <w:szCs w:val="24"/>
        </w:rPr>
        <w:t>and the subcontractor’s race, ethnicity, and/or gender ownership status;</w:t>
      </w:r>
      <w:r w:rsidRPr="001C5962">
        <w:rPr>
          <w:szCs w:val="24"/>
        </w:rPr>
        <w:t xml:space="preserve"> </w:t>
      </w:r>
      <w:r>
        <w:rPr>
          <w:szCs w:val="24"/>
        </w:rPr>
        <w:t>3</w:t>
      </w:r>
      <w:r w:rsidRPr="001C5962">
        <w:rPr>
          <w:szCs w:val="24"/>
        </w:rPr>
        <w:t xml:space="preserve">) the </w:t>
      </w:r>
      <w:r>
        <w:rPr>
          <w:szCs w:val="24"/>
        </w:rPr>
        <w:t>c</w:t>
      </w:r>
      <w:r w:rsidRPr="001C5962">
        <w:rPr>
          <w:szCs w:val="24"/>
        </w:rPr>
        <w:t>ontractor’s plan to ensure</w:t>
      </w:r>
      <w:r>
        <w:rPr>
          <w:szCs w:val="24"/>
        </w:rPr>
        <w:t xml:space="preserve"> the fair inclusion of minorities and women in its workforce</w:t>
      </w:r>
      <w:r w:rsidRPr="001C5962">
        <w:rPr>
          <w:szCs w:val="24"/>
        </w:rPr>
        <w:t>, including outreach efforts</w:t>
      </w:r>
      <w:r>
        <w:rPr>
          <w:szCs w:val="24"/>
        </w:rPr>
        <w:t>; and 4) for each covered subcontractor, the information requested in items 1 and 3 above.</w:t>
      </w:r>
      <w:r w:rsidRPr="001C5962">
        <w:rPr>
          <w:szCs w:val="24"/>
        </w:rPr>
        <w:t xml:space="preserve"> </w:t>
      </w:r>
      <w:r>
        <w:rPr>
          <w:szCs w:val="24"/>
        </w:rPr>
        <w:t xml:space="preserve"> </w:t>
      </w:r>
    </w:p>
    <w:p w:rsidR="00D352AE" w:rsidP="006F02FA" w:rsidRDefault="00D352AE" w14:paraId="4A148BC2" w14:textId="77777777">
      <w:pPr>
        <w:ind w:firstLine="720"/>
        <w:rPr>
          <w:szCs w:val="24"/>
        </w:rPr>
      </w:pPr>
    </w:p>
    <w:p w:rsidR="00D352AE" w:rsidP="006F02FA" w:rsidRDefault="00B70548" w14:paraId="4A148BC3" w14:textId="3ED41CD8">
      <w:pPr>
        <w:ind w:firstLine="720"/>
        <w:rPr>
          <w:szCs w:val="24"/>
        </w:rPr>
      </w:pPr>
      <w:r>
        <w:rPr>
          <w:szCs w:val="24"/>
        </w:rPr>
        <w:t>Th</w:t>
      </w:r>
      <w:r w:rsidR="003D7FDA">
        <w:rPr>
          <w:szCs w:val="24"/>
        </w:rPr>
        <w:t>is</w:t>
      </w:r>
      <w:r>
        <w:rPr>
          <w:szCs w:val="24"/>
        </w:rPr>
        <w:t xml:space="preserve"> </w:t>
      </w:r>
      <w:r w:rsidR="007357FE">
        <w:rPr>
          <w:szCs w:val="24"/>
        </w:rPr>
        <w:t xml:space="preserve">collection of information </w:t>
      </w:r>
      <w:r>
        <w:rPr>
          <w:szCs w:val="24"/>
        </w:rPr>
        <w:t>under the Contract Standard impose</w:t>
      </w:r>
      <w:r w:rsidR="009D40BE">
        <w:rPr>
          <w:szCs w:val="24"/>
        </w:rPr>
        <w:t>s</w:t>
      </w:r>
      <w:r>
        <w:rPr>
          <w:szCs w:val="24"/>
        </w:rPr>
        <w:t xml:space="preserve"> no new recordkeeping burden on the estimated </w:t>
      </w:r>
      <w:r w:rsidRPr="003D7F72">
        <w:rPr>
          <w:szCs w:val="24"/>
        </w:rPr>
        <w:t>1</w:t>
      </w:r>
      <w:r w:rsidR="007D2CD1">
        <w:rPr>
          <w:szCs w:val="24"/>
        </w:rPr>
        <w:t>02</w:t>
      </w:r>
      <w:r>
        <w:rPr>
          <w:szCs w:val="24"/>
        </w:rPr>
        <w:t xml:space="preserve"> contractors that have 50 or more employees.  Such contractors are generally subject to recordkeeping and reporting requirements under the regulations implementing Title VII of the Civil Rights Act</w:t>
      </w:r>
      <w:r>
        <w:rPr>
          <w:rStyle w:val="FootnoteReference"/>
          <w:szCs w:val="24"/>
        </w:rPr>
        <w:footnoteReference w:id="5"/>
      </w:r>
      <w:r>
        <w:rPr>
          <w:szCs w:val="24"/>
        </w:rPr>
        <w:t xml:space="preserve"> and Executive Order 11246 (“EO 11246”)</w:t>
      </w:r>
      <w:r w:rsidR="00A20EFD">
        <w:rPr>
          <w:szCs w:val="24"/>
        </w:rPr>
        <w:t>.</w:t>
      </w:r>
      <w:r>
        <w:rPr>
          <w:rStyle w:val="FootnoteReference"/>
          <w:szCs w:val="24"/>
        </w:rPr>
        <w:footnoteReference w:id="6"/>
      </w:r>
      <w:r w:rsidR="00A20EFD">
        <w:rPr>
          <w:szCs w:val="24"/>
        </w:rPr>
        <w:t xml:space="preserve">  </w:t>
      </w:r>
      <w:r w:rsidR="003D7FDA">
        <w:rPr>
          <w:szCs w:val="24"/>
        </w:rPr>
        <w:t xml:space="preserve">Under the regulations implementing EO 11246, </w:t>
      </w:r>
      <w:r>
        <w:rPr>
          <w:szCs w:val="24"/>
        </w:rPr>
        <w:t xml:space="preserve">contractors that have 50 or more employees (and a contract or subcontract of $50,000 or </w:t>
      </w:r>
      <w:r>
        <w:rPr>
          <w:szCs w:val="24"/>
        </w:rPr>
        <w:lastRenderedPageBreak/>
        <w:t>more) are required to maintain records on the race, ethnicity, gender, and EEO-1 job category of each employee</w:t>
      </w:r>
      <w:r w:rsidR="00C33FA1">
        <w:rPr>
          <w:szCs w:val="24"/>
        </w:rPr>
        <w:t>.</w:t>
      </w:r>
      <w:r>
        <w:rPr>
          <w:rStyle w:val="FootnoteReference"/>
          <w:szCs w:val="24"/>
        </w:rPr>
        <w:footnoteReference w:id="7"/>
      </w:r>
      <w:r w:rsidR="00C33FA1">
        <w:rPr>
          <w:szCs w:val="24"/>
        </w:rPr>
        <w:t xml:space="preserve"> </w:t>
      </w:r>
      <w:r w:rsidR="00A20EFD">
        <w:rPr>
          <w:szCs w:val="24"/>
        </w:rPr>
        <w:t xml:space="preserve"> </w:t>
      </w:r>
      <w:r w:rsidR="00C33FA1">
        <w:rPr>
          <w:szCs w:val="24"/>
        </w:rPr>
        <w:t>Such contractors are also required</w:t>
      </w:r>
      <w:r w:rsidR="003D7FDA">
        <w:rPr>
          <w:szCs w:val="24"/>
        </w:rPr>
        <w:t xml:space="preserve"> </w:t>
      </w:r>
      <w:r>
        <w:rPr>
          <w:szCs w:val="24"/>
        </w:rPr>
        <w:t>to develop and maintain a written program, which describes the policies, practices, and procedures that the contractor uses to ensure that applicants and employees receive equal opportunities for employment and advancement.</w:t>
      </w:r>
      <w:r>
        <w:rPr>
          <w:rStyle w:val="FootnoteReference"/>
          <w:szCs w:val="24"/>
        </w:rPr>
        <w:footnoteReference w:id="8"/>
      </w:r>
      <w:r>
        <w:rPr>
          <w:szCs w:val="24"/>
        </w:rPr>
        <w:t xml:space="preserve">  </w:t>
      </w:r>
    </w:p>
    <w:p w:rsidR="00D352AE" w:rsidP="006F02FA" w:rsidRDefault="00D352AE" w14:paraId="4A148BC4" w14:textId="77777777">
      <w:pPr>
        <w:ind w:firstLine="720"/>
        <w:rPr>
          <w:szCs w:val="24"/>
        </w:rPr>
      </w:pPr>
    </w:p>
    <w:p w:rsidR="00B70548" w:rsidP="006F02FA" w:rsidRDefault="00B70548" w14:paraId="4A148BC5" w14:textId="587C1460">
      <w:pPr>
        <w:ind w:firstLine="720"/>
        <w:rPr>
          <w:szCs w:val="24"/>
        </w:rPr>
      </w:pPr>
      <w:r>
        <w:rPr>
          <w:szCs w:val="24"/>
        </w:rPr>
        <w:t xml:space="preserve">In lieu of developing a separate workforce inclusion plan, a contractor </w:t>
      </w:r>
      <w:r w:rsidR="009D40BE">
        <w:rPr>
          <w:szCs w:val="24"/>
        </w:rPr>
        <w:t>may</w:t>
      </w:r>
      <w:r>
        <w:rPr>
          <w:szCs w:val="24"/>
        </w:rPr>
        <w:t xml:space="preserve"> submit its existing written program prescribed by the EO 11246 regulations as part of the documentation that demonstrates the contractor’s good faith efforts to ensure the fair inclusion of minorities and women in its workforce.  Thus, approximately </w:t>
      </w:r>
      <w:r w:rsidRPr="003D7F72">
        <w:rPr>
          <w:szCs w:val="24"/>
        </w:rPr>
        <w:t>1</w:t>
      </w:r>
      <w:r w:rsidR="007D2CD1">
        <w:rPr>
          <w:szCs w:val="24"/>
        </w:rPr>
        <w:t>02</w:t>
      </w:r>
      <w:r w:rsidR="008A0450">
        <w:rPr>
          <w:szCs w:val="24"/>
        </w:rPr>
        <w:t xml:space="preserve"> </w:t>
      </w:r>
      <w:r>
        <w:rPr>
          <w:szCs w:val="24"/>
        </w:rPr>
        <w:t xml:space="preserve">contractors are already required to maintain the information that may be requested under the Contract Standard.   </w:t>
      </w:r>
    </w:p>
    <w:p w:rsidR="006F02FA" w:rsidP="006F02FA" w:rsidRDefault="006F02FA" w14:paraId="4A148BC6" w14:textId="77777777">
      <w:pPr>
        <w:ind w:firstLine="720"/>
        <w:rPr>
          <w:szCs w:val="24"/>
        </w:rPr>
      </w:pPr>
    </w:p>
    <w:p w:rsidR="00B70548" w:rsidP="006F02FA" w:rsidRDefault="00B70548" w14:paraId="4A148BC7" w14:textId="2B3B17B9">
      <w:pPr>
        <w:ind w:firstLine="720"/>
        <w:rPr>
          <w:szCs w:val="24"/>
        </w:rPr>
      </w:pPr>
      <w:r>
        <w:rPr>
          <w:szCs w:val="24"/>
        </w:rPr>
        <w:t xml:space="preserve">The estimated </w:t>
      </w:r>
      <w:r w:rsidR="008A0450">
        <w:rPr>
          <w:szCs w:val="24"/>
        </w:rPr>
        <w:t>7</w:t>
      </w:r>
      <w:r w:rsidR="007D2CD1">
        <w:rPr>
          <w:szCs w:val="24"/>
        </w:rPr>
        <w:t>3</w:t>
      </w:r>
      <w:r w:rsidRPr="009E438C">
        <w:rPr>
          <w:szCs w:val="24"/>
        </w:rPr>
        <w:t xml:space="preserve"> contractors </w:t>
      </w:r>
      <w:r>
        <w:rPr>
          <w:szCs w:val="24"/>
        </w:rPr>
        <w:t xml:space="preserve">that </w:t>
      </w:r>
      <w:r w:rsidRPr="009E438C">
        <w:rPr>
          <w:szCs w:val="24"/>
        </w:rPr>
        <w:t>employ fewer than 50 employees</w:t>
      </w:r>
      <w:r>
        <w:rPr>
          <w:szCs w:val="24"/>
        </w:rPr>
        <w:t xml:space="preserve"> are required under the regulations implementing </w:t>
      </w:r>
      <w:r w:rsidRPr="002C61A9">
        <w:rPr>
          <w:caps/>
          <w:szCs w:val="24"/>
        </w:rPr>
        <w:t>EO</w:t>
      </w:r>
      <w:r>
        <w:rPr>
          <w:szCs w:val="24"/>
        </w:rPr>
        <w:t xml:space="preserve"> 11246 to maintain records showing the race, ethnicity and gender of each employee.  We believe that these contractors also keep job title information during the normal course of business.  However, contractors that have fewer than 50 employees </w:t>
      </w:r>
      <w:r w:rsidRPr="009E438C">
        <w:rPr>
          <w:szCs w:val="24"/>
        </w:rPr>
        <w:t xml:space="preserve">may not have </w:t>
      </w:r>
      <w:r>
        <w:rPr>
          <w:szCs w:val="24"/>
        </w:rPr>
        <w:t xml:space="preserve">the written program prescribed by the EO 11246 regulations or similar plan that could be submitted as part of the documentation to demonstrate their good faith efforts to ensure the fair inclusion of minorities and women in their workforces.  Accordingly, contractors with fewer than 50 employees may have to </w:t>
      </w:r>
      <w:r w:rsidR="008A0450">
        <w:rPr>
          <w:szCs w:val="24"/>
        </w:rPr>
        <w:t xml:space="preserve">develop </w:t>
      </w:r>
      <w:r>
        <w:rPr>
          <w:szCs w:val="24"/>
        </w:rPr>
        <w:t xml:space="preserve">a plan to ensure workforce inclusion of minorities and women.  </w:t>
      </w:r>
    </w:p>
    <w:p w:rsidR="006F02FA" w:rsidP="006F02FA" w:rsidRDefault="006F02FA" w14:paraId="4A148BC8" w14:textId="77777777">
      <w:pPr>
        <w:ind w:firstLine="720"/>
        <w:rPr>
          <w:szCs w:val="24"/>
        </w:rPr>
      </w:pPr>
    </w:p>
    <w:p w:rsidR="006F02FA" w:rsidP="006F02FA" w:rsidRDefault="00B70548" w14:paraId="4A148BC9" w14:textId="1591CF8F">
      <w:pPr>
        <w:ind w:firstLine="720"/>
        <w:rPr>
          <w:rFonts w:ascii="Times New Roman" w:hAnsi="Times New Roman"/>
          <w:szCs w:val="24"/>
        </w:rPr>
      </w:pPr>
      <w:r>
        <w:rPr>
          <w:szCs w:val="24"/>
        </w:rPr>
        <w:t xml:space="preserve">In order to estimate the burden on contractors associated with creating a workforce inclusion plan, we considered the burden estimates for developing the written programs required under the regulations implementing </w:t>
      </w:r>
      <w:r w:rsidRPr="002C61A9">
        <w:rPr>
          <w:caps/>
          <w:szCs w:val="24"/>
        </w:rPr>
        <w:t>EO</w:t>
      </w:r>
      <w:r>
        <w:rPr>
          <w:szCs w:val="24"/>
        </w:rPr>
        <w:t xml:space="preserve"> 11246.</w:t>
      </w:r>
      <w:r>
        <w:rPr>
          <w:rStyle w:val="FootnoteReference"/>
          <w:szCs w:val="24"/>
        </w:rPr>
        <w:footnoteReference w:id="9"/>
      </w:r>
      <w:r>
        <w:rPr>
          <w:szCs w:val="24"/>
        </w:rPr>
        <w:t xml:space="preserve">  </w:t>
      </w:r>
      <w:r w:rsidRPr="005E680C" w:rsidR="008A0450">
        <w:rPr>
          <w:rFonts w:ascii="Times New Roman" w:hAnsi="Times New Roman"/>
          <w:szCs w:val="24"/>
        </w:rPr>
        <w:t>Based on OMWI’s review of the plans and other documentation submitted by contractors with fewer than 50 employees to demonstrate compliance with the Contract Standard, we believe such contractors would require approximately 25 percent of the hours that contractors of similar size spend on developing the written programs required under the EO 11246 regulations. Accordingly, we estimate that contractors would spend about 18 hours</w:t>
      </w:r>
      <w:r w:rsidR="00F62023">
        <w:rPr>
          <w:rFonts w:ascii="Times New Roman" w:hAnsi="Times New Roman"/>
          <w:szCs w:val="24"/>
        </w:rPr>
        <w:t>, or 6 hours annualized,</w:t>
      </w:r>
      <w:r w:rsidRPr="005E680C" w:rsidR="008A0450">
        <w:rPr>
          <w:rFonts w:ascii="Times New Roman" w:hAnsi="Times New Roman"/>
          <w:szCs w:val="24"/>
        </w:rPr>
        <w:t xml:space="preserve"> of employee resources to develop a plan for workforce inclusion of minorities and women. </w:t>
      </w:r>
      <w:r w:rsidR="00D352AE">
        <w:rPr>
          <w:rFonts w:ascii="Times New Roman" w:hAnsi="Times New Roman"/>
          <w:szCs w:val="24"/>
        </w:rPr>
        <w:t xml:space="preserve"> </w:t>
      </w:r>
      <w:r w:rsidRPr="005E680C" w:rsidR="008A0450">
        <w:rPr>
          <w:rFonts w:ascii="Times New Roman" w:hAnsi="Times New Roman"/>
          <w:szCs w:val="24"/>
        </w:rPr>
        <w:t>This one-time implementation burden annualized would be 4</w:t>
      </w:r>
      <w:r w:rsidR="00472788">
        <w:rPr>
          <w:rFonts w:ascii="Times New Roman" w:hAnsi="Times New Roman"/>
          <w:szCs w:val="24"/>
        </w:rPr>
        <w:t>38</w:t>
      </w:r>
      <w:r w:rsidRPr="005E680C" w:rsidR="008A0450">
        <w:rPr>
          <w:rFonts w:ascii="Times New Roman" w:hAnsi="Times New Roman"/>
          <w:szCs w:val="24"/>
        </w:rPr>
        <w:t xml:space="preserve"> hours. </w:t>
      </w:r>
    </w:p>
    <w:p w:rsidR="006F02FA" w:rsidP="006F02FA" w:rsidRDefault="006F02FA" w14:paraId="4A148BCA" w14:textId="77777777">
      <w:pPr>
        <w:ind w:firstLine="720"/>
        <w:rPr>
          <w:rFonts w:ascii="Times New Roman" w:hAnsi="Times New Roman"/>
          <w:szCs w:val="24"/>
        </w:rPr>
      </w:pPr>
    </w:p>
    <w:p w:rsidR="008A0450" w:rsidP="006F02FA" w:rsidRDefault="008A0450" w14:paraId="4A148BCB" w14:textId="57D101DB">
      <w:pPr>
        <w:ind w:firstLine="720"/>
        <w:rPr>
          <w:rFonts w:ascii="Times New Roman" w:hAnsi="Times New Roman"/>
          <w:szCs w:val="24"/>
        </w:rPr>
      </w:pPr>
      <w:r w:rsidRPr="005E680C">
        <w:rPr>
          <w:rFonts w:ascii="Times New Roman" w:hAnsi="Times New Roman"/>
          <w:szCs w:val="24"/>
        </w:rPr>
        <w:t>After the initial development, we estimate that each contractor with fewer than 50 employees would spend approximately 8 hours each year updating and maintaining its plan for workforce inclusion of minorities and women</w:t>
      </w:r>
      <w:r w:rsidR="00E00636">
        <w:rPr>
          <w:rFonts w:ascii="Times New Roman" w:hAnsi="Times New Roman"/>
          <w:szCs w:val="24"/>
        </w:rPr>
        <w:t>, or approximately 5 hours annualized</w:t>
      </w:r>
      <w:r w:rsidR="000521F8">
        <w:rPr>
          <w:rFonts w:ascii="Times New Roman" w:hAnsi="Times New Roman"/>
          <w:szCs w:val="24"/>
        </w:rPr>
        <w:t xml:space="preserve"> ((8+8)/3)</w:t>
      </w:r>
      <w:r w:rsidRPr="005E680C">
        <w:rPr>
          <w:rFonts w:ascii="Times New Roman" w:hAnsi="Times New Roman"/>
          <w:szCs w:val="24"/>
        </w:rPr>
        <w:t xml:space="preserve">. </w:t>
      </w:r>
      <w:r w:rsidR="00D352AE">
        <w:rPr>
          <w:rFonts w:ascii="Times New Roman" w:hAnsi="Times New Roman"/>
          <w:szCs w:val="24"/>
        </w:rPr>
        <w:t xml:space="preserve"> </w:t>
      </w:r>
      <w:r w:rsidRPr="005E680C">
        <w:rPr>
          <w:rFonts w:ascii="Times New Roman" w:hAnsi="Times New Roman"/>
          <w:szCs w:val="24"/>
        </w:rPr>
        <w:t>The Commission estimates that the annualized recurring burden associated with the information collection would be 3</w:t>
      </w:r>
      <w:r w:rsidR="00472788">
        <w:rPr>
          <w:rFonts w:ascii="Times New Roman" w:hAnsi="Times New Roman"/>
          <w:szCs w:val="24"/>
        </w:rPr>
        <w:t>65</w:t>
      </w:r>
      <w:r w:rsidRPr="005E680C">
        <w:rPr>
          <w:rFonts w:ascii="Times New Roman" w:hAnsi="Times New Roman"/>
          <w:szCs w:val="24"/>
        </w:rPr>
        <w:t xml:space="preserve"> hours</w:t>
      </w:r>
      <w:r w:rsidR="00E00636">
        <w:rPr>
          <w:rFonts w:ascii="Times New Roman" w:hAnsi="Times New Roman"/>
          <w:szCs w:val="24"/>
        </w:rPr>
        <w:t xml:space="preserve"> annualized</w:t>
      </w:r>
      <w:r w:rsidRPr="005E680C">
        <w:rPr>
          <w:rFonts w:ascii="Times New Roman" w:hAnsi="Times New Roman"/>
          <w:szCs w:val="24"/>
        </w:rPr>
        <w:t xml:space="preserve">. </w:t>
      </w:r>
      <w:r w:rsidR="00D352AE">
        <w:rPr>
          <w:rFonts w:ascii="Times New Roman" w:hAnsi="Times New Roman"/>
          <w:szCs w:val="24"/>
        </w:rPr>
        <w:t xml:space="preserve"> </w:t>
      </w:r>
      <w:r w:rsidRPr="005E680C">
        <w:rPr>
          <w:rFonts w:ascii="Times New Roman" w:hAnsi="Times New Roman"/>
          <w:szCs w:val="24"/>
        </w:rPr>
        <w:t>Thus, the Commission estimates the annual recordkeeping burden for such contractors would total 8</w:t>
      </w:r>
      <w:r w:rsidR="00472788">
        <w:rPr>
          <w:rFonts w:ascii="Times New Roman" w:hAnsi="Times New Roman"/>
          <w:szCs w:val="24"/>
        </w:rPr>
        <w:t>03</w:t>
      </w:r>
      <w:r w:rsidRPr="005E680C">
        <w:rPr>
          <w:rFonts w:ascii="Times New Roman" w:hAnsi="Times New Roman"/>
          <w:szCs w:val="24"/>
        </w:rPr>
        <w:t xml:space="preserve"> hours</w:t>
      </w:r>
      <w:r w:rsidR="00E00636">
        <w:rPr>
          <w:rFonts w:ascii="Times New Roman" w:hAnsi="Times New Roman"/>
          <w:szCs w:val="24"/>
        </w:rPr>
        <w:t xml:space="preserve"> annualized</w:t>
      </w:r>
      <w:r w:rsidRPr="005E680C">
        <w:rPr>
          <w:rFonts w:ascii="Times New Roman" w:hAnsi="Times New Roman"/>
          <w:szCs w:val="24"/>
        </w:rPr>
        <w:t>.</w:t>
      </w:r>
    </w:p>
    <w:p w:rsidR="006F02FA" w:rsidP="006F02FA" w:rsidRDefault="006F02FA" w14:paraId="4A148BCC" w14:textId="77777777">
      <w:pPr>
        <w:ind w:firstLine="720"/>
        <w:rPr>
          <w:szCs w:val="24"/>
        </w:rPr>
      </w:pPr>
    </w:p>
    <w:p w:rsidR="00B70548" w:rsidP="006F02FA" w:rsidRDefault="00B70548" w14:paraId="4A148BCD" w14:textId="77777777">
      <w:pPr>
        <w:ind w:firstLine="720"/>
      </w:pPr>
      <w:r>
        <w:rPr>
          <w:szCs w:val="24"/>
        </w:rPr>
        <w:t xml:space="preserve">The </w:t>
      </w:r>
      <w:r w:rsidR="00CD30EA">
        <w:rPr>
          <w:szCs w:val="24"/>
        </w:rPr>
        <w:t>Co</w:t>
      </w:r>
      <w:r>
        <w:rPr>
          <w:szCs w:val="24"/>
        </w:rPr>
        <w:t xml:space="preserve">ntract </w:t>
      </w:r>
      <w:r w:rsidR="00CD30EA">
        <w:rPr>
          <w:szCs w:val="24"/>
        </w:rPr>
        <w:t>S</w:t>
      </w:r>
      <w:r>
        <w:rPr>
          <w:szCs w:val="24"/>
        </w:rPr>
        <w:t>tandard require</w:t>
      </w:r>
      <w:r w:rsidR="008A0450">
        <w:rPr>
          <w:szCs w:val="24"/>
        </w:rPr>
        <w:t>s</w:t>
      </w:r>
      <w:r>
        <w:rPr>
          <w:szCs w:val="24"/>
        </w:rPr>
        <w:t xml:space="preserve"> contractors to maintain information about covered subcontractors’ ownership status, workforce demographics, and workforce inclusion plans.  Contractors would request this information from their covered subcontractors, who would have an obligation to keep workforce demographic data and maintain workforce inclusion plans because the substance of the Contract Standard </w:t>
      </w:r>
      <w:r w:rsidR="008A0450">
        <w:rPr>
          <w:szCs w:val="24"/>
        </w:rPr>
        <w:t>is</w:t>
      </w:r>
      <w:r>
        <w:rPr>
          <w:szCs w:val="24"/>
        </w:rPr>
        <w:t xml:space="preserve"> included in their subcontracts.  Based on data describing recent Commission subcontractor activity, we believe that very few subcontractors will have subcontracts </w:t>
      </w:r>
      <w:r w:rsidR="00A24FF3">
        <w:rPr>
          <w:szCs w:val="24"/>
        </w:rPr>
        <w:t xml:space="preserve">with a dollar value of $100,000 or more </w:t>
      </w:r>
      <w:r>
        <w:rPr>
          <w:szCs w:val="24"/>
        </w:rPr>
        <w:t>under Commission service contracts.</w:t>
      </w:r>
      <w:r>
        <w:rPr>
          <w:rStyle w:val="FootnoteReference"/>
          <w:szCs w:val="24"/>
        </w:rPr>
        <w:footnoteReference w:id="10"/>
      </w:r>
      <w:r>
        <w:rPr>
          <w:szCs w:val="24"/>
        </w:rPr>
        <w:t xml:space="preserve">  </w:t>
      </w:r>
      <w:r>
        <w:t xml:space="preserve">These </w:t>
      </w:r>
      <w:r w:rsidRPr="00657D0C">
        <w:t>subcontractors may already be subject to similar recordkeeping requirements</w:t>
      </w:r>
      <w:r>
        <w:t xml:space="preserve"> as principal contractors</w:t>
      </w:r>
      <w:r w:rsidRPr="00657D0C">
        <w:t>.</w:t>
      </w:r>
      <w:r>
        <w:t xml:space="preserve"> </w:t>
      </w:r>
      <w:r w:rsidRPr="00657D0C">
        <w:t xml:space="preserve"> Consequently, we believe that any additional requirements imposed on subcontractors would not significantly add to the burden estimates discussed above.</w:t>
      </w:r>
    </w:p>
    <w:p w:rsidR="006F02FA" w:rsidP="006F02FA" w:rsidRDefault="006F02FA" w14:paraId="4A148BCE" w14:textId="77777777">
      <w:pPr>
        <w:ind w:firstLine="720"/>
      </w:pPr>
    </w:p>
    <w:p w:rsidRPr="006F02FA" w:rsidR="00B70548" w:rsidP="006F02FA" w:rsidRDefault="00B70548" w14:paraId="4A148BCF" w14:textId="77777777">
      <w:pPr>
        <w:pStyle w:val="ListParagraph"/>
        <w:numPr>
          <w:ilvl w:val="0"/>
          <w:numId w:val="3"/>
        </w:numPr>
        <w:rPr>
          <w:szCs w:val="24"/>
          <w:u w:val="single"/>
        </w:rPr>
      </w:pPr>
      <w:r w:rsidRPr="00612FEB">
        <w:rPr>
          <w:rFonts w:ascii="Times New Roman" w:hAnsi="Times New Roman"/>
          <w:szCs w:val="24"/>
          <w:u w:val="single"/>
        </w:rPr>
        <w:t xml:space="preserve">Reporting Burden </w:t>
      </w:r>
    </w:p>
    <w:p w:rsidRPr="00612FEB" w:rsidR="006F02FA" w:rsidP="006F02FA" w:rsidRDefault="006F02FA" w14:paraId="4A148BD0" w14:textId="77777777">
      <w:pPr>
        <w:pStyle w:val="ListParagraph"/>
        <w:ind w:left="1800"/>
        <w:rPr>
          <w:szCs w:val="24"/>
          <w:u w:val="single"/>
        </w:rPr>
      </w:pPr>
    </w:p>
    <w:p w:rsidR="00B70548" w:rsidP="006F02FA" w:rsidRDefault="00B70548" w14:paraId="4A148BD1" w14:textId="14A6EFAD">
      <w:pPr>
        <w:ind w:firstLine="720"/>
        <w:rPr>
          <w:szCs w:val="24"/>
        </w:rPr>
      </w:pPr>
      <w:r>
        <w:rPr>
          <w:szCs w:val="24"/>
        </w:rPr>
        <w:t xml:space="preserve">With respect to the reporting burden, we estimate that it would take all contractors on average approximately one hour to retrieve and submit to the OMWI Director the documentation specified in the Contract Standard.  We expect to request documentation from up to </w:t>
      </w:r>
      <w:r w:rsidR="00472788">
        <w:rPr>
          <w:szCs w:val="24"/>
        </w:rPr>
        <w:t>5</w:t>
      </w:r>
      <w:r>
        <w:rPr>
          <w:szCs w:val="24"/>
        </w:rPr>
        <w:t xml:space="preserve">0 contractors each year and therefore we estimate the total annual reporting burden to be </w:t>
      </w:r>
      <w:r w:rsidR="00472788">
        <w:rPr>
          <w:szCs w:val="24"/>
        </w:rPr>
        <w:t>5</w:t>
      </w:r>
      <w:r>
        <w:rPr>
          <w:szCs w:val="24"/>
        </w:rPr>
        <w:t>0 hours.</w:t>
      </w:r>
      <w:r w:rsidR="00C438EB">
        <w:rPr>
          <w:rStyle w:val="FootnoteReference"/>
          <w:szCs w:val="24"/>
        </w:rPr>
        <w:footnoteReference w:id="11"/>
      </w:r>
      <w:r>
        <w:rPr>
          <w:szCs w:val="24"/>
        </w:rPr>
        <w:t xml:space="preserve">  </w:t>
      </w:r>
      <w:r w:rsidR="00D352AE">
        <w:rPr>
          <w:szCs w:val="24"/>
        </w:rPr>
        <w:t xml:space="preserve"> </w:t>
      </w:r>
    </w:p>
    <w:p w:rsidR="00D352AE" w:rsidP="006F02FA" w:rsidRDefault="00D352AE" w14:paraId="4A148BD2" w14:textId="77777777">
      <w:pPr>
        <w:ind w:firstLine="720"/>
        <w:rPr>
          <w:szCs w:val="24"/>
        </w:rPr>
      </w:pPr>
    </w:p>
    <w:p w:rsidRPr="00612FEB" w:rsidR="00877A3B" w:rsidP="006F02FA" w:rsidRDefault="00612FEB" w14:paraId="4A148BD3" w14:textId="77777777">
      <w:pPr>
        <w:pStyle w:val="ListParagraph"/>
        <w:numPr>
          <w:ilvl w:val="0"/>
          <w:numId w:val="3"/>
        </w:numPr>
        <w:spacing w:after="200"/>
        <w:rPr>
          <w:rFonts w:ascii="Times New Roman" w:hAnsi="Times New Roman" w:eastAsiaTheme="minorHAnsi"/>
          <w:szCs w:val="24"/>
          <w:u w:val="single"/>
        </w:rPr>
      </w:pPr>
      <w:r w:rsidRPr="00612FEB">
        <w:rPr>
          <w:rFonts w:ascii="Times New Roman" w:hAnsi="Times New Roman" w:eastAsiaTheme="minorHAnsi"/>
          <w:szCs w:val="24"/>
          <w:u w:val="single"/>
        </w:rPr>
        <w:t>Burden hour monetization</w:t>
      </w:r>
    </w:p>
    <w:p w:rsidR="00612FEB" w:rsidP="006F02FA" w:rsidRDefault="00612FEB" w14:paraId="4A148BD4" w14:textId="0A0E8434">
      <w:pPr>
        <w:ind w:firstLine="720"/>
        <w:rPr>
          <w:rFonts w:ascii="Times New Roman" w:hAnsi="Times New Roman" w:eastAsiaTheme="minorHAnsi"/>
          <w:szCs w:val="24"/>
        </w:rPr>
      </w:pPr>
      <w:r w:rsidRPr="00612FEB">
        <w:rPr>
          <w:rFonts w:ascii="Times New Roman" w:hAnsi="Times New Roman" w:eastAsiaTheme="minorHAnsi"/>
          <w:szCs w:val="24"/>
        </w:rPr>
        <w:t>The estimated annualized cost to contractors associated with the recordkeeping and reporting burden resulting from th</w:t>
      </w:r>
      <w:r w:rsidR="00D925AB">
        <w:rPr>
          <w:rFonts w:ascii="Times New Roman" w:hAnsi="Times New Roman" w:eastAsiaTheme="minorHAnsi"/>
          <w:szCs w:val="24"/>
        </w:rPr>
        <w:t>is</w:t>
      </w:r>
      <w:r w:rsidRPr="00612FEB">
        <w:rPr>
          <w:rFonts w:ascii="Times New Roman" w:hAnsi="Times New Roman" w:eastAsiaTheme="minorHAnsi"/>
          <w:szCs w:val="24"/>
        </w:rPr>
        <w:t xml:space="preserve"> collection of information is based on Bureau of Labor Statistics data in the publication “Employer Costs for Employee Compensation” (</w:t>
      </w:r>
      <w:r w:rsidR="00765ADA">
        <w:rPr>
          <w:rFonts w:ascii="Times New Roman" w:hAnsi="Times New Roman" w:eastAsiaTheme="minorHAnsi"/>
          <w:szCs w:val="24"/>
        </w:rPr>
        <w:t xml:space="preserve">March </w:t>
      </w:r>
      <w:r w:rsidRPr="00612FEB">
        <w:rPr>
          <w:rFonts w:ascii="Times New Roman" w:hAnsi="Times New Roman" w:eastAsiaTheme="minorHAnsi"/>
          <w:szCs w:val="24"/>
        </w:rPr>
        <w:t>20</w:t>
      </w:r>
      <w:r w:rsidR="00765ADA">
        <w:rPr>
          <w:rFonts w:ascii="Times New Roman" w:hAnsi="Times New Roman" w:eastAsiaTheme="minorHAnsi"/>
          <w:szCs w:val="24"/>
        </w:rPr>
        <w:t>21</w:t>
      </w:r>
      <w:r w:rsidRPr="00612FEB">
        <w:rPr>
          <w:rFonts w:ascii="Times New Roman" w:hAnsi="Times New Roman" w:eastAsiaTheme="minorHAnsi"/>
          <w:szCs w:val="24"/>
        </w:rPr>
        <w:t>), which lists total compensation for management, professional, and related occupations as $</w:t>
      </w:r>
      <w:r>
        <w:rPr>
          <w:rFonts w:ascii="Times New Roman" w:hAnsi="Times New Roman" w:eastAsiaTheme="minorHAnsi"/>
          <w:szCs w:val="24"/>
        </w:rPr>
        <w:t>6</w:t>
      </w:r>
      <w:r w:rsidR="00FE2DEE">
        <w:rPr>
          <w:rFonts w:ascii="Times New Roman" w:hAnsi="Times New Roman" w:eastAsiaTheme="minorHAnsi"/>
          <w:szCs w:val="24"/>
        </w:rPr>
        <w:t>3</w:t>
      </w:r>
      <w:r w:rsidRPr="00612FEB">
        <w:rPr>
          <w:rFonts w:ascii="Times New Roman" w:hAnsi="Times New Roman" w:eastAsiaTheme="minorHAnsi"/>
          <w:szCs w:val="24"/>
        </w:rPr>
        <w:t xml:space="preserve"> per hour and administrative support as $</w:t>
      </w:r>
      <w:r w:rsidR="00FE2DEE">
        <w:rPr>
          <w:rFonts w:ascii="Times New Roman" w:hAnsi="Times New Roman" w:eastAsiaTheme="minorHAnsi"/>
          <w:szCs w:val="24"/>
        </w:rPr>
        <w:t>30</w:t>
      </w:r>
      <w:r w:rsidRPr="00612FEB">
        <w:rPr>
          <w:rFonts w:ascii="Times New Roman" w:hAnsi="Times New Roman" w:eastAsiaTheme="minorHAnsi"/>
          <w:szCs w:val="24"/>
        </w:rPr>
        <w:t>.</w:t>
      </w:r>
      <w:r w:rsidRPr="00877A3B">
        <w:rPr>
          <w:rFonts w:eastAsiaTheme="minorHAnsi"/>
          <w:vertAlign w:val="superscript"/>
        </w:rPr>
        <w:footnoteReference w:id="12"/>
      </w:r>
      <w:r w:rsidRPr="00612FEB">
        <w:rPr>
          <w:rFonts w:ascii="Times New Roman" w:hAnsi="Times New Roman" w:eastAsiaTheme="minorHAnsi"/>
          <w:szCs w:val="24"/>
        </w:rPr>
        <w:t xml:space="preserve">   </w:t>
      </w:r>
    </w:p>
    <w:p w:rsidRPr="00612FEB" w:rsidR="006F02FA" w:rsidP="006F02FA" w:rsidRDefault="006F02FA" w14:paraId="4A148BD5" w14:textId="77777777">
      <w:pPr>
        <w:ind w:firstLine="720"/>
        <w:rPr>
          <w:rFonts w:ascii="Times New Roman" w:hAnsi="Times New Roman" w:eastAsiaTheme="minorHAnsi"/>
          <w:szCs w:val="24"/>
        </w:rPr>
      </w:pPr>
    </w:p>
    <w:p w:rsidR="00612FEB" w:rsidP="00D352AE" w:rsidRDefault="00612FEB" w14:paraId="4A148BD6" w14:textId="77777777">
      <w:pPr>
        <w:ind w:firstLine="720"/>
        <w:rPr>
          <w:rFonts w:ascii="Times New Roman" w:hAnsi="Times New Roman"/>
          <w:szCs w:val="24"/>
        </w:rPr>
      </w:pPr>
      <w:r w:rsidRPr="00612FEB">
        <w:rPr>
          <w:rFonts w:ascii="Times New Roman" w:hAnsi="Times New Roman" w:eastAsiaTheme="minorHAnsi"/>
          <w:szCs w:val="24"/>
        </w:rPr>
        <w:lastRenderedPageBreak/>
        <w:t>With respect to the recordkeeping burden for developing and updating the workforce inclusion plan, we estimate that 75 percent of the burden hours would be management, professional, and related occupations and 25 percent would be administrative support.  As for the reporting burden, we estimate that 75 percent of the burden hours for retrieving and submitting documentation to the OMWI Director would be administrative support and 25 percent would be professional, management, and related occupations</w:t>
      </w:r>
      <w:r w:rsidRPr="00612FEB">
        <w:rPr>
          <w:rFonts w:ascii="Times New Roman" w:hAnsi="Times New Roman"/>
          <w:szCs w:val="24"/>
        </w:rPr>
        <w:t>.</w:t>
      </w:r>
    </w:p>
    <w:p w:rsidRPr="00612FEB" w:rsidR="006F02FA" w:rsidP="006F02FA" w:rsidRDefault="006F02FA" w14:paraId="4A148BD7" w14:textId="77777777">
      <w:pPr>
        <w:rPr>
          <w:rFonts w:ascii="Times New Roman" w:hAnsi="Times New Roman"/>
          <w:szCs w:val="24"/>
        </w:rPr>
      </w:pPr>
    </w:p>
    <w:p w:rsidR="00612FEB" w:rsidP="006F02FA" w:rsidRDefault="00612FEB" w14:paraId="4A148BD8" w14:textId="77777777">
      <w:pPr>
        <w:ind w:firstLine="720"/>
        <w:rPr>
          <w:rFonts w:ascii="Times New Roman" w:hAnsi="Times New Roman" w:eastAsiaTheme="minorHAnsi"/>
          <w:szCs w:val="24"/>
        </w:rPr>
      </w:pPr>
      <w:r w:rsidRPr="00612FEB">
        <w:rPr>
          <w:rFonts w:ascii="Times New Roman" w:hAnsi="Times New Roman" w:eastAsiaTheme="minorHAnsi"/>
          <w:szCs w:val="24"/>
        </w:rPr>
        <w:t>The estimated aggregate burden hours and monetary equivalent for the information collection are summarized in the table below</w:t>
      </w:r>
      <w:r w:rsidR="00FF222A">
        <w:rPr>
          <w:rFonts w:ascii="Times New Roman" w:hAnsi="Times New Roman" w:eastAsiaTheme="minorHAnsi"/>
          <w:szCs w:val="24"/>
        </w:rPr>
        <w:t>.</w:t>
      </w:r>
      <w:r w:rsidR="00D352AE">
        <w:rPr>
          <w:rFonts w:ascii="Times New Roman" w:hAnsi="Times New Roman" w:eastAsiaTheme="minorHAnsi"/>
          <w:szCs w:val="24"/>
        </w:rPr>
        <w:t xml:space="preserve"> </w:t>
      </w:r>
      <w:r w:rsidR="00FF222A">
        <w:rPr>
          <w:rFonts w:ascii="Times New Roman" w:hAnsi="Times New Roman" w:eastAsiaTheme="minorHAnsi"/>
          <w:szCs w:val="24"/>
        </w:rPr>
        <w:t xml:space="preserve"> </w:t>
      </w:r>
      <w:r w:rsidR="00FF222A">
        <w:rPr>
          <w:sz w:val="23"/>
          <w:szCs w:val="23"/>
        </w:rPr>
        <w:t>For administrative convenience, the presentation of the totals related to the paperwork burden hours have been rounded to the nearest whole number and the cost totals have been rounded to the nearest dollar.</w:t>
      </w:r>
      <w:r w:rsidR="00FF222A">
        <w:rPr>
          <w:rStyle w:val="FootnoteReference"/>
          <w:rFonts w:ascii="Times New Roman" w:hAnsi="Times New Roman" w:eastAsiaTheme="minorHAnsi"/>
          <w:szCs w:val="24"/>
        </w:rPr>
        <w:footnoteReference w:id="13"/>
      </w:r>
    </w:p>
    <w:p w:rsidR="006F02FA" w:rsidP="006F02FA" w:rsidRDefault="006F02FA" w14:paraId="4A148BD9" w14:textId="77777777">
      <w:pPr>
        <w:ind w:firstLine="720"/>
        <w:rPr>
          <w:rFonts w:ascii="Times New Roman" w:hAnsi="Times New Roman" w:eastAsiaTheme="minorHAnsi"/>
          <w:szCs w:val="24"/>
        </w:rPr>
      </w:pPr>
    </w:p>
    <w:p w:rsidR="006F02FA" w:rsidP="006F02FA" w:rsidRDefault="006F02FA" w14:paraId="4A148BDA" w14:textId="77777777">
      <w:pPr>
        <w:ind w:firstLine="720"/>
        <w:rPr>
          <w:rFonts w:ascii="Times New Roman" w:hAnsi="Times New Roman" w:eastAsiaTheme="minorHAnsi"/>
          <w:szCs w:val="24"/>
        </w:rPr>
      </w:pPr>
    </w:p>
    <w:p w:rsidR="00937A3D" w:rsidP="006F02FA" w:rsidRDefault="00937A3D" w14:paraId="4A148BDB" w14:textId="77777777">
      <w:pPr>
        <w:ind w:firstLine="720"/>
        <w:rPr>
          <w:rFonts w:ascii="Times New Roman" w:hAnsi="Times New Roman" w:eastAsiaTheme="minorHAnsi"/>
          <w:szCs w:val="24"/>
        </w:rPr>
      </w:pPr>
    </w:p>
    <w:tbl>
      <w:tblPr>
        <w:tblStyle w:val="TableGrid"/>
        <w:tblW w:w="0" w:type="auto"/>
        <w:tblLook w:val="04A0" w:firstRow="1" w:lastRow="0" w:firstColumn="1" w:lastColumn="0" w:noHBand="0" w:noVBand="1"/>
      </w:tblPr>
      <w:tblGrid>
        <w:gridCol w:w="2207"/>
        <w:gridCol w:w="1308"/>
        <w:gridCol w:w="1321"/>
        <w:gridCol w:w="923"/>
        <w:gridCol w:w="1414"/>
        <w:gridCol w:w="1457"/>
      </w:tblGrid>
      <w:tr w:rsidRPr="00147A2B" w:rsidR="00612FEB" w:rsidTr="00790902" w14:paraId="4A148BE4" w14:textId="77777777">
        <w:trPr>
          <w:trHeight w:val="720" w:hRule="exact"/>
        </w:trPr>
        <w:tc>
          <w:tcPr>
            <w:tcW w:w="0" w:type="auto"/>
            <w:vAlign w:val="center"/>
          </w:tcPr>
          <w:p w:rsidRPr="00E578DD" w:rsidR="00612FEB" w:rsidP="006F02FA" w:rsidRDefault="00612FEB" w14:paraId="4A148BDC" w14:textId="77777777">
            <w:pPr>
              <w:spacing w:before="100" w:beforeAutospacing="1"/>
              <w:jc w:val="center"/>
              <w:rPr>
                <w:rFonts w:asciiTheme="minorHAnsi" w:hAnsiTheme="minorHAnsi" w:eastAsiaTheme="minorHAnsi"/>
                <w:sz w:val="18"/>
                <w:szCs w:val="18"/>
              </w:rPr>
            </w:pPr>
            <w:r w:rsidRPr="00E578DD">
              <w:rPr>
                <w:rFonts w:asciiTheme="minorHAnsi" w:hAnsiTheme="minorHAnsi" w:eastAsiaTheme="minorHAnsi"/>
                <w:sz w:val="18"/>
                <w:szCs w:val="18"/>
              </w:rPr>
              <w:t>Paperwork Activity</w:t>
            </w:r>
          </w:p>
        </w:tc>
        <w:tc>
          <w:tcPr>
            <w:tcW w:w="0" w:type="auto"/>
            <w:vAlign w:val="center"/>
          </w:tcPr>
          <w:p w:rsidRPr="00E578DD" w:rsidR="00612FEB" w:rsidP="006F02FA" w:rsidRDefault="00612FEB" w14:paraId="4A148BDD" w14:textId="77777777">
            <w:pPr>
              <w:spacing w:before="100" w:beforeAutospacing="1"/>
              <w:jc w:val="center"/>
              <w:rPr>
                <w:rFonts w:asciiTheme="minorHAnsi" w:hAnsiTheme="minorHAnsi" w:eastAsiaTheme="minorHAnsi"/>
                <w:sz w:val="18"/>
                <w:szCs w:val="18"/>
              </w:rPr>
            </w:pPr>
            <w:r w:rsidRPr="00E578DD">
              <w:rPr>
                <w:rFonts w:asciiTheme="minorHAnsi" w:hAnsiTheme="minorHAnsi" w:eastAsiaTheme="minorHAnsi"/>
                <w:sz w:val="18"/>
                <w:szCs w:val="18"/>
              </w:rPr>
              <w:t>Number of Respondents</w:t>
            </w:r>
          </w:p>
        </w:tc>
        <w:tc>
          <w:tcPr>
            <w:tcW w:w="0" w:type="auto"/>
            <w:vAlign w:val="center"/>
          </w:tcPr>
          <w:p w:rsidRPr="00E578DD" w:rsidR="00612FEB" w:rsidP="006F02FA" w:rsidRDefault="00612FEB" w14:paraId="4A148BDE" w14:textId="77777777">
            <w:pPr>
              <w:spacing w:before="100" w:beforeAutospacing="1"/>
              <w:jc w:val="center"/>
              <w:rPr>
                <w:rFonts w:asciiTheme="minorHAnsi" w:hAnsiTheme="minorHAnsi" w:eastAsiaTheme="minorHAnsi"/>
                <w:sz w:val="18"/>
                <w:szCs w:val="18"/>
              </w:rPr>
            </w:pPr>
            <w:r w:rsidRPr="00E578DD">
              <w:rPr>
                <w:rFonts w:asciiTheme="minorHAnsi" w:hAnsiTheme="minorHAnsi" w:eastAsiaTheme="minorHAnsi"/>
                <w:sz w:val="18"/>
                <w:szCs w:val="18"/>
              </w:rPr>
              <w:t>Burden Hours Per Respondent</w:t>
            </w:r>
          </w:p>
        </w:tc>
        <w:tc>
          <w:tcPr>
            <w:tcW w:w="0" w:type="auto"/>
            <w:vAlign w:val="center"/>
          </w:tcPr>
          <w:p w:rsidRPr="00E578DD" w:rsidR="00612FEB" w:rsidP="006F02FA" w:rsidRDefault="00612FEB" w14:paraId="4A148BDF" w14:textId="77777777">
            <w:pPr>
              <w:spacing w:before="100" w:beforeAutospacing="1"/>
              <w:jc w:val="center"/>
              <w:rPr>
                <w:rFonts w:asciiTheme="minorHAnsi" w:hAnsiTheme="minorHAnsi" w:eastAsiaTheme="minorHAnsi"/>
                <w:sz w:val="18"/>
                <w:szCs w:val="18"/>
              </w:rPr>
            </w:pPr>
            <w:r w:rsidRPr="00E578DD">
              <w:rPr>
                <w:rFonts w:asciiTheme="minorHAnsi" w:hAnsiTheme="minorHAnsi" w:eastAsiaTheme="minorHAnsi"/>
                <w:sz w:val="18"/>
                <w:szCs w:val="18"/>
              </w:rPr>
              <w:t>Annual Burden Hours</w:t>
            </w:r>
          </w:p>
          <w:p w:rsidRPr="00E578DD" w:rsidR="00612FEB" w:rsidP="006F02FA" w:rsidRDefault="00612FEB" w14:paraId="4A148BE0" w14:textId="77777777">
            <w:pPr>
              <w:spacing w:before="100" w:beforeAutospacing="1"/>
              <w:jc w:val="center"/>
              <w:rPr>
                <w:rFonts w:asciiTheme="minorHAnsi" w:hAnsiTheme="minorHAnsi" w:eastAsiaTheme="minorHAnsi"/>
                <w:sz w:val="18"/>
                <w:szCs w:val="18"/>
              </w:rPr>
            </w:pPr>
          </w:p>
          <w:p w:rsidRPr="00E578DD" w:rsidR="00612FEB" w:rsidP="006F02FA" w:rsidRDefault="00612FEB" w14:paraId="4A148BE1" w14:textId="77777777">
            <w:pPr>
              <w:spacing w:before="100" w:beforeAutospacing="1"/>
              <w:jc w:val="center"/>
              <w:rPr>
                <w:rFonts w:asciiTheme="minorHAnsi" w:hAnsiTheme="minorHAnsi" w:eastAsiaTheme="minorHAnsi"/>
                <w:sz w:val="18"/>
                <w:szCs w:val="18"/>
              </w:rPr>
            </w:pPr>
          </w:p>
        </w:tc>
        <w:tc>
          <w:tcPr>
            <w:tcW w:w="0" w:type="auto"/>
            <w:vAlign w:val="center"/>
          </w:tcPr>
          <w:p w:rsidRPr="00E578DD" w:rsidR="00612FEB" w:rsidP="006F02FA" w:rsidRDefault="00612FEB" w14:paraId="4A148BE2" w14:textId="77777777">
            <w:pPr>
              <w:spacing w:before="100" w:beforeAutospacing="1"/>
              <w:jc w:val="center"/>
              <w:rPr>
                <w:rFonts w:asciiTheme="minorHAnsi" w:hAnsiTheme="minorHAnsi" w:eastAsiaTheme="minorHAnsi"/>
                <w:sz w:val="18"/>
                <w:szCs w:val="18"/>
              </w:rPr>
            </w:pPr>
            <w:r w:rsidRPr="00E578DD">
              <w:rPr>
                <w:rFonts w:asciiTheme="minorHAnsi" w:hAnsiTheme="minorHAnsi" w:eastAsiaTheme="minorHAnsi"/>
                <w:sz w:val="18"/>
                <w:szCs w:val="18"/>
              </w:rPr>
              <w:t>Cost of Burden Hours Per Respondent</w:t>
            </w:r>
          </w:p>
        </w:tc>
        <w:tc>
          <w:tcPr>
            <w:tcW w:w="0" w:type="auto"/>
            <w:vAlign w:val="center"/>
          </w:tcPr>
          <w:p w:rsidRPr="00E578DD" w:rsidR="00612FEB" w:rsidP="006F02FA" w:rsidRDefault="00612FEB" w14:paraId="4A148BE3" w14:textId="77777777">
            <w:pPr>
              <w:spacing w:before="100" w:beforeAutospacing="1"/>
              <w:jc w:val="center"/>
              <w:rPr>
                <w:rFonts w:asciiTheme="minorHAnsi" w:hAnsiTheme="minorHAnsi" w:eastAsiaTheme="minorHAnsi"/>
                <w:sz w:val="18"/>
                <w:szCs w:val="18"/>
              </w:rPr>
            </w:pPr>
            <w:r w:rsidRPr="00E578DD">
              <w:rPr>
                <w:rFonts w:asciiTheme="minorHAnsi" w:hAnsiTheme="minorHAnsi" w:eastAsiaTheme="minorHAnsi"/>
                <w:sz w:val="18"/>
                <w:szCs w:val="18"/>
              </w:rPr>
              <w:t>Annualized Burden Hour Monetary Equivalent</w:t>
            </w:r>
          </w:p>
        </w:tc>
      </w:tr>
      <w:tr w:rsidRPr="00147A2B" w:rsidR="00612FEB" w:rsidTr="00790902" w14:paraId="4A148BEC" w14:textId="77777777">
        <w:trPr>
          <w:trHeight w:val="1070"/>
        </w:trPr>
        <w:tc>
          <w:tcPr>
            <w:tcW w:w="0" w:type="auto"/>
          </w:tcPr>
          <w:p w:rsidRPr="00E578DD" w:rsidR="00612FEB" w:rsidP="006F02FA" w:rsidRDefault="00612FEB" w14:paraId="4A148BE5" w14:textId="77777777">
            <w:pPr>
              <w:rPr>
                <w:rFonts w:asciiTheme="minorHAnsi" w:hAnsiTheme="minorHAnsi" w:eastAsiaTheme="minorHAnsi"/>
                <w:sz w:val="18"/>
                <w:szCs w:val="18"/>
              </w:rPr>
            </w:pPr>
            <w:r w:rsidRPr="00E578DD">
              <w:rPr>
                <w:rFonts w:asciiTheme="minorHAnsi" w:hAnsiTheme="minorHAnsi" w:eastAsiaTheme="minorHAnsi"/>
                <w:sz w:val="18"/>
                <w:szCs w:val="18"/>
              </w:rPr>
              <w:t xml:space="preserve">Initial Workforce Inclusion Plan </w:t>
            </w:r>
          </w:p>
          <w:p w:rsidRPr="00E578DD" w:rsidR="00612FEB" w:rsidP="006F02FA" w:rsidRDefault="00612FEB" w14:paraId="4A148BE6" w14:textId="77777777">
            <w:pPr>
              <w:rPr>
                <w:rFonts w:asciiTheme="minorHAnsi" w:hAnsiTheme="minorHAnsi" w:eastAsiaTheme="minorHAnsi"/>
                <w:sz w:val="18"/>
                <w:szCs w:val="18"/>
              </w:rPr>
            </w:pPr>
            <w:r w:rsidRPr="00E578DD">
              <w:rPr>
                <w:rFonts w:asciiTheme="minorHAnsi" w:hAnsiTheme="minorHAnsi" w:eastAsiaTheme="minorHAnsi"/>
                <w:sz w:val="18"/>
                <w:szCs w:val="18"/>
              </w:rPr>
              <w:t xml:space="preserve">One-time  Implementation Burden </w:t>
            </w:r>
          </w:p>
        </w:tc>
        <w:tc>
          <w:tcPr>
            <w:tcW w:w="0" w:type="auto"/>
            <w:vAlign w:val="center"/>
          </w:tcPr>
          <w:p w:rsidRPr="00E578DD" w:rsidR="00612FEB" w:rsidP="006F02FA" w:rsidRDefault="00D45680" w14:paraId="4A148BE7" w14:textId="7CB31C06">
            <w:pPr>
              <w:jc w:val="center"/>
              <w:rPr>
                <w:rFonts w:asciiTheme="minorHAnsi" w:hAnsiTheme="minorHAnsi" w:eastAsiaTheme="minorHAnsi"/>
                <w:sz w:val="18"/>
                <w:szCs w:val="18"/>
              </w:rPr>
            </w:pPr>
            <w:r>
              <w:rPr>
                <w:rFonts w:asciiTheme="minorHAnsi" w:hAnsiTheme="minorHAnsi" w:eastAsiaTheme="minorHAnsi"/>
                <w:sz w:val="18"/>
                <w:szCs w:val="18"/>
              </w:rPr>
              <w:t>7</w:t>
            </w:r>
            <w:r w:rsidR="00FE2DEE">
              <w:rPr>
                <w:rFonts w:asciiTheme="minorHAnsi" w:hAnsiTheme="minorHAnsi" w:eastAsiaTheme="minorHAnsi"/>
                <w:sz w:val="18"/>
                <w:szCs w:val="18"/>
              </w:rPr>
              <w:t>3</w:t>
            </w:r>
          </w:p>
        </w:tc>
        <w:tc>
          <w:tcPr>
            <w:tcW w:w="0" w:type="auto"/>
            <w:vAlign w:val="center"/>
          </w:tcPr>
          <w:p w:rsidRPr="00E578DD" w:rsidR="00612FEB" w:rsidP="006F02FA" w:rsidRDefault="00D45680" w14:paraId="4A148BE8" w14:textId="77777777">
            <w:pPr>
              <w:jc w:val="center"/>
              <w:rPr>
                <w:rFonts w:asciiTheme="minorHAnsi" w:hAnsiTheme="minorHAnsi" w:eastAsiaTheme="minorHAnsi"/>
                <w:sz w:val="18"/>
                <w:szCs w:val="18"/>
              </w:rPr>
            </w:pPr>
            <w:r>
              <w:rPr>
                <w:rFonts w:asciiTheme="minorHAnsi" w:hAnsiTheme="minorHAnsi" w:eastAsiaTheme="minorHAnsi"/>
                <w:sz w:val="18"/>
                <w:szCs w:val="18"/>
              </w:rPr>
              <w:t>6</w:t>
            </w:r>
            <w:r w:rsidRPr="00E578DD" w:rsidR="00612FEB">
              <w:rPr>
                <w:rFonts w:asciiTheme="minorHAnsi" w:hAnsiTheme="minorHAnsi" w:eastAsiaTheme="minorHAnsi"/>
                <w:sz w:val="18"/>
                <w:szCs w:val="18"/>
              </w:rPr>
              <w:t>*</w:t>
            </w:r>
          </w:p>
        </w:tc>
        <w:tc>
          <w:tcPr>
            <w:tcW w:w="0" w:type="auto"/>
            <w:vAlign w:val="center"/>
          </w:tcPr>
          <w:p w:rsidRPr="00E578DD" w:rsidR="00612FEB" w:rsidP="006F02FA" w:rsidRDefault="00612FEB" w14:paraId="4A148BE9" w14:textId="22D2B5F3">
            <w:pPr>
              <w:jc w:val="center"/>
              <w:rPr>
                <w:rFonts w:asciiTheme="minorHAnsi" w:hAnsiTheme="minorHAnsi" w:eastAsiaTheme="minorHAnsi"/>
                <w:sz w:val="18"/>
                <w:szCs w:val="18"/>
              </w:rPr>
            </w:pPr>
            <w:r w:rsidRPr="00E578DD">
              <w:rPr>
                <w:rFonts w:asciiTheme="minorHAnsi" w:hAnsiTheme="minorHAnsi" w:eastAsiaTheme="minorHAnsi"/>
                <w:sz w:val="18"/>
                <w:szCs w:val="18"/>
              </w:rPr>
              <w:t>4</w:t>
            </w:r>
            <w:r w:rsidR="00FE2DEE">
              <w:rPr>
                <w:rFonts w:asciiTheme="minorHAnsi" w:hAnsiTheme="minorHAnsi" w:eastAsiaTheme="minorHAnsi"/>
                <w:sz w:val="18"/>
                <w:szCs w:val="18"/>
              </w:rPr>
              <w:t>38</w:t>
            </w:r>
          </w:p>
        </w:tc>
        <w:tc>
          <w:tcPr>
            <w:tcW w:w="0" w:type="auto"/>
            <w:vAlign w:val="center"/>
          </w:tcPr>
          <w:p w:rsidRPr="00E578DD" w:rsidR="00612FEB" w:rsidP="006F02FA" w:rsidRDefault="009B7D3D" w14:paraId="4A148BEA" w14:textId="69003C6F">
            <w:pPr>
              <w:jc w:val="center"/>
              <w:rPr>
                <w:rFonts w:asciiTheme="minorHAnsi" w:hAnsiTheme="minorHAnsi" w:eastAsiaTheme="minorHAnsi"/>
                <w:sz w:val="18"/>
                <w:szCs w:val="18"/>
              </w:rPr>
            </w:pPr>
            <w:r>
              <w:rPr>
                <w:rFonts w:asciiTheme="minorHAnsi" w:hAnsiTheme="minorHAnsi" w:eastAsiaTheme="minorHAnsi"/>
                <w:sz w:val="18"/>
                <w:szCs w:val="18"/>
              </w:rPr>
              <w:t>$3</w:t>
            </w:r>
            <w:r w:rsidR="00305084">
              <w:rPr>
                <w:rFonts w:asciiTheme="minorHAnsi" w:hAnsiTheme="minorHAnsi" w:eastAsiaTheme="minorHAnsi"/>
                <w:sz w:val="18"/>
                <w:szCs w:val="18"/>
              </w:rPr>
              <w:t>29</w:t>
            </w:r>
          </w:p>
        </w:tc>
        <w:tc>
          <w:tcPr>
            <w:tcW w:w="0" w:type="auto"/>
            <w:vAlign w:val="center"/>
          </w:tcPr>
          <w:p w:rsidRPr="00E578DD" w:rsidR="00612FEB" w:rsidP="006F02FA" w:rsidRDefault="009B7D3D" w14:paraId="4A148BEB" w14:textId="41E3B513">
            <w:pPr>
              <w:jc w:val="center"/>
              <w:rPr>
                <w:rFonts w:asciiTheme="minorHAnsi" w:hAnsiTheme="minorHAnsi" w:eastAsiaTheme="minorHAnsi"/>
                <w:sz w:val="18"/>
                <w:szCs w:val="18"/>
              </w:rPr>
            </w:pPr>
            <w:r>
              <w:rPr>
                <w:rFonts w:asciiTheme="minorHAnsi" w:hAnsiTheme="minorHAnsi" w:eastAsiaTheme="minorHAnsi"/>
                <w:sz w:val="18"/>
                <w:szCs w:val="18"/>
              </w:rPr>
              <w:t>$2</w:t>
            </w:r>
            <w:r w:rsidR="00305084">
              <w:rPr>
                <w:rFonts w:asciiTheme="minorHAnsi" w:hAnsiTheme="minorHAnsi" w:eastAsiaTheme="minorHAnsi"/>
                <w:sz w:val="18"/>
                <w:szCs w:val="18"/>
              </w:rPr>
              <w:t>4,017</w:t>
            </w:r>
          </w:p>
        </w:tc>
      </w:tr>
      <w:tr w:rsidRPr="00147A2B" w:rsidR="00612FEB" w:rsidTr="00790902" w14:paraId="4A148BF4" w14:textId="77777777">
        <w:tc>
          <w:tcPr>
            <w:tcW w:w="0" w:type="auto"/>
          </w:tcPr>
          <w:p w:rsidRPr="00E578DD" w:rsidR="00612FEB" w:rsidP="006F02FA" w:rsidRDefault="00612FEB" w14:paraId="4A148BED" w14:textId="77777777">
            <w:pPr>
              <w:rPr>
                <w:rFonts w:asciiTheme="minorHAnsi" w:hAnsiTheme="minorHAnsi" w:eastAsiaTheme="minorHAnsi"/>
                <w:sz w:val="18"/>
                <w:szCs w:val="18"/>
              </w:rPr>
            </w:pPr>
            <w:r w:rsidRPr="00E578DD">
              <w:rPr>
                <w:rFonts w:asciiTheme="minorHAnsi" w:hAnsiTheme="minorHAnsi" w:eastAsiaTheme="minorHAnsi"/>
                <w:sz w:val="18"/>
                <w:szCs w:val="18"/>
              </w:rPr>
              <w:t>Updating and Maintaining Workforce Inclusion Plan (after first year)</w:t>
            </w:r>
          </w:p>
        </w:tc>
        <w:tc>
          <w:tcPr>
            <w:tcW w:w="0" w:type="auto"/>
            <w:vAlign w:val="center"/>
          </w:tcPr>
          <w:p w:rsidRPr="00E578DD" w:rsidR="00612FEB" w:rsidP="006F02FA" w:rsidRDefault="00D45680" w14:paraId="4A148BEE" w14:textId="60B2C569">
            <w:pPr>
              <w:jc w:val="center"/>
              <w:rPr>
                <w:rFonts w:asciiTheme="minorHAnsi" w:hAnsiTheme="minorHAnsi" w:eastAsiaTheme="minorHAnsi"/>
                <w:sz w:val="18"/>
                <w:szCs w:val="18"/>
              </w:rPr>
            </w:pPr>
            <w:r>
              <w:rPr>
                <w:rFonts w:asciiTheme="minorHAnsi" w:hAnsiTheme="minorHAnsi" w:eastAsiaTheme="minorHAnsi"/>
                <w:sz w:val="18"/>
                <w:szCs w:val="18"/>
              </w:rPr>
              <w:t>7</w:t>
            </w:r>
            <w:r w:rsidR="00FE2DEE">
              <w:rPr>
                <w:rFonts w:asciiTheme="minorHAnsi" w:hAnsiTheme="minorHAnsi" w:eastAsiaTheme="minorHAnsi"/>
                <w:sz w:val="18"/>
                <w:szCs w:val="18"/>
              </w:rPr>
              <w:t>3</w:t>
            </w:r>
          </w:p>
        </w:tc>
        <w:tc>
          <w:tcPr>
            <w:tcW w:w="0" w:type="auto"/>
            <w:vAlign w:val="center"/>
          </w:tcPr>
          <w:p w:rsidRPr="00E578DD" w:rsidR="00612FEB" w:rsidP="006F02FA" w:rsidRDefault="00612FEB" w14:paraId="4A148BEF" w14:textId="77777777">
            <w:pPr>
              <w:jc w:val="center"/>
              <w:rPr>
                <w:rFonts w:asciiTheme="minorHAnsi" w:hAnsiTheme="minorHAnsi" w:eastAsiaTheme="minorHAnsi"/>
                <w:sz w:val="18"/>
                <w:szCs w:val="18"/>
              </w:rPr>
            </w:pPr>
          </w:p>
          <w:p w:rsidRPr="00E578DD" w:rsidR="00612FEB" w:rsidP="006F02FA" w:rsidRDefault="00D45680" w14:paraId="4A148BF0" w14:textId="77777777">
            <w:pPr>
              <w:jc w:val="center"/>
              <w:rPr>
                <w:rFonts w:asciiTheme="minorHAnsi" w:hAnsiTheme="minorHAnsi" w:eastAsiaTheme="minorHAnsi"/>
                <w:sz w:val="18"/>
                <w:szCs w:val="18"/>
              </w:rPr>
            </w:pPr>
            <w:r>
              <w:rPr>
                <w:rFonts w:asciiTheme="minorHAnsi" w:hAnsiTheme="minorHAnsi" w:eastAsiaTheme="minorHAnsi"/>
                <w:sz w:val="18"/>
                <w:szCs w:val="18"/>
              </w:rPr>
              <w:t>5</w:t>
            </w:r>
            <w:r w:rsidRPr="00E578DD" w:rsidR="00612FEB">
              <w:rPr>
                <w:rFonts w:asciiTheme="minorHAnsi" w:hAnsiTheme="minorHAnsi" w:eastAsiaTheme="minorHAnsi"/>
                <w:sz w:val="18"/>
                <w:szCs w:val="18"/>
              </w:rPr>
              <w:t>**</w:t>
            </w:r>
          </w:p>
        </w:tc>
        <w:tc>
          <w:tcPr>
            <w:tcW w:w="0" w:type="auto"/>
            <w:vAlign w:val="center"/>
          </w:tcPr>
          <w:p w:rsidRPr="00E578DD" w:rsidR="00612FEB" w:rsidP="006F02FA" w:rsidRDefault="00D45680" w14:paraId="4A148BF1" w14:textId="55A920D5">
            <w:pPr>
              <w:jc w:val="center"/>
              <w:rPr>
                <w:rFonts w:asciiTheme="minorHAnsi" w:hAnsiTheme="minorHAnsi" w:eastAsiaTheme="minorHAnsi"/>
                <w:sz w:val="18"/>
                <w:szCs w:val="18"/>
              </w:rPr>
            </w:pPr>
            <w:r>
              <w:rPr>
                <w:rFonts w:asciiTheme="minorHAnsi" w:hAnsiTheme="minorHAnsi" w:eastAsiaTheme="minorHAnsi"/>
                <w:sz w:val="18"/>
                <w:szCs w:val="18"/>
              </w:rPr>
              <w:t>3</w:t>
            </w:r>
            <w:r w:rsidR="00FE2DEE">
              <w:rPr>
                <w:rFonts w:asciiTheme="minorHAnsi" w:hAnsiTheme="minorHAnsi" w:eastAsiaTheme="minorHAnsi"/>
                <w:sz w:val="18"/>
                <w:szCs w:val="18"/>
              </w:rPr>
              <w:t>6</w:t>
            </w:r>
            <w:r>
              <w:rPr>
                <w:rFonts w:asciiTheme="minorHAnsi" w:hAnsiTheme="minorHAnsi" w:eastAsiaTheme="minorHAnsi"/>
                <w:sz w:val="18"/>
                <w:szCs w:val="18"/>
              </w:rPr>
              <w:t>5</w:t>
            </w:r>
          </w:p>
        </w:tc>
        <w:tc>
          <w:tcPr>
            <w:tcW w:w="0" w:type="auto"/>
            <w:vAlign w:val="center"/>
          </w:tcPr>
          <w:p w:rsidRPr="00E578DD" w:rsidR="00612FEB" w:rsidP="006F02FA" w:rsidRDefault="009B7D3D" w14:paraId="4A148BF2" w14:textId="0987DF73">
            <w:pPr>
              <w:jc w:val="center"/>
              <w:rPr>
                <w:rFonts w:asciiTheme="minorHAnsi" w:hAnsiTheme="minorHAnsi" w:eastAsiaTheme="minorHAnsi"/>
                <w:sz w:val="18"/>
                <w:szCs w:val="18"/>
              </w:rPr>
            </w:pPr>
            <w:r>
              <w:rPr>
                <w:rFonts w:asciiTheme="minorHAnsi" w:hAnsiTheme="minorHAnsi" w:eastAsiaTheme="minorHAnsi"/>
                <w:sz w:val="18"/>
                <w:szCs w:val="18"/>
              </w:rPr>
              <w:t>$2</w:t>
            </w:r>
            <w:r w:rsidR="00305084">
              <w:rPr>
                <w:rFonts w:asciiTheme="minorHAnsi" w:hAnsiTheme="minorHAnsi" w:eastAsiaTheme="minorHAnsi"/>
                <w:sz w:val="18"/>
                <w:szCs w:val="18"/>
              </w:rPr>
              <w:t>74</w:t>
            </w:r>
          </w:p>
        </w:tc>
        <w:tc>
          <w:tcPr>
            <w:tcW w:w="0" w:type="auto"/>
            <w:vAlign w:val="center"/>
          </w:tcPr>
          <w:p w:rsidRPr="00E578DD" w:rsidR="00612FEB" w:rsidP="00305084" w:rsidRDefault="009B7D3D" w14:paraId="4A148BF3" w14:textId="30D1ECDA">
            <w:pPr>
              <w:jc w:val="center"/>
              <w:rPr>
                <w:rFonts w:asciiTheme="minorHAnsi" w:hAnsiTheme="minorHAnsi" w:eastAsiaTheme="minorHAnsi"/>
                <w:sz w:val="18"/>
                <w:szCs w:val="18"/>
              </w:rPr>
            </w:pPr>
            <w:r>
              <w:rPr>
                <w:rFonts w:asciiTheme="minorHAnsi" w:hAnsiTheme="minorHAnsi" w:eastAsiaTheme="minorHAnsi"/>
                <w:sz w:val="18"/>
                <w:szCs w:val="18"/>
              </w:rPr>
              <w:t>$</w:t>
            </w:r>
            <w:r w:rsidR="00305084">
              <w:rPr>
                <w:rFonts w:asciiTheme="minorHAnsi" w:hAnsiTheme="minorHAnsi" w:eastAsiaTheme="minorHAnsi"/>
                <w:sz w:val="18"/>
                <w:szCs w:val="18"/>
              </w:rPr>
              <w:t>20,002</w:t>
            </w:r>
          </w:p>
        </w:tc>
      </w:tr>
      <w:tr w:rsidRPr="00147A2B" w:rsidR="00612FEB" w:rsidTr="00790902" w14:paraId="4A148BFD" w14:textId="77777777">
        <w:tc>
          <w:tcPr>
            <w:tcW w:w="0" w:type="auto"/>
          </w:tcPr>
          <w:p w:rsidRPr="00E578DD" w:rsidR="00612FEB" w:rsidP="006F02FA" w:rsidRDefault="00612FEB" w14:paraId="4A148BF5" w14:textId="77777777">
            <w:pPr>
              <w:rPr>
                <w:rFonts w:asciiTheme="minorHAnsi" w:hAnsiTheme="minorHAnsi" w:eastAsiaTheme="minorHAnsi"/>
                <w:sz w:val="18"/>
                <w:szCs w:val="18"/>
              </w:rPr>
            </w:pPr>
            <w:r w:rsidRPr="00E578DD">
              <w:rPr>
                <w:rFonts w:asciiTheme="minorHAnsi" w:hAnsiTheme="minorHAnsi" w:eastAsiaTheme="minorHAnsi"/>
                <w:sz w:val="18"/>
                <w:szCs w:val="18"/>
              </w:rPr>
              <w:t xml:space="preserve">Retrieving and Submitting Documentation of Good Faith Efforts to OMWI Director </w:t>
            </w:r>
          </w:p>
        </w:tc>
        <w:tc>
          <w:tcPr>
            <w:tcW w:w="0" w:type="auto"/>
            <w:vAlign w:val="center"/>
          </w:tcPr>
          <w:p w:rsidRPr="00E578DD" w:rsidR="00612FEB" w:rsidP="006F02FA" w:rsidRDefault="00FE2DEE" w14:paraId="4A148BF6" w14:textId="2C9CDAAF">
            <w:pPr>
              <w:jc w:val="center"/>
              <w:rPr>
                <w:rFonts w:asciiTheme="minorHAnsi" w:hAnsiTheme="minorHAnsi" w:eastAsiaTheme="minorHAnsi"/>
                <w:sz w:val="18"/>
                <w:szCs w:val="18"/>
              </w:rPr>
            </w:pPr>
            <w:r>
              <w:rPr>
                <w:rFonts w:asciiTheme="minorHAnsi" w:hAnsiTheme="minorHAnsi" w:eastAsiaTheme="minorHAnsi"/>
                <w:sz w:val="18"/>
                <w:szCs w:val="18"/>
              </w:rPr>
              <w:t>50</w:t>
            </w:r>
          </w:p>
        </w:tc>
        <w:tc>
          <w:tcPr>
            <w:tcW w:w="0" w:type="auto"/>
          </w:tcPr>
          <w:p w:rsidRPr="00E578DD" w:rsidR="00612FEB" w:rsidP="006F02FA" w:rsidRDefault="00612FEB" w14:paraId="4A148BF7" w14:textId="77777777">
            <w:pPr>
              <w:jc w:val="center"/>
              <w:rPr>
                <w:rFonts w:asciiTheme="minorHAnsi" w:hAnsiTheme="minorHAnsi" w:eastAsiaTheme="minorHAnsi"/>
                <w:sz w:val="18"/>
                <w:szCs w:val="18"/>
              </w:rPr>
            </w:pPr>
          </w:p>
          <w:p w:rsidRPr="00E578DD" w:rsidR="00612FEB" w:rsidP="006F02FA" w:rsidRDefault="00612FEB" w14:paraId="4A148BF8" w14:textId="77777777">
            <w:pPr>
              <w:jc w:val="center"/>
              <w:rPr>
                <w:rFonts w:asciiTheme="minorHAnsi" w:hAnsiTheme="minorHAnsi" w:eastAsiaTheme="minorHAnsi"/>
                <w:sz w:val="18"/>
                <w:szCs w:val="18"/>
              </w:rPr>
            </w:pPr>
            <w:r w:rsidRPr="00E578DD">
              <w:rPr>
                <w:rFonts w:asciiTheme="minorHAnsi" w:hAnsiTheme="minorHAnsi" w:eastAsiaTheme="minorHAnsi"/>
                <w:sz w:val="18"/>
                <w:szCs w:val="18"/>
              </w:rPr>
              <w:t>1</w:t>
            </w:r>
          </w:p>
        </w:tc>
        <w:tc>
          <w:tcPr>
            <w:tcW w:w="0" w:type="auto"/>
            <w:vAlign w:val="center"/>
          </w:tcPr>
          <w:p w:rsidRPr="00E578DD" w:rsidR="00612FEB" w:rsidP="006F02FA" w:rsidRDefault="00612FEB" w14:paraId="4A148BF9" w14:textId="77777777">
            <w:pPr>
              <w:jc w:val="center"/>
              <w:rPr>
                <w:rFonts w:asciiTheme="minorHAnsi" w:hAnsiTheme="minorHAnsi" w:eastAsiaTheme="minorHAnsi"/>
                <w:sz w:val="18"/>
                <w:szCs w:val="18"/>
              </w:rPr>
            </w:pPr>
          </w:p>
          <w:p w:rsidRPr="00E578DD" w:rsidR="00612FEB" w:rsidP="006F02FA" w:rsidRDefault="00FE2DEE" w14:paraId="4A148BFA" w14:textId="7FF095E8">
            <w:pPr>
              <w:jc w:val="center"/>
              <w:rPr>
                <w:rFonts w:asciiTheme="minorHAnsi" w:hAnsiTheme="minorHAnsi" w:eastAsiaTheme="minorHAnsi"/>
                <w:sz w:val="18"/>
                <w:szCs w:val="18"/>
              </w:rPr>
            </w:pPr>
            <w:r>
              <w:rPr>
                <w:rFonts w:asciiTheme="minorHAnsi" w:hAnsiTheme="minorHAnsi" w:eastAsiaTheme="minorHAnsi"/>
                <w:sz w:val="18"/>
                <w:szCs w:val="18"/>
              </w:rPr>
              <w:t>50</w:t>
            </w:r>
          </w:p>
        </w:tc>
        <w:tc>
          <w:tcPr>
            <w:tcW w:w="0" w:type="auto"/>
            <w:vAlign w:val="center"/>
          </w:tcPr>
          <w:p w:rsidRPr="00E578DD" w:rsidR="00612FEB" w:rsidP="006F02FA" w:rsidRDefault="00096E69" w14:paraId="4A148BFB" w14:textId="0E5DFECC">
            <w:pPr>
              <w:jc w:val="center"/>
              <w:rPr>
                <w:rFonts w:asciiTheme="minorHAnsi" w:hAnsiTheme="minorHAnsi" w:eastAsiaTheme="minorHAnsi"/>
                <w:sz w:val="18"/>
                <w:szCs w:val="18"/>
              </w:rPr>
            </w:pPr>
            <w:r>
              <w:rPr>
                <w:rFonts w:asciiTheme="minorHAnsi" w:hAnsiTheme="minorHAnsi" w:eastAsiaTheme="minorHAnsi"/>
                <w:sz w:val="18"/>
                <w:szCs w:val="18"/>
              </w:rPr>
              <w:t>$3</w:t>
            </w:r>
            <w:r w:rsidR="00305084">
              <w:rPr>
                <w:rFonts w:asciiTheme="minorHAnsi" w:hAnsiTheme="minorHAnsi" w:eastAsiaTheme="minorHAnsi"/>
                <w:sz w:val="18"/>
                <w:szCs w:val="18"/>
              </w:rPr>
              <w:t>8</w:t>
            </w:r>
          </w:p>
        </w:tc>
        <w:tc>
          <w:tcPr>
            <w:tcW w:w="0" w:type="auto"/>
            <w:vAlign w:val="center"/>
          </w:tcPr>
          <w:p w:rsidRPr="00E578DD" w:rsidR="00612FEB" w:rsidP="006F02FA" w:rsidRDefault="00096E69" w14:paraId="4A148BFC" w14:textId="4551FDC5">
            <w:pPr>
              <w:jc w:val="center"/>
              <w:rPr>
                <w:rFonts w:asciiTheme="minorHAnsi" w:hAnsiTheme="minorHAnsi" w:eastAsiaTheme="minorHAnsi"/>
                <w:sz w:val="18"/>
                <w:szCs w:val="18"/>
              </w:rPr>
            </w:pPr>
            <w:r>
              <w:rPr>
                <w:rFonts w:asciiTheme="minorHAnsi" w:hAnsiTheme="minorHAnsi" w:eastAsiaTheme="minorHAnsi"/>
                <w:sz w:val="18"/>
                <w:szCs w:val="18"/>
              </w:rPr>
              <w:t>$</w:t>
            </w:r>
            <w:r w:rsidR="00305084">
              <w:rPr>
                <w:rFonts w:asciiTheme="minorHAnsi" w:hAnsiTheme="minorHAnsi" w:eastAsiaTheme="minorHAnsi"/>
                <w:sz w:val="18"/>
                <w:szCs w:val="18"/>
              </w:rPr>
              <w:t>1,900</w:t>
            </w:r>
          </w:p>
        </w:tc>
      </w:tr>
      <w:tr w:rsidRPr="00147A2B" w:rsidR="00612FEB" w:rsidTr="00790902" w14:paraId="4A148C05" w14:textId="77777777">
        <w:trPr>
          <w:trHeight w:val="377"/>
        </w:trPr>
        <w:tc>
          <w:tcPr>
            <w:tcW w:w="0" w:type="auto"/>
            <w:vAlign w:val="center"/>
          </w:tcPr>
          <w:p w:rsidRPr="00E578DD" w:rsidR="00612FEB" w:rsidP="006F02FA" w:rsidRDefault="00612FEB" w14:paraId="4A148BFE" w14:textId="77777777">
            <w:pPr>
              <w:rPr>
                <w:rFonts w:asciiTheme="minorHAnsi" w:hAnsiTheme="minorHAnsi" w:eastAsiaTheme="minorHAnsi"/>
                <w:sz w:val="18"/>
                <w:szCs w:val="18"/>
              </w:rPr>
            </w:pPr>
            <w:r w:rsidRPr="00E578DD">
              <w:rPr>
                <w:rFonts w:asciiTheme="minorHAnsi" w:hAnsiTheme="minorHAnsi" w:eastAsiaTheme="minorHAnsi"/>
                <w:sz w:val="18"/>
                <w:szCs w:val="18"/>
              </w:rPr>
              <w:t>Total</w:t>
            </w:r>
          </w:p>
          <w:p w:rsidRPr="00E578DD" w:rsidR="00612FEB" w:rsidP="006F02FA" w:rsidRDefault="00612FEB" w14:paraId="4A148BFF" w14:textId="77777777">
            <w:pPr>
              <w:rPr>
                <w:rFonts w:asciiTheme="minorHAnsi" w:hAnsiTheme="minorHAnsi" w:eastAsiaTheme="minorHAnsi"/>
                <w:sz w:val="18"/>
                <w:szCs w:val="18"/>
              </w:rPr>
            </w:pPr>
          </w:p>
        </w:tc>
        <w:tc>
          <w:tcPr>
            <w:tcW w:w="0" w:type="auto"/>
            <w:vAlign w:val="center"/>
          </w:tcPr>
          <w:p w:rsidRPr="00E578DD" w:rsidR="00612FEB" w:rsidP="006F02FA" w:rsidRDefault="00612FEB" w14:paraId="4A148C00" w14:textId="77777777">
            <w:pPr>
              <w:jc w:val="center"/>
              <w:rPr>
                <w:rFonts w:asciiTheme="minorHAnsi" w:hAnsiTheme="minorHAnsi" w:eastAsiaTheme="minorHAnsi"/>
                <w:sz w:val="18"/>
                <w:szCs w:val="18"/>
              </w:rPr>
            </w:pPr>
            <w:r w:rsidRPr="00E578DD">
              <w:rPr>
                <w:rFonts w:asciiTheme="minorHAnsi" w:hAnsiTheme="minorHAnsi" w:eastAsiaTheme="minorHAnsi"/>
                <w:sz w:val="18"/>
                <w:szCs w:val="18"/>
              </w:rPr>
              <w:t>_____</w:t>
            </w:r>
          </w:p>
        </w:tc>
        <w:tc>
          <w:tcPr>
            <w:tcW w:w="0" w:type="auto"/>
          </w:tcPr>
          <w:p w:rsidRPr="00E578DD" w:rsidR="00612FEB" w:rsidP="006F02FA" w:rsidRDefault="00612FEB" w14:paraId="4A148C01" w14:textId="77777777">
            <w:pPr>
              <w:jc w:val="center"/>
              <w:rPr>
                <w:rFonts w:asciiTheme="minorHAnsi" w:hAnsiTheme="minorHAnsi" w:eastAsiaTheme="minorHAnsi"/>
                <w:sz w:val="18"/>
                <w:szCs w:val="18"/>
              </w:rPr>
            </w:pPr>
            <w:r w:rsidRPr="00E578DD">
              <w:rPr>
                <w:rFonts w:asciiTheme="minorHAnsi" w:hAnsiTheme="minorHAnsi" w:eastAsiaTheme="minorHAnsi"/>
                <w:sz w:val="18"/>
                <w:szCs w:val="18"/>
              </w:rPr>
              <w:t>_____</w:t>
            </w:r>
          </w:p>
        </w:tc>
        <w:tc>
          <w:tcPr>
            <w:tcW w:w="0" w:type="auto"/>
            <w:vAlign w:val="center"/>
          </w:tcPr>
          <w:p w:rsidRPr="00E578DD" w:rsidR="00612FEB" w:rsidP="006F02FA" w:rsidRDefault="00FE2DEE" w14:paraId="4A148C02" w14:textId="59B63F2F">
            <w:pPr>
              <w:jc w:val="center"/>
              <w:rPr>
                <w:rFonts w:asciiTheme="minorHAnsi" w:hAnsiTheme="minorHAnsi" w:eastAsiaTheme="minorHAnsi"/>
                <w:sz w:val="18"/>
                <w:szCs w:val="18"/>
              </w:rPr>
            </w:pPr>
            <w:r>
              <w:rPr>
                <w:rFonts w:asciiTheme="minorHAnsi" w:hAnsiTheme="minorHAnsi" w:eastAsiaTheme="minorHAnsi"/>
                <w:sz w:val="18"/>
                <w:szCs w:val="18"/>
              </w:rPr>
              <w:t>853</w:t>
            </w:r>
          </w:p>
        </w:tc>
        <w:tc>
          <w:tcPr>
            <w:tcW w:w="0" w:type="auto"/>
          </w:tcPr>
          <w:p w:rsidRPr="00E578DD" w:rsidR="00612FEB" w:rsidP="006F02FA" w:rsidRDefault="00612FEB" w14:paraId="4A148C03" w14:textId="77777777">
            <w:pPr>
              <w:jc w:val="center"/>
              <w:rPr>
                <w:rFonts w:asciiTheme="minorHAnsi" w:hAnsiTheme="minorHAnsi" w:eastAsiaTheme="minorHAnsi"/>
                <w:sz w:val="18"/>
                <w:szCs w:val="18"/>
              </w:rPr>
            </w:pPr>
          </w:p>
        </w:tc>
        <w:tc>
          <w:tcPr>
            <w:tcW w:w="0" w:type="auto"/>
          </w:tcPr>
          <w:p w:rsidRPr="00E578DD" w:rsidR="00612FEB" w:rsidP="006F02FA" w:rsidRDefault="00612FEB" w14:paraId="4A148C04" w14:textId="1E020981">
            <w:pPr>
              <w:jc w:val="center"/>
              <w:rPr>
                <w:rFonts w:asciiTheme="minorHAnsi" w:hAnsiTheme="minorHAnsi" w:eastAsiaTheme="minorHAnsi"/>
                <w:sz w:val="18"/>
                <w:szCs w:val="18"/>
              </w:rPr>
            </w:pPr>
            <w:r w:rsidRPr="00E578DD">
              <w:rPr>
                <w:rFonts w:asciiTheme="minorHAnsi" w:hAnsiTheme="minorHAnsi" w:eastAsiaTheme="minorHAnsi"/>
                <w:sz w:val="18"/>
                <w:szCs w:val="18"/>
              </w:rPr>
              <w:t>$</w:t>
            </w:r>
            <w:r w:rsidR="00FF222A">
              <w:rPr>
                <w:rFonts w:asciiTheme="minorHAnsi" w:hAnsiTheme="minorHAnsi" w:eastAsiaTheme="minorHAnsi"/>
                <w:sz w:val="18"/>
                <w:szCs w:val="18"/>
              </w:rPr>
              <w:t>4</w:t>
            </w:r>
            <w:r w:rsidR="00305084">
              <w:rPr>
                <w:rFonts w:asciiTheme="minorHAnsi" w:hAnsiTheme="minorHAnsi" w:eastAsiaTheme="minorHAnsi"/>
                <w:sz w:val="18"/>
                <w:szCs w:val="18"/>
              </w:rPr>
              <w:t>5,919</w:t>
            </w:r>
          </w:p>
        </w:tc>
      </w:tr>
    </w:tbl>
    <w:p w:rsidRPr="00612FEB" w:rsidR="00612FEB" w:rsidP="006F02FA" w:rsidRDefault="00612FEB" w14:paraId="4A148C06" w14:textId="77777777">
      <w:pPr>
        <w:rPr>
          <w:rFonts w:asciiTheme="minorHAnsi" w:hAnsiTheme="minorHAnsi" w:eastAsiaTheme="minorHAnsi" w:cstheme="minorBidi"/>
          <w:sz w:val="20"/>
        </w:rPr>
      </w:pPr>
      <w:r w:rsidRPr="00612FEB">
        <w:rPr>
          <w:rFonts w:asciiTheme="minorHAnsi" w:hAnsiTheme="minorHAnsi" w:eastAsiaTheme="minorHAnsi" w:cstheme="minorBidi"/>
          <w:sz w:val="22"/>
          <w:szCs w:val="22"/>
        </w:rPr>
        <w:t>*</w:t>
      </w:r>
      <w:r w:rsidRPr="00096E69" w:rsidR="00D45680">
        <w:rPr>
          <w:rFonts w:asciiTheme="minorHAnsi" w:hAnsiTheme="minorHAnsi" w:eastAsiaTheme="minorHAnsi" w:cstheme="minorBidi"/>
          <w:sz w:val="20"/>
        </w:rPr>
        <w:t>18</w:t>
      </w:r>
      <w:r w:rsidRPr="00612FEB">
        <w:rPr>
          <w:rFonts w:asciiTheme="minorHAnsi" w:hAnsiTheme="minorHAnsi" w:eastAsiaTheme="minorHAnsi" w:cstheme="minorBidi"/>
          <w:sz w:val="20"/>
        </w:rPr>
        <w:t xml:space="preserve"> hours annualized over 3 years</w:t>
      </w:r>
    </w:p>
    <w:p w:rsidRPr="00612FEB" w:rsidR="00612FEB" w:rsidP="006F02FA" w:rsidRDefault="00612FEB" w14:paraId="4A148C07" w14:textId="77777777">
      <w:pPr>
        <w:rPr>
          <w:rFonts w:asciiTheme="minorHAnsi" w:hAnsiTheme="minorHAnsi" w:eastAsiaTheme="minorHAnsi" w:cstheme="minorBidi"/>
          <w:sz w:val="20"/>
        </w:rPr>
      </w:pPr>
      <w:r w:rsidRPr="00612FEB">
        <w:rPr>
          <w:rFonts w:asciiTheme="minorHAnsi" w:hAnsiTheme="minorHAnsi" w:eastAsiaTheme="minorHAnsi" w:cstheme="minorBidi"/>
          <w:sz w:val="20"/>
        </w:rPr>
        <w:t xml:space="preserve">**After first year; </w:t>
      </w:r>
      <w:r w:rsidR="00D45680">
        <w:rPr>
          <w:rFonts w:asciiTheme="minorHAnsi" w:hAnsiTheme="minorHAnsi" w:eastAsiaTheme="minorHAnsi" w:cstheme="minorBidi"/>
          <w:sz w:val="20"/>
        </w:rPr>
        <w:t>16</w:t>
      </w:r>
      <w:r w:rsidRPr="00612FEB">
        <w:rPr>
          <w:rFonts w:asciiTheme="minorHAnsi" w:hAnsiTheme="minorHAnsi" w:eastAsiaTheme="minorHAnsi" w:cstheme="minorBidi"/>
          <w:sz w:val="20"/>
        </w:rPr>
        <w:t xml:space="preserve"> hours (</w:t>
      </w:r>
      <w:r w:rsidR="00D45680">
        <w:rPr>
          <w:rFonts w:asciiTheme="minorHAnsi" w:hAnsiTheme="minorHAnsi" w:eastAsiaTheme="minorHAnsi" w:cstheme="minorBidi"/>
          <w:sz w:val="20"/>
        </w:rPr>
        <w:t>8</w:t>
      </w:r>
      <w:r w:rsidRPr="00612FEB">
        <w:rPr>
          <w:rFonts w:asciiTheme="minorHAnsi" w:hAnsiTheme="minorHAnsi" w:eastAsiaTheme="minorHAnsi" w:cstheme="minorBidi"/>
          <w:sz w:val="20"/>
        </w:rPr>
        <w:t xml:space="preserve"> each year) annualized over 3 years </w:t>
      </w:r>
    </w:p>
    <w:p w:rsidR="00D352AE" w:rsidP="006F02FA" w:rsidRDefault="00D352AE" w14:paraId="4A148C08" w14:textId="77777777">
      <w:pPr>
        <w:pStyle w:val="PlainText"/>
        <w:ind w:firstLine="720"/>
        <w:rPr>
          <w:rFonts w:ascii="Times New Roman" w:hAnsi="Times New Roman"/>
          <w:b/>
          <w:sz w:val="24"/>
          <w:szCs w:val="24"/>
        </w:rPr>
      </w:pPr>
    </w:p>
    <w:p w:rsidR="00B365D4" w:rsidP="006F02FA" w:rsidRDefault="00B365D4" w14:paraId="4A148C09" w14:textId="77777777">
      <w:pPr>
        <w:pStyle w:val="PlainText"/>
        <w:ind w:firstLine="720"/>
        <w:rPr>
          <w:rFonts w:ascii="Times New Roman" w:hAnsi="Times New Roman"/>
          <w:b/>
          <w:sz w:val="24"/>
          <w:szCs w:val="24"/>
          <w:u w:val="single"/>
        </w:rPr>
      </w:pPr>
      <w:r w:rsidRPr="001549B9">
        <w:rPr>
          <w:rFonts w:ascii="Times New Roman" w:hAnsi="Times New Roman"/>
          <w:b/>
          <w:sz w:val="24"/>
          <w:szCs w:val="24"/>
        </w:rPr>
        <w:t>13.</w:t>
      </w:r>
      <w:r w:rsidRPr="001549B9">
        <w:rPr>
          <w:rFonts w:ascii="Times New Roman" w:hAnsi="Times New Roman"/>
          <w:b/>
          <w:sz w:val="24"/>
          <w:szCs w:val="24"/>
        </w:rPr>
        <w:tab/>
      </w:r>
      <w:r w:rsidRPr="001549B9">
        <w:rPr>
          <w:rFonts w:ascii="Times New Roman" w:hAnsi="Times New Roman"/>
          <w:b/>
          <w:sz w:val="24"/>
          <w:szCs w:val="24"/>
          <w:u w:val="single"/>
        </w:rPr>
        <w:t>Estimate of Total Annualized Cost Burden</w:t>
      </w:r>
    </w:p>
    <w:p w:rsidRPr="001549B9" w:rsidR="00B365D4" w:rsidP="006F02FA" w:rsidRDefault="00B365D4" w14:paraId="4A148C0A" w14:textId="77777777">
      <w:pPr>
        <w:pStyle w:val="PlainText"/>
        <w:rPr>
          <w:rFonts w:ascii="Times New Roman" w:hAnsi="Times New Roman"/>
          <w:b/>
          <w:sz w:val="24"/>
          <w:szCs w:val="24"/>
          <w:u w:val="single"/>
        </w:rPr>
      </w:pPr>
    </w:p>
    <w:p w:rsidRPr="00C82AC1" w:rsidR="00B365D4" w:rsidP="006F02FA" w:rsidRDefault="00B365D4" w14:paraId="4A148C0B" w14:textId="77777777">
      <w:pPr>
        <w:pStyle w:val="PlainText"/>
        <w:ind w:firstLine="720"/>
        <w:rPr>
          <w:rFonts w:ascii="Times New Roman" w:hAnsi="Times New Roman" w:cs="Times New Roman"/>
          <w:sz w:val="24"/>
          <w:szCs w:val="24"/>
        </w:rPr>
      </w:pPr>
      <w:r w:rsidRPr="00C82AC1">
        <w:rPr>
          <w:rStyle w:val="blueten1"/>
          <w:rFonts w:ascii="Times New Roman" w:hAnsi="Times New Roman"/>
          <w:bCs/>
          <w:sz w:val="24"/>
          <w:szCs w:val="24"/>
        </w:rPr>
        <w:t xml:space="preserve">There are no costs associated with this information collection.  </w:t>
      </w:r>
    </w:p>
    <w:p w:rsidR="00B365D4" w:rsidP="006F02FA" w:rsidRDefault="00B365D4" w14:paraId="4A148C0C" w14:textId="77777777">
      <w:pPr>
        <w:rPr>
          <w:rFonts w:ascii="Times New Roman" w:hAnsi="Times New Roman"/>
        </w:rPr>
      </w:pPr>
      <w:r>
        <w:rPr>
          <w:rFonts w:ascii="Times New Roman" w:hAnsi="Times New Roman"/>
        </w:rPr>
        <w:tab/>
      </w:r>
    </w:p>
    <w:p w:rsidR="00B365D4" w:rsidP="006F02FA" w:rsidRDefault="00B365D4" w14:paraId="4A148C0D" w14:textId="77777777">
      <w:pPr>
        <w:ind w:firstLine="720"/>
        <w:rPr>
          <w:rFonts w:ascii="Times New Roman" w:hAnsi="Times New Roman"/>
          <w:b/>
        </w:rPr>
      </w:pPr>
      <w:r>
        <w:rPr>
          <w:rFonts w:ascii="Times New Roman" w:hAnsi="Times New Roman"/>
          <w:b/>
        </w:rPr>
        <w:t>14.</w:t>
      </w:r>
      <w:r>
        <w:rPr>
          <w:rFonts w:ascii="Times New Roman" w:hAnsi="Times New Roman"/>
          <w:b/>
        </w:rPr>
        <w:tab/>
      </w:r>
      <w:r>
        <w:rPr>
          <w:rFonts w:ascii="Times New Roman" w:hAnsi="Times New Roman"/>
          <w:b/>
          <w:u w:val="single"/>
        </w:rPr>
        <w:t>Estimate of Cost to Federal Government</w:t>
      </w:r>
    </w:p>
    <w:p w:rsidR="005D0B57" w:rsidP="006F02FA" w:rsidRDefault="005D0B57" w14:paraId="4A148C0E" w14:textId="77777777">
      <w:pPr>
        <w:rPr>
          <w:rFonts w:ascii="Times New Roman" w:hAnsi="Times New Roman"/>
        </w:rPr>
      </w:pPr>
    </w:p>
    <w:p w:rsidR="006F02FA" w:rsidP="006F02FA" w:rsidRDefault="005D0B57" w14:paraId="4A148C0F" w14:textId="05A2D14E">
      <w:pPr>
        <w:ind w:firstLine="720"/>
        <w:rPr>
          <w:rFonts w:ascii="Times New Roman" w:hAnsi="Times New Roman"/>
        </w:rPr>
      </w:pPr>
      <w:r>
        <w:rPr>
          <w:rFonts w:ascii="Times New Roman" w:hAnsi="Times New Roman"/>
        </w:rPr>
        <w:t>The estimate</w:t>
      </w:r>
      <w:r w:rsidR="00547D28">
        <w:rPr>
          <w:rFonts w:ascii="Times New Roman" w:hAnsi="Times New Roman"/>
        </w:rPr>
        <w:t xml:space="preserve">d </w:t>
      </w:r>
      <w:r w:rsidR="00693CE2">
        <w:rPr>
          <w:rFonts w:ascii="Times New Roman" w:hAnsi="Times New Roman"/>
        </w:rPr>
        <w:t xml:space="preserve">annual </w:t>
      </w:r>
      <w:r w:rsidR="00547D28">
        <w:rPr>
          <w:rFonts w:ascii="Times New Roman" w:hAnsi="Times New Roman"/>
        </w:rPr>
        <w:t xml:space="preserve">cost to the government </w:t>
      </w:r>
      <w:r w:rsidR="00917FE4">
        <w:rPr>
          <w:rFonts w:ascii="Times New Roman" w:hAnsi="Times New Roman"/>
        </w:rPr>
        <w:t xml:space="preserve">for this collection of information is </w:t>
      </w:r>
      <w:r w:rsidR="00685B8A">
        <w:rPr>
          <w:rFonts w:ascii="Times New Roman" w:hAnsi="Times New Roman"/>
        </w:rPr>
        <w:t xml:space="preserve">approximately </w:t>
      </w:r>
      <w:r w:rsidR="00917FE4">
        <w:rPr>
          <w:rFonts w:ascii="Times New Roman" w:hAnsi="Times New Roman"/>
        </w:rPr>
        <w:t>$</w:t>
      </w:r>
      <w:r w:rsidRPr="00D11FEF" w:rsidR="00FF222A">
        <w:rPr>
          <w:rFonts w:ascii="Times New Roman" w:hAnsi="Times New Roman"/>
        </w:rPr>
        <w:t>3</w:t>
      </w:r>
      <w:r w:rsidRPr="00D11FEF" w:rsidR="00685B8A">
        <w:rPr>
          <w:rFonts w:ascii="Times New Roman" w:hAnsi="Times New Roman"/>
        </w:rPr>
        <w:t>9</w:t>
      </w:r>
      <w:r w:rsidRPr="00D11FEF" w:rsidR="00FF222A">
        <w:rPr>
          <w:rFonts w:ascii="Times New Roman" w:hAnsi="Times New Roman"/>
        </w:rPr>
        <w:t>,</w:t>
      </w:r>
      <w:r w:rsidRPr="00D11FEF" w:rsidR="00685B8A">
        <w:rPr>
          <w:rFonts w:ascii="Times New Roman" w:hAnsi="Times New Roman"/>
        </w:rPr>
        <w:t>000</w:t>
      </w:r>
      <w:r w:rsidR="00917FE4">
        <w:rPr>
          <w:rFonts w:ascii="Times New Roman" w:hAnsi="Times New Roman"/>
        </w:rPr>
        <w:t xml:space="preserve">.  </w:t>
      </w:r>
      <w:r w:rsidR="00EA38C8">
        <w:rPr>
          <w:rFonts w:ascii="Times New Roman" w:hAnsi="Times New Roman"/>
          <w:szCs w:val="24"/>
        </w:rPr>
        <w:t xml:space="preserve">This </w:t>
      </w:r>
      <w:r w:rsidR="00917FE4">
        <w:rPr>
          <w:rFonts w:ascii="Times New Roman" w:hAnsi="Times New Roman"/>
        </w:rPr>
        <w:t xml:space="preserve">amount reflects </w:t>
      </w:r>
      <w:r w:rsidR="006F4B1E">
        <w:rPr>
          <w:rFonts w:ascii="Times New Roman" w:hAnsi="Times New Roman"/>
        </w:rPr>
        <w:t xml:space="preserve">an estimate of the amount of time staff </w:t>
      </w:r>
      <w:r w:rsidR="00C340D3">
        <w:rPr>
          <w:rFonts w:ascii="Times New Roman" w:hAnsi="Times New Roman"/>
        </w:rPr>
        <w:lastRenderedPageBreak/>
        <w:t xml:space="preserve">that </w:t>
      </w:r>
      <w:r w:rsidR="006F4B1E">
        <w:rPr>
          <w:rFonts w:ascii="Times New Roman" w:hAnsi="Times New Roman"/>
        </w:rPr>
        <w:t>would</w:t>
      </w:r>
      <w:r w:rsidR="00C340D3">
        <w:rPr>
          <w:rFonts w:ascii="Times New Roman" w:hAnsi="Times New Roman"/>
        </w:rPr>
        <w:t xml:space="preserve"> be needed </w:t>
      </w:r>
      <w:r w:rsidR="006F4B1E">
        <w:rPr>
          <w:rFonts w:ascii="Times New Roman" w:hAnsi="Times New Roman"/>
        </w:rPr>
        <w:t>to r</w:t>
      </w:r>
      <w:r w:rsidR="00547D28">
        <w:rPr>
          <w:rFonts w:ascii="Times New Roman" w:hAnsi="Times New Roman"/>
        </w:rPr>
        <w:t>eview</w:t>
      </w:r>
      <w:r w:rsidR="00E815BB">
        <w:rPr>
          <w:rFonts w:ascii="Times New Roman" w:hAnsi="Times New Roman"/>
        </w:rPr>
        <w:t xml:space="preserve"> and analyze</w:t>
      </w:r>
      <w:r w:rsidR="00547D28">
        <w:rPr>
          <w:rFonts w:ascii="Times New Roman" w:hAnsi="Times New Roman"/>
        </w:rPr>
        <w:t xml:space="preserve"> documentation submitted </w:t>
      </w:r>
      <w:r w:rsidR="00917FE4">
        <w:rPr>
          <w:rFonts w:ascii="Times New Roman" w:hAnsi="Times New Roman"/>
        </w:rPr>
        <w:t xml:space="preserve">by an estimated </w:t>
      </w:r>
      <w:r w:rsidR="00305084">
        <w:rPr>
          <w:rFonts w:ascii="Times New Roman" w:hAnsi="Times New Roman"/>
        </w:rPr>
        <w:t>5</w:t>
      </w:r>
      <w:r w:rsidR="00917FE4">
        <w:rPr>
          <w:rFonts w:ascii="Times New Roman" w:hAnsi="Times New Roman"/>
        </w:rPr>
        <w:t>0 contractors each year</w:t>
      </w:r>
      <w:r w:rsidRPr="006F4B1E" w:rsidR="006F4B1E">
        <w:rPr>
          <w:rFonts w:ascii="Times New Roman" w:hAnsi="Times New Roman"/>
        </w:rPr>
        <w:t xml:space="preserve"> </w:t>
      </w:r>
      <w:r w:rsidR="006F4B1E">
        <w:rPr>
          <w:rFonts w:ascii="Times New Roman" w:hAnsi="Times New Roman"/>
        </w:rPr>
        <w:t>pursuant to the Contract Standard</w:t>
      </w:r>
      <w:r w:rsidR="00917FE4">
        <w:rPr>
          <w:rFonts w:ascii="Times New Roman" w:hAnsi="Times New Roman"/>
        </w:rPr>
        <w:t>.</w:t>
      </w:r>
      <w:r w:rsidR="00917FE4">
        <w:rPr>
          <w:rStyle w:val="FootnoteReference"/>
          <w:rFonts w:ascii="Times New Roman" w:hAnsi="Times New Roman"/>
        </w:rPr>
        <w:footnoteReference w:id="14"/>
      </w:r>
      <w:r w:rsidR="00917FE4">
        <w:rPr>
          <w:rFonts w:ascii="Times New Roman" w:hAnsi="Times New Roman"/>
        </w:rPr>
        <w:t xml:space="preserve"> </w:t>
      </w:r>
    </w:p>
    <w:p w:rsidR="00D352AE" w:rsidP="006F02FA" w:rsidRDefault="00D352AE" w14:paraId="4A148C10" w14:textId="77777777">
      <w:pPr>
        <w:ind w:firstLine="720"/>
        <w:rPr>
          <w:rFonts w:ascii="Times New Roman" w:hAnsi="Times New Roman"/>
        </w:rPr>
      </w:pPr>
    </w:p>
    <w:p w:rsidR="00D352AE" w:rsidP="00D352AE" w:rsidRDefault="00B365D4" w14:paraId="4A148C11" w14:textId="77777777">
      <w:pPr>
        <w:ind w:firstLine="720"/>
        <w:rPr>
          <w:rFonts w:ascii="Times New Roman" w:hAnsi="Times New Roman"/>
          <w:b/>
        </w:rPr>
      </w:pPr>
      <w:r>
        <w:rPr>
          <w:rFonts w:ascii="Times New Roman" w:hAnsi="Times New Roman"/>
          <w:b/>
        </w:rPr>
        <w:t>15.</w:t>
      </w:r>
      <w:r>
        <w:rPr>
          <w:rFonts w:ascii="Times New Roman" w:hAnsi="Times New Roman"/>
          <w:b/>
        </w:rPr>
        <w:tab/>
      </w:r>
      <w:r>
        <w:rPr>
          <w:rFonts w:ascii="Times New Roman" w:hAnsi="Times New Roman"/>
          <w:b/>
          <w:u w:val="single"/>
        </w:rPr>
        <w:t>Explanation of Changes in Burden</w:t>
      </w:r>
    </w:p>
    <w:p w:rsidR="00D352AE" w:rsidP="00D352AE" w:rsidRDefault="00D352AE" w14:paraId="4A148C12" w14:textId="77777777">
      <w:pPr>
        <w:ind w:firstLine="720"/>
        <w:rPr>
          <w:rFonts w:ascii="Times New Roman" w:hAnsi="Times New Roman"/>
          <w:b/>
        </w:rPr>
      </w:pPr>
    </w:p>
    <w:p w:rsidRPr="00D352AE" w:rsidR="00D352AE" w:rsidP="00D352AE" w:rsidRDefault="00D53440" w14:paraId="4A148C13" w14:textId="5DAFA1A6">
      <w:pPr>
        <w:ind w:firstLine="720"/>
        <w:rPr>
          <w:rFonts w:ascii="Times New Roman" w:hAnsi="Times New Roman"/>
          <w:b/>
        </w:rPr>
      </w:pPr>
      <w:r>
        <w:rPr>
          <w:sz w:val="23"/>
          <w:szCs w:val="23"/>
        </w:rPr>
        <w:t xml:space="preserve">The changes in the estimated annual burden hours from 925 </w:t>
      </w:r>
      <w:r w:rsidR="00765ADA">
        <w:rPr>
          <w:sz w:val="23"/>
          <w:szCs w:val="23"/>
        </w:rPr>
        <w:t xml:space="preserve">to 853 </w:t>
      </w:r>
      <w:r>
        <w:rPr>
          <w:sz w:val="23"/>
          <w:szCs w:val="23"/>
        </w:rPr>
        <w:t xml:space="preserve">are due to a </w:t>
      </w:r>
      <w:r w:rsidR="00765ADA">
        <w:rPr>
          <w:sz w:val="23"/>
          <w:szCs w:val="23"/>
        </w:rPr>
        <w:t xml:space="preserve">decrease </w:t>
      </w:r>
      <w:r w:rsidR="00A24FF3">
        <w:rPr>
          <w:sz w:val="23"/>
          <w:szCs w:val="23"/>
        </w:rPr>
        <w:t xml:space="preserve">in the estimated number of </w:t>
      </w:r>
      <w:r w:rsidR="00786BFD">
        <w:rPr>
          <w:sz w:val="23"/>
          <w:szCs w:val="23"/>
        </w:rPr>
        <w:t xml:space="preserve">contractors </w:t>
      </w:r>
      <w:r>
        <w:rPr>
          <w:sz w:val="23"/>
          <w:szCs w:val="23"/>
        </w:rPr>
        <w:t>that would be subject to recordkeeping burden as a result of th</w:t>
      </w:r>
      <w:r w:rsidR="00A24FF3">
        <w:rPr>
          <w:sz w:val="23"/>
          <w:szCs w:val="23"/>
        </w:rPr>
        <w:t>is</w:t>
      </w:r>
      <w:r>
        <w:rPr>
          <w:sz w:val="23"/>
          <w:szCs w:val="23"/>
        </w:rPr>
        <w:t xml:space="preserve"> collection of information</w:t>
      </w:r>
      <w:r w:rsidR="00A24FF3">
        <w:rPr>
          <w:sz w:val="23"/>
          <w:szCs w:val="23"/>
        </w:rPr>
        <w:t>, from 75 contractors</w:t>
      </w:r>
      <w:r w:rsidR="00765ADA">
        <w:rPr>
          <w:sz w:val="23"/>
          <w:szCs w:val="23"/>
        </w:rPr>
        <w:t xml:space="preserve"> to 73 contractors</w:t>
      </w:r>
      <w:r w:rsidR="00786BFD">
        <w:rPr>
          <w:sz w:val="23"/>
          <w:szCs w:val="23"/>
        </w:rPr>
        <w:t xml:space="preserve">. </w:t>
      </w:r>
      <w:r>
        <w:rPr>
          <w:sz w:val="23"/>
          <w:szCs w:val="23"/>
        </w:rPr>
        <w:t xml:space="preserve"> In addition, the changes reflect a decrease in the </w:t>
      </w:r>
      <w:r w:rsidR="00765ADA">
        <w:rPr>
          <w:sz w:val="23"/>
          <w:szCs w:val="23"/>
        </w:rPr>
        <w:t xml:space="preserve">burden hours associated with retrieving and submitting documentation of good faith efforts from 100 to 50. </w:t>
      </w:r>
    </w:p>
    <w:p w:rsidR="00D352AE" w:rsidP="00765ADA" w:rsidRDefault="00D352AE" w14:paraId="4A148C15" w14:textId="7A1D88BB">
      <w:pPr>
        <w:rPr>
          <w:rFonts w:ascii="Times New Roman" w:hAnsi="Times New Roman"/>
          <w:b/>
        </w:rPr>
      </w:pPr>
    </w:p>
    <w:p w:rsidRPr="00B43E08" w:rsidR="00B365D4" w:rsidP="009F3B27" w:rsidRDefault="00B365D4" w14:paraId="4A148C16" w14:textId="77777777">
      <w:pPr>
        <w:ind w:firstLine="720"/>
        <w:rPr>
          <w:rFonts w:ascii="Times New Roman" w:hAnsi="Times New Roman"/>
          <w:b/>
        </w:rPr>
      </w:pPr>
      <w:r w:rsidRPr="00B43E08">
        <w:rPr>
          <w:rFonts w:ascii="Times New Roman" w:hAnsi="Times New Roman"/>
          <w:b/>
        </w:rPr>
        <w:t>16.</w:t>
      </w:r>
      <w:r w:rsidRPr="00B43E08">
        <w:rPr>
          <w:rFonts w:ascii="Times New Roman" w:hAnsi="Times New Roman"/>
          <w:b/>
        </w:rPr>
        <w:tab/>
      </w:r>
      <w:r w:rsidRPr="00B43E08">
        <w:rPr>
          <w:rFonts w:ascii="Times New Roman" w:hAnsi="Times New Roman"/>
          <w:b/>
          <w:u w:val="single"/>
        </w:rPr>
        <w:t>Information Collections Planned for Statistical Purposes</w:t>
      </w:r>
    </w:p>
    <w:p w:rsidR="00B365D4" w:rsidP="00B365D4" w:rsidRDefault="00B365D4" w14:paraId="4A148C17" w14:textId="77777777">
      <w:pPr>
        <w:rPr>
          <w:rFonts w:ascii="Times New Roman" w:hAnsi="Times New Roman"/>
        </w:rPr>
      </w:pPr>
    </w:p>
    <w:p w:rsidR="00B365D4" w:rsidP="00B365D4" w:rsidRDefault="00B365D4" w14:paraId="4A148C18" w14:textId="77777777">
      <w:pPr>
        <w:rPr>
          <w:rFonts w:ascii="Times New Roman" w:hAnsi="Times New Roman"/>
        </w:rPr>
      </w:pPr>
      <w:r>
        <w:rPr>
          <w:rFonts w:ascii="Times New Roman" w:hAnsi="Times New Roman"/>
        </w:rPr>
        <w:tab/>
      </w:r>
      <w:r w:rsidRPr="00B43E08">
        <w:rPr>
          <w:rFonts w:ascii="Times New Roman" w:hAnsi="Times New Roman"/>
        </w:rPr>
        <w:t xml:space="preserve">Not applicable.  </w:t>
      </w:r>
    </w:p>
    <w:p w:rsidR="00B365D4" w:rsidP="00B365D4" w:rsidRDefault="00B365D4" w14:paraId="4A148C19" w14:textId="77777777">
      <w:pPr>
        <w:rPr>
          <w:rFonts w:ascii="Times New Roman" w:hAnsi="Times New Roman"/>
        </w:rPr>
      </w:pPr>
    </w:p>
    <w:p w:rsidR="00B365D4" w:rsidP="009F3B27" w:rsidRDefault="00B365D4" w14:paraId="4A148C1A" w14:textId="77777777">
      <w:pPr>
        <w:ind w:firstLine="720"/>
        <w:rPr>
          <w:rFonts w:ascii="Times New Roman" w:hAnsi="Times New Roman"/>
          <w:b/>
        </w:rPr>
      </w:pPr>
      <w:r>
        <w:rPr>
          <w:rFonts w:ascii="Times New Roman" w:hAnsi="Times New Roman"/>
          <w:b/>
        </w:rPr>
        <w:t>17.</w:t>
      </w:r>
      <w:r>
        <w:rPr>
          <w:rFonts w:ascii="Times New Roman" w:hAnsi="Times New Roman"/>
          <w:b/>
        </w:rPr>
        <w:tab/>
      </w:r>
      <w:r>
        <w:rPr>
          <w:rFonts w:ascii="Times New Roman" w:hAnsi="Times New Roman"/>
          <w:b/>
          <w:u w:val="single"/>
        </w:rPr>
        <w:t>Display of OMB Expiration Date</w:t>
      </w:r>
    </w:p>
    <w:p w:rsidR="00B365D4" w:rsidP="00B365D4" w:rsidRDefault="00B365D4" w14:paraId="4A148C1B" w14:textId="77777777">
      <w:pPr>
        <w:rPr>
          <w:rFonts w:ascii="Times New Roman" w:hAnsi="Times New Roman"/>
        </w:rPr>
      </w:pPr>
    </w:p>
    <w:p w:rsidR="00B365D4" w:rsidP="00B365D4" w:rsidRDefault="00B365D4" w14:paraId="4A148C1C" w14:textId="77777777">
      <w:pPr>
        <w:rPr>
          <w:rFonts w:ascii="Times New Roman" w:hAnsi="Times New Roman"/>
        </w:rPr>
      </w:pPr>
      <w:r w:rsidRPr="005244B8">
        <w:rPr>
          <w:rFonts w:ascii="Times New Roman" w:hAnsi="Times New Roman"/>
        </w:rPr>
        <w:tab/>
      </w:r>
      <w:r w:rsidR="009F3B27">
        <w:rPr>
          <w:rFonts w:ascii="Times New Roman" w:hAnsi="Times New Roman"/>
        </w:rPr>
        <w:t>Not applicable.</w:t>
      </w:r>
    </w:p>
    <w:p w:rsidR="009F3B27" w:rsidP="00B365D4" w:rsidRDefault="009F3B27" w14:paraId="4A148C1D" w14:textId="77777777">
      <w:pPr>
        <w:rPr>
          <w:rFonts w:ascii="Times New Roman" w:hAnsi="Times New Roman"/>
        </w:rPr>
      </w:pPr>
    </w:p>
    <w:p w:rsidR="00B365D4" w:rsidP="009F3B27" w:rsidRDefault="00B365D4" w14:paraId="4A148C1E" w14:textId="77777777">
      <w:pPr>
        <w:ind w:firstLine="720"/>
        <w:rPr>
          <w:rFonts w:ascii="Times New Roman" w:hAnsi="Times New Roman"/>
          <w:b/>
        </w:rPr>
      </w:pPr>
      <w:r>
        <w:rPr>
          <w:rFonts w:ascii="Times New Roman" w:hAnsi="Times New Roman"/>
          <w:b/>
        </w:rPr>
        <w:t>18.</w:t>
      </w:r>
      <w:r>
        <w:rPr>
          <w:rFonts w:ascii="Times New Roman" w:hAnsi="Times New Roman"/>
          <w:b/>
        </w:rPr>
        <w:tab/>
      </w:r>
      <w:r>
        <w:rPr>
          <w:rFonts w:ascii="Times New Roman" w:hAnsi="Times New Roman"/>
          <w:b/>
          <w:u w:val="single"/>
        </w:rPr>
        <w:t>Exceptions to Certification</w:t>
      </w:r>
    </w:p>
    <w:p w:rsidR="00B365D4" w:rsidP="00B365D4" w:rsidRDefault="00B365D4" w14:paraId="4A148C1F" w14:textId="77777777">
      <w:r>
        <w:rPr>
          <w:rFonts w:ascii="Times New Roman" w:hAnsi="Times New Roman"/>
        </w:rPr>
        <w:tab/>
      </w:r>
    </w:p>
    <w:p w:rsidRPr="005244B8" w:rsidR="00B365D4" w:rsidP="00B365D4" w:rsidRDefault="00B365D4" w14:paraId="4A148C20" w14:textId="77777777">
      <w:pPr>
        <w:ind w:firstLine="720"/>
      </w:pPr>
      <w:r w:rsidRPr="005244B8">
        <w:t>This collection complies with the requirements in 5 CFR 1320.9.</w:t>
      </w:r>
    </w:p>
    <w:p w:rsidR="00B365D4" w:rsidP="00B365D4" w:rsidRDefault="00B365D4" w14:paraId="4A148C21" w14:textId="77777777">
      <w:pPr>
        <w:tabs>
          <w:tab w:val="left" w:pos="1168"/>
        </w:tabs>
        <w:outlineLvl w:val="0"/>
        <w:rPr>
          <w:rFonts w:ascii="Times New Roman" w:hAnsi="Times New Roman"/>
          <w:b/>
          <w:szCs w:val="24"/>
        </w:rPr>
      </w:pPr>
      <w:r>
        <w:rPr>
          <w:rFonts w:ascii="Times New Roman" w:hAnsi="Times New Roman"/>
          <w:b/>
          <w:szCs w:val="24"/>
        </w:rPr>
        <w:tab/>
      </w:r>
    </w:p>
    <w:p w:rsidR="009F3B27" w:rsidP="009F3B27" w:rsidRDefault="009F3B27" w14:paraId="4A148C22" w14:textId="77777777">
      <w:pPr>
        <w:pStyle w:val="ListParagraph"/>
        <w:numPr>
          <w:ilvl w:val="0"/>
          <w:numId w:val="1"/>
        </w:numPr>
        <w:outlineLvl w:val="0"/>
        <w:rPr>
          <w:rFonts w:ascii="Times New Roman" w:hAnsi="Times New Roman"/>
          <w:b/>
          <w:szCs w:val="24"/>
        </w:rPr>
      </w:pPr>
      <w:r>
        <w:rPr>
          <w:rFonts w:ascii="Times New Roman" w:hAnsi="Times New Roman"/>
          <w:b/>
          <w:szCs w:val="24"/>
        </w:rPr>
        <w:t>STATISTICAL METHODS</w:t>
      </w:r>
    </w:p>
    <w:p w:rsidRPr="009F3B27" w:rsidR="009F3B27" w:rsidP="009F3B27" w:rsidRDefault="009F3B27" w14:paraId="4A148C23" w14:textId="77777777">
      <w:pPr>
        <w:pStyle w:val="ListParagraph"/>
        <w:outlineLvl w:val="0"/>
        <w:rPr>
          <w:rFonts w:ascii="Times New Roman" w:hAnsi="Times New Roman"/>
          <w:b/>
          <w:szCs w:val="24"/>
        </w:rPr>
      </w:pPr>
    </w:p>
    <w:p w:rsidR="009F3B27" w:rsidP="00B365D4" w:rsidRDefault="009F3B27" w14:paraId="4A148C24" w14:textId="77777777">
      <w:pPr>
        <w:outlineLvl w:val="0"/>
        <w:rPr>
          <w:rFonts w:ascii="Times New Roman" w:hAnsi="Times New Roman"/>
          <w:b/>
          <w:szCs w:val="24"/>
        </w:rPr>
      </w:pPr>
      <w:r>
        <w:rPr>
          <w:rFonts w:ascii="Times New Roman" w:hAnsi="Times New Roman"/>
          <w:b/>
          <w:szCs w:val="24"/>
        </w:rPr>
        <w:tab/>
      </w:r>
      <w:r w:rsidRPr="009F3B27">
        <w:rPr>
          <w:rFonts w:ascii="Times New Roman" w:hAnsi="Times New Roman"/>
          <w:szCs w:val="24"/>
        </w:rPr>
        <w:t>Not applicable</w:t>
      </w:r>
      <w:bookmarkStart w:name="_GoBack" w:id="0"/>
      <w:r w:rsidRPr="00D11FEF">
        <w:rPr>
          <w:rFonts w:ascii="Times New Roman" w:hAnsi="Times New Roman"/>
          <w:szCs w:val="24"/>
        </w:rPr>
        <w:t>.</w:t>
      </w:r>
      <w:bookmarkEnd w:id="0"/>
    </w:p>
    <w:sectPr w:rsidR="009F3B27" w:rsidSect="006F02FA">
      <w:footerReference w:type="even" r:id="rId11"/>
      <w:footerReference w:type="default" r:id="rId12"/>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48C28" w14:textId="77777777" w:rsidR="000650B6" w:rsidRDefault="000650B6">
      <w:r>
        <w:separator/>
      </w:r>
    </w:p>
  </w:endnote>
  <w:endnote w:type="continuationSeparator" w:id="0">
    <w:p w14:paraId="4A148C29" w14:textId="77777777" w:rsidR="000650B6" w:rsidRDefault="0006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48C2A" w14:textId="77777777" w:rsidR="00E85048" w:rsidRDefault="00B365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148C2B" w14:textId="77777777" w:rsidR="00E85048" w:rsidRDefault="00E85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344578"/>
      <w:docPartObj>
        <w:docPartGallery w:val="Page Numbers (Bottom of Page)"/>
        <w:docPartUnique/>
      </w:docPartObj>
    </w:sdtPr>
    <w:sdtEndPr>
      <w:rPr>
        <w:noProof/>
      </w:rPr>
    </w:sdtEndPr>
    <w:sdtContent>
      <w:p w14:paraId="4A148C2C" w14:textId="1C45E64A" w:rsidR="00786BFD" w:rsidRDefault="00786BFD">
        <w:pPr>
          <w:pStyle w:val="Footer"/>
          <w:jc w:val="center"/>
        </w:pPr>
        <w:r>
          <w:fldChar w:fldCharType="begin"/>
        </w:r>
        <w:r>
          <w:instrText xml:space="preserve"> PAGE   \* MERGEFORMAT </w:instrText>
        </w:r>
        <w:r>
          <w:fldChar w:fldCharType="separate"/>
        </w:r>
        <w:r w:rsidR="00D11FEF">
          <w:rPr>
            <w:noProof/>
          </w:rPr>
          <w:t>8</w:t>
        </w:r>
        <w:r>
          <w:rPr>
            <w:noProof/>
          </w:rPr>
          <w:fldChar w:fldCharType="end"/>
        </w:r>
      </w:p>
    </w:sdtContent>
  </w:sdt>
  <w:p w14:paraId="4A148C2D" w14:textId="77777777" w:rsidR="00E85048" w:rsidRDefault="00E85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48C26" w14:textId="77777777" w:rsidR="000650B6" w:rsidRDefault="000650B6">
      <w:r>
        <w:separator/>
      </w:r>
    </w:p>
  </w:footnote>
  <w:footnote w:type="continuationSeparator" w:id="0">
    <w:p w14:paraId="4A148C27" w14:textId="77777777" w:rsidR="000650B6" w:rsidRDefault="000650B6">
      <w:r>
        <w:continuationSeparator/>
      </w:r>
    </w:p>
  </w:footnote>
  <w:footnote w:id="1">
    <w:p w14:paraId="4A148C2E" w14:textId="77777777" w:rsidR="004D0B26" w:rsidRDefault="004D0B26" w:rsidP="004D0B26">
      <w:pPr>
        <w:pStyle w:val="FootnoteText"/>
      </w:pPr>
      <w:r>
        <w:rPr>
          <w:rStyle w:val="FootnoteReference"/>
        </w:rPr>
        <w:footnoteRef/>
      </w:r>
      <w:r>
        <w:t xml:space="preserve"> </w:t>
      </w:r>
      <w:r w:rsidRPr="0066421B">
        <w:rPr>
          <w:szCs w:val="24"/>
        </w:rPr>
        <w:t>12 U.S.C.</w:t>
      </w:r>
      <w:r>
        <w:rPr>
          <w:szCs w:val="24"/>
        </w:rPr>
        <w:t xml:space="preserve"> </w:t>
      </w:r>
      <w:r w:rsidRPr="0066421B">
        <w:rPr>
          <w:szCs w:val="24"/>
        </w:rPr>
        <w:t>5452</w:t>
      </w:r>
      <w:r>
        <w:rPr>
          <w:szCs w:val="24"/>
        </w:rPr>
        <w:t>.</w:t>
      </w:r>
    </w:p>
  </w:footnote>
  <w:footnote w:id="2">
    <w:p w14:paraId="4A148C2F" w14:textId="77777777" w:rsidR="007357FE" w:rsidRDefault="007357FE">
      <w:pPr>
        <w:pStyle w:val="FootnoteText"/>
      </w:pPr>
      <w:r>
        <w:rPr>
          <w:rStyle w:val="FootnoteReference"/>
        </w:rPr>
        <w:footnoteRef/>
      </w:r>
      <w:r>
        <w:t xml:space="preserve"> 44 U.S.C. 3501 et seq.</w:t>
      </w:r>
    </w:p>
  </w:footnote>
  <w:footnote w:id="3">
    <w:p w14:paraId="4A148C31" w14:textId="77777777" w:rsidR="00D0199C" w:rsidRDefault="00D0199C" w:rsidP="00D0199C">
      <w:pPr>
        <w:pStyle w:val="FootnoteText"/>
      </w:pPr>
      <w:r>
        <w:rPr>
          <w:rStyle w:val="FootnoteReference"/>
        </w:rPr>
        <w:footnoteRef/>
      </w:r>
      <w:r w:rsidR="009B5EDA">
        <w:t xml:space="preserve"> </w:t>
      </w:r>
      <w:r>
        <w:t>17 CFR 200.83</w:t>
      </w:r>
      <w:r w:rsidR="00CD30EA">
        <w:t>.</w:t>
      </w:r>
    </w:p>
  </w:footnote>
  <w:footnote w:id="4">
    <w:p w14:paraId="4A148C32" w14:textId="77777777" w:rsidR="00D352AE" w:rsidRDefault="00D352AE" w:rsidP="00D352AE">
      <w:pPr>
        <w:pStyle w:val="FootnoteText"/>
      </w:pPr>
      <w:r>
        <w:rPr>
          <w:rStyle w:val="FootnoteReference"/>
        </w:rPr>
        <w:footnoteRef/>
      </w:r>
      <w:r>
        <w:t xml:space="preserve"> Unless otherwise specified, the term “contractors” refers to contractors and subcontractors.</w:t>
      </w:r>
    </w:p>
  </w:footnote>
  <w:footnote w:id="5">
    <w:p w14:paraId="4A148C34" w14:textId="77777777" w:rsidR="00B70548" w:rsidRDefault="00B70548" w:rsidP="00B70548">
      <w:pPr>
        <w:pStyle w:val="FootnoteText"/>
      </w:pPr>
      <w:r>
        <w:rPr>
          <w:rStyle w:val="FootnoteReference"/>
        </w:rPr>
        <w:footnoteRef/>
      </w:r>
      <w:r>
        <w:t xml:space="preserve"> </w:t>
      </w:r>
      <w:r w:rsidRPr="00A768C7">
        <w:rPr>
          <w:lang w:val="en"/>
        </w:rPr>
        <w:t>42 U.S.C. 2000e</w:t>
      </w:r>
      <w:r w:rsidRPr="00651D0E">
        <w:rPr>
          <w:lang w:val="en"/>
        </w:rPr>
        <w:t xml:space="preserve">, </w:t>
      </w:r>
      <w:r w:rsidRPr="005C1C25">
        <w:rPr>
          <w:u w:val="single"/>
          <w:lang w:val="en"/>
        </w:rPr>
        <w:t>et</w:t>
      </w:r>
      <w:r w:rsidRPr="005C1C25">
        <w:rPr>
          <w:lang w:val="en"/>
        </w:rPr>
        <w:t xml:space="preserve"> </w:t>
      </w:r>
      <w:r w:rsidRPr="005C1C25">
        <w:rPr>
          <w:u w:val="single"/>
          <w:lang w:val="en"/>
        </w:rPr>
        <w:t>seq</w:t>
      </w:r>
      <w:r w:rsidRPr="00651D0E">
        <w:rPr>
          <w:lang w:val="en"/>
        </w:rPr>
        <w:t>.</w:t>
      </w:r>
    </w:p>
  </w:footnote>
  <w:footnote w:id="6">
    <w:p w14:paraId="4A148C35" w14:textId="77777777" w:rsidR="00B70548" w:rsidRDefault="00B70548" w:rsidP="00B70548">
      <w:pPr>
        <w:pStyle w:val="FootnoteText"/>
      </w:pPr>
      <w:r>
        <w:rPr>
          <w:rStyle w:val="FootnoteReference"/>
        </w:rPr>
        <w:footnoteRef/>
      </w:r>
      <w:r>
        <w:t xml:space="preserve"> Executive Order 11246, </w:t>
      </w:r>
      <w:r w:rsidRPr="00D245AD">
        <w:t>30 F</w:t>
      </w:r>
      <w:r>
        <w:t>ed</w:t>
      </w:r>
      <w:r w:rsidRPr="00D245AD">
        <w:t>.</w:t>
      </w:r>
      <w:r>
        <w:t xml:space="preserve"> </w:t>
      </w:r>
      <w:r w:rsidRPr="00D245AD">
        <w:t>R</w:t>
      </w:r>
      <w:r>
        <w:t xml:space="preserve">eg. </w:t>
      </w:r>
      <w:r w:rsidRPr="00D245AD">
        <w:t>12</w:t>
      </w:r>
      <w:r>
        <w:t>,</w:t>
      </w:r>
      <w:r w:rsidRPr="00D245AD">
        <w:t>319</w:t>
      </w:r>
      <w:r>
        <w:t xml:space="preserve"> (Sept. 24, 1965).</w:t>
      </w:r>
    </w:p>
  </w:footnote>
  <w:footnote w:id="7">
    <w:p w14:paraId="4A148C36" w14:textId="77777777" w:rsidR="00B70548" w:rsidRDefault="00B70548" w:rsidP="00B70548">
      <w:pPr>
        <w:pStyle w:val="FootnoteText"/>
      </w:pPr>
      <w:r>
        <w:rPr>
          <w:rStyle w:val="FootnoteReference"/>
        </w:rPr>
        <w:footnoteRef/>
      </w:r>
      <w:r>
        <w:t xml:space="preserve"> </w:t>
      </w:r>
      <w:r w:rsidRPr="00C82DFF">
        <w:rPr>
          <w:u w:val="single"/>
        </w:rPr>
        <w:t xml:space="preserve">See </w:t>
      </w:r>
      <w:r>
        <w:t>41 CFR 60-1.7.</w:t>
      </w:r>
    </w:p>
  </w:footnote>
  <w:footnote w:id="8">
    <w:p w14:paraId="4A148C37" w14:textId="77777777" w:rsidR="00B70548" w:rsidRDefault="00B70548" w:rsidP="00B70548">
      <w:pPr>
        <w:pStyle w:val="FootnoteText"/>
      </w:pPr>
      <w:r>
        <w:rPr>
          <w:rStyle w:val="FootnoteReference"/>
        </w:rPr>
        <w:footnoteRef/>
      </w:r>
      <w:r>
        <w:t xml:space="preserve"> </w:t>
      </w:r>
      <w:r w:rsidRPr="004C002C">
        <w:rPr>
          <w:u w:val="single"/>
        </w:rPr>
        <w:t>See</w:t>
      </w:r>
      <w:r>
        <w:t xml:space="preserve"> 41 CFR part 60-2.</w:t>
      </w:r>
    </w:p>
  </w:footnote>
  <w:footnote w:id="9">
    <w:p w14:paraId="4A148C38" w14:textId="77777777" w:rsidR="00B70548" w:rsidRDefault="00B70548" w:rsidP="00B70548">
      <w:pPr>
        <w:pStyle w:val="FootnoteText"/>
      </w:pPr>
      <w:r>
        <w:rPr>
          <w:rStyle w:val="FootnoteReference"/>
        </w:rPr>
        <w:footnoteRef/>
      </w:r>
      <w:r>
        <w:t xml:space="preserve"> </w:t>
      </w:r>
      <w:r w:rsidRPr="00684FC5">
        <w:t>According to</w:t>
      </w:r>
      <w:r>
        <w:t xml:space="preserve"> the </w:t>
      </w:r>
      <w:r w:rsidRPr="00684FC5">
        <w:t>Supporting Statement for the OFCCP Recordkeeping and Requirements-Supply Service, OMB Control No. 1250-003</w:t>
      </w:r>
      <w:r>
        <w:t xml:space="preserve"> (“Supporting Statement”), </w:t>
      </w:r>
      <w:r w:rsidRPr="00684FC5">
        <w:t xml:space="preserve">it takes approximately 73 burden hours for contractors with 1-100 employees to develop the initial </w:t>
      </w:r>
      <w:r>
        <w:t>written program</w:t>
      </w:r>
      <w:r w:rsidRPr="00684FC5">
        <w:t xml:space="preserve"> required under the regulations implementing </w:t>
      </w:r>
      <w:r w:rsidRPr="002C61A9">
        <w:rPr>
          <w:caps/>
        </w:rPr>
        <w:t>EO</w:t>
      </w:r>
      <w:r w:rsidRPr="00684FC5">
        <w:t xml:space="preserve"> 11246</w:t>
      </w:r>
      <w:r>
        <w:t>.</w:t>
      </w:r>
      <w:r w:rsidRPr="00684FC5">
        <w:t xml:space="preserve">  </w:t>
      </w:r>
      <w:r>
        <w:t xml:space="preserve">We understand </w:t>
      </w:r>
      <w:r w:rsidRPr="00684FC5">
        <w:t xml:space="preserve">the quantitative analyses prescribed by the </w:t>
      </w:r>
      <w:r w:rsidRPr="00C82DFF">
        <w:t>E</w:t>
      </w:r>
      <w:r>
        <w:t xml:space="preserve">xecutive </w:t>
      </w:r>
      <w:r w:rsidRPr="00C82DFF">
        <w:t>O</w:t>
      </w:r>
      <w:r>
        <w:t>rder</w:t>
      </w:r>
      <w:r w:rsidRPr="00684FC5">
        <w:t xml:space="preserve"> regulations</w:t>
      </w:r>
      <w:r>
        <w:t xml:space="preserve"> at 41 CFR part 60-2</w:t>
      </w:r>
      <w:r w:rsidRPr="00684FC5">
        <w:t xml:space="preserve"> are </w:t>
      </w:r>
      <w:r>
        <w:t xml:space="preserve">a </w:t>
      </w:r>
      <w:r w:rsidRPr="00684FC5">
        <w:t xml:space="preserve">time-consuming </w:t>
      </w:r>
      <w:r>
        <w:t>aspect</w:t>
      </w:r>
      <w:r w:rsidRPr="00684FC5">
        <w:t xml:space="preserve"> of</w:t>
      </w:r>
      <w:r>
        <w:t xml:space="preserve"> the written program </w:t>
      </w:r>
      <w:r w:rsidRPr="00684FC5">
        <w:t>development</w:t>
      </w:r>
      <w:r>
        <w:t>.  As there is no requirement to perform these types of quantitative analyses in connection with a workforce inclusion plan under the Contract Standard, we believe the workforce inclusion plan will take substantially fewer hours to develop.  The Supporting Statement is available at reginfo.gov.</w:t>
      </w:r>
    </w:p>
    <w:p w14:paraId="4A148C39" w14:textId="77777777" w:rsidR="00B70548" w:rsidRDefault="00B70548" w:rsidP="00B70548">
      <w:pPr>
        <w:pStyle w:val="FootnoteText"/>
      </w:pPr>
    </w:p>
  </w:footnote>
  <w:footnote w:id="10">
    <w:p w14:paraId="4A148C3A" w14:textId="3BD09A4D" w:rsidR="00C438EB" w:rsidRDefault="00B70548" w:rsidP="00B70548">
      <w:pPr>
        <w:pStyle w:val="FootnoteText"/>
      </w:pPr>
      <w:r>
        <w:rPr>
          <w:rStyle w:val="FootnoteReference"/>
        </w:rPr>
        <w:footnoteRef/>
      </w:r>
      <w:r>
        <w:t xml:space="preserve"> </w:t>
      </w:r>
      <w:r w:rsidR="00472788" w:rsidRPr="00B55851">
        <w:rPr>
          <w:rFonts w:ascii="Times New Roman" w:hAnsi="Times New Roman"/>
        </w:rPr>
        <w:t xml:space="preserve">A search of subcontract awards on the usaspending.gov website showed that fourteen subcontractors in FY 2019 and thirty subcontractors in FY 2020 had subcontracts of $100K or more (Data as of June 29, 2021. </w:t>
      </w:r>
      <w:r w:rsidR="00472788" w:rsidRPr="00B55851">
        <w:rPr>
          <w:rFonts w:ascii="Times New Roman" w:hAnsi="Times New Roman"/>
          <w:u w:val="single"/>
        </w:rPr>
        <w:t xml:space="preserve">See </w:t>
      </w:r>
      <w:r w:rsidR="00472788" w:rsidRPr="00B55851">
        <w:rPr>
          <w:rFonts w:ascii="Times New Roman" w:hAnsi="Times New Roman"/>
        </w:rPr>
        <w:t xml:space="preserve">data on subcontract awards available at </w:t>
      </w:r>
      <w:hyperlink r:id="rId1" w:history="1">
        <w:r w:rsidR="00472788" w:rsidRPr="00B55851">
          <w:rPr>
            <w:rStyle w:val="Hyperlink"/>
            <w:rFonts w:ascii="Times New Roman" w:hAnsi="Times New Roman"/>
          </w:rPr>
          <w:t>http://usaspending.gov</w:t>
        </w:r>
      </w:hyperlink>
      <w:r w:rsidR="00472788" w:rsidRPr="00B55851">
        <w:rPr>
          <w:rFonts w:ascii="Times New Roman" w:hAnsi="Times New Roman"/>
        </w:rPr>
        <w:t xml:space="preserve">.  </w:t>
      </w:r>
    </w:p>
  </w:footnote>
  <w:footnote w:id="11">
    <w:p w14:paraId="4A148C3B" w14:textId="77777777" w:rsidR="00C438EB" w:rsidRDefault="00C438EB">
      <w:pPr>
        <w:pStyle w:val="FootnoteText"/>
      </w:pPr>
      <w:r>
        <w:rPr>
          <w:rStyle w:val="FootnoteReference"/>
        </w:rPr>
        <w:footnoteRef/>
      </w:r>
      <w:r>
        <w:rPr>
          <w:szCs w:val="24"/>
        </w:rPr>
        <w:t>The estimated burden hours are solely for the purpose of the Paperwork Reduction Act.  They are not derived from a survey or study of cost of compliance with the Contract Standard</w:t>
      </w:r>
      <w:r>
        <w:t xml:space="preserve"> </w:t>
      </w:r>
    </w:p>
  </w:footnote>
  <w:footnote w:id="12">
    <w:p w14:paraId="4A148C3C" w14:textId="18AC6C93" w:rsidR="00612FEB" w:rsidRDefault="00612FEB" w:rsidP="00612FEB">
      <w:pPr>
        <w:pStyle w:val="FootnoteText"/>
      </w:pPr>
      <w:r>
        <w:rPr>
          <w:rStyle w:val="FootnoteReference"/>
        </w:rPr>
        <w:footnoteRef/>
      </w:r>
      <w:r>
        <w:t xml:space="preserve"> For purposes of these calculations, the average salaries of $</w:t>
      </w:r>
      <w:r w:rsidR="00FE2DEE">
        <w:t>62.80</w:t>
      </w:r>
      <w:r>
        <w:t xml:space="preserve"> and $2</w:t>
      </w:r>
      <w:r w:rsidR="00FE2DEE">
        <w:t>9</w:t>
      </w:r>
      <w:r>
        <w:t>.</w:t>
      </w:r>
      <w:r w:rsidR="00FE2DEE">
        <w:t>29</w:t>
      </w:r>
      <w:r>
        <w:t xml:space="preserve"> have been rounded up. </w:t>
      </w:r>
    </w:p>
  </w:footnote>
  <w:footnote w:id="13">
    <w:p w14:paraId="4A148C3D" w14:textId="77777777" w:rsidR="00FF222A" w:rsidRDefault="00FF222A" w:rsidP="00FF222A">
      <w:pPr>
        <w:pStyle w:val="FootnoteText"/>
        <w:rPr>
          <w:rFonts w:ascii="Times New Roman" w:hAnsi="Times New Roman"/>
        </w:rPr>
      </w:pPr>
      <w:r>
        <w:rPr>
          <w:rStyle w:val="FootnoteReference"/>
        </w:rPr>
        <w:footnoteRef/>
      </w:r>
      <w:r>
        <w:t xml:space="preserve"> </w:t>
      </w:r>
      <w:r w:rsidRPr="00C438EB">
        <w:rPr>
          <w:rFonts w:ascii="Times New Roman" w:hAnsi="Times New Roman"/>
        </w:rPr>
        <w:t xml:space="preserve">The </w:t>
      </w:r>
      <w:r>
        <w:rPr>
          <w:rFonts w:ascii="Times New Roman" w:hAnsi="Times New Roman"/>
        </w:rPr>
        <w:t xml:space="preserve">burden hour and </w:t>
      </w:r>
      <w:r w:rsidRPr="00C438EB">
        <w:rPr>
          <w:rFonts w:ascii="Times New Roman" w:hAnsi="Times New Roman"/>
        </w:rPr>
        <w:t xml:space="preserve">cost estimates are solely for the purpose of the Paperwork Reduction Act and are not derived from a survey or study of the </w:t>
      </w:r>
      <w:r>
        <w:rPr>
          <w:rFonts w:ascii="Times New Roman" w:hAnsi="Times New Roman"/>
        </w:rPr>
        <w:t xml:space="preserve">paperwork burdens resulting from </w:t>
      </w:r>
      <w:r w:rsidRPr="00C438EB">
        <w:rPr>
          <w:rFonts w:ascii="Times New Roman" w:hAnsi="Times New Roman"/>
        </w:rPr>
        <w:t>compliance with the Contract Standard</w:t>
      </w:r>
      <w:r>
        <w:rPr>
          <w:rFonts w:ascii="Times New Roman" w:hAnsi="Times New Roman"/>
        </w:rPr>
        <w:t>.</w:t>
      </w:r>
    </w:p>
    <w:p w14:paraId="4A148C3E" w14:textId="77777777" w:rsidR="00FF222A" w:rsidRDefault="00FF222A" w:rsidP="00FF222A">
      <w:pPr>
        <w:pStyle w:val="FootnoteText"/>
      </w:pPr>
    </w:p>
  </w:footnote>
  <w:footnote w:id="14">
    <w:p w14:paraId="4A148C3F" w14:textId="3DEB7299" w:rsidR="00917FE4" w:rsidRDefault="00917FE4">
      <w:pPr>
        <w:pStyle w:val="FootnoteText"/>
      </w:pPr>
      <w:r>
        <w:rPr>
          <w:rStyle w:val="FootnoteReference"/>
        </w:rPr>
        <w:footnoteRef/>
      </w:r>
      <w:r>
        <w:t xml:space="preserve"> </w:t>
      </w:r>
      <w:r w:rsidR="006A14DE">
        <w:rPr>
          <w:rFonts w:ascii="Times New Roman" w:hAnsi="Times New Roman"/>
          <w:iCs/>
        </w:rPr>
        <w:t>We</w:t>
      </w:r>
      <w:r w:rsidR="006F4B1E">
        <w:rPr>
          <w:rFonts w:ascii="Times New Roman" w:hAnsi="Times New Roman"/>
          <w:iCs/>
        </w:rPr>
        <w:t xml:space="preserve"> </w:t>
      </w:r>
      <w:r w:rsidR="006A14DE">
        <w:rPr>
          <w:rFonts w:ascii="Times New Roman" w:hAnsi="Times New Roman"/>
        </w:rPr>
        <w:t>estimate</w:t>
      </w:r>
      <w:r w:rsidR="004A27D9">
        <w:rPr>
          <w:rFonts w:ascii="Times New Roman" w:hAnsi="Times New Roman"/>
        </w:rPr>
        <w:t xml:space="preserve"> that </w:t>
      </w:r>
      <w:r w:rsidR="006F4B1E">
        <w:rPr>
          <w:rFonts w:ascii="Times New Roman" w:hAnsi="Times New Roman"/>
        </w:rPr>
        <w:t>it would</w:t>
      </w:r>
      <w:r w:rsidR="004A27D9">
        <w:rPr>
          <w:rFonts w:ascii="Times New Roman" w:hAnsi="Times New Roman"/>
        </w:rPr>
        <w:t xml:space="preserve"> take </w:t>
      </w:r>
      <w:r w:rsidR="00F971DD">
        <w:rPr>
          <w:rFonts w:ascii="Times New Roman" w:hAnsi="Times New Roman"/>
        </w:rPr>
        <w:t xml:space="preserve">OMWI </w:t>
      </w:r>
      <w:r w:rsidR="006A14DE">
        <w:rPr>
          <w:rFonts w:ascii="Times New Roman" w:hAnsi="Times New Roman"/>
        </w:rPr>
        <w:t xml:space="preserve">staff </w:t>
      </w:r>
      <w:r w:rsidR="004A27D9">
        <w:rPr>
          <w:rFonts w:ascii="Times New Roman" w:hAnsi="Times New Roman"/>
        </w:rPr>
        <w:t>approximately six hours to review documentation submitted</w:t>
      </w:r>
      <w:r w:rsidR="00305084">
        <w:rPr>
          <w:rFonts w:ascii="Times New Roman" w:hAnsi="Times New Roman"/>
        </w:rPr>
        <w:t>.</w:t>
      </w:r>
      <w:r w:rsidR="004A27D9">
        <w:rPr>
          <w:rFonts w:ascii="Times New Roman" w:hAnsi="Times New Roman"/>
        </w:rPr>
        <w:t>.</w:t>
      </w:r>
      <w:r w:rsidR="00E815BB">
        <w:rPr>
          <w:rFonts w:ascii="Times New Roman" w:hAnsi="Times New Roman"/>
        </w:rPr>
        <w:t xml:space="preserve"> </w:t>
      </w:r>
      <w:r w:rsidR="0066076F">
        <w:rPr>
          <w:rFonts w:ascii="Times New Roman" w:hAnsi="Times New Roman"/>
        </w:rPr>
        <w:t xml:space="preserve">Thus, </w:t>
      </w:r>
      <w:r w:rsidR="006A14DE">
        <w:rPr>
          <w:rFonts w:ascii="Times New Roman" w:hAnsi="Times New Roman"/>
        </w:rPr>
        <w:t>we</w:t>
      </w:r>
      <w:r w:rsidR="006F4B1E">
        <w:rPr>
          <w:rFonts w:ascii="Times New Roman" w:hAnsi="Times New Roman"/>
        </w:rPr>
        <w:t xml:space="preserve"> </w:t>
      </w:r>
      <w:r w:rsidR="0066076F">
        <w:rPr>
          <w:rFonts w:ascii="Times New Roman" w:hAnsi="Times New Roman"/>
        </w:rPr>
        <w:t xml:space="preserve">estimate that it will take approximately </w:t>
      </w:r>
      <w:r w:rsidR="00305084">
        <w:rPr>
          <w:rFonts w:ascii="Times New Roman" w:hAnsi="Times New Roman"/>
        </w:rPr>
        <w:t>3</w:t>
      </w:r>
      <w:r w:rsidR="00C75805">
        <w:rPr>
          <w:rFonts w:ascii="Times New Roman" w:hAnsi="Times New Roman"/>
        </w:rPr>
        <w:t>00</w:t>
      </w:r>
      <w:r w:rsidR="0066076F">
        <w:rPr>
          <w:rFonts w:ascii="Times New Roman" w:hAnsi="Times New Roman"/>
        </w:rPr>
        <w:t xml:space="preserve"> hours each year to review and analyze the documentation submitted by contractors</w:t>
      </w:r>
      <w:r w:rsidR="00F971DD">
        <w:rPr>
          <w:rFonts w:ascii="Times New Roman" w:hAnsi="Times New Roman"/>
        </w:rPr>
        <w:t xml:space="preserve"> at an average OMWI rate of $</w:t>
      </w:r>
      <w:r w:rsidR="005D5463">
        <w:rPr>
          <w:rFonts w:ascii="Times New Roman" w:hAnsi="Times New Roman"/>
        </w:rPr>
        <w:t>1</w:t>
      </w:r>
      <w:r w:rsidR="00685B8A">
        <w:rPr>
          <w:rFonts w:ascii="Times New Roman" w:hAnsi="Times New Roman"/>
        </w:rPr>
        <w:t>30</w:t>
      </w:r>
      <w:r w:rsidR="00F971DD">
        <w:rPr>
          <w:rFonts w:ascii="Times New Roman" w:hAnsi="Times New Roman"/>
        </w:rPr>
        <w:t xml:space="preserve"> per hour.</w:t>
      </w:r>
      <w:r w:rsidR="001F3E4A">
        <w:rPr>
          <w:rFonts w:ascii="Times New Roman" w:hAnsi="Times New Roman"/>
        </w:rPr>
        <w:t xml:space="preserve">  The estimated annual cost is based on the </w:t>
      </w:r>
      <w:r w:rsidR="005D5463">
        <w:rPr>
          <w:rFonts w:ascii="Times New Roman" w:hAnsi="Times New Roman"/>
        </w:rPr>
        <w:t xml:space="preserve">estimated average </w:t>
      </w:r>
      <w:r w:rsidR="001F3E4A">
        <w:rPr>
          <w:rFonts w:ascii="Times New Roman" w:hAnsi="Times New Roman"/>
        </w:rPr>
        <w:t xml:space="preserve">value of staff time devoted this activity and related overhead. </w:t>
      </w:r>
      <w:r w:rsidR="00067E45">
        <w:rPr>
          <w:rFonts w:ascii="Times New Roman" w:hAnsi="Times New Roman"/>
        </w:rPr>
        <w:t xml:space="preserve"> </w:t>
      </w:r>
      <w:r w:rsidR="0066076F">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2BFA"/>
    <w:multiLevelType w:val="hybridMultilevel"/>
    <w:tmpl w:val="0BA077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A5964"/>
    <w:multiLevelType w:val="hybridMultilevel"/>
    <w:tmpl w:val="44BC4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D3EE9"/>
    <w:multiLevelType w:val="hybridMultilevel"/>
    <w:tmpl w:val="0DBEA4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7B0FED"/>
    <w:multiLevelType w:val="hybridMultilevel"/>
    <w:tmpl w:val="37949C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02448D"/>
    <w:multiLevelType w:val="hybridMultilevel"/>
    <w:tmpl w:val="08C4A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57150"/>
    <w:multiLevelType w:val="hybridMultilevel"/>
    <w:tmpl w:val="CB2E4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A02205"/>
    <w:multiLevelType w:val="hybridMultilevel"/>
    <w:tmpl w:val="F432EB64"/>
    <w:lvl w:ilvl="0" w:tplc="24DC955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887C60"/>
    <w:multiLevelType w:val="hybridMultilevel"/>
    <w:tmpl w:val="886865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7"/>
  </w:num>
  <w:num w:numId="4">
    <w:abstractNumId w:val="1"/>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D4"/>
    <w:rsid w:val="000521F8"/>
    <w:rsid w:val="000650B6"/>
    <w:rsid w:val="00067E45"/>
    <w:rsid w:val="00085959"/>
    <w:rsid w:val="000901DA"/>
    <w:rsid w:val="00096E69"/>
    <w:rsid w:val="000E22DA"/>
    <w:rsid w:val="0014030A"/>
    <w:rsid w:val="00181453"/>
    <w:rsid w:val="001B6859"/>
    <w:rsid w:val="001E3447"/>
    <w:rsid w:val="001F3E4A"/>
    <w:rsid w:val="00203ADA"/>
    <w:rsid w:val="00205749"/>
    <w:rsid w:val="00282217"/>
    <w:rsid w:val="00285C5F"/>
    <w:rsid w:val="002C4307"/>
    <w:rsid w:val="00305084"/>
    <w:rsid w:val="00363066"/>
    <w:rsid w:val="003D7FDA"/>
    <w:rsid w:val="004210A3"/>
    <w:rsid w:val="00434E6D"/>
    <w:rsid w:val="00472788"/>
    <w:rsid w:val="00474FC8"/>
    <w:rsid w:val="004A27D9"/>
    <w:rsid w:val="004B419C"/>
    <w:rsid w:val="004D0B26"/>
    <w:rsid w:val="004F17D4"/>
    <w:rsid w:val="00503EAB"/>
    <w:rsid w:val="00516533"/>
    <w:rsid w:val="00547D28"/>
    <w:rsid w:val="00587FC4"/>
    <w:rsid w:val="005D0B57"/>
    <w:rsid w:val="005D5463"/>
    <w:rsid w:val="00612FEB"/>
    <w:rsid w:val="00634F77"/>
    <w:rsid w:val="0064311D"/>
    <w:rsid w:val="0064771A"/>
    <w:rsid w:val="0066076F"/>
    <w:rsid w:val="006618FD"/>
    <w:rsid w:val="00680E16"/>
    <w:rsid w:val="00685B8A"/>
    <w:rsid w:val="00693CE2"/>
    <w:rsid w:val="006A14DE"/>
    <w:rsid w:val="006B78A2"/>
    <w:rsid w:val="006F02FA"/>
    <w:rsid w:val="006F4B1E"/>
    <w:rsid w:val="007357FE"/>
    <w:rsid w:val="00761DBC"/>
    <w:rsid w:val="00763918"/>
    <w:rsid w:val="00765ADA"/>
    <w:rsid w:val="00784AFF"/>
    <w:rsid w:val="00786BFD"/>
    <w:rsid w:val="007D2CD1"/>
    <w:rsid w:val="007D7DCD"/>
    <w:rsid w:val="00877A3B"/>
    <w:rsid w:val="008A0450"/>
    <w:rsid w:val="0091665A"/>
    <w:rsid w:val="00917FE4"/>
    <w:rsid w:val="00920EB3"/>
    <w:rsid w:val="00926F94"/>
    <w:rsid w:val="00937A3D"/>
    <w:rsid w:val="009B5EDA"/>
    <w:rsid w:val="009B7D3D"/>
    <w:rsid w:val="009D40BE"/>
    <w:rsid w:val="009F3B27"/>
    <w:rsid w:val="00A11F4A"/>
    <w:rsid w:val="00A20EFD"/>
    <w:rsid w:val="00A24FF3"/>
    <w:rsid w:val="00AF7ACC"/>
    <w:rsid w:val="00B365D4"/>
    <w:rsid w:val="00B70548"/>
    <w:rsid w:val="00B7745D"/>
    <w:rsid w:val="00C33FA1"/>
    <w:rsid w:val="00C340D3"/>
    <w:rsid w:val="00C438EB"/>
    <w:rsid w:val="00C44082"/>
    <w:rsid w:val="00C75805"/>
    <w:rsid w:val="00CB148A"/>
    <w:rsid w:val="00CD0E49"/>
    <w:rsid w:val="00CD30EA"/>
    <w:rsid w:val="00D0199C"/>
    <w:rsid w:val="00D11FEF"/>
    <w:rsid w:val="00D17D66"/>
    <w:rsid w:val="00D352AE"/>
    <w:rsid w:val="00D45680"/>
    <w:rsid w:val="00D512EE"/>
    <w:rsid w:val="00D53440"/>
    <w:rsid w:val="00D57BB0"/>
    <w:rsid w:val="00D81451"/>
    <w:rsid w:val="00D925AB"/>
    <w:rsid w:val="00DB40C7"/>
    <w:rsid w:val="00DC35D8"/>
    <w:rsid w:val="00DF0DCF"/>
    <w:rsid w:val="00E00636"/>
    <w:rsid w:val="00E32B48"/>
    <w:rsid w:val="00E71731"/>
    <w:rsid w:val="00E815BB"/>
    <w:rsid w:val="00E85048"/>
    <w:rsid w:val="00EA38C8"/>
    <w:rsid w:val="00EE3B5C"/>
    <w:rsid w:val="00EE420C"/>
    <w:rsid w:val="00EE60A6"/>
    <w:rsid w:val="00EF1AC6"/>
    <w:rsid w:val="00F05270"/>
    <w:rsid w:val="00F36CE4"/>
    <w:rsid w:val="00F36D83"/>
    <w:rsid w:val="00F56A2A"/>
    <w:rsid w:val="00F62023"/>
    <w:rsid w:val="00F75F7C"/>
    <w:rsid w:val="00F84C5B"/>
    <w:rsid w:val="00F971DD"/>
    <w:rsid w:val="00FB3226"/>
    <w:rsid w:val="00FE2DEE"/>
    <w:rsid w:val="00FF222A"/>
    <w:rsid w:val="00FF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14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5D4"/>
    <w:pPr>
      <w:spacing w:after="0" w:line="240" w:lineRule="auto"/>
    </w:pPr>
    <w:rPr>
      <w:rFonts w:ascii="CG Times (W1)" w:eastAsia="Times New Roman" w:hAnsi="CG Times (W1)"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65D4"/>
    <w:pPr>
      <w:tabs>
        <w:tab w:val="center" w:pos="4320"/>
        <w:tab w:val="right" w:pos="8640"/>
      </w:tabs>
    </w:pPr>
  </w:style>
  <w:style w:type="character" w:customStyle="1" w:styleId="FooterChar">
    <w:name w:val="Footer Char"/>
    <w:basedOn w:val="DefaultParagraphFont"/>
    <w:link w:val="Footer"/>
    <w:uiPriority w:val="99"/>
    <w:rsid w:val="00B365D4"/>
    <w:rPr>
      <w:rFonts w:ascii="CG Times (W1)" w:eastAsia="Times New Roman" w:hAnsi="CG Times (W1)" w:cs="Times New Roman"/>
      <w:sz w:val="24"/>
      <w:szCs w:val="20"/>
    </w:rPr>
  </w:style>
  <w:style w:type="character" w:styleId="PageNumber">
    <w:name w:val="page number"/>
    <w:basedOn w:val="DefaultParagraphFont"/>
    <w:rsid w:val="00B365D4"/>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B365D4"/>
    <w:rPr>
      <w:sz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B365D4"/>
    <w:rPr>
      <w:rFonts w:ascii="CG Times (W1)" w:eastAsia="Times New Roman" w:hAnsi="CG Times (W1)" w:cs="Times New Roman"/>
      <w:sz w:val="20"/>
      <w:szCs w:val="20"/>
    </w:rPr>
  </w:style>
  <w:style w:type="character" w:styleId="CommentReference">
    <w:name w:val="annotation reference"/>
    <w:basedOn w:val="DefaultParagraphFont"/>
    <w:semiHidden/>
    <w:rsid w:val="00B365D4"/>
    <w:rPr>
      <w:sz w:val="16"/>
      <w:szCs w:val="16"/>
    </w:rPr>
  </w:style>
  <w:style w:type="paragraph" w:styleId="CommentText">
    <w:name w:val="annotation text"/>
    <w:basedOn w:val="Normal"/>
    <w:link w:val="CommentTextChar"/>
    <w:semiHidden/>
    <w:rsid w:val="00B365D4"/>
    <w:rPr>
      <w:sz w:val="20"/>
    </w:rPr>
  </w:style>
  <w:style w:type="character" w:customStyle="1" w:styleId="CommentTextChar">
    <w:name w:val="Comment Text Char"/>
    <w:basedOn w:val="DefaultParagraphFont"/>
    <w:link w:val="CommentText"/>
    <w:semiHidden/>
    <w:rsid w:val="00B365D4"/>
    <w:rPr>
      <w:rFonts w:ascii="CG Times (W1)" w:eastAsia="Times New Roman" w:hAnsi="CG Times (W1)" w:cs="Times New Roman"/>
      <w:sz w:val="20"/>
      <w:szCs w:val="20"/>
    </w:rPr>
  </w:style>
  <w:style w:type="character" w:customStyle="1" w:styleId="blueten1">
    <w:name w:val="blueten1"/>
    <w:basedOn w:val="DefaultParagraphFont"/>
    <w:rsid w:val="00B365D4"/>
    <w:rPr>
      <w:rFonts w:ascii="Verdana" w:hAnsi="Verdana" w:hint="default"/>
      <w:color w:val="000000"/>
      <w:sz w:val="19"/>
      <w:szCs w:val="19"/>
    </w:rPr>
  </w:style>
  <w:style w:type="paragraph" w:styleId="PlainText">
    <w:name w:val="Plain Text"/>
    <w:basedOn w:val="Normal"/>
    <w:link w:val="PlainTextChar"/>
    <w:rsid w:val="00B365D4"/>
    <w:rPr>
      <w:rFonts w:ascii="Courier New" w:hAnsi="Courier New" w:cs="Courier New"/>
      <w:sz w:val="20"/>
    </w:rPr>
  </w:style>
  <w:style w:type="character" w:customStyle="1" w:styleId="PlainTextChar">
    <w:name w:val="Plain Text Char"/>
    <w:basedOn w:val="DefaultParagraphFont"/>
    <w:link w:val="PlainText"/>
    <w:rsid w:val="00B365D4"/>
    <w:rPr>
      <w:rFonts w:ascii="Courier New" w:eastAsia="Times New Roman" w:hAnsi="Courier New" w:cs="Courier New"/>
      <w:sz w:val="20"/>
      <w:szCs w:val="20"/>
    </w:rPr>
  </w:style>
  <w:style w:type="paragraph" w:styleId="BodyText2">
    <w:name w:val="Body Text 2"/>
    <w:basedOn w:val="Normal"/>
    <w:link w:val="BodyText2Char"/>
    <w:uiPriority w:val="99"/>
    <w:unhideWhenUsed/>
    <w:rsid w:val="00B365D4"/>
    <w:rPr>
      <w:rFonts w:ascii="CG Times" w:eastAsia="Calibri" w:hAnsi="CG Times"/>
      <w:szCs w:val="24"/>
    </w:rPr>
  </w:style>
  <w:style w:type="character" w:customStyle="1" w:styleId="BodyText2Char">
    <w:name w:val="Body Text 2 Char"/>
    <w:basedOn w:val="DefaultParagraphFont"/>
    <w:link w:val="BodyText2"/>
    <w:uiPriority w:val="99"/>
    <w:rsid w:val="00B365D4"/>
    <w:rPr>
      <w:rFonts w:ascii="CG Times" w:eastAsia="Calibri" w:hAnsi="CG Times" w:cs="Times New Roman"/>
      <w:sz w:val="24"/>
      <w:szCs w:val="24"/>
    </w:rPr>
  </w:style>
  <w:style w:type="paragraph" w:styleId="BalloonText">
    <w:name w:val="Balloon Text"/>
    <w:basedOn w:val="Normal"/>
    <w:link w:val="BalloonTextChar"/>
    <w:uiPriority w:val="99"/>
    <w:semiHidden/>
    <w:unhideWhenUsed/>
    <w:rsid w:val="00B365D4"/>
    <w:rPr>
      <w:rFonts w:ascii="Tahoma" w:hAnsi="Tahoma" w:cs="Tahoma"/>
      <w:sz w:val="16"/>
      <w:szCs w:val="16"/>
    </w:rPr>
  </w:style>
  <w:style w:type="character" w:customStyle="1" w:styleId="BalloonTextChar">
    <w:name w:val="Balloon Text Char"/>
    <w:basedOn w:val="DefaultParagraphFont"/>
    <w:link w:val="BalloonText"/>
    <w:uiPriority w:val="99"/>
    <w:semiHidden/>
    <w:rsid w:val="00B365D4"/>
    <w:rPr>
      <w:rFonts w:ascii="Tahoma" w:eastAsia="Times New Roman" w:hAnsi="Tahoma" w:cs="Tahoma"/>
      <w:sz w:val="16"/>
      <w:szCs w:val="16"/>
    </w:rPr>
  </w:style>
  <w:style w:type="character" w:styleId="FootnoteReference">
    <w:name w:val="footnote reference"/>
    <w:basedOn w:val="DefaultParagraphFont"/>
    <w:uiPriority w:val="99"/>
    <w:semiHidden/>
    <w:rsid w:val="004D0B26"/>
    <w:rPr>
      <w:vertAlign w:val="superscript"/>
    </w:rPr>
  </w:style>
  <w:style w:type="paragraph" w:styleId="ListParagraph">
    <w:name w:val="List Paragraph"/>
    <w:basedOn w:val="Normal"/>
    <w:uiPriority w:val="34"/>
    <w:qFormat/>
    <w:rsid w:val="00F36CE4"/>
    <w:pPr>
      <w:ind w:left="720"/>
      <w:contextualSpacing/>
    </w:pPr>
  </w:style>
  <w:style w:type="paragraph" w:styleId="EndnoteText">
    <w:name w:val="endnote text"/>
    <w:basedOn w:val="Normal"/>
    <w:link w:val="EndnoteTextChar"/>
    <w:uiPriority w:val="99"/>
    <w:unhideWhenUsed/>
    <w:rsid w:val="00D0199C"/>
    <w:pPr>
      <w:widowControl w:val="0"/>
    </w:pPr>
    <w:rPr>
      <w:rFonts w:ascii="Courier New" w:hAnsi="Courier New"/>
    </w:rPr>
  </w:style>
  <w:style w:type="character" w:customStyle="1" w:styleId="EndnoteTextChar">
    <w:name w:val="Endnote Text Char"/>
    <w:basedOn w:val="DefaultParagraphFont"/>
    <w:link w:val="EndnoteText"/>
    <w:uiPriority w:val="99"/>
    <w:rsid w:val="00D0199C"/>
    <w:rPr>
      <w:rFonts w:ascii="Courier New" w:eastAsia="Times New Roman" w:hAnsi="Courier New" w:cs="Times New Roman"/>
      <w:sz w:val="24"/>
      <w:szCs w:val="20"/>
    </w:rPr>
  </w:style>
  <w:style w:type="character" w:styleId="Hyperlink">
    <w:name w:val="Hyperlink"/>
    <w:basedOn w:val="DefaultParagraphFont"/>
    <w:rsid w:val="00877A3B"/>
    <w:rPr>
      <w:color w:val="0000FF"/>
      <w:u w:val="single"/>
    </w:rPr>
  </w:style>
  <w:style w:type="paragraph" w:styleId="Header">
    <w:name w:val="header"/>
    <w:basedOn w:val="Normal"/>
    <w:link w:val="HeaderChar"/>
    <w:uiPriority w:val="99"/>
    <w:unhideWhenUsed/>
    <w:rsid w:val="00CD30EA"/>
    <w:pPr>
      <w:tabs>
        <w:tab w:val="center" w:pos="4680"/>
        <w:tab w:val="right" w:pos="9360"/>
      </w:tabs>
    </w:pPr>
  </w:style>
  <w:style w:type="character" w:customStyle="1" w:styleId="HeaderChar">
    <w:name w:val="Header Char"/>
    <w:basedOn w:val="DefaultParagraphFont"/>
    <w:link w:val="Header"/>
    <w:uiPriority w:val="99"/>
    <w:rsid w:val="00CD30EA"/>
    <w:rPr>
      <w:rFonts w:ascii="CG Times (W1)" w:eastAsia="Times New Roman" w:hAnsi="CG Times (W1)" w:cs="Times New Roman"/>
      <w:sz w:val="24"/>
      <w:szCs w:val="20"/>
    </w:rPr>
  </w:style>
  <w:style w:type="table" w:styleId="TableGrid">
    <w:name w:val="Table Grid"/>
    <w:basedOn w:val="TableNormal"/>
    <w:uiPriority w:val="59"/>
    <w:rsid w:val="00612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65ADA"/>
    <w:rPr>
      <w:b/>
      <w:bCs/>
    </w:rPr>
  </w:style>
  <w:style w:type="character" w:customStyle="1" w:styleId="CommentSubjectChar">
    <w:name w:val="Comment Subject Char"/>
    <w:basedOn w:val="CommentTextChar"/>
    <w:link w:val="CommentSubject"/>
    <w:uiPriority w:val="99"/>
    <w:semiHidden/>
    <w:rsid w:val="00765ADA"/>
    <w:rPr>
      <w:rFonts w:ascii="CG Times (W1)" w:eastAsia="Times New Roman" w:hAnsi="CG Times (W1)"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0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usaspending.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C9F78D5E4A2C59459FF625C61217844C" ma:contentTypeVersion="2" ma:contentTypeDescription="" ma:contentTypeScope="" ma:versionID="bf13ecfea42778a5883e3a16349c9ab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98261B-73FB-449B-AB92-7FC8FB002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730C8F-AB9E-4AAE-AC92-19552E9C30FA}">
  <ds:schemaRefs>
    <ds:schemaRef ds:uri="http://schemas.microsoft.com/sharepoint/events"/>
  </ds:schemaRefs>
</ds:datastoreItem>
</file>

<file path=customXml/itemProps3.xml><?xml version="1.0" encoding="utf-8"?>
<ds:datastoreItem xmlns:ds="http://schemas.openxmlformats.org/officeDocument/2006/customXml" ds:itemID="{7EF77E71-6212-4E47-8A42-9259AC78AE87}">
  <ds:schemaRefs>
    <ds:schemaRef ds:uri="http://schemas.microsoft.com/sharepoint/v3/contenttype/forms"/>
  </ds:schemaRefs>
</ds:datastoreItem>
</file>

<file path=customXml/itemProps4.xml><?xml version="1.0" encoding="utf-8"?>
<ds:datastoreItem xmlns:ds="http://schemas.openxmlformats.org/officeDocument/2006/customXml" ds:itemID="{5E145DB4-4E01-48E9-A561-DADE0293F461}">
  <ds:schemaRefs>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2621</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2021-09-13T13:20:00Z</dcterms:created>
  <dcterms:modified xsi:type="dcterms:W3CDTF">2021-09-13T13:20:00Z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viously Modified By">
    <vt:lpwstr/>
  </property>
  <property fmtid="{D5CDD505-2E9C-101B-9397-08002B2CF9AE}" pid="3" name="_dlc_DocIdItemGuid">
    <vt:lpwstr>40dacf42-90d6-487e-8389-6d9a09eb6e59</vt:lpwstr>
  </property>
  <property fmtid="{D5CDD505-2E9C-101B-9397-08002B2CF9AE}" pid="4" name="ContentTypeId">
    <vt:lpwstr>0x0101008CE57A305FE3344E8586358791CCFB2000C9F78D5E4A2C59459FF625C61217844C</vt:lpwstr>
  </property>
  <property fmtid="{D5CDD505-2E9C-101B-9397-08002B2CF9AE}" pid="5" name="_dlc_DocId">
    <vt:lpwstr>KKE47E4U7XZ3-2069-9195</vt:lpwstr>
  </property>
  <property fmtid="{D5CDD505-2E9C-101B-9397-08002B2CF9AE}" pid="6" name="_dlc_DocIdUrl">
    <vt:lpwstr>https://sharepointapps/sites/oit_pra/pra/_layouts/DocIdRedir.aspx?ID=KKE47E4U7XZ3-2069-9195, KKE47E4U7XZ3-2069-9195</vt:lpwstr>
  </property>
  <property fmtid="{D5CDD505-2E9C-101B-9397-08002B2CF9AE}" pid="7" name="Order">
    <vt:r8>681500</vt:r8>
  </property>
  <property fmtid="{D5CDD505-2E9C-101B-9397-08002B2CF9AE}" pid="8" name="ShowRepairView">
    <vt:lpwstr/>
  </property>
  <property fmtid="{D5CDD505-2E9C-101B-9397-08002B2CF9AE}" pid="9" name="xd_ProgID">
    <vt:lpwstr/>
  </property>
  <property fmtid="{D5CDD505-2E9C-101B-9397-08002B2CF9AE}" pid="10" name="_CopySource">
    <vt:lpwstr>https://sharepointapps/sites/oit_pra/pra/ICR Documents/3235-0725-[1515524121270]/OMWI Contract Standard PRA Extension  Supporting Statement FV.docx</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y fmtid="{D5CDD505-2E9C-101B-9397-08002B2CF9AE}" pid="14" name="ShowCombineView">
    <vt:lpwstr/>
  </property>
</Properties>
</file>