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8188B" w:rsidR="00D02EED" w:rsidP="00385A94" w:rsidRDefault="00304068" w14:paraId="1436F9C4" w14:textId="7BE2FC61">
      <w:pPr>
        <w:tabs>
          <w:tab w:val="center" w:pos="4680"/>
        </w:tabs>
        <w:jc w:val="center"/>
        <w:rPr>
          <w:rFonts w:ascii="Arial" w:hAnsi="Arial" w:cs="Arial"/>
          <w:b/>
          <w:szCs w:val="24"/>
        </w:rPr>
      </w:pPr>
      <w:r w:rsidRPr="00E8188B">
        <w:fldChar w:fldCharType="begin"/>
      </w:r>
      <w:r w:rsidRPr="00E8188B" w:rsidR="00D02EED">
        <w:instrText xml:space="preserve"> SEQ CHAPTER \h \r 1</w:instrText>
      </w:r>
      <w:r w:rsidRPr="00E8188B">
        <w:fldChar w:fldCharType="end"/>
      </w:r>
      <w:r w:rsidR="0086786F">
        <w:t xml:space="preserve"> </w:t>
      </w:r>
      <w:r w:rsidRPr="00E8188B" w:rsidR="00D02EED">
        <w:rPr>
          <w:rFonts w:ascii="Arial" w:hAnsi="Arial" w:cs="Arial"/>
          <w:b/>
          <w:szCs w:val="24"/>
        </w:rPr>
        <w:t>Supporting Statement – Part B</w:t>
      </w:r>
      <w:r w:rsidR="00EE1C06">
        <w:rPr>
          <w:rFonts w:ascii="Arial" w:hAnsi="Arial" w:cs="Arial"/>
          <w:b/>
          <w:szCs w:val="24"/>
        </w:rPr>
        <w:t xml:space="preserve"> </w:t>
      </w:r>
      <w:bookmarkStart w:name="_GoBack" w:id="0"/>
      <w:bookmarkEnd w:id="0"/>
    </w:p>
    <w:p w:rsidRPr="00E8188B" w:rsidR="00D02EED" w:rsidRDefault="00D02EED" w14:paraId="1C187EB1" w14:textId="77777777">
      <w:pPr>
        <w:rPr>
          <w:rFonts w:ascii="Arial" w:hAnsi="Arial" w:cs="Arial"/>
          <w:szCs w:val="24"/>
        </w:rPr>
      </w:pPr>
    </w:p>
    <w:p w:rsidRPr="00E8188B" w:rsidR="00D02EED" w:rsidRDefault="00D02EED" w14:paraId="72C0FF66" w14:textId="504BD658">
      <w:pPr>
        <w:tabs>
          <w:tab w:val="center" w:pos="4680"/>
        </w:tabs>
        <w:rPr>
          <w:rFonts w:ascii="Arial" w:hAnsi="Arial" w:cs="Arial"/>
          <w:b/>
          <w:szCs w:val="24"/>
        </w:rPr>
      </w:pPr>
      <w:r w:rsidRPr="00E8188B">
        <w:rPr>
          <w:rFonts w:ascii="Arial" w:hAnsi="Arial" w:cs="Arial"/>
          <w:szCs w:val="24"/>
        </w:rPr>
        <w:tab/>
      </w:r>
      <w:r w:rsidRPr="00E8188B" w:rsidR="00572140">
        <w:rPr>
          <w:rFonts w:ascii="Arial" w:hAnsi="Arial" w:cs="Arial"/>
          <w:b/>
          <w:szCs w:val="24"/>
        </w:rPr>
        <w:t>LOCAL FOOD MARKETING PRACTICES</w:t>
      </w:r>
      <w:r w:rsidRPr="00E8188B" w:rsidR="008E33F4">
        <w:rPr>
          <w:rFonts w:ascii="Arial" w:hAnsi="Arial" w:cs="Arial"/>
          <w:b/>
          <w:szCs w:val="24"/>
        </w:rPr>
        <w:t xml:space="preserve"> </w:t>
      </w:r>
      <w:r w:rsidRPr="00E8188B">
        <w:rPr>
          <w:rFonts w:ascii="Arial" w:hAnsi="Arial" w:cs="Arial"/>
          <w:b/>
          <w:szCs w:val="24"/>
        </w:rPr>
        <w:t>SURVEY</w:t>
      </w:r>
    </w:p>
    <w:p w:rsidRPr="00E8188B" w:rsidR="00D02EED" w:rsidP="00F47D53" w:rsidRDefault="00F47D53" w14:paraId="7112E79C" w14:textId="31A4BE5A">
      <w:pPr>
        <w:tabs>
          <w:tab w:val="left" w:pos="7590"/>
        </w:tabs>
        <w:rPr>
          <w:rFonts w:ascii="Arial" w:hAnsi="Arial" w:cs="Arial"/>
          <w:b/>
          <w:szCs w:val="24"/>
        </w:rPr>
      </w:pPr>
      <w:r>
        <w:rPr>
          <w:rFonts w:ascii="Arial" w:hAnsi="Arial" w:cs="Arial"/>
          <w:b/>
          <w:szCs w:val="24"/>
        </w:rPr>
        <w:tab/>
      </w:r>
    </w:p>
    <w:p w:rsidRPr="00E8188B" w:rsidR="00D02EED" w:rsidRDefault="00D02EED" w14:paraId="7D4C39BD" w14:textId="26C79485">
      <w:pPr>
        <w:tabs>
          <w:tab w:val="center" w:pos="4680"/>
        </w:tabs>
        <w:rPr>
          <w:rFonts w:ascii="Arial" w:hAnsi="Arial" w:cs="Arial"/>
          <w:szCs w:val="24"/>
        </w:rPr>
      </w:pPr>
      <w:r w:rsidRPr="00E8188B">
        <w:rPr>
          <w:rFonts w:ascii="Arial" w:hAnsi="Arial" w:cs="Arial"/>
          <w:szCs w:val="24"/>
        </w:rPr>
        <w:tab/>
        <w:t>OMB No. 0535-</w:t>
      </w:r>
      <w:r w:rsidR="00EB4CA1">
        <w:rPr>
          <w:rFonts w:ascii="Arial" w:hAnsi="Arial" w:cs="Arial"/>
          <w:szCs w:val="24"/>
        </w:rPr>
        <w:t>0259</w:t>
      </w:r>
      <w:r w:rsidR="00B84B91">
        <w:rPr>
          <w:rFonts w:ascii="Arial" w:hAnsi="Arial" w:cs="Arial"/>
          <w:szCs w:val="24"/>
        </w:rPr>
        <w:t xml:space="preserve"> </w:t>
      </w:r>
    </w:p>
    <w:p w:rsidRPr="00E8188B" w:rsidR="00D02EED" w:rsidRDefault="00871C43" w14:paraId="7050016A" w14:textId="325C8B62">
      <w:pPr>
        <w:rPr>
          <w:rFonts w:ascii="Arial" w:hAnsi="Arial" w:cs="Arial"/>
          <w:szCs w:val="24"/>
        </w:rPr>
      </w:pPr>
      <w:r>
        <w:rPr>
          <w:rFonts w:ascii="Arial" w:hAnsi="Arial" w:cs="Arial"/>
          <w:szCs w:val="24"/>
        </w:rPr>
        <w:t xml:space="preserve"> </w:t>
      </w:r>
    </w:p>
    <w:p w:rsidRPr="00E8188B" w:rsidR="00D02EED" w:rsidRDefault="00D02EED" w14:paraId="3DB72FBE" w14:textId="77777777">
      <w:pPr>
        <w:keepLines/>
        <w:ind w:left="720" w:hanging="720"/>
        <w:rPr>
          <w:rFonts w:ascii="Arial" w:hAnsi="Arial" w:cs="Arial"/>
          <w:szCs w:val="24"/>
        </w:rPr>
      </w:pPr>
      <w:r w:rsidRPr="00E8188B">
        <w:rPr>
          <w:rFonts w:ascii="Arial" w:hAnsi="Arial" w:cs="Arial"/>
          <w:b/>
          <w:szCs w:val="24"/>
        </w:rPr>
        <w:t>B.</w:t>
      </w:r>
      <w:r w:rsidRPr="00E8188B">
        <w:rPr>
          <w:rFonts w:ascii="Arial" w:hAnsi="Arial" w:cs="Arial"/>
          <w:b/>
          <w:szCs w:val="24"/>
        </w:rPr>
        <w:tab/>
        <w:t>COLLECTION OF INFORMATION EMPLOYING STATISTICAL METHODS</w:t>
      </w:r>
    </w:p>
    <w:p w:rsidRPr="00E8188B" w:rsidR="00D02EED" w:rsidRDefault="00D02EED" w14:paraId="37AF633E" w14:textId="77777777">
      <w:pPr>
        <w:rPr>
          <w:rFonts w:ascii="Arial" w:hAnsi="Arial" w:cs="Arial"/>
          <w:szCs w:val="24"/>
        </w:rPr>
      </w:pPr>
    </w:p>
    <w:p w:rsidRPr="00E8188B" w:rsidR="00D02EED" w:rsidRDefault="00D02EED" w14:paraId="5E7F057B" w14:textId="77777777">
      <w:pPr>
        <w:ind w:left="720" w:hanging="720"/>
        <w:rPr>
          <w:rFonts w:ascii="Arial" w:hAnsi="Arial" w:cs="Arial"/>
          <w:szCs w:val="24"/>
        </w:rPr>
      </w:pPr>
      <w:r w:rsidRPr="00E8188B">
        <w:rPr>
          <w:rFonts w:ascii="Arial" w:hAnsi="Arial" w:cs="Arial"/>
          <w:b/>
          <w:szCs w:val="24"/>
        </w:rPr>
        <w:t>1.</w:t>
      </w:r>
      <w:r w:rsidRPr="00E8188B">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425842" w:rsidR="009E2565" w:rsidP="009E2565" w:rsidRDefault="009E2565" w14:paraId="22C6862D" w14:textId="77777777">
      <w:pPr>
        <w:autoSpaceDE w:val="0"/>
        <w:autoSpaceDN w:val="0"/>
        <w:adjustRightInd w:val="0"/>
        <w:ind w:left="720"/>
        <w:rPr>
          <w:rFonts w:ascii="Arial" w:hAnsi="Arial" w:cs="Arial"/>
          <w:szCs w:val="24"/>
        </w:rPr>
      </w:pPr>
    </w:p>
    <w:p w:rsidRPr="00190DCA" w:rsidR="00A86AD1" w:rsidP="00F0598E" w:rsidRDefault="005D3DC8" w14:paraId="38347FCC" w14:textId="269CE2E8">
      <w:pPr>
        <w:ind w:left="720"/>
        <w:rPr>
          <w:rFonts w:ascii="Arial" w:hAnsi="Arial" w:cs="Arial"/>
          <w:color w:val="000000" w:themeColor="text1"/>
          <w:szCs w:val="24"/>
        </w:rPr>
      </w:pPr>
      <w:r w:rsidRPr="00190DCA">
        <w:rPr>
          <w:rFonts w:ascii="Arial" w:hAnsi="Arial" w:cs="Arial"/>
          <w:color w:val="000000" w:themeColor="text1"/>
          <w:szCs w:val="24"/>
        </w:rPr>
        <w:t>The targe</w:t>
      </w:r>
      <w:r w:rsidRPr="00190DCA" w:rsidR="00925C43">
        <w:rPr>
          <w:rFonts w:ascii="Arial" w:hAnsi="Arial" w:cs="Arial"/>
          <w:color w:val="000000" w:themeColor="text1"/>
          <w:szCs w:val="24"/>
        </w:rPr>
        <w:t>t population for the Local Food Marketing Practices</w:t>
      </w:r>
      <w:r w:rsidRPr="00190DCA">
        <w:rPr>
          <w:rFonts w:ascii="Arial" w:hAnsi="Arial" w:cs="Arial"/>
          <w:color w:val="000000" w:themeColor="text1"/>
          <w:szCs w:val="24"/>
        </w:rPr>
        <w:t xml:space="preserve"> Survey is any farm that sells </w:t>
      </w:r>
      <w:r w:rsidRPr="00190DCA" w:rsidR="00EB5E09">
        <w:rPr>
          <w:rFonts w:ascii="Arial" w:hAnsi="Arial" w:cs="Arial"/>
          <w:color w:val="000000" w:themeColor="text1"/>
          <w:szCs w:val="24"/>
        </w:rPr>
        <w:t>its</w:t>
      </w:r>
      <w:r w:rsidRPr="00190DCA">
        <w:rPr>
          <w:rFonts w:ascii="Arial" w:hAnsi="Arial" w:cs="Arial"/>
          <w:color w:val="000000" w:themeColor="text1"/>
          <w:szCs w:val="24"/>
        </w:rPr>
        <w:t xml:space="preserve"> products </w:t>
      </w:r>
      <w:r w:rsidRPr="00190DCA" w:rsidR="008F0CC9">
        <w:rPr>
          <w:rFonts w:ascii="Arial" w:hAnsi="Arial" w:cs="Arial"/>
          <w:color w:val="000000" w:themeColor="text1"/>
          <w:szCs w:val="24"/>
        </w:rPr>
        <w:t>through one</w:t>
      </w:r>
      <w:r w:rsidRPr="00190DCA" w:rsidR="00FF1073">
        <w:rPr>
          <w:rFonts w:ascii="Arial" w:hAnsi="Arial" w:cs="Arial"/>
          <w:color w:val="000000" w:themeColor="text1"/>
          <w:szCs w:val="24"/>
        </w:rPr>
        <w:t xml:space="preserve"> of the four marketing channels:</w:t>
      </w:r>
      <w:r w:rsidRPr="00190DCA" w:rsidR="008F0CC9">
        <w:rPr>
          <w:rFonts w:ascii="Arial" w:hAnsi="Arial" w:cs="Arial"/>
          <w:color w:val="000000" w:themeColor="text1"/>
          <w:szCs w:val="24"/>
        </w:rPr>
        <w:t xml:space="preserve"> 1) </w:t>
      </w:r>
      <w:r w:rsidRPr="00190DCA" w:rsidR="008F0CC9">
        <w:rPr>
          <w:rFonts w:ascii="Arial" w:hAnsi="Arial" w:cs="Arial"/>
          <w:color w:val="000000" w:themeColor="text1"/>
        </w:rPr>
        <w:t xml:space="preserve">Consumers, 2) Retail Markets, 3) Institutions, and 4) </w:t>
      </w:r>
      <w:r w:rsidRPr="00190DCA" w:rsidR="002F1CD9">
        <w:rPr>
          <w:rFonts w:ascii="Arial" w:hAnsi="Arial" w:cs="Arial"/>
          <w:color w:val="000000" w:themeColor="text1"/>
        </w:rPr>
        <w:t>Intermediate Markets</w:t>
      </w:r>
      <w:r w:rsidRPr="00190DCA" w:rsidR="00782636">
        <w:rPr>
          <w:rFonts w:ascii="Arial" w:hAnsi="Arial" w:cs="Arial"/>
          <w:color w:val="000000" w:themeColor="text1"/>
        </w:rPr>
        <w:t xml:space="preserve">. </w:t>
      </w:r>
      <w:r w:rsidRPr="00190DCA" w:rsidR="000C76D7">
        <w:rPr>
          <w:rFonts w:ascii="Arial" w:hAnsi="Arial" w:cs="Arial"/>
          <w:color w:val="000000" w:themeColor="text1"/>
          <w:szCs w:val="24"/>
        </w:rPr>
        <w:t xml:space="preserve"> </w:t>
      </w:r>
      <w:r w:rsidRPr="00190DCA" w:rsidR="00A86AD1">
        <w:rPr>
          <w:rFonts w:ascii="Arial" w:hAnsi="Arial" w:cs="Arial"/>
          <w:color w:val="000000" w:themeColor="text1"/>
          <w:szCs w:val="24"/>
        </w:rPr>
        <w:t>In 1975 the USDA, the Office of Management and Budget, and the Census Bureau agreed on a definition of a farm that is still in use today: “A farm is currently defined, for statistical purposes, as any place from which $1,000 or more of agricultural goods (crops or livestock) were sold or normally would have been sold during the year under consideration.”</w:t>
      </w:r>
    </w:p>
    <w:p w:rsidRPr="00190DCA" w:rsidR="00A86AD1" w:rsidP="009E6B94" w:rsidRDefault="00A86AD1" w14:paraId="0C0B1D89" w14:textId="776D65F2">
      <w:pPr>
        <w:autoSpaceDE w:val="0"/>
        <w:autoSpaceDN w:val="0"/>
        <w:adjustRightInd w:val="0"/>
        <w:ind w:left="720"/>
        <w:rPr>
          <w:rFonts w:ascii="Arial" w:hAnsi="Arial" w:cs="Arial"/>
          <w:color w:val="000000" w:themeColor="text1"/>
          <w:szCs w:val="24"/>
        </w:rPr>
      </w:pPr>
    </w:p>
    <w:p w:rsidRPr="00190DCA" w:rsidR="00F0598E" w:rsidP="009E6B94" w:rsidRDefault="00F0598E" w14:paraId="3AECF27F" w14:textId="696E6A56">
      <w:pPr>
        <w:autoSpaceDE w:val="0"/>
        <w:autoSpaceDN w:val="0"/>
        <w:adjustRightInd w:val="0"/>
        <w:ind w:left="720"/>
        <w:rPr>
          <w:rFonts w:ascii="Arial" w:hAnsi="Arial" w:cs="Arial"/>
          <w:color w:val="000000" w:themeColor="text1"/>
          <w:szCs w:val="24"/>
        </w:rPr>
      </w:pPr>
      <w:r w:rsidRPr="00190DCA">
        <w:rPr>
          <w:rFonts w:ascii="Arial" w:hAnsi="Arial" w:cs="Arial"/>
          <w:color w:val="000000" w:themeColor="text1"/>
          <w:szCs w:val="24"/>
        </w:rPr>
        <w:t xml:space="preserve">This substantive change request is to add an additional </w:t>
      </w:r>
      <w:r w:rsidRPr="00190DCA" w:rsidR="00974ED7">
        <w:rPr>
          <w:rFonts w:ascii="Arial" w:hAnsi="Arial" w:cs="Arial"/>
          <w:color w:val="000000" w:themeColor="text1"/>
          <w:szCs w:val="24"/>
        </w:rPr>
        <w:t>30,000</w:t>
      </w:r>
      <w:r w:rsidR="001B06EF">
        <w:rPr>
          <w:rFonts w:ascii="Arial" w:hAnsi="Arial" w:cs="Arial"/>
          <w:color w:val="000000" w:themeColor="text1"/>
          <w:szCs w:val="24"/>
        </w:rPr>
        <w:t xml:space="preserve"> </w:t>
      </w:r>
      <w:r w:rsidRPr="00190DCA">
        <w:rPr>
          <w:rFonts w:ascii="Arial" w:hAnsi="Arial" w:cs="Arial"/>
          <w:color w:val="000000" w:themeColor="text1"/>
          <w:szCs w:val="24"/>
        </w:rPr>
        <w:t>farms to the already-approved sample of approximately 37,000.  The additional samples will be drawn from NASS’s list frame and will consist of agricultural operations with unknown presence of local foods activity.</w:t>
      </w:r>
    </w:p>
    <w:p w:rsidRPr="009A0267" w:rsidR="00F0598E" w:rsidP="009E6B94" w:rsidRDefault="00F0598E" w14:paraId="6E99AD41" w14:textId="77777777">
      <w:pPr>
        <w:autoSpaceDE w:val="0"/>
        <w:autoSpaceDN w:val="0"/>
        <w:adjustRightInd w:val="0"/>
        <w:ind w:left="720"/>
        <w:rPr>
          <w:rFonts w:ascii="Arial" w:hAnsi="Arial" w:cs="Arial"/>
          <w:szCs w:val="24"/>
          <w:highlight w:val="yellow"/>
        </w:rPr>
      </w:pPr>
    </w:p>
    <w:p w:rsidRPr="002E5BB4" w:rsidR="0030522A" w:rsidP="009E2565" w:rsidRDefault="0030522A" w14:paraId="79D0D757" w14:textId="77777777">
      <w:pPr>
        <w:ind w:left="720"/>
        <w:rPr>
          <w:rFonts w:ascii="Arial" w:hAnsi="Arial" w:cs="Arial"/>
          <w:color w:val="FF0000"/>
          <w:szCs w:val="24"/>
        </w:rPr>
      </w:pPr>
    </w:p>
    <w:p w:rsidRPr="00E8188B" w:rsidR="00D02EED" w:rsidRDefault="00D02EED" w14:paraId="31004B4F" w14:textId="77777777">
      <w:pPr>
        <w:ind w:left="720" w:hanging="720"/>
        <w:rPr>
          <w:rFonts w:ascii="Arial" w:hAnsi="Arial" w:cs="Arial"/>
          <w:b/>
          <w:szCs w:val="24"/>
        </w:rPr>
      </w:pPr>
      <w:r w:rsidRPr="00E8188B">
        <w:rPr>
          <w:rFonts w:ascii="Arial" w:hAnsi="Arial" w:cs="Arial"/>
          <w:b/>
          <w:szCs w:val="24"/>
        </w:rPr>
        <w:t>2.</w:t>
      </w:r>
      <w:r w:rsidRPr="00E8188B">
        <w:rPr>
          <w:rFonts w:ascii="Arial" w:hAnsi="Arial" w:cs="Arial"/>
          <w:b/>
          <w:szCs w:val="24"/>
        </w:rPr>
        <w:tab/>
        <w:t>Describe the procedures for the collection of information including:</w:t>
      </w:r>
    </w:p>
    <w:p w:rsidRPr="00E8188B" w:rsidR="00D02EED" w:rsidP="000C0A76" w:rsidRDefault="00D02EED" w14:paraId="7355E605" w14:textId="7E9D057B">
      <w:pPr>
        <w:ind w:left="2160" w:hanging="720"/>
        <w:rPr>
          <w:rFonts w:ascii="Arial" w:hAnsi="Arial" w:cs="Arial"/>
          <w:b/>
          <w:szCs w:val="24"/>
        </w:rPr>
      </w:pPr>
      <w:r w:rsidRPr="00E8188B">
        <w:rPr>
          <w:rFonts w:ascii="Arial" w:hAnsi="Arial" w:cs="Arial"/>
          <w:b/>
          <w:szCs w:val="24"/>
        </w:rPr>
        <w:t>•</w:t>
      </w:r>
      <w:r w:rsidRPr="00E8188B">
        <w:rPr>
          <w:rFonts w:ascii="Arial" w:hAnsi="Arial" w:cs="Arial"/>
          <w:b/>
          <w:szCs w:val="24"/>
        </w:rPr>
        <w:tab/>
        <w:t xml:space="preserve">statistical methodology for stratification and sample </w:t>
      </w:r>
      <w:r w:rsidR="000C0A76">
        <w:rPr>
          <w:rFonts w:ascii="Arial" w:hAnsi="Arial" w:cs="Arial"/>
          <w:b/>
          <w:szCs w:val="24"/>
        </w:rPr>
        <w:t>s</w:t>
      </w:r>
      <w:r w:rsidRPr="00E8188B">
        <w:rPr>
          <w:rFonts w:ascii="Arial" w:hAnsi="Arial" w:cs="Arial"/>
          <w:b/>
          <w:szCs w:val="24"/>
        </w:rPr>
        <w:t>election,</w:t>
      </w:r>
    </w:p>
    <w:p w:rsidRPr="00E8188B" w:rsidR="00D02EED" w:rsidRDefault="00D02EED" w14:paraId="4166433B" w14:textId="77777777">
      <w:pPr>
        <w:ind w:left="1440" w:hanging="1440"/>
        <w:rPr>
          <w:rFonts w:ascii="Arial" w:hAnsi="Arial" w:cs="Arial"/>
          <w:b/>
          <w:szCs w:val="24"/>
        </w:rPr>
      </w:pPr>
      <w:r w:rsidRPr="00E8188B">
        <w:rPr>
          <w:rFonts w:ascii="Arial" w:hAnsi="Arial" w:cs="Arial"/>
          <w:b/>
          <w:szCs w:val="24"/>
        </w:rPr>
        <w:tab/>
        <w:t>•</w:t>
      </w:r>
      <w:r w:rsidRPr="00E8188B">
        <w:rPr>
          <w:rFonts w:ascii="Arial" w:hAnsi="Arial" w:cs="Arial"/>
          <w:b/>
          <w:szCs w:val="24"/>
        </w:rPr>
        <w:tab/>
        <w:t>estimation procedure,</w:t>
      </w:r>
    </w:p>
    <w:p w:rsidRPr="00E8188B" w:rsidR="00D02EED" w:rsidP="008F7210" w:rsidRDefault="00D02EED" w14:paraId="0B2DFA31" w14:textId="77777777">
      <w:pPr>
        <w:ind w:left="2160" w:hanging="720"/>
        <w:rPr>
          <w:rFonts w:ascii="Arial" w:hAnsi="Arial" w:cs="Arial"/>
          <w:b/>
          <w:szCs w:val="24"/>
        </w:rPr>
      </w:pPr>
      <w:r w:rsidRPr="00E8188B">
        <w:rPr>
          <w:rFonts w:ascii="Arial" w:hAnsi="Arial" w:cs="Arial"/>
          <w:b/>
          <w:szCs w:val="24"/>
        </w:rPr>
        <w:t>•</w:t>
      </w:r>
      <w:r w:rsidRPr="00E8188B">
        <w:rPr>
          <w:rFonts w:ascii="Arial" w:hAnsi="Arial" w:cs="Arial"/>
          <w:b/>
          <w:szCs w:val="24"/>
        </w:rPr>
        <w:tab/>
        <w:t>degree of accuracy needed for the purpose described in the justification,</w:t>
      </w:r>
    </w:p>
    <w:p w:rsidRPr="00E8188B" w:rsidR="00D02EED" w:rsidRDefault="00D02EED" w14:paraId="7DE3CF69" w14:textId="77777777">
      <w:pPr>
        <w:ind w:left="1440" w:hanging="1440"/>
        <w:rPr>
          <w:rFonts w:ascii="Arial" w:hAnsi="Arial" w:cs="Arial"/>
          <w:szCs w:val="24"/>
        </w:rPr>
      </w:pPr>
      <w:r w:rsidRPr="00E8188B">
        <w:rPr>
          <w:rFonts w:ascii="Arial" w:hAnsi="Arial" w:cs="Arial"/>
          <w:b/>
          <w:szCs w:val="24"/>
        </w:rPr>
        <w:tab/>
        <w:t>•</w:t>
      </w:r>
      <w:r w:rsidRPr="00E8188B">
        <w:rPr>
          <w:rFonts w:ascii="Arial" w:hAnsi="Arial" w:cs="Arial"/>
          <w:b/>
          <w:szCs w:val="24"/>
        </w:rPr>
        <w:tab/>
        <w:t>unusual problems requiring specialized sampling procedures</w:t>
      </w:r>
    </w:p>
    <w:p w:rsidR="00A51F80" w:rsidP="00B073E2" w:rsidRDefault="00A51F80" w14:paraId="1E202E70" w14:textId="297678F0">
      <w:pPr>
        <w:ind w:left="720"/>
        <w:rPr>
          <w:rFonts w:ascii="Arial" w:hAnsi="Arial" w:cs="Arial"/>
          <w:szCs w:val="24"/>
        </w:rPr>
      </w:pPr>
    </w:p>
    <w:p w:rsidRPr="00190DCA" w:rsidR="00C71B2C" w:rsidP="00C71B2C" w:rsidRDefault="00C71B2C" w14:paraId="0390075A" w14:textId="77777777">
      <w:pPr>
        <w:ind w:left="720"/>
        <w:rPr>
          <w:rFonts w:ascii="Arial" w:hAnsi="Arial" w:cs="Arial"/>
          <w:color w:val="000000" w:themeColor="text1"/>
          <w:szCs w:val="24"/>
        </w:rPr>
      </w:pPr>
      <w:r w:rsidRPr="00190DCA">
        <w:rPr>
          <w:rFonts w:ascii="Arial" w:hAnsi="Arial" w:cs="Arial"/>
          <w:color w:val="000000" w:themeColor="text1"/>
          <w:szCs w:val="24"/>
        </w:rPr>
        <w:t xml:space="preserve">In 2020, the original Local Foods Marketing Practices Survey (LFMPS) Sampling Frame was comprised of operations in all states on NASS’s List Frame that reported direct market sales in the 2017 Census of Agriculture (CoA) or had a NASS List Frame direct market sales indicator.  For this substantive change request, the LFMPS Sampling Frame was updated to also include </w:t>
      </w:r>
      <w:r w:rsidRPr="00190DCA">
        <w:rPr>
          <w:rFonts w:ascii="Arial" w:hAnsi="Arial" w:cs="Arial"/>
          <w:color w:val="000000" w:themeColor="text1"/>
          <w:szCs w:val="24"/>
        </w:rPr>
        <w:lastRenderedPageBreak/>
        <w:t xml:space="preserve">operations in all states on NASS’s List Frame without a direct market sales indicator, i.e., operations with unknown direct market sales.  </w:t>
      </w:r>
    </w:p>
    <w:p w:rsidRPr="00190DCA" w:rsidR="00C71B2C" w:rsidP="00C71B2C" w:rsidRDefault="00C71B2C" w14:paraId="3CDC264C" w14:textId="38006E30">
      <w:pPr>
        <w:ind w:left="720"/>
        <w:rPr>
          <w:rFonts w:ascii="Arial" w:hAnsi="Arial" w:cs="Arial"/>
          <w:color w:val="000000" w:themeColor="text1"/>
          <w:szCs w:val="24"/>
        </w:rPr>
      </w:pPr>
      <w:r w:rsidRPr="00190DCA">
        <w:rPr>
          <w:rFonts w:ascii="Arial" w:hAnsi="Arial" w:cs="Arial"/>
          <w:color w:val="000000" w:themeColor="text1"/>
          <w:szCs w:val="24"/>
        </w:rPr>
        <w:t xml:space="preserve"> </w:t>
      </w:r>
    </w:p>
    <w:p w:rsidRPr="00190DCA" w:rsidR="00C71B2C" w:rsidP="00C71B2C" w:rsidRDefault="00C71B2C" w14:paraId="64B615F0" w14:textId="1B6D554F">
      <w:pPr>
        <w:ind w:left="720"/>
        <w:rPr>
          <w:rFonts w:ascii="Arial" w:hAnsi="Arial" w:cs="Arial"/>
          <w:color w:val="000000" w:themeColor="text1"/>
          <w:szCs w:val="24"/>
        </w:rPr>
      </w:pPr>
      <w:r w:rsidRPr="00190DCA">
        <w:rPr>
          <w:rFonts w:ascii="Arial" w:hAnsi="Arial" w:cs="Arial"/>
          <w:color w:val="000000" w:themeColor="text1"/>
          <w:szCs w:val="24"/>
        </w:rPr>
        <w:t>The LFMPS Sampling Frame’s first level of stratification, within region and state (Table 1), was direct sales type.  Direct Sales Type is defined as Operations:</w:t>
      </w:r>
    </w:p>
    <w:p w:rsidRPr="00190DCA" w:rsidR="00C71B2C" w:rsidP="00C71B2C" w:rsidRDefault="00C71B2C" w14:paraId="4C6E71C5" w14:textId="77777777">
      <w:pPr>
        <w:ind w:left="720"/>
        <w:rPr>
          <w:rFonts w:ascii="Arial" w:hAnsi="Arial" w:cs="Arial"/>
          <w:color w:val="000000" w:themeColor="text1"/>
          <w:szCs w:val="24"/>
        </w:rPr>
      </w:pPr>
    </w:p>
    <w:p w:rsidRPr="00190DCA" w:rsidR="00C71B2C" w:rsidP="00C71B2C" w:rsidRDefault="00C71B2C" w14:paraId="38747A58" w14:textId="2C1E5BF2">
      <w:pPr>
        <w:pStyle w:val="ListParagraph"/>
        <w:numPr>
          <w:ilvl w:val="0"/>
          <w:numId w:val="14"/>
        </w:numPr>
        <w:rPr>
          <w:rFonts w:ascii="Arial" w:hAnsi="Arial" w:cs="Arial"/>
          <w:color w:val="000000" w:themeColor="text1"/>
          <w:szCs w:val="24"/>
        </w:rPr>
      </w:pPr>
      <w:r w:rsidRPr="00190DCA">
        <w:rPr>
          <w:rFonts w:ascii="Arial" w:hAnsi="Arial" w:cs="Arial"/>
          <w:color w:val="000000" w:themeColor="text1"/>
          <w:szCs w:val="24"/>
        </w:rPr>
        <w:t>(Included in the original approval) Operations that reported direct market sales on the 2017 CoA (Type 1):</w:t>
      </w:r>
    </w:p>
    <w:p w:rsidRPr="00190DCA" w:rsidR="00C71B2C" w:rsidP="00C71B2C" w:rsidRDefault="00C71B2C" w14:paraId="678659DC" w14:textId="0EC62085">
      <w:pPr>
        <w:pStyle w:val="ListParagraph"/>
        <w:numPr>
          <w:ilvl w:val="1"/>
          <w:numId w:val="14"/>
        </w:numPr>
        <w:rPr>
          <w:rFonts w:ascii="Arial" w:hAnsi="Arial" w:cs="Arial"/>
          <w:color w:val="000000" w:themeColor="text1"/>
          <w:szCs w:val="24"/>
        </w:rPr>
      </w:pPr>
      <w:r w:rsidRPr="00190DCA">
        <w:rPr>
          <w:rFonts w:ascii="Arial" w:hAnsi="Arial" w:cs="Arial"/>
          <w:color w:val="000000" w:themeColor="text1"/>
          <w:szCs w:val="24"/>
        </w:rPr>
        <w:t>Directly to consumers, and/or</w:t>
      </w:r>
    </w:p>
    <w:p w:rsidRPr="00190DCA" w:rsidR="00C71B2C" w:rsidP="00C71B2C" w:rsidRDefault="00C71B2C" w14:paraId="2832293C" w14:textId="3B4FF38C">
      <w:pPr>
        <w:pStyle w:val="ListParagraph"/>
        <w:numPr>
          <w:ilvl w:val="1"/>
          <w:numId w:val="14"/>
        </w:numPr>
        <w:rPr>
          <w:rFonts w:ascii="Arial" w:hAnsi="Arial" w:cs="Arial"/>
          <w:color w:val="000000" w:themeColor="text1"/>
          <w:szCs w:val="24"/>
        </w:rPr>
      </w:pPr>
      <w:r w:rsidRPr="00190DCA">
        <w:rPr>
          <w:rFonts w:ascii="Arial" w:hAnsi="Arial" w:cs="Arial"/>
          <w:color w:val="000000" w:themeColor="text1"/>
          <w:szCs w:val="24"/>
        </w:rPr>
        <w:t xml:space="preserve">Indirectly to consumers. </w:t>
      </w:r>
    </w:p>
    <w:p w:rsidRPr="00190DCA" w:rsidR="00C71B2C" w:rsidP="00C71B2C" w:rsidRDefault="00C71B2C" w14:paraId="2764B43F" w14:textId="13ED46C1">
      <w:pPr>
        <w:pStyle w:val="ListParagraph"/>
        <w:numPr>
          <w:ilvl w:val="0"/>
          <w:numId w:val="14"/>
        </w:numPr>
        <w:rPr>
          <w:rFonts w:ascii="Arial" w:hAnsi="Arial" w:cs="Arial"/>
          <w:color w:val="000000" w:themeColor="text1"/>
          <w:szCs w:val="24"/>
        </w:rPr>
      </w:pPr>
      <w:r w:rsidRPr="00190DCA">
        <w:rPr>
          <w:rFonts w:ascii="Arial" w:hAnsi="Arial" w:cs="Arial"/>
          <w:color w:val="000000" w:themeColor="text1"/>
          <w:szCs w:val="24"/>
        </w:rPr>
        <w:t>Operations that did not report direct market sales on the 2017 CoA and;</w:t>
      </w:r>
    </w:p>
    <w:p w:rsidRPr="00190DCA" w:rsidR="00C71B2C" w:rsidP="00C71B2C" w:rsidRDefault="001B06EF" w14:paraId="5D63995F" w14:textId="3FCB271C">
      <w:pPr>
        <w:pStyle w:val="ListParagraph"/>
        <w:numPr>
          <w:ilvl w:val="1"/>
          <w:numId w:val="14"/>
        </w:numPr>
        <w:rPr>
          <w:rFonts w:ascii="Arial" w:hAnsi="Arial" w:cs="Arial"/>
          <w:color w:val="000000" w:themeColor="text1"/>
          <w:szCs w:val="24"/>
        </w:rPr>
      </w:pPr>
      <w:r w:rsidRPr="00190DCA">
        <w:rPr>
          <w:rFonts w:ascii="Arial" w:hAnsi="Arial" w:cs="Arial"/>
          <w:color w:val="000000" w:themeColor="text1"/>
          <w:szCs w:val="24"/>
        </w:rPr>
        <w:t xml:space="preserve">(Included in the original approval) </w:t>
      </w:r>
      <w:r w:rsidRPr="00190DCA" w:rsidR="00C71B2C">
        <w:rPr>
          <w:rFonts w:ascii="Arial" w:hAnsi="Arial" w:cs="Arial"/>
          <w:color w:val="000000" w:themeColor="text1"/>
          <w:szCs w:val="24"/>
        </w:rPr>
        <w:t xml:space="preserve">Have a direct market sales indicator on NASS’s List Frame (Type 2), or  </w:t>
      </w:r>
    </w:p>
    <w:p w:rsidRPr="00190DCA" w:rsidR="00C71B2C" w:rsidP="00C71B2C" w:rsidRDefault="001B06EF" w14:paraId="50FFAC19" w14:textId="10C0262B">
      <w:pPr>
        <w:pStyle w:val="ListParagraph"/>
        <w:numPr>
          <w:ilvl w:val="1"/>
          <w:numId w:val="14"/>
        </w:numPr>
        <w:rPr>
          <w:rFonts w:ascii="Arial" w:hAnsi="Arial" w:cs="Arial"/>
          <w:color w:val="000000" w:themeColor="text1"/>
          <w:szCs w:val="24"/>
        </w:rPr>
      </w:pPr>
      <w:r w:rsidRPr="00190DCA">
        <w:rPr>
          <w:rFonts w:ascii="Arial" w:hAnsi="Arial" w:cs="Arial"/>
          <w:color w:val="000000" w:themeColor="text1"/>
          <w:szCs w:val="24"/>
        </w:rPr>
        <w:t xml:space="preserve">(Included in this change request) </w:t>
      </w:r>
      <w:r w:rsidRPr="00190DCA" w:rsidR="00C71B2C">
        <w:rPr>
          <w:rFonts w:ascii="Arial" w:hAnsi="Arial" w:cs="Arial"/>
          <w:color w:val="000000" w:themeColor="text1"/>
          <w:szCs w:val="24"/>
        </w:rPr>
        <w:t xml:space="preserve">Do not have a direct market sales indicator on NASS’s List Frame (Type 3).  </w:t>
      </w:r>
    </w:p>
    <w:p w:rsidRPr="00190DCA" w:rsidR="00C71B2C" w:rsidP="00C71B2C" w:rsidRDefault="00C71B2C" w14:paraId="1D6E5296" w14:textId="77777777">
      <w:pPr>
        <w:pStyle w:val="ListParagraph"/>
        <w:ind w:left="2160"/>
        <w:rPr>
          <w:rFonts w:ascii="Arial" w:hAnsi="Arial" w:cs="Arial"/>
          <w:color w:val="000000" w:themeColor="text1"/>
          <w:szCs w:val="24"/>
        </w:rPr>
      </w:pPr>
    </w:p>
    <w:p w:rsidRPr="00190DCA" w:rsidR="00C71B2C" w:rsidP="00C71B2C" w:rsidRDefault="00C71B2C" w14:paraId="7B7A2C12" w14:textId="7A47F9D2">
      <w:pPr>
        <w:ind w:left="720"/>
        <w:rPr>
          <w:rFonts w:ascii="Arial" w:hAnsi="Arial" w:cs="Arial"/>
          <w:color w:val="000000" w:themeColor="text1"/>
          <w:szCs w:val="24"/>
        </w:rPr>
      </w:pPr>
      <w:r w:rsidRPr="00190DCA">
        <w:rPr>
          <w:rFonts w:ascii="Arial" w:hAnsi="Arial" w:cs="Arial"/>
          <w:color w:val="000000" w:themeColor="text1"/>
          <w:szCs w:val="24"/>
        </w:rPr>
        <w:t xml:space="preserve">For Type 1, the second level of stratification used 2017 CoA reported sales value as a measure of size.  For Types 2 and 3, the second level of stratification was based on the type of commodities the operation produced/raised. </w:t>
      </w:r>
    </w:p>
    <w:p w:rsidRPr="00190DCA" w:rsidR="00452AE0" w:rsidP="00C71B2C" w:rsidRDefault="00452AE0" w14:paraId="3647DEBB" w14:textId="77777777">
      <w:pPr>
        <w:ind w:left="720"/>
        <w:rPr>
          <w:rFonts w:ascii="Arial" w:hAnsi="Arial" w:cs="Arial"/>
          <w:color w:val="000000" w:themeColor="text1"/>
          <w:szCs w:val="24"/>
        </w:rPr>
      </w:pPr>
    </w:p>
    <w:p w:rsidRPr="00190DCA" w:rsidR="00C71B2C" w:rsidP="00C71B2C" w:rsidRDefault="00C71B2C" w14:paraId="18F9AB72" w14:textId="6B32768F">
      <w:pPr>
        <w:ind w:left="720"/>
        <w:rPr>
          <w:rFonts w:ascii="Arial" w:hAnsi="Arial" w:cs="Arial"/>
          <w:color w:val="000000" w:themeColor="text1"/>
          <w:szCs w:val="24"/>
        </w:rPr>
      </w:pPr>
      <w:r w:rsidRPr="00190DCA">
        <w:rPr>
          <w:rFonts w:ascii="Arial" w:hAnsi="Arial" w:cs="Arial"/>
          <w:color w:val="000000" w:themeColor="text1"/>
          <w:szCs w:val="24"/>
        </w:rPr>
        <w:t xml:space="preserve">The samples for Region-State-Types 1 and 2 strata combinations were selected in 2020. The following sample size determination process pertains to Region-State-Type 3 stratum combinations. </w:t>
      </w:r>
    </w:p>
    <w:p w:rsidRPr="00190DCA" w:rsidR="00C71B2C" w:rsidP="00C71B2C" w:rsidRDefault="00C71B2C" w14:paraId="09FB4F01" w14:textId="77777777">
      <w:pPr>
        <w:ind w:left="720"/>
        <w:rPr>
          <w:rFonts w:ascii="Arial" w:hAnsi="Arial" w:cs="Arial"/>
          <w:color w:val="000000" w:themeColor="text1"/>
          <w:szCs w:val="24"/>
        </w:rPr>
      </w:pPr>
    </w:p>
    <w:p w:rsidRPr="00190DCA" w:rsidR="00F8518B" w:rsidP="00C71B2C" w:rsidRDefault="00452AE0" w14:paraId="371622A7" w14:textId="248FEE38">
      <w:pPr>
        <w:ind w:left="720"/>
        <w:rPr>
          <w:rFonts w:ascii="Arial" w:hAnsi="Arial" w:cs="Arial"/>
          <w:color w:val="000000" w:themeColor="text1"/>
          <w:szCs w:val="24"/>
        </w:rPr>
      </w:pPr>
      <w:r w:rsidRPr="00190DCA">
        <w:rPr>
          <w:rFonts w:ascii="Arial" w:hAnsi="Arial" w:cs="Arial"/>
          <w:color w:val="000000" w:themeColor="text1"/>
          <w:szCs w:val="24"/>
        </w:rPr>
        <w:t>The Region-State-Type 3 stratum combinations were defined similarly for the 2015 LFMPS Sampling Frame.  The sample size determination process utilized 2015 Region-State-Type 3 stratum combination sample sizes and resulting number of usable reports to derive the initial sample size necessary to target useable reports – in 2021 - for each Region-State-Type 3 strata-combinations.  The initial sample size was increased to 30,000 to account for a reduced follow-on data collection strategy.</w:t>
      </w:r>
    </w:p>
    <w:p w:rsidRPr="00190DCA" w:rsidR="00452AE0" w:rsidP="00C71B2C" w:rsidRDefault="00452AE0" w14:paraId="7F5AEF81" w14:textId="77777777">
      <w:pPr>
        <w:ind w:left="720"/>
        <w:rPr>
          <w:rFonts w:ascii="Arial" w:hAnsi="Arial" w:cs="Arial"/>
          <w:color w:val="000000" w:themeColor="text1"/>
          <w:szCs w:val="24"/>
        </w:rPr>
      </w:pPr>
    </w:p>
    <w:tbl>
      <w:tblPr>
        <w:tblStyle w:val="TableGrid"/>
        <w:tblW w:w="0" w:type="auto"/>
        <w:tblInd w:w="720" w:type="dxa"/>
        <w:tblLook w:val="04A0" w:firstRow="1" w:lastRow="0" w:firstColumn="1" w:lastColumn="0" w:noHBand="0" w:noVBand="1"/>
      </w:tblPr>
      <w:tblGrid>
        <w:gridCol w:w="1220"/>
        <w:gridCol w:w="1480"/>
        <w:gridCol w:w="1170"/>
        <w:gridCol w:w="1260"/>
        <w:gridCol w:w="1080"/>
        <w:gridCol w:w="1260"/>
        <w:gridCol w:w="1079"/>
      </w:tblGrid>
      <w:tr w:rsidRPr="00190DCA" w:rsidR="00190DCA" w:rsidTr="00F8518B" w14:paraId="68E146B9" w14:textId="77777777">
        <w:tc>
          <w:tcPr>
            <w:tcW w:w="8549" w:type="dxa"/>
            <w:gridSpan w:val="7"/>
            <w:tcBorders>
              <w:top w:val="nil"/>
              <w:left w:val="nil"/>
              <w:right w:val="nil"/>
            </w:tcBorders>
            <w:tcMar>
              <w:left w:w="14" w:type="dxa"/>
              <w:right w:w="14" w:type="dxa"/>
            </w:tcMar>
          </w:tcPr>
          <w:p w:rsidRPr="00190DCA" w:rsidR="00F8518B" w:rsidP="00F8518B" w:rsidRDefault="00F8518B" w14:paraId="7C6FD23C" w14:textId="7079B122">
            <w:pPr>
              <w:rPr>
                <w:rFonts w:ascii="Arial" w:hAnsi="Arial" w:cs="Arial"/>
                <w:color w:val="000000" w:themeColor="text1"/>
                <w:sz w:val="18"/>
                <w:szCs w:val="18"/>
              </w:rPr>
            </w:pPr>
            <w:r w:rsidRPr="00190DCA">
              <w:rPr>
                <w:rFonts w:ascii="Arial" w:hAnsi="Arial" w:cs="Arial"/>
                <w:b/>
                <w:bCs/>
                <w:color w:val="000000" w:themeColor="text1"/>
                <w:sz w:val="18"/>
                <w:szCs w:val="18"/>
              </w:rPr>
              <w:t>Table 1:</w:t>
            </w:r>
            <w:r w:rsidRPr="00190DCA">
              <w:rPr>
                <w:rFonts w:ascii="Arial" w:hAnsi="Arial" w:cs="Arial"/>
                <w:color w:val="000000" w:themeColor="text1"/>
                <w:sz w:val="18"/>
                <w:szCs w:val="18"/>
              </w:rPr>
              <w:t xml:space="preserve"> Region Definitions</w:t>
            </w:r>
          </w:p>
        </w:tc>
      </w:tr>
      <w:tr w:rsidRPr="00190DCA" w:rsidR="00190DCA" w:rsidTr="00F8518B" w14:paraId="66B38D99" w14:textId="77777777">
        <w:tc>
          <w:tcPr>
            <w:tcW w:w="1220" w:type="dxa"/>
            <w:tcMar>
              <w:left w:w="14" w:type="dxa"/>
              <w:right w:w="14" w:type="dxa"/>
            </w:tcMar>
            <w:vAlign w:val="center"/>
          </w:tcPr>
          <w:p w:rsidRPr="00190DCA" w:rsidR="00F8518B" w:rsidP="00F8518B" w:rsidRDefault="00F8518B" w14:paraId="25631C06" w14:textId="28901238">
            <w:pPr>
              <w:jc w:val="center"/>
              <w:rPr>
                <w:rFonts w:ascii="Arial" w:hAnsi="Arial" w:cs="Arial"/>
                <w:b/>
                <w:bCs/>
                <w:color w:val="000000" w:themeColor="text1"/>
                <w:sz w:val="18"/>
                <w:szCs w:val="18"/>
              </w:rPr>
            </w:pPr>
            <w:r w:rsidRPr="00190DCA">
              <w:rPr>
                <w:rFonts w:ascii="Arial" w:hAnsi="Arial" w:cs="Arial"/>
                <w:b/>
                <w:bCs/>
                <w:color w:val="000000" w:themeColor="text1"/>
                <w:sz w:val="18"/>
                <w:szCs w:val="18"/>
              </w:rPr>
              <w:t>Region 1</w:t>
            </w:r>
          </w:p>
        </w:tc>
        <w:tc>
          <w:tcPr>
            <w:tcW w:w="1480" w:type="dxa"/>
            <w:tcMar>
              <w:left w:w="14" w:type="dxa"/>
              <w:right w:w="14" w:type="dxa"/>
            </w:tcMar>
            <w:vAlign w:val="center"/>
          </w:tcPr>
          <w:p w:rsidRPr="00190DCA" w:rsidR="00F8518B" w:rsidP="00F8518B" w:rsidRDefault="00F8518B" w14:paraId="6636CC79" w14:textId="4E149CC5">
            <w:pPr>
              <w:jc w:val="center"/>
              <w:rPr>
                <w:rFonts w:ascii="Arial" w:hAnsi="Arial" w:cs="Arial"/>
                <w:b/>
                <w:bCs/>
                <w:color w:val="000000" w:themeColor="text1"/>
                <w:sz w:val="18"/>
                <w:szCs w:val="18"/>
              </w:rPr>
            </w:pPr>
            <w:r w:rsidRPr="00190DCA">
              <w:rPr>
                <w:rFonts w:ascii="Arial" w:hAnsi="Arial" w:cs="Arial"/>
                <w:b/>
                <w:bCs/>
                <w:color w:val="000000" w:themeColor="text1"/>
                <w:sz w:val="18"/>
                <w:szCs w:val="18"/>
              </w:rPr>
              <w:t>Region 2</w:t>
            </w:r>
          </w:p>
        </w:tc>
        <w:tc>
          <w:tcPr>
            <w:tcW w:w="1170" w:type="dxa"/>
            <w:tcMar>
              <w:left w:w="14" w:type="dxa"/>
              <w:right w:w="14" w:type="dxa"/>
            </w:tcMar>
            <w:vAlign w:val="center"/>
          </w:tcPr>
          <w:p w:rsidRPr="00190DCA" w:rsidR="00F8518B" w:rsidP="00F8518B" w:rsidRDefault="00F8518B" w14:paraId="5F4F23EF" w14:textId="7C96285D">
            <w:pPr>
              <w:jc w:val="center"/>
              <w:rPr>
                <w:rFonts w:ascii="Arial" w:hAnsi="Arial" w:cs="Arial"/>
                <w:b/>
                <w:bCs/>
                <w:color w:val="000000" w:themeColor="text1"/>
                <w:sz w:val="18"/>
                <w:szCs w:val="18"/>
              </w:rPr>
            </w:pPr>
            <w:r w:rsidRPr="00190DCA">
              <w:rPr>
                <w:rFonts w:ascii="Arial" w:hAnsi="Arial" w:cs="Arial"/>
                <w:b/>
                <w:bCs/>
                <w:color w:val="000000" w:themeColor="text1"/>
                <w:sz w:val="18"/>
                <w:szCs w:val="18"/>
              </w:rPr>
              <w:t>Region 3</w:t>
            </w:r>
          </w:p>
        </w:tc>
        <w:tc>
          <w:tcPr>
            <w:tcW w:w="1260" w:type="dxa"/>
            <w:tcMar>
              <w:left w:w="14" w:type="dxa"/>
              <w:right w:w="14" w:type="dxa"/>
            </w:tcMar>
            <w:vAlign w:val="center"/>
          </w:tcPr>
          <w:p w:rsidRPr="00190DCA" w:rsidR="00F8518B" w:rsidP="00F8518B" w:rsidRDefault="00F8518B" w14:paraId="7A2269D4" w14:textId="7BBC7EE3">
            <w:pPr>
              <w:jc w:val="center"/>
              <w:rPr>
                <w:rFonts w:ascii="Arial" w:hAnsi="Arial" w:cs="Arial"/>
                <w:b/>
                <w:bCs/>
                <w:color w:val="000000" w:themeColor="text1"/>
                <w:sz w:val="18"/>
                <w:szCs w:val="18"/>
              </w:rPr>
            </w:pPr>
            <w:r w:rsidRPr="00190DCA">
              <w:rPr>
                <w:rFonts w:ascii="Arial" w:hAnsi="Arial" w:cs="Arial"/>
                <w:b/>
                <w:bCs/>
                <w:color w:val="000000" w:themeColor="text1"/>
                <w:sz w:val="18"/>
                <w:szCs w:val="18"/>
              </w:rPr>
              <w:t>Region 4</w:t>
            </w:r>
          </w:p>
        </w:tc>
        <w:tc>
          <w:tcPr>
            <w:tcW w:w="1080" w:type="dxa"/>
            <w:tcMar>
              <w:left w:w="14" w:type="dxa"/>
              <w:right w:w="14" w:type="dxa"/>
            </w:tcMar>
            <w:vAlign w:val="center"/>
          </w:tcPr>
          <w:p w:rsidRPr="00190DCA" w:rsidR="00F8518B" w:rsidP="00F8518B" w:rsidRDefault="00F8518B" w14:paraId="1542DA56" w14:textId="4961A213">
            <w:pPr>
              <w:jc w:val="center"/>
              <w:rPr>
                <w:rFonts w:ascii="Arial" w:hAnsi="Arial" w:cs="Arial"/>
                <w:b/>
                <w:bCs/>
                <w:color w:val="000000" w:themeColor="text1"/>
                <w:sz w:val="18"/>
                <w:szCs w:val="18"/>
              </w:rPr>
            </w:pPr>
            <w:r w:rsidRPr="00190DCA">
              <w:rPr>
                <w:rFonts w:ascii="Arial" w:hAnsi="Arial" w:cs="Arial"/>
                <w:b/>
                <w:bCs/>
                <w:color w:val="000000" w:themeColor="text1"/>
                <w:sz w:val="18"/>
                <w:szCs w:val="18"/>
              </w:rPr>
              <w:t>Region 5</w:t>
            </w:r>
          </w:p>
        </w:tc>
        <w:tc>
          <w:tcPr>
            <w:tcW w:w="1260" w:type="dxa"/>
            <w:tcMar>
              <w:left w:w="14" w:type="dxa"/>
              <w:right w:w="14" w:type="dxa"/>
            </w:tcMar>
            <w:vAlign w:val="center"/>
          </w:tcPr>
          <w:p w:rsidRPr="00190DCA" w:rsidR="00F8518B" w:rsidP="00F8518B" w:rsidRDefault="00F8518B" w14:paraId="40BED382" w14:textId="561AB4B8">
            <w:pPr>
              <w:jc w:val="center"/>
              <w:rPr>
                <w:rFonts w:ascii="Arial" w:hAnsi="Arial" w:cs="Arial"/>
                <w:b/>
                <w:bCs/>
                <w:color w:val="000000" w:themeColor="text1"/>
                <w:sz w:val="18"/>
                <w:szCs w:val="18"/>
              </w:rPr>
            </w:pPr>
            <w:r w:rsidRPr="00190DCA">
              <w:rPr>
                <w:rFonts w:ascii="Arial" w:hAnsi="Arial" w:cs="Arial"/>
                <w:b/>
                <w:bCs/>
                <w:color w:val="000000" w:themeColor="text1"/>
                <w:sz w:val="18"/>
                <w:szCs w:val="18"/>
              </w:rPr>
              <w:t>Region 6</w:t>
            </w:r>
          </w:p>
        </w:tc>
        <w:tc>
          <w:tcPr>
            <w:tcW w:w="1079" w:type="dxa"/>
            <w:tcMar>
              <w:left w:w="14" w:type="dxa"/>
              <w:right w:w="14" w:type="dxa"/>
            </w:tcMar>
            <w:vAlign w:val="center"/>
          </w:tcPr>
          <w:p w:rsidRPr="00190DCA" w:rsidR="00F8518B" w:rsidP="00F8518B" w:rsidRDefault="00F8518B" w14:paraId="73C4F9E4" w14:textId="170CF780">
            <w:pPr>
              <w:jc w:val="center"/>
              <w:rPr>
                <w:rFonts w:ascii="Arial" w:hAnsi="Arial" w:cs="Arial"/>
                <w:b/>
                <w:bCs/>
                <w:color w:val="000000" w:themeColor="text1"/>
                <w:sz w:val="18"/>
                <w:szCs w:val="18"/>
              </w:rPr>
            </w:pPr>
            <w:r w:rsidRPr="00190DCA">
              <w:rPr>
                <w:rFonts w:ascii="Arial" w:hAnsi="Arial" w:cs="Arial"/>
                <w:b/>
                <w:bCs/>
                <w:color w:val="000000" w:themeColor="text1"/>
                <w:sz w:val="18"/>
                <w:szCs w:val="18"/>
              </w:rPr>
              <w:t>Region 7</w:t>
            </w:r>
          </w:p>
        </w:tc>
      </w:tr>
      <w:tr w:rsidRPr="00190DCA" w:rsidR="00190DCA" w:rsidTr="00F8518B" w14:paraId="109C041E" w14:textId="77777777">
        <w:tc>
          <w:tcPr>
            <w:tcW w:w="1220" w:type="dxa"/>
            <w:tcMar>
              <w:left w:w="14" w:type="dxa"/>
              <w:right w:w="14" w:type="dxa"/>
            </w:tcMar>
          </w:tcPr>
          <w:p w:rsidRPr="00190DCA" w:rsidR="00F8518B" w:rsidP="00F8518B" w:rsidRDefault="00F8518B" w14:paraId="7E551BDA" w14:textId="77777777">
            <w:pPr>
              <w:rPr>
                <w:rFonts w:ascii="Arial" w:hAnsi="Arial" w:cs="Arial"/>
                <w:color w:val="000000" w:themeColor="text1"/>
                <w:sz w:val="18"/>
                <w:szCs w:val="18"/>
              </w:rPr>
            </w:pPr>
            <w:r w:rsidRPr="00190DCA">
              <w:rPr>
                <w:rFonts w:ascii="Arial" w:hAnsi="Arial" w:cs="Arial"/>
                <w:color w:val="000000" w:themeColor="text1"/>
                <w:sz w:val="18"/>
                <w:szCs w:val="18"/>
              </w:rPr>
              <w:t>Arizona</w:t>
            </w:r>
          </w:p>
          <w:p w:rsidRPr="00190DCA" w:rsidR="00F8518B" w:rsidP="00F8518B" w:rsidRDefault="00F8518B" w14:paraId="3E4752E4" w14:textId="77777777">
            <w:pPr>
              <w:rPr>
                <w:rFonts w:ascii="Arial" w:hAnsi="Arial" w:cs="Arial"/>
                <w:color w:val="000000" w:themeColor="text1"/>
                <w:sz w:val="18"/>
                <w:szCs w:val="18"/>
              </w:rPr>
            </w:pPr>
            <w:r w:rsidRPr="00190DCA">
              <w:rPr>
                <w:rFonts w:ascii="Arial" w:hAnsi="Arial" w:cs="Arial"/>
                <w:color w:val="000000" w:themeColor="text1"/>
                <w:sz w:val="18"/>
                <w:szCs w:val="18"/>
              </w:rPr>
              <w:t>California</w:t>
            </w:r>
          </w:p>
          <w:p w:rsidRPr="00190DCA" w:rsidR="00F8518B" w:rsidP="00F8518B" w:rsidRDefault="00F8518B" w14:paraId="4AE33D73" w14:textId="77777777">
            <w:pPr>
              <w:rPr>
                <w:rFonts w:ascii="Arial" w:hAnsi="Arial" w:cs="Arial"/>
                <w:color w:val="000000" w:themeColor="text1"/>
                <w:sz w:val="18"/>
                <w:szCs w:val="18"/>
              </w:rPr>
            </w:pPr>
            <w:r w:rsidRPr="00190DCA">
              <w:rPr>
                <w:rFonts w:ascii="Arial" w:hAnsi="Arial" w:cs="Arial"/>
                <w:color w:val="000000" w:themeColor="text1"/>
                <w:sz w:val="18"/>
                <w:szCs w:val="18"/>
              </w:rPr>
              <w:t>Colorado</w:t>
            </w:r>
          </w:p>
          <w:p w:rsidRPr="00190DCA" w:rsidR="00F8518B" w:rsidP="00F8518B" w:rsidRDefault="00F8518B" w14:paraId="7FB88A02" w14:textId="77777777">
            <w:pPr>
              <w:rPr>
                <w:rFonts w:ascii="Arial" w:hAnsi="Arial" w:cs="Arial"/>
                <w:color w:val="000000" w:themeColor="text1"/>
                <w:sz w:val="18"/>
                <w:szCs w:val="18"/>
              </w:rPr>
            </w:pPr>
            <w:r w:rsidRPr="00190DCA">
              <w:rPr>
                <w:rFonts w:ascii="Arial" w:hAnsi="Arial" w:cs="Arial"/>
                <w:color w:val="000000" w:themeColor="text1"/>
                <w:sz w:val="18"/>
                <w:szCs w:val="18"/>
              </w:rPr>
              <w:t>Nevada</w:t>
            </w:r>
          </w:p>
          <w:p w:rsidRPr="00190DCA" w:rsidR="00F8518B" w:rsidP="00F8518B" w:rsidRDefault="00F8518B" w14:paraId="623973DE" w14:textId="77777777">
            <w:pPr>
              <w:rPr>
                <w:rFonts w:ascii="Arial" w:hAnsi="Arial" w:cs="Arial"/>
                <w:color w:val="000000" w:themeColor="text1"/>
                <w:sz w:val="18"/>
                <w:szCs w:val="18"/>
              </w:rPr>
            </w:pPr>
            <w:r w:rsidRPr="00190DCA">
              <w:rPr>
                <w:rFonts w:ascii="Arial" w:hAnsi="Arial" w:cs="Arial"/>
                <w:color w:val="000000" w:themeColor="text1"/>
                <w:sz w:val="18"/>
                <w:szCs w:val="18"/>
              </w:rPr>
              <w:t>New Mexico</w:t>
            </w:r>
          </w:p>
          <w:p w:rsidRPr="00190DCA" w:rsidR="00F8518B" w:rsidP="00F8518B" w:rsidRDefault="00F8518B" w14:paraId="40CAB472" w14:textId="77777777">
            <w:pPr>
              <w:rPr>
                <w:rFonts w:ascii="Arial" w:hAnsi="Arial" w:cs="Arial"/>
                <w:color w:val="000000" w:themeColor="text1"/>
                <w:sz w:val="18"/>
                <w:szCs w:val="18"/>
              </w:rPr>
            </w:pPr>
            <w:r w:rsidRPr="00190DCA">
              <w:rPr>
                <w:rFonts w:ascii="Arial" w:hAnsi="Arial" w:cs="Arial"/>
                <w:color w:val="000000" w:themeColor="text1"/>
                <w:sz w:val="18"/>
                <w:szCs w:val="18"/>
              </w:rPr>
              <w:t>Utah</w:t>
            </w:r>
          </w:p>
          <w:p w:rsidRPr="00190DCA" w:rsidR="00F8518B" w:rsidP="00F8518B" w:rsidRDefault="00F8518B" w14:paraId="114C0478" w14:textId="183FB8CA">
            <w:pPr>
              <w:rPr>
                <w:rFonts w:ascii="Arial" w:hAnsi="Arial" w:cs="Arial"/>
                <w:color w:val="000000" w:themeColor="text1"/>
                <w:sz w:val="18"/>
                <w:szCs w:val="18"/>
              </w:rPr>
            </w:pPr>
            <w:r w:rsidRPr="00190DCA">
              <w:rPr>
                <w:rFonts w:ascii="Arial" w:hAnsi="Arial" w:cs="Arial"/>
                <w:color w:val="000000" w:themeColor="text1"/>
                <w:sz w:val="18"/>
                <w:szCs w:val="18"/>
              </w:rPr>
              <w:t>Hawaii</w:t>
            </w:r>
          </w:p>
        </w:tc>
        <w:tc>
          <w:tcPr>
            <w:tcW w:w="1480" w:type="dxa"/>
            <w:tcMar>
              <w:left w:w="14" w:type="dxa"/>
              <w:right w:w="14" w:type="dxa"/>
            </w:tcMar>
          </w:tcPr>
          <w:p w:rsidRPr="00190DCA" w:rsidR="00F8518B" w:rsidP="00F8518B" w:rsidRDefault="00F8518B" w14:paraId="2FBA8CDE" w14:textId="77777777">
            <w:pPr>
              <w:rPr>
                <w:rFonts w:ascii="Arial" w:hAnsi="Arial" w:cs="Arial"/>
                <w:color w:val="000000" w:themeColor="text1"/>
                <w:sz w:val="18"/>
                <w:szCs w:val="18"/>
              </w:rPr>
            </w:pPr>
            <w:r w:rsidRPr="00190DCA">
              <w:rPr>
                <w:rFonts w:ascii="Arial" w:hAnsi="Arial" w:cs="Arial"/>
                <w:color w:val="000000" w:themeColor="text1"/>
                <w:sz w:val="18"/>
                <w:szCs w:val="18"/>
              </w:rPr>
              <w:t>Connecticut</w:t>
            </w:r>
          </w:p>
          <w:p w:rsidRPr="00190DCA" w:rsidR="00F8518B" w:rsidP="00F8518B" w:rsidRDefault="00F8518B" w14:paraId="7329F7F6" w14:textId="77777777">
            <w:pPr>
              <w:rPr>
                <w:rFonts w:ascii="Arial" w:hAnsi="Arial" w:cs="Arial"/>
                <w:color w:val="000000" w:themeColor="text1"/>
                <w:sz w:val="18"/>
                <w:szCs w:val="18"/>
              </w:rPr>
            </w:pPr>
            <w:r w:rsidRPr="00190DCA">
              <w:rPr>
                <w:rFonts w:ascii="Arial" w:hAnsi="Arial" w:cs="Arial"/>
                <w:color w:val="000000" w:themeColor="text1"/>
                <w:sz w:val="18"/>
                <w:szCs w:val="18"/>
              </w:rPr>
              <w:t>Delaware</w:t>
            </w:r>
          </w:p>
          <w:p w:rsidRPr="00190DCA" w:rsidR="00F8518B" w:rsidP="00F8518B" w:rsidRDefault="00F8518B" w14:paraId="18FF3742" w14:textId="77777777">
            <w:pPr>
              <w:rPr>
                <w:rFonts w:ascii="Arial" w:hAnsi="Arial" w:cs="Arial"/>
                <w:color w:val="000000" w:themeColor="text1"/>
                <w:sz w:val="18"/>
                <w:szCs w:val="18"/>
              </w:rPr>
            </w:pPr>
            <w:r w:rsidRPr="00190DCA">
              <w:rPr>
                <w:rFonts w:ascii="Arial" w:hAnsi="Arial" w:cs="Arial"/>
                <w:color w:val="000000" w:themeColor="text1"/>
                <w:sz w:val="18"/>
                <w:szCs w:val="18"/>
              </w:rPr>
              <w:t>Maine</w:t>
            </w:r>
          </w:p>
          <w:p w:rsidRPr="00190DCA" w:rsidR="00F8518B" w:rsidP="00F8518B" w:rsidRDefault="00F8518B" w14:paraId="6D346A82" w14:textId="77777777">
            <w:pPr>
              <w:rPr>
                <w:rFonts w:ascii="Arial" w:hAnsi="Arial" w:cs="Arial"/>
                <w:color w:val="000000" w:themeColor="text1"/>
                <w:sz w:val="18"/>
                <w:szCs w:val="18"/>
              </w:rPr>
            </w:pPr>
            <w:r w:rsidRPr="00190DCA">
              <w:rPr>
                <w:rFonts w:ascii="Arial" w:hAnsi="Arial" w:cs="Arial"/>
                <w:color w:val="000000" w:themeColor="text1"/>
                <w:sz w:val="18"/>
                <w:szCs w:val="18"/>
              </w:rPr>
              <w:t>Maryland</w:t>
            </w:r>
          </w:p>
          <w:p w:rsidRPr="00190DCA" w:rsidR="00F8518B" w:rsidP="00F8518B" w:rsidRDefault="00F8518B" w14:paraId="5B9C1CC5" w14:textId="77777777">
            <w:pPr>
              <w:rPr>
                <w:rFonts w:ascii="Arial" w:hAnsi="Arial" w:cs="Arial"/>
                <w:color w:val="000000" w:themeColor="text1"/>
                <w:sz w:val="18"/>
                <w:szCs w:val="18"/>
              </w:rPr>
            </w:pPr>
            <w:r w:rsidRPr="00190DCA">
              <w:rPr>
                <w:rFonts w:ascii="Arial" w:hAnsi="Arial" w:cs="Arial"/>
                <w:color w:val="000000" w:themeColor="text1"/>
                <w:sz w:val="18"/>
                <w:szCs w:val="18"/>
              </w:rPr>
              <w:t>Massachusetts</w:t>
            </w:r>
          </w:p>
          <w:p w:rsidRPr="00190DCA" w:rsidR="00F8518B" w:rsidP="00F8518B" w:rsidRDefault="00F8518B" w14:paraId="4DEBC423" w14:textId="77777777">
            <w:pPr>
              <w:rPr>
                <w:rFonts w:ascii="Arial" w:hAnsi="Arial" w:cs="Arial"/>
                <w:color w:val="000000" w:themeColor="text1"/>
                <w:sz w:val="18"/>
                <w:szCs w:val="18"/>
              </w:rPr>
            </w:pPr>
            <w:r w:rsidRPr="00190DCA">
              <w:rPr>
                <w:rFonts w:ascii="Arial" w:hAnsi="Arial" w:cs="Arial"/>
                <w:color w:val="000000" w:themeColor="text1"/>
                <w:sz w:val="18"/>
                <w:szCs w:val="18"/>
              </w:rPr>
              <w:t>New Hampshire</w:t>
            </w:r>
          </w:p>
          <w:p w:rsidRPr="00190DCA" w:rsidR="00F8518B" w:rsidP="00F8518B" w:rsidRDefault="00F8518B" w14:paraId="0EFDA328" w14:textId="77777777">
            <w:pPr>
              <w:rPr>
                <w:rFonts w:ascii="Arial" w:hAnsi="Arial" w:cs="Arial"/>
                <w:color w:val="000000" w:themeColor="text1"/>
                <w:sz w:val="18"/>
                <w:szCs w:val="18"/>
              </w:rPr>
            </w:pPr>
            <w:r w:rsidRPr="00190DCA">
              <w:rPr>
                <w:rFonts w:ascii="Arial" w:hAnsi="Arial" w:cs="Arial"/>
                <w:color w:val="000000" w:themeColor="text1"/>
                <w:sz w:val="18"/>
                <w:szCs w:val="18"/>
              </w:rPr>
              <w:t>New Jersey</w:t>
            </w:r>
          </w:p>
          <w:p w:rsidRPr="00190DCA" w:rsidR="00F8518B" w:rsidP="00F8518B" w:rsidRDefault="00F8518B" w14:paraId="07837D5E" w14:textId="77777777">
            <w:pPr>
              <w:rPr>
                <w:rFonts w:ascii="Arial" w:hAnsi="Arial" w:cs="Arial"/>
                <w:color w:val="000000" w:themeColor="text1"/>
                <w:sz w:val="18"/>
                <w:szCs w:val="18"/>
              </w:rPr>
            </w:pPr>
            <w:r w:rsidRPr="00190DCA">
              <w:rPr>
                <w:rFonts w:ascii="Arial" w:hAnsi="Arial" w:cs="Arial"/>
                <w:color w:val="000000" w:themeColor="text1"/>
                <w:sz w:val="18"/>
                <w:szCs w:val="18"/>
              </w:rPr>
              <w:t>New York</w:t>
            </w:r>
          </w:p>
          <w:p w:rsidRPr="00190DCA" w:rsidR="00F8518B" w:rsidP="00F8518B" w:rsidRDefault="00F8518B" w14:paraId="2548FE6B" w14:textId="77777777">
            <w:pPr>
              <w:rPr>
                <w:rFonts w:ascii="Arial" w:hAnsi="Arial" w:cs="Arial"/>
                <w:color w:val="000000" w:themeColor="text1"/>
                <w:sz w:val="18"/>
                <w:szCs w:val="18"/>
              </w:rPr>
            </w:pPr>
            <w:r w:rsidRPr="00190DCA">
              <w:rPr>
                <w:rFonts w:ascii="Arial" w:hAnsi="Arial" w:cs="Arial"/>
                <w:color w:val="000000" w:themeColor="text1"/>
                <w:sz w:val="18"/>
                <w:szCs w:val="18"/>
              </w:rPr>
              <w:t>Pennsylvania</w:t>
            </w:r>
          </w:p>
          <w:p w:rsidRPr="00190DCA" w:rsidR="00F8518B" w:rsidP="00F8518B" w:rsidRDefault="00F8518B" w14:paraId="046B488F" w14:textId="77777777">
            <w:pPr>
              <w:rPr>
                <w:rFonts w:ascii="Arial" w:hAnsi="Arial" w:cs="Arial"/>
                <w:color w:val="000000" w:themeColor="text1"/>
                <w:sz w:val="18"/>
                <w:szCs w:val="18"/>
              </w:rPr>
            </w:pPr>
            <w:r w:rsidRPr="00190DCA">
              <w:rPr>
                <w:rFonts w:ascii="Arial" w:hAnsi="Arial" w:cs="Arial"/>
                <w:color w:val="000000" w:themeColor="text1"/>
                <w:sz w:val="18"/>
                <w:szCs w:val="18"/>
              </w:rPr>
              <w:t>Rhode Island</w:t>
            </w:r>
          </w:p>
          <w:p w:rsidRPr="00190DCA" w:rsidR="00F8518B" w:rsidP="00F8518B" w:rsidRDefault="00F8518B" w14:paraId="2C5439ED" w14:textId="77886079">
            <w:pPr>
              <w:rPr>
                <w:rFonts w:ascii="Arial" w:hAnsi="Arial" w:cs="Arial"/>
                <w:color w:val="000000" w:themeColor="text1"/>
                <w:sz w:val="18"/>
                <w:szCs w:val="18"/>
              </w:rPr>
            </w:pPr>
            <w:r w:rsidRPr="00190DCA">
              <w:rPr>
                <w:rFonts w:ascii="Arial" w:hAnsi="Arial" w:cs="Arial"/>
                <w:color w:val="000000" w:themeColor="text1"/>
                <w:sz w:val="18"/>
                <w:szCs w:val="18"/>
              </w:rPr>
              <w:t>Vermont</w:t>
            </w:r>
          </w:p>
        </w:tc>
        <w:tc>
          <w:tcPr>
            <w:tcW w:w="1170" w:type="dxa"/>
            <w:tcMar>
              <w:left w:w="14" w:type="dxa"/>
              <w:right w:w="14" w:type="dxa"/>
            </w:tcMar>
          </w:tcPr>
          <w:p w:rsidRPr="00190DCA" w:rsidR="00F8518B" w:rsidP="00F8518B" w:rsidRDefault="00F8518B" w14:paraId="7BFCD26B" w14:textId="77777777">
            <w:pPr>
              <w:rPr>
                <w:rFonts w:ascii="Arial" w:hAnsi="Arial" w:cs="Arial"/>
                <w:color w:val="000000" w:themeColor="text1"/>
                <w:sz w:val="18"/>
                <w:szCs w:val="18"/>
              </w:rPr>
            </w:pPr>
            <w:r w:rsidRPr="00190DCA">
              <w:rPr>
                <w:rFonts w:ascii="Arial" w:hAnsi="Arial" w:cs="Arial"/>
                <w:color w:val="000000" w:themeColor="text1"/>
                <w:sz w:val="18"/>
                <w:szCs w:val="18"/>
              </w:rPr>
              <w:t>Alaska</w:t>
            </w:r>
          </w:p>
          <w:p w:rsidRPr="00190DCA" w:rsidR="00F8518B" w:rsidP="00F8518B" w:rsidRDefault="00F8518B" w14:paraId="661B47A7" w14:textId="4F72A3A5">
            <w:pPr>
              <w:rPr>
                <w:rFonts w:ascii="Arial" w:hAnsi="Arial" w:cs="Arial"/>
                <w:color w:val="000000" w:themeColor="text1"/>
                <w:sz w:val="18"/>
                <w:szCs w:val="18"/>
              </w:rPr>
            </w:pPr>
            <w:r w:rsidRPr="00190DCA">
              <w:rPr>
                <w:rFonts w:ascii="Arial" w:hAnsi="Arial" w:cs="Arial"/>
                <w:color w:val="000000" w:themeColor="text1"/>
                <w:sz w:val="18"/>
                <w:szCs w:val="18"/>
              </w:rPr>
              <w:t>Idaho</w:t>
            </w:r>
          </w:p>
          <w:p w:rsidRPr="00190DCA" w:rsidR="00F8518B" w:rsidP="00F8518B" w:rsidRDefault="00F8518B" w14:paraId="59EE8E5F" w14:textId="77777777">
            <w:pPr>
              <w:rPr>
                <w:rFonts w:ascii="Arial" w:hAnsi="Arial" w:cs="Arial"/>
                <w:color w:val="000000" w:themeColor="text1"/>
                <w:sz w:val="18"/>
                <w:szCs w:val="18"/>
              </w:rPr>
            </w:pPr>
            <w:r w:rsidRPr="00190DCA">
              <w:rPr>
                <w:rFonts w:ascii="Arial" w:hAnsi="Arial" w:cs="Arial"/>
                <w:color w:val="000000" w:themeColor="text1"/>
                <w:sz w:val="18"/>
                <w:szCs w:val="18"/>
              </w:rPr>
              <w:t>Montana</w:t>
            </w:r>
          </w:p>
          <w:p w:rsidRPr="00190DCA" w:rsidR="00F8518B" w:rsidP="00F8518B" w:rsidRDefault="00F8518B" w14:paraId="11C77DFF" w14:textId="77777777">
            <w:pPr>
              <w:rPr>
                <w:rFonts w:ascii="Arial" w:hAnsi="Arial" w:cs="Arial"/>
                <w:color w:val="000000" w:themeColor="text1"/>
                <w:sz w:val="18"/>
                <w:szCs w:val="18"/>
              </w:rPr>
            </w:pPr>
            <w:r w:rsidRPr="00190DCA">
              <w:rPr>
                <w:rFonts w:ascii="Arial" w:hAnsi="Arial" w:cs="Arial"/>
                <w:color w:val="000000" w:themeColor="text1"/>
                <w:sz w:val="18"/>
                <w:szCs w:val="18"/>
              </w:rPr>
              <w:t>Oregon</w:t>
            </w:r>
          </w:p>
          <w:p w:rsidRPr="00190DCA" w:rsidR="00F8518B" w:rsidP="00F8518B" w:rsidRDefault="00F8518B" w14:paraId="57998B1F" w14:textId="77777777">
            <w:pPr>
              <w:rPr>
                <w:rFonts w:ascii="Arial" w:hAnsi="Arial" w:cs="Arial"/>
                <w:color w:val="000000" w:themeColor="text1"/>
                <w:sz w:val="18"/>
                <w:szCs w:val="18"/>
              </w:rPr>
            </w:pPr>
            <w:r w:rsidRPr="00190DCA">
              <w:rPr>
                <w:rFonts w:ascii="Arial" w:hAnsi="Arial" w:cs="Arial"/>
                <w:color w:val="000000" w:themeColor="text1"/>
                <w:sz w:val="18"/>
                <w:szCs w:val="18"/>
              </w:rPr>
              <w:t>Washington</w:t>
            </w:r>
          </w:p>
          <w:p w:rsidRPr="00190DCA" w:rsidR="00F8518B" w:rsidP="00F8518B" w:rsidRDefault="00F8518B" w14:paraId="10965232" w14:textId="77777777">
            <w:pPr>
              <w:rPr>
                <w:rFonts w:ascii="Arial" w:hAnsi="Arial" w:cs="Arial"/>
                <w:color w:val="000000" w:themeColor="text1"/>
                <w:sz w:val="18"/>
                <w:szCs w:val="18"/>
              </w:rPr>
            </w:pPr>
            <w:r w:rsidRPr="00190DCA">
              <w:rPr>
                <w:rFonts w:ascii="Arial" w:hAnsi="Arial" w:cs="Arial"/>
                <w:color w:val="000000" w:themeColor="text1"/>
                <w:sz w:val="18"/>
                <w:szCs w:val="18"/>
              </w:rPr>
              <w:t>Wyoming</w:t>
            </w:r>
          </w:p>
          <w:p w:rsidRPr="00190DCA" w:rsidR="00F8518B" w:rsidP="00F8518B" w:rsidRDefault="00F8518B" w14:paraId="7C7A89BD" w14:textId="4CFEB950">
            <w:pPr>
              <w:rPr>
                <w:rFonts w:ascii="Arial" w:hAnsi="Arial" w:cs="Arial"/>
                <w:color w:val="000000" w:themeColor="text1"/>
                <w:sz w:val="18"/>
                <w:szCs w:val="18"/>
              </w:rPr>
            </w:pPr>
          </w:p>
          <w:p w:rsidRPr="00190DCA" w:rsidR="00F8518B" w:rsidP="00F8518B" w:rsidRDefault="00F8518B" w14:paraId="363EF3C4" w14:textId="51A2F804">
            <w:pPr>
              <w:rPr>
                <w:rFonts w:ascii="Arial" w:hAnsi="Arial" w:cs="Arial"/>
                <w:color w:val="000000" w:themeColor="text1"/>
                <w:sz w:val="18"/>
                <w:szCs w:val="18"/>
              </w:rPr>
            </w:pPr>
          </w:p>
        </w:tc>
        <w:tc>
          <w:tcPr>
            <w:tcW w:w="1260" w:type="dxa"/>
            <w:tcMar>
              <w:left w:w="14" w:type="dxa"/>
              <w:right w:w="14" w:type="dxa"/>
            </w:tcMar>
          </w:tcPr>
          <w:p w:rsidRPr="00190DCA" w:rsidR="00F8518B" w:rsidP="00F8518B" w:rsidRDefault="00F8518B" w14:paraId="32A074A6" w14:textId="77777777">
            <w:pPr>
              <w:rPr>
                <w:rFonts w:ascii="Arial" w:hAnsi="Arial" w:cs="Arial"/>
                <w:color w:val="000000" w:themeColor="text1"/>
                <w:sz w:val="18"/>
                <w:szCs w:val="18"/>
              </w:rPr>
            </w:pPr>
            <w:r w:rsidRPr="00190DCA">
              <w:rPr>
                <w:rFonts w:ascii="Arial" w:hAnsi="Arial" w:cs="Arial"/>
                <w:color w:val="000000" w:themeColor="text1"/>
                <w:sz w:val="18"/>
                <w:szCs w:val="18"/>
              </w:rPr>
              <w:t>Iowa</w:t>
            </w:r>
          </w:p>
          <w:p w:rsidRPr="00190DCA" w:rsidR="00F8518B" w:rsidP="00F8518B" w:rsidRDefault="00F8518B" w14:paraId="712AAA0C" w14:textId="77777777">
            <w:pPr>
              <w:rPr>
                <w:rFonts w:ascii="Arial" w:hAnsi="Arial" w:cs="Arial"/>
                <w:color w:val="000000" w:themeColor="text1"/>
                <w:sz w:val="18"/>
                <w:szCs w:val="18"/>
              </w:rPr>
            </w:pPr>
            <w:r w:rsidRPr="00190DCA">
              <w:rPr>
                <w:rFonts w:ascii="Arial" w:hAnsi="Arial" w:cs="Arial"/>
                <w:color w:val="000000" w:themeColor="text1"/>
                <w:sz w:val="18"/>
                <w:szCs w:val="18"/>
              </w:rPr>
              <w:t>Kansas</w:t>
            </w:r>
          </w:p>
          <w:p w:rsidRPr="00190DCA" w:rsidR="00F8518B" w:rsidP="00F8518B" w:rsidRDefault="00F8518B" w14:paraId="1B342789" w14:textId="77777777">
            <w:pPr>
              <w:rPr>
                <w:rFonts w:ascii="Arial" w:hAnsi="Arial" w:cs="Arial"/>
                <w:color w:val="000000" w:themeColor="text1"/>
                <w:sz w:val="18"/>
                <w:szCs w:val="18"/>
              </w:rPr>
            </w:pPr>
            <w:r w:rsidRPr="00190DCA">
              <w:rPr>
                <w:rFonts w:ascii="Arial" w:hAnsi="Arial" w:cs="Arial"/>
                <w:color w:val="000000" w:themeColor="text1"/>
                <w:sz w:val="18"/>
                <w:szCs w:val="18"/>
              </w:rPr>
              <w:t>Minnesota</w:t>
            </w:r>
          </w:p>
          <w:p w:rsidRPr="00190DCA" w:rsidR="00F8518B" w:rsidP="00F8518B" w:rsidRDefault="00F8518B" w14:paraId="28D262C7" w14:textId="77777777">
            <w:pPr>
              <w:rPr>
                <w:rFonts w:ascii="Arial" w:hAnsi="Arial" w:cs="Arial"/>
                <w:color w:val="000000" w:themeColor="text1"/>
                <w:sz w:val="18"/>
                <w:szCs w:val="18"/>
              </w:rPr>
            </w:pPr>
            <w:r w:rsidRPr="00190DCA">
              <w:rPr>
                <w:rFonts w:ascii="Arial" w:hAnsi="Arial" w:cs="Arial"/>
                <w:color w:val="000000" w:themeColor="text1"/>
                <w:sz w:val="18"/>
                <w:szCs w:val="18"/>
              </w:rPr>
              <w:t>Missouri</w:t>
            </w:r>
          </w:p>
          <w:p w:rsidRPr="00190DCA" w:rsidR="00F8518B" w:rsidP="00F8518B" w:rsidRDefault="00F8518B" w14:paraId="34CB859F" w14:textId="77777777">
            <w:pPr>
              <w:rPr>
                <w:rFonts w:ascii="Arial" w:hAnsi="Arial" w:cs="Arial"/>
                <w:color w:val="000000" w:themeColor="text1"/>
                <w:sz w:val="18"/>
                <w:szCs w:val="18"/>
              </w:rPr>
            </w:pPr>
            <w:r w:rsidRPr="00190DCA">
              <w:rPr>
                <w:rFonts w:ascii="Arial" w:hAnsi="Arial" w:cs="Arial"/>
                <w:color w:val="000000" w:themeColor="text1"/>
                <w:sz w:val="18"/>
                <w:szCs w:val="18"/>
              </w:rPr>
              <w:t>Nebraska</w:t>
            </w:r>
          </w:p>
          <w:p w:rsidRPr="00190DCA" w:rsidR="00F8518B" w:rsidP="00F8518B" w:rsidRDefault="00F8518B" w14:paraId="6E4328FC" w14:textId="77777777">
            <w:pPr>
              <w:rPr>
                <w:rFonts w:ascii="Arial" w:hAnsi="Arial" w:cs="Arial"/>
                <w:color w:val="000000" w:themeColor="text1"/>
                <w:sz w:val="18"/>
                <w:szCs w:val="18"/>
              </w:rPr>
            </w:pPr>
            <w:r w:rsidRPr="00190DCA">
              <w:rPr>
                <w:rFonts w:ascii="Arial" w:hAnsi="Arial" w:cs="Arial"/>
                <w:color w:val="000000" w:themeColor="text1"/>
                <w:sz w:val="18"/>
                <w:szCs w:val="18"/>
              </w:rPr>
              <w:t>North Dakota</w:t>
            </w:r>
          </w:p>
          <w:p w:rsidRPr="00190DCA" w:rsidR="00F8518B" w:rsidP="00F8518B" w:rsidRDefault="00F8518B" w14:paraId="281A88A9" w14:textId="1C406E3C">
            <w:pPr>
              <w:rPr>
                <w:rFonts w:ascii="Arial" w:hAnsi="Arial" w:cs="Arial"/>
                <w:color w:val="000000" w:themeColor="text1"/>
                <w:sz w:val="18"/>
                <w:szCs w:val="18"/>
              </w:rPr>
            </w:pPr>
            <w:r w:rsidRPr="00190DCA">
              <w:rPr>
                <w:rFonts w:ascii="Arial" w:hAnsi="Arial" w:cs="Arial"/>
                <w:color w:val="000000" w:themeColor="text1"/>
                <w:sz w:val="18"/>
                <w:szCs w:val="18"/>
              </w:rPr>
              <w:t>South Dakota</w:t>
            </w:r>
          </w:p>
        </w:tc>
        <w:tc>
          <w:tcPr>
            <w:tcW w:w="1080" w:type="dxa"/>
            <w:tcMar>
              <w:left w:w="14" w:type="dxa"/>
              <w:right w:w="14" w:type="dxa"/>
            </w:tcMar>
          </w:tcPr>
          <w:p w:rsidRPr="00190DCA" w:rsidR="00F8518B" w:rsidP="00F8518B" w:rsidRDefault="00F8518B" w14:paraId="511E9F8C" w14:textId="77777777">
            <w:pPr>
              <w:rPr>
                <w:rFonts w:ascii="Arial" w:hAnsi="Arial" w:cs="Arial"/>
                <w:color w:val="000000" w:themeColor="text1"/>
                <w:sz w:val="18"/>
                <w:szCs w:val="18"/>
              </w:rPr>
            </w:pPr>
            <w:r w:rsidRPr="00190DCA">
              <w:rPr>
                <w:rFonts w:ascii="Arial" w:hAnsi="Arial" w:cs="Arial"/>
                <w:color w:val="000000" w:themeColor="text1"/>
                <w:sz w:val="18"/>
                <w:szCs w:val="18"/>
              </w:rPr>
              <w:t>Alabama</w:t>
            </w:r>
          </w:p>
          <w:p w:rsidRPr="00190DCA" w:rsidR="00F8518B" w:rsidP="00F8518B" w:rsidRDefault="00F8518B" w14:paraId="7F4B5C74" w14:textId="77777777">
            <w:pPr>
              <w:rPr>
                <w:rFonts w:ascii="Arial" w:hAnsi="Arial" w:cs="Arial"/>
                <w:color w:val="000000" w:themeColor="text1"/>
                <w:sz w:val="18"/>
                <w:szCs w:val="18"/>
              </w:rPr>
            </w:pPr>
            <w:r w:rsidRPr="00190DCA">
              <w:rPr>
                <w:rFonts w:ascii="Arial" w:hAnsi="Arial" w:cs="Arial"/>
                <w:color w:val="000000" w:themeColor="text1"/>
                <w:sz w:val="18"/>
                <w:szCs w:val="18"/>
              </w:rPr>
              <w:t>Arkansas</w:t>
            </w:r>
          </w:p>
          <w:p w:rsidRPr="00190DCA" w:rsidR="00F8518B" w:rsidP="00F8518B" w:rsidRDefault="00F8518B" w14:paraId="6AFE35F2" w14:textId="77777777">
            <w:pPr>
              <w:rPr>
                <w:rFonts w:ascii="Arial" w:hAnsi="Arial" w:cs="Arial"/>
                <w:color w:val="000000" w:themeColor="text1"/>
                <w:sz w:val="18"/>
                <w:szCs w:val="18"/>
              </w:rPr>
            </w:pPr>
            <w:r w:rsidRPr="00190DCA">
              <w:rPr>
                <w:rFonts w:ascii="Arial" w:hAnsi="Arial" w:cs="Arial"/>
                <w:color w:val="000000" w:themeColor="text1"/>
                <w:sz w:val="18"/>
                <w:szCs w:val="18"/>
              </w:rPr>
              <w:t>Louisiana</w:t>
            </w:r>
          </w:p>
          <w:p w:rsidRPr="00190DCA" w:rsidR="00F8518B" w:rsidP="00F8518B" w:rsidRDefault="00F8518B" w14:paraId="11E52F0D" w14:textId="77777777">
            <w:pPr>
              <w:rPr>
                <w:rFonts w:ascii="Arial" w:hAnsi="Arial" w:cs="Arial"/>
                <w:color w:val="000000" w:themeColor="text1"/>
                <w:sz w:val="18"/>
                <w:szCs w:val="18"/>
              </w:rPr>
            </w:pPr>
            <w:r w:rsidRPr="00190DCA">
              <w:rPr>
                <w:rFonts w:ascii="Arial" w:hAnsi="Arial" w:cs="Arial"/>
                <w:color w:val="000000" w:themeColor="text1"/>
                <w:sz w:val="18"/>
                <w:szCs w:val="18"/>
              </w:rPr>
              <w:t>Mississippi</w:t>
            </w:r>
          </w:p>
          <w:p w:rsidRPr="00190DCA" w:rsidR="00F8518B" w:rsidP="00F8518B" w:rsidRDefault="00F8518B" w14:paraId="5E20F615" w14:textId="77777777">
            <w:pPr>
              <w:rPr>
                <w:rFonts w:ascii="Arial" w:hAnsi="Arial" w:cs="Arial"/>
                <w:color w:val="000000" w:themeColor="text1"/>
                <w:sz w:val="18"/>
                <w:szCs w:val="18"/>
              </w:rPr>
            </w:pPr>
            <w:r w:rsidRPr="00190DCA">
              <w:rPr>
                <w:rFonts w:ascii="Arial" w:hAnsi="Arial" w:cs="Arial"/>
                <w:color w:val="000000" w:themeColor="text1"/>
                <w:sz w:val="18"/>
                <w:szCs w:val="18"/>
              </w:rPr>
              <w:t>Oklahoma</w:t>
            </w:r>
          </w:p>
          <w:p w:rsidRPr="00190DCA" w:rsidR="00F8518B" w:rsidP="00F8518B" w:rsidRDefault="00F8518B" w14:paraId="1CF988CC" w14:textId="3D103C27">
            <w:pPr>
              <w:rPr>
                <w:rFonts w:ascii="Arial" w:hAnsi="Arial" w:cs="Arial"/>
                <w:color w:val="000000" w:themeColor="text1"/>
                <w:sz w:val="18"/>
                <w:szCs w:val="18"/>
              </w:rPr>
            </w:pPr>
            <w:r w:rsidRPr="00190DCA">
              <w:rPr>
                <w:rFonts w:ascii="Arial" w:hAnsi="Arial" w:cs="Arial"/>
                <w:color w:val="000000" w:themeColor="text1"/>
                <w:sz w:val="18"/>
                <w:szCs w:val="18"/>
              </w:rPr>
              <w:t>Texas</w:t>
            </w:r>
          </w:p>
        </w:tc>
        <w:tc>
          <w:tcPr>
            <w:tcW w:w="1260" w:type="dxa"/>
            <w:tcMar>
              <w:left w:w="14" w:type="dxa"/>
              <w:right w:w="14" w:type="dxa"/>
            </w:tcMar>
          </w:tcPr>
          <w:p w:rsidRPr="00190DCA" w:rsidR="00F8518B" w:rsidP="00F8518B" w:rsidRDefault="00F8518B" w14:paraId="29CCEDC9" w14:textId="77777777">
            <w:pPr>
              <w:rPr>
                <w:rFonts w:ascii="Arial" w:hAnsi="Arial" w:cs="Arial"/>
                <w:color w:val="000000" w:themeColor="text1"/>
                <w:sz w:val="18"/>
                <w:szCs w:val="18"/>
              </w:rPr>
            </w:pPr>
            <w:r w:rsidRPr="00190DCA">
              <w:rPr>
                <w:rFonts w:ascii="Arial" w:hAnsi="Arial" w:cs="Arial"/>
                <w:color w:val="000000" w:themeColor="text1"/>
                <w:sz w:val="18"/>
                <w:szCs w:val="18"/>
              </w:rPr>
              <w:t>Florida</w:t>
            </w:r>
          </w:p>
          <w:p w:rsidRPr="00190DCA" w:rsidR="00F8518B" w:rsidP="00F8518B" w:rsidRDefault="00F8518B" w14:paraId="228CB99D" w14:textId="77777777">
            <w:pPr>
              <w:rPr>
                <w:rFonts w:ascii="Arial" w:hAnsi="Arial" w:cs="Arial"/>
                <w:color w:val="000000" w:themeColor="text1"/>
                <w:sz w:val="18"/>
                <w:szCs w:val="18"/>
              </w:rPr>
            </w:pPr>
            <w:r w:rsidRPr="00190DCA">
              <w:rPr>
                <w:rFonts w:ascii="Arial" w:hAnsi="Arial" w:cs="Arial"/>
                <w:color w:val="000000" w:themeColor="text1"/>
                <w:sz w:val="18"/>
                <w:szCs w:val="18"/>
              </w:rPr>
              <w:t>Georgia</w:t>
            </w:r>
          </w:p>
          <w:p w:rsidRPr="00190DCA" w:rsidR="00F8518B" w:rsidP="00F8518B" w:rsidRDefault="00F8518B" w14:paraId="5A6664A0" w14:textId="77777777">
            <w:pPr>
              <w:rPr>
                <w:rFonts w:ascii="Arial" w:hAnsi="Arial" w:cs="Arial"/>
                <w:color w:val="000000" w:themeColor="text1"/>
                <w:sz w:val="18"/>
                <w:szCs w:val="18"/>
              </w:rPr>
            </w:pPr>
            <w:r w:rsidRPr="00190DCA">
              <w:rPr>
                <w:rFonts w:ascii="Arial" w:hAnsi="Arial" w:cs="Arial"/>
                <w:color w:val="000000" w:themeColor="text1"/>
                <w:sz w:val="18"/>
                <w:szCs w:val="18"/>
              </w:rPr>
              <w:t>Kentucky</w:t>
            </w:r>
          </w:p>
          <w:p w:rsidRPr="00190DCA" w:rsidR="00F8518B" w:rsidP="00F8518B" w:rsidRDefault="00F8518B" w14:paraId="2AB4C98E" w14:textId="77777777">
            <w:pPr>
              <w:rPr>
                <w:rFonts w:ascii="Arial" w:hAnsi="Arial" w:cs="Arial"/>
                <w:color w:val="000000" w:themeColor="text1"/>
                <w:sz w:val="18"/>
                <w:szCs w:val="18"/>
              </w:rPr>
            </w:pPr>
            <w:r w:rsidRPr="00190DCA">
              <w:rPr>
                <w:rFonts w:ascii="Arial" w:hAnsi="Arial" w:cs="Arial"/>
                <w:color w:val="000000" w:themeColor="text1"/>
                <w:sz w:val="18"/>
                <w:szCs w:val="18"/>
              </w:rPr>
              <w:t>North Carolina</w:t>
            </w:r>
          </w:p>
          <w:p w:rsidRPr="00190DCA" w:rsidR="00F8518B" w:rsidP="00F8518B" w:rsidRDefault="00F8518B" w14:paraId="71676D5E" w14:textId="77777777">
            <w:pPr>
              <w:rPr>
                <w:rFonts w:ascii="Arial" w:hAnsi="Arial" w:cs="Arial"/>
                <w:color w:val="000000" w:themeColor="text1"/>
                <w:sz w:val="18"/>
                <w:szCs w:val="18"/>
              </w:rPr>
            </w:pPr>
            <w:r w:rsidRPr="00190DCA">
              <w:rPr>
                <w:rFonts w:ascii="Arial" w:hAnsi="Arial" w:cs="Arial"/>
                <w:color w:val="000000" w:themeColor="text1"/>
                <w:sz w:val="18"/>
                <w:szCs w:val="18"/>
              </w:rPr>
              <w:t>South Carolina</w:t>
            </w:r>
          </w:p>
          <w:p w:rsidRPr="00190DCA" w:rsidR="00F8518B" w:rsidP="00F8518B" w:rsidRDefault="00F8518B" w14:paraId="5445C7EF" w14:textId="77777777">
            <w:pPr>
              <w:rPr>
                <w:rFonts w:ascii="Arial" w:hAnsi="Arial" w:cs="Arial"/>
                <w:color w:val="000000" w:themeColor="text1"/>
                <w:sz w:val="18"/>
                <w:szCs w:val="18"/>
              </w:rPr>
            </w:pPr>
            <w:r w:rsidRPr="00190DCA">
              <w:rPr>
                <w:rFonts w:ascii="Arial" w:hAnsi="Arial" w:cs="Arial"/>
                <w:color w:val="000000" w:themeColor="text1"/>
                <w:sz w:val="18"/>
                <w:szCs w:val="18"/>
              </w:rPr>
              <w:t>Tennessee</w:t>
            </w:r>
          </w:p>
          <w:p w:rsidRPr="00190DCA" w:rsidR="00F8518B" w:rsidP="00F8518B" w:rsidRDefault="00F8518B" w14:paraId="0E38459A" w14:textId="77777777">
            <w:pPr>
              <w:rPr>
                <w:rFonts w:ascii="Arial" w:hAnsi="Arial" w:cs="Arial"/>
                <w:color w:val="000000" w:themeColor="text1"/>
                <w:sz w:val="18"/>
                <w:szCs w:val="18"/>
              </w:rPr>
            </w:pPr>
            <w:r w:rsidRPr="00190DCA">
              <w:rPr>
                <w:rFonts w:ascii="Arial" w:hAnsi="Arial" w:cs="Arial"/>
                <w:color w:val="000000" w:themeColor="text1"/>
                <w:sz w:val="18"/>
                <w:szCs w:val="18"/>
              </w:rPr>
              <w:t>Virginia</w:t>
            </w:r>
          </w:p>
          <w:p w:rsidRPr="00190DCA" w:rsidR="00F8518B" w:rsidP="00F8518B" w:rsidRDefault="00F8518B" w14:paraId="2C01C5F0" w14:textId="4C539A4C">
            <w:pPr>
              <w:rPr>
                <w:rFonts w:ascii="Arial" w:hAnsi="Arial" w:cs="Arial"/>
                <w:color w:val="000000" w:themeColor="text1"/>
                <w:sz w:val="18"/>
                <w:szCs w:val="18"/>
              </w:rPr>
            </w:pPr>
            <w:r w:rsidRPr="00190DCA">
              <w:rPr>
                <w:rFonts w:ascii="Arial" w:hAnsi="Arial" w:cs="Arial"/>
                <w:color w:val="000000" w:themeColor="text1"/>
                <w:sz w:val="18"/>
                <w:szCs w:val="18"/>
              </w:rPr>
              <w:t>West Virginia</w:t>
            </w:r>
          </w:p>
        </w:tc>
        <w:tc>
          <w:tcPr>
            <w:tcW w:w="1079" w:type="dxa"/>
            <w:tcMar>
              <w:left w:w="14" w:type="dxa"/>
              <w:right w:w="14" w:type="dxa"/>
            </w:tcMar>
          </w:tcPr>
          <w:p w:rsidRPr="00190DCA" w:rsidR="00F8518B" w:rsidP="00F8518B" w:rsidRDefault="00F8518B" w14:paraId="15936A1C" w14:textId="77777777">
            <w:pPr>
              <w:rPr>
                <w:rFonts w:ascii="Arial" w:hAnsi="Arial" w:cs="Arial"/>
                <w:color w:val="000000" w:themeColor="text1"/>
                <w:sz w:val="18"/>
                <w:szCs w:val="18"/>
              </w:rPr>
            </w:pPr>
            <w:r w:rsidRPr="00190DCA">
              <w:rPr>
                <w:rFonts w:ascii="Arial" w:hAnsi="Arial" w:cs="Arial"/>
                <w:color w:val="000000" w:themeColor="text1"/>
                <w:sz w:val="18"/>
                <w:szCs w:val="18"/>
              </w:rPr>
              <w:t>Illinois</w:t>
            </w:r>
          </w:p>
          <w:p w:rsidRPr="00190DCA" w:rsidR="00F8518B" w:rsidP="00F8518B" w:rsidRDefault="00F8518B" w14:paraId="352CB9BC" w14:textId="77777777">
            <w:pPr>
              <w:rPr>
                <w:rFonts w:ascii="Arial" w:hAnsi="Arial" w:cs="Arial"/>
                <w:color w:val="000000" w:themeColor="text1"/>
                <w:sz w:val="18"/>
                <w:szCs w:val="18"/>
              </w:rPr>
            </w:pPr>
            <w:r w:rsidRPr="00190DCA">
              <w:rPr>
                <w:rFonts w:ascii="Arial" w:hAnsi="Arial" w:cs="Arial"/>
                <w:color w:val="000000" w:themeColor="text1"/>
                <w:sz w:val="18"/>
                <w:szCs w:val="18"/>
              </w:rPr>
              <w:t>Indiana</w:t>
            </w:r>
          </w:p>
          <w:p w:rsidRPr="00190DCA" w:rsidR="00F8518B" w:rsidP="00F8518B" w:rsidRDefault="00F8518B" w14:paraId="6F97424C" w14:textId="77777777">
            <w:pPr>
              <w:rPr>
                <w:rFonts w:ascii="Arial" w:hAnsi="Arial" w:cs="Arial"/>
                <w:color w:val="000000" w:themeColor="text1"/>
                <w:sz w:val="18"/>
                <w:szCs w:val="18"/>
              </w:rPr>
            </w:pPr>
            <w:r w:rsidRPr="00190DCA">
              <w:rPr>
                <w:rFonts w:ascii="Arial" w:hAnsi="Arial" w:cs="Arial"/>
                <w:color w:val="000000" w:themeColor="text1"/>
                <w:sz w:val="18"/>
                <w:szCs w:val="18"/>
              </w:rPr>
              <w:t>Michigan</w:t>
            </w:r>
          </w:p>
          <w:p w:rsidRPr="00190DCA" w:rsidR="00F8518B" w:rsidP="00F8518B" w:rsidRDefault="00F8518B" w14:paraId="439F5721" w14:textId="77777777">
            <w:pPr>
              <w:rPr>
                <w:rFonts w:ascii="Arial" w:hAnsi="Arial" w:cs="Arial"/>
                <w:color w:val="000000" w:themeColor="text1"/>
                <w:sz w:val="18"/>
                <w:szCs w:val="18"/>
              </w:rPr>
            </w:pPr>
            <w:r w:rsidRPr="00190DCA">
              <w:rPr>
                <w:rFonts w:ascii="Arial" w:hAnsi="Arial" w:cs="Arial"/>
                <w:color w:val="000000" w:themeColor="text1"/>
                <w:sz w:val="18"/>
                <w:szCs w:val="18"/>
              </w:rPr>
              <w:t>Ohio</w:t>
            </w:r>
          </w:p>
          <w:p w:rsidRPr="00190DCA" w:rsidR="00F8518B" w:rsidP="00F8518B" w:rsidRDefault="00F8518B" w14:paraId="5B135B22" w14:textId="4FFD4FB1">
            <w:pPr>
              <w:rPr>
                <w:rFonts w:ascii="Arial" w:hAnsi="Arial" w:cs="Arial"/>
                <w:color w:val="000000" w:themeColor="text1"/>
                <w:sz w:val="18"/>
                <w:szCs w:val="18"/>
              </w:rPr>
            </w:pPr>
            <w:r w:rsidRPr="00190DCA">
              <w:rPr>
                <w:rFonts w:ascii="Arial" w:hAnsi="Arial" w:cs="Arial"/>
                <w:color w:val="000000" w:themeColor="text1"/>
                <w:sz w:val="18"/>
                <w:szCs w:val="18"/>
              </w:rPr>
              <w:t>Wisconsin</w:t>
            </w:r>
          </w:p>
        </w:tc>
      </w:tr>
    </w:tbl>
    <w:p w:rsidR="00F8518B" w:rsidP="00C71B2C" w:rsidRDefault="00F8518B" w14:paraId="6FBEEE5C" w14:textId="0ACB2A20">
      <w:pPr>
        <w:ind w:left="720"/>
        <w:rPr>
          <w:rFonts w:ascii="Arial" w:hAnsi="Arial" w:cs="Arial"/>
          <w:color w:val="FF0000"/>
          <w:szCs w:val="24"/>
        </w:rPr>
      </w:pPr>
    </w:p>
    <w:p w:rsidRPr="00675C4A" w:rsidR="00F8518B" w:rsidP="00C71B2C" w:rsidRDefault="00F8518B" w14:paraId="2F1BB3EA" w14:textId="77777777">
      <w:pPr>
        <w:ind w:left="720"/>
        <w:rPr>
          <w:rFonts w:ascii="Arial" w:hAnsi="Arial" w:cs="Arial"/>
          <w:color w:val="FF0000"/>
          <w:szCs w:val="24"/>
        </w:rPr>
      </w:pPr>
    </w:p>
    <w:p w:rsidRPr="009A0267" w:rsidR="005C7E99" w:rsidP="005C7E99" w:rsidRDefault="005C7E99" w14:paraId="700C38F4" w14:textId="77777777">
      <w:pPr>
        <w:spacing w:line="240" w:lineRule="exact"/>
        <w:rPr>
          <w:rFonts w:ascii="Arial" w:hAnsi="Arial" w:cs="Arial"/>
          <w:noProof/>
          <w:szCs w:val="24"/>
          <w:highlight w:val="yellow"/>
        </w:rPr>
      </w:pPr>
    </w:p>
    <w:p w:rsidRPr="00D41A95" w:rsidR="00D02EED" w:rsidP="00D26AFB" w:rsidRDefault="00D02EED" w14:paraId="19497152" w14:textId="77777777">
      <w:pPr>
        <w:ind w:left="720" w:hanging="720"/>
        <w:rPr>
          <w:rFonts w:ascii="Arial" w:hAnsi="Arial" w:cs="Arial"/>
          <w:szCs w:val="24"/>
        </w:rPr>
      </w:pPr>
      <w:r w:rsidRPr="00DB45F0">
        <w:rPr>
          <w:rFonts w:ascii="Arial" w:hAnsi="Arial" w:cs="Arial"/>
          <w:b/>
          <w:szCs w:val="24"/>
        </w:rPr>
        <w:lastRenderedPageBreak/>
        <w:t>3.</w:t>
      </w:r>
      <w:r w:rsidRPr="00DB45F0">
        <w:rPr>
          <w:rFonts w:ascii="Arial" w:hAnsi="Arial" w:cs="Arial"/>
          <w:b/>
          <w:szCs w:val="24"/>
        </w:rPr>
        <w:tab/>
        <w:t>Describe methods to maximize response rates and to deal with issues of non-response</w:t>
      </w:r>
      <w:r w:rsidRPr="00D41A95">
        <w:rPr>
          <w:rFonts w:ascii="Arial" w:hAnsi="Arial" w:cs="Arial"/>
          <w:b/>
          <w:szCs w:val="24"/>
        </w:rPr>
        <w:t>.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41A95" w:rsidR="00AF7FF3" w:rsidP="00137C78" w:rsidRDefault="00AF7FF3" w14:paraId="1C26AE53" w14:textId="77777777">
      <w:pPr>
        <w:ind w:left="720"/>
        <w:rPr>
          <w:rFonts w:ascii="Arial" w:hAnsi="Arial" w:cs="Arial"/>
          <w:szCs w:val="24"/>
        </w:rPr>
      </w:pPr>
    </w:p>
    <w:p w:rsidRPr="00190DCA" w:rsidR="003D2900" w:rsidP="00FA288C" w:rsidRDefault="009A0267" w14:paraId="4353A668" w14:textId="056917BE">
      <w:pPr>
        <w:ind w:left="720"/>
        <w:rPr>
          <w:rFonts w:ascii="Arial" w:hAnsi="Arial" w:cs="Arial"/>
          <w:color w:val="000000" w:themeColor="text1"/>
          <w:szCs w:val="24"/>
        </w:rPr>
      </w:pPr>
      <w:r w:rsidRPr="00190DCA">
        <w:rPr>
          <w:rFonts w:ascii="Arial" w:hAnsi="Arial" w:cs="Arial"/>
          <w:color w:val="000000" w:themeColor="text1"/>
          <w:szCs w:val="24"/>
        </w:rPr>
        <w:t xml:space="preserve">As with the approved sample, </w:t>
      </w:r>
      <w:r w:rsidRPr="00190DCA" w:rsidR="003D2900">
        <w:rPr>
          <w:rFonts w:ascii="Arial" w:hAnsi="Arial" w:cs="Arial"/>
          <w:color w:val="000000" w:themeColor="text1"/>
          <w:szCs w:val="24"/>
        </w:rPr>
        <w:t xml:space="preserve">NASS will provide </w:t>
      </w:r>
      <w:r w:rsidRPr="00190DCA">
        <w:rPr>
          <w:rFonts w:ascii="Arial" w:hAnsi="Arial" w:cs="Arial"/>
          <w:color w:val="000000" w:themeColor="text1"/>
          <w:szCs w:val="24"/>
        </w:rPr>
        <w:t xml:space="preserve">operations in the additional sample </w:t>
      </w:r>
      <w:r w:rsidRPr="00190DCA" w:rsidR="003D2900">
        <w:rPr>
          <w:rFonts w:ascii="Arial" w:hAnsi="Arial" w:cs="Arial"/>
          <w:color w:val="000000" w:themeColor="text1"/>
          <w:szCs w:val="24"/>
        </w:rPr>
        <w:t xml:space="preserve">with a variety of modes for completing the survey, including internet, mail, </w:t>
      </w:r>
      <w:r w:rsidRPr="00190DCA">
        <w:rPr>
          <w:rFonts w:ascii="Arial" w:hAnsi="Arial" w:cs="Arial"/>
          <w:color w:val="000000" w:themeColor="text1"/>
          <w:szCs w:val="24"/>
        </w:rPr>
        <w:t xml:space="preserve">and </w:t>
      </w:r>
      <w:r w:rsidRPr="00190DCA" w:rsidR="003D2900">
        <w:rPr>
          <w:rFonts w:ascii="Arial" w:hAnsi="Arial" w:cs="Arial"/>
          <w:color w:val="000000" w:themeColor="text1"/>
          <w:szCs w:val="24"/>
        </w:rPr>
        <w:t xml:space="preserve">telephone.  </w:t>
      </w:r>
      <w:r w:rsidRPr="00190DCA" w:rsidR="00063D13">
        <w:rPr>
          <w:rFonts w:ascii="Arial" w:hAnsi="Arial" w:cs="Arial"/>
          <w:color w:val="000000" w:themeColor="text1"/>
          <w:szCs w:val="24"/>
        </w:rPr>
        <w:t>A customer service phone number is included at the top of the questionnaire in case</w:t>
      </w:r>
      <w:r w:rsidRPr="00190DCA" w:rsidR="003D2900">
        <w:rPr>
          <w:rFonts w:ascii="Arial" w:hAnsi="Arial" w:cs="Arial"/>
          <w:color w:val="000000" w:themeColor="text1"/>
          <w:szCs w:val="24"/>
        </w:rPr>
        <w:t xml:space="preserve"> respondents h</w:t>
      </w:r>
      <w:r w:rsidRPr="00190DCA" w:rsidR="00063D13">
        <w:rPr>
          <w:rFonts w:ascii="Arial" w:hAnsi="Arial" w:cs="Arial"/>
          <w:color w:val="000000" w:themeColor="text1"/>
          <w:szCs w:val="24"/>
        </w:rPr>
        <w:t>ave any questions.</w:t>
      </w:r>
    </w:p>
    <w:p w:rsidRPr="00190DCA" w:rsidR="003D2900" w:rsidP="00FA288C" w:rsidRDefault="003D2900" w14:paraId="7B23BBAB" w14:textId="77777777">
      <w:pPr>
        <w:ind w:left="720"/>
        <w:rPr>
          <w:rFonts w:ascii="Arial" w:hAnsi="Arial" w:cs="Arial"/>
          <w:color w:val="000000" w:themeColor="text1"/>
          <w:szCs w:val="24"/>
        </w:rPr>
      </w:pPr>
    </w:p>
    <w:p w:rsidRPr="00190DCA" w:rsidR="003D2900" w:rsidP="00FA288C" w:rsidRDefault="00002DDB" w14:paraId="73E138C1" w14:textId="72D39B9B">
      <w:pPr>
        <w:ind w:left="720"/>
        <w:rPr>
          <w:rFonts w:ascii="Arial" w:hAnsi="Arial" w:cs="Arial"/>
          <w:color w:val="000000" w:themeColor="text1"/>
          <w:szCs w:val="24"/>
        </w:rPr>
      </w:pPr>
      <w:r w:rsidRPr="00190DCA">
        <w:rPr>
          <w:rFonts w:ascii="Arial" w:hAnsi="Arial" w:cs="Arial"/>
          <w:color w:val="000000" w:themeColor="text1"/>
          <w:szCs w:val="24"/>
        </w:rPr>
        <w:t xml:space="preserve">Initially, a sealed </w:t>
      </w:r>
      <w:r w:rsidRPr="00190DCA" w:rsidR="009A0267">
        <w:rPr>
          <w:rFonts w:ascii="Arial" w:hAnsi="Arial" w:cs="Arial"/>
          <w:color w:val="000000" w:themeColor="text1"/>
          <w:szCs w:val="24"/>
        </w:rPr>
        <w:t>letter</w:t>
      </w:r>
      <w:r w:rsidRPr="00190DCA">
        <w:rPr>
          <w:rFonts w:ascii="Arial" w:hAnsi="Arial" w:cs="Arial"/>
          <w:color w:val="000000" w:themeColor="text1"/>
          <w:szCs w:val="24"/>
        </w:rPr>
        <w:t xml:space="preserve"> will be mailed to all respondents giving them a secure access code to go on line and complete the survey using our Computer Assisted Web Interview (CAWI) system.  Non-respondents will then be mailed a</w:t>
      </w:r>
      <w:r w:rsidRPr="00190DCA" w:rsidR="00063D13">
        <w:rPr>
          <w:rFonts w:ascii="Arial" w:hAnsi="Arial" w:cs="Arial"/>
          <w:color w:val="000000" w:themeColor="text1"/>
          <w:szCs w:val="24"/>
        </w:rPr>
        <w:t xml:space="preserve"> cover letter</w:t>
      </w:r>
      <w:r w:rsidRPr="00190DCA" w:rsidR="003D2900">
        <w:rPr>
          <w:rFonts w:ascii="Arial" w:hAnsi="Arial" w:cs="Arial"/>
          <w:color w:val="000000" w:themeColor="text1"/>
          <w:szCs w:val="24"/>
        </w:rPr>
        <w:t xml:space="preserve"> with</w:t>
      </w:r>
      <w:r w:rsidRPr="00190DCA">
        <w:rPr>
          <w:rFonts w:ascii="Arial" w:hAnsi="Arial" w:cs="Arial"/>
          <w:color w:val="000000" w:themeColor="text1"/>
          <w:szCs w:val="24"/>
        </w:rPr>
        <w:t xml:space="preserve"> the </w:t>
      </w:r>
      <w:r w:rsidRPr="00190DCA" w:rsidR="003D2900">
        <w:rPr>
          <w:rFonts w:ascii="Arial" w:hAnsi="Arial" w:cs="Arial"/>
          <w:color w:val="000000" w:themeColor="text1"/>
          <w:szCs w:val="24"/>
        </w:rPr>
        <w:t>questionnaire</w:t>
      </w:r>
      <w:r w:rsidRPr="00190DCA" w:rsidR="00063D13">
        <w:rPr>
          <w:rFonts w:ascii="Arial" w:hAnsi="Arial" w:cs="Arial"/>
          <w:color w:val="000000" w:themeColor="text1"/>
          <w:szCs w:val="24"/>
        </w:rPr>
        <w:t xml:space="preserve"> that will </w:t>
      </w:r>
      <w:r w:rsidRPr="00190DCA">
        <w:rPr>
          <w:rFonts w:ascii="Arial" w:hAnsi="Arial" w:cs="Arial"/>
          <w:color w:val="000000" w:themeColor="text1"/>
          <w:szCs w:val="24"/>
        </w:rPr>
        <w:t xml:space="preserve">again </w:t>
      </w:r>
      <w:r w:rsidRPr="00190DCA" w:rsidR="00063D13">
        <w:rPr>
          <w:rFonts w:ascii="Arial" w:hAnsi="Arial" w:cs="Arial"/>
          <w:color w:val="000000" w:themeColor="text1"/>
          <w:szCs w:val="24"/>
        </w:rPr>
        <w:t>describe the importance of the data and how it will be used, as well as explain that individual data will be kept</w:t>
      </w:r>
      <w:r w:rsidRPr="00190DCA" w:rsidR="005102B7">
        <w:rPr>
          <w:rFonts w:ascii="Arial" w:hAnsi="Arial" w:cs="Arial"/>
          <w:color w:val="000000" w:themeColor="text1"/>
          <w:szCs w:val="24"/>
        </w:rPr>
        <w:t xml:space="preserve"> confidential</w:t>
      </w:r>
      <w:r w:rsidRPr="00190DCA" w:rsidR="003D2900">
        <w:rPr>
          <w:rFonts w:ascii="Arial" w:hAnsi="Arial" w:cs="Arial"/>
          <w:color w:val="000000" w:themeColor="text1"/>
          <w:szCs w:val="24"/>
        </w:rPr>
        <w:t xml:space="preserve">.  Instructions on how to access the </w:t>
      </w:r>
      <w:r w:rsidRPr="00190DCA">
        <w:rPr>
          <w:rFonts w:ascii="Arial" w:hAnsi="Arial" w:cs="Arial"/>
          <w:color w:val="000000" w:themeColor="text1"/>
          <w:szCs w:val="24"/>
        </w:rPr>
        <w:t>CAWI</w:t>
      </w:r>
      <w:r w:rsidRPr="00190DCA" w:rsidR="003D2900">
        <w:rPr>
          <w:rFonts w:ascii="Arial" w:hAnsi="Arial" w:cs="Arial"/>
          <w:color w:val="000000" w:themeColor="text1"/>
          <w:szCs w:val="24"/>
        </w:rPr>
        <w:t xml:space="preserve"> questionnaire </w:t>
      </w:r>
      <w:r w:rsidRPr="00190DCA" w:rsidR="005102B7">
        <w:rPr>
          <w:rFonts w:ascii="Arial" w:hAnsi="Arial" w:cs="Arial"/>
          <w:color w:val="000000" w:themeColor="text1"/>
          <w:szCs w:val="24"/>
        </w:rPr>
        <w:t xml:space="preserve">will be </w:t>
      </w:r>
      <w:r w:rsidRPr="00190DCA" w:rsidR="003D2900">
        <w:rPr>
          <w:rFonts w:ascii="Arial" w:hAnsi="Arial" w:cs="Arial"/>
          <w:color w:val="000000" w:themeColor="text1"/>
          <w:szCs w:val="24"/>
        </w:rPr>
        <w:t>provided</w:t>
      </w:r>
      <w:r w:rsidRPr="00190DCA">
        <w:rPr>
          <w:rFonts w:ascii="Arial" w:hAnsi="Arial" w:cs="Arial"/>
          <w:color w:val="000000" w:themeColor="text1"/>
          <w:szCs w:val="24"/>
        </w:rPr>
        <w:t xml:space="preserve"> again</w:t>
      </w:r>
      <w:r w:rsidRPr="00190DCA" w:rsidR="009162D3">
        <w:rPr>
          <w:rFonts w:ascii="Arial" w:hAnsi="Arial" w:cs="Arial"/>
          <w:color w:val="000000" w:themeColor="text1"/>
          <w:szCs w:val="24"/>
        </w:rPr>
        <w:t xml:space="preserve"> </w:t>
      </w:r>
      <w:r w:rsidRPr="00190DCA" w:rsidR="009162D3">
        <w:rPr>
          <w:rFonts w:ascii="Arial" w:hAnsi="Arial" w:cs="Arial"/>
          <w:color w:val="000000" w:themeColor="text1"/>
        </w:rPr>
        <w:t>along, with a return envelope if respondents prefer to complete the paper version and mail it back</w:t>
      </w:r>
      <w:r w:rsidRPr="00190DCA" w:rsidR="005102B7">
        <w:rPr>
          <w:rFonts w:ascii="Arial" w:hAnsi="Arial" w:cs="Arial"/>
          <w:color w:val="000000" w:themeColor="text1"/>
          <w:szCs w:val="24"/>
        </w:rPr>
        <w:t>.</w:t>
      </w:r>
      <w:r w:rsidRPr="00190DCA">
        <w:rPr>
          <w:rFonts w:ascii="Arial" w:hAnsi="Arial" w:cs="Arial"/>
          <w:color w:val="000000" w:themeColor="text1"/>
          <w:szCs w:val="24"/>
        </w:rPr>
        <w:t xml:space="preserve"> After </w:t>
      </w:r>
      <w:r w:rsidRPr="00190DCA" w:rsidR="009A0267">
        <w:rPr>
          <w:rFonts w:ascii="Arial" w:hAnsi="Arial" w:cs="Arial"/>
          <w:color w:val="000000" w:themeColor="text1"/>
          <w:szCs w:val="24"/>
        </w:rPr>
        <w:t xml:space="preserve">up to three </w:t>
      </w:r>
      <w:r w:rsidRPr="00190DCA">
        <w:rPr>
          <w:rFonts w:ascii="Arial" w:hAnsi="Arial" w:cs="Arial"/>
          <w:color w:val="000000" w:themeColor="text1"/>
          <w:szCs w:val="24"/>
        </w:rPr>
        <w:t xml:space="preserve">attempts by mail, </w:t>
      </w:r>
      <w:r w:rsidRPr="00190DCA" w:rsidR="009A0267">
        <w:rPr>
          <w:rFonts w:ascii="Arial" w:hAnsi="Arial" w:cs="Arial"/>
          <w:color w:val="000000" w:themeColor="text1"/>
          <w:szCs w:val="24"/>
        </w:rPr>
        <w:t xml:space="preserve">and if the response rate is lower than expected, or to ensure sufficient coverage, </w:t>
      </w:r>
      <w:r w:rsidRPr="00190DCA">
        <w:rPr>
          <w:rFonts w:ascii="Arial" w:hAnsi="Arial" w:cs="Arial"/>
          <w:color w:val="000000" w:themeColor="text1"/>
          <w:szCs w:val="24"/>
        </w:rPr>
        <w:t xml:space="preserve">NASS will contact </w:t>
      </w:r>
      <w:r w:rsidRPr="00190DCA" w:rsidR="009A0267">
        <w:rPr>
          <w:rFonts w:ascii="Arial" w:hAnsi="Arial" w:cs="Arial"/>
          <w:color w:val="000000" w:themeColor="text1"/>
          <w:szCs w:val="24"/>
        </w:rPr>
        <w:t>a subset of the remaining non-respondents</w:t>
      </w:r>
      <w:r w:rsidRPr="00190DCA">
        <w:rPr>
          <w:rFonts w:ascii="Arial" w:hAnsi="Arial" w:cs="Arial"/>
          <w:color w:val="000000" w:themeColor="text1"/>
          <w:szCs w:val="24"/>
        </w:rPr>
        <w:t xml:space="preserve"> by </w:t>
      </w:r>
      <w:r w:rsidRPr="00190DCA" w:rsidR="009A0267">
        <w:rPr>
          <w:rFonts w:ascii="Arial" w:hAnsi="Arial" w:cs="Arial"/>
          <w:color w:val="000000" w:themeColor="text1"/>
          <w:szCs w:val="24"/>
        </w:rPr>
        <w:t>tele</w:t>
      </w:r>
      <w:r w:rsidRPr="00190DCA">
        <w:rPr>
          <w:rFonts w:ascii="Arial" w:hAnsi="Arial" w:cs="Arial"/>
          <w:color w:val="000000" w:themeColor="text1"/>
          <w:szCs w:val="24"/>
        </w:rPr>
        <w:t>phone.</w:t>
      </w:r>
    </w:p>
    <w:p w:rsidRPr="00D41A95" w:rsidR="003D2900" w:rsidP="00FA288C" w:rsidRDefault="003D2900" w14:paraId="224B3C73" w14:textId="77777777">
      <w:pPr>
        <w:ind w:left="720"/>
        <w:rPr>
          <w:rFonts w:ascii="Arial" w:hAnsi="Arial" w:cs="Arial"/>
          <w:szCs w:val="24"/>
        </w:rPr>
      </w:pPr>
    </w:p>
    <w:p w:rsidRPr="00D41A95" w:rsidR="00FA288C" w:rsidP="00FA288C" w:rsidRDefault="00FA288C" w14:paraId="154F4E9F" w14:textId="12166378">
      <w:pPr>
        <w:ind w:left="720"/>
        <w:rPr>
          <w:rFonts w:ascii="Arial" w:hAnsi="Arial" w:cs="Arial"/>
          <w:szCs w:val="24"/>
        </w:rPr>
      </w:pPr>
      <w:r w:rsidRPr="00D41A95">
        <w:rPr>
          <w:rFonts w:ascii="Arial" w:hAnsi="Arial" w:cs="Arial"/>
          <w:szCs w:val="24"/>
        </w:rPr>
        <w:t>Survey data are subject to non-sampling errors such as omissions and mistakes in reporting and in processing the data.  Error is minimized by carefully reviewing all reported data for consistency and reasonableness.</w:t>
      </w:r>
    </w:p>
    <w:p w:rsidRPr="00D41A95" w:rsidR="0030522A" w:rsidP="00AF7FF3" w:rsidRDefault="0030522A" w14:paraId="0D7CED05" w14:textId="77777777">
      <w:pPr>
        <w:ind w:left="720"/>
        <w:rPr>
          <w:rFonts w:ascii="Arial" w:hAnsi="Arial" w:cs="Arial"/>
          <w:szCs w:val="24"/>
        </w:rPr>
      </w:pPr>
    </w:p>
    <w:p w:rsidRPr="00D41A95" w:rsidR="00D02EED" w:rsidRDefault="00D02EED" w14:paraId="05EC31C3" w14:textId="77777777">
      <w:pPr>
        <w:ind w:left="720" w:hanging="720"/>
        <w:rPr>
          <w:rFonts w:ascii="Arial" w:hAnsi="Arial" w:cs="Arial"/>
          <w:szCs w:val="24"/>
        </w:rPr>
      </w:pPr>
      <w:r w:rsidRPr="00D41A95">
        <w:rPr>
          <w:rFonts w:ascii="Arial" w:hAnsi="Arial" w:cs="Arial"/>
          <w:b/>
          <w:szCs w:val="24"/>
        </w:rPr>
        <w:t>4.</w:t>
      </w:r>
      <w:r w:rsidRPr="00D41A95">
        <w:rPr>
          <w:rFonts w:ascii="Arial" w:hAnsi="Arial" w:cs="Arial"/>
          <w:b/>
          <w:szCs w:val="24"/>
        </w:rPr>
        <w:tab/>
        <w:t>Describe any tests of procedures or methods to be undertaken.</w:t>
      </w:r>
    </w:p>
    <w:p w:rsidRPr="00D41A95" w:rsidR="00FA288C" w:rsidP="00FA288C" w:rsidRDefault="00FA288C" w14:paraId="042E6069" w14:textId="77777777">
      <w:pPr>
        <w:ind w:left="720"/>
        <w:rPr>
          <w:rFonts w:ascii="Arial" w:hAnsi="Arial" w:cs="Arial"/>
          <w:szCs w:val="24"/>
        </w:rPr>
      </w:pPr>
    </w:p>
    <w:p w:rsidRPr="009A0267" w:rsidR="00FA288C" w:rsidP="00FA288C" w:rsidRDefault="009A0267" w14:paraId="689D0091" w14:textId="33EAC6C0">
      <w:pPr>
        <w:ind w:left="720"/>
        <w:rPr>
          <w:rFonts w:ascii="Arial" w:hAnsi="Arial" w:cs="Arial"/>
          <w:color w:val="000000" w:themeColor="text1"/>
          <w:szCs w:val="24"/>
        </w:rPr>
      </w:pPr>
      <w:r>
        <w:rPr>
          <w:rFonts w:ascii="Arial" w:hAnsi="Arial" w:cs="Arial"/>
          <w:szCs w:val="24"/>
        </w:rPr>
        <w:t>There is no change to this item from the original approval.</w:t>
      </w:r>
    </w:p>
    <w:p w:rsidRPr="009A0267" w:rsidR="009A0267" w:rsidP="00FA288C" w:rsidRDefault="009A0267" w14:paraId="4EEB2A85" w14:textId="77777777">
      <w:pPr>
        <w:ind w:left="720"/>
        <w:rPr>
          <w:rFonts w:ascii="Arial" w:hAnsi="Arial" w:cs="Arial"/>
          <w:color w:val="000000" w:themeColor="text1"/>
          <w:szCs w:val="24"/>
        </w:rPr>
      </w:pPr>
    </w:p>
    <w:p w:rsidRPr="00D41A95" w:rsidR="00D02EED" w:rsidRDefault="00D02EED" w14:paraId="676C4DA6" w14:textId="77777777">
      <w:pPr>
        <w:ind w:left="720" w:hanging="720"/>
        <w:rPr>
          <w:rFonts w:ascii="Arial" w:hAnsi="Arial" w:cs="Arial"/>
          <w:szCs w:val="24"/>
        </w:rPr>
      </w:pPr>
      <w:r w:rsidRPr="00D41A95">
        <w:rPr>
          <w:rFonts w:ascii="Arial" w:hAnsi="Arial" w:cs="Arial"/>
          <w:b/>
          <w:szCs w:val="24"/>
        </w:rPr>
        <w:t>5.</w:t>
      </w:r>
      <w:r w:rsidRPr="00D41A95">
        <w:rPr>
          <w:rFonts w:ascii="Arial" w:hAnsi="Arial" w:cs="Arial"/>
          <w:b/>
          <w:szCs w:val="24"/>
        </w:rPr>
        <w:tab/>
        <w:t>Provide the name and telephone number of individuals consulted on statistical aspects of the design and the name of the agency unit, contractor(s), or other person(s) who will actually collect and/or analyze the information for the agency.</w:t>
      </w:r>
    </w:p>
    <w:p w:rsidRPr="00D41A95" w:rsidR="00FA288C" w:rsidRDefault="00FA288C" w14:paraId="2AD19FF4" w14:textId="77777777">
      <w:pPr>
        <w:ind w:left="720"/>
        <w:rPr>
          <w:rFonts w:ascii="Arial" w:hAnsi="Arial" w:cs="Arial"/>
          <w:szCs w:val="24"/>
        </w:rPr>
      </w:pPr>
    </w:p>
    <w:p w:rsidRPr="00D41A95" w:rsidR="00D124EB" w:rsidP="00D124EB" w:rsidRDefault="00D124EB" w14:paraId="38DF5A7D" w14:textId="0982F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41A95">
        <w:rPr>
          <w:rFonts w:ascii="Arial" w:hAnsi="Arial" w:cs="Arial"/>
          <w:szCs w:val="24"/>
        </w:rPr>
        <w:t xml:space="preserve">NASS is conducting the Local Food </w:t>
      </w:r>
      <w:r w:rsidR="002F1CD9">
        <w:rPr>
          <w:rFonts w:ascii="Arial" w:hAnsi="Arial" w:cs="Arial"/>
          <w:szCs w:val="24"/>
        </w:rPr>
        <w:t>Marketing Practices S</w:t>
      </w:r>
      <w:r w:rsidRPr="00D41A95">
        <w:rPr>
          <w:rFonts w:ascii="Arial" w:hAnsi="Arial" w:cs="Arial"/>
          <w:szCs w:val="24"/>
        </w:rPr>
        <w:t xml:space="preserve">urvey through its Census and Survey Division. The Census Planning Branch Chief is Donald Buysse, (202) 690-8747. </w:t>
      </w:r>
    </w:p>
    <w:p w:rsidRPr="00D41A95" w:rsidR="00D124EB" w:rsidP="00D124EB" w:rsidRDefault="00D124EB" w14:paraId="6B9F40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D41A95" w:rsidR="00D124EB" w:rsidP="00D124EB" w:rsidRDefault="00D124EB" w14:paraId="57694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41A95">
        <w:rPr>
          <w:rFonts w:ascii="Arial" w:hAnsi="Arial" w:cs="Arial"/>
          <w:szCs w:val="24"/>
        </w:rPr>
        <w:t xml:space="preserve">Sample design is developed by NASS’s Sample Design Section. The Branch Chief is Mark Apodaca, (202) 720-2857.  </w:t>
      </w:r>
    </w:p>
    <w:p w:rsidRPr="00D41A95" w:rsidR="00D124EB" w:rsidP="00D124EB" w:rsidRDefault="00D124EB" w14:paraId="7BD608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D41A95" w:rsidR="00D124EB" w:rsidP="00D124EB" w:rsidRDefault="00D124EB" w14:paraId="5D1B4C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D41A95">
        <w:rPr>
          <w:rFonts w:ascii="Arial" w:hAnsi="Arial" w:cs="Arial"/>
          <w:szCs w:val="24"/>
        </w:rPr>
        <w:t xml:space="preserve">The samples and survey data are reviewed by NASS Summary, Estimation, and Disclosure Methodology Branch, Methodology Division. The Branch Chief is Jeff Bailey, (202)720-4008.  </w:t>
      </w:r>
    </w:p>
    <w:p w:rsidRPr="00D41A95" w:rsidR="00D124EB" w:rsidP="00D124EB" w:rsidRDefault="00D124EB" w14:paraId="7B444A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D41A95" w:rsidR="00272835" w:rsidP="00D124EB" w:rsidRDefault="00D124EB" w14:paraId="5AF62EDC" w14:textId="432B96C4">
      <w:pPr>
        <w:keepNext/>
        <w:ind w:left="720"/>
        <w:rPr>
          <w:rFonts w:ascii="Arial" w:hAnsi="Arial" w:cs="Arial"/>
          <w:color w:val="FF0000"/>
          <w:szCs w:val="24"/>
        </w:rPr>
      </w:pPr>
      <w:r w:rsidRPr="00D41A95">
        <w:rPr>
          <w:rFonts w:ascii="Arial" w:hAnsi="Arial" w:cs="Arial" w:eastAsiaTheme="minorEastAsia"/>
          <w:szCs w:val="24"/>
        </w:rPr>
        <w:t xml:space="preserve">Data collection is normally carried out by NASS Regional Field Offices; Eastern Field Operation’s Director is </w:t>
      </w:r>
      <w:r w:rsidR="00033A16">
        <w:rPr>
          <w:rFonts w:ascii="Arial" w:hAnsi="Arial" w:cs="Arial" w:eastAsiaTheme="minorEastAsia"/>
          <w:szCs w:val="24"/>
        </w:rPr>
        <w:t>Jody McDaniel</w:t>
      </w:r>
      <w:r w:rsidRPr="00D41A95">
        <w:rPr>
          <w:rFonts w:ascii="Arial" w:hAnsi="Arial" w:cs="Arial" w:eastAsiaTheme="minorEastAsia"/>
          <w:szCs w:val="24"/>
        </w:rPr>
        <w:t>, (202) 720-3638 and the Western Field Operation’s Director is Troy Joshua (202) 720-8220.</w:t>
      </w:r>
    </w:p>
    <w:p w:rsidRPr="00D41A95" w:rsidR="00D124EB" w:rsidP="008C2C89" w:rsidRDefault="00D124EB" w14:paraId="4E8B79A3" w14:textId="77777777">
      <w:pPr>
        <w:tabs>
          <w:tab w:val="right" w:pos="9360"/>
        </w:tabs>
        <w:jc w:val="right"/>
        <w:rPr>
          <w:rFonts w:ascii="Arial" w:hAnsi="Arial" w:cs="Arial"/>
          <w:color w:val="FF0000"/>
          <w:szCs w:val="24"/>
        </w:rPr>
      </w:pPr>
    </w:p>
    <w:p w:rsidRPr="00D41A95" w:rsidR="00D124EB" w:rsidP="008C2C89" w:rsidRDefault="00D124EB" w14:paraId="6E870DE3" w14:textId="77777777">
      <w:pPr>
        <w:tabs>
          <w:tab w:val="right" w:pos="9360"/>
        </w:tabs>
        <w:jc w:val="right"/>
        <w:rPr>
          <w:rFonts w:ascii="Arial" w:hAnsi="Arial" w:cs="Arial"/>
          <w:color w:val="FF0000"/>
          <w:szCs w:val="24"/>
        </w:rPr>
      </w:pPr>
    </w:p>
    <w:p w:rsidRPr="00D124EB" w:rsidR="00385A94" w:rsidP="008C2C89" w:rsidRDefault="009A0267" w14:paraId="69342005" w14:textId="5D1AD22F">
      <w:pPr>
        <w:tabs>
          <w:tab w:val="right" w:pos="9360"/>
        </w:tabs>
        <w:jc w:val="right"/>
        <w:rPr>
          <w:rFonts w:ascii="Arial" w:hAnsi="Arial" w:cs="Arial"/>
          <w:szCs w:val="24"/>
        </w:rPr>
      </w:pPr>
      <w:r>
        <w:rPr>
          <w:rFonts w:ascii="Arial" w:hAnsi="Arial" w:cs="Arial"/>
          <w:szCs w:val="24"/>
        </w:rPr>
        <w:t>October</w:t>
      </w:r>
      <w:r w:rsidRPr="00D124EB" w:rsidR="00D124EB">
        <w:rPr>
          <w:rFonts w:ascii="Arial" w:hAnsi="Arial" w:cs="Arial"/>
          <w:szCs w:val="24"/>
        </w:rPr>
        <w:t xml:space="preserve"> 202</w:t>
      </w:r>
      <w:r w:rsidR="00535D2A">
        <w:rPr>
          <w:rFonts w:ascii="Arial" w:hAnsi="Arial" w:cs="Arial"/>
          <w:szCs w:val="24"/>
        </w:rPr>
        <w:t>1</w:t>
      </w:r>
    </w:p>
    <w:sectPr w:rsidRPr="00D124EB" w:rsidR="00385A94" w:rsidSect="00D47064">
      <w:footerReference w:type="even" r:id="rId8"/>
      <w:footerReference w:type="default" r:id="rId9"/>
      <w:footnotePr>
        <w:numFmt w:val="lowerLetter"/>
      </w:footnotePr>
      <w:endnotePr>
        <w:numFmt w:val="lowerLetter"/>
      </w:endnotePr>
      <w:pgSz w:w="12240" w:h="15840"/>
      <w:pgMar w:top="1440" w:right="1440" w:bottom="1620" w:left="1530" w:header="1440" w:footer="1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1A62F" w14:textId="77777777" w:rsidR="00FF1073" w:rsidRDefault="00FF1073">
      <w:r>
        <w:separator/>
      </w:r>
    </w:p>
  </w:endnote>
  <w:endnote w:type="continuationSeparator" w:id="0">
    <w:p w14:paraId="76C27151" w14:textId="77777777" w:rsidR="00FF1073" w:rsidRDefault="00FF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E3E19" w14:textId="77777777" w:rsidR="00FF1073" w:rsidRDefault="00FF1073" w:rsidP="00491B50">
    <w:pPr>
      <w:framePr w:w="9360" w:h="900" w:hRule="exact" w:wrap="notBeside" w:vAnchor="page" w:hAnchor="text" w:y="14934"/>
      <w:spacing w:line="0" w:lineRule="atLeast"/>
      <w:jc w:val="center"/>
      <w:rPr>
        <w:vanish/>
      </w:rPr>
    </w:pPr>
    <w:r>
      <w:rPr>
        <w:rFonts w:ascii="Arial" w:hAnsi="Arial"/>
        <w:sz w:val="22"/>
      </w:rPr>
      <w:pgNum/>
    </w:r>
  </w:p>
  <w:p w14:paraId="7730E825" w14:textId="77777777" w:rsidR="00FF1073" w:rsidRDefault="00FF10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DB22B" w14:textId="77777777" w:rsidR="00FF1073" w:rsidRDefault="00FF1073" w:rsidP="00491B50">
    <w:pPr>
      <w:framePr w:w="9360" w:h="990" w:hRule="exact" w:wrap="notBeside" w:vAnchor="page" w:hAnchor="text" w:y="14844"/>
      <w:jc w:val="center"/>
      <w:rPr>
        <w:vanish/>
      </w:rPr>
    </w:pPr>
    <w:r>
      <w:rPr>
        <w:rFonts w:ascii="Arial" w:hAnsi="Arial"/>
        <w:sz w:val="22"/>
      </w:rPr>
      <w:pgNum/>
    </w:r>
  </w:p>
  <w:p w14:paraId="2BE911DC" w14:textId="77777777" w:rsidR="00FF1073" w:rsidRDefault="00FF1073">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C35EC" w14:textId="77777777" w:rsidR="00FF1073" w:rsidRDefault="00FF1073">
      <w:r>
        <w:separator/>
      </w:r>
    </w:p>
  </w:footnote>
  <w:footnote w:type="continuationSeparator" w:id="0">
    <w:p w14:paraId="3DF113EC" w14:textId="77777777" w:rsidR="00FF1073" w:rsidRDefault="00FF1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0B19"/>
    <w:multiLevelType w:val="hybridMultilevel"/>
    <w:tmpl w:val="387C7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C589B"/>
    <w:multiLevelType w:val="hybridMultilevel"/>
    <w:tmpl w:val="5380C7DA"/>
    <w:lvl w:ilvl="0" w:tplc="6BB45644">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E0582"/>
    <w:multiLevelType w:val="hybridMultilevel"/>
    <w:tmpl w:val="0F4C45FE"/>
    <w:lvl w:ilvl="0" w:tplc="90602DA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4339F7"/>
    <w:multiLevelType w:val="hybridMultilevel"/>
    <w:tmpl w:val="EF588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202CC2"/>
    <w:multiLevelType w:val="hybridMultilevel"/>
    <w:tmpl w:val="8338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3A3560"/>
    <w:multiLevelType w:val="hybridMultilevel"/>
    <w:tmpl w:val="AF34D9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6D6CCE"/>
    <w:multiLevelType w:val="hybridMultilevel"/>
    <w:tmpl w:val="C14E3DFE"/>
    <w:lvl w:ilvl="0" w:tplc="90602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3468A5"/>
    <w:multiLevelType w:val="hybridMultilevel"/>
    <w:tmpl w:val="A2BE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3D4326"/>
    <w:multiLevelType w:val="hybridMultilevel"/>
    <w:tmpl w:val="BA422E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6A3210"/>
    <w:multiLevelType w:val="hybridMultilevel"/>
    <w:tmpl w:val="01FC6F9E"/>
    <w:lvl w:ilvl="0" w:tplc="90602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CF59AE"/>
    <w:multiLevelType w:val="hybridMultilevel"/>
    <w:tmpl w:val="6B9254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9E2657"/>
    <w:multiLevelType w:val="hybridMultilevel"/>
    <w:tmpl w:val="C81C62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6E5042CA"/>
    <w:multiLevelType w:val="hybridMultilevel"/>
    <w:tmpl w:val="C3B219FC"/>
    <w:lvl w:ilvl="0" w:tplc="287ECA76">
      <w:start w:val="1"/>
      <w:numFmt w:val="decimal"/>
      <w:lvlText w:val="%1."/>
      <w:lvlJc w:val="left"/>
      <w:pPr>
        <w:ind w:left="1440" w:hanging="720"/>
      </w:pPr>
      <w:rPr>
        <w:rFonts w:hint="default"/>
      </w:rPr>
    </w:lvl>
    <w:lvl w:ilvl="1" w:tplc="1A66FEC6">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DE7604"/>
    <w:multiLevelType w:val="hybridMultilevel"/>
    <w:tmpl w:val="74B60D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2"/>
  </w:num>
  <w:num w:numId="4">
    <w:abstractNumId w:val="6"/>
  </w:num>
  <w:num w:numId="5">
    <w:abstractNumId w:val="13"/>
  </w:num>
  <w:num w:numId="6">
    <w:abstractNumId w:val="10"/>
  </w:num>
  <w:num w:numId="7">
    <w:abstractNumId w:val="11"/>
  </w:num>
  <w:num w:numId="8">
    <w:abstractNumId w:val="4"/>
  </w:num>
  <w:num w:numId="9">
    <w:abstractNumId w:val="7"/>
  </w:num>
  <w:num w:numId="10">
    <w:abstractNumId w:val="3"/>
  </w:num>
  <w:num w:numId="11">
    <w:abstractNumId w:val="0"/>
  </w:num>
  <w:num w:numId="12">
    <w:abstractNumId w:val="1"/>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9393"/>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D7"/>
    <w:rsid w:val="00002546"/>
    <w:rsid w:val="00002DDB"/>
    <w:rsid w:val="00002FED"/>
    <w:rsid w:val="00017575"/>
    <w:rsid w:val="00033A16"/>
    <w:rsid w:val="00035316"/>
    <w:rsid w:val="00036A18"/>
    <w:rsid w:val="00037B0B"/>
    <w:rsid w:val="00041934"/>
    <w:rsid w:val="000570BB"/>
    <w:rsid w:val="00063D13"/>
    <w:rsid w:val="00095E12"/>
    <w:rsid w:val="000A3098"/>
    <w:rsid w:val="000C0A76"/>
    <w:rsid w:val="000C76D7"/>
    <w:rsid w:val="000E0057"/>
    <w:rsid w:val="000F0739"/>
    <w:rsid w:val="000F7336"/>
    <w:rsid w:val="001027E4"/>
    <w:rsid w:val="001043D9"/>
    <w:rsid w:val="0011117A"/>
    <w:rsid w:val="00111C9A"/>
    <w:rsid w:val="00113982"/>
    <w:rsid w:val="00120B95"/>
    <w:rsid w:val="00137C78"/>
    <w:rsid w:val="00141565"/>
    <w:rsid w:val="00141FD2"/>
    <w:rsid w:val="00143953"/>
    <w:rsid w:val="00145CC0"/>
    <w:rsid w:val="00146484"/>
    <w:rsid w:val="00167287"/>
    <w:rsid w:val="001703C2"/>
    <w:rsid w:val="0017118B"/>
    <w:rsid w:val="00186AA6"/>
    <w:rsid w:val="00190DCA"/>
    <w:rsid w:val="001A0FB2"/>
    <w:rsid w:val="001B06EF"/>
    <w:rsid w:val="001B42E4"/>
    <w:rsid w:val="001B5704"/>
    <w:rsid w:val="001C12D0"/>
    <w:rsid w:val="001D4C87"/>
    <w:rsid w:val="001E267A"/>
    <w:rsid w:val="001E78E7"/>
    <w:rsid w:val="001E7FBA"/>
    <w:rsid w:val="001F0494"/>
    <w:rsid w:val="002037D9"/>
    <w:rsid w:val="00205F58"/>
    <w:rsid w:val="00213C52"/>
    <w:rsid w:val="00221F60"/>
    <w:rsid w:val="00242E01"/>
    <w:rsid w:val="00254FCE"/>
    <w:rsid w:val="00260970"/>
    <w:rsid w:val="00266A40"/>
    <w:rsid w:val="00272835"/>
    <w:rsid w:val="0028120D"/>
    <w:rsid w:val="002A469D"/>
    <w:rsid w:val="002B002B"/>
    <w:rsid w:val="002B6111"/>
    <w:rsid w:val="002C277B"/>
    <w:rsid w:val="002C48ED"/>
    <w:rsid w:val="002D18A1"/>
    <w:rsid w:val="002D462F"/>
    <w:rsid w:val="002E5BB4"/>
    <w:rsid w:val="002F1CD9"/>
    <w:rsid w:val="002F4C3E"/>
    <w:rsid w:val="0030085C"/>
    <w:rsid w:val="00304068"/>
    <w:rsid w:val="0030522A"/>
    <w:rsid w:val="003058C7"/>
    <w:rsid w:val="0031000B"/>
    <w:rsid w:val="003109ED"/>
    <w:rsid w:val="00315351"/>
    <w:rsid w:val="00336926"/>
    <w:rsid w:val="003552EF"/>
    <w:rsid w:val="003720C1"/>
    <w:rsid w:val="003765C2"/>
    <w:rsid w:val="00383828"/>
    <w:rsid w:val="0038460E"/>
    <w:rsid w:val="00385A94"/>
    <w:rsid w:val="003879EF"/>
    <w:rsid w:val="00393B5F"/>
    <w:rsid w:val="003A6F8B"/>
    <w:rsid w:val="003B2AE0"/>
    <w:rsid w:val="003B78C6"/>
    <w:rsid w:val="003C3F88"/>
    <w:rsid w:val="003C79D6"/>
    <w:rsid w:val="003D2900"/>
    <w:rsid w:val="003D7973"/>
    <w:rsid w:val="003E29D2"/>
    <w:rsid w:val="003E5A28"/>
    <w:rsid w:val="003F66A6"/>
    <w:rsid w:val="00402F5B"/>
    <w:rsid w:val="004138D7"/>
    <w:rsid w:val="00413F3C"/>
    <w:rsid w:val="00421001"/>
    <w:rsid w:val="00425842"/>
    <w:rsid w:val="004279F2"/>
    <w:rsid w:val="00442012"/>
    <w:rsid w:val="004425FE"/>
    <w:rsid w:val="00442B50"/>
    <w:rsid w:val="0044373E"/>
    <w:rsid w:val="00452AE0"/>
    <w:rsid w:val="0045681E"/>
    <w:rsid w:val="00466D3C"/>
    <w:rsid w:val="00473A4C"/>
    <w:rsid w:val="00476280"/>
    <w:rsid w:val="00485CFA"/>
    <w:rsid w:val="004908CC"/>
    <w:rsid w:val="00491B50"/>
    <w:rsid w:val="00492483"/>
    <w:rsid w:val="004A022E"/>
    <w:rsid w:val="004B12AC"/>
    <w:rsid w:val="004C6E2C"/>
    <w:rsid w:val="004E5E80"/>
    <w:rsid w:val="004E6144"/>
    <w:rsid w:val="004F189D"/>
    <w:rsid w:val="004F3F3E"/>
    <w:rsid w:val="00505348"/>
    <w:rsid w:val="005102B7"/>
    <w:rsid w:val="0051507B"/>
    <w:rsid w:val="005222F3"/>
    <w:rsid w:val="00535D2A"/>
    <w:rsid w:val="00543C13"/>
    <w:rsid w:val="005511FA"/>
    <w:rsid w:val="005546DF"/>
    <w:rsid w:val="005617F2"/>
    <w:rsid w:val="00572140"/>
    <w:rsid w:val="005735AD"/>
    <w:rsid w:val="005828B0"/>
    <w:rsid w:val="0059675A"/>
    <w:rsid w:val="005B08CE"/>
    <w:rsid w:val="005C6CF4"/>
    <w:rsid w:val="005C7E99"/>
    <w:rsid w:val="005D1694"/>
    <w:rsid w:val="005D3DC8"/>
    <w:rsid w:val="005D53E8"/>
    <w:rsid w:val="005D67B0"/>
    <w:rsid w:val="005E6122"/>
    <w:rsid w:val="005F7E13"/>
    <w:rsid w:val="00600B19"/>
    <w:rsid w:val="0060432D"/>
    <w:rsid w:val="00610DD0"/>
    <w:rsid w:val="00621B7A"/>
    <w:rsid w:val="00632F4F"/>
    <w:rsid w:val="006406AF"/>
    <w:rsid w:val="00643660"/>
    <w:rsid w:val="00644B18"/>
    <w:rsid w:val="00664298"/>
    <w:rsid w:val="00673A99"/>
    <w:rsid w:val="00675C4A"/>
    <w:rsid w:val="006846F0"/>
    <w:rsid w:val="006925D2"/>
    <w:rsid w:val="006A194E"/>
    <w:rsid w:val="006A1B5B"/>
    <w:rsid w:val="006A1DBA"/>
    <w:rsid w:val="006B480C"/>
    <w:rsid w:val="006B6257"/>
    <w:rsid w:val="006D4055"/>
    <w:rsid w:val="006D47E0"/>
    <w:rsid w:val="006D5CC2"/>
    <w:rsid w:val="006E5DB1"/>
    <w:rsid w:val="006E61D8"/>
    <w:rsid w:val="006E620C"/>
    <w:rsid w:val="006F30C2"/>
    <w:rsid w:val="00711327"/>
    <w:rsid w:val="00712C7C"/>
    <w:rsid w:val="00716239"/>
    <w:rsid w:val="00734CB2"/>
    <w:rsid w:val="00750572"/>
    <w:rsid w:val="00756C35"/>
    <w:rsid w:val="00764A9E"/>
    <w:rsid w:val="00777724"/>
    <w:rsid w:val="00782636"/>
    <w:rsid w:val="007B075B"/>
    <w:rsid w:val="007B1FF5"/>
    <w:rsid w:val="007B6551"/>
    <w:rsid w:val="007D2AF4"/>
    <w:rsid w:val="007D5F5F"/>
    <w:rsid w:val="007E6953"/>
    <w:rsid w:val="007F2174"/>
    <w:rsid w:val="007F7C32"/>
    <w:rsid w:val="008138C0"/>
    <w:rsid w:val="00814B4F"/>
    <w:rsid w:val="00814B66"/>
    <w:rsid w:val="00816B5C"/>
    <w:rsid w:val="008242DC"/>
    <w:rsid w:val="00833408"/>
    <w:rsid w:val="00840481"/>
    <w:rsid w:val="008406D2"/>
    <w:rsid w:val="008578AF"/>
    <w:rsid w:val="0086652F"/>
    <w:rsid w:val="0086786F"/>
    <w:rsid w:val="00871BBE"/>
    <w:rsid w:val="00871C31"/>
    <w:rsid w:val="00871C43"/>
    <w:rsid w:val="008745A1"/>
    <w:rsid w:val="008774A1"/>
    <w:rsid w:val="00892836"/>
    <w:rsid w:val="0089765F"/>
    <w:rsid w:val="008A0BAB"/>
    <w:rsid w:val="008C0462"/>
    <w:rsid w:val="008C2C89"/>
    <w:rsid w:val="008D26A5"/>
    <w:rsid w:val="008D663C"/>
    <w:rsid w:val="008E33F4"/>
    <w:rsid w:val="008F0CC9"/>
    <w:rsid w:val="008F7210"/>
    <w:rsid w:val="009060A6"/>
    <w:rsid w:val="00907140"/>
    <w:rsid w:val="00907715"/>
    <w:rsid w:val="00911AF1"/>
    <w:rsid w:val="009162D3"/>
    <w:rsid w:val="00925C43"/>
    <w:rsid w:val="00932015"/>
    <w:rsid w:val="00944B09"/>
    <w:rsid w:val="00947D33"/>
    <w:rsid w:val="00962FCC"/>
    <w:rsid w:val="00970E42"/>
    <w:rsid w:val="00974DB5"/>
    <w:rsid w:val="00974ED7"/>
    <w:rsid w:val="00976D08"/>
    <w:rsid w:val="00994B85"/>
    <w:rsid w:val="0099675E"/>
    <w:rsid w:val="009A0267"/>
    <w:rsid w:val="009A25CA"/>
    <w:rsid w:val="009A518F"/>
    <w:rsid w:val="009B4DBE"/>
    <w:rsid w:val="009C435A"/>
    <w:rsid w:val="009E2565"/>
    <w:rsid w:val="009E6B94"/>
    <w:rsid w:val="009F1B9F"/>
    <w:rsid w:val="00A009F7"/>
    <w:rsid w:val="00A02DBA"/>
    <w:rsid w:val="00A04B19"/>
    <w:rsid w:val="00A254A8"/>
    <w:rsid w:val="00A42315"/>
    <w:rsid w:val="00A51F80"/>
    <w:rsid w:val="00A60C0C"/>
    <w:rsid w:val="00A712F2"/>
    <w:rsid w:val="00A75E6A"/>
    <w:rsid w:val="00A86AD1"/>
    <w:rsid w:val="00A90B94"/>
    <w:rsid w:val="00A961C9"/>
    <w:rsid w:val="00A96391"/>
    <w:rsid w:val="00A975E7"/>
    <w:rsid w:val="00AA588D"/>
    <w:rsid w:val="00AA7EBB"/>
    <w:rsid w:val="00AB4ADC"/>
    <w:rsid w:val="00AC0757"/>
    <w:rsid w:val="00AC497E"/>
    <w:rsid w:val="00AD40D7"/>
    <w:rsid w:val="00AE6181"/>
    <w:rsid w:val="00AF0EB4"/>
    <w:rsid w:val="00AF7FF3"/>
    <w:rsid w:val="00B073E2"/>
    <w:rsid w:val="00B40138"/>
    <w:rsid w:val="00B5147C"/>
    <w:rsid w:val="00B645C1"/>
    <w:rsid w:val="00B64BF1"/>
    <w:rsid w:val="00B771A0"/>
    <w:rsid w:val="00B81FBC"/>
    <w:rsid w:val="00B84B91"/>
    <w:rsid w:val="00B865A2"/>
    <w:rsid w:val="00B946DB"/>
    <w:rsid w:val="00B95728"/>
    <w:rsid w:val="00B97415"/>
    <w:rsid w:val="00BA3B55"/>
    <w:rsid w:val="00BA6339"/>
    <w:rsid w:val="00BB4C18"/>
    <w:rsid w:val="00BC1F31"/>
    <w:rsid w:val="00BC2D38"/>
    <w:rsid w:val="00C00F07"/>
    <w:rsid w:val="00C078C2"/>
    <w:rsid w:val="00C306B7"/>
    <w:rsid w:val="00C33140"/>
    <w:rsid w:val="00C35B05"/>
    <w:rsid w:val="00C367CA"/>
    <w:rsid w:val="00C37641"/>
    <w:rsid w:val="00C4087A"/>
    <w:rsid w:val="00C42082"/>
    <w:rsid w:val="00C4545D"/>
    <w:rsid w:val="00C61C03"/>
    <w:rsid w:val="00C66CF6"/>
    <w:rsid w:val="00C7145A"/>
    <w:rsid w:val="00C71B2C"/>
    <w:rsid w:val="00C7630A"/>
    <w:rsid w:val="00C83CF6"/>
    <w:rsid w:val="00C861E1"/>
    <w:rsid w:val="00C87BFF"/>
    <w:rsid w:val="00CC7D4C"/>
    <w:rsid w:val="00CC7E51"/>
    <w:rsid w:val="00CD5A07"/>
    <w:rsid w:val="00CE3EF2"/>
    <w:rsid w:val="00CF60F6"/>
    <w:rsid w:val="00D02EED"/>
    <w:rsid w:val="00D124EB"/>
    <w:rsid w:val="00D16CBB"/>
    <w:rsid w:val="00D23EDB"/>
    <w:rsid w:val="00D2476F"/>
    <w:rsid w:val="00D25ADB"/>
    <w:rsid w:val="00D26AFB"/>
    <w:rsid w:val="00D26ECD"/>
    <w:rsid w:val="00D275CE"/>
    <w:rsid w:val="00D3177C"/>
    <w:rsid w:val="00D41A95"/>
    <w:rsid w:val="00D44042"/>
    <w:rsid w:val="00D47064"/>
    <w:rsid w:val="00D508BE"/>
    <w:rsid w:val="00D55CFB"/>
    <w:rsid w:val="00D71923"/>
    <w:rsid w:val="00D71A7B"/>
    <w:rsid w:val="00D72844"/>
    <w:rsid w:val="00D844C1"/>
    <w:rsid w:val="00D84AD6"/>
    <w:rsid w:val="00D93CE1"/>
    <w:rsid w:val="00DB2930"/>
    <w:rsid w:val="00DB45F0"/>
    <w:rsid w:val="00DD2290"/>
    <w:rsid w:val="00DD772A"/>
    <w:rsid w:val="00DE6C30"/>
    <w:rsid w:val="00E1755B"/>
    <w:rsid w:val="00E2480F"/>
    <w:rsid w:val="00E2708C"/>
    <w:rsid w:val="00E52BBD"/>
    <w:rsid w:val="00E61648"/>
    <w:rsid w:val="00E70A93"/>
    <w:rsid w:val="00E73BF0"/>
    <w:rsid w:val="00E8039E"/>
    <w:rsid w:val="00E80F0B"/>
    <w:rsid w:val="00E8188B"/>
    <w:rsid w:val="00EA2F15"/>
    <w:rsid w:val="00EA7BF9"/>
    <w:rsid w:val="00EB4CA1"/>
    <w:rsid w:val="00EB5E09"/>
    <w:rsid w:val="00ED3D11"/>
    <w:rsid w:val="00EE0BF3"/>
    <w:rsid w:val="00EE1C06"/>
    <w:rsid w:val="00EE607B"/>
    <w:rsid w:val="00F01BDC"/>
    <w:rsid w:val="00F01F0D"/>
    <w:rsid w:val="00F04365"/>
    <w:rsid w:val="00F0598E"/>
    <w:rsid w:val="00F15510"/>
    <w:rsid w:val="00F35603"/>
    <w:rsid w:val="00F47D53"/>
    <w:rsid w:val="00F503B4"/>
    <w:rsid w:val="00F8093E"/>
    <w:rsid w:val="00F80B26"/>
    <w:rsid w:val="00F8518B"/>
    <w:rsid w:val="00F8559C"/>
    <w:rsid w:val="00FA288C"/>
    <w:rsid w:val="00FA6D2C"/>
    <w:rsid w:val="00FB5E71"/>
    <w:rsid w:val="00FB7E9D"/>
    <w:rsid w:val="00FD0A7C"/>
    <w:rsid w:val="00FD167C"/>
    <w:rsid w:val="00FD5B0F"/>
    <w:rsid w:val="00FD7C2E"/>
    <w:rsid w:val="00FE0A51"/>
    <w:rsid w:val="00FE1810"/>
    <w:rsid w:val="00FE7CD1"/>
    <w:rsid w:val="00FF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4BEA74B"/>
  <w15:docId w15:val="{C0F69A96-3D06-44AD-AEB6-D004F6C6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ListParagraph">
    <w:name w:val="List Paragraph"/>
    <w:basedOn w:val="Normal"/>
    <w:uiPriority w:val="34"/>
    <w:qFormat/>
    <w:rsid w:val="009E2565"/>
    <w:pPr>
      <w:ind w:left="720"/>
      <w:contextualSpacing/>
    </w:pPr>
  </w:style>
  <w:style w:type="paragraph" w:customStyle="1" w:styleId="Default">
    <w:name w:val="Default"/>
    <w:rsid w:val="00A712F2"/>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C306B7"/>
    <w:rPr>
      <w:color w:val="808080"/>
    </w:rPr>
  </w:style>
  <w:style w:type="paragraph" w:styleId="EndnoteText">
    <w:name w:val="endnote text"/>
    <w:basedOn w:val="Normal"/>
    <w:link w:val="EndnoteTextChar"/>
    <w:uiPriority w:val="99"/>
    <w:semiHidden/>
    <w:unhideWhenUsed/>
    <w:rsid w:val="00017575"/>
    <w:rPr>
      <w:sz w:val="20"/>
    </w:rPr>
  </w:style>
  <w:style w:type="character" w:customStyle="1" w:styleId="EndnoteTextChar">
    <w:name w:val="Endnote Text Char"/>
    <w:basedOn w:val="DefaultParagraphFont"/>
    <w:link w:val="EndnoteText"/>
    <w:uiPriority w:val="99"/>
    <w:semiHidden/>
    <w:rsid w:val="00017575"/>
  </w:style>
  <w:style w:type="character" w:styleId="EndnoteReference">
    <w:name w:val="endnote reference"/>
    <w:basedOn w:val="DefaultParagraphFont"/>
    <w:uiPriority w:val="99"/>
    <w:semiHidden/>
    <w:unhideWhenUsed/>
    <w:rsid w:val="00017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6091">
      <w:bodyDiv w:val="1"/>
      <w:marLeft w:val="0"/>
      <w:marRight w:val="0"/>
      <w:marTop w:val="0"/>
      <w:marBottom w:val="0"/>
      <w:divBdr>
        <w:top w:val="none" w:sz="0" w:space="0" w:color="auto"/>
        <w:left w:val="none" w:sz="0" w:space="0" w:color="auto"/>
        <w:bottom w:val="none" w:sz="0" w:space="0" w:color="auto"/>
        <w:right w:val="none" w:sz="0" w:space="0" w:color="auto"/>
      </w:divBdr>
    </w:div>
    <w:div w:id="1303661238">
      <w:bodyDiv w:val="1"/>
      <w:marLeft w:val="0"/>
      <w:marRight w:val="0"/>
      <w:marTop w:val="0"/>
      <w:marBottom w:val="0"/>
      <w:divBdr>
        <w:top w:val="none" w:sz="0" w:space="0" w:color="auto"/>
        <w:left w:val="none" w:sz="0" w:space="0" w:color="auto"/>
        <w:bottom w:val="none" w:sz="0" w:space="0" w:color="auto"/>
        <w:right w:val="none" w:sz="0" w:space="0" w:color="auto"/>
      </w:divBdr>
    </w:div>
    <w:div w:id="1317689208">
      <w:bodyDiv w:val="1"/>
      <w:marLeft w:val="0"/>
      <w:marRight w:val="0"/>
      <w:marTop w:val="0"/>
      <w:marBottom w:val="0"/>
      <w:divBdr>
        <w:top w:val="none" w:sz="0" w:space="0" w:color="auto"/>
        <w:left w:val="none" w:sz="0" w:space="0" w:color="auto"/>
        <w:bottom w:val="none" w:sz="0" w:space="0" w:color="auto"/>
        <w:right w:val="none" w:sz="0" w:space="0" w:color="auto"/>
      </w:divBdr>
    </w:div>
    <w:div w:id="1342508822">
      <w:bodyDiv w:val="1"/>
      <w:marLeft w:val="0"/>
      <w:marRight w:val="0"/>
      <w:marTop w:val="0"/>
      <w:marBottom w:val="0"/>
      <w:divBdr>
        <w:top w:val="none" w:sz="0" w:space="0" w:color="auto"/>
        <w:left w:val="none" w:sz="0" w:space="0" w:color="auto"/>
        <w:bottom w:val="none" w:sz="0" w:space="0" w:color="auto"/>
        <w:right w:val="none" w:sz="0" w:space="0" w:color="auto"/>
      </w:divBdr>
    </w:div>
    <w:div w:id="1365254865">
      <w:bodyDiv w:val="1"/>
      <w:marLeft w:val="0"/>
      <w:marRight w:val="0"/>
      <w:marTop w:val="0"/>
      <w:marBottom w:val="0"/>
      <w:divBdr>
        <w:top w:val="none" w:sz="0" w:space="0" w:color="auto"/>
        <w:left w:val="none" w:sz="0" w:space="0" w:color="auto"/>
        <w:bottom w:val="none" w:sz="0" w:space="0" w:color="auto"/>
        <w:right w:val="none" w:sz="0" w:space="0" w:color="auto"/>
      </w:divBdr>
    </w:div>
    <w:div w:id="1518229469">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EE9C-9FE4-4E7F-BF2E-FA0DF398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1113</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Hancock, David - REE-NASS, Washington, DC</cp:lastModifiedBy>
  <cp:revision>5</cp:revision>
  <cp:lastPrinted>2016-01-07T14:07:00Z</cp:lastPrinted>
  <dcterms:created xsi:type="dcterms:W3CDTF">2021-10-04T15:55:00Z</dcterms:created>
  <dcterms:modified xsi:type="dcterms:W3CDTF">2021-10-04T17:31:00Z</dcterms:modified>
</cp:coreProperties>
</file>