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673E" w:rsidR="0018239E" w:rsidP="0018239E" w:rsidRDefault="0018239E" w14:paraId="0255A59D" w14:textId="77777777">
      <w:pPr>
        <w:tabs>
          <w:tab w:val="left" w:pos="-1440"/>
        </w:tabs>
        <w:ind w:left="720" w:hanging="720"/>
        <w:rPr>
          <w:rFonts w:ascii="Times New Roman" w:hAnsi="Times New Roman"/>
          <w:b/>
          <w:szCs w:val="24"/>
        </w:rPr>
      </w:pPr>
      <w:r w:rsidRPr="00B6673E">
        <w:rPr>
          <w:rFonts w:ascii="Times New Roman" w:hAnsi="Times New Roman"/>
          <w:b/>
          <w:szCs w:val="24"/>
        </w:rPr>
        <w:t>B.</w:t>
      </w:r>
      <w:r w:rsidRPr="00B6673E">
        <w:rPr>
          <w:rFonts w:ascii="Times New Roman" w:hAnsi="Times New Roman"/>
          <w:b/>
          <w:szCs w:val="24"/>
        </w:rPr>
        <w:tab/>
      </w:r>
      <w:r w:rsidRPr="00B6673E">
        <w:rPr>
          <w:rFonts w:ascii="Times New Roman" w:hAnsi="Times New Roman"/>
          <w:b/>
          <w:szCs w:val="24"/>
          <w:u w:val="single"/>
        </w:rPr>
        <w:t>COLLECTIONS OF INFORMATION EMPLOYING STATISTICAL METHODS</w:t>
      </w:r>
    </w:p>
    <w:p w:rsidRPr="00B6673E" w:rsidR="0018239E" w:rsidP="0018239E" w:rsidRDefault="0018239E" w14:paraId="2ABF1A47" w14:textId="77777777">
      <w:pPr>
        <w:rPr>
          <w:rFonts w:ascii="Times New Roman" w:hAnsi="Times New Roman"/>
          <w:b/>
          <w:szCs w:val="24"/>
        </w:rPr>
      </w:pPr>
    </w:p>
    <w:p w:rsidRPr="00B6673E" w:rsidR="0018239E" w:rsidP="0018239E" w:rsidRDefault="0018239E" w14:paraId="005FF003" w14:textId="77777777">
      <w:pPr>
        <w:ind w:left="720"/>
        <w:rPr>
          <w:rFonts w:ascii="Times New Roman" w:hAnsi="Times New Roman"/>
          <w:b/>
          <w:szCs w:val="24"/>
        </w:rPr>
      </w:pPr>
      <w:r w:rsidRPr="00B6673E">
        <w:rPr>
          <w:rFonts w:ascii="Times New Roman" w:hAnsi="Times New Roman"/>
          <w:b/>
          <w:szCs w:val="24"/>
        </w:rPr>
        <w:t xml:space="preserve">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APPLIES TO THE METHODS PROPOSED.  </w:t>
      </w:r>
    </w:p>
    <w:p w:rsidRPr="00B6673E" w:rsidR="0018239E" w:rsidP="0018239E" w:rsidRDefault="0018239E" w14:paraId="7B8761E0" w14:textId="77777777">
      <w:pPr>
        <w:rPr>
          <w:rFonts w:ascii="Times New Roman" w:hAnsi="Times New Roman"/>
          <w:szCs w:val="24"/>
        </w:rPr>
      </w:pPr>
    </w:p>
    <w:p w:rsidRPr="00B6673E" w:rsidR="00643B7A" w:rsidP="00643B7A" w:rsidRDefault="0018239E" w14:paraId="13C2D6D3" w14:textId="77777777">
      <w:pPr>
        <w:numPr>
          <w:ilvl w:val="0"/>
          <w:numId w:val="1"/>
        </w:numPr>
        <w:tabs>
          <w:tab w:val="left" w:pos="-1440"/>
        </w:tabs>
        <w:rPr>
          <w:rFonts w:ascii="Times New Roman" w:hAnsi="Times New Roman"/>
          <w:b/>
          <w:szCs w:val="24"/>
        </w:rPr>
      </w:pPr>
      <w:r w:rsidRPr="00B6673E">
        <w:rPr>
          <w:rFonts w:ascii="Times New Roman" w:hAnsi="Times New Roman"/>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Pr="00B6673E" w:rsidR="00CD10A1" w:rsidP="00CD10A1" w:rsidRDefault="00CD10A1" w14:paraId="34B815AC" w14:textId="77777777">
      <w:pPr>
        <w:tabs>
          <w:tab w:val="left" w:pos="-1440"/>
        </w:tabs>
        <w:rPr>
          <w:rFonts w:ascii="Times New Roman" w:hAnsi="Times New Roman"/>
          <w:b/>
          <w:szCs w:val="24"/>
        </w:rPr>
      </w:pPr>
    </w:p>
    <w:p w:rsidRPr="00D950D5" w:rsidR="00F81D4B" w:rsidP="00D950D5" w:rsidRDefault="00F81D4B" w14:paraId="15244A18" w14:textId="77777777">
      <w:pPr>
        <w:tabs>
          <w:tab w:val="left" w:pos="-1440"/>
        </w:tabs>
        <w:rPr>
          <w:rFonts w:ascii="Times New Roman" w:hAnsi="Times New Roman"/>
          <w:b/>
          <w:color w:val="000000"/>
          <w:szCs w:val="24"/>
        </w:rPr>
      </w:pPr>
      <w:r w:rsidRPr="002B77F7">
        <w:rPr>
          <w:rFonts w:ascii="Times New Roman" w:hAnsi="Times New Roman"/>
          <w:bCs/>
          <w:szCs w:val="24"/>
        </w:rPr>
        <w:t>The respondent universe will be a census of all hemp producers across the U.S. in 2020.</w:t>
      </w:r>
      <w:r>
        <w:rPr>
          <w:rFonts w:ascii="Times New Roman" w:hAnsi="Times New Roman"/>
          <w:bCs/>
          <w:szCs w:val="24"/>
        </w:rPr>
        <w:t xml:space="preserve"> </w:t>
      </w:r>
      <w:r w:rsidRPr="002B77F7">
        <w:rPr>
          <w:rFonts w:ascii="Times New Roman" w:hAnsi="Times New Roman"/>
          <w:bCs/>
          <w:szCs w:val="24"/>
        </w:rPr>
        <w:t xml:space="preserve"> For the purposes of this survey official hemp producers </w:t>
      </w:r>
      <w:proofErr w:type="gramStart"/>
      <w:r w:rsidRPr="002B77F7">
        <w:rPr>
          <w:rFonts w:ascii="Times New Roman" w:hAnsi="Times New Roman"/>
          <w:bCs/>
          <w:szCs w:val="24"/>
        </w:rPr>
        <w:t>have to</w:t>
      </w:r>
      <w:proofErr w:type="gramEnd"/>
      <w:r w:rsidRPr="002B77F7">
        <w:rPr>
          <w:rFonts w:ascii="Times New Roman" w:hAnsi="Times New Roman"/>
          <w:bCs/>
          <w:szCs w:val="24"/>
        </w:rPr>
        <w:t xml:space="preserve"> have a hemp license issued by the State Departments of Agriculture. </w:t>
      </w:r>
      <w:r w:rsidR="00602B34">
        <w:rPr>
          <w:rFonts w:ascii="Times New Roman" w:hAnsi="Times New Roman"/>
          <w:bCs/>
          <w:szCs w:val="24"/>
        </w:rPr>
        <w:t xml:space="preserve"> </w:t>
      </w:r>
      <w:r w:rsidRPr="002B77F7">
        <w:rPr>
          <w:rFonts w:ascii="Times New Roman" w:hAnsi="Times New Roman"/>
          <w:bCs/>
          <w:szCs w:val="24"/>
        </w:rPr>
        <w:t xml:space="preserve">Everyone producing hemp under both the 2014 and 2018 Farm Bills are required to have a license. </w:t>
      </w:r>
      <w:r>
        <w:rPr>
          <w:rFonts w:ascii="Times New Roman" w:hAnsi="Times New Roman"/>
          <w:bCs/>
          <w:szCs w:val="24"/>
        </w:rPr>
        <w:t xml:space="preserve"> </w:t>
      </w:r>
      <w:r w:rsidRPr="002B77F7">
        <w:rPr>
          <w:rFonts w:ascii="Times New Roman" w:hAnsi="Times New Roman"/>
          <w:bCs/>
          <w:szCs w:val="24"/>
        </w:rPr>
        <w:t xml:space="preserve">These producers will range in size from a few plants to hundreds of acres.  Working through the State Departments of Agriculture will allow for all producers to be reached. </w:t>
      </w:r>
      <w:r>
        <w:rPr>
          <w:rFonts w:ascii="Times New Roman" w:hAnsi="Times New Roman"/>
          <w:bCs/>
          <w:szCs w:val="24"/>
        </w:rPr>
        <w:t xml:space="preserve"> </w:t>
      </w:r>
      <w:r w:rsidRPr="002B77F7">
        <w:rPr>
          <w:rFonts w:ascii="Times New Roman" w:hAnsi="Times New Roman"/>
          <w:bCs/>
          <w:szCs w:val="24"/>
        </w:rPr>
        <w:t xml:space="preserve">State Departments of Agriculture are the “Gold Standard” for producer lists in the United States. </w:t>
      </w:r>
      <w:r w:rsidR="00602B34">
        <w:rPr>
          <w:rFonts w:ascii="Times New Roman" w:hAnsi="Times New Roman"/>
          <w:bCs/>
          <w:szCs w:val="24"/>
        </w:rPr>
        <w:t xml:space="preserve"> </w:t>
      </w:r>
      <w:r w:rsidRPr="002B77F7">
        <w:rPr>
          <w:rFonts w:ascii="Times New Roman" w:hAnsi="Times New Roman"/>
          <w:bCs/>
          <w:szCs w:val="24"/>
        </w:rPr>
        <w:t xml:space="preserve">Both the 2014 and 2018 Farm Bill require them to be if they are going to produce hemp. </w:t>
      </w:r>
      <w:r>
        <w:rPr>
          <w:rFonts w:ascii="Times New Roman" w:hAnsi="Times New Roman"/>
          <w:bCs/>
          <w:szCs w:val="24"/>
        </w:rPr>
        <w:t xml:space="preserve"> </w:t>
      </w:r>
      <w:r w:rsidRPr="002B77F7">
        <w:rPr>
          <w:rFonts w:ascii="Times New Roman" w:hAnsi="Times New Roman"/>
          <w:bCs/>
          <w:szCs w:val="24"/>
        </w:rPr>
        <w:t xml:space="preserve">Within the datasets it is possible for one producer to have multiple entries within the dataset. </w:t>
      </w:r>
      <w:r>
        <w:rPr>
          <w:rFonts w:ascii="Times New Roman" w:hAnsi="Times New Roman"/>
          <w:bCs/>
          <w:szCs w:val="24"/>
        </w:rPr>
        <w:t xml:space="preserve"> </w:t>
      </w:r>
      <w:r w:rsidRPr="002B77F7">
        <w:rPr>
          <w:rFonts w:ascii="Times New Roman" w:hAnsi="Times New Roman"/>
          <w:bCs/>
          <w:szCs w:val="24"/>
        </w:rPr>
        <w:t xml:space="preserve">Multiple reasons exist as to why this is the case. </w:t>
      </w:r>
      <w:r w:rsidR="00602B34">
        <w:rPr>
          <w:rFonts w:ascii="Times New Roman" w:hAnsi="Times New Roman"/>
          <w:bCs/>
          <w:szCs w:val="24"/>
        </w:rPr>
        <w:t xml:space="preserve"> </w:t>
      </w:r>
      <w:r w:rsidRPr="002B77F7">
        <w:rPr>
          <w:rFonts w:ascii="Times New Roman" w:hAnsi="Times New Roman"/>
          <w:bCs/>
          <w:szCs w:val="24"/>
        </w:rPr>
        <w:t xml:space="preserve">First, this is a function of how this industry is developing and processors requiring producers to have individual licenses if they produce for multiple processors. </w:t>
      </w:r>
      <w:r>
        <w:rPr>
          <w:rFonts w:ascii="Times New Roman" w:hAnsi="Times New Roman"/>
          <w:bCs/>
          <w:szCs w:val="24"/>
        </w:rPr>
        <w:t xml:space="preserve"> </w:t>
      </w:r>
      <w:r w:rsidRPr="002B77F7">
        <w:rPr>
          <w:rFonts w:ascii="Times New Roman" w:hAnsi="Times New Roman"/>
          <w:bCs/>
          <w:szCs w:val="24"/>
        </w:rPr>
        <w:t>Second, producers can apply for separate licenses to produce multiple end use hemp products.</w:t>
      </w:r>
      <w:r>
        <w:rPr>
          <w:rFonts w:ascii="Times New Roman" w:hAnsi="Times New Roman"/>
          <w:bCs/>
          <w:szCs w:val="24"/>
        </w:rPr>
        <w:t xml:space="preserve"> </w:t>
      </w:r>
      <w:r w:rsidRPr="002B77F7">
        <w:rPr>
          <w:rFonts w:ascii="Times New Roman" w:hAnsi="Times New Roman"/>
          <w:bCs/>
          <w:szCs w:val="24"/>
        </w:rPr>
        <w:t xml:space="preserve"> Third, processors in some states apply for a license but have multiple growers and locations. </w:t>
      </w:r>
      <w:r>
        <w:rPr>
          <w:rFonts w:ascii="Times New Roman" w:hAnsi="Times New Roman"/>
          <w:bCs/>
          <w:szCs w:val="24"/>
        </w:rPr>
        <w:t xml:space="preserve"> </w:t>
      </w:r>
      <w:r w:rsidRPr="002B77F7">
        <w:rPr>
          <w:rFonts w:ascii="Times New Roman" w:hAnsi="Times New Roman"/>
          <w:bCs/>
          <w:szCs w:val="24"/>
        </w:rPr>
        <w:t xml:space="preserve">Therefore, it is known and expected that we could have multiple entries and we are collecting a </w:t>
      </w:r>
      <w:proofErr w:type="gramStart"/>
      <w:r w:rsidRPr="002B77F7">
        <w:rPr>
          <w:rFonts w:ascii="Times New Roman" w:hAnsi="Times New Roman"/>
          <w:bCs/>
          <w:szCs w:val="24"/>
        </w:rPr>
        <w:t>census</w:t>
      </w:r>
      <w:proofErr w:type="gramEnd"/>
      <w:r w:rsidRPr="002B77F7">
        <w:rPr>
          <w:rFonts w:ascii="Times New Roman" w:hAnsi="Times New Roman"/>
          <w:bCs/>
          <w:szCs w:val="24"/>
        </w:rPr>
        <w:t xml:space="preserve"> so we want to insure we allow the survey to be completed for every licensed producer. </w:t>
      </w:r>
      <w:r>
        <w:rPr>
          <w:rFonts w:ascii="Times New Roman" w:hAnsi="Times New Roman"/>
          <w:bCs/>
          <w:szCs w:val="24"/>
        </w:rPr>
        <w:t xml:space="preserve"> </w:t>
      </w:r>
      <w:r w:rsidRPr="002B77F7">
        <w:rPr>
          <w:rFonts w:ascii="Times New Roman" w:hAnsi="Times New Roman"/>
          <w:bCs/>
          <w:szCs w:val="24"/>
        </w:rPr>
        <w:t>Furthermore, since the 2014 and 2018 Farm Bills require states to license producers these are the most complete lists available.</w:t>
      </w:r>
      <w:r>
        <w:rPr>
          <w:rFonts w:ascii="Times New Roman" w:hAnsi="Times New Roman"/>
          <w:bCs/>
          <w:szCs w:val="24"/>
        </w:rPr>
        <w:t xml:space="preserve"> </w:t>
      </w:r>
      <w:r w:rsidRPr="002B77F7">
        <w:rPr>
          <w:rFonts w:ascii="Times New Roman" w:hAnsi="Times New Roman"/>
          <w:bCs/>
          <w:szCs w:val="24"/>
        </w:rPr>
        <w:t xml:space="preserve"> Each state has different rules and regulations as highlighted in Mark et al. 2020</w:t>
      </w:r>
      <w:r w:rsidRPr="002B77F7">
        <w:rPr>
          <w:rStyle w:val="FootnoteReference"/>
          <w:rFonts w:ascii="Times New Roman" w:hAnsi="Times New Roman"/>
          <w:bCs/>
          <w:szCs w:val="24"/>
        </w:rPr>
        <w:footnoteReference w:id="1"/>
      </w:r>
      <w:r w:rsidRPr="002B77F7">
        <w:rPr>
          <w:rFonts w:ascii="Times New Roman" w:hAnsi="Times New Roman"/>
          <w:bCs/>
          <w:szCs w:val="24"/>
        </w:rPr>
        <w:t xml:space="preserve">. </w:t>
      </w:r>
      <w:r>
        <w:rPr>
          <w:rFonts w:ascii="Times New Roman" w:hAnsi="Times New Roman"/>
          <w:bCs/>
          <w:szCs w:val="24"/>
        </w:rPr>
        <w:t xml:space="preserve"> </w:t>
      </w:r>
      <w:r w:rsidRPr="002B77F7">
        <w:rPr>
          <w:rFonts w:ascii="Times New Roman" w:hAnsi="Times New Roman"/>
          <w:bCs/>
          <w:szCs w:val="24"/>
        </w:rPr>
        <w:t xml:space="preserve">Thus, we are working with each state </w:t>
      </w:r>
      <w:r w:rsidRPr="002B77F7">
        <w:rPr>
          <w:rFonts w:ascii="Times New Roman" w:hAnsi="Times New Roman"/>
          <w:bCs/>
          <w:szCs w:val="24"/>
        </w:rPr>
        <w:lastRenderedPageBreak/>
        <w:t>for them to send out the survey and/or provide us with a list to send out the survey and will not be cleaning their lists. This strategy was implemented to carry out the National Hemp Needs survey funded through USDA NIFA</w:t>
      </w:r>
      <w:r w:rsidRPr="002B77F7">
        <w:rPr>
          <w:rStyle w:val="FootnoteReference"/>
          <w:rFonts w:ascii="Times New Roman" w:hAnsi="Times New Roman"/>
          <w:bCs/>
          <w:szCs w:val="24"/>
        </w:rPr>
        <w:footnoteReference w:id="2"/>
      </w:r>
      <w:r w:rsidRPr="002B77F7">
        <w:rPr>
          <w:rFonts w:ascii="Times New Roman" w:hAnsi="Times New Roman"/>
          <w:bCs/>
          <w:szCs w:val="24"/>
        </w:rPr>
        <w:t xml:space="preserve">. </w:t>
      </w:r>
      <w:r>
        <w:rPr>
          <w:rFonts w:ascii="Times New Roman" w:hAnsi="Times New Roman"/>
          <w:bCs/>
          <w:szCs w:val="24"/>
        </w:rPr>
        <w:t xml:space="preserve"> </w:t>
      </w:r>
      <w:r w:rsidRPr="002B77F7">
        <w:rPr>
          <w:rFonts w:ascii="Times New Roman" w:hAnsi="Times New Roman"/>
          <w:bCs/>
          <w:szCs w:val="24"/>
        </w:rPr>
        <w:t xml:space="preserve">Additional lists have been </w:t>
      </w:r>
      <w:proofErr w:type="gramStart"/>
      <w:r w:rsidRPr="002B77F7">
        <w:rPr>
          <w:rFonts w:ascii="Times New Roman" w:hAnsi="Times New Roman"/>
          <w:bCs/>
          <w:szCs w:val="24"/>
        </w:rPr>
        <w:t>considered,</w:t>
      </w:r>
      <w:proofErr w:type="gramEnd"/>
      <w:r w:rsidRPr="002B77F7">
        <w:rPr>
          <w:rFonts w:ascii="Times New Roman" w:hAnsi="Times New Roman"/>
          <w:bCs/>
          <w:szCs w:val="24"/>
        </w:rPr>
        <w:t xml:space="preserve"> however, they are incomplete and sample properties are unknown. </w:t>
      </w:r>
      <w:r>
        <w:rPr>
          <w:rFonts w:ascii="Times New Roman" w:hAnsi="Times New Roman"/>
          <w:bCs/>
          <w:szCs w:val="24"/>
        </w:rPr>
        <w:t xml:space="preserve"> </w:t>
      </w:r>
      <w:r w:rsidRPr="002B77F7">
        <w:rPr>
          <w:rFonts w:ascii="Times New Roman" w:hAnsi="Times New Roman"/>
          <w:bCs/>
          <w:szCs w:val="24"/>
        </w:rPr>
        <w:t xml:space="preserve">For example, the list from FSA would only include those producers completing the Farm Service Agency 578 form. </w:t>
      </w:r>
      <w:r>
        <w:rPr>
          <w:rFonts w:ascii="Times New Roman" w:hAnsi="Times New Roman"/>
          <w:bCs/>
          <w:szCs w:val="24"/>
        </w:rPr>
        <w:t xml:space="preserve"> </w:t>
      </w:r>
      <w:r w:rsidRPr="002B77F7">
        <w:rPr>
          <w:rFonts w:ascii="Times New Roman" w:hAnsi="Times New Roman"/>
          <w:bCs/>
          <w:szCs w:val="24"/>
        </w:rPr>
        <w:t xml:space="preserve">This was not a requirement for hemp producers until the 2018 Farm Bill and the Final Rule that takes full effect for the 2022 production period. </w:t>
      </w:r>
      <w:r>
        <w:rPr>
          <w:rFonts w:ascii="Times New Roman" w:hAnsi="Times New Roman"/>
          <w:bCs/>
          <w:szCs w:val="24"/>
        </w:rPr>
        <w:t xml:space="preserve"> </w:t>
      </w:r>
      <w:proofErr w:type="gramStart"/>
      <w:r w:rsidRPr="002B77F7">
        <w:rPr>
          <w:rFonts w:ascii="Times New Roman" w:hAnsi="Times New Roman"/>
          <w:bCs/>
          <w:szCs w:val="24"/>
        </w:rPr>
        <w:t>Thus</w:t>
      </w:r>
      <w:proofErr w:type="gramEnd"/>
      <w:r w:rsidRPr="002B77F7">
        <w:rPr>
          <w:rFonts w:ascii="Times New Roman" w:hAnsi="Times New Roman"/>
          <w:bCs/>
          <w:szCs w:val="24"/>
        </w:rPr>
        <w:t xml:space="preserve"> it is not a viable option. AMS doesn’t have a complete list of hemp producers other than those licensed under the USDA Federal Hemp program. </w:t>
      </w:r>
      <w:r>
        <w:rPr>
          <w:rFonts w:ascii="Times New Roman" w:hAnsi="Times New Roman"/>
          <w:bCs/>
          <w:szCs w:val="24"/>
        </w:rPr>
        <w:t xml:space="preserve"> </w:t>
      </w:r>
      <w:r w:rsidRPr="002B77F7">
        <w:rPr>
          <w:rFonts w:ascii="Times New Roman" w:hAnsi="Times New Roman"/>
          <w:bCs/>
          <w:szCs w:val="24"/>
        </w:rPr>
        <w:t xml:space="preserve">This would include the states of Hawaii, </w:t>
      </w:r>
      <w:proofErr w:type="gramStart"/>
      <w:r w:rsidRPr="002B77F7">
        <w:rPr>
          <w:rFonts w:ascii="Times New Roman" w:hAnsi="Times New Roman"/>
          <w:bCs/>
          <w:szCs w:val="24"/>
        </w:rPr>
        <w:t>Mississippi</w:t>
      </w:r>
      <w:proofErr w:type="gramEnd"/>
      <w:r w:rsidRPr="002B77F7">
        <w:rPr>
          <w:rFonts w:ascii="Times New Roman" w:hAnsi="Times New Roman"/>
          <w:bCs/>
          <w:szCs w:val="24"/>
        </w:rPr>
        <w:t xml:space="preserve"> and New Hampshire. </w:t>
      </w:r>
      <w:r>
        <w:rPr>
          <w:rFonts w:ascii="Times New Roman" w:hAnsi="Times New Roman"/>
          <w:bCs/>
          <w:szCs w:val="24"/>
        </w:rPr>
        <w:t xml:space="preserve"> </w:t>
      </w:r>
      <w:r w:rsidRPr="002B77F7">
        <w:rPr>
          <w:rFonts w:ascii="Times New Roman" w:hAnsi="Times New Roman"/>
          <w:bCs/>
          <w:szCs w:val="24"/>
        </w:rPr>
        <w:t>The survey itself employs a hybrid method where each license holder will receive a copy of the survey.</w:t>
      </w:r>
      <w:r>
        <w:rPr>
          <w:rFonts w:ascii="Times New Roman" w:hAnsi="Times New Roman"/>
          <w:bCs/>
          <w:szCs w:val="24"/>
        </w:rPr>
        <w:t xml:space="preserve"> </w:t>
      </w:r>
      <w:r w:rsidRPr="002B77F7">
        <w:rPr>
          <w:rFonts w:ascii="Times New Roman" w:hAnsi="Times New Roman"/>
          <w:bCs/>
          <w:szCs w:val="24"/>
        </w:rPr>
        <w:t xml:space="preserve"> They will have the option to complete the paper version or the online version (created in </w:t>
      </w:r>
      <w:proofErr w:type="spellStart"/>
      <w:r w:rsidRPr="002B77F7">
        <w:rPr>
          <w:rFonts w:ascii="Times New Roman" w:hAnsi="Times New Roman"/>
          <w:bCs/>
          <w:szCs w:val="24"/>
        </w:rPr>
        <w:t>Qualtics</w:t>
      </w:r>
      <w:proofErr w:type="spellEnd"/>
      <w:r w:rsidRPr="002B77F7">
        <w:rPr>
          <w:rFonts w:ascii="Times New Roman" w:hAnsi="Times New Roman"/>
          <w:bCs/>
          <w:szCs w:val="24"/>
        </w:rPr>
        <w:t>).</w:t>
      </w:r>
      <w:r>
        <w:rPr>
          <w:rFonts w:ascii="Times New Roman" w:hAnsi="Times New Roman"/>
          <w:bCs/>
          <w:szCs w:val="24"/>
        </w:rPr>
        <w:t xml:space="preserve"> </w:t>
      </w:r>
      <w:r w:rsidRPr="002B77F7">
        <w:rPr>
          <w:rFonts w:ascii="Times New Roman" w:hAnsi="Times New Roman"/>
          <w:bCs/>
          <w:szCs w:val="24"/>
        </w:rPr>
        <w:t xml:space="preserve"> Since each state has different regulations in place a state like Kentucky will not release physical addresses.</w:t>
      </w:r>
      <w:r>
        <w:rPr>
          <w:rFonts w:ascii="Times New Roman" w:hAnsi="Times New Roman"/>
          <w:bCs/>
          <w:szCs w:val="24"/>
        </w:rPr>
        <w:t xml:space="preserve"> </w:t>
      </w:r>
      <w:r w:rsidRPr="002B77F7">
        <w:rPr>
          <w:rFonts w:ascii="Times New Roman" w:hAnsi="Times New Roman"/>
          <w:bCs/>
          <w:szCs w:val="24"/>
        </w:rPr>
        <w:t xml:space="preserve"> Therefore, we will work with them to mail out the survey from their office and the costs to do this are already included within the cooperative agreement between UK and AMS. </w:t>
      </w:r>
      <w:r>
        <w:rPr>
          <w:rFonts w:ascii="Times New Roman" w:hAnsi="Times New Roman"/>
          <w:bCs/>
          <w:szCs w:val="24"/>
        </w:rPr>
        <w:t xml:space="preserve"> </w:t>
      </w:r>
      <w:r w:rsidRPr="002B77F7">
        <w:rPr>
          <w:rFonts w:ascii="Times New Roman" w:hAnsi="Times New Roman"/>
          <w:bCs/>
          <w:szCs w:val="24"/>
        </w:rPr>
        <w:t>They will also send out an email to their listserv making license holders aware of the survey.</w:t>
      </w:r>
      <w:r w:rsidRPr="00F81D4B">
        <w:rPr>
          <w:rFonts w:ascii="Times New Roman" w:hAnsi="Times New Roman"/>
          <w:color w:val="000000"/>
        </w:rPr>
        <w:t xml:space="preserve"> </w:t>
      </w:r>
    </w:p>
    <w:p w:rsidRPr="00F81D4B" w:rsidR="00D950D5" w:rsidP="00D950D5" w:rsidRDefault="00D950D5" w14:paraId="2C3B2FB2" w14:textId="77777777">
      <w:pPr>
        <w:tabs>
          <w:tab w:val="left" w:pos="-1440"/>
        </w:tabs>
        <w:ind w:left="720"/>
        <w:rPr>
          <w:rFonts w:ascii="Times New Roman" w:hAnsi="Times New Roman"/>
          <w:b/>
          <w:color w:val="000000"/>
          <w:szCs w:val="24"/>
        </w:rPr>
      </w:pPr>
    </w:p>
    <w:p w:rsidRPr="00B6673E" w:rsidR="00E42D7F" w:rsidP="00E42D7F" w:rsidRDefault="00E42D7F" w14:paraId="75A1833F"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imes New Roman" w:hAnsi="Times New Roman"/>
          <w:szCs w:val="24"/>
        </w:rPr>
      </w:pPr>
    </w:p>
    <w:p w:rsidRPr="00B6673E" w:rsidR="0018239E" w:rsidP="0018239E" w:rsidRDefault="0018239E" w14:paraId="503501F2" w14:textId="77777777">
      <w:pPr>
        <w:tabs>
          <w:tab w:val="left" w:pos="-1440"/>
        </w:tabs>
        <w:ind w:left="1440" w:hanging="720"/>
        <w:rPr>
          <w:rFonts w:ascii="Times New Roman" w:hAnsi="Times New Roman"/>
          <w:b/>
          <w:szCs w:val="24"/>
        </w:rPr>
      </w:pPr>
      <w:r w:rsidRPr="00B6673E">
        <w:rPr>
          <w:rFonts w:ascii="Times New Roman" w:hAnsi="Times New Roman"/>
          <w:b/>
          <w:szCs w:val="24"/>
        </w:rPr>
        <w:t>2.</w:t>
      </w:r>
      <w:r w:rsidRPr="00B6673E">
        <w:rPr>
          <w:rFonts w:ascii="Times New Roman" w:hAnsi="Times New Roman"/>
          <w:b/>
          <w:szCs w:val="24"/>
        </w:rPr>
        <w:tab/>
        <w:t>DESCRIBE THE PROCEDURES FOR THE COLLECTION OF INFORMATION INCLUDING:</w:t>
      </w:r>
    </w:p>
    <w:p w:rsidRPr="00B6673E" w:rsidR="0018239E" w:rsidP="0018239E" w:rsidRDefault="0018239E" w14:paraId="1C9876B6" w14:textId="77777777">
      <w:pPr>
        <w:rPr>
          <w:rFonts w:ascii="Times New Roman" w:hAnsi="Times New Roman"/>
          <w:b/>
          <w:szCs w:val="24"/>
        </w:rPr>
      </w:pPr>
    </w:p>
    <w:p w:rsidRPr="00B6673E" w:rsidR="0018239E" w:rsidP="0018239E" w:rsidRDefault="0018239E" w14:paraId="200ED6C5" w14:textId="77777777">
      <w:pPr>
        <w:tabs>
          <w:tab w:val="left" w:pos="-1440"/>
        </w:tabs>
        <w:ind w:left="2160" w:hanging="720"/>
        <w:rPr>
          <w:rFonts w:ascii="Times New Roman" w:hAnsi="Times New Roman"/>
          <w:b/>
          <w:szCs w:val="24"/>
        </w:rPr>
      </w:pPr>
      <w:r w:rsidRPr="00B6673E">
        <w:rPr>
          <w:rFonts w:ascii="Times New Roman" w:hAnsi="Times New Roman"/>
          <w:b/>
          <w:szCs w:val="24"/>
        </w:rPr>
        <w:t>-</w:t>
      </w:r>
      <w:r w:rsidRPr="00B6673E">
        <w:rPr>
          <w:rFonts w:ascii="Times New Roman" w:hAnsi="Times New Roman"/>
          <w:b/>
          <w:szCs w:val="24"/>
        </w:rPr>
        <w:tab/>
        <w:t xml:space="preserve">STATISTICAL METHODOLOGY FOR STRATIFICATION AND SAMPLE </w:t>
      </w:r>
      <w:proofErr w:type="gramStart"/>
      <w:r w:rsidRPr="00B6673E" w:rsidR="00D950D5">
        <w:rPr>
          <w:rFonts w:ascii="Times New Roman" w:hAnsi="Times New Roman"/>
          <w:b/>
          <w:szCs w:val="24"/>
        </w:rPr>
        <w:t>SELECTION</w:t>
      </w:r>
      <w:r w:rsidR="00E86D9C">
        <w:rPr>
          <w:rFonts w:ascii="Times New Roman" w:hAnsi="Times New Roman"/>
          <w:b/>
          <w:szCs w:val="24"/>
        </w:rPr>
        <w:t>;</w:t>
      </w:r>
      <w:proofErr w:type="gramEnd"/>
      <w:r w:rsidRPr="00B6673E">
        <w:rPr>
          <w:rFonts w:ascii="Times New Roman" w:hAnsi="Times New Roman"/>
          <w:b/>
          <w:szCs w:val="24"/>
        </w:rPr>
        <w:t xml:space="preserve"> </w:t>
      </w:r>
    </w:p>
    <w:p w:rsidR="00D950D5" w:rsidP="00D950D5" w:rsidRDefault="00D950D5" w14:paraId="7452154F" w14:textId="77777777">
      <w:pPr>
        <w:tabs>
          <w:tab w:val="left" w:pos="-1440"/>
        </w:tabs>
        <w:rPr>
          <w:rFonts w:ascii="Times New Roman" w:hAnsi="Times New Roman"/>
          <w:szCs w:val="24"/>
        </w:rPr>
      </w:pPr>
    </w:p>
    <w:p w:rsidRPr="00D950D5" w:rsidR="00D950D5" w:rsidP="00D950D5" w:rsidRDefault="00D950D5" w14:paraId="0C087E6C" w14:textId="77777777">
      <w:pPr>
        <w:tabs>
          <w:tab w:val="left" w:pos="-1440"/>
        </w:tabs>
        <w:rPr>
          <w:rFonts w:ascii="Times New Roman" w:hAnsi="Times New Roman"/>
          <w:b/>
          <w:color w:val="000000"/>
          <w:szCs w:val="24"/>
        </w:rPr>
      </w:pPr>
      <w:r w:rsidRPr="00F81D4B">
        <w:rPr>
          <w:rFonts w:ascii="Times New Roman" w:hAnsi="Times New Roman"/>
          <w:bCs/>
          <w:szCs w:val="24"/>
        </w:rPr>
        <w:t>The full number of respondents will be approximately 20,000 as reported through the National Industrial Hemp Regulators.</w:t>
      </w:r>
      <w:r>
        <w:rPr>
          <w:rStyle w:val="FootnoteReference"/>
          <w:rFonts w:ascii="Times New Roman" w:hAnsi="Times New Roman"/>
          <w:bCs/>
          <w:szCs w:val="24"/>
        </w:rPr>
        <w:footnoteReference w:id="3"/>
      </w:r>
      <w:r w:rsidRPr="00F81D4B">
        <w:rPr>
          <w:rFonts w:ascii="Times New Roman" w:hAnsi="Times New Roman"/>
          <w:bCs/>
          <w:szCs w:val="24"/>
        </w:rPr>
        <w:t xml:space="preserve"> The exact number of licenses is unknown as many states have rolling application periods and the number can change daily. </w:t>
      </w:r>
      <w:r>
        <w:rPr>
          <w:rFonts w:ascii="Times New Roman" w:hAnsi="Times New Roman"/>
          <w:bCs/>
          <w:szCs w:val="24"/>
        </w:rPr>
        <w:t xml:space="preserve"> </w:t>
      </w:r>
      <w:r w:rsidRPr="00F81D4B">
        <w:rPr>
          <w:rFonts w:ascii="Times New Roman" w:hAnsi="Times New Roman"/>
          <w:bCs/>
          <w:szCs w:val="24"/>
        </w:rPr>
        <w:t xml:space="preserve">Paper surveys will be returned to the University of Kentucky at no cost to the license holder and input by trained graduate and undergraduate researchers. </w:t>
      </w:r>
      <w:r>
        <w:rPr>
          <w:rFonts w:ascii="Times New Roman" w:hAnsi="Times New Roman"/>
          <w:bCs/>
          <w:szCs w:val="24"/>
        </w:rPr>
        <w:t xml:space="preserve"> </w:t>
      </w:r>
      <w:r w:rsidRPr="00F81D4B">
        <w:rPr>
          <w:rFonts w:ascii="Times New Roman" w:hAnsi="Times New Roman"/>
          <w:bCs/>
          <w:szCs w:val="24"/>
        </w:rPr>
        <w:t>These observations will then be merged with those that completed the survey through the online portal.  The expected response rate is 75%.</w:t>
      </w:r>
    </w:p>
    <w:p w:rsidR="00D950D5" w:rsidP="00D950D5" w:rsidRDefault="00D950D5" w14:paraId="3CE6BF7D" w14:textId="77777777">
      <w:pPr>
        <w:tabs>
          <w:tab w:val="left" w:pos="-1440"/>
        </w:tabs>
        <w:rPr>
          <w:rFonts w:ascii="Times New Roman" w:hAnsi="Times New Roman"/>
          <w:szCs w:val="24"/>
        </w:rPr>
      </w:pPr>
    </w:p>
    <w:p w:rsidRPr="00E86D9C" w:rsidR="00D950D5" w:rsidP="00E86D9C" w:rsidRDefault="00D950D5" w14:paraId="7B4CF878" w14:textId="77777777">
      <w:pPr>
        <w:tabs>
          <w:tab w:val="left" w:pos="-1440"/>
        </w:tabs>
        <w:rPr>
          <w:rFonts w:ascii="Times New Roman" w:hAnsi="Times New Roman"/>
          <w:b/>
          <w:color w:val="000000"/>
          <w:szCs w:val="24"/>
        </w:rPr>
      </w:pPr>
      <w:r w:rsidRPr="00F81D4B">
        <w:rPr>
          <w:rFonts w:ascii="Times New Roman" w:hAnsi="Times New Roman"/>
          <w:szCs w:val="24"/>
        </w:rPr>
        <w:t xml:space="preserve">Once all data has been merged together by the </w:t>
      </w:r>
      <w:r>
        <w:rPr>
          <w:rFonts w:ascii="Times New Roman" w:hAnsi="Times New Roman"/>
          <w:szCs w:val="24"/>
        </w:rPr>
        <w:t>c</w:t>
      </w:r>
      <w:r w:rsidRPr="00F81D4B">
        <w:rPr>
          <w:rFonts w:ascii="Times New Roman" w:hAnsi="Times New Roman"/>
          <w:szCs w:val="24"/>
        </w:rPr>
        <w:t xml:space="preserve">reation </w:t>
      </w:r>
      <w:proofErr w:type="gramStart"/>
      <w:r>
        <w:rPr>
          <w:rFonts w:ascii="Times New Roman" w:hAnsi="Times New Roman"/>
          <w:szCs w:val="24"/>
        </w:rPr>
        <w:t>t</w:t>
      </w:r>
      <w:r w:rsidRPr="00F81D4B">
        <w:rPr>
          <w:rFonts w:ascii="Times New Roman" w:hAnsi="Times New Roman"/>
          <w:szCs w:val="24"/>
        </w:rPr>
        <w:t>eam</w:t>
      </w:r>
      <w:proofErr w:type="gramEnd"/>
      <w:r w:rsidRPr="00F81D4B">
        <w:rPr>
          <w:rFonts w:ascii="Times New Roman" w:hAnsi="Times New Roman"/>
          <w:szCs w:val="24"/>
        </w:rPr>
        <w:t xml:space="preserve"> they will do the following.</w:t>
      </w:r>
    </w:p>
    <w:p w:rsidRPr="0033171F" w:rsidR="00D950D5" w:rsidP="00D950D5" w:rsidRDefault="00D950D5" w14:paraId="52E52088" w14:textId="77777777">
      <w:pPr>
        <w:pStyle w:val="ListParagraph"/>
        <w:numPr>
          <w:ilvl w:val="1"/>
          <w:numId w:val="5"/>
        </w:numPr>
        <w:rPr>
          <w:rFonts w:ascii="Times New Roman" w:hAnsi="Times New Roman"/>
          <w:sz w:val="24"/>
          <w:szCs w:val="24"/>
        </w:rPr>
      </w:pPr>
      <w:r w:rsidRPr="0033171F">
        <w:rPr>
          <w:rFonts w:ascii="Times New Roman" w:hAnsi="Times New Roman"/>
          <w:sz w:val="24"/>
          <w:szCs w:val="24"/>
        </w:rPr>
        <w:t>Remove any personal identifiers that have been included.</w:t>
      </w:r>
    </w:p>
    <w:p w:rsidRPr="0033171F" w:rsidR="00D950D5" w:rsidP="00D950D5" w:rsidRDefault="00D950D5" w14:paraId="3B1DF4DF" w14:textId="77777777">
      <w:pPr>
        <w:pStyle w:val="ListParagraph"/>
        <w:numPr>
          <w:ilvl w:val="1"/>
          <w:numId w:val="5"/>
        </w:numPr>
        <w:rPr>
          <w:rFonts w:ascii="Times New Roman" w:hAnsi="Times New Roman"/>
          <w:sz w:val="24"/>
          <w:szCs w:val="24"/>
        </w:rPr>
      </w:pPr>
      <w:r w:rsidRPr="0033171F">
        <w:rPr>
          <w:rFonts w:ascii="Times New Roman" w:hAnsi="Times New Roman"/>
          <w:sz w:val="24"/>
          <w:szCs w:val="24"/>
        </w:rPr>
        <w:t>Evaluate the summary statistics for the data to look for outliers that need to be reviewed for data entry errors. This will be done in conjunction with AMS staff.</w:t>
      </w:r>
    </w:p>
    <w:p w:rsidRPr="00E42D7F" w:rsidR="00D950D5" w:rsidP="00D950D5" w:rsidRDefault="00D950D5" w14:paraId="0747E555" w14:textId="77777777">
      <w:pPr>
        <w:pStyle w:val="ListParagraph"/>
        <w:numPr>
          <w:ilvl w:val="1"/>
          <w:numId w:val="5"/>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imes New Roman" w:hAnsi="Times New Roman"/>
          <w:szCs w:val="24"/>
        </w:rPr>
      </w:pPr>
      <w:r w:rsidRPr="00E42D7F">
        <w:rPr>
          <w:rFonts w:ascii="Times New Roman" w:hAnsi="Times New Roman"/>
          <w:sz w:val="24"/>
          <w:szCs w:val="24"/>
        </w:rPr>
        <w:t>Compare summary statistics to key states (</w:t>
      </w:r>
      <w:proofErr w:type="gramStart"/>
      <w:r w:rsidRPr="00E42D7F">
        <w:rPr>
          <w:rFonts w:ascii="Times New Roman" w:hAnsi="Times New Roman"/>
          <w:sz w:val="24"/>
          <w:szCs w:val="24"/>
        </w:rPr>
        <w:t>i.e.</w:t>
      </w:r>
      <w:proofErr w:type="gramEnd"/>
      <w:r w:rsidRPr="00E42D7F">
        <w:rPr>
          <w:rFonts w:ascii="Times New Roman" w:hAnsi="Times New Roman"/>
          <w:sz w:val="24"/>
          <w:szCs w:val="24"/>
        </w:rPr>
        <w:t xml:space="preserve"> Kentucky, Colorado, etc.) that annually publish reports on number of and type of license holders. </w:t>
      </w:r>
    </w:p>
    <w:p w:rsidR="00D950D5" w:rsidP="00D950D5" w:rsidRDefault="00D950D5" w14:paraId="6C35AAF1" w14:textId="77777777">
      <w:pPr>
        <w:pStyle w:val="ListParagraph"/>
        <w:numPr>
          <w:ilvl w:val="1"/>
          <w:numId w:val="5"/>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imes New Roman" w:hAnsi="Times New Roman"/>
          <w:szCs w:val="24"/>
        </w:rPr>
      </w:pPr>
      <w:r w:rsidRPr="00E42D7F">
        <w:rPr>
          <w:rFonts w:ascii="Times New Roman" w:hAnsi="Times New Roman"/>
          <w:sz w:val="24"/>
          <w:szCs w:val="24"/>
        </w:rPr>
        <w:t>For counties that have few than three producers we will combine for each state to maintain anonymity of the producers within reports.</w:t>
      </w:r>
    </w:p>
    <w:p w:rsidRPr="00B6673E" w:rsidR="0018239E" w:rsidP="0018239E" w:rsidRDefault="0018239E" w14:paraId="61EBE12D" w14:textId="77777777">
      <w:pPr>
        <w:rPr>
          <w:rFonts w:ascii="Times New Roman" w:hAnsi="Times New Roman"/>
          <w:b/>
          <w:szCs w:val="24"/>
        </w:rPr>
      </w:pPr>
    </w:p>
    <w:p w:rsidR="0018239E" w:rsidP="0018239E" w:rsidRDefault="0018239E" w14:paraId="312A5E7B" w14:textId="77777777">
      <w:pPr>
        <w:tabs>
          <w:tab w:val="left" w:pos="-1440"/>
        </w:tabs>
        <w:ind w:left="2160" w:hanging="720"/>
        <w:rPr>
          <w:rFonts w:ascii="Times New Roman" w:hAnsi="Times New Roman"/>
          <w:b/>
          <w:szCs w:val="24"/>
        </w:rPr>
      </w:pPr>
      <w:r w:rsidRPr="00B6673E">
        <w:rPr>
          <w:rFonts w:ascii="Times New Roman" w:hAnsi="Times New Roman"/>
          <w:b/>
          <w:szCs w:val="24"/>
        </w:rPr>
        <w:lastRenderedPageBreak/>
        <w:t>-</w:t>
      </w:r>
      <w:r w:rsidRPr="00B6673E">
        <w:rPr>
          <w:rFonts w:ascii="Times New Roman" w:hAnsi="Times New Roman"/>
          <w:b/>
          <w:szCs w:val="24"/>
        </w:rPr>
        <w:tab/>
        <w:t xml:space="preserve">ESTIMATION </w:t>
      </w:r>
      <w:proofErr w:type="gramStart"/>
      <w:r w:rsidRPr="00B6673E">
        <w:rPr>
          <w:rFonts w:ascii="Times New Roman" w:hAnsi="Times New Roman"/>
          <w:b/>
          <w:szCs w:val="24"/>
        </w:rPr>
        <w:t>PROCEDURE;</w:t>
      </w:r>
      <w:proofErr w:type="gramEnd"/>
    </w:p>
    <w:p w:rsidRPr="00B6673E" w:rsidR="00E86D9C" w:rsidP="0018239E" w:rsidRDefault="00E86D9C" w14:paraId="41775413" w14:textId="77777777">
      <w:pPr>
        <w:tabs>
          <w:tab w:val="left" w:pos="-1440"/>
        </w:tabs>
        <w:ind w:left="2160" w:hanging="720"/>
        <w:rPr>
          <w:rFonts w:ascii="Times New Roman" w:hAnsi="Times New Roman"/>
          <w:b/>
          <w:szCs w:val="24"/>
        </w:rPr>
      </w:pPr>
    </w:p>
    <w:p w:rsidRPr="00D950D5" w:rsidR="00D950D5" w:rsidP="00D950D5" w:rsidRDefault="00D950D5" w14:paraId="19E12A02" w14:textId="77777777">
      <w:pPr>
        <w:tabs>
          <w:tab w:val="left" w:pos="-1440"/>
        </w:tabs>
        <w:rPr>
          <w:rFonts w:ascii="Times New Roman" w:hAnsi="Times New Roman"/>
          <w:b/>
          <w:color w:val="000000"/>
          <w:szCs w:val="24"/>
        </w:rPr>
      </w:pPr>
      <w:r>
        <w:rPr>
          <w:rFonts w:ascii="Times New Roman" w:hAnsi="Times New Roman"/>
          <w:spacing w:val="5"/>
          <w:szCs w:val="24"/>
          <w:shd w:val="clear" w:color="auto" w:fill="FFFFFF"/>
        </w:rPr>
        <w:t>T</w:t>
      </w:r>
      <w:r w:rsidRPr="00D950D5">
        <w:rPr>
          <w:rFonts w:ascii="Times New Roman" w:hAnsi="Times New Roman"/>
          <w:bCs/>
          <w:szCs w:val="24"/>
        </w:rPr>
        <w:t xml:space="preserve">his survey has been promoted over the past six months and will continue to be promoted until complete.  For example, it has been promoted at multiple field days where producers are present and at national regulator and extension meetings.  Second, by utilizing the State Departments of Agriculture to send out the survey and assist with promotion to increase the response rate of the survey.  Prepared emails will be shared with Departments of Agriculture that can be sent out to their listservs to assist with promotion and reminders as well. The data collection period will take place at the end of harvest. An electronic version of the survey has been developed in Qualtrics and the link will be provided with two emails being sent out by the State Departments of Agriculture.  Follow up postcards will also be mailed out after one month of the survey being available.  Lastly, if needed the USDA call center may be utilized to follow up with producers who have not responded one month after data collection ends. </w:t>
      </w:r>
    </w:p>
    <w:p w:rsidRPr="00E86D9C" w:rsidR="00D950D5" w:rsidP="00D950D5" w:rsidRDefault="00D950D5" w14:paraId="6E153EAE" w14:textId="77777777">
      <w:pPr>
        <w:pStyle w:val="ListParagraph"/>
        <w:widowControl w:val="0"/>
        <w:numPr>
          <w:ilvl w:val="0"/>
          <w:numId w:val="8"/>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The protocol for the survey administration will be as follows.</w:t>
      </w:r>
    </w:p>
    <w:p w:rsidRPr="00E86D9C" w:rsidR="00D950D5" w:rsidP="00D950D5" w:rsidRDefault="00D950D5" w14:paraId="40127CA4" w14:textId="77777777">
      <w:pPr>
        <w:pStyle w:val="ListParagraph"/>
        <w:widowControl w:val="0"/>
        <w:numPr>
          <w:ilvl w:val="1"/>
          <w:numId w:val="8"/>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Promotion of survey through field days and national meetings.</w:t>
      </w:r>
    </w:p>
    <w:p w:rsidRPr="00E86D9C" w:rsidR="00D950D5" w:rsidP="00D950D5" w:rsidRDefault="00D950D5" w14:paraId="20447AEB" w14:textId="77777777">
      <w:pPr>
        <w:pStyle w:val="ListParagraph"/>
        <w:widowControl w:val="0"/>
        <w:numPr>
          <w:ilvl w:val="1"/>
          <w:numId w:val="8"/>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Coordinating with Tribal Governments to promote and help with survey administration.</w:t>
      </w:r>
    </w:p>
    <w:p w:rsidRPr="00E86D9C" w:rsidR="00D950D5" w:rsidP="00D950D5" w:rsidRDefault="00D950D5" w14:paraId="7E2C4CF4" w14:textId="77777777">
      <w:pPr>
        <w:pStyle w:val="ListParagraph"/>
        <w:widowControl w:val="0"/>
        <w:numPr>
          <w:ilvl w:val="1"/>
          <w:numId w:val="8"/>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Email sent out to producers through individual State Departments of Agriculture and Tribal Governments.</w:t>
      </w:r>
    </w:p>
    <w:p w:rsidRPr="00E86D9C" w:rsidR="00D950D5" w:rsidP="00D950D5" w:rsidRDefault="00D950D5" w14:paraId="049126B4" w14:textId="77777777">
      <w:pPr>
        <w:pStyle w:val="ListParagraph"/>
        <w:widowControl w:val="0"/>
        <w:numPr>
          <w:ilvl w:val="1"/>
          <w:numId w:val="8"/>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Survey mailed out to producers that include an electronic link to survey.</w:t>
      </w:r>
    </w:p>
    <w:p w:rsidRPr="00E86D9C" w:rsidR="00D950D5" w:rsidP="00D950D5" w:rsidRDefault="00D950D5" w14:paraId="4F8676D2" w14:textId="77777777">
      <w:pPr>
        <w:pStyle w:val="ListParagraph"/>
        <w:widowControl w:val="0"/>
        <w:numPr>
          <w:ilvl w:val="1"/>
          <w:numId w:val="8"/>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 xml:space="preserve">Three weeks later a post card with link to survey will mailed. </w:t>
      </w:r>
    </w:p>
    <w:p w:rsidRPr="00E86D9C" w:rsidR="00D950D5" w:rsidP="00D950D5" w:rsidRDefault="00D950D5" w14:paraId="74892F4D" w14:textId="77777777">
      <w:pPr>
        <w:pStyle w:val="ListParagraph"/>
        <w:widowControl w:val="0"/>
        <w:numPr>
          <w:ilvl w:val="1"/>
          <w:numId w:val="8"/>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Two weeks later a follow up email will be sent through the State Departments of Agriculture and Tribal Governments.</w:t>
      </w:r>
    </w:p>
    <w:p w:rsidRPr="00E86D9C" w:rsidR="00D950D5" w:rsidP="00D950D5" w:rsidRDefault="00D950D5" w14:paraId="4DE89515" w14:textId="77777777">
      <w:pPr>
        <w:pStyle w:val="ListParagraph"/>
        <w:widowControl w:val="0"/>
        <w:numPr>
          <w:ilvl w:val="1"/>
          <w:numId w:val="8"/>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If the desired response rate of 75% is not achieved, then a final email will be sent with the electronic version. In addition to sending out the final email we will also consider utilizing the call center. A Nonresponse Bias Analysis will also be conducted to evaluate nonresponse bias issues that could be available within the data</w:t>
      </w:r>
      <w:r w:rsidRPr="00E86D9C">
        <w:rPr>
          <w:rStyle w:val="FootnoteReference"/>
          <w:rFonts w:ascii="Times New Roman" w:hAnsi="Times New Roman"/>
          <w:bCs/>
          <w:sz w:val="24"/>
          <w:szCs w:val="24"/>
        </w:rPr>
        <w:footnoteReference w:id="4"/>
      </w:r>
    </w:p>
    <w:p w:rsidRPr="00B6673E" w:rsidR="0018239E" w:rsidP="0018239E" w:rsidRDefault="0018239E" w14:paraId="6EAC270F" w14:textId="77777777">
      <w:pPr>
        <w:rPr>
          <w:rFonts w:ascii="Times New Roman" w:hAnsi="Times New Roman"/>
          <w:b/>
          <w:szCs w:val="24"/>
        </w:rPr>
      </w:pPr>
    </w:p>
    <w:p w:rsidRPr="004E00F9" w:rsidR="0018239E" w:rsidP="0018239E" w:rsidRDefault="0018239E" w14:paraId="5D6361E2" w14:textId="77777777">
      <w:pPr>
        <w:tabs>
          <w:tab w:val="left" w:pos="-1440"/>
        </w:tabs>
        <w:ind w:left="2160" w:hanging="720"/>
        <w:rPr>
          <w:rFonts w:ascii="Times New Roman" w:hAnsi="Times New Roman"/>
          <w:b/>
          <w:szCs w:val="24"/>
        </w:rPr>
      </w:pPr>
      <w:r w:rsidRPr="00B6673E">
        <w:rPr>
          <w:rFonts w:ascii="Times New Roman" w:hAnsi="Times New Roman"/>
          <w:b/>
          <w:szCs w:val="24"/>
        </w:rPr>
        <w:t>-</w:t>
      </w:r>
      <w:r w:rsidRPr="00B6673E">
        <w:rPr>
          <w:rFonts w:ascii="Times New Roman" w:hAnsi="Times New Roman"/>
          <w:b/>
          <w:szCs w:val="24"/>
        </w:rPr>
        <w:tab/>
        <w:t xml:space="preserve">DEGREE OF ACCURACY NEEDED FOR THE PURPOSE </w:t>
      </w:r>
      <w:r w:rsidRPr="004E00F9">
        <w:rPr>
          <w:rFonts w:ascii="Times New Roman" w:hAnsi="Times New Roman"/>
          <w:b/>
          <w:szCs w:val="24"/>
        </w:rPr>
        <w:t xml:space="preserve">DESCRIBED IN THE </w:t>
      </w:r>
      <w:proofErr w:type="gramStart"/>
      <w:r w:rsidRPr="004E00F9">
        <w:rPr>
          <w:rFonts w:ascii="Times New Roman" w:hAnsi="Times New Roman"/>
          <w:b/>
          <w:szCs w:val="24"/>
        </w:rPr>
        <w:t>JUSTIFICATION;</w:t>
      </w:r>
      <w:proofErr w:type="gramEnd"/>
      <w:r w:rsidRPr="004E00F9">
        <w:rPr>
          <w:rFonts w:ascii="Times New Roman" w:hAnsi="Times New Roman"/>
          <w:b/>
          <w:szCs w:val="24"/>
        </w:rPr>
        <w:t xml:space="preserve">  </w:t>
      </w:r>
    </w:p>
    <w:p w:rsidR="004E00F9" w:rsidP="004E00F9" w:rsidRDefault="004E00F9" w14:paraId="48AF099F" w14:textId="77777777">
      <w:pPr>
        <w:rPr>
          <w:rFonts w:ascii="Times New Roman" w:hAnsi="Times New Roman"/>
          <w:snapToGrid/>
          <w:sz w:val="22"/>
        </w:rPr>
      </w:pPr>
      <w:r w:rsidRPr="004E00F9">
        <w:rPr>
          <w:rFonts w:ascii="Times New Roman" w:hAnsi="Times New Roman"/>
        </w:rPr>
        <w:t>Standard errors will be calculated differently depending on the type of response (e.g., continuous, proportion).</w:t>
      </w:r>
      <w:r>
        <w:rPr>
          <w:rFonts w:ascii="Times New Roman" w:hAnsi="Times New Roman"/>
        </w:rPr>
        <w:t xml:space="preserve"> </w:t>
      </w:r>
      <w:r w:rsidRPr="004E00F9">
        <w:rPr>
          <w:rFonts w:ascii="Times New Roman" w:hAnsi="Times New Roman"/>
        </w:rPr>
        <w:t xml:space="preserve"> Estimates will be reported at regional or state levels, depending on final response rates.  High response rates will enable estimates to be reported at more fine grain levels (e.g., state) whereas low response rates will permit reporting at less fine grain (e.g., ERS region).  The entire target population of individual hemp operations using population frames of licensed hemp operations provided by state, tribal, or federal hemp programs is being used. Therefore, this is close to an ideal survey because the sampled population will be close to the target population.</w:t>
      </w:r>
    </w:p>
    <w:p w:rsidRPr="00B6673E" w:rsidR="0018239E" w:rsidP="0018239E" w:rsidRDefault="0018239E" w14:paraId="7E10EF86" w14:textId="77777777">
      <w:pPr>
        <w:rPr>
          <w:rFonts w:ascii="Times New Roman" w:hAnsi="Times New Roman"/>
          <w:b/>
          <w:szCs w:val="24"/>
        </w:rPr>
      </w:pPr>
    </w:p>
    <w:p w:rsidRPr="00B6673E" w:rsidR="0018239E" w:rsidP="0018239E" w:rsidRDefault="0018239E" w14:paraId="6AC1F4EB" w14:textId="77777777">
      <w:pPr>
        <w:tabs>
          <w:tab w:val="left" w:pos="-1440"/>
        </w:tabs>
        <w:ind w:left="2160" w:hanging="720"/>
        <w:rPr>
          <w:rFonts w:ascii="Times New Roman" w:hAnsi="Times New Roman"/>
          <w:b/>
          <w:szCs w:val="24"/>
        </w:rPr>
      </w:pPr>
      <w:r w:rsidRPr="00B6673E">
        <w:rPr>
          <w:rFonts w:ascii="Times New Roman" w:hAnsi="Times New Roman"/>
          <w:b/>
          <w:szCs w:val="24"/>
        </w:rPr>
        <w:t>-</w:t>
      </w:r>
      <w:r w:rsidRPr="00B6673E">
        <w:rPr>
          <w:rFonts w:ascii="Times New Roman" w:hAnsi="Times New Roman"/>
          <w:b/>
          <w:szCs w:val="24"/>
        </w:rPr>
        <w:tab/>
        <w:t xml:space="preserve">UNUSUAL PROBLEMS REQUIRING SPECIALIZED SAMPLING </w:t>
      </w:r>
      <w:r w:rsidRPr="00B6673E">
        <w:rPr>
          <w:rFonts w:ascii="Times New Roman" w:hAnsi="Times New Roman"/>
          <w:b/>
          <w:szCs w:val="24"/>
        </w:rPr>
        <w:lastRenderedPageBreak/>
        <w:t>PROCEDURES, AND</w:t>
      </w:r>
    </w:p>
    <w:p w:rsidRPr="00B6673E" w:rsidR="00B6673E" w:rsidP="00B6673E" w:rsidRDefault="00B6673E" w14:paraId="2DDDC459" w14:textId="77777777">
      <w:pPr>
        <w:tabs>
          <w:tab w:val="left" w:pos="-1440"/>
        </w:tabs>
        <w:rPr>
          <w:rFonts w:ascii="Times New Roman" w:hAnsi="Times New Roman"/>
          <w:bCs/>
          <w:szCs w:val="24"/>
        </w:rPr>
      </w:pPr>
      <w:r w:rsidRPr="00B6673E">
        <w:rPr>
          <w:rFonts w:ascii="Times New Roman" w:hAnsi="Times New Roman"/>
          <w:bCs/>
          <w:szCs w:val="24"/>
        </w:rPr>
        <w:t xml:space="preserve">N/A. This will be a census of producers.  All producers will be sampled. </w:t>
      </w:r>
      <w:r w:rsidR="00AF2944">
        <w:rPr>
          <w:rFonts w:ascii="Times New Roman" w:hAnsi="Times New Roman"/>
          <w:bCs/>
          <w:szCs w:val="24"/>
        </w:rPr>
        <w:t xml:space="preserve">Should the pandemic continue into the collection </w:t>
      </w:r>
      <w:proofErr w:type="gramStart"/>
      <w:r w:rsidR="00AF2944">
        <w:rPr>
          <w:rFonts w:ascii="Times New Roman" w:hAnsi="Times New Roman"/>
          <w:bCs/>
          <w:szCs w:val="24"/>
        </w:rPr>
        <w:t>time period</w:t>
      </w:r>
      <w:proofErr w:type="gramEnd"/>
      <w:r w:rsidR="00AF2944">
        <w:rPr>
          <w:rFonts w:ascii="Times New Roman" w:hAnsi="Times New Roman"/>
          <w:bCs/>
          <w:szCs w:val="24"/>
        </w:rPr>
        <w:t xml:space="preserve"> we would work with State Department of Agriculture to send additional electronic versions of the survey out to producers if paper versions of the survey cannot be mailed. </w:t>
      </w:r>
    </w:p>
    <w:p w:rsidRPr="00B6673E" w:rsidR="0018239E" w:rsidP="0018239E" w:rsidRDefault="0018239E" w14:paraId="2FC2502B" w14:textId="77777777">
      <w:pPr>
        <w:rPr>
          <w:rFonts w:ascii="Times New Roman" w:hAnsi="Times New Roman"/>
          <w:b/>
          <w:szCs w:val="24"/>
        </w:rPr>
      </w:pPr>
    </w:p>
    <w:p w:rsidRPr="00B6673E" w:rsidR="0018239E" w:rsidP="0018239E" w:rsidRDefault="0018239E" w14:paraId="4C8A4030" w14:textId="77777777">
      <w:pPr>
        <w:tabs>
          <w:tab w:val="left" w:pos="-1440"/>
        </w:tabs>
        <w:ind w:left="2160" w:hanging="720"/>
        <w:rPr>
          <w:rFonts w:ascii="Times New Roman" w:hAnsi="Times New Roman"/>
          <w:b/>
          <w:szCs w:val="24"/>
        </w:rPr>
      </w:pPr>
      <w:r w:rsidRPr="00B6673E">
        <w:rPr>
          <w:rFonts w:ascii="Times New Roman" w:hAnsi="Times New Roman"/>
          <w:b/>
          <w:szCs w:val="24"/>
        </w:rPr>
        <w:t>-</w:t>
      </w:r>
      <w:r w:rsidRPr="00B6673E">
        <w:rPr>
          <w:rFonts w:ascii="Times New Roman" w:hAnsi="Times New Roman"/>
          <w:b/>
          <w:szCs w:val="24"/>
        </w:rPr>
        <w:tab/>
        <w:t xml:space="preserve">ANY USE OF PERIODIC (LESS FREQUENT THAN ANNUAL) DATA COLLECTION CYCLES TO REDUCE BURDEN.  </w:t>
      </w:r>
    </w:p>
    <w:p w:rsidRPr="00B6673E" w:rsidR="008A1AE9" w:rsidP="0018239E" w:rsidRDefault="008A1AE9" w14:paraId="6ECD3E9C" w14:textId="77777777">
      <w:pPr>
        <w:tabs>
          <w:tab w:val="left" w:pos="-1440"/>
        </w:tabs>
        <w:ind w:left="2160" w:hanging="720"/>
        <w:rPr>
          <w:rFonts w:ascii="Times New Roman" w:hAnsi="Times New Roman"/>
          <w:b/>
          <w:szCs w:val="24"/>
        </w:rPr>
      </w:pPr>
    </w:p>
    <w:p w:rsidRPr="00B6673E" w:rsidR="008A1AE9" w:rsidP="00CD10A1" w:rsidRDefault="00AA3DB0" w14:paraId="52E7EA52" w14:textId="77777777">
      <w:pPr>
        <w:tabs>
          <w:tab w:val="left" w:pos="-1440"/>
        </w:tabs>
        <w:rPr>
          <w:rFonts w:ascii="Times New Roman" w:hAnsi="Times New Roman"/>
          <w:bCs/>
          <w:szCs w:val="24"/>
        </w:rPr>
      </w:pPr>
      <w:r w:rsidRPr="00B6673E">
        <w:rPr>
          <w:rFonts w:ascii="Times New Roman" w:hAnsi="Times New Roman"/>
          <w:bCs/>
          <w:szCs w:val="24"/>
        </w:rPr>
        <w:t xml:space="preserve">This is the first ever hemp production cost collection. </w:t>
      </w:r>
      <w:r w:rsidRPr="00B6673E" w:rsidR="00B6673E">
        <w:rPr>
          <w:rFonts w:ascii="Times New Roman" w:hAnsi="Times New Roman"/>
          <w:bCs/>
          <w:szCs w:val="24"/>
        </w:rPr>
        <w:t xml:space="preserve"> </w:t>
      </w:r>
      <w:r w:rsidRPr="00B6673E" w:rsidR="000F7407">
        <w:rPr>
          <w:rFonts w:ascii="Times New Roman" w:hAnsi="Times New Roman"/>
          <w:bCs/>
          <w:szCs w:val="24"/>
        </w:rPr>
        <w:t xml:space="preserve">It is unknown the frequency with which this collection would be collected going forward. </w:t>
      </w:r>
    </w:p>
    <w:p w:rsidRPr="00B6673E" w:rsidR="0018239E" w:rsidP="00B6673E" w:rsidRDefault="0018239E" w14:paraId="26152B2D"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imes New Roman" w:hAnsi="Times New Roman"/>
          <w:i/>
          <w:szCs w:val="24"/>
        </w:rPr>
      </w:pPr>
    </w:p>
    <w:p w:rsidR="00E86D9C" w:rsidP="00E86D9C" w:rsidRDefault="0018239E" w14:paraId="15261998" w14:textId="77777777">
      <w:pPr>
        <w:numPr>
          <w:ilvl w:val="0"/>
          <w:numId w:val="11"/>
        </w:numPr>
        <w:tabs>
          <w:tab w:val="left" w:pos="-1440"/>
        </w:tabs>
        <w:rPr>
          <w:rFonts w:ascii="Times New Roman" w:hAnsi="Times New Roman"/>
          <w:b/>
          <w:szCs w:val="24"/>
        </w:rPr>
      </w:pPr>
      <w:r w:rsidRPr="00B6673E">
        <w:rPr>
          <w:rFonts w:ascii="Times New Roman" w:hAnsi="Times New Roman"/>
          <w:b/>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E86D9C" w:rsidP="00E86D9C" w:rsidRDefault="00E86D9C" w14:paraId="71B09131" w14:textId="77777777">
      <w:pPr>
        <w:tabs>
          <w:tab w:val="left" w:pos="-1440"/>
        </w:tabs>
        <w:ind w:left="1080"/>
        <w:rPr>
          <w:rFonts w:ascii="Times New Roman" w:hAnsi="Times New Roman"/>
          <w:b/>
          <w:szCs w:val="24"/>
        </w:rPr>
      </w:pPr>
    </w:p>
    <w:p w:rsidRPr="00E86D9C" w:rsidR="00E86D9C" w:rsidP="00E86D9C" w:rsidRDefault="00E86D9C" w14:paraId="1DBEEEC0" w14:textId="77777777">
      <w:pPr>
        <w:pStyle w:val="ListParagraph"/>
        <w:widowControl w:val="0"/>
        <w:tabs>
          <w:tab w:val="left" w:pos="-1440"/>
        </w:tabs>
        <w:spacing w:after="0" w:line="240" w:lineRule="auto"/>
        <w:ind w:left="0"/>
        <w:rPr>
          <w:rFonts w:ascii="Times New Roman" w:hAnsi="Times New Roman"/>
          <w:bCs/>
          <w:sz w:val="24"/>
          <w:szCs w:val="24"/>
        </w:rPr>
      </w:pPr>
      <w:r w:rsidRPr="00E86D9C">
        <w:rPr>
          <w:rFonts w:ascii="Times New Roman" w:hAnsi="Times New Roman"/>
          <w:bCs/>
          <w:sz w:val="24"/>
          <w:szCs w:val="24"/>
        </w:rPr>
        <w:t>The protocol for the survey administration will be as follows</w:t>
      </w:r>
      <w:r>
        <w:rPr>
          <w:rFonts w:ascii="Times New Roman" w:hAnsi="Times New Roman"/>
          <w:bCs/>
          <w:sz w:val="24"/>
          <w:szCs w:val="24"/>
        </w:rPr>
        <w:t>:</w:t>
      </w:r>
    </w:p>
    <w:p w:rsidR="00E86D9C" w:rsidP="00E86D9C" w:rsidRDefault="00E86D9C" w14:paraId="40DA0F98" w14:textId="77777777">
      <w:pPr>
        <w:pStyle w:val="ListParagraph"/>
        <w:widowControl w:val="0"/>
        <w:numPr>
          <w:ilvl w:val="0"/>
          <w:numId w:val="12"/>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Promotion of survey through field days and national meetings.</w:t>
      </w:r>
    </w:p>
    <w:p w:rsidR="00E86D9C" w:rsidP="00E86D9C" w:rsidRDefault="00E86D9C" w14:paraId="08951DE1" w14:textId="77777777">
      <w:pPr>
        <w:pStyle w:val="ListParagraph"/>
        <w:widowControl w:val="0"/>
        <w:numPr>
          <w:ilvl w:val="0"/>
          <w:numId w:val="12"/>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Coordinating with Tribal Governments to promote and help with survey administration.</w:t>
      </w:r>
    </w:p>
    <w:p w:rsidR="00E86D9C" w:rsidP="00E86D9C" w:rsidRDefault="00E86D9C" w14:paraId="5BA7E42E" w14:textId="77777777">
      <w:pPr>
        <w:pStyle w:val="ListParagraph"/>
        <w:widowControl w:val="0"/>
        <w:numPr>
          <w:ilvl w:val="0"/>
          <w:numId w:val="12"/>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Email sent out to producers through individual State Departments of Agriculture and Tribal Governments.</w:t>
      </w:r>
    </w:p>
    <w:p w:rsidR="00E86D9C" w:rsidP="00E86D9C" w:rsidRDefault="00E86D9C" w14:paraId="52E98F54" w14:textId="77777777">
      <w:pPr>
        <w:pStyle w:val="ListParagraph"/>
        <w:widowControl w:val="0"/>
        <w:numPr>
          <w:ilvl w:val="0"/>
          <w:numId w:val="12"/>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Survey mailed out to producers that include an electronic link to survey.</w:t>
      </w:r>
    </w:p>
    <w:p w:rsidR="00E86D9C" w:rsidP="00E86D9C" w:rsidRDefault="00E86D9C" w14:paraId="652C6274" w14:textId="77777777">
      <w:pPr>
        <w:pStyle w:val="ListParagraph"/>
        <w:widowControl w:val="0"/>
        <w:numPr>
          <w:ilvl w:val="0"/>
          <w:numId w:val="12"/>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Three weeks later</w:t>
      </w:r>
      <w:r>
        <w:rPr>
          <w:rFonts w:ascii="Times New Roman" w:hAnsi="Times New Roman"/>
          <w:bCs/>
          <w:sz w:val="24"/>
          <w:szCs w:val="24"/>
        </w:rPr>
        <w:t>,</w:t>
      </w:r>
      <w:r w:rsidRPr="00E86D9C">
        <w:rPr>
          <w:rFonts w:ascii="Times New Roman" w:hAnsi="Times New Roman"/>
          <w:bCs/>
          <w:sz w:val="24"/>
          <w:szCs w:val="24"/>
        </w:rPr>
        <w:t xml:space="preserve"> a post card with </w:t>
      </w:r>
      <w:r>
        <w:rPr>
          <w:rFonts w:ascii="Times New Roman" w:hAnsi="Times New Roman"/>
          <w:bCs/>
          <w:sz w:val="24"/>
          <w:szCs w:val="24"/>
        </w:rPr>
        <w:t xml:space="preserve">a </w:t>
      </w:r>
      <w:r w:rsidRPr="00E86D9C">
        <w:rPr>
          <w:rFonts w:ascii="Times New Roman" w:hAnsi="Times New Roman"/>
          <w:bCs/>
          <w:sz w:val="24"/>
          <w:szCs w:val="24"/>
        </w:rPr>
        <w:t xml:space="preserve">link to </w:t>
      </w:r>
      <w:r>
        <w:rPr>
          <w:rFonts w:ascii="Times New Roman" w:hAnsi="Times New Roman"/>
          <w:bCs/>
          <w:sz w:val="24"/>
          <w:szCs w:val="24"/>
        </w:rPr>
        <w:t xml:space="preserve">the </w:t>
      </w:r>
      <w:r w:rsidRPr="00E86D9C">
        <w:rPr>
          <w:rFonts w:ascii="Times New Roman" w:hAnsi="Times New Roman"/>
          <w:bCs/>
          <w:sz w:val="24"/>
          <w:szCs w:val="24"/>
        </w:rPr>
        <w:t xml:space="preserve">survey will mailed. </w:t>
      </w:r>
    </w:p>
    <w:p w:rsidR="00E86D9C" w:rsidP="00E86D9C" w:rsidRDefault="00E86D9C" w14:paraId="72C9ED48" w14:textId="77777777">
      <w:pPr>
        <w:pStyle w:val="ListParagraph"/>
        <w:widowControl w:val="0"/>
        <w:numPr>
          <w:ilvl w:val="0"/>
          <w:numId w:val="12"/>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Two weeks later</w:t>
      </w:r>
      <w:r>
        <w:rPr>
          <w:rFonts w:ascii="Times New Roman" w:hAnsi="Times New Roman"/>
          <w:bCs/>
          <w:sz w:val="24"/>
          <w:szCs w:val="24"/>
        </w:rPr>
        <w:t>,</w:t>
      </w:r>
      <w:r w:rsidRPr="00E86D9C">
        <w:rPr>
          <w:rFonts w:ascii="Times New Roman" w:hAnsi="Times New Roman"/>
          <w:bCs/>
          <w:sz w:val="24"/>
          <w:szCs w:val="24"/>
        </w:rPr>
        <w:t xml:space="preserve"> a follow up email will be sent through the State Departments of Agriculture and Tribal Governments.</w:t>
      </w:r>
    </w:p>
    <w:p w:rsidRPr="00E86D9C" w:rsidR="00E86D9C" w:rsidP="00E86D9C" w:rsidRDefault="00E86D9C" w14:paraId="47A0C7A3" w14:textId="77777777">
      <w:pPr>
        <w:pStyle w:val="ListParagraph"/>
        <w:widowControl w:val="0"/>
        <w:numPr>
          <w:ilvl w:val="0"/>
          <w:numId w:val="12"/>
        </w:numPr>
        <w:tabs>
          <w:tab w:val="left" w:pos="-1440"/>
        </w:tabs>
        <w:spacing w:after="0" w:line="240" w:lineRule="auto"/>
        <w:rPr>
          <w:rFonts w:ascii="Times New Roman" w:hAnsi="Times New Roman"/>
          <w:bCs/>
          <w:sz w:val="24"/>
          <w:szCs w:val="24"/>
        </w:rPr>
      </w:pPr>
      <w:r w:rsidRPr="00E86D9C">
        <w:rPr>
          <w:rFonts w:ascii="Times New Roman" w:hAnsi="Times New Roman"/>
          <w:bCs/>
          <w:sz w:val="24"/>
          <w:szCs w:val="24"/>
        </w:rPr>
        <w:t>If the desired response rate of 75% is not achieved, then a final email will be sent with the electronic version.</w:t>
      </w:r>
      <w:r>
        <w:rPr>
          <w:rFonts w:ascii="Times New Roman" w:hAnsi="Times New Roman"/>
          <w:bCs/>
          <w:sz w:val="24"/>
          <w:szCs w:val="24"/>
        </w:rPr>
        <w:t xml:space="preserve"> </w:t>
      </w:r>
      <w:r w:rsidRPr="00E86D9C">
        <w:rPr>
          <w:rFonts w:ascii="Times New Roman" w:hAnsi="Times New Roman"/>
          <w:bCs/>
          <w:sz w:val="24"/>
          <w:szCs w:val="24"/>
        </w:rPr>
        <w:t xml:space="preserve"> In addition to sending out the final email we will also consider utilizing the call center. </w:t>
      </w:r>
      <w:r>
        <w:rPr>
          <w:rFonts w:ascii="Times New Roman" w:hAnsi="Times New Roman"/>
          <w:bCs/>
          <w:sz w:val="24"/>
          <w:szCs w:val="24"/>
        </w:rPr>
        <w:t xml:space="preserve"> </w:t>
      </w:r>
      <w:r w:rsidRPr="00E86D9C">
        <w:rPr>
          <w:rFonts w:ascii="Times New Roman" w:hAnsi="Times New Roman"/>
          <w:bCs/>
          <w:sz w:val="24"/>
          <w:szCs w:val="24"/>
        </w:rPr>
        <w:t>A Nonresponse Bias Analysis will also be conducted to evaluate nonresponse bias issues that could be available within the data</w:t>
      </w:r>
      <w:r w:rsidRPr="00E86D9C">
        <w:rPr>
          <w:rStyle w:val="FootnoteReference"/>
          <w:rFonts w:ascii="Times New Roman" w:hAnsi="Times New Roman"/>
          <w:bCs/>
          <w:sz w:val="24"/>
          <w:szCs w:val="24"/>
        </w:rPr>
        <w:footnoteReference w:id="5"/>
      </w:r>
    </w:p>
    <w:p w:rsidRPr="00E86D9C" w:rsidR="00E86D9C" w:rsidP="00E86D9C" w:rsidRDefault="00E86D9C" w14:paraId="7E178204" w14:textId="77777777">
      <w:pPr>
        <w:tabs>
          <w:tab w:val="left" w:pos="-1440"/>
        </w:tabs>
        <w:rPr>
          <w:rFonts w:ascii="Times New Roman" w:hAnsi="Times New Roman"/>
          <w:b/>
          <w:szCs w:val="24"/>
        </w:rPr>
      </w:pPr>
    </w:p>
    <w:p w:rsidRPr="00B6673E" w:rsidR="0018239E" w:rsidP="0018239E" w:rsidRDefault="0018239E" w14:paraId="66E3D06E" w14:textId="77777777">
      <w:pPr>
        <w:tabs>
          <w:tab w:val="left" w:pos="-1440"/>
        </w:tabs>
        <w:ind w:left="1440" w:hanging="720"/>
        <w:rPr>
          <w:rFonts w:ascii="Times New Roman" w:hAnsi="Times New Roman"/>
          <w:b/>
          <w:szCs w:val="24"/>
        </w:rPr>
      </w:pPr>
      <w:r w:rsidRPr="00B6673E">
        <w:rPr>
          <w:rFonts w:ascii="Times New Roman" w:hAnsi="Times New Roman"/>
          <w:b/>
          <w:szCs w:val="24"/>
        </w:rPr>
        <w:t>4.</w:t>
      </w:r>
      <w:r w:rsidRPr="00B6673E">
        <w:rPr>
          <w:rFonts w:ascii="Times New Roman" w:hAnsi="Times New Roman"/>
          <w:b/>
          <w:szCs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w:t>
      </w:r>
      <w:r w:rsidRPr="00B6673E">
        <w:rPr>
          <w:rFonts w:ascii="Times New Roman" w:hAnsi="Times New Roman"/>
          <w:b/>
          <w:szCs w:val="24"/>
        </w:rPr>
        <w:lastRenderedPageBreak/>
        <w:t xml:space="preserve">TEST OR SET OF TESTS MAY BE SUBMITTED FOR APPROVAL SEPARATELY OR IN COMBINATION WITH THE MAIN COLLECTION OF INFORMATION.  </w:t>
      </w:r>
    </w:p>
    <w:p w:rsidRPr="00B6673E" w:rsidR="00CD10A1" w:rsidP="00CD10A1" w:rsidRDefault="00CD10A1" w14:paraId="4CC00B43" w14:textId="77777777">
      <w:pPr>
        <w:pStyle w:val="BodyTextIndent3"/>
        <w:tabs>
          <w:tab w:val="clear" w:pos="361"/>
          <w:tab w:val="clear" w:pos="1083"/>
          <w:tab w:val="clear" w:pos="1806"/>
          <w:tab w:val="clear" w:pos="2528"/>
          <w:tab w:val="clear" w:pos="3250"/>
          <w:tab w:val="clear" w:pos="3973"/>
          <w:tab w:val="clear" w:pos="4695"/>
          <w:tab w:val="clear" w:pos="5418"/>
          <w:tab w:val="clear" w:pos="6140"/>
          <w:tab w:val="left" w:pos="288"/>
          <w:tab w:val="left" w:pos="474"/>
          <w:tab w:val="left" w:pos="661"/>
          <w:tab w:val="left" w:pos="6480"/>
          <w:tab w:val="left" w:pos="7200"/>
          <w:tab w:val="left" w:pos="7920"/>
          <w:tab w:val="left" w:pos="8640"/>
          <w:tab w:val="left" w:pos="9360"/>
        </w:tabs>
        <w:spacing w:after="79"/>
        <w:ind w:left="0"/>
        <w:rPr>
          <w:rFonts w:ascii="Times New Roman" w:hAnsi="Times New Roman"/>
          <w:i w:val="0"/>
          <w:szCs w:val="24"/>
        </w:rPr>
      </w:pPr>
    </w:p>
    <w:p w:rsidR="00172F93" w:rsidP="00E86D9C" w:rsidRDefault="006A6C02" w14:paraId="7E7CFA7A" w14:textId="77777777">
      <w:pPr>
        <w:rPr>
          <w:rFonts w:ascii="Times New Roman" w:hAnsi="Times New Roman"/>
        </w:rPr>
      </w:pPr>
      <w:r w:rsidRPr="00E86D9C">
        <w:rPr>
          <w:rFonts w:ascii="Times New Roman" w:hAnsi="Times New Roman"/>
        </w:rPr>
        <w:t>This is a censu</w:t>
      </w:r>
      <w:r w:rsidRPr="00E86D9C" w:rsidR="00840C7C">
        <w:rPr>
          <w:rFonts w:ascii="Times New Roman" w:hAnsi="Times New Roman"/>
        </w:rPr>
        <w:t>s of hemp producers and will provide a baseline for future hemp surveys.</w:t>
      </w:r>
      <w:r w:rsidRPr="00E86D9C" w:rsidR="00B6673E">
        <w:rPr>
          <w:rFonts w:ascii="Times New Roman" w:hAnsi="Times New Roman"/>
        </w:rPr>
        <w:t xml:space="preserve"> </w:t>
      </w:r>
      <w:r w:rsidRPr="00E86D9C" w:rsidR="00840C7C">
        <w:rPr>
          <w:rFonts w:ascii="Times New Roman" w:hAnsi="Times New Roman"/>
        </w:rPr>
        <w:t xml:space="preserve"> </w:t>
      </w:r>
      <w:r w:rsidRPr="00E86D9C" w:rsidR="0004650C">
        <w:rPr>
          <w:rFonts w:ascii="Times New Roman" w:hAnsi="Times New Roman"/>
        </w:rPr>
        <w:t>There are no tests of procedures or methods to be undertaken.</w:t>
      </w:r>
      <w:r w:rsidRPr="00E86D9C" w:rsidR="00B6673E">
        <w:rPr>
          <w:rFonts w:ascii="Times New Roman" w:hAnsi="Times New Roman"/>
        </w:rPr>
        <w:t xml:space="preserve"> </w:t>
      </w:r>
      <w:r w:rsidRPr="00E86D9C" w:rsidR="0004650C">
        <w:rPr>
          <w:rFonts w:ascii="Times New Roman" w:hAnsi="Times New Roman"/>
        </w:rPr>
        <w:t xml:space="preserve"> </w:t>
      </w:r>
      <w:r w:rsidRPr="00E86D9C" w:rsidR="00840C7C">
        <w:rPr>
          <w:rFonts w:ascii="Times New Roman" w:hAnsi="Times New Roman"/>
        </w:rPr>
        <w:t xml:space="preserve">Information collected from this survey will provide valuable information on the production costs of hemp. </w:t>
      </w:r>
      <w:r w:rsidRPr="00E86D9C" w:rsidR="00B6673E">
        <w:rPr>
          <w:rFonts w:ascii="Times New Roman" w:hAnsi="Times New Roman"/>
        </w:rPr>
        <w:t xml:space="preserve"> </w:t>
      </w:r>
      <w:r w:rsidRPr="00E86D9C" w:rsidR="00840C7C">
        <w:rPr>
          <w:rFonts w:ascii="Times New Roman" w:hAnsi="Times New Roman"/>
        </w:rPr>
        <w:t>It will also help to inform future surveys of hemp producers and sampling methods.</w:t>
      </w:r>
      <w:r w:rsidRPr="00E86D9C" w:rsidR="006D4FE2">
        <w:rPr>
          <w:rFonts w:ascii="Times New Roman" w:hAnsi="Times New Roman"/>
        </w:rPr>
        <w:t xml:space="preserve"> </w:t>
      </w:r>
      <w:r w:rsidRPr="00E86D9C" w:rsidR="00B6673E">
        <w:rPr>
          <w:rFonts w:ascii="Times New Roman" w:hAnsi="Times New Roman"/>
        </w:rPr>
        <w:t xml:space="preserve"> </w:t>
      </w:r>
      <w:r w:rsidRPr="00E86D9C" w:rsidR="0004650C">
        <w:rPr>
          <w:rFonts w:ascii="Times New Roman" w:hAnsi="Times New Roman"/>
        </w:rPr>
        <w:t>While there are no tests, w</w:t>
      </w:r>
      <w:r w:rsidRPr="00E86D9C" w:rsidR="00D140AC">
        <w:rPr>
          <w:rFonts w:ascii="Times New Roman" w:hAnsi="Times New Roman"/>
        </w:rPr>
        <w:t xml:space="preserve">e have integrated “skip logic” statements heavily throughout the survey to allow respondents to bypass unnecessary parts of the survey. </w:t>
      </w:r>
      <w:r w:rsidR="00E86D9C">
        <w:rPr>
          <w:rFonts w:ascii="Times New Roman" w:hAnsi="Times New Roman"/>
        </w:rPr>
        <w:t xml:space="preserve"> </w:t>
      </w:r>
      <w:r w:rsidRPr="00E86D9C" w:rsidR="001B5E65">
        <w:rPr>
          <w:rFonts w:ascii="Times New Roman" w:hAnsi="Times New Roman"/>
        </w:rPr>
        <w:t xml:space="preserve">This will only be a concern for producers completing the paper version as those taken the online version should not have this issue. </w:t>
      </w:r>
      <w:r w:rsidRPr="00E86D9C" w:rsidR="00D950D5">
        <w:rPr>
          <w:rFonts w:ascii="Times New Roman" w:hAnsi="Times New Roman"/>
        </w:rPr>
        <w:t xml:space="preserve"> </w:t>
      </w:r>
      <w:r w:rsidRPr="00E86D9C" w:rsidR="001B5E65">
        <w:rPr>
          <w:rFonts w:ascii="Times New Roman" w:hAnsi="Times New Roman"/>
        </w:rPr>
        <w:t>The online version of the survey will be encouraged through the email and postcard communication to producers to minimize this issue.</w:t>
      </w:r>
      <w:r w:rsidRPr="00E86D9C" w:rsidR="00D950D5">
        <w:rPr>
          <w:rFonts w:ascii="Times New Roman" w:hAnsi="Times New Roman"/>
        </w:rPr>
        <w:t xml:space="preserve"> </w:t>
      </w:r>
      <w:r w:rsidRPr="00E86D9C" w:rsidR="001B5E65">
        <w:rPr>
          <w:rFonts w:ascii="Times New Roman" w:hAnsi="Times New Roman"/>
        </w:rPr>
        <w:t xml:space="preserve"> In the data cleaning process this will be a focus for those entering in data from the paper survey. </w:t>
      </w:r>
      <w:r w:rsidRPr="00E86D9C" w:rsidR="00D140AC">
        <w:rPr>
          <w:rFonts w:ascii="Times New Roman" w:hAnsi="Times New Roman"/>
        </w:rPr>
        <w:t xml:space="preserve"> After this inaugural survey, the frequency of respon</w:t>
      </w:r>
      <w:r w:rsidRPr="00E86D9C" w:rsidR="0004650C">
        <w:rPr>
          <w:rFonts w:ascii="Times New Roman" w:hAnsi="Times New Roman"/>
        </w:rPr>
        <w:t>ses</w:t>
      </w:r>
      <w:r w:rsidRPr="00E86D9C" w:rsidR="00D140AC">
        <w:rPr>
          <w:rFonts w:ascii="Times New Roman" w:hAnsi="Times New Roman"/>
        </w:rPr>
        <w:t xml:space="preserve"> to various sections can be used to refine future surveys, with the knowledge of how common (or not) respondents </w:t>
      </w:r>
      <w:r w:rsidRPr="00E86D9C" w:rsidR="00B6673E">
        <w:rPr>
          <w:rFonts w:ascii="Times New Roman" w:hAnsi="Times New Roman"/>
        </w:rPr>
        <w:t>each</w:t>
      </w:r>
      <w:r w:rsidRPr="00E86D9C" w:rsidR="00D140AC">
        <w:rPr>
          <w:rFonts w:ascii="Times New Roman" w:hAnsi="Times New Roman"/>
        </w:rPr>
        <w:t xml:space="preserve"> question</w:t>
      </w:r>
      <w:r w:rsidRPr="00E86D9C" w:rsidR="00B6673E">
        <w:rPr>
          <w:rFonts w:ascii="Times New Roman" w:hAnsi="Times New Roman"/>
        </w:rPr>
        <w:t xml:space="preserve"> </w:t>
      </w:r>
      <w:r w:rsidRPr="00E86D9C" w:rsidR="00D140AC">
        <w:rPr>
          <w:rFonts w:ascii="Times New Roman" w:hAnsi="Times New Roman"/>
        </w:rPr>
        <w:t>relevant.</w:t>
      </w:r>
    </w:p>
    <w:p w:rsidRPr="00B6673E" w:rsidR="0018239E" w:rsidP="0018239E" w:rsidRDefault="0018239E" w14:paraId="1BA2252A" w14:textId="77777777">
      <w:pPr>
        <w:rPr>
          <w:rFonts w:ascii="Times New Roman" w:hAnsi="Times New Roman"/>
          <w:b/>
          <w:szCs w:val="24"/>
        </w:rPr>
      </w:pPr>
    </w:p>
    <w:p w:rsidRPr="00B6673E" w:rsidR="0018239E" w:rsidP="0018239E" w:rsidRDefault="0018239E" w14:paraId="36788610" w14:textId="77777777">
      <w:pPr>
        <w:tabs>
          <w:tab w:val="left" w:pos="-1440"/>
        </w:tabs>
        <w:ind w:left="1440" w:hanging="720"/>
        <w:rPr>
          <w:rFonts w:ascii="Times New Roman" w:hAnsi="Times New Roman"/>
          <w:b/>
          <w:szCs w:val="24"/>
        </w:rPr>
      </w:pPr>
      <w:r w:rsidRPr="00B6673E">
        <w:rPr>
          <w:rFonts w:ascii="Times New Roman" w:hAnsi="Times New Roman"/>
          <w:b/>
          <w:szCs w:val="24"/>
        </w:rPr>
        <w:t>5.</w:t>
      </w:r>
      <w:r w:rsidRPr="00B6673E">
        <w:rPr>
          <w:rFonts w:ascii="Times New Roman" w:hAnsi="Times New Roman"/>
          <w:b/>
          <w:szCs w:val="24"/>
        </w:rPr>
        <w:tab/>
        <w:t xml:space="preserve">PROVIDE THE NAME AND TELEPHONE NUMBER OF INDIVIDUALS CONSULTED ON STATISTICAL ASPECTS OF THE DESIGN AND THE NAME OF THE AGENCY UNIT, CONTRACTOR(S), GRANTEE(S), OR OTHER PERSON(S) WHO WILL ACTUALLY COLLECT AND/OR ANALYZE THE INFORMATION FOR THE AGENCY.  </w:t>
      </w:r>
    </w:p>
    <w:p w:rsidRPr="00B6673E" w:rsidR="00CD10A1" w:rsidP="00CD10A1" w:rsidRDefault="00CD10A1" w14:paraId="48BBEA6E" w14:textId="77777777">
      <w:pPr>
        <w:pStyle w:val="BodyTextIndent3"/>
        <w:tabs>
          <w:tab w:val="clear" w:pos="361"/>
          <w:tab w:val="clear" w:pos="1083"/>
          <w:tab w:val="clear" w:pos="1806"/>
          <w:tab w:val="clear" w:pos="2528"/>
          <w:tab w:val="clear" w:pos="3250"/>
          <w:tab w:val="clear" w:pos="3973"/>
          <w:tab w:val="clear" w:pos="4695"/>
          <w:tab w:val="clear" w:pos="5418"/>
          <w:tab w:val="clear" w:pos="6140"/>
          <w:tab w:val="left" w:pos="288"/>
          <w:tab w:val="left" w:pos="474"/>
          <w:tab w:val="left" w:pos="661"/>
          <w:tab w:val="left" w:pos="6480"/>
          <w:tab w:val="left" w:pos="7200"/>
          <w:tab w:val="left" w:pos="7920"/>
          <w:tab w:val="left" w:pos="8640"/>
          <w:tab w:val="left" w:pos="9360"/>
        </w:tabs>
        <w:spacing w:after="79"/>
        <w:ind w:left="0"/>
        <w:rPr>
          <w:rFonts w:ascii="Times New Roman" w:hAnsi="Times New Roman"/>
          <w:i w:val="0"/>
          <w:szCs w:val="24"/>
        </w:rPr>
      </w:pPr>
    </w:p>
    <w:p w:rsidR="00D950D5" w:rsidP="00CD10A1" w:rsidRDefault="00E42D7F" w14:paraId="6C1D56E6" w14:textId="77777777">
      <w:pPr>
        <w:pStyle w:val="BodyTextIndent3"/>
        <w:tabs>
          <w:tab w:val="clear" w:pos="361"/>
          <w:tab w:val="clear" w:pos="1083"/>
          <w:tab w:val="clear" w:pos="1806"/>
          <w:tab w:val="clear" w:pos="2528"/>
          <w:tab w:val="clear" w:pos="3250"/>
          <w:tab w:val="clear" w:pos="3973"/>
          <w:tab w:val="clear" w:pos="4695"/>
          <w:tab w:val="clear" w:pos="5418"/>
          <w:tab w:val="clear" w:pos="6140"/>
          <w:tab w:val="left" w:pos="288"/>
          <w:tab w:val="left" w:pos="474"/>
          <w:tab w:val="left" w:pos="661"/>
          <w:tab w:val="left" w:pos="6480"/>
          <w:tab w:val="left" w:pos="7200"/>
          <w:tab w:val="left" w:pos="7920"/>
          <w:tab w:val="left" w:pos="8640"/>
          <w:tab w:val="left" w:pos="9360"/>
        </w:tabs>
        <w:spacing w:after="79"/>
        <w:ind w:left="0"/>
        <w:rPr>
          <w:rFonts w:ascii="Times New Roman" w:hAnsi="Times New Roman"/>
          <w:i w:val="0"/>
          <w:szCs w:val="24"/>
        </w:rPr>
        <w:sectPr w:rsidR="00D950D5" w:rsidSect="0018239E">
          <w:footerReference w:type="default" r:id="rId8"/>
          <w:endnotePr>
            <w:numFmt w:val="decimal"/>
          </w:endnotePr>
          <w:pgSz w:w="12240" w:h="15840"/>
          <w:pgMar w:top="1440" w:right="1440" w:bottom="1440" w:left="1440" w:header="1440" w:footer="1440" w:gutter="0"/>
          <w:cols w:space="720"/>
          <w:noEndnote/>
        </w:sectPr>
      </w:pPr>
      <w:r w:rsidRPr="00E42D7F">
        <w:rPr>
          <w:rFonts w:ascii="Times New Roman" w:hAnsi="Times New Roman"/>
          <w:i w:val="0"/>
          <w:color w:val="000000"/>
          <w:szCs w:val="24"/>
        </w:rPr>
        <w:t xml:space="preserve">Table 1 below is a complete list of all individuals who provided input and pretested the survey instrument. </w:t>
      </w:r>
      <w:r w:rsidR="00E86D9C">
        <w:rPr>
          <w:rFonts w:ascii="Times New Roman" w:hAnsi="Times New Roman"/>
          <w:i w:val="0"/>
          <w:color w:val="000000"/>
          <w:szCs w:val="24"/>
        </w:rPr>
        <w:t xml:space="preserve"> </w:t>
      </w:r>
      <w:r w:rsidRPr="00E42D7F">
        <w:rPr>
          <w:rFonts w:ascii="Times New Roman" w:hAnsi="Times New Roman"/>
          <w:i w:val="0"/>
          <w:color w:val="000000"/>
          <w:szCs w:val="24"/>
        </w:rPr>
        <w:t xml:space="preserve">Extensive input from these groups incorporated into the survey to improve working, length, flow, and cognitive load for the license holder. </w:t>
      </w:r>
      <w:r w:rsidRPr="00E42D7F" w:rsidR="00D76977">
        <w:rPr>
          <w:rFonts w:ascii="Times New Roman" w:hAnsi="Times New Roman"/>
          <w:i w:val="0"/>
          <w:szCs w:val="24"/>
        </w:rPr>
        <w:t xml:space="preserve"> </w:t>
      </w:r>
    </w:p>
    <w:p w:rsidRPr="00B6673E" w:rsidR="0018239E" w:rsidP="00D950D5" w:rsidRDefault="00E42D7F" w14:paraId="3C9BA6B2" w14:textId="77777777">
      <w:pPr>
        <w:pStyle w:val="BodyTextIndent3"/>
        <w:tabs>
          <w:tab w:val="clear" w:pos="361"/>
          <w:tab w:val="clear" w:pos="1083"/>
          <w:tab w:val="clear" w:pos="1806"/>
          <w:tab w:val="clear" w:pos="2528"/>
          <w:tab w:val="clear" w:pos="3250"/>
          <w:tab w:val="clear" w:pos="3973"/>
          <w:tab w:val="clear" w:pos="4695"/>
          <w:tab w:val="clear" w:pos="5418"/>
          <w:tab w:val="clear" w:pos="6140"/>
          <w:tab w:val="left" w:pos="288"/>
          <w:tab w:val="left" w:pos="474"/>
          <w:tab w:val="left" w:pos="661"/>
          <w:tab w:val="left" w:pos="6480"/>
          <w:tab w:val="left" w:pos="7200"/>
          <w:tab w:val="left" w:pos="7920"/>
          <w:tab w:val="left" w:pos="8640"/>
          <w:tab w:val="left" w:pos="9360"/>
        </w:tabs>
        <w:spacing w:after="79"/>
        <w:ind w:left="0"/>
        <w:rPr>
          <w:rFonts w:ascii="Times New Roman" w:hAnsi="Times New Roman"/>
          <w:szCs w:val="24"/>
        </w:rPr>
      </w:pPr>
      <w:r w:rsidRPr="00E42D7F">
        <w:rPr>
          <w:rFonts w:ascii="Times New Roman" w:hAnsi="Times New Roman"/>
          <w:i w:val="0"/>
          <w:szCs w:val="24"/>
        </w:rPr>
        <w:lastRenderedPageBreak/>
        <w:t xml:space="preserve">Table 1: Individuals Pre-testing Survey </w:t>
      </w:r>
      <w:r w:rsidRPr="00E42D7F" w:rsidR="00D950D5">
        <w:rPr>
          <w:noProof/>
          <w:snapToGrid/>
        </w:rPr>
        <w:pict w14:anchorId="7FE8DFD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width:371pt;height:545pt;visibility:visible" o:spid="_x0000_i1025" type="#_x0000_t75">
            <v:imagedata o:title="" r:id="rId9"/>
          </v:shape>
        </w:pict>
      </w:r>
    </w:p>
    <w:sectPr w:rsidRPr="00B6673E" w:rsidR="0018239E" w:rsidSect="0018239E">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0D826" w14:textId="77777777" w:rsidR="00910055" w:rsidRDefault="00910055">
      <w:r>
        <w:separator/>
      </w:r>
    </w:p>
  </w:endnote>
  <w:endnote w:type="continuationSeparator" w:id="0">
    <w:p w14:paraId="59A7AF15" w14:textId="77777777" w:rsidR="00910055" w:rsidRDefault="0091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D8472" w14:textId="77777777" w:rsidR="0018239E" w:rsidRDefault="0018239E">
    <w:pPr>
      <w:spacing w:line="240" w:lineRule="exact"/>
    </w:pPr>
  </w:p>
  <w:p w14:paraId="1F9EB420" w14:textId="77777777" w:rsidR="0018239E" w:rsidRDefault="0018239E">
    <w:pPr>
      <w:framePr w:w="9361" w:wrap="notBeside" w:vAnchor="text" w:hAnchor="text" w:x="1" w:y="1"/>
      <w:jc w:val="center"/>
    </w:pPr>
    <w:r>
      <w:fldChar w:fldCharType="begin"/>
    </w:r>
    <w:r>
      <w:instrText xml:space="preserve">PAGE </w:instrText>
    </w:r>
    <w:r>
      <w:fldChar w:fldCharType="separate"/>
    </w:r>
    <w:r w:rsidR="00CF23F0">
      <w:rPr>
        <w:noProof/>
      </w:rPr>
      <w:t>1</w:t>
    </w:r>
    <w:r>
      <w:fldChar w:fldCharType="end"/>
    </w:r>
  </w:p>
  <w:p w14:paraId="2670F7A2" w14:textId="77777777" w:rsidR="0018239E" w:rsidRDefault="001823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6DF4B" w14:textId="77777777" w:rsidR="00910055" w:rsidRDefault="00910055">
      <w:r>
        <w:separator/>
      </w:r>
    </w:p>
  </w:footnote>
  <w:footnote w:type="continuationSeparator" w:id="0">
    <w:p w14:paraId="57BF336A" w14:textId="77777777" w:rsidR="00910055" w:rsidRDefault="00910055">
      <w:r>
        <w:continuationSeparator/>
      </w:r>
    </w:p>
  </w:footnote>
  <w:footnote w:id="1">
    <w:p w14:paraId="35E9D2AB" w14:textId="77777777" w:rsidR="00F81D4B" w:rsidRDefault="00F81D4B" w:rsidP="00F81D4B">
      <w:pPr>
        <w:pStyle w:val="FootnoteText"/>
      </w:pPr>
      <w:r>
        <w:rPr>
          <w:rStyle w:val="FootnoteReference"/>
        </w:rPr>
        <w:footnoteRef/>
      </w:r>
      <w:r>
        <w:t xml:space="preserve"> </w:t>
      </w:r>
      <w:r w:rsidRPr="0068670E">
        <w:rPr>
          <w:rFonts w:ascii="Times New Roman" w:hAnsi="Times New Roman"/>
        </w:rPr>
        <w:t>Mark, Tyler, Jonathan Shepherd, David Olson, William Snell, Susan Proper, and Suzanne Thornsbury. February 2020. Economic Viability of Industrial Hemp in the United States: A Review of State Pilot Programs, EIB-217, U.S. Department of Agriculture, Economic Research Service.</w:t>
      </w:r>
    </w:p>
  </w:footnote>
  <w:footnote w:id="2">
    <w:p w14:paraId="6643B007" w14:textId="77777777" w:rsidR="00F81D4B" w:rsidRPr="0068670E" w:rsidRDefault="00F81D4B" w:rsidP="00F81D4B">
      <w:pPr>
        <w:pStyle w:val="FootnoteText"/>
        <w:rPr>
          <w:rFonts w:ascii="Times New Roman" w:hAnsi="Times New Roman"/>
        </w:rPr>
      </w:pPr>
      <w:r w:rsidRPr="0068670E">
        <w:rPr>
          <w:rStyle w:val="FootnoteReference"/>
          <w:rFonts w:ascii="Times New Roman" w:hAnsi="Times New Roman"/>
        </w:rPr>
        <w:footnoteRef/>
      </w:r>
      <w:r w:rsidRPr="0068670E">
        <w:rPr>
          <w:rFonts w:ascii="Times New Roman" w:hAnsi="Times New Roman"/>
        </w:rPr>
        <w:t xml:space="preserve"> </w:t>
      </w:r>
      <w:r w:rsidRPr="0068670E">
        <w:rPr>
          <w:rFonts w:ascii="Times New Roman" w:hAnsi="Times New Roman"/>
          <w:color w:val="1C1D1E"/>
          <w:sz w:val="21"/>
          <w:szCs w:val="21"/>
          <w:shd w:val="clear" w:color="auto" w:fill="FFFFFF"/>
        </w:rPr>
        <w:t>Ellison, S. (2021), Hemp (</w:t>
      </w:r>
      <w:r w:rsidRPr="0068670E">
        <w:rPr>
          <w:rFonts w:ascii="Times New Roman" w:hAnsi="Times New Roman"/>
          <w:i/>
          <w:iCs/>
          <w:color w:val="1C1D1E"/>
          <w:sz w:val="21"/>
          <w:szCs w:val="21"/>
          <w:shd w:val="clear" w:color="auto" w:fill="FFFFFF"/>
        </w:rPr>
        <w:t>Cannabis sativa</w:t>
      </w:r>
      <w:r w:rsidRPr="0068670E">
        <w:rPr>
          <w:rFonts w:ascii="Times New Roman" w:hAnsi="Times New Roman"/>
          <w:color w:val="1C1D1E"/>
          <w:sz w:val="21"/>
          <w:szCs w:val="21"/>
          <w:shd w:val="clear" w:color="auto" w:fill="FFFFFF"/>
        </w:rPr>
        <w:t> L.) research priorities: Opinions from United States hemp stakeholders. GCB Bioenergy, 13: 562-569. </w:t>
      </w:r>
      <w:hyperlink r:id="rId1" w:history="1">
        <w:r w:rsidRPr="0068670E">
          <w:rPr>
            <w:rStyle w:val="Hyperlink"/>
            <w:rFonts w:ascii="Times New Roman" w:hAnsi="Times New Roman"/>
            <w:color w:val="005274"/>
            <w:sz w:val="21"/>
            <w:szCs w:val="21"/>
            <w:shd w:val="clear" w:color="auto" w:fill="FFFFFF"/>
          </w:rPr>
          <w:t>https://doi.org/10.1111/gcbb.12794</w:t>
        </w:r>
      </w:hyperlink>
    </w:p>
  </w:footnote>
  <w:footnote w:id="3">
    <w:p w14:paraId="4DC4E870" w14:textId="77777777" w:rsidR="00D950D5" w:rsidRDefault="00D950D5" w:rsidP="00D950D5">
      <w:pPr>
        <w:pStyle w:val="FootnoteText"/>
      </w:pPr>
      <w:r>
        <w:rPr>
          <w:rStyle w:val="FootnoteReference"/>
        </w:rPr>
        <w:footnoteRef/>
      </w:r>
      <w:r>
        <w:t xml:space="preserve"> Hemp Final Rule: </w:t>
      </w:r>
      <w:hyperlink r:id="rId2" w:history="1">
        <w:r w:rsidRPr="00445121">
          <w:rPr>
            <w:rStyle w:val="Hyperlink"/>
          </w:rPr>
          <w:t>https://www.federalregister.gov/documents/2021/01/19/2021-00967/establishment-of-a-domestic-hemp-production-program</w:t>
        </w:r>
      </w:hyperlink>
      <w:r>
        <w:t xml:space="preserve"> </w:t>
      </w:r>
    </w:p>
  </w:footnote>
  <w:footnote w:id="4">
    <w:p w14:paraId="1616001C" w14:textId="77777777" w:rsidR="00D950D5" w:rsidRPr="00616214" w:rsidRDefault="00D950D5" w:rsidP="00D950D5">
      <w:pPr>
        <w:pStyle w:val="FootnoteText"/>
        <w:rPr>
          <w:sz w:val="24"/>
        </w:rPr>
      </w:pPr>
      <w:r>
        <w:rPr>
          <w:rStyle w:val="FootnoteReference"/>
        </w:rPr>
        <w:footnoteRef/>
      </w:r>
      <w:r>
        <w:t xml:space="preserve"> </w:t>
      </w:r>
      <w:proofErr w:type="spellStart"/>
      <w:r w:rsidRPr="00616214">
        <w:rPr>
          <w:rFonts w:ascii="Times New Roman" w:hAnsi="Times New Roman"/>
          <w:color w:val="222222"/>
          <w:sz w:val="24"/>
          <w:shd w:val="clear" w:color="auto" w:fill="FFFFFF"/>
        </w:rPr>
        <w:t>Lineback</w:t>
      </w:r>
      <w:proofErr w:type="spellEnd"/>
      <w:r w:rsidRPr="00616214">
        <w:rPr>
          <w:rFonts w:ascii="Times New Roman" w:hAnsi="Times New Roman"/>
          <w:color w:val="222222"/>
          <w:sz w:val="24"/>
          <w:shd w:val="clear" w:color="auto" w:fill="FFFFFF"/>
        </w:rPr>
        <w:t>, Joanna Fane, and Katherine J. Thompson. "Conducting nonresponse bias analysis for business surveys." </w:t>
      </w:r>
      <w:r w:rsidRPr="00616214">
        <w:rPr>
          <w:rFonts w:ascii="Times New Roman" w:hAnsi="Times New Roman"/>
          <w:i/>
          <w:iCs/>
          <w:color w:val="222222"/>
          <w:sz w:val="24"/>
          <w:shd w:val="clear" w:color="auto" w:fill="FFFFFF"/>
        </w:rPr>
        <w:t>Proceedings of the American Statistical Association, Section on Government Statistics</w:t>
      </w:r>
      <w:r w:rsidRPr="00616214">
        <w:rPr>
          <w:rFonts w:ascii="Times New Roman" w:hAnsi="Times New Roman"/>
          <w:color w:val="222222"/>
          <w:sz w:val="24"/>
          <w:shd w:val="clear" w:color="auto" w:fill="FFFFFF"/>
        </w:rPr>
        <w:t>. 2010.</w:t>
      </w:r>
    </w:p>
  </w:footnote>
  <w:footnote w:id="5">
    <w:p w14:paraId="650EE978" w14:textId="77777777" w:rsidR="00E86D9C" w:rsidRPr="00616214" w:rsidRDefault="00E86D9C" w:rsidP="00E86D9C">
      <w:pPr>
        <w:pStyle w:val="FootnoteText"/>
        <w:rPr>
          <w:sz w:val="24"/>
        </w:rPr>
      </w:pPr>
      <w:r>
        <w:rPr>
          <w:rStyle w:val="FootnoteReference"/>
        </w:rPr>
        <w:footnoteRef/>
      </w:r>
      <w:r>
        <w:t xml:space="preserve"> </w:t>
      </w:r>
      <w:proofErr w:type="spellStart"/>
      <w:r w:rsidRPr="00616214">
        <w:rPr>
          <w:rFonts w:ascii="Times New Roman" w:hAnsi="Times New Roman"/>
          <w:color w:val="222222"/>
          <w:sz w:val="24"/>
          <w:shd w:val="clear" w:color="auto" w:fill="FFFFFF"/>
        </w:rPr>
        <w:t>Lineback</w:t>
      </w:r>
      <w:proofErr w:type="spellEnd"/>
      <w:r w:rsidRPr="00616214">
        <w:rPr>
          <w:rFonts w:ascii="Times New Roman" w:hAnsi="Times New Roman"/>
          <w:color w:val="222222"/>
          <w:sz w:val="24"/>
          <w:shd w:val="clear" w:color="auto" w:fill="FFFFFF"/>
        </w:rPr>
        <w:t>, Joanna Fane, and Katherine J. Thompson. "Conducting nonresponse bias analysis for business surveys." </w:t>
      </w:r>
      <w:r w:rsidRPr="00616214">
        <w:rPr>
          <w:rFonts w:ascii="Times New Roman" w:hAnsi="Times New Roman"/>
          <w:i/>
          <w:iCs/>
          <w:color w:val="222222"/>
          <w:sz w:val="24"/>
          <w:shd w:val="clear" w:color="auto" w:fill="FFFFFF"/>
        </w:rPr>
        <w:t>Proceedings of the American Statistical Association, Section on Government Statistics</w:t>
      </w:r>
      <w:r w:rsidRPr="00616214">
        <w:rPr>
          <w:rFonts w:ascii="Times New Roman" w:hAnsi="Times New Roman"/>
          <w:color w:val="222222"/>
          <w:sz w:val="24"/>
          <w:shd w:val="clear" w:color="auto" w:fill="FFFFFF"/>
        </w:rPr>
        <w:t>.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494E"/>
    <w:multiLevelType w:val="hybridMultilevel"/>
    <w:tmpl w:val="A82E89FA"/>
    <w:lvl w:ilvl="0" w:tplc="069256C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94E"/>
    <w:multiLevelType w:val="hybridMultilevel"/>
    <w:tmpl w:val="CA56F1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B47F8C"/>
    <w:multiLevelType w:val="hybridMultilevel"/>
    <w:tmpl w:val="BBDC8C58"/>
    <w:lvl w:ilvl="0" w:tplc="0FB0272A">
      <w:start w:val="1"/>
      <w:numFmt w:val="bullet"/>
      <w:lvlText w:val="-"/>
      <w:lvlJc w:val="left"/>
      <w:pPr>
        <w:ind w:left="1800" w:hanging="360"/>
      </w:pPr>
      <w:rPr>
        <w:rFonts w:ascii="CG Times" w:eastAsia="Times New Roman" w:hAnsi="CG 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935764"/>
    <w:multiLevelType w:val="hybridMultilevel"/>
    <w:tmpl w:val="5C64BE38"/>
    <w:lvl w:ilvl="0" w:tplc="86F866EA">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26CE8"/>
    <w:multiLevelType w:val="hybridMultilevel"/>
    <w:tmpl w:val="8540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473E9"/>
    <w:multiLevelType w:val="hybridMultilevel"/>
    <w:tmpl w:val="8B48AFEA"/>
    <w:lvl w:ilvl="0" w:tplc="E4CE51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A274E75"/>
    <w:multiLevelType w:val="hybridMultilevel"/>
    <w:tmpl w:val="69AC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F0D71"/>
    <w:multiLevelType w:val="hybridMultilevel"/>
    <w:tmpl w:val="BDBA1776"/>
    <w:lvl w:ilvl="0" w:tplc="069256CE">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773736"/>
    <w:multiLevelType w:val="hybridMultilevel"/>
    <w:tmpl w:val="B722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C0ED8"/>
    <w:multiLevelType w:val="hybridMultilevel"/>
    <w:tmpl w:val="0A1C3FF0"/>
    <w:lvl w:ilvl="0" w:tplc="4D6EF0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BD650A"/>
    <w:multiLevelType w:val="hybridMultilevel"/>
    <w:tmpl w:val="C4EC27E8"/>
    <w:lvl w:ilvl="0" w:tplc="0FB0272A">
      <w:start w:val="1"/>
      <w:numFmt w:val="bullet"/>
      <w:lvlText w:val="-"/>
      <w:lvlJc w:val="left"/>
      <w:pPr>
        <w:ind w:left="1080" w:hanging="360"/>
      </w:pPr>
      <w:rPr>
        <w:rFonts w:ascii="CG Times" w:eastAsia="Times New Roman" w:hAnsi="CG Time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AD20B0"/>
    <w:multiLevelType w:val="hybridMultilevel"/>
    <w:tmpl w:val="7C3CA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3"/>
  </w:num>
  <w:num w:numId="6">
    <w:abstractNumId w:val="10"/>
  </w:num>
  <w:num w:numId="7">
    <w:abstractNumId w:val="11"/>
  </w:num>
  <w:num w:numId="8">
    <w:abstractNumId w:val="1"/>
  </w:num>
  <w:num w:numId="9">
    <w:abstractNumId w:val="8"/>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xMDYyMzEyNjY1NjdU0lEKTi0uzszPAykwrQUAuMn+FCwAAAA="/>
  </w:docVars>
  <w:rsids>
    <w:rsidRoot w:val="0018239E"/>
    <w:rsid w:val="00025DB0"/>
    <w:rsid w:val="0003591E"/>
    <w:rsid w:val="00042157"/>
    <w:rsid w:val="0004650C"/>
    <w:rsid w:val="00057D84"/>
    <w:rsid w:val="000752AB"/>
    <w:rsid w:val="000E1BBE"/>
    <w:rsid w:val="000F7407"/>
    <w:rsid w:val="00130FDE"/>
    <w:rsid w:val="00172F93"/>
    <w:rsid w:val="0018239E"/>
    <w:rsid w:val="001B345A"/>
    <w:rsid w:val="001B5E65"/>
    <w:rsid w:val="002A0D3F"/>
    <w:rsid w:val="003024E6"/>
    <w:rsid w:val="003027A0"/>
    <w:rsid w:val="003227EA"/>
    <w:rsid w:val="00357082"/>
    <w:rsid w:val="003873CB"/>
    <w:rsid w:val="00434D47"/>
    <w:rsid w:val="0043593C"/>
    <w:rsid w:val="00443AEB"/>
    <w:rsid w:val="004705AA"/>
    <w:rsid w:val="004E00F9"/>
    <w:rsid w:val="005F1F82"/>
    <w:rsid w:val="00602B34"/>
    <w:rsid w:val="00634285"/>
    <w:rsid w:val="00643B7A"/>
    <w:rsid w:val="0068670E"/>
    <w:rsid w:val="006A6C02"/>
    <w:rsid w:val="006D4FE2"/>
    <w:rsid w:val="006E6E75"/>
    <w:rsid w:val="00700CFC"/>
    <w:rsid w:val="00713596"/>
    <w:rsid w:val="007712DB"/>
    <w:rsid w:val="00781AC5"/>
    <w:rsid w:val="007B5866"/>
    <w:rsid w:val="007B6FED"/>
    <w:rsid w:val="00840C7C"/>
    <w:rsid w:val="00841253"/>
    <w:rsid w:val="0086742B"/>
    <w:rsid w:val="00893639"/>
    <w:rsid w:val="008A1AE9"/>
    <w:rsid w:val="009041F3"/>
    <w:rsid w:val="00910055"/>
    <w:rsid w:val="009968FB"/>
    <w:rsid w:val="00A678D5"/>
    <w:rsid w:val="00A7674E"/>
    <w:rsid w:val="00AA217F"/>
    <w:rsid w:val="00AA3DB0"/>
    <w:rsid w:val="00AC42EF"/>
    <w:rsid w:val="00AF2944"/>
    <w:rsid w:val="00B101C3"/>
    <w:rsid w:val="00B6004D"/>
    <w:rsid w:val="00B60495"/>
    <w:rsid w:val="00B6673E"/>
    <w:rsid w:val="00B97A33"/>
    <w:rsid w:val="00BC159C"/>
    <w:rsid w:val="00BC4861"/>
    <w:rsid w:val="00C1423D"/>
    <w:rsid w:val="00CD10A1"/>
    <w:rsid w:val="00CE11E4"/>
    <w:rsid w:val="00CF23F0"/>
    <w:rsid w:val="00D140AC"/>
    <w:rsid w:val="00D17A73"/>
    <w:rsid w:val="00D37F04"/>
    <w:rsid w:val="00D51D56"/>
    <w:rsid w:val="00D60A0D"/>
    <w:rsid w:val="00D76977"/>
    <w:rsid w:val="00D950D5"/>
    <w:rsid w:val="00DA7057"/>
    <w:rsid w:val="00E42D7F"/>
    <w:rsid w:val="00E63C7A"/>
    <w:rsid w:val="00E70DAF"/>
    <w:rsid w:val="00E86D9C"/>
    <w:rsid w:val="00EE5414"/>
    <w:rsid w:val="00EE6C1B"/>
    <w:rsid w:val="00F22F19"/>
    <w:rsid w:val="00F33244"/>
    <w:rsid w:val="00F81D4B"/>
    <w:rsid w:val="00FC76E3"/>
    <w:rsid w:val="00FF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E7622F"/>
  <w15:chartTrackingRefBased/>
  <w15:docId w15:val="{AB533BC7-2240-4A0F-B036-C681CD42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39E"/>
    <w:pPr>
      <w:widowControl w:val="0"/>
    </w:pPr>
    <w:rPr>
      <w:rFonts w:ascii="Courier" w:hAnsi="Courier"/>
      <w:snapToGrid w:val="0"/>
      <w:sz w:val="24"/>
    </w:rPr>
  </w:style>
  <w:style w:type="paragraph" w:styleId="Heading2">
    <w:name w:val="heading 2"/>
    <w:basedOn w:val="Normal"/>
    <w:next w:val="Normal"/>
    <w:qFormat/>
    <w:rsid w:val="0018239E"/>
    <w:pPr>
      <w:keepNext/>
      <w:ind w:left="720"/>
      <w:outlineLvl w:val="1"/>
    </w:pPr>
    <w:rPr>
      <w:rFonts w:ascii="Times New Roman" w:hAnsi="Times New Roman"/>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18239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BalloonText">
    <w:name w:val="Balloon Text"/>
    <w:basedOn w:val="Normal"/>
    <w:link w:val="BalloonTextChar"/>
    <w:uiPriority w:val="99"/>
    <w:rsid w:val="0086742B"/>
    <w:rPr>
      <w:rFonts w:ascii="Segoe UI" w:hAnsi="Segoe UI" w:cs="Segoe UI"/>
      <w:sz w:val="18"/>
      <w:szCs w:val="18"/>
    </w:rPr>
  </w:style>
  <w:style w:type="character" w:customStyle="1" w:styleId="BalloonTextChar">
    <w:name w:val="Balloon Text Char"/>
    <w:link w:val="BalloonText"/>
    <w:uiPriority w:val="99"/>
    <w:rsid w:val="0086742B"/>
    <w:rPr>
      <w:rFonts w:ascii="Segoe UI" w:hAnsi="Segoe UI" w:cs="Segoe UI"/>
      <w:snapToGrid w:val="0"/>
      <w:sz w:val="18"/>
      <w:szCs w:val="18"/>
    </w:rPr>
  </w:style>
  <w:style w:type="character" w:styleId="CommentReference">
    <w:name w:val="annotation reference"/>
    <w:rsid w:val="00025DB0"/>
    <w:rPr>
      <w:sz w:val="16"/>
      <w:szCs w:val="16"/>
    </w:rPr>
  </w:style>
  <w:style w:type="paragraph" w:styleId="CommentText">
    <w:name w:val="annotation text"/>
    <w:basedOn w:val="Normal"/>
    <w:link w:val="CommentTextChar"/>
    <w:rsid w:val="00025DB0"/>
    <w:rPr>
      <w:sz w:val="20"/>
    </w:rPr>
  </w:style>
  <w:style w:type="character" w:customStyle="1" w:styleId="CommentTextChar">
    <w:name w:val="Comment Text Char"/>
    <w:link w:val="CommentText"/>
    <w:rsid w:val="00025DB0"/>
    <w:rPr>
      <w:rFonts w:ascii="Courier" w:hAnsi="Courier"/>
      <w:snapToGrid w:val="0"/>
    </w:rPr>
  </w:style>
  <w:style w:type="paragraph" w:styleId="CommentSubject">
    <w:name w:val="annotation subject"/>
    <w:basedOn w:val="CommentText"/>
    <w:next w:val="CommentText"/>
    <w:link w:val="CommentSubjectChar"/>
    <w:rsid w:val="00025DB0"/>
    <w:rPr>
      <w:b/>
      <w:bCs/>
    </w:rPr>
  </w:style>
  <w:style w:type="character" w:customStyle="1" w:styleId="CommentSubjectChar">
    <w:name w:val="Comment Subject Char"/>
    <w:link w:val="CommentSubject"/>
    <w:rsid w:val="00025DB0"/>
    <w:rPr>
      <w:rFonts w:ascii="Courier" w:hAnsi="Courier"/>
      <w:b/>
      <w:bCs/>
      <w:snapToGrid w:val="0"/>
    </w:rPr>
  </w:style>
  <w:style w:type="paragraph" w:styleId="FootnoteText">
    <w:name w:val="footnote text"/>
    <w:basedOn w:val="Normal"/>
    <w:link w:val="FootnoteTextChar"/>
    <w:uiPriority w:val="99"/>
    <w:rsid w:val="0068670E"/>
    <w:rPr>
      <w:sz w:val="20"/>
    </w:rPr>
  </w:style>
  <w:style w:type="character" w:customStyle="1" w:styleId="FootnoteTextChar">
    <w:name w:val="Footnote Text Char"/>
    <w:link w:val="FootnoteText"/>
    <w:uiPriority w:val="99"/>
    <w:rsid w:val="0068670E"/>
    <w:rPr>
      <w:rFonts w:ascii="Courier" w:hAnsi="Courier"/>
      <w:snapToGrid w:val="0"/>
    </w:rPr>
  </w:style>
  <w:style w:type="character" w:styleId="FootnoteReference">
    <w:name w:val="footnote reference"/>
    <w:uiPriority w:val="99"/>
    <w:rsid w:val="0068670E"/>
    <w:rPr>
      <w:vertAlign w:val="superscript"/>
    </w:rPr>
  </w:style>
  <w:style w:type="character" w:styleId="Hyperlink">
    <w:name w:val="Hyperlink"/>
    <w:uiPriority w:val="99"/>
    <w:unhideWhenUsed/>
    <w:rsid w:val="0068670E"/>
    <w:rPr>
      <w:color w:val="0000FF"/>
      <w:u w:val="single"/>
    </w:rPr>
  </w:style>
  <w:style w:type="paragraph" w:styleId="ListParagraph">
    <w:name w:val="List Paragraph"/>
    <w:basedOn w:val="Normal"/>
    <w:uiPriority w:val="34"/>
    <w:qFormat/>
    <w:rsid w:val="00E42D7F"/>
    <w:pPr>
      <w:widowControl/>
      <w:spacing w:after="160" w:line="259"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115168">
      <w:bodyDiv w:val="1"/>
      <w:marLeft w:val="0"/>
      <w:marRight w:val="0"/>
      <w:marTop w:val="0"/>
      <w:marBottom w:val="0"/>
      <w:divBdr>
        <w:top w:val="none" w:sz="0" w:space="0" w:color="auto"/>
        <w:left w:val="none" w:sz="0" w:space="0" w:color="auto"/>
        <w:bottom w:val="none" w:sz="0" w:space="0" w:color="auto"/>
        <w:right w:val="none" w:sz="0" w:space="0" w:color="auto"/>
      </w:divBdr>
    </w:div>
    <w:div w:id="684527103">
      <w:bodyDiv w:val="1"/>
      <w:marLeft w:val="0"/>
      <w:marRight w:val="0"/>
      <w:marTop w:val="0"/>
      <w:marBottom w:val="0"/>
      <w:divBdr>
        <w:top w:val="none" w:sz="0" w:space="0" w:color="auto"/>
        <w:left w:val="none" w:sz="0" w:space="0" w:color="auto"/>
        <w:bottom w:val="none" w:sz="0" w:space="0" w:color="auto"/>
        <w:right w:val="none" w:sz="0" w:space="0" w:color="auto"/>
      </w:divBdr>
    </w:div>
    <w:div w:id="7795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21/01/19/2021-00967/establishment-of-a-domestic-hemp-production-program" TargetMode="External"/><Relationship Id="rId1" Type="http://schemas.openxmlformats.org/officeDocument/2006/relationships/hyperlink" Target="https://doi.org/10.1111/gcbb.12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7DFA1-7BC9-4664-B39B-4946C426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vt:lpstr>
    </vt:vector>
  </TitlesOfParts>
  <Company>AMS CA PA</Company>
  <LinksUpToDate>false</LinksUpToDate>
  <CharactersWithSpaces>11976</CharactersWithSpaces>
  <SharedDoc>false</SharedDoc>
  <HLinks>
    <vt:vector size="12" baseType="variant">
      <vt:variant>
        <vt:i4>6553641</vt:i4>
      </vt:variant>
      <vt:variant>
        <vt:i4>3</vt:i4>
      </vt:variant>
      <vt:variant>
        <vt:i4>0</vt:i4>
      </vt:variant>
      <vt:variant>
        <vt:i4>5</vt:i4>
      </vt:variant>
      <vt:variant>
        <vt:lpwstr>https://www.federalregister.gov/documents/2021/01/19/2021-00967/establishment-of-a-domestic-hemp-production-program</vt:lpwstr>
      </vt:variant>
      <vt:variant>
        <vt:lpwstr/>
      </vt:variant>
      <vt:variant>
        <vt:i4>2162810</vt:i4>
      </vt:variant>
      <vt:variant>
        <vt:i4>0</vt:i4>
      </vt:variant>
      <vt:variant>
        <vt:i4>0</vt:i4>
      </vt:variant>
      <vt:variant>
        <vt:i4>5</vt:i4>
      </vt:variant>
      <vt:variant>
        <vt:lpwstr>https://doi.org/10.1111/gcbb.12794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mpish2</dc:creator>
  <cp:keywords/>
  <dc:description/>
  <cp:lastModifiedBy>Gilham, Norma - AMS</cp:lastModifiedBy>
  <cp:revision>2</cp:revision>
  <dcterms:created xsi:type="dcterms:W3CDTF">2021-10-15T12:15:00Z</dcterms:created>
  <dcterms:modified xsi:type="dcterms:W3CDTF">2021-10-15T12:15:00Z</dcterms:modified>
</cp:coreProperties>
</file>