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3E94" w:rsidR="00776379" w:rsidRDefault="00776379" w14:paraId="3F412942" w14:textId="77777777">
      <w:pPr>
        <w:rPr>
          <w:rFonts w:cstheme="minorHAnsi"/>
          <w:b/>
          <w:bCs/>
          <w:sz w:val="96"/>
          <w:szCs w:val="96"/>
        </w:rPr>
      </w:pPr>
      <w:bookmarkStart w:name="_Hlk77140685" w:id="0"/>
      <w:bookmarkEnd w:id="0"/>
    </w:p>
    <w:p w:rsidRPr="00CF3E94" w:rsidR="00830A8B" w:rsidRDefault="00830A8B" w14:paraId="5AB3E14E" w14:textId="289A219D">
      <w:pPr>
        <w:rPr>
          <w:rFonts w:cstheme="minorHAnsi"/>
          <w:b/>
          <w:bCs/>
          <w:color w:val="2F5496" w:themeColor="accent1" w:themeShade="BF"/>
          <w:sz w:val="96"/>
          <w:szCs w:val="96"/>
        </w:rPr>
      </w:pPr>
      <w:r w:rsidRPr="00CF3E94">
        <w:rPr>
          <w:rFonts w:cstheme="minorHAnsi"/>
          <w:b/>
          <w:bCs/>
          <w:color w:val="2F5496" w:themeColor="accent1" w:themeShade="BF"/>
          <w:sz w:val="96"/>
          <w:szCs w:val="96"/>
        </w:rPr>
        <w:t xml:space="preserve">NIST MEP Center Base </w:t>
      </w:r>
      <w:r w:rsidRPr="00CF3E94" w:rsidR="003A24D3">
        <w:rPr>
          <w:rFonts w:cstheme="minorHAnsi"/>
          <w:b/>
          <w:bCs/>
          <w:color w:val="2F5496" w:themeColor="accent1" w:themeShade="BF"/>
          <w:sz w:val="96"/>
          <w:szCs w:val="96"/>
        </w:rPr>
        <w:t xml:space="preserve">Multi-Year </w:t>
      </w:r>
      <w:r w:rsidRPr="00CF3E94" w:rsidR="005E5A5B">
        <w:rPr>
          <w:rFonts w:cstheme="minorHAnsi"/>
          <w:b/>
          <w:bCs/>
          <w:color w:val="2F5496" w:themeColor="accent1" w:themeShade="BF"/>
          <w:sz w:val="96"/>
          <w:szCs w:val="96"/>
        </w:rPr>
        <w:t xml:space="preserve">Renewal </w:t>
      </w:r>
      <w:r w:rsidRPr="00CF3E94" w:rsidR="003A24D3">
        <w:rPr>
          <w:rFonts w:cstheme="minorHAnsi"/>
          <w:b/>
          <w:bCs/>
          <w:color w:val="2F5496" w:themeColor="accent1" w:themeShade="BF"/>
          <w:sz w:val="96"/>
          <w:szCs w:val="96"/>
        </w:rPr>
        <w:t xml:space="preserve">and Reference </w:t>
      </w:r>
      <w:r w:rsidRPr="00CF3E94" w:rsidR="005E5A5B">
        <w:rPr>
          <w:rFonts w:cstheme="minorHAnsi"/>
          <w:b/>
          <w:bCs/>
          <w:color w:val="2F5496" w:themeColor="accent1" w:themeShade="BF"/>
          <w:sz w:val="96"/>
          <w:szCs w:val="96"/>
        </w:rPr>
        <w:t>Guidance</w:t>
      </w:r>
    </w:p>
    <w:p w:rsidRPr="00CF3E94" w:rsidR="005E5A5B" w:rsidRDefault="005E5A5B" w14:paraId="3E87400C" w14:textId="1E326C80">
      <w:pPr>
        <w:rPr>
          <w:rFonts w:cstheme="minorHAnsi"/>
          <w:sz w:val="36"/>
          <w:szCs w:val="36"/>
        </w:rPr>
      </w:pPr>
      <w:r w:rsidRPr="00CF3E94">
        <w:rPr>
          <w:rFonts w:cstheme="minorHAnsi"/>
          <w:sz w:val="36"/>
          <w:szCs w:val="36"/>
        </w:rPr>
        <w:t>For NIST MEP Center Base Cooperative Agreements Competitively Awarded Under Multi-Year Funding Procedures</w:t>
      </w:r>
      <w:r w:rsidRPr="00CF3E94" w:rsidR="003A24D3">
        <w:rPr>
          <w:rFonts w:cstheme="minorHAnsi"/>
          <w:sz w:val="36"/>
          <w:szCs w:val="36"/>
        </w:rPr>
        <w:t xml:space="preserve"> </w:t>
      </w:r>
    </w:p>
    <w:p w:rsidRPr="00CF3E94" w:rsidR="003A24D3" w:rsidRDefault="003A24D3" w14:paraId="0F791A4F" w14:textId="54C145F0">
      <w:pPr>
        <w:rPr>
          <w:rFonts w:cstheme="minorHAnsi"/>
          <w:b/>
          <w:bCs/>
          <w:color w:val="2F5496" w:themeColor="accent1" w:themeShade="BF"/>
          <w:sz w:val="96"/>
          <w:szCs w:val="96"/>
        </w:rPr>
      </w:pPr>
      <w:r w:rsidRPr="00CF3E94">
        <w:rPr>
          <w:rFonts w:cstheme="minorHAnsi"/>
          <w:sz w:val="36"/>
          <w:szCs w:val="36"/>
        </w:rPr>
        <w:t>August 2021</w:t>
      </w:r>
    </w:p>
    <w:p w:rsidRPr="00CF3E94" w:rsidR="005E5A5B" w:rsidP="00830A8B" w:rsidRDefault="005E5A5B" w14:paraId="53311CE3" w14:textId="77777777">
      <w:pPr>
        <w:rPr>
          <w:rFonts w:cstheme="minorHAnsi"/>
          <w:b/>
          <w:bCs/>
          <w:sz w:val="32"/>
          <w:szCs w:val="32"/>
        </w:rPr>
      </w:pPr>
    </w:p>
    <w:p w:rsidRPr="00CF3E94" w:rsidR="00830A8B" w:rsidP="00830A8B" w:rsidRDefault="00830A8B" w14:paraId="7FEA5E0C" w14:textId="7FD2C088">
      <w:pPr>
        <w:rPr>
          <w:rFonts w:cstheme="minorHAnsi"/>
          <w:b/>
          <w:bCs/>
          <w:sz w:val="32"/>
          <w:szCs w:val="32"/>
        </w:rPr>
      </w:pPr>
      <w:r w:rsidRPr="00CF3E94">
        <w:rPr>
          <w:rFonts w:cstheme="minorHAnsi"/>
          <w:b/>
          <w:bCs/>
          <w:sz w:val="32"/>
          <w:szCs w:val="32"/>
        </w:rPr>
        <w:t>OMB Control Number</w:t>
      </w:r>
      <w:r w:rsidRPr="00CF3E94">
        <w:rPr>
          <w:rFonts w:cstheme="minorHAnsi"/>
          <w:b/>
          <w:bCs/>
          <w:sz w:val="32"/>
          <w:szCs w:val="32"/>
        </w:rPr>
        <w:tab/>
        <w:t>0693-0032</w:t>
      </w:r>
    </w:p>
    <w:p w:rsidRPr="00CF3E94" w:rsidR="00830A8B" w:rsidP="00830A8B" w:rsidRDefault="00830A8B" w14:paraId="5D26F45C" w14:textId="7816DC44">
      <w:pPr>
        <w:rPr>
          <w:rFonts w:cstheme="minorHAnsi"/>
          <w:b/>
          <w:bCs/>
          <w:sz w:val="32"/>
          <w:szCs w:val="32"/>
        </w:rPr>
      </w:pPr>
      <w:r w:rsidRPr="00CF3E94">
        <w:rPr>
          <w:rFonts w:cstheme="minorHAnsi"/>
          <w:b/>
          <w:bCs/>
          <w:sz w:val="32"/>
          <w:szCs w:val="32"/>
        </w:rPr>
        <w:t>Expiration</w:t>
      </w:r>
      <w:r w:rsidRPr="00CF3E94">
        <w:rPr>
          <w:rFonts w:cstheme="minorHAnsi"/>
          <w:b/>
          <w:bCs/>
          <w:sz w:val="32"/>
          <w:szCs w:val="32"/>
        </w:rPr>
        <w:tab/>
      </w:r>
      <w:r w:rsidRPr="00CF3E94">
        <w:rPr>
          <w:rFonts w:cstheme="minorHAnsi"/>
          <w:b/>
          <w:bCs/>
          <w:sz w:val="32"/>
          <w:szCs w:val="32"/>
        </w:rPr>
        <w:tab/>
      </w:r>
      <w:r w:rsidRPr="00CF3E94">
        <w:rPr>
          <w:rFonts w:cstheme="minorHAnsi"/>
          <w:b/>
          <w:bCs/>
          <w:sz w:val="32"/>
          <w:szCs w:val="32"/>
        </w:rPr>
        <w:tab/>
      </w:r>
      <w:r w:rsidRPr="00CF3E94">
        <w:rPr>
          <w:rFonts w:cstheme="minorHAnsi"/>
          <w:b/>
          <w:bCs/>
          <w:sz w:val="32"/>
          <w:szCs w:val="32"/>
        </w:rPr>
        <w:tab/>
        <w:t xml:space="preserve">October 31, </w:t>
      </w:r>
      <w:r w:rsidRPr="00CF3E94" w:rsidR="003A24D3">
        <w:rPr>
          <w:rFonts w:cstheme="minorHAnsi"/>
          <w:b/>
          <w:bCs/>
          <w:sz w:val="32"/>
          <w:szCs w:val="32"/>
        </w:rPr>
        <w:t>20</w:t>
      </w:r>
      <w:r w:rsidRPr="00CF3E94" w:rsidR="003A24D3">
        <w:rPr>
          <w:rFonts w:cstheme="minorHAnsi"/>
          <w:b/>
          <w:bCs/>
          <w:sz w:val="32"/>
          <w:szCs w:val="32"/>
          <w:highlight w:val="yellow"/>
        </w:rPr>
        <w:t>XX</w:t>
      </w:r>
    </w:p>
    <w:p w:rsidRPr="00CF3E94" w:rsidR="00776379" w:rsidRDefault="00776379" w14:paraId="15BB75B4" w14:textId="539F3968">
      <w:pPr>
        <w:rPr>
          <w:rFonts w:cstheme="minorHAnsi"/>
          <w:b/>
          <w:bCs/>
          <w:sz w:val="28"/>
          <w:szCs w:val="28"/>
        </w:rPr>
      </w:pPr>
    </w:p>
    <w:p w:rsidRPr="00CF3E94" w:rsidR="00776379" w:rsidRDefault="00776379" w14:paraId="1E6A1B68" w14:textId="67AA2957">
      <w:pPr>
        <w:rPr>
          <w:rFonts w:cstheme="minorHAnsi"/>
          <w:b/>
          <w:bCs/>
          <w:sz w:val="28"/>
          <w:szCs w:val="28"/>
        </w:rPr>
      </w:pPr>
    </w:p>
    <w:p w:rsidRPr="00CF3E94" w:rsidR="00776379" w:rsidRDefault="00776379" w14:paraId="0600D02A" w14:textId="683EA1C3">
      <w:pPr>
        <w:rPr>
          <w:rFonts w:cstheme="minorHAnsi"/>
          <w:b/>
          <w:bCs/>
          <w:sz w:val="28"/>
          <w:szCs w:val="28"/>
        </w:rPr>
      </w:pPr>
    </w:p>
    <w:p w:rsidRPr="00CF3E94" w:rsidR="00776379" w:rsidRDefault="00776379" w14:paraId="45D0B31F" w14:textId="1E2E177E">
      <w:pPr>
        <w:rPr>
          <w:rFonts w:cstheme="minorHAnsi"/>
          <w:b/>
          <w:bCs/>
          <w:sz w:val="28"/>
          <w:szCs w:val="28"/>
        </w:rPr>
      </w:pPr>
    </w:p>
    <w:p w:rsidRPr="00CF3E94" w:rsidR="005E5A5B" w:rsidRDefault="005E5A5B" w14:paraId="69480D3F" w14:textId="0C3106E0">
      <w:pPr>
        <w:rPr>
          <w:rFonts w:cstheme="minorHAnsi"/>
          <w:b/>
          <w:bCs/>
          <w:sz w:val="28"/>
          <w:szCs w:val="28"/>
        </w:rPr>
      </w:pPr>
    </w:p>
    <w:p w:rsidRPr="00CF3E94" w:rsidR="005E5A5B" w:rsidRDefault="005E5A5B" w14:paraId="4FE182CF" w14:textId="19642B53">
      <w:pPr>
        <w:rPr>
          <w:rFonts w:cstheme="minorHAnsi"/>
          <w:b/>
          <w:bCs/>
          <w:sz w:val="28"/>
          <w:szCs w:val="28"/>
        </w:rPr>
      </w:pPr>
    </w:p>
    <w:p w:rsidRPr="00CF3E94" w:rsidR="005E5A5B" w:rsidRDefault="005E5A5B" w14:paraId="32DEC6C0" w14:textId="277B850D">
      <w:pPr>
        <w:rPr>
          <w:rFonts w:cstheme="minorHAnsi"/>
          <w:b/>
          <w:bCs/>
          <w:sz w:val="28"/>
          <w:szCs w:val="28"/>
        </w:rPr>
      </w:pPr>
    </w:p>
    <w:p w:rsidRPr="00CF3E94" w:rsidR="005E5A5B" w:rsidRDefault="005E5A5B" w14:paraId="48ABFA45" w14:textId="08AD0BE7">
      <w:pPr>
        <w:rPr>
          <w:rFonts w:cstheme="minorHAnsi"/>
          <w:b/>
          <w:bCs/>
          <w:sz w:val="28"/>
          <w:szCs w:val="28"/>
        </w:rPr>
      </w:pPr>
    </w:p>
    <w:p w:rsidRPr="00CF3E94" w:rsidR="00776379" w:rsidP="00776379" w:rsidRDefault="00776379" w14:paraId="310A3180" w14:textId="1F02B8E7">
      <w:pPr>
        <w:jc w:val="center"/>
        <w:rPr>
          <w:rFonts w:cstheme="minorHAnsi"/>
          <w:b/>
          <w:bCs/>
          <w:sz w:val="28"/>
          <w:szCs w:val="28"/>
        </w:rPr>
      </w:pPr>
      <w:r w:rsidRPr="00CF3E94">
        <w:rPr>
          <w:rFonts w:cstheme="minorHAnsi"/>
          <w:b/>
          <w:bCs/>
          <w:sz w:val="28"/>
          <w:szCs w:val="28"/>
        </w:rPr>
        <w:lastRenderedPageBreak/>
        <w:t>TABLE OF CONTENTS</w:t>
      </w:r>
    </w:p>
    <w:p w:rsidRPr="00CF3E94" w:rsidR="00776379" w:rsidRDefault="003A24D3" w14:paraId="467C35D5" w14:textId="3249D2B7">
      <w:pPr>
        <w:rPr>
          <w:rFonts w:cstheme="minorHAnsi"/>
        </w:rPr>
      </w:pPr>
      <w:r w:rsidRPr="00CF3E94">
        <w:rPr>
          <w:rFonts w:cstheme="minorHAnsi"/>
        </w:rPr>
        <w:t xml:space="preserve">Part I. </w:t>
      </w:r>
      <w:r w:rsidRPr="00CF3E94" w:rsidR="00776379">
        <w:rPr>
          <w:rFonts w:cstheme="minorHAnsi"/>
        </w:rPr>
        <w:t>Overview</w:t>
      </w:r>
      <w:r w:rsidR="005464E0">
        <w:rPr>
          <w:rFonts w:cstheme="minorHAnsi"/>
        </w:rPr>
        <w:t xml:space="preserve"> </w:t>
      </w:r>
      <w:r w:rsidR="005464E0">
        <w:t>………………………………………………………………………………………………………</w:t>
      </w:r>
      <w:r w:rsidR="003E4F4E">
        <w:t>..</w:t>
      </w:r>
      <w:r w:rsidR="005464E0">
        <w:t>….</w:t>
      </w:r>
      <w:r w:rsidR="00C7033C">
        <w:t xml:space="preserve"> 3</w:t>
      </w:r>
    </w:p>
    <w:p w:rsidRPr="00CF3E94" w:rsidR="00776379" w:rsidP="003A24D3" w:rsidRDefault="00776379" w14:paraId="574E82B4" w14:textId="1D91664A">
      <w:pPr>
        <w:ind w:firstLine="720"/>
        <w:rPr>
          <w:rFonts w:cstheme="minorHAnsi"/>
        </w:rPr>
      </w:pPr>
      <w:r w:rsidRPr="00CF3E94">
        <w:rPr>
          <w:rFonts w:cstheme="minorHAnsi"/>
        </w:rPr>
        <w:t>Multi-Year Award with Annual Funding</w:t>
      </w:r>
      <w:r w:rsidR="005620D5">
        <w:t>………………………………………………………</w:t>
      </w:r>
      <w:r w:rsidR="003E4F4E">
        <w:t>..</w:t>
      </w:r>
      <w:r w:rsidR="005620D5">
        <w:t>…</w:t>
      </w:r>
      <w:r w:rsidR="00C7033C">
        <w:t>. 3</w:t>
      </w:r>
    </w:p>
    <w:p w:rsidRPr="00CF3E94" w:rsidR="00776379" w:rsidP="003A24D3" w:rsidRDefault="004940A3" w14:paraId="15C96BBB" w14:textId="0DDB3A38">
      <w:pPr>
        <w:ind w:firstLine="720"/>
        <w:rPr>
          <w:rFonts w:cstheme="minorHAnsi"/>
        </w:rPr>
      </w:pPr>
      <w:r w:rsidRPr="00CF3E94">
        <w:rPr>
          <w:rFonts w:cstheme="minorHAnsi"/>
        </w:rPr>
        <w:t>Modular</w:t>
      </w:r>
      <w:r w:rsidRPr="00CF3E94" w:rsidR="00776379">
        <w:rPr>
          <w:rFonts w:cstheme="minorHAnsi"/>
        </w:rPr>
        <w:t xml:space="preserve"> Approach to Cooperative Agreement Management</w:t>
      </w:r>
      <w:r w:rsidR="005620D5">
        <w:t>………..………………</w:t>
      </w:r>
      <w:r w:rsidR="00C7033C">
        <w:t xml:space="preserve">… </w:t>
      </w:r>
      <w:r w:rsidR="005620D5">
        <w:t>3</w:t>
      </w:r>
    </w:p>
    <w:p w:rsidRPr="00CF3E94" w:rsidR="003A24D3" w:rsidRDefault="003A24D3" w14:paraId="0FA242F9" w14:textId="6E0DF2E1">
      <w:pPr>
        <w:rPr>
          <w:rFonts w:cstheme="minorHAnsi"/>
        </w:rPr>
      </w:pPr>
      <w:r w:rsidRPr="00CF3E94">
        <w:rPr>
          <w:rFonts w:cstheme="minorHAnsi"/>
        </w:rPr>
        <w:t xml:space="preserve">Part II. </w:t>
      </w:r>
      <w:r w:rsidRPr="00CF3E94" w:rsidR="00776379">
        <w:rPr>
          <w:rFonts w:cstheme="minorHAnsi"/>
        </w:rPr>
        <w:t>Renewal Packages</w:t>
      </w:r>
      <w:r w:rsidR="005620D5">
        <w:t>……………………………………………………………………………………………</w:t>
      </w:r>
      <w:r w:rsidR="00C7033C">
        <w:t>.</w:t>
      </w:r>
      <w:r w:rsidR="003E4F4E">
        <w:t xml:space="preserve">. </w:t>
      </w:r>
      <w:r w:rsidR="005620D5">
        <w:t>4</w:t>
      </w:r>
    </w:p>
    <w:p w:rsidRPr="00CF3E94" w:rsidR="00776379" w:rsidP="003A24D3" w:rsidRDefault="00776379" w14:paraId="5980E9B6" w14:textId="282BA550">
      <w:pPr>
        <w:ind w:firstLine="720"/>
        <w:rPr>
          <w:rFonts w:cstheme="minorHAnsi"/>
        </w:rPr>
      </w:pPr>
      <w:r w:rsidRPr="00CF3E94">
        <w:rPr>
          <w:rFonts w:cstheme="minorHAnsi"/>
        </w:rPr>
        <w:t>Timeline and Documentation Submission Procedures</w:t>
      </w:r>
      <w:r w:rsidR="005620D5">
        <w:rPr>
          <w:rFonts w:cstheme="minorHAnsi"/>
        </w:rPr>
        <w:t xml:space="preserve"> </w:t>
      </w:r>
      <w:r w:rsidR="005620D5">
        <w:t>…………………………………</w:t>
      </w:r>
      <w:r w:rsidR="00C7033C">
        <w:t>.</w:t>
      </w:r>
      <w:r w:rsidR="003836DC">
        <w:t xml:space="preserve">… </w:t>
      </w:r>
      <w:r w:rsidR="005620D5">
        <w:t>4</w:t>
      </w:r>
    </w:p>
    <w:p w:rsidRPr="00CF3E94" w:rsidR="000D05A3" w:rsidP="003A24D3" w:rsidRDefault="000D05A3" w14:paraId="7C67A2F8" w14:textId="2D71C668">
      <w:pPr>
        <w:ind w:firstLine="720"/>
        <w:rPr>
          <w:rFonts w:cstheme="minorHAnsi"/>
        </w:rPr>
      </w:pPr>
      <w:r w:rsidRPr="00CF3E94">
        <w:rPr>
          <w:rFonts w:cstheme="minorHAnsi"/>
        </w:rPr>
        <w:t>Revised Required Plans: Scope of Work</w:t>
      </w:r>
      <w:r w:rsidR="005620D5">
        <w:t>………………………………………………………</w:t>
      </w:r>
      <w:r w:rsidR="003836DC">
        <w:t>…</w:t>
      </w:r>
      <w:r w:rsidR="00C7033C">
        <w:t>.</w:t>
      </w:r>
      <w:r w:rsidR="003836DC">
        <w:t xml:space="preserve">. </w:t>
      </w:r>
      <w:r w:rsidR="005620D5">
        <w:t>6</w:t>
      </w:r>
    </w:p>
    <w:p w:rsidRPr="00CF3E94" w:rsidR="000D05A3" w:rsidP="003A24D3" w:rsidRDefault="000D05A3" w14:paraId="09489AE7" w14:textId="00D53D2E">
      <w:pPr>
        <w:ind w:firstLine="720"/>
        <w:rPr>
          <w:rFonts w:cstheme="minorHAnsi"/>
        </w:rPr>
      </w:pPr>
      <w:r w:rsidRPr="00CF3E94">
        <w:rPr>
          <w:rFonts w:cstheme="minorHAnsi"/>
        </w:rPr>
        <w:t>Revised Required Plans: Intellectual Property Plan</w:t>
      </w:r>
      <w:r w:rsidR="005620D5">
        <w:t>………………………………………</w:t>
      </w:r>
      <w:r w:rsidR="003836DC">
        <w:t>…</w:t>
      </w:r>
      <w:r w:rsidR="00C7033C">
        <w:t>.</w:t>
      </w:r>
      <w:r w:rsidR="003836DC">
        <w:t xml:space="preserve"> </w:t>
      </w:r>
      <w:r w:rsidR="005620D5">
        <w:t>8</w:t>
      </w:r>
    </w:p>
    <w:p w:rsidRPr="00CF3E94" w:rsidR="00776379" w:rsidP="003A24D3" w:rsidRDefault="00132C4C" w14:paraId="4D9E1464" w14:textId="0F98C66F">
      <w:pPr>
        <w:ind w:firstLine="720"/>
        <w:rPr>
          <w:rFonts w:cstheme="minorHAnsi"/>
        </w:rPr>
      </w:pPr>
      <w:r w:rsidRPr="00CF3E94">
        <w:rPr>
          <w:rFonts w:cstheme="minorHAnsi"/>
        </w:rPr>
        <w:t xml:space="preserve">Revised Required Plans: </w:t>
      </w:r>
      <w:r w:rsidRPr="00CF3E94" w:rsidR="00776379">
        <w:rPr>
          <w:rFonts w:cstheme="minorHAnsi"/>
        </w:rPr>
        <w:t>Multi-year Budgets</w:t>
      </w:r>
      <w:r w:rsidR="005620D5">
        <w:t>………………………………………………….</w:t>
      </w:r>
      <w:r w:rsidR="00C7033C">
        <w:t>.</w:t>
      </w:r>
      <w:r w:rsidR="003836DC">
        <w:t xml:space="preserve">. </w:t>
      </w:r>
      <w:r w:rsidR="005620D5">
        <w:t>9</w:t>
      </w:r>
    </w:p>
    <w:p w:rsidRPr="00CF3E94" w:rsidR="00776379" w:rsidP="00FF0060" w:rsidRDefault="00776379" w14:paraId="2CEA59A0" w14:textId="158E7AC9">
      <w:pPr>
        <w:rPr>
          <w:rFonts w:cstheme="minorHAnsi"/>
        </w:rPr>
      </w:pPr>
      <w:r w:rsidRPr="00CF3E94">
        <w:rPr>
          <w:rFonts w:cstheme="minorHAnsi"/>
        </w:rPr>
        <w:t xml:space="preserve">Appendix </w:t>
      </w:r>
      <w:r w:rsidRPr="00CF3E94" w:rsidR="002A7844">
        <w:rPr>
          <w:rFonts w:cstheme="minorHAnsi"/>
        </w:rPr>
        <w:t>1</w:t>
      </w:r>
      <w:r w:rsidRPr="00CF3E94">
        <w:rPr>
          <w:rFonts w:cstheme="minorHAnsi"/>
        </w:rPr>
        <w:t xml:space="preserve">: </w:t>
      </w:r>
      <w:r w:rsidRPr="00CF3E94" w:rsidR="00132C4C">
        <w:rPr>
          <w:rFonts w:cstheme="minorHAnsi"/>
        </w:rPr>
        <w:t>Operating Outcome Plan Guidance</w:t>
      </w:r>
      <w:r w:rsidR="005620D5">
        <w:t>……………………………………………</w:t>
      </w:r>
      <w:r w:rsidR="00581F6F">
        <w:t>…………..</w:t>
      </w:r>
      <w:r w:rsidR="00C7033C">
        <w:t>.</w:t>
      </w:r>
      <w:r w:rsidR="003836DC">
        <w:t xml:space="preserve"> </w:t>
      </w:r>
      <w:r w:rsidR="005620D5">
        <w:t>1</w:t>
      </w:r>
      <w:r w:rsidR="00581F6F">
        <w:t>3</w:t>
      </w:r>
    </w:p>
    <w:p w:rsidRPr="00CF3E94" w:rsidR="003A24D3" w:rsidP="003A24D3" w:rsidRDefault="003A24D3" w14:paraId="38ED5FFD" w14:textId="16091B0C">
      <w:pPr>
        <w:ind w:firstLine="720"/>
        <w:rPr>
          <w:rFonts w:cstheme="minorHAnsi"/>
        </w:rPr>
      </w:pPr>
      <w:r w:rsidRPr="00CF3E94">
        <w:rPr>
          <w:rFonts w:cstheme="minorHAnsi"/>
        </w:rPr>
        <w:t>Element I: Center Client Level Activities by Type of Company</w:t>
      </w:r>
      <w:r w:rsidR="005620D5">
        <w:t>………………………</w:t>
      </w:r>
      <w:r w:rsidR="00C7033C">
        <w:t>.</w:t>
      </w:r>
      <w:r w:rsidR="003836DC">
        <w:t xml:space="preserve">. </w:t>
      </w:r>
      <w:r w:rsidR="005620D5">
        <w:t>1</w:t>
      </w:r>
      <w:r w:rsidR="00581F6F">
        <w:t>3</w:t>
      </w:r>
    </w:p>
    <w:p w:rsidRPr="00CF3E94" w:rsidR="003A24D3" w:rsidP="003A24D3" w:rsidRDefault="003A24D3" w14:paraId="13F2135F" w14:textId="765F6220">
      <w:pPr>
        <w:ind w:firstLine="720"/>
        <w:rPr>
          <w:rFonts w:cstheme="minorHAnsi"/>
        </w:rPr>
      </w:pPr>
      <w:r w:rsidRPr="00CF3E94">
        <w:rPr>
          <w:rFonts w:cstheme="minorHAnsi"/>
        </w:rPr>
        <w:t>Element II: Top and Bottom-Line Growth</w:t>
      </w:r>
      <w:r w:rsidR="005620D5">
        <w:t>……………………………………………………</w:t>
      </w:r>
      <w:r w:rsidR="00C7033C">
        <w:t>...</w:t>
      </w:r>
      <w:r w:rsidR="003836DC">
        <w:t xml:space="preserve"> </w:t>
      </w:r>
      <w:r w:rsidR="005620D5">
        <w:t>1</w:t>
      </w:r>
      <w:r w:rsidR="00581F6F">
        <w:t>4</w:t>
      </w:r>
    </w:p>
    <w:p w:rsidRPr="00CF3E94" w:rsidR="003A24D3" w:rsidP="003A24D3" w:rsidRDefault="003A24D3" w14:paraId="0A720E9D" w14:textId="4444681D">
      <w:pPr>
        <w:ind w:firstLine="720"/>
        <w:rPr>
          <w:rFonts w:cstheme="minorHAnsi"/>
        </w:rPr>
      </w:pPr>
      <w:r w:rsidRPr="00CF3E94">
        <w:rPr>
          <w:rFonts w:cstheme="minorHAnsi"/>
        </w:rPr>
        <w:t>Element III: Performance Measures</w:t>
      </w:r>
      <w:r w:rsidR="005620D5">
        <w:t>……………………………………………………………</w:t>
      </w:r>
      <w:r w:rsidR="00C7033C">
        <w:t xml:space="preserve">.… </w:t>
      </w:r>
      <w:r w:rsidR="005620D5">
        <w:t>1</w:t>
      </w:r>
      <w:r w:rsidR="00581F6F">
        <w:t>6</w:t>
      </w:r>
    </w:p>
    <w:p w:rsidRPr="00CF3E94" w:rsidR="00C735FF" w:rsidRDefault="00C735FF" w14:paraId="733186CC" w14:textId="0F5AF3C9">
      <w:pPr>
        <w:rPr>
          <w:rFonts w:cstheme="minorHAnsi"/>
        </w:rPr>
      </w:pPr>
      <w:r w:rsidRPr="00CF3E94">
        <w:rPr>
          <w:rFonts w:cstheme="minorHAnsi"/>
        </w:rPr>
        <w:t>Appendix 2: References</w:t>
      </w:r>
      <w:r w:rsidR="005620D5">
        <w:t>…………………………………………………………………………………………</w:t>
      </w:r>
      <w:r w:rsidR="00C7033C">
        <w:t>.</w:t>
      </w:r>
      <w:r w:rsidR="005620D5">
        <w:t>…</w:t>
      </w:r>
      <w:r w:rsidR="00C7033C">
        <w:t xml:space="preserve">. </w:t>
      </w:r>
      <w:r w:rsidR="005620D5">
        <w:t>1</w:t>
      </w:r>
      <w:r w:rsidR="00581F6F">
        <w:t>7</w:t>
      </w:r>
    </w:p>
    <w:p w:rsidRPr="00CF3E94" w:rsidR="00776379" w:rsidRDefault="00776379" w14:paraId="6E4EA3F0" w14:textId="1D46E6DD">
      <w:pPr>
        <w:rPr>
          <w:rFonts w:cstheme="minorHAnsi"/>
          <w:b/>
          <w:bCs/>
          <w:sz w:val="28"/>
          <w:szCs w:val="28"/>
        </w:rPr>
      </w:pPr>
    </w:p>
    <w:p w:rsidRPr="00CF3E94" w:rsidR="00776379" w:rsidRDefault="00776379" w14:paraId="44137711" w14:textId="39CB9314">
      <w:pPr>
        <w:rPr>
          <w:rFonts w:cstheme="minorHAnsi"/>
          <w:b/>
          <w:bCs/>
          <w:sz w:val="28"/>
          <w:szCs w:val="28"/>
        </w:rPr>
      </w:pPr>
    </w:p>
    <w:p w:rsidRPr="00CF3E94" w:rsidR="00776379" w:rsidRDefault="00776379" w14:paraId="51D6402E" w14:textId="2368FD5A">
      <w:pPr>
        <w:rPr>
          <w:rFonts w:cstheme="minorHAnsi"/>
          <w:b/>
          <w:bCs/>
          <w:sz w:val="28"/>
          <w:szCs w:val="28"/>
        </w:rPr>
      </w:pPr>
    </w:p>
    <w:p w:rsidRPr="00CF3E94" w:rsidR="00776379" w:rsidRDefault="00776379" w14:paraId="0DCC3AF8" w14:textId="6EFEE454">
      <w:pPr>
        <w:rPr>
          <w:rFonts w:cstheme="minorHAnsi"/>
          <w:b/>
          <w:bCs/>
          <w:sz w:val="28"/>
          <w:szCs w:val="28"/>
        </w:rPr>
      </w:pPr>
    </w:p>
    <w:p w:rsidRPr="00CF3E94" w:rsidR="00776379" w:rsidRDefault="00776379" w14:paraId="438A591C" w14:textId="2D8964E9">
      <w:pPr>
        <w:rPr>
          <w:rFonts w:cstheme="minorHAnsi"/>
          <w:b/>
          <w:bCs/>
          <w:sz w:val="28"/>
          <w:szCs w:val="28"/>
        </w:rPr>
      </w:pPr>
    </w:p>
    <w:p w:rsidRPr="00CF3E94" w:rsidR="00776379" w:rsidRDefault="00776379" w14:paraId="0AF0FB0A" w14:textId="59DB718B">
      <w:pPr>
        <w:rPr>
          <w:rFonts w:cstheme="minorHAnsi"/>
          <w:b/>
          <w:bCs/>
          <w:sz w:val="28"/>
          <w:szCs w:val="28"/>
        </w:rPr>
      </w:pPr>
    </w:p>
    <w:p w:rsidRPr="00CF3E94" w:rsidR="00776379" w:rsidRDefault="00776379" w14:paraId="529FC334" w14:textId="56107655">
      <w:pPr>
        <w:rPr>
          <w:rFonts w:cstheme="minorHAnsi"/>
          <w:b/>
          <w:bCs/>
          <w:sz w:val="28"/>
          <w:szCs w:val="28"/>
        </w:rPr>
      </w:pPr>
    </w:p>
    <w:p w:rsidRPr="00CF3E94" w:rsidR="00776379" w:rsidRDefault="00776379" w14:paraId="50988FEB" w14:textId="07D5F993">
      <w:pPr>
        <w:rPr>
          <w:rFonts w:cstheme="minorHAnsi"/>
          <w:b/>
          <w:bCs/>
          <w:sz w:val="28"/>
          <w:szCs w:val="28"/>
        </w:rPr>
      </w:pPr>
    </w:p>
    <w:p w:rsidRPr="00CF3E94" w:rsidR="00776379" w:rsidRDefault="00776379" w14:paraId="36D42FA7" w14:textId="0534FCCD">
      <w:pPr>
        <w:rPr>
          <w:rFonts w:cstheme="minorHAnsi"/>
          <w:b/>
          <w:bCs/>
          <w:sz w:val="28"/>
          <w:szCs w:val="28"/>
        </w:rPr>
      </w:pPr>
    </w:p>
    <w:p w:rsidRPr="00CF3E94" w:rsidR="00776379" w:rsidRDefault="00776379" w14:paraId="5CD303DC" w14:textId="26480263">
      <w:pPr>
        <w:rPr>
          <w:rFonts w:cstheme="minorHAnsi"/>
          <w:b/>
          <w:bCs/>
          <w:sz w:val="28"/>
          <w:szCs w:val="28"/>
        </w:rPr>
      </w:pPr>
    </w:p>
    <w:p w:rsidRPr="00CF3E94" w:rsidR="00776379" w:rsidRDefault="00776379" w14:paraId="33906649" w14:textId="45B0BB96">
      <w:pPr>
        <w:rPr>
          <w:rFonts w:cstheme="minorHAnsi"/>
          <w:b/>
          <w:bCs/>
          <w:sz w:val="28"/>
          <w:szCs w:val="28"/>
        </w:rPr>
      </w:pPr>
    </w:p>
    <w:p w:rsidRPr="00CF3E94" w:rsidR="00776379" w:rsidRDefault="00776379" w14:paraId="281944C2" w14:textId="6C6F8317">
      <w:pPr>
        <w:rPr>
          <w:rFonts w:cstheme="minorHAnsi"/>
          <w:b/>
          <w:bCs/>
          <w:sz w:val="28"/>
          <w:szCs w:val="28"/>
        </w:rPr>
      </w:pPr>
    </w:p>
    <w:p w:rsidRPr="00CF3E94" w:rsidR="00776379" w:rsidRDefault="003A24D3" w14:paraId="22723B7A" w14:textId="13A89709">
      <w:pPr>
        <w:rPr>
          <w:rFonts w:cstheme="minorHAnsi"/>
          <w:b/>
          <w:bCs/>
          <w:sz w:val="28"/>
          <w:szCs w:val="28"/>
        </w:rPr>
      </w:pPr>
      <w:r w:rsidRPr="00CF3E94">
        <w:rPr>
          <w:rFonts w:cstheme="minorHAnsi"/>
          <w:b/>
          <w:bCs/>
          <w:sz w:val="28"/>
          <w:szCs w:val="28"/>
        </w:rPr>
        <w:lastRenderedPageBreak/>
        <w:t xml:space="preserve">Part 1. </w:t>
      </w:r>
      <w:r w:rsidRPr="00CF3E94" w:rsidR="00776379">
        <w:rPr>
          <w:rFonts w:cstheme="minorHAnsi"/>
          <w:b/>
          <w:bCs/>
          <w:sz w:val="28"/>
          <w:szCs w:val="28"/>
        </w:rPr>
        <w:t>OVERVIEW</w:t>
      </w:r>
    </w:p>
    <w:p w:rsidRPr="00CF3E94" w:rsidR="00776379" w:rsidP="00776379" w:rsidRDefault="00776379" w14:paraId="1AC0F9DD" w14:textId="15CDF415">
      <w:pPr>
        <w:rPr>
          <w:rFonts w:cstheme="minorHAnsi"/>
        </w:rPr>
      </w:pPr>
      <w:r w:rsidRPr="00CF3E94">
        <w:rPr>
          <w:rFonts w:cstheme="minorHAnsi"/>
        </w:rPr>
        <w:t xml:space="preserve">The National Institute of Standards and Technology (NIST) Hollings Manufacturing Extension Partnership (MEP) Renewal Guidelines apply to the multi-year NIST MEP Center (Centers) base cooperative agreements awarded by NIST pursuant to the competitive award process. The Renewal Guidelines supplement and should be read in conjunction with the NIST MEP General Terms and Conditions. As necessary, the Renewal Guidelines will be revised by NIST to reflect changes to the Program requirements. Revisions to the Renewal Guidelines will be transmitted uniformly to Centers with sufficient lead-time to accommodate any changes. </w:t>
      </w:r>
      <w:r w:rsidRPr="00CF3E94" w:rsidR="00532281">
        <w:rPr>
          <w:rFonts w:cstheme="minorHAnsi"/>
        </w:rPr>
        <w:t xml:space="preserve">For additional assistance, </w:t>
      </w:r>
      <w:r w:rsidRPr="00CF3E94">
        <w:rPr>
          <w:rFonts w:cstheme="minorHAnsi"/>
        </w:rPr>
        <w:t xml:space="preserve">Centers should contact </w:t>
      </w:r>
      <w:r w:rsidRPr="00CF3E94" w:rsidR="00532281">
        <w:rPr>
          <w:rFonts w:cstheme="minorHAnsi"/>
        </w:rPr>
        <w:t xml:space="preserve">the assigned Center Resource Management Team (CRMT), which includes the MEP Federal Program Officer (FPO) and </w:t>
      </w:r>
      <w:r w:rsidRPr="00CF3E94" w:rsidR="00132C4C">
        <w:rPr>
          <w:rFonts w:cstheme="minorHAnsi"/>
        </w:rPr>
        <w:t>Resource</w:t>
      </w:r>
      <w:r w:rsidRPr="00CF3E94" w:rsidR="00532281">
        <w:rPr>
          <w:rFonts w:cstheme="minorHAnsi"/>
        </w:rPr>
        <w:t xml:space="preserve"> Manager (RM), and NIST Grants Management Specialist (GMS).</w:t>
      </w:r>
    </w:p>
    <w:p w:rsidRPr="00CF3E94" w:rsidR="00776379" w:rsidP="00776379" w:rsidRDefault="00776379" w14:paraId="7D99D922" w14:textId="77777777">
      <w:pPr>
        <w:rPr>
          <w:rFonts w:cstheme="minorHAnsi"/>
        </w:rPr>
      </w:pPr>
      <w:r w:rsidRPr="00CF3E94">
        <w:rPr>
          <w:rFonts w:cstheme="minorHAnsi"/>
        </w:rPr>
        <w:t>These guidelines frequently refer to MEP's Enterprise Information System (MEIS). MEIS is NIST MEP’s integrated web-based system that provides multi-purpose functionality to enter, receive, and review data. MEIS also serves as a repository for Program-specific documents and announcements.</w:t>
      </w:r>
    </w:p>
    <w:p w:rsidRPr="00CF3E94" w:rsidR="00776379" w:rsidRDefault="00776379" w14:paraId="44C8A5B7" w14:textId="122BDCEC">
      <w:pPr>
        <w:rPr>
          <w:rFonts w:cstheme="minorHAnsi"/>
          <w:b/>
          <w:bCs/>
          <w:sz w:val="28"/>
          <w:szCs w:val="28"/>
        </w:rPr>
      </w:pPr>
      <w:r w:rsidRPr="00CF3E94">
        <w:rPr>
          <w:rFonts w:cstheme="minorHAnsi"/>
          <w:b/>
          <w:bCs/>
          <w:sz w:val="28"/>
          <w:szCs w:val="28"/>
        </w:rPr>
        <w:t>MULTI-YEAR AWARD WITH ANNUAL FUNDING</w:t>
      </w:r>
    </w:p>
    <w:p w:rsidRPr="00CF3E94" w:rsidR="00776379" w:rsidP="00776379" w:rsidRDefault="00776379" w14:paraId="34F1FB9B" w14:textId="7C7C88C2">
      <w:pPr>
        <w:rPr>
          <w:rFonts w:cstheme="minorHAnsi"/>
        </w:rPr>
      </w:pPr>
      <w:r w:rsidRPr="00CF3E94">
        <w:rPr>
          <w:rFonts w:cstheme="minorHAnsi"/>
        </w:rPr>
        <w:t xml:space="preserve">The base cooperative agreements are for five years of performance. </w:t>
      </w:r>
      <w:r w:rsidRPr="00CF3E94" w:rsidR="007425E9">
        <w:rPr>
          <w:rFonts w:cstheme="minorHAnsi"/>
        </w:rPr>
        <w:t xml:space="preserve">Special Projects may be for only one to three </w:t>
      </w:r>
      <w:r w:rsidRPr="00CF3E94" w:rsidR="008B326A">
        <w:rPr>
          <w:rFonts w:cstheme="minorHAnsi"/>
        </w:rPr>
        <w:t>y</w:t>
      </w:r>
      <w:r w:rsidRPr="00CF3E94" w:rsidR="007425E9">
        <w:rPr>
          <w:rFonts w:cstheme="minorHAnsi"/>
        </w:rPr>
        <w:t xml:space="preserve">ears.  </w:t>
      </w:r>
      <w:r w:rsidRPr="00CF3E94">
        <w:rPr>
          <w:rFonts w:cstheme="minorHAnsi"/>
        </w:rPr>
        <w:t xml:space="preserve">Funding </w:t>
      </w:r>
      <w:r w:rsidRPr="00CF3E94" w:rsidR="007425E9">
        <w:rPr>
          <w:rFonts w:cstheme="minorHAnsi"/>
        </w:rPr>
        <w:t xml:space="preserve">for base cooperative agreements </w:t>
      </w:r>
      <w:r w:rsidRPr="00CF3E94">
        <w:rPr>
          <w:rFonts w:cstheme="minorHAnsi"/>
        </w:rPr>
        <w:t xml:space="preserve">is provided in yearly </w:t>
      </w:r>
      <w:r w:rsidRPr="00CF3E94" w:rsidR="008B326A">
        <w:rPr>
          <w:rFonts w:cstheme="minorHAnsi"/>
        </w:rPr>
        <w:t>appropriations</w:t>
      </w:r>
      <w:r w:rsidRPr="00CF3E94">
        <w:rPr>
          <w:rFonts w:cstheme="minorHAnsi"/>
        </w:rPr>
        <w:t xml:space="preserve">, with annual funding contingent upon funding availability, satisfactory performance, and continued relevance of Program objectives, with the sole discretion of the U.S. Department of Commerce. In addition, fourth and fifth-year funding is contingent upon a positive Panel </w:t>
      </w:r>
      <w:r w:rsidRPr="00CF3E94" w:rsidR="00132C4C">
        <w:rPr>
          <w:rFonts w:cstheme="minorHAnsi"/>
        </w:rPr>
        <w:t>evaluation</w:t>
      </w:r>
      <w:r w:rsidRPr="00CF3E94">
        <w:rPr>
          <w:rFonts w:cstheme="minorHAnsi"/>
        </w:rPr>
        <w:t xml:space="preserve"> recommendation </w:t>
      </w:r>
      <w:r w:rsidRPr="00CF3E94" w:rsidR="00532281">
        <w:rPr>
          <w:rFonts w:cstheme="minorHAnsi"/>
        </w:rPr>
        <w:t>completed in</w:t>
      </w:r>
      <w:r w:rsidRPr="00CF3E94">
        <w:rPr>
          <w:rFonts w:cstheme="minorHAnsi"/>
        </w:rPr>
        <w:t xml:space="preserve"> the third year of the award.</w:t>
      </w:r>
    </w:p>
    <w:p w:rsidRPr="00CF3E94" w:rsidR="003A24D3" w:rsidP="00776379" w:rsidRDefault="003A24D3" w14:paraId="50977EE0" w14:textId="5196E5B1">
      <w:pPr>
        <w:rPr>
          <w:rFonts w:cstheme="minorHAnsi"/>
        </w:rPr>
      </w:pPr>
      <w:r w:rsidRPr="00CF3E94">
        <w:rPr>
          <w:rFonts w:cstheme="minorHAnsi"/>
        </w:rPr>
        <w:t xml:space="preserve">As part of the Panel Review in the third year, the Center provides the Center Profile and Performance Report (CPPR) and strategic plan. After the evaluation, the Center will provide a revised Operating Outcome Plan for the remaining two years of the five-year award. </w:t>
      </w:r>
    </w:p>
    <w:p w:rsidRPr="00CF3E94" w:rsidR="00776379" w:rsidP="00776379" w:rsidRDefault="004940A3" w14:paraId="7FF34E6A" w14:textId="7487D7BD">
      <w:pPr>
        <w:rPr>
          <w:rFonts w:cstheme="minorHAnsi"/>
          <w:b/>
          <w:bCs/>
          <w:sz w:val="28"/>
          <w:szCs w:val="28"/>
        </w:rPr>
      </w:pPr>
      <w:r w:rsidRPr="00CF3E94">
        <w:rPr>
          <w:rFonts w:cstheme="minorHAnsi"/>
          <w:b/>
          <w:bCs/>
          <w:sz w:val="28"/>
          <w:szCs w:val="28"/>
        </w:rPr>
        <w:t>MODULAR</w:t>
      </w:r>
      <w:r w:rsidRPr="00CF3E94" w:rsidR="00776379">
        <w:rPr>
          <w:rFonts w:cstheme="minorHAnsi"/>
          <w:b/>
          <w:bCs/>
          <w:sz w:val="28"/>
          <w:szCs w:val="28"/>
        </w:rPr>
        <w:t xml:space="preserve"> APPROACH TO COOPERATIVE AGREEMENT MANAGEMENT </w:t>
      </w:r>
    </w:p>
    <w:p w:rsidRPr="00CF3E94" w:rsidR="005E5A5B" w:rsidP="00AF1D10" w:rsidRDefault="00132C4C" w14:paraId="4603C873" w14:textId="1A2DBCDF">
      <w:pPr>
        <w:spacing w:after="0" w:line="240" w:lineRule="auto"/>
        <w:rPr>
          <w:rFonts w:cstheme="minorHAnsi"/>
        </w:rPr>
      </w:pPr>
      <w:r w:rsidRPr="00CF3E94">
        <w:rPr>
          <w:rFonts w:cstheme="minorHAnsi"/>
        </w:rPr>
        <w:t xml:space="preserve">NIST MEP uses a modular approach for cooperative agreement management.  </w:t>
      </w:r>
      <w:r w:rsidRPr="00CF3E94" w:rsidR="00532281">
        <w:rPr>
          <w:rFonts w:cstheme="minorHAnsi"/>
        </w:rPr>
        <w:t xml:space="preserve">A </w:t>
      </w:r>
      <w:r w:rsidRPr="00CF3E94" w:rsidR="00F81FF8">
        <w:rPr>
          <w:rFonts w:cstheme="minorHAnsi"/>
        </w:rPr>
        <w:t>Center provide</w:t>
      </w:r>
      <w:r w:rsidRPr="00CF3E94" w:rsidR="00532281">
        <w:rPr>
          <w:rFonts w:cstheme="minorHAnsi"/>
        </w:rPr>
        <w:t>s</w:t>
      </w:r>
      <w:r w:rsidRPr="00CF3E94" w:rsidR="00F81FF8">
        <w:rPr>
          <w:rFonts w:cstheme="minorHAnsi"/>
        </w:rPr>
        <w:t xml:space="preserve"> documents that are then leveraged at various times of the award cycle to guide the execution of the cooperative agreement. A sample of the document types are listed in each stage below:</w:t>
      </w:r>
    </w:p>
    <w:p w:rsidRPr="00CF3E94" w:rsidR="00F81FF8" w:rsidP="00C735FF" w:rsidRDefault="00F81FF8" w14:paraId="3B93B08A" w14:textId="772B4A58">
      <w:pPr>
        <w:spacing w:after="0" w:line="240" w:lineRule="auto"/>
        <w:jc w:val="center"/>
        <w:rPr>
          <w:rFonts w:cstheme="minorHAnsi"/>
        </w:rPr>
      </w:pPr>
      <w:r w:rsidRPr="00CF3E94">
        <w:rPr>
          <w:rFonts w:cstheme="minorHAnsi"/>
          <w:noProof/>
        </w:rPr>
        <w:lastRenderedPageBreak/>
        <w:drawing>
          <wp:inline distT="0" distB="0" distL="0" distR="0" wp14:anchorId="209C9723" wp14:editId="4152CFB6">
            <wp:extent cx="5476875" cy="3067050"/>
            <wp:effectExtent l="0" t="0" r="9525"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Pr="00CF3E94" w:rsidR="00830A8B" w:rsidP="00F81FF8" w:rsidRDefault="00830A8B" w14:paraId="27040287" w14:textId="77777777">
      <w:pPr>
        <w:spacing w:after="0" w:line="240" w:lineRule="auto"/>
        <w:rPr>
          <w:rFonts w:cstheme="minorHAnsi"/>
        </w:rPr>
      </w:pPr>
    </w:p>
    <w:p w:rsidRPr="00CF3E94" w:rsidR="00ED6896" w:rsidP="00F81FF8" w:rsidRDefault="00F81FF8" w14:paraId="37C98655" w14:textId="7EE06ED9">
      <w:pPr>
        <w:spacing w:after="0" w:line="240" w:lineRule="auto"/>
        <w:rPr>
          <w:rFonts w:cstheme="minorHAnsi"/>
        </w:rPr>
      </w:pPr>
      <w:r w:rsidRPr="00CF3E94">
        <w:rPr>
          <w:rFonts w:cstheme="minorHAnsi"/>
        </w:rPr>
        <w:t>The first step is the Center’s proposal submission in response to the NIST Announcement</w:t>
      </w:r>
      <w:r w:rsidRPr="00CF3E94" w:rsidR="003A24D3">
        <w:rPr>
          <w:rFonts w:cstheme="minorHAnsi"/>
        </w:rPr>
        <w:t>, Federal Funding Opportunity (FFO), or</w:t>
      </w:r>
      <w:r w:rsidRPr="00CF3E94">
        <w:rPr>
          <w:rFonts w:cstheme="minorHAnsi"/>
        </w:rPr>
        <w:t xml:space="preserve"> Notice of Federal Funding Opportunity</w:t>
      </w:r>
      <w:r w:rsidRPr="00CF3E94" w:rsidR="003A24D3">
        <w:rPr>
          <w:rFonts w:cstheme="minorHAnsi"/>
        </w:rPr>
        <w:t xml:space="preserve"> (NOFO)</w:t>
      </w:r>
      <w:r w:rsidRPr="00CF3E94">
        <w:rPr>
          <w:rFonts w:cstheme="minorHAnsi"/>
        </w:rPr>
        <w:t xml:space="preserve">. </w:t>
      </w:r>
      <w:r w:rsidRPr="00CF3E94" w:rsidR="0023173F">
        <w:rPr>
          <w:rFonts w:cstheme="minorHAnsi"/>
        </w:rPr>
        <w:t xml:space="preserve">At the time of application, a Center must </w:t>
      </w:r>
      <w:r w:rsidRPr="00CF3E94" w:rsidR="00532281">
        <w:rPr>
          <w:rFonts w:cstheme="minorHAnsi"/>
        </w:rPr>
        <w:t>provide</w:t>
      </w:r>
      <w:r w:rsidRPr="00CF3E94" w:rsidR="00042923">
        <w:rPr>
          <w:rFonts w:cstheme="minorHAnsi"/>
        </w:rPr>
        <w:t xml:space="preserve"> </w:t>
      </w:r>
      <w:r w:rsidRPr="00CF3E94" w:rsidR="00A60C79">
        <w:rPr>
          <w:rFonts w:cstheme="minorHAnsi"/>
        </w:rPr>
        <w:t>a</w:t>
      </w:r>
      <w:r w:rsidRPr="00CF3E94" w:rsidR="0023173F">
        <w:rPr>
          <w:rFonts w:cstheme="minorHAnsi"/>
        </w:rPr>
        <w:t xml:space="preserve"> Single Year Budget Workbook, </w:t>
      </w:r>
      <w:r w:rsidRPr="00CF3E94" w:rsidR="005E5A5B">
        <w:rPr>
          <w:rFonts w:cstheme="minorHAnsi"/>
        </w:rPr>
        <w:t>Award</w:t>
      </w:r>
      <w:r w:rsidRPr="00CF3E94" w:rsidR="00D43BA6">
        <w:rPr>
          <w:rFonts w:cstheme="minorHAnsi"/>
        </w:rPr>
        <w:t xml:space="preserve"> Budget </w:t>
      </w:r>
      <w:r w:rsidRPr="00CF3E94" w:rsidR="0023173F">
        <w:rPr>
          <w:rFonts w:cstheme="minorHAnsi"/>
        </w:rPr>
        <w:t>Summary</w:t>
      </w:r>
      <w:r w:rsidR="00CF3E94">
        <w:rPr>
          <w:rFonts w:cstheme="minorHAnsi"/>
        </w:rPr>
        <w:t xml:space="preserve"> Table</w:t>
      </w:r>
      <w:r w:rsidRPr="00CF3E94" w:rsidR="0023173F">
        <w:rPr>
          <w:rFonts w:cstheme="minorHAnsi"/>
        </w:rPr>
        <w:t>, S</w:t>
      </w:r>
      <w:r w:rsidRPr="00CF3E94" w:rsidR="00532281">
        <w:rPr>
          <w:rFonts w:cstheme="minorHAnsi"/>
        </w:rPr>
        <w:t>cope of Work (SOW)</w:t>
      </w:r>
      <w:r w:rsidRPr="00CF3E94" w:rsidR="0023173F">
        <w:rPr>
          <w:rFonts w:cstheme="minorHAnsi"/>
        </w:rPr>
        <w:t xml:space="preserve">, and Intellectual Property Plan (IP Plan) covering the life of the award. </w:t>
      </w:r>
      <w:r w:rsidRPr="00CF3E94" w:rsidR="00532281">
        <w:rPr>
          <w:rFonts w:cstheme="minorHAnsi"/>
        </w:rPr>
        <w:t>NIST then incorporates the proposed SOW and NIST MEP Award Budget Summary</w:t>
      </w:r>
      <w:r w:rsidR="00CF3E94">
        <w:rPr>
          <w:rFonts w:cstheme="minorHAnsi"/>
        </w:rPr>
        <w:t xml:space="preserve"> Table</w:t>
      </w:r>
      <w:r w:rsidRPr="00CF3E94" w:rsidR="00532281">
        <w:rPr>
          <w:rFonts w:cstheme="minorHAnsi"/>
        </w:rPr>
        <w:t xml:space="preserve"> into the funding instrument via the CD-450. </w:t>
      </w:r>
      <w:r w:rsidRPr="00CF3E94">
        <w:rPr>
          <w:rFonts w:cstheme="minorHAnsi"/>
        </w:rPr>
        <w:t xml:space="preserve">After the initial award is made, the Center provides </w:t>
      </w:r>
      <w:r w:rsidRPr="00CF3E94" w:rsidR="00A60C79">
        <w:rPr>
          <w:rFonts w:cstheme="minorHAnsi"/>
        </w:rPr>
        <w:t>programmatic detail in the</w:t>
      </w:r>
      <w:r w:rsidRPr="00CF3E94" w:rsidR="0023173F">
        <w:rPr>
          <w:rFonts w:cstheme="minorHAnsi"/>
        </w:rPr>
        <w:t xml:space="preserve"> </w:t>
      </w:r>
      <w:r w:rsidRPr="00CF3E94">
        <w:rPr>
          <w:rFonts w:cstheme="minorHAnsi"/>
        </w:rPr>
        <w:t>Operating Outcome Plan</w:t>
      </w:r>
      <w:r w:rsidRPr="00CF3E94" w:rsidR="007425E9">
        <w:rPr>
          <w:rFonts w:cstheme="minorHAnsi"/>
        </w:rPr>
        <w:t>s and multi-year budgets for the initial three years of the award</w:t>
      </w:r>
      <w:r w:rsidRPr="00CF3E94" w:rsidR="0023173F">
        <w:rPr>
          <w:rFonts w:cstheme="minorHAnsi"/>
        </w:rPr>
        <w:t xml:space="preserve">. </w:t>
      </w:r>
      <w:r w:rsidRPr="00CF3E94">
        <w:rPr>
          <w:rFonts w:cstheme="minorHAnsi"/>
        </w:rPr>
        <w:t>These documents serve as a Center’s road map</w:t>
      </w:r>
      <w:r w:rsidRPr="00CF3E94" w:rsidR="00ED6896">
        <w:rPr>
          <w:rFonts w:cstheme="minorHAnsi"/>
        </w:rPr>
        <w:t xml:space="preserve"> and should be periodically reviewed by both the Center and NIST. </w:t>
      </w:r>
    </w:p>
    <w:p w:rsidRPr="00CF3E94" w:rsidR="003A24D3" w:rsidP="00F81FF8" w:rsidRDefault="003A24D3" w14:paraId="68FD33A1" w14:textId="77777777">
      <w:pPr>
        <w:spacing w:after="0" w:line="240" w:lineRule="auto"/>
        <w:rPr>
          <w:rFonts w:cstheme="minorHAnsi"/>
        </w:rPr>
      </w:pPr>
    </w:p>
    <w:p w:rsidRPr="00CF3E94" w:rsidR="00D43BA6" w:rsidP="00D43BA6" w:rsidRDefault="00D43BA6" w14:paraId="6DDBADBE" w14:textId="5FCD5D0A">
      <w:pPr>
        <w:spacing w:after="0" w:line="240" w:lineRule="auto"/>
        <w:rPr>
          <w:rFonts w:cstheme="minorHAnsi"/>
        </w:rPr>
      </w:pPr>
      <w:r w:rsidRPr="00CF3E94">
        <w:rPr>
          <w:rFonts w:cstheme="minorHAnsi"/>
        </w:rPr>
        <w:t xml:space="preserve">Through ongoing collaboration with the Center’s assigned NIST </w:t>
      </w:r>
      <w:r w:rsidRPr="00CF3E94" w:rsidR="008B326A">
        <w:rPr>
          <w:rFonts w:cstheme="minorHAnsi"/>
        </w:rPr>
        <w:t>CRMT</w:t>
      </w:r>
      <w:r w:rsidRPr="00CF3E94">
        <w:rPr>
          <w:rFonts w:cstheme="minorHAnsi"/>
        </w:rPr>
        <w:t xml:space="preserve">, the Center uses the Scope of Work, multi-year budgets, and Operating Outcome Plan to execute the cooperative agreement. These “living documents” should be periodically reviewed and, if appropriate, revised by the Center. </w:t>
      </w:r>
    </w:p>
    <w:p w:rsidRPr="00CF3E94" w:rsidR="00C735FF" w:rsidP="007425E9" w:rsidRDefault="00C735FF" w14:paraId="1D507F15" w14:textId="77777777">
      <w:pPr>
        <w:spacing w:after="0" w:line="240" w:lineRule="auto"/>
        <w:rPr>
          <w:rFonts w:cstheme="minorHAnsi"/>
        </w:rPr>
      </w:pPr>
    </w:p>
    <w:p w:rsidRPr="00CF3E94" w:rsidR="007425E9" w:rsidP="007425E9" w:rsidRDefault="007425E9" w14:paraId="0A237F36" w14:textId="52255164">
      <w:pPr>
        <w:spacing w:after="0" w:line="240" w:lineRule="auto"/>
        <w:rPr>
          <w:rFonts w:cstheme="minorHAnsi"/>
        </w:rPr>
      </w:pPr>
      <w:r w:rsidRPr="00CF3E94">
        <w:rPr>
          <w:rFonts w:cstheme="minorHAnsi"/>
        </w:rPr>
        <w:t xml:space="preserve">Per the NIST MEP General Terms and Conditions, the Center’s Scope of Work, IP Plan, and multi-year budgets are collectively referred to as the “Required Plans.” Revisions to these documents must be reviewed first by the </w:t>
      </w:r>
      <w:r w:rsidRPr="00CF3E94" w:rsidR="003A24D3">
        <w:rPr>
          <w:rFonts w:cstheme="minorHAnsi"/>
        </w:rPr>
        <w:t>CRMT</w:t>
      </w:r>
      <w:r w:rsidRPr="00CF3E94">
        <w:rPr>
          <w:rFonts w:cstheme="minorHAnsi"/>
        </w:rPr>
        <w:t xml:space="preserve">, and then approved by the NIST Grants Officer. Upon approval by the NIST Grants Officer, the documents are incorporated by reference into the terms and conditions of the Center’s cooperative agreement. </w:t>
      </w:r>
      <w:r w:rsidRPr="00CF3E94">
        <w:rPr>
          <w:rFonts w:cstheme="minorHAnsi"/>
          <w:b/>
          <w:bCs/>
        </w:rPr>
        <w:t>Operating Outcome Plans and Board Bylaws are not part of the Required Plans</w:t>
      </w:r>
      <w:r w:rsidRPr="00CF3E94">
        <w:rPr>
          <w:rFonts w:cstheme="minorHAnsi"/>
        </w:rPr>
        <w:t xml:space="preserve"> and, therefore, do not require approval by the NIST Grants Officer when revised. </w:t>
      </w:r>
    </w:p>
    <w:p w:rsidRPr="00CF3E94" w:rsidR="003A24D3" w:rsidP="007425E9" w:rsidRDefault="003A24D3" w14:paraId="0CC3B0EB" w14:textId="77777777">
      <w:pPr>
        <w:spacing w:after="0" w:line="240" w:lineRule="auto"/>
        <w:rPr>
          <w:rFonts w:cstheme="minorHAnsi"/>
          <w:b/>
          <w:sz w:val="28"/>
          <w:szCs w:val="28"/>
        </w:rPr>
      </w:pPr>
    </w:p>
    <w:p w:rsidRPr="00CF3E94" w:rsidR="00776379" w:rsidP="00776379" w:rsidRDefault="003A24D3" w14:paraId="75F02636" w14:textId="159B5015">
      <w:pPr>
        <w:rPr>
          <w:rFonts w:cstheme="minorHAnsi"/>
          <w:b/>
          <w:bCs/>
          <w:sz w:val="28"/>
          <w:szCs w:val="28"/>
        </w:rPr>
      </w:pPr>
      <w:r w:rsidRPr="00CF3E94">
        <w:rPr>
          <w:rFonts w:cstheme="minorHAnsi"/>
          <w:b/>
          <w:bCs/>
          <w:sz w:val="28"/>
          <w:szCs w:val="28"/>
        </w:rPr>
        <w:t xml:space="preserve">Part II. </w:t>
      </w:r>
      <w:r w:rsidRPr="00CF3E94" w:rsidR="00776379">
        <w:rPr>
          <w:rFonts w:cstheme="minorHAnsi"/>
          <w:b/>
          <w:bCs/>
          <w:sz w:val="28"/>
          <w:szCs w:val="28"/>
        </w:rPr>
        <w:t>RENEWAL PACKAGES</w:t>
      </w:r>
    </w:p>
    <w:p w:rsidRPr="00CF3E94" w:rsidR="00F81FF8" w:rsidP="00F81FF8" w:rsidRDefault="00F81FF8" w14:paraId="3C0542FB" w14:textId="59B3AD23">
      <w:pPr>
        <w:rPr>
          <w:rFonts w:cstheme="minorHAnsi"/>
          <w:b/>
          <w:bCs/>
        </w:rPr>
      </w:pPr>
      <w:r w:rsidRPr="00CF3E94">
        <w:rPr>
          <w:rFonts w:cstheme="minorHAnsi"/>
          <w:b/>
          <w:bCs/>
          <w:sz w:val="24"/>
          <w:szCs w:val="24"/>
        </w:rPr>
        <w:t>Timeline</w:t>
      </w:r>
    </w:p>
    <w:p w:rsidRPr="00CF3E94" w:rsidR="005E5A5B" w:rsidP="00F81FF8" w:rsidRDefault="00532281" w14:paraId="0BE6AC56" w14:textId="14B5C0FC">
      <w:pPr>
        <w:rPr>
          <w:rFonts w:cstheme="minorHAnsi"/>
        </w:rPr>
      </w:pPr>
      <w:r w:rsidRPr="00CF3E94">
        <w:rPr>
          <w:rFonts w:cstheme="minorHAnsi"/>
        </w:rPr>
        <w:t xml:space="preserve">The </w:t>
      </w:r>
      <w:r w:rsidRPr="00CF3E94" w:rsidR="00F81FF8">
        <w:rPr>
          <w:rFonts w:cstheme="minorHAnsi"/>
        </w:rPr>
        <w:t xml:space="preserve">CRMT </w:t>
      </w:r>
      <w:r w:rsidRPr="00CF3E94" w:rsidR="002A7844">
        <w:rPr>
          <w:rFonts w:cstheme="minorHAnsi"/>
        </w:rPr>
        <w:t xml:space="preserve">will </w:t>
      </w:r>
      <w:r w:rsidRPr="00CF3E94" w:rsidR="00F81FF8">
        <w:rPr>
          <w:rFonts w:cstheme="minorHAnsi"/>
        </w:rPr>
        <w:t>asses</w:t>
      </w:r>
      <w:r w:rsidRPr="00CF3E94">
        <w:rPr>
          <w:rFonts w:cstheme="minorHAnsi"/>
        </w:rPr>
        <w:t>s</w:t>
      </w:r>
      <w:r w:rsidRPr="00CF3E94" w:rsidR="00F81FF8">
        <w:rPr>
          <w:rFonts w:cstheme="minorHAnsi"/>
        </w:rPr>
        <w:t xml:space="preserve"> the Required Plans and other supporting documents annually during scheduled reviews or evaluations. After the review or evaluation, the </w:t>
      </w:r>
      <w:r w:rsidRPr="00CF3E94" w:rsidR="003A24D3">
        <w:rPr>
          <w:rFonts w:cstheme="minorHAnsi"/>
        </w:rPr>
        <w:t xml:space="preserve">Federal Program Officer emails </w:t>
      </w:r>
      <w:r w:rsidRPr="00CF3E94" w:rsidR="00F81FF8">
        <w:rPr>
          <w:rFonts w:cstheme="minorHAnsi"/>
        </w:rPr>
        <w:t xml:space="preserve">renewal guidance to the Center. Centers develop documentation following the instructions provided, which are considered the renewal package. All other supporting documents in the draft renewal packages </w:t>
      </w:r>
      <w:r w:rsidRPr="00CF3E94" w:rsidR="00BA6E87">
        <w:rPr>
          <w:rFonts w:cstheme="minorHAnsi"/>
        </w:rPr>
        <w:t>should</w:t>
      </w:r>
      <w:r w:rsidRPr="00CF3E94" w:rsidR="00F81FF8">
        <w:rPr>
          <w:rFonts w:cstheme="minorHAnsi"/>
        </w:rPr>
        <w:t xml:space="preserve"> be sent to the CRMT by email no later than </w:t>
      </w:r>
      <w:r w:rsidRPr="00CF3E94" w:rsidR="00F81FF8">
        <w:rPr>
          <w:rFonts w:cstheme="minorHAnsi"/>
        </w:rPr>
        <w:lastRenderedPageBreak/>
        <w:t>ninety (90) days</w:t>
      </w:r>
      <w:r w:rsidRPr="00CF3E94" w:rsidR="00F81FF8">
        <w:rPr>
          <w:rFonts w:cstheme="minorHAnsi"/>
          <w:b/>
          <w:bCs/>
        </w:rPr>
        <w:t xml:space="preserve"> </w:t>
      </w:r>
      <w:r w:rsidRPr="00CF3E94" w:rsidR="00F81FF8">
        <w:rPr>
          <w:rFonts w:cstheme="minorHAnsi"/>
        </w:rPr>
        <w:t>before the budget period end date. Final versions of the renewal package, which address comments and/or issues identified by the CRMT, are due no later than sixty (60) days before the budget period</w:t>
      </w:r>
      <w:r w:rsidRPr="00CF3E94" w:rsidR="00C735FF">
        <w:rPr>
          <w:rFonts w:cstheme="minorHAnsi"/>
        </w:rPr>
        <w:t xml:space="preserve"> </w:t>
      </w:r>
      <w:r w:rsidRPr="00CF3E94" w:rsidR="00F81FF8">
        <w:rPr>
          <w:rFonts w:cstheme="minorHAnsi"/>
        </w:rPr>
        <w:t xml:space="preserve">end date. </w:t>
      </w:r>
    </w:p>
    <w:p w:rsidRPr="00CF3E94" w:rsidR="00F81FF8" w:rsidP="00F81FF8" w:rsidRDefault="00F81FF8" w14:paraId="4C82F30B" w14:textId="188A4786">
      <w:pPr>
        <w:rPr>
          <w:rFonts w:cstheme="minorHAnsi"/>
        </w:rPr>
      </w:pPr>
      <w:r w:rsidRPr="00CF3E94">
        <w:rPr>
          <w:rFonts w:cstheme="minorHAnsi"/>
          <w:noProof/>
        </w:rPr>
        <w:drawing>
          <wp:inline distT="0" distB="0" distL="0" distR="0" wp14:anchorId="44590ABF" wp14:editId="50109AC2">
            <wp:extent cx="5854700" cy="2306703"/>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CF3E94" w:rsidR="00F81FF8" w:rsidP="00F81FF8" w:rsidRDefault="00F81FF8" w14:paraId="0784EC35" w14:textId="766D1479">
      <w:pPr>
        <w:rPr>
          <w:rFonts w:cstheme="minorHAnsi"/>
          <w:b/>
          <w:bCs/>
          <w:sz w:val="24"/>
          <w:szCs w:val="24"/>
        </w:rPr>
      </w:pPr>
      <w:bookmarkStart w:name="_Hlk77182559" w:id="1"/>
      <w:r w:rsidRPr="00CF3E94">
        <w:rPr>
          <w:rFonts w:cstheme="minorHAnsi"/>
          <w:b/>
          <w:bCs/>
          <w:sz w:val="24"/>
          <w:szCs w:val="24"/>
        </w:rPr>
        <w:t>Documentation Submission Procedures</w:t>
      </w:r>
    </w:p>
    <w:bookmarkEnd w:id="1"/>
    <w:p w:rsidRPr="00CF3E94" w:rsidR="00C11D71" w:rsidP="00804246" w:rsidRDefault="00F81FF8" w14:paraId="531978F4" w14:textId="74473A87">
      <w:pPr>
        <w:rPr>
          <w:rFonts w:cstheme="minorHAnsi"/>
        </w:rPr>
      </w:pPr>
      <w:r w:rsidRPr="00CF3E94">
        <w:rPr>
          <w:rFonts w:cstheme="minorHAnsi"/>
          <w:bCs/>
        </w:rPr>
        <w:t xml:space="preserve">All Centers are required to use and submit </w:t>
      </w:r>
      <w:r w:rsidRPr="00CF3E94" w:rsidR="003A24D3">
        <w:rPr>
          <w:rFonts w:cstheme="minorHAnsi"/>
          <w:bCs/>
        </w:rPr>
        <w:t xml:space="preserve">the </w:t>
      </w:r>
      <w:r w:rsidRPr="00CF3E94">
        <w:rPr>
          <w:rFonts w:cstheme="minorHAnsi"/>
          <w:bCs/>
        </w:rPr>
        <w:t>OMB-approved NIST MEP templates</w:t>
      </w:r>
      <w:r w:rsidRPr="00CF3E94">
        <w:rPr>
          <w:rFonts w:cstheme="minorHAnsi"/>
          <w:b/>
        </w:rPr>
        <w:t xml:space="preserve"> </w:t>
      </w:r>
      <w:r w:rsidRPr="00CF3E94">
        <w:rPr>
          <w:rFonts w:cstheme="minorHAnsi"/>
        </w:rPr>
        <w:t>when submitting the</w:t>
      </w:r>
      <w:r w:rsidRPr="00CF3E94" w:rsidR="002D3D9E">
        <w:rPr>
          <w:rFonts w:cstheme="minorHAnsi"/>
        </w:rPr>
        <w:t xml:space="preserve"> NIST MEP Single Year Budget Workbook and NIST MEP </w:t>
      </w:r>
      <w:r w:rsidRPr="00CF3E94" w:rsidR="00966C70">
        <w:rPr>
          <w:rFonts w:cstheme="minorHAnsi"/>
        </w:rPr>
        <w:t xml:space="preserve">Award </w:t>
      </w:r>
      <w:r w:rsidRPr="00CF3E94" w:rsidR="002D3D9E">
        <w:rPr>
          <w:rFonts w:cstheme="minorHAnsi"/>
        </w:rPr>
        <w:t xml:space="preserve">Budget Summary </w:t>
      </w:r>
      <w:r w:rsidRPr="00CF3E94" w:rsidR="003A24D3">
        <w:rPr>
          <w:rFonts w:cstheme="minorHAnsi"/>
        </w:rPr>
        <w:t>Table</w:t>
      </w:r>
      <w:r w:rsidRPr="00CF3E94" w:rsidR="002D3D9E">
        <w:rPr>
          <w:rFonts w:cstheme="minorHAnsi"/>
        </w:rPr>
        <w:t xml:space="preserve">. </w:t>
      </w:r>
      <w:r w:rsidRPr="00CF3E94">
        <w:rPr>
          <w:rFonts w:cstheme="minorHAnsi"/>
        </w:rPr>
        <w:t xml:space="preserve">Aside from </w:t>
      </w:r>
      <w:r w:rsidRPr="00CF3E94" w:rsidR="002450C0">
        <w:rPr>
          <w:rFonts w:cstheme="minorHAnsi"/>
        </w:rPr>
        <w:t>Standard Forms</w:t>
      </w:r>
      <w:r w:rsidRPr="00CF3E94">
        <w:rPr>
          <w:rFonts w:cstheme="minorHAnsi"/>
        </w:rPr>
        <w:t xml:space="preserve">, submissions should be in Microsoft Word and Excel </w:t>
      </w:r>
      <w:r w:rsidRPr="00CF3E94" w:rsidR="002450C0">
        <w:rPr>
          <w:rFonts w:cstheme="minorHAnsi"/>
        </w:rPr>
        <w:t>application</w:t>
      </w:r>
      <w:r w:rsidRPr="00CF3E94" w:rsidR="00A57898">
        <w:rPr>
          <w:rFonts w:cstheme="minorHAnsi"/>
        </w:rPr>
        <w:t>s</w:t>
      </w:r>
      <w:r w:rsidRPr="00CF3E94" w:rsidR="00532281">
        <w:rPr>
          <w:rFonts w:cstheme="minorHAnsi"/>
        </w:rPr>
        <w:t xml:space="preserve">. </w:t>
      </w:r>
      <w:r w:rsidRPr="00CF3E94">
        <w:rPr>
          <w:rFonts w:cstheme="minorHAnsi"/>
        </w:rPr>
        <w:t>PDFs are not acceptable</w:t>
      </w:r>
      <w:r w:rsidRPr="00CF3E94" w:rsidR="00532281">
        <w:rPr>
          <w:rFonts w:cstheme="minorHAnsi"/>
        </w:rPr>
        <w:t xml:space="preserve"> for the draft renewal package</w:t>
      </w:r>
      <w:r w:rsidRPr="00CF3E94" w:rsidR="00141618">
        <w:rPr>
          <w:rFonts w:cstheme="minorHAnsi"/>
        </w:rPr>
        <w:t>.</w:t>
      </w:r>
    </w:p>
    <w:p w:rsidRPr="00CF3E94" w:rsidR="00804246" w:rsidP="00804246" w:rsidRDefault="00804246" w14:paraId="59163A65" w14:textId="77777777">
      <w:pPr>
        <w:rPr>
          <w:rFonts w:cstheme="minorHAnsi"/>
        </w:rPr>
      </w:pPr>
      <w:r w:rsidRPr="00CF3E94">
        <w:rPr>
          <w:rFonts w:cstheme="minorHAnsi"/>
        </w:rPr>
        <w:t>Renewal package annual submission must include:</w:t>
      </w:r>
    </w:p>
    <w:p w:rsidRPr="00CF3E94" w:rsidR="00804246" w:rsidP="00804246" w:rsidRDefault="00804246" w14:paraId="44CB2B9A" w14:textId="77777777">
      <w:pPr>
        <w:pStyle w:val="ListParagraph"/>
        <w:numPr>
          <w:ilvl w:val="0"/>
          <w:numId w:val="17"/>
        </w:numPr>
        <w:rPr>
          <w:rFonts w:asciiTheme="minorHAnsi" w:hAnsiTheme="minorHAnsi" w:eastAsiaTheme="minorHAnsi" w:cstheme="minorHAnsi"/>
        </w:rPr>
      </w:pPr>
      <w:r w:rsidRPr="00CF3E94">
        <w:rPr>
          <w:rFonts w:asciiTheme="minorHAnsi" w:hAnsiTheme="minorHAnsi" w:eastAsiaTheme="minorHAnsi" w:cstheme="minorHAnsi"/>
        </w:rPr>
        <w:t>CD-511 Certification Regarding Lobbying</w:t>
      </w:r>
    </w:p>
    <w:p w:rsidR="00804246" w:rsidP="00804246" w:rsidRDefault="003A24D3" w14:paraId="415496E6" w14:textId="6B5C29E9">
      <w:pPr>
        <w:pStyle w:val="ListParagraph"/>
        <w:numPr>
          <w:ilvl w:val="0"/>
          <w:numId w:val="17"/>
        </w:numPr>
        <w:rPr>
          <w:rFonts w:asciiTheme="minorHAnsi" w:hAnsiTheme="minorHAnsi" w:eastAsiaTheme="minorHAnsi" w:cstheme="minorHAnsi"/>
        </w:rPr>
      </w:pPr>
      <w:r w:rsidRPr="00CF3E94">
        <w:rPr>
          <w:rFonts w:asciiTheme="minorHAnsi" w:hAnsiTheme="minorHAnsi" w:eastAsiaTheme="minorHAnsi" w:cstheme="minorHAnsi"/>
        </w:rPr>
        <w:t>Revised Award</w:t>
      </w:r>
      <w:r w:rsidRPr="00CF3E94" w:rsidR="0037210B">
        <w:rPr>
          <w:rFonts w:asciiTheme="minorHAnsi" w:hAnsiTheme="minorHAnsi" w:eastAsiaTheme="minorHAnsi" w:cstheme="minorHAnsi"/>
        </w:rPr>
        <w:t xml:space="preserve"> Budget Summary Table</w:t>
      </w:r>
    </w:p>
    <w:p w:rsidRPr="00CF3E94" w:rsidR="005620D5" w:rsidP="005620D5" w:rsidRDefault="005620D5" w14:paraId="49C0BD7D" w14:textId="77777777">
      <w:pPr>
        <w:pStyle w:val="ListParagraph"/>
        <w:rPr>
          <w:rFonts w:asciiTheme="minorHAnsi" w:hAnsiTheme="minorHAnsi" w:eastAsiaTheme="minorHAnsi" w:cstheme="minorHAnsi"/>
        </w:rPr>
      </w:pPr>
    </w:p>
    <w:p w:rsidRPr="00CF3E94" w:rsidR="0037210B" w:rsidP="00AF1D10" w:rsidRDefault="0037210B" w14:paraId="02AE97E1" w14:textId="51B1EA3D">
      <w:pPr>
        <w:rPr>
          <w:rFonts w:cstheme="minorHAnsi"/>
        </w:rPr>
      </w:pPr>
      <w:r w:rsidRPr="00CF3E94">
        <w:rPr>
          <w:rFonts w:cstheme="minorHAnsi"/>
          <w:b/>
          <w:bCs/>
        </w:rPr>
        <w:t xml:space="preserve">If applicable, </w:t>
      </w:r>
      <w:r w:rsidRPr="00CF3E94">
        <w:rPr>
          <w:rFonts w:cstheme="minorHAnsi"/>
        </w:rPr>
        <w:t>as identified during the review or evaluation, the following documents should also be submitted:</w:t>
      </w:r>
    </w:p>
    <w:p w:rsidRPr="00CF3E94" w:rsidR="003A24D3" w:rsidP="003A24D3" w:rsidRDefault="003A24D3" w14:paraId="42397729" w14:textId="77777777">
      <w:pPr>
        <w:pStyle w:val="ListParagraph"/>
        <w:numPr>
          <w:ilvl w:val="0"/>
          <w:numId w:val="17"/>
        </w:numPr>
        <w:rPr>
          <w:rFonts w:asciiTheme="minorHAnsi" w:hAnsiTheme="minorHAnsi" w:eastAsiaTheme="minorHAnsi" w:cstheme="minorHAnsi"/>
        </w:rPr>
      </w:pPr>
      <w:r w:rsidRPr="00CF3E94">
        <w:rPr>
          <w:rFonts w:asciiTheme="minorHAnsi" w:hAnsiTheme="minorHAnsi" w:eastAsiaTheme="minorHAnsi" w:cstheme="minorHAnsi"/>
        </w:rPr>
        <w:t>SF-424 Application for Federal Assistance</w:t>
      </w:r>
    </w:p>
    <w:p w:rsidRPr="00CF3E94" w:rsidR="003A24D3" w:rsidP="003A24D3" w:rsidRDefault="003A24D3" w14:paraId="319D42E0" w14:textId="3E46DB40">
      <w:pPr>
        <w:pStyle w:val="ListParagraph"/>
        <w:numPr>
          <w:ilvl w:val="0"/>
          <w:numId w:val="17"/>
        </w:numPr>
        <w:rPr>
          <w:rFonts w:asciiTheme="minorHAnsi" w:hAnsiTheme="minorHAnsi" w:eastAsiaTheme="minorHAnsi" w:cstheme="minorHAnsi"/>
        </w:rPr>
      </w:pPr>
      <w:r w:rsidRPr="00CF3E94">
        <w:rPr>
          <w:rFonts w:asciiTheme="minorHAnsi" w:hAnsiTheme="minorHAnsi" w:eastAsiaTheme="minorHAnsi" w:cstheme="minorHAnsi"/>
        </w:rPr>
        <w:t xml:space="preserve">Revised Scope of Work </w:t>
      </w:r>
    </w:p>
    <w:p w:rsidRPr="00CF3E94" w:rsidR="003A24D3" w:rsidP="003A24D3" w:rsidRDefault="003A24D3" w14:paraId="791B6330" w14:textId="77777777">
      <w:pPr>
        <w:pStyle w:val="ListParagraph"/>
        <w:numPr>
          <w:ilvl w:val="0"/>
          <w:numId w:val="17"/>
        </w:numPr>
        <w:rPr>
          <w:rFonts w:asciiTheme="minorHAnsi" w:hAnsiTheme="minorHAnsi" w:eastAsiaTheme="minorHAnsi" w:cstheme="minorHAnsi"/>
        </w:rPr>
      </w:pPr>
      <w:r w:rsidRPr="00CF3E94">
        <w:rPr>
          <w:rFonts w:asciiTheme="minorHAnsi" w:hAnsiTheme="minorHAnsi" w:eastAsiaTheme="minorHAnsi" w:cstheme="minorHAnsi"/>
        </w:rPr>
        <w:t>Revised Operating Outcome Plans (via MEIS)</w:t>
      </w:r>
    </w:p>
    <w:p w:rsidRPr="00CF3E94" w:rsidR="003A24D3" w:rsidP="003A24D3" w:rsidRDefault="003A24D3" w14:paraId="2AB92425" w14:textId="728E0CE0">
      <w:pPr>
        <w:pStyle w:val="ListParagraph"/>
        <w:numPr>
          <w:ilvl w:val="0"/>
          <w:numId w:val="17"/>
        </w:numPr>
        <w:rPr>
          <w:rFonts w:asciiTheme="minorHAnsi" w:hAnsiTheme="minorHAnsi" w:eastAsiaTheme="minorHAnsi" w:cstheme="minorHAnsi"/>
        </w:rPr>
      </w:pPr>
      <w:r w:rsidRPr="00CF3E94">
        <w:rPr>
          <w:rFonts w:asciiTheme="minorHAnsi" w:hAnsiTheme="minorHAnsi" w:eastAsiaTheme="minorHAnsi" w:cstheme="minorHAnsi"/>
        </w:rPr>
        <w:t>Revised Single Year Budget Workbook for the proposed budget period</w:t>
      </w:r>
    </w:p>
    <w:p w:rsidRPr="00CF3E94" w:rsidR="003A24D3" w:rsidP="003A24D3" w:rsidRDefault="003A24D3" w14:paraId="36C02DD1" w14:textId="3CC0F24F">
      <w:pPr>
        <w:pStyle w:val="ListParagraph"/>
        <w:numPr>
          <w:ilvl w:val="0"/>
          <w:numId w:val="17"/>
        </w:numPr>
        <w:rPr>
          <w:rFonts w:asciiTheme="minorHAnsi" w:hAnsiTheme="minorHAnsi" w:eastAsiaTheme="minorHAnsi" w:cstheme="minorHAnsi"/>
        </w:rPr>
      </w:pPr>
      <w:r w:rsidRPr="00CF3E94">
        <w:rPr>
          <w:rFonts w:asciiTheme="minorHAnsi" w:hAnsiTheme="minorHAnsi" w:eastAsiaTheme="minorHAnsi" w:cstheme="minorHAnsi"/>
        </w:rPr>
        <w:t xml:space="preserve">Draft or final proposed subrecipient, third-party </w:t>
      </w:r>
      <w:r w:rsidRPr="00CF3E94" w:rsidR="00020CC4">
        <w:rPr>
          <w:rFonts w:asciiTheme="minorHAnsi" w:hAnsiTheme="minorHAnsi" w:eastAsiaTheme="minorHAnsi" w:cstheme="minorHAnsi"/>
        </w:rPr>
        <w:t>contributor</w:t>
      </w:r>
      <w:r w:rsidRPr="00CF3E94">
        <w:rPr>
          <w:rFonts w:asciiTheme="minorHAnsi" w:hAnsiTheme="minorHAnsi" w:eastAsiaTheme="minorHAnsi" w:cstheme="minorHAnsi"/>
        </w:rPr>
        <w:t xml:space="preserve"> agreements with valuations of $250,000 or more with associated detailed budget tables for the renewal period (multi-year agreements are acceptable)</w:t>
      </w:r>
    </w:p>
    <w:p w:rsidRPr="00CF3E94" w:rsidR="003A24D3" w:rsidP="003A24D3" w:rsidRDefault="003A24D3" w14:paraId="05AA79E7" w14:textId="6F0B3630">
      <w:pPr>
        <w:pStyle w:val="ListParagraph"/>
        <w:numPr>
          <w:ilvl w:val="0"/>
          <w:numId w:val="17"/>
        </w:numPr>
        <w:rPr>
          <w:rFonts w:asciiTheme="minorHAnsi" w:hAnsiTheme="minorHAnsi" w:eastAsiaTheme="minorHAnsi" w:cstheme="minorHAnsi"/>
        </w:rPr>
      </w:pPr>
      <w:r w:rsidRPr="00CF3E94">
        <w:rPr>
          <w:rFonts w:asciiTheme="minorHAnsi" w:hAnsiTheme="minorHAnsi" w:eastAsiaTheme="minorHAnsi" w:cstheme="minorHAnsi"/>
        </w:rPr>
        <w:t xml:space="preserve">Draft or final proposed contracts with budgeted amounts of $250,000 or more for the </w:t>
      </w:r>
      <w:r w:rsidRPr="00CF3E94" w:rsidR="00020CC4">
        <w:rPr>
          <w:rFonts w:asciiTheme="minorHAnsi" w:hAnsiTheme="minorHAnsi" w:eastAsiaTheme="minorHAnsi" w:cstheme="minorHAnsi"/>
        </w:rPr>
        <w:t xml:space="preserve">budget </w:t>
      </w:r>
      <w:r w:rsidRPr="00CF3E94">
        <w:rPr>
          <w:rFonts w:asciiTheme="minorHAnsi" w:hAnsiTheme="minorHAnsi" w:eastAsiaTheme="minorHAnsi" w:cstheme="minorHAnsi"/>
        </w:rPr>
        <w:t>period (multi-year agreements are acceptable)</w:t>
      </w:r>
    </w:p>
    <w:p w:rsidRPr="00CF3E94" w:rsidR="003A24D3" w:rsidP="003A24D3" w:rsidRDefault="003A24D3" w14:paraId="781357A0" w14:textId="77777777">
      <w:pPr>
        <w:pStyle w:val="ListParagraph"/>
        <w:numPr>
          <w:ilvl w:val="0"/>
          <w:numId w:val="17"/>
        </w:numPr>
        <w:rPr>
          <w:rFonts w:asciiTheme="minorHAnsi" w:hAnsiTheme="minorHAnsi" w:eastAsiaTheme="minorHAnsi" w:cstheme="minorHAnsi"/>
        </w:rPr>
      </w:pPr>
      <w:r w:rsidRPr="00CF3E94">
        <w:rPr>
          <w:rFonts w:asciiTheme="minorHAnsi" w:hAnsiTheme="minorHAnsi" w:eastAsiaTheme="minorHAnsi" w:cstheme="minorHAnsi"/>
        </w:rPr>
        <w:t>Indirect Cost Rate Documentation (transmittal letter or approved agreement)</w:t>
      </w:r>
    </w:p>
    <w:p w:rsidRPr="00CF3E94" w:rsidR="003A24D3" w:rsidP="003A24D3" w:rsidRDefault="003A24D3" w14:paraId="1915849F" w14:textId="357D7AFE">
      <w:pPr>
        <w:pStyle w:val="ListParagraph"/>
        <w:numPr>
          <w:ilvl w:val="0"/>
          <w:numId w:val="17"/>
        </w:numPr>
        <w:rPr>
          <w:rFonts w:asciiTheme="minorHAnsi" w:hAnsiTheme="minorHAnsi" w:eastAsiaTheme="minorHAnsi" w:cstheme="minorHAnsi"/>
        </w:rPr>
      </w:pPr>
      <w:r w:rsidRPr="00CF3E94">
        <w:rPr>
          <w:rFonts w:asciiTheme="minorHAnsi" w:hAnsiTheme="minorHAnsi" w:eastAsiaTheme="minorHAnsi" w:cstheme="minorHAnsi"/>
        </w:rPr>
        <w:t>Intellectual Property Plan(s)</w:t>
      </w:r>
    </w:p>
    <w:p w:rsidRPr="00CF3E94" w:rsidR="003A24D3" w:rsidP="003A24D3" w:rsidRDefault="003A24D3" w14:paraId="698D8606" w14:textId="77777777">
      <w:pPr>
        <w:pStyle w:val="ListParagraph"/>
        <w:numPr>
          <w:ilvl w:val="0"/>
          <w:numId w:val="17"/>
        </w:numPr>
        <w:rPr>
          <w:rFonts w:asciiTheme="minorHAnsi" w:hAnsiTheme="minorHAnsi" w:eastAsiaTheme="minorHAnsi" w:cstheme="minorHAnsi"/>
        </w:rPr>
      </w:pPr>
      <w:r w:rsidRPr="00CF3E94">
        <w:rPr>
          <w:rFonts w:asciiTheme="minorHAnsi" w:hAnsiTheme="minorHAnsi" w:eastAsiaTheme="minorHAnsi" w:cstheme="minorHAnsi"/>
        </w:rPr>
        <w:t>Board by-laws (via MEIS)</w:t>
      </w:r>
    </w:p>
    <w:p w:rsidRPr="00CF3E94" w:rsidR="00804246" w:rsidP="00804246" w:rsidRDefault="00804246" w14:paraId="7815F183" w14:textId="77777777">
      <w:pPr>
        <w:pStyle w:val="ListParagraph"/>
        <w:rPr>
          <w:rFonts w:asciiTheme="minorHAnsi" w:hAnsiTheme="minorHAnsi" w:cstheme="minorHAnsi"/>
          <w:sz w:val="20"/>
          <w:szCs w:val="20"/>
        </w:rPr>
      </w:pPr>
    </w:p>
    <w:p w:rsidRPr="00CF3E94" w:rsidR="00804246" w:rsidP="00804246" w:rsidRDefault="00804246" w14:paraId="3B06B1F2" w14:textId="6642E2EB">
      <w:pPr>
        <w:rPr>
          <w:rFonts w:cstheme="minorHAnsi"/>
        </w:rPr>
      </w:pPr>
      <w:r w:rsidRPr="00CF3E94">
        <w:rPr>
          <w:rFonts w:cstheme="minorHAnsi"/>
        </w:rPr>
        <w:t xml:space="preserve">During the life cycle of the award, </w:t>
      </w:r>
      <w:r w:rsidRPr="00CF3E94" w:rsidR="00020CC4">
        <w:rPr>
          <w:rFonts w:cstheme="minorHAnsi"/>
        </w:rPr>
        <w:t xml:space="preserve">MEP </w:t>
      </w:r>
      <w:r w:rsidRPr="00CF3E94">
        <w:rPr>
          <w:rFonts w:cstheme="minorHAnsi"/>
        </w:rPr>
        <w:t xml:space="preserve">will require additional documentation submission specific to milestones associated with the Panel Review and Secretarial Review that </w:t>
      </w:r>
      <w:r w:rsidRPr="00CF3E94" w:rsidR="003C4D9E">
        <w:rPr>
          <w:rFonts w:cstheme="minorHAnsi"/>
        </w:rPr>
        <w:t>is</w:t>
      </w:r>
      <w:r w:rsidRPr="00CF3E94">
        <w:rPr>
          <w:rFonts w:cstheme="minorHAnsi"/>
        </w:rPr>
        <w:t xml:space="preserve"> necessary to comply with the statute. The CRMT </w:t>
      </w:r>
      <w:r w:rsidRPr="00CF3E94">
        <w:rPr>
          <w:rFonts w:cstheme="minorHAnsi"/>
        </w:rPr>
        <w:lastRenderedPageBreak/>
        <w:t>will address any unique circumstance</w:t>
      </w:r>
      <w:r w:rsidRPr="00CF3E94" w:rsidR="0037210B">
        <w:rPr>
          <w:rFonts w:cstheme="minorHAnsi"/>
        </w:rPr>
        <w:t xml:space="preserve">.  </w:t>
      </w:r>
      <w:r w:rsidRPr="00CF3E94" w:rsidR="005E5A5B">
        <w:rPr>
          <w:rFonts w:cstheme="minorHAnsi"/>
        </w:rPr>
        <w:t>However, during</w:t>
      </w:r>
      <w:r w:rsidRPr="00CF3E94" w:rsidR="0037210B">
        <w:rPr>
          <w:rFonts w:cstheme="minorHAnsi"/>
        </w:rPr>
        <w:t xml:space="preserve"> the years identified below, </w:t>
      </w:r>
      <w:r w:rsidRPr="00CF3E94" w:rsidR="00020CC4">
        <w:rPr>
          <w:rFonts w:cstheme="minorHAnsi"/>
        </w:rPr>
        <w:t xml:space="preserve">in addition to customized renewal guidance, </w:t>
      </w:r>
      <w:r w:rsidRPr="00CF3E94" w:rsidR="0037210B">
        <w:rPr>
          <w:rFonts w:cstheme="minorHAnsi"/>
        </w:rPr>
        <w:t xml:space="preserve">Centers will be </w:t>
      </w:r>
      <w:r w:rsidRPr="00CF3E94" w:rsidR="00020CC4">
        <w:rPr>
          <w:rFonts w:cstheme="minorHAnsi"/>
        </w:rPr>
        <w:t>required</w:t>
      </w:r>
      <w:r w:rsidRPr="00CF3E94">
        <w:rPr>
          <w:rFonts w:cstheme="minorHAnsi"/>
        </w:rPr>
        <w:t xml:space="preserve"> to submit the following documents:</w:t>
      </w:r>
    </w:p>
    <w:p w:rsidRPr="00CF3E94" w:rsidR="00804246" w:rsidP="00804246" w:rsidRDefault="00804246" w14:paraId="0AE57074" w14:textId="070D8848">
      <w:pPr>
        <w:pStyle w:val="ListParagraph"/>
        <w:numPr>
          <w:ilvl w:val="0"/>
          <w:numId w:val="18"/>
        </w:numPr>
        <w:rPr>
          <w:rFonts w:asciiTheme="minorHAnsi" w:hAnsiTheme="minorHAnsi" w:eastAsiaTheme="minorHAnsi" w:cstheme="minorHAnsi"/>
        </w:rPr>
      </w:pPr>
      <w:r w:rsidRPr="00CF3E94">
        <w:rPr>
          <w:rFonts w:asciiTheme="minorHAnsi" w:hAnsiTheme="minorHAnsi" w:eastAsiaTheme="minorHAnsi" w:cstheme="minorHAnsi"/>
        </w:rPr>
        <w:t>Year 3:</w:t>
      </w:r>
      <w:r w:rsidRPr="00CF3E94">
        <w:rPr>
          <w:rFonts w:asciiTheme="minorHAnsi" w:hAnsiTheme="minorHAnsi" w:eastAsiaTheme="minorHAnsi" w:cstheme="minorHAnsi"/>
        </w:rPr>
        <w:tab/>
        <w:t>Operating Outcome Plan</w:t>
      </w:r>
      <w:r w:rsidRPr="00CF3E94" w:rsidR="00A84374">
        <w:rPr>
          <w:rFonts w:asciiTheme="minorHAnsi" w:hAnsiTheme="minorHAnsi" w:eastAsiaTheme="minorHAnsi" w:cstheme="minorHAnsi"/>
        </w:rPr>
        <w:t>s</w:t>
      </w:r>
      <w:r w:rsidRPr="00CF3E94" w:rsidR="00AD3A2B">
        <w:rPr>
          <w:rFonts w:asciiTheme="minorHAnsi" w:hAnsiTheme="minorHAnsi" w:eastAsiaTheme="minorHAnsi" w:cstheme="minorHAnsi"/>
        </w:rPr>
        <w:t xml:space="preserve"> and Single Year Budgets</w:t>
      </w:r>
      <w:r w:rsidRPr="00CF3E94">
        <w:rPr>
          <w:rFonts w:asciiTheme="minorHAnsi" w:hAnsiTheme="minorHAnsi" w:eastAsiaTheme="minorHAnsi" w:cstheme="minorHAnsi"/>
        </w:rPr>
        <w:t xml:space="preserve"> for years </w:t>
      </w:r>
      <w:r w:rsidRPr="00CF3E94" w:rsidR="00763F49">
        <w:rPr>
          <w:rFonts w:asciiTheme="minorHAnsi" w:hAnsiTheme="minorHAnsi" w:eastAsiaTheme="minorHAnsi" w:cstheme="minorHAnsi"/>
        </w:rPr>
        <w:t>4</w:t>
      </w:r>
      <w:r w:rsidRPr="00CF3E94">
        <w:rPr>
          <w:rFonts w:asciiTheme="minorHAnsi" w:hAnsiTheme="minorHAnsi" w:eastAsiaTheme="minorHAnsi" w:cstheme="minorHAnsi"/>
        </w:rPr>
        <w:t xml:space="preserve"> and </w:t>
      </w:r>
      <w:r w:rsidRPr="00CF3E94" w:rsidR="00763F49">
        <w:rPr>
          <w:rFonts w:asciiTheme="minorHAnsi" w:hAnsiTheme="minorHAnsi" w:eastAsiaTheme="minorHAnsi" w:cstheme="minorHAnsi"/>
        </w:rPr>
        <w:t>5</w:t>
      </w:r>
      <w:r w:rsidRPr="00CF3E94" w:rsidR="001B4207">
        <w:rPr>
          <w:rFonts w:asciiTheme="minorHAnsi" w:hAnsiTheme="minorHAnsi" w:eastAsiaTheme="minorHAnsi" w:cstheme="minorHAnsi"/>
        </w:rPr>
        <w:t>.</w:t>
      </w:r>
    </w:p>
    <w:p w:rsidRPr="00CF3E94" w:rsidR="00804246" w:rsidP="00804246" w:rsidRDefault="00804246" w14:paraId="1F17B5F5" w14:textId="6CB67D38">
      <w:pPr>
        <w:pStyle w:val="ListParagraph"/>
        <w:numPr>
          <w:ilvl w:val="0"/>
          <w:numId w:val="18"/>
        </w:numPr>
        <w:rPr>
          <w:rFonts w:asciiTheme="minorHAnsi" w:hAnsiTheme="minorHAnsi" w:eastAsiaTheme="minorHAnsi" w:cstheme="minorHAnsi"/>
        </w:rPr>
      </w:pPr>
      <w:r w:rsidRPr="00CF3E94">
        <w:rPr>
          <w:rFonts w:asciiTheme="minorHAnsi" w:hAnsiTheme="minorHAnsi" w:eastAsiaTheme="minorHAnsi" w:cstheme="minorHAnsi"/>
        </w:rPr>
        <w:t xml:space="preserve">Year </w:t>
      </w:r>
      <w:r w:rsidRPr="00CF3E94" w:rsidR="00763F49">
        <w:rPr>
          <w:rFonts w:asciiTheme="minorHAnsi" w:hAnsiTheme="minorHAnsi" w:eastAsiaTheme="minorHAnsi" w:cstheme="minorHAnsi"/>
        </w:rPr>
        <w:t>5</w:t>
      </w:r>
      <w:r w:rsidRPr="00CF3E94">
        <w:rPr>
          <w:rFonts w:asciiTheme="minorHAnsi" w:hAnsiTheme="minorHAnsi" w:eastAsiaTheme="minorHAnsi" w:cstheme="minorHAnsi"/>
        </w:rPr>
        <w:t>:</w:t>
      </w:r>
      <w:r w:rsidRPr="00CF3E94">
        <w:rPr>
          <w:rFonts w:asciiTheme="minorHAnsi" w:hAnsiTheme="minorHAnsi" w:eastAsiaTheme="minorHAnsi" w:cstheme="minorHAnsi"/>
        </w:rPr>
        <w:tab/>
      </w:r>
      <w:r w:rsidRPr="00CF3E94" w:rsidR="00020CC4">
        <w:rPr>
          <w:rFonts w:asciiTheme="minorHAnsi" w:hAnsiTheme="minorHAnsi" w:eastAsiaTheme="minorHAnsi" w:cstheme="minorHAnsi"/>
        </w:rPr>
        <w:t xml:space="preserve">Scope of Work, </w:t>
      </w:r>
      <w:r w:rsidRPr="00CF3E94">
        <w:rPr>
          <w:rFonts w:asciiTheme="minorHAnsi" w:hAnsiTheme="minorHAnsi" w:eastAsiaTheme="minorHAnsi" w:cstheme="minorHAnsi"/>
        </w:rPr>
        <w:t>Operating Outcome Plan</w:t>
      </w:r>
      <w:r w:rsidRPr="00CF3E94" w:rsidR="00A84374">
        <w:rPr>
          <w:rFonts w:asciiTheme="minorHAnsi" w:hAnsiTheme="minorHAnsi" w:eastAsiaTheme="minorHAnsi" w:cstheme="minorHAnsi"/>
        </w:rPr>
        <w:t>s</w:t>
      </w:r>
      <w:r w:rsidRPr="00CF3E94">
        <w:rPr>
          <w:rFonts w:asciiTheme="minorHAnsi" w:hAnsiTheme="minorHAnsi" w:eastAsiaTheme="minorHAnsi" w:cstheme="minorHAnsi"/>
        </w:rPr>
        <w:t xml:space="preserve"> </w:t>
      </w:r>
      <w:r w:rsidRPr="00CF3E94" w:rsidR="00AD3A2B">
        <w:rPr>
          <w:rFonts w:asciiTheme="minorHAnsi" w:hAnsiTheme="minorHAnsi" w:eastAsiaTheme="minorHAnsi" w:cstheme="minorHAnsi"/>
        </w:rPr>
        <w:t xml:space="preserve">and Single Year Budgets </w:t>
      </w:r>
      <w:r w:rsidRPr="00CF3E94">
        <w:rPr>
          <w:rFonts w:asciiTheme="minorHAnsi" w:hAnsiTheme="minorHAnsi" w:eastAsiaTheme="minorHAnsi" w:cstheme="minorHAnsi"/>
        </w:rPr>
        <w:t>for years 6, 7, 8</w:t>
      </w:r>
    </w:p>
    <w:p w:rsidRPr="00CF3E94" w:rsidR="00804246" w:rsidP="00804246" w:rsidRDefault="00804246" w14:paraId="32FCDD93" w14:textId="75F36F02">
      <w:pPr>
        <w:pStyle w:val="ListParagraph"/>
        <w:numPr>
          <w:ilvl w:val="0"/>
          <w:numId w:val="18"/>
        </w:numPr>
        <w:rPr>
          <w:rFonts w:asciiTheme="minorHAnsi" w:hAnsiTheme="minorHAnsi" w:eastAsiaTheme="minorHAnsi" w:cstheme="minorHAnsi"/>
        </w:rPr>
      </w:pPr>
      <w:r w:rsidRPr="00CF3E94">
        <w:rPr>
          <w:rFonts w:asciiTheme="minorHAnsi" w:hAnsiTheme="minorHAnsi" w:eastAsiaTheme="minorHAnsi" w:cstheme="minorHAnsi"/>
        </w:rPr>
        <w:t>Year 8:</w:t>
      </w:r>
      <w:r w:rsidRPr="00CF3E94">
        <w:rPr>
          <w:rFonts w:asciiTheme="minorHAnsi" w:hAnsiTheme="minorHAnsi" w:eastAsiaTheme="minorHAnsi" w:cstheme="minorHAnsi"/>
        </w:rPr>
        <w:tab/>
        <w:t>Operating Outcome Plan</w:t>
      </w:r>
      <w:r w:rsidRPr="00CF3E94" w:rsidR="00A84374">
        <w:rPr>
          <w:rFonts w:asciiTheme="minorHAnsi" w:hAnsiTheme="minorHAnsi" w:eastAsiaTheme="minorHAnsi" w:cstheme="minorHAnsi"/>
        </w:rPr>
        <w:t>s</w:t>
      </w:r>
      <w:r w:rsidRPr="00CF3E94">
        <w:rPr>
          <w:rFonts w:asciiTheme="minorHAnsi" w:hAnsiTheme="minorHAnsi" w:eastAsiaTheme="minorHAnsi" w:cstheme="minorHAnsi"/>
        </w:rPr>
        <w:t xml:space="preserve"> </w:t>
      </w:r>
      <w:r w:rsidRPr="00CF3E94" w:rsidR="00AD3A2B">
        <w:rPr>
          <w:rFonts w:asciiTheme="minorHAnsi" w:hAnsiTheme="minorHAnsi" w:eastAsiaTheme="minorHAnsi" w:cstheme="minorHAnsi"/>
        </w:rPr>
        <w:t xml:space="preserve">and Single Year Budgets </w:t>
      </w:r>
      <w:r w:rsidRPr="00CF3E94">
        <w:rPr>
          <w:rFonts w:asciiTheme="minorHAnsi" w:hAnsiTheme="minorHAnsi" w:eastAsiaTheme="minorHAnsi" w:cstheme="minorHAnsi"/>
        </w:rPr>
        <w:t>for year</w:t>
      </w:r>
      <w:r w:rsidRPr="00CF3E94" w:rsidR="003C4D9E">
        <w:rPr>
          <w:rFonts w:asciiTheme="minorHAnsi" w:hAnsiTheme="minorHAnsi" w:eastAsiaTheme="minorHAnsi" w:cstheme="minorHAnsi"/>
        </w:rPr>
        <w:t>s</w:t>
      </w:r>
      <w:r w:rsidRPr="00CF3E94">
        <w:rPr>
          <w:rFonts w:asciiTheme="minorHAnsi" w:hAnsiTheme="minorHAnsi" w:eastAsiaTheme="minorHAnsi" w:cstheme="minorHAnsi"/>
        </w:rPr>
        <w:t xml:space="preserve"> 9 and 10</w:t>
      </w:r>
      <w:r w:rsidRPr="00CF3E94" w:rsidR="001B4207">
        <w:rPr>
          <w:rFonts w:asciiTheme="minorHAnsi" w:hAnsiTheme="minorHAnsi" w:eastAsiaTheme="minorHAnsi" w:cstheme="minorHAnsi"/>
        </w:rPr>
        <w:t>.</w:t>
      </w:r>
    </w:p>
    <w:p w:rsidRPr="00CF3E94" w:rsidR="00020CC4" w:rsidP="000D05A3" w:rsidRDefault="00020CC4" w14:paraId="61B7D0E0" w14:textId="77777777">
      <w:pPr>
        <w:pStyle w:val="Heading2"/>
        <w:rPr>
          <w:rFonts w:asciiTheme="minorHAnsi" w:hAnsiTheme="minorHAnsi" w:eastAsiaTheme="minorHAnsi" w:cstheme="minorHAnsi"/>
          <w:b w:val="0"/>
          <w:bCs w:val="0"/>
          <w:sz w:val="22"/>
          <w:szCs w:val="22"/>
        </w:rPr>
      </w:pPr>
      <w:bookmarkStart w:name="_Toc509302748" w:id="2"/>
    </w:p>
    <w:p w:rsidRPr="00CF3E94" w:rsidR="000D05A3" w:rsidP="000D05A3" w:rsidRDefault="000D05A3" w14:paraId="26EC75CC" w14:textId="030E96B2">
      <w:pPr>
        <w:pStyle w:val="Heading2"/>
        <w:rPr>
          <w:rFonts w:asciiTheme="minorHAnsi" w:hAnsiTheme="minorHAnsi" w:cstheme="minorHAnsi"/>
          <w:sz w:val="26"/>
          <w:szCs w:val="26"/>
        </w:rPr>
      </w:pPr>
      <w:r w:rsidRPr="00CF3E94">
        <w:rPr>
          <w:rFonts w:asciiTheme="minorHAnsi" w:hAnsiTheme="minorHAnsi" w:cstheme="minorHAnsi"/>
          <w:sz w:val="26"/>
          <w:szCs w:val="26"/>
        </w:rPr>
        <w:t>Revised Required Plans: Scope of Work</w:t>
      </w:r>
      <w:bookmarkEnd w:id="2"/>
    </w:p>
    <w:p w:rsidRPr="00CF3E94" w:rsidR="000D05A3" w:rsidP="000D05A3" w:rsidRDefault="000D05A3" w14:paraId="586FE887" w14:textId="77777777">
      <w:pPr>
        <w:spacing w:after="0"/>
        <w:rPr>
          <w:rFonts w:cstheme="minorHAnsi"/>
        </w:rPr>
      </w:pPr>
    </w:p>
    <w:p w:rsidRPr="00CF3E94" w:rsidR="000D05A3" w:rsidP="000D05A3" w:rsidRDefault="000D05A3" w14:paraId="58385F94" w14:textId="005F6B80">
      <w:pPr>
        <w:rPr>
          <w:rFonts w:cstheme="minorHAnsi"/>
        </w:rPr>
      </w:pPr>
      <w:r w:rsidRPr="00CF3E94">
        <w:rPr>
          <w:rFonts w:cstheme="minorHAnsi"/>
        </w:rPr>
        <w:t xml:space="preserve">In preparation for award renewals, Centers should review the latest NIST-approved scope of work (SOW) to determine if significant changes have occurred. This section of the Renewal Guidelines describes what NIST MEP will assess </w:t>
      </w:r>
      <w:proofErr w:type="gramStart"/>
      <w:r w:rsidRPr="00CF3E94">
        <w:rPr>
          <w:rFonts w:cstheme="minorHAnsi"/>
        </w:rPr>
        <w:t>with regard to</w:t>
      </w:r>
      <w:proofErr w:type="gramEnd"/>
      <w:r w:rsidRPr="00CF3E94">
        <w:rPr>
          <w:rFonts w:cstheme="minorHAnsi"/>
        </w:rPr>
        <w:t xml:space="preserve"> the SOW.  </w:t>
      </w:r>
    </w:p>
    <w:p w:rsidRPr="00CF3E94" w:rsidR="00C735FF" w:rsidP="000D05A3" w:rsidRDefault="000D05A3" w14:paraId="68051136" w14:textId="694B6199">
      <w:pPr>
        <w:rPr>
          <w:rFonts w:cstheme="minorHAnsi"/>
          <w:b/>
        </w:rPr>
      </w:pPr>
      <w:r w:rsidRPr="00CF3E94">
        <w:rPr>
          <w:rFonts w:cstheme="minorHAnsi"/>
        </w:rPr>
        <w:t xml:space="preserve">When submitting SOW revisions, Centers should be sure to </w:t>
      </w:r>
      <w:r w:rsidRPr="00CF3E94">
        <w:rPr>
          <w:rFonts w:cstheme="minorHAnsi"/>
          <w:b/>
        </w:rPr>
        <w:t>remove</w:t>
      </w:r>
      <w:r w:rsidRPr="00CF3E94">
        <w:rPr>
          <w:rFonts w:cstheme="minorHAnsi"/>
        </w:rPr>
        <w:t xml:space="preserve"> the budget information that was included in the original Proposal/Announcement and Notice of Funding Opportunity response. Specifically, detailed salary information and other </w:t>
      </w:r>
      <w:r w:rsidRPr="00CF3E94">
        <w:rPr>
          <w:rFonts w:cstheme="minorHAnsi"/>
          <w:b/>
        </w:rPr>
        <w:t>personally identifiable information should be redacted from original submissions</w:t>
      </w:r>
      <w:r w:rsidRPr="00CF3E94">
        <w:rPr>
          <w:rFonts w:cstheme="minorHAnsi"/>
        </w:rPr>
        <w:t>. This information is collected in the detailed budget tables which are not uploaded to MEIS.</w:t>
      </w:r>
    </w:p>
    <w:p w:rsidRPr="00CF3E94" w:rsidR="000D05A3" w:rsidP="000D05A3" w:rsidRDefault="000D05A3" w14:paraId="6F2D3861" w14:textId="7C5F1DBF">
      <w:pPr>
        <w:rPr>
          <w:rFonts w:cstheme="minorHAnsi"/>
          <w:b/>
        </w:rPr>
      </w:pPr>
      <w:r w:rsidRPr="00CF3E94">
        <w:rPr>
          <w:rFonts w:cstheme="minorHAnsi"/>
          <w:b/>
        </w:rPr>
        <w:t xml:space="preserve">Center Strategy </w:t>
      </w:r>
    </w:p>
    <w:p w:rsidRPr="00CF3E94" w:rsidR="000D05A3" w:rsidP="000D05A3" w:rsidRDefault="000D05A3" w14:paraId="34D8E351" w14:textId="77777777">
      <w:pPr>
        <w:rPr>
          <w:rFonts w:cstheme="minorHAnsi"/>
        </w:rPr>
      </w:pPr>
      <w:r w:rsidRPr="00CF3E94">
        <w:rPr>
          <w:rFonts w:cstheme="minorHAnsi"/>
        </w:rPr>
        <w:t>NIST MEP will regularly assess the Center’s strategy to deliver services that meet manufacturers’ needs, generate client impacts (e.g., cost savings, increased sales, etc.), and support a strong manufacturing ecosystem. NIST MEP will regularly assess the quality with which the Center: incorporates the market analysis described below to inform strategies, products and services; defines a strategy for delivering services that balances market penetration with impact and revenue generation, addressing the needs of manufacturers, with an emphasis on the small and medium-sized manufacturers; defines the Center’s existing and/or proposed roles and relationships with other entities in the State’s manufacturing ecosystem, including State, regional, and local agencies, economic development organizations and educational institutions such as universities and community or technical colleges, industry associations, and other appropriate entities; plans to engage with other entities in Statewide and/or regional advanced manufacturing initiatives; and supports achievements of the MEP mission and objectives while also satisfying the interests of other stakeholders, investors, and partners.</w:t>
      </w:r>
    </w:p>
    <w:p w:rsidRPr="00CF3E94" w:rsidR="000D05A3" w:rsidP="000D05A3" w:rsidRDefault="000D05A3" w14:paraId="7F955A7C" w14:textId="77777777">
      <w:pPr>
        <w:rPr>
          <w:rFonts w:cstheme="minorHAnsi"/>
          <w:b/>
        </w:rPr>
      </w:pPr>
      <w:r w:rsidRPr="00CF3E94">
        <w:rPr>
          <w:rFonts w:cstheme="minorHAnsi"/>
          <w:b/>
        </w:rPr>
        <w:t>Market Understanding</w:t>
      </w:r>
    </w:p>
    <w:p w:rsidRPr="00CF3E94" w:rsidR="000D05A3" w:rsidP="000D05A3" w:rsidRDefault="000D05A3" w14:paraId="1FBD52DE" w14:textId="77777777">
      <w:pPr>
        <w:rPr>
          <w:rFonts w:cstheme="minorHAnsi"/>
        </w:rPr>
      </w:pPr>
      <w:r w:rsidRPr="00CF3E94">
        <w:rPr>
          <w:rFonts w:cstheme="minorHAnsi"/>
        </w:rPr>
        <w:t xml:space="preserve">NIST MEP will regularly assess the Center’s strategy to define the target market, understand the needs of manufacturers (especially Small and Medium Enterprises (SMEs)), and to define appropriate services to meet identified needs. NIST MEP will regularly evaluate the approach for regularly updating this understanding through the five years of the award. The following sub-topics will be evaluated: </w:t>
      </w:r>
    </w:p>
    <w:p w:rsidRPr="00CF3E94" w:rsidR="000D05A3" w:rsidP="000D05A3" w:rsidRDefault="000D05A3" w14:paraId="3D20C007" w14:textId="77777777">
      <w:pPr>
        <w:ind w:firstLine="720"/>
        <w:rPr>
          <w:rFonts w:cstheme="minorHAnsi"/>
        </w:rPr>
      </w:pPr>
      <w:r w:rsidRPr="00CF3E94">
        <w:rPr>
          <w:rFonts w:cstheme="minorHAnsi"/>
          <w:b/>
        </w:rPr>
        <w:t>Market Segmentation</w:t>
      </w:r>
      <w:r w:rsidRPr="00CF3E94">
        <w:rPr>
          <w:rFonts w:cstheme="minorHAnsi"/>
        </w:rPr>
        <w:t>. NIST MEP will regularly assess the quality and extent of the Center’s market segmentation strategy including: Segmentation of company size, geography, and industry priorities including some consideration of rural, start-up (a manufacturing establishment that has been in operation for five years or less) and/or very small manufacturers as appropriate to the state; alignment with state and/or regional initiatives; and other important factors identified by the Center.</w:t>
      </w:r>
    </w:p>
    <w:p w:rsidRPr="00CF3E94" w:rsidR="000D05A3" w:rsidP="000D05A3" w:rsidRDefault="000D05A3" w14:paraId="2C739AEB" w14:textId="77777777">
      <w:pPr>
        <w:ind w:firstLine="720"/>
        <w:rPr>
          <w:rFonts w:cstheme="minorHAnsi"/>
        </w:rPr>
      </w:pPr>
      <w:r w:rsidRPr="00CF3E94">
        <w:rPr>
          <w:rFonts w:cstheme="minorHAnsi"/>
          <w:b/>
        </w:rPr>
        <w:t>Needs Identification and Product/Service Offerings</w:t>
      </w:r>
      <w:r w:rsidRPr="00CF3E94">
        <w:rPr>
          <w:rFonts w:cstheme="minorHAnsi"/>
        </w:rPr>
        <w:t xml:space="preserve">. NIST MEP will regularly assess the quality and extent of the Center’s needs identification and products and services for both </w:t>
      </w:r>
      <w:proofErr w:type="gramStart"/>
      <w:r w:rsidRPr="00CF3E94">
        <w:rPr>
          <w:rFonts w:cstheme="minorHAnsi"/>
        </w:rPr>
        <w:t>sales</w:t>
      </w:r>
      <w:proofErr w:type="gramEnd"/>
      <w:r w:rsidRPr="00CF3E94">
        <w:rPr>
          <w:rFonts w:cstheme="minorHAnsi"/>
        </w:rPr>
        <w:t xml:space="preserve"> growth and operational improvement in response to the Center’s market segmentation and understanding included in the SOW. Of </w:t>
      </w:r>
      <w:r w:rsidRPr="00CF3E94">
        <w:rPr>
          <w:rFonts w:cstheme="minorHAnsi"/>
        </w:rPr>
        <w:lastRenderedPageBreak/>
        <w:t xml:space="preserve">particular interest is how the Center would leverage new manufacturing technologies, </w:t>
      </w:r>
      <w:proofErr w:type="gramStart"/>
      <w:r w:rsidRPr="00CF3E94">
        <w:rPr>
          <w:rFonts w:cstheme="minorHAnsi"/>
        </w:rPr>
        <w:t>techniques</w:t>
      </w:r>
      <w:proofErr w:type="gramEnd"/>
      <w:r w:rsidRPr="00CF3E94">
        <w:rPr>
          <w:rFonts w:cstheme="minorHAnsi"/>
        </w:rPr>
        <w:t xml:space="preserve"> and processes usable by small and medium-sized manufacturers. NIST MEP will also regularly consider how a Center’s approach will support a job-driven training agenda with manufacturing clients. </w:t>
      </w:r>
    </w:p>
    <w:p w:rsidRPr="00CF3E94" w:rsidR="000D05A3" w:rsidP="000D05A3" w:rsidRDefault="000D05A3" w14:paraId="4381408C" w14:textId="77777777">
      <w:pPr>
        <w:rPr>
          <w:rFonts w:cstheme="minorHAnsi"/>
          <w:b/>
        </w:rPr>
      </w:pPr>
      <w:r w:rsidRPr="00CF3E94">
        <w:rPr>
          <w:rFonts w:cstheme="minorHAnsi"/>
          <w:b/>
        </w:rPr>
        <w:tab/>
        <w:t>Business Model</w:t>
      </w:r>
    </w:p>
    <w:p w:rsidRPr="00CF3E94" w:rsidR="000D05A3" w:rsidP="000D05A3" w:rsidRDefault="000D05A3" w14:paraId="50961C7E" w14:textId="77777777">
      <w:pPr>
        <w:rPr>
          <w:rFonts w:cstheme="minorHAnsi"/>
        </w:rPr>
      </w:pPr>
      <w:r w:rsidRPr="00CF3E94">
        <w:rPr>
          <w:rFonts w:cstheme="minorHAnsi"/>
        </w:rPr>
        <w:t>NIST MEP will regularly assess the quality, feasibility and efficacy and efficiency of the Center’s business model as provided in the SOW and whether the business model is resulting in the Center’s ability to successfully execute the strategy included in the SOW, based on its understanding of the market. The following sub-topics will be evaluated:</w:t>
      </w:r>
    </w:p>
    <w:p w:rsidRPr="00CF3E94" w:rsidR="000D05A3" w:rsidP="000D05A3" w:rsidRDefault="000D05A3" w14:paraId="29CFDB40" w14:textId="77777777">
      <w:pPr>
        <w:ind w:firstLine="720"/>
        <w:rPr>
          <w:rFonts w:cstheme="minorHAnsi"/>
        </w:rPr>
      </w:pPr>
      <w:r w:rsidRPr="00CF3E94">
        <w:rPr>
          <w:rFonts w:cstheme="minorHAnsi"/>
          <w:b/>
        </w:rPr>
        <w:t>Outreach and Service Delivery to the Market</w:t>
      </w:r>
      <w:r w:rsidRPr="00CF3E94">
        <w:rPr>
          <w:rFonts w:cstheme="minorHAnsi"/>
        </w:rPr>
        <w:t xml:space="preserve">. NIST MEP will regularly assess the extent to which the Center is organized </w:t>
      </w:r>
      <w:proofErr w:type="gramStart"/>
      <w:r w:rsidRPr="00CF3E94">
        <w:rPr>
          <w:rFonts w:cstheme="minorHAnsi"/>
        </w:rPr>
        <w:t>to:</w:t>
      </w:r>
      <w:proofErr w:type="gramEnd"/>
      <w:r w:rsidRPr="00CF3E94">
        <w:rPr>
          <w:rFonts w:cstheme="minorHAnsi"/>
        </w:rPr>
        <w:t xml:space="preserve"> identify, reach and provide proposed services to key market segments and individual manufacturers described above; work with a manufacturer’s leadership in strategic discussions related to new technologies, new products and new markets; and leverage the Center’s past experience in working with small and medium-sized manufacturers as a basis for future programmatic success.</w:t>
      </w:r>
    </w:p>
    <w:p w:rsidRPr="00CF3E94" w:rsidR="000D05A3" w:rsidP="000D05A3" w:rsidRDefault="000D05A3" w14:paraId="261AF90C" w14:textId="77777777">
      <w:pPr>
        <w:ind w:firstLine="720"/>
        <w:rPr>
          <w:rFonts w:cstheme="minorHAnsi"/>
        </w:rPr>
      </w:pPr>
      <w:r w:rsidRPr="00CF3E94">
        <w:rPr>
          <w:rFonts w:cstheme="minorHAnsi"/>
          <w:b/>
        </w:rPr>
        <w:t>Partnership Leverage and Linkages</w:t>
      </w:r>
      <w:r w:rsidRPr="00CF3E94">
        <w:rPr>
          <w:rFonts w:cstheme="minorHAnsi"/>
        </w:rPr>
        <w:t>. NIST MEP will regularly assess the extent to which the Center makes effective use of resources or partnerships with third parties such as industry, universities, community/technical colleges, nonprofit economic development organizations, and Federal, State and Local Government Agencies in the Center’s business model.</w:t>
      </w:r>
    </w:p>
    <w:p w:rsidRPr="00CF3E94" w:rsidR="000D05A3" w:rsidP="000D05A3" w:rsidRDefault="000D05A3" w14:paraId="73D1102E" w14:textId="5875BBF7">
      <w:pPr>
        <w:ind w:firstLine="720"/>
        <w:rPr>
          <w:rFonts w:cstheme="minorHAnsi"/>
        </w:rPr>
      </w:pPr>
      <w:r w:rsidRPr="00CF3E94">
        <w:rPr>
          <w:rFonts w:cstheme="minorHAnsi"/>
          <w:b/>
        </w:rPr>
        <w:t>Performance Measurement and Management</w:t>
      </w:r>
      <w:r w:rsidRPr="00CF3E94">
        <w:rPr>
          <w:rFonts w:cstheme="minorHAnsi"/>
        </w:rPr>
        <w:t>. NIST MEP will regularly assess the extent to which the Center uses a systematic approach to measuring and managing performance including the: quality and extent of the Center’s stated goals, milestones and outcomes described by operating year; the Center’s utilization of client-based business results important to stakeholders in understanding program impact; and whether the Center’s methodology for program management and internal evaluation ensures effective operations and oversight for meeting program and service delivery objectives.</w:t>
      </w:r>
    </w:p>
    <w:p w:rsidRPr="00CF3E94" w:rsidR="000D05A3" w:rsidP="000D05A3" w:rsidRDefault="000D05A3" w14:paraId="3666B836" w14:textId="77777777">
      <w:pPr>
        <w:rPr>
          <w:rFonts w:cstheme="minorHAnsi"/>
          <w:b/>
        </w:rPr>
      </w:pPr>
      <w:r w:rsidRPr="00CF3E94">
        <w:rPr>
          <w:rFonts w:cstheme="minorHAnsi"/>
          <w:b/>
        </w:rPr>
        <w:t>Qualifications of the Center</w:t>
      </w:r>
    </w:p>
    <w:p w:rsidRPr="00CF3E94" w:rsidR="000D05A3" w:rsidP="000D05A3" w:rsidRDefault="000D05A3" w14:paraId="1DB5C111" w14:textId="77777777">
      <w:pPr>
        <w:rPr>
          <w:rFonts w:cstheme="minorHAnsi"/>
        </w:rPr>
      </w:pPr>
      <w:r w:rsidRPr="00CF3E94">
        <w:rPr>
          <w:rFonts w:cstheme="minorHAnsi"/>
        </w:rPr>
        <w:t xml:space="preserve">NIST MEP will regularly assess the ability of the key personnel, the Center’s management structure and Oversight Board and governance to deliver the program and services envisioned for the Center. NIST MEP will consider the following topics when evaluating the qualifications of the Center and of program management: </w:t>
      </w:r>
    </w:p>
    <w:p w:rsidRPr="00CF3E94" w:rsidR="000D05A3" w:rsidP="000D05A3" w:rsidRDefault="000D05A3" w14:paraId="60BC6DA9" w14:textId="77777777">
      <w:pPr>
        <w:ind w:firstLine="720"/>
        <w:rPr>
          <w:rFonts w:cstheme="minorHAnsi"/>
        </w:rPr>
      </w:pPr>
      <w:r w:rsidRPr="00CF3E94">
        <w:rPr>
          <w:rFonts w:cstheme="minorHAnsi"/>
          <w:b/>
        </w:rPr>
        <w:t>Key Personnel, Organizational Structure and Management</w:t>
      </w:r>
      <w:r w:rsidRPr="00CF3E94">
        <w:rPr>
          <w:rFonts w:cstheme="minorHAnsi"/>
        </w:rPr>
        <w:t>. NIST MEP will regularly assess the extent to which: key personnel have the appropriate experience and education in manufacturing, outreach, program management and partnership development to support achievements of the MEP mission and objectives; the Center’s management structure and organizational roles are aligned to plan, direct, monitor, organize and control the monetary resources of the Center to achieve its business objectives; the Center’s organizational structure flows logically from the specified approach to the market and products and service offerings; and the Center’s field staff structure sufficiently supports the geographic concentrations and industry targets for the region.</w:t>
      </w:r>
    </w:p>
    <w:p w:rsidRPr="00CF3E94" w:rsidR="000D05A3" w:rsidP="000D05A3" w:rsidRDefault="000D05A3" w14:paraId="37C7C6FC" w14:textId="0BEC1B0E">
      <w:pPr>
        <w:ind w:firstLine="720"/>
        <w:rPr>
          <w:rFonts w:cstheme="minorHAnsi"/>
        </w:rPr>
      </w:pPr>
      <w:r w:rsidRPr="00CF3E94">
        <w:rPr>
          <w:rFonts w:cstheme="minorHAnsi"/>
          <w:b/>
        </w:rPr>
        <w:t>Oversight Boards</w:t>
      </w:r>
      <w:r w:rsidRPr="00CF3E94">
        <w:rPr>
          <w:rFonts w:cstheme="minorHAnsi"/>
        </w:rPr>
        <w:t xml:space="preserve">. NIST MEP will regularly assess the extent to which: the Center’s Oversight Board and its operations are complete, appropriate and meet the program’s objectives, or, if such an Oversight Board does not exist or does not meet these requirements, the extent to which the plan for developing and implementing such an Oversight is feasible; the extent to which the Center’s Oversight Board and governance is engaged with </w:t>
      </w:r>
      <w:r w:rsidRPr="00CF3E94">
        <w:rPr>
          <w:rFonts w:cstheme="minorHAnsi"/>
        </w:rPr>
        <w:lastRenderedPageBreak/>
        <w:t>overseeing and guiding the Center and supports its own development through a schedule of regular meetings, and processes ensuring Oversight Board involvement in strategic planning, recruitment, selection and retention of board members, board assessment practices and board development initiatives.</w:t>
      </w:r>
    </w:p>
    <w:p w:rsidRPr="00CF3E94" w:rsidR="000D05A3" w:rsidP="000D05A3" w:rsidRDefault="000D05A3" w14:paraId="06297C2E" w14:textId="77777777">
      <w:pPr>
        <w:pStyle w:val="Heading2"/>
        <w:rPr>
          <w:rFonts w:asciiTheme="minorHAnsi" w:hAnsiTheme="minorHAnsi" w:cstheme="minorHAnsi"/>
          <w:sz w:val="26"/>
          <w:szCs w:val="26"/>
        </w:rPr>
      </w:pPr>
      <w:bookmarkStart w:name="_Toc509302749" w:id="3"/>
      <w:r w:rsidRPr="00CF3E94">
        <w:rPr>
          <w:rFonts w:asciiTheme="minorHAnsi" w:hAnsiTheme="minorHAnsi" w:cstheme="minorHAnsi"/>
          <w:sz w:val="26"/>
          <w:szCs w:val="26"/>
        </w:rPr>
        <w:t>Revised Required Plans: Intellectual Property Plan</w:t>
      </w:r>
      <w:bookmarkEnd w:id="3"/>
    </w:p>
    <w:p w:rsidRPr="00CF3E94" w:rsidR="000D05A3" w:rsidP="000D05A3" w:rsidRDefault="000D05A3" w14:paraId="008DA0E5" w14:textId="77777777">
      <w:pPr>
        <w:spacing w:after="0"/>
        <w:rPr>
          <w:rFonts w:cstheme="minorHAnsi"/>
        </w:rPr>
      </w:pPr>
    </w:p>
    <w:p w:rsidRPr="00CF3E94" w:rsidR="000D05A3" w:rsidP="000D05A3" w:rsidRDefault="000D05A3" w14:paraId="54621CCC" w14:textId="77777777">
      <w:pPr>
        <w:rPr>
          <w:rFonts w:cstheme="minorHAnsi"/>
        </w:rPr>
      </w:pPr>
      <w:r w:rsidRPr="00CF3E94">
        <w:rPr>
          <w:rFonts w:cstheme="minorHAnsi"/>
        </w:rPr>
        <w:t xml:space="preserve">In accordance with 15 U.S.C. 278k(f)(4), each Center must submit an intellectual property plan (IP Plan) that provides for the allocation of legal rights associated with any intellectual property that may result from the activities of the Center or its subrecipients pursuant to this MEP Center Cooperative Agreement. As applicable, the Center’s IP Plan must address the legal rights associated with any intellectual property that may be developed directly by the Center, including by its subrecipients, or that may be developed by the Center in collaboration with partners of the Center or its subrecipients.  </w:t>
      </w:r>
    </w:p>
    <w:p w:rsidRPr="00CF3E94" w:rsidR="000D05A3" w:rsidP="000D05A3" w:rsidRDefault="000D05A3" w14:paraId="52F7B35F" w14:textId="77777777">
      <w:pPr>
        <w:rPr>
          <w:rFonts w:cstheme="minorHAnsi"/>
        </w:rPr>
      </w:pPr>
      <w:r w:rsidRPr="00CF3E94">
        <w:rPr>
          <w:rFonts w:cstheme="minorHAnsi"/>
        </w:rPr>
        <w:t>The IP Plan must also address intellectual property that may be developed as part of a Center’s, Center contractor’s, subrecipient or subrecipient contractor’s engagement with its manufacturing clients (e.g., new manufacturing processes or outputs).  For this purpose, intellectual property includes: (</w:t>
      </w:r>
      <w:proofErr w:type="spellStart"/>
      <w:r w:rsidRPr="00CF3E94">
        <w:rPr>
          <w:rFonts w:cstheme="minorHAnsi"/>
        </w:rPr>
        <w:t>i</w:t>
      </w:r>
      <w:proofErr w:type="spellEnd"/>
      <w:r w:rsidRPr="00CF3E94">
        <w:rPr>
          <w:rFonts w:cstheme="minorHAnsi"/>
        </w:rPr>
        <w:t xml:space="preserve">) patents and patentable processes or products; (ii) copyrights and copyrightable works; (iii) trademarks, including service marks, and trademarkable words, phrases, </w:t>
      </w:r>
      <w:proofErr w:type="gramStart"/>
      <w:r w:rsidRPr="00CF3E94">
        <w:rPr>
          <w:rFonts w:cstheme="minorHAnsi"/>
        </w:rPr>
        <w:t>symbols</w:t>
      </w:r>
      <w:proofErr w:type="gramEnd"/>
      <w:r w:rsidRPr="00CF3E94">
        <w:rPr>
          <w:rFonts w:cstheme="minorHAnsi"/>
        </w:rPr>
        <w:t xml:space="preserve"> or designs; and (iv) trade secrets and confidential business or financial information.  </w:t>
      </w:r>
    </w:p>
    <w:p w:rsidRPr="00CF3E94" w:rsidR="000D05A3" w:rsidP="000D05A3" w:rsidRDefault="000D05A3" w14:paraId="03A93315" w14:textId="2F4711EE">
      <w:pPr>
        <w:rPr>
          <w:rFonts w:cstheme="minorHAnsi"/>
        </w:rPr>
      </w:pPr>
      <w:r w:rsidRPr="00CF3E94">
        <w:rPr>
          <w:rFonts w:cstheme="minorHAnsi"/>
        </w:rPr>
        <w:t>Legal rights associated with intellectual property may be allocated as deemed appropriate by an MEP Center and its subrecipients in the conduct of its respective businesses, and relative to its relationships to client companies and partner organizations, subject to the intellectual property rules set forth in 2 C.F.R. Part 200.315 and in Section C.03. of the Department of Commerce Financial Assistance General Terms and Conditions (20</w:t>
      </w:r>
      <w:r w:rsidR="00545133">
        <w:rPr>
          <w:rFonts w:cstheme="minorHAnsi"/>
        </w:rPr>
        <w:t>20</w:t>
      </w:r>
      <w:r w:rsidRPr="00CF3E94">
        <w:rPr>
          <w:rFonts w:cstheme="minorHAnsi"/>
        </w:rPr>
        <w:t>).</w:t>
      </w:r>
    </w:p>
    <w:p w:rsidRPr="00CF3E94" w:rsidR="000D05A3" w:rsidP="000D05A3" w:rsidRDefault="000D05A3" w14:paraId="0D1971DE" w14:textId="77777777">
      <w:pPr>
        <w:rPr>
          <w:rFonts w:cstheme="minorHAnsi"/>
        </w:rPr>
      </w:pPr>
      <w:r w:rsidRPr="00CF3E94">
        <w:rPr>
          <w:rFonts w:cstheme="minorHAnsi"/>
        </w:rPr>
        <w:t>The IP Plan should cover all years of the current cooperative agreement and must be updated, as necessary, by the MEP Center during the term of the cooperative agreement.  NIST MEP will review the IP Plan and may provide comments on its suitability as it pertains to the Center’s execution of the cooperative agreement.</w:t>
      </w:r>
    </w:p>
    <w:p w:rsidRPr="00CF3E94" w:rsidR="000D05A3" w:rsidP="000D05A3" w:rsidRDefault="000D05A3" w14:paraId="2431FED5" w14:textId="77777777">
      <w:pPr>
        <w:rPr>
          <w:rFonts w:cstheme="minorHAnsi"/>
        </w:rPr>
      </w:pPr>
      <w:r w:rsidRPr="00CF3E94">
        <w:rPr>
          <w:rFonts w:cstheme="minorHAnsi"/>
        </w:rPr>
        <w:t xml:space="preserve">Below is a sample format for an MEP Center IP Plan. </w:t>
      </w:r>
      <w:r w:rsidRPr="00CF3E94">
        <w:rPr>
          <w:rFonts w:cstheme="minorHAnsi"/>
          <w:b/>
        </w:rPr>
        <w:t>This format is not mandatory</w:t>
      </w:r>
      <w:r w:rsidRPr="00CF3E94">
        <w:rPr>
          <w:rFonts w:cstheme="minorHAnsi"/>
        </w:rPr>
        <w:t>, and a Center’s IP Plan may take any form so long as it meets the requirements of this document.</w:t>
      </w:r>
    </w:p>
    <w:p w:rsidRPr="00CF3E94" w:rsidR="000D05A3" w:rsidP="000D05A3" w:rsidRDefault="000D05A3" w14:paraId="2D09F929" w14:textId="77777777">
      <w:pPr>
        <w:jc w:val="center"/>
        <w:rPr>
          <w:rFonts w:cstheme="minorHAnsi"/>
          <w:b/>
          <w:u w:val="single"/>
        </w:rPr>
      </w:pPr>
    </w:p>
    <w:p w:rsidRPr="00CF3E94" w:rsidR="000D05A3" w:rsidP="000D05A3" w:rsidRDefault="000D05A3" w14:paraId="72A8742E" w14:textId="77777777">
      <w:pPr>
        <w:rPr>
          <w:rFonts w:cstheme="minorHAnsi"/>
          <w:b/>
          <w:u w:val="single"/>
        </w:rPr>
      </w:pPr>
      <w:r w:rsidRPr="00CF3E94">
        <w:rPr>
          <w:rFonts w:cstheme="minorHAnsi"/>
          <w:b/>
          <w:u w:val="single"/>
        </w:rPr>
        <w:br w:type="page"/>
      </w:r>
    </w:p>
    <w:p w:rsidRPr="00CF3E94" w:rsidR="000D05A3" w:rsidP="000D05A3" w:rsidRDefault="000D05A3" w14:paraId="437E0431" w14:textId="77777777">
      <w:pPr>
        <w:jc w:val="center"/>
        <w:rPr>
          <w:rFonts w:cstheme="minorHAnsi"/>
          <w:b/>
          <w:u w:val="single"/>
        </w:rPr>
      </w:pPr>
      <w:r w:rsidRPr="00CF3E94">
        <w:rPr>
          <w:rFonts w:cstheme="minorHAnsi"/>
          <w:b/>
          <w:u w:val="single"/>
        </w:rPr>
        <w:lastRenderedPageBreak/>
        <w:t>Sample IP Plan</w:t>
      </w:r>
    </w:p>
    <w:p w:rsidRPr="00CF3E94" w:rsidR="000D05A3" w:rsidP="000D05A3" w:rsidRDefault="000D05A3" w14:paraId="5473B2D4" w14:textId="77777777">
      <w:pPr>
        <w:rPr>
          <w:rFonts w:cstheme="minorHAnsi"/>
        </w:rPr>
      </w:pPr>
      <w:r w:rsidRPr="00CF3E94">
        <w:rPr>
          <w:rFonts w:cstheme="minorHAnsi"/>
          <w:b/>
        </w:rPr>
        <w:t xml:space="preserve">I.  Introduction </w:t>
      </w:r>
      <w:r w:rsidRPr="00CF3E94">
        <w:rPr>
          <w:rFonts w:cstheme="minorHAnsi"/>
          <w:b/>
        </w:rPr>
        <w:br/>
      </w:r>
      <w:r w:rsidRPr="00CF3E94">
        <w:rPr>
          <w:rFonts w:cstheme="minorHAnsi"/>
        </w:rPr>
        <w:br/>
        <w:t xml:space="preserve">[Summarizes the activities of the Center as they pertain to the direct development of intellectual property and/or to the collaborative development or access to intellectual property.] </w:t>
      </w:r>
    </w:p>
    <w:p w:rsidRPr="00CF3E94" w:rsidR="000D05A3" w:rsidP="000D05A3" w:rsidRDefault="000D05A3" w14:paraId="75A03F7C" w14:textId="77777777">
      <w:pPr>
        <w:rPr>
          <w:rFonts w:cstheme="minorHAnsi"/>
          <w:b/>
        </w:rPr>
      </w:pPr>
      <w:r w:rsidRPr="00CF3E94">
        <w:rPr>
          <w:rFonts w:cstheme="minorHAnsi"/>
          <w:b/>
        </w:rPr>
        <w:t>II.  Types of Intellectual Property &amp; Legal Rights</w:t>
      </w:r>
    </w:p>
    <w:p w:rsidRPr="00CF3E94" w:rsidR="000D05A3" w:rsidP="000D05A3" w:rsidRDefault="000D05A3" w14:paraId="1FB07B66" w14:textId="77777777">
      <w:pPr>
        <w:rPr>
          <w:rFonts w:cstheme="minorHAnsi"/>
        </w:rPr>
      </w:pPr>
      <w:r w:rsidRPr="00CF3E94">
        <w:rPr>
          <w:rFonts w:cstheme="minorHAnsi"/>
        </w:rPr>
        <w:t>[This section should identify the forms of intellectual property and the ownership of such intellectual property expected to result from the Center’s performance of the MEP Center cooperative agreement.  This section should also discuss the allocation of any legal rights associated with such intellectual property.]</w:t>
      </w:r>
    </w:p>
    <w:p w:rsidRPr="00CF3E94" w:rsidR="000D05A3" w:rsidP="000D05A3" w:rsidRDefault="000D05A3" w14:paraId="507ABB90" w14:textId="77777777">
      <w:pPr>
        <w:rPr>
          <w:rFonts w:cstheme="minorHAnsi"/>
          <w:b/>
        </w:rPr>
      </w:pPr>
      <w:r w:rsidRPr="00CF3E94">
        <w:rPr>
          <w:rFonts w:cstheme="minorHAnsi"/>
          <w:b/>
        </w:rPr>
        <w:t>III.  Processes for Protecting IP Rights</w:t>
      </w:r>
    </w:p>
    <w:p w:rsidRPr="00CF3E94" w:rsidR="000D05A3" w:rsidP="000D05A3" w:rsidRDefault="000D05A3" w14:paraId="0F7A7668" w14:textId="77777777">
      <w:pPr>
        <w:rPr>
          <w:rFonts w:cstheme="minorHAnsi"/>
        </w:rPr>
      </w:pPr>
      <w:r w:rsidRPr="00CF3E94">
        <w:rPr>
          <w:rFonts w:cstheme="minorHAnsi"/>
        </w:rPr>
        <w:t>[This section should discuss the Center’s protocols for protecting (</w:t>
      </w:r>
      <w:r w:rsidRPr="00CF3E94">
        <w:rPr>
          <w:rFonts w:cstheme="minorHAnsi"/>
          <w:i/>
        </w:rPr>
        <w:t>e.g.</w:t>
      </w:r>
      <w:r w:rsidRPr="00CF3E94">
        <w:rPr>
          <w:rFonts w:cstheme="minorHAnsi"/>
        </w:rPr>
        <w:t>, filing of patents, copyrights, trademarks, etc.) intellectual property developed directly by the Center, as well as the use and safeguarding of the intellectual property, including trade secrets and confidential information, of the Center’s manufacturing clients.]</w:t>
      </w:r>
    </w:p>
    <w:p w:rsidRPr="00CF3E94" w:rsidR="00776379" w:rsidP="00532281" w:rsidRDefault="000D05A3" w14:paraId="519FEFB2" w14:textId="10C06BE2">
      <w:pPr>
        <w:rPr>
          <w:rFonts w:cstheme="minorHAnsi"/>
          <w:b/>
          <w:bCs/>
          <w:sz w:val="24"/>
          <w:szCs w:val="24"/>
        </w:rPr>
      </w:pPr>
      <w:r w:rsidRPr="00CF3E94">
        <w:rPr>
          <w:rFonts w:cstheme="minorHAnsi"/>
          <w:b/>
          <w:bCs/>
          <w:sz w:val="26"/>
          <w:szCs w:val="26"/>
        </w:rPr>
        <w:t>Revised Required Plans:</w:t>
      </w:r>
      <w:r w:rsidRPr="00CF3E94">
        <w:rPr>
          <w:rFonts w:cstheme="minorHAnsi"/>
          <w:sz w:val="26"/>
          <w:szCs w:val="26"/>
        </w:rPr>
        <w:t xml:space="preserve"> </w:t>
      </w:r>
      <w:r w:rsidRPr="00CF3E94" w:rsidR="008C0F7C">
        <w:rPr>
          <w:rFonts w:cstheme="minorHAnsi"/>
          <w:b/>
          <w:bCs/>
          <w:sz w:val="24"/>
          <w:szCs w:val="24"/>
        </w:rPr>
        <w:t>MULTI-YEAR BUDGETS</w:t>
      </w:r>
    </w:p>
    <w:p w:rsidRPr="00CF3E94" w:rsidR="00120124" w:rsidP="00120124" w:rsidRDefault="00120124" w14:paraId="38C58ACA" w14:textId="54879BDF">
      <w:pPr>
        <w:rPr>
          <w:rFonts w:cstheme="minorHAnsi"/>
        </w:rPr>
      </w:pPr>
      <w:r w:rsidRPr="00CF3E94">
        <w:rPr>
          <w:rFonts w:cstheme="minorHAnsi"/>
        </w:rPr>
        <w:t>NIST MEP has developed Program-specific budget documents to assist the Center and CRMT to ensure federal stewardship, oversight, and compliance. The two documents include the</w:t>
      </w:r>
      <w:r w:rsidRPr="00CF3E94" w:rsidR="00C9782D">
        <w:rPr>
          <w:rFonts w:cstheme="minorHAnsi"/>
        </w:rPr>
        <w:t xml:space="preserve"> NIST MEP</w:t>
      </w:r>
      <w:r w:rsidRPr="00CF3E94">
        <w:rPr>
          <w:rFonts w:cstheme="minorHAnsi"/>
        </w:rPr>
        <w:t xml:space="preserve"> Single</w:t>
      </w:r>
      <w:r w:rsidR="00545133">
        <w:rPr>
          <w:rFonts w:cstheme="minorHAnsi"/>
        </w:rPr>
        <w:t>-</w:t>
      </w:r>
      <w:r w:rsidRPr="00CF3E94">
        <w:rPr>
          <w:rFonts w:cstheme="minorHAnsi"/>
        </w:rPr>
        <w:t xml:space="preserve">Year Budget Workbook and </w:t>
      </w:r>
      <w:r w:rsidRPr="00CF3E94" w:rsidR="00C9782D">
        <w:rPr>
          <w:rFonts w:cstheme="minorHAnsi"/>
        </w:rPr>
        <w:t xml:space="preserve">NIST MEP </w:t>
      </w:r>
      <w:r w:rsidRPr="00CF3E94" w:rsidR="00966C70">
        <w:rPr>
          <w:rFonts w:cstheme="minorHAnsi"/>
        </w:rPr>
        <w:t xml:space="preserve">Award </w:t>
      </w:r>
      <w:r w:rsidRPr="00CF3E94">
        <w:rPr>
          <w:rFonts w:cstheme="minorHAnsi"/>
        </w:rPr>
        <w:t xml:space="preserve">Budget Summary </w:t>
      </w:r>
      <w:r w:rsidRPr="00CF3E94" w:rsidR="00AD3A2B">
        <w:rPr>
          <w:rFonts w:cstheme="minorHAnsi"/>
        </w:rPr>
        <w:t>Table</w:t>
      </w:r>
      <w:r w:rsidRPr="00CF3E94" w:rsidR="00C9782D">
        <w:rPr>
          <w:rFonts w:cstheme="minorHAnsi"/>
        </w:rPr>
        <w:t xml:space="preserve"> and</w:t>
      </w:r>
      <w:r w:rsidRPr="00CF3E94">
        <w:rPr>
          <w:rFonts w:cstheme="minorHAnsi"/>
        </w:rPr>
        <w:t xml:space="preserve"> are approved by OMB. Consequently, no modifications</w:t>
      </w:r>
      <w:r w:rsidRPr="00CF3E94" w:rsidR="00FE0FAA">
        <w:rPr>
          <w:rFonts w:cstheme="minorHAnsi"/>
        </w:rPr>
        <w:t xml:space="preserve"> to the formulas or format</w:t>
      </w:r>
      <w:r w:rsidRPr="00CF3E94">
        <w:rPr>
          <w:rFonts w:cstheme="minorHAnsi"/>
        </w:rPr>
        <w:t xml:space="preserve"> may be accepted. Each workbook contains formulas that are </w:t>
      </w:r>
      <w:r w:rsidRPr="00CF3E94" w:rsidR="00C9782D">
        <w:rPr>
          <w:rFonts w:cstheme="minorHAnsi"/>
        </w:rPr>
        <w:t>protected,</w:t>
      </w:r>
      <w:r w:rsidRPr="00CF3E94">
        <w:rPr>
          <w:rFonts w:cstheme="minorHAnsi"/>
        </w:rPr>
        <w:t xml:space="preserve"> and the overwriting function has been disabled. </w:t>
      </w:r>
      <w:r w:rsidRPr="00CF3E94" w:rsidR="002A7844">
        <w:rPr>
          <w:rFonts w:cstheme="minorHAnsi"/>
        </w:rPr>
        <w:t>Note, only white formatted cells are editable; grey formatted cells will prefill the amounts.</w:t>
      </w:r>
    </w:p>
    <w:p w:rsidRPr="00CF3E94" w:rsidR="00120124" w:rsidP="008C0F7C" w:rsidRDefault="00120124" w14:paraId="0D6A26C7" w14:textId="26F6D3F2">
      <w:pPr>
        <w:rPr>
          <w:rFonts w:cstheme="minorHAnsi"/>
          <w:b/>
          <w:bCs/>
        </w:rPr>
      </w:pPr>
      <w:r w:rsidRPr="00CF3E94">
        <w:rPr>
          <w:rFonts w:cstheme="minorHAnsi"/>
          <w:b/>
          <w:bCs/>
        </w:rPr>
        <w:t>Single</w:t>
      </w:r>
      <w:r w:rsidRPr="00CF3E94" w:rsidR="00FE0FAA">
        <w:rPr>
          <w:rFonts w:cstheme="minorHAnsi"/>
          <w:b/>
          <w:bCs/>
        </w:rPr>
        <w:t>-</w:t>
      </w:r>
      <w:r w:rsidRPr="00CF3E94">
        <w:rPr>
          <w:rFonts w:cstheme="minorHAnsi"/>
          <w:b/>
          <w:bCs/>
        </w:rPr>
        <w:t>Year Budget Workbook</w:t>
      </w:r>
    </w:p>
    <w:p w:rsidRPr="00CF3E94" w:rsidR="00FE0FAA" w:rsidP="008C0F7C" w:rsidRDefault="00120124" w14:paraId="23401695" w14:textId="77777777">
      <w:pPr>
        <w:rPr>
          <w:rFonts w:cstheme="minorHAnsi"/>
        </w:rPr>
      </w:pPr>
      <w:r w:rsidRPr="00CF3E94">
        <w:rPr>
          <w:rFonts w:cstheme="minorHAnsi"/>
        </w:rPr>
        <w:t xml:space="preserve">Each </w:t>
      </w:r>
      <w:r w:rsidRPr="00CF3E94" w:rsidR="00FE0FAA">
        <w:rPr>
          <w:rFonts w:cstheme="minorHAnsi"/>
        </w:rPr>
        <w:t>Single-</w:t>
      </w:r>
      <w:r w:rsidRPr="00CF3E94">
        <w:rPr>
          <w:rFonts w:cstheme="minorHAnsi"/>
        </w:rPr>
        <w:t>Year Budget Workbook includes the following worksheets:</w:t>
      </w:r>
      <w:r w:rsidRPr="00CF3E94" w:rsidR="00B41CF3">
        <w:rPr>
          <w:rFonts w:cstheme="minorHAnsi"/>
        </w:rPr>
        <w:t xml:space="preserve"> </w:t>
      </w:r>
    </w:p>
    <w:p w:rsidRPr="00CF3E94" w:rsidR="00FE0FAA" w:rsidP="00FE0FAA" w:rsidRDefault="00B41CF3" w14:paraId="5C300782" w14:textId="74782D66">
      <w:pPr>
        <w:pStyle w:val="ListParagraph"/>
        <w:numPr>
          <w:ilvl w:val="0"/>
          <w:numId w:val="23"/>
        </w:numPr>
        <w:rPr>
          <w:rFonts w:asciiTheme="minorHAnsi" w:hAnsiTheme="minorHAnsi" w:cstheme="minorHAnsi"/>
        </w:rPr>
      </w:pPr>
      <w:r w:rsidRPr="00CF3E94">
        <w:rPr>
          <w:rFonts w:asciiTheme="minorHAnsi" w:hAnsiTheme="minorHAnsi" w:cstheme="minorHAnsi"/>
        </w:rPr>
        <w:t>Information</w:t>
      </w:r>
    </w:p>
    <w:p w:rsidRPr="00CF3E94" w:rsidR="00FE0FAA" w:rsidP="00FE0FAA" w:rsidRDefault="00120124" w14:paraId="5EEAE69A" w14:textId="71738DA1">
      <w:pPr>
        <w:pStyle w:val="ListParagraph"/>
        <w:numPr>
          <w:ilvl w:val="0"/>
          <w:numId w:val="23"/>
        </w:numPr>
        <w:rPr>
          <w:rFonts w:asciiTheme="minorHAnsi" w:hAnsiTheme="minorHAnsi" w:cstheme="minorHAnsi"/>
        </w:rPr>
      </w:pPr>
      <w:r w:rsidRPr="00CF3E94">
        <w:rPr>
          <w:rFonts w:asciiTheme="minorHAnsi" w:hAnsiTheme="minorHAnsi" w:cstheme="minorHAnsi"/>
        </w:rPr>
        <w:t xml:space="preserve"> Summary</w:t>
      </w:r>
      <w:r w:rsidR="00545133">
        <w:rPr>
          <w:rFonts w:asciiTheme="minorHAnsi" w:hAnsiTheme="minorHAnsi" w:cstheme="minorHAnsi"/>
        </w:rPr>
        <w:t xml:space="preserve"> Table</w:t>
      </w:r>
    </w:p>
    <w:p w:rsidRPr="00CF3E94" w:rsidR="00FE0FAA" w:rsidP="00FE0FAA" w:rsidRDefault="00120124" w14:paraId="4B5CB141" w14:textId="7899DE72">
      <w:pPr>
        <w:pStyle w:val="ListParagraph"/>
        <w:numPr>
          <w:ilvl w:val="0"/>
          <w:numId w:val="23"/>
        </w:numPr>
        <w:rPr>
          <w:rFonts w:asciiTheme="minorHAnsi" w:hAnsiTheme="minorHAnsi" w:cstheme="minorHAnsi"/>
        </w:rPr>
      </w:pPr>
      <w:r w:rsidRPr="00CF3E94">
        <w:rPr>
          <w:rFonts w:asciiTheme="minorHAnsi" w:hAnsiTheme="minorHAnsi" w:cstheme="minorHAnsi"/>
        </w:rPr>
        <w:t>Revenue Description</w:t>
      </w:r>
    </w:p>
    <w:p w:rsidRPr="00CF3E94" w:rsidR="00FE0FAA" w:rsidP="00FE0FAA" w:rsidRDefault="00120124" w14:paraId="0EBBB9ED" w14:textId="51EFCA6A">
      <w:pPr>
        <w:pStyle w:val="ListParagraph"/>
        <w:numPr>
          <w:ilvl w:val="0"/>
          <w:numId w:val="23"/>
        </w:numPr>
        <w:rPr>
          <w:rFonts w:asciiTheme="minorHAnsi" w:hAnsiTheme="minorHAnsi" w:cstheme="minorHAnsi"/>
        </w:rPr>
      </w:pPr>
      <w:r w:rsidRPr="00CF3E94">
        <w:rPr>
          <w:rFonts w:asciiTheme="minorHAnsi" w:hAnsiTheme="minorHAnsi" w:cstheme="minorHAnsi"/>
        </w:rPr>
        <w:t>Expense Narrative</w:t>
      </w:r>
    </w:p>
    <w:p w:rsidRPr="00CF3E94" w:rsidR="00FE0FAA" w:rsidP="00FE0FAA" w:rsidRDefault="00120124" w14:paraId="0199E7D1" w14:textId="08F456F5">
      <w:pPr>
        <w:pStyle w:val="ListParagraph"/>
        <w:numPr>
          <w:ilvl w:val="0"/>
          <w:numId w:val="23"/>
        </w:numPr>
        <w:rPr>
          <w:rFonts w:asciiTheme="minorHAnsi" w:hAnsiTheme="minorHAnsi" w:cstheme="minorHAnsi"/>
        </w:rPr>
      </w:pPr>
      <w:r w:rsidRPr="00CF3E94">
        <w:rPr>
          <w:rFonts w:asciiTheme="minorHAnsi" w:hAnsiTheme="minorHAnsi" w:cstheme="minorHAnsi"/>
        </w:rPr>
        <w:t>Subrecipient</w:t>
      </w:r>
      <w:r w:rsidR="00545133">
        <w:rPr>
          <w:rFonts w:asciiTheme="minorHAnsi" w:hAnsiTheme="minorHAnsi" w:cstheme="minorHAnsi"/>
        </w:rPr>
        <w:t xml:space="preserve"> -</w:t>
      </w:r>
      <w:r w:rsidRPr="00CF3E94" w:rsidR="0005127D">
        <w:rPr>
          <w:rFonts w:asciiTheme="minorHAnsi" w:hAnsiTheme="minorHAnsi" w:cstheme="minorHAnsi"/>
        </w:rPr>
        <w:t xml:space="preserve"> </w:t>
      </w:r>
      <w:r w:rsidRPr="00CF3E94">
        <w:rPr>
          <w:rFonts w:asciiTheme="minorHAnsi" w:hAnsiTheme="minorHAnsi" w:cstheme="minorHAnsi"/>
        </w:rPr>
        <w:t xml:space="preserve">Third Party </w:t>
      </w:r>
      <w:r w:rsidRPr="00CF3E94" w:rsidR="0005127D">
        <w:rPr>
          <w:rFonts w:asciiTheme="minorHAnsi" w:hAnsiTheme="minorHAnsi" w:cstheme="minorHAnsi"/>
        </w:rPr>
        <w:t xml:space="preserve">Contribution </w:t>
      </w:r>
      <w:r w:rsidRPr="00CF3E94">
        <w:rPr>
          <w:rFonts w:asciiTheme="minorHAnsi" w:hAnsiTheme="minorHAnsi" w:cstheme="minorHAnsi"/>
        </w:rPr>
        <w:t>Table</w:t>
      </w:r>
    </w:p>
    <w:p w:rsidRPr="00CF3E94" w:rsidR="00FE0FAA" w:rsidP="00FE0FAA" w:rsidRDefault="00FE0FAA" w14:paraId="484425EC" w14:textId="77777777">
      <w:pPr>
        <w:pStyle w:val="ListParagraph"/>
        <w:rPr>
          <w:rFonts w:asciiTheme="minorHAnsi" w:hAnsiTheme="minorHAnsi" w:cstheme="minorHAnsi"/>
        </w:rPr>
      </w:pPr>
    </w:p>
    <w:p w:rsidRPr="00CF3E94" w:rsidR="00120124" w:rsidP="008C0F7C" w:rsidRDefault="00120124" w14:paraId="3C5E4708" w14:textId="6A315515">
      <w:pPr>
        <w:rPr>
          <w:rFonts w:cstheme="minorHAnsi"/>
        </w:rPr>
      </w:pPr>
      <w:r w:rsidRPr="00CF3E94">
        <w:rPr>
          <w:rFonts w:cstheme="minorHAnsi"/>
        </w:rPr>
        <w:t>The CRMT will assess the workbook and review the following worksheets:</w:t>
      </w:r>
    </w:p>
    <w:p w:rsidRPr="00CF3E94" w:rsidR="008D7630" w:rsidP="008C0F7C" w:rsidRDefault="008D7630" w14:paraId="28C93961" w14:textId="00D52A4D">
      <w:pPr>
        <w:pStyle w:val="ListParagraph"/>
        <w:numPr>
          <w:ilvl w:val="0"/>
          <w:numId w:val="7"/>
        </w:numPr>
        <w:rPr>
          <w:rFonts w:asciiTheme="minorHAnsi" w:hAnsiTheme="minorHAnsi" w:cstheme="minorHAnsi"/>
        </w:rPr>
      </w:pPr>
      <w:r w:rsidRPr="00CF3E94">
        <w:rPr>
          <w:rFonts w:asciiTheme="minorHAnsi" w:hAnsiTheme="minorHAnsi" w:cstheme="minorHAnsi"/>
          <w:i/>
          <w:iCs/>
        </w:rPr>
        <w:t xml:space="preserve">Information. </w:t>
      </w:r>
      <w:r w:rsidRPr="00CF3E94">
        <w:rPr>
          <w:rFonts w:asciiTheme="minorHAnsi" w:hAnsiTheme="minorHAnsi" w:cstheme="minorHAnsi"/>
        </w:rPr>
        <w:t>OMB Control Number and expiration date. Basic information about how and what to reflect in specific cells, rows, and columns.</w:t>
      </w:r>
    </w:p>
    <w:p w:rsidRPr="00CF3E94" w:rsidR="00DA2FD5" w:rsidP="008C0F7C" w:rsidRDefault="00120124" w14:paraId="3E30F816" w14:textId="790D4E99">
      <w:pPr>
        <w:pStyle w:val="ListParagraph"/>
        <w:numPr>
          <w:ilvl w:val="0"/>
          <w:numId w:val="7"/>
        </w:numPr>
        <w:rPr>
          <w:rFonts w:asciiTheme="minorHAnsi" w:hAnsiTheme="minorHAnsi" w:cstheme="minorHAnsi"/>
          <w:i/>
          <w:iCs/>
        </w:rPr>
      </w:pPr>
      <w:r w:rsidRPr="00CF3E94">
        <w:rPr>
          <w:rFonts w:asciiTheme="minorHAnsi" w:hAnsiTheme="minorHAnsi" w:cstheme="minorHAnsi"/>
          <w:i/>
          <w:iCs/>
        </w:rPr>
        <w:t>Summary</w:t>
      </w:r>
      <w:r w:rsidR="00545133">
        <w:rPr>
          <w:rFonts w:asciiTheme="minorHAnsi" w:hAnsiTheme="minorHAnsi" w:cstheme="minorHAnsi"/>
          <w:i/>
          <w:iCs/>
        </w:rPr>
        <w:t xml:space="preserve"> Table</w:t>
      </w:r>
      <w:r w:rsidRPr="00CF3E94">
        <w:rPr>
          <w:rFonts w:asciiTheme="minorHAnsi" w:hAnsiTheme="minorHAnsi" w:cstheme="minorHAnsi"/>
          <w:i/>
          <w:iCs/>
        </w:rPr>
        <w:t xml:space="preserve">. </w:t>
      </w:r>
      <w:r w:rsidRPr="00CF3E94">
        <w:rPr>
          <w:rFonts w:asciiTheme="minorHAnsi" w:hAnsiTheme="minorHAnsi" w:cstheme="minorHAnsi"/>
        </w:rPr>
        <w:t>This section should in</w:t>
      </w:r>
      <w:r w:rsidRPr="00CF3E94" w:rsidR="00B41CF3">
        <w:rPr>
          <w:rFonts w:asciiTheme="minorHAnsi" w:hAnsiTheme="minorHAnsi" w:cstheme="minorHAnsi"/>
        </w:rPr>
        <w:t>clude</w:t>
      </w:r>
      <w:r w:rsidRPr="00CF3E94">
        <w:rPr>
          <w:rFonts w:asciiTheme="minorHAnsi" w:hAnsiTheme="minorHAnsi" w:cstheme="minorHAnsi"/>
        </w:rPr>
        <w:t xml:space="preserve"> the Center’s funding request for the budget period</w:t>
      </w:r>
      <w:r w:rsidRPr="00CF3E94" w:rsidR="00B41CF3">
        <w:rPr>
          <w:rFonts w:asciiTheme="minorHAnsi" w:hAnsiTheme="minorHAnsi" w:cstheme="minorHAnsi"/>
        </w:rPr>
        <w:t xml:space="preserve"> and</w:t>
      </w:r>
      <w:r w:rsidRPr="00CF3E94">
        <w:rPr>
          <w:rFonts w:asciiTheme="minorHAnsi" w:hAnsiTheme="minorHAnsi" w:cstheme="minorHAnsi"/>
        </w:rPr>
        <w:t xml:space="preserve"> is divided into two sections</w:t>
      </w:r>
      <w:r w:rsidRPr="00CF3E94" w:rsidR="00DA2FD5">
        <w:rPr>
          <w:rFonts w:asciiTheme="minorHAnsi" w:hAnsiTheme="minorHAnsi" w:cstheme="minorHAnsi"/>
        </w:rPr>
        <w:t>:</w:t>
      </w:r>
    </w:p>
    <w:p w:rsidRPr="00CF3E94" w:rsidR="00DA2FD5" w:rsidP="00DA2FD5" w:rsidRDefault="00DA2FD5" w14:paraId="77AA2B3F" w14:textId="7C147F27">
      <w:pPr>
        <w:pStyle w:val="ListParagraph"/>
        <w:numPr>
          <w:ilvl w:val="1"/>
          <w:numId w:val="20"/>
        </w:numPr>
        <w:rPr>
          <w:rFonts w:asciiTheme="minorHAnsi" w:hAnsiTheme="minorHAnsi" w:cstheme="minorHAnsi"/>
        </w:rPr>
      </w:pPr>
      <w:r w:rsidRPr="00CF3E94">
        <w:rPr>
          <w:rFonts w:asciiTheme="minorHAnsi" w:hAnsiTheme="minorHAnsi" w:cstheme="minorHAnsi"/>
          <w:b/>
        </w:rPr>
        <w:t>Revenue Federal/Non-Federal</w:t>
      </w:r>
      <w:r w:rsidRPr="00CF3E94">
        <w:rPr>
          <w:rFonts w:asciiTheme="minorHAnsi" w:hAnsiTheme="minorHAnsi" w:cstheme="minorHAnsi"/>
        </w:rPr>
        <w:t xml:space="preserve"> Sources of Funds (Federal, Non-Federal Cash and Non-Federal In-Kind); and </w:t>
      </w:r>
    </w:p>
    <w:p w:rsidRPr="00CF3E94" w:rsidR="00DA2FD5" w:rsidP="00AF1D10" w:rsidRDefault="00DA2FD5" w14:paraId="564A061F" w14:textId="7C1E9392">
      <w:pPr>
        <w:pStyle w:val="ListParagraph"/>
        <w:numPr>
          <w:ilvl w:val="1"/>
          <w:numId w:val="20"/>
        </w:numPr>
        <w:rPr>
          <w:rFonts w:asciiTheme="minorHAnsi" w:hAnsiTheme="minorHAnsi" w:cstheme="minorHAnsi"/>
        </w:rPr>
      </w:pPr>
      <w:r w:rsidRPr="00CF3E94">
        <w:rPr>
          <w:rFonts w:asciiTheme="minorHAnsi" w:hAnsiTheme="minorHAnsi" w:cstheme="minorHAnsi"/>
          <w:b/>
        </w:rPr>
        <w:t xml:space="preserve"> Expenses/Uses of Funds</w:t>
      </w:r>
      <w:r w:rsidRPr="00CF3E94">
        <w:rPr>
          <w:rFonts w:asciiTheme="minorHAnsi" w:hAnsiTheme="minorHAnsi" w:cstheme="minorHAnsi"/>
        </w:rPr>
        <w:t xml:space="preserve"> both Federal and Non-Federal. </w:t>
      </w:r>
    </w:p>
    <w:p w:rsidRPr="00CF3E94" w:rsidR="00052A1E" w:rsidP="00052A1E" w:rsidRDefault="00052A1E" w14:paraId="668E9E21" w14:textId="77777777">
      <w:pPr>
        <w:rPr>
          <w:rFonts w:cstheme="minorHAnsi"/>
        </w:rPr>
      </w:pPr>
    </w:p>
    <w:p w:rsidRPr="00CF3E94" w:rsidR="00052A1E" w:rsidP="00AF1D10" w:rsidRDefault="00120124" w14:paraId="07880F22" w14:textId="0085F9D1">
      <w:pPr>
        <w:ind w:left="720"/>
        <w:rPr>
          <w:rFonts w:cstheme="minorHAnsi"/>
          <w:i/>
          <w:iCs/>
        </w:rPr>
      </w:pPr>
      <w:r w:rsidRPr="00CF3E94">
        <w:rPr>
          <w:rFonts w:cstheme="minorHAnsi"/>
        </w:rPr>
        <w:lastRenderedPageBreak/>
        <w:t>Within each section, there are columns to identify if the funding source is attributed to federal, non-federal</w:t>
      </w:r>
      <w:r w:rsidRPr="00CF3E94" w:rsidR="007631C6">
        <w:rPr>
          <w:rFonts w:cstheme="minorHAnsi"/>
        </w:rPr>
        <w:t xml:space="preserve"> cas</w:t>
      </w:r>
      <w:r w:rsidRPr="00CF3E94" w:rsidR="0005127D">
        <w:rPr>
          <w:rFonts w:cstheme="minorHAnsi"/>
        </w:rPr>
        <w:t>h</w:t>
      </w:r>
      <w:r w:rsidRPr="00CF3E94">
        <w:rPr>
          <w:rFonts w:cstheme="minorHAnsi"/>
        </w:rPr>
        <w:t xml:space="preserve"> </w:t>
      </w:r>
      <w:r w:rsidRPr="00CF3E94" w:rsidR="00B41CF3">
        <w:rPr>
          <w:rFonts w:cstheme="minorHAnsi"/>
        </w:rPr>
        <w:t>cost share</w:t>
      </w:r>
      <w:r w:rsidRPr="00CF3E94">
        <w:rPr>
          <w:rFonts w:cstheme="minorHAnsi"/>
        </w:rPr>
        <w:t>, non-federal in-kind</w:t>
      </w:r>
      <w:r w:rsidRPr="00CF3E94" w:rsidR="00B41CF3">
        <w:rPr>
          <w:rFonts w:cstheme="minorHAnsi"/>
        </w:rPr>
        <w:t xml:space="preserve">, or additive program income. </w:t>
      </w:r>
    </w:p>
    <w:p w:rsidRPr="00CF3E94" w:rsidR="00052A1E" w:rsidP="00AF1D10" w:rsidRDefault="00052A1E" w14:paraId="328465F5" w14:textId="24BF0D68">
      <w:pPr>
        <w:spacing w:after="0" w:line="240" w:lineRule="auto"/>
        <w:ind w:left="360"/>
        <w:rPr>
          <w:rFonts w:cstheme="minorHAnsi"/>
        </w:rPr>
      </w:pPr>
      <w:r w:rsidRPr="00CF3E94">
        <w:rPr>
          <w:rFonts w:cstheme="minorHAnsi"/>
        </w:rPr>
        <w:t xml:space="preserve">The </w:t>
      </w:r>
      <w:r w:rsidRPr="00CF3E94">
        <w:rPr>
          <w:rFonts w:cstheme="minorHAnsi"/>
          <w:b/>
        </w:rPr>
        <w:t>Federal/Non-Federal</w:t>
      </w:r>
      <w:r w:rsidRPr="00CF3E94">
        <w:rPr>
          <w:rFonts w:cstheme="minorHAnsi"/>
        </w:rPr>
        <w:t xml:space="preserve"> Sources of Funds section should list all sources of funds being committed to the NIST MEP project. Figures should correspond to amounts listed in the </w:t>
      </w:r>
      <w:r w:rsidRPr="00CF3E94" w:rsidR="00A359DB">
        <w:rPr>
          <w:rFonts w:cstheme="minorHAnsi"/>
        </w:rPr>
        <w:t>Award</w:t>
      </w:r>
      <w:r w:rsidRPr="00CF3E94">
        <w:rPr>
          <w:rFonts w:cstheme="minorHAnsi"/>
        </w:rPr>
        <w:t xml:space="preserve"> Budget Summary </w:t>
      </w:r>
      <w:proofErr w:type="gramStart"/>
      <w:r w:rsidRPr="00CF3E94">
        <w:rPr>
          <w:rFonts w:cstheme="minorHAnsi"/>
        </w:rPr>
        <w:t>Table, and</w:t>
      </w:r>
      <w:proofErr w:type="gramEnd"/>
      <w:r w:rsidRPr="00CF3E94">
        <w:rPr>
          <w:rFonts w:cstheme="minorHAnsi"/>
        </w:rPr>
        <w:t xml:space="preserve"> should be rounded to the nearest dollar. Potential funding sources include the following:</w:t>
      </w:r>
    </w:p>
    <w:p w:rsidRPr="00CF3E94" w:rsidR="00052A1E" w:rsidP="00052A1E" w:rsidRDefault="00052A1E" w14:paraId="1C483748" w14:textId="77777777">
      <w:pPr>
        <w:spacing w:after="0" w:line="240" w:lineRule="auto"/>
        <w:rPr>
          <w:rFonts w:cstheme="minorHAnsi"/>
        </w:rPr>
      </w:pPr>
    </w:p>
    <w:p w:rsidRPr="00CF3E94" w:rsidR="00052A1E" w:rsidP="00052A1E" w:rsidRDefault="00052A1E" w14:paraId="197D7F61" w14:textId="77777777">
      <w:pPr>
        <w:pStyle w:val="ListParagraph"/>
        <w:numPr>
          <w:ilvl w:val="0"/>
          <w:numId w:val="22"/>
        </w:numPr>
        <w:rPr>
          <w:rFonts w:asciiTheme="minorHAnsi" w:hAnsiTheme="minorHAnsi" w:cstheme="minorHAnsi"/>
        </w:rPr>
      </w:pPr>
      <w:r w:rsidRPr="00CF3E94">
        <w:rPr>
          <w:rFonts w:asciiTheme="minorHAnsi" w:hAnsiTheme="minorHAnsi" w:cstheme="minorHAnsi"/>
        </w:rPr>
        <w:t>NIST MEP (Federal Funding</w:t>
      </w:r>
      <w:proofErr w:type="gramStart"/>
      <w:r w:rsidRPr="00CF3E94">
        <w:rPr>
          <w:rFonts w:asciiTheme="minorHAnsi" w:hAnsiTheme="minorHAnsi" w:cstheme="minorHAnsi"/>
        </w:rPr>
        <w:t>);</w:t>
      </w:r>
      <w:proofErr w:type="gramEnd"/>
    </w:p>
    <w:p w:rsidRPr="00CF3E94" w:rsidR="00052A1E" w:rsidP="00052A1E" w:rsidRDefault="00052A1E" w14:paraId="7E8C64E1" w14:textId="77777777">
      <w:pPr>
        <w:pStyle w:val="ListParagraph"/>
        <w:numPr>
          <w:ilvl w:val="0"/>
          <w:numId w:val="22"/>
        </w:numPr>
        <w:rPr>
          <w:rFonts w:asciiTheme="minorHAnsi" w:hAnsiTheme="minorHAnsi" w:cstheme="minorHAnsi"/>
        </w:rPr>
      </w:pPr>
      <w:r w:rsidRPr="00CF3E94">
        <w:rPr>
          <w:rFonts w:asciiTheme="minorHAnsi" w:hAnsiTheme="minorHAnsi" w:cstheme="minorHAnsi"/>
        </w:rPr>
        <w:t>NIST MEP Unexpended Federal Funds (UFF)</w:t>
      </w:r>
      <w:r w:rsidRPr="00CF3E94">
        <w:rPr>
          <w:rStyle w:val="FootnoteReference"/>
          <w:rFonts w:asciiTheme="minorHAnsi" w:hAnsiTheme="minorHAnsi" w:cstheme="minorHAnsi"/>
        </w:rPr>
        <w:footnoteReference w:id="1"/>
      </w:r>
      <w:r w:rsidRPr="00CF3E94">
        <w:rPr>
          <w:rFonts w:asciiTheme="minorHAnsi" w:hAnsiTheme="minorHAnsi" w:cstheme="minorHAnsi"/>
        </w:rPr>
        <w:t>;</w:t>
      </w:r>
    </w:p>
    <w:p w:rsidRPr="00CF3E94" w:rsidR="00052A1E" w:rsidP="00052A1E" w:rsidRDefault="00052A1E" w14:paraId="6B07183A" w14:textId="77777777">
      <w:pPr>
        <w:pStyle w:val="ListParagraph"/>
        <w:numPr>
          <w:ilvl w:val="0"/>
          <w:numId w:val="22"/>
        </w:numPr>
        <w:rPr>
          <w:rFonts w:asciiTheme="minorHAnsi" w:hAnsiTheme="minorHAnsi" w:cstheme="minorHAnsi"/>
        </w:rPr>
      </w:pPr>
      <w:r w:rsidRPr="00CF3E94">
        <w:rPr>
          <w:rFonts w:asciiTheme="minorHAnsi" w:hAnsiTheme="minorHAnsi" w:cstheme="minorHAnsi"/>
        </w:rPr>
        <w:t xml:space="preserve">Cash and In-Kind Contributions by </w:t>
      </w:r>
      <w:proofErr w:type="gramStart"/>
      <w:r w:rsidRPr="00CF3E94">
        <w:rPr>
          <w:rFonts w:asciiTheme="minorHAnsi" w:hAnsiTheme="minorHAnsi" w:cstheme="minorHAnsi"/>
        </w:rPr>
        <w:t>Recipients;</w:t>
      </w:r>
      <w:proofErr w:type="gramEnd"/>
    </w:p>
    <w:p w:rsidRPr="00CF3E94" w:rsidR="00052A1E" w:rsidP="00052A1E" w:rsidRDefault="00052A1E" w14:paraId="0A395917" w14:textId="77777777">
      <w:pPr>
        <w:pStyle w:val="ListParagraph"/>
        <w:numPr>
          <w:ilvl w:val="0"/>
          <w:numId w:val="22"/>
        </w:numPr>
        <w:rPr>
          <w:rFonts w:asciiTheme="minorHAnsi" w:hAnsiTheme="minorHAnsi" w:cstheme="minorHAnsi"/>
        </w:rPr>
      </w:pPr>
      <w:r w:rsidRPr="00CF3E94">
        <w:rPr>
          <w:rFonts w:asciiTheme="minorHAnsi" w:hAnsiTheme="minorHAnsi" w:cstheme="minorHAnsi"/>
        </w:rPr>
        <w:t xml:space="preserve">State </w:t>
      </w:r>
      <w:proofErr w:type="gramStart"/>
      <w:r w:rsidRPr="00CF3E94">
        <w:rPr>
          <w:rFonts w:asciiTheme="minorHAnsi" w:hAnsiTheme="minorHAnsi" w:cstheme="minorHAnsi"/>
        </w:rPr>
        <w:t>Funds;</w:t>
      </w:r>
      <w:proofErr w:type="gramEnd"/>
    </w:p>
    <w:p w:rsidRPr="00CF3E94" w:rsidR="00052A1E" w:rsidP="00052A1E" w:rsidRDefault="00052A1E" w14:paraId="551B901C" w14:textId="77777777">
      <w:pPr>
        <w:pStyle w:val="ListParagraph"/>
        <w:numPr>
          <w:ilvl w:val="0"/>
          <w:numId w:val="22"/>
        </w:numPr>
        <w:rPr>
          <w:rFonts w:asciiTheme="minorHAnsi" w:hAnsiTheme="minorHAnsi" w:cstheme="minorHAnsi"/>
        </w:rPr>
      </w:pPr>
      <w:r w:rsidRPr="00CF3E94">
        <w:rPr>
          <w:rFonts w:asciiTheme="minorHAnsi" w:hAnsiTheme="minorHAnsi" w:cstheme="minorHAnsi"/>
        </w:rPr>
        <w:t xml:space="preserve">Local </w:t>
      </w:r>
      <w:proofErr w:type="gramStart"/>
      <w:r w:rsidRPr="00CF3E94">
        <w:rPr>
          <w:rFonts w:asciiTheme="minorHAnsi" w:hAnsiTheme="minorHAnsi" w:cstheme="minorHAnsi"/>
        </w:rPr>
        <w:t>Funds;</w:t>
      </w:r>
      <w:proofErr w:type="gramEnd"/>
    </w:p>
    <w:p w:rsidRPr="00CF3E94" w:rsidR="00052A1E" w:rsidP="00052A1E" w:rsidRDefault="00052A1E" w14:paraId="1D746A53" w14:textId="77777777">
      <w:pPr>
        <w:pStyle w:val="ListParagraph"/>
        <w:numPr>
          <w:ilvl w:val="0"/>
          <w:numId w:val="22"/>
        </w:numPr>
        <w:rPr>
          <w:rFonts w:asciiTheme="minorHAnsi" w:hAnsiTheme="minorHAnsi" w:cstheme="minorHAnsi"/>
        </w:rPr>
      </w:pPr>
      <w:r w:rsidRPr="00CF3E94">
        <w:rPr>
          <w:rFonts w:asciiTheme="minorHAnsi" w:hAnsiTheme="minorHAnsi" w:cstheme="minorHAnsi"/>
        </w:rPr>
        <w:t>Project/Services Fees (Program Income Projected</w:t>
      </w:r>
      <w:proofErr w:type="gramStart"/>
      <w:r w:rsidRPr="00CF3E94">
        <w:rPr>
          <w:rFonts w:asciiTheme="minorHAnsi" w:hAnsiTheme="minorHAnsi" w:cstheme="minorHAnsi"/>
        </w:rPr>
        <w:t>);</w:t>
      </w:r>
      <w:proofErr w:type="gramEnd"/>
    </w:p>
    <w:p w:rsidRPr="00CF3E94" w:rsidR="00052A1E" w:rsidP="00052A1E" w:rsidRDefault="00052A1E" w14:paraId="161FB810" w14:textId="77777777">
      <w:pPr>
        <w:pStyle w:val="ListParagraph"/>
        <w:numPr>
          <w:ilvl w:val="0"/>
          <w:numId w:val="22"/>
        </w:numPr>
        <w:rPr>
          <w:rFonts w:asciiTheme="minorHAnsi" w:hAnsiTheme="minorHAnsi" w:cstheme="minorHAnsi"/>
        </w:rPr>
      </w:pPr>
      <w:r w:rsidRPr="00CF3E94">
        <w:rPr>
          <w:rFonts w:asciiTheme="minorHAnsi" w:hAnsiTheme="minorHAnsi" w:cstheme="minorHAnsi"/>
        </w:rPr>
        <w:t xml:space="preserve">Anticipated Unexpended Program Income (UPI) from Prior Operating </w:t>
      </w:r>
      <w:proofErr w:type="gramStart"/>
      <w:r w:rsidRPr="00CF3E94">
        <w:rPr>
          <w:rFonts w:asciiTheme="minorHAnsi" w:hAnsiTheme="minorHAnsi" w:cstheme="minorHAnsi"/>
        </w:rPr>
        <w:t>Year;</w:t>
      </w:r>
      <w:proofErr w:type="gramEnd"/>
    </w:p>
    <w:p w:rsidRPr="00CF3E94" w:rsidR="00052A1E" w:rsidP="00052A1E" w:rsidRDefault="00052A1E" w14:paraId="59E50358" w14:textId="4203E1AE">
      <w:pPr>
        <w:pStyle w:val="ListParagraph"/>
        <w:numPr>
          <w:ilvl w:val="0"/>
          <w:numId w:val="22"/>
        </w:numPr>
        <w:rPr>
          <w:rFonts w:asciiTheme="minorHAnsi" w:hAnsiTheme="minorHAnsi" w:cstheme="minorHAnsi"/>
        </w:rPr>
      </w:pPr>
      <w:r w:rsidRPr="00CF3E94">
        <w:rPr>
          <w:rFonts w:asciiTheme="minorHAnsi" w:hAnsiTheme="minorHAnsi" w:cstheme="minorHAnsi"/>
        </w:rPr>
        <w:t>Third Party Contributions and/or Subrecipient Contributions; and</w:t>
      </w:r>
    </w:p>
    <w:p w:rsidRPr="00CF3E94" w:rsidR="00052A1E" w:rsidP="00052A1E" w:rsidRDefault="00052A1E" w14:paraId="41BE3663" w14:textId="6DDB56F6">
      <w:pPr>
        <w:pStyle w:val="ListParagraph"/>
        <w:numPr>
          <w:ilvl w:val="0"/>
          <w:numId w:val="22"/>
        </w:numPr>
        <w:rPr>
          <w:rFonts w:asciiTheme="minorHAnsi" w:hAnsiTheme="minorHAnsi" w:cstheme="minorHAnsi"/>
        </w:rPr>
      </w:pPr>
      <w:r w:rsidRPr="00CF3E94">
        <w:rPr>
          <w:rFonts w:asciiTheme="minorHAnsi" w:hAnsiTheme="minorHAnsi" w:cstheme="minorHAnsi"/>
        </w:rPr>
        <w:t>Other Sources of Non-Federal Cost Share.</w:t>
      </w:r>
    </w:p>
    <w:p w:rsidRPr="00CF3E94" w:rsidR="00CF3E94" w:rsidP="006F4819" w:rsidRDefault="00CF3E94" w14:paraId="6C652CD6" w14:textId="77777777">
      <w:pPr>
        <w:ind w:left="360"/>
        <w:rPr>
          <w:rFonts w:cstheme="minorHAnsi"/>
        </w:rPr>
      </w:pPr>
    </w:p>
    <w:p w:rsidRPr="00CF3E94" w:rsidR="006F4819" w:rsidP="006F4819" w:rsidRDefault="006F4819" w14:paraId="40CCB06B" w14:textId="33170754">
      <w:pPr>
        <w:ind w:left="360"/>
        <w:rPr>
          <w:rFonts w:cstheme="minorHAnsi"/>
        </w:rPr>
      </w:pPr>
      <w:r w:rsidRPr="00CF3E94">
        <w:rPr>
          <w:rFonts w:cstheme="minorHAnsi"/>
        </w:rPr>
        <w:t xml:space="preserve">The </w:t>
      </w:r>
      <w:r w:rsidRPr="00CF3E94">
        <w:rPr>
          <w:rFonts w:cstheme="minorHAnsi"/>
          <w:b/>
          <w:bCs/>
        </w:rPr>
        <w:t xml:space="preserve">Expense/Use of Funds </w:t>
      </w:r>
      <w:r w:rsidRPr="00CF3E94">
        <w:rPr>
          <w:rFonts w:cstheme="minorHAnsi"/>
        </w:rPr>
        <w:t xml:space="preserve">section should list the expense categories of the Center. Figures should correspond to amounts listed in the Award Budget Summary </w:t>
      </w:r>
      <w:r w:rsidRPr="00CF3E94" w:rsidR="00CF3E94">
        <w:rPr>
          <w:rFonts w:cstheme="minorHAnsi"/>
        </w:rPr>
        <w:t>Table and</w:t>
      </w:r>
      <w:r w:rsidRPr="00CF3E94">
        <w:rPr>
          <w:rFonts w:cstheme="minorHAnsi"/>
        </w:rPr>
        <w:t xml:space="preserve"> should be rounded to the nearest dollar.  All budgets should identify estimated project expenses and associated activities.</w:t>
      </w:r>
    </w:p>
    <w:p w:rsidRPr="00CF3E94" w:rsidR="006F4819" w:rsidP="006F4819" w:rsidRDefault="006F4819" w14:paraId="0798CA52" w14:textId="77777777">
      <w:pPr>
        <w:spacing w:after="0" w:line="240" w:lineRule="auto"/>
        <w:ind w:left="360"/>
        <w:rPr>
          <w:rFonts w:cstheme="minorHAnsi"/>
        </w:rPr>
      </w:pPr>
      <w:r w:rsidRPr="00CF3E94">
        <w:rPr>
          <w:rFonts w:cstheme="minorHAnsi"/>
        </w:rPr>
        <w:t xml:space="preserve">Subaward costs are to be captured in total within the “Other” line as totals for Subrecipient Agreements (SRA). Do not spread Subrecipient costs throughout the Center’s budget. Per the NIST MEP General Terms and Conditions, Centers must submit SRA agreements for subawards that are valued at $250,000 or more for any operating year. Each SRA above this threshold must contain a budget detailing the activities to be completed and their associated costs. </w:t>
      </w:r>
      <w:r w:rsidRPr="00CF3E94">
        <w:rPr>
          <w:rFonts w:cstheme="minorHAnsi"/>
          <w:b/>
          <w:bCs/>
        </w:rPr>
        <w:t>Whenever possible, SRA budgets should also use the NIST MEP budget templates</w:t>
      </w:r>
      <w:r w:rsidRPr="00CF3E94">
        <w:rPr>
          <w:rFonts w:cstheme="minorHAnsi"/>
        </w:rPr>
        <w:t xml:space="preserve">. </w:t>
      </w:r>
      <w:r w:rsidRPr="00CF3E94">
        <w:rPr>
          <w:rFonts w:cstheme="minorHAnsi"/>
          <w:b/>
          <w:bCs/>
        </w:rPr>
        <w:t>If the NIST MEP format is not used, the document submitted must present the level of detail required for NIST to determine the allowability, allocability, and reasonableness of proposed budgets.</w:t>
      </w:r>
      <w:r w:rsidRPr="00CF3E94">
        <w:rPr>
          <w:rFonts w:cstheme="minorHAnsi"/>
        </w:rPr>
        <w:t xml:space="preserve"> Note that the review of subawards is necessary for verifying estimated costs and proposed activities and ensuring compliance with the terms and conditions of the award. NIST will not review the agreements for legal sufficiency. As such, Centers will receive an acknowledgement letter noting the agreement’s incorporation into the award instead of a complete award amendment.</w:t>
      </w:r>
    </w:p>
    <w:p w:rsidRPr="00CF3E94" w:rsidR="006F4819" w:rsidP="006F4819" w:rsidRDefault="006F4819" w14:paraId="0B967047" w14:textId="77777777">
      <w:pPr>
        <w:spacing w:after="0" w:line="240" w:lineRule="auto"/>
        <w:ind w:left="360"/>
        <w:rPr>
          <w:rFonts w:cstheme="minorHAnsi"/>
        </w:rPr>
      </w:pPr>
    </w:p>
    <w:p w:rsidRPr="00CF3E94" w:rsidR="006F4819" w:rsidP="006F4819" w:rsidRDefault="006F4819" w14:paraId="255E0805" w14:textId="77777777">
      <w:pPr>
        <w:spacing w:after="0" w:line="240" w:lineRule="auto"/>
        <w:ind w:left="360"/>
        <w:rPr>
          <w:rFonts w:cstheme="minorHAnsi"/>
        </w:rPr>
      </w:pPr>
      <w:r w:rsidRPr="00CF3E94">
        <w:rPr>
          <w:rFonts w:cstheme="minorHAnsi"/>
        </w:rPr>
        <w:t>Third Party In-Kind Contributor (TPC) donations should be spread throughout the budget placed on the appropriate expense line in the in-kind column based on the type of expense being covered. An associated TPC agreement for contributions of $250,000 or more for an operating year must be submitted that details the valuation of the TPC. TPC agreements must be signed by both parties to the agreement. As a reminder, donations are not allowed from contractors/vendors without prior written approval by the NIST Grants Officer.</w:t>
      </w:r>
    </w:p>
    <w:p w:rsidRPr="00CF3E94" w:rsidR="006F4819" w:rsidP="006F4819" w:rsidRDefault="006F4819" w14:paraId="23667272" w14:textId="77777777">
      <w:pPr>
        <w:spacing w:after="0" w:line="240" w:lineRule="auto"/>
        <w:ind w:left="360"/>
        <w:rPr>
          <w:rFonts w:cstheme="minorHAnsi"/>
        </w:rPr>
      </w:pPr>
    </w:p>
    <w:p w:rsidRPr="00CF3E94" w:rsidR="006F4819" w:rsidP="006F4819" w:rsidRDefault="006F4819" w14:paraId="2C4155F5" w14:textId="77777777">
      <w:pPr>
        <w:spacing w:after="0" w:line="240" w:lineRule="auto"/>
        <w:ind w:left="360"/>
        <w:rPr>
          <w:rFonts w:cstheme="minorHAnsi"/>
        </w:rPr>
      </w:pPr>
      <w:r w:rsidRPr="00CF3E94">
        <w:rPr>
          <w:rFonts w:cstheme="minorHAnsi"/>
        </w:rPr>
        <w:t xml:space="preserve">Per Section 8.F. of the NIST MEP General Terms and Conditions (2021), “For subawards, contracts, and third party in-kind contributor agreements to or with the same (or affiliated) entity with a total combined value of $250,000 or more, in lieu of submitting copies of each agreement, Centers may be permitted to submit a summary list of the agreements that includes information sufficient for determining the reasonableness, allowability, and allocability of the agreements being funded under the award, and a copy of the fully </w:t>
      </w:r>
      <w:r w:rsidRPr="00CF3E94">
        <w:rPr>
          <w:rFonts w:cstheme="minorHAnsi"/>
        </w:rPr>
        <w:lastRenderedPageBreak/>
        <w:t>executed agreement that causes total funding for a single entity to exceed the $250,000 threshold for prior approval.  Request should be submitted to the NIST MEP Center Resource Management Team.  Approval for these items in the proposed budget will be communicated in writing by the NIST Grants Officer.</w:t>
      </w:r>
    </w:p>
    <w:p w:rsidRPr="00CF3E94" w:rsidR="006F4819" w:rsidP="006F4819" w:rsidRDefault="006F4819" w14:paraId="618B69F9" w14:textId="77777777">
      <w:pPr>
        <w:spacing w:after="0" w:line="240" w:lineRule="auto"/>
        <w:ind w:left="360"/>
        <w:rPr>
          <w:rFonts w:cstheme="minorHAnsi"/>
        </w:rPr>
      </w:pPr>
    </w:p>
    <w:p w:rsidRPr="00CF3E94" w:rsidR="006F4819" w:rsidP="006F4819" w:rsidRDefault="006F4819" w14:paraId="49924F87" w14:textId="451E42D5">
      <w:pPr>
        <w:spacing w:after="0" w:line="240" w:lineRule="auto"/>
        <w:rPr>
          <w:rFonts w:cstheme="minorHAnsi"/>
        </w:rPr>
      </w:pPr>
      <w:r w:rsidRPr="00CF3E94">
        <w:rPr>
          <w:rFonts w:cstheme="minorHAnsi"/>
        </w:rPr>
        <w:t xml:space="preserve">Any cost sharing must be in accordance with the Recipient’s approved project budget and must adhere to the “cost sharing” provisions of 2 C.F.R. Part 200.306 and Section B.03. of the Department of Commerce Financial Assistance Standard Terms and Conditions (2020), as may be amended. Costs incurred as non-Federal cost share must be allocable to the </w:t>
      </w:r>
      <w:proofErr w:type="gramStart"/>
      <w:r w:rsidRPr="00CF3E94">
        <w:rPr>
          <w:rFonts w:cstheme="minorHAnsi"/>
        </w:rPr>
        <w:t>project, and</w:t>
      </w:r>
      <w:proofErr w:type="gramEnd"/>
      <w:r w:rsidRPr="00CF3E94">
        <w:rPr>
          <w:rFonts w:cstheme="minorHAnsi"/>
        </w:rPr>
        <w:t xml:space="preserve"> are subject to the same allowability requirements as Federally funded costs. The disallowance of any contributed costs </w:t>
      </w:r>
      <w:proofErr w:type="gramStart"/>
      <w:r w:rsidRPr="00CF3E94">
        <w:rPr>
          <w:rFonts w:cstheme="minorHAnsi"/>
        </w:rPr>
        <w:t>as a result of</w:t>
      </w:r>
      <w:proofErr w:type="gramEnd"/>
      <w:r w:rsidRPr="00CF3E94">
        <w:rPr>
          <w:rFonts w:cstheme="minorHAnsi"/>
        </w:rPr>
        <w:t xml:space="preserve"> an audit could result in a Recipient not meeting its required cost share under the cooperative agreement and a refund being due the Federal Government for the excess Federal share.</w:t>
      </w:r>
    </w:p>
    <w:p w:rsidRPr="00CF3E94" w:rsidR="006F4819" w:rsidP="006F4819" w:rsidRDefault="006F4819" w14:paraId="48A5D61F" w14:textId="77777777">
      <w:pPr>
        <w:pStyle w:val="ListParagraph"/>
        <w:rPr>
          <w:rFonts w:asciiTheme="minorHAnsi" w:hAnsiTheme="minorHAnsi" w:cstheme="minorHAnsi"/>
          <w:i/>
          <w:iCs/>
        </w:rPr>
      </w:pPr>
    </w:p>
    <w:p w:rsidRPr="00CF3E94" w:rsidR="006F4819" w:rsidP="006F4819" w:rsidRDefault="006F4819" w14:paraId="1D143F34" w14:textId="77777777">
      <w:pPr>
        <w:pStyle w:val="ListParagraph"/>
        <w:numPr>
          <w:ilvl w:val="0"/>
          <w:numId w:val="7"/>
        </w:numPr>
        <w:rPr>
          <w:rFonts w:asciiTheme="minorHAnsi" w:hAnsiTheme="minorHAnsi" w:cstheme="minorHAnsi"/>
          <w:b/>
          <w:bCs/>
        </w:rPr>
      </w:pPr>
      <w:r w:rsidRPr="00CF3E94">
        <w:rPr>
          <w:rFonts w:asciiTheme="minorHAnsi" w:hAnsiTheme="minorHAnsi" w:cstheme="minorHAnsi"/>
          <w:b/>
          <w:bCs/>
        </w:rPr>
        <w:t xml:space="preserve">Revenue Description. </w:t>
      </w:r>
    </w:p>
    <w:p w:rsidRPr="00CF3E94" w:rsidR="006F4819" w:rsidP="006F4819" w:rsidRDefault="006F4819" w14:paraId="2CC95C7F" w14:textId="77777777">
      <w:pPr>
        <w:pStyle w:val="ListParagraph"/>
        <w:rPr>
          <w:rFonts w:asciiTheme="minorHAnsi" w:hAnsiTheme="minorHAnsi" w:cstheme="minorHAnsi"/>
        </w:rPr>
      </w:pPr>
    </w:p>
    <w:p w:rsidRPr="00CF3E94" w:rsidR="006F4819" w:rsidP="006F4819" w:rsidRDefault="006F4819" w14:paraId="43EE4D3A" w14:textId="55A07FDF">
      <w:pPr>
        <w:pStyle w:val="ListParagraph"/>
        <w:rPr>
          <w:rFonts w:asciiTheme="minorHAnsi" w:hAnsiTheme="minorHAnsi" w:cstheme="minorHAnsi"/>
        </w:rPr>
      </w:pPr>
      <w:r w:rsidRPr="00CF3E94">
        <w:rPr>
          <w:rFonts w:asciiTheme="minorHAnsi" w:hAnsiTheme="minorHAnsi" w:cstheme="minorHAnsi"/>
        </w:rPr>
        <w:t>This section should include a detailed description of the funding sources identified in the Budget Summary that are committed to the NIST MEP cooperative agreement. The description should highlight whether non-federal cost share or in-kind funds are tied to a specific program or activity required by outside funding entities. Sufficient detail must be provided so that the CRMT can make a preliminary determination on the allowability, allocability, reasonableness, and necessity of the proposed revenue sources. Significant changes to revenue sources from the prior year should be explained. All program income must be reported and reinvested into the cooperative agreement. The Center must describe how the program income will be accounted for via committed cost share, additive, deductive, or a combination thereof.</w:t>
      </w:r>
    </w:p>
    <w:p w:rsidRPr="00CF3E94" w:rsidR="006F4819" w:rsidP="006F4819" w:rsidRDefault="006F4819" w14:paraId="281582CA" w14:textId="77777777">
      <w:pPr>
        <w:pStyle w:val="ListParagraph"/>
        <w:numPr>
          <w:ilvl w:val="1"/>
          <w:numId w:val="7"/>
        </w:numPr>
        <w:rPr>
          <w:rFonts w:asciiTheme="minorHAnsi" w:hAnsiTheme="minorHAnsi" w:cstheme="minorHAnsi"/>
        </w:rPr>
      </w:pPr>
      <w:r w:rsidRPr="00CF3E94">
        <w:rPr>
          <w:rFonts w:asciiTheme="minorHAnsi" w:hAnsiTheme="minorHAnsi" w:cstheme="minorHAnsi"/>
          <w:i/>
          <w:iCs/>
        </w:rPr>
        <w:t>Unexpended Federal Funds (UFF).</w:t>
      </w:r>
      <w:r w:rsidRPr="00CF3E94">
        <w:rPr>
          <w:rFonts w:asciiTheme="minorHAnsi" w:hAnsiTheme="minorHAnsi" w:cstheme="minorHAnsi"/>
        </w:rPr>
        <w:t xml:space="preserve"> Unexpended federal funds may be requested to carry forward into the proposed budget period. The Center must identify if the funds will be used to increase the current federal authorization (above base) or decrease the current federal authorization (toward base), also known as an offset. A detailed justification must be provided to explain why the federal funds were not previously expended, how the funding will be utilized in the budget period, and if there is any change in scope.</w:t>
      </w:r>
    </w:p>
    <w:p w:rsidRPr="00CF3E94" w:rsidR="006F4819" w:rsidP="006F4819" w:rsidRDefault="006F4819" w14:paraId="5C473541" w14:textId="77777777">
      <w:pPr>
        <w:pStyle w:val="ListParagraph"/>
        <w:numPr>
          <w:ilvl w:val="1"/>
          <w:numId w:val="7"/>
        </w:numPr>
        <w:rPr>
          <w:rFonts w:asciiTheme="minorHAnsi" w:hAnsiTheme="minorHAnsi" w:cstheme="minorHAnsi"/>
        </w:rPr>
      </w:pPr>
      <w:r w:rsidRPr="00CF3E94">
        <w:rPr>
          <w:rFonts w:asciiTheme="minorHAnsi" w:hAnsiTheme="minorHAnsi" w:cstheme="minorHAnsi"/>
          <w:i/>
          <w:iCs/>
        </w:rPr>
        <w:t>Unexpended Program Income (UPI).</w:t>
      </w:r>
      <w:r w:rsidRPr="00CF3E94">
        <w:rPr>
          <w:rFonts w:asciiTheme="minorHAnsi" w:hAnsiTheme="minorHAnsi" w:cstheme="minorHAnsi"/>
        </w:rPr>
        <w:t xml:space="preserve"> Unexpended program income may be requested to carry forward into the proposed budget period. The Center must identify if the funds will be used for committed cost share or additive program income. A detailed justification must be provided to explain why the program income was not previously expended, how the funding will be utilized in the proposed budget period, and if there is any change in scope. Typically, the carry forward threshold is limited to up to 50% of the budget period’s total federal funds. Any request above the limit will be reviewed on a case-by-case basis.</w:t>
      </w:r>
    </w:p>
    <w:p w:rsidRPr="00CF3E94" w:rsidR="006F4819" w:rsidP="006F4819" w:rsidRDefault="006F4819" w14:paraId="32D2EF75" w14:textId="77777777">
      <w:pPr>
        <w:pStyle w:val="ListParagraph"/>
        <w:ind w:left="1440"/>
        <w:rPr>
          <w:rFonts w:asciiTheme="minorHAnsi" w:hAnsiTheme="minorHAnsi" w:cstheme="minorHAnsi"/>
        </w:rPr>
      </w:pPr>
    </w:p>
    <w:p w:rsidRPr="001A4D4A" w:rsidR="006F4819" w:rsidP="006F4819" w:rsidRDefault="006F4819" w14:paraId="6139241C" w14:textId="77777777">
      <w:pPr>
        <w:pStyle w:val="ListParagraph"/>
        <w:numPr>
          <w:ilvl w:val="0"/>
          <w:numId w:val="7"/>
        </w:numPr>
        <w:rPr>
          <w:rFonts w:asciiTheme="minorHAnsi" w:hAnsiTheme="minorHAnsi" w:cstheme="minorHAnsi"/>
          <w:i/>
          <w:iCs/>
        </w:rPr>
      </w:pPr>
      <w:r w:rsidRPr="00CF3E94">
        <w:rPr>
          <w:rFonts w:asciiTheme="minorHAnsi" w:hAnsiTheme="minorHAnsi" w:cstheme="minorHAnsi"/>
          <w:b/>
          <w:bCs/>
        </w:rPr>
        <w:t>Expense Narrative</w:t>
      </w:r>
      <w:r w:rsidRPr="00CF3E94">
        <w:rPr>
          <w:rFonts w:asciiTheme="minorHAnsi" w:hAnsiTheme="minorHAnsi" w:cstheme="minorHAnsi"/>
          <w:i/>
          <w:iCs/>
        </w:rPr>
        <w:t xml:space="preserve">. </w:t>
      </w:r>
      <w:r w:rsidRPr="00CF3E94">
        <w:rPr>
          <w:rFonts w:asciiTheme="minorHAnsi" w:hAnsiTheme="minorHAnsi" w:cstheme="minorHAnsi"/>
        </w:rPr>
        <w:t>This section must include the funding request itemized between the specific cost categories. Additionally, each line item must delineate between the funding source of federal cost share, non-federal cost share, and/or non-federal in-kind.</w:t>
      </w:r>
      <w:r w:rsidRPr="00CF3E94">
        <w:rPr>
          <w:rFonts w:asciiTheme="minorHAnsi" w:hAnsiTheme="minorHAnsi" w:cstheme="minorHAnsi"/>
          <w:i/>
          <w:iCs/>
        </w:rPr>
        <w:t xml:space="preserve"> </w:t>
      </w:r>
      <w:r w:rsidRPr="00CF3E94">
        <w:rPr>
          <w:rFonts w:asciiTheme="minorHAnsi" w:hAnsiTheme="minorHAnsi" w:cstheme="minorHAnsi"/>
        </w:rPr>
        <w:t xml:space="preserve">The Center must also include a justification for each item by unit or grouping, and disclose the methodology used for the request. Subrecipient proposed costs should be allocated </w:t>
      </w:r>
      <w:r w:rsidRPr="001A4D4A">
        <w:rPr>
          <w:rFonts w:asciiTheme="minorHAnsi" w:hAnsiTheme="minorHAnsi" w:cstheme="minorHAnsi"/>
        </w:rPr>
        <w:t xml:space="preserve">in the Other cost category. </w:t>
      </w:r>
    </w:p>
    <w:p w:rsidRPr="001A4D4A" w:rsidR="006F4819" w:rsidP="006F4819" w:rsidRDefault="006F4819" w14:paraId="682B2062" w14:textId="77777777">
      <w:pPr>
        <w:pStyle w:val="ListParagraph"/>
        <w:rPr>
          <w:rFonts w:asciiTheme="minorHAnsi" w:hAnsiTheme="minorHAnsi" w:cstheme="minorHAnsi"/>
          <w:i/>
          <w:iCs/>
        </w:rPr>
      </w:pPr>
    </w:p>
    <w:p w:rsidRPr="001A4D4A" w:rsidR="001A4D4A" w:rsidP="001A4D4A" w:rsidRDefault="006F4819" w14:paraId="24C0191E" w14:textId="0FC77597">
      <w:pPr>
        <w:spacing w:after="0" w:line="240" w:lineRule="auto"/>
        <w:rPr>
          <w:rFonts w:cstheme="minorHAnsi"/>
        </w:rPr>
      </w:pPr>
      <w:r w:rsidRPr="001A4D4A">
        <w:rPr>
          <w:rFonts w:cstheme="minorHAnsi"/>
          <w:b/>
          <w:bCs/>
        </w:rPr>
        <w:t>Subrecipient and Third-Party Contribution (Subrecipient-TPC) Table.</w:t>
      </w:r>
      <w:r w:rsidRPr="001A4D4A">
        <w:rPr>
          <w:rFonts w:cstheme="minorHAnsi"/>
          <w:i/>
          <w:iCs/>
        </w:rPr>
        <w:t xml:space="preserve"> </w:t>
      </w:r>
      <w:r w:rsidRPr="001A4D4A" w:rsidR="001A4D4A">
        <w:rPr>
          <w:rFonts w:cstheme="minorHAnsi"/>
        </w:rPr>
        <w:t xml:space="preserve">The summary table lists all </w:t>
      </w:r>
      <w:r w:rsidR="001A4D4A">
        <w:rPr>
          <w:rFonts w:cstheme="minorHAnsi"/>
        </w:rPr>
        <w:t>subrecipient</w:t>
      </w:r>
      <w:r w:rsidRPr="001A4D4A" w:rsidR="001A4D4A">
        <w:rPr>
          <w:rFonts w:cstheme="minorHAnsi"/>
        </w:rPr>
        <w:t xml:space="preserve"> and third</w:t>
      </w:r>
      <w:r w:rsidR="001A4D4A">
        <w:rPr>
          <w:rFonts w:cstheme="minorHAnsi"/>
        </w:rPr>
        <w:t>-</w:t>
      </w:r>
      <w:r w:rsidRPr="001A4D4A" w:rsidR="001A4D4A">
        <w:rPr>
          <w:rFonts w:cstheme="minorHAnsi"/>
        </w:rPr>
        <w:t xml:space="preserve">party contributions planned for each </w:t>
      </w:r>
      <w:r w:rsidR="001A4D4A">
        <w:rPr>
          <w:rFonts w:cstheme="minorHAnsi"/>
        </w:rPr>
        <w:t>budget</w:t>
      </w:r>
      <w:r w:rsidRPr="001A4D4A" w:rsidR="001A4D4A">
        <w:rPr>
          <w:rFonts w:cstheme="minorHAnsi"/>
        </w:rPr>
        <w:t xml:space="preserve"> year, regardless of the dollar amount. Dollar amounts listed in the Subrecipient</w:t>
      </w:r>
      <w:r w:rsidR="001A4D4A">
        <w:rPr>
          <w:rFonts w:cstheme="minorHAnsi"/>
        </w:rPr>
        <w:t xml:space="preserve"> and </w:t>
      </w:r>
      <w:r w:rsidRPr="001A4D4A" w:rsidR="001A4D4A">
        <w:rPr>
          <w:rFonts w:cstheme="minorHAnsi"/>
        </w:rPr>
        <w:t>Third</w:t>
      </w:r>
      <w:r w:rsidR="001A4D4A">
        <w:rPr>
          <w:rFonts w:cstheme="minorHAnsi"/>
        </w:rPr>
        <w:t>-</w:t>
      </w:r>
      <w:r w:rsidRPr="001A4D4A" w:rsidR="001A4D4A">
        <w:rPr>
          <w:rFonts w:cstheme="minorHAnsi"/>
        </w:rPr>
        <w:t>Party Contributions Table</w:t>
      </w:r>
      <w:r w:rsidRPr="001A4D4A" w:rsidDel="00FE101D" w:rsidR="001A4D4A">
        <w:rPr>
          <w:rFonts w:cstheme="minorHAnsi"/>
        </w:rPr>
        <w:t xml:space="preserve"> </w:t>
      </w:r>
      <w:r w:rsidRPr="001A4D4A" w:rsidR="001A4D4A">
        <w:rPr>
          <w:rFonts w:cstheme="minorHAnsi"/>
        </w:rPr>
        <w:t xml:space="preserve">must directly correspond to the “Expense” section of the budget and must be described in the budget narrative. Amounts must also match those listed in the </w:t>
      </w:r>
      <w:r w:rsidRPr="001A4D4A" w:rsidR="001A4D4A">
        <w:rPr>
          <w:rFonts w:cstheme="minorHAnsi"/>
        </w:rPr>
        <w:lastRenderedPageBreak/>
        <w:t xml:space="preserve">actual </w:t>
      </w:r>
      <w:r w:rsidR="001A4D4A">
        <w:rPr>
          <w:rFonts w:cstheme="minorHAnsi"/>
        </w:rPr>
        <w:t>s</w:t>
      </w:r>
      <w:r w:rsidRPr="001A4D4A" w:rsidR="001A4D4A">
        <w:rPr>
          <w:rFonts w:cstheme="minorHAnsi"/>
        </w:rPr>
        <w:t xml:space="preserve">ubrecipient and </w:t>
      </w:r>
      <w:r w:rsidR="001A4D4A">
        <w:rPr>
          <w:rFonts w:cstheme="minorHAnsi"/>
        </w:rPr>
        <w:t>t</w:t>
      </w:r>
      <w:r w:rsidRPr="001A4D4A" w:rsidR="001A4D4A">
        <w:rPr>
          <w:rFonts w:cstheme="minorHAnsi"/>
        </w:rPr>
        <w:t>hird-</w:t>
      </w:r>
      <w:r w:rsidR="001A4D4A">
        <w:rPr>
          <w:rFonts w:cstheme="minorHAnsi"/>
        </w:rPr>
        <w:t>p</w:t>
      </w:r>
      <w:r w:rsidRPr="001A4D4A" w:rsidR="001A4D4A">
        <w:rPr>
          <w:rFonts w:cstheme="minorHAnsi"/>
        </w:rPr>
        <w:t>arty</w:t>
      </w:r>
      <w:r w:rsidR="001A4D4A">
        <w:rPr>
          <w:rFonts w:cstheme="minorHAnsi"/>
        </w:rPr>
        <w:t xml:space="preserve"> c</w:t>
      </w:r>
      <w:r w:rsidRPr="001A4D4A" w:rsidR="001A4D4A">
        <w:rPr>
          <w:rFonts w:cstheme="minorHAnsi"/>
        </w:rPr>
        <w:t xml:space="preserve">ontributor agreements. Please note: </w:t>
      </w:r>
      <w:r w:rsidR="001A4D4A">
        <w:rPr>
          <w:rFonts w:cstheme="minorHAnsi"/>
        </w:rPr>
        <w:t>a</w:t>
      </w:r>
      <w:r w:rsidRPr="001A4D4A" w:rsidR="001A4D4A">
        <w:rPr>
          <w:rFonts w:cstheme="minorHAnsi"/>
        </w:rPr>
        <w:t xml:space="preserve">ny addition of proposed </w:t>
      </w:r>
      <w:r w:rsidR="001A4D4A">
        <w:rPr>
          <w:rFonts w:cstheme="minorHAnsi"/>
        </w:rPr>
        <w:t>subrecipient</w:t>
      </w:r>
      <w:r w:rsidRPr="001A4D4A" w:rsidR="001A4D4A">
        <w:rPr>
          <w:rFonts w:cstheme="minorHAnsi"/>
        </w:rPr>
        <w:t xml:space="preserve"> and third-party contributors, regardless of the dollar amount, require prior approval.</w:t>
      </w:r>
    </w:p>
    <w:p w:rsidRPr="001A4D4A" w:rsidR="001A4D4A" w:rsidP="001A4D4A" w:rsidRDefault="001A4D4A" w14:paraId="789064AC" w14:textId="77777777">
      <w:pPr>
        <w:spacing w:after="0" w:line="240" w:lineRule="auto"/>
        <w:rPr>
          <w:rFonts w:cstheme="minorHAnsi"/>
        </w:rPr>
      </w:pPr>
    </w:p>
    <w:p w:rsidRPr="001A4D4A" w:rsidR="001A4D4A" w:rsidP="001A4D4A" w:rsidRDefault="001A4D4A" w14:paraId="567303FB" w14:textId="46227FA5">
      <w:pPr>
        <w:spacing w:after="0" w:line="240" w:lineRule="auto"/>
        <w:rPr>
          <w:rFonts w:cstheme="minorHAnsi"/>
        </w:rPr>
      </w:pPr>
      <w:r w:rsidRPr="001A4D4A">
        <w:rPr>
          <w:rFonts w:cstheme="minorHAnsi"/>
        </w:rPr>
        <w:t>Centers should not include vendor contracts in this table. Contracts and vendor agreements are captured in the “Expenses” section of the budget narrative under “Contractual</w:t>
      </w:r>
      <w:r>
        <w:rPr>
          <w:rFonts w:cstheme="minorHAnsi"/>
        </w:rPr>
        <w:t xml:space="preserve">.” </w:t>
      </w:r>
      <w:r w:rsidRPr="001A4D4A">
        <w:rPr>
          <w:rFonts w:cstheme="minorHAnsi"/>
        </w:rPr>
        <w:t>As a reminder, please note the differences between subawards, contracts, and vendors:</w:t>
      </w:r>
    </w:p>
    <w:p w:rsidRPr="001A4D4A" w:rsidR="001A4D4A" w:rsidP="001A4D4A" w:rsidRDefault="001A4D4A" w14:paraId="156CAACC" w14:textId="77777777">
      <w:pPr>
        <w:spacing w:after="0" w:line="240" w:lineRule="auto"/>
        <w:rPr>
          <w:rFonts w:cstheme="minorHAnsi"/>
        </w:rPr>
      </w:pPr>
    </w:p>
    <w:p w:rsidRPr="001A4D4A" w:rsidR="001A4D4A" w:rsidP="001A4D4A" w:rsidRDefault="001A4D4A" w14:paraId="04E11C32" w14:textId="77777777">
      <w:pPr>
        <w:pStyle w:val="ListParagraph"/>
        <w:numPr>
          <w:ilvl w:val="0"/>
          <w:numId w:val="6"/>
        </w:numPr>
        <w:ind w:left="720"/>
        <w:rPr>
          <w:rFonts w:asciiTheme="minorHAnsi" w:hAnsiTheme="minorHAnsi" w:cstheme="minorHAnsi"/>
        </w:rPr>
      </w:pPr>
      <w:r w:rsidRPr="001A4D4A">
        <w:rPr>
          <w:rFonts w:asciiTheme="minorHAnsi" w:hAnsiTheme="minorHAnsi" w:cstheme="minorHAnsi"/>
          <w:b/>
        </w:rPr>
        <w:t>Subaward</w:t>
      </w:r>
      <w:r w:rsidRPr="001A4D4A">
        <w:rPr>
          <w:rFonts w:asciiTheme="minorHAnsi" w:hAnsiTheme="minorHAnsi" w:cstheme="minorHAnsi"/>
        </w:rPr>
        <w:t xml:space="preserve"> means an award provided by a pass-through entity to a subrecipient for the subrecipient to carry out part of a Federal award, including a portion of the scope of work or objectives. It does not include payments to a contractor or payments to an individual that is a beneficiary of a Federal program. </w:t>
      </w:r>
    </w:p>
    <w:p w:rsidRPr="001A4D4A" w:rsidR="001A4D4A" w:rsidP="001A4D4A" w:rsidRDefault="001A4D4A" w14:paraId="4B035399" w14:textId="77777777">
      <w:pPr>
        <w:pStyle w:val="ListParagraph"/>
        <w:numPr>
          <w:ilvl w:val="0"/>
          <w:numId w:val="6"/>
        </w:numPr>
        <w:ind w:left="720"/>
        <w:rPr>
          <w:rFonts w:asciiTheme="minorHAnsi" w:hAnsiTheme="minorHAnsi" w:cstheme="minorHAnsi"/>
        </w:rPr>
      </w:pPr>
      <w:r w:rsidRPr="001A4D4A">
        <w:rPr>
          <w:rFonts w:asciiTheme="minorHAnsi" w:hAnsiTheme="minorHAnsi" w:cstheme="minorHAnsi"/>
          <w:b/>
        </w:rPr>
        <w:t>Contract</w:t>
      </w:r>
      <w:r w:rsidRPr="001A4D4A">
        <w:rPr>
          <w:rFonts w:asciiTheme="minorHAnsi" w:hAnsiTheme="minorHAnsi" w:cstheme="minorHAnsi"/>
        </w:rPr>
        <w:t xml:space="preserve"> means a legal instrument by which a non-Federal entity purchases property or services needed to carry out the project or program under a Federal award. </w:t>
      </w:r>
    </w:p>
    <w:p w:rsidRPr="001A4D4A" w:rsidR="006F4819" w:rsidP="001A4D4A" w:rsidRDefault="001A4D4A" w14:paraId="5986441D" w14:textId="487E4725">
      <w:pPr>
        <w:pStyle w:val="ListParagraph"/>
        <w:numPr>
          <w:ilvl w:val="0"/>
          <w:numId w:val="6"/>
        </w:numPr>
        <w:ind w:left="720"/>
        <w:rPr>
          <w:rFonts w:asciiTheme="minorHAnsi" w:hAnsiTheme="minorHAnsi" w:cstheme="minorHAnsi"/>
        </w:rPr>
      </w:pPr>
      <w:r w:rsidRPr="001A4D4A">
        <w:rPr>
          <w:rFonts w:asciiTheme="minorHAnsi" w:hAnsiTheme="minorHAnsi" w:cstheme="minorHAnsi"/>
          <w:b/>
        </w:rPr>
        <w:t>Vendor</w:t>
      </w:r>
      <w:r w:rsidRPr="001A4D4A">
        <w:rPr>
          <w:rFonts w:asciiTheme="minorHAnsi" w:hAnsiTheme="minorHAnsi" w:cstheme="minorHAnsi"/>
        </w:rPr>
        <w:t xml:space="preserve"> is generally a dealer, distributor or other seller that provides, for example, supplies, expendable materials, or data processing services in support of the project activities.</w:t>
      </w:r>
    </w:p>
    <w:p w:rsidRPr="00CF3E94" w:rsidR="006F4819" w:rsidP="006F4819" w:rsidRDefault="006F4819" w14:paraId="0EEFF7B0" w14:textId="77777777">
      <w:pPr>
        <w:pStyle w:val="ListParagraph"/>
        <w:rPr>
          <w:rFonts w:asciiTheme="minorHAnsi" w:hAnsiTheme="minorHAnsi" w:cstheme="minorHAnsi"/>
          <w:i/>
          <w:iCs/>
        </w:rPr>
      </w:pPr>
    </w:p>
    <w:p w:rsidRPr="00CF3E94" w:rsidR="006F4819" w:rsidP="006F4819" w:rsidRDefault="006F4819" w14:paraId="26FDC4AD" w14:textId="77777777">
      <w:pPr>
        <w:pStyle w:val="ListParagraph"/>
        <w:ind w:left="0"/>
        <w:rPr>
          <w:rFonts w:asciiTheme="minorHAnsi" w:hAnsiTheme="minorHAnsi" w:eastAsiaTheme="minorHAnsi" w:cstheme="minorHAnsi"/>
          <w:b/>
          <w:bCs/>
        </w:rPr>
      </w:pPr>
      <w:r w:rsidRPr="00CF3E94">
        <w:rPr>
          <w:rFonts w:asciiTheme="minorHAnsi" w:hAnsiTheme="minorHAnsi" w:eastAsiaTheme="minorHAnsi" w:cstheme="minorHAnsi"/>
          <w:b/>
          <w:bCs/>
        </w:rPr>
        <w:t xml:space="preserve">Award Budget Summary Table </w:t>
      </w:r>
    </w:p>
    <w:p w:rsidRPr="00CF3E94" w:rsidR="006F4819" w:rsidP="006F4819" w:rsidRDefault="006F4819" w14:paraId="706EDAFD" w14:textId="77777777">
      <w:pPr>
        <w:pStyle w:val="ListParagraph"/>
        <w:ind w:left="0"/>
        <w:rPr>
          <w:rFonts w:asciiTheme="minorHAnsi" w:hAnsiTheme="minorHAnsi" w:eastAsiaTheme="minorHAnsi" w:cstheme="minorHAnsi"/>
          <w:b/>
          <w:bCs/>
        </w:rPr>
      </w:pPr>
    </w:p>
    <w:p w:rsidRPr="00C14AA4" w:rsidR="001A4D4A" w:rsidP="001A4D4A" w:rsidRDefault="001A4D4A" w14:paraId="20F2F70A" w14:textId="77777777">
      <w:pPr>
        <w:pStyle w:val="ListParagraph"/>
        <w:ind w:left="0"/>
        <w:rPr>
          <w:rFonts w:asciiTheme="minorHAnsi" w:hAnsiTheme="minorHAnsi" w:cstheme="minorHAnsi"/>
        </w:rPr>
      </w:pPr>
      <w:r>
        <w:rPr>
          <w:rFonts w:asciiTheme="minorHAnsi" w:hAnsiTheme="minorHAnsi" w:cstheme="minorHAnsi"/>
        </w:rPr>
        <w:t>Each Award</w:t>
      </w:r>
      <w:r w:rsidRPr="00167EE8">
        <w:rPr>
          <w:rFonts w:asciiTheme="minorHAnsi" w:hAnsiTheme="minorHAnsi" w:cstheme="minorHAnsi"/>
        </w:rPr>
        <w:t xml:space="preserve"> Budget Summary </w:t>
      </w:r>
      <w:r>
        <w:rPr>
          <w:rFonts w:asciiTheme="minorHAnsi" w:hAnsiTheme="minorHAnsi" w:cstheme="minorHAnsi"/>
        </w:rPr>
        <w:t>Table</w:t>
      </w:r>
      <w:r w:rsidRPr="00167EE8">
        <w:rPr>
          <w:rFonts w:asciiTheme="minorHAnsi" w:hAnsiTheme="minorHAnsi" w:cstheme="minorHAnsi"/>
        </w:rPr>
        <w:t xml:space="preserve"> includes the</w:t>
      </w:r>
      <w:r>
        <w:rPr>
          <w:rFonts w:asciiTheme="minorHAnsi" w:hAnsiTheme="minorHAnsi" w:cstheme="minorHAnsi"/>
        </w:rPr>
        <w:t xml:space="preserve"> following:</w:t>
      </w:r>
      <w:r w:rsidRPr="00167EE8">
        <w:rPr>
          <w:rFonts w:asciiTheme="minorHAnsi" w:hAnsiTheme="minorHAnsi" w:cstheme="minorHAnsi"/>
        </w:rPr>
        <w:t xml:space="preserve"> </w:t>
      </w:r>
    </w:p>
    <w:p w:rsidRPr="00C14AA4" w:rsidR="001A4D4A" w:rsidP="001A4D4A" w:rsidRDefault="001A4D4A" w14:paraId="23FC0B1C" w14:textId="77777777">
      <w:pPr>
        <w:pStyle w:val="ListParagraph"/>
        <w:numPr>
          <w:ilvl w:val="0"/>
          <w:numId w:val="9"/>
        </w:numPr>
        <w:ind w:left="720"/>
        <w:rPr>
          <w:rFonts w:asciiTheme="minorHAnsi" w:hAnsiTheme="minorHAnsi" w:cstheme="minorHAnsi"/>
          <w:i/>
          <w:iCs/>
        </w:rPr>
      </w:pPr>
      <w:r>
        <w:rPr>
          <w:rFonts w:asciiTheme="minorHAnsi" w:hAnsiTheme="minorHAnsi" w:cstheme="minorHAnsi"/>
        </w:rPr>
        <w:t xml:space="preserve">Proposed operating budgets for 5 years </w:t>
      </w:r>
      <w:r w:rsidRPr="00C14AA4">
        <w:rPr>
          <w:rFonts w:asciiTheme="minorHAnsi" w:hAnsiTheme="minorHAnsi" w:cstheme="minorHAnsi"/>
        </w:rPr>
        <w:t>and cumulative award totals.</w:t>
      </w:r>
    </w:p>
    <w:p w:rsidRPr="00C14AA4" w:rsidR="001A4D4A" w:rsidP="001A4D4A" w:rsidRDefault="001A4D4A" w14:paraId="1742E7CC" w14:textId="2D0B22A2">
      <w:pPr>
        <w:pStyle w:val="ListParagraph"/>
        <w:numPr>
          <w:ilvl w:val="1"/>
          <w:numId w:val="9"/>
        </w:numPr>
        <w:ind w:left="1440"/>
        <w:rPr>
          <w:rFonts w:asciiTheme="minorHAnsi" w:hAnsiTheme="minorHAnsi" w:cstheme="minorHAnsi"/>
        </w:rPr>
      </w:pPr>
      <w:r w:rsidRPr="00C14AA4">
        <w:rPr>
          <w:rFonts w:asciiTheme="minorHAnsi" w:hAnsiTheme="minorHAnsi" w:cstheme="minorHAnsi"/>
        </w:rPr>
        <w:t xml:space="preserve">All amounts in the </w:t>
      </w:r>
      <w:r w:rsidR="003D5991">
        <w:rPr>
          <w:rFonts w:asciiTheme="minorHAnsi" w:hAnsiTheme="minorHAnsi" w:cstheme="minorHAnsi"/>
        </w:rPr>
        <w:t xml:space="preserve">Award </w:t>
      </w:r>
      <w:r>
        <w:rPr>
          <w:rFonts w:asciiTheme="minorHAnsi" w:hAnsiTheme="minorHAnsi" w:cstheme="minorHAnsi"/>
        </w:rPr>
        <w:t xml:space="preserve">Budget </w:t>
      </w:r>
      <w:r w:rsidR="003D5991">
        <w:rPr>
          <w:rFonts w:asciiTheme="minorHAnsi" w:hAnsiTheme="minorHAnsi" w:cstheme="minorHAnsi"/>
        </w:rPr>
        <w:t>S</w:t>
      </w:r>
      <w:r w:rsidRPr="00C14AA4">
        <w:rPr>
          <w:rFonts w:asciiTheme="minorHAnsi" w:hAnsiTheme="minorHAnsi" w:cstheme="minorHAnsi"/>
        </w:rPr>
        <w:t xml:space="preserve">ummary </w:t>
      </w:r>
      <w:r w:rsidR="003D5991">
        <w:rPr>
          <w:rFonts w:asciiTheme="minorHAnsi" w:hAnsiTheme="minorHAnsi" w:cstheme="minorHAnsi"/>
        </w:rPr>
        <w:t>T</w:t>
      </w:r>
      <w:r>
        <w:rPr>
          <w:rFonts w:asciiTheme="minorHAnsi" w:hAnsiTheme="minorHAnsi" w:cstheme="minorHAnsi"/>
        </w:rPr>
        <w:t xml:space="preserve">able must </w:t>
      </w:r>
      <w:r w:rsidRPr="00C14AA4">
        <w:rPr>
          <w:rFonts w:asciiTheme="minorHAnsi" w:hAnsiTheme="minorHAnsi" w:cstheme="minorHAnsi"/>
        </w:rPr>
        <w:t xml:space="preserve">correspond </w:t>
      </w:r>
      <w:r>
        <w:rPr>
          <w:rFonts w:asciiTheme="minorHAnsi" w:hAnsiTheme="minorHAnsi" w:cstheme="minorHAnsi"/>
        </w:rPr>
        <w:t>with</w:t>
      </w:r>
      <w:r w:rsidRPr="00C14AA4">
        <w:rPr>
          <w:rFonts w:asciiTheme="minorHAnsi" w:hAnsiTheme="minorHAnsi" w:cstheme="minorHAnsi"/>
        </w:rPr>
        <w:t xml:space="preserve"> the amounts in the Single</w:t>
      </w:r>
      <w:r w:rsidR="003D5991">
        <w:rPr>
          <w:rFonts w:asciiTheme="minorHAnsi" w:hAnsiTheme="minorHAnsi" w:cstheme="minorHAnsi"/>
        </w:rPr>
        <w:t>-</w:t>
      </w:r>
      <w:r w:rsidRPr="00C14AA4">
        <w:rPr>
          <w:rFonts w:asciiTheme="minorHAnsi" w:hAnsiTheme="minorHAnsi" w:cstheme="minorHAnsi"/>
        </w:rPr>
        <w:t>Year Budget Workbook.</w:t>
      </w:r>
    </w:p>
    <w:p w:rsidRPr="00903873" w:rsidR="001A4D4A" w:rsidP="001A4D4A" w:rsidRDefault="001A4D4A" w14:paraId="7CC3408B" w14:textId="77777777">
      <w:pPr>
        <w:pStyle w:val="ListParagraph"/>
        <w:numPr>
          <w:ilvl w:val="1"/>
          <w:numId w:val="9"/>
        </w:numPr>
        <w:ind w:left="1440"/>
        <w:rPr>
          <w:rFonts w:asciiTheme="minorHAnsi" w:hAnsiTheme="minorHAnsi" w:cstheme="minorHAnsi"/>
        </w:rPr>
      </w:pPr>
      <w:r w:rsidRPr="00DD5E14">
        <w:rPr>
          <w:rFonts w:asciiTheme="minorHAnsi" w:hAnsiTheme="minorHAnsi" w:cstheme="minorHAnsi"/>
        </w:rPr>
        <w:t>All funding amounts for future years are consistent with the eligibility level.</w:t>
      </w:r>
    </w:p>
    <w:p w:rsidRPr="001A4D4A" w:rsidR="005620D5" w:rsidP="00776379" w:rsidRDefault="001A4D4A" w14:paraId="2F730A3A" w14:textId="33A0B2C2">
      <w:pPr>
        <w:pStyle w:val="ListParagraph"/>
        <w:numPr>
          <w:ilvl w:val="1"/>
          <w:numId w:val="9"/>
        </w:numPr>
        <w:ind w:left="1440"/>
        <w:rPr>
          <w:rFonts w:cstheme="minorHAnsi"/>
          <w:b/>
          <w:bCs/>
          <w:sz w:val="24"/>
          <w:szCs w:val="24"/>
        </w:rPr>
      </w:pPr>
      <w:r w:rsidRPr="00DD5E14">
        <w:rPr>
          <w:rFonts w:cstheme="minorHAnsi"/>
        </w:rPr>
        <w:t>Carry</w:t>
      </w:r>
      <w:r w:rsidRPr="00DD5E14">
        <w:rPr>
          <w:rFonts w:asciiTheme="minorHAnsi" w:hAnsiTheme="minorHAnsi" w:cstheme="minorHAnsi"/>
        </w:rPr>
        <w:t xml:space="preserve"> forward of UFF </w:t>
      </w:r>
      <w:r>
        <w:rPr>
          <w:rFonts w:asciiTheme="minorHAnsi" w:hAnsiTheme="minorHAnsi" w:cstheme="minorHAnsi"/>
        </w:rPr>
        <w:t xml:space="preserve">(Above or Toward Base) </w:t>
      </w:r>
      <w:r w:rsidRPr="00DD5E14">
        <w:rPr>
          <w:rFonts w:asciiTheme="minorHAnsi" w:hAnsiTheme="minorHAnsi" w:cstheme="minorHAnsi"/>
        </w:rPr>
        <w:t xml:space="preserve">or UPI to future </w:t>
      </w:r>
      <w:r w:rsidRPr="00DD5E14">
        <w:rPr>
          <w:rFonts w:cstheme="minorHAnsi"/>
        </w:rPr>
        <w:t xml:space="preserve">budget period requires prior approval. </w:t>
      </w:r>
    </w:p>
    <w:p w:rsidRPr="001A4D4A" w:rsidR="001A4D4A" w:rsidP="001A4D4A" w:rsidRDefault="001A4D4A" w14:paraId="36F69BA3" w14:textId="77777777">
      <w:pPr>
        <w:pStyle w:val="ListParagraph"/>
        <w:ind w:left="1440"/>
        <w:rPr>
          <w:rFonts w:cstheme="minorHAnsi"/>
          <w:b/>
          <w:bCs/>
          <w:sz w:val="24"/>
          <w:szCs w:val="24"/>
        </w:rPr>
      </w:pPr>
    </w:p>
    <w:p w:rsidR="003D5991" w:rsidP="00776379" w:rsidRDefault="003D5991" w14:paraId="628E01EE" w14:textId="77777777">
      <w:pPr>
        <w:rPr>
          <w:rFonts w:cstheme="minorHAnsi"/>
          <w:b/>
          <w:bCs/>
          <w:sz w:val="24"/>
          <w:szCs w:val="24"/>
        </w:rPr>
      </w:pPr>
    </w:p>
    <w:p w:rsidR="003D5991" w:rsidP="00776379" w:rsidRDefault="003D5991" w14:paraId="28D95E22" w14:textId="77777777">
      <w:pPr>
        <w:rPr>
          <w:rFonts w:cstheme="minorHAnsi"/>
          <w:b/>
          <w:bCs/>
          <w:sz w:val="24"/>
          <w:szCs w:val="24"/>
        </w:rPr>
      </w:pPr>
    </w:p>
    <w:p w:rsidR="003D5991" w:rsidP="00776379" w:rsidRDefault="003D5991" w14:paraId="4967E38B" w14:textId="77777777">
      <w:pPr>
        <w:rPr>
          <w:rFonts w:cstheme="minorHAnsi"/>
          <w:b/>
          <w:bCs/>
          <w:sz w:val="24"/>
          <w:szCs w:val="24"/>
        </w:rPr>
      </w:pPr>
    </w:p>
    <w:p w:rsidR="003D5991" w:rsidP="00776379" w:rsidRDefault="003D5991" w14:paraId="26A2F951" w14:textId="77777777">
      <w:pPr>
        <w:rPr>
          <w:rFonts w:cstheme="minorHAnsi"/>
          <w:b/>
          <w:bCs/>
          <w:sz w:val="24"/>
          <w:szCs w:val="24"/>
        </w:rPr>
      </w:pPr>
    </w:p>
    <w:p w:rsidR="003D5991" w:rsidP="00776379" w:rsidRDefault="003D5991" w14:paraId="125927DE" w14:textId="77777777">
      <w:pPr>
        <w:rPr>
          <w:rFonts w:cstheme="minorHAnsi"/>
          <w:b/>
          <w:bCs/>
          <w:sz w:val="24"/>
          <w:szCs w:val="24"/>
        </w:rPr>
      </w:pPr>
    </w:p>
    <w:p w:rsidR="003D5991" w:rsidP="00776379" w:rsidRDefault="003D5991" w14:paraId="22AF79A8" w14:textId="77777777">
      <w:pPr>
        <w:rPr>
          <w:rFonts w:cstheme="minorHAnsi"/>
          <w:b/>
          <w:bCs/>
          <w:sz w:val="24"/>
          <w:szCs w:val="24"/>
        </w:rPr>
      </w:pPr>
    </w:p>
    <w:p w:rsidR="003D5991" w:rsidP="00776379" w:rsidRDefault="003D5991" w14:paraId="2B2E8080" w14:textId="77777777">
      <w:pPr>
        <w:rPr>
          <w:rFonts w:cstheme="minorHAnsi"/>
          <w:b/>
          <w:bCs/>
          <w:sz w:val="24"/>
          <w:szCs w:val="24"/>
        </w:rPr>
      </w:pPr>
    </w:p>
    <w:p w:rsidR="003D5991" w:rsidP="00776379" w:rsidRDefault="003D5991" w14:paraId="6DC7DEA3" w14:textId="77777777">
      <w:pPr>
        <w:rPr>
          <w:rFonts w:cstheme="minorHAnsi"/>
          <w:b/>
          <w:bCs/>
          <w:sz w:val="24"/>
          <w:szCs w:val="24"/>
        </w:rPr>
      </w:pPr>
    </w:p>
    <w:p w:rsidR="003D5991" w:rsidP="00776379" w:rsidRDefault="003D5991" w14:paraId="64A91061" w14:textId="77777777">
      <w:pPr>
        <w:rPr>
          <w:rFonts w:cstheme="minorHAnsi"/>
          <w:b/>
          <w:bCs/>
          <w:sz w:val="24"/>
          <w:szCs w:val="24"/>
        </w:rPr>
      </w:pPr>
    </w:p>
    <w:p w:rsidR="003D5991" w:rsidP="00776379" w:rsidRDefault="003D5991" w14:paraId="4F02EF46" w14:textId="77777777">
      <w:pPr>
        <w:rPr>
          <w:rFonts w:cstheme="minorHAnsi"/>
          <w:b/>
          <w:bCs/>
          <w:sz w:val="24"/>
          <w:szCs w:val="24"/>
        </w:rPr>
      </w:pPr>
    </w:p>
    <w:p w:rsidR="003D5991" w:rsidP="00776379" w:rsidRDefault="003D5991" w14:paraId="6D08D893" w14:textId="77777777">
      <w:pPr>
        <w:rPr>
          <w:rFonts w:cstheme="minorHAnsi"/>
          <w:b/>
          <w:bCs/>
          <w:sz w:val="24"/>
          <w:szCs w:val="24"/>
        </w:rPr>
      </w:pPr>
    </w:p>
    <w:p w:rsidR="003D5991" w:rsidP="00776379" w:rsidRDefault="003D5991" w14:paraId="72577166" w14:textId="77777777">
      <w:pPr>
        <w:rPr>
          <w:rFonts w:cstheme="minorHAnsi"/>
          <w:b/>
          <w:bCs/>
          <w:sz w:val="24"/>
          <w:szCs w:val="24"/>
        </w:rPr>
      </w:pPr>
    </w:p>
    <w:p w:rsidR="003D5991" w:rsidP="00776379" w:rsidRDefault="003D5991" w14:paraId="4A3C9FD3" w14:textId="77777777">
      <w:pPr>
        <w:rPr>
          <w:rFonts w:cstheme="minorHAnsi"/>
          <w:b/>
          <w:bCs/>
          <w:sz w:val="24"/>
          <w:szCs w:val="24"/>
        </w:rPr>
      </w:pPr>
    </w:p>
    <w:p w:rsidRPr="00CF3E94" w:rsidR="000A0626" w:rsidP="00776379" w:rsidRDefault="0071062B" w14:paraId="562E1F47" w14:textId="1FA64F4A">
      <w:pPr>
        <w:rPr>
          <w:rFonts w:cstheme="minorHAnsi"/>
          <w:b/>
          <w:bCs/>
          <w:sz w:val="24"/>
          <w:szCs w:val="24"/>
        </w:rPr>
      </w:pPr>
      <w:r w:rsidRPr="00CF3E94">
        <w:rPr>
          <w:rFonts w:cstheme="minorHAnsi"/>
          <w:b/>
          <w:bCs/>
          <w:sz w:val="24"/>
          <w:szCs w:val="24"/>
        </w:rPr>
        <w:lastRenderedPageBreak/>
        <w:t>Appendix 1: Operating Outcome Plan Guidance</w:t>
      </w:r>
    </w:p>
    <w:p w:rsidRPr="00CF3E94" w:rsidR="001357E7" w:rsidP="001357E7" w:rsidRDefault="001357E7" w14:paraId="1689B864" w14:textId="77777777">
      <w:pPr>
        <w:spacing w:after="0" w:line="240" w:lineRule="auto"/>
        <w:rPr>
          <w:rFonts w:cstheme="minorHAnsi"/>
        </w:rPr>
      </w:pPr>
      <w:r w:rsidRPr="00CF3E94">
        <w:rPr>
          <w:rFonts w:cstheme="minorHAnsi"/>
          <w:b/>
        </w:rPr>
        <w:t>Purpose</w:t>
      </w:r>
      <w:r w:rsidRPr="00CF3E94">
        <w:rPr>
          <w:rFonts w:cstheme="minorHAnsi"/>
        </w:rPr>
        <w:t>: This section should describe the Center’s current outcome goals in each category listed below, if relevant, for the initial three-year operating period (please note a Center does not have to be active in every element of the outcome statement, however, every outcome goal listed in this statement must be supported by the proposed budget and budget narrative.)  While the tables below summarize the three-year operating period, the narrative should address proposed annual outcomes. As described earlier in these guidelines, as part of the panel evaluation in the third year of the award, Centers will provide draft documents for review. After the evaluation, Centers will provide revised documents for the remaining two years of the award. Specific instructions will be provided to the Centers prior to the start of the panel evaluation preparation.</w:t>
      </w:r>
    </w:p>
    <w:p w:rsidRPr="00CF3E94" w:rsidR="001357E7" w:rsidP="001357E7" w:rsidRDefault="001357E7" w14:paraId="3C73A45A" w14:textId="77777777">
      <w:pPr>
        <w:spacing w:after="0" w:line="240" w:lineRule="auto"/>
        <w:rPr>
          <w:rFonts w:cstheme="minorHAnsi"/>
        </w:rPr>
      </w:pPr>
    </w:p>
    <w:p w:rsidRPr="00CF3E94" w:rsidR="001357E7" w:rsidP="001357E7" w:rsidRDefault="001357E7" w14:paraId="3B74EA3C" w14:textId="77777777">
      <w:pPr>
        <w:spacing w:after="0" w:line="240" w:lineRule="auto"/>
        <w:rPr>
          <w:rStyle w:val="CommentReference"/>
          <w:rFonts w:cstheme="minorHAnsi"/>
        </w:rPr>
      </w:pPr>
      <w:r w:rsidRPr="00CF3E94">
        <w:rPr>
          <w:rFonts w:cstheme="minorHAnsi"/>
          <w:b/>
        </w:rPr>
        <w:t>Format</w:t>
      </w:r>
      <w:r w:rsidRPr="00CF3E94">
        <w:rPr>
          <w:rFonts w:cstheme="minorHAnsi"/>
        </w:rPr>
        <w:t xml:space="preserve">: The response to each category should be in narrative form only (no tables unless indicated below) and should be limited to a half-page in description for each category. Do not include tables, charts, </w:t>
      </w:r>
      <w:proofErr w:type="gramStart"/>
      <w:r w:rsidRPr="00CF3E94">
        <w:rPr>
          <w:rFonts w:cstheme="minorHAnsi"/>
        </w:rPr>
        <w:t>photos</w:t>
      </w:r>
      <w:proofErr w:type="gramEnd"/>
      <w:r w:rsidRPr="00CF3E94">
        <w:rPr>
          <w:rFonts w:cstheme="minorHAnsi"/>
        </w:rPr>
        <w:t xml:space="preserve"> or graphs when recording responses to operating outcomes questions, unless specifically requested. Do not alter the tables included in this guidance. The tables reflect three-year goal summaries. If a Center finds it necessary to describe annual goals, this must be done in the written response. Response for each category must be submitted through MEIS and must be limited to 3,000 characters per response, including spaces and punctuation.</w:t>
      </w:r>
      <w:r w:rsidRPr="00CF3E94" w:rsidDel="005225BB">
        <w:rPr>
          <w:rStyle w:val="CommentReference"/>
          <w:rFonts w:cstheme="minorHAnsi"/>
        </w:rPr>
        <w:t xml:space="preserve"> </w:t>
      </w:r>
    </w:p>
    <w:p w:rsidRPr="00CF3E94" w:rsidR="001357E7" w:rsidP="001357E7" w:rsidRDefault="001357E7" w14:paraId="0F4ADBF6" w14:textId="77777777">
      <w:pPr>
        <w:spacing w:after="0" w:line="240" w:lineRule="auto"/>
        <w:rPr>
          <w:rStyle w:val="CommentReference"/>
          <w:rFonts w:cstheme="minorHAnsi"/>
        </w:rPr>
      </w:pPr>
    </w:p>
    <w:p w:rsidRPr="00CF3E94" w:rsidR="001357E7" w:rsidP="001357E7" w:rsidRDefault="001357E7" w14:paraId="45E52FE1" w14:textId="77777777">
      <w:pPr>
        <w:spacing w:after="0" w:line="240" w:lineRule="auto"/>
        <w:rPr>
          <w:rFonts w:cstheme="minorHAnsi"/>
        </w:rPr>
      </w:pPr>
      <w:r w:rsidRPr="00CF3E94">
        <w:rPr>
          <w:rFonts w:cstheme="minorHAnsi"/>
          <w:b/>
        </w:rPr>
        <w:t>Submission</w:t>
      </w:r>
      <w:r w:rsidRPr="00CF3E94">
        <w:rPr>
          <w:rFonts w:cstheme="minorHAnsi"/>
        </w:rPr>
        <w:t>: For new awards, Operating Outcome Plans should be submitted as part of the SAC removal package. Any requested changes to the operating outcomes outside of the SAC removal process should be made directly through the MEIS system. Changes made through MEIS will be routed through the Center’s NIST MEP Regional Team for review and incorporation into the project.</w:t>
      </w:r>
    </w:p>
    <w:p w:rsidRPr="00CF3E94" w:rsidR="001357E7" w:rsidP="001357E7" w:rsidRDefault="001357E7" w14:paraId="046A9778" w14:textId="77777777">
      <w:pPr>
        <w:spacing w:after="0" w:line="240" w:lineRule="auto"/>
        <w:rPr>
          <w:rFonts w:cstheme="minorHAnsi"/>
        </w:rPr>
      </w:pPr>
    </w:p>
    <w:p w:rsidRPr="00CF3E94" w:rsidR="001357E7" w:rsidP="001357E7" w:rsidRDefault="001357E7" w14:paraId="08418A13" w14:textId="77777777">
      <w:pPr>
        <w:pStyle w:val="Heading2"/>
        <w:rPr>
          <w:rFonts w:asciiTheme="minorHAnsi" w:hAnsiTheme="minorHAnsi" w:cstheme="minorHAnsi"/>
          <w:sz w:val="26"/>
          <w:szCs w:val="26"/>
        </w:rPr>
      </w:pPr>
      <w:bookmarkStart w:name="_Toc509302752" w:id="4"/>
      <w:r w:rsidRPr="00CF3E94">
        <w:rPr>
          <w:rFonts w:asciiTheme="minorHAnsi" w:hAnsiTheme="minorHAnsi" w:cstheme="minorHAnsi"/>
          <w:sz w:val="26"/>
          <w:szCs w:val="26"/>
        </w:rPr>
        <w:t>Element I: Center Client Level Activities by Type of Company</w:t>
      </w:r>
      <w:bookmarkEnd w:id="4"/>
    </w:p>
    <w:p w:rsidRPr="00CF3E94" w:rsidR="001357E7" w:rsidP="001357E7" w:rsidRDefault="001357E7" w14:paraId="555AA636" w14:textId="77777777">
      <w:pPr>
        <w:rPr>
          <w:rFonts w:cstheme="minorHAnsi"/>
        </w:rPr>
      </w:pPr>
      <w:r w:rsidRPr="00CF3E94">
        <w:rPr>
          <w:rFonts w:cstheme="minorHAnsi"/>
        </w:rPr>
        <w:t xml:space="preserve">The first categories are focused on identifying specific numeric goals planned for the next three years in terms of working with manufacturing establishments defined as very small manufacturers, rural manufacturers, and start-up/emerging small and mid-sized enterprises (SMEs), and other manufacturers, and working with client manufacturing establishments on transformational activities. Please use Table 1 to document client activity (a) and transformational clients (b).  </w:t>
      </w:r>
    </w:p>
    <w:p w:rsidRPr="00CF3E94" w:rsidR="001357E7" w:rsidP="001357E7" w:rsidRDefault="001357E7" w14:paraId="11A73F03" w14:textId="77777777">
      <w:pPr>
        <w:spacing w:after="0" w:line="240" w:lineRule="auto"/>
        <w:ind w:left="720"/>
        <w:rPr>
          <w:rFonts w:cstheme="minorHAnsi"/>
          <w:b/>
          <w:i/>
          <w:u w:val="single"/>
        </w:rPr>
      </w:pPr>
      <w:r w:rsidRPr="00CF3E94">
        <w:rPr>
          <w:rFonts w:cstheme="minorHAnsi"/>
          <w:b/>
          <w:i/>
          <w:u w:val="single"/>
        </w:rPr>
        <w:t>a) Client Activity levels with a Focus on very small, rural, and emerging small and mid-sized enterprises (SMEs), and other manufacturers</w:t>
      </w:r>
    </w:p>
    <w:p w:rsidRPr="00CF3E94" w:rsidR="001357E7" w:rsidP="001357E7" w:rsidRDefault="001357E7" w14:paraId="5828FDF3" w14:textId="77777777">
      <w:pPr>
        <w:spacing w:after="0" w:line="240" w:lineRule="auto"/>
        <w:ind w:left="720"/>
        <w:rPr>
          <w:rFonts w:cstheme="minorHAnsi"/>
        </w:rPr>
      </w:pPr>
    </w:p>
    <w:p w:rsidRPr="00CF3E94" w:rsidR="001357E7" w:rsidP="001357E7" w:rsidRDefault="001357E7" w14:paraId="37A34565" w14:textId="77777777">
      <w:pPr>
        <w:spacing w:after="0" w:line="240" w:lineRule="auto"/>
        <w:ind w:left="720"/>
        <w:rPr>
          <w:rFonts w:cstheme="minorHAnsi"/>
        </w:rPr>
      </w:pPr>
      <w:r w:rsidRPr="00CF3E94">
        <w:rPr>
          <w:rFonts w:cstheme="minorHAnsi"/>
        </w:rPr>
        <w:t>Identify specific numeric goals planned for the next three years in terms of serving the following:</w:t>
      </w:r>
    </w:p>
    <w:p w:rsidRPr="00CF3E94" w:rsidR="001357E7" w:rsidP="001357E7" w:rsidRDefault="001357E7" w14:paraId="0DA9FFAC" w14:textId="77777777">
      <w:pPr>
        <w:spacing w:after="0" w:line="240" w:lineRule="auto"/>
        <w:ind w:left="720"/>
        <w:rPr>
          <w:rFonts w:cstheme="minorHAnsi"/>
        </w:rPr>
      </w:pPr>
    </w:p>
    <w:p w:rsidRPr="00CF3E94" w:rsidR="001357E7" w:rsidP="001357E7" w:rsidRDefault="001357E7" w14:paraId="4DC22401" w14:textId="77777777">
      <w:pPr>
        <w:pStyle w:val="ListParagraph"/>
        <w:numPr>
          <w:ilvl w:val="0"/>
          <w:numId w:val="13"/>
        </w:numPr>
        <w:rPr>
          <w:rFonts w:asciiTheme="minorHAnsi" w:hAnsiTheme="minorHAnsi" w:cstheme="minorHAnsi"/>
        </w:rPr>
      </w:pPr>
      <w:r w:rsidRPr="00CF3E94">
        <w:rPr>
          <w:rFonts w:asciiTheme="minorHAnsi" w:hAnsiTheme="minorHAnsi" w:cstheme="minorHAnsi"/>
        </w:rPr>
        <w:t xml:space="preserve">Very Small Manufacturers (establishments with fewer than 20 employees). </w:t>
      </w:r>
    </w:p>
    <w:p w:rsidRPr="00CF3E94" w:rsidR="001357E7" w:rsidP="001357E7" w:rsidRDefault="001357E7" w14:paraId="2BEC0EE2" w14:textId="77777777">
      <w:pPr>
        <w:pStyle w:val="ListParagraph"/>
        <w:numPr>
          <w:ilvl w:val="0"/>
          <w:numId w:val="13"/>
        </w:numPr>
        <w:rPr>
          <w:rFonts w:asciiTheme="minorHAnsi" w:hAnsiTheme="minorHAnsi" w:cstheme="minorHAnsi"/>
        </w:rPr>
      </w:pPr>
      <w:r w:rsidRPr="00CF3E94">
        <w:rPr>
          <w:rFonts w:asciiTheme="minorHAnsi" w:hAnsiTheme="minorHAnsi" w:cstheme="minorHAnsi"/>
        </w:rPr>
        <w:t>Rural Manufacturers (establishments located in a county not defined as part of a metropolitan area</w:t>
      </w:r>
      <w:r w:rsidRPr="00CF3E94">
        <w:rPr>
          <w:rStyle w:val="FootnoteReference"/>
          <w:rFonts w:asciiTheme="minorHAnsi" w:hAnsiTheme="minorHAnsi" w:cstheme="minorHAnsi"/>
        </w:rPr>
        <w:footnoteReference w:id="2"/>
      </w:r>
      <w:r w:rsidRPr="00CF3E94">
        <w:rPr>
          <w:rFonts w:asciiTheme="minorHAnsi" w:hAnsiTheme="minorHAnsi" w:cstheme="minorHAnsi"/>
        </w:rPr>
        <w:t xml:space="preserve">). </w:t>
      </w:r>
    </w:p>
    <w:p w:rsidRPr="00CF3E94" w:rsidR="001357E7" w:rsidP="001357E7" w:rsidRDefault="001357E7" w14:paraId="1A03C9BF" w14:textId="77777777">
      <w:pPr>
        <w:pStyle w:val="ListParagraph"/>
        <w:numPr>
          <w:ilvl w:val="0"/>
          <w:numId w:val="13"/>
        </w:numPr>
        <w:rPr>
          <w:rFonts w:asciiTheme="minorHAnsi" w:hAnsiTheme="minorHAnsi" w:cstheme="minorHAnsi"/>
        </w:rPr>
      </w:pPr>
      <w:r w:rsidRPr="00CF3E94">
        <w:rPr>
          <w:rFonts w:asciiTheme="minorHAnsi" w:hAnsiTheme="minorHAnsi" w:cstheme="minorHAnsi"/>
        </w:rPr>
        <w:t>Start-up/Emerging Small and Mid-Sized Enterprises (SMEs) (an establishment that has been in operation for five years or less</w:t>
      </w:r>
      <w:r w:rsidRPr="00CF3E94">
        <w:rPr>
          <w:rStyle w:val="FootnoteReference"/>
          <w:rFonts w:asciiTheme="minorHAnsi" w:hAnsiTheme="minorHAnsi" w:cstheme="minorHAnsi"/>
        </w:rPr>
        <w:footnoteReference w:id="3"/>
      </w:r>
      <w:r w:rsidRPr="00CF3E94">
        <w:rPr>
          <w:rFonts w:asciiTheme="minorHAnsi" w:hAnsiTheme="minorHAnsi" w:cstheme="minorHAnsi"/>
        </w:rPr>
        <w:t>).</w:t>
      </w:r>
    </w:p>
    <w:p w:rsidRPr="00CF3E94" w:rsidR="001357E7" w:rsidP="001357E7" w:rsidRDefault="001357E7" w14:paraId="1E5F6F78" w14:textId="77777777">
      <w:pPr>
        <w:pStyle w:val="ListParagraph"/>
        <w:numPr>
          <w:ilvl w:val="0"/>
          <w:numId w:val="13"/>
        </w:numPr>
        <w:rPr>
          <w:rFonts w:asciiTheme="minorHAnsi" w:hAnsiTheme="minorHAnsi" w:cstheme="minorHAnsi"/>
        </w:rPr>
      </w:pPr>
      <w:r w:rsidRPr="00CF3E94">
        <w:rPr>
          <w:rFonts w:asciiTheme="minorHAnsi" w:hAnsiTheme="minorHAnsi" w:cstheme="minorHAnsi"/>
        </w:rPr>
        <w:t>Other manufacturers not counted elsewhere that the Center expects to serve.</w:t>
      </w:r>
    </w:p>
    <w:p w:rsidRPr="00CF3E94" w:rsidR="001357E7" w:rsidP="001357E7" w:rsidRDefault="001357E7" w14:paraId="4E440238" w14:textId="77777777">
      <w:pPr>
        <w:spacing w:after="0" w:line="240" w:lineRule="auto"/>
        <w:rPr>
          <w:rFonts w:cstheme="minorHAnsi"/>
          <w:b/>
          <w:i/>
          <w:u w:val="single"/>
        </w:rPr>
      </w:pPr>
    </w:p>
    <w:p w:rsidRPr="00CF3E94" w:rsidR="001357E7" w:rsidP="001357E7" w:rsidRDefault="001357E7" w14:paraId="2215FDF4" w14:textId="77777777">
      <w:pPr>
        <w:spacing w:after="0" w:line="240" w:lineRule="auto"/>
        <w:ind w:left="720"/>
        <w:rPr>
          <w:rFonts w:cstheme="minorHAnsi"/>
          <w:b/>
          <w:i/>
          <w:u w:val="single"/>
        </w:rPr>
      </w:pPr>
      <w:r w:rsidRPr="00CF3E94">
        <w:rPr>
          <w:rFonts w:cstheme="minorHAnsi"/>
          <w:b/>
          <w:i/>
          <w:u w:val="single"/>
        </w:rPr>
        <w:t>b) Transformational Clients</w:t>
      </w:r>
    </w:p>
    <w:p w:rsidRPr="00CF3E94" w:rsidR="001357E7" w:rsidP="001357E7" w:rsidRDefault="001357E7" w14:paraId="40BC4ACA" w14:textId="77777777">
      <w:pPr>
        <w:spacing w:after="0" w:line="240" w:lineRule="auto"/>
        <w:ind w:left="720"/>
        <w:rPr>
          <w:rFonts w:cstheme="minorHAnsi"/>
        </w:rPr>
      </w:pPr>
    </w:p>
    <w:p w:rsidRPr="00CF3E94" w:rsidR="001357E7" w:rsidP="001357E7" w:rsidRDefault="001357E7" w14:paraId="128DF65C" w14:textId="77777777">
      <w:pPr>
        <w:ind w:left="720"/>
        <w:rPr>
          <w:rFonts w:eastAsiaTheme="minorEastAsia" w:cstheme="minorHAnsi"/>
          <w:kern w:val="24"/>
        </w:rPr>
      </w:pPr>
      <w:r w:rsidRPr="00CF3E94">
        <w:rPr>
          <w:rFonts w:cstheme="minorHAnsi"/>
        </w:rPr>
        <w:t xml:space="preserve">Identify specific numeric goals planned for the next three years in working with client manufacturing establishments on transformational activities as defined by the NIST MEP Program.  In MEIS, Centers will select “Yes” or “No” in the Center Information File (CIF) to indicate if a project </w:t>
      </w:r>
      <w:proofErr w:type="gramStart"/>
      <w:r w:rsidRPr="00CF3E94">
        <w:rPr>
          <w:rFonts w:cstheme="minorHAnsi"/>
        </w:rPr>
        <w:t>is considered to be</w:t>
      </w:r>
      <w:proofErr w:type="gramEnd"/>
      <w:r w:rsidRPr="00CF3E94">
        <w:rPr>
          <w:rFonts w:cstheme="minorHAnsi"/>
        </w:rPr>
        <w:t xml:space="preserve"> an ongoing transformative relationship. If “Yes”, fill in the narrative to describe how the project supports the ongoing relationship. Overall efforts to work with clients at a transformation and coaching level across the Center’s project portfolio should be described in the Progress Plan</w:t>
      </w:r>
      <w:r w:rsidRPr="00CF3E94">
        <w:rPr>
          <w:rStyle w:val="FootnoteReference"/>
          <w:rFonts w:cstheme="minorHAnsi"/>
        </w:rPr>
        <w:footnoteReference w:id="4"/>
      </w:r>
      <w:r w:rsidRPr="00CF3E94">
        <w:rPr>
          <w:rFonts w:cstheme="minorHAnsi"/>
        </w:rPr>
        <w:t xml:space="preserve"> under the field “Transformation and Coaching.”  </w:t>
      </w:r>
      <w:r w:rsidRPr="00CF3E94">
        <w:rPr>
          <w:rFonts w:cstheme="minorHAnsi"/>
          <w:b/>
          <w:bCs/>
          <w:u w:val="single"/>
        </w:rPr>
        <w:t>Yes</w:t>
      </w:r>
      <w:r w:rsidRPr="00CF3E94">
        <w:rPr>
          <w:rFonts w:cstheme="minorHAnsi"/>
          <w:b/>
          <w:bCs/>
        </w:rPr>
        <w:t xml:space="preserve">: </w:t>
      </w:r>
      <w:r w:rsidRPr="00CF3E94">
        <w:rPr>
          <w:rFonts w:cstheme="minorHAnsi"/>
        </w:rPr>
        <w:t>Indicates the project is related to the establishment of a long-term, coaching relationship with a client that helps them transform.</w:t>
      </w:r>
    </w:p>
    <w:p w:rsidRPr="00CF3E94" w:rsidR="001357E7" w:rsidP="001357E7" w:rsidRDefault="001357E7" w14:paraId="6B30EC21" w14:textId="77777777">
      <w:pPr>
        <w:spacing w:after="0" w:line="240" w:lineRule="auto"/>
        <w:rPr>
          <w:rFonts w:eastAsiaTheme="minorEastAsia" w:cstheme="minorHAnsi"/>
          <w:kern w:val="24"/>
        </w:rPr>
      </w:pPr>
    </w:p>
    <w:p w:rsidRPr="00CF3E94" w:rsidR="001357E7" w:rsidP="001357E7" w:rsidRDefault="001357E7" w14:paraId="4EDF9D7B" w14:textId="77777777">
      <w:pPr>
        <w:pStyle w:val="Caption"/>
        <w:keepNext/>
        <w:ind w:left="720"/>
        <w:rPr>
          <w:rFonts w:cstheme="minorHAnsi"/>
          <w:b/>
          <w:i w:val="0"/>
          <w:color w:val="auto"/>
          <w:sz w:val="22"/>
        </w:rPr>
      </w:pPr>
      <w:r w:rsidRPr="00CF3E94">
        <w:rPr>
          <w:rFonts w:cstheme="minorHAnsi"/>
          <w:b/>
          <w:i w:val="0"/>
          <w:color w:val="auto"/>
          <w:sz w:val="22"/>
        </w:rPr>
        <w:t xml:space="preserve">Table </w:t>
      </w:r>
      <w:r w:rsidRPr="00CF3E94">
        <w:rPr>
          <w:rFonts w:cstheme="minorHAnsi"/>
          <w:b/>
          <w:i w:val="0"/>
          <w:color w:val="auto"/>
          <w:sz w:val="22"/>
        </w:rPr>
        <w:fldChar w:fldCharType="begin"/>
      </w:r>
      <w:r w:rsidRPr="00CF3E94">
        <w:rPr>
          <w:rFonts w:cstheme="minorHAnsi"/>
          <w:b/>
          <w:i w:val="0"/>
          <w:color w:val="auto"/>
          <w:sz w:val="22"/>
        </w:rPr>
        <w:instrText xml:space="preserve"> SEQ Table \* ARABIC </w:instrText>
      </w:r>
      <w:r w:rsidRPr="00CF3E94">
        <w:rPr>
          <w:rFonts w:cstheme="minorHAnsi"/>
          <w:b/>
          <w:i w:val="0"/>
          <w:color w:val="auto"/>
          <w:sz w:val="22"/>
        </w:rPr>
        <w:fldChar w:fldCharType="separate"/>
      </w:r>
      <w:r w:rsidRPr="00CF3E94">
        <w:rPr>
          <w:rFonts w:cstheme="minorHAnsi"/>
          <w:b/>
          <w:i w:val="0"/>
          <w:noProof/>
          <w:color w:val="auto"/>
          <w:sz w:val="22"/>
        </w:rPr>
        <w:t>1</w:t>
      </w:r>
      <w:r w:rsidRPr="00CF3E94">
        <w:rPr>
          <w:rFonts w:cstheme="minorHAnsi"/>
          <w:b/>
          <w:i w:val="0"/>
          <w:color w:val="auto"/>
          <w:sz w:val="22"/>
        </w:rPr>
        <w:fldChar w:fldCharType="end"/>
      </w:r>
      <w:r w:rsidRPr="00CF3E94">
        <w:rPr>
          <w:rFonts w:cstheme="minorHAnsi"/>
          <w:b/>
          <w:i w:val="0"/>
          <w:color w:val="auto"/>
          <w:sz w:val="22"/>
        </w:rPr>
        <w:t>: Three Year Goals (Element I)</w:t>
      </w:r>
    </w:p>
    <w:tbl>
      <w:tblPr>
        <w:tblStyle w:val="LightList-Accent3"/>
        <w:tblW w:w="8990" w:type="dxa"/>
        <w:tblInd w:w="720" w:type="dxa"/>
        <w:tblBorders>
          <w:insideH w:val="single" w:color="A5A5A5" w:themeColor="accent3" w:sz="8" w:space="0"/>
          <w:insideV w:val="single" w:color="A5A5A5" w:themeColor="accent3" w:sz="8" w:space="0"/>
        </w:tblBorders>
        <w:tblLayout w:type="fixed"/>
        <w:tblLook w:val="04A0" w:firstRow="1" w:lastRow="0" w:firstColumn="1" w:lastColumn="0" w:noHBand="0" w:noVBand="1"/>
      </w:tblPr>
      <w:tblGrid>
        <w:gridCol w:w="1070"/>
        <w:gridCol w:w="1320"/>
        <w:gridCol w:w="1470"/>
        <w:gridCol w:w="1080"/>
        <w:gridCol w:w="1410"/>
        <w:gridCol w:w="1320"/>
        <w:gridCol w:w="1320"/>
      </w:tblGrid>
      <w:tr w:rsidRPr="00CF3E94" w:rsidR="001357E7" w:rsidTr="00512BE0" w14:paraId="6636835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vAlign w:val="center"/>
          </w:tcPr>
          <w:p w:rsidRPr="00CF3E94" w:rsidR="001357E7" w:rsidP="00512BE0" w:rsidRDefault="001357E7" w14:paraId="73A95C4F" w14:textId="77777777">
            <w:pPr>
              <w:jc w:val="center"/>
              <w:rPr>
                <w:rFonts w:cstheme="minorHAnsi"/>
                <w:b w:val="0"/>
                <w:color w:val="auto"/>
              </w:rPr>
            </w:pPr>
            <w:r w:rsidRPr="00CF3E94">
              <w:rPr>
                <w:rFonts w:cstheme="minorHAnsi"/>
                <w:b w:val="0"/>
                <w:color w:val="auto"/>
              </w:rPr>
              <w:t>Goal</w:t>
            </w:r>
          </w:p>
        </w:tc>
        <w:tc>
          <w:tcPr>
            <w:tcW w:w="1320" w:type="dxa"/>
            <w:vAlign w:val="center"/>
          </w:tcPr>
          <w:p w:rsidRPr="00CF3E94" w:rsidR="001357E7" w:rsidP="00512BE0" w:rsidRDefault="001357E7" w14:paraId="434740BB"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CF3E94">
              <w:rPr>
                <w:rFonts w:cstheme="minorHAnsi"/>
                <w:b w:val="0"/>
                <w:color w:val="auto"/>
              </w:rPr>
              <w:t>Small Estab</w:t>
            </w:r>
            <w:r w:rsidRPr="00CF3E94">
              <w:rPr>
                <w:rFonts w:cstheme="minorHAnsi"/>
                <w:b w:val="0"/>
                <w:color w:val="auto"/>
              </w:rPr>
              <w:softHyphen/>
              <w:t>lishments (&lt;20 employ</w:t>
            </w:r>
            <w:r w:rsidRPr="00CF3E94">
              <w:rPr>
                <w:rFonts w:cstheme="minorHAnsi"/>
                <w:b w:val="0"/>
                <w:color w:val="auto"/>
              </w:rPr>
              <w:softHyphen/>
              <w:t>ees)</w:t>
            </w:r>
          </w:p>
        </w:tc>
        <w:tc>
          <w:tcPr>
            <w:tcW w:w="1470" w:type="dxa"/>
            <w:vAlign w:val="center"/>
          </w:tcPr>
          <w:p w:rsidRPr="00CF3E94" w:rsidR="001357E7" w:rsidP="00512BE0" w:rsidRDefault="001357E7" w14:paraId="1F8B0D7E"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CF3E94">
              <w:rPr>
                <w:rFonts w:cstheme="minorHAnsi"/>
                <w:b w:val="0"/>
                <w:color w:val="auto"/>
              </w:rPr>
              <w:t>Rural</w:t>
            </w:r>
          </w:p>
          <w:p w:rsidRPr="00CF3E94" w:rsidR="001357E7" w:rsidP="00512BE0" w:rsidRDefault="001357E7" w14:paraId="34916028"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CF3E94">
              <w:rPr>
                <w:rFonts w:cstheme="minorHAnsi"/>
                <w:b w:val="0"/>
                <w:color w:val="auto"/>
              </w:rPr>
              <w:t>Establishments (Use USDA Definition)</w:t>
            </w:r>
          </w:p>
        </w:tc>
        <w:tc>
          <w:tcPr>
            <w:tcW w:w="1080" w:type="dxa"/>
            <w:vAlign w:val="center"/>
          </w:tcPr>
          <w:p w:rsidRPr="00CF3E94" w:rsidR="001357E7" w:rsidP="00512BE0" w:rsidRDefault="001357E7" w14:paraId="4822C003"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CF3E94">
              <w:rPr>
                <w:rFonts w:cstheme="minorHAnsi"/>
                <w:b w:val="0"/>
                <w:color w:val="auto"/>
              </w:rPr>
              <w:t>Start-up</w:t>
            </w:r>
          </w:p>
          <w:p w:rsidRPr="00CF3E94" w:rsidR="001357E7" w:rsidP="00512BE0" w:rsidRDefault="001357E7" w14:paraId="782D18FD"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CF3E94">
              <w:rPr>
                <w:rFonts w:cstheme="minorHAnsi"/>
                <w:b w:val="0"/>
                <w:color w:val="auto"/>
              </w:rPr>
              <w:t>Establish</w:t>
            </w:r>
            <w:r w:rsidRPr="00CF3E94">
              <w:rPr>
                <w:rFonts w:cstheme="minorHAnsi"/>
                <w:b w:val="0"/>
                <w:color w:val="auto"/>
              </w:rPr>
              <w:softHyphen/>
              <w:t>ments</w:t>
            </w:r>
          </w:p>
        </w:tc>
        <w:tc>
          <w:tcPr>
            <w:tcW w:w="1410" w:type="dxa"/>
          </w:tcPr>
          <w:p w:rsidRPr="00CF3E94" w:rsidR="001357E7" w:rsidP="00512BE0" w:rsidRDefault="001357E7" w14:paraId="7524A34F"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CF3E94">
              <w:rPr>
                <w:rFonts w:cstheme="minorHAnsi"/>
                <w:b w:val="0"/>
                <w:color w:val="auto"/>
              </w:rPr>
              <w:t>Transforma</w:t>
            </w:r>
            <w:r w:rsidRPr="00CF3E94">
              <w:rPr>
                <w:rFonts w:cstheme="minorHAnsi"/>
                <w:b w:val="0"/>
                <w:color w:val="auto"/>
              </w:rPr>
              <w:softHyphen/>
              <w:t>tional</w:t>
            </w:r>
          </w:p>
          <w:p w:rsidRPr="00CF3E94" w:rsidR="001357E7" w:rsidP="00512BE0" w:rsidRDefault="001357E7" w14:paraId="199A0237" w14:textId="77777777">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CF3E94">
              <w:rPr>
                <w:rFonts w:cstheme="minorHAnsi"/>
                <w:b w:val="0"/>
                <w:color w:val="auto"/>
              </w:rPr>
              <w:t>Clients (Use NIST MEP definition)</w:t>
            </w:r>
          </w:p>
        </w:tc>
        <w:tc>
          <w:tcPr>
            <w:tcW w:w="1320" w:type="dxa"/>
          </w:tcPr>
          <w:p w:rsidRPr="00CF3E94" w:rsidR="001357E7" w:rsidP="00512BE0" w:rsidRDefault="001357E7" w14:paraId="4453BCD7" w14:textId="77777777">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CF3E94">
              <w:rPr>
                <w:rFonts w:cstheme="minorHAnsi"/>
                <w:b w:val="0"/>
                <w:color w:val="auto"/>
              </w:rPr>
              <w:t>Other manu</w:t>
            </w:r>
            <w:r w:rsidRPr="00CF3E94">
              <w:rPr>
                <w:rFonts w:cstheme="minorHAnsi"/>
                <w:b w:val="0"/>
                <w:color w:val="auto"/>
              </w:rPr>
              <w:softHyphen/>
              <w:t>facturers</w:t>
            </w:r>
          </w:p>
        </w:tc>
        <w:tc>
          <w:tcPr>
            <w:tcW w:w="1320" w:type="dxa"/>
          </w:tcPr>
          <w:p w:rsidRPr="00CF3E94" w:rsidR="001357E7" w:rsidP="00512BE0" w:rsidRDefault="001357E7" w14:paraId="5B805B2C" w14:textId="77777777">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CF3E94">
              <w:rPr>
                <w:rFonts w:cstheme="minorHAnsi"/>
                <w:b w:val="0"/>
                <w:color w:val="auto"/>
              </w:rPr>
              <w:t>Total Number of Unique Manufactur</w:t>
            </w:r>
            <w:r w:rsidRPr="00CF3E94">
              <w:rPr>
                <w:rFonts w:cstheme="minorHAnsi"/>
                <w:b w:val="0"/>
                <w:color w:val="auto"/>
              </w:rPr>
              <w:softHyphen/>
              <w:t>ers Served</w:t>
            </w:r>
          </w:p>
        </w:tc>
      </w:tr>
      <w:tr w:rsidRPr="00CF3E94" w:rsidR="001357E7" w:rsidTr="00512BE0" w14:paraId="4901A6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vAlign w:val="center"/>
          </w:tcPr>
          <w:p w:rsidRPr="00CF3E94" w:rsidR="001357E7" w:rsidP="00512BE0" w:rsidRDefault="001357E7" w14:paraId="545AABED" w14:textId="77777777">
            <w:pPr>
              <w:rPr>
                <w:rFonts w:cstheme="minorHAnsi"/>
              </w:rPr>
            </w:pPr>
            <w:r w:rsidRPr="00CF3E94">
              <w:rPr>
                <w:rFonts w:cstheme="minorHAnsi"/>
              </w:rPr>
              <w:t xml:space="preserve">Over Three Years </w:t>
            </w:r>
          </w:p>
        </w:tc>
        <w:tc>
          <w:tcPr>
            <w:tcW w:w="1320" w:type="dxa"/>
            <w:vAlign w:val="center"/>
          </w:tcPr>
          <w:p w:rsidRPr="00CF3E94" w:rsidR="001357E7" w:rsidP="00512BE0" w:rsidRDefault="001357E7" w14:paraId="358289D3"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F3E94">
              <w:rPr>
                <w:rFonts w:cstheme="minorHAnsi"/>
              </w:rPr>
              <w:t>XX</w:t>
            </w:r>
          </w:p>
        </w:tc>
        <w:tc>
          <w:tcPr>
            <w:tcW w:w="1470" w:type="dxa"/>
            <w:vAlign w:val="center"/>
          </w:tcPr>
          <w:p w:rsidRPr="00CF3E94" w:rsidR="001357E7" w:rsidP="00512BE0" w:rsidRDefault="001357E7" w14:paraId="6BEE3E9D"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F3E94">
              <w:rPr>
                <w:rFonts w:cstheme="minorHAnsi"/>
              </w:rPr>
              <w:t>XX</w:t>
            </w:r>
          </w:p>
        </w:tc>
        <w:tc>
          <w:tcPr>
            <w:tcW w:w="1080" w:type="dxa"/>
            <w:vAlign w:val="center"/>
          </w:tcPr>
          <w:p w:rsidRPr="00CF3E94" w:rsidR="001357E7" w:rsidP="00512BE0" w:rsidRDefault="001357E7" w14:paraId="2DE4FA82"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F3E94">
              <w:rPr>
                <w:rFonts w:cstheme="minorHAnsi"/>
              </w:rPr>
              <w:t>XX</w:t>
            </w:r>
          </w:p>
        </w:tc>
        <w:tc>
          <w:tcPr>
            <w:tcW w:w="1410" w:type="dxa"/>
            <w:vAlign w:val="center"/>
          </w:tcPr>
          <w:p w:rsidRPr="00CF3E94" w:rsidR="001357E7" w:rsidP="00512BE0" w:rsidRDefault="001357E7" w14:paraId="446B0F3D"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F3E94">
              <w:rPr>
                <w:rFonts w:cstheme="minorHAnsi"/>
              </w:rPr>
              <w:t>XX</w:t>
            </w:r>
          </w:p>
        </w:tc>
        <w:tc>
          <w:tcPr>
            <w:tcW w:w="1320" w:type="dxa"/>
            <w:vAlign w:val="center"/>
          </w:tcPr>
          <w:p w:rsidRPr="00CF3E94" w:rsidR="001357E7" w:rsidP="00512BE0" w:rsidRDefault="001357E7" w14:paraId="5A3471F9"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F3E94">
              <w:rPr>
                <w:rFonts w:cstheme="minorHAnsi"/>
              </w:rPr>
              <w:t>XX</w:t>
            </w:r>
          </w:p>
        </w:tc>
        <w:tc>
          <w:tcPr>
            <w:tcW w:w="1320" w:type="dxa"/>
            <w:vAlign w:val="center"/>
          </w:tcPr>
          <w:p w:rsidRPr="00CF3E94" w:rsidR="001357E7" w:rsidP="00512BE0" w:rsidRDefault="001357E7" w14:paraId="29053CFE"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F3E94">
              <w:rPr>
                <w:rFonts w:cstheme="minorHAnsi"/>
              </w:rPr>
              <w:t>XX</w:t>
            </w:r>
          </w:p>
        </w:tc>
      </w:tr>
    </w:tbl>
    <w:p w:rsidRPr="00CF3E94" w:rsidR="001357E7" w:rsidP="001357E7" w:rsidRDefault="001357E7" w14:paraId="5F5B833C" w14:textId="77777777">
      <w:pPr>
        <w:spacing w:after="0" w:line="240" w:lineRule="auto"/>
        <w:ind w:left="720"/>
        <w:rPr>
          <w:rFonts w:cstheme="minorHAnsi"/>
        </w:rPr>
      </w:pPr>
    </w:p>
    <w:p w:rsidRPr="00CF3E94" w:rsidR="001357E7" w:rsidP="001357E7" w:rsidRDefault="001357E7" w14:paraId="54C67F7E" w14:textId="77777777">
      <w:pPr>
        <w:pStyle w:val="Heading2"/>
        <w:rPr>
          <w:rFonts w:asciiTheme="minorHAnsi" w:hAnsiTheme="minorHAnsi" w:cstheme="minorHAnsi"/>
          <w:sz w:val="26"/>
          <w:szCs w:val="26"/>
        </w:rPr>
      </w:pPr>
      <w:bookmarkStart w:name="_Toc509302753" w:id="6"/>
      <w:r w:rsidRPr="00CF3E94">
        <w:rPr>
          <w:rFonts w:asciiTheme="minorHAnsi" w:hAnsiTheme="minorHAnsi" w:cstheme="minorHAnsi"/>
          <w:sz w:val="26"/>
          <w:szCs w:val="26"/>
        </w:rPr>
        <w:t xml:space="preserve">Element II: Top and </w:t>
      </w:r>
      <w:proofErr w:type="gramStart"/>
      <w:r w:rsidRPr="00CF3E94">
        <w:rPr>
          <w:rFonts w:asciiTheme="minorHAnsi" w:hAnsiTheme="minorHAnsi" w:cstheme="minorHAnsi"/>
          <w:sz w:val="26"/>
          <w:szCs w:val="26"/>
        </w:rPr>
        <w:t>Bottom Line</w:t>
      </w:r>
      <w:proofErr w:type="gramEnd"/>
      <w:r w:rsidRPr="00CF3E94">
        <w:rPr>
          <w:rFonts w:asciiTheme="minorHAnsi" w:hAnsiTheme="minorHAnsi" w:cstheme="minorHAnsi"/>
          <w:sz w:val="26"/>
          <w:szCs w:val="26"/>
        </w:rPr>
        <w:t xml:space="preserve"> Growth</w:t>
      </w:r>
      <w:bookmarkEnd w:id="6"/>
    </w:p>
    <w:p w:rsidRPr="00CF3E94" w:rsidR="001357E7" w:rsidP="001357E7" w:rsidRDefault="001357E7" w14:paraId="5E15F7C9" w14:textId="6A201796">
      <w:pPr>
        <w:rPr>
          <w:rFonts w:cstheme="minorHAnsi"/>
          <w:b/>
          <w:i/>
          <w:u w:val="single"/>
        </w:rPr>
      </w:pPr>
      <w:r w:rsidRPr="00CF3E94">
        <w:rPr>
          <w:rFonts w:cstheme="minorHAnsi"/>
        </w:rPr>
        <w:t xml:space="preserve">Element </w:t>
      </w:r>
      <w:r w:rsidRPr="00CF3E94" w:rsidR="006F4819">
        <w:rPr>
          <w:rFonts w:cstheme="minorHAnsi"/>
        </w:rPr>
        <w:t>II focuses</w:t>
      </w:r>
      <w:r w:rsidRPr="00CF3E94">
        <w:rPr>
          <w:rFonts w:cstheme="minorHAnsi"/>
        </w:rPr>
        <w:t xml:space="preserve"> on the relative distribution and emphasis that the center places on efforts across Top and </w:t>
      </w:r>
      <w:proofErr w:type="gramStart"/>
      <w:r w:rsidRPr="00CF3E94">
        <w:rPr>
          <w:rFonts w:cstheme="minorHAnsi"/>
        </w:rPr>
        <w:t>Bottom Line</w:t>
      </w:r>
      <w:proofErr w:type="gramEnd"/>
      <w:r w:rsidRPr="00CF3E94">
        <w:rPr>
          <w:rFonts w:cstheme="minorHAnsi"/>
        </w:rPr>
        <w:t xml:space="preserve"> Growth categories as well as Technology Acceleration and Center Initiatives, including Board development as described in this section.</w:t>
      </w:r>
    </w:p>
    <w:p w:rsidRPr="00CF3E94" w:rsidR="001357E7" w:rsidP="001357E7" w:rsidRDefault="001357E7" w14:paraId="0BCFD342" w14:textId="77777777">
      <w:pPr>
        <w:spacing w:after="0" w:line="240" w:lineRule="auto"/>
        <w:ind w:left="720"/>
        <w:rPr>
          <w:rFonts w:cstheme="minorHAnsi"/>
          <w:b/>
          <w:i/>
          <w:u w:val="single"/>
        </w:rPr>
      </w:pPr>
      <w:r w:rsidRPr="00CF3E94">
        <w:rPr>
          <w:rFonts w:cstheme="minorHAnsi"/>
          <w:b/>
          <w:i/>
          <w:u w:val="single"/>
        </w:rPr>
        <w:t>a) Engagement in Top Line Growth</w:t>
      </w:r>
    </w:p>
    <w:p w:rsidRPr="00CF3E94" w:rsidR="001357E7" w:rsidP="001357E7" w:rsidRDefault="001357E7" w14:paraId="3EE83A68" w14:textId="77777777">
      <w:pPr>
        <w:spacing w:after="0" w:line="240" w:lineRule="auto"/>
        <w:ind w:left="720"/>
        <w:rPr>
          <w:rFonts w:cstheme="minorHAnsi"/>
        </w:rPr>
      </w:pPr>
    </w:p>
    <w:p w:rsidRPr="00CF3E94" w:rsidR="001357E7" w:rsidP="001357E7" w:rsidRDefault="001357E7" w14:paraId="6E1580CB" w14:textId="77777777">
      <w:pPr>
        <w:spacing w:after="0" w:line="240" w:lineRule="auto"/>
        <w:ind w:left="720"/>
        <w:rPr>
          <w:rFonts w:cstheme="minorHAnsi"/>
        </w:rPr>
      </w:pPr>
      <w:r w:rsidRPr="00CF3E94">
        <w:rPr>
          <w:rFonts w:cstheme="minorHAnsi"/>
        </w:rPr>
        <w:t xml:space="preserve">Identify the level of activity expected to occur in terms of “Top Line Growth” over the next three years as a percent of effort compared to “Bottom Line Growth” (together they should add to 100% of the Center’s direct client effort). (See Table 2 below.)  Activities or projects focusing on “Top Line Growth” involve helping clients develop and grow their gross sales or revenues through developing new products, entering new markets, adopting new or improved processes, marketing strategies, or organizational changes. This would include projects expected to be in the following NIST MEP substance codes (areas of business that the project is designed to improve), as defined in the NIST MEP Reporting Guidelines: </w:t>
      </w:r>
    </w:p>
    <w:p w:rsidRPr="00CF3E94" w:rsidR="001357E7" w:rsidP="001357E7" w:rsidRDefault="001357E7" w14:paraId="49FAE3DB" w14:textId="77777777">
      <w:pPr>
        <w:spacing w:after="0" w:line="240" w:lineRule="auto"/>
        <w:ind w:left="720"/>
        <w:rPr>
          <w:rFonts w:cstheme="minorHAnsi"/>
        </w:rPr>
      </w:pPr>
    </w:p>
    <w:p w:rsidRPr="00CF3E94" w:rsidR="001357E7" w:rsidP="001357E7" w:rsidRDefault="001357E7" w14:paraId="390428FE" w14:textId="77777777">
      <w:pPr>
        <w:pStyle w:val="ListParagraph"/>
        <w:numPr>
          <w:ilvl w:val="0"/>
          <w:numId w:val="10"/>
        </w:numPr>
        <w:rPr>
          <w:rFonts w:asciiTheme="minorHAnsi" w:hAnsiTheme="minorHAnsi" w:eastAsiaTheme="minorEastAsia" w:cstheme="minorHAnsi"/>
          <w:kern w:val="24"/>
        </w:rPr>
      </w:pPr>
      <w:r w:rsidRPr="00CF3E94">
        <w:rPr>
          <w:rFonts w:asciiTheme="minorHAnsi" w:hAnsiTheme="minorHAnsi" w:cstheme="minorHAnsi"/>
        </w:rPr>
        <w:t>G</w:t>
      </w:r>
      <w:r w:rsidRPr="00CF3E94">
        <w:rPr>
          <w:rFonts w:asciiTheme="minorHAnsi" w:hAnsiTheme="minorHAnsi" w:eastAsiaTheme="minorEastAsia" w:cstheme="minorHAnsi"/>
          <w:kern w:val="24"/>
        </w:rPr>
        <w:t>rowth Services Product Suite</w:t>
      </w:r>
    </w:p>
    <w:p w:rsidRPr="00CF3E94" w:rsidR="001357E7" w:rsidP="001357E7" w:rsidRDefault="001357E7" w14:paraId="6FA56958" w14:textId="77777777">
      <w:pPr>
        <w:pStyle w:val="ListParagraph"/>
        <w:numPr>
          <w:ilvl w:val="0"/>
          <w:numId w:val="10"/>
        </w:numPr>
        <w:rPr>
          <w:rFonts w:asciiTheme="minorHAnsi" w:hAnsiTheme="minorHAnsi" w:eastAsiaTheme="minorEastAsia" w:cstheme="minorHAnsi"/>
          <w:kern w:val="24"/>
        </w:rPr>
      </w:pPr>
      <w:r w:rsidRPr="00CF3E94">
        <w:rPr>
          <w:rFonts w:asciiTheme="minorHAnsi" w:hAnsiTheme="minorHAnsi" w:eastAsiaTheme="minorEastAsia" w:cstheme="minorHAnsi"/>
          <w:kern w:val="24"/>
        </w:rPr>
        <w:t>Strategic Business Management/Planning Services Suite</w:t>
      </w:r>
    </w:p>
    <w:p w:rsidRPr="00CF3E94" w:rsidR="001357E7" w:rsidP="001357E7" w:rsidRDefault="001357E7" w14:paraId="37C74357" w14:textId="77777777">
      <w:pPr>
        <w:pStyle w:val="ListParagraph"/>
        <w:numPr>
          <w:ilvl w:val="0"/>
          <w:numId w:val="10"/>
        </w:numPr>
        <w:rPr>
          <w:rFonts w:asciiTheme="minorHAnsi" w:hAnsiTheme="minorHAnsi" w:eastAsiaTheme="minorEastAsia" w:cstheme="minorHAnsi"/>
          <w:kern w:val="24"/>
        </w:rPr>
      </w:pPr>
      <w:r w:rsidRPr="00CF3E94">
        <w:rPr>
          <w:rFonts w:asciiTheme="minorHAnsi" w:hAnsiTheme="minorHAnsi" w:eastAsiaTheme="minorEastAsia" w:cstheme="minorHAnsi"/>
          <w:kern w:val="24"/>
        </w:rPr>
        <w:t>Sales/Marketing/Business Development Suite</w:t>
      </w:r>
    </w:p>
    <w:p w:rsidRPr="00CF3E94" w:rsidR="001357E7" w:rsidP="001357E7" w:rsidRDefault="001357E7" w14:paraId="726F2982" w14:textId="77777777">
      <w:pPr>
        <w:pStyle w:val="ListParagraph"/>
        <w:numPr>
          <w:ilvl w:val="0"/>
          <w:numId w:val="10"/>
        </w:numPr>
        <w:rPr>
          <w:rFonts w:asciiTheme="minorHAnsi" w:hAnsiTheme="minorHAnsi" w:eastAsiaTheme="minorEastAsia" w:cstheme="minorHAnsi"/>
          <w:kern w:val="24"/>
        </w:rPr>
      </w:pPr>
      <w:r w:rsidRPr="00CF3E94">
        <w:rPr>
          <w:rFonts w:asciiTheme="minorHAnsi" w:hAnsiTheme="minorHAnsi" w:eastAsiaTheme="minorEastAsia" w:cstheme="minorHAnsi"/>
          <w:kern w:val="24"/>
        </w:rPr>
        <w:t>Technology Services/Product Development Suite</w:t>
      </w:r>
    </w:p>
    <w:p w:rsidRPr="00CF3E94" w:rsidR="001357E7" w:rsidP="001357E7" w:rsidRDefault="001357E7" w14:paraId="2D985651" w14:textId="77777777">
      <w:pPr>
        <w:pStyle w:val="ListParagraph"/>
        <w:numPr>
          <w:ilvl w:val="0"/>
          <w:numId w:val="10"/>
        </w:numPr>
        <w:rPr>
          <w:rFonts w:asciiTheme="minorHAnsi" w:hAnsiTheme="minorHAnsi" w:eastAsiaTheme="minorEastAsia" w:cstheme="minorHAnsi"/>
          <w:kern w:val="24"/>
        </w:rPr>
      </w:pPr>
      <w:r w:rsidRPr="00CF3E94">
        <w:rPr>
          <w:rFonts w:asciiTheme="minorHAnsi" w:hAnsiTheme="minorHAnsi" w:eastAsiaTheme="minorEastAsia" w:cstheme="minorHAnsi"/>
          <w:kern w:val="24"/>
        </w:rPr>
        <w:t xml:space="preserve">Financial Analysis/Assistance Suite </w:t>
      </w:r>
    </w:p>
    <w:p w:rsidRPr="00CF3E94" w:rsidR="001357E7" w:rsidP="001357E7" w:rsidRDefault="001357E7" w14:paraId="48341F17" w14:textId="77777777">
      <w:pPr>
        <w:spacing w:after="0" w:line="240" w:lineRule="auto"/>
        <w:ind w:left="1080"/>
        <w:rPr>
          <w:rFonts w:eastAsiaTheme="minorEastAsia" w:cstheme="minorHAnsi"/>
          <w:kern w:val="24"/>
        </w:rPr>
      </w:pPr>
    </w:p>
    <w:p w:rsidRPr="00CF3E94" w:rsidR="001357E7" w:rsidP="001357E7" w:rsidRDefault="001357E7" w14:paraId="1299A201" w14:textId="77777777">
      <w:pPr>
        <w:spacing w:after="0" w:line="240" w:lineRule="auto"/>
        <w:ind w:left="720"/>
        <w:rPr>
          <w:rFonts w:eastAsiaTheme="minorEastAsia" w:cstheme="minorHAnsi"/>
          <w:kern w:val="24"/>
        </w:rPr>
      </w:pPr>
      <w:r w:rsidRPr="00CF3E94">
        <w:rPr>
          <w:rFonts w:eastAsiaTheme="minorEastAsia" w:cstheme="minorHAnsi"/>
          <w:kern w:val="24"/>
        </w:rPr>
        <w:lastRenderedPageBreak/>
        <w:t xml:space="preserve">Describe whether and how the Center is developing efforts, such as staff training, novel tools, or techniques, </w:t>
      </w:r>
      <w:proofErr w:type="gramStart"/>
      <w:r w:rsidRPr="00CF3E94">
        <w:rPr>
          <w:rFonts w:eastAsiaTheme="minorEastAsia" w:cstheme="minorHAnsi"/>
          <w:kern w:val="24"/>
        </w:rPr>
        <w:t>in the area of</w:t>
      </w:r>
      <w:proofErr w:type="gramEnd"/>
      <w:r w:rsidRPr="00CF3E94">
        <w:rPr>
          <w:rFonts w:eastAsiaTheme="minorEastAsia" w:cstheme="minorHAnsi"/>
          <w:kern w:val="24"/>
        </w:rPr>
        <w:t xml:space="preserve"> “Top Line Growth” that will be developed and deployed. </w:t>
      </w:r>
    </w:p>
    <w:p w:rsidRPr="00CF3E94" w:rsidR="001357E7" w:rsidP="001357E7" w:rsidRDefault="001357E7" w14:paraId="2AE8C260" w14:textId="77777777">
      <w:pPr>
        <w:spacing w:after="0" w:line="240" w:lineRule="auto"/>
        <w:rPr>
          <w:rFonts w:cstheme="minorHAnsi"/>
          <w:b/>
          <w:i/>
          <w:u w:val="single"/>
        </w:rPr>
      </w:pPr>
    </w:p>
    <w:p w:rsidRPr="00CF3E94" w:rsidR="001357E7" w:rsidP="001357E7" w:rsidRDefault="001357E7" w14:paraId="3E75B7B0" w14:textId="77777777">
      <w:pPr>
        <w:spacing w:after="0" w:line="240" w:lineRule="auto"/>
        <w:ind w:left="720"/>
        <w:rPr>
          <w:rFonts w:cstheme="minorHAnsi"/>
          <w:b/>
          <w:i/>
          <w:u w:val="single"/>
        </w:rPr>
      </w:pPr>
      <w:r w:rsidRPr="00CF3E94">
        <w:rPr>
          <w:rFonts w:cstheme="minorHAnsi"/>
          <w:b/>
          <w:i/>
          <w:u w:val="single"/>
        </w:rPr>
        <w:t xml:space="preserve">b) Engagement in “Bottom Line Growth” </w:t>
      </w:r>
    </w:p>
    <w:p w:rsidRPr="00CF3E94" w:rsidR="001357E7" w:rsidP="001357E7" w:rsidRDefault="001357E7" w14:paraId="4514BA79" w14:textId="77777777">
      <w:pPr>
        <w:spacing w:after="0" w:line="240" w:lineRule="auto"/>
        <w:ind w:left="720"/>
        <w:rPr>
          <w:rFonts w:cstheme="minorHAnsi"/>
          <w:b/>
        </w:rPr>
      </w:pPr>
    </w:p>
    <w:p w:rsidRPr="00CF3E94" w:rsidR="001357E7" w:rsidP="001357E7" w:rsidRDefault="001357E7" w14:paraId="47427E23" w14:textId="77777777">
      <w:pPr>
        <w:spacing w:after="0" w:line="240" w:lineRule="auto"/>
        <w:ind w:left="720"/>
        <w:rPr>
          <w:rFonts w:cstheme="minorHAnsi"/>
        </w:rPr>
      </w:pPr>
      <w:r w:rsidRPr="00CF3E94">
        <w:rPr>
          <w:rFonts w:cstheme="minorHAnsi"/>
        </w:rPr>
        <w:t>Identify the level of activity expected to occur in terms of “Bottom Line Growth” over the next three years as a percent of effort compared to “Top Line Growth” (together they should add to 100% of the Center’s direct effort, as identified by project count). (See Table 2 below.)  “Bottom Line Growth” focuses on projects and activities that typically involve lowering, improving, and controlling a client’s actual operating expenses including both the cost of goods sold (COGS) and general/ administrative expenses. Activities may involve projects expected to be in the following NIST MEP substance codes</w:t>
      </w:r>
      <w:r w:rsidRPr="00CF3E94">
        <w:rPr>
          <w:rStyle w:val="FootnoteReference"/>
          <w:rFonts w:cstheme="minorHAnsi"/>
        </w:rPr>
        <w:footnoteReference w:id="5"/>
      </w:r>
      <w:r w:rsidRPr="00CF3E94">
        <w:rPr>
          <w:rFonts w:cstheme="minorHAnsi"/>
        </w:rPr>
        <w:t xml:space="preserve">: </w:t>
      </w:r>
    </w:p>
    <w:p w:rsidRPr="00CF3E94" w:rsidR="001357E7" w:rsidP="001357E7" w:rsidRDefault="001357E7" w14:paraId="5CEDD7CF" w14:textId="77777777">
      <w:pPr>
        <w:spacing w:after="0" w:line="240" w:lineRule="auto"/>
        <w:ind w:left="720"/>
        <w:rPr>
          <w:rFonts w:cstheme="minorHAnsi"/>
        </w:rPr>
      </w:pPr>
    </w:p>
    <w:p w:rsidRPr="00CF3E94" w:rsidR="001357E7" w:rsidP="001357E7" w:rsidRDefault="001357E7" w14:paraId="2B7D0AE6" w14:textId="77777777">
      <w:pPr>
        <w:pStyle w:val="ListParagraph"/>
        <w:numPr>
          <w:ilvl w:val="0"/>
          <w:numId w:val="11"/>
        </w:numPr>
        <w:rPr>
          <w:rFonts w:asciiTheme="minorHAnsi" w:hAnsiTheme="minorHAnsi" w:eastAsiaTheme="minorEastAsia" w:cstheme="minorHAnsi"/>
          <w:kern w:val="24"/>
        </w:rPr>
      </w:pPr>
      <w:r w:rsidRPr="00CF3E94">
        <w:rPr>
          <w:rFonts w:asciiTheme="minorHAnsi" w:hAnsiTheme="minorHAnsi" w:cstheme="minorHAnsi"/>
        </w:rPr>
        <w:t>Lean Product Suite</w:t>
      </w:r>
    </w:p>
    <w:p w:rsidRPr="00CF3E94" w:rsidR="001357E7" w:rsidP="001357E7" w:rsidRDefault="001357E7" w14:paraId="7717E634" w14:textId="77777777">
      <w:pPr>
        <w:pStyle w:val="ListParagraph"/>
        <w:numPr>
          <w:ilvl w:val="0"/>
          <w:numId w:val="11"/>
        </w:numPr>
        <w:rPr>
          <w:rFonts w:asciiTheme="minorHAnsi" w:hAnsiTheme="minorHAnsi" w:eastAsiaTheme="minorEastAsia" w:cstheme="minorHAnsi"/>
          <w:kern w:val="24"/>
        </w:rPr>
      </w:pPr>
      <w:r w:rsidRPr="00CF3E94">
        <w:rPr>
          <w:rFonts w:asciiTheme="minorHAnsi" w:hAnsiTheme="minorHAnsi" w:cstheme="minorHAnsi"/>
        </w:rPr>
        <w:t>Quality Product Suite</w:t>
      </w:r>
    </w:p>
    <w:p w:rsidRPr="00CF3E94" w:rsidR="001357E7" w:rsidP="001357E7" w:rsidRDefault="001357E7" w14:paraId="6AE7521F" w14:textId="77777777">
      <w:pPr>
        <w:pStyle w:val="ListParagraph"/>
        <w:numPr>
          <w:ilvl w:val="0"/>
          <w:numId w:val="11"/>
        </w:numPr>
        <w:rPr>
          <w:rFonts w:asciiTheme="minorHAnsi" w:hAnsiTheme="minorHAnsi" w:eastAsiaTheme="minorEastAsia" w:cstheme="minorHAnsi"/>
          <w:kern w:val="24"/>
        </w:rPr>
      </w:pPr>
      <w:r w:rsidRPr="00CF3E94">
        <w:rPr>
          <w:rFonts w:asciiTheme="minorHAnsi" w:hAnsiTheme="minorHAnsi" w:cstheme="minorHAnsi"/>
        </w:rPr>
        <w:t>Engineering Services/Plant Layout</w:t>
      </w:r>
    </w:p>
    <w:p w:rsidRPr="00CF3E94" w:rsidR="001357E7" w:rsidP="001357E7" w:rsidRDefault="001357E7" w14:paraId="47466B91" w14:textId="77777777">
      <w:pPr>
        <w:pStyle w:val="ListParagraph"/>
        <w:numPr>
          <w:ilvl w:val="0"/>
          <w:numId w:val="11"/>
        </w:numPr>
        <w:rPr>
          <w:rFonts w:asciiTheme="minorHAnsi" w:hAnsiTheme="minorHAnsi" w:eastAsiaTheme="minorEastAsia" w:cstheme="minorHAnsi"/>
          <w:kern w:val="24"/>
        </w:rPr>
      </w:pPr>
      <w:r w:rsidRPr="00CF3E94">
        <w:rPr>
          <w:rFonts w:asciiTheme="minorHAnsi" w:hAnsiTheme="minorHAnsi" w:cstheme="minorHAnsi"/>
        </w:rPr>
        <w:t>Sustainability Services Suite</w:t>
      </w:r>
    </w:p>
    <w:p w:rsidRPr="00CF3E94" w:rsidR="001357E7" w:rsidP="001357E7" w:rsidRDefault="001357E7" w14:paraId="739980B3" w14:textId="77777777">
      <w:pPr>
        <w:pStyle w:val="ListParagraph"/>
        <w:numPr>
          <w:ilvl w:val="0"/>
          <w:numId w:val="11"/>
        </w:numPr>
        <w:rPr>
          <w:rFonts w:asciiTheme="minorHAnsi" w:hAnsiTheme="minorHAnsi" w:eastAsiaTheme="minorEastAsia" w:cstheme="minorHAnsi"/>
          <w:kern w:val="24"/>
        </w:rPr>
      </w:pPr>
      <w:r w:rsidRPr="00CF3E94">
        <w:rPr>
          <w:rFonts w:asciiTheme="minorHAnsi" w:hAnsiTheme="minorHAnsi" w:cstheme="minorHAnsi"/>
        </w:rPr>
        <w:t>Information Technology (IT) Services</w:t>
      </w:r>
    </w:p>
    <w:p w:rsidRPr="00CF3E94" w:rsidR="001357E7" w:rsidP="001357E7" w:rsidRDefault="001357E7" w14:paraId="62EB49DD" w14:textId="77777777">
      <w:pPr>
        <w:pStyle w:val="ListParagraph"/>
        <w:numPr>
          <w:ilvl w:val="0"/>
          <w:numId w:val="11"/>
        </w:numPr>
        <w:rPr>
          <w:rFonts w:asciiTheme="minorHAnsi" w:hAnsiTheme="minorHAnsi" w:eastAsiaTheme="minorEastAsia" w:cstheme="minorHAnsi"/>
          <w:kern w:val="24"/>
        </w:rPr>
      </w:pPr>
      <w:r w:rsidRPr="00CF3E94">
        <w:rPr>
          <w:rFonts w:asciiTheme="minorHAnsi" w:hAnsiTheme="minorHAnsi" w:cstheme="minorHAnsi"/>
        </w:rPr>
        <w:t>Workforce</w:t>
      </w:r>
      <w:r w:rsidRPr="00CF3E94" w:rsidDel="00D34268">
        <w:rPr>
          <w:rFonts w:asciiTheme="minorHAnsi" w:hAnsiTheme="minorHAnsi" w:cstheme="minorHAnsi"/>
        </w:rPr>
        <w:t xml:space="preserve"> </w:t>
      </w:r>
    </w:p>
    <w:p w:rsidRPr="00CF3E94" w:rsidR="001357E7" w:rsidP="001357E7" w:rsidRDefault="001357E7" w14:paraId="777D806B" w14:textId="77777777">
      <w:pPr>
        <w:spacing w:after="0" w:line="240" w:lineRule="auto"/>
        <w:ind w:left="1080"/>
        <w:rPr>
          <w:rFonts w:eastAsiaTheme="minorEastAsia" w:cstheme="minorHAnsi"/>
          <w:kern w:val="24"/>
        </w:rPr>
      </w:pPr>
    </w:p>
    <w:p w:rsidRPr="00CF3E94" w:rsidR="001357E7" w:rsidP="001357E7" w:rsidRDefault="001357E7" w14:paraId="24B4809C" w14:textId="77777777">
      <w:pPr>
        <w:spacing w:after="0" w:line="240" w:lineRule="auto"/>
        <w:ind w:left="720"/>
        <w:rPr>
          <w:rFonts w:eastAsiaTheme="minorEastAsia" w:cstheme="minorHAnsi"/>
          <w:kern w:val="24"/>
        </w:rPr>
      </w:pPr>
      <w:r w:rsidRPr="00CF3E94">
        <w:rPr>
          <w:rFonts w:eastAsiaTheme="minorEastAsia" w:cstheme="minorHAnsi"/>
          <w:kern w:val="24"/>
        </w:rPr>
        <w:t xml:space="preserve">Describe whether and how the Center is developing efforts, such as staff training, novel tools, or techniques, </w:t>
      </w:r>
      <w:proofErr w:type="gramStart"/>
      <w:r w:rsidRPr="00CF3E94">
        <w:rPr>
          <w:rFonts w:eastAsiaTheme="minorEastAsia" w:cstheme="minorHAnsi"/>
          <w:kern w:val="24"/>
        </w:rPr>
        <w:t>in the area of</w:t>
      </w:r>
      <w:proofErr w:type="gramEnd"/>
      <w:r w:rsidRPr="00CF3E94">
        <w:rPr>
          <w:rFonts w:eastAsiaTheme="minorEastAsia" w:cstheme="minorHAnsi"/>
          <w:kern w:val="24"/>
        </w:rPr>
        <w:t xml:space="preserve"> “Bottom Line Growth” that will be developed and deployed. </w:t>
      </w:r>
    </w:p>
    <w:p w:rsidRPr="00CF3E94" w:rsidR="001357E7" w:rsidP="001357E7" w:rsidRDefault="001357E7" w14:paraId="3BB69E57" w14:textId="77777777">
      <w:pPr>
        <w:pStyle w:val="Caption"/>
        <w:keepNext/>
        <w:rPr>
          <w:rFonts w:cstheme="minorHAnsi"/>
          <w:b/>
          <w:i w:val="0"/>
          <w:color w:val="auto"/>
          <w:sz w:val="22"/>
        </w:rPr>
      </w:pPr>
    </w:p>
    <w:p w:rsidRPr="00CF3E94" w:rsidR="001357E7" w:rsidP="001357E7" w:rsidRDefault="001357E7" w14:paraId="67E535E3" w14:textId="77777777">
      <w:pPr>
        <w:pStyle w:val="Caption"/>
        <w:keepNext/>
        <w:ind w:left="720"/>
        <w:rPr>
          <w:rFonts w:cstheme="minorHAnsi"/>
          <w:i w:val="0"/>
          <w:color w:val="auto"/>
          <w:sz w:val="22"/>
        </w:rPr>
      </w:pPr>
      <w:r w:rsidRPr="00CF3E94">
        <w:rPr>
          <w:rFonts w:cstheme="minorHAnsi"/>
          <w:b/>
          <w:i w:val="0"/>
          <w:color w:val="auto"/>
          <w:sz w:val="22"/>
        </w:rPr>
        <w:t xml:space="preserve">Table </w:t>
      </w:r>
      <w:r w:rsidRPr="00CF3E94">
        <w:rPr>
          <w:rFonts w:cstheme="minorHAnsi"/>
          <w:b/>
          <w:i w:val="0"/>
          <w:color w:val="auto"/>
          <w:sz w:val="22"/>
        </w:rPr>
        <w:fldChar w:fldCharType="begin"/>
      </w:r>
      <w:r w:rsidRPr="00CF3E94">
        <w:rPr>
          <w:rFonts w:cstheme="minorHAnsi"/>
          <w:b/>
          <w:i w:val="0"/>
          <w:color w:val="auto"/>
          <w:sz w:val="22"/>
        </w:rPr>
        <w:instrText xml:space="preserve"> SEQ Table \* ARABIC </w:instrText>
      </w:r>
      <w:r w:rsidRPr="00CF3E94">
        <w:rPr>
          <w:rFonts w:cstheme="minorHAnsi"/>
          <w:b/>
          <w:i w:val="0"/>
          <w:color w:val="auto"/>
          <w:sz w:val="22"/>
        </w:rPr>
        <w:fldChar w:fldCharType="separate"/>
      </w:r>
      <w:r w:rsidRPr="00CF3E94">
        <w:rPr>
          <w:rFonts w:cstheme="minorHAnsi"/>
          <w:b/>
          <w:i w:val="0"/>
          <w:noProof/>
          <w:color w:val="auto"/>
          <w:sz w:val="22"/>
        </w:rPr>
        <w:t>2</w:t>
      </w:r>
      <w:r w:rsidRPr="00CF3E94">
        <w:rPr>
          <w:rFonts w:cstheme="minorHAnsi"/>
          <w:b/>
          <w:i w:val="0"/>
          <w:color w:val="auto"/>
          <w:sz w:val="22"/>
        </w:rPr>
        <w:fldChar w:fldCharType="end"/>
      </w:r>
      <w:r w:rsidRPr="00CF3E94">
        <w:rPr>
          <w:rFonts w:cstheme="minorHAnsi"/>
          <w:b/>
          <w:i w:val="0"/>
          <w:color w:val="auto"/>
          <w:sz w:val="22"/>
        </w:rPr>
        <w:t xml:space="preserve">: Three Year Goals (Element II) </w:t>
      </w:r>
      <w:r w:rsidRPr="00CF3E94">
        <w:rPr>
          <w:rFonts w:eastAsiaTheme="minorEastAsia" w:cstheme="minorHAnsi"/>
          <w:color w:val="auto"/>
          <w:kern w:val="24"/>
        </w:rPr>
        <w:t>(Please note these percentages are examples, not NIST goals or expectations)</w:t>
      </w:r>
    </w:p>
    <w:tbl>
      <w:tblPr>
        <w:tblStyle w:val="LightList-Accent3"/>
        <w:tblW w:w="0" w:type="auto"/>
        <w:tblInd w:w="720" w:type="dxa"/>
        <w:tblBorders>
          <w:insideH w:val="single" w:color="A5A5A5" w:themeColor="accent3" w:sz="8" w:space="0"/>
          <w:insideV w:val="single" w:color="A5A5A5" w:themeColor="accent3" w:sz="8" w:space="0"/>
        </w:tblBorders>
        <w:tblLook w:val="04A0" w:firstRow="1" w:lastRow="0" w:firstColumn="1" w:lastColumn="0" w:noHBand="0" w:noVBand="1"/>
      </w:tblPr>
      <w:tblGrid>
        <w:gridCol w:w="2153"/>
        <w:gridCol w:w="2220"/>
        <w:gridCol w:w="2246"/>
        <w:gridCol w:w="2001"/>
      </w:tblGrid>
      <w:tr w:rsidRPr="00CF3E94" w:rsidR="001357E7" w:rsidTr="00512BE0" w14:paraId="7BCA74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vAlign w:val="center"/>
          </w:tcPr>
          <w:p w:rsidRPr="00CF3E94" w:rsidR="001357E7" w:rsidP="00512BE0" w:rsidRDefault="001357E7" w14:paraId="5F512DD7" w14:textId="77777777">
            <w:pPr>
              <w:jc w:val="center"/>
              <w:rPr>
                <w:rFonts w:cstheme="minorHAnsi"/>
                <w:b w:val="0"/>
                <w:color w:val="auto"/>
              </w:rPr>
            </w:pPr>
            <w:r w:rsidRPr="00CF3E94">
              <w:rPr>
                <w:rFonts w:cstheme="minorHAnsi"/>
                <w:b w:val="0"/>
                <w:color w:val="auto"/>
              </w:rPr>
              <w:t>Goal</w:t>
            </w:r>
          </w:p>
        </w:tc>
        <w:tc>
          <w:tcPr>
            <w:tcW w:w="2220" w:type="dxa"/>
            <w:vAlign w:val="center"/>
          </w:tcPr>
          <w:p w:rsidRPr="00CF3E94" w:rsidR="001357E7" w:rsidP="00512BE0" w:rsidRDefault="001357E7" w14:paraId="48586BEB"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CF3E94">
              <w:rPr>
                <w:rFonts w:cstheme="minorHAnsi"/>
                <w:b w:val="0"/>
                <w:color w:val="auto"/>
              </w:rPr>
              <w:t>Top-Line Growth</w:t>
            </w:r>
          </w:p>
        </w:tc>
        <w:tc>
          <w:tcPr>
            <w:tcW w:w="2246" w:type="dxa"/>
            <w:vAlign w:val="center"/>
          </w:tcPr>
          <w:p w:rsidRPr="00CF3E94" w:rsidR="001357E7" w:rsidP="00512BE0" w:rsidRDefault="001357E7" w14:paraId="0330F5E9"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CF3E94">
              <w:rPr>
                <w:rFonts w:cstheme="minorHAnsi"/>
                <w:b w:val="0"/>
                <w:color w:val="auto"/>
              </w:rPr>
              <w:t>Bottom-Line Growth</w:t>
            </w:r>
          </w:p>
        </w:tc>
        <w:tc>
          <w:tcPr>
            <w:tcW w:w="2001" w:type="dxa"/>
            <w:vAlign w:val="center"/>
          </w:tcPr>
          <w:p w:rsidRPr="00CF3E94" w:rsidR="001357E7" w:rsidP="00512BE0" w:rsidRDefault="001357E7" w14:paraId="08568F77"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CF3E94">
              <w:rPr>
                <w:rFonts w:cstheme="minorHAnsi"/>
                <w:b w:val="0"/>
                <w:color w:val="auto"/>
              </w:rPr>
              <w:t>Total Direct Client Effort</w:t>
            </w:r>
          </w:p>
        </w:tc>
      </w:tr>
      <w:tr w:rsidRPr="00CF3E94" w:rsidR="001357E7" w:rsidTr="00512BE0" w14:paraId="64D9BF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vAlign w:val="center"/>
          </w:tcPr>
          <w:p w:rsidRPr="00CF3E94" w:rsidR="001357E7" w:rsidP="00512BE0" w:rsidRDefault="001357E7" w14:paraId="20F60310" w14:textId="77777777">
            <w:pPr>
              <w:rPr>
                <w:rFonts w:cstheme="minorHAnsi"/>
              </w:rPr>
            </w:pPr>
            <w:r w:rsidRPr="00CF3E94">
              <w:rPr>
                <w:rFonts w:cstheme="minorHAnsi"/>
              </w:rPr>
              <w:t xml:space="preserve">Over Three Years </w:t>
            </w:r>
          </w:p>
        </w:tc>
        <w:tc>
          <w:tcPr>
            <w:tcW w:w="2220" w:type="dxa"/>
            <w:vAlign w:val="center"/>
          </w:tcPr>
          <w:p w:rsidRPr="00CF3E94" w:rsidR="001357E7" w:rsidP="00512BE0" w:rsidRDefault="001357E7" w14:paraId="18E03131"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F3E94">
              <w:rPr>
                <w:rFonts w:cstheme="minorHAnsi"/>
              </w:rPr>
              <w:t>60%</w:t>
            </w:r>
          </w:p>
        </w:tc>
        <w:tc>
          <w:tcPr>
            <w:tcW w:w="2246" w:type="dxa"/>
            <w:vAlign w:val="center"/>
          </w:tcPr>
          <w:p w:rsidRPr="00CF3E94" w:rsidR="001357E7" w:rsidP="00512BE0" w:rsidRDefault="001357E7" w14:paraId="6BCBD700"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F3E94">
              <w:rPr>
                <w:rFonts w:cstheme="minorHAnsi"/>
              </w:rPr>
              <w:t>40%</w:t>
            </w:r>
          </w:p>
        </w:tc>
        <w:tc>
          <w:tcPr>
            <w:tcW w:w="2001" w:type="dxa"/>
            <w:vAlign w:val="center"/>
          </w:tcPr>
          <w:p w:rsidRPr="00CF3E94" w:rsidR="001357E7" w:rsidP="00512BE0" w:rsidRDefault="001357E7" w14:paraId="06040FAB"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F3E94">
              <w:rPr>
                <w:rFonts w:cstheme="minorHAnsi"/>
              </w:rPr>
              <w:t>100%</w:t>
            </w:r>
          </w:p>
        </w:tc>
      </w:tr>
    </w:tbl>
    <w:p w:rsidRPr="00CF3E94" w:rsidR="001357E7" w:rsidP="001357E7" w:rsidRDefault="001357E7" w14:paraId="1096796A" w14:textId="77777777">
      <w:pPr>
        <w:spacing w:after="0" w:line="240" w:lineRule="auto"/>
        <w:rPr>
          <w:rFonts w:cstheme="minorHAnsi"/>
        </w:rPr>
      </w:pPr>
      <w:r w:rsidRPr="00CF3E94">
        <w:rPr>
          <w:rFonts w:cstheme="minorHAnsi"/>
        </w:rPr>
        <w:tab/>
      </w:r>
    </w:p>
    <w:p w:rsidRPr="00CF3E94" w:rsidR="001357E7" w:rsidP="001357E7" w:rsidRDefault="001357E7" w14:paraId="77BC8E47" w14:textId="77777777">
      <w:pPr>
        <w:spacing w:after="0" w:line="240" w:lineRule="auto"/>
        <w:ind w:left="720"/>
        <w:rPr>
          <w:rFonts w:cstheme="minorHAnsi"/>
          <w:b/>
          <w:i/>
          <w:u w:val="single"/>
        </w:rPr>
      </w:pPr>
      <w:r w:rsidRPr="00CF3E94">
        <w:rPr>
          <w:rFonts w:cstheme="minorHAnsi"/>
          <w:b/>
          <w:i/>
          <w:u w:val="single"/>
        </w:rPr>
        <w:t>c) Making New Technologies Available</w:t>
      </w:r>
    </w:p>
    <w:p w:rsidRPr="00CF3E94" w:rsidR="001357E7" w:rsidP="001357E7" w:rsidRDefault="001357E7" w14:paraId="17AB3188" w14:textId="77777777">
      <w:pPr>
        <w:spacing w:after="0" w:line="240" w:lineRule="auto"/>
        <w:ind w:left="720"/>
        <w:rPr>
          <w:rFonts w:cstheme="minorHAnsi"/>
          <w:b/>
        </w:rPr>
      </w:pPr>
    </w:p>
    <w:p w:rsidRPr="00CF3E94" w:rsidR="001357E7" w:rsidP="001357E7" w:rsidRDefault="001357E7" w14:paraId="1D97EC13" w14:textId="77777777">
      <w:pPr>
        <w:spacing w:after="0" w:line="240" w:lineRule="auto"/>
        <w:ind w:left="720"/>
        <w:rPr>
          <w:rFonts w:cstheme="minorHAnsi"/>
        </w:rPr>
      </w:pPr>
      <w:r w:rsidRPr="00CF3E94">
        <w:rPr>
          <w:rFonts w:cstheme="minorHAnsi"/>
        </w:rPr>
        <w:t xml:space="preserve">Identify all activities and goals the Center has for (1) making new technologies, products, and processes available to clients; and (2) working with potential providers of such technologies. Projects will typically focus on increasing the capability and capacity of small and mid-sized clients to absorb, deploy, and use new technologies to improve products and processes. This may involve projects focusing on transferring technologies from Federal labs, colleges/universities, or other for-profit or non-profit organizations to clients. This work may involve patenting, commercializing, prototyping, testing, and estimating the market/economic viability of new technologies, products, and processes. </w:t>
      </w:r>
    </w:p>
    <w:p w:rsidRPr="00CF3E94" w:rsidR="001357E7" w:rsidP="001357E7" w:rsidRDefault="001357E7" w14:paraId="68485B2F" w14:textId="77777777">
      <w:pPr>
        <w:spacing w:after="0" w:line="240" w:lineRule="auto"/>
        <w:ind w:left="720"/>
        <w:rPr>
          <w:rFonts w:cstheme="minorHAnsi"/>
          <w:b/>
        </w:rPr>
      </w:pPr>
    </w:p>
    <w:p w:rsidRPr="00CF3E94" w:rsidR="001357E7" w:rsidP="001357E7" w:rsidRDefault="001357E7" w14:paraId="3ADF0273" w14:textId="77777777">
      <w:pPr>
        <w:spacing w:after="0" w:line="240" w:lineRule="auto"/>
        <w:ind w:left="720"/>
        <w:rPr>
          <w:rFonts w:cstheme="minorHAnsi"/>
          <w:b/>
          <w:i/>
          <w:u w:val="single"/>
        </w:rPr>
      </w:pPr>
      <w:r w:rsidRPr="00CF3E94">
        <w:rPr>
          <w:rFonts w:cstheme="minorHAnsi"/>
          <w:b/>
          <w:i/>
          <w:u w:val="single"/>
        </w:rPr>
        <w:t>d) Other Key Initiatives of the Center</w:t>
      </w:r>
    </w:p>
    <w:p w:rsidRPr="00CF3E94" w:rsidR="001357E7" w:rsidP="001357E7" w:rsidRDefault="001357E7" w14:paraId="186DD098" w14:textId="77777777">
      <w:pPr>
        <w:spacing w:after="0" w:line="240" w:lineRule="auto"/>
        <w:ind w:left="720"/>
        <w:rPr>
          <w:rFonts w:cstheme="minorHAnsi"/>
          <w:b/>
        </w:rPr>
      </w:pPr>
    </w:p>
    <w:p w:rsidRPr="00CF3E94" w:rsidR="001357E7" w:rsidP="001357E7" w:rsidRDefault="001357E7" w14:paraId="47E81064" w14:textId="77777777">
      <w:pPr>
        <w:spacing w:after="0" w:line="240" w:lineRule="auto"/>
        <w:ind w:left="720"/>
        <w:rPr>
          <w:rFonts w:cstheme="minorHAnsi"/>
        </w:rPr>
      </w:pPr>
      <w:r w:rsidRPr="00CF3E94">
        <w:rPr>
          <w:rFonts w:cstheme="minorHAnsi"/>
        </w:rPr>
        <w:t>Identify outcomes of the Center’s other key initiatives and activities during the three years, which are not identified elsewhere. The discussion should include the following:</w:t>
      </w:r>
    </w:p>
    <w:p w:rsidRPr="00CF3E94" w:rsidR="001357E7" w:rsidP="001357E7" w:rsidRDefault="001357E7" w14:paraId="2CC99682" w14:textId="77777777">
      <w:pPr>
        <w:spacing w:after="0" w:line="240" w:lineRule="auto"/>
        <w:ind w:left="720"/>
        <w:rPr>
          <w:rFonts w:cstheme="minorHAnsi"/>
        </w:rPr>
      </w:pPr>
    </w:p>
    <w:p w:rsidRPr="00CF3E94" w:rsidR="001357E7" w:rsidP="001357E7" w:rsidRDefault="001357E7" w14:paraId="4C9FCC52" w14:textId="77777777">
      <w:pPr>
        <w:pStyle w:val="ListParagraph"/>
        <w:numPr>
          <w:ilvl w:val="1"/>
          <w:numId w:val="12"/>
        </w:numPr>
        <w:rPr>
          <w:rFonts w:asciiTheme="minorHAnsi" w:hAnsiTheme="minorHAnsi" w:cstheme="minorHAnsi"/>
        </w:rPr>
      </w:pPr>
      <w:r w:rsidRPr="00CF3E94">
        <w:rPr>
          <w:rFonts w:asciiTheme="minorHAnsi" w:hAnsiTheme="minorHAnsi" w:cstheme="minorHAnsi"/>
        </w:rPr>
        <w:lastRenderedPageBreak/>
        <w:t>Summarize key initiatives including a description of the Center’s measurable, defined objectives for the three operating years. As a reminder, responses must be submitted as text. While bulleted lists are acceptable, tables are not.</w:t>
      </w:r>
    </w:p>
    <w:p w:rsidRPr="00CF3E94" w:rsidR="001357E7" w:rsidP="001357E7" w:rsidRDefault="001357E7" w14:paraId="296E507D" w14:textId="77777777">
      <w:pPr>
        <w:pStyle w:val="ListParagraph"/>
        <w:numPr>
          <w:ilvl w:val="1"/>
          <w:numId w:val="12"/>
        </w:numPr>
        <w:rPr>
          <w:rFonts w:asciiTheme="minorHAnsi" w:hAnsiTheme="minorHAnsi" w:cstheme="minorHAnsi"/>
        </w:rPr>
      </w:pPr>
      <w:r w:rsidRPr="00CF3E94">
        <w:rPr>
          <w:rFonts w:asciiTheme="minorHAnsi" w:hAnsiTheme="minorHAnsi" w:cstheme="minorHAnsi"/>
        </w:rPr>
        <w:t>Describe proposed actions the Center will take to achieve its goals during the three operating years.</w:t>
      </w:r>
    </w:p>
    <w:p w:rsidRPr="00CF3E94" w:rsidR="001357E7" w:rsidP="001357E7" w:rsidRDefault="001357E7" w14:paraId="08129811" w14:textId="070C5041">
      <w:pPr>
        <w:pStyle w:val="ListParagraph"/>
        <w:numPr>
          <w:ilvl w:val="1"/>
          <w:numId w:val="12"/>
        </w:numPr>
        <w:rPr>
          <w:rFonts w:asciiTheme="minorHAnsi" w:hAnsiTheme="minorHAnsi" w:cstheme="minorHAnsi"/>
        </w:rPr>
      </w:pPr>
      <w:r w:rsidRPr="00CF3E94">
        <w:rPr>
          <w:rFonts w:asciiTheme="minorHAnsi" w:hAnsiTheme="minorHAnsi" w:cstheme="minorHAnsi"/>
        </w:rPr>
        <w:t xml:space="preserve">Describe resources necessary to support service delivery including staff and </w:t>
      </w:r>
      <w:r w:rsidRPr="00CF3E94" w:rsidR="005E5A5B">
        <w:rPr>
          <w:rFonts w:asciiTheme="minorHAnsi" w:hAnsiTheme="minorHAnsi" w:cstheme="minorHAnsi"/>
        </w:rPr>
        <w:t>third-party</w:t>
      </w:r>
      <w:r w:rsidRPr="00CF3E94">
        <w:rPr>
          <w:rFonts w:asciiTheme="minorHAnsi" w:hAnsiTheme="minorHAnsi" w:cstheme="minorHAnsi"/>
        </w:rPr>
        <w:t xml:space="preserve"> partners.</w:t>
      </w:r>
    </w:p>
    <w:p w:rsidRPr="00CF3E94" w:rsidR="001357E7" w:rsidP="001357E7" w:rsidRDefault="001357E7" w14:paraId="4C6070AF" w14:textId="77777777">
      <w:pPr>
        <w:rPr>
          <w:rFonts w:cstheme="minorHAnsi"/>
          <w:b/>
          <w:i/>
          <w:u w:val="single"/>
        </w:rPr>
      </w:pPr>
    </w:p>
    <w:p w:rsidRPr="00CF3E94" w:rsidR="001357E7" w:rsidP="001357E7" w:rsidRDefault="001357E7" w14:paraId="2ACFBF5E" w14:textId="77777777">
      <w:pPr>
        <w:spacing w:after="0" w:line="240" w:lineRule="auto"/>
        <w:ind w:left="720"/>
        <w:rPr>
          <w:rFonts w:cstheme="minorHAnsi"/>
          <w:b/>
          <w:i/>
          <w:u w:val="single"/>
        </w:rPr>
      </w:pPr>
      <w:r w:rsidRPr="00CF3E94">
        <w:rPr>
          <w:rFonts w:cstheme="minorHAnsi"/>
          <w:b/>
          <w:i/>
          <w:u w:val="single"/>
        </w:rPr>
        <w:t>e) Oversight Board Development</w:t>
      </w:r>
    </w:p>
    <w:p w:rsidRPr="00CF3E94" w:rsidR="001357E7" w:rsidP="001357E7" w:rsidRDefault="001357E7" w14:paraId="7EED5229" w14:textId="77777777">
      <w:pPr>
        <w:spacing w:after="0" w:line="240" w:lineRule="auto"/>
        <w:ind w:left="720"/>
        <w:rPr>
          <w:rFonts w:cstheme="minorHAnsi"/>
          <w:b/>
        </w:rPr>
      </w:pPr>
    </w:p>
    <w:p w:rsidRPr="00CF3E94" w:rsidR="001357E7" w:rsidP="001357E7" w:rsidRDefault="001357E7" w14:paraId="7175E700" w14:textId="77777777">
      <w:pPr>
        <w:spacing w:after="0" w:line="240" w:lineRule="auto"/>
        <w:ind w:left="720"/>
        <w:rPr>
          <w:rFonts w:cstheme="minorHAnsi"/>
        </w:rPr>
      </w:pPr>
      <w:r w:rsidRPr="00CF3E94">
        <w:rPr>
          <w:rFonts w:cstheme="minorHAnsi"/>
        </w:rPr>
        <w:t xml:space="preserve">Identify the goals and outcomes of any oversight board development efforts anticipated during the three operating years. If necessary, discuss how the Center will work to comply with the NIST MEP General Terms and Conditions regarding Center Oversight Boards. </w:t>
      </w:r>
    </w:p>
    <w:p w:rsidRPr="00CF3E94" w:rsidR="001357E7" w:rsidP="001357E7" w:rsidRDefault="001357E7" w14:paraId="532BF1CC" w14:textId="77777777">
      <w:pPr>
        <w:spacing w:after="0" w:line="240" w:lineRule="auto"/>
        <w:ind w:left="720"/>
        <w:rPr>
          <w:rFonts w:cstheme="minorHAnsi"/>
        </w:rPr>
      </w:pPr>
    </w:p>
    <w:p w:rsidRPr="00CF3E94" w:rsidR="001357E7" w:rsidP="001357E7" w:rsidRDefault="001357E7" w14:paraId="57E7F041" w14:textId="77777777">
      <w:pPr>
        <w:pStyle w:val="Heading2"/>
        <w:rPr>
          <w:rFonts w:asciiTheme="minorHAnsi" w:hAnsiTheme="minorHAnsi" w:cstheme="minorHAnsi"/>
          <w:sz w:val="26"/>
          <w:szCs w:val="26"/>
        </w:rPr>
      </w:pPr>
      <w:bookmarkStart w:name="_Toc509302754" w:id="7"/>
      <w:r w:rsidRPr="00CF3E94">
        <w:rPr>
          <w:rFonts w:asciiTheme="minorHAnsi" w:hAnsiTheme="minorHAnsi" w:cstheme="minorHAnsi"/>
          <w:sz w:val="26"/>
          <w:szCs w:val="26"/>
        </w:rPr>
        <w:t>Element III: Performance Measures</w:t>
      </w:r>
      <w:bookmarkEnd w:id="7"/>
    </w:p>
    <w:p w:rsidRPr="00CF3E94" w:rsidR="001357E7" w:rsidP="001357E7" w:rsidRDefault="001357E7" w14:paraId="77F8E2F3" w14:textId="77777777">
      <w:pPr>
        <w:spacing w:after="0" w:line="240" w:lineRule="auto"/>
        <w:rPr>
          <w:rFonts w:cstheme="minorHAnsi"/>
        </w:rPr>
      </w:pPr>
      <w:r w:rsidRPr="00CF3E94">
        <w:rPr>
          <w:rFonts w:cstheme="minorHAnsi"/>
        </w:rPr>
        <w:t xml:space="preserve">Identify the level of outcome and output measures the Center seeks to achieve beyond the specific client counts enumerated above. These measures may include the performance measures used historically by NIST MEP as well as any specific metrics that the Center will use to guide its strategic goals. These measures should focus, at a minimum, on three areas: (1) economic impact; (2) market penetration; and (3) financial viability. </w:t>
      </w:r>
    </w:p>
    <w:p w:rsidRPr="00CF3E94" w:rsidR="001357E7" w:rsidP="001357E7" w:rsidRDefault="001357E7" w14:paraId="22276F5A" w14:textId="77777777">
      <w:pPr>
        <w:spacing w:after="0" w:line="240" w:lineRule="auto"/>
        <w:rPr>
          <w:rFonts w:cstheme="minorHAnsi"/>
        </w:rPr>
      </w:pPr>
    </w:p>
    <w:p w:rsidRPr="00CF3E94" w:rsidR="001357E7" w:rsidP="001357E7" w:rsidRDefault="001357E7" w14:paraId="5DE798E6" w14:textId="77777777">
      <w:pPr>
        <w:spacing w:after="0" w:line="240" w:lineRule="auto"/>
        <w:rPr>
          <w:rFonts w:cstheme="minorHAnsi"/>
        </w:rPr>
      </w:pPr>
      <w:r w:rsidRPr="00CF3E94">
        <w:rPr>
          <w:rFonts w:cstheme="minorHAnsi"/>
        </w:rPr>
        <w:t>Other measures may include efficiency measures, customer/client satisfaction, employee satisfaction, or other measures the Center uses to guide the strategic direction and management of operations.</w:t>
      </w:r>
    </w:p>
    <w:p w:rsidRPr="00CF3E94" w:rsidR="001357E7" w:rsidP="00776379" w:rsidRDefault="001357E7" w14:paraId="45F30167" w14:textId="6C35B732">
      <w:pPr>
        <w:rPr>
          <w:rFonts w:cstheme="minorHAnsi"/>
          <w:b/>
          <w:bCs/>
          <w:sz w:val="24"/>
          <w:szCs w:val="24"/>
        </w:rPr>
      </w:pPr>
    </w:p>
    <w:p w:rsidR="006F4819" w:rsidP="00776379" w:rsidRDefault="006F4819" w14:paraId="63C1F3F8" w14:textId="6E4C2BC5">
      <w:pPr>
        <w:rPr>
          <w:rFonts w:cstheme="minorHAnsi"/>
          <w:b/>
          <w:bCs/>
          <w:sz w:val="24"/>
          <w:szCs w:val="24"/>
        </w:rPr>
      </w:pPr>
    </w:p>
    <w:p w:rsidR="00CF3E94" w:rsidP="00776379" w:rsidRDefault="00CF3E94" w14:paraId="7B38219E" w14:textId="336EB0BF">
      <w:pPr>
        <w:rPr>
          <w:rFonts w:cstheme="minorHAnsi"/>
          <w:b/>
          <w:bCs/>
          <w:sz w:val="24"/>
          <w:szCs w:val="24"/>
        </w:rPr>
      </w:pPr>
    </w:p>
    <w:p w:rsidR="00CF3E94" w:rsidP="00776379" w:rsidRDefault="00CF3E94" w14:paraId="387F5D17" w14:textId="0922FCB2">
      <w:pPr>
        <w:rPr>
          <w:rFonts w:cstheme="minorHAnsi"/>
          <w:b/>
          <w:bCs/>
          <w:sz w:val="24"/>
          <w:szCs w:val="24"/>
        </w:rPr>
      </w:pPr>
    </w:p>
    <w:p w:rsidR="00CF3E94" w:rsidP="00776379" w:rsidRDefault="00CF3E94" w14:paraId="1E44FB21" w14:textId="5762D8E2">
      <w:pPr>
        <w:rPr>
          <w:rFonts w:cstheme="minorHAnsi"/>
          <w:b/>
          <w:bCs/>
          <w:sz w:val="24"/>
          <w:szCs w:val="24"/>
        </w:rPr>
      </w:pPr>
    </w:p>
    <w:p w:rsidR="00CF3E94" w:rsidP="00776379" w:rsidRDefault="00CF3E94" w14:paraId="06274347" w14:textId="2B4CA0DC">
      <w:pPr>
        <w:rPr>
          <w:rFonts w:cstheme="minorHAnsi"/>
          <w:b/>
          <w:bCs/>
          <w:sz w:val="24"/>
          <w:szCs w:val="24"/>
        </w:rPr>
      </w:pPr>
    </w:p>
    <w:p w:rsidR="00CF3E94" w:rsidP="00776379" w:rsidRDefault="00CF3E94" w14:paraId="35C3D5E3" w14:textId="34F1479F">
      <w:pPr>
        <w:rPr>
          <w:rFonts w:cstheme="minorHAnsi"/>
          <w:b/>
          <w:bCs/>
          <w:sz w:val="24"/>
          <w:szCs w:val="24"/>
        </w:rPr>
      </w:pPr>
    </w:p>
    <w:p w:rsidR="003D5991" w:rsidP="00776379" w:rsidRDefault="003D5991" w14:paraId="420A2BD0" w14:textId="77777777">
      <w:pPr>
        <w:rPr>
          <w:rFonts w:cstheme="minorHAnsi"/>
          <w:b/>
          <w:bCs/>
          <w:sz w:val="24"/>
          <w:szCs w:val="24"/>
        </w:rPr>
      </w:pPr>
    </w:p>
    <w:p w:rsidR="003D5991" w:rsidP="00776379" w:rsidRDefault="003D5991" w14:paraId="74A9A88B" w14:textId="77777777">
      <w:pPr>
        <w:rPr>
          <w:rFonts w:cstheme="minorHAnsi"/>
          <w:b/>
          <w:bCs/>
          <w:sz w:val="24"/>
          <w:szCs w:val="24"/>
        </w:rPr>
      </w:pPr>
    </w:p>
    <w:p w:rsidR="003D5991" w:rsidP="00776379" w:rsidRDefault="003D5991" w14:paraId="2BAB4D6E" w14:textId="77777777">
      <w:pPr>
        <w:rPr>
          <w:rFonts w:cstheme="minorHAnsi"/>
          <w:b/>
          <w:bCs/>
          <w:sz w:val="24"/>
          <w:szCs w:val="24"/>
        </w:rPr>
      </w:pPr>
    </w:p>
    <w:p w:rsidR="003D5991" w:rsidP="00776379" w:rsidRDefault="003D5991" w14:paraId="0450FA12" w14:textId="77777777">
      <w:pPr>
        <w:rPr>
          <w:rFonts w:cstheme="minorHAnsi"/>
          <w:b/>
          <w:bCs/>
          <w:sz w:val="24"/>
          <w:szCs w:val="24"/>
        </w:rPr>
      </w:pPr>
    </w:p>
    <w:p w:rsidR="003D5991" w:rsidP="00776379" w:rsidRDefault="003D5991" w14:paraId="6A96A722" w14:textId="77777777">
      <w:pPr>
        <w:rPr>
          <w:rFonts w:cstheme="minorHAnsi"/>
          <w:b/>
          <w:bCs/>
          <w:sz w:val="24"/>
          <w:szCs w:val="24"/>
        </w:rPr>
      </w:pPr>
    </w:p>
    <w:p w:rsidR="003D5991" w:rsidP="00776379" w:rsidRDefault="003D5991" w14:paraId="1EEDBD65" w14:textId="77777777">
      <w:pPr>
        <w:rPr>
          <w:rFonts w:cstheme="minorHAnsi"/>
          <w:b/>
          <w:bCs/>
          <w:sz w:val="24"/>
          <w:szCs w:val="24"/>
        </w:rPr>
      </w:pPr>
    </w:p>
    <w:p w:rsidR="003D5991" w:rsidP="00776379" w:rsidRDefault="003D5991" w14:paraId="68E6A69B" w14:textId="77777777">
      <w:pPr>
        <w:rPr>
          <w:rFonts w:cstheme="minorHAnsi"/>
          <w:b/>
          <w:bCs/>
          <w:sz w:val="24"/>
          <w:szCs w:val="24"/>
        </w:rPr>
      </w:pPr>
    </w:p>
    <w:p w:rsidR="003D5991" w:rsidP="00776379" w:rsidRDefault="003D5991" w14:paraId="55A6111E" w14:textId="77777777">
      <w:pPr>
        <w:rPr>
          <w:rFonts w:cstheme="minorHAnsi"/>
          <w:b/>
          <w:bCs/>
          <w:sz w:val="24"/>
          <w:szCs w:val="24"/>
        </w:rPr>
      </w:pPr>
    </w:p>
    <w:p w:rsidRPr="00CF3E94" w:rsidR="00776379" w:rsidP="00776379" w:rsidRDefault="00776379" w14:paraId="498AEA5F" w14:textId="73927BD8">
      <w:pPr>
        <w:rPr>
          <w:rFonts w:cstheme="minorHAnsi"/>
          <w:b/>
          <w:bCs/>
          <w:sz w:val="24"/>
          <w:szCs w:val="24"/>
        </w:rPr>
      </w:pPr>
      <w:r w:rsidRPr="00CF3E94">
        <w:rPr>
          <w:rFonts w:cstheme="minorHAnsi"/>
          <w:b/>
          <w:bCs/>
          <w:sz w:val="24"/>
          <w:szCs w:val="24"/>
        </w:rPr>
        <w:lastRenderedPageBreak/>
        <w:t xml:space="preserve">APPENDIX </w:t>
      </w:r>
      <w:r w:rsidRPr="00CF3E94" w:rsidR="00C735FF">
        <w:rPr>
          <w:rFonts w:cstheme="minorHAnsi"/>
          <w:b/>
          <w:bCs/>
          <w:sz w:val="24"/>
          <w:szCs w:val="24"/>
        </w:rPr>
        <w:t>2</w:t>
      </w:r>
      <w:r w:rsidRPr="00CF3E94">
        <w:rPr>
          <w:rFonts w:cstheme="minorHAnsi"/>
          <w:b/>
          <w:bCs/>
          <w:sz w:val="24"/>
          <w:szCs w:val="24"/>
        </w:rPr>
        <w:t>: REFERENCES</w:t>
      </w:r>
    </w:p>
    <w:p w:rsidRPr="00CF3E94" w:rsidR="00120124" w:rsidP="00120124" w:rsidRDefault="00120124" w14:paraId="1243CC61" w14:textId="77777777">
      <w:pPr>
        <w:spacing w:after="0" w:line="240" w:lineRule="auto"/>
        <w:rPr>
          <w:rFonts w:cstheme="minorHAnsi"/>
          <w:b/>
        </w:rPr>
      </w:pPr>
      <w:r w:rsidRPr="00CF3E94">
        <w:rPr>
          <w:rFonts w:cstheme="minorHAnsi"/>
          <w:b/>
        </w:rPr>
        <w:t>General Federal Regulations</w:t>
      </w:r>
    </w:p>
    <w:p w:rsidRPr="00CF3E94" w:rsidR="00120124" w:rsidP="00120124" w:rsidRDefault="00BC5C25" w14:paraId="4E04612E" w14:textId="77777777">
      <w:pPr>
        <w:pStyle w:val="ListParagraph"/>
        <w:numPr>
          <w:ilvl w:val="0"/>
          <w:numId w:val="14"/>
        </w:numPr>
        <w:rPr>
          <w:rFonts w:asciiTheme="minorHAnsi" w:hAnsiTheme="minorHAnsi" w:cstheme="minorHAnsi"/>
        </w:rPr>
      </w:pPr>
      <w:hyperlink w:history="1" r:id="rId18">
        <w:r w:rsidRPr="00CF3E94" w:rsidR="00120124">
          <w:rPr>
            <w:rStyle w:val="Hyperlink"/>
            <w:rFonts w:asciiTheme="minorHAnsi" w:hAnsiTheme="minorHAnsi" w:cstheme="minorHAnsi"/>
            <w:color w:val="auto"/>
          </w:rPr>
          <w:t>2 C.F.R. Part 200</w:t>
        </w:r>
      </w:hyperlink>
      <w:r w:rsidRPr="00CF3E94" w:rsidR="00120124">
        <w:rPr>
          <w:rFonts w:asciiTheme="minorHAnsi" w:hAnsiTheme="minorHAnsi" w:cstheme="minorHAnsi"/>
        </w:rPr>
        <w:t xml:space="preserve"> Uniform Administrative Requirements, Cost Principles, and Audit Requirements for Federal Awards</w:t>
      </w:r>
    </w:p>
    <w:p w:rsidRPr="00CF3E94" w:rsidR="00120124" w:rsidP="00120124" w:rsidRDefault="00120124" w14:paraId="1911078B" w14:textId="77777777">
      <w:pPr>
        <w:pStyle w:val="ListParagraph"/>
        <w:numPr>
          <w:ilvl w:val="0"/>
          <w:numId w:val="14"/>
        </w:numPr>
        <w:rPr>
          <w:rFonts w:asciiTheme="minorHAnsi" w:hAnsiTheme="minorHAnsi" w:cstheme="minorHAnsi"/>
        </w:rPr>
      </w:pPr>
      <w:r w:rsidRPr="00CF3E94">
        <w:rPr>
          <w:rFonts w:asciiTheme="minorHAnsi" w:hAnsiTheme="minorHAnsi" w:cstheme="minorHAnsi"/>
        </w:rPr>
        <w:t xml:space="preserve">Council on Financial Assistance Reform (COFAR): </w:t>
      </w:r>
      <w:hyperlink w:history="1" r:id="rId19">
        <w:r w:rsidRPr="00CF3E94">
          <w:rPr>
            <w:rStyle w:val="Hyperlink"/>
            <w:rFonts w:asciiTheme="minorHAnsi" w:hAnsiTheme="minorHAnsi" w:cstheme="minorHAnsi"/>
            <w:color w:val="auto"/>
          </w:rPr>
          <w:t>https://cfo.gov/cofar/</w:t>
        </w:r>
      </w:hyperlink>
      <w:r w:rsidRPr="00CF3E94">
        <w:rPr>
          <w:rFonts w:asciiTheme="minorHAnsi" w:hAnsiTheme="minorHAnsi" w:cstheme="minorHAnsi"/>
        </w:rPr>
        <w:t xml:space="preserve"> </w:t>
      </w:r>
    </w:p>
    <w:p w:rsidRPr="00CF3E94" w:rsidR="00120124" w:rsidP="00120124" w:rsidRDefault="00120124" w14:paraId="3D5B0D34" w14:textId="77777777">
      <w:pPr>
        <w:pStyle w:val="ListParagraph"/>
        <w:numPr>
          <w:ilvl w:val="0"/>
          <w:numId w:val="14"/>
        </w:numPr>
        <w:rPr>
          <w:rFonts w:asciiTheme="minorHAnsi" w:hAnsiTheme="minorHAnsi" w:cstheme="minorHAnsi"/>
        </w:rPr>
      </w:pPr>
      <w:r w:rsidRPr="00CF3E94">
        <w:rPr>
          <w:rFonts w:asciiTheme="minorHAnsi" w:hAnsiTheme="minorHAnsi" w:cstheme="minorHAnsi"/>
        </w:rPr>
        <w:t xml:space="preserve">2 CFR 200 Frequently Asked Questions: </w:t>
      </w:r>
      <w:hyperlink w:history="1" r:id="rId20">
        <w:r w:rsidRPr="00CF3E94">
          <w:rPr>
            <w:rStyle w:val="Hyperlink"/>
            <w:rFonts w:asciiTheme="minorHAnsi" w:hAnsiTheme="minorHAnsi" w:cstheme="minorHAnsi"/>
            <w:color w:val="auto"/>
          </w:rPr>
          <w:t>https://www.cfo.gov/assets/files/2CFR-FrequentlyAskedQuestions_2021050321.pdf</w:t>
        </w:r>
      </w:hyperlink>
      <w:r w:rsidRPr="00CF3E94">
        <w:rPr>
          <w:rFonts w:asciiTheme="minorHAnsi" w:hAnsiTheme="minorHAnsi" w:cstheme="minorHAnsi"/>
        </w:rPr>
        <w:t xml:space="preserve"> </w:t>
      </w:r>
    </w:p>
    <w:p w:rsidRPr="00CF3E94" w:rsidR="00120124" w:rsidP="00120124" w:rsidRDefault="00BC5C25" w14:paraId="69165616" w14:textId="77777777">
      <w:pPr>
        <w:pStyle w:val="ListParagraph"/>
        <w:numPr>
          <w:ilvl w:val="0"/>
          <w:numId w:val="14"/>
        </w:numPr>
        <w:rPr>
          <w:rFonts w:asciiTheme="minorHAnsi" w:hAnsiTheme="minorHAnsi" w:cstheme="minorHAnsi"/>
        </w:rPr>
      </w:pPr>
      <w:hyperlink w:history="1" r:id="rId21">
        <w:r w:rsidRPr="00CF3E94" w:rsidR="00120124">
          <w:rPr>
            <w:rStyle w:val="Hyperlink"/>
            <w:rFonts w:asciiTheme="minorHAnsi" w:hAnsiTheme="minorHAnsi" w:cstheme="minorHAnsi"/>
            <w:color w:val="auto"/>
          </w:rPr>
          <w:t>2 C.F.R. Part 1326</w:t>
        </w:r>
      </w:hyperlink>
      <w:r w:rsidRPr="00CF3E94" w:rsidR="00120124">
        <w:rPr>
          <w:rFonts w:asciiTheme="minorHAnsi" w:hAnsiTheme="minorHAnsi" w:cstheme="minorHAnsi"/>
        </w:rPr>
        <w:t>, Department of Commerce Implementation of OMB Guidance on Non-procurement Debarment and Suspension</w:t>
      </w:r>
    </w:p>
    <w:p w:rsidRPr="00CF3E94" w:rsidR="00120124" w:rsidP="00120124" w:rsidRDefault="00120124" w14:paraId="18F16DCD" w14:textId="77777777">
      <w:pPr>
        <w:spacing w:after="0" w:line="240" w:lineRule="auto"/>
        <w:rPr>
          <w:rFonts w:cstheme="minorHAnsi"/>
          <w:b/>
        </w:rPr>
      </w:pPr>
    </w:p>
    <w:p w:rsidRPr="00CF3E94" w:rsidR="00120124" w:rsidP="00120124" w:rsidRDefault="00120124" w14:paraId="010E02DB" w14:textId="77777777">
      <w:pPr>
        <w:spacing w:after="0" w:line="240" w:lineRule="auto"/>
        <w:rPr>
          <w:rFonts w:cstheme="minorHAnsi"/>
          <w:b/>
        </w:rPr>
      </w:pPr>
      <w:r w:rsidRPr="00CF3E94">
        <w:rPr>
          <w:rFonts w:cstheme="minorHAnsi"/>
          <w:b/>
        </w:rPr>
        <w:t>Department of Commerce Regulations and Policies</w:t>
      </w:r>
    </w:p>
    <w:p w:rsidRPr="00CF3E94" w:rsidR="00120124" w:rsidP="00120124" w:rsidRDefault="00BC5C25" w14:paraId="11903393" w14:textId="77777777">
      <w:pPr>
        <w:pStyle w:val="ListParagraph"/>
        <w:numPr>
          <w:ilvl w:val="0"/>
          <w:numId w:val="14"/>
        </w:numPr>
        <w:rPr>
          <w:rFonts w:asciiTheme="minorHAnsi" w:hAnsiTheme="minorHAnsi" w:cstheme="minorHAnsi"/>
        </w:rPr>
      </w:pPr>
      <w:hyperlink w:history="1" r:id="rId22">
        <w:r w:rsidRPr="00CF3E94" w:rsidR="00120124">
          <w:rPr>
            <w:rStyle w:val="Hyperlink"/>
            <w:rFonts w:asciiTheme="minorHAnsi" w:hAnsiTheme="minorHAnsi" w:cstheme="minorHAnsi"/>
            <w:color w:val="auto"/>
          </w:rPr>
          <w:t>15 C.F.R. Part 28, Appendix A</w:t>
        </w:r>
      </w:hyperlink>
      <w:r w:rsidRPr="00CF3E94" w:rsidR="00120124">
        <w:rPr>
          <w:rFonts w:asciiTheme="minorHAnsi" w:hAnsiTheme="minorHAnsi" w:cstheme="minorHAnsi"/>
        </w:rPr>
        <w:t>, Certification Regarding Lobbying</w:t>
      </w:r>
    </w:p>
    <w:p w:rsidRPr="00CF3E94" w:rsidR="00120124" w:rsidP="00120124" w:rsidRDefault="00BC5C25" w14:paraId="641741BA" w14:textId="77777777">
      <w:pPr>
        <w:pStyle w:val="ListParagraph"/>
        <w:numPr>
          <w:ilvl w:val="0"/>
          <w:numId w:val="14"/>
        </w:numPr>
        <w:rPr>
          <w:rFonts w:asciiTheme="minorHAnsi" w:hAnsiTheme="minorHAnsi" w:cstheme="minorHAnsi"/>
        </w:rPr>
      </w:pPr>
      <w:hyperlink w:history="1" r:id="rId23">
        <w:r w:rsidRPr="00CF3E94" w:rsidR="00120124">
          <w:rPr>
            <w:rStyle w:val="Hyperlink"/>
            <w:rFonts w:asciiTheme="minorHAnsi" w:hAnsiTheme="minorHAnsi" w:cstheme="minorHAnsi"/>
            <w:color w:val="auto"/>
          </w:rPr>
          <w:t>15 C.F.R. Part 29</w:t>
        </w:r>
      </w:hyperlink>
      <w:r w:rsidRPr="00CF3E94" w:rsidR="00120124">
        <w:rPr>
          <w:rFonts w:asciiTheme="minorHAnsi" w:hAnsiTheme="minorHAnsi" w:cstheme="minorHAnsi"/>
        </w:rPr>
        <w:t>,  Government-wide Requirements for Drug-Free Workplace (Financial Assistance)</w:t>
      </w:r>
    </w:p>
    <w:p w:rsidRPr="00CF3E94" w:rsidR="00120124" w:rsidP="00120124" w:rsidRDefault="00120124" w14:paraId="6B41722B" w14:textId="789D5587">
      <w:pPr>
        <w:pStyle w:val="ListParagraph"/>
        <w:numPr>
          <w:ilvl w:val="0"/>
          <w:numId w:val="14"/>
        </w:numPr>
        <w:rPr>
          <w:rFonts w:asciiTheme="minorHAnsi" w:hAnsiTheme="minorHAnsi" w:cstheme="minorHAnsi"/>
        </w:rPr>
      </w:pPr>
      <w:r w:rsidRPr="00CF3E94">
        <w:rPr>
          <w:rFonts w:asciiTheme="minorHAnsi" w:hAnsiTheme="minorHAnsi" w:cstheme="minorHAnsi"/>
        </w:rPr>
        <w:t>DOC Financial Assistance Standard Terms and Conditions</w:t>
      </w:r>
      <w:r w:rsidRPr="00CF3E94" w:rsidR="00C16D3E">
        <w:rPr>
          <w:rFonts w:asciiTheme="minorHAnsi" w:hAnsiTheme="minorHAnsi" w:cstheme="minorHAnsi"/>
        </w:rPr>
        <w:t xml:space="preserve">, </w:t>
      </w:r>
      <w:r w:rsidRPr="00CF3E94">
        <w:rPr>
          <w:rFonts w:asciiTheme="minorHAnsi" w:hAnsiTheme="minorHAnsi" w:cstheme="minorHAnsi"/>
        </w:rPr>
        <w:t>as may be amended</w:t>
      </w:r>
    </w:p>
    <w:p w:rsidRPr="00CF3E94" w:rsidR="00120124" w:rsidP="00120124" w:rsidRDefault="00120124" w14:paraId="48C5CBDD" w14:textId="77777777">
      <w:pPr>
        <w:pStyle w:val="ListParagraph"/>
        <w:numPr>
          <w:ilvl w:val="0"/>
          <w:numId w:val="14"/>
        </w:numPr>
        <w:rPr>
          <w:rFonts w:asciiTheme="minorHAnsi" w:hAnsiTheme="minorHAnsi" w:cstheme="minorHAnsi"/>
        </w:rPr>
      </w:pPr>
      <w:r w:rsidRPr="00CF3E94">
        <w:rPr>
          <w:rFonts w:asciiTheme="minorHAnsi" w:hAnsiTheme="minorHAnsi" w:cstheme="minorHAnsi"/>
        </w:rPr>
        <w:t xml:space="preserve">DOC Financial Assistance Policy Website:  </w:t>
      </w:r>
      <w:hyperlink w:history="1" r:id="rId24">
        <w:r w:rsidRPr="00CF3E94">
          <w:rPr>
            <w:rStyle w:val="Hyperlink"/>
            <w:rFonts w:asciiTheme="minorHAnsi" w:hAnsiTheme="minorHAnsi" w:cstheme="minorHAnsi"/>
            <w:color w:val="auto"/>
          </w:rPr>
          <w:t>https://www.commerce.gov/oam/policy/financial-assistance-policy</w:t>
        </w:r>
      </w:hyperlink>
      <w:r w:rsidRPr="00CF3E94">
        <w:rPr>
          <w:rFonts w:asciiTheme="minorHAnsi" w:hAnsiTheme="minorHAnsi" w:cstheme="minorHAnsi"/>
        </w:rPr>
        <w:t xml:space="preserve"> </w:t>
      </w:r>
    </w:p>
    <w:p w:rsidRPr="00CF3E94" w:rsidR="00120124" w:rsidP="00120124" w:rsidRDefault="00120124" w14:paraId="672ABB05" w14:textId="77777777">
      <w:pPr>
        <w:spacing w:after="0" w:line="240" w:lineRule="auto"/>
        <w:rPr>
          <w:rFonts w:cstheme="minorHAnsi"/>
          <w:b/>
        </w:rPr>
      </w:pPr>
    </w:p>
    <w:p w:rsidRPr="00CF3E94" w:rsidR="00120124" w:rsidP="00120124" w:rsidRDefault="00120124" w14:paraId="6D559192" w14:textId="77777777">
      <w:pPr>
        <w:spacing w:after="0" w:line="240" w:lineRule="auto"/>
        <w:rPr>
          <w:rFonts w:cstheme="minorHAnsi"/>
          <w:b/>
        </w:rPr>
      </w:pPr>
      <w:r w:rsidRPr="00CF3E94">
        <w:rPr>
          <w:rFonts w:cstheme="minorHAnsi"/>
          <w:b/>
        </w:rPr>
        <w:t xml:space="preserve">NIST Statute and Regulations </w:t>
      </w:r>
    </w:p>
    <w:p w:rsidRPr="00CF3E94" w:rsidR="00120124" w:rsidP="00120124" w:rsidRDefault="00ED6BE2" w14:paraId="06BE7751" w14:textId="77777777">
      <w:pPr>
        <w:pStyle w:val="ListParagraph"/>
        <w:numPr>
          <w:ilvl w:val="0"/>
          <w:numId w:val="14"/>
        </w:numPr>
        <w:rPr>
          <w:rFonts w:asciiTheme="minorHAnsi" w:hAnsiTheme="minorHAnsi" w:cstheme="minorHAnsi"/>
        </w:rPr>
      </w:pPr>
      <w:hyperlink w:history="1" r:id="rId25">
        <w:r w:rsidRPr="00CF3E94" w:rsidR="00120124">
          <w:rPr>
            <w:rStyle w:val="Hyperlink"/>
            <w:rFonts w:asciiTheme="minorHAnsi" w:hAnsiTheme="minorHAnsi" w:cstheme="minorHAnsi"/>
            <w:color w:val="auto"/>
          </w:rPr>
          <w:t>15 U.S.C 278k</w:t>
        </w:r>
      </w:hyperlink>
      <w:r w:rsidRPr="00CF3E94" w:rsidR="00120124">
        <w:rPr>
          <w:rStyle w:val="Hyperlink"/>
          <w:rFonts w:asciiTheme="minorHAnsi" w:hAnsiTheme="minorHAnsi" w:cstheme="minorHAnsi"/>
          <w:color w:val="auto"/>
        </w:rPr>
        <w:t>,</w:t>
      </w:r>
      <w:r w:rsidRPr="00CF3E94" w:rsidR="00120124">
        <w:rPr>
          <w:rFonts w:asciiTheme="minorHAnsi" w:hAnsiTheme="minorHAnsi" w:cstheme="minorHAnsi"/>
        </w:rPr>
        <w:t xml:space="preserve"> </w:t>
      </w:r>
      <w:r w:rsidRPr="00CF3E94" w:rsidR="00120124">
        <w:rPr>
          <w:rFonts w:asciiTheme="minorHAnsi" w:hAnsiTheme="minorHAnsi" w:cstheme="minorHAnsi"/>
          <w:bCs/>
        </w:rPr>
        <w:t>Hollings Manufacturing Extension Partnership</w:t>
      </w:r>
    </w:p>
    <w:p w:rsidRPr="00CF3E94" w:rsidR="00120124" w:rsidP="00120124" w:rsidRDefault="00BC5C25" w14:paraId="56904EE1" w14:textId="77777777">
      <w:pPr>
        <w:pStyle w:val="ListParagraph"/>
        <w:numPr>
          <w:ilvl w:val="0"/>
          <w:numId w:val="14"/>
        </w:numPr>
        <w:rPr>
          <w:rFonts w:asciiTheme="minorHAnsi" w:hAnsiTheme="minorHAnsi" w:cstheme="minorHAnsi"/>
        </w:rPr>
      </w:pPr>
      <w:hyperlink w:history="1" r:id="rId26">
        <w:r w:rsidRPr="00CF3E94" w:rsidR="00120124">
          <w:rPr>
            <w:rStyle w:val="Hyperlink"/>
            <w:rFonts w:asciiTheme="minorHAnsi" w:hAnsiTheme="minorHAnsi" w:cstheme="minorHAnsi"/>
            <w:color w:val="auto"/>
          </w:rPr>
          <w:t>15 C.F.R. Part 290</w:t>
        </w:r>
      </w:hyperlink>
      <w:r w:rsidRPr="00CF3E94" w:rsidR="00120124">
        <w:rPr>
          <w:rFonts w:asciiTheme="minorHAnsi" w:hAnsiTheme="minorHAnsi" w:cstheme="minorHAnsi"/>
        </w:rPr>
        <w:t>, Regional Centers for the Transfer of Manufacturing Technology</w:t>
      </w:r>
    </w:p>
    <w:p w:rsidRPr="00CF3E94" w:rsidR="00120124" w:rsidP="00120124" w:rsidRDefault="00120124" w14:paraId="792EFEA7" w14:textId="77777777">
      <w:pPr>
        <w:spacing w:after="0" w:line="240" w:lineRule="auto"/>
        <w:rPr>
          <w:rFonts w:cstheme="minorHAnsi"/>
        </w:rPr>
      </w:pPr>
    </w:p>
    <w:p w:rsidRPr="00CF3E94" w:rsidR="00120124" w:rsidP="00120124" w:rsidRDefault="00120124" w14:paraId="1AEC429C" w14:textId="77777777">
      <w:pPr>
        <w:spacing w:after="0" w:line="240" w:lineRule="auto"/>
        <w:rPr>
          <w:rFonts w:cstheme="minorHAnsi"/>
          <w:b/>
        </w:rPr>
      </w:pPr>
      <w:r w:rsidRPr="00CF3E94">
        <w:rPr>
          <w:rFonts w:cstheme="minorHAnsi"/>
          <w:b/>
        </w:rPr>
        <w:t>NIST MEP Policies</w:t>
      </w:r>
    </w:p>
    <w:p w:rsidRPr="00CF3E94" w:rsidR="00120124" w:rsidP="00120124" w:rsidRDefault="00120124" w14:paraId="74C40A8C" w14:textId="2A18C56B">
      <w:pPr>
        <w:pStyle w:val="ListParagraph"/>
        <w:numPr>
          <w:ilvl w:val="0"/>
          <w:numId w:val="14"/>
        </w:numPr>
        <w:rPr>
          <w:rFonts w:asciiTheme="minorHAnsi" w:hAnsiTheme="minorHAnsi" w:cstheme="minorHAnsi"/>
        </w:rPr>
      </w:pPr>
      <w:r w:rsidRPr="00CF3E94">
        <w:rPr>
          <w:rFonts w:asciiTheme="minorHAnsi" w:hAnsiTheme="minorHAnsi" w:cstheme="minorHAnsi"/>
        </w:rPr>
        <w:t>NIST MEP General Terms and Conditions (latest version available on MEIS and MEP Connect)</w:t>
      </w:r>
      <w:r w:rsidRPr="00CF3E94" w:rsidR="00900451">
        <w:rPr>
          <w:rFonts w:asciiTheme="minorHAnsi" w:hAnsiTheme="minorHAnsi" w:cstheme="minorHAnsi"/>
        </w:rPr>
        <w:t>.</w:t>
      </w:r>
    </w:p>
    <w:p w:rsidRPr="00CF3E94" w:rsidR="00120124" w:rsidP="00120124" w:rsidRDefault="00120124" w14:paraId="1FD59FB0" w14:textId="77777777">
      <w:pPr>
        <w:pStyle w:val="ListParagraph"/>
        <w:numPr>
          <w:ilvl w:val="0"/>
          <w:numId w:val="14"/>
        </w:numPr>
        <w:rPr>
          <w:rFonts w:asciiTheme="minorHAnsi" w:hAnsiTheme="minorHAnsi" w:cstheme="minorHAnsi"/>
        </w:rPr>
      </w:pPr>
      <w:r w:rsidRPr="00CF3E94">
        <w:rPr>
          <w:rFonts w:asciiTheme="minorHAnsi" w:hAnsiTheme="minorHAnsi" w:cstheme="minorHAnsi"/>
        </w:rPr>
        <w:t>The Federal Register Notice and the accompanying Notice and Announcement of Federal Funding Opportunity (NOFO/FFO) applicable to the specific NIST MEP award.</w:t>
      </w:r>
    </w:p>
    <w:p w:rsidRPr="00CF3E94" w:rsidR="00120124" w:rsidP="00776379" w:rsidRDefault="00120124" w14:paraId="1ABE515B" w14:textId="77777777">
      <w:pPr>
        <w:rPr>
          <w:rFonts w:cstheme="minorHAnsi"/>
          <w:b/>
          <w:bCs/>
          <w:sz w:val="24"/>
          <w:szCs w:val="24"/>
        </w:rPr>
      </w:pPr>
    </w:p>
    <w:p w:rsidRPr="00CF3E94" w:rsidR="00776379" w:rsidP="00776379" w:rsidRDefault="00776379" w14:paraId="77629FC8" w14:textId="77777777">
      <w:pPr>
        <w:ind w:firstLine="720"/>
        <w:rPr>
          <w:rFonts w:cstheme="minorHAnsi"/>
          <w:b/>
          <w:bCs/>
          <w:sz w:val="24"/>
          <w:szCs w:val="24"/>
        </w:rPr>
      </w:pPr>
    </w:p>
    <w:p w:rsidRPr="00CF3E94" w:rsidR="00776379" w:rsidP="00776379" w:rsidRDefault="00776379" w14:paraId="1B334535" w14:textId="77777777">
      <w:pPr>
        <w:rPr>
          <w:rFonts w:cstheme="minorHAnsi"/>
          <w:b/>
          <w:bCs/>
          <w:sz w:val="28"/>
          <w:szCs w:val="28"/>
        </w:rPr>
      </w:pPr>
    </w:p>
    <w:p w:rsidRPr="00CF3E94" w:rsidR="00776379" w:rsidRDefault="00776379" w14:paraId="469FEA7B" w14:textId="77777777">
      <w:pPr>
        <w:rPr>
          <w:rFonts w:cstheme="minorHAnsi"/>
          <w:b/>
          <w:bCs/>
          <w:sz w:val="28"/>
          <w:szCs w:val="28"/>
        </w:rPr>
      </w:pPr>
    </w:p>
    <w:sectPr w:rsidRPr="00CF3E94" w:rsidR="00776379" w:rsidSect="005620D5">
      <w:footerReference w:type="default" r:id="rId2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15D58" w14:textId="77777777" w:rsidR="000228E6" w:rsidRDefault="000228E6" w:rsidP="00120124">
      <w:pPr>
        <w:spacing w:after="0" w:line="240" w:lineRule="auto"/>
      </w:pPr>
      <w:r>
        <w:separator/>
      </w:r>
    </w:p>
  </w:endnote>
  <w:endnote w:type="continuationSeparator" w:id="0">
    <w:p w14:paraId="0CAF8778" w14:textId="77777777" w:rsidR="000228E6" w:rsidRDefault="000228E6" w:rsidP="0012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Palatino">
    <w:altName w:val="Segoe UI Historic"/>
    <w:charset w:val="00"/>
    <w:family w:val="roman"/>
    <w:pitch w:val="variable"/>
    <w:sig w:usb0="A00002FF" w:usb1="7800205A" w:usb2="14600000" w:usb3="00000000" w:csb0="00000193"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5302411"/>
      <w:docPartObj>
        <w:docPartGallery w:val="Page Numbers (Bottom of Page)"/>
        <w:docPartUnique/>
      </w:docPartObj>
    </w:sdtPr>
    <w:sdtEndPr>
      <w:rPr>
        <w:noProof/>
      </w:rPr>
    </w:sdtEndPr>
    <w:sdtContent>
      <w:p w14:paraId="1CB11BB0" w14:textId="338ADDC2" w:rsidR="005620D5" w:rsidRDefault="005620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D0DA15" w14:textId="77777777" w:rsidR="005620D5" w:rsidRDefault="00562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4E0D5" w14:textId="77777777" w:rsidR="000228E6" w:rsidRDefault="000228E6" w:rsidP="00120124">
      <w:pPr>
        <w:spacing w:after="0" w:line="240" w:lineRule="auto"/>
      </w:pPr>
      <w:r>
        <w:separator/>
      </w:r>
    </w:p>
  </w:footnote>
  <w:footnote w:type="continuationSeparator" w:id="0">
    <w:p w14:paraId="3D8EA0C0" w14:textId="77777777" w:rsidR="000228E6" w:rsidRDefault="000228E6" w:rsidP="00120124">
      <w:pPr>
        <w:spacing w:after="0" w:line="240" w:lineRule="auto"/>
      </w:pPr>
      <w:r>
        <w:continuationSeparator/>
      </w:r>
    </w:p>
  </w:footnote>
  <w:footnote w:id="1">
    <w:p w14:paraId="393951A0" w14:textId="717C3761" w:rsidR="00052A1E" w:rsidRPr="0055341F" w:rsidRDefault="00052A1E" w:rsidP="00052A1E">
      <w:pPr>
        <w:pStyle w:val="FootnoteText"/>
        <w:rPr>
          <w:rFonts w:ascii="Arial Narrow" w:hAnsi="Arial Narrow"/>
        </w:rPr>
      </w:pPr>
      <w:r w:rsidRPr="0055341F">
        <w:rPr>
          <w:rStyle w:val="FootnoteReference"/>
          <w:rFonts w:ascii="Arial Narrow" w:hAnsi="Arial Narrow"/>
        </w:rPr>
        <w:footnoteRef/>
      </w:r>
      <w:r w:rsidRPr="0055341F">
        <w:rPr>
          <w:rFonts w:ascii="Arial Narrow" w:hAnsi="Arial Narrow"/>
        </w:rPr>
        <w:t xml:space="preserve"> </w:t>
      </w:r>
      <w:r>
        <w:rPr>
          <w:rFonts w:ascii="Arial Narrow" w:hAnsi="Arial Narrow"/>
        </w:rPr>
        <w:t xml:space="preserve">Note that carrying forward UFF above base will impact Center’s </w:t>
      </w:r>
      <w:r w:rsidR="00A359DB">
        <w:rPr>
          <w:rFonts w:ascii="Arial Narrow" w:hAnsi="Arial Narrow"/>
        </w:rPr>
        <w:t xml:space="preserve">IMPACT </w:t>
      </w:r>
      <w:r>
        <w:rPr>
          <w:rFonts w:ascii="Arial Narrow" w:hAnsi="Arial Narrow"/>
        </w:rPr>
        <w:t xml:space="preserve">score </w:t>
      </w:r>
    </w:p>
  </w:footnote>
  <w:footnote w:id="2">
    <w:p w14:paraId="18E19B28" w14:textId="77777777" w:rsidR="001357E7" w:rsidRPr="00207012" w:rsidRDefault="001357E7" w:rsidP="001357E7">
      <w:pPr>
        <w:pStyle w:val="FootnoteText"/>
        <w:rPr>
          <w:rFonts w:ascii="Arial Narrow" w:hAnsi="Arial Narrow"/>
        </w:rPr>
      </w:pPr>
      <w:r w:rsidRPr="00207012">
        <w:rPr>
          <w:rStyle w:val="FootnoteReference"/>
          <w:rFonts w:ascii="Arial Narrow" w:hAnsi="Arial Narrow"/>
        </w:rPr>
        <w:footnoteRef/>
      </w:r>
      <w:r w:rsidRPr="00207012">
        <w:rPr>
          <w:rFonts w:ascii="Arial Narrow" w:hAnsi="Arial Narrow"/>
        </w:rPr>
        <w:t xml:space="preserve"> </w:t>
      </w:r>
      <w:bookmarkStart w:id="5" w:name="_Hlk81488894"/>
      <w:r w:rsidRPr="00207012">
        <w:rPr>
          <w:rFonts w:ascii="Arial Narrow" w:hAnsi="Arial Narrow"/>
        </w:rPr>
        <w:t xml:space="preserve">NIST MEP will use the </w:t>
      </w:r>
      <w:r w:rsidRPr="00207012">
        <w:rPr>
          <w:rFonts w:ascii="Arial Narrow" w:hAnsi="Arial Narrow"/>
          <w:u w:val="single"/>
        </w:rPr>
        <w:t>2013 Rural-Urban Continuum Codes maintained by the Economic Research Service of the United States Department of Agriculture</w:t>
      </w:r>
      <w:r w:rsidRPr="00207012">
        <w:rPr>
          <w:rFonts w:ascii="Arial Narrow" w:hAnsi="Arial Narrow"/>
        </w:rPr>
        <w:t xml:space="preserve"> to define a NIST MEP client manufacturing establishment as rural. Using this system, any county with a rurality index of 4 or higher is considered a rural county. Counties with codes 1, 2, and 3 are considered urban areas.</w:t>
      </w:r>
    </w:p>
    <w:bookmarkEnd w:id="5"/>
  </w:footnote>
  <w:footnote w:id="3">
    <w:p w14:paraId="2209FAB7" w14:textId="77777777" w:rsidR="001357E7" w:rsidRPr="002269D9" w:rsidRDefault="001357E7" w:rsidP="001357E7">
      <w:pPr>
        <w:pStyle w:val="FootnoteText"/>
        <w:rPr>
          <w:rFonts w:asciiTheme="minorHAnsi" w:hAnsiTheme="minorHAnsi"/>
        </w:rPr>
      </w:pPr>
      <w:r w:rsidRPr="00207012">
        <w:rPr>
          <w:rStyle w:val="FootnoteReference"/>
          <w:rFonts w:ascii="Arial Narrow" w:hAnsi="Arial Narrow"/>
        </w:rPr>
        <w:footnoteRef/>
      </w:r>
      <w:r w:rsidRPr="00207012">
        <w:rPr>
          <w:rFonts w:ascii="Arial Narrow" w:hAnsi="Arial Narrow"/>
        </w:rPr>
        <w:t xml:space="preserve"> “Start-Up” and “Emerging” Manufacturers </w:t>
      </w:r>
      <w:proofErr w:type="gramStart"/>
      <w:r w:rsidRPr="00207012">
        <w:rPr>
          <w:rFonts w:ascii="Arial Narrow" w:hAnsi="Arial Narrow"/>
        </w:rPr>
        <w:t>are considered to be</w:t>
      </w:r>
      <w:proofErr w:type="gramEnd"/>
      <w:r w:rsidRPr="00207012">
        <w:rPr>
          <w:rFonts w:ascii="Arial Narrow" w:hAnsi="Arial Narrow"/>
        </w:rPr>
        <w:t xml:space="preserve"> synonymous terms.</w:t>
      </w:r>
    </w:p>
  </w:footnote>
  <w:footnote w:id="4">
    <w:p w14:paraId="73E40642" w14:textId="77777777" w:rsidR="001357E7" w:rsidRPr="00EA08E4" w:rsidRDefault="001357E7" w:rsidP="001357E7">
      <w:pPr>
        <w:pStyle w:val="FootnoteText"/>
        <w:rPr>
          <w:rFonts w:ascii="Arial Narrow" w:hAnsi="Arial Narrow"/>
        </w:rPr>
      </w:pPr>
      <w:r w:rsidRPr="00EA08E4">
        <w:rPr>
          <w:rStyle w:val="FootnoteReference"/>
          <w:rFonts w:ascii="Arial Narrow" w:hAnsi="Arial Narrow"/>
        </w:rPr>
        <w:footnoteRef/>
      </w:r>
      <w:r w:rsidRPr="00EA08E4">
        <w:rPr>
          <w:rFonts w:ascii="Arial Narrow" w:hAnsi="Arial Narrow"/>
        </w:rPr>
        <w:t xml:space="preserve"> Semiannual Report/Progress Plan as referred to in the </w:t>
      </w:r>
      <w:r>
        <w:rPr>
          <w:rFonts w:ascii="Arial Narrow" w:hAnsi="Arial Narrow"/>
        </w:rPr>
        <w:t xml:space="preserve">NIST </w:t>
      </w:r>
      <w:r w:rsidRPr="00EA08E4">
        <w:rPr>
          <w:rFonts w:ascii="Arial Narrow" w:hAnsi="Arial Narrow"/>
        </w:rPr>
        <w:t>MEP General Terms and Conditions and award documentation.</w:t>
      </w:r>
    </w:p>
  </w:footnote>
  <w:footnote w:id="5">
    <w:p w14:paraId="0DD112A2" w14:textId="77777777" w:rsidR="001357E7" w:rsidRPr="003963B3" w:rsidRDefault="001357E7" w:rsidP="001357E7">
      <w:pPr>
        <w:pStyle w:val="FootnoteText"/>
        <w:rPr>
          <w:rFonts w:ascii="Arial Narrow" w:hAnsi="Arial Narrow"/>
        </w:rPr>
      </w:pPr>
      <w:r w:rsidRPr="003963B3">
        <w:rPr>
          <w:rStyle w:val="FootnoteReference"/>
          <w:rFonts w:ascii="Arial Narrow" w:hAnsi="Arial Narrow"/>
        </w:rPr>
        <w:footnoteRef/>
      </w:r>
      <w:r w:rsidRPr="003963B3">
        <w:rPr>
          <w:rFonts w:ascii="Arial Narrow" w:hAnsi="Arial Narrow"/>
        </w:rPr>
        <w:t xml:space="preserve"> Refer to MEIS Reporting Guidelines</w:t>
      </w:r>
      <w:r>
        <w:rPr>
          <w:rFonts w:ascii="Arial Narrow" w:hAnsi="Arial Narrow"/>
        </w:rPr>
        <w:t xml:space="preserve"> for additional information on MEP Substance Codes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3C66"/>
    <w:multiLevelType w:val="hybridMultilevel"/>
    <w:tmpl w:val="A0CE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23A7A"/>
    <w:multiLevelType w:val="hybridMultilevel"/>
    <w:tmpl w:val="1700C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2486C"/>
    <w:multiLevelType w:val="hybridMultilevel"/>
    <w:tmpl w:val="17882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D0E92"/>
    <w:multiLevelType w:val="hybridMultilevel"/>
    <w:tmpl w:val="FB325ABA"/>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0082FC9"/>
    <w:multiLevelType w:val="hybridMultilevel"/>
    <w:tmpl w:val="F8A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430F8"/>
    <w:multiLevelType w:val="hybridMultilevel"/>
    <w:tmpl w:val="CE3C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22284"/>
    <w:multiLevelType w:val="hybridMultilevel"/>
    <w:tmpl w:val="8F40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47955"/>
    <w:multiLevelType w:val="hybridMultilevel"/>
    <w:tmpl w:val="EF263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859AC"/>
    <w:multiLevelType w:val="hybridMultilevel"/>
    <w:tmpl w:val="AB58E8C6"/>
    <w:lvl w:ilvl="0" w:tplc="A99C65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C83331"/>
    <w:multiLevelType w:val="hybridMultilevel"/>
    <w:tmpl w:val="322C32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AA0C77"/>
    <w:multiLevelType w:val="hybridMultilevel"/>
    <w:tmpl w:val="EFE2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7263D"/>
    <w:multiLevelType w:val="hybridMultilevel"/>
    <w:tmpl w:val="3E26A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70659"/>
    <w:multiLevelType w:val="hybridMultilevel"/>
    <w:tmpl w:val="88083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4D04E0"/>
    <w:multiLevelType w:val="hybridMultilevel"/>
    <w:tmpl w:val="721AD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305D04"/>
    <w:multiLevelType w:val="hybridMultilevel"/>
    <w:tmpl w:val="720235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715171"/>
    <w:multiLevelType w:val="hybridMultilevel"/>
    <w:tmpl w:val="A8BA5CC0"/>
    <w:lvl w:ilvl="0" w:tplc="05F284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344C7"/>
    <w:multiLevelType w:val="hybridMultilevel"/>
    <w:tmpl w:val="77FC88B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61FC4"/>
    <w:multiLevelType w:val="hybridMultilevel"/>
    <w:tmpl w:val="B1966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EF74A3"/>
    <w:multiLevelType w:val="hybridMultilevel"/>
    <w:tmpl w:val="34A2989E"/>
    <w:lvl w:ilvl="0" w:tplc="0409000F">
      <w:start w:val="1"/>
      <w:numFmt w:val="decimal"/>
      <w:lvlText w:val="%1."/>
      <w:lvlJc w:val="left"/>
      <w:pPr>
        <w:ind w:left="720" w:hanging="360"/>
      </w:pPr>
    </w:lvl>
    <w:lvl w:ilvl="1" w:tplc="77E887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15841"/>
    <w:multiLevelType w:val="hybridMultilevel"/>
    <w:tmpl w:val="9AFEB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73618"/>
    <w:multiLevelType w:val="hybridMultilevel"/>
    <w:tmpl w:val="08F286C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F37FF"/>
    <w:multiLevelType w:val="hybridMultilevel"/>
    <w:tmpl w:val="D42E829A"/>
    <w:lvl w:ilvl="0" w:tplc="C182520C">
      <w:start w:val="1"/>
      <w:numFmt w:val="bullet"/>
      <w:lvlText w:val="•"/>
      <w:lvlJc w:val="left"/>
      <w:pPr>
        <w:tabs>
          <w:tab w:val="num" w:pos="720"/>
        </w:tabs>
        <w:ind w:left="720" w:hanging="360"/>
      </w:pPr>
      <w:rPr>
        <w:rFonts w:ascii="Times New Roman" w:hAnsi="Times New Roman" w:hint="default"/>
      </w:rPr>
    </w:lvl>
    <w:lvl w:ilvl="1" w:tplc="18C24C90" w:tentative="1">
      <w:start w:val="1"/>
      <w:numFmt w:val="bullet"/>
      <w:lvlText w:val="•"/>
      <w:lvlJc w:val="left"/>
      <w:pPr>
        <w:tabs>
          <w:tab w:val="num" w:pos="1440"/>
        </w:tabs>
        <w:ind w:left="1440" w:hanging="360"/>
      </w:pPr>
      <w:rPr>
        <w:rFonts w:ascii="Times New Roman" w:hAnsi="Times New Roman" w:hint="default"/>
      </w:rPr>
    </w:lvl>
    <w:lvl w:ilvl="2" w:tplc="7FFA26CA" w:tentative="1">
      <w:start w:val="1"/>
      <w:numFmt w:val="bullet"/>
      <w:lvlText w:val="•"/>
      <w:lvlJc w:val="left"/>
      <w:pPr>
        <w:tabs>
          <w:tab w:val="num" w:pos="2160"/>
        </w:tabs>
        <w:ind w:left="2160" w:hanging="360"/>
      </w:pPr>
      <w:rPr>
        <w:rFonts w:ascii="Times New Roman" w:hAnsi="Times New Roman" w:hint="default"/>
      </w:rPr>
    </w:lvl>
    <w:lvl w:ilvl="3" w:tplc="6C28D96A" w:tentative="1">
      <w:start w:val="1"/>
      <w:numFmt w:val="bullet"/>
      <w:lvlText w:val="•"/>
      <w:lvlJc w:val="left"/>
      <w:pPr>
        <w:tabs>
          <w:tab w:val="num" w:pos="2880"/>
        </w:tabs>
        <w:ind w:left="2880" w:hanging="360"/>
      </w:pPr>
      <w:rPr>
        <w:rFonts w:ascii="Times New Roman" w:hAnsi="Times New Roman" w:hint="default"/>
      </w:rPr>
    </w:lvl>
    <w:lvl w:ilvl="4" w:tplc="5074F246" w:tentative="1">
      <w:start w:val="1"/>
      <w:numFmt w:val="bullet"/>
      <w:lvlText w:val="•"/>
      <w:lvlJc w:val="left"/>
      <w:pPr>
        <w:tabs>
          <w:tab w:val="num" w:pos="3600"/>
        </w:tabs>
        <w:ind w:left="3600" w:hanging="360"/>
      </w:pPr>
      <w:rPr>
        <w:rFonts w:ascii="Times New Roman" w:hAnsi="Times New Roman" w:hint="default"/>
      </w:rPr>
    </w:lvl>
    <w:lvl w:ilvl="5" w:tplc="0950BDB6" w:tentative="1">
      <w:start w:val="1"/>
      <w:numFmt w:val="bullet"/>
      <w:lvlText w:val="•"/>
      <w:lvlJc w:val="left"/>
      <w:pPr>
        <w:tabs>
          <w:tab w:val="num" w:pos="4320"/>
        </w:tabs>
        <w:ind w:left="4320" w:hanging="360"/>
      </w:pPr>
      <w:rPr>
        <w:rFonts w:ascii="Times New Roman" w:hAnsi="Times New Roman" w:hint="default"/>
      </w:rPr>
    </w:lvl>
    <w:lvl w:ilvl="6" w:tplc="78FCD814" w:tentative="1">
      <w:start w:val="1"/>
      <w:numFmt w:val="bullet"/>
      <w:lvlText w:val="•"/>
      <w:lvlJc w:val="left"/>
      <w:pPr>
        <w:tabs>
          <w:tab w:val="num" w:pos="5040"/>
        </w:tabs>
        <w:ind w:left="5040" w:hanging="360"/>
      </w:pPr>
      <w:rPr>
        <w:rFonts w:ascii="Times New Roman" w:hAnsi="Times New Roman" w:hint="default"/>
      </w:rPr>
    </w:lvl>
    <w:lvl w:ilvl="7" w:tplc="22DE17A2" w:tentative="1">
      <w:start w:val="1"/>
      <w:numFmt w:val="bullet"/>
      <w:lvlText w:val="•"/>
      <w:lvlJc w:val="left"/>
      <w:pPr>
        <w:tabs>
          <w:tab w:val="num" w:pos="5760"/>
        </w:tabs>
        <w:ind w:left="5760" w:hanging="360"/>
      </w:pPr>
      <w:rPr>
        <w:rFonts w:ascii="Times New Roman" w:hAnsi="Times New Roman" w:hint="default"/>
      </w:rPr>
    </w:lvl>
    <w:lvl w:ilvl="8" w:tplc="FF5AEDBC"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3"/>
  </w:num>
  <w:num w:numId="3">
    <w:abstractNumId w:val="10"/>
  </w:num>
  <w:num w:numId="4">
    <w:abstractNumId w:val="0"/>
  </w:num>
  <w:num w:numId="5">
    <w:abstractNumId w:val="7"/>
  </w:num>
  <w:num w:numId="6">
    <w:abstractNumId w:val="9"/>
  </w:num>
  <w:num w:numId="7">
    <w:abstractNumId w:val="19"/>
  </w:num>
  <w:num w:numId="8">
    <w:abstractNumId w:val="17"/>
  </w:num>
  <w:num w:numId="9">
    <w:abstractNumId w:val="14"/>
  </w:num>
  <w:num w:numId="10">
    <w:abstractNumId w:val="13"/>
  </w:num>
  <w:num w:numId="11">
    <w:abstractNumId w:val="12"/>
  </w:num>
  <w:num w:numId="12">
    <w:abstractNumId w:val="2"/>
  </w:num>
  <w:num w:numId="13">
    <w:abstractNumId w:val="8"/>
  </w:num>
  <w:num w:numId="14">
    <w:abstractNumId w:val="11"/>
  </w:num>
  <w:num w:numId="15">
    <w:abstractNumId w:val="5"/>
  </w:num>
  <w:num w:numId="16">
    <w:abstractNumId w:val="15"/>
  </w:num>
  <w:num w:numId="17">
    <w:abstractNumId w:val="5"/>
  </w:num>
  <w:num w:numId="18">
    <w:abstractNumId w:val="1"/>
  </w:num>
  <w:num w:numId="19">
    <w:abstractNumId w:val="18"/>
  </w:num>
  <w:num w:numId="20">
    <w:abstractNumId w:val="20"/>
  </w:num>
  <w:num w:numId="21">
    <w:abstractNumId w:val="16"/>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3NjU2MzEzMzAztzRX0lEKTi0uzszPAykwNKsFACcchPUtAAAA"/>
  </w:docVars>
  <w:rsids>
    <w:rsidRoot w:val="00776379"/>
    <w:rsid w:val="00004563"/>
    <w:rsid w:val="00020CC4"/>
    <w:rsid w:val="000228E6"/>
    <w:rsid w:val="00042923"/>
    <w:rsid w:val="0005127D"/>
    <w:rsid w:val="00052A1E"/>
    <w:rsid w:val="00056B4D"/>
    <w:rsid w:val="000A0626"/>
    <w:rsid w:val="000B567B"/>
    <w:rsid w:val="000D05A3"/>
    <w:rsid w:val="000D0B99"/>
    <w:rsid w:val="000E7F48"/>
    <w:rsid w:val="00120124"/>
    <w:rsid w:val="00132C4C"/>
    <w:rsid w:val="001357E7"/>
    <w:rsid w:val="00141618"/>
    <w:rsid w:val="00161826"/>
    <w:rsid w:val="001638AD"/>
    <w:rsid w:val="00190353"/>
    <w:rsid w:val="001A4D4A"/>
    <w:rsid w:val="001B4207"/>
    <w:rsid w:val="001F323F"/>
    <w:rsid w:val="00221953"/>
    <w:rsid w:val="0023173F"/>
    <w:rsid w:val="00237859"/>
    <w:rsid w:val="002450C0"/>
    <w:rsid w:val="00254C92"/>
    <w:rsid w:val="0027312B"/>
    <w:rsid w:val="00282BE5"/>
    <w:rsid w:val="002A7844"/>
    <w:rsid w:val="002D07D8"/>
    <w:rsid w:val="002D3D9E"/>
    <w:rsid w:val="00311626"/>
    <w:rsid w:val="0031248B"/>
    <w:rsid w:val="00343788"/>
    <w:rsid w:val="0035387A"/>
    <w:rsid w:val="0037210B"/>
    <w:rsid w:val="003724CC"/>
    <w:rsid w:val="003836DC"/>
    <w:rsid w:val="00390D33"/>
    <w:rsid w:val="003A24D3"/>
    <w:rsid w:val="003C4D9E"/>
    <w:rsid w:val="003D5991"/>
    <w:rsid w:val="003E4F4E"/>
    <w:rsid w:val="00410491"/>
    <w:rsid w:val="004940A3"/>
    <w:rsid w:val="004951C9"/>
    <w:rsid w:val="00532281"/>
    <w:rsid w:val="00545133"/>
    <w:rsid w:val="005457C6"/>
    <w:rsid w:val="005464E0"/>
    <w:rsid w:val="005579DB"/>
    <w:rsid w:val="005620D5"/>
    <w:rsid w:val="00570099"/>
    <w:rsid w:val="005819BC"/>
    <w:rsid w:val="00581F6F"/>
    <w:rsid w:val="0059230B"/>
    <w:rsid w:val="005E5A5B"/>
    <w:rsid w:val="005F4284"/>
    <w:rsid w:val="005F4D26"/>
    <w:rsid w:val="00616194"/>
    <w:rsid w:val="00690610"/>
    <w:rsid w:val="006F4819"/>
    <w:rsid w:val="0071062B"/>
    <w:rsid w:val="007425E9"/>
    <w:rsid w:val="007631C6"/>
    <w:rsid w:val="00763F49"/>
    <w:rsid w:val="00776379"/>
    <w:rsid w:val="007D50B3"/>
    <w:rsid w:val="007E74C6"/>
    <w:rsid w:val="00804246"/>
    <w:rsid w:val="00830A8B"/>
    <w:rsid w:val="00843F8F"/>
    <w:rsid w:val="00864653"/>
    <w:rsid w:val="0087772F"/>
    <w:rsid w:val="00897E6A"/>
    <w:rsid w:val="008B326A"/>
    <w:rsid w:val="008B6984"/>
    <w:rsid w:val="008C0F7C"/>
    <w:rsid w:val="008D7630"/>
    <w:rsid w:val="00900451"/>
    <w:rsid w:val="0091689C"/>
    <w:rsid w:val="00937057"/>
    <w:rsid w:val="00966C70"/>
    <w:rsid w:val="0097360E"/>
    <w:rsid w:val="00A02DBB"/>
    <w:rsid w:val="00A12F0D"/>
    <w:rsid w:val="00A359DB"/>
    <w:rsid w:val="00A57898"/>
    <w:rsid w:val="00A60C79"/>
    <w:rsid w:val="00A84374"/>
    <w:rsid w:val="00A97FAC"/>
    <w:rsid w:val="00AD3A2B"/>
    <w:rsid w:val="00AF1D10"/>
    <w:rsid w:val="00B41CF3"/>
    <w:rsid w:val="00B57ABD"/>
    <w:rsid w:val="00BA6E87"/>
    <w:rsid w:val="00BC5C25"/>
    <w:rsid w:val="00BE4F23"/>
    <w:rsid w:val="00C11D71"/>
    <w:rsid w:val="00C16D3E"/>
    <w:rsid w:val="00C248C5"/>
    <w:rsid w:val="00C54899"/>
    <w:rsid w:val="00C7033C"/>
    <w:rsid w:val="00C73585"/>
    <w:rsid w:val="00C735FF"/>
    <w:rsid w:val="00C914BA"/>
    <w:rsid w:val="00C9782D"/>
    <w:rsid w:val="00CF3E94"/>
    <w:rsid w:val="00CF7733"/>
    <w:rsid w:val="00D07915"/>
    <w:rsid w:val="00D43BA6"/>
    <w:rsid w:val="00D46BBB"/>
    <w:rsid w:val="00D8790C"/>
    <w:rsid w:val="00DA2FD5"/>
    <w:rsid w:val="00E804FA"/>
    <w:rsid w:val="00E84F7E"/>
    <w:rsid w:val="00ED6896"/>
    <w:rsid w:val="00ED6BE2"/>
    <w:rsid w:val="00F31B4E"/>
    <w:rsid w:val="00F81FF8"/>
    <w:rsid w:val="00FA38E7"/>
    <w:rsid w:val="00FE0FAA"/>
    <w:rsid w:val="00FF0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856A"/>
  <w15:chartTrackingRefBased/>
  <w15:docId w15:val="{CAE18C6E-18D8-4921-A886-94DA0548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F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120124"/>
    <w:pPr>
      <w:keepNext/>
      <w:spacing w:after="0" w:line="240" w:lineRule="auto"/>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379"/>
    <w:rPr>
      <w:rFonts w:ascii="Segoe UI" w:hAnsi="Segoe UI" w:cs="Segoe UI"/>
      <w:sz w:val="18"/>
      <w:szCs w:val="18"/>
    </w:rPr>
  </w:style>
  <w:style w:type="character" w:styleId="FootnoteReference">
    <w:name w:val="footnote reference"/>
    <w:basedOn w:val="DefaultParagraphFont"/>
    <w:uiPriority w:val="99"/>
    <w:semiHidden/>
    <w:unhideWhenUsed/>
    <w:rsid w:val="00F81FF8"/>
    <w:rPr>
      <w:vertAlign w:val="superscript"/>
    </w:rPr>
  </w:style>
  <w:style w:type="character" w:styleId="CommentReference">
    <w:name w:val="annotation reference"/>
    <w:basedOn w:val="DefaultParagraphFont"/>
    <w:uiPriority w:val="99"/>
    <w:semiHidden/>
    <w:unhideWhenUsed/>
    <w:rsid w:val="00F81FF8"/>
    <w:rPr>
      <w:sz w:val="16"/>
      <w:szCs w:val="16"/>
    </w:rPr>
  </w:style>
  <w:style w:type="paragraph" w:styleId="CommentText">
    <w:name w:val="annotation text"/>
    <w:basedOn w:val="Normal"/>
    <w:link w:val="CommentTextChar"/>
    <w:uiPriority w:val="99"/>
    <w:unhideWhenUsed/>
    <w:rsid w:val="00F81FF8"/>
    <w:pPr>
      <w:spacing w:line="240" w:lineRule="auto"/>
    </w:pPr>
    <w:rPr>
      <w:sz w:val="20"/>
      <w:szCs w:val="20"/>
    </w:rPr>
  </w:style>
  <w:style w:type="character" w:customStyle="1" w:styleId="CommentTextChar">
    <w:name w:val="Comment Text Char"/>
    <w:basedOn w:val="DefaultParagraphFont"/>
    <w:link w:val="CommentText"/>
    <w:uiPriority w:val="99"/>
    <w:rsid w:val="00F81FF8"/>
    <w:rPr>
      <w:sz w:val="20"/>
      <w:szCs w:val="20"/>
    </w:rPr>
  </w:style>
  <w:style w:type="paragraph" w:styleId="CommentSubject">
    <w:name w:val="annotation subject"/>
    <w:basedOn w:val="CommentText"/>
    <w:next w:val="CommentText"/>
    <w:link w:val="CommentSubjectChar"/>
    <w:uiPriority w:val="99"/>
    <w:semiHidden/>
    <w:unhideWhenUsed/>
    <w:rsid w:val="00F81FF8"/>
    <w:rPr>
      <w:b/>
      <w:bCs/>
    </w:rPr>
  </w:style>
  <w:style w:type="character" w:customStyle="1" w:styleId="CommentSubjectChar">
    <w:name w:val="Comment Subject Char"/>
    <w:basedOn w:val="CommentTextChar"/>
    <w:link w:val="CommentSubject"/>
    <w:uiPriority w:val="99"/>
    <w:semiHidden/>
    <w:rsid w:val="00F81FF8"/>
    <w:rPr>
      <w:b/>
      <w:bCs/>
      <w:sz w:val="20"/>
      <w:szCs w:val="20"/>
    </w:rPr>
  </w:style>
  <w:style w:type="paragraph" w:styleId="ListParagraph">
    <w:name w:val="List Paragraph"/>
    <w:basedOn w:val="Normal"/>
    <w:link w:val="ListParagraphChar"/>
    <w:uiPriority w:val="34"/>
    <w:qFormat/>
    <w:rsid w:val="00F81FF8"/>
    <w:pPr>
      <w:spacing w:after="0" w:line="240" w:lineRule="auto"/>
      <w:ind w:left="720"/>
    </w:pPr>
    <w:rPr>
      <w:rFonts w:ascii="Calibri" w:eastAsia="Times New Roman" w:hAnsi="Calibri" w:cs="Calibri"/>
    </w:rPr>
  </w:style>
  <w:style w:type="character" w:customStyle="1" w:styleId="ListParagraphChar">
    <w:name w:val="List Paragraph Char"/>
    <w:basedOn w:val="DefaultParagraphFont"/>
    <w:link w:val="ListParagraph"/>
    <w:uiPriority w:val="34"/>
    <w:rsid w:val="00F81FF8"/>
    <w:rPr>
      <w:rFonts w:ascii="Calibri" w:eastAsia="Times New Roman" w:hAnsi="Calibri" w:cs="Calibri"/>
    </w:rPr>
  </w:style>
  <w:style w:type="character" w:customStyle="1" w:styleId="Heading2Char">
    <w:name w:val="Heading 2 Char"/>
    <w:basedOn w:val="DefaultParagraphFont"/>
    <w:link w:val="Heading2"/>
    <w:uiPriority w:val="99"/>
    <w:rsid w:val="00120124"/>
    <w:rPr>
      <w:rFonts w:ascii="Arial" w:eastAsia="Times New Roman" w:hAnsi="Arial" w:cs="Arial"/>
      <w:b/>
      <w:bCs/>
      <w:sz w:val="24"/>
      <w:szCs w:val="24"/>
    </w:rPr>
  </w:style>
  <w:style w:type="paragraph" w:styleId="FootnoteText">
    <w:name w:val="footnote text"/>
    <w:basedOn w:val="Normal"/>
    <w:link w:val="FootnoteTextChar"/>
    <w:uiPriority w:val="99"/>
    <w:semiHidden/>
    <w:unhideWhenUsed/>
    <w:rsid w:val="00120124"/>
    <w:pPr>
      <w:spacing w:after="0" w:line="240" w:lineRule="auto"/>
    </w:pPr>
    <w:rPr>
      <w:rFonts w:ascii="Palatino" w:eastAsia="Times New Roman" w:hAnsi="Palatino" w:cs="Palatino"/>
      <w:sz w:val="20"/>
      <w:szCs w:val="20"/>
    </w:rPr>
  </w:style>
  <w:style w:type="character" w:customStyle="1" w:styleId="FootnoteTextChar">
    <w:name w:val="Footnote Text Char"/>
    <w:basedOn w:val="DefaultParagraphFont"/>
    <w:link w:val="FootnoteText"/>
    <w:uiPriority w:val="99"/>
    <w:semiHidden/>
    <w:rsid w:val="00120124"/>
    <w:rPr>
      <w:rFonts w:ascii="Palatino" w:eastAsia="Times New Roman" w:hAnsi="Palatino" w:cs="Palatino"/>
      <w:sz w:val="20"/>
      <w:szCs w:val="20"/>
    </w:rPr>
  </w:style>
  <w:style w:type="table" w:styleId="LightList-Accent3">
    <w:name w:val="Light List Accent 3"/>
    <w:basedOn w:val="TableNormal"/>
    <w:uiPriority w:val="61"/>
    <w:rsid w:val="0012012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aption">
    <w:name w:val="caption"/>
    <w:basedOn w:val="Normal"/>
    <w:next w:val="Normal"/>
    <w:uiPriority w:val="35"/>
    <w:unhideWhenUsed/>
    <w:qFormat/>
    <w:rsid w:val="00120124"/>
    <w:pPr>
      <w:spacing w:after="200" w:line="240" w:lineRule="auto"/>
    </w:pPr>
    <w:rPr>
      <w:i/>
      <w:iCs/>
      <w:color w:val="44546A" w:themeColor="text2"/>
      <w:sz w:val="18"/>
      <w:szCs w:val="18"/>
    </w:rPr>
  </w:style>
  <w:style w:type="character" w:styleId="Hyperlink">
    <w:name w:val="Hyperlink"/>
    <w:basedOn w:val="DefaultParagraphFont"/>
    <w:uiPriority w:val="99"/>
    <w:unhideWhenUsed/>
    <w:rsid w:val="00120124"/>
    <w:rPr>
      <w:color w:val="0563C1" w:themeColor="hyperlink"/>
      <w:u w:val="single"/>
    </w:rPr>
  </w:style>
  <w:style w:type="character" w:customStyle="1" w:styleId="num">
    <w:name w:val="num"/>
    <w:basedOn w:val="DefaultParagraphFont"/>
    <w:rsid w:val="00C9782D"/>
  </w:style>
  <w:style w:type="character" w:customStyle="1" w:styleId="heading">
    <w:name w:val="heading"/>
    <w:basedOn w:val="DefaultParagraphFont"/>
    <w:rsid w:val="00C9782D"/>
  </w:style>
  <w:style w:type="paragraph" w:styleId="NormalWeb">
    <w:name w:val="Normal (Web)"/>
    <w:basedOn w:val="Normal"/>
    <w:uiPriority w:val="99"/>
    <w:semiHidden/>
    <w:unhideWhenUsed/>
    <w:rsid w:val="00C9782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9782D"/>
    <w:rPr>
      <w:color w:val="954F72" w:themeColor="followedHyperlink"/>
      <w:u w:val="single"/>
    </w:rPr>
  </w:style>
  <w:style w:type="paragraph" w:styleId="Header">
    <w:name w:val="header"/>
    <w:basedOn w:val="Normal"/>
    <w:link w:val="HeaderChar"/>
    <w:uiPriority w:val="99"/>
    <w:unhideWhenUsed/>
    <w:rsid w:val="00562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0D5"/>
  </w:style>
  <w:style w:type="paragraph" w:styleId="Footer">
    <w:name w:val="footer"/>
    <w:basedOn w:val="Normal"/>
    <w:link w:val="FooterChar"/>
    <w:uiPriority w:val="99"/>
    <w:unhideWhenUsed/>
    <w:rsid w:val="00562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0D5"/>
  </w:style>
  <w:style w:type="character" w:customStyle="1" w:styleId="Heading1Char">
    <w:name w:val="Heading 1 Char"/>
    <w:basedOn w:val="DefaultParagraphFont"/>
    <w:link w:val="Heading1"/>
    <w:uiPriority w:val="9"/>
    <w:rsid w:val="003E4F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E4F4E"/>
    <w:pPr>
      <w:outlineLvl w:val="9"/>
    </w:pPr>
  </w:style>
  <w:style w:type="paragraph" w:styleId="TOC2">
    <w:name w:val="toc 2"/>
    <w:basedOn w:val="Normal"/>
    <w:next w:val="Normal"/>
    <w:autoRedefine/>
    <w:uiPriority w:val="39"/>
    <w:unhideWhenUsed/>
    <w:rsid w:val="003E4F4E"/>
    <w:pPr>
      <w:spacing w:after="100"/>
      <w:ind w:left="220"/>
    </w:pPr>
    <w:rPr>
      <w:rFonts w:eastAsiaTheme="minorEastAsia" w:cs="Times New Roman"/>
    </w:rPr>
  </w:style>
  <w:style w:type="paragraph" w:styleId="TOC1">
    <w:name w:val="toc 1"/>
    <w:basedOn w:val="Normal"/>
    <w:next w:val="Normal"/>
    <w:autoRedefine/>
    <w:uiPriority w:val="39"/>
    <w:unhideWhenUsed/>
    <w:rsid w:val="003E4F4E"/>
    <w:pPr>
      <w:spacing w:after="100"/>
    </w:pPr>
    <w:rPr>
      <w:rFonts w:eastAsiaTheme="minorEastAsia" w:cs="Times New Roman"/>
    </w:rPr>
  </w:style>
  <w:style w:type="paragraph" w:styleId="TOC3">
    <w:name w:val="toc 3"/>
    <w:basedOn w:val="Normal"/>
    <w:next w:val="Normal"/>
    <w:autoRedefine/>
    <w:uiPriority w:val="39"/>
    <w:unhideWhenUsed/>
    <w:rsid w:val="003E4F4E"/>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755990">
      <w:bodyDiv w:val="1"/>
      <w:marLeft w:val="0"/>
      <w:marRight w:val="0"/>
      <w:marTop w:val="0"/>
      <w:marBottom w:val="0"/>
      <w:divBdr>
        <w:top w:val="none" w:sz="0" w:space="0" w:color="auto"/>
        <w:left w:val="none" w:sz="0" w:space="0" w:color="auto"/>
        <w:bottom w:val="none" w:sz="0" w:space="0" w:color="auto"/>
        <w:right w:val="none" w:sz="0" w:space="0" w:color="auto"/>
      </w:divBdr>
      <w:divsChild>
        <w:div w:id="57673279">
          <w:marLeft w:val="0"/>
          <w:marRight w:val="0"/>
          <w:marTop w:val="0"/>
          <w:marBottom w:val="0"/>
          <w:divBdr>
            <w:top w:val="none" w:sz="0" w:space="0" w:color="auto"/>
            <w:left w:val="none" w:sz="0" w:space="0" w:color="auto"/>
            <w:bottom w:val="none" w:sz="0" w:space="0" w:color="auto"/>
            <w:right w:val="none" w:sz="0" w:space="0" w:color="auto"/>
          </w:divBdr>
        </w:div>
      </w:divsChild>
    </w:div>
    <w:div w:id="791631035">
      <w:bodyDiv w:val="1"/>
      <w:marLeft w:val="0"/>
      <w:marRight w:val="0"/>
      <w:marTop w:val="0"/>
      <w:marBottom w:val="0"/>
      <w:divBdr>
        <w:top w:val="none" w:sz="0" w:space="0" w:color="auto"/>
        <w:left w:val="none" w:sz="0" w:space="0" w:color="auto"/>
        <w:bottom w:val="none" w:sz="0" w:space="0" w:color="auto"/>
        <w:right w:val="none" w:sz="0" w:space="0" w:color="auto"/>
      </w:divBdr>
    </w:div>
    <w:div w:id="937104669">
      <w:bodyDiv w:val="1"/>
      <w:marLeft w:val="0"/>
      <w:marRight w:val="0"/>
      <w:marTop w:val="0"/>
      <w:marBottom w:val="0"/>
      <w:divBdr>
        <w:top w:val="none" w:sz="0" w:space="0" w:color="auto"/>
        <w:left w:val="none" w:sz="0" w:space="0" w:color="auto"/>
        <w:bottom w:val="none" w:sz="0" w:space="0" w:color="auto"/>
        <w:right w:val="none" w:sz="0" w:space="0" w:color="auto"/>
      </w:divBdr>
      <w:divsChild>
        <w:div w:id="88550298">
          <w:marLeft w:val="547"/>
          <w:marRight w:val="0"/>
          <w:marTop w:val="0"/>
          <w:marBottom w:val="0"/>
          <w:divBdr>
            <w:top w:val="none" w:sz="0" w:space="0" w:color="auto"/>
            <w:left w:val="none" w:sz="0" w:space="0" w:color="auto"/>
            <w:bottom w:val="none" w:sz="0" w:space="0" w:color="auto"/>
            <w:right w:val="none" w:sz="0" w:space="0" w:color="auto"/>
          </w:divBdr>
        </w:div>
      </w:divsChild>
    </w:div>
    <w:div w:id="1429304954">
      <w:bodyDiv w:val="1"/>
      <w:marLeft w:val="0"/>
      <w:marRight w:val="0"/>
      <w:marTop w:val="0"/>
      <w:marBottom w:val="0"/>
      <w:divBdr>
        <w:top w:val="none" w:sz="0" w:space="0" w:color="auto"/>
        <w:left w:val="none" w:sz="0" w:space="0" w:color="auto"/>
        <w:bottom w:val="none" w:sz="0" w:space="0" w:color="auto"/>
        <w:right w:val="none" w:sz="0" w:space="0" w:color="auto"/>
      </w:divBdr>
    </w:div>
    <w:div w:id="185468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www.ecfr.gov/cgi-bin/text-idx?tpl=/ecfrbrowse/Title02/2cfr200_main_02.tpl" TargetMode="External"/><Relationship Id="rId26" Type="http://schemas.openxmlformats.org/officeDocument/2006/relationships/hyperlink" Target="http://ecfr.gpoaccess.gov/cgi/t/text/text-idx?c=ecfr&amp;tpl=/ecfrbrowse/Title15/15cfr290_main_02.tpl" TargetMode="External"/><Relationship Id="rId3" Type="http://schemas.openxmlformats.org/officeDocument/2006/relationships/styles" Target="styles.xml"/><Relationship Id="rId21" Type="http://schemas.openxmlformats.org/officeDocument/2006/relationships/hyperlink" Target="http://ecfr.gpoaccess.gov/cgi/t/text/text-idx?c=ecfr&amp;tpl=/ecfrbrowse/Title02/2cfr1326_main_02.tpl"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uscode.house.gov/view.xhtml?req=(title:15%20section:278k%20edition:prelim)"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www.cfo.gov/assets/files/2CFR-FrequentlyAskedQuestions_202105032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commerce.gov/oam/policy/financial-assistance-policy"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www.gpo.gov/fdsys/pkg/CFR-2011-title15-vol1/pdf/CFR-2011-title15-vol1-part29.pdf" TargetMode="External"/><Relationship Id="rId28"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cfo.gov/cofar/"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origin.www.gpo.gov/fdsys/pkg/CFR-2010-title15-vol1/pdf/CFR-2010-title15-vol1-part28-appA.pdf"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AD5BA8-C6AE-4C63-BF01-11A2207A6DBA}"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3D5364F9-7565-48D5-BAE2-B77CAB6D2704}">
      <dgm:prSet phldrT="[Text]"/>
      <dgm:spPr/>
      <dgm:t>
        <a:bodyPr/>
        <a:lstStyle/>
        <a:p>
          <a:r>
            <a:rPr lang="en-US" dirty="0"/>
            <a:t>Operationalize</a:t>
          </a:r>
        </a:p>
      </dgm:t>
    </dgm:pt>
    <dgm:pt modelId="{B88848B0-5089-4B5F-887D-5C807655AD2E}" type="parTrans" cxnId="{CBAA5CB7-828B-49CC-AE79-E0FF28E3A62E}">
      <dgm:prSet/>
      <dgm:spPr/>
      <dgm:t>
        <a:bodyPr/>
        <a:lstStyle/>
        <a:p>
          <a:endParaRPr lang="en-US"/>
        </a:p>
      </dgm:t>
    </dgm:pt>
    <dgm:pt modelId="{5774CFF5-6C38-4DD3-9893-2E9CBF61F164}" type="sibTrans" cxnId="{CBAA5CB7-828B-49CC-AE79-E0FF28E3A62E}">
      <dgm:prSet/>
      <dgm:spPr/>
      <dgm:t>
        <a:bodyPr/>
        <a:lstStyle/>
        <a:p>
          <a:endParaRPr lang="en-US"/>
        </a:p>
      </dgm:t>
    </dgm:pt>
    <dgm:pt modelId="{DFA21C39-D5A1-4DA5-A5E6-A3428E657605}">
      <dgm:prSet/>
      <dgm:spPr/>
      <dgm:t>
        <a:bodyPr/>
        <a:lstStyle/>
        <a:p>
          <a:r>
            <a:rPr lang="en-US" dirty="0"/>
            <a:t>Revisions to </a:t>
          </a:r>
          <a:r>
            <a:rPr lang="en-US"/>
            <a:t>various documents</a:t>
          </a:r>
          <a:endParaRPr lang="en-US" dirty="0"/>
        </a:p>
      </dgm:t>
    </dgm:pt>
    <dgm:pt modelId="{36CE1271-174B-4D0E-BB3F-79733C1FB091}" type="parTrans" cxnId="{51113A56-CD64-457F-BF8B-51790B2F865E}">
      <dgm:prSet/>
      <dgm:spPr/>
      <dgm:t>
        <a:bodyPr/>
        <a:lstStyle/>
        <a:p>
          <a:endParaRPr lang="en-US"/>
        </a:p>
      </dgm:t>
    </dgm:pt>
    <dgm:pt modelId="{B7D9ECFE-CFE5-4619-AFDF-D433D302FD68}" type="sibTrans" cxnId="{51113A56-CD64-457F-BF8B-51790B2F865E}">
      <dgm:prSet/>
      <dgm:spPr/>
      <dgm:t>
        <a:bodyPr/>
        <a:lstStyle/>
        <a:p>
          <a:endParaRPr lang="en-US"/>
        </a:p>
      </dgm:t>
    </dgm:pt>
    <dgm:pt modelId="{F842B28A-C321-4A28-B103-4947C05959CD}">
      <dgm:prSet/>
      <dgm:spPr/>
      <dgm:t>
        <a:bodyPr/>
        <a:lstStyle/>
        <a:p>
          <a:r>
            <a:rPr lang="en-US" dirty="0"/>
            <a:t>Propose</a:t>
          </a:r>
        </a:p>
      </dgm:t>
    </dgm:pt>
    <dgm:pt modelId="{BCFA4BEF-C6AF-4F74-9113-9F23B9830020}" type="parTrans" cxnId="{489A1D3B-4AC6-4772-AE2B-FBF050B86AD7}">
      <dgm:prSet/>
      <dgm:spPr/>
      <dgm:t>
        <a:bodyPr/>
        <a:lstStyle/>
        <a:p>
          <a:endParaRPr lang="en-US"/>
        </a:p>
      </dgm:t>
    </dgm:pt>
    <dgm:pt modelId="{708A52F0-4CBB-4CED-82DC-F37FF5A94588}" type="sibTrans" cxnId="{489A1D3B-4AC6-4772-AE2B-FBF050B86AD7}">
      <dgm:prSet/>
      <dgm:spPr/>
      <dgm:t>
        <a:bodyPr/>
        <a:lstStyle/>
        <a:p>
          <a:endParaRPr lang="en-US"/>
        </a:p>
      </dgm:t>
    </dgm:pt>
    <dgm:pt modelId="{518271D7-1B12-429A-8112-E54FCB0FDF4B}">
      <dgm:prSet/>
      <dgm:spPr/>
      <dgm:t>
        <a:bodyPr/>
        <a:lstStyle/>
        <a:p>
          <a:r>
            <a:rPr lang="en-US" dirty="0"/>
            <a:t>Scope of Work (SOW) *</a:t>
          </a:r>
        </a:p>
      </dgm:t>
    </dgm:pt>
    <dgm:pt modelId="{470B4A3C-A322-402D-88A6-4F2137E2AAD9}" type="parTrans" cxnId="{E4834EA1-C41D-4BD8-83DE-91FB7869CAB5}">
      <dgm:prSet/>
      <dgm:spPr/>
      <dgm:t>
        <a:bodyPr/>
        <a:lstStyle/>
        <a:p>
          <a:endParaRPr lang="en-US"/>
        </a:p>
      </dgm:t>
    </dgm:pt>
    <dgm:pt modelId="{15013650-4A14-4B56-BDD2-35026170514B}" type="sibTrans" cxnId="{E4834EA1-C41D-4BD8-83DE-91FB7869CAB5}">
      <dgm:prSet/>
      <dgm:spPr/>
      <dgm:t>
        <a:bodyPr/>
        <a:lstStyle/>
        <a:p>
          <a:endParaRPr lang="en-US"/>
        </a:p>
      </dgm:t>
    </dgm:pt>
    <dgm:pt modelId="{CF3A7F1E-93FC-4011-951F-D831D248A6E6}">
      <dgm:prSet/>
      <dgm:spPr/>
      <dgm:t>
        <a:bodyPr/>
        <a:lstStyle/>
        <a:p>
          <a:r>
            <a:rPr lang="en-US" dirty="0"/>
            <a:t>Award (CD-450s, Specific Award Conditions (SACs), Applicable regulations)</a:t>
          </a:r>
        </a:p>
      </dgm:t>
    </dgm:pt>
    <dgm:pt modelId="{226FB498-88B3-4AC7-AC1F-1E47A6EFF2DC}" type="parTrans" cxnId="{701A5DEB-A993-4676-8A44-B79E6F42CA43}">
      <dgm:prSet/>
      <dgm:spPr/>
      <dgm:t>
        <a:bodyPr/>
        <a:lstStyle/>
        <a:p>
          <a:endParaRPr lang="en-US"/>
        </a:p>
      </dgm:t>
    </dgm:pt>
    <dgm:pt modelId="{A105A905-AEBF-40DF-99F4-10FCEAB7B2C6}" type="sibTrans" cxnId="{701A5DEB-A993-4676-8A44-B79E6F42CA43}">
      <dgm:prSet/>
      <dgm:spPr/>
      <dgm:t>
        <a:bodyPr/>
        <a:lstStyle/>
        <a:p>
          <a:endParaRPr lang="en-US"/>
        </a:p>
      </dgm:t>
    </dgm:pt>
    <dgm:pt modelId="{359FD261-31FA-4580-8598-FEFB96F9CBF6}">
      <dgm:prSet phldrT="[Text]"/>
      <dgm:spPr/>
      <dgm:t>
        <a:bodyPr/>
        <a:lstStyle/>
        <a:p>
          <a:r>
            <a:rPr lang="en-US" dirty="0"/>
            <a:t>Monitor</a:t>
          </a:r>
        </a:p>
      </dgm:t>
    </dgm:pt>
    <dgm:pt modelId="{CB0239BB-C0E5-42B3-B1CF-7C448A317F71}" type="parTrans" cxnId="{C81AAB59-F241-4E18-A484-BE0A942401E0}">
      <dgm:prSet/>
      <dgm:spPr/>
      <dgm:t>
        <a:bodyPr/>
        <a:lstStyle/>
        <a:p>
          <a:endParaRPr lang="en-US"/>
        </a:p>
      </dgm:t>
    </dgm:pt>
    <dgm:pt modelId="{82E68338-C657-43A2-B501-ACC47F7F7ABA}" type="sibTrans" cxnId="{C81AAB59-F241-4E18-A484-BE0A942401E0}">
      <dgm:prSet/>
      <dgm:spPr/>
      <dgm:t>
        <a:bodyPr/>
        <a:lstStyle/>
        <a:p>
          <a:endParaRPr lang="en-US"/>
        </a:p>
      </dgm:t>
    </dgm:pt>
    <dgm:pt modelId="{6E2BF369-2FA5-4D58-BDB2-7CBDB214C346}">
      <dgm:prSet phldrT="[Text]"/>
      <dgm:spPr/>
      <dgm:t>
        <a:bodyPr/>
        <a:lstStyle/>
        <a:p>
          <a:r>
            <a:rPr lang="en-US" dirty="0"/>
            <a:t>Reporting (Progress Plans, SF-425s, Operating Outcome Plans) </a:t>
          </a:r>
        </a:p>
      </dgm:t>
    </dgm:pt>
    <dgm:pt modelId="{E11E012B-4929-4F53-9C51-1A02EAE7A01F}" type="parTrans" cxnId="{319D851E-AE76-4B7E-9769-E84921922C17}">
      <dgm:prSet/>
      <dgm:spPr/>
      <dgm:t>
        <a:bodyPr/>
        <a:lstStyle/>
        <a:p>
          <a:endParaRPr lang="en-US"/>
        </a:p>
      </dgm:t>
    </dgm:pt>
    <dgm:pt modelId="{A33307F4-5651-4AFD-BC9C-C5C8C940118E}" type="sibTrans" cxnId="{319D851E-AE76-4B7E-9769-E84921922C17}">
      <dgm:prSet/>
      <dgm:spPr/>
      <dgm:t>
        <a:bodyPr/>
        <a:lstStyle/>
        <a:p>
          <a:endParaRPr lang="en-US"/>
        </a:p>
      </dgm:t>
    </dgm:pt>
    <dgm:pt modelId="{1F7C77B3-36C4-4203-94E0-AD108DDE4940}">
      <dgm:prSet phldrT="[Text]"/>
      <dgm:spPr/>
      <dgm:t>
        <a:bodyPr/>
        <a:lstStyle/>
        <a:p>
          <a:r>
            <a:rPr lang="en-US" dirty="0"/>
            <a:t>Adjust</a:t>
          </a:r>
        </a:p>
      </dgm:t>
    </dgm:pt>
    <dgm:pt modelId="{E0271019-E9DF-4A66-B1F9-118EEDA6362E}" type="parTrans" cxnId="{DC096661-3E03-4C15-8072-103F5C0AEFCD}">
      <dgm:prSet/>
      <dgm:spPr/>
      <dgm:t>
        <a:bodyPr/>
        <a:lstStyle/>
        <a:p>
          <a:endParaRPr lang="en-US"/>
        </a:p>
      </dgm:t>
    </dgm:pt>
    <dgm:pt modelId="{FB5973AD-692C-4FBA-BC67-11152C00C33C}" type="sibTrans" cxnId="{DC096661-3E03-4C15-8072-103F5C0AEFCD}">
      <dgm:prSet/>
      <dgm:spPr/>
      <dgm:t>
        <a:bodyPr/>
        <a:lstStyle/>
        <a:p>
          <a:endParaRPr lang="en-US"/>
        </a:p>
      </dgm:t>
    </dgm:pt>
    <dgm:pt modelId="{205FD571-A28D-4736-BAC2-27E57CB93836}">
      <dgm:prSet/>
      <dgm:spPr/>
      <dgm:t>
        <a:bodyPr/>
        <a:lstStyle/>
        <a:p>
          <a:r>
            <a:rPr lang="en-US" dirty="0"/>
            <a:t>Amendments (CD-451s)</a:t>
          </a:r>
        </a:p>
      </dgm:t>
    </dgm:pt>
    <dgm:pt modelId="{D645621A-FAF0-460E-85C6-19930A0EEE38}" type="parTrans" cxnId="{9DC2BCEA-7E8C-4C6A-8A33-B34B11C0F366}">
      <dgm:prSet/>
      <dgm:spPr/>
      <dgm:t>
        <a:bodyPr/>
        <a:lstStyle/>
        <a:p>
          <a:endParaRPr lang="en-US"/>
        </a:p>
      </dgm:t>
    </dgm:pt>
    <dgm:pt modelId="{D0EE38FB-1FE1-4D17-B87B-C71EB24444F7}" type="sibTrans" cxnId="{9DC2BCEA-7E8C-4C6A-8A33-B34B11C0F366}">
      <dgm:prSet/>
      <dgm:spPr/>
      <dgm:t>
        <a:bodyPr/>
        <a:lstStyle/>
        <a:p>
          <a:endParaRPr lang="en-US"/>
        </a:p>
      </dgm:t>
    </dgm:pt>
    <dgm:pt modelId="{37C1C9CD-3EDD-4C64-BEDE-FFB42F7BA124}">
      <dgm:prSet phldrT="[Text]"/>
      <dgm:spPr/>
      <dgm:t>
        <a:bodyPr/>
        <a:lstStyle/>
        <a:p>
          <a:r>
            <a:rPr lang="en-US" dirty="0"/>
            <a:t>Board By-laws</a:t>
          </a:r>
        </a:p>
      </dgm:t>
    </dgm:pt>
    <dgm:pt modelId="{42C60C45-9609-4C7A-9377-9FA6D027D686}" type="parTrans" cxnId="{22F45F16-42F4-4399-9534-7B576FE2DC80}">
      <dgm:prSet/>
      <dgm:spPr/>
      <dgm:t>
        <a:bodyPr/>
        <a:lstStyle/>
        <a:p>
          <a:endParaRPr lang="en-US"/>
        </a:p>
      </dgm:t>
    </dgm:pt>
    <dgm:pt modelId="{8C6C62C6-BF75-4FF6-9850-A85842DBE615}" type="sibTrans" cxnId="{22F45F16-42F4-4399-9534-7B576FE2DC80}">
      <dgm:prSet/>
      <dgm:spPr/>
      <dgm:t>
        <a:bodyPr/>
        <a:lstStyle/>
        <a:p>
          <a:endParaRPr lang="en-US"/>
        </a:p>
      </dgm:t>
    </dgm:pt>
    <dgm:pt modelId="{57D9FFC7-69CF-4C79-9B68-AE28F173A9AD}">
      <dgm:prSet phldrT="[Text]"/>
      <dgm:spPr/>
      <dgm:t>
        <a:bodyPr/>
        <a:lstStyle/>
        <a:p>
          <a:r>
            <a:rPr lang="en-US" dirty="0"/>
            <a:t>Operating Outcome Plans</a:t>
          </a:r>
        </a:p>
      </dgm:t>
    </dgm:pt>
    <dgm:pt modelId="{65E7C9BB-0B43-44F6-A477-B184ED03A847}" type="sibTrans" cxnId="{073FBAF8-D207-4786-9203-388D0C091852}">
      <dgm:prSet/>
      <dgm:spPr/>
      <dgm:t>
        <a:bodyPr/>
        <a:lstStyle/>
        <a:p>
          <a:endParaRPr lang="en-US"/>
        </a:p>
      </dgm:t>
    </dgm:pt>
    <dgm:pt modelId="{F5F32FFE-1B73-43DD-84B5-1031C72384C3}" type="parTrans" cxnId="{073FBAF8-D207-4786-9203-388D0C091852}">
      <dgm:prSet/>
      <dgm:spPr/>
      <dgm:t>
        <a:bodyPr/>
        <a:lstStyle/>
        <a:p>
          <a:endParaRPr lang="en-US"/>
        </a:p>
      </dgm:t>
    </dgm:pt>
    <dgm:pt modelId="{FBF58595-FCE7-4D75-B5F9-AC48729845F6}">
      <dgm:prSet phldrT="[Text]"/>
      <dgm:spPr/>
      <dgm:t>
        <a:bodyPr/>
        <a:lstStyle/>
        <a:p>
          <a:r>
            <a:rPr lang="en-US" dirty="0"/>
            <a:t>Multi-year Budgets*</a:t>
          </a:r>
        </a:p>
      </dgm:t>
    </dgm:pt>
    <dgm:pt modelId="{BD3DEE57-5508-4131-98A5-6C31DCE659BC}" type="sibTrans" cxnId="{D2166FD1-A888-4F1B-8717-AB09925DE40B}">
      <dgm:prSet/>
      <dgm:spPr/>
      <dgm:t>
        <a:bodyPr/>
        <a:lstStyle/>
        <a:p>
          <a:endParaRPr lang="en-US"/>
        </a:p>
      </dgm:t>
    </dgm:pt>
    <dgm:pt modelId="{12637D2F-8ED0-4B1C-B6B6-2AAD9820154C}" type="parTrans" cxnId="{D2166FD1-A888-4F1B-8717-AB09925DE40B}">
      <dgm:prSet/>
      <dgm:spPr/>
      <dgm:t>
        <a:bodyPr/>
        <a:lstStyle/>
        <a:p>
          <a:endParaRPr lang="en-US"/>
        </a:p>
      </dgm:t>
    </dgm:pt>
    <dgm:pt modelId="{41FCA8CC-14DD-4776-8D32-2064B2320B78}">
      <dgm:prSet phldrT="[Text]"/>
      <dgm:spPr/>
      <dgm:t>
        <a:bodyPr/>
        <a:lstStyle/>
        <a:p>
          <a:r>
            <a:rPr lang="en-US" dirty="0"/>
            <a:t>Intellectual Property Plan (IP Plan)*</a:t>
          </a:r>
        </a:p>
      </dgm:t>
    </dgm:pt>
    <dgm:pt modelId="{6C8BF886-3410-4847-AE88-3D7757825BB7}" type="parTrans" cxnId="{DB60E85D-63A0-4457-9495-E3C2E71D3107}">
      <dgm:prSet/>
      <dgm:spPr/>
      <dgm:t>
        <a:bodyPr/>
        <a:lstStyle/>
        <a:p>
          <a:endParaRPr lang="en-US"/>
        </a:p>
      </dgm:t>
    </dgm:pt>
    <dgm:pt modelId="{89FE2197-23B5-4FAA-AEA7-0933BE451B81}" type="sibTrans" cxnId="{DB60E85D-63A0-4457-9495-E3C2E71D3107}">
      <dgm:prSet/>
      <dgm:spPr/>
      <dgm:t>
        <a:bodyPr/>
        <a:lstStyle/>
        <a:p>
          <a:endParaRPr lang="en-US"/>
        </a:p>
      </dgm:t>
    </dgm:pt>
    <dgm:pt modelId="{9228037A-C315-4967-AE0F-7132018FAE86}">
      <dgm:prSet phldrT="[Text]"/>
      <dgm:spPr/>
      <dgm:t>
        <a:bodyPr/>
        <a:lstStyle/>
        <a:p>
          <a:r>
            <a:rPr lang="en-US" dirty="0"/>
            <a:t>Annual and Panel Reviews</a:t>
          </a:r>
        </a:p>
      </dgm:t>
    </dgm:pt>
    <dgm:pt modelId="{05E62403-D232-4049-8B58-72A1E8B38304}" type="parTrans" cxnId="{BDEDD013-87A8-4DE2-9D7D-C0288E63C8FF}">
      <dgm:prSet/>
      <dgm:spPr/>
      <dgm:t>
        <a:bodyPr/>
        <a:lstStyle/>
        <a:p>
          <a:endParaRPr lang="en-US"/>
        </a:p>
      </dgm:t>
    </dgm:pt>
    <dgm:pt modelId="{D3B63957-3D70-4869-BF7A-4ADBF0705F82}" type="sibTrans" cxnId="{BDEDD013-87A8-4DE2-9D7D-C0288E63C8FF}">
      <dgm:prSet/>
      <dgm:spPr/>
      <dgm:t>
        <a:bodyPr/>
        <a:lstStyle/>
        <a:p>
          <a:endParaRPr lang="en-US"/>
        </a:p>
      </dgm:t>
    </dgm:pt>
    <dgm:pt modelId="{6CFE0A84-E4F4-4142-9841-F50C1FAADE6C}" type="pres">
      <dgm:prSet presAssocID="{00AD5BA8-C6AE-4C63-BF01-11A2207A6DBA}" presName="Name0" presStyleCnt="0">
        <dgm:presLayoutVars>
          <dgm:dir/>
          <dgm:animLvl val="lvl"/>
          <dgm:resizeHandles val="exact"/>
        </dgm:presLayoutVars>
      </dgm:prSet>
      <dgm:spPr/>
    </dgm:pt>
    <dgm:pt modelId="{9DA4E1DE-E583-48FB-96A7-C66807424F17}" type="pres">
      <dgm:prSet presAssocID="{F842B28A-C321-4A28-B103-4947C05959CD}" presName="linNode" presStyleCnt="0"/>
      <dgm:spPr/>
    </dgm:pt>
    <dgm:pt modelId="{08A960DC-FA29-44E8-AF29-98B6FE501A9E}" type="pres">
      <dgm:prSet presAssocID="{F842B28A-C321-4A28-B103-4947C05959CD}" presName="parentText" presStyleLbl="node1" presStyleIdx="0" presStyleCnt="4">
        <dgm:presLayoutVars>
          <dgm:chMax val="1"/>
          <dgm:bulletEnabled val="1"/>
        </dgm:presLayoutVars>
      </dgm:prSet>
      <dgm:spPr/>
    </dgm:pt>
    <dgm:pt modelId="{79A15757-F9F2-4EB0-8168-474CC132350C}" type="pres">
      <dgm:prSet presAssocID="{F842B28A-C321-4A28-B103-4947C05959CD}" presName="descendantText" presStyleLbl="alignAccFollowNode1" presStyleIdx="0" presStyleCnt="4">
        <dgm:presLayoutVars>
          <dgm:bulletEnabled val="1"/>
        </dgm:presLayoutVars>
      </dgm:prSet>
      <dgm:spPr/>
    </dgm:pt>
    <dgm:pt modelId="{390A0F6F-FF2C-4A49-9EF2-8F2A5EC14BB5}" type="pres">
      <dgm:prSet presAssocID="{708A52F0-4CBB-4CED-82DC-F37FF5A94588}" presName="sp" presStyleCnt="0"/>
      <dgm:spPr/>
    </dgm:pt>
    <dgm:pt modelId="{9A9C7588-76AD-4219-A5CF-58EFE54EBC7E}" type="pres">
      <dgm:prSet presAssocID="{3D5364F9-7565-48D5-BAE2-B77CAB6D2704}" presName="linNode" presStyleCnt="0"/>
      <dgm:spPr/>
    </dgm:pt>
    <dgm:pt modelId="{E88A520C-50A4-4CC7-A18C-CF40538E8982}" type="pres">
      <dgm:prSet presAssocID="{3D5364F9-7565-48D5-BAE2-B77CAB6D2704}" presName="parentText" presStyleLbl="node1" presStyleIdx="1" presStyleCnt="4">
        <dgm:presLayoutVars>
          <dgm:chMax val="1"/>
          <dgm:bulletEnabled val="1"/>
        </dgm:presLayoutVars>
      </dgm:prSet>
      <dgm:spPr/>
    </dgm:pt>
    <dgm:pt modelId="{92F7D968-3F6D-495F-ACD0-4ADD56FB07C8}" type="pres">
      <dgm:prSet presAssocID="{3D5364F9-7565-48D5-BAE2-B77CAB6D2704}" presName="descendantText" presStyleLbl="alignAccFollowNode1" presStyleIdx="1" presStyleCnt="4">
        <dgm:presLayoutVars>
          <dgm:bulletEnabled val="1"/>
        </dgm:presLayoutVars>
      </dgm:prSet>
      <dgm:spPr/>
    </dgm:pt>
    <dgm:pt modelId="{9E98D15C-1624-4690-AE45-5F217EB0607F}" type="pres">
      <dgm:prSet presAssocID="{5774CFF5-6C38-4DD3-9893-2E9CBF61F164}" presName="sp" presStyleCnt="0"/>
      <dgm:spPr/>
    </dgm:pt>
    <dgm:pt modelId="{2122CD52-B4AB-4DB8-A805-93924A6C1FF7}" type="pres">
      <dgm:prSet presAssocID="{359FD261-31FA-4580-8598-FEFB96F9CBF6}" presName="linNode" presStyleCnt="0"/>
      <dgm:spPr/>
    </dgm:pt>
    <dgm:pt modelId="{2FF1C931-2308-4126-A5F6-9B7F416F755A}" type="pres">
      <dgm:prSet presAssocID="{359FD261-31FA-4580-8598-FEFB96F9CBF6}" presName="parentText" presStyleLbl="node1" presStyleIdx="2" presStyleCnt="4">
        <dgm:presLayoutVars>
          <dgm:chMax val="1"/>
          <dgm:bulletEnabled val="1"/>
        </dgm:presLayoutVars>
      </dgm:prSet>
      <dgm:spPr/>
    </dgm:pt>
    <dgm:pt modelId="{0BF7E33C-B643-472D-933A-436B1ABA461F}" type="pres">
      <dgm:prSet presAssocID="{359FD261-31FA-4580-8598-FEFB96F9CBF6}" presName="descendantText" presStyleLbl="alignAccFollowNode1" presStyleIdx="2" presStyleCnt="4">
        <dgm:presLayoutVars>
          <dgm:bulletEnabled val="1"/>
        </dgm:presLayoutVars>
      </dgm:prSet>
      <dgm:spPr/>
    </dgm:pt>
    <dgm:pt modelId="{DED0EB8E-D37D-40B6-B956-D60AC42321A4}" type="pres">
      <dgm:prSet presAssocID="{82E68338-C657-43A2-B501-ACC47F7F7ABA}" presName="sp" presStyleCnt="0"/>
      <dgm:spPr/>
    </dgm:pt>
    <dgm:pt modelId="{6FDAD3D4-1A5B-4448-8B91-2E106FFFE128}" type="pres">
      <dgm:prSet presAssocID="{1F7C77B3-36C4-4203-94E0-AD108DDE4940}" presName="linNode" presStyleCnt="0"/>
      <dgm:spPr/>
    </dgm:pt>
    <dgm:pt modelId="{E7BB7008-482E-4CD1-834A-03089844DE9D}" type="pres">
      <dgm:prSet presAssocID="{1F7C77B3-36C4-4203-94E0-AD108DDE4940}" presName="parentText" presStyleLbl="node1" presStyleIdx="3" presStyleCnt="4">
        <dgm:presLayoutVars>
          <dgm:chMax val="1"/>
          <dgm:bulletEnabled val="1"/>
        </dgm:presLayoutVars>
      </dgm:prSet>
      <dgm:spPr/>
    </dgm:pt>
    <dgm:pt modelId="{D2E48384-F1F0-4CEF-B282-9B37D1347717}" type="pres">
      <dgm:prSet presAssocID="{1F7C77B3-36C4-4203-94E0-AD108DDE4940}" presName="descendantText" presStyleLbl="alignAccFollowNode1" presStyleIdx="3" presStyleCnt="4">
        <dgm:presLayoutVars>
          <dgm:bulletEnabled val="1"/>
        </dgm:presLayoutVars>
      </dgm:prSet>
      <dgm:spPr/>
    </dgm:pt>
  </dgm:ptLst>
  <dgm:cxnLst>
    <dgm:cxn modelId="{AAEE9501-6041-2E4B-B476-017BD7CC4A89}" type="presOf" srcId="{1F7C77B3-36C4-4203-94E0-AD108DDE4940}" destId="{E7BB7008-482E-4CD1-834A-03089844DE9D}" srcOrd="0" destOrd="0" presId="urn:microsoft.com/office/officeart/2005/8/layout/vList5"/>
    <dgm:cxn modelId="{BDEDD013-87A8-4DE2-9D7D-C0288E63C8FF}" srcId="{359FD261-31FA-4580-8598-FEFB96F9CBF6}" destId="{9228037A-C315-4967-AE0F-7132018FAE86}" srcOrd="1" destOrd="0" parTransId="{05E62403-D232-4049-8B58-72A1E8B38304}" sibTransId="{D3B63957-3D70-4869-BF7A-4ADBF0705F82}"/>
    <dgm:cxn modelId="{22F45F16-42F4-4399-9534-7B576FE2DC80}" srcId="{359FD261-31FA-4580-8598-FEFB96F9CBF6}" destId="{37C1C9CD-3EDD-4C64-BEDE-FFB42F7BA124}" srcOrd="2" destOrd="0" parTransId="{42C60C45-9609-4C7A-9377-9FA6D027D686}" sibTransId="{8C6C62C6-BF75-4FF6-9850-A85842DBE615}"/>
    <dgm:cxn modelId="{EAE1CD1B-EC18-5642-B012-61D53466621F}" type="presOf" srcId="{205FD571-A28D-4736-BAC2-27E57CB93836}" destId="{D2E48384-F1F0-4CEF-B282-9B37D1347717}" srcOrd="0" destOrd="1" presId="urn:microsoft.com/office/officeart/2005/8/layout/vList5"/>
    <dgm:cxn modelId="{319D851E-AE76-4B7E-9769-E84921922C17}" srcId="{359FD261-31FA-4580-8598-FEFB96F9CBF6}" destId="{6E2BF369-2FA5-4D58-BDB2-7CBDB214C346}" srcOrd="0" destOrd="0" parTransId="{E11E012B-4929-4F53-9C51-1A02EAE7A01F}" sibTransId="{A33307F4-5651-4AFD-BC9C-C5C8C940118E}"/>
    <dgm:cxn modelId="{489A1D3B-4AC6-4772-AE2B-FBF050B86AD7}" srcId="{00AD5BA8-C6AE-4C63-BF01-11A2207A6DBA}" destId="{F842B28A-C321-4A28-B103-4947C05959CD}" srcOrd="0" destOrd="0" parTransId="{BCFA4BEF-C6AF-4F74-9113-9F23B9830020}" sibTransId="{708A52F0-4CBB-4CED-82DC-F37FF5A94588}"/>
    <dgm:cxn modelId="{CFC2A05B-CD5D-DC4E-97D3-3326ED7C575E}" type="presOf" srcId="{518271D7-1B12-429A-8112-E54FCB0FDF4B}" destId="{79A15757-F9F2-4EB0-8168-474CC132350C}" srcOrd="0" destOrd="0" presId="urn:microsoft.com/office/officeart/2005/8/layout/vList5"/>
    <dgm:cxn modelId="{DB60E85D-63A0-4457-9495-E3C2E71D3107}" srcId="{3D5364F9-7565-48D5-BAE2-B77CAB6D2704}" destId="{41FCA8CC-14DD-4776-8D32-2064B2320B78}" srcOrd="2" destOrd="0" parTransId="{6C8BF886-3410-4847-AE88-3D7757825BB7}" sibTransId="{89FE2197-23B5-4FAA-AEA7-0933BE451B81}"/>
    <dgm:cxn modelId="{DC096661-3E03-4C15-8072-103F5C0AEFCD}" srcId="{00AD5BA8-C6AE-4C63-BF01-11A2207A6DBA}" destId="{1F7C77B3-36C4-4203-94E0-AD108DDE4940}" srcOrd="3" destOrd="0" parTransId="{E0271019-E9DF-4A66-B1F9-118EEDA6362E}" sibTransId="{FB5973AD-692C-4FBA-BC67-11152C00C33C}"/>
    <dgm:cxn modelId="{19B53B4D-39E8-4B43-AF3D-3E073133AF32}" type="presOf" srcId="{DFA21C39-D5A1-4DA5-A5E6-A3428E657605}" destId="{D2E48384-F1F0-4CEF-B282-9B37D1347717}" srcOrd="0" destOrd="0" presId="urn:microsoft.com/office/officeart/2005/8/layout/vList5"/>
    <dgm:cxn modelId="{51113A56-CD64-457F-BF8B-51790B2F865E}" srcId="{1F7C77B3-36C4-4203-94E0-AD108DDE4940}" destId="{DFA21C39-D5A1-4DA5-A5E6-A3428E657605}" srcOrd="0" destOrd="0" parTransId="{36CE1271-174B-4D0E-BB3F-79733C1FB091}" sibTransId="{B7D9ECFE-CFE5-4619-AFDF-D433D302FD68}"/>
    <dgm:cxn modelId="{C57A1157-2177-5F40-9E51-EB841EB4777B}" type="presOf" srcId="{00AD5BA8-C6AE-4C63-BF01-11A2207A6DBA}" destId="{6CFE0A84-E4F4-4142-9841-F50C1FAADE6C}" srcOrd="0" destOrd="0" presId="urn:microsoft.com/office/officeart/2005/8/layout/vList5"/>
    <dgm:cxn modelId="{C81AAB59-F241-4E18-A484-BE0A942401E0}" srcId="{00AD5BA8-C6AE-4C63-BF01-11A2207A6DBA}" destId="{359FD261-31FA-4580-8598-FEFB96F9CBF6}" srcOrd="2" destOrd="0" parTransId="{CB0239BB-C0E5-42B3-B1CF-7C448A317F71}" sibTransId="{82E68338-C657-43A2-B501-ACC47F7F7ABA}"/>
    <dgm:cxn modelId="{02E47F7A-9271-D34C-93DA-7D4D9C83CA86}" type="presOf" srcId="{F842B28A-C321-4A28-B103-4947C05959CD}" destId="{08A960DC-FA29-44E8-AF29-98B6FE501A9E}" srcOrd="0" destOrd="0" presId="urn:microsoft.com/office/officeart/2005/8/layout/vList5"/>
    <dgm:cxn modelId="{4173AC8C-CB33-ED42-90A4-64FCCFFE82EA}" type="presOf" srcId="{359FD261-31FA-4580-8598-FEFB96F9CBF6}" destId="{2FF1C931-2308-4126-A5F6-9B7F416F755A}" srcOrd="0" destOrd="0" presId="urn:microsoft.com/office/officeart/2005/8/layout/vList5"/>
    <dgm:cxn modelId="{AFAD9496-E3A2-4B4A-8B86-5AC845823959}" type="presOf" srcId="{3D5364F9-7565-48D5-BAE2-B77CAB6D2704}" destId="{E88A520C-50A4-4CC7-A18C-CF40538E8982}" srcOrd="0" destOrd="0" presId="urn:microsoft.com/office/officeart/2005/8/layout/vList5"/>
    <dgm:cxn modelId="{A8009F96-8D2C-4DA6-8540-7555EF55A9B2}" type="presOf" srcId="{41FCA8CC-14DD-4776-8D32-2064B2320B78}" destId="{92F7D968-3F6D-495F-ACD0-4ADD56FB07C8}" srcOrd="0" destOrd="2" presId="urn:microsoft.com/office/officeart/2005/8/layout/vList5"/>
    <dgm:cxn modelId="{21385B98-96D3-BF45-908C-82518DF6069B}" type="presOf" srcId="{FBF58595-FCE7-4D75-B5F9-AC48729845F6}" destId="{92F7D968-3F6D-495F-ACD0-4ADD56FB07C8}" srcOrd="0" destOrd="1" presId="urn:microsoft.com/office/officeart/2005/8/layout/vList5"/>
    <dgm:cxn modelId="{FC7FBFA0-2A45-2049-A1E0-3A4B77951AFC}" type="presOf" srcId="{6E2BF369-2FA5-4D58-BDB2-7CBDB214C346}" destId="{0BF7E33C-B643-472D-933A-436B1ABA461F}" srcOrd="0" destOrd="0" presId="urn:microsoft.com/office/officeart/2005/8/layout/vList5"/>
    <dgm:cxn modelId="{E4834EA1-C41D-4BD8-83DE-91FB7869CAB5}" srcId="{F842B28A-C321-4A28-B103-4947C05959CD}" destId="{518271D7-1B12-429A-8112-E54FCB0FDF4B}" srcOrd="0" destOrd="0" parTransId="{470B4A3C-A322-402D-88A6-4F2137E2AAD9}" sibTransId="{15013650-4A14-4B56-BDD2-35026170514B}"/>
    <dgm:cxn modelId="{BCCFA1AE-D333-43A2-8AF1-63ADEAF3F7CF}" type="presOf" srcId="{9228037A-C315-4967-AE0F-7132018FAE86}" destId="{0BF7E33C-B643-472D-933A-436B1ABA461F}" srcOrd="0" destOrd="1" presId="urn:microsoft.com/office/officeart/2005/8/layout/vList5"/>
    <dgm:cxn modelId="{CBAA5CB7-828B-49CC-AE79-E0FF28E3A62E}" srcId="{00AD5BA8-C6AE-4C63-BF01-11A2207A6DBA}" destId="{3D5364F9-7565-48D5-BAE2-B77CAB6D2704}" srcOrd="1" destOrd="0" parTransId="{B88848B0-5089-4B5F-887D-5C807655AD2E}" sibTransId="{5774CFF5-6C38-4DD3-9893-2E9CBF61F164}"/>
    <dgm:cxn modelId="{193CF1B8-0A9D-2A4E-8D30-0A1AFF3AFD76}" type="presOf" srcId="{CF3A7F1E-93FC-4011-951F-D831D248A6E6}" destId="{79A15757-F9F2-4EB0-8168-474CC132350C}" srcOrd="0" destOrd="1" presId="urn:microsoft.com/office/officeart/2005/8/layout/vList5"/>
    <dgm:cxn modelId="{EE0B3DC6-D17D-F446-8849-1A46DB475321}" type="presOf" srcId="{57D9FFC7-69CF-4C79-9B68-AE28F173A9AD}" destId="{92F7D968-3F6D-495F-ACD0-4ADD56FB07C8}" srcOrd="0" destOrd="0" presId="urn:microsoft.com/office/officeart/2005/8/layout/vList5"/>
    <dgm:cxn modelId="{D2166FD1-A888-4F1B-8717-AB09925DE40B}" srcId="{3D5364F9-7565-48D5-BAE2-B77CAB6D2704}" destId="{FBF58595-FCE7-4D75-B5F9-AC48729845F6}" srcOrd="1" destOrd="0" parTransId="{12637D2F-8ED0-4B1C-B6B6-2AAD9820154C}" sibTransId="{BD3DEE57-5508-4131-98A5-6C31DCE659BC}"/>
    <dgm:cxn modelId="{508598E4-BE4F-40C6-B719-16385E057F50}" type="presOf" srcId="{37C1C9CD-3EDD-4C64-BEDE-FFB42F7BA124}" destId="{0BF7E33C-B643-472D-933A-436B1ABA461F}" srcOrd="0" destOrd="2" presId="urn:microsoft.com/office/officeart/2005/8/layout/vList5"/>
    <dgm:cxn modelId="{9DC2BCEA-7E8C-4C6A-8A33-B34B11C0F366}" srcId="{1F7C77B3-36C4-4203-94E0-AD108DDE4940}" destId="{205FD571-A28D-4736-BAC2-27E57CB93836}" srcOrd="1" destOrd="0" parTransId="{D645621A-FAF0-460E-85C6-19930A0EEE38}" sibTransId="{D0EE38FB-1FE1-4D17-B87B-C71EB24444F7}"/>
    <dgm:cxn modelId="{701A5DEB-A993-4676-8A44-B79E6F42CA43}" srcId="{F842B28A-C321-4A28-B103-4947C05959CD}" destId="{CF3A7F1E-93FC-4011-951F-D831D248A6E6}" srcOrd="1" destOrd="0" parTransId="{226FB498-88B3-4AC7-AC1F-1E47A6EFF2DC}" sibTransId="{A105A905-AEBF-40DF-99F4-10FCEAB7B2C6}"/>
    <dgm:cxn modelId="{073FBAF8-D207-4786-9203-388D0C091852}" srcId="{3D5364F9-7565-48D5-BAE2-B77CAB6D2704}" destId="{57D9FFC7-69CF-4C79-9B68-AE28F173A9AD}" srcOrd="0" destOrd="0" parTransId="{F5F32FFE-1B73-43DD-84B5-1031C72384C3}" sibTransId="{65E7C9BB-0B43-44F6-A477-B184ED03A847}"/>
    <dgm:cxn modelId="{38A03C3A-740C-4042-B7BB-8111D04A6679}" type="presParOf" srcId="{6CFE0A84-E4F4-4142-9841-F50C1FAADE6C}" destId="{9DA4E1DE-E583-48FB-96A7-C66807424F17}" srcOrd="0" destOrd="0" presId="urn:microsoft.com/office/officeart/2005/8/layout/vList5"/>
    <dgm:cxn modelId="{1C2A21CA-648B-B646-AA56-F94E318FE3F6}" type="presParOf" srcId="{9DA4E1DE-E583-48FB-96A7-C66807424F17}" destId="{08A960DC-FA29-44E8-AF29-98B6FE501A9E}" srcOrd="0" destOrd="0" presId="urn:microsoft.com/office/officeart/2005/8/layout/vList5"/>
    <dgm:cxn modelId="{4FF18128-92AE-CB42-8DE4-807D9E9C0B78}" type="presParOf" srcId="{9DA4E1DE-E583-48FB-96A7-C66807424F17}" destId="{79A15757-F9F2-4EB0-8168-474CC132350C}" srcOrd="1" destOrd="0" presId="urn:microsoft.com/office/officeart/2005/8/layout/vList5"/>
    <dgm:cxn modelId="{BDCDE3C3-1234-334C-96D6-55006CD4D9B2}" type="presParOf" srcId="{6CFE0A84-E4F4-4142-9841-F50C1FAADE6C}" destId="{390A0F6F-FF2C-4A49-9EF2-8F2A5EC14BB5}" srcOrd="1" destOrd="0" presId="urn:microsoft.com/office/officeart/2005/8/layout/vList5"/>
    <dgm:cxn modelId="{95E03DD9-5BD3-BD4B-99BD-681E3A6460CF}" type="presParOf" srcId="{6CFE0A84-E4F4-4142-9841-F50C1FAADE6C}" destId="{9A9C7588-76AD-4219-A5CF-58EFE54EBC7E}" srcOrd="2" destOrd="0" presId="urn:microsoft.com/office/officeart/2005/8/layout/vList5"/>
    <dgm:cxn modelId="{41E909F3-7F1F-DF42-A944-1498FE892767}" type="presParOf" srcId="{9A9C7588-76AD-4219-A5CF-58EFE54EBC7E}" destId="{E88A520C-50A4-4CC7-A18C-CF40538E8982}" srcOrd="0" destOrd="0" presId="urn:microsoft.com/office/officeart/2005/8/layout/vList5"/>
    <dgm:cxn modelId="{FD8CF403-6D4F-954A-BD8C-3B6EC5575413}" type="presParOf" srcId="{9A9C7588-76AD-4219-A5CF-58EFE54EBC7E}" destId="{92F7D968-3F6D-495F-ACD0-4ADD56FB07C8}" srcOrd="1" destOrd="0" presId="urn:microsoft.com/office/officeart/2005/8/layout/vList5"/>
    <dgm:cxn modelId="{2C2CC0A7-130C-484D-8928-B33C04C11B79}" type="presParOf" srcId="{6CFE0A84-E4F4-4142-9841-F50C1FAADE6C}" destId="{9E98D15C-1624-4690-AE45-5F217EB0607F}" srcOrd="3" destOrd="0" presId="urn:microsoft.com/office/officeart/2005/8/layout/vList5"/>
    <dgm:cxn modelId="{14AE06A5-0029-3B45-AE4E-1DD7E99D807E}" type="presParOf" srcId="{6CFE0A84-E4F4-4142-9841-F50C1FAADE6C}" destId="{2122CD52-B4AB-4DB8-A805-93924A6C1FF7}" srcOrd="4" destOrd="0" presId="urn:microsoft.com/office/officeart/2005/8/layout/vList5"/>
    <dgm:cxn modelId="{FF2DA802-DE0E-3D40-AD62-824FA003237A}" type="presParOf" srcId="{2122CD52-B4AB-4DB8-A805-93924A6C1FF7}" destId="{2FF1C931-2308-4126-A5F6-9B7F416F755A}" srcOrd="0" destOrd="0" presId="urn:microsoft.com/office/officeart/2005/8/layout/vList5"/>
    <dgm:cxn modelId="{866905C0-5CD3-AC44-B31B-B5DC51CB5991}" type="presParOf" srcId="{2122CD52-B4AB-4DB8-A805-93924A6C1FF7}" destId="{0BF7E33C-B643-472D-933A-436B1ABA461F}" srcOrd="1" destOrd="0" presId="urn:microsoft.com/office/officeart/2005/8/layout/vList5"/>
    <dgm:cxn modelId="{475F10A1-72EA-7642-ABD7-74D8F89A1D7F}" type="presParOf" srcId="{6CFE0A84-E4F4-4142-9841-F50C1FAADE6C}" destId="{DED0EB8E-D37D-40B6-B956-D60AC42321A4}" srcOrd="5" destOrd="0" presId="urn:microsoft.com/office/officeart/2005/8/layout/vList5"/>
    <dgm:cxn modelId="{F68F6138-9F5C-624E-BC60-E149CA38F055}" type="presParOf" srcId="{6CFE0A84-E4F4-4142-9841-F50C1FAADE6C}" destId="{6FDAD3D4-1A5B-4448-8B91-2E106FFFE128}" srcOrd="6" destOrd="0" presId="urn:microsoft.com/office/officeart/2005/8/layout/vList5"/>
    <dgm:cxn modelId="{3A75B019-E235-BC45-9B3B-B2B1B9FB9E93}" type="presParOf" srcId="{6FDAD3D4-1A5B-4448-8B91-2E106FFFE128}" destId="{E7BB7008-482E-4CD1-834A-03089844DE9D}" srcOrd="0" destOrd="0" presId="urn:microsoft.com/office/officeart/2005/8/layout/vList5"/>
    <dgm:cxn modelId="{C8429A71-279F-6542-BBEE-0A15CED09093}" type="presParOf" srcId="{6FDAD3D4-1A5B-4448-8B91-2E106FFFE128}" destId="{D2E48384-F1F0-4CEF-B282-9B37D1347717}"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41FBCBA-2CB4-4B33-8875-F74F335F11DD}" type="doc">
      <dgm:prSet loTypeId="urn:microsoft.com/office/officeart/2008/layout/CircleAccentTimeline" loCatId="process" qsTypeId="urn:microsoft.com/office/officeart/2005/8/quickstyle/simple1" qsCatId="simple" csTypeId="urn:microsoft.com/office/officeart/2005/8/colors/accent1_2" csCatId="accent1" phldr="1"/>
      <dgm:spPr/>
      <dgm:t>
        <a:bodyPr/>
        <a:lstStyle/>
        <a:p>
          <a:endParaRPr lang="en-US"/>
        </a:p>
      </dgm:t>
    </dgm:pt>
    <dgm:pt modelId="{E3991AF5-BA84-495B-BC69-8AB8839C16B5}">
      <dgm:prSet phldrT="[Text]"/>
      <dgm:spPr/>
      <dgm:t>
        <a:bodyPr/>
        <a:lstStyle/>
        <a:p>
          <a:r>
            <a:rPr lang="en-US" b="1"/>
            <a:t>Annual Review          </a:t>
          </a:r>
          <a:r>
            <a:rPr lang="en-US" i="1"/>
            <a:t>(NLT 100 days before end date)</a:t>
          </a:r>
        </a:p>
      </dgm:t>
    </dgm:pt>
    <dgm:pt modelId="{7FBAEBA1-DFEF-4BD9-940F-E86A85D3D098}" type="parTrans" cxnId="{39A279B9-AB33-4E9F-AECF-F7D04BE05CC9}">
      <dgm:prSet/>
      <dgm:spPr/>
      <dgm:t>
        <a:bodyPr/>
        <a:lstStyle/>
        <a:p>
          <a:endParaRPr lang="en-US"/>
        </a:p>
      </dgm:t>
    </dgm:pt>
    <dgm:pt modelId="{E6C0F456-A710-471A-8FC9-DF5D93C69E52}" type="sibTrans" cxnId="{39A279B9-AB33-4E9F-AECF-F7D04BE05CC9}">
      <dgm:prSet/>
      <dgm:spPr/>
      <dgm:t>
        <a:bodyPr/>
        <a:lstStyle/>
        <a:p>
          <a:endParaRPr lang="en-US"/>
        </a:p>
      </dgm:t>
    </dgm:pt>
    <dgm:pt modelId="{2396A1A2-982C-40F2-B294-C7178499C03E}">
      <dgm:prSet phldrT="[Text]"/>
      <dgm:spPr/>
      <dgm:t>
        <a:bodyPr/>
        <a:lstStyle/>
        <a:p>
          <a:r>
            <a:rPr lang="en-US"/>
            <a:t>Renewal guidance issued to Center</a:t>
          </a:r>
        </a:p>
      </dgm:t>
    </dgm:pt>
    <dgm:pt modelId="{61DAB567-7EFA-4649-95A1-316E72B7D210}" type="parTrans" cxnId="{C44B0F5E-B37A-4368-9E5B-670BD84D7FA0}">
      <dgm:prSet/>
      <dgm:spPr/>
      <dgm:t>
        <a:bodyPr/>
        <a:lstStyle/>
        <a:p>
          <a:endParaRPr lang="en-US"/>
        </a:p>
      </dgm:t>
    </dgm:pt>
    <dgm:pt modelId="{59EC96BB-C8D2-4C74-8120-60899D7C6648}" type="sibTrans" cxnId="{C44B0F5E-B37A-4368-9E5B-670BD84D7FA0}">
      <dgm:prSet/>
      <dgm:spPr/>
      <dgm:t>
        <a:bodyPr/>
        <a:lstStyle/>
        <a:p>
          <a:endParaRPr lang="en-US"/>
        </a:p>
      </dgm:t>
    </dgm:pt>
    <dgm:pt modelId="{E2EBB209-6C0B-4D2A-9BBD-600364584D6C}">
      <dgm:prSet phldrT="[Text]"/>
      <dgm:spPr/>
      <dgm:t>
        <a:bodyPr/>
        <a:lstStyle/>
        <a:p>
          <a:r>
            <a:rPr lang="en-US" b="1"/>
            <a:t>Draft Renewal Package </a:t>
          </a:r>
          <a:r>
            <a:rPr lang="en-US" i="1"/>
            <a:t>(NLT 90 days before end date)</a:t>
          </a:r>
        </a:p>
      </dgm:t>
    </dgm:pt>
    <dgm:pt modelId="{33A7DB83-7CF0-4058-8851-266B587E8998}" type="parTrans" cxnId="{1764BA64-46DC-4DAE-BA39-105D91F97E70}">
      <dgm:prSet/>
      <dgm:spPr/>
      <dgm:t>
        <a:bodyPr/>
        <a:lstStyle/>
        <a:p>
          <a:endParaRPr lang="en-US"/>
        </a:p>
      </dgm:t>
    </dgm:pt>
    <dgm:pt modelId="{74EEDAB2-62F0-464F-8839-8E2C8CC9300A}" type="sibTrans" cxnId="{1764BA64-46DC-4DAE-BA39-105D91F97E70}">
      <dgm:prSet/>
      <dgm:spPr/>
      <dgm:t>
        <a:bodyPr/>
        <a:lstStyle/>
        <a:p>
          <a:endParaRPr lang="en-US"/>
        </a:p>
      </dgm:t>
    </dgm:pt>
    <dgm:pt modelId="{E426CB56-FA6E-4AC4-AA37-DF52221188F1}">
      <dgm:prSet phldrT="[Text]"/>
      <dgm:spPr/>
      <dgm:t>
        <a:bodyPr/>
        <a:lstStyle/>
        <a:p>
          <a:r>
            <a:rPr lang="en-US" b="1"/>
            <a:t>Final Renewal Package </a:t>
          </a:r>
          <a:r>
            <a:rPr lang="en-US" i="1"/>
            <a:t>(NLT 60 days before end date)</a:t>
          </a:r>
        </a:p>
      </dgm:t>
    </dgm:pt>
    <dgm:pt modelId="{7CFE5E1E-A188-49D0-9012-6C6923CA2D17}" type="parTrans" cxnId="{40306EAB-9BE8-48DF-B160-2B9BC62B0A86}">
      <dgm:prSet/>
      <dgm:spPr/>
      <dgm:t>
        <a:bodyPr/>
        <a:lstStyle/>
        <a:p>
          <a:endParaRPr lang="en-US"/>
        </a:p>
      </dgm:t>
    </dgm:pt>
    <dgm:pt modelId="{C7D93B25-2967-4FDF-8BF1-BAC4517D616B}" type="sibTrans" cxnId="{40306EAB-9BE8-48DF-B160-2B9BC62B0A86}">
      <dgm:prSet/>
      <dgm:spPr/>
      <dgm:t>
        <a:bodyPr/>
        <a:lstStyle/>
        <a:p>
          <a:endParaRPr lang="en-US"/>
        </a:p>
      </dgm:t>
    </dgm:pt>
    <dgm:pt modelId="{642B522E-8C35-4A5E-B749-3F7075F9EF4A}">
      <dgm:prSet phldrT="[Text]"/>
      <dgm:spPr/>
      <dgm:t>
        <a:bodyPr/>
        <a:lstStyle/>
        <a:p>
          <a:r>
            <a:rPr lang="en-US"/>
            <a:t>CRMT draft package review</a:t>
          </a:r>
        </a:p>
      </dgm:t>
    </dgm:pt>
    <dgm:pt modelId="{5A2C59D9-1AF1-45C3-B802-C8212E129D58}" type="parTrans" cxnId="{05FFDDF3-C01E-4475-B549-D881B32BB282}">
      <dgm:prSet/>
      <dgm:spPr/>
      <dgm:t>
        <a:bodyPr/>
        <a:lstStyle/>
        <a:p>
          <a:endParaRPr lang="en-US"/>
        </a:p>
      </dgm:t>
    </dgm:pt>
    <dgm:pt modelId="{41FC0F68-BA22-493F-B3D4-9A8C3B29FCD5}" type="sibTrans" cxnId="{05FFDDF3-C01E-4475-B549-D881B32BB282}">
      <dgm:prSet/>
      <dgm:spPr/>
      <dgm:t>
        <a:bodyPr/>
        <a:lstStyle/>
        <a:p>
          <a:endParaRPr lang="en-US"/>
        </a:p>
      </dgm:t>
    </dgm:pt>
    <dgm:pt modelId="{12E09717-D2C5-4EE6-966C-4E0E01D13C79}">
      <dgm:prSet phldrT="[Text]"/>
      <dgm:spPr/>
      <dgm:t>
        <a:bodyPr/>
        <a:lstStyle/>
        <a:p>
          <a:r>
            <a:rPr lang="en-US"/>
            <a:t>Center edits to draft package</a:t>
          </a:r>
        </a:p>
      </dgm:t>
    </dgm:pt>
    <dgm:pt modelId="{495C60E8-7F52-4947-A2AC-B40E037BF16F}" type="parTrans" cxnId="{D80112D5-4E56-4AFC-8BA7-F56FD8838601}">
      <dgm:prSet/>
      <dgm:spPr/>
      <dgm:t>
        <a:bodyPr/>
        <a:lstStyle/>
        <a:p>
          <a:endParaRPr lang="en-US"/>
        </a:p>
      </dgm:t>
    </dgm:pt>
    <dgm:pt modelId="{E497FBBF-F0E5-4531-BC0E-CCD05D46E9E9}" type="sibTrans" cxnId="{D80112D5-4E56-4AFC-8BA7-F56FD8838601}">
      <dgm:prSet/>
      <dgm:spPr/>
      <dgm:t>
        <a:bodyPr/>
        <a:lstStyle/>
        <a:p>
          <a:endParaRPr lang="en-US"/>
        </a:p>
      </dgm:t>
    </dgm:pt>
    <dgm:pt modelId="{282052C2-3F67-4C47-B996-9FC99B4E2348}">
      <dgm:prSet phldrT="[Text]"/>
      <dgm:spPr/>
      <dgm:t>
        <a:bodyPr/>
        <a:lstStyle/>
        <a:p>
          <a:r>
            <a:rPr lang="en-US"/>
            <a:t>CRMT final package review</a:t>
          </a:r>
        </a:p>
      </dgm:t>
    </dgm:pt>
    <dgm:pt modelId="{606CBB9C-8902-4D17-A2A3-A101A6F770A0}" type="parTrans" cxnId="{810F8024-B706-4633-B123-148F3418F100}">
      <dgm:prSet/>
      <dgm:spPr/>
      <dgm:t>
        <a:bodyPr/>
        <a:lstStyle/>
        <a:p>
          <a:endParaRPr lang="en-US"/>
        </a:p>
      </dgm:t>
    </dgm:pt>
    <dgm:pt modelId="{B3F64C94-DA32-44EC-A048-91380421E489}" type="sibTrans" cxnId="{810F8024-B706-4633-B123-148F3418F100}">
      <dgm:prSet/>
      <dgm:spPr/>
      <dgm:t>
        <a:bodyPr/>
        <a:lstStyle/>
        <a:p>
          <a:endParaRPr lang="en-US"/>
        </a:p>
      </dgm:t>
    </dgm:pt>
    <dgm:pt modelId="{56F54A6A-A22A-4836-B04D-4CDECDC24209}">
      <dgm:prSet phldrT="[Text]"/>
      <dgm:spPr/>
      <dgm:t>
        <a:bodyPr/>
        <a:lstStyle/>
        <a:p>
          <a:r>
            <a:rPr lang="en-US"/>
            <a:t>Submission of final package to NIST Grants Office</a:t>
          </a:r>
        </a:p>
      </dgm:t>
    </dgm:pt>
    <dgm:pt modelId="{43C42791-8345-4BA6-9FA4-882503C90204}" type="parTrans" cxnId="{7367FF95-B4F1-414D-9EB7-77122970EFA1}">
      <dgm:prSet/>
      <dgm:spPr/>
      <dgm:t>
        <a:bodyPr/>
        <a:lstStyle/>
        <a:p>
          <a:endParaRPr lang="en-US"/>
        </a:p>
      </dgm:t>
    </dgm:pt>
    <dgm:pt modelId="{9D35298F-96AA-4246-84DC-EF2CD26013A9}" type="sibTrans" cxnId="{7367FF95-B4F1-414D-9EB7-77122970EFA1}">
      <dgm:prSet/>
      <dgm:spPr/>
      <dgm:t>
        <a:bodyPr/>
        <a:lstStyle/>
        <a:p>
          <a:endParaRPr lang="en-US"/>
        </a:p>
      </dgm:t>
    </dgm:pt>
    <dgm:pt modelId="{238DDD8A-B4C8-4E17-95F1-AA913AB9EE2D}">
      <dgm:prSet phldrT="[Text]"/>
      <dgm:spPr/>
      <dgm:t>
        <a:bodyPr/>
        <a:lstStyle/>
        <a:p>
          <a:r>
            <a:rPr lang="en-US"/>
            <a:t>Award Renewal        (CD-451 Issuance)</a:t>
          </a:r>
        </a:p>
      </dgm:t>
    </dgm:pt>
    <dgm:pt modelId="{459CEDCE-46AE-4430-B371-E03B10FDB3A6}" type="parTrans" cxnId="{8DAE6167-BA27-470A-9DE5-436BF021D97F}">
      <dgm:prSet/>
      <dgm:spPr/>
      <dgm:t>
        <a:bodyPr/>
        <a:lstStyle/>
        <a:p>
          <a:endParaRPr lang="en-US"/>
        </a:p>
      </dgm:t>
    </dgm:pt>
    <dgm:pt modelId="{357C6709-2D6E-4AF4-BD4C-B636BB0BC638}" type="sibTrans" cxnId="{8DAE6167-BA27-470A-9DE5-436BF021D97F}">
      <dgm:prSet/>
      <dgm:spPr/>
      <dgm:t>
        <a:bodyPr/>
        <a:lstStyle/>
        <a:p>
          <a:endParaRPr lang="en-US"/>
        </a:p>
      </dgm:t>
    </dgm:pt>
    <dgm:pt modelId="{75ECE439-36A9-4193-A38D-67A0F6898303}" type="pres">
      <dgm:prSet presAssocID="{A41FBCBA-2CB4-4B33-8875-F74F335F11DD}" presName="Name0" presStyleCnt="0">
        <dgm:presLayoutVars>
          <dgm:dir/>
        </dgm:presLayoutVars>
      </dgm:prSet>
      <dgm:spPr/>
    </dgm:pt>
    <dgm:pt modelId="{AC3D52EA-8625-49FE-88E3-5A5BFC9191BB}" type="pres">
      <dgm:prSet presAssocID="{E3991AF5-BA84-495B-BC69-8AB8839C16B5}" presName="parComposite" presStyleCnt="0"/>
      <dgm:spPr/>
    </dgm:pt>
    <dgm:pt modelId="{3A20744D-B543-412E-A502-8B314F583135}" type="pres">
      <dgm:prSet presAssocID="{E3991AF5-BA84-495B-BC69-8AB8839C16B5}" presName="parBigCircle" presStyleLbl="node0" presStyleIdx="0" presStyleCnt="4"/>
      <dgm:spPr/>
    </dgm:pt>
    <dgm:pt modelId="{AA0B25EF-35C4-49A1-8ACA-B99108E49B98}" type="pres">
      <dgm:prSet presAssocID="{E3991AF5-BA84-495B-BC69-8AB8839C16B5}" presName="parTx" presStyleLbl="revTx" presStyleIdx="0" presStyleCnt="14"/>
      <dgm:spPr/>
    </dgm:pt>
    <dgm:pt modelId="{8B2A368E-6CD1-4CE4-8C3E-299573AA9395}" type="pres">
      <dgm:prSet presAssocID="{E3991AF5-BA84-495B-BC69-8AB8839C16B5}" presName="bSpace" presStyleCnt="0"/>
      <dgm:spPr/>
    </dgm:pt>
    <dgm:pt modelId="{6CE33B73-6372-4DEA-B842-D3F2F06122E9}" type="pres">
      <dgm:prSet presAssocID="{E3991AF5-BA84-495B-BC69-8AB8839C16B5}" presName="parBackupNorm" presStyleCnt="0"/>
      <dgm:spPr/>
    </dgm:pt>
    <dgm:pt modelId="{F6C5673D-2125-4D79-BCB1-CADB3A4607E4}" type="pres">
      <dgm:prSet presAssocID="{E6C0F456-A710-471A-8FC9-DF5D93C69E52}" presName="parSpace" presStyleCnt="0"/>
      <dgm:spPr/>
    </dgm:pt>
    <dgm:pt modelId="{FC02005F-0B01-45E4-ABA7-FBE1DB240B46}" type="pres">
      <dgm:prSet presAssocID="{2396A1A2-982C-40F2-B294-C7178499C03E}" presName="desBackupLeftNorm" presStyleCnt="0"/>
      <dgm:spPr/>
    </dgm:pt>
    <dgm:pt modelId="{BBE59771-2CEC-4A1B-9940-1C5C504DA128}" type="pres">
      <dgm:prSet presAssocID="{2396A1A2-982C-40F2-B294-C7178499C03E}" presName="desComposite" presStyleCnt="0"/>
      <dgm:spPr/>
    </dgm:pt>
    <dgm:pt modelId="{223B2366-0B3A-4B72-A8CC-96CBEAB33AC6}" type="pres">
      <dgm:prSet presAssocID="{2396A1A2-982C-40F2-B294-C7178499C03E}" presName="desCircle" presStyleLbl="node1" presStyleIdx="0" presStyleCnt="5"/>
      <dgm:spPr/>
    </dgm:pt>
    <dgm:pt modelId="{A06D370C-C8E0-4857-A01E-25310AB87834}" type="pres">
      <dgm:prSet presAssocID="{2396A1A2-982C-40F2-B294-C7178499C03E}" presName="chTx" presStyleLbl="revTx" presStyleIdx="1" presStyleCnt="14"/>
      <dgm:spPr/>
    </dgm:pt>
    <dgm:pt modelId="{B0261DCE-1A01-4767-807C-2E76B06BF3B4}" type="pres">
      <dgm:prSet presAssocID="{2396A1A2-982C-40F2-B294-C7178499C03E}" presName="desTx" presStyleLbl="revTx" presStyleIdx="2" presStyleCnt="14">
        <dgm:presLayoutVars>
          <dgm:bulletEnabled val="1"/>
        </dgm:presLayoutVars>
      </dgm:prSet>
      <dgm:spPr/>
    </dgm:pt>
    <dgm:pt modelId="{EB3D397E-7143-48B1-BC0C-E11C6A78C952}" type="pres">
      <dgm:prSet presAssocID="{2396A1A2-982C-40F2-B294-C7178499C03E}" presName="desBackupRightNorm" presStyleCnt="0"/>
      <dgm:spPr/>
    </dgm:pt>
    <dgm:pt modelId="{4701EA0C-F493-414D-BB1D-A3F91DEA67B5}" type="pres">
      <dgm:prSet presAssocID="{59EC96BB-C8D2-4C74-8120-60899D7C6648}" presName="desSpace" presStyleCnt="0"/>
      <dgm:spPr/>
    </dgm:pt>
    <dgm:pt modelId="{1947457C-8410-4901-9C99-23BCD306DAAC}" type="pres">
      <dgm:prSet presAssocID="{E2EBB209-6C0B-4D2A-9BBD-600364584D6C}" presName="parComposite" presStyleCnt="0"/>
      <dgm:spPr/>
    </dgm:pt>
    <dgm:pt modelId="{753FA453-51B7-47C8-AE48-25C8B262C0AD}" type="pres">
      <dgm:prSet presAssocID="{E2EBB209-6C0B-4D2A-9BBD-600364584D6C}" presName="parBigCircle" presStyleLbl="node0" presStyleIdx="1" presStyleCnt="4"/>
      <dgm:spPr/>
    </dgm:pt>
    <dgm:pt modelId="{8C612EE6-6C44-4D18-9968-E738E38DACCE}" type="pres">
      <dgm:prSet presAssocID="{E2EBB209-6C0B-4D2A-9BBD-600364584D6C}" presName="parTx" presStyleLbl="revTx" presStyleIdx="3" presStyleCnt="14"/>
      <dgm:spPr/>
    </dgm:pt>
    <dgm:pt modelId="{094AFB64-17E2-4FFB-A638-79BCAFDB62DE}" type="pres">
      <dgm:prSet presAssocID="{E2EBB209-6C0B-4D2A-9BBD-600364584D6C}" presName="bSpace" presStyleCnt="0"/>
      <dgm:spPr/>
    </dgm:pt>
    <dgm:pt modelId="{8F9BF17B-7970-450E-88F9-AFC4CAE6062C}" type="pres">
      <dgm:prSet presAssocID="{E2EBB209-6C0B-4D2A-9BBD-600364584D6C}" presName="parBackupNorm" presStyleCnt="0"/>
      <dgm:spPr/>
    </dgm:pt>
    <dgm:pt modelId="{CE31A4BE-1025-43EC-9D82-3F145D6924DB}" type="pres">
      <dgm:prSet presAssocID="{74EEDAB2-62F0-464F-8839-8E2C8CC9300A}" presName="parSpace" presStyleCnt="0"/>
      <dgm:spPr/>
    </dgm:pt>
    <dgm:pt modelId="{BA7A881D-6393-4C2D-81C6-982D8B765FB8}" type="pres">
      <dgm:prSet presAssocID="{642B522E-8C35-4A5E-B749-3F7075F9EF4A}" presName="desBackupLeftNorm" presStyleCnt="0"/>
      <dgm:spPr/>
    </dgm:pt>
    <dgm:pt modelId="{716EAAF1-05F0-489F-B97D-460749859AA7}" type="pres">
      <dgm:prSet presAssocID="{642B522E-8C35-4A5E-B749-3F7075F9EF4A}" presName="desComposite" presStyleCnt="0"/>
      <dgm:spPr/>
    </dgm:pt>
    <dgm:pt modelId="{9CE21009-9937-4B78-ABAC-9E231CFB76E6}" type="pres">
      <dgm:prSet presAssocID="{642B522E-8C35-4A5E-B749-3F7075F9EF4A}" presName="desCircle" presStyleLbl="node1" presStyleIdx="1" presStyleCnt="5"/>
      <dgm:spPr/>
    </dgm:pt>
    <dgm:pt modelId="{767F02F6-6DF8-4EC2-9915-2A6E8F9786AF}" type="pres">
      <dgm:prSet presAssocID="{642B522E-8C35-4A5E-B749-3F7075F9EF4A}" presName="chTx" presStyleLbl="revTx" presStyleIdx="4" presStyleCnt="14"/>
      <dgm:spPr/>
    </dgm:pt>
    <dgm:pt modelId="{239B7352-9232-489F-B83F-602BB64D1B6F}" type="pres">
      <dgm:prSet presAssocID="{642B522E-8C35-4A5E-B749-3F7075F9EF4A}" presName="desTx" presStyleLbl="revTx" presStyleIdx="5" presStyleCnt="14">
        <dgm:presLayoutVars>
          <dgm:bulletEnabled val="1"/>
        </dgm:presLayoutVars>
      </dgm:prSet>
      <dgm:spPr/>
    </dgm:pt>
    <dgm:pt modelId="{2BC0401C-EFCA-4804-8392-FA4C3C344F51}" type="pres">
      <dgm:prSet presAssocID="{642B522E-8C35-4A5E-B749-3F7075F9EF4A}" presName="desBackupRightNorm" presStyleCnt="0"/>
      <dgm:spPr/>
    </dgm:pt>
    <dgm:pt modelId="{B2D34444-5AB6-4EE5-8059-E206FCB1E478}" type="pres">
      <dgm:prSet presAssocID="{41FC0F68-BA22-493F-B3D4-9A8C3B29FCD5}" presName="desSpace" presStyleCnt="0"/>
      <dgm:spPr/>
    </dgm:pt>
    <dgm:pt modelId="{AA647198-37B9-484D-809B-7E4961886A48}" type="pres">
      <dgm:prSet presAssocID="{12E09717-D2C5-4EE6-966C-4E0E01D13C79}" presName="desBackupLeftNorm" presStyleCnt="0"/>
      <dgm:spPr/>
    </dgm:pt>
    <dgm:pt modelId="{B965E364-BC19-4C2E-89AF-18C7294B1F2F}" type="pres">
      <dgm:prSet presAssocID="{12E09717-D2C5-4EE6-966C-4E0E01D13C79}" presName="desComposite" presStyleCnt="0"/>
      <dgm:spPr/>
    </dgm:pt>
    <dgm:pt modelId="{5D24B5C5-0EB8-4B31-900A-0A9DB812A8E6}" type="pres">
      <dgm:prSet presAssocID="{12E09717-D2C5-4EE6-966C-4E0E01D13C79}" presName="desCircle" presStyleLbl="node1" presStyleIdx="2" presStyleCnt="5"/>
      <dgm:spPr/>
    </dgm:pt>
    <dgm:pt modelId="{7C145922-9AB6-4E51-A59B-26FA3BC0A19C}" type="pres">
      <dgm:prSet presAssocID="{12E09717-D2C5-4EE6-966C-4E0E01D13C79}" presName="chTx" presStyleLbl="revTx" presStyleIdx="6" presStyleCnt="14"/>
      <dgm:spPr/>
    </dgm:pt>
    <dgm:pt modelId="{44ECD7F4-60D7-486E-AAF8-0AA33E2F77BB}" type="pres">
      <dgm:prSet presAssocID="{12E09717-D2C5-4EE6-966C-4E0E01D13C79}" presName="desTx" presStyleLbl="revTx" presStyleIdx="7" presStyleCnt="14">
        <dgm:presLayoutVars>
          <dgm:bulletEnabled val="1"/>
        </dgm:presLayoutVars>
      </dgm:prSet>
      <dgm:spPr/>
    </dgm:pt>
    <dgm:pt modelId="{41A8EBD1-1878-4E50-A2B9-AB2BF5154C24}" type="pres">
      <dgm:prSet presAssocID="{12E09717-D2C5-4EE6-966C-4E0E01D13C79}" presName="desBackupRightNorm" presStyleCnt="0"/>
      <dgm:spPr/>
    </dgm:pt>
    <dgm:pt modelId="{56F30E95-6D18-4AF5-819E-5797469EC4E0}" type="pres">
      <dgm:prSet presAssocID="{E497FBBF-F0E5-4531-BC0E-CCD05D46E9E9}" presName="desSpace" presStyleCnt="0"/>
      <dgm:spPr/>
    </dgm:pt>
    <dgm:pt modelId="{15881BA6-8515-4F9A-BA20-DD39F158466D}" type="pres">
      <dgm:prSet presAssocID="{E426CB56-FA6E-4AC4-AA37-DF52221188F1}" presName="parComposite" presStyleCnt="0"/>
      <dgm:spPr/>
    </dgm:pt>
    <dgm:pt modelId="{B6700400-991A-42E0-9194-3D298A815E79}" type="pres">
      <dgm:prSet presAssocID="{E426CB56-FA6E-4AC4-AA37-DF52221188F1}" presName="parBigCircle" presStyleLbl="node0" presStyleIdx="2" presStyleCnt="4"/>
      <dgm:spPr/>
    </dgm:pt>
    <dgm:pt modelId="{2CFCB85E-1D9A-48D2-99EF-6E92396431C4}" type="pres">
      <dgm:prSet presAssocID="{E426CB56-FA6E-4AC4-AA37-DF52221188F1}" presName="parTx" presStyleLbl="revTx" presStyleIdx="8" presStyleCnt="14"/>
      <dgm:spPr/>
    </dgm:pt>
    <dgm:pt modelId="{6A541163-B604-4319-BF16-F9B2EEFDA57E}" type="pres">
      <dgm:prSet presAssocID="{E426CB56-FA6E-4AC4-AA37-DF52221188F1}" presName="bSpace" presStyleCnt="0"/>
      <dgm:spPr/>
    </dgm:pt>
    <dgm:pt modelId="{2EF55DA8-ADFC-487F-9663-62A4279EFD38}" type="pres">
      <dgm:prSet presAssocID="{E426CB56-FA6E-4AC4-AA37-DF52221188F1}" presName="parBackupNorm" presStyleCnt="0"/>
      <dgm:spPr/>
    </dgm:pt>
    <dgm:pt modelId="{1261553C-4E5B-43B4-9C84-FE17FB6D6B9D}" type="pres">
      <dgm:prSet presAssocID="{C7D93B25-2967-4FDF-8BF1-BAC4517D616B}" presName="parSpace" presStyleCnt="0"/>
      <dgm:spPr/>
    </dgm:pt>
    <dgm:pt modelId="{1F005979-5193-465B-B8CA-B0A8C5FE23B2}" type="pres">
      <dgm:prSet presAssocID="{282052C2-3F67-4C47-B996-9FC99B4E2348}" presName="desBackupLeftNorm" presStyleCnt="0"/>
      <dgm:spPr/>
    </dgm:pt>
    <dgm:pt modelId="{89723DFE-34CA-4672-95C8-A8DD9BC78D4B}" type="pres">
      <dgm:prSet presAssocID="{282052C2-3F67-4C47-B996-9FC99B4E2348}" presName="desComposite" presStyleCnt="0"/>
      <dgm:spPr/>
    </dgm:pt>
    <dgm:pt modelId="{EECE2098-C8EB-46C9-91D6-4DEC782B8BE1}" type="pres">
      <dgm:prSet presAssocID="{282052C2-3F67-4C47-B996-9FC99B4E2348}" presName="desCircle" presStyleLbl="node1" presStyleIdx="3" presStyleCnt="5"/>
      <dgm:spPr/>
    </dgm:pt>
    <dgm:pt modelId="{8C1DF8C1-D16B-4E98-812F-60FCE5B152BE}" type="pres">
      <dgm:prSet presAssocID="{282052C2-3F67-4C47-B996-9FC99B4E2348}" presName="chTx" presStyleLbl="revTx" presStyleIdx="9" presStyleCnt="14"/>
      <dgm:spPr/>
    </dgm:pt>
    <dgm:pt modelId="{DC96B2A9-AD09-4A9D-A87F-97B478D029C4}" type="pres">
      <dgm:prSet presAssocID="{282052C2-3F67-4C47-B996-9FC99B4E2348}" presName="desTx" presStyleLbl="revTx" presStyleIdx="10" presStyleCnt="14">
        <dgm:presLayoutVars>
          <dgm:bulletEnabled val="1"/>
        </dgm:presLayoutVars>
      </dgm:prSet>
      <dgm:spPr/>
    </dgm:pt>
    <dgm:pt modelId="{DD62A41D-6A94-4D6E-BCC9-68B83131D693}" type="pres">
      <dgm:prSet presAssocID="{282052C2-3F67-4C47-B996-9FC99B4E2348}" presName="desBackupRightNorm" presStyleCnt="0"/>
      <dgm:spPr/>
    </dgm:pt>
    <dgm:pt modelId="{81D87B11-BDAD-4805-9B47-344D9CB3DA19}" type="pres">
      <dgm:prSet presAssocID="{B3F64C94-DA32-44EC-A048-91380421E489}" presName="desSpace" presStyleCnt="0"/>
      <dgm:spPr/>
    </dgm:pt>
    <dgm:pt modelId="{36E0A473-F604-4FC4-A8C4-2B3217823EE1}" type="pres">
      <dgm:prSet presAssocID="{56F54A6A-A22A-4836-B04D-4CDECDC24209}" presName="desBackupLeftNorm" presStyleCnt="0"/>
      <dgm:spPr/>
    </dgm:pt>
    <dgm:pt modelId="{C6F3F562-E3F7-4E96-A6EE-0A57B192F287}" type="pres">
      <dgm:prSet presAssocID="{56F54A6A-A22A-4836-B04D-4CDECDC24209}" presName="desComposite" presStyleCnt="0"/>
      <dgm:spPr/>
    </dgm:pt>
    <dgm:pt modelId="{25B52AC7-A61B-44AC-B3FD-F0018EDB1631}" type="pres">
      <dgm:prSet presAssocID="{56F54A6A-A22A-4836-B04D-4CDECDC24209}" presName="desCircle" presStyleLbl="node1" presStyleIdx="4" presStyleCnt="5"/>
      <dgm:spPr/>
    </dgm:pt>
    <dgm:pt modelId="{6E001AC4-9824-4C2A-B206-47E4135AFD9D}" type="pres">
      <dgm:prSet presAssocID="{56F54A6A-A22A-4836-B04D-4CDECDC24209}" presName="chTx" presStyleLbl="revTx" presStyleIdx="11" presStyleCnt="14"/>
      <dgm:spPr/>
    </dgm:pt>
    <dgm:pt modelId="{DF2CF985-8991-4EB0-9784-B56176B63958}" type="pres">
      <dgm:prSet presAssocID="{56F54A6A-A22A-4836-B04D-4CDECDC24209}" presName="desTx" presStyleLbl="revTx" presStyleIdx="12" presStyleCnt="14">
        <dgm:presLayoutVars>
          <dgm:bulletEnabled val="1"/>
        </dgm:presLayoutVars>
      </dgm:prSet>
      <dgm:spPr/>
    </dgm:pt>
    <dgm:pt modelId="{FA6AD279-BEA2-4568-BF7B-496699E2F5F6}" type="pres">
      <dgm:prSet presAssocID="{56F54A6A-A22A-4836-B04D-4CDECDC24209}" presName="desBackupRightNorm" presStyleCnt="0"/>
      <dgm:spPr/>
    </dgm:pt>
    <dgm:pt modelId="{3B36BA77-25AB-4551-91E8-A3DEDEF33117}" type="pres">
      <dgm:prSet presAssocID="{9D35298F-96AA-4246-84DC-EF2CD26013A9}" presName="desSpace" presStyleCnt="0"/>
      <dgm:spPr/>
    </dgm:pt>
    <dgm:pt modelId="{C0A1DA64-B0F0-4301-A6D3-E1E556C21FF7}" type="pres">
      <dgm:prSet presAssocID="{238DDD8A-B4C8-4E17-95F1-AA913AB9EE2D}" presName="parComposite" presStyleCnt="0"/>
      <dgm:spPr/>
    </dgm:pt>
    <dgm:pt modelId="{5E30ED75-FA38-4BC8-8494-82C7B3F2650D}" type="pres">
      <dgm:prSet presAssocID="{238DDD8A-B4C8-4E17-95F1-AA913AB9EE2D}" presName="parBigCircle" presStyleLbl="node0" presStyleIdx="3" presStyleCnt="4"/>
      <dgm:spPr/>
    </dgm:pt>
    <dgm:pt modelId="{E390905B-A573-41A0-A76C-D89BDB33E9E1}" type="pres">
      <dgm:prSet presAssocID="{238DDD8A-B4C8-4E17-95F1-AA913AB9EE2D}" presName="parTx" presStyleLbl="revTx" presStyleIdx="13" presStyleCnt="14"/>
      <dgm:spPr/>
    </dgm:pt>
    <dgm:pt modelId="{69EBF2CB-26EC-4805-8208-DE5F8BA40212}" type="pres">
      <dgm:prSet presAssocID="{238DDD8A-B4C8-4E17-95F1-AA913AB9EE2D}" presName="bSpace" presStyleCnt="0"/>
      <dgm:spPr/>
    </dgm:pt>
    <dgm:pt modelId="{696B71E2-6B87-47D7-9ACC-509B5E1AD405}" type="pres">
      <dgm:prSet presAssocID="{238DDD8A-B4C8-4E17-95F1-AA913AB9EE2D}" presName="parBackupNorm" presStyleCnt="0"/>
      <dgm:spPr/>
    </dgm:pt>
    <dgm:pt modelId="{52F6685B-9EB5-40AA-B4A8-28C6E2111BCB}" type="pres">
      <dgm:prSet presAssocID="{357C6709-2D6E-4AF4-BD4C-B636BB0BC638}" presName="parSpace" presStyleCnt="0"/>
      <dgm:spPr/>
    </dgm:pt>
  </dgm:ptLst>
  <dgm:cxnLst>
    <dgm:cxn modelId="{B2929009-3642-D94C-89B4-36233781A4EB}" type="presOf" srcId="{E2EBB209-6C0B-4D2A-9BBD-600364584D6C}" destId="{8C612EE6-6C44-4D18-9968-E738E38DACCE}" srcOrd="0" destOrd="0" presId="urn:microsoft.com/office/officeart/2008/layout/CircleAccentTimeline"/>
    <dgm:cxn modelId="{B01BFD1E-EB68-444F-BCD7-854223D0B776}" type="presOf" srcId="{A41FBCBA-2CB4-4B33-8875-F74F335F11DD}" destId="{75ECE439-36A9-4193-A38D-67A0F6898303}" srcOrd="0" destOrd="0" presId="urn:microsoft.com/office/officeart/2008/layout/CircleAccentTimeline"/>
    <dgm:cxn modelId="{810F8024-B706-4633-B123-148F3418F100}" srcId="{E426CB56-FA6E-4AC4-AA37-DF52221188F1}" destId="{282052C2-3F67-4C47-B996-9FC99B4E2348}" srcOrd="0" destOrd="0" parTransId="{606CBB9C-8902-4D17-A2A3-A101A6F770A0}" sibTransId="{B3F64C94-DA32-44EC-A048-91380421E489}"/>
    <dgm:cxn modelId="{08FBF12E-554F-D243-8944-BCADC1E51844}" type="presOf" srcId="{238DDD8A-B4C8-4E17-95F1-AA913AB9EE2D}" destId="{E390905B-A573-41A0-A76C-D89BDB33E9E1}" srcOrd="0" destOrd="0" presId="urn:microsoft.com/office/officeart/2008/layout/CircleAccentTimeline"/>
    <dgm:cxn modelId="{C44B0F5E-B37A-4368-9E5B-670BD84D7FA0}" srcId="{E3991AF5-BA84-495B-BC69-8AB8839C16B5}" destId="{2396A1A2-982C-40F2-B294-C7178499C03E}" srcOrd="0" destOrd="0" parTransId="{61DAB567-7EFA-4649-95A1-316E72B7D210}" sibTransId="{59EC96BB-C8D2-4C74-8120-60899D7C6648}"/>
    <dgm:cxn modelId="{1764BA64-46DC-4DAE-BA39-105D91F97E70}" srcId="{A41FBCBA-2CB4-4B33-8875-F74F335F11DD}" destId="{E2EBB209-6C0B-4D2A-9BBD-600364584D6C}" srcOrd="1" destOrd="0" parTransId="{33A7DB83-7CF0-4058-8851-266B587E8998}" sibTransId="{74EEDAB2-62F0-464F-8839-8E2C8CC9300A}"/>
    <dgm:cxn modelId="{690B0366-5F9A-D149-B4CA-7924B733FA48}" type="presOf" srcId="{12E09717-D2C5-4EE6-966C-4E0E01D13C79}" destId="{7C145922-9AB6-4E51-A59B-26FA3BC0A19C}" srcOrd="0" destOrd="0" presId="urn:microsoft.com/office/officeart/2008/layout/CircleAccentTimeline"/>
    <dgm:cxn modelId="{8DAE6167-BA27-470A-9DE5-436BF021D97F}" srcId="{A41FBCBA-2CB4-4B33-8875-F74F335F11DD}" destId="{238DDD8A-B4C8-4E17-95F1-AA913AB9EE2D}" srcOrd="3" destOrd="0" parTransId="{459CEDCE-46AE-4430-B371-E03B10FDB3A6}" sibTransId="{357C6709-2D6E-4AF4-BD4C-B636BB0BC638}"/>
    <dgm:cxn modelId="{891B9482-0128-1D41-8297-9C74205EF421}" type="presOf" srcId="{282052C2-3F67-4C47-B996-9FC99B4E2348}" destId="{8C1DF8C1-D16B-4E98-812F-60FCE5B152BE}" srcOrd="0" destOrd="0" presId="urn:microsoft.com/office/officeart/2008/layout/CircleAccentTimeline"/>
    <dgm:cxn modelId="{FDE2AE86-0A95-4C43-A142-EBDE720E4263}" type="presOf" srcId="{642B522E-8C35-4A5E-B749-3F7075F9EF4A}" destId="{767F02F6-6DF8-4EC2-9915-2A6E8F9786AF}" srcOrd="0" destOrd="0" presId="urn:microsoft.com/office/officeart/2008/layout/CircleAccentTimeline"/>
    <dgm:cxn modelId="{7367FF95-B4F1-414D-9EB7-77122970EFA1}" srcId="{E426CB56-FA6E-4AC4-AA37-DF52221188F1}" destId="{56F54A6A-A22A-4836-B04D-4CDECDC24209}" srcOrd="1" destOrd="0" parTransId="{43C42791-8345-4BA6-9FA4-882503C90204}" sibTransId="{9D35298F-96AA-4246-84DC-EF2CD26013A9}"/>
    <dgm:cxn modelId="{052DC4A3-4CB3-7542-8887-BBDBF6ABA9D1}" type="presOf" srcId="{E3991AF5-BA84-495B-BC69-8AB8839C16B5}" destId="{AA0B25EF-35C4-49A1-8ACA-B99108E49B98}" srcOrd="0" destOrd="0" presId="urn:microsoft.com/office/officeart/2008/layout/CircleAccentTimeline"/>
    <dgm:cxn modelId="{40306EAB-9BE8-48DF-B160-2B9BC62B0A86}" srcId="{A41FBCBA-2CB4-4B33-8875-F74F335F11DD}" destId="{E426CB56-FA6E-4AC4-AA37-DF52221188F1}" srcOrd="2" destOrd="0" parTransId="{7CFE5E1E-A188-49D0-9012-6C6923CA2D17}" sibTransId="{C7D93B25-2967-4FDF-8BF1-BAC4517D616B}"/>
    <dgm:cxn modelId="{39A279B9-AB33-4E9F-AECF-F7D04BE05CC9}" srcId="{A41FBCBA-2CB4-4B33-8875-F74F335F11DD}" destId="{E3991AF5-BA84-495B-BC69-8AB8839C16B5}" srcOrd="0" destOrd="0" parTransId="{7FBAEBA1-DFEF-4BD9-940F-E86A85D3D098}" sibTransId="{E6C0F456-A710-471A-8FC9-DF5D93C69E52}"/>
    <dgm:cxn modelId="{D80112D5-4E56-4AFC-8BA7-F56FD8838601}" srcId="{E2EBB209-6C0B-4D2A-9BBD-600364584D6C}" destId="{12E09717-D2C5-4EE6-966C-4E0E01D13C79}" srcOrd="1" destOrd="0" parTransId="{495C60E8-7F52-4947-A2AC-B40E037BF16F}" sibTransId="{E497FBBF-F0E5-4531-BC0E-CCD05D46E9E9}"/>
    <dgm:cxn modelId="{0D7B43DD-2085-B84B-92FE-8274B2992B14}" type="presOf" srcId="{E426CB56-FA6E-4AC4-AA37-DF52221188F1}" destId="{2CFCB85E-1D9A-48D2-99EF-6E92396431C4}" srcOrd="0" destOrd="0" presId="urn:microsoft.com/office/officeart/2008/layout/CircleAccentTimeline"/>
    <dgm:cxn modelId="{05FFDDF3-C01E-4475-B549-D881B32BB282}" srcId="{E2EBB209-6C0B-4D2A-9BBD-600364584D6C}" destId="{642B522E-8C35-4A5E-B749-3F7075F9EF4A}" srcOrd="0" destOrd="0" parTransId="{5A2C59D9-1AF1-45C3-B802-C8212E129D58}" sibTransId="{41FC0F68-BA22-493F-B3D4-9A8C3B29FCD5}"/>
    <dgm:cxn modelId="{C36AE5FB-335F-8745-9264-DDD5C2DE55D3}" type="presOf" srcId="{2396A1A2-982C-40F2-B294-C7178499C03E}" destId="{A06D370C-C8E0-4857-A01E-25310AB87834}" srcOrd="0" destOrd="0" presId="urn:microsoft.com/office/officeart/2008/layout/CircleAccentTimeline"/>
    <dgm:cxn modelId="{97E3B2FC-2AA2-DB41-B314-0ED5654B85D7}" type="presOf" srcId="{56F54A6A-A22A-4836-B04D-4CDECDC24209}" destId="{6E001AC4-9824-4C2A-B206-47E4135AFD9D}" srcOrd="0" destOrd="0" presId="urn:microsoft.com/office/officeart/2008/layout/CircleAccentTimeline"/>
    <dgm:cxn modelId="{006CA6B5-70AB-D449-9868-1D81CFC7441C}" type="presParOf" srcId="{75ECE439-36A9-4193-A38D-67A0F6898303}" destId="{AC3D52EA-8625-49FE-88E3-5A5BFC9191BB}" srcOrd="0" destOrd="0" presId="urn:microsoft.com/office/officeart/2008/layout/CircleAccentTimeline"/>
    <dgm:cxn modelId="{22577C74-13B5-3F45-AC33-C6A3844F47A7}" type="presParOf" srcId="{AC3D52EA-8625-49FE-88E3-5A5BFC9191BB}" destId="{3A20744D-B543-412E-A502-8B314F583135}" srcOrd="0" destOrd="0" presId="urn:microsoft.com/office/officeart/2008/layout/CircleAccentTimeline"/>
    <dgm:cxn modelId="{C58A0ACA-4A15-D649-BD59-46F5CF444E7D}" type="presParOf" srcId="{AC3D52EA-8625-49FE-88E3-5A5BFC9191BB}" destId="{AA0B25EF-35C4-49A1-8ACA-B99108E49B98}" srcOrd="1" destOrd="0" presId="urn:microsoft.com/office/officeart/2008/layout/CircleAccentTimeline"/>
    <dgm:cxn modelId="{5B1FAA54-8736-7743-BC33-6A592AE78C82}" type="presParOf" srcId="{AC3D52EA-8625-49FE-88E3-5A5BFC9191BB}" destId="{8B2A368E-6CD1-4CE4-8C3E-299573AA9395}" srcOrd="2" destOrd="0" presId="urn:microsoft.com/office/officeart/2008/layout/CircleAccentTimeline"/>
    <dgm:cxn modelId="{49B84933-060C-EF4A-BA3B-9E5FC41894E1}" type="presParOf" srcId="{75ECE439-36A9-4193-A38D-67A0F6898303}" destId="{6CE33B73-6372-4DEA-B842-D3F2F06122E9}" srcOrd="1" destOrd="0" presId="urn:microsoft.com/office/officeart/2008/layout/CircleAccentTimeline"/>
    <dgm:cxn modelId="{04E1A8BD-D9B0-3B4E-9EAD-A84C4DF46886}" type="presParOf" srcId="{75ECE439-36A9-4193-A38D-67A0F6898303}" destId="{F6C5673D-2125-4D79-BCB1-CADB3A4607E4}" srcOrd="2" destOrd="0" presId="urn:microsoft.com/office/officeart/2008/layout/CircleAccentTimeline"/>
    <dgm:cxn modelId="{4FBEC821-9767-8749-BE7B-53E9E9340EEC}" type="presParOf" srcId="{75ECE439-36A9-4193-A38D-67A0F6898303}" destId="{FC02005F-0B01-45E4-ABA7-FBE1DB240B46}" srcOrd="3" destOrd="0" presId="urn:microsoft.com/office/officeart/2008/layout/CircleAccentTimeline"/>
    <dgm:cxn modelId="{427AD4EF-8611-4E49-B05A-710C1517B606}" type="presParOf" srcId="{75ECE439-36A9-4193-A38D-67A0F6898303}" destId="{BBE59771-2CEC-4A1B-9940-1C5C504DA128}" srcOrd="4" destOrd="0" presId="urn:microsoft.com/office/officeart/2008/layout/CircleAccentTimeline"/>
    <dgm:cxn modelId="{27286749-30F5-2F4D-A8AC-79168CC3FB32}" type="presParOf" srcId="{BBE59771-2CEC-4A1B-9940-1C5C504DA128}" destId="{223B2366-0B3A-4B72-A8CC-96CBEAB33AC6}" srcOrd="0" destOrd="0" presId="urn:microsoft.com/office/officeart/2008/layout/CircleAccentTimeline"/>
    <dgm:cxn modelId="{C588F410-0C49-CD40-BA9F-50628342D6E6}" type="presParOf" srcId="{BBE59771-2CEC-4A1B-9940-1C5C504DA128}" destId="{A06D370C-C8E0-4857-A01E-25310AB87834}" srcOrd="1" destOrd="0" presId="urn:microsoft.com/office/officeart/2008/layout/CircleAccentTimeline"/>
    <dgm:cxn modelId="{5094EE64-4D9B-BC4C-9449-E1D7DF2F477E}" type="presParOf" srcId="{BBE59771-2CEC-4A1B-9940-1C5C504DA128}" destId="{B0261DCE-1A01-4767-807C-2E76B06BF3B4}" srcOrd="2" destOrd="0" presId="urn:microsoft.com/office/officeart/2008/layout/CircleAccentTimeline"/>
    <dgm:cxn modelId="{4C14257F-4996-744B-89AA-E3CB04563059}" type="presParOf" srcId="{75ECE439-36A9-4193-A38D-67A0F6898303}" destId="{EB3D397E-7143-48B1-BC0C-E11C6A78C952}" srcOrd="5" destOrd="0" presId="urn:microsoft.com/office/officeart/2008/layout/CircleAccentTimeline"/>
    <dgm:cxn modelId="{E1AD1778-93D1-4F46-AF7E-A1B6E936DF3C}" type="presParOf" srcId="{75ECE439-36A9-4193-A38D-67A0F6898303}" destId="{4701EA0C-F493-414D-BB1D-A3F91DEA67B5}" srcOrd="6" destOrd="0" presId="urn:microsoft.com/office/officeart/2008/layout/CircleAccentTimeline"/>
    <dgm:cxn modelId="{5445FB71-6B07-C240-A05A-8BB1A6095FFC}" type="presParOf" srcId="{75ECE439-36A9-4193-A38D-67A0F6898303}" destId="{1947457C-8410-4901-9C99-23BCD306DAAC}" srcOrd="7" destOrd="0" presId="urn:microsoft.com/office/officeart/2008/layout/CircleAccentTimeline"/>
    <dgm:cxn modelId="{E1D14EC1-0068-304D-922B-7B50D08882E2}" type="presParOf" srcId="{1947457C-8410-4901-9C99-23BCD306DAAC}" destId="{753FA453-51B7-47C8-AE48-25C8B262C0AD}" srcOrd="0" destOrd="0" presId="urn:microsoft.com/office/officeart/2008/layout/CircleAccentTimeline"/>
    <dgm:cxn modelId="{B7D23C87-C46E-4145-A91D-09B7F114283C}" type="presParOf" srcId="{1947457C-8410-4901-9C99-23BCD306DAAC}" destId="{8C612EE6-6C44-4D18-9968-E738E38DACCE}" srcOrd="1" destOrd="0" presId="urn:microsoft.com/office/officeart/2008/layout/CircleAccentTimeline"/>
    <dgm:cxn modelId="{D30ECF3B-8EFD-8B43-A384-7601D8E32B4B}" type="presParOf" srcId="{1947457C-8410-4901-9C99-23BCD306DAAC}" destId="{094AFB64-17E2-4FFB-A638-79BCAFDB62DE}" srcOrd="2" destOrd="0" presId="urn:microsoft.com/office/officeart/2008/layout/CircleAccentTimeline"/>
    <dgm:cxn modelId="{2E3FE1AB-71B1-5D40-914D-47B44323BF7B}" type="presParOf" srcId="{75ECE439-36A9-4193-A38D-67A0F6898303}" destId="{8F9BF17B-7970-450E-88F9-AFC4CAE6062C}" srcOrd="8" destOrd="0" presId="urn:microsoft.com/office/officeart/2008/layout/CircleAccentTimeline"/>
    <dgm:cxn modelId="{CE558B91-7B4C-934D-9913-E03E128E68FE}" type="presParOf" srcId="{75ECE439-36A9-4193-A38D-67A0F6898303}" destId="{CE31A4BE-1025-43EC-9D82-3F145D6924DB}" srcOrd="9" destOrd="0" presId="urn:microsoft.com/office/officeart/2008/layout/CircleAccentTimeline"/>
    <dgm:cxn modelId="{05134954-EE54-0A40-AD8E-ADA356843335}" type="presParOf" srcId="{75ECE439-36A9-4193-A38D-67A0F6898303}" destId="{BA7A881D-6393-4C2D-81C6-982D8B765FB8}" srcOrd="10" destOrd="0" presId="urn:microsoft.com/office/officeart/2008/layout/CircleAccentTimeline"/>
    <dgm:cxn modelId="{6D0F66C9-46E5-C04C-9728-A4A58BAA0CF4}" type="presParOf" srcId="{75ECE439-36A9-4193-A38D-67A0F6898303}" destId="{716EAAF1-05F0-489F-B97D-460749859AA7}" srcOrd="11" destOrd="0" presId="urn:microsoft.com/office/officeart/2008/layout/CircleAccentTimeline"/>
    <dgm:cxn modelId="{B7B98152-854F-4D4B-AE79-F858F7B2FEAA}" type="presParOf" srcId="{716EAAF1-05F0-489F-B97D-460749859AA7}" destId="{9CE21009-9937-4B78-ABAC-9E231CFB76E6}" srcOrd="0" destOrd="0" presId="urn:microsoft.com/office/officeart/2008/layout/CircleAccentTimeline"/>
    <dgm:cxn modelId="{6DE62E6F-F49F-B44D-A687-E14817C1EC56}" type="presParOf" srcId="{716EAAF1-05F0-489F-B97D-460749859AA7}" destId="{767F02F6-6DF8-4EC2-9915-2A6E8F9786AF}" srcOrd="1" destOrd="0" presId="urn:microsoft.com/office/officeart/2008/layout/CircleAccentTimeline"/>
    <dgm:cxn modelId="{CD082A59-153F-3A4D-A23B-8618DA6BA035}" type="presParOf" srcId="{716EAAF1-05F0-489F-B97D-460749859AA7}" destId="{239B7352-9232-489F-B83F-602BB64D1B6F}" srcOrd="2" destOrd="0" presId="urn:microsoft.com/office/officeart/2008/layout/CircleAccentTimeline"/>
    <dgm:cxn modelId="{1D85AF6C-9A3A-1E4D-ADBD-B009A0ADFCC4}" type="presParOf" srcId="{75ECE439-36A9-4193-A38D-67A0F6898303}" destId="{2BC0401C-EFCA-4804-8392-FA4C3C344F51}" srcOrd="12" destOrd="0" presId="urn:microsoft.com/office/officeart/2008/layout/CircleAccentTimeline"/>
    <dgm:cxn modelId="{D256E70D-54DD-144E-AD6C-A176C6ABA5CF}" type="presParOf" srcId="{75ECE439-36A9-4193-A38D-67A0F6898303}" destId="{B2D34444-5AB6-4EE5-8059-E206FCB1E478}" srcOrd="13" destOrd="0" presId="urn:microsoft.com/office/officeart/2008/layout/CircleAccentTimeline"/>
    <dgm:cxn modelId="{6B970C47-19F4-1D48-BC09-9BAF127531A9}" type="presParOf" srcId="{75ECE439-36A9-4193-A38D-67A0F6898303}" destId="{AA647198-37B9-484D-809B-7E4961886A48}" srcOrd="14" destOrd="0" presId="urn:microsoft.com/office/officeart/2008/layout/CircleAccentTimeline"/>
    <dgm:cxn modelId="{8ECB3B51-1D08-CF45-8D2C-ABCAEEC32DDC}" type="presParOf" srcId="{75ECE439-36A9-4193-A38D-67A0F6898303}" destId="{B965E364-BC19-4C2E-89AF-18C7294B1F2F}" srcOrd="15" destOrd="0" presId="urn:microsoft.com/office/officeart/2008/layout/CircleAccentTimeline"/>
    <dgm:cxn modelId="{002EF3F2-1D04-4D4C-9508-B1F0B5929C9A}" type="presParOf" srcId="{B965E364-BC19-4C2E-89AF-18C7294B1F2F}" destId="{5D24B5C5-0EB8-4B31-900A-0A9DB812A8E6}" srcOrd="0" destOrd="0" presId="urn:microsoft.com/office/officeart/2008/layout/CircleAccentTimeline"/>
    <dgm:cxn modelId="{253C60EC-1296-7043-B77B-2A3EDBF72E55}" type="presParOf" srcId="{B965E364-BC19-4C2E-89AF-18C7294B1F2F}" destId="{7C145922-9AB6-4E51-A59B-26FA3BC0A19C}" srcOrd="1" destOrd="0" presId="urn:microsoft.com/office/officeart/2008/layout/CircleAccentTimeline"/>
    <dgm:cxn modelId="{11E00E87-D512-F542-8399-3C61C7F515D6}" type="presParOf" srcId="{B965E364-BC19-4C2E-89AF-18C7294B1F2F}" destId="{44ECD7F4-60D7-486E-AAF8-0AA33E2F77BB}" srcOrd="2" destOrd="0" presId="urn:microsoft.com/office/officeart/2008/layout/CircleAccentTimeline"/>
    <dgm:cxn modelId="{DB11E6A4-8807-704B-AE32-56F806680228}" type="presParOf" srcId="{75ECE439-36A9-4193-A38D-67A0F6898303}" destId="{41A8EBD1-1878-4E50-A2B9-AB2BF5154C24}" srcOrd="16" destOrd="0" presId="urn:microsoft.com/office/officeart/2008/layout/CircleAccentTimeline"/>
    <dgm:cxn modelId="{D36F87E5-2C54-0C4A-83AE-4FDD543C86EB}" type="presParOf" srcId="{75ECE439-36A9-4193-A38D-67A0F6898303}" destId="{56F30E95-6D18-4AF5-819E-5797469EC4E0}" srcOrd="17" destOrd="0" presId="urn:microsoft.com/office/officeart/2008/layout/CircleAccentTimeline"/>
    <dgm:cxn modelId="{02EA974D-4594-C14B-AB4B-B8003A9FE84E}" type="presParOf" srcId="{75ECE439-36A9-4193-A38D-67A0F6898303}" destId="{15881BA6-8515-4F9A-BA20-DD39F158466D}" srcOrd="18" destOrd="0" presId="urn:microsoft.com/office/officeart/2008/layout/CircleAccentTimeline"/>
    <dgm:cxn modelId="{E33670E9-7C68-7242-B40D-11FA57474B6E}" type="presParOf" srcId="{15881BA6-8515-4F9A-BA20-DD39F158466D}" destId="{B6700400-991A-42E0-9194-3D298A815E79}" srcOrd="0" destOrd="0" presId="urn:microsoft.com/office/officeart/2008/layout/CircleAccentTimeline"/>
    <dgm:cxn modelId="{CAD32F6F-3B0E-504F-9B06-E78720FB9014}" type="presParOf" srcId="{15881BA6-8515-4F9A-BA20-DD39F158466D}" destId="{2CFCB85E-1D9A-48D2-99EF-6E92396431C4}" srcOrd="1" destOrd="0" presId="urn:microsoft.com/office/officeart/2008/layout/CircleAccentTimeline"/>
    <dgm:cxn modelId="{FD24ECF4-0ACF-9B4F-A62F-EE727AA4D913}" type="presParOf" srcId="{15881BA6-8515-4F9A-BA20-DD39F158466D}" destId="{6A541163-B604-4319-BF16-F9B2EEFDA57E}" srcOrd="2" destOrd="0" presId="urn:microsoft.com/office/officeart/2008/layout/CircleAccentTimeline"/>
    <dgm:cxn modelId="{D080B0CA-83EF-074D-9CD0-9E8184EF4003}" type="presParOf" srcId="{75ECE439-36A9-4193-A38D-67A0F6898303}" destId="{2EF55DA8-ADFC-487F-9663-62A4279EFD38}" srcOrd="19" destOrd="0" presId="urn:microsoft.com/office/officeart/2008/layout/CircleAccentTimeline"/>
    <dgm:cxn modelId="{AF25B295-D39A-0644-8EF7-E5C820C98F97}" type="presParOf" srcId="{75ECE439-36A9-4193-A38D-67A0F6898303}" destId="{1261553C-4E5B-43B4-9C84-FE17FB6D6B9D}" srcOrd="20" destOrd="0" presId="urn:microsoft.com/office/officeart/2008/layout/CircleAccentTimeline"/>
    <dgm:cxn modelId="{D79FB8B5-E5E3-9C44-AAE7-794CD15B14F3}" type="presParOf" srcId="{75ECE439-36A9-4193-A38D-67A0F6898303}" destId="{1F005979-5193-465B-B8CA-B0A8C5FE23B2}" srcOrd="21" destOrd="0" presId="urn:microsoft.com/office/officeart/2008/layout/CircleAccentTimeline"/>
    <dgm:cxn modelId="{B85CD52C-67FD-B64D-8EC9-C894147B1356}" type="presParOf" srcId="{75ECE439-36A9-4193-A38D-67A0F6898303}" destId="{89723DFE-34CA-4672-95C8-A8DD9BC78D4B}" srcOrd="22" destOrd="0" presId="urn:microsoft.com/office/officeart/2008/layout/CircleAccentTimeline"/>
    <dgm:cxn modelId="{DAC953B4-8C28-D84D-9CEE-C47B322D2F3B}" type="presParOf" srcId="{89723DFE-34CA-4672-95C8-A8DD9BC78D4B}" destId="{EECE2098-C8EB-46C9-91D6-4DEC782B8BE1}" srcOrd="0" destOrd="0" presId="urn:microsoft.com/office/officeart/2008/layout/CircleAccentTimeline"/>
    <dgm:cxn modelId="{6EAE9F8C-9DFB-1641-85D3-20C9FCF901FC}" type="presParOf" srcId="{89723DFE-34CA-4672-95C8-A8DD9BC78D4B}" destId="{8C1DF8C1-D16B-4E98-812F-60FCE5B152BE}" srcOrd="1" destOrd="0" presId="urn:microsoft.com/office/officeart/2008/layout/CircleAccentTimeline"/>
    <dgm:cxn modelId="{74808531-F676-1948-AB00-E29B1159D092}" type="presParOf" srcId="{89723DFE-34CA-4672-95C8-A8DD9BC78D4B}" destId="{DC96B2A9-AD09-4A9D-A87F-97B478D029C4}" srcOrd="2" destOrd="0" presId="urn:microsoft.com/office/officeart/2008/layout/CircleAccentTimeline"/>
    <dgm:cxn modelId="{58950E8C-6AA1-2748-9EAD-461E4202E6B5}" type="presParOf" srcId="{75ECE439-36A9-4193-A38D-67A0F6898303}" destId="{DD62A41D-6A94-4D6E-BCC9-68B83131D693}" srcOrd="23" destOrd="0" presId="urn:microsoft.com/office/officeart/2008/layout/CircleAccentTimeline"/>
    <dgm:cxn modelId="{6B77BCB4-9205-C446-99C8-AAAAE382F078}" type="presParOf" srcId="{75ECE439-36A9-4193-A38D-67A0F6898303}" destId="{81D87B11-BDAD-4805-9B47-344D9CB3DA19}" srcOrd="24" destOrd="0" presId="urn:microsoft.com/office/officeart/2008/layout/CircleAccentTimeline"/>
    <dgm:cxn modelId="{BFC7F0BC-83FB-F249-907A-E83808622A4C}" type="presParOf" srcId="{75ECE439-36A9-4193-A38D-67A0F6898303}" destId="{36E0A473-F604-4FC4-A8C4-2B3217823EE1}" srcOrd="25" destOrd="0" presId="urn:microsoft.com/office/officeart/2008/layout/CircleAccentTimeline"/>
    <dgm:cxn modelId="{B285F52C-B583-B449-96A5-CC47F36847D3}" type="presParOf" srcId="{75ECE439-36A9-4193-A38D-67A0F6898303}" destId="{C6F3F562-E3F7-4E96-A6EE-0A57B192F287}" srcOrd="26" destOrd="0" presId="urn:microsoft.com/office/officeart/2008/layout/CircleAccentTimeline"/>
    <dgm:cxn modelId="{ABD0F5DA-6148-7144-847C-52F6FE746F15}" type="presParOf" srcId="{C6F3F562-E3F7-4E96-A6EE-0A57B192F287}" destId="{25B52AC7-A61B-44AC-B3FD-F0018EDB1631}" srcOrd="0" destOrd="0" presId="urn:microsoft.com/office/officeart/2008/layout/CircleAccentTimeline"/>
    <dgm:cxn modelId="{63E7068A-50F5-454B-8240-92D56F491F01}" type="presParOf" srcId="{C6F3F562-E3F7-4E96-A6EE-0A57B192F287}" destId="{6E001AC4-9824-4C2A-B206-47E4135AFD9D}" srcOrd="1" destOrd="0" presId="urn:microsoft.com/office/officeart/2008/layout/CircleAccentTimeline"/>
    <dgm:cxn modelId="{096A102A-AFA4-644E-8B76-4B40D05977CA}" type="presParOf" srcId="{C6F3F562-E3F7-4E96-A6EE-0A57B192F287}" destId="{DF2CF985-8991-4EB0-9784-B56176B63958}" srcOrd="2" destOrd="0" presId="urn:microsoft.com/office/officeart/2008/layout/CircleAccentTimeline"/>
    <dgm:cxn modelId="{55E87DD2-8791-6B49-93E6-4B6CE094EC28}" type="presParOf" srcId="{75ECE439-36A9-4193-A38D-67A0F6898303}" destId="{FA6AD279-BEA2-4568-BF7B-496699E2F5F6}" srcOrd="27" destOrd="0" presId="urn:microsoft.com/office/officeart/2008/layout/CircleAccentTimeline"/>
    <dgm:cxn modelId="{902A4E12-8B22-494B-9AB0-3940A8FD49E9}" type="presParOf" srcId="{75ECE439-36A9-4193-A38D-67A0F6898303}" destId="{3B36BA77-25AB-4551-91E8-A3DEDEF33117}" srcOrd="28" destOrd="0" presId="urn:microsoft.com/office/officeart/2008/layout/CircleAccentTimeline"/>
    <dgm:cxn modelId="{B5EB004B-6448-4B44-8881-D89A35A05D3C}" type="presParOf" srcId="{75ECE439-36A9-4193-A38D-67A0F6898303}" destId="{C0A1DA64-B0F0-4301-A6D3-E1E556C21FF7}" srcOrd="29" destOrd="0" presId="urn:microsoft.com/office/officeart/2008/layout/CircleAccentTimeline"/>
    <dgm:cxn modelId="{530511F5-A943-CB49-A48F-E0845BE7A529}" type="presParOf" srcId="{C0A1DA64-B0F0-4301-A6D3-E1E556C21FF7}" destId="{5E30ED75-FA38-4BC8-8494-82C7B3F2650D}" srcOrd="0" destOrd="0" presId="urn:microsoft.com/office/officeart/2008/layout/CircleAccentTimeline"/>
    <dgm:cxn modelId="{16C2ED36-501B-984D-97FC-62A2D2DFFD3C}" type="presParOf" srcId="{C0A1DA64-B0F0-4301-A6D3-E1E556C21FF7}" destId="{E390905B-A573-41A0-A76C-D89BDB33E9E1}" srcOrd="1" destOrd="0" presId="urn:microsoft.com/office/officeart/2008/layout/CircleAccentTimeline"/>
    <dgm:cxn modelId="{F7A0D7DF-6222-624D-8FE2-F147A9EE16D9}" type="presParOf" srcId="{C0A1DA64-B0F0-4301-A6D3-E1E556C21FF7}" destId="{69EBF2CB-26EC-4805-8208-DE5F8BA40212}" srcOrd="2" destOrd="0" presId="urn:microsoft.com/office/officeart/2008/layout/CircleAccentTimeline"/>
    <dgm:cxn modelId="{9A8EA5FA-6D21-FD4D-B932-9106E0CF0D6F}" type="presParOf" srcId="{75ECE439-36A9-4193-A38D-67A0F6898303}" destId="{696B71E2-6B87-47D7-9ACC-509B5E1AD405}" srcOrd="30" destOrd="0" presId="urn:microsoft.com/office/officeart/2008/layout/CircleAccentTimeline"/>
    <dgm:cxn modelId="{3CFB767F-1119-ED4E-AD48-8FDB6C57893E}" type="presParOf" srcId="{75ECE439-36A9-4193-A38D-67A0F6898303}" destId="{52F6685B-9EB5-40AA-B4A8-28C6E2111BCB}" srcOrd="31" destOrd="0" presId="urn:microsoft.com/office/officeart/2008/layout/CircleAccentTimeline"/>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A15757-F9F2-4EB0-8168-474CC132350C}">
      <dsp:nvSpPr>
        <dsp:cNvPr id="0" name=""/>
        <dsp:cNvSpPr/>
      </dsp:nvSpPr>
      <dsp:spPr>
        <a:xfrm rot="5400000">
          <a:off x="3428951" y="-1381910"/>
          <a:ext cx="590646" cy="350520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n-US" sz="1000" kern="1200" dirty="0"/>
            <a:t>Scope of Work (SOW) *</a:t>
          </a:r>
        </a:p>
        <a:p>
          <a:pPr marL="57150" lvl="1" indent="-57150" algn="l" defTabSz="444500">
            <a:lnSpc>
              <a:spcPct val="90000"/>
            </a:lnSpc>
            <a:spcBef>
              <a:spcPct val="0"/>
            </a:spcBef>
            <a:spcAft>
              <a:spcPct val="15000"/>
            </a:spcAft>
            <a:buChar char="•"/>
          </a:pPr>
          <a:r>
            <a:rPr lang="en-US" sz="1000" kern="1200" dirty="0"/>
            <a:t>Award (CD-450s, Specific Award Conditions (SACs), Applicable regulations)</a:t>
          </a:r>
        </a:p>
      </dsp:txBody>
      <dsp:txXfrm rot="-5400000">
        <a:off x="1971675" y="104199"/>
        <a:ext cx="3476367" cy="532980"/>
      </dsp:txXfrm>
    </dsp:sp>
    <dsp:sp modelId="{08A960DC-FA29-44E8-AF29-98B6FE501A9E}">
      <dsp:nvSpPr>
        <dsp:cNvPr id="0" name=""/>
        <dsp:cNvSpPr/>
      </dsp:nvSpPr>
      <dsp:spPr>
        <a:xfrm>
          <a:off x="0" y="1535"/>
          <a:ext cx="1971675" cy="7383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40005" rIns="80010" bIns="40005" numCol="1" spcCol="1270" anchor="ctr" anchorCtr="0">
          <a:noAutofit/>
        </a:bodyPr>
        <a:lstStyle/>
        <a:p>
          <a:pPr marL="0" lvl="0" indent="0" algn="ctr" defTabSz="933450">
            <a:lnSpc>
              <a:spcPct val="90000"/>
            </a:lnSpc>
            <a:spcBef>
              <a:spcPct val="0"/>
            </a:spcBef>
            <a:spcAft>
              <a:spcPct val="35000"/>
            </a:spcAft>
            <a:buNone/>
          </a:pPr>
          <a:r>
            <a:rPr lang="en-US" sz="2100" kern="1200" dirty="0"/>
            <a:t>Propose</a:t>
          </a:r>
        </a:p>
      </dsp:txBody>
      <dsp:txXfrm>
        <a:off x="36041" y="37576"/>
        <a:ext cx="1899593" cy="666226"/>
      </dsp:txXfrm>
    </dsp:sp>
    <dsp:sp modelId="{92F7D968-3F6D-495F-ACD0-4ADD56FB07C8}">
      <dsp:nvSpPr>
        <dsp:cNvPr id="0" name=""/>
        <dsp:cNvSpPr/>
      </dsp:nvSpPr>
      <dsp:spPr>
        <a:xfrm rot="5400000">
          <a:off x="3428951" y="-606686"/>
          <a:ext cx="590646" cy="350520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n-US" sz="1000" kern="1200" dirty="0"/>
            <a:t>Operating Outcome Plans</a:t>
          </a:r>
        </a:p>
        <a:p>
          <a:pPr marL="57150" lvl="1" indent="-57150" algn="l" defTabSz="444500">
            <a:lnSpc>
              <a:spcPct val="90000"/>
            </a:lnSpc>
            <a:spcBef>
              <a:spcPct val="0"/>
            </a:spcBef>
            <a:spcAft>
              <a:spcPct val="15000"/>
            </a:spcAft>
            <a:buChar char="•"/>
          </a:pPr>
          <a:r>
            <a:rPr lang="en-US" sz="1000" kern="1200" dirty="0"/>
            <a:t>Multi-year Budgets*</a:t>
          </a:r>
        </a:p>
        <a:p>
          <a:pPr marL="57150" lvl="1" indent="-57150" algn="l" defTabSz="444500">
            <a:lnSpc>
              <a:spcPct val="90000"/>
            </a:lnSpc>
            <a:spcBef>
              <a:spcPct val="0"/>
            </a:spcBef>
            <a:spcAft>
              <a:spcPct val="15000"/>
            </a:spcAft>
            <a:buChar char="•"/>
          </a:pPr>
          <a:r>
            <a:rPr lang="en-US" sz="1000" kern="1200" dirty="0"/>
            <a:t>Intellectual Property Plan (IP Plan)*</a:t>
          </a:r>
        </a:p>
      </dsp:txBody>
      <dsp:txXfrm rot="-5400000">
        <a:off x="1971675" y="879423"/>
        <a:ext cx="3476367" cy="532980"/>
      </dsp:txXfrm>
    </dsp:sp>
    <dsp:sp modelId="{E88A520C-50A4-4CC7-A18C-CF40538E8982}">
      <dsp:nvSpPr>
        <dsp:cNvPr id="0" name=""/>
        <dsp:cNvSpPr/>
      </dsp:nvSpPr>
      <dsp:spPr>
        <a:xfrm>
          <a:off x="0" y="776758"/>
          <a:ext cx="1971675" cy="7383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40005" rIns="80010" bIns="40005" numCol="1" spcCol="1270" anchor="ctr" anchorCtr="0">
          <a:noAutofit/>
        </a:bodyPr>
        <a:lstStyle/>
        <a:p>
          <a:pPr marL="0" lvl="0" indent="0" algn="ctr" defTabSz="933450">
            <a:lnSpc>
              <a:spcPct val="90000"/>
            </a:lnSpc>
            <a:spcBef>
              <a:spcPct val="0"/>
            </a:spcBef>
            <a:spcAft>
              <a:spcPct val="35000"/>
            </a:spcAft>
            <a:buNone/>
          </a:pPr>
          <a:r>
            <a:rPr lang="en-US" sz="2100" kern="1200" dirty="0"/>
            <a:t>Operationalize</a:t>
          </a:r>
        </a:p>
      </dsp:txBody>
      <dsp:txXfrm>
        <a:off x="36041" y="812799"/>
        <a:ext cx="1899593" cy="666226"/>
      </dsp:txXfrm>
    </dsp:sp>
    <dsp:sp modelId="{0BF7E33C-B643-472D-933A-436B1ABA461F}">
      <dsp:nvSpPr>
        <dsp:cNvPr id="0" name=""/>
        <dsp:cNvSpPr/>
      </dsp:nvSpPr>
      <dsp:spPr>
        <a:xfrm rot="5400000">
          <a:off x="3428951" y="168536"/>
          <a:ext cx="590646" cy="350520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n-US" sz="1000" kern="1200" dirty="0"/>
            <a:t>Reporting (Progress Plans, SF-425s, Operating Outcome Plans) </a:t>
          </a:r>
        </a:p>
        <a:p>
          <a:pPr marL="57150" lvl="1" indent="-57150" algn="l" defTabSz="444500">
            <a:lnSpc>
              <a:spcPct val="90000"/>
            </a:lnSpc>
            <a:spcBef>
              <a:spcPct val="0"/>
            </a:spcBef>
            <a:spcAft>
              <a:spcPct val="15000"/>
            </a:spcAft>
            <a:buChar char="•"/>
          </a:pPr>
          <a:r>
            <a:rPr lang="en-US" sz="1000" kern="1200" dirty="0"/>
            <a:t>Annual and Panel Reviews</a:t>
          </a:r>
        </a:p>
        <a:p>
          <a:pPr marL="57150" lvl="1" indent="-57150" algn="l" defTabSz="444500">
            <a:lnSpc>
              <a:spcPct val="90000"/>
            </a:lnSpc>
            <a:spcBef>
              <a:spcPct val="0"/>
            </a:spcBef>
            <a:spcAft>
              <a:spcPct val="15000"/>
            </a:spcAft>
            <a:buChar char="•"/>
          </a:pPr>
          <a:r>
            <a:rPr lang="en-US" sz="1000" kern="1200" dirty="0"/>
            <a:t>Board By-laws</a:t>
          </a:r>
        </a:p>
      </dsp:txBody>
      <dsp:txXfrm rot="-5400000">
        <a:off x="1971675" y="1654646"/>
        <a:ext cx="3476367" cy="532980"/>
      </dsp:txXfrm>
    </dsp:sp>
    <dsp:sp modelId="{2FF1C931-2308-4126-A5F6-9B7F416F755A}">
      <dsp:nvSpPr>
        <dsp:cNvPr id="0" name=""/>
        <dsp:cNvSpPr/>
      </dsp:nvSpPr>
      <dsp:spPr>
        <a:xfrm>
          <a:off x="0" y="1551982"/>
          <a:ext cx="1971675" cy="7383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40005" rIns="80010" bIns="40005" numCol="1" spcCol="1270" anchor="ctr" anchorCtr="0">
          <a:noAutofit/>
        </a:bodyPr>
        <a:lstStyle/>
        <a:p>
          <a:pPr marL="0" lvl="0" indent="0" algn="ctr" defTabSz="933450">
            <a:lnSpc>
              <a:spcPct val="90000"/>
            </a:lnSpc>
            <a:spcBef>
              <a:spcPct val="0"/>
            </a:spcBef>
            <a:spcAft>
              <a:spcPct val="35000"/>
            </a:spcAft>
            <a:buNone/>
          </a:pPr>
          <a:r>
            <a:rPr lang="en-US" sz="2100" kern="1200" dirty="0"/>
            <a:t>Monitor</a:t>
          </a:r>
        </a:p>
      </dsp:txBody>
      <dsp:txXfrm>
        <a:off x="36041" y="1588023"/>
        <a:ext cx="1899593" cy="666226"/>
      </dsp:txXfrm>
    </dsp:sp>
    <dsp:sp modelId="{D2E48384-F1F0-4CEF-B282-9B37D1347717}">
      <dsp:nvSpPr>
        <dsp:cNvPr id="0" name=""/>
        <dsp:cNvSpPr/>
      </dsp:nvSpPr>
      <dsp:spPr>
        <a:xfrm rot="5400000">
          <a:off x="3428951" y="943760"/>
          <a:ext cx="590646" cy="350520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n-US" sz="1000" kern="1200" dirty="0"/>
            <a:t>Revisions to </a:t>
          </a:r>
          <a:r>
            <a:rPr lang="en-US" sz="1000" kern="1200"/>
            <a:t>various documents</a:t>
          </a:r>
          <a:endParaRPr lang="en-US" sz="1000" kern="1200" dirty="0"/>
        </a:p>
        <a:p>
          <a:pPr marL="57150" lvl="1" indent="-57150" algn="l" defTabSz="444500">
            <a:lnSpc>
              <a:spcPct val="90000"/>
            </a:lnSpc>
            <a:spcBef>
              <a:spcPct val="0"/>
            </a:spcBef>
            <a:spcAft>
              <a:spcPct val="15000"/>
            </a:spcAft>
            <a:buChar char="•"/>
          </a:pPr>
          <a:r>
            <a:rPr lang="en-US" sz="1000" kern="1200" dirty="0"/>
            <a:t>Amendments (CD-451s)</a:t>
          </a:r>
        </a:p>
      </dsp:txBody>
      <dsp:txXfrm rot="-5400000">
        <a:off x="1971675" y="2429870"/>
        <a:ext cx="3476367" cy="532980"/>
      </dsp:txXfrm>
    </dsp:sp>
    <dsp:sp modelId="{E7BB7008-482E-4CD1-834A-03089844DE9D}">
      <dsp:nvSpPr>
        <dsp:cNvPr id="0" name=""/>
        <dsp:cNvSpPr/>
      </dsp:nvSpPr>
      <dsp:spPr>
        <a:xfrm>
          <a:off x="0" y="2327206"/>
          <a:ext cx="1971675" cy="7383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40005" rIns="80010" bIns="40005" numCol="1" spcCol="1270" anchor="ctr" anchorCtr="0">
          <a:noAutofit/>
        </a:bodyPr>
        <a:lstStyle/>
        <a:p>
          <a:pPr marL="0" lvl="0" indent="0" algn="ctr" defTabSz="933450">
            <a:lnSpc>
              <a:spcPct val="90000"/>
            </a:lnSpc>
            <a:spcBef>
              <a:spcPct val="0"/>
            </a:spcBef>
            <a:spcAft>
              <a:spcPct val="35000"/>
            </a:spcAft>
            <a:buNone/>
          </a:pPr>
          <a:r>
            <a:rPr lang="en-US" sz="2100" kern="1200" dirty="0"/>
            <a:t>Adjust</a:t>
          </a:r>
        </a:p>
      </dsp:txBody>
      <dsp:txXfrm>
        <a:off x="36041" y="2363247"/>
        <a:ext cx="1899593" cy="6662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20744D-B543-412E-A502-8B314F583135}">
      <dsp:nvSpPr>
        <dsp:cNvPr id="0" name=""/>
        <dsp:cNvSpPr/>
      </dsp:nvSpPr>
      <dsp:spPr>
        <a:xfrm>
          <a:off x="424" y="920340"/>
          <a:ext cx="759666" cy="759666"/>
        </a:xfrm>
        <a:prstGeom prst="donut">
          <a:avLst>
            <a:gd name="adj" fmla="val 2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0B25EF-35C4-49A1-8ACA-B99108E49B98}">
      <dsp:nvSpPr>
        <dsp:cNvPr id="0" name=""/>
        <dsp:cNvSpPr/>
      </dsp:nvSpPr>
      <dsp:spPr>
        <a:xfrm rot="17700000">
          <a:off x="268096" y="301056"/>
          <a:ext cx="944350" cy="4551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0" rIns="0" bIns="0" numCol="1" spcCol="1270" anchor="ctr" anchorCtr="0">
          <a:noAutofit/>
        </a:bodyPr>
        <a:lstStyle/>
        <a:p>
          <a:pPr marL="0" lvl="0" indent="0" algn="l" defTabSz="355600">
            <a:lnSpc>
              <a:spcPct val="90000"/>
            </a:lnSpc>
            <a:spcBef>
              <a:spcPct val="0"/>
            </a:spcBef>
            <a:spcAft>
              <a:spcPct val="35000"/>
            </a:spcAft>
            <a:buNone/>
          </a:pPr>
          <a:r>
            <a:rPr lang="en-US" sz="800" b="1" kern="1200"/>
            <a:t>Annual Review          </a:t>
          </a:r>
          <a:r>
            <a:rPr lang="en-US" sz="800" i="1" kern="1200"/>
            <a:t>(NLT 100 days before end date)</a:t>
          </a:r>
        </a:p>
      </dsp:txBody>
      <dsp:txXfrm>
        <a:off x="268096" y="301056"/>
        <a:ext cx="944350" cy="455103"/>
      </dsp:txXfrm>
    </dsp:sp>
    <dsp:sp modelId="{223B2366-0B3A-4B72-A8CC-96CBEAB33AC6}">
      <dsp:nvSpPr>
        <dsp:cNvPr id="0" name=""/>
        <dsp:cNvSpPr/>
      </dsp:nvSpPr>
      <dsp:spPr>
        <a:xfrm>
          <a:off x="817312" y="1103016"/>
          <a:ext cx="394315" cy="3943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6D370C-C8E0-4857-A01E-25310AB87834}">
      <dsp:nvSpPr>
        <dsp:cNvPr id="0" name=""/>
        <dsp:cNvSpPr/>
      </dsp:nvSpPr>
      <dsp:spPr>
        <a:xfrm rot="17700000">
          <a:off x="350299" y="1651840"/>
          <a:ext cx="816907" cy="393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marL="0" lvl="0" indent="0" algn="r" defTabSz="355600">
            <a:lnSpc>
              <a:spcPct val="90000"/>
            </a:lnSpc>
            <a:spcBef>
              <a:spcPct val="0"/>
            </a:spcBef>
            <a:spcAft>
              <a:spcPct val="35000"/>
            </a:spcAft>
            <a:buNone/>
          </a:pPr>
          <a:r>
            <a:rPr lang="en-US" sz="800" kern="1200"/>
            <a:t>Renewal guidance issued to Center</a:t>
          </a:r>
        </a:p>
      </dsp:txBody>
      <dsp:txXfrm>
        <a:off x="350299" y="1651840"/>
        <a:ext cx="816907" cy="393882"/>
      </dsp:txXfrm>
    </dsp:sp>
    <dsp:sp modelId="{B0261DCE-1A01-4767-807C-2E76B06BF3B4}">
      <dsp:nvSpPr>
        <dsp:cNvPr id="0" name=""/>
        <dsp:cNvSpPr/>
      </dsp:nvSpPr>
      <dsp:spPr>
        <a:xfrm rot="17700000">
          <a:off x="861732" y="554624"/>
          <a:ext cx="816907" cy="393882"/>
        </a:xfrm>
        <a:prstGeom prst="rect">
          <a:avLst/>
        </a:prstGeom>
        <a:noFill/>
        <a:ln>
          <a:noFill/>
        </a:ln>
        <a:effectLst/>
      </dsp:spPr>
      <dsp:style>
        <a:lnRef idx="0">
          <a:scrgbClr r="0" g="0" b="0"/>
        </a:lnRef>
        <a:fillRef idx="0">
          <a:scrgbClr r="0" g="0" b="0"/>
        </a:fillRef>
        <a:effectRef idx="0">
          <a:scrgbClr r="0" g="0" b="0"/>
        </a:effectRef>
        <a:fontRef idx="minor"/>
      </dsp:style>
    </dsp:sp>
    <dsp:sp modelId="{753FA453-51B7-47C8-AE48-25C8B262C0AD}">
      <dsp:nvSpPr>
        <dsp:cNvPr id="0" name=""/>
        <dsp:cNvSpPr/>
      </dsp:nvSpPr>
      <dsp:spPr>
        <a:xfrm>
          <a:off x="1268848" y="920340"/>
          <a:ext cx="759666" cy="759666"/>
        </a:xfrm>
        <a:prstGeom prst="donut">
          <a:avLst>
            <a:gd name="adj" fmla="val 2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612EE6-6C44-4D18-9968-E738E38DACCE}">
      <dsp:nvSpPr>
        <dsp:cNvPr id="0" name=""/>
        <dsp:cNvSpPr/>
      </dsp:nvSpPr>
      <dsp:spPr>
        <a:xfrm rot="17700000">
          <a:off x="1536520" y="301056"/>
          <a:ext cx="944350" cy="4551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0" rIns="0" bIns="0" numCol="1" spcCol="1270" anchor="ctr" anchorCtr="0">
          <a:noAutofit/>
        </a:bodyPr>
        <a:lstStyle/>
        <a:p>
          <a:pPr marL="0" lvl="0" indent="0" algn="l" defTabSz="355600">
            <a:lnSpc>
              <a:spcPct val="90000"/>
            </a:lnSpc>
            <a:spcBef>
              <a:spcPct val="0"/>
            </a:spcBef>
            <a:spcAft>
              <a:spcPct val="35000"/>
            </a:spcAft>
            <a:buNone/>
          </a:pPr>
          <a:r>
            <a:rPr lang="en-US" sz="800" b="1" kern="1200"/>
            <a:t>Draft Renewal Package </a:t>
          </a:r>
          <a:r>
            <a:rPr lang="en-US" sz="800" i="1" kern="1200"/>
            <a:t>(NLT 90 days before end date)</a:t>
          </a:r>
        </a:p>
      </dsp:txBody>
      <dsp:txXfrm>
        <a:off x="1536520" y="301056"/>
        <a:ext cx="944350" cy="455103"/>
      </dsp:txXfrm>
    </dsp:sp>
    <dsp:sp modelId="{9CE21009-9937-4B78-ABAC-9E231CFB76E6}">
      <dsp:nvSpPr>
        <dsp:cNvPr id="0" name=""/>
        <dsp:cNvSpPr/>
      </dsp:nvSpPr>
      <dsp:spPr>
        <a:xfrm>
          <a:off x="2085735" y="1103016"/>
          <a:ext cx="394315" cy="3943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7F02F6-6DF8-4EC2-9915-2A6E8F9786AF}">
      <dsp:nvSpPr>
        <dsp:cNvPr id="0" name=""/>
        <dsp:cNvSpPr/>
      </dsp:nvSpPr>
      <dsp:spPr>
        <a:xfrm rot="17700000">
          <a:off x="1618723" y="1651840"/>
          <a:ext cx="816907" cy="393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marL="0" lvl="0" indent="0" algn="r" defTabSz="355600">
            <a:lnSpc>
              <a:spcPct val="90000"/>
            </a:lnSpc>
            <a:spcBef>
              <a:spcPct val="0"/>
            </a:spcBef>
            <a:spcAft>
              <a:spcPct val="35000"/>
            </a:spcAft>
            <a:buNone/>
          </a:pPr>
          <a:r>
            <a:rPr lang="en-US" sz="800" kern="1200"/>
            <a:t>CRMT draft package review</a:t>
          </a:r>
        </a:p>
      </dsp:txBody>
      <dsp:txXfrm>
        <a:off x="1618723" y="1651840"/>
        <a:ext cx="816907" cy="393882"/>
      </dsp:txXfrm>
    </dsp:sp>
    <dsp:sp modelId="{239B7352-9232-489F-B83F-602BB64D1B6F}">
      <dsp:nvSpPr>
        <dsp:cNvPr id="0" name=""/>
        <dsp:cNvSpPr/>
      </dsp:nvSpPr>
      <dsp:spPr>
        <a:xfrm rot="17700000">
          <a:off x="2130155" y="554624"/>
          <a:ext cx="816907" cy="393882"/>
        </a:xfrm>
        <a:prstGeom prst="rect">
          <a:avLst/>
        </a:prstGeom>
        <a:noFill/>
        <a:ln>
          <a:noFill/>
        </a:ln>
        <a:effectLst/>
      </dsp:spPr>
      <dsp:style>
        <a:lnRef idx="0">
          <a:scrgbClr r="0" g="0" b="0"/>
        </a:lnRef>
        <a:fillRef idx="0">
          <a:scrgbClr r="0" g="0" b="0"/>
        </a:fillRef>
        <a:effectRef idx="0">
          <a:scrgbClr r="0" g="0" b="0"/>
        </a:effectRef>
        <a:fontRef idx="minor"/>
      </dsp:style>
    </dsp:sp>
    <dsp:sp modelId="{5D24B5C5-0EB8-4B31-900A-0A9DB812A8E6}">
      <dsp:nvSpPr>
        <dsp:cNvPr id="0" name=""/>
        <dsp:cNvSpPr/>
      </dsp:nvSpPr>
      <dsp:spPr>
        <a:xfrm>
          <a:off x="2537211" y="1103016"/>
          <a:ext cx="394315" cy="3943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145922-9AB6-4E51-A59B-26FA3BC0A19C}">
      <dsp:nvSpPr>
        <dsp:cNvPr id="0" name=""/>
        <dsp:cNvSpPr/>
      </dsp:nvSpPr>
      <dsp:spPr>
        <a:xfrm rot="17700000">
          <a:off x="2070198" y="1651840"/>
          <a:ext cx="816907" cy="393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marL="0" lvl="0" indent="0" algn="r" defTabSz="355600">
            <a:lnSpc>
              <a:spcPct val="90000"/>
            </a:lnSpc>
            <a:spcBef>
              <a:spcPct val="0"/>
            </a:spcBef>
            <a:spcAft>
              <a:spcPct val="35000"/>
            </a:spcAft>
            <a:buNone/>
          </a:pPr>
          <a:r>
            <a:rPr lang="en-US" sz="800" kern="1200"/>
            <a:t>Center edits to draft package</a:t>
          </a:r>
        </a:p>
      </dsp:txBody>
      <dsp:txXfrm>
        <a:off x="2070198" y="1651840"/>
        <a:ext cx="816907" cy="393882"/>
      </dsp:txXfrm>
    </dsp:sp>
    <dsp:sp modelId="{44ECD7F4-60D7-486E-AAF8-0AA33E2F77BB}">
      <dsp:nvSpPr>
        <dsp:cNvPr id="0" name=""/>
        <dsp:cNvSpPr/>
      </dsp:nvSpPr>
      <dsp:spPr>
        <a:xfrm rot="17700000">
          <a:off x="2581631" y="554624"/>
          <a:ext cx="816907" cy="393882"/>
        </a:xfrm>
        <a:prstGeom prst="rect">
          <a:avLst/>
        </a:prstGeom>
        <a:noFill/>
        <a:ln>
          <a:noFill/>
        </a:ln>
        <a:effectLst/>
      </dsp:spPr>
      <dsp:style>
        <a:lnRef idx="0">
          <a:scrgbClr r="0" g="0" b="0"/>
        </a:lnRef>
        <a:fillRef idx="0">
          <a:scrgbClr r="0" g="0" b="0"/>
        </a:fillRef>
        <a:effectRef idx="0">
          <a:scrgbClr r="0" g="0" b="0"/>
        </a:effectRef>
        <a:fontRef idx="minor"/>
      </dsp:style>
    </dsp:sp>
    <dsp:sp modelId="{B6700400-991A-42E0-9194-3D298A815E79}">
      <dsp:nvSpPr>
        <dsp:cNvPr id="0" name=""/>
        <dsp:cNvSpPr/>
      </dsp:nvSpPr>
      <dsp:spPr>
        <a:xfrm>
          <a:off x="2988747" y="920340"/>
          <a:ext cx="759666" cy="759666"/>
        </a:xfrm>
        <a:prstGeom prst="donut">
          <a:avLst>
            <a:gd name="adj" fmla="val 2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FCB85E-1D9A-48D2-99EF-6E92396431C4}">
      <dsp:nvSpPr>
        <dsp:cNvPr id="0" name=""/>
        <dsp:cNvSpPr/>
      </dsp:nvSpPr>
      <dsp:spPr>
        <a:xfrm rot="17700000">
          <a:off x="3256419" y="301056"/>
          <a:ext cx="944350" cy="4551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0" rIns="0" bIns="0" numCol="1" spcCol="1270" anchor="ctr" anchorCtr="0">
          <a:noAutofit/>
        </a:bodyPr>
        <a:lstStyle/>
        <a:p>
          <a:pPr marL="0" lvl="0" indent="0" algn="l" defTabSz="355600">
            <a:lnSpc>
              <a:spcPct val="90000"/>
            </a:lnSpc>
            <a:spcBef>
              <a:spcPct val="0"/>
            </a:spcBef>
            <a:spcAft>
              <a:spcPct val="35000"/>
            </a:spcAft>
            <a:buNone/>
          </a:pPr>
          <a:r>
            <a:rPr lang="en-US" sz="800" b="1" kern="1200"/>
            <a:t>Final Renewal Package </a:t>
          </a:r>
          <a:r>
            <a:rPr lang="en-US" sz="800" i="1" kern="1200"/>
            <a:t>(NLT 60 days before end date)</a:t>
          </a:r>
        </a:p>
      </dsp:txBody>
      <dsp:txXfrm>
        <a:off x="3256419" y="301056"/>
        <a:ext cx="944350" cy="455103"/>
      </dsp:txXfrm>
    </dsp:sp>
    <dsp:sp modelId="{EECE2098-C8EB-46C9-91D6-4DEC782B8BE1}">
      <dsp:nvSpPr>
        <dsp:cNvPr id="0" name=""/>
        <dsp:cNvSpPr/>
      </dsp:nvSpPr>
      <dsp:spPr>
        <a:xfrm>
          <a:off x="3805634" y="1103016"/>
          <a:ext cx="394315" cy="3943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1DF8C1-D16B-4E98-812F-60FCE5B152BE}">
      <dsp:nvSpPr>
        <dsp:cNvPr id="0" name=""/>
        <dsp:cNvSpPr/>
      </dsp:nvSpPr>
      <dsp:spPr>
        <a:xfrm rot="17700000">
          <a:off x="3338622" y="1651840"/>
          <a:ext cx="816907" cy="393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marL="0" lvl="0" indent="0" algn="r" defTabSz="355600">
            <a:lnSpc>
              <a:spcPct val="90000"/>
            </a:lnSpc>
            <a:spcBef>
              <a:spcPct val="0"/>
            </a:spcBef>
            <a:spcAft>
              <a:spcPct val="35000"/>
            </a:spcAft>
            <a:buNone/>
          </a:pPr>
          <a:r>
            <a:rPr lang="en-US" sz="800" kern="1200"/>
            <a:t>CRMT final package review</a:t>
          </a:r>
        </a:p>
      </dsp:txBody>
      <dsp:txXfrm>
        <a:off x="3338622" y="1651840"/>
        <a:ext cx="816907" cy="393882"/>
      </dsp:txXfrm>
    </dsp:sp>
    <dsp:sp modelId="{DC96B2A9-AD09-4A9D-A87F-97B478D029C4}">
      <dsp:nvSpPr>
        <dsp:cNvPr id="0" name=""/>
        <dsp:cNvSpPr/>
      </dsp:nvSpPr>
      <dsp:spPr>
        <a:xfrm rot="17700000">
          <a:off x="3850054" y="554624"/>
          <a:ext cx="816907" cy="393882"/>
        </a:xfrm>
        <a:prstGeom prst="rect">
          <a:avLst/>
        </a:prstGeom>
        <a:noFill/>
        <a:ln>
          <a:noFill/>
        </a:ln>
        <a:effectLst/>
      </dsp:spPr>
      <dsp:style>
        <a:lnRef idx="0">
          <a:scrgbClr r="0" g="0" b="0"/>
        </a:lnRef>
        <a:fillRef idx="0">
          <a:scrgbClr r="0" g="0" b="0"/>
        </a:fillRef>
        <a:effectRef idx="0">
          <a:scrgbClr r="0" g="0" b="0"/>
        </a:effectRef>
        <a:fontRef idx="minor"/>
      </dsp:style>
    </dsp:sp>
    <dsp:sp modelId="{25B52AC7-A61B-44AC-B3FD-F0018EDB1631}">
      <dsp:nvSpPr>
        <dsp:cNvPr id="0" name=""/>
        <dsp:cNvSpPr/>
      </dsp:nvSpPr>
      <dsp:spPr>
        <a:xfrm>
          <a:off x="4257110" y="1103016"/>
          <a:ext cx="394315" cy="3943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E001AC4-9824-4C2A-B206-47E4135AFD9D}">
      <dsp:nvSpPr>
        <dsp:cNvPr id="0" name=""/>
        <dsp:cNvSpPr/>
      </dsp:nvSpPr>
      <dsp:spPr>
        <a:xfrm rot="17700000">
          <a:off x="3790097" y="1651840"/>
          <a:ext cx="816907" cy="393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marL="0" lvl="0" indent="0" algn="r" defTabSz="355600">
            <a:lnSpc>
              <a:spcPct val="90000"/>
            </a:lnSpc>
            <a:spcBef>
              <a:spcPct val="0"/>
            </a:spcBef>
            <a:spcAft>
              <a:spcPct val="35000"/>
            </a:spcAft>
            <a:buNone/>
          </a:pPr>
          <a:r>
            <a:rPr lang="en-US" sz="800" kern="1200"/>
            <a:t>Submission of final package to NIST Grants Office</a:t>
          </a:r>
        </a:p>
      </dsp:txBody>
      <dsp:txXfrm>
        <a:off x="3790097" y="1651840"/>
        <a:ext cx="816907" cy="393882"/>
      </dsp:txXfrm>
    </dsp:sp>
    <dsp:sp modelId="{DF2CF985-8991-4EB0-9784-B56176B63958}">
      <dsp:nvSpPr>
        <dsp:cNvPr id="0" name=""/>
        <dsp:cNvSpPr/>
      </dsp:nvSpPr>
      <dsp:spPr>
        <a:xfrm rot="17700000">
          <a:off x="4301530" y="554624"/>
          <a:ext cx="816907" cy="393882"/>
        </a:xfrm>
        <a:prstGeom prst="rect">
          <a:avLst/>
        </a:prstGeom>
        <a:noFill/>
        <a:ln>
          <a:noFill/>
        </a:ln>
        <a:effectLst/>
      </dsp:spPr>
      <dsp:style>
        <a:lnRef idx="0">
          <a:scrgbClr r="0" g="0" b="0"/>
        </a:lnRef>
        <a:fillRef idx="0">
          <a:scrgbClr r="0" g="0" b="0"/>
        </a:fillRef>
        <a:effectRef idx="0">
          <a:scrgbClr r="0" g="0" b="0"/>
        </a:effectRef>
        <a:fontRef idx="minor"/>
      </dsp:style>
    </dsp:sp>
    <dsp:sp modelId="{5E30ED75-FA38-4BC8-8494-82C7B3F2650D}">
      <dsp:nvSpPr>
        <dsp:cNvPr id="0" name=""/>
        <dsp:cNvSpPr/>
      </dsp:nvSpPr>
      <dsp:spPr>
        <a:xfrm>
          <a:off x="4708646" y="920340"/>
          <a:ext cx="759666" cy="759666"/>
        </a:xfrm>
        <a:prstGeom prst="donut">
          <a:avLst>
            <a:gd name="adj" fmla="val 2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90905B-A573-41A0-A76C-D89BDB33E9E1}">
      <dsp:nvSpPr>
        <dsp:cNvPr id="0" name=""/>
        <dsp:cNvSpPr/>
      </dsp:nvSpPr>
      <dsp:spPr>
        <a:xfrm rot="17700000">
          <a:off x="4976318" y="301056"/>
          <a:ext cx="944350" cy="4551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0" rIns="0" bIns="0" numCol="1" spcCol="1270" anchor="ctr" anchorCtr="0">
          <a:noAutofit/>
        </a:bodyPr>
        <a:lstStyle/>
        <a:p>
          <a:pPr marL="0" lvl="0" indent="0" algn="l" defTabSz="355600">
            <a:lnSpc>
              <a:spcPct val="90000"/>
            </a:lnSpc>
            <a:spcBef>
              <a:spcPct val="0"/>
            </a:spcBef>
            <a:spcAft>
              <a:spcPct val="35000"/>
            </a:spcAft>
            <a:buNone/>
          </a:pPr>
          <a:r>
            <a:rPr lang="en-US" sz="800" kern="1200"/>
            <a:t>Award Renewal        (CD-451 Issuance)</a:t>
          </a:r>
        </a:p>
      </dsp:txBody>
      <dsp:txXfrm>
        <a:off x="4976318" y="301056"/>
        <a:ext cx="944350" cy="45510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ircleAccentTimeline">
  <dgm:title val=""/>
  <dgm:desc val=""/>
  <dgm:catLst>
    <dgm:cat type="process" pri="7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clrData>
  <dgm:layoutNode name="Name0">
    <dgm:varLst>
      <dgm:dir/>
    </dgm:varLst>
    <dgm:choose name="Name1">
      <dgm:if name="Name2" func="var" arg="dir" op="equ" val="norm">
        <dgm:alg type="lin">
          <dgm:param type="fallback" val="2D"/>
          <dgm:param type="nodeVertAlign" val="b"/>
        </dgm:alg>
      </dgm:if>
      <dgm:else name="Name3">
        <dgm:alg type="lin">
          <dgm:param type="fallback" val="2D"/>
          <dgm:param type="nodeVertAlign" val="b"/>
          <dgm:param type="linDir" val="fromR"/>
        </dgm:alg>
      </dgm:else>
    </dgm:choose>
    <dgm:shape xmlns:r="http://schemas.openxmlformats.org/officeDocument/2006/relationships" r:blip="">
      <dgm:adjLst/>
    </dgm:shape>
    <dgm:constrLst>
      <dgm:constr type="h" for="ch" forName="parComposite" refType="h"/>
      <dgm:constr type="w" for="ch" forName="parComposite" refType="h" refFor="ch" refForName="parComposite" fact="0.4986"/>
      <dgm:constr type="h" for="ch" forName="desComposite" refType="h" fact="0.8722"/>
      <dgm:constr type="w" for="ch" forName="desComposite" refType="h" refFor="ch" refForName="desComposite" fact="0.6056"/>
      <dgm:constr type="w" for="ch" forName="parBackupNorm" refType="w" refFor="ch" refForName="parComposite" fact="-0.3369"/>
      <dgm:constr type="w" for="ch" forName="parBackupRTL" refType="w" refFor="ch" refForName="parComposite" fact="-0.3369"/>
      <dgm:constr type="w" for="ch" forName="parBackupRev" refType="w" refFor="ch" refForName="parComposite" fact="0"/>
      <dgm:constr type="w" for="ch" forName="desBackupLeftNorm" refType="w" refFor="ch" refForName="desComposite" fact="-0.3376"/>
      <dgm:constr type="w" for="ch" forName="desBackupLeftRev" refType="w" refFor="ch" refForName="desComposite" fact="-0.3376"/>
      <dgm:constr type="w" for="ch" forName="desBackupRightNorm" refType="w" refFor="ch" refForName="desComposite" fact="-0.3376"/>
      <dgm:constr type="w" for="ch" forName="desBackupRightRev" refType="w" refFor="ch" refForName="desComposite" fact="-0.3376"/>
      <dgm:constr type="w" for="ch" forName="parSpace" refType="w" refFor="ch" refForName="parComposite" fact="0.05"/>
      <dgm:constr type="w" for="ch" forName="desSpace" refType="w" refFor="ch" refForName="parComposite" fact="0.05"/>
      <dgm:constr type="primFontSz" for="des" forName="parTx" op="equ" val="65"/>
      <dgm:constr type="primFontSz" for="des" forName="chTx" refType="primFontSz" refFor="des" refForName="parTx" op="lte" val="65"/>
      <dgm:constr type="primFontSz" for="des" forName="desTx" refType="primFontSz" refFor="des" refForName="chTx" op="lte" val="65"/>
      <dgm:constr type="primFontSz" for="des" forName="desTx" refType="primFontSz" refFor="des" refForName="parTx" op="lte"/>
    </dgm:constrLst>
    <dgm:forEach name="Name4" axis="ch" ptType="node">
      <dgm:layoutNode name="parComposite">
        <dgm:alg type="composite"/>
        <dgm:shape xmlns:r="http://schemas.openxmlformats.org/officeDocument/2006/relationships" r:blip="">
          <dgm:adjLst/>
        </dgm:shape>
        <dgm:choose name="Name5">
          <dgm:if name="Name6" func="var" arg="dir" op="equ" val="norm">
            <dgm:constrLst>
              <dgm:constr type="l" for="ch" forName="parBigCircle"/>
              <dgm:constr type="ctrY" for="ch" forName="parBigCircle" refType="h" fact="0.5639"/>
              <dgm:constr type="w" for="ch" forName="parBigCircle" refType="w" fact="0.6631"/>
              <dgm:constr type="h" for="ch" forName="parBigCircle" refType="w" refFor="ch" refForName="parBigCircle"/>
              <dgm:constr type="r" for="ch" forName="parTx" refType="w"/>
              <dgm:constr type="t" for="ch" forName="parTx"/>
              <dgm:constr type="w" for="ch" forName="parTx" refType="w" fact="0.7084"/>
              <dgm:constr type="h" for="ch" forName="parTx" refType="h" fact="0.4562"/>
              <dgm:constr type="t" for="ch" forName="bSpace" refType="ctrY" refFor="ch" refForName="parBigCircle"/>
              <dgm:constr type="b" for="ch" forName="bSpace" refType="h"/>
              <dgm:constr type="l" for="ch" forName="bSpace"/>
              <dgm:constr type="w" for="ch" forName="bSpace" val="1"/>
            </dgm:constrLst>
          </dgm:if>
          <dgm:else name="Name7">
            <dgm:constrLst>
              <dgm:constr type="r" for="ch" forName="parBigCircle" refType="w"/>
              <dgm:constr type="ctrY" for="ch" forName="parBigCircle" refType="h" fact="0.5639"/>
              <dgm:constr type="w" for="ch" forName="parBigCircle" refType="w" fact="0.6631"/>
              <dgm:constr type="h" for="ch" forName="parBigCircle" refType="w" refFor="ch" refForName="parBigCircle"/>
              <dgm:constr type="l" for="ch" forName="parTx" fact="0"/>
              <dgm:constr type="t" for="ch" forName="parTx"/>
              <dgm:constr type="w" for="ch" forName="parTx" refType="w" fact="0.7084"/>
              <dgm:constr type="h" for="ch" forName="parTx" refType="h" fact="0.4562"/>
              <dgm:constr type="t" for="ch" forName="bSpace" refType="ctrY" refFor="ch" refForName="parBigCircle"/>
              <dgm:constr type="b" for="ch" forName="bSpace" refType="h"/>
              <dgm:constr type="r" for="ch" forName="bSpace"/>
              <dgm:constr type="w" for="ch" forName="bSpace" val="1"/>
            </dgm:constrLst>
          </dgm:else>
        </dgm:choose>
        <dgm:layoutNode name="parBigCircle" styleLbl="node0">
          <dgm:alg type="sp"/>
          <dgm:shape xmlns:r="http://schemas.openxmlformats.org/officeDocument/2006/relationships" type="donut" r:blip="">
            <dgm:adjLst>
              <dgm:adj idx="1" val="0.2"/>
            </dgm:adjLst>
          </dgm:shape>
          <dgm:presOf/>
          <dgm:constrLst>
            <dgm:constr type="h" refType="w" op="equ"/>
          </dgm:constrLst>
        </dgm:layoutNode>
        <dgm:layoutNode name="parTx" styleLbl="revTx">
          <dgm:choose name="Name8">
            <dgm:if name="Name9" func="var" arg="dir" op="equ" val="norm">
              <dgm:alg type="tx">
                <dgm:param type="autoTxRot" val="grav"/>
                <dgm:param type="parTxLTRAlign" val="l"/>
              </dgm:alg>
              <dgm:shape xmlns:r="http://schemas.openxmlformats.org/officeDocument/2006/relationships" rot="295" type="rect" r:blip="">
                <dgm:adjLst/>
              </dgm:shape>
              <dgm:presOf axis="self" ptType="node"/>
              <dgm:constrLst>
                <dgm:constr type="lMarg" refType="primFontSz" fact="0.2"/>
                <dgm:constr type="rMarg"/>
                <dgm:constr type="tMarg"/>
                <dgm:constr type="bMarg"/>
              </dgm:constrLst>
            </dgm:if>
            <dgm:else name="Name10">
              <dgm:alg type="tx">
                <dgm:param type="autoTxRot" val="grav"/>
                <dgm:param type="parTxLTRAlign" val="r"/>
              </dgm:alg>
              <dgm:shape xmlns:r="http://schemas.openxmlformats.org/officeDocument/2006/relationships" rot="65" type="rect" r:blip="">
                <dgm:adjLst/>
              </dgm:shape>
              <dgm:presOf axis="self" ptType="node"/>
              <dgm:constrLst>
                <dgm:constr type="lMarg"/>
                <dgm:constr type="rMarg" refType="primFontSz" fact="0.2"/>
                <dgm:constr type="tMarg"/>
                <dgm:constr type="bMarg"/>
              </dgm:constrLst>
            </dgm:else>
          </dgm:choose>
          <dgm:ruleLst>
            <dgm:rule type="primFontSz" val="5" fact="NaN" max="NaN"/>
          </dgm:ruleLst>
        </dgm:layoutNode>
        <dgm:layoutNode name="bSpace">
          <dgm:alg type="sp"/>
          <dgm:shape xmlns:r="http://schemas.openxmlformats.org/officeDocument/2006/relationships" r:blip="">
            <dgm:adjLst/>
          </dgm:shape>
          <dgm:presOf/>
        </dgm:layoutNode>
      </dgm:layoutNode>
      <dgm:choose name="Name11">
        <dgm:if name="Name12" func="var" arg="dir" op="equ" val="norm">
          <dgm:layoutNode name="parBackupNorm">
            <dgm:alg type="sp"/>
            <dgm:shape xmlns:r="http://schemas.openxmlformats.org/officeDocument/2006/relationships" r:blip="">
              <dgm:adjLst/>
            </dgm:shape>
            <dgm:presOf/>
          </dgm:layoutNode>
        </dgm:if>
        <dgm:else name="Name13">
          <dgm:layoutNode name="parBackupRTL">
            <dgm:alg type="sp"/>
            <dgm:shape xmlns:r="http://schemas.openxmlformats.org/officeDocument/2006/relationships" r:blip="">
              <dgm:adjLst/>
            </dgm:shape>
            <dgm:presOf/>
          </dgm:layoutNode>
        </dgm:else>
      </dgm:choose>
      <dgm:forEach name="Name14" axis="followSib" ptType="sibTrans" hideLastTrans="0" cnt="1">
        <dgm:layoutNode name="parSpace">
          <dgm:alg type="sp"/>
          <dgm:shape xmlns:r="http://schemas.openxmlformats.org/officeDocument/2006/relationships" r:blip="">
            <dgm:adjLst/>
          </dgm:shape>
          <dgm:presOf/>
        </dgm:layoutNode>
      </dgm:forEach>
      <dgm:forEach name="Name15" axis="ch" ptType="node">
        <dgm:choose name="Name16">
          <dgm:if name="Name17" func="var" arg="dir" op="equ" val="norm">
            <dgm:layoutNode name="desBackupLeftNorm">
              <dgm:alg type="sp"/>
              <dgm:shape xmlns:r="http://schemas.openxmlformats.org/officeDocument/2006/relationships" r:blip="">
                <dgm:adjLst/>
              </dgm:shape>
              <dgm:presOf/>
            </dgm:layoutNode>
          </dgm:if>
          <dgm:else name="Name18">
            <dgm:choose name="Name19">
              <dgm:if name="Name20" axis="self" ptType="node" func="pos" op="equ" val="1">
                <dgm:layoutNode name="desBackupRightRev">
                  <dgm:alg type="sp"/>
                  <dgm:shape xmlns:r="http://schemas.openxmlformats.org/officeDocument/2006/relationships" r:blip="">
                    <dgm:adjLst/>
                  </dgm:shape>
                  <dgm:presOf/>
                </dgm:layoutNode>
              </dgm:if>
              <dgm:else name="Name21"/>
            </dgm:choose>
          </dgm:else>
        </dgm:choose>
        <dgm:layoutNode name="desComposite">
          <dgm:alg type="composite"/>
          <dgm:shape xmlns:r="http://schemas.openxmlformats.org/officeDocument/2006/relationships" r:blip="">
            <dgm:adjLst/>
          </dgm:shape>
          <dgm:choose name="Name22">
            <dgm:if name="Name23" func="var" arg="dir" op="equ" val="norm">
              <dgm:constrLst>
                <dgm:constr type="ctrX" for="ch" forName="desCircle" refType="w" fact="0.5"/>
                <dgm:constr type="ctrY" for="ch" forName="desCircle" refType="h" fact="0.5"/>
                <dgm:constr type="w" for="ch" forName="desCircle" refType="w" fact="0.3249"/>
                <dgm:constr type="h" for="ch" forName="desCircle" refType="w" refFor="ch" refForName="desCircle"/>
                <dgm:constr type="l" for="ch" forName="chTx"/>
                <dgm:constr type="b" for="ch" forName="chTx" refType="h"/>
                <dgm:constr type="w" for="ch" forName="chTx" refType="w" fact="0.5786"/>
                <dgm:constr type="h" for="ch" forName="chTx" refType="h" fact="0.4525"/>
                <dgm:constr type="r" for="ch" forName="desTx" refType="w"/>
                <dgm:constr type="t" for="ch" forName="desTx"/>
                <dgm:constr type="w" for="ch" forName="desTx" refType="w" fact="0.5786"/>
                <dgm:constr type="h" for="ch" forName="desTx" refType="h" fact="0.4525"/>
              </dgm:constrLst>
            </dgm:if>
            <dgm:else name="Name24">
              <dgm:constrLst>
                <dgm:constr type="ctrX" for="ch" forName="desCircle" refType="w" fact="0.5"/>
                <dgm:constr type="ctrY" for="ch" forName="desCircle" refType="h" fact="0.5"/>
                <dgm:constr type="w" for="ch" forName="desCircle" refType="w" fact="0.3249"/>
                <dgm:constr type="h" for="ch" forName="desCircle" refType="w" refFor="ch" refForName="desCircle"/>
                <dgm:constr type="r" for="ch" forName="chTx" refType="w"/>
                <dgm:constr type="b" for="ch" forName="chTx" refType="h"/>
                <dgm:constr type="w" for="ch" forName="chTx" refType="w" fact="0.5786"/>
                <dgm:constr type="h" for="ch" forName="chTx" refType="h" fact="0.4525"/>
                <dgm:constr type="l" for="ch" forName="desTx"/>
                <dgm:constr type="t" for="ch" forName="desTx"/>
                <dgm:constr type="w" for="ch" forName="desTx" refType="w" fact="0.5786"/>
                <dgm:constr type="h" for="ch" forName="desTx" refType="h" fact="0.4525"/>
              </dgm:constrLst>
            </dgm:else>
          </dgm:choose>
          <dgm:layoutNode name="desCircle" styleLbl="node1">
            <dgm:alg type="sp"/>
            <dgm:shape xmlns:r="http://schemas.openxmlformats.org/officeDocument/2006/relationships" type="ellipse" r:blip="">
              <dgm:adjLst/>
            </dgm:shape>
            <dgm:presOf/>
            <dgm:constrLst>
              <dgm:constr type="h" refType="w" op="equ"/>
            </dgm:constrLst>
          </dgm:layoutNode>
          <dgm:layoutNode name="chTx" styleLbl="revTx">
            <dgm:choose name="Name25">
              <dgm:if name="Name26" func="var" arg="dir" op="equ" val="norm">
                <dgm:alg type="tx">
                  <dgm:param type="autoTxRot" val="grav"/>
                  <dgm:param type="parTxLTRAlign" val="r"/>
                  <dgm:param type="txAnchorVert" val="mid"/>
                  <dgm:param type="txAnchorVertCh" val="mid"/>
                </dgm:alg>
                <dgm:shape xmlns:r="http://schemas.openxmlformats.org/officeDocument/2006/relationships" rot="295" type="rect" r:blip="">
                  <dgm:adjLst/>
                </dgm:shape>
                <dgm:presOf axis="self" ptType="node"/>
              </dgm:if>
              <dgm:else name="Name27">
                <dgm:alg type="tx">
                  <dgm:param type="autoTxRot" val="grav"/>
                  <dgm:param type="parTxLTRAlign" val="l"/>
                  <dgm:param type="txAnchorVert" val="mid"/>
                  <dgm:param type="txAnchorVertCh" val="mid"/>
                </dgm:alg>
                <dgm:shape xmlns:r="http://schemas.openxmlformats.org/officeDocument/2006/relationships" rot="65" type="rect" r:blip="">
                  <dgm:adjLst/>
                </dgm:shape>
                <dgm:presOf axis="self" ptType="node"/>
              </dgm:else>
            </dgm:choose>
            <dgm:choose name="Name28">
              <dgm:if name="Name29" func="var" arg="dir" op="equ" val="norm">
                <dgm:constrLst>
                  <dgm:constr type="lMarg"/>
                  <dgm:constr type="rMarg" refType="primFontSz" fact="0.2"/>
                  <dgm:constr type="tMarg"/>
                  <dgm:constr type="bMarg"/>
                </dgm:constrLst>
              </dgm:if>
              <dgm:else name="Name30">
                <dgm:constrLst>
                  <dgm:constr type="rMarg"/>
                  <dgm:constr type="lMarg" refType="primFontSz" fact="0.2"/>
                  <dgm:constr type="tMarg"/>
                  <dgm:constr type="bMarg"/>
                </dgm:constrLst>
              </dgm:else>
            </dgm:choose>
            <dgm:ruleLst>
              <dgm:rule type="primFontSz" val="5" fact="NaN" max="NaN"/>
            </dgm:ruleLst>
          </dgm:layoutNode>
          <dgm:layoutNode name="desTx" styleLbl="revTx">
            <dgm:varLst>
              <dgm:bulletEnabled val="1"/>
            </dgm:varLst>
            <dgm:choose name="Name31">
              <dgm:if name="Name32" func="var" arg="dir" op="equ" val="norm">
                <dgm:alg type="tx">
                  <dgm:param type="autoTxRot" val="grav"/>
                  <dgm:param type="parTxLTRAlign" val="l"/>
                  <dgm:param type="shpTxLTRAlignCh" val="l"/>
                  <dgm:param type="stBulletLvl" val="1"/>
                  <dgm:param type="txAnchorVert" val="mid"/>
                </dgm:alg>
                <dgm:shape xmlns:r="http://schemas.openxmlformats.org/officeDocument/2006/relationships" rot="295" type="rect" r:blip="">
                  <dgm:adjLst/>
                </dgm:shape>
                <dgm:presOf axis="des" ptType="node"/>
              </dgm:if>
              <dgm:else name="Name33">
                <dgm:alg type="tx">
                  <dgm:param type="autoTxRot" val="grav"/>
                  <dgm:param type="parTxLTRAlign" val="r"/>
                  <dgm:param type="shpTxLTRAlignCh" val="r"/>
                  <dgm:param type="stBulletLvl" val="1"/>
                  <dgm:param type="txAnchorVert" val="mid"/>
                </dgm:alg>
                <dgm:shape xmlns:r="http://schemas.openxmlformats.org/officeDocument/2006/relationships" rot="65" type="rect" r:blip="">
                  <dgm:adjLst/>
                </dgm:shape>
                <dgm:presOf axis="des" ptType="node"/>
              </dgm:else>
            </dgm:choose>
            <dgm:choose name="Name34">
              <dgm:if name="Name35" func="var" arg="dir" op="equ" val="norm">
                <dgm:constrLst>
                  <dgm:constr type="rMarg"/>
                  <dgm:constr type="lMarg" refType="primFontSz" fact="0.2"/>
                  <dgm:constr type="tMarg"/>
                  <dgm:constr type="bMarg"/>
                </dgm:constrLst>
              </dgm:if>
              <dgm:else name="Name36">
                <dgm:constrLst>
                  <dgm:constr type="lMarg"/>
                  <dgm:constr type="rMarg" refType="primFontSz" fact="0.2"/>
                  <dgm:constr type="tMarg"/>
                  <dgm:constr type="bMarg"/>
                </dgm:constrLst>
              </dgm:else>
            </dgm:choose>
            <dgm:ruleLst>
              <dgm:rule type="primFontSz" val="5" fact="NaN" max="NaN"/>
            </dgm:ruleLst>
          </dgm:layoutNode>
        </dgm:layoutNode>
        <dgm:layoutNode name="desBackupRightNorm">
          <dgm:alg type="sp"/>
          <dgm:shape xmlns:r="http://schemas.openxmlformats.org/officeDocument/2006/relationships" r:blip="">
            <dgm:adjLst/>
          </dgm:shape>
          <dgm:presOf/>
        </dgm:layoutNode>
        <dgm:choose name="Name37">
          <dgm:if name="Name38" func="var" arg="dir" op="neq" val="norm">
            <dgm:choose name="Name39">
              <dgm:if name="Name40" axis="self" ptType="node" func="revPos" op="neq" val="1">
                <dgm:layoutNode name="desBackupLeftRev">
                  <dgm:alg type="sp"/>
                  <dgm:shape xmlns:r="http://schemas.openxmlformats.org/officeDocument/2006/relationships" r:blip="">
                    <dgm:adjLst/>
                  </dgm:shape>
                  <dgm:presOf/>
                </dgm:layoutNode>
              </dgm:if>
              <dgm:else name="Name41"/>
            </dgm:choose>
          </dgm:if>
          <dgm:else name="Name42"/>
        </dgm:choose>
        <dgm:forEach name="Name43" axis="followSib" ptType="sibTrans" hideLastTrans="0" cnt="1">
          <dgm:layoutNode name="desSpace">
            <dgm:alg type="sp"/>
            <dgm:shape xmlns:r="http://schemas.openxmlformats.org/officeDocument/2006/relationships" r:blip="">
              <dgm:adjLst/>
            </dgm:shape>
            <dgm:presOf/>
          </dgm:layoutNode>
        </dgm:forEach>
      </dgm:forEach>
      <dgm:choose name="Name44">
        <dgm:if name="Name45" func="var" arg="dir" op="neq" val="norm">
          <dgm:layoutNode name="parBackupRev">
            <dgm:alg type="sp"/>
            <dgm:shape xmlns:r="http://schemas.openxmlformats.org/officeDocument/2006/relationships" r:blip="">
              <dgm:adjLst/>
            </dgm:shape>
            <dgm:presOf/>
          </dgm:layoutNode>
        </dgm:if>
        <dgm:else name="Name4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7A2B1-B62F-4062-B296-19A40D80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5882</Words>
  <Characters>33532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Shriner</dc:creator>
  <cp:keywords/>
  <dc:description/>
  <cp:lastModifiedBy>Julia Shriner</cp:lastModifiedBy>
  <cp:revision>2</cp:revision>
  <dcterms:created xsi:type="dcterms:W3CDTF">2021-09-08T11:12:00Z</dcterms:created>
  <dcterms:modified xsi:type="dcterms:W3CDTF">2021-09-08T11:12:00Z</dcterms:modified>
</cp:coreProperties>
</file>