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D550B" w:rsidR="005E0A0F" w:rsidP="005E0A0F" w:rsidRDefault="00F92ACC">
      <w:pPr>
        <w:pStyle w:val="NormalWeb"/>
        <w:spacing w:line="288" w:lineRule="atLeast"/>
        <w:ind w:firstLine="480"/>
        <w:jc w:val="center"/>
        <w:rPr>
          <w:u w:val="single"/>
        </w:rPr>
      </w:pPr>
      <w:bookmarkStart w:name="cs31d" w:id="0"/>
      <w:r w:rsidRPr="00FD550B">
        <w:rPr>
          <w:u w:val="single"/>
        </w:rPr>
        <w:t>SUPPORTING STATEMENT</w:t>
      </w:r>
      <w:r w:rsidRPr="00FD550B" w:rsidR="006F3F40">
        <w:rPr>
          <w:u w:val="single"/>
        </w:rPr>
        <w:t xml:space="preserve"> – PART B</w:t>
      </w:r>
    </w:p>
    <w:p w:rsidRPr="00FD550B" w:rsidR="00A93CBF" w:rsidP="00FD550B" w:rsidRDefault="005E0A0F">
      <w:pPr>
        <w:pStyle w:val="NormalWeb"/>
        <w:spacing w:line="288" w:lineRule="atLeast"/>
        <w:ind w:firstLine="480"/>
      </w:pPr>
      <w:bookmarkStart w:name="cs32" w:id="1"/>
      <w:bookmarkEnd w:id="0"/>
      <w:r w:rsidRPr="00FD550B">
        <w:t xml:space="preserve">B.  </w:t>
      </w:r>
      <w:r w:rsidRPr="00FD550B">
        <w:rPr>
          <w:u w:val="single"/>
        </w:rPr>
        <w:t>COLLECTIONS OF INFORMATION EMPLOYING STATISTICAL METHODS</w:t>
      </w:r>
      <w:bookmarkEnd w:id="1"/>
    </w:p>
    <w:p w:rsidRPr="00FD550B" w:rsidR="005E0A0F" w:rsidP="00FD550B" w:rsidRDefault="005E0A0F">
      <w:pPr>
        <w:pStyle w:val="NormalWeb"/>
        <w:spacing w:line="288" w:lineRule="atLeast"/>
      </w:pPr>
      <w:bookmarkStart w:name="_GoBack" w:id="2"/>
      <w:bookmarkEnd w:id="2"/>
      <w:r w:rsidRPr="00FD550B">
        <w:t xml:space="preserve">1.  </w:t>
      </w:r>
      <w:r w:rsidRPr="00FD550B">
        <w:rPr>
          <w:u w:val="single"/>
        </w:rPr>
        <w:t>Description of the Activity</w:t>
      </w:r>
    </w:p>
    <w:p w:rsidRPr="00FD550B" w:rsidR="006072D3" w:rsidP="00FD550B" w:rsidRDefault="005E0A0F">
      <w:pPr>
        <w:pStyle w:val="NormalWeb"/>
        <w:spacing w:line="288" w:lineRule="atLeast"/>
      </w:pPr>
      <w:r w:rsidRPr="00FD550B">
        <w:t>Describe the potential respondent universe and any sampling or other method used to select respondents.  Data on the number of entities covered in the collection should be provided in tabular form for the universe as a whole and for each of the strata in the proposed sample.  Indicate the expected response rates for the collection as a whole, as well as the actual response rates achieved during the last collection, if previously conducted.</w:t>
      </w:r>
    </w:p>
    <w:p w:rsidRPr="00FD550B" w:rsidR="003C72E8" w:rsidP="00511BDF" w:rsidRDefault="003C72E8">
      <w:r w:rsidRPr="00FD550B">
        <w:t xml:space="preserve">Note that the 2021 Status of the Forces Survey of Reserve Component Members (SOFR) did not field in 2021 </w:t>
      </w:r>
      <w:r w:rsidRPr="00FD550B" w:rsidR="00376D87">
        <w:t xml:space="preserve">due to </w:t>
      </w:r>
      <w:r w:rsidRPr="00FD550B" w:rsidR="00511BDF">
        <w:t>unforeseen</w:t>
      </w:r>
      <w:r w:rsidRPr="00FD550B" w:rsidR="00376D87">
        <w:t xml:space="preserve"> approval</w:t>
      </w:r>
      <w:r w:rsidRPr="00FD550B">
        <w:t xml:space="preserve"> </w:t>
      </w:r>
      <w:r w:rsidRPr="00FD550B" w:rsidR="00376D87">
        <w:t xml:space="preserve">leading </w:t>
      </w:r>
      <w:r w:rsidRPr="00FD550B">
        <w:t xml:space="preserve">to </w:t>
      </w:r>
      <w:r w:rsidRPr="00FD550B" w:rsidR="00376D87">
        <w:t>a short window to field OPA surveys in 2021. Rather than field two surveys to the same population at the same time, it was decided to move the SOFR to 2022.</w:t>
      </w:r>
      <w:r w:rsidRPr="00FD550B">
        <w:t xml:space="preserve">  The SOFR is now </w:t>
      </w:r>
      <w:r w:rsidRPr="00FD550B" w:rsidR="00376D87">
        <w:t>scheduled</w:t>
      </w:r>
      <w:r w:rsidRPr="00FD550B">
        <w:t xml:space="preserve"> to field in June of 2022.  Since the approval of the 2021 SOFR, we have decided to include a paper survey option in addition to the web survey for the 2022 SOFR.  This decision was made based on the increase in response rates for the 2021 Survey of Active Duty Spouses.  We hope that also providing the option of a paper survey will help to increase the response rates of the SOFR. </w:t>
      </w:r>
    </w:p>
    <w:p w:rsidRPr="00FD550B" w:rsidR="00622773" w:rsidP="00FD550B" w:rsidRDefault="006072D3">
      <w:pPr>
        <w:pStyle w:val="NormalWeb"/>
        <w:spacing w:line="288" w:lineRule="atLeast"/>
      </w:pPr>
      <w:r w:rsidRPr="00FD550B">
        <w:lastRenderedPageBreak/>
        <w:t>The population of interest for the 20</w:t>
      </w:r>
      <w:r w:rsidRPr="00FD550B" w:rsidR="00622773">
        <w:t>2</w:t>
      </w:r>
      <w:r w:rsidRPr="00FD550B" w:rsidR="003C72E8">
        <w:t>2</w:t>
      </w:r>
      <w:r w:rsidRPr="00FD550B">
        <w:t xml:space="preserve"> </w:t>
      </w:r>
      <w:r w:rsidRPr="00FD550B" w:rsidR="00BB5493">
        <w:t>SOFR</w:t>
      </w:r>
      <w:r w:rsidRPr="00FD550B">
        <w:t xml:space="preserve"> consist</w:t>
      </w:r>
      <w:r w:rsidRPr="00FD550B" w:rsidR="00D062EC">
        <w:t>s</w:t>
      </w:r>
      <w:r w:rsidRPr="00FD550B" w:rsidR="001C64B9">
        <w:t xml:space="preserve"> of </w:t>
      </w:r>
      <w:r w:rsidRPr="00FD550B" w:rsidR="00985BCF">
        <w:t>members of the Selected Reserve who are below flag rank and in Reserve Unit, Active Guard/Reserve (AGR/FTS/AR;  Title 10 and Title 32), and Individual Mobilization Augmentee (IMA) programs from the Army National Guard (ARNG), U.S. Army Reserve (USAR), U.S. Navy Reserve (USNR), U.S. Marine Corps Reserve (USMCR), Air National Guard (ANG), U.S. Air Force Reserve (USAFR), and U.S. Coast Guard Reserve (USCGR).</w:t>
      </w:r>
      <w:r w:rsidRPr="00FD550B">
        <w:t xml:space="preserve"> </w:t>
      </w:r>
      <w:r w:rsidRPr="00FD550B" w:rsidR="00622773">
        <w:t xml:space="preserve"> </w:t>
      </w:r>
      <w:r w:rsidRPr="00FD550B">
        <w:t xml:space="preserve">In addition, for the </w:t>
      </w:r>
      <w:r w:rsidRPr="00FD550B" w:rsidR="00BB5493">
        <w:t xml:space="preserve">member </w:t>
      </w:r>
      <w:r w:rsidRPr="00FD550B">
        <w:t>to remain eligible for the survey</w:t>
      </w:r>
      <w:r w:rsidRPr="00FD550B" w:rsidR="001C64B9">
        <w:t>,</w:t>
      </w:r>
      <w:r w:rsidRPr="00FD550B">
        <w:t xml:space="preserve"> they must indicate they </w:t>
      </w:r>
      <w:r w:rsidRPr="00FD550B" w:rsidR="00622773">
        <w:t>a</w:t>
      </w:r>
      <w:r w:rsidRPr="00FD550B">
        <w:t>re a</w:t>
      </w:r>
      <w:r w:rsidRPr="00FD550B" w:rsidR="00985BCF">
        <w:t xml:space="preserve"> Selected Reserve</w:t>
      </w:r>
      <w:r w:rsidRPr="00FD550B">
        <w:t xml:space="preserve"> member</w:t>
      </w:r>
      <w:r w:rsidRPr="00FD550B" w:rsidR="00622773">
        <w:t xml:space="preserve"> at the time of the survey</w:t>
      </w:r>
      <w:r w:rsidRPr="00FD550B" w:rsidR="00896772">
        <w:t xml:space="preserve">.  OPA uses a sampling tool developed by the Research Triangle Institute (RTI) to determine </w:t>
      </w:r>
      <w:r w:rsidRPr="00FD550B" w:rsidR="001C64B9">
        <w:t xml:space="preserve">the </w:t>
      </w:r>
      <w:r w:rsidRPr="00FD550B" w:rsidR="00896772">
        <w:t xml:space="preserve">sample size needed to achieve 95% confidence and an associated precision of 5% or less on each reporting domain.  </w:t>
      </w:r>
      <w:r w:rsidRPr="00FD550B" w:rsidR="001C64B9">
        <w:t>We</w:t>
      </w:r>
      <w:r w:rsidRPr="00FD550B" w:rsidR="00896772">
        <w:t xml:space="preserve"> </w:t>
      </w:r>
      <w:r w:rsidRPr="00FD550B" w:rsidR="001C64B9">
        <w:t>select a</w:t>
      </w:r>
      <w:r w:rsidRPr="00FD550B">
        <w:t xml:space="preserve"> single-stage, non-proportional stratified random sampl</w:t>
      </w:r>
      <w:r w:rsidRPr="00FD550B" w:rsidR="001C64B9">
        <w:t>e</w:t>
      </w:r>
      <w:r w:rsidRPr="00FD550B">
        <w:t xml:space="preserve"> to ensure statist</w:t>
      </w:r>
      <w:r w:rsidRPr="00FD550B" w:rsidR="00985BCF">
        <w:t>ic</w:t>
      </w:r>
      <w:r w:rsidRPr="00FD550B">
        <w:t xml:space="preserve">ally adequate expected number of responses for the reporting </w:t>
      </w:r>
      <w:r w:rsidRPr="00FD550B" w:rsidR="001227E7">
        <w:t xml:space="preserve">categories (i.e., </w:t>
      </w:r>
      <w:r w:rsidRPr="00FD550B" w:rsidR="00622773">
        <w:t>domains</w:t>
      </w:r>
      <w:r w:rsidRPr="00FD550B" w:rsidR="001227E7">
        <w:t>)</w:t>
      </w:r>
      <w:r w:rsidRPr="00FD550B">
        <w:t>.</w:t>
      </w:r>
      <w:r w:rsidRPr="00FD550B" w:rsidR="00622773">
        <w:t xml:space="preserve"> </w:t>
      </w:r>
      <w:r w:rsidRPr="00FD550B">
        <w:t xml:space="preserve"> Fo</w:t>
      </w:r>
      <w:r w:rsidRPr="00FD550B" w:rsidR="00622773">
        <w:t xml:space="preserve">r </w:t>
      </w:r>
      <w:r w:rsidRPr="00FD550B" w:rsidR="00985BCF">
        <w:t>SOFR</w:t>
      </w:r>
      <w:r w:rsidRPr="00FD550B">
        <w:t>, OPA use</w:t>
      </w:r>
      <w:r w:rsidRPr="00FD550B" w:rsidR="00D062EC">
        <w:t>s</w:t>
      </w:r>
      <w:r w:rsidRPr="00FD550B">
        <w:t xml:space="preserve"> </w:t>
      </w:r>
      <w:r w:rsidRPr="00FD550B" w:rsidR="00985BCF">
        <w:t>Reserve component, paygrade, Reserve program,</w:t>
      </w:r>
      <w:r w:rsidRPr="00FD550B">
        <w:t xml:space="preserve"> </w:t>
      </w:r>
      <w:r w:rsidRPr="00FD550B" w:rsidR="00622773">
        <w:t xml:space="preserve">gender, </w:t>
      </w:r>
      <w:r w:rsidRPr="00FD550B">
        <w:t xml:space="preserve">and family status to define the </w:t>
      </w:r>
      <w:r w:rsidRPr="00FD550B" w:rsidR="00622773">
        <w:t xml:space="preserve">initial </w:t>
      </w:r>
      <w:r w:rsidRPr="00FD550B">
        <w:t xml:space="preserve">strata.  </w:t>
      </w:r>
      <w:r w:rsidRPr="00FD550B" w:rsidR="001C64B9">
        <w:t>We collapse t</w:t>
      </w:r>
      <w:r w:rsidRPr="00FD550B" w:rsidR="00622773">
        <w:t>hese st</w:t>
      </w:r>
      <w:r w:rsidRPr="00FD550B" w:rsidR="00985BCF">
        <w:t>rata when there are fewer than 3</w:t>
      </w:r>
      <w:r w:rsidRPr="00FD550B" w:rsidR="00622773">
        <w:t>00 i</w:t>
      </w:r>
      <w:r w:rsidRPr="00FD550B" w:rsidR="00D062EC">
        <w:t>ndividuals in the stratum</w:t>
      </w:r>
      <w:r w:rsidRPr="00FD550B" w:rsidR="001C64B9">
        <w:t xml:space="preserve"> and there are </w:t>
      </w:r>
      <w:r w:rsidRPr="00FD550B" w:rsidR="00985BCF">
        <w:t>291</w:t>
      </w:r>
      <w:r w:rsidRPr="00FD550B" w:rsidR="00D062EC">
        <w:t xml:space="preserve"> final strata.</w:t>
      </w:r>
      <w:r w:rsidRPr="00FD550B" w:rsidR="00801D6C">
        <w:t xml:space="preserve">  </w:t>
      </w:r>
      <w:r w:rsidRPr="00FD550B" w:rsidR="00622773">
        <w:t xml:space="preserve">Attachment A contains </w:t>
      </w:r>
      <w:r w:rsidRPr="00FD550B" w:rsidR="00D062EC">
        <w:t xml:space="preserve">a table with </w:t>
      </w:r>
      <w:r w:rsidRPr="00FD550B" w:rsidR="00622773">
        <w:t xml:space="preserve">the </w:t>
      </w:r>
      <w:r w:rsidRPr="00FD550B" w:rsidR="00D062EC">
        <w:t xml:space="preserve">number of individuals in the population and sample by strata.  The expected weighted response </w:t>
      </w:r>
      <w:r w:rsidRPr="00FD550B" w:rsidR="00D15338">
        <w:t>rate for this survey is about 15</w:t>
      </w:r>
      <w:r w:rsidRPr="00FD550B" w:rsidR="00D062EC">
        <w:t>%</w:t>
      </w:r>
      <w:r w:rsidRPr="00FD550B" w:rsidR="00557BB5">
        <w:t>.</w:t>
      </w:r>
      <w:r w:rsidRPr="00FD550B" w:rsidR="00D15338">
        <w:t xml:space="preserve">  We plan to use paper surveys in 2022 and look into using text messages but are unable to implement these techniques this year.</w:t>
      </w:r>
    </w:p>
    <w:p w:rsidRPr="00FD550B" w:rsidR="005E0A0F" w:rsidP="00FD550B" w:rsidRDefault="005E0A0F">
      <w:pPr>
        <w:pStyle w:val="NormalWeb"/>
        <w:spacing w:line="288" w:lineRule="atLeast"/>
      </w:pPr>
      <w:r w:rsidRPr="00FD550B">
        <w:t xml:space="preserve">2.  </w:t>
      </w:r>
      <w:r w:rsidRPr="00FD550B">
        <w:rPr>
          <w:u w:val="single"/>
        </w:rPr>
        <w:t>Procedures for the Collection of Information</w:t>
      </w:r>
    </w:p>
    <w:p w:rsidRPr="00FD550B" w:rsidR="005E0A0F" w:rsidP="00FD550B" w:rsidRDefault="005E0A0F">
      <w:pPr>
        <w:pStyle w:val="NormalWeb"/>
        <w:spacing w:line="288" w:lineRule="atLeast"/>
      </w:pPr>
      <w:r w:rsidRPr="00FD550B">
        <w:t>Describe any of the following if they are used in the collection of information:</w:t>
      </w:r>
    </w:p>
    <w:p w:rsidRPr="00FD550B" w:rsidR="005E0A0F" w:rsidP="00FD550B" w:rsidRDefault="005E0A0F">
      <w:pPr>
        <w:pStyle w:val="NormalWeb"/>
        <w:spacing w:line="288" w:lineRule="atLeast"/>
      </w:pPr>
      <w:r w:rsidRPr="00FD550B">
        <w:t>a.  Statistical methodologies for stratification and sample selection;</w:t>
      </w:r>
    </w:p>
    <w:p w:rsidRPr="00FD550B" w:rsidR="0080031C" w:rsidP="00FD550B" w:rsidRDefault="00896772">
      <w:pPr>
        <w:pStyle w:val="NormalWeb"/>
        <w:spacing w:line="288" w:lineRule="atLeast"/>
      </w:pPr>
      <w:r w:rsidRPr="00FD550B">
        <w:t xml:space="preserve">As described above, </w:t>
      </w:r>
      <w:r w:rsidRPr="00FD550B" w:rsidR="00C01B27">
        <w:t xml:space="preserve">OPA uses a sampling tool developed by the Research Triangle Institute (RTI) to determine the </w:t>
      </w:r>
      <w:r w:rsidRPr="00FD550B" w:rsidR="00C01B27">
        <w:lastRenderedPageBreak/>
        <w:t xml:space="preserve">sample size needed to achieve 95% confidence and an associated precision of 5% or less on each reporting </w:t>
      </w:r>
      <w:r w:rsidRPr="00FD550B" w:rsidR="001227E7">
        <w:t xml:space="preserve">category </w:t>
      </w:r>
      <w:r w:rsidRPr="00FD550B" w:rsidR="00C01B27">
        <w:t>domain.  We</w:t>
      </w:r>
      <w:r w:rsidRPr="00FD550B" w:rsidR="0080031C">
        <w:t xml:space="preserve"> </w:t>
      </w:r>
      <w:r w:rsidRPr="00FD550B" w:rsidR="001C64B9">
        <w:t xml:space="preserve">select a </w:t>
      </w:r>
      <w:r w:rsidRPr="00FD550B" w:rsidR="0080031C">
        <w:t>single-stage, non-proportional stratified random sampl</w:t>
      </w:r>
      <w:r w:rsidRPr="00FD550B" w:rsidR="001C64B9">
        <w:t>e</w:t>
      </w:r>
      <w:r w:rsidRPr="00FD550B" w:rsidR="0080031C">
        <w:t xml:space="preserve"> to ensure statistically adequate expected number of responses for the reporting domains.  For </w:t>
      </w:r>
      <w:r w:rsidRPr="00FD550B" w:rsidR="00557BB5">
        <w:t xml:space="preserve">SOFR, </w:t>
      </w:r>
      <w:r w:rsidRPr="00FD550B" w:rsidR="0080031C">
        <w:t xml:space="preserve">OPA uses </w:t>
      </w:r>
      <w:r w:rsidRPr="00FD550B" w:rsidR="00557BB5">
        <w:t xml:space="preserve">Reserve component, paygrade, Reserve program, gender, and family status to define the initial strata.  </w:t>
      </w:r>
      <w:r w:rsidRPr="00FD550B" w:rsidR="001C64B9">
        <w:t>We collapse t</w:t>
      </w:r>
      <w:r w:rsidRPr="00FD550B" w:rsidR="0080031C">
        <w:t xml:space="preserve">hese strata when there are fewer than </w:t>
      </w:r>
      <w:r w:rsidRPr="00FD550B" w:rsidR="00557BB5">
        <w:t>3</w:t>
      </w:r>
      <w:r w:rsidRPr="00FD550B" w:rsidR="0080031C">
        <w:t xml:space="preserve">00 individuals in the stratum.  </w:t>
      </w:r>
      <w:r w:rsidRPr="00FD550B">
        <w:t>Once OPA determines the stratum-level sample sizes, a</w:t>
      </w:r>
      <w:r w:rsidRPr="00FD550B" w:rsidR="0080031C">
        <w:t xml:space="preserve"> random number </w:t>
      </w:r>
      <w:r w:rsidRPr="00FD550B">
        <w:t>is</w:t>
      </w:r>
      <w:r w:rsidRPr="00FD550B" w:rsidR="0080031C">
        <w:t xml:space="preserve"> assigned t</w:t>
      </w:r>
      <w:r w:rsidRPr="00FD550B">
        <w:t>o every member of the population and t</w:t>
      </w:r>
      <w:r w:rsidRPr="00FD550B" w:rsidR="0080031C">
        <w:t xml:space="preserve">he population </w:t>
      </w:r>
      <w:r w:rsidRPr="00FD550B">
        <w:t xml:space="preserve">is </w:t>
      </w:r>
      <w:r w:rsidRPr="00FD550B" w:rsidR="0080031C">
        <w:t>sorted by stratum and random number prior to s</w:t>
      </w:r>
      <w:r w:rsidRPr="00FD550B">
        <w:t xml:space="preserve">ampling, which results in </w:t>
      </w:r>
      <w:r w:rsidRPr="00FD550B" w:rsidR="00C01B27">
        <w:t>a randomly-ordered</w:t>
      </w:r>
      <w:r w:rsidRPr="00FD550B" w:rsidR="0080031C">
        <w:t xml:space="preserve"> population within </w:t>
      </w:r>
      <w:r w:rsidRPr="00FD550B">
        <w:t xml:space="preserve">each </w:t>
      </w:r>
      <w:r w:rsidRPr="00FD550B" w:rsidR="0080031C">
        <w:t xml:space="preserve">stratum.  </w:t>
      </w:r>
      <w:r w:rsidRPr="00FD550B" w:rsidR="00C01B27">
        <w:t>We then select t</w:t>
      </w:r>
      <w:r w:rsidRPr="00FD550B" w:rsidR="0080031C">
        <w:t xml:space="preserve">he appropriate number of </w:t>
      </w:r>
      <w:r w:rsidRPr="00FD550B" w:rsidR="008A1375">
        <w:t>Reservists</w:t>
      </w:r>
      <w:r w:rsidRPr="00FD550B" w:rsidR="0080031C">
        <w:t xml:space="preserve"> from each stratum.</w:t>
      </w:r>
    </w:p>
    <w:p w:rsidRPr="00FD550B" w:rsidR="00896772" w:rsidP="00FD550B" w:rsidRDefault="005E0A0F">
      <w:pPr>
        <w:pStyle w:val="NormalWeb"/>
        <w:spacing w:line="288" w:lineRule="atLeast"/>
      </w:pPr>
      <w:r w:rsidRPr="00FD550B">
        <w:t>b.  Estimation procedures;</w:t>
      </w:r>
    </w:p>
    <w:p w:rsidRPr="00FD550B" w:rsidR="00896772" w:rsidP="00FD550B" w:rsidRDefault="001227E7">
      <w:pPr>
        <w:pStyle w:val="NormalWeb"/>
        <w:spacing w:line="288" w:lineRule="atLeast"/>
      </w:pPr>
      <w:r w:rsidRPr="00FD550B">
        <w:t>OPA weights t</w:t>
      </w:r>
      <w:r w:rsidRPr="00FD550B" w:rsidR="00896772">
        <w:t xml:space="preserve">he eligible respondents in order to make inferences about the entire population of </w:t>
      </w:r>
      <w:r w:rsidRPr="00FD550B" w:rsidR="00557BB5">
        <w:t>Reserve component members</w:t>
      </w:r>
      <w:r w:rsidRPr="00FD550B" w:rsidR="00896772">
        <w:t>.  The weighting methodology utilizes standard weighting processes.  First, we assign a base weight to the sampled member based on the reciprocal of the selection probability.  Second,</w:t>
      </w:r>
      <w:r w:rsidRPr="00FD550B" w:rsidR="0080370E">
        <w:t xml:space="preserve"> OPA uses</w:t>
      </w:r>
      <w:r w:rsidRPr="00FD550B" w:rsidR="00D8703A">
        <w:t xml:space="preserve"> 20-30 administrative variables in</w:t>
      </w:r>
      <w:r w:rsidRPr="00FD550B" w:rsidR="00896772">
        <w:t xml:space="preserve"> </w:t>
      </w:r>
      <w:r w:rsidRPr="00FD550B" w:rsidR="00D8703A">
        <w:t xml:space="preserve">the XGBoost application of </w:t>
      </w:r>
      <w:r w:rsidRPr="00FD550B" w:rsidR="00896772">
        <w:t xml:space="preserve">Generalized Boosted Model (GBM) to </w:t>
      </w:r>
      <w:r w:rsidRPr="00FD550B" w:rsidR="0080370E">
        <w:t xml:space="preserve">predict </w:t>
      </w:r>
      <w:r w:rsidRPr="00FD550B" w:rsidR="00687AE6">
        <w:t xml:space="preserve">survey eligibility and </w:t>
      </w:r>
      <w:r w:rsidRPr="00FD550B" w:rsidR="00D8703A">
        <w:t xml:space="preserve">completion.  OPA’s accurate and detailed administrative data on both survey respondents and nonrespondents provides confidence in our survey estimates.  We </w:t>
      </w:r>
      <w:r w:rsidRPr="00FD550B" w:rsidR="0080370E">
        <w:t xml:space="preserve">adjust the </w:t>
      </w:r>
      <w:r w:rsidRPr="00FD550B" w:rsidR="00D8703A">
        <w:t xml:space="preserve">sampling weights and then all </w:t>
      </w:r>
      <w:r w:rsidRPr="00FD550B" w:rsidR="0080370E">
        <w:t>prior</w:t>
      </w:r>
      <w:r w:rsidRPr="00FD550B" w:rsidR="00D8703A">
        <w:t>-stage</w:t>
      </w:r>
      <w:r w:rsidRPr="00FD550B" w:rsidR="0080370E">
        <w:t xml:space="preserve"> weights by the inverse of these model-predicted probabilities to </w:t>
      </w:r>
      <w:r w:rsidRPr="00FD550B" w:rsidR="00896772">
        <w:t xml:space="preserve">adjust for nonresponse. </w:t>
      </w:r>
      <w:r w:rsidRPr="00FD550B" w:rsidR="00C36EA2">
        <w:t xml:space="preserve"> </w:t>
      </w:r>
      <w:r w:rsidRPr="00FD550B" w:rsidR="00896772">
        <w:t xml:space="preserve">Finally, </w:t>
      </w:r>
      <w:r w:rsidRPr="00FD550B" w:rsidR="00C36EA2">
        <w:t xml:space="preserve">we rake </w:t>
      </w:r>
      <w:r w:rsidRPr="00FD550B" w:rsidR="00896772">
        <w:t>the</w:t>
      </w:r>
      <w:r w:rsidRPr="00FD550B">
        <w:t>se adjusted</w:t>
      </w:r>
      <w:r w:rsidRPr="00FD550B" w:rsidR="00896772">
        <w:t xml:space="preserve"> weights to known population totals to </w:t>
      </w:r>
      <w:r w:rsidRPr="00FD550B" w:rsidR="0080370E">
        <w:t xml:space="preserve">further </w:t>
      </w:r>
      <w:r w:rsidRPr="00FD550B" w:rsidR="00896772">
        <w:t xml:space="preserve">reduce </w:t>
      </w:r>
      <w:r w:rsidRPr="00FD550B" w:rsidR="0080370E">
        <w:t xml:space="preserve">the variance and </w:t>
      </w:r>
      <w:r w:rsidRPr="00FD550B" w:rsidR="00896772">
        <w:t>bias</w:t>
      </w:r>
      <w:r w:rsidRPr="00FD550B" w:rsidR="0080370E">
        <w:t xml:space="preserve"> of</w:t>
      </w:r>
      <w:r w:rsidRPr="00FD550B" w:rsidR="00896772">
        <w:t xml:space="preserve"> the estimates.</w:t>
      </w:r>
    </w:p>
    <w:p w:rsidRPr="00FD550B" w:rsidR="005E0A0F" w:rsidP="00FD550B" w:rsidRDefault="005E0A0F">
      <w:pPr>
        <w:pStyle w:val="NormalWeb"/>
        <w:spacing w:line="288" w:lineRule="atLeast"/>
      </w:pPr>
      <w:r w:rsidRPr="00FD550B">
        <w:t>c.  Degree of accuracy needed for the Purpose discussed in the justification;</w:t>
      </w:r>
    </w:p>
    <w:p w:rsidRPr="00FD550B" w:rsidR="00E5182A" w:rsidP="00FD550B" w:rsidRDefault="00E5182A">
      <w:pPr>
        <w:pStyle w:val="NormalWeb"/>
        <w:spacing w:line="288" w:lineRule="atLeast"/>
      </w:pPr>
      <w:r w:rsidRPr="00FD550B">
        <w:t xml:space="preserve">OPA creates variance strata so precision measures can be associated with each estimate.  We produce precision </w:t>
      </w:r>
      <w:r w:rsidRPr="00FD550B">
        <w:lastRenderedPageBreak/>
        <w:t>measures for reporting categories using 95% confidence intervals with the goal of achi</w:t>
      </w:r>
      <w:r w:rsidRPr="00FD550B" w:rsidR="0080370E">
        <w:t xml:space="preserve">eving a precision of 5% or less (e.g, 80% (+/- 5%) of </w:t>
      </w:r>
      <w:r w:rsidRPr="00FD550B" w:rsidR="006907AD">
        <w:t>Army National Guard</w:t>
      </w:r>
      <w:r w:rsidRPr="00FD550B" w:rsidR="0080370E">
        <w:t xml:space="preserve"> E1-E4 are satisfied with their job).</w:t>
      </w:r>
    </w:p>
    <w:p w:rsidRPr="00FD550B" w:rsidR="005E0A0F" w:rsidP="00FD550B" w:rsidRDefault="005E0A0F">
      <w:pPr>
        <w:pStyle w:val="NormalWeb"/>
        <w:spacing w:line="288" w:lineRule="atLeast"/>
      </w:pPr>
      <w:r w:rsidRPr="00FD550B">
        <w:t>d.  Unusual problems requiring specialized sampling procedures; and</w:t>
      </w:r>
    </w:p>
    <w:p w:rsidRPr="00FD550B" w:rsidR="00E5182A" w:rsidP="00FD550B" w:rsidRDefault="00E5182A">
      <w:pPr>
        <w:pStyle w:val="NormalWeb"/>
        <w:spacing w:line="288" w:lineRule="atLeast"/>
      </w:pPr>
      <w:r w:rsidRPr="00FD550B">
        <w:t xml:space="preserve">OPA </w:t>
      </w:r>
      <w:r w:rsidRPr="00FD550B" w:rsidR="002A4B5F">
        <w:t xml:space="preserve">recognizes the response rates vary for certain domains of interest such as </w:t>
      </w:r>
      <w:r w:rsidRPr="00FD550B" w:rsidR="006907AD">
        <w:t>Reserve component</w:t>
      </w:r>
      <w:r w:rsidRPr="00FD550B" w:rsidR="002A4B5F">
        <w:t xml:space="preserve"> and paygrade.  </w:t>
      </w:r>
      <w:r w:rsidRPr="00FD550B" w:rsidR="00CB4582">
        <w:t>To account for this, w</w:t>
      </w:r>
      <w:r w:rsidRPr="00FD550B" w:rsidR="002A4B5F">
        <w:t xml:space="preserve">e average the response rates for the </w:t>
      </w:r>
      <w:r w:rsidRPr="00FD550B" w:rsidR="00CB4582">
        <w:t>previous</w:t>
      </w:r>
      <w:r w:rsidRPr="00FD550B" w:rsidR="002A4B5F">
        <w:t xml:space="preserve"> three surveys at the stratum level and these response rates are utilized by the </w:t>
      </w:r>
      <w:r w:rsidRPr="00FD550B">
        <w:t>sampling tool</w:t>
      </w:r>
      <w:r w:rsidRPr="00FD550B" w:rsidR="002A4B5F">
        <w:t xml:space="preserve"> to </w:t>
      </w:r>
      <w:r w:rsidRPr="00FD550B" w:rsidR="00CB4582">
        <w:t xml:space="preserve">adjust the sample and compute expected </w:t>
      </w:r>
      <w:r w:rsidRPr="00FD550B" w:rsidR="002A4B5F">
        <w:t>sample size</w:t>
      </w:r>
      <w:r w:rsidRPr="00FD550B" w:rsidR="00CB4582">
        <w:t>s.</w:t>
      </w:r>
    </w:p>
    <w:p w:rsidRPr="00FD550B" w:rsidR="00FD6CD2" w:rsidP="00FD550B" w:rsidRDefault="005E0A0F">
      <w:pPr>
        <w:pStyle w:val="NormalWeb"/>
        <w:spacing w:line="288" w:lineRule="atLeast"/>
      </w:pPr>
      <w:r w:rsidRPr="00FD550B">
        <w:t>e.  Use of periodic or cyclical data collections to reduce respondent burden.</w:t>
      </w:r>
    </w:p>
    <w:p w:rsidRPr="00FD550B" w:rsidR="00FD6CD2" w:rsidP="00FD550B" w:rsidRDefault="008A1375">
      <w:pPr>
        <w:pStyle w:val="NormalWeb"/>
        <w:spacing w:line="288" w:lineRule="atLeast"/>
      </w:pPr>
      <w:r w:rsidRPr="00FD550B">
        <w:rPr>
          <w:rFonts w:eastAsia="Arial"/>
        </w:rPr>
        <w:t xml:space="preserve">To reduce burden on </w:t>
      </w:r>
      <w:r w:rsidRPr="00FD550B" w:rsidR="00F853C7">
        <w:rPr>
          <w:rFonts w:eastAsia="Arial"/>
        </w:rPr>
        <w:t>Reservist</w:t>
      </w:r>
      <w:r w:rsidRPr="00FD550B">
        <w:rPr>
          <w:rFonts w:eastAsia="Arial"/>
        </w:rPr>
        <w:t xml:space="preserve"> members</w:t>
      </w:r>
      <w:r w:rsidRPr="00FD550B" w:rsidR="00F853C7">
        <w:rPr>
          <w:rFonts w:eastAsia="Arial"/>
        </w:rPr>
        <w:t>,</w:t>
      </w:r>
      <w:r w:rsidRPr="00FD550B">
        <w:rPr>
          <w:rFonts w:eastAsia="Arial"/>
        </w:rPr>
        <w:t xml:space="preserve"> </w:t>
      </w:r>
      <w:r w:rsidRPr="00FD550B" w:rsidR="00FD6CD2">
        <w:rPr>
          <w:rFonts w:eastAsia="Arial"/>
        </w:rPr>
        <w:t xml:space="preserve">OPA </w:t>
      </w:r>
      <w:r w:rsidRPr="00FD550B" w:rsidR="00EA4CFD">
        <w:rPr>
          <w:rFonts w:eastAsia="Arial"/>
        </w:rPr>
        <w:t xml:space="preserve">conducts the </w:t>
      </w:r>
      <w:r w:rsidRPr="00FD550B" w:rsidR="00BB5493">
        <w:rPr>
          <w:rFonts w:eastAsia="Arial"/>
        </w:rPr>
        <w:t>SOFR</w:t>
      </w:r>
      <w:r w:rsidRPr="00FD550B">
        <w:rPr>
          <w:rFonts w:eastAsia="Arial"/>
        </w:rPr>
        <w:t xml:space="preserve"> survey annually</w:t>
      </w:r>
      <w:r w:rsidRPr="00FD550B" w:rsidR="006907AD">
        <w:rPr>
          <w:rFonts w:eastAsia="Arial"/>
        </w:rPr>
        <w:t>,</w:t>
      </w:r>
      <w:r w:rsidRPr="00FD550B">
        <w:rPr>
          <w:rFonts w:eastAsia="Arial"/>
        </w:rPr>
        <w:t xml:space="preserve"> whereas in the past it was conducted twice per year.</w:t>
      </w:r>
    </w:p>
    <w:p w:rsidRPr="00FD550B" w:rsidR="00FD6CD2" w:rsidP="005E0A0F" w:rsidRDefault="00FD6CD2">
      <w:pPr>
        <w:pStyle w:val="NormalWeb"/>
        <w:spacing w:line="288" w:lineRule="atLeast"/>
        <w:ind w:firstLine="1260"/>
      </w:pPr>
    </w:p>
    <w:p w:rsidRPr="00FD550B" w:rsidR="005E0A0F" w:rsidP="00FD550B" w:rsidRDefault="005E0A0F">
      <w:pPr>
        <w:pStyle w:val="NormalWeb"/>
        <w:spacing w:line="288" w:lineRule="atLeast"/>
      </w:pPr>
      <w:r w:rsidRPr="00FD550B">
        <w:t xml:space="preserve">3.  </w:t>
      </w:r>
      <w:r w:rsidRPr="00FD550B">
        <w:rPr>
          <w:u w:val="single"/>
        </w:rPr>
        <w:t>Maximization of Response Rates, Non-response, and Reliability</w:t>
      </w:r>
    </w:p>
    <w:p w:rsidRPr="00FD550B" w:rsidR="005E0A0F" w:rsidP="00FD550B" w:rsidRDefault="005E0A0F">
      <w:pPr>
        <w:pStyle w:val="NormalWeb"/>
        <w:spacing w:line="288" w:lineRule="atLeast"/>
      </w:pPr>
      <w:r w:rsidRPr="00FD550B">
        <w:t>Discuss methods used to maximize response rates and to deal with instances of non-response.  Describe any techniques used to ensure the accuracy and reliability of responses is adequate for intended purposes.  Additionally, if the collection is based on sampling, ensure that the data can be generalized to the universe under study.  If not, provide special justification.</w:t>
      </w:r>
    </w:p>
    <w:p w:rsidRPr="00FD550B" w:rsidR="006F3F40" w:rsidP="00FD550B" w:rsidRDefault="00EA4CFD">
      <w:pPr>
        <w:pStyle w:val="NormalWeb"/>
        <w:spacing w:line="288" w:lineRule="atLeast"/>
      </w:pPr>
      <w:r w:rsidRPr="00FD550B">
        <w:rPr>
          <w:rFonts w:eastAsia="Arial"/>
        </w:rPr>
        <w:t xml:space="preserve">To maximize response rates, OPA offers </w:t>
      </w:r>
      <w:r w:rsidRPr="00FD550B">
        <w:t xml:space="preserve">the survey via the Web </w:t>
      </w:r>
      <w:r w:rsidRPr="00FD550B" w:rsidR="003C72E8">
        <w:t>as well as a paper survey option.  R</w:t>
      </w:r>
      <w:r w:rsidRPr="00FD550B" w:rsidR="00CC4C75">
        <w:t xml:space="preserve">eminder letters and </w:t>
      </w:r>
      <w:r w:rsidRPr="00FD550B" w:rsidR="002A1C85">
        <w:t xml:space="preserve">emails to </w:t>
      </w:r>
      <w:r w:rsidRPr="00FD550B" w:rsidR="003C72E8">
        <w:t xml:space="preserve">non-respondents are used to </w:t>
      </w:r>
      <w:r w:rsidRPr="00FD550B" w:rsidR="002A1C85">
        <w:t xml:space="preserve">maximize response </w:t>
      </w:r>
      <w:r w:rsidRPr="00FD550B" w:rsidR="002A1C85">
        <w:lastRenderedPageBreak/>
        <w:t xml:space="preserve">rates. </w:t>
      </w:r>
      <w:r w:rsidRPr="00FD550B" w:rsidR="00D15338">
        <w:t xml:space="preserve">QR codes will also be included on the postal letters.  </w:t>
      </w:r>
      <w:r w:rsidRPr="00FD550B">
        <w:t xml:space="preserve">To reduce respondent burden, web-based surveys use “smart skip” technology to ensure respondents only answer questions that are applicable to them.  To deal with instances of nonresponse, OPA adjusts for nonresponse in the weighting methodology.  To ensure the accuracy and reliability of responses, OPA conducts a nonresponse bias </w:t>
      </w:r>
      <w:r w:rsidRPr="00FD550B" w:rsidR="008A1375">
        <w:t xml:space="preserve">(NRB) </w:t>
      </w:r>
      <w:r w:rsidRPr="00FD550B">
        <w:t>analysis ev</w:t>
      </w:r>
      <w:r w:rsidRPr="00FD550B" w:rsidR="001176B0">
        <w:t xml:space="preserve">ery </w:t>
      </w:r>
      <w:r w:rsidRPr="00FD550B" w:rsidR="00CC4C75">
        <w:t>third</w:t>
      </w:r>
      <w:r w:rsidRPr="00FD550B" w:rsidR="001176B0">
        <w:t xml:space="preserve"> survey cycle</w:t>
      </w:r>
      <w:r w:rsidRPr="00FD550B" w:rsidR="002A1C85">
        <w:t xml:space="preserve"> and will conduct one </w:t>
      </w:r>
      <w:r w:rsidRPr="00FD550B" w:rsidR="00CC4C75">
        <w:t>in 202</w:t>
      </w:r>
      <w:r w:rsidRPr="00FD550B" w:rsidR="003C72E8">
        <w:t>3</w:t>
      </w:r>
      <w:r w:rsidRPr="00FD550B" w:rsidR="00CC4C75">
        <w:t xml:space="preserve">.  </w:t>
      </w:r>
      <w:r w:rsidRPr="00FD550B" w:rsidR="008A1375">
        <w:t xml:space="preserve">Historically OPA has found little evidence of significant NRB during these studies. </w:t>
      </w:r>
      <w:r w:rsidRPr="00FD550B" w:rsidR="001176B0">
        <w:t xml:space="preserve">OPA </w:t>
      </w:r>
      <w:r w:rsidRPr="00FD550B" w:rsidR="00D8703A">
        <w:t xml:space="preserve">uses probability sampling and appropriate </w:t>
      </w:r>
      <w:r w:rsidRPr="00FD550B" w:rsidR="001176B0">
        <w:t>weighting to ensure the survey data can be generalized to the universe under study.</w:t>
      </w:r>
    </w:p>
    <w:p w:rsidRPr="00FD550B" w:rsidR="005E0A0F" w:rsidP="00FD550B" w:rsidRDefault="005E0A0F">
      <w:pPr>
        <w:pStyle w:val="NormalWeb"/>
        <w:spacing w:line="288" w:lineRule="atLeast"/>
      </w:pPr>
      <w:r w:rsidRPr="00FD550B">
        <w:t xml:space="preserve">4.  </w:t>
      </w:r>
      <w:r w:rsidRPr="00FD550B">
        <w:rPr>
          <w:u w:val="single"/>
        </w:rPr>
        <w:t>Tests of Procedures</w:t>
      </w:r>
    </w:p>
    <w:p w:rsidRPr="00FD550B" w:rsidR="005E0A0F" w:rsidP="00FD550B" w:rsidRDefault="005E0A0F">
      <w:pPr>
        <w:pStyle w:val="NormalWeb"/>
        <w:spacing w:line="288" w:lineRule="atLeast"/>
      </w:pPr>
      <w:r w:rsidRPr="00FD550B">
        <w:t>Describe any tests of procedures or methods to be undertaken.  Testing of potential respondents (9 or fewer) is encouraged as a means of refining proposed collections to reduce respondent burden, as well as to improve the collection instrument utility.  These tests check for internal consistency and the effectiveness of previous similar collection activities.</w:t>
      </w:r>
    </w:p>
    <w:p w:rsidRPr="00FD550B" w:rsidR="00A93CBF" w:rsidP="00FD550B" w:rsidRDefault="001176B0">
      <w:pPr>
        <w:pStyle w:val="NormalWeb"/>
        <w:spacing w:line="288" w:lineRule="atLeast"/>
      </w:pPr>
      <w:r w:rsidRPr="00FD550B">
        <w:t>Not applicable.</w:t>
      </w:r>
    </w:p>
    <w:p w:rsidRPr="00FD550B" w:rsidR="005E0A0F" w:rsidP="00FD550B" w:rsidRDefault="005E0A0F">
      <w:pPr>
        <w:pStyle w:val="NormalWeb"/>
        <w:spacing w:line="288" w:lineRule="atLeast"/>
      </w:pPr>
      <w:r w:rsidRPr="00FD550B">
        <w:t xml:space="preserve">5.  </w:t>
      </w:r>
      <w:r w:rsidRPr="00FD550B">
        <w:rPr>
          <w:u w:val="single"/>
        </w:rPr>
        <w:t>Statistical Consultation and Information Analysis</w:t>
      </w:r>
    </w:p>
    <w:p w:rsidRPr="00FD550B" w:rsidR="001176B0" w:rsidP="00FD550B" w:rsidRDefault="00F434B6">
      <w:pPr>
        <w:pStyle w:val="NormalWeb"/>
        <w:spacing w:line="288" w:lineRule="atLeast"/>
      </w:pPr>
      <w:r w:rsidRPr="00FD550B">
        <w:t>a. </w:t>
      </w:r>
      <w:r w:rsidRPr="00FD550B" w:rsidR="005E0A0F">
        <w:t>Provide names and telephone number of individual(s) consulted on statistical aspects of the design.</w:t>
      </w:r>
    </w:p>
    <w:p w:rsidRPr="00FD550B" w:rsidR="001176B0" w:rsidP="00FD550B" w:rsidRDefault="00E54923">
      <w:pPr>
        <w:pStyle w:val="NormalWeb"/>
        <w:spacing w:line="288" w:lineRule="atLeast"/>
      </w:pPr>
      <w:r w:rsidRPr="00FD550B">
        <w:t>Mr. David McGrath, Branch Chief;</w:t>
      </w:r>
      <w:r w:rsidRPr="00FD550B" w:rsidR="001176B0">
        <w:t xml:space="preserve"> Statistical Methods </w:t>
      </w:r>
      <w:r w:rsidRPr="00FD550B">
        <w:t>Team, Methods, Analysis, and Systems Support,</w:t>
      </w:r>
      <w:r w:rsidRPr="00FD550B" w:rsidR="001176B0">
        <w:t xml:space="preserve"> Office of People Analytics (OPA); </w:t>
      </w:r>
      <w:r w:rsidRPr="00FD550B">
        <w:t>(571) 372-0983.</w:t>
      </w:r>
    </w:p>
    <w:p w:rsidRPr="00FD550B" w:rsidR="001176B0" w:rsidP="00FD550B" w:rsidRDefault="001176B0">
      <w:pPr>
        <w:pStyle w:val="NormalWeb"/>
        <w:spacing w:line="288" w:lineRule="atLeast"/>
      </w:pPr>
      <w:r w:rsidRPr="00FD550B">
        <w:lastRenderedPageBreak/>
        <w:t xml:space="preserve">Ms. </w:t>
      </w:r>
      <w:r w:rsidRPr="00FD550B" w:rsidR="00834E27">
        <w:t>Wendy Barboza</w:t>
      </w:r>
      <w:r w:rsidRPr="00FD550B" w:rsidR="00E54923">
        <w:t>, Team Lead;</w:t>
      </w:r>
      <w:r w:rsidRPr="00FD550B">
        <w:t xml:space="preserve"> Statistical Methods Team</w:t>
      </w:r>
      <w:r w:rsidRPr="00FD550B" w:rsidR="00E54923">
        <w:t>, Methods, Analysis, and Systems Support,</w:t>
      </w:r>
      <w:r w:rsidRPr="00FD550B">
        <w:t xml:space="preserve"> Office of People Analytics (OPA)</w:t>
      </w:r>
      <w:r w:rsidRPr="00FD550B" w:rsidR="00E54923">
        <w:t>; (571) 372-1099.</w:t>
      </w:r>
    </w:p>
    <w:p w:rsidRPr="00FD550B" w:rsidR="00E54923" w:rsidP="00FD550B" w:rsidRDefault="00F434B6">
      <w:pPr>
        <w:pStyle w:val="NormalWeb"/>
        <w:spacing w:line="288" w:lineRule="atLeast"/>
      </w:pPr>
      <w:r w:rsidRPr="00FD550B">
        <w:t>b. </w:t>
      </w:r>
      <w:r w:rsidRPr="00FD550B" w:rsidR="005E0A0F">
        <w:t>Provide name and organization of person(s) who will actually collect and analyze the collected information.</w:t>
      </w:r>
    </w:p>
    <w:p w:rsidRPr="00FD550B" w:rsidR="009A2024" w:rsidP="00FD550B" w:rsidRDefault="009A2024">
      <w:pPr>
        <w:pStyle w:val="NormalWeb"/>
        <w:spacing w:line="288" w:lineRule="atLeast"/>
      </w:pPr>
      <w:r w:rsidRPr="00FD550B">
        <w:t>The d</w:t>
      </w:r>
      <w:r w:rsidRPr="00FD550B" w:rsidR="00E54923">
        <w:t>ata will be collected by Data Recognition Corporation</w:t>
      </w:r>
      <w:r w:rsidRPr="00FD550B">
        <w:t xml:space="preserve"> (DRC)</w:t>
      </w:r>
      <w:r w:rsidRPr="00FD550B" w:rsidR="00E54923">
        <w:t xml:space="preserve">, </w:t>
      </w:r>
      <w:r w:rsidRPr="00FD550B">
        <w:t xml:space="preserve">which is </w:t>
      </w:r>
      <w:r w:rsidRPr="00FD550B" w:rsidR="00E54923">
        <w:t>OPA’s operations contractor.</w:t>
      </w:r>
      <w:r w:rsidRPr="00FD550B">
        <w:t xml:space="preserve">  </w:t>
      </w:r>
      <w:r w:rsidRPr="00FD550B" w:rsidR="00E54923">
        <w:t>Ms. Valerie Waller</w:t>
      </w:r>
      <w:r w:rsidRPr="00FD550B">
        <w:t xml:space="preserve"> is the</w:t>
      </w:r>
      <w:r w:rsidRPr="00FD550B" w:rsidR="00E54923">
        <w:t xml:space="preserve"> Senior Managing Director</w:t>
      </w:r>
      <w:r w:rsidRPr="00FD550B">
        <w:t xml:space="preserve"> at DRC.</w:t>
      </w:r>
    </w:p>
    <w:p w:rsidRPr="00FD550B" w:rsidR="00E54923" w:rsidP="00FD550B" w:rsidRDefault="009A2024">
      <w:pPr>
        <w:pStyle w:val="NormalWeb"/>
        <w:spacing w:line="288" w:lineRule="atLeast"/>
        <w:rPr>
          <w:b/>
        </w:rPr>
      </w:pPr>
      <w:r w:rsidRPr="00FD550B">
        <w:t>The d</w:t>
      </w:r>
      <w:r w:rsidRPr="00FD550B" w:rsidR="00E54923">
        <w:t>ata will be analyzed by OPA analysts.</w:t>
      </w:r>
      <w:r w:rsidRPr="00FD550B">
        <w:t xml:space="preserve">  </w:t>
      </w:r>
      <w:r w:rsidRPr="00FD550B" w:rsidR="00786F16">
        <w:t>Lindsay Rock,</w:t>
      </w:r>
      <w:r w:rsidRPr="00FD550B" w:rsidR="00CC4C75">
        <w:t xml:space="preserve"> Monica Wiedemann</w:t>
      </w:r>
      <w:r w:rsidRPr="00FD550B" w:rsidR="00786F16">
        <w:t>, and Amy Campbell</w:t>
      </w:r>
      <w:r w:rsidRPr="00FD550B" w:rsidR="00CC4C75">
        <w:t xml:space="preserve"> </w:t>
      </w:r>
      <w:r w:rsidRPr="00FD550B">
        <w:t>are the lead operations analysts.</w:t>
      </w:r>
    </w:p>
    <w:p w:rsidRPr="00FD550B" w:rsidR="00E54923" w:rsidP="00F434B6" w:rsidRDefault="00E54923">
      <w:pPr>
        <w:pStyle w:val="NormalWeb"/>
        <w:spacing w:line="288" w:lineRule="atLeast"/>
        <w:ind w:firstLine="1260"/>
      </w:pPr>
    </w:p>
    <w:p w:rsidRPr="00FD550B" w:rsidR="00786F16" w:rsidP="00D062EC" w:rsidRDefault="00D062EC">
      <w:pPr>
        <w:pStyle w:val="NormalWeb"/>
        <w:spacing w:line="288" w:lineRule="atLeast"/>
      </w:pPr>
      <w:r w:rsidRPr="00FD550B">
        <w:br w:type="page"/>
      </w:r>
      <w:r w:rsidRPr="00FD550B">
        <w:lastRenderedPageBreak/>
        <w:t xml:space="preserve">Attachment A.  </w:t>
      </w:r>
      <w:r w:rsidRPr="00FD550B" w:rsidR="00BB5493">
        <w:t>SOFR</w:t>
      </w:r>
      <w:r w:rsidRPr="00FD550B" w:rsidR="0080031C">
        <w:t xml:space="preserve"> 2</w:t>
      </w:r>
      <w:r w:rsidR="00FD550B">
        <w:t>022</w:t>
      </w:r>
      <w:r w:rsidRPr="00FD550B" w:rsidR="0080031C">
        <w:t xml:space="preserve"> - </w:t>
      </w:r>
      <w:r w:rsidRPr="00FD550B">
        <w:t>Population and Sample Size by Strata</w:t>
      </w:r>
    </w:p>
    <w:tbl>
      <w:tblPr>
        <w:tblW w:w="8640" w:type="dxa"/>
        <w:tblInd w:w="113" w:type="dxa"/>
        <w:tblLook w:val="04A0" w:firstRow="1" w:lastRow="0" w:firstColumn="1" w:lastColumn="0" w:noHBand="0" w:noVBand="1"/>
      </w:tblPr>
      <w:tblGrid>
        <w:gridCol w:w="928"/>
        <w:gridCol w:w="5480"/>
        <w:gridCol w:w="1240"/>
        <w:gridCol w:w="1060"/>
      </w:tblGrid>
      <w:tr w:rsidRPr="00FD550B" w:rsidR="005A51C8" w:rsidTr="005A51C8">
        <w:trPr>
          <w:trHeight w:val="1020"/>
        </w:trPr>
        <w:tc>
          <w:tcPr>
            <w:tcW w:w="860" w:type="dxa"/>
            <w:tcBorders>
              <w:top w:val="single" w:color="auto" w:sz="4" w:space="0"/>
              <w:left w:val="single" w:color="auto" w:sz="4" w:space="0"/>
              <w:bottom w:val="single" w:color="auto" w:sz="4" w:space="0"/>
              <w:right w:val="single" w:color="auto" w:sz="4" w:space="0"/>
            </w:tcBorders>
            <w:shd w:val="clear" w:color="000000" w:fill="BFBFBF"/>
            <w:vAlign w:val="bottom"/>
            <w:hideMark/>
          </w:tcPr>
          <w:p w:rsidRPr="00FD550B" w:rsidR="005A51C8" w:rsidP="005A51C8" w:rsidRDefault="005A51C8">
            <w:pPr>
              <w:jc w:val="center"/>
              <w:rPr>
                <w:b/>
                <w:bCs/>
                <w:sz w:val="20"/>
                <w:szCs w:val="20"/>
              </w:rPr>
            </w:pPr>
            <w:r w:rsidRPr="00FD550B">
              <w:rPr>
                <w:b/>
                <w:bCs/>
                <w:sz w:val="20"/>
                <w:szCs w:val="20"/>
              </w:rPr>
              <w:t>Stratum</w:t>
            </w:r>
          </w:p>
        </w:tc>
        <w:tc>
          <w:tcPr>
            <w:tcW w:w="5480" w:type="dxa"/>
            <w:tcBorders>
              <w:top w:val="single" w:color="auto" w:sz="4" w:space="0"/>
              <w:left w:val="nil"/>
              <w:bottom w:val="single" w:color="auto" w:sz="4" w:space="0"/>
              <w:right w:val="single" w:color="auto" w:sz="4" w:space="0"/>
            </w:tcBorders>
            <w:shd w:val="clear" w:color="000000" w:fill="BFBFBF"/>
            <w:vAlign w:val="bottom"/>
            <w:hideMark/>
          </w:tcPr>
          <w:p w:rsidRPr="00FD550B" w:rsidR="005A51C8" w:rsidP="005A51C8" w:rsidRDefault="005A51C8">
            <w:pPr>
              <w:jc w:val="center"/>
              <w:rPr>
                <w:b/>
                <w:bCs/>
                <w:sz w:val="20"/>
                <w:szCs w:val="20"/>
              </w:rPr>
            </w:pPr>
            <w:r w:rsidRPr="00FD550B">
              <w:rPr>
                <w:b/>
                <w:bCs/>
                <w:sz w:val="20"/>
                <w:szCs w:val="20"/>
              </w:rPr>
              <w:t>Stratum Definitions</w:t>
            </w:r>
          </w:p>
        </w:tc>
        <w:tc>
          <w:tcPr>
            <w:tcW w:w="1240" w:type="dxa"/>
            <w:tcBorders>
              <w:top w:val="single" w:color="auto" w:sz="4" w:space="0"/>
              <w:left w:val="nil"/>
              <w:bottom w:val="single" w:color="auto" w:sz="4" w:space="0"/>
              <w:right w:val="single" w:color="auto" w:sz="4" w:space="0"/>
            </w:tcBorders>
            <w:shd w:val="clear" w:color="000000" w:fill="BFBFBF"/>
            <w:vAlign w:val="bottom"/>
            <w:hideMark/>
          </w:tcPr>
          <w:p w:rsidRPr="00FD550B" w:rsidR="005A51C8" w:rsidP="005A51C8" w:rsidRDefault="005A51C8">
            <w:pPr>
              <w:jc w:val="center"/>
              <w:rPr>
                <w:b/>
                <w:bCs/>
                <w:sz w:val="20"/>
                <w:szCs w:val="20"/>
              </w:rPr>
            </w:pPr>
            <w:r w:rsidRPr="00FD550B">
              <w:rPr>
                <w:b/>
                <w:bCs/>
                <w:sz w:val="20"/>
                <w:szCs w:val="20"/>
              </w:rPr>
              <w:t>Population Size</w:t>
            </w:r>
          </w:p>
        </w:tc>
        <w:tc>
          <w:tcPr>
            <w:tcW w:w="1060" w:type="dxa"/>
            <w:tcBorders>
              <w:top w:val="single" w:color="auto" w:sz="4" w:space="0"/>
              <w:left w:val="nil"/>
              <w:bottom w:val="single" w:color="auto" w:sz="4" w:space="0"/>
              <w:right w:val="single" w:color="auto" w:sz="4" w:space="0"/>
            </w:tcBorders>
            <w:shd w:val="clear" w:color="000000" w:fill="BFBFBF"/>
            <w:vAlign w:val="bottom"/>
            <w:hideMark/>
          </w:tcPr>
          <w:p w:rsidRPr="00FD550B" w:rsidR="005A51C8" w:rsidP="005A51C8" w:rsidRDefault="005A51C8">
            <w:pPr>
              <w:jc w:val="center"/>
              <w:rPr>
                <w:b/>
                <w:bCs/>
                <w:sz w:val="20"/>
                <w:szCs w:val="20"/>
              </w:rPr>
            </w:pPr>
            <w:r w:rsidRPr="00FD550B">
              <w:rPr>
                <w:b/>
                <w:bCs/>
                <w:sz w:val="20"/>
                <w:szCs w:val="20"/>
              </w:rPr>
              <w:t>Sample Size</w:t>
            </w:r>
          </w:p>
        </w:tc>
      </w:tr>
      <w:tr w:rsidRPr="00FD550B" w:rsidR="00956211"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tcPr>
          <w:p w:rsidRPr="00FD550B" w:rsidR="00956211" w:rsidP="005A51C8" w:rsidRDefault="00956211">
            <w:pPr>
              <w:jc w:val="center"/>
              <w:rPr>
                <w:sz w:val="20"/>
                <w:szCs w:val="20"/>
              </w:rPr>
            </w:pPr>
            <w:r w:rsidRPr="00FD550B">
              <w:rPr>
                <w:sz w:val="20"/>
                <w:szCs w:val="20"/>
              </w:rPr>
              <w:t>All</w:t>
            </w:r>
          </w:p>
        </w:tc>
        <w:tc>
          <w:tcPr>
            <w:tcW w:w="5480" w:type="dxa"/>
            <w:tcBorders>
              <w:top w:val="nil"/>
              <w:left w:val="nil"/>
              <w:bottom w:val="single" w:color="auto" w:sz="4" w:space="0"/>
              <w:right w:val="single" w:color="auto" w:sz="4" w:space="0"/>
            </w:tcBorders>
            <w:shd w:val="clear" w:color="auto" w:fill="auto"/>
            <w:vAlign w:val="bottom"/>
          </w:tcPr>
          <w:p w:rsidRPr="00FD550B" w:rsidR="00956211" w:rsidP="005A51C8" w:rsidRDefault="00956211">
            <w:pPr>
              <w:rPr>
                <w:sz w:val="20"/>
                <w:szCs w:val="20"/>
              </w:rPr>
            </w:pPr>
            <w:r w:rsidRPr="00FD550B">
              <w:rPr>
                <w:sz w:val="20"/>
                <w:szCs w:val="20"/>
              </w:rPr>
              <w:t>Total</w:t>
            </w:r>
          </w:p>
        </w:tc>
        <w:tc>
          <w:tcPr>
            <w:tcW w:w="1240" w:type="dxa"/>
            <w:tcBorders>
              <w:top w:val="nil"/>
              <w:left w:val="nil"/>
              <w:bottom w:val="single" w:color="auto" w:sz="4" w:space="0"/>
              <w:right w:val="single" w:color="auto" w:sz="4" w:space="0"/>
            </w:tcBorders>
            <w:shd w:val="clear" w:color="auto" w:fill="auto"/>
            <w:noWrap/>
            <w:vAlign w:val="bottom"/>
          </w:tcPr>
          <w:p w:rsidRPr="00FD550B" w:rsidR="00956211" w:rsidP="005A51C8" w:rsidRDefault="00956211">
            <w:pPr>
              <w:jc w:val="right"/>
              <w:rPr>
                <w:sz w:val="20"/>
                <w:szCs w:val="20"/>
              </w:rPr>
            </w:pPr>
            <w:r w:rsidRPr="00FD550B">
              <w:rPr>
                <w:sz w:val="20"/>
                <w:szCs w:val="20"/>
              </w:rPr>
              <w:t>798,743</w:t>
            </w:r>
          </w:p>
        </w:tc>
        <w:tc>
          <w:tcPr>
            <w:tcW w:w="1060" w:type="dxa"/>
            <w:tcBorders>
              <w:top w:val="nil"/>
              <w:left w:val="nil"/>
              <w:bottom w:val="single" w:color="auto" w:sz="4" w:space="0"/>
              <w:right w:val="single" w:color="auto" w:sz="4" w:space="0"/>
            </w:tcBorders>
            <w:shd w:val="clear" w:color="auto" w:fill="auto"/>
            <w:noWrap/>
            <w:vAlign w:val="bottom"/>
          </w:tcPr>
          <w:p w:rsidRPr="00FD550B" w:rsidR="00956211" w:rsidP="005A51C8" w:rsidRDefault="00956211">
            <w:pPr>
              <w:jc w:val="right"/>
              <w:rPr>
                <w:sz w:val="20"/>
                <w:szCs w:val="20"/>
              </w:rPr>
            </w:pPr>
            <w:r w:rsidRPr="00FD550B">
              <w:rPr>
                <w:sz w:val="20"/>
                <w:szCs w:val="20"/>
              </w:rPr>
              <w:t>153,119</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1</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001 ANG_E1-E4_TPU_MALE_SING_CHILD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6,788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2,090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2</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002 ANG_E1-E4_TPU_MALE_SING_NOCHILD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102,936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28,284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3</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003 ANG_E1-E4_TPU_MALE_MARR_CHILD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11,928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1,849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4</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004 ANG_E1-E4_TPU_MALE_MARR_NOCHILD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7,567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1,121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5</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005 ANG_E1-E4_TPU_FEMALE_SING_CHILD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3,076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1,112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6</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006 ANG_E1-E4_TPU_FEMALE_SING_NOCHILD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30,110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7,528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7</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007 ANG_E1-E4_TPU_FEMALE_MARR_CHILD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1,709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306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8</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008 ANG_E1-E4_TPU_FEMALE_MARR_NOCHILD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1,954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327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9</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009 ANG_E1-E4_AGR_ALLGen_ALL_FAMILY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394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41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10</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010 ANG_E1-E4_MIL_MALE_SING_CHILD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372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34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11</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011 ANG_E1-E4_MIL_MALE_SING_NOCHILD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2,365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213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12</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012 ANG_E1-E4_MIL_MALE_MARR_CHILD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815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66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13</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013 ANG_E1-E4_MIL_MALE_MARR_NOCHILD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366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27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14</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014 ANG_E1-E4_MIL_FEMALE_ALL_FAMILY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1,319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129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15</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015 ANG_E5-E9_TPU_MALE_SING_CHILD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8,336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760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16</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016 ANG_E5-E9_TPU_MALE_SING_NOCHILD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22,295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1,958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17</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017 ANG_E5-E9_TPU_MALE_MARR_CHILD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29,149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1,974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18</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018 ANG_E5-E9_TPU_MALE_MARR_NOCHILD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8,192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502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19</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019 ANG_E5-E9_TPU_FEMALE_SING_CHILD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1,966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170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20</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020 ANG_E5-E9_TPU_FEMALE_SING_NOCHILD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5,085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464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21</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021 ANG_E5-E9_TPU_FEMALE_MARR_CHILD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2,480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185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22</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022 ANG_E5-E9_TPU_FEMALE_MARR_NOCHILD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1,410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113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23</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023 ANG_E5-E9_AGR_MALE_SING_CHILD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2,241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147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24</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024 ANG_E5-E9_AGR_MALE_SING_NOCHILD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1,962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123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25</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025 ANG_E5-E9_AGR_MALE_MARR_CHILD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11,630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532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26</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026 ANG_E5-E9_AGR_MALE_MARR_NOCHILD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1,927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75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27</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027 ANG_E5-E9_AGR_FEMALE_SING_CHILD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1,174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76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28</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028 ANG_E5-E9_AGR_FEMALE_SING_NOCHILD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1,008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66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29</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029 ANG_E5-E9_AGR_FEMALE_MARR_CHILD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1,734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98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30</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030 ANG_E5-E9_AGR_FEMALE_MARR_NOCHILD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492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30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31</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031 ANG_E5-E9_MIL_MALE_SING_CHILD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1,707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110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32</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032 ANG_E5-E9_MIL_MALE_SING_NOCHILD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2,910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148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33</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033 ANG_E5-E9_MIL_MALE_MARR_CHILD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6,785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320</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34</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034 ANG_E5-E9_MIL_MALE_MARR_NOCHILD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2,125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86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35</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035 ANG_E5-E9_MIL_FEMALE_SING_CHILD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693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49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36</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036 ANG_E5-E9_MIL_FEMALE_SING_NOCHILD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828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53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37</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037 ANG_E5-E9_MIL_FEMALE_MARR_CHILD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702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53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38</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038 ANG_E5-E9_MIL_FEMALE_MARR_NOCHILD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357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18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39</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039 ANG_W1-O3_TPU_MALE_SING_CHILD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1,218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229</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40</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040 ANG_W1-O3_TPU_MALE_SING_NOCHILD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8,922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1,852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41</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041 ANG_W1-O3_TPU_MALE_MARR_CHILD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8,291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1,276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42</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042 ANG_W1-O3_TPU_MALE_MARR_NOCHILD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3,279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542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43</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043 ANG_W1-O3_TPU_FEMALE_SING_CHILD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339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60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44</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044 ANG_W1-O3_TPU_FEMALE_SING_NOCHILD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2,184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430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45</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045 ANG_W1-O3_TPU_FEMALE_MARR_CHILD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770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140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46</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046 ANG_W1-O3_TPU_FEMALE_MARR_NOCHILD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749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127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47</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047 ANG_W1-O3_AGR_MALE_SINGLE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461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73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48</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048 ANG_W1-O3_AGR_MALE_MARR_CHILD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1,792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203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49</w:t>
            </w:r>
          </w:p>
        </w:tc>
        <w:tc>
          <w:tcPr>
            <w:tcW w:w="5480" w:type="dxa"/>
            <w:tcBorders>
              <w:top w:val="nil"/>
              <w:left w:val="nil"/>
              <w:bottom w:val="single" w:color="auto" w:sz="4" w:space="0"/>
              <w:right w:val="single" w:color="auto" w:sz="4" w:space="0"/>
            </w:tcBorders>
            <w:shd w:val="clear" w:color="auto" w:fill="auto"/>
            <w:vAlign w:val="bottom"/>
            <w:hideMark/>
          </w:tcPr>
          <w:p w:rsidRPr="00FD550B" w:rsidR="005A51C8" w:rsidP="005A51C8" w:rsidRDefault="005A51C8">
            <w:pPr>
              <w:rPr>
                <w:sz w:val="20"/>
                <w:szCs w:val="20"/>
              </w:rPr>
            </w:pPr>
            <w:r w:rsidRPr="00FD550B">
              <w:rPr>
                <w:sz w:val="20"/>
                <w:szCs w:val="20"/>
              </w:rPr>
              <w:t xml:space="preserve">049 ANG_W1-O3_AGR_MALE_MARR_NOCHILD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366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43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50</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050 ANG_W1-O3_AGR_FEMALE_ALL_FAMILY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648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107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51</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051 ANG_W1-O3_MIL_MALE_SINGLE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820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93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52</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052 ANG_W1-O3_MIL_MALE_MARR_CHILD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2,202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192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53</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053 ANG_W1-O3_MIL_MALE_MARR_NOCHILD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689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57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54</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054 ANG_W1-O3_MIL_FEMALE_ALL_FAMILY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554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80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55</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055 ANG_O4-O6_TPU_MALE_SING_CHILD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400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68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56</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056 ANG_O4-O6_TPU_MALE_SING_NOCHILD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485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81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57</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057 ANG_O4-O6_TPU_MALE_MARR_CHILD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4,502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660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58</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058 ANG_O4-O6_TPU_MALE_MARR_NOCHILD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816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122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59</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059 ANG_O4-O6_TPU_FEMALE_SINGLE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350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59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60</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060 ANG_O4-O6_TPU_FEMALE_MARRIED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661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110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61</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061 ANG_O4-O6_AGR_MALE_SINGLE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338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51</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62</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062 ANG_O4-O6_AGR_MALE_MARRIED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2,654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360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63</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063 ANG_O4-O6_AGR_FEMALE_ALL_FAMILY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433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70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64</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064 ANG_O4-O6_MIL_ALLGen_ALL_FAMILY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1,667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222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lastRenderedPageBreak/>
              <w:t>65</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065 AR__E1-E4_TPU_MALE_SING_CHILD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2,373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488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66</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066 AR__E1-E4_TPU_MALE_SING_NOCHILD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42,415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9,430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67</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067 AR__E1-E4_TPU_MALE_MARR_CHILD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7,219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991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68</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068 AR__E1-E4_TPU_MALE_MARR_NOCHILD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5,744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1,011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69</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069 AR__E1-E4_TPU_FEMALE_SING_CHILD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2,178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476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70</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070 AR__E1-E4_TPU_FEMALE_SING_NOCHILD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14,993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3,278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71</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071 AR__E1-E4_TPU_FEMALE_MARR_CHILD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1,961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361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72</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072 AR__E1-E4_TPU_FEMALE_MARR_NOCHILD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2,258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389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73</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073 AR__E1-E4_AGR_ALLGen_ALL_FAMILY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338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44</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74</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074 AR__E1-E4_MIL/IMA_ALLGen_SINGLE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443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44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75</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075 AR__E1-E4_MIL/IMA_ALLGen_MARRIED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302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27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76</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076 AR__E5-E9_TPU_MALE_SING_CHILD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4,178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376 </w:t>
            </w:r>
          </w:p>
        </w:tc>
      </w:tr>
      <w:tr w:rsidRPr="00FD550B"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FD550B" w:rsidR="005A51C8" w:rsidP="005A51C8" w:rsidRDefault="005A51C8">
            <w:pPr>
              <w:jc w:val="center"/>
              <w:rPr>
                <w:sz w:val="20"/>
                <w:szCs w:val="20"/>
              </w:rPr>
            </w:pPr>
            <w:r w:rsidRPr="00FD550B">
              <w:rPr>
                <w:sz w:val="20"/>
                <w:szCs w:val="20"/>
              </w:rPr>
              <w:t>77</w:t>
            </w:r>
          </w:p>
        </w:tc>
        <w:tc>
          <w:tcPr>
            <w:tcW w:w="548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rPr>
                <w:sz w:val="20"/>
                <w:szCs w:val="20"/>
              </w:rPr>
            </w:pPr>
            <w:r w:rsidRPr="00FD550B">
              <w:rPr>
                <w:sz w:val="20"/>
                <w:szCs w:val="20"/>
              </w:rPr>
              <w:t xml:space="preserve">077 AR__E5-E9_TPU_MALE_SING_NOCHILD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FD550B" w:rsidR="005A51C8" w:rsidP="005A51C8" w:rsidRDefault="005A51C8">
            <w:pPr>
              <w:jc w:val="right"/>
              <w:rPr>
                <w:sz w:val="20"/>
                <w:szCs w:val="20"/>
              </w:rPr>
            </w:pPr>
            <w:r w:rsidRPr="00FD550B">
              <w:rPr>
                <w:sz w:val="20"/>
                <w:szCs w:val="20"/>
              </w:rPr>
              <w:t xml:space="preserve">11,660 </w:t>
            </w:r>
          </w:p>
        </w:tc>
        <w:tc>
          <w:tcPr>
            <w:tcW w:w="1060" w:type="dxa"/>
            <w:tcBorders>
              <w:top w:val="nil"/>
              <w:left w:val="nil"/>
              <w:bottom w:val="single" w:color="auto" w:sz="4" w:space="0"/>
              <w:right w:val="single" w:color="auto" w:sz="4" w:space="0"/>
            </w:tcBorders>
            <w:shd w:val="clear" w:color="auto" w:fill="auto"/>
            <w:noWrap/>
            <w:vAlign w:val="bottom"/>
            <w:hideMark/>
          </w:tcPr>
          <w:p w:rsidRPr="00FD550B" w:rsidR="005A51C8" w:rsidP="00BA35B2" w:rsidRDefault="005A51C8">
            <w:pPr>
              <w:jc w:val="right"/>
              <w:rPr>
                <w:sz w:val="20"/>
                <w:szCs w:val="20"/>
              </w:rPr>
            </w:pPr>
            <w:r w:rsidRPr="00FD550B">
              <w:rPr>
                <w:sz w:val="20"/>
                <w:szCs w:val="20"/>
              </w:rPr>
              <w:t xml:space="preserve">1,093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78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078 AR__E5-E9_TPU_MALE_MARR_CHILD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19,084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1,438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79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079 AR__E5-E9_TPU_MALE_MARR_NOCHILD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6,033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412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80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080 AR__E5-E9_TPU_FEMALE_SING_CHILD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1,853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165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81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081 AR__E5-E9_TPU_FEMALE_SING_NOCHILD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3,954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374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82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082 AR__E5-E9_TPU_FEMALE_MARR_CHILD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2,806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254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83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083 AR__E5-E9_TPU_FEMALE_MARR_NOCHILD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1,595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124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84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084 AR__E5-E9_AGR_MALE_SING_CHILD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977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69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85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085 AR__E5-E9_AGR_MALE_SING_NOCHILD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999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105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86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086 AR__E5-E9_AGR_MALE_MARR_CHILD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5,100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343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87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087 AR__E5-E9_AGR_MALE_MARR_NOCHILD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920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62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88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088 AR__E5-E9_AGR_FEMALE_SING_CHILD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855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68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89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089 AR__E5-E9_AGR_FEMALE_SING_NOCHILD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729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51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90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090 AR__E5-E9_AGR_FEMALE_MARR_CHILD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1,110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88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91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091 AR__E5-E9_AGR_FEMALE_MARR_NOCHILD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362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31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92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092 AR__E5-E9_MIL_MALE_SING_CHILD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486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34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93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093 AR__E5-E9_MIL_MALE_SING_NOCHILD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672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43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94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094 AR__E5-E9_MIL_MALE_MARR_CHILD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2,148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125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95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095 AR__E5-E9_MIL_MALE_MARR_NOCHILD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643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34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96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096 AR__E5-E9_MIL_FEMALE_SING_CHILD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484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30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97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097 AR__E5-E9_MIL_FEMALE_SING_NOCHILD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459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28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98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098 AR__E5-E9_MIL_FEMALE_MARRIED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849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65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99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099 AR__E5-E9_IMA_ALLGen_ALL_FAMILY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554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69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100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100 AR__W1-O3_TPU_MALE_SING_CHILD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667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118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101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101 AR__W1-O3_TPU_MALE_SING_NOCHILD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5,413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1,081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102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102 AR__W1-O3_TPU_MALE_MARR_CHILD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5,158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823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103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103 AR__W1-O3_TPU_MALE_MARR_NOCHILD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2,423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428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104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104 AR__W1-O3_TPU_FEMALE_SING_CHILD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489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110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105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105 AR__W1-O3_TPU_FEMALE_SING_NOCHILD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2,438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522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106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106 AR__W1-O3_TPU_FEMALE_MARR_CHILD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1,159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BA35B2" w:rsidRDefault="005A51C8">
            <w:pPr>
              <w:jc w:val="right"/>
              <w:rPr>
                <w:color w:val="000000"/>
                <w:sz w:val="20"/>
                <w:szCs w:val="20"/>
              </w:rPr>
            </w:pPr>
            <w:r w:rsidRPr="005A51C8">
              <w:rPr>
                <w:color w:val="000000"/>
                <w:sz w:val="20"/>
                <w:szCs w:val="20"/>
              </w:rPr>
              <w:t xml:space="preserve">230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107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107 AR__W1-O3_TPU_FEMALE_MARR_NOCHILD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1,140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233</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108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108 AR__W1-O3_AGR_MALE_ALL_FAMILY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1,122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135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109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109 AR__W1-O3_AGR_FEMALE_ALL_FAMILY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333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50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110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110 AR__W1-O3_MIL_ALLGen_ALL_FAMILY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788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110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111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111 AR__W1-O3_IMA_ALLGen_ALL_FAMILY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460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92</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112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112 AR__O4-O6_TPU_MALE_SING_CHILD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667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74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113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113 AR__O4-O6_TPU_MALE_SING_NOCHILD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1,058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106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114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114 AR__O4-O6_TPU_MALE_MARR_CHILD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6,568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625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115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115 AR__O4-O6_TPU_MALE_MARR_NOCHILD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1,488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143</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116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116 AR__O4-O6_TPU_FEMALE_SING_CHILD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307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46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117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117 AR__O4-O6_TPU_FEMALE_SING_NOCHILD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728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78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118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118 AR__O4-O6_TPU_FEMALE_MARR_CHILD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1,132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128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119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119 AR__O4-O6_TPU_FEMALE_MARR_NOCHILD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574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69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120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120 AR__O4-O6_AGR_MALE_ALL_FAMILY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2,161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197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121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121 AR__O4-O6_AGR_FEMALE_ALL_FAMILY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675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72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122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122 AR__O4-O6_MIL_ALLGen_ALL_FAMILY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390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36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123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123 AR__O4-O6_IMA_ALLGen_SINGLE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429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124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124 AR__O4-O6_IMA_ALLGen_MARRIED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1,375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184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125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125 NR__E1-E4_TPU_MALE_SING_CHILD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304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207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126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126 NR__E1-E4_TPU_MALE_SING_NOCHILD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4,687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2,959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127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127 NR__E1-E4_TPU_MALE_MARR_CHILD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901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351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128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128 NR__E1-E4_TPU_MALE_MARR_NOCHILD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823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398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129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129 NR__E1-E4_TPU_FEMALE_SING_CHILD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344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242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130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130 NR__E1-E4_TPU_FEMALE_SING_NOCHILD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1,674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841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131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131 NR__E1-E4_TPU_FEMALE_MARR_CHILD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384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189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132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132 NR__E1-E4_TPU_FEMALE_MARR_NOCHILD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366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185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133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133 NR__E1-E4_AGR/IMA_MALE_SINGLE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949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526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134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134 NR__E1-E4_AGR/IMA_MALE_MARRIED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374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201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135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135 NR__E1-E4_AGR_FEMALE_ALL_FAMILY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391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240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136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136 NR__E5-E9_TPU_MALE_SING_CHILD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2,019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305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137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137 NR__E5-E9_TPU_MALE_SING_NOCHILD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6,451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1,083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138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138 NR__E5-E9_TPU_MALE_MARR_CHILD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8,349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1,171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139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139 NR__E5-E9_TPU_MALE_MARR_NOCHILD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2,852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396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lastRenderedPageBreak/>
              <w:t>140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140 NR__E5-E9_TPU_FEMALE_SING_CHILD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1,286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215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141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141 NR__E5-E9_TPU_FEMALE_SING_NOCHILD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2,414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429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142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142 NR__E5-E9_TPU_FEMALE_MARR_CHILD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1,704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280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143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143 NR__E5-E9_TPU_FEMALE_MARR_NOCHILD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992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146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144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144 NR__E5-E9_AGR/IMA_MALE_SING_CHILD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344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81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145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145 NR__E5-E9_AGR/IMA_MALE_SING_NOCHILD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1,113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191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146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146 NR__E5-E9_AGR/IMA_MALE_MARR_CHILD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2,591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434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147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147 NR__E5-E9_AGR_MALE_MARR_NOCHILD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865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137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148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148 NR__E5-E9_AGR/IMA_FEMALE_SING_CHILD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424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71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149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149 NR__E5-E9_AGR/IMA_FEMALE_SING_NOCHILD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467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127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150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150 NR__E5-E9_AGR/IMA_FEMALE_MARR_CHILD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753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151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151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151 NR__E5-E9_AGR/IMA_FEMALE_MARR_NOCHILD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298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152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152 NR__W1-O3_TPU_ALLGen_SING_CHILD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348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174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153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153 NR__W1-O3_TPU_MALE_SING_NOCHILD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832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398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154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154 NR__W1-O3_TPU_MALE_MARR_CHILD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1,453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631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155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155 NR__W1-O3_TPU_MALE_MARR_NOCHILD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517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225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156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156 NR__W1-O3_TPU_FEMALE_SING_NOCHILD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436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244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157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157 NR__W1-O3_TPU_FEMALE_MARRIED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507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243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158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158 NR__W1-O3_AGR/IMA_ALLGen_ALL_FAMILY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309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162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159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159 NR__O4-O6_TPU_MALE_SING_CHILD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352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160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160 NR__O4-O6_TPU_MALE_SING_NOCHILD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911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153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161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161 NR__O4-O6_TPU_MALE_MARR_CHILD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4,699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762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162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162 NR__O4-O6_TPU_MALE_MARR_NOCHILD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1,078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168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163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163 NR__O4-O6_TPU_FEMALE_SINGLE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561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108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164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164 NR__O4-O6_TPU_FEMALE_MARR_CHILD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670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131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165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165 NR__O4-O6_TPU_FEMALE_MARR_NOCHILD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303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48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166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166 NR__O4-O6_AGR/IMA_ALLGen_ALL_FAMILY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1,392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232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167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167 MCR_E1-E4_TPU_MALE_SINGLE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20,314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11,152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168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168 MCR_E1-E4_TPU_MALE_MARR_CHILD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591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404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169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169 MCR_E1-E4_TPU_MALE_MARR_NOCHILD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1,235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535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170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170 MCR_E1-E4_TPU_FEMALE_ALL_FAMILY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566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211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171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171 MCR_E1-E4_AGR/IMA_ALLGen_ALL_FAMILY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443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87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172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172 MCR_E5-E9_TPU_ALLGen_SING_CHILD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359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336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173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173 MCR_E5-E9_TPU_ALLGen_SING_NOCHILD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2,464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2,464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174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174 MCR_E5-E9_TPU_ALLGen_MARR_CHILD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1,766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1,476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175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175 MCR_E5-E9_TPU_ALLGen_MARR_NOCHILD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833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833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176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176 MCR_E5-E9_AGR_ALLGen_SINGLE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393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315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177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177 MCR_E5-E9_AGR_ALLGen_MARRIED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1,179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932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178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178 MCR_E5-E9_IMA_ALLGen_ALL_FAMILY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841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593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179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179 MCR_W1-O3_TPU_ALLGen_SINGLE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677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677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180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180 MCR_W1-O3_TPU_ALLGen_MARRIED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656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656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181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181 MCR_W1-O3_AGR/IMA_ALLGen_ALL_FAMILY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342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342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182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182 MCR_O4-O6_TPU_ALLGen_ALL_FAMILY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1,080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965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183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183 MCR_O4-O6_AGR/IMA_ALLGen_ALL_FAMILY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1,714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1,576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184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184 AFG_E1-E4_TPU_MALE_SING_CHILD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540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185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185 AFG_E1-E4_TPU_MALE_SING_NOCHILD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14,171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1,506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186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186 AFG_E1-E4_TPU_MALE_MARR_CHILD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2,116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194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187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187 AFG_E1-E4_TPU_MALE_MARR_NOCHILD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1,648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167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188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188 AFG_E1-E4_TPU_FEMALE_SING_CHILD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411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45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189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189 AFG_E1-E4_TPU_FEMALE_SING_NOCHILD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5,252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545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190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190 AFG_E1-E4_TPU_FEMALE_MARR_CHILD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527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45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191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191 AFG_E1-E4_TPU_FEMALE_MARR_NOCHILD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688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79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192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192 AFG_E1-E4_AGR_MALE_ALL_FAMILY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617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50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193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193 AFG_E1-E4_AGR_FEMALE_ALL_FAMILY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342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27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194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194 AFG_E1-E4_MIL_MALE_SINGLE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1,513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127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195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195 AFG_E1-E4_MIL_MALE_MARRIED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478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33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196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196 AFG_E1-E4_MIL_FEMALE_ALL_FAMILY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723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197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197 AFG_E5-E9_TPU_MALE_SING_CHILD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2,024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130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198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198 AFG_E5-E9_TPU_MALE_SING_NOCHILD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6,703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414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199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199 AFG_E5-E9_TPU_MALE_MARR_CHILD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13,022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644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200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200 AFG_E5-E9_TPU_MALE_MARR_NOCHILD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4,079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209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201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201 AFG_E5-E9_TPU_FEMALE_SING_CHILD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951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202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202 AFG_E5-E9_TPU_FEMALE_SING_NOCHILD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2,163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139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203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203 AFG_E5-E9_TPU_FEMALE_MARR_CHILD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2,159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117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204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204 AFG_E5-E9_TPU_FEMALE_MARR_NOCHILD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1,108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205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205 AFG_E5-E9_AGR_MALE_SING_CHILD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861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46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206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206 AFG_E5-E9_AGR_MALE_SING_NOCHILD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1,475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75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207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207 AFG_E5-E9_AGR_MALE_MARR_CHILD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6,091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260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208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208 AFG_E5-E9_AGR_MALE_MARR_NOCHILD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1,355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58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209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209 AFG_E5-E9_AGR_FEMALE_SING_CHILD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588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38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210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210 AFG_E5-E9_AGR_FEMALE_SING_NOCHILD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683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38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211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211 AFG_E5-E9_AGR_FEMALE_MARR_CHILD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1,505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212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212 AFG_E5-E9_AGR_FEMALE_MARR_NOCHILD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435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213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213 AFG_E5-E9_MIL_MALE_SING_CHILD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1,185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58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214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214 AFG_E5-E9_MIL_MALE_SING_NOCHILD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3,059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140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lastRenderedPageBreak/>
              <w:t>215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215 AFG_E5-E9_MIL_MALE_MARR_CHILD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7,309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272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216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216 AFG_E5-E9_MIL_MALE_MARR_NOCHILD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2,655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93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217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217 AFG_E5-E9_MIL_FEMALE_SING_CHILD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446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27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218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218 AFG_E5-E9_MIL_FEMALE_SING_NOCHILD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751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40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219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219 AFG_E5-E9_MIL_FEMALE_MARR_CHILD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920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44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220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220 AFG_E5-E9_MIL_FEMALE_MARR_NOCHILD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401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221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221 AFG_W1-O3_TPU_MALE_SINGLE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1,092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470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222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222 AFG_W1-O3_TPU_MALE_MARR_CHILD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1,794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655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223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223 AFG_W1-O3_TPU_MALE_MARR_NOCHILD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628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273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224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224 AFG_W1-O3_TPU_FEMALE_SINGLE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450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187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225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225 AFG_W1-O3_TPU_FEMALE_MARRIED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687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288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226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226 AFG_W1-O3_AGR_ALLGen_ALL_FAMILY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535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222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227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227 AFG_W1-O3_MIL_ALLGen_ALL_FAMILY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1,037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354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228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228 AFG_O4-O6_TPU_MALE_SINGLE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602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132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229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229 AFG_O4-O6_TPU_MALE_MARR_CHILD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3,308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685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230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230 AFG_O4-O6_TPU_MALE_MARR_NOCHILD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583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111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231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231 AFG_O4-O6_TPU_FEMALE_ALL_FAMILY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1,066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223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232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232 AFG_O4-O6_AGR_ALLGen_ALL_FAMILY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2,218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414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233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233 AFG_O4-O6_MIL_MALE_ALL_FAMILY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1,530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272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234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234 AFG_O4-O6_MIL_FEMALE_ALL_FAMILY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373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66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235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235 AFR_E1-E4_TPU_MALE_SING_CHILD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433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77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236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236 AFR_E1-E4_TPU_MALE_SING_NOCHILD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7,856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1,506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237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237 AFR_E1-E4_TPU_MALE_MARR_CHILD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1,616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268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238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238 AFR_E1-E4_TPU_MALE_MARR_NOCHILD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1,241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195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239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239 AFR_E1-E4_TPU_FEMALE_SING_CHILD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522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103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240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240 AFR_E1-E4_TPU_FEMALE_SING_NOCHILD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4,014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691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241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241 AFR_E1-E4_TPU_FEMALE_MARR_CHILD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577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111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242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242 AFR_E1-E4_TPU_FEMALE_MARR_NOCHILD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711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115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243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243 AFR_E1-E4_AGR/MIL/IMA_ALLGen_ALL_FAMILY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938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180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244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244 AFR_E5-E9_TPU_MALE_SING_CHILD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1,571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152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245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245 AFR_E5-E9_TPU_MALE_SING_NOCHILD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4,897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504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246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246 AFR_E5-E9_TPU_MALE_MARR_CHILD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9,122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749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247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247 AFR_E5-E9_TPU_MALE_MARR_NOCHILD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2,807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247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248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248 AFR_E5-E9_TPU_FEMALE_SING_CHILD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1,137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122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249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249 AFR_E5-E9_TPU_FEMALE_SING_NOCHILD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2,110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193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250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250 AFR_E5-E9_TPU_FEMALE_MARR_CHILD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2,111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187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251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251 AFR_E5-E9_TPU_FEMALE_MARR_NOCHILD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1,082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102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252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252 AFR_E5-E9_AGR_MALE_SINGLE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487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41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253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253 AFR_E5-E9_AGR_MALE_MARRIED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1,406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103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254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254 AFR_E5-E9_AGR_FEMALE_SINGLE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299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31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255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255 AFR_E5-E9_AGR_FEMALE_MARRIED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398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32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256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256 AFR_E5-E9_MIL_MALE_SING_CHILD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512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45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257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257 AFR_E5-E9_MIL_MALE_SING_NOCHILD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1,151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87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258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258 AFR_E5-E9_MIL_MALE_MARR_CHILD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2,862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195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259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259 AFR_E5-E9_MIL_MALE_MARR_NOCHILD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1,021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260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260 AFR_E5-E9_MIL_FEMALE_SINGLE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650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50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261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261 AFR_E5-E9_MIL_FEMALE_MARRIED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664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262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262 AFR_E5-E9_IMA_MALE_SINGLE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518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98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263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263 AFR_E5-E9_IMA_MALE_MARRIED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1,217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174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264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264 AFR_E5-E9_IMA_FEMALE_SINGLE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347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265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265 AFR_E5-E9_IMA_FEMALE_MARRIED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548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90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266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266 AFR_W1-O3_TPU_MALE_SINGLE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675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465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267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267 AFR_W1-O3_TPU_MALE_MARR_CHILD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809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513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268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268 AFR_W1-O3_TPU_MALE_MARR_NOCHILD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369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242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269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269 AFR_W1-O3_TPU_FEMALE_SINGLE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433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269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270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270 AFR_W1-O3_TPU_FEMALE_MARRIED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493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346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271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271 AFR_W1-O3_AGR/MIL_ALLGen_ALL_FAMILY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480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343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272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272 AFR_W1-O3_IMA_ALLGen_ALL_FAMILY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862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529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273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273 AFR_O4-O6_TPU_MALE_SINGLE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570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114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274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274 AFR_O4-O6_TPU_MALE_MARR_CHILD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2,575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499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275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275 AFR_O4-O6_TPU_MALE_MARR_NOCHILD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430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77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276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276 AFR_O4-O6_TPU_FEMALE_SINGLE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322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54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277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277 AFR_O4-O6_TPU_FEMALE_MARRIED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761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136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278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278 AFR_O4-O6_AGR_ALLGen_ALL_FAMILY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1,140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193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279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279 AFR_O4-O6_MIL_ALLGen_ALL_FAMILY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1,127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179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280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280 AFR_O4-O6_IMA_MALE_SINGLE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344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73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281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281 AFR_O4-O6_IMA_MALE_MARR_CHILD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1,723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335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282</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282 AFR_O4-O6_IMA_MALE_MARR_NOCHILD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339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283</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283 AFR_O4-O6_IMA_FEMALE_ALL_FAMILY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1,101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225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284</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284 CGR_E1-E4_TPU_ALLGen_SINGLE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698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698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285</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285 CGR_E1-E4_TPU_ALLGen_MARRIED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437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437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286</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286 CGR_E5-E9_TPU_ALLGen_SING_CHILD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320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320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287</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287 CGR_E5-E9_TPU_ALLGen_SING_NOCHILD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869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869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288</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288 CGR_E5-E9_TPU_ALLGen_MARR_CHILD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2,171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2,171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289</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289 CGR_E5-E9_TPU_ALLGen_MARR_NOCHILD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711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711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lastRenderedPageBreak/>
              <w:t>290</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290 CGR_W1-O3_TPU_ALLGen_ALL_FAMILY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542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542 </w:t>
            </w:r>
          </w:p>
        </w:tc>
      </w:tr>
      <w:tr w:rsidRPr="005A51C8" w:rsidR="005A51C8" w:rsidTr="005A51C8">
        <w:trPr>
          <w:trHeight w:val="260"/>
        </w:trPr>
        <w:tc>
          <w:tcPr>
            <w:tcW w:w="860" w:type="dxa"/>
            <w:tcBorders>
              <w:top w:val="nil"/>
              <w:left w:val="single" w:color="auto" w:sz="4" w:space="0"/>
              <w:bottom w:val="single" w:color="auto" w:sz="4" w:space="0"/>
              <w:right w:val="single" w:color="auto" w:sz="4" w:space="0"/>
            </w:tcBorders>
            <w:shd w:val="clear" w:color="auto" w:fill="auto"/>
            <w:vAlign w:val="bottom"/>
            <w:hideMark/>
          </w:tcPr>
          <w:p w:rsidRPr="005A51C8" w:rsidR="005A51C8" w:rsidP="005A51C8" w:rsidRDefault="005A51C8">
            <w:pPr>
              <w:jc w:val="center"/>
              <w:rPr>
                <w:color w:val="000000"/>
                <w:sz w:val="20"/>
                <w:szCs w:val="20"/>
              </w:rPr>
            </w:pPr>
            <w:r w:rsidRPr="005A51C8">
              <w:rPr>
                <w:color w:val="000000"/>
                <w:sz w:val="20"/>
                <w:szCs w:val="20"/>
              </w:rPr>
              <w:t>291</w:t>
            </w:r>
          </w:p>
        </w:tc>
        <w:tc>
          <w:tcPr>
            <w:tcW w:w="548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rPr>
                <w:color w:val="000000"/>
                <w:sz w:val="20"/>
                <w:szCs w:val="20"/>
              </w:rPr>
            </w:pPr>
            <w:r w:rsidRPr="005A51C8">
              <w:rPr>
                <w:color w:val="000000"/>
                <w:sz w:val="20"/>
                <w:szCs w:val="20"/>
              </w:rPr>
              <w:t xml:space="preserve">291 CGR_O4-O6_TPU_ALLGen_ALL_FAMILY </w:t>
            </w:r>
          </w:p>
        </w:tc>
        <w:tc>
          <w:tcPr>
            <w:tcW w:w="1240" w:type="dxa"/>
            <w:tcBorders>
              <w:top w:val="nil"/>
              <w:left w:val="nil"/>
              <w:bottom w:val="single" w:color="auto" w:sz="4" w:space="0"/>
              <w:right w:val="single" w:color="auto" w:sz="4" w:space="0"/>
            </w:tcBorders>
            <w:shd w:val="clear" w:color="auto" w:fill="auto"/>
            <w:noWrap/>
            <w:vAlign w:val="bottom"/>
            <w:hideMark/>
          </w:tcPr>
          <w:p w:rsidRPr="005A51C8" w:rsidR="005A51C8" w:rsidP="005A51C8" w:rsidRDefault="005A51C8">
            <w:pPr>
              <w:jc w:val="right"/>
              <w:rPr>
                <w:color w:val="000000"/>
                <w:sz w:val="20"/>
                <w:szCs w:val="20"/>
              </w:rPr>
            </w:pPr>
            <w:r w:rsidRPr="005A51C8">
              <w:rPr>
                <w:color w:val="000000"/>
                <w:sz w:val="20"/>
                <w:szCs w:val="20"/>
              </w:rPr>
              <w:t xml:space="preserve">467 </w:t>
            </w:r>
          </w:p>
        </w:tc>
        <w:tc>
          <w:tcPr>
            <w:tcW w:w="1060" w:type="dxa"/>
            <w:tcBorders>
              <w:top w:val="nil"/>
              <w:left w:val="nil"/>
              <w:bottom w:val="single" w:color="auto" w:sz="4" w:space="0"/>
              <w:right w:val="single" w:color="auto" w:sz="4" w:space="0"/>
            </w:tcBorders>
            <w:shd w:val="clear" w:color="auto" w:fill="auto"/>
            <w:noWrap/>
            <w:vAlign w:val="bottom"/>
            <w:hideMark/>
          </w:tcPr>
          <w:p w:rsidRPr="005A51C8" w:rsidR="005A51C8" w:rsidP="006C381E" w:rsidRDefault="005A51C8">
            <w:pPr>
              <w:jc w:val="right"/>
              <w:rPr>
                <w:color w:val="000000"/>
                <w:sz w:val="20"/>
                <w:szCs w:val="20"/>
              </w:rPr>
            </w:pPr>
            <w:r w:rsidRPr="005A51C8">
              <w:rPr>
                <w:color w:val="000000"/>
                <w:sz w:val="20"/>
                <w:szCs w:val="20"/>
              </w:rPr>
              <w:t xml:space="preserve">467 </w:t>
            </w:r>
          </w:p>
        </w:tc>
      </w:tr>
    </w:tbl>
    <w:p w:rsidRPr="00F92085" w:rsidR="00D062EC" w:rsidP="005A51C8" w:rsidRDefault="00D062EC">
      <w:pPr>
        <w:pStyle w:val="NormalWeb"/>
        <w:spacing w:line="288" w:lineRule="atLeast"/>
      </w:pPr>
    </w:p>
    <w:sectPr w:rsidRPr="00F92085" w:rsidR="00D062EC" w:rsidSect="00F1447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0E5" w:rsidRDefault="00C440E5" w:rsidP="00977A74">
      <w:r>
        <w:separator/>
      </w:r>
    </w:p>
  </w:endnote>
  <w:endnote w:type="continuationSeparator" w:id="0">
    <w:p w:rsidR="00C440E5" w:rsidRDefault="00C440E5" w:rsidP="009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B2" w:rsidRDefault="00BA35B2">
    <w:pPr>
      <w:pStyle w:val="Footer"/>
      <w:jc w:val="center"/>
    </w:pPr>
    <w:r>
      <w:fldChar w:fldCharType="begin"/>
    </w:r>
    <w:r>
      <w:instrText xml:space="preserve"> PAGE   \* MERGEFORMAT </w:instrText>
    </w:r>
    <w:r>
      <w:fldChar w:fldCharType="separate"/>
    </w:r>
    <w:r w:rsidR="006678AC">
      <w:rPr>
        <w:noProof/>
      </w:rPr>
      <w:t>2</w:t>
    </w:r>
    <w:r>
      <w:fldChar w:fldCharType="end"/>
    </w:r>
  </w:p>
  <w:p w:rsidR="00BA35B2" w:rsidRDefault="00BA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0E5" w:rsidRDefault="00C440E5" w:rsidP="00977A74">
      <w:r>
        <w:separator/>
      </w:r>
    </w:p>
  </w:footnote>
  <w:footnote w:type="continuationSeparator" w:id="0">
    <w:p w:rsidR="00C440E5" w:rsidRDefault="00C440E5" w:rsidP="00977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4DFC"/>
    <w:multiLevelType w:val="multilevel"/>
    <w:tmpl w:val="AB149340"/>
    <w:lvl w:ilvl="0">
      <w:start w:val="1"/>
      <w:numFmt w:val="lowerLetter"/>
      <w:pStyle w:val="DocParagraphOutlineLevel4"/>
      <w:lvlText w:val="%1)"/>
      <w:lvlJc w:val="left"/>
      <w:pPr>
        <w:tabs>
          <w:tab w:val="num" w:pos="1440"/>
        </w:tabs>
        <w:ind w:left="2880" w:hanging="720"/>
      </w:pPr>
      <w:rPr>
        <w:color w:val="auto"/>
      </w:rPr>
    </w:lvl>
    <w:lvl w:ilvl="1">
      <w:start w:val="1"/>
      <w:numFmt w:val="lowerLetter"/>
      <w:lvlText w:val="%2)"/>
      <w:lvlJc w:val="left"/>
      <w:pPr>
        <w:tabs>
          <w:tab w:val="num" w:pos="1800"/>
        </w:tabs>
        <w:ind w:left="1800" w:hanging="360"/>
      </w:pPr>
      <w:rPr>
        <w:b w:val="0"/>
      </w:rPr>
    </w:lvl>
    <w:lvl w:ilvl="2">
      <w:start w:val="1"/>
      <w:numFmt w:val="lowerRoman"/>
      <w:lvlText w:val="%3)"/>
      <w:lvlJc w:val="left"/>
      <w:pPr>
        <w:tabs>
          <w:tab w:val="num" w:pos="2160"/>
        </w:tabs>
        <w:ind w:left="21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1" w15:restartNumberingAfterBreak="0">
    <w:nsid w:val="6B197680"/>
    <w:multiLevelType w:val="multilevel"/>
    <w:tmpl w:val="A9CC971C"/>
    <w:lvl w:ilvl="0">
      <w:start w:val="1"/>
      <w:numFmt w:val="decimal"/>
      <w:pStyle w:val="DocParagraphOutlineLevel3"/>
      <w:lvlText w:val="%1."/>
      <w:lvlJc w:val="left"/>
      <w:pPr>
        <w:tabs>
          <w:tab w:val="num" w:pos="2160"/>
        </w:tabs>
        <w:ind w:left="2160" w:hanging="72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77FA14B6"/>
    <w:multiLevelType w:val="hybridMultilevel"/>
    <w:tmpl w:val="29483238"/>
    <w:lvl w:ilvl="0" w:tplc="04090001">
      <w:start w:val="1"/>
      <w:numFmt w:val="bullet"/>
      <w:lvlText w:val=""/>
      <w:lvlJc w:val="left"/>
      <w:pPr>
        <w:ind w:left="2880" w:hanging="360"/>
      </w:pPr>
      <w:rPr>
        <w:rFonts w:ascii="Symbol" w:hAnsi="Symbol" w:hint="default"/>
      </w:rPr>
    </w:lvl>
    <w:lvl w:ilvl="1" w:tplc="7EE6C726">
      <w:numFmt w:val="bullet"/>
      <w:lvlText w:val="•"/>
      <w:lvlJc w:val="left"/>
      <w:pPr>
        <w:ind w:left="3960" w:hanging="720"/>
      </w:pPr>
      <w:rPr>
        <w:rFonts w:ascii="Times New Roman" w:eastAsia="Times New Roman" w:hAnsi="Times New Roman"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C5F5B"/>
    <w:rsid w:val="0011279F"/>
    <w:rsid w:val="001176B0"/>
    <w:rsid w:val="001227E7"/>
    <w:rsid w:val="001C64B9"/>
    <w:rsid w:val="002A1C85"/>
    <w:rsid w:val="002A4B5F"/>
    <w:rsid w:val="0030008B"/>
    <w:rsid w:val="00376D87"/>
    <w:rsid w:val="003C72E8"/>
    <w:rsid w:val="004B64EA"/>
    <w:rsid w:val="004D49C9"/>
    <w:rsid w:val="00511BDF"/>
    <w:rsid w:val="00557BB5"/>
    <w:rsid w:val="005A51C8"/>
    <w:rsid w:val="005E0A0F"/>
    <w:rsid w:val="006072D3"/>
    <w:rsid w:val="00622773"/>
    <w:rsid w:val="006678AC"/>
    <w:rsid w:val="00687AE6"/>
    <w:rsid w:val="006907AD"/>
    <w:rsid w:val="006B2B17"/>
    <w:rsid w:val="006C381E"/>
    <w:rsid w:val="006F3F40"/>
    <w:rsid w:val="00725106"/>
    <w:rsid w:val="00786F16"/>
    <w:rsid w:val="0080031C"/>
    <w:rsid w:val="00801D6C"/>
    <w:rsid w:val="0080370E"/>
    <w:rsid w:val="00834E27"/>
    <w:rsid w:val="00896772"/>
    <w:rsid w:val="008A1375"/>
    <w:rsid w:val="00956211"/>
    <w:rsid w:val="00977A74"/>
    <w:rsid w:val="00985BCF"/>
    <w:rsid w:val="009A2024"/>
    <w:rsid w:val="009F0B30"/>
    <w:rsid w:val="009F28DB"/>
    <w:rsid w:val="00A253B9"/>
    <w:rsid w:val="00A93CBF"/>
    <w:rsid w:val="00AD3C99"/>
    <w:rsid w:val="00BA35B2"/>
    <w:rsid w:val="00BB5493"/>
    <w:rsid w:val="00BF2F58"/>
    <w:rsid w:val="00C01B27"/>
    <w:rsid w:val="00C269A2"/>
    <w:rsid w:val="00C34D08"/>
    <w:rsid w:val="00C36EA2"/>
    <w:rsid w:val="00C440E5"/>
    <w:rsid w:val="00C53FA6"/>
    <w:rsid w:val="00C607DE"/>
    <w:rsid w:val="00C66D8C"/>
    <w:rsid w:val="00CB4582"/>
    <w:rsid w:val="00CC0F92"/>
    <w:rsid w:val="00CC4C75"/>
    <w:rsid w:val="00CF5359"/>
    <w:rsid w:val="00D062EC"/>
    <w:rsid w:val="00D15338"/>
    <w:rsid w:val="00D46148"/>
    <w:rsid w:val="00D8703A"/>
    <w:rsid w:val="00D92847"/>
    <w:rsid w:val="00DA25AE"/>
    <w:rsid w:val="00E5182A"/>
    <w:rsid w:val="00E54923"/>
    <w:rsid w:val="00EA4CFD"/>
    <w:rsid w:val="00F1447C"/>
    <w:rsid w:val="00F434B6"/>
    <w:rsid w:val="00F853C7"/>
    <w:rsid w:val="00F92085"/>
    <w:rsid w:val="00F92ACC"/>
    <w:rsid w:val="00FC3B40"/>
    <w:rsid w:val="00FD550B"/>
    <w:rsid w:val="00FD6CD2"/>
    <w:rsid w:val="00FF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610F64"/>
  <w15:chartTrackingRefBased/>
  <w15:docId w15:val="{832E8389-6A58-42F5-A69E-0EE84BCF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paragraph" w:styleId="CommentText">
    <w:name w:val="annotation text"/>
    <w:basedOn w:val="Normal"/>
    <w:link w:val="CommentTextChar"/>
    <w:semiHidden/>
    <w:unhideWhenUsed/>
    <w:rsid w:val="006072D3"/>
    <w:rPr>
      <w:sz w:val="20"/>
      <w:szCs w:val="20"/>
    </w:rPr>
  </w:style>
  <w:style w:type="character" w:customStyle="1" w:styleId="CommentTextChar">
    <w:name w:val="Comment Text Char"/>
    <w:link w:val="CommentText"/>
    <w:semiHidden/>
    <w:rsid w:val="006072D3"/>
    <w:rPr>
      <w:rFonts w:ascii="Times New Roman" w:eastAsia="Times New Roman" w:hAnsi="Times New Roman"/>
    </w:rPr>
  </w:style>
  <w:style w:type="paragraph" w:customStyle="1" w:styleId="DocParagraphOutlineLevel3">
    <w:name w:val="Doc_Paragraph Outline Level 3"/>
    <w:basedOn w:val="Normal"/>
    <w:rsid w:val="006072D3"/>
    <w:pPr>
      <w:numPr>
        <w:numId w:val="1"/>
      </w:numPr>
      <w:spacing w:before="240" w:after="240"/>
    </w:pPr>
  </w:style>
  <w:style w:type="character" w:styleId="CommentReference">
    <w:name w:val="annotation reference"/>
    <w:semiHidden/>
    <w:unhideWhenUsed/>
    <w:rsid w:val="006072D3"/>
    <w:rPr>
      <w:sz w:val="16"/>
      <w:szCs w:val="16"/>
    </w:rPr>
  </w:style>
  <w:style w:type="paragraph" w:styleId="BalloonText">
    <w:name w:val="Balloon Text"/>
    <w:basedOn w:val="Normal"/>
    <w:link w:val="BalloonTextChar"/>
    <w:uiPriority w:val="99"/>
    <w:semiHidden/>
    <w:unhideWhenUsed/>
    <w:rsid w:val="006072D3"/>
    <w:rPr>
      <w:rFonts w:ascii="Segoe UI" w:hAnsi="Segoe UI" w:cs="Segoe UI"/>
      <w:sz w:val="18"/>
      <w:szCs w:val="18"/>
    </w:rPr>
  </w:style>
  <w:style w:type="character" w:customStyle="1" w:styleId="BalloonTextChar">
    <w:name w:val="Balloon Text Char"/>
    <w:link w:val="BalloonText"/>
    <w:uiPriority w:val="99"/>
    <w:semiHidden/>
    <w:rsid w:val="006072D3"/>
    <w:rPr>
      <w:rFonts w:ascii="Segoe UI" w:eastAsia="Times New Roman" w:hAnsi="Segoe UI" w:cs="Segoe UI"/>
      <w:sz w:val="18"/>
      <w:szCs w:val="18"/>
    </w:rPr>
  </w:style>
  <w:style w:type="character" w:customStyle="1" w:styleId="DocLevel4ParagraphTextChar">
    <w:name w:val="Doc_Level 4 Paragraph Text Char"/>
    <w:link w:val="DocLevel4ParagraphText"/>
    <w:locked/>
    <w:rsid w:val="006072D3"/>
    <w:rPr>
      <w:sz w:val="24"/>
      <w:szCs w:val="24"/>
    </w:rPr>
  </w:style>
  <w:style w:type="paragraph" w:customStyle="1" w:styleId="DocLevel4ParagraphText">
    <w:name w:val="Doc_Level 4 Paragraph Text"/>
    <w:basedOn w:val="Normal"/>
    <w:link w:val="DocLevel4ParagraphTextChar"/>
    <w:rsid w:val="006072D3"/>
    <w:pPr>
      <w:spacing w:before="240" w:after="240"/>
      <w:ind w:left="2880"/>
    </w:pPr>
    <w:rPr>
      <w:rFonts w:ascii="Calibri" w:eastAsia="Calibri" w:hAnsi="Calibri"/>
    </w:rPr>
  </w:style>
  <w:style w:type="character" w:customStyle="1" w:styleId="DocParagraphOutlineLevel4Char">
    <w:name w:val="Doc_Paragraph Outline Level 4 Char"/>
    <w:link w:val="DocParagraphOutlineLevel4"/>
    <w:locked/>
    <w:rsid w:val="006072D3"/>
    <w:rPr>
      <w:sz w:val="24"/>
      <w:szCs w:val="24"/>
    </w:rPr>
  </w:style>
  <w:style w:type="paragraph" w:customStyle="1" w:styleId="DocParagraphOutlineLevel4">
    <w:name w:val="Doc_Paragraph Outline Level 4"/>
    <w:basedOn w:val="Normal"/>
    <w:next w:val="Normal"/>
    <w:link w:val="DocParagraphOutlineLevel4Char"/>
    <w:rsid w:val="006072D3"/>
    <w:pPr>
      <w:numPr>
        <w:numId w:val="2"/>
      </w:numPr>
      <w:spacing w:before="240" w:after="240"/>
    </w:pPr>
    <w:rPr>
      <w:rFonts w:ascii="Calibri" w:eastAsia="Calibri" w:hAnsi="Calibri"/>
    </w:rPr>
  </w:style>
  <w:style w:type="paragraph" w:customStyle="1" w:styleId="DocLevel2ParagraphText">
    <w:name w:val="Doc_Level 2 Paragraph Text"/>
    <w:basedOn w:val="Normal"/>
    <w:next w:val="Normal"/>
    <w:rsid w:val="00FD6CD2"/>
    <w:pPr>
      <w:spacing w:before="240" w:after="240"/>
      <w:ind w:left="1440"/>
    </w:pPr>
  </w:style>
  <w:style w:type="paragraph" w:customStyle="1" w:styleId="DocLevel3ParagraphText">
    <w:name w:val="Doc_Level 3 Paragraph Text"/>
    <w:basedOn w:val="DocParagraphOutlineLevel3"/>
    <w:next w:val="Normal"/>
    <w:rsid w:val="001176B0"/>
    <w:pPr>
      <w:numPr>
        <w:numId w:val="0"/>
      </w:numPr>
      <w:spacing w:line="288" w:lineRule="atLeast"/>
      <w:ind w:left="2160"/>
    </w:pPr>
  </w:style>
  <w:style w:type="paragraph" w:customStyle="1" w:styleId="DocParagraphOutlineLevel2">
    <w:name w:val="Doc_Paragraph Outline Level 2"/>
    <w:basedOn w:val="DocParagraphOutlineLevel3"/>
    <w:next w:val="DocParagraphOutlineLevel3"/>
    <w:rsid w:val="00E54923"/>
    <w:pPr>
      <w:numPr>
        <w:numId w:val="0"/>
      </w:numPr>
    </w:pPr>
    <w:rPr>
      <w:b/>
      <w:u w:val="single"/>
    </w:rPr>
  </w:style>
  <w:style w:type="character" w:styleId="Hyperlink">
    <w:name w:val="Hyperlink"/>
    <w:uiPriority w:val="99"/>
    <w:semiHidden/>
    <w:unhideWhenUsed/>
    <w:rsid w:val="005A51C8"/>
    <w:rPr>
      <w:color w:val="0000FF"/>
      <w:u w:val="single"/>
    </w:rPr>
  </w:style>
  <w:style w:type="character" w:styleId="FollowedHyperlink">
    <w:name w:val="FollowedHyperlink"/>
    <w:uiPriority w:val="99"/>
    <w:semiHidden/>
    <w:unhideWhenUsed/>
    <w:rsid w:val="005A51C8"/>
    <w:rPr>
      <w:color w:val="800080"/>
      <w:u w:val="single"/>
    </w:rPr>
  </w:style>
  <w:style w:type="paragraph" w:customStyle="1" w:styleId="msonormal0">
    <w:name w:val="msonormal"/>
    <w:basedOn w:val="Normal"/>
    <w:rsid w:val="005A51C8"/>
    <w:pPr>
      <w:spacing w:before="100" w:beforeAutospacing="1" w:after="100" w:afterAutospacing="1"/>
    </w:pPr>
  </w:style>
  <w:style w:type="paragraph" w:customStyle="1" w:styleId="xl68">
    <w:name w:val="xl68"/>
    <w:basedOn w:val="Normal"/>
    <w:rsid w:val="005A51C8"/>
    <w:pPr>
      <w:spacing w:before="100" w:beforeAutospacing="1" w:after="100" w:afterAutospacing="1"/>
    </w:pPr>
    <w:rPr>
      <w:sz w:val="20"/>
      <w:szCs w:val="20"/>
    </w:rPr>
  </w:style>
  <w:style w:type="paragraph" w:customStyle="1" w:styleId="xl69">
    <w:name w:val="xl69"/>
    <w:basedOn w:val="Normal"/>
    <w:rsid w:val="005A51C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0"/>
      <w:szCs w:val="20"/>
    </w:rPr>
  </w:style>
  <w:style w:type="paragraph" w:customStyle="1" w:styleId="xl70">
    <w:name w:val="xl70"/>
    <w:basedOn w:val="Normal"/>
    <w:rsid w:val="005A51C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1">
    <w:name w:val="xl71"/>
    <w:basedOn w:val="Normal"/>
    <w:rsid w:val="005A51C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Normal"/>
    <w:rsid w:val="005A51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3">
    <w:name w:val="xl73"/>
    <w:basedOn w:val="Normal"/>
    <w:rsid w:val="005A51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74">
    <w:name w:val="xl74"/>
    <w:basedOn w:val="Normal"/>
    <w:rsid w:val="005A51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00974">
      <w:bodyDiv w:val="1"/>
      <w:marLeft w:val="0"/>
      <w:marRight w:val="0"/>
      <w:marTop w:val="0"/>
      <w:marBottom w:val="0"/>
      <w:divBdr>
        <w:top w:val="none" w:sz="0" w:space="0" w:color="auto"/>
        <w:left w:val="none" w:sz="0" w:space="0" w:color="auto"/>
        <w:bottom w:val="none" w:sz="0" w:space="0" w:color="auto"/>
        <w:right w:val="none" w:sz="0" w:space="0" w:color="auto"/>
      </w:divBdr>
    </w:div>
    <w:div w:id="497888800">
      <w:bodyDiv w:val="1"/>
      <w:marLeft w:val="0"/>
      <w:marRight w:val="0"/>
      <w:marTop w:val="0"/>
      <w:marBottom w:val="0"/>
      <w:divBdr>
        <w:top w:val="none" w:sz="0" w:space="0" w:color="auto"/>
        <w:left w:val="none" w:sz="0" w:space="0" w:color="auto"/>
        <w:bottom w:val="none" w:sz="0" w:space="0" w:color="auto"/>
        <w:right w:val="none" w:sz="0" w:space="0" w:color="auto"/>
      </w:divBdr>
    </w:div>
    <w:div w:id="649135697">
      <w:bodyDiv w:val="1"/>
      <w:marLeft w:val="0"/>
      <w:marRight w:val="0"/>
      <w:marTop w:val="0"/>
      <w:marBottom w:val="0"/>
      <w:divBdr>
        <w:top w:val="none" w:sz="0" w:space="0" w:color="auto"/>
        <w:left w:val="none" w:sz="0" w:space="0" w:color="auto"/>
        <w:bottom w:val="none" w:sz="0" w:space="0" w:color="auto"/>
        <w:right w:val="none" w:sz="0" w:space="0" w:color="auto"/>
      </w:divBdr>
    </w:div>
    <w:div w:id="1638221754">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 w:id="1837308507">
      <w:bodyDiv w:val="1"/>
      <w:marLeft w:val="0"/>
      <w:marRight w:val="0"/>
      <w:marTop w:val="0"/>
      <w:marBottom w:val="0"/>
      <w:divBdr>
        <w:top w:val="none" w:sz="0" w:space="0" w:color="auto"/>
        <w:left w:val="none" w:sz="0" w:space="0" w:color="auto"/>
        <w:bottom w:val="none" w:sz="0" w:space="0" w:color="auto"/>
        <w:right w:val="none" w:sz="0" w:space="0" w:color="auto"/>
      </w:divBdr>
    </w:div>
    <w:div w:id="1857184281">
      <w:bodyDiv w:val="1"/>
      <w:marLeft w:val="0"/>
      <w:marRight w:val="0"/>
      <w:marTop w:val="0"/>
      <w:marBottom w:val="0"/>
      <w:divBdr>
        <w:top w:val="none" w:sz="0" w:space="0" w:color="auto"/>
        <w:left w:val="none" w:sz="0" w:space="0" w:color="auto"/>
        <w:bottom w:val="none" w:sz="0" w:space="0" w:color="auto"/>
        <w:right w:val="none" w:sz="0" w:space="0" w:color="auto"/>
      </w:divBdr>
    </w:div>
    <w:div w:id="197220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3529</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Toppings</dc:creator>
  <cp:keywords/>
  <dc:description/>
  <cp:lastModifiedBy>Kim, Brandon H CTR WHS ESD</cp:lastModifiedBy>
  <cp:revision>2</cp:revision>
  <cp:lastPrinted>2013-01-25T19:13:00Z</cp:lastPrinted>
  <dcterms:created xsi:type="dcterms:W3CDTF">2022-02-22T19:50:00Z</dcterms:created>
  <dcterms:modified xsi:type="dcterms:W3CDTF">2022-02-22T19:50:00Z</dcterms:modified>
</cp:coreProperties>
</file>