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06740" w:rsidR="004C7516" w:rsidP="005F1086" w:rsidRDefault="00F92ACC" w14:paraId="6ED327DA" w14:textId="3424C40A">
      <w:pPr>
        <w:pStyle w:val="NormalWeb"/>
        <w:spacing w:line="288" w:lineRule="atLeast"/>
        <w:ind w:firstLine="480"/>
        <w:jc w:val="center"/>
        <w:rPr>
          <w:u w:val="single"/>
        </w:rPr>
      </w:pPr>
      <w:bookmarkStart w:name="cs31d" w:id="0"/>
      <w:r w:rsidRPr="00E06740">
        <w:rPr>
          <w:u w:val="single"/>
        </w:rPr>
        <w:t>SUPPORTING STATEMENT</w:t>
      </w:r>
      <w:r w:rsidRPr="00E06740" w:rsidR="000A2459">
        <w:rPr>
          <w:u w:val="single"/>
        </w:rPr>
        <w:t xml:space="preserve"> – PART A</w:t>
      </w:r>
    </w:p>
    <w:p w:rsidRPr="00E06740" w:rsidR="00843F8B" w:rsidP="00820D3D" w:rsidRDefault="00645051" w14:paraId="67232F28" w14:textId="0176EB60">
      <w:pPr>
        <w:pStyle w:val="NormalWeb"/>
        <w:spacing w:line="288" w:lineRule="atLeast"/>
        <w:ind w:firstLine="480"/>
        <w:jc w:val="center"/>
      </w:pPr>
      <w:bookmarkStart w:name="_Hlk65583917" w:id="1"/>
      <w:r>
        <w:t xml:space="preserve">Rapid </w:t>
      </w:r>
      <w:r w:rsidR="00AF2AD0">
        <w:t>Ordinary High Water Mark</w:t>
      </w:r>
      <w:r w:rsidRPr="00E06740" w:rsidR="00841CAE">
        <w:t xml:space="preserve"> Field Identification Datasheet</w:t>
      </w:r>
      <w:r w:rsidRPr="00E06740" w:rsidR="007F381E">
        <w:t xml:space="preserve"> – </w:t>
      </w:r>
      <w:r w:rsidRPr="00E06740" w:rsidR="001A78AF">
        <w:t>0710</w:t>
      </w:r>
      <w:r w:rsidRPr="00E06740" w:rsidR="00812823">
        <w:t>-</w:t>
      </w:r>
      <w:r w:rsidRPr="00E06740" w:rsidR="001A78AF">
        <w:t>OHWM</w:t>
      </w:r>
    </w:p>
    <w:p w:rsidRPr="00E06740" w:rsidR="00043D14" w:rsidP="00043D14" w:rsidRDefault="005E0A0F" w14:paraId="568B85C9" w14:textId="3F39E92B">
      <w:pPr>
        <w:pStyle w:val="NormalWeb"/>
        <w:spacing w:line="288" w:lineRule="atLeast"/>
        <w:rPr>
          <w:rFonts w:eastAsia="Calibri"/>
        </w:rPr>
      </w:pPr>
      <w:bookmarkStart w:name="cp432" w:id="2"/>
      <w:bookmarkEnd w:id="0"/>
      <w:bookmarkEnd w:id="1"/>
      <w:r w:rsidRPr="00E06740">
        <w:t xml:space="preserve">1.  </w:t>
      </w:r>
      <w:r w:rsidRPr="00E06740">
        <w:rPr>
          <w:u w:val="single"/>
        </w:rPr>
        <w:t>Need for the Information Collection</w:t>
      </w:r>
      <w:bookmarkEnd w:id="2"/>
    </w:p>
    <w:p w:rsidRPr="00E06740" w:rsidR="00715187" w:rsidP="00043D14" w:rsidRDefault="009C6F22" w14:paraId="2B0691F9" w14:textId="4A9D490B">
      <w:pPr>
        <w:autoSpaceDE w:val="0"/>
        <w:autoSpaceDN w:val="0"/>
        <w:adjustRightInd w:val="0"/>
        <w:rPr>
          <w:rFonts w:eastAsia="Calibri"/>
        </w:rPr>
      </w:pPr>
      <w:r w:rsidRPr="00E06740">
        <w:rPr>
          <w:rFonts w:eastAsia="Calibri"/>
        </w:rPr>
        <w:t xml:space="preserve">The U.S. Army Corps of Engineers </w:t>
      </w:r>
      <w:r w:rsidRPr="00E06740" w:rsidR="002B5397">
        <w:rPr>
          <w:rFonts w:eastAsia="Calibri"/>
        </w:rPr>
        <w:t>is proposing to</w:t>
      </w:r>
      <w:r w:rsidRPr="00E06740">
        <w:rPr>
          <w:rFonts w:eastAsia="Calibri"/>
        </w:rPr>
        <w:t xml:space="preserve"> collect information through its</w:t>
      </w:r>
      <w:r w:rsidR="00645051">
        <w:rPr>
          <w:rFonts w:eastAsia="Calibri"/>
        </w:rPr>
        <w:t xml:space="preserve"> Rapid</w:t>
      </w:r>
      <w:r w:rsidRPr="00E06740">
        <w:rPr>
          <w:rFonts w:eastAsia="Calibri"/>
        </w:rPr>
        <w:t xml:space="preserve"> </w:t>
      </w:r>
      <w:r w:rsidRPr="00E06740" w:rsidR="002B5397">
        <w:rPr>
          <w:rFonts w:eastAsia="Calibri"/>
        </w:rPr>
        <w:t>Ordinary High Water Mark (OHWM) Field Identification Datasheet</w:t>
      </w:r>
      <w:r w:rsidR="003E6E9D">
        <w:rPr>
          <w:rFonts w:eastAsia="Calibri"/>
        </w:rPr>
        <w:t xml:space="preserve"> (ENG 6250)</w:t>
      </w:r>
      <w:r w:rsidRPr="00E06740">
        <w:rPr>
          <w:rFonts w:eastAsia="Calibri"/>
        </w:rPr>
        <w:t xml:space="preserve">. </w:t>
      </w:r>
    </w:p>
    <w:p w:rsidRPr="00E06740" w:rsidR="00752F71" w:rsidP="001D0979" w:rsidRDefault="00752F71" w14:paraId="27829867" w14:textId="77777777">
      <w:pPr>
        <w:autoSpaceDE w:val="0"/>
        <w:autoSpaceDN w:val="0"/>
        <w:adjustRightInd w:val="0"/>
        <w:rPr>
          <w:rFonts w:eastAsia="Calibri"/>
        </w:rPr>
      </w:pPr>
    </w:p>
    <w:p w:rsidRPr="00E06740" w:rsidR="00222245" w:rsidP="00043D14" w:rsidRDefault="00222245" w14:paraId="190E8640" w14:textId="6BC44688">
      <w:pPr>
        <w:autoSpaceDE w:val="0"/>
        <w:autoSpaceDN w:val="0"/>
        <w:adjustRightInd w:val="0"/>
        <w:rPr>
          <w:rFonts w:eastAsia="Calibri"/>
          <w:color w:val="FF0000"/>
        </w:rPr>
      </w:pPr>
      <w:r w:rsidRPr="00E06740">
        <w:rPr>
          <w:rFonts w:eastAsia="Calibri"/>
        </w:rPr>
        <w:t xml:space="preserve">The U.S. Army Corps of Engineers, through its Regulatory Program, regulates certain activities in waters of the United States. Waters of the United States are defined under 33 CFR Part 328. </w:t>
      </w:r>
      <w:r w:rsidRPr="00E06740" w:rsidR="00011536">
        <w:rPr>
          <w:rFonts w:eastAsia="Calibri"/>
        </w:rPr>
        <w:t xml:space="preserve"> </w:t>
      </w:r>
      <w:r w:rsidRPr="00E06740">
        <w:rPr>
          <w:rFonts w:eastAsia="Calibri"/>
        </w:rPr>
        <w:t xml:space="preserve">In order for the Corps to determine the amount and extent of waters of the United States at a site, aquatic resources must be geographically delineated in accordance with established </w:t>
      </w:r>
      <w:r w:rsidRPr="00E06740" w:rsidR="00D14F2F">
        <w:rPr>
          <w:rFonts w:eastAsia="Calibri"/>
        </w:rPr>
        <w:t>regulations, policy, and guidance</w:t>
      </w:r>
      <w:r w:rsidRPr="00E06740" w:rsidR="00D67F27">
        <w:rPr>
          <w:rFonts w:eastAsia="Calibri"/>
        </w:rPr>
        <w:t xml:space="preserve">. </w:t>
      </w:r>
      <w:r w:rsidRPr="00E06740" w:rsidR="00787666">
        <w:rPr>
          <w:rFonts w:eastAsia="Calibri"/>
        </w:rPr>
        <w:t>Non-tidal, non-wetland</w:t>
      </w:r>
      <w:r w:rsidRPr="00E06740" w:rsidR="00D67F27">
        <w:rPr>
          <w:rFonts w:eastAsia="Calibri"/>
        </w:rPr>
        <w:t xml:space="preserve"> waters of the United States</w:t>
      </w:r>
      <w:r w:rsidRPr="00E06740" w:rsidR="001D2466">
        <w:rPr>
          <w:rFonts w:eastAsia="Calibri"/>
        </w:rPr>
        <w:t>, which are defined in 33 CFR part 328,</w:t>
      </w:r>
      <w:r w:rsidRPr="00E06740" w:rsidR="00D67F27">
        <w:rPr>
          <w:rFonts w:eastAsia="Calibri"/>
        </w:rPr>
        <w:t xml:space="preserve"> must be delineated </w:t>
      </w:r>
      <w:r w:rsidRPr="00E06740" w:rsidR="00787666">
        <w:rPr>
          <w:rFonts w:eastAsia="Calibri"/>
        </w:rPr>
        <w:t>to the extent of the ordinary high water mark (OHWM), which is defined at 33 CFR 328.3(7)</w:t>
      </w:r>
      <w:r w:rsidRPr="00E06740">
        <w:rPr>
          <w:rFonts w:eastAsia="Calibri"/>
        </w:rPr>
        <w:t>.</w:t>
      </w:r>
    </w:p>
    <w:p w:rsidRPr="00E06740" w:rsidR="0054222A" w:rsidP="0054222A" w:rsidRDefault="0054222A" w14:paraId="3CDCAFD8" w14:textId="7ABA7BAA">
      <w:pPr>
        <w:autoSpaceDE w:val="0"/>
        <w:autoSpaceDN w:val="0"/>
        <w:adjustRightInd w:val="0"/>
        <w:rPr>
          <w:rFonts w:eastAsia="MIonic"/>
        </w:rPr>
      </w:pPr>
    </w:p>
    <w:p w:rsidRPr="00E06740" w:rsidR="008D6B36" w:rsidP="0054222A" w:rsidRDefault="00EC0F8E" w14:paraId="2FF8AE4B" w14:textId="5E1921A6">
      <w:pPr>
        <w:autoSpaceDE w:val="0"/>
        <w:autoSpaceDN w:val="0"/>
        <w:adjustRightInd w:val="0"/>
      </w:pPr>
      <w:r w:rsidRPr="00E06740">
        <w:rPr>
          <w:rFonts w:eastAsia="MIonic"/>
        </w:rPr>
        <w:t>The Ordinary High Water Mark (OHWM) defines the lateral extent of non-tidal aquatic features in the absence of adjacent wetlands in the United State</w:t>
      </w:r>
      <w:r w:rsidRPr="00E06740" w:rsidR="002F2780">
        <w:rPr>
          <w:rFonts w:eastAsia="MIonic"/>
        </w:rPr>
        <w:t>s, and</w:t>
      </w:r>
      <w:r w:rsidRPr="00E06740" w:rsidR="002F2780">
        <w:t xml:space="preserve"> has been used to delineate the jurisdictional limits of certain aquatic features since the </w:t>
      </w:r>
      <w:r w:rsidRPr="00E06740" w:rsidR="00654ABA">
        <w:t xml:space="preserve">passage and implementation of the </w:t>
      </w:r>
      <w:r w:rsidRPr="00E06740" w:rsidR="002F2780">
        <w:t>1899 Rivers and Harbors Act.</w:t>
      </w:r>
      <w:r w:rsidRPr="00E06740">
        <w:rPr>
          <w:rFonts w:eastAsia="MIonic"/>
        </w:rPr>
        <w:t xml:space="preserve"> The Federal regulatory definition of the OHWM (33 CFR 328.3(c)(7)) states, “</w:t>
      </w:r>
      <w:r w:rsidRPr="00E06740">
        <w:rPr>
          <w:rFonts w:eastAsia="MIonic"/>
          <w:i/>
          <w:iCs/>
        </w:rPr>
        <w:t xml:space="preserve">The term ordinary high water mark means that line on the shore established by the fluctuations of water and indicated by physical characteristics such as [a] clear, natural line impressed on the bank, shelving, changes in the character of soil, </w:t>
      </w:r>
      <w:r w:rsidRPr="00E06740" w:rsidR="008D6B36">
        <w:rPr>
          <w:rFonts w:eastAsia="MIonic"/>
          <w:i/>
          <w:iCs/>
        </w:rPr>
        <w:t>destruction</w:t>
      </w:r>
      <w:r w:rsidRPr="00E06740">
        <w:rPr>
          <w:rFonts w:eastAsia="MIonic"/>
          <w:i/>
          <w:iCs/>
        </w:rPr>
        <w:t xml:space="preserve"> of terrestrial vegetation, the presence of litter and debris, or other appropriate means that consider the characteristics of the surrounding areas.</w:t>
      </w:r>
      <w:r w:rsidRPr="00E06740">
        <w:rPr>
          <w:rFonts w:eastAsia="MIonic"/>
        </w:rPr>
        <w:t xml:space="preserve">” </w:t>
      </w:r>
    </w:p>
    <w:p w:rsidRPr="00E06740" w:rsidR="008D6B36" w:rsidP="0054222A" w:rsidRDefault="008D6B36" w14:paraId="18F44D8F" w14:textId="77777777">
      <w:pPr>
        <w:autoSpaceDE w:val="0"/>
        <w:autoSpaceDN w:val="0"/>
        <w:adjustRightInd w:val="0"/>
      </w:pPr>
    </w:p>
    <w:p w:rsidRPr="00E06740" w:rsidR="00EC0F8E" w:rsidP="0054222A" w:rsidRDefault="00EB2DB3" w14:paraId="5F273493" w14:textId="42195D1A">
      <w:pPr>
        <w:autoSpaceDE w:val="0"/>
        <w:autoSpaceDN w:val="0"/>
        <w:adjustRightInd w:val="0"/>
      </w:pPr>
      <w:r w:rsidRPr="00E06740">
        <w:t xml:space="preserve">Previous technical reports regarding OHWM </w:t>
      </w:r>
      <w:r w:rsidRPr="00E06740" w:rsidR="002F2780">
        <w:t xml:space="preserve">were developed to assist in the identification and delineation of the OHWM, but those technical reports </w:t>
      </w:r>
      <w:r w:rsidRPr="00E06740">
        <w:t xml:space="preserve">cover only a portion of the United States, mainly the arid and mountainous west, and lack explanations of how the physical characteristics can </w:t>
      </w:r>
      <w:r w:rsidR="0074536D">
        <w:t>vary</w:t>
      </w:r>
      <w:r w:rsidRPr="00E06740" w:rsidR="0074536D">
        <w:t xml:space="preserve"> </w:t>
      </w:r>
      <w:r w:rsidRPr="00E06740">
        <w:t xml:space="preserve">in different climatic and geographic regions of the country. </w:t>
      </w:r>
      <w:r w:rsidRPr="00E06740" w:rsidR="001A2482">
        <w:t xml:space="preserve"> </w:t>
      </w:r>
      <w:r w:rsidRPr="00E06740">
        <w:t>In 2016, a</w:t>
      </w:r>
      <w:r w:rsidRPr="00E06740" w:rsidR="009A2EA8">
        <w:t xml:space="preserve"> </w:t>
      </w:r>
      <w:r w:rsidRPr="00E06740">
        <w:t xml:space="preserve">Technical Report </w:t>
      </w:r>
      <w:r w:rsidRPr="00E06740" w:rsidR="009A2EA8">
        <w:t>developed by the U.S. Army Corps of Engineers</w:t>
      </w:r>
      <w:r w:rsidR="0074536D">
        <w:t>,</w:t>
      </w:r>
      <w:r w:rsidRPr="00E06740" w:rsidR="009A2EA8">
        <w:t xml:space="preserve"> Engineer Research and Development Center (ERDC), </w:t>
      </w:r>
      <w:r w:rsidRPr="00E06740">
        <w:t>entitled “Synthesizing the scientific foundation for the ordinary high water mark delineation in fluvial systems”</w:t>
      </w:r>
      <w:r w:rsidRPr="00E06740" w:rsidR="009A2EA8">
        <w:t>,</w:t>
      </w:r>
      <w:r w:rsidRPr="00E06740">
        <w:t xml:space="preserve"> provided the foundational science underlying the processes that control formation of the physical features that are used to identify the OHWM. </w:t>
      </w:r>
      <w:r w:rsidRPr="00E06740" w:rsidR="000D7C28">
        <w:t xml:space="preserve"> </w:t>
      </w:r>
      <w:r w:rsidRPr="00E06740" w:rsidR="008D6B36">
        <w:t xml:space="preserve">The draft </w:t>
      </w:r>
      <w:r w:rsidRPr="00E06740" w:rsidR="00036072">
        <w:t xml:space="preserve">ERDC </w:t>
      </w:r>
      <w:r w:rsidRPr="00E06740" w:rsidR="008D6B36">
        <w:t xml:space="preserve">Technical Report, </w:t>
      </w:r>
      <w:r w:rsidRPr="00E06740" w:rsidR="00036072">
        <w:t>“</w:t>
      </w:r>
      <w:r w:rsidRPr="00E06740" w:rsidR="008D6B36">
        <w:t>National Ordinary High Water Mark Field Delineation Manual for Rivers and Streams</w:t>
      </w:r>
      <w:r w:rsidRPr="00E06740" w:rsidR="00036072">
        <w:t>”</w:t>
      </w:r>
      <w:r w:rsidRPr="00E06740" w:rsidR="008D6B36">
        <w:t xml:space="preserve">, </w:t>
      </w:r>
      <w:r w:rsidRPr="00E06740" w:rsidR="00EC0F8E">
        <w:rPr>
          <w:rFonts w:eastAsia="MIonic"/>
        </w:rPr>
        <w:t>is the first national manual that</w:t>
      </w:r>
      <w:r w:rsidRPr="00E06740" w:rsidR="008D6B36">
        <w:rPr>
          <w:rFonts w:eastAsia="MIonic"/>
        </w:rPr>
        <w:t xml:space="preserve"> </w:t>
      </w:r>
      <w:r w:rsidRPr="00E06740" w:rsidR="00EC0F8E">
        <w:rPr>
          <w:rFonts w:eastAsia="MIonic"/>
        </w:rPr>
        <w:t xml:space="preserve">provides </w:t>
      </w:r>
      <w:r w:rsidRPr="00E06740" w:rsidR="002F2780">
        <w:rPr>
          <w:rFonts w:eastAsia="MIonic"/>
        </w:rPr>
        <w:t xml:space="preserve">and describes </w:t>
      </w:r>
      <w:r w:rsidRPr="00E06740" w:rsidR="008D6B36">
        <w:rPr>
          <w:rFonts w:eastAsia="MIonic"/>
        </w:rPr>
        <w:t>indicators</w:t>
      </w:r>
      <w:r w:rsidRPr="00E06740" w:rsidR="00EC0F8E">
        <w:rPr>
          <w:rFonts w:eastAsia="MIonic"/>
        </w:rPr>
        <w:t xml:space="preserve"> </w:t>
      </w:r>
      <w:r w:rsidRPr="00E06740">
        <w:rPr>
          <w:rFonts w:eastAsia="MIonic"/>
        </w:rPr>
        <w:t xml:space="preserve">and a methodology </w:t>
      </w:r>
      <w:r w:rsidRPr="00E06740" w:rsidR="008D6B36">
        <w:rPr>
          <w:rFonts w:eastAsia="MIonic"/>
        </w:rPr>
        <w:t xml:space="preserve">which </w:t>
      </w:r>
      <w:r w:rsidRPr="00E06740" w:rsidR="00EC0F8E">
        <w:rPr>
          <w:rFonts w:eastAsia="MIonic"/>
        </w:rPr>
        <w:t>will help improve consistency in the identification and delineation of the OHWM</w:t>
      </w:r>
      <w:r w:rsidR="003E6E9D">
        <w:rPr>
          <w:rFonts w:eastAsia="MIonic"/>
        </w:rPr>
        <w:t>,</w:t>
      </w:r>
      <w:r w:rsidRPr="00E06740" w:rsidR="00036072">
        <w:rPr>
          <w:rFonts w:eastAsia="MIonic"/>
        </w:rPr>
        <w:t xml:space="preserve"> </w:t>
      </w:r>
      <w:r w:rsidRPr="00E06740" w:rsidR="00036072">
        <w:t xml:space="preserve">by 1) providing consistent definitions of OHWM indicators; 2) outlining a clear, step-by-step process for identifying the OHWM using a Weight-of-Evidence approach; and 3) providing a datasheet for logging information at a site.  </w:t>
      </w:r>
    </w:p>
    <w:p w:rsidRPr="00E06740" w:rsidR="00EB2DB3" w:rsidP="0054222A" w:rsidRDefault="00EB2DB3" w14:paraId="155B9515" w14:textId="7572F8AE">
      <w:pPr>
        <w:autoSpaceDE w:val="0"/>
        <w:autoSpaceDN w:val="0"/>
        <w:adjustRightInd w:val="0"/>
        <w:rPr>
          <w:color w:val="FF0000"/>
        </w:rPr>
      </w:pPr>
    </w:p>
    <w:p w:rsidRPr="00E06740" w:rsidR="00EB2DB3" w:rsidP="0054222A" w:rsidRDefault="00EB2DB3" w14:paraId="56BB11F0" w14:textId="2A84CE7B">
      <w:pPr>
        <w:autoSpaceDE w:val="0"/>
        <w:autoSpaceDN w:val="0"/>
        <w:adjustRightInd w:val="0"/>
      </w:pPr>
      <w:r w:rsidRPr="00E06740">
        <w:t xml:space="preserve">The OHWM is identified through physical characteristics that correspond to a break in bank slope, transition in vegetation type and coverage, and changes in sediment characteristics.  As such, the datasheet organizes OHWM indicators into four categories: geomorphic indicators, vegetation indicators, sediment indicators, and ancillary indicators. </w:t>
      </w:r>
      <w:r w:rsidRPr="00E06740" w:rsidR="000D7C28">
        <w:t xml:space="preserve"> </w:t>
      </w:r>
      <w:r w:rsidRPr="00E06740">
        <w:t xml:space="preserve">Recognizing that streams are highly complex systems, space is provided to include additional indicators that may be </w:t>
      </w:r>
      <w:r w:rsidR="0074536D">
        <w:t xml:space="preserve">specific </w:t>
      </w:r>
      <w:r w:rsidRPr="00E06740">
        <w:t xml:space="preserve">to certain regions or channel types.  The datasheet and field procedure guide users through the </w:t>
      </w:r>
      <w:r w:rsidRPr="00E06740">
        <w:lastRenderedPageBreak/>
        <w:t>step-by-step process of identifying</w:t>
      </w:r>
      <w:r w:rsidRPr="00E06740" w:rsidR="00D344B3">
        <w:t xml:space="preserve"> and documenting</w:t>
      </w:r>
      <w:r w:rsidRPr="00E06740">
        <w:t xml:space="preserve"> the OHWM</w:t>
      </w:r>
      <w:r w:rsidRPr="00E06740" w:rsidR="00D344B3">
        <w:t xml:space="preserve"> in a more consistent</w:t>
      </w:r>
      <w:r w:rsidR="003E6E9D">
        <w:t xml:space="preserve"> and</w:t>
      </w:r>
      <w:r w:rsidRPr="00E06740" w:rsidR="00D344B3">
        <w:t xml:space="preserve"> reliable</w:t>
      </w:r>
      <w:r w:rsidR="00FD6E60">
        <w:t xml:space="preserve"> </w:t>
      </w:r>
      <w:r w:rsidRPr="00E06740" w:rsidR="00D344B3">
        <w:t>manner</w:t>
      </w:r>
      <w:r w:rsidRPr="00E06740">
        <w:t xml:space="preserve">. </w:t>
      </w:r>
      <w:r w:rsidRPr="00E06740" w:rsidR="000D7C28">
        <w:t xml:space="preserve"> </w:t>
      </w:r>
      <w:r w:rsidRPr="00E06740">
        <w:t>Each indicator listed in the datasheet is described in more detail in the draft Technical Report referenced above.</w:t>
      </w:r>
    </w:p>
    <w:p w:rsidRPr="00E06740" w:rsidR="00EB2DB3" w:rsidP="0054222A" w:rsidRDefault="00EB2DB3" w14:paraId="46CCC427" w14:textId="23484D18">
      <w:pPr>
        <w:autoSpaceDE w:val="0"/>
        <w:autoSpaceDN w:val="0"/>
        <w:adjustRightInd w:val="0"/>
        <w:rPr>
          <w:rFonts w:eastAsia="MIonic"/>
        </w:rPr>
      </w:pPr>
    </w:p>
    <w:p w:rsidRPr="00E06740" w:rsidR="0054222A" w:rsidP="00DF3116" w:rsidRDefault="003A1D60" w14:paraId="094CCD18" w14:textId="210D2038">
      <w:pPr>
        <w:autoSpaceDE w:val="0"/>
        <w:autoSpaceDN w:val="0"/>
        <w:adjustRightInd w:val="0"/>
        <w:rPr>
          <w:rFonts w:eastAsia="MIonic"/>
        </w:rPr>
      </w:pPr>
      <w:r w:rsidRPr="00E06740">
        <w:rPr>
          <w:rFonts w:eastAsia="MIonic"/>
        </w:rPr>
        <w:t>Upon release, the</w:t>
      </w:r>
      <w:r w:rsidR="00645051">
        <w:rPr>
          <w:rFonts w:eastAsia="MIonic"/>
        </w:rPr>
        <w:t xml:space="preserve"> Rapid</w:t>
      </w:r>
      <w:r w:rsidRPr="00E06740">
        <w:rPr>
          <w:rFonts w:eastAsia="MIonic"/>
        </w:rPr>
        <w:t xml:space="preserve"> </w:t>
      </w:r>
      <w:r w:rsidRPr="00E06740" w:rsidR="000D7C28">
        <w:rPr>
          <w:rFonts w:eastAsia="MIonic"/>
        </w:rPr>
        <w:t xml:space="preserve">OHWM Field Identification </w:t>
      </w:r>
      <w:r w:rsidRPr="00E06740" w:rsidR="00EB2DB3">
        <w:rPr>
          <w:rFonts w:eastAsia="MIonic"/>
        </w:rPr>
        <w:t>datasheet</w:t>
      </w:r>
      <w:r w:rsidRPr="00E06740">
        <w:rPr>
          <w:rFonts w:eastAsia="MIonic"/>
        </w:rPr>
        <w:t xml:space="preserve"> </w:t>
      </w:r>
      <w:r w:rsidRPr="00E06740" w:rsidR="00787666">
        <w:rPr>
          <w:rFonts w:eastAsia="MIonic"/>
        </w:rPr>
        <w:t>will be made available</w:t>
      </w:r>
      <w:r w:rsidRPr="00E06740">
        <w:rPr>
          <w:rFonts w:eastAsia="MIonic"/>
        </w:rPr>
        <w:t xml:space="preserve"> on Corps websites</w:t>
      </w:r>
      <w:r w:rsidRPr="00E06740" w:rsidR="00787666">
        <w:rPr>
          <w:rFonts w:eastAsia="MIonic"/>
        </w:rPr>
        <w:t xml:space="preserve"> (</w:t>
      </w:r>
      <w:hyperlink w:history="1" r:id="rId8">
        <w:r w:rsidRPr="00E06740" w:rsidR="004F7E29">
          <w:rPr>
            <w:rStyle w:val="Hyperlink"/>
            <w:rFonts w:eastAsia="MIonic"/>
          </w:rPr>
          <w:t>https://www.usace.army.mil/Missions/Civil-Works/Regulatory-Program-and-Permits/</w:t>
        </w:r>
      </w:hyperlink>
      <w:r w:rsidRPr="00E06740" w:rsidR="004F7E29">
        <w:rPr>
          <w:rFonts w:eastAsia="MIonic"/>
        </w:rPr>
        <w:t>)</w:t>
      </w:r>
      <w:r w:rsidRPr="00E06740">
        <w:rPr>
          <w:rFonts w:eastAsia="MIonic"/>
        </w:rPr>
        <w:t xml:space="preserve"> as well as the OHWM research and development website</w:t>
      </w:r>
      <w:r w:rsidRPr="00E06740" w:rsidR="00EB2DB3">
        <w:rPr>
          <w:rFonts w:eastAsia="MIonic"/>
        </w:rPr>
        <w:t xml:space="preserve"> found here</w:t>
      </w:r>
      <w:r w:rsidRPr="00E06740">
        <w:rPr>
          <w:rFonts w:eastAsia="MIonic"/>
        </w:rPr>
        <w:t>:</w:t>
      </w:r>
      <w:r w:rsidRPr="00E06740" w:rsidR="004F7E29">
        <w:rPr>
          <w:rFonts w:eastAsia="MIonic"/>
        </w:rPr>
        <w:t xml:space="preserve"> </w:t>
      </w:r>
      <w:hyperlink w:history="1" r:id="rId9">
        <w:r w:rsidRPr="00E06740" w:rsidR="004F7E29">
          <w:rPr>
            <w:rStyle w:val="Hyperlink"/>
            <w:rFonts w:eastAsia="MIonic"/>
          </w:rPr>
          <w:t>https://www.erdc.usace.army.mil/Media/Fact-Sheets/Fact-Sheet-Article-View/Article/486085/ordinary-high-water-mark-ohwm-research-development-and-training/</w:t>
        </w:r>
      </w:hyperlink>
      <w:r w:rsidRPr="00E06740" w:rsidR="004F7E29">
        <w:rPr>
          <w:rFonts w:eastAsia="MIonic"/>
        </w:rPr>
        <w:t>.</w:t>
      </w:r>
    </w:p>
    <w:p w:rsidRPr="00E06740" w:rsidR="00787666" w:rsidP="00B0624B" w:rsidRDefault="00787666" w14:paraId="6612F4A3" w14:textId="77777777">
      <w:pPr>
        <w:pStyle w:val="NormalWeb"/>
        <w:spacing w:before="0" w:beforeAutospacing="0" w:after="0" w:afterAutospacing="0" w:line="288" w:lineRule="atLeast"/>
        <w:rPr>
          <w:color w:val="FF0000"/>
          <w:u w:val="single"/>
        </w:rPr>
      </w:pPr>
    </w:p>
    <w:p w:rsidRPr="00E06740" w:rsidR="00C0331C" w:rsidP="00E136C7" w:rsidRDefault="00D66E99" w14:paraId="10F24995" w14:textId="60E27375">
      <w:pPr>
        <w:spacing w:line="250" w:lineRule="auto"/>
        <w:ind w:right="78"/>
        <w:rPr>
          <w:rFonts w:eastAsia="Calibri"/>
          <w:b/>
          <w:u w:val="single"/>
        </w:rPr>
      </w:pPr>
      <w:r w:rsidRPr="00E06740">
        <w:rPr>
          <w:rFonts w:eastAsia="Calibri"/>
          <w:szCs w:val="22"/>
        </w:rPr>
        <w:t xml:space="preserve">2.  </w:t>
      </w:r>
      <w:r w:rsidRPr="00E06740">
        <w:rPr>
          <w:rFonts w:eastAsia="Calibri"/>
          <w:szCs w:val="22"/>
          <w:u w:val="single"/>
        </w:rPr>
        <w:t>Use of the Information</w:t>
      </w:r>
      <w:r w:rsidRPr="00E06740">
        <w:rPr>
          <w:rFonts w:eastAsia="Calibri"/>
          <w:b/>
          <w:u w:val="single"/>
        </w:rPr>
        <w:t xml:space="preserve"> </w:t>
      </w:r>
    </w:p>
    <w:p w:rsidRPr="00E06740" w:rsidR="00E73E11" w:rsidP="00927D9B" w:rsidRDefault="00645051" w14:paraId="6EE498F4" w14:textId="476219AA">
      <w:pPr>
        <w:spacing w:line="250" w:lineRule="auto"/>
        <w:ind w:right="78"/>
      </w:pPr>
      <w:r>
        <w:t xml:space="preserve">Information collected on </w:t>
      </w:r>
      <w:r w:rsidRPr="00E06740" w:rsidR="00705F3D">
        <w:t xml:space="preserve">OHWM </w:t>
      </w:r>
      <w:r w:rsidRPr="00E06740" w:rsidR="00777D3D">
        <w:t>datasheets</w:t>
      </w:r>
      <w:r w:rsidRPr="00E06740" w:rsidR="00FF2B3F">
        <w:t xml:space="preserve"> </w:t>
      </w:r>
      <w:r w:rsidRPr="00E06740" w:rsidR="00705F3D">
        <w:t xml:space="preserve">help inform the lateral limits of </w:t>
      </w:r>
      <w:r w:rsidRPr="00E06740" w:rsidR="00EB2DB3">
        <w:t>the Corps’ jurisdiction in non-tidal, non-wetland aquatic resources</w:t>
      </w:r>
      <w:r w:rsidRPr="00E06740" w:rsidR="002F2780">
        <w:t xml:space="preserve"> (e.g., streams or rivers)</w:t>
      </w:r>
      <w:r w:rsidRPr="00E06740" w:rsidR="00EB2DB3">
        <w:t xml:space="preserve">.  </w:t>
      </w:r>
      <w:r w:rsidRPr="00E06740" w:rsidR="002F2780">
        <w:t xml:space="preserve">This information can then be used to inform jurisdictional determinations or permit evaluations.  Applicants for Corps permits are generally required to submit delineations of aquatic resources </w:t>
      </w:r>
      <w:r w:rsidRPr="00E06740" w:rsidR="00C2434A">
        <w:t xml:space="preserve">to Corps district Regulatory offices </w:t>
      </w:r>
      <w:r w:rsidRPr="00E06740" w:rsidR="002F2780">
        <w:t xml:space="preserve">as part of their permit application or in support of the permit evaluation process.  Specifically, General Condition #32 of </w:t>
      </w:r>
      <w:r w:rsidRPr="00E06740" w:rsidR="0033415E">
        <w:t xml:space="preserve">both </w:t>
      </w:r>
      <w:r w:rsidRPr="00E06740" w:rsidR="002F2780">
        <w:t>the 2017</w:t>
      </w:r>
      <w:r w:rsidRPr="00E06740" w:rsidR="0033415E">
        <w:t xml:space="preserve"> and the 2021</w:t>
      </w:r>
      <w:r w:rsidRPr="00E06740" w:rsidR="002F2780">
        <w:t xml:space="preserve"> Nationwide Permit Program requires that pre-construction notification (PCN) submittals include a “delineation of wetlands, other special aquatic sites, and other waters…on the project site.”</w:t>
      </w:r>
      <w:r w:rsidRPr="00E06740" w:rsidR="009A2EA8">
        <w:t xml:space="preserve">  The OHWM form will provide </w:t>
      </w:r>
      <w:r w:rsidRPr="00E06740" w:rsidR="0080156E">
        <w:t xml:space="preserve">applicants with a tool to easily document and submit this information in a consistent format. The OHWM form </w:t>
      </w:r>
      <w:r w:rsidR="003E6E9D">
        <w:t xml:space="preserve">also </w:t>
      </w:r>
      <w:r w:rsidRPr="00E06740" w:rsidR="0080156E">
        <w:t xml:space="preserve">makes use of checkboxes and data entry prompts to ensure all of the necessary information is provided in a manner that minimizes data entry for respondents. </w:t>
      </w:r>
      <w:r w:rsidRPr="00E06740" w:rsidR="002F2780">
        <w:t xml:space="preserve">  </w:t>
      </w:r>
    </w:p>
    <w:p w:rsidRPr="00E06740" w:rsidR="00927D9B" w:rsidP="003D2BE3" w:rsidRDefault="005E0A0F" w14:paraId="74E7C984" w14:textId="2611FB75">
      <w:pPr>
        <w:pStyle w:val="NormalWeb"/>
        <w:spacing w:line="288" w:lineRule="atLeast"/>
        <w:rPr>
          <w:rFonts w:eastAsia="Calibri"/>
        </w:rPr>
      </w:pPr>
      <w:r w:rsidRPr="00E06740">
        <w:t xml:space="preserve">3.  </w:t>
      </w:r>
      <w:r w:rsidRPr="00E06740">
        <w:rPr>
          <w:u w:val="single"/>
        </w:rPr>
        <w:t xml:space="preserve">Use of Information </w:t>
      </w:r>
      <w:r w:rsidRPr="00E06740" w:rsidR="00A851F8">
        <w:rPr>
          <w:u w:val="single"/>
        </w:rPr>
        <w:t>T</w:t>
      </w:r>
      <w:r w:rsidRPr="00E06740">
        <w:rPr>
          <w:u w:val="single"/>
        </w:rPr>
        <w:t>echnology</w:t>
      </w:r>
    </w:p>
    <w:p w:rsidRPr="00E06740" w:rsidR="00900947" w:rsidP="00900947" w:rsidRDefault="00900947" w14:paraId="3F2031A7" w14:textId="7B2AD46C">
      <w:pPr>
        <w:pStyle w:val="NormalWeb"/>
        <w:spacing w:before="0" w:beforeAutospacing="0" w:after="0" w:afterAutospacing="0" w:line="288" w:lineRule="atLeast"/>
      </w:pPr>
    </w:p>
    <w:p w:rsidRPr="00E06740" w:rsidR="006119B0" w:rsidP="0070573A" w:rsidRDefault="00885CAA" w14:paraId="0A35B487" w14:textId="33D7CFDD">
      <w:pPr>
        <w:pStyle w:val="NormalWeb"/>
        <w:spacing w:before="0" w:beforeAutospacing="0" w:after="0" w:afterAutospacing="0" w:line="288" w:lineRule="atLeast"/>
      </w:pPr>
      <w:r w:rsidRPr="00E06740">
        <w:t>Th</w:t>
      </w:r>
      <w:r w:rsidR="002D6571">
        <w:t>e ENG Form 6250 is a fillable PDF form.</w:t>
      </w:r>
      <w:r w:rsidRPr="00E06740">
        <w:t xml:space="preserve"> </w:t>
      </w:r>
      <w:r w:rsidRPr="00E06740" w:rsidR="00FD206D">
        <w:t>A</w:t>
      </w:r>
      <w:r w:rsidRPr="00E06740" w:rsidR="0079500E">
        <w:t>pplicants may submit</w:t>
      </w:r>
      <w:r w:rsidRPr="00E06740">
        <w:t xml:space="preserve"> OHWM datasheets</w:t>
      </w:r>
      <w:r w:rsidRPr="00E06740" w:rsidR="006B3DF4">
        <w:t xml:space="preserve"> </w:t>
      </w:r>
      <w:r w:rsidRPr="00E06740" w:rsidR="0079500E">
        <w:t xml:space="preserve">electronically in </w:t>
      </w:r>
      <w:r w:rsidRPr="00E06740" w:rsidR="006B3DF4">
        <w:t>PDF forma</w:t>
      </w:r>
      <w:r w:rsidRPr="00E06740" w:rsidR="0079500E">
        <w:t xml:space="preserve">t </w:t>
      </w:r>
      <w:r w:rsidRPr="00E06740" w:rsidR="00FD206D">
        <w:t xml:space="preserve">as part of their </w:t>
      </w:r>
      <w:r w:rsidRPr="00E06740">
        <w:t>aquatic resources delineation</w:t>
      </w:r>
      <w:r w:rsidRPr="00E06740" w:rsidR="00FD206D">
        <w:t xml:space="preserve"> report/application packages.  Electronic </w:t>
      </w:r>
      <w:r w:rsidRPr="00E06740" w:rsidR="00C348EB">
        <w:t>subm</w:t>
      </w:r>
      <w:r w:rsidR="00C348EB">
        <w:t>issions</w:t>
      </w:r>
      <w:r w:rsidRPr="00E06740" w:rsidR="00C348EB">
        <w:t xml:space="preserve"> </w:t>
      </w:r>
      <w:r w:rsidRPr="00E06740" w:rsidR="00FD206D">
        <w:t xml:space="preserve">may be received by the Corps </w:t>
      </w:r>
      <w:r w:rsidRPr="00E06740" w:rsidR="0079500E">
        <w:t xml:space="preserve">via email or </w:t>
      </w:r>
      <w:r w:rsidRPr="00E06740" w:rsidR="00FD206D">
        <w:t>File Transfer Protocol (FTP)</w:t>
      </w:r>
      <w:r w:rsidRPr="00E06740" w:rsidR="0079500E">
        <w:t xml:space="preserve"> </w:t>
      </w:r>
      <w:r w:rsidRPr="00E06740" w:rsidR="00FD206D">
        <w:t>services such as Army Research Laboratory (ARL) Secure Access File Exchange (SAFE)</w:t>
      </w:r>
      <w:r w:rsidRPr="00E06740" w:rsidR="0079500E">
        <w:t xml:space="preserve">.  </w:t>
      </w:r>
      <w:r w:rsidRPr="00E06740" w:rsidR="00354EE0">
        <w:t>T</w:t>
      </w:r>
      <w:r w:rsidRPr="00E06740" w:rsidR="00FD206D">
        <w:t>he</w:t>
      </w:r>
      <w:r w:rsidRPr="00E06740" w:rsidR="006119B0">
        <w:t xml:space="preserve"> Corps is </w:t>
      </w:r>
      <w:r w:rsidRPr="00E06740" w:rsidR="0079500E">
        <w:t xml:space="preserve">currently </w:t>
      </w:r>
      <w:r w:rsidRPr="00E06740" w:rsidR="00354EE0">
        <w:t xml:space="preserve">not </w:t>
      </w:r>
      <w:r w:rsidRPr="00E06740" w:rsidR="00FD206D">
        <w:t>able</w:t>
      </w:r>
      <w:r w:rsidRPr="00E06740" w:rsidR="006119B0">
        <w:t xml:space="preserve"> to accept automated appl</w:t>
      </w:r>
      <w:r w:rsidRPr="00E06740" w:rsidR="00FD206D">
        <w:t>ication submissions</w:t>
      </w:r>
      <w:r w:rsidRPr="00E06740" w:rsidR="00354EE0">
        <w:t>.  T</w:t>
      </w:r>
      <w:r w:rsidRPr="00E06740" w:rsidR="00FD206D">
        <w:t>his capability is not being pursued at this time</w:t>
      </w:r>
      <w:r w:rsidRPr="00E06740" w:rsidR="006119B0">
        <w:t xml:space="preserve"> but may be in the future as newly developed technologies become available.</w:t>
      </w:r>
      <w:r w:rsidRPr="00E06740" w:rsidR="00354EE0">
        <w:t xml:space="preserve">  We estimate about half of all application forms </w:t>
      </w:r>
      <w:r w:rsidRPr="00E06740">
        <w:t>were</w:t>
      </w:r>
      <w:r w:rsidRPr="00E06740" w:rsidR="00354EE0">
        <w:t xml:space="preserve"> received electronically</w:t>
      </w:r>
      <w:r w:rsidRPr="00E06740">
        <w:t xml:space="preserve"> prior to the COVID-19 pandemic</w:t>
      </w:r>
      <w:r w:rsidRPr="00E06740" w:rsidR="00354EE0">
        <w:t xml:space="preserve">.  This percentage is increasing as more applicants become familiar with our program and are emailing in their completed PDF submittals.  Additional outreach efforts to describe the submittal process </w:t>
      </w:r>
      <w:r w:rsidRPr="00E06740" w:rsidR="00CB53E9">
        <w:t>can increase the 50% estimate.</w:t>
      </w:r>
    </w:p>
    <w:p w:rsidRPr="00E06740" w:rsidR="0070573A" w:rsidP="0070573A" w:rsidRDefault="0070573A" w14:paraId="5A0096F9" w14:textId="77777777">
      <w:pPr>
        <w:pStyle w:val="NormalWeb"/>
        <w:spacing w:before="0" w:beforeAutospacing="0" w:after="0" w:afterAutospacing="0" w:line="288" w:lineRule="atLeast"/>
      </w:pPr>
    </w:p>
    <w:p w:rsidRPr="00E06740" w:rsidR="0037335F" w:rsidP="0070573A" w:rsidRDefault="00354EE0" w14:paraId="5B56C971" w14:textId="2531CC43">
      <w:pPr>
        <w:pStyle w:val="NormalWeb"/>
        <w:spacing w:before="0" w:beforeAutospacing="0" w:after="0" w:afterAutospacing="0" w:line="288" w:lineRule="atLeast"/>
      </w:pPr>
      <w:r w:rsidRPr="00E06740">
        <w:t>In addition to electronic submittals, the</w:t>
      </w:r>
      <w:r w:rsidRPr="00E06740" w:rsidR="006119B0">
        <w:t xml:space="preserve"> forms may be</w:t>
      </w:r>
      <w:r w:rsidRPr="00E06740" w:rsidR="006B3DF4">
        <w:t xml:space="preserve"> printed and submitted</w:t>
      </w:r>
      <w:r w:rsidRPr="00E06740" w:rsidR="006119B0">
        <w:t xml:space="preserve"> in hard copy</w:t>
      </w:r>
      <w:r w:rsidRPr="00E06740" w:rsidR="006B3DF4">
        <w:t xml:space="preserve"> </w:t>
      </w:r>
      <w:r w:rsidRPr="00E06740" w:rsidR="006119B0">
        <w:t xml:space="preserve">with the applicant’s </w:t>
      </w:r>
      <w:r w:rsidRPr="00E06740" w:rsidR="00852595">
        <w:t>aquatic resources delineation</w:t>
      </w:r>
      <w:r w:rsidRPr="00E06740" w:rsidR="006119B0">
        <w:t xml:space="preserve"> report</w:t>
      </w:r>
      <w:r w:rsidRPr="00E06740">
        <w:t>/application package</w:t>
      </w:r>
      <w:r w:rsidRPr="00E06740" w:rsidR="006119B0">
        <w:t xml:space="preserve"> </w:t>
      </w:r>
      <w:r w:rsidRPr="00E06740" w:rsidR="006B3DF4">
        <w:t xml:space="preserve">via </w:t>
      </w:r>
      <w:r w:rsidRPr="00E06740" w:rsidR="006119B0">
        <w:t xml:space="preserve">post mail or </w:t>
      </w:r>
      <w:r w:rsidRPr="00E06740">
        <w:t xml:space="preserve">via </w:t>
      </w:r>
      <w:r w:rsidRPr="00E06740" w:rsidR="006119B0">
        <w:t>courier for large applications/plans.</w:t>
      </w:r>
    </w:p>
    <w:p w:rsidRPr="00E06740" w:rsidR="00927D9B" w:rsidP="00927D9B" w:rsidRDefault="00927D9B" w14:paraId="18F73781" w14:textId="77777777">
      <w:pPr>
        <w:autoSpaceDE w:val="0"/>
        <w:autoSpaceDN w:val="0"/>
        <w:adjustRightInd w:val="0"/>
        <w:rPr>
          <w:rFonts w:eastAsia="MIonic"/>
        </w:rPr>
      </w:pPr>
    </w:p>
    <w:p w:rsidRPr="00E06740" w:rsidR="00927D9B" w:rsidP="00852595" w:rsidRDefault="00927D9B" w14:paraId="662FC0EB" w14:textId="1F6165D3">
      <w:pPr>
        <w:autoSpaceDE w:val="0"/>
        <w:autoSpaceDN w:val="0"/>
        <w:adjustRightInd w:val="0"/>
        <w:rPr>
          <w:rFonts w:eastAsia="MIonic"/>
        </w:rPr>
      </w:pPr>
      <w:r w:rsidRPr="00E06740">
        <w:rPr>
          <w:rFonts w:eastAsia="MIonic"/>
        </w:rPr>
        <w:t>Upon release, the</w:t>
      </w:r>
      <w:r w:rsidR="00645051">
        <w:rPr>
          <w:rFonts w:eastAsia="MIonic"/>
        </w:rPr>
        <w:t xml:space="preserve"> Rapid</w:t>
      </w:r>
      <w:r w:rsidRPr="00E06740">
        <w:rPr>
          <w:rFonts w:eastAsia="MIonic"/>
        </w:rPr>
        <w:t xml:space="preserve"> OHWM Field Identification datasheet will be made available on Corps websites (</w:t>
      </w:r>
      <w:hyperlink w:history="1" r:id="rId10">
        <w:r w:rsidRPr="00E06740">
          <w:rPr>
            <w:rStyle w:val="Hyperlink"/>
            <w:rFonts w:eastAsia="MIonic"/>
          </w:rPr>
          <w:t>https://www.usace.army.mil/Missions/Civil-Works/Regulatory-Program-and-Permits/</w:t>
        </w:r>
      </w:hyperlink>
      <w:r w:rsidRPr="00E06740">
        <w:rPr>
          <w:rFonts w:eastAsia="MIonic"/>
        </w:rPr>
        <w:t xml:space="preserve">) as well as the OHWM research and development website found here: </w:t>
      </w:r>
      <w:hyperlink w:history="1" r:id="rId11">
        <w:r w:rsidRPr="00E06740">
          <w:rPr>
            <w:rStyle w:val="Hyperlink"/>
            <w:rFonts w:eastAsia="MIonic"/>
          </w:rPr>
          <w:t>https://www.erdc.usace.army.mil/Media/Fact-Sheets/Fact-Sheet-Article-View/Article/486085/ordinary-high-water-mark-ohwm-research-development-and-training/</w:t>
        </w:r>
      </w:hyperlink>
      <w:r w:rsidRPr="00E06740">
        <w:rPr>
          <w:rFonts w:eastAsia="MIonic"/>
        </w:rPr>
        <w:t>.</w:t>
      </w:r>
    </w:p>
    <w:p w:rsidRPr="00E06740" w:rsidR="00A851F8" w:rsidP="00A851F8" w:rsidRDefault="00A851F8" w14:paraId="79DC9D0A" w14:textId="77777777">
      <w:pPr>
        <w:pStyle w:val="NormalWeb"/>
        <w:spacing w:before="0" w:beforeAutospacing="0" w:after="0" w:afterAutospacing="0" w:line="288" w:lineRule="atLeast"/>
        <w:rPr>
          <w:color w:val="FF0000"/>
        </w:rPr>
      </w:pPr>
    </w:p>
    <w:p w:rsidRPr="00E06740" w:rsidR="005E0A0F" w:rsidP="00A851F8" w:rsidRDefault="005E0A0F" w14:paraId="3F587FC9" w14:textId="1E2E8623">
      <w:pPr>
        <w:pStyle w:val="NormalWeb"/>
        <w:spacing w:before="0" w:beforeAutospacing="0" w:after="0" w:afterAutospacing="0" w:line="288" w:lineRule="atLeast"/>
      </w:pPr>
      <w:r w:rsidRPr="00E06740">
        <w:t xml:space="preserve">4.  </w:t>
      </w:r>
      <w:r w:rsidRPr="00E06740">
        <w:rPr>
          <w:u w:val="single"/>
        </w:rPr>
        <w:t>Non-duplication</w:t>
      </w:r>
    </w:p>
    <w:p w:rsidRPr="00E06740" w:rsidR="00A851F8" w:rsidP="004872C7" w:rsidRDefault="00A851F8" w14:paraId="1F818EE8" w14:textId="77777777">
      <w:pPr>
        <w:pStyle w:val="CommentText"/>
        <w:rPr>
          <w:sz w:val="24"/>
        </w:rPr>
      </w:pPr>
      <w:bookmarkStart w:name="cp440" w:id="3"/>
    </w:p>
    <w:p w:rsidRPr="00E06740" w:rsidR="004872C7" w:rsidP="004872C7" w:rsidRDefault="004872C7" w14:paraId="412B0AC7" w14:textId="77777777">
      <w:pPr>
        <w:pStyle w:val="CommentText"/>
        <w:rPr>
          <w:sz w:val="24"/>
        </w:rPr>
      </w:pPr>
      <w:r w:rsidRPr="00E06740">
        <w:rPr>
          <w:sz w:val="24"/>
        </w:rPr>
        <w:t>The information obtained through this collection is unique and is not already available for use or adaptation from another cleared source.</w:t>
      </w:r>
    </w:p>
    <w:p w:rsidRPr="00E06740" w:rsidR="005E0A0F" w:rsidP="00CF4A22" w:rsidRDefault="005E0A0F" w14:paraId="2B494D16" w14:textId="77777777">
      <w:pPr>
        <w:pStyle w:val="NormalWeb"/>
        <w:spacing w:line="288" w:lineRule="atLeast"/>
      </w:pPr>
      <w:r w:rsidRPr="00E06740">
        <w:t xml:space="preserve">5.  </w:t>
      </w:r>
      <w:r w:rsidRPr="00E06740">
        <w:rPr>
          <w:u w:val="single"/>
        </w:rPr>
        <w:t>Burden on Small Business</w:t>
      </w:r>
    </w:p>
    <w:bookmarkEnd w:id="3"/>
    <w:p w:rsidRPr="00E06740" w:rsidR="004872C7" w:rsidP="004872C7" w:rsidRDefault="004872C7" w14:paraId="361F01D6" w14:textId="7E33981D">
      <w:pPr>
        <w:pStyle w:val="CommentText"/>
      </w:pPr>
      <w:r w:rsidRPr="00E06740">
        <w:rPr>
          <w:sz w:val="24"/>
        </w:rPr>
        <w:t>This information collection does not impose a</w:t>
      </w:r>
      <w:r w:rsidRPr="00E06740" w:rsidR="00807D9A">
        <w:rPr>
          <w:sz w:val="24"/>
        </w:rPr>
        <w:t>ny additional burdens on</w:t>
      </w:r>
      <w:r w:rsidRPr="00E06740">
        <w:rPr>
          <w:sz w:val="24"/>
        </w:rPr>
        <w:t xml:space="preserve"> small businesses or entities</w:t>
      </w:r>
      <w:r w:rsidRPr="00E06740" w:rsidR="001D1638">
        <w:rPr>
          <w:sz w:val="24"/>
        </w:rPr>
        <w:t xml:space="preserve"> relative to other respondents</w:t>
      </w:r>
      <w:r w:rsidRPr="00E06740">
        <w:rPr>
          <w:sz w:val="24"/>
        </w:rPr>
        <w:t>.</w:t>
      </w:r>
    </w:p>
    <w:p w:rsidRPr="00E06740" w:rsidR="005E0A0F" w:rsidP="00CF4A22" w:rsidRDefault="005E0A0F" w14:paraId="5E963519" w14:textId="77777777">
      <w:pPr>
        <w:pStyle w:val="NormalWeb"/>
        <w:spacing w:line="288" w:lineRule="atLeast"/>
      </w:pPr>
      <w:r w:rsidRPr="00E06740">
        <w:t xml:space="preserve">6.  </w:t>
      </w:r>
      <w:r w:rsidRPr="00E06740">
        <w:rPr>
          <w:u w:val="single"/>
        </w:rPr>
        <w:t>Less Frequent Collection</w:t>
      </w:r>
    </w:p>
    <w:p w:rsidRPr="00E06740" w:rsidR="005611A9" w:rsidP="000B0D7D" w:rsidRDefault="0051771D" w14:paraId="6BCACFB0" w14:textId="7837747B">
      <w:pPr>
        <w:pStyle w:val="NormalWeb"/>
        <w:spacing w:before="0" w:beforeAutospacing="0" w:after="0" w:afterAutospacing="0"/>
      </w:pPr>
      <w:bookmarkStart w:name="cp444" w:id="4"/>
      <w:r w:rsidRPr="00E06740">
        <w:t>If the</w:t>
      </w:r>
      <w:r w:rsidRPr="00E06740" w:rsidR="003D2782">
        <w:t xml:space="preserve"> </w:t>
      </w:r>
      <w:r w:rsidR="00645051">
        <w:t xml:space="preserve">Rapid </w:t>
      </w:r>
      <w:r w:rsidRPr="00E06740" w:rsidR="003D2782">
        <w:t>OHWM Field Collection Datasheet</w:t>
      </w:r>
      <w:r w:rsidRPr="00E06740">
        <w:t xml:space="preserve"> </w:t>
      </w:r>
      <w:r w:rsidRPr="00E06740" w:rsidR="003D2782">
        <w:t>is</w:t>
      </w:r>
      <w:r w:rsidRPr="00E06740">
        <w:t xml:space="preserve"> not made available, the public will not be able to benefit from</w:t>
      </w:r>
      <w:r w:rsidRPr="00E06740" w:rsidR="002F3A11">
        <w:t xml:space="preserve"> the</w:t>
      </w:r>
      <w:r w:rsidRPr="00E06740">
        <w:t xml:space="preserve"> streamlined information collection process</w:t>
      </w:r>
      <w:r w:rsidRPr="00E06740" w:rsidR="00252DEC">
        <w:t xml:space="preserve"> that </w:t>
      </w:r>
      <w:r w:rsidRPr="00E06740" w:rsidR="003D2782">
        <w:t>it</w:t>
      </w:r>
      <w:r w:rsidRPr="00E06740" w:rsidR="00252DEC">
        <w:t xml:space="preserve"> provide</w:t>
      </w:r>
      <w:r w:rsidRPr="00E06740" w:rsidR="003D2782">
        <w:t>s</w:t>
      </w:r>
      <w:r w:rsidRPr="00E06740">
        <w:t xml:space="preserve">. </w:t>
      </w:r>
      <w:r w:rsidRPr="00E06740" w:rsidR="002F3A11">
        <w:t xml:space="preserve"> </w:t>
      </w:r>
    </w:p>
    <w:p w:rsidRPr="00E06740" w:rsidR="005611A9" w:rsidP="000B0D7D" w:rsidRDefault="005611A9" w14:paraId="1E5C5895" w14:textId="77777777">
      <w:pPr>
        <w:pStyle w:val="NormalWeb"/>
        <w:spacing w:before="0" w:beforeAutospacing="0" w:after="0" w:afterAutospacing="0"/>
      </w:pPr>
    </w:p>
    <w:p w:rsidRPr="00E06740" w:rsidR="0051771D" w:rsidP="000B0D7D" w:rsidRDefault="00DF7E24" w14:paraId="098E77B0" w14:textId="5BE1541D">
      <w:pPr>
        <w:pStyle w:val="NormalWeb"/>
        <w:spacing w:before="0" w:beforeAutospacing="0" w:after="0" w:afterAutospacing="0"/>
      </w:pPr>
      <w:r w:rsidRPr="00E06740">
        <w:t xml:space="preserve">Without the </w:t>
      </w:r>
      <w:r w:rsidRPr="00E06740" w:rsidR="005611A9">
        <w:t>OHWM datasheet</w:t>
      </w:r>
      <w:r w:rsidRPr="00E06740">
        <w:t xml:space="preserve">, the </w:t>
      </w:r>
      <w:r w:rsidRPr="00E06740" w:rsidR="005611A9">
        <w:t>information required by the OHWM manual would need to be provided by the public via a different mechanism, and</w:t>
      </w:r>
      <w:r w:rsidRPr="00E06740" w:rsidR="00252DEC">
        <w:t xml:space="preserve"> the public would not realize substantial</w:t>
      </w:r>
      <w:r w:rsidRPr="00E06740">
        <w:t xml:space="preserve"> benefits in terms of time, effort, and accuracy of data collection</w:t>
      </w:r>
      <w:r w:rsidRPr="00E06740" w:rsidR="00252DEC">
        <w:t xml:space="preserve"> that would result from use of the </w:t>
      </w:r>
      <w:r w:rsidRPr="00E06740" w:rsidR="005611A9">
        <w:t>OHWM datasheet</w:t>
      </w:r>
      <w:r w:rsidRPr="00E06740">
        <w:t>.</w:t>
      </w:r>
    </w:p>
    <w:p w:rsidRPr="00E06740" w:rsidR="005E0A0F" w:rsidP="000B0D7D" w:rsidRDefault="005E0A0F" w14:paraId="1E10FF4B" w14:textId="77777777">
      <w:pPr>
        <w:pStyle w:val="NormalWeb"/>
        <w:spacing w:line="288" w:lineRule="atLeast"/>
      </w:pPr>
      <w:r w:rsidRPr="00E06740">
        <w:t xml:space="preserve">7.  </w:t>
      </w:r>
      <w:r w:rsidRPr="00E06740">
        <w:rPr>
          <w:u w:val="single"/>
        </w:rPr>
        <w:t>Paperwork Reduction Act Guidelines</w:t>
      </w:r>
    </w:p>
    <w:p w:rsidRPr="00E06740" w:rsidR="00597525" w:rsidP="00CF4A22" w:rsidRDefault="004872C7" w14:paraId="0D1E99CB" w14:textId="77777777">
      <w:pPr>
        <w:pStyle w:val="NormalWeb"/>
        <w:spacing w:line="288" w:lineRule="atLeast"/>
        <w:rPr>
          <w:rFonts w:eastAsia="Calibri"/>
          <w:szCs w:val="22"/>
        </w:rPr>
      </w:pPr>
      <w:bookmarkStart w:name="cp446" w:id="5"/>
      <w:bookmarkEnd w:id="4"/>
      <w:r w:rsidRPr="00E06740">
        <w:rPr>
          <w:rFonts w:eastAsia="Calibri"/>
          <w:szCs w:val="22"/>
        </w:rPr>
        <w:t>This collection of information does not require collection to be conducted in a manner inconsistent with the guidelines delineated in 5 CFR 1320.5(d)(2).</w:t>
      </w:r>
    </w:p>
    <w:p w:rsidRPr="00E06740" w:rsidR="005E0A0F" w:rsidP="00CF4A22" w:rsidRDefault="005E0A0F" w14:paraId="69FEC767" w14:textId="77777777">
      <w:pPr>
        <w:pStyle w:val="NormalWeb"/>
        <w:spacing w:line="288" w:lineRule="atLeast"/>
        <w:rPr>
          <w:u w:val="single"/>
        </w:rPr>
      </w:pPr>
      <w:r w:rsidRPr="00E06740">
        <w:t xml:space="preserve">8.  </w:t>
      </w:r>
      <w:r w:rsidRPr="00E06740">
        <w:rPr>
          <w:u w:val="single"/>
        </w:rPr>
        <w:t>Consultation and Public Comments</w:t>
      </w:r>
    </w:p>
    <w:p w:rsidRPr="00E06740" w:rsidR="00B95D89" w:rsidP="00B95D89" w:rsidRDefault="00B95D89" w14:paraId="486C2DF2" w14:textId="77777777">
      <w:pPr>
        <w:spacing w:before="100" w:beforeAutospacing="1" w:after="100" w:afterAutospacing="1" w:line="288" w:lineRule="atLeast"/>
        <w:rPr>
          <w:rFonts w:eastAsia="Calibri"/>
        </w:rPr>
      </w:pPr>
      <w:bookmarkStart w:name="cp447" w:id="6"/>
      <w:bookmarkEnd w:id="5"/>
      <w:r w:rsidRPr="00E06740">
        <w:rPr>
          <w:rFonts w:eastAsia="Calibri"/>
        </w:rPr>
        <w:t>Part A: PUBLIC NOTICE</w:t>
      </w:r>
    </w:p>
    <w:p w:rsidRPr="00E06740" w:rsidR="00B95D89" w:rsidP="00B95D89" w:rsidRDefault="00B95D89" w14:paraId="792B721B" w14:textId="1ED5C3EB">
      <w:pPr>
        <w:spacing w:before="100" w:beforeAutospacing="1" w:after="100" w:afterAutospacing="1" w:line="288" w:lineRule="atLeast"/>
        <w:rPr>
          <w:rFonts w:eastAsia="Calibri"/>
        </w:rPr>
      </w:pPr>
      <w:r w:rsidRPr="00E06740">
        <w:rPr>
          <w:rFonts w:eastAsia="Calibri"/>
        </w:rPr>
        <w:t xml:space="preserve">A 60-Day Federal Register Notice (FRN) for the collection published on </w:t>
      </w:r>
      <w:r w:rsidRPr="00E06740" w:rsidR="00345EAB">
        <w:rPr>
          <w:rFonts w:eastAsia="Calibri"/>
        </w:rPr>
        <w:t>Tuesday, July 20, 2021</w:t>
      </w:r>
      <w:r w:rsidRPr="00E06740">
        <w:rPr>
          <w:rFonts w:eastAsia="Calibri"/>
        </w:rPr>
        <w:t xml:space="preserve">.  The 60-Day FRN citation is </w:t>
      </w:r>
      <w:r w:rsidRPr="00E06740" w:rsidR="00345EAB">
        <w:rPr>
          <w:rFonts w:eastAsia="Calibri"/>
        </w:rPr>
        <w:t>86 FR 38318</w:t>
      </w:r>
      <w:r w:rsidRPr="00E06740">
        <w:rPr>
          <w:rFonts w:eastAsia="Calibri"/>
        </w:rPr>
        <w:t xml:space="preserve">. </w:t>
      </w:r>
    </w:p>
    <w:p w:rsidRPr="00E06740" w:rsidR="00B95D89" w:rsidP="00B95D89" w:rsidRDefault="00B95D89" w14:paraId="12C563CE" w14:textId="293FD8FA">
      <w:pPr>
        <w:spacing w:before="100" w:beforeAutospacing="1" w:after="100" w:afterAutospacing="1" w:line="288" w:lineRule="atLeast"/>
        <w:rPr>
          <w:rFonts w:eastAsia="Calibri"/>
        </w:rPr>
      </w:pPr>
      <w:r w:rsidRPr="00C57ABB">
        <w:rPr>
          <w:rFonts w:eastAsia="Calibri"/>
        </w:rPr>
        <w:t>No comments were received during the 60-Day Comment Period.</w:t>
      </w:r>
      <w:r w:rsidRPr="00E06740">
        <w:rPr>
          <w:rFonts w:eastAsia="Calibri"/>
        </w:rPr>
        <w:t xml:space="preserve"> </w:t>
      </w:r>
    </w:p>
    <w:p w:rsidRPr="00E06740" w:rsidR="00B95D89" w:rsidP="00B95D89" w:rsidRDefault="00B95D89" w14:paraId="4964E8CC" w14:textId="07EA5B64">
      <w:pPr>
        <w:spacing w:before="100" w:beforeAutospacing="1" w:after="100" w:afterAutospacing="1" w:line="288" w:lineRule="atLeast"/>
        <w:rPr>
          <w:rFonts w:eastAsia="Calibri"/>
        </w:rPr>
      </w:pPr>
      <w:r w:rsidRPr="00E06740">
        <w:rPr>
          <w:rFonts w:eastAsia="Calibri"/>
        </w:rPr>
        <w:t xml:space="preserve">A 30-Day Federal Register Notice for the collection published on </w:t>
      </w:r>
      <w:r w:rsidR="00FD6E60">
        <w:rPr>
          <w:rFonts w:eastAsia="Calibri"/>
        </w:rPr>
        <w:t>Friday, October 29, 2021</w:t>
      </w:r>
      <w:r w:rsidRPr="00E06740">
        <w:rPr>
          <w:rFonts w:eastAsia="Calibri"/>
        </w:rPr>
        <w:t xml:space="preserve">.  The 30-Day FRN citation is </w:t>
      </w:r>
      <w:r w:rsidR="00EA6580">
        <w:rPr>
          <w:rFonts w:eastAsia="Calibri"/>
        </w:rPr>
        <w:t>86 FR 60001</w:t>
      </w:r>
      <w:r w:rsidRPr="00E06740">
        <w:rPr>
          <w:rFonts w:eastAsia="Calibri"/>
        </w:rPr>
        <w:t>.</w:t>
      </w:r>
    </w:p>
    <w:p w:rsidRPr="00E06740" w:rsidR="00B95D89" w:rsidP="00B95D89" w:rsidRDefault="00B95D89" w14:paraId="3F43C063" w14:textId="0C3C13D3">
      <w:pPr>
        <w:spacing w:before="100" w:beforeAutospacing="1" w:after="100" w:afterAutospacing="1" w:line="288" w:lineRule="atLeast"/>
        <w:rPr>
          <w:rFonts w:eastAsia="Calibri"/>
        </w:rPr>
      </w:pPr>
      <w:r w:rsidRPr="00E06740">
        <w:rPr>
          <w:rFonts w:eastAsia="Calibri"/>
        </w:rPr>
        <w:t xml:space="preserve">Part B: CONSULTATION </w:t>
      </w:r>
    </w:p>
    <w:p w:rsidRPr="007A7C7E" w:rsidR="00BC7F8E" w:rsidP="0085161B" w:rsidRDefault="007A7C7E" w14:paraId="4262A992" w14:textId="64BC1F82">
      <w:pPr>
        <w:pStyle w:val="NormalWeb"/>
        <w:spacing w:line="288" w:lineRule="atLeast"/>
      </w:pPr>
      <w:bookmarkStart w:name="cp448" w:id="7"/>
      <w:bookmarkEnd w:id="6"/>
      <w:r w:rsidRPr="003F6E57">
        <w:rPr>
          <w:rFonts w:eastAsia="Calibri"/>
        </w:rPr>
        <w:t>No additional consultation apart from soliciting public comments through the Federal Register was conducted for this submission.</w:t>
      </w:r>
    </w:p>
    <w:p w:rsidR="005E0A0F" w:rsidP="003F6E57" w:rsidRDefault="005E0A0F" w14:paraId="63F8A959" w14:textId="5A5AE0FF">
      <w:pPr>
        <w:pStyle w:val="NormalWeb"/>
        <w:spacing w:before="0" w:beforeAutospacing="0" w:after="0" w:afterAutospacing="0"/>
        <w:rPr>
          <w:u w:val="single"/>
        </w:rPr>
      </w:pPr>
      <w:bookmarkStart w:name="cp449" w:id="8"/>
      <w:bookmarkEnd w:id="7"/>
      <w:r w:rsidRPr="00E06740">
        <w:t xml:space="preserve">9.  </w:t>
      </w:r>
      <w:r w:rsidRPr="00E06740">
        <w:rPr>
          <w:u w:val="single"/>
        </w:rPr>
        <w:t>Gifts or Payment</w:t>
      </w:r>
    </w:p>
    <w:p w:rsidRPr="00E06740" w:rsidR="007A7C7E" w:rsidP="003F6E57" w:rsidRDefault="007A7C7E" w14:paraId="6B768C0C" w14:textId="77777777">
      <w:pPr>
        <w:pStyle w:val="NormalWeb"/>
        <w:spacing w:before="0" w:beforeAutospacing="0" w:after="0" w:afterAutospacing="0"/>
      </w:pPr>
    </w:p>
    <w:bookmarkEnd w:id="8"/>
    <w:p w:rsidRPr="00E06740" w:rsidR="004872C7" w:rsidP="004872C7" w:rsidRDefault="004872C7" w14:paraId="55859FBC" w14:textId="4C23AF92">
      <w:pPr>
        <w:pStyle w:val="CommentText"/>
      </w:pPr>
      <w:r w:rsidRPr="00E06740">
        <w:rPr>
          <w:sz w:val="24"/>
        </w:rPr>
        <w:lastRenderedPageBreak/>
        <w:t>No payments or gifts are being offered to respondents as an incentive to participate in the collection</w:t>
      </w:r>
      <w:r w:rsidRPr="00E06740" w:rsidR="00865ECB">
        <w:rPr>
          <w:sz w:val="24"/>
        </w:rPr>
        <w:t>.</w:t>
      </w:r>
    </w:p>
    <w:p w:rsidRPr="00E06740" w:rsidR="000537B2" w:rsidP="00B51BD5" w:rsidRDefault="000537B2" w14:paraId="024DD86D" w14:textId="77777777">
      <w:pPr>
        <w:ind w:left="113" w:right="-20" w:firstLine="1147"/>
      </w:pPr>
    </w:p>
    <w:p w:rsidRPr="00E06740" w:rsidR="005E0A0F" w:rsidP="004872C7" w:rsidRDefault="005E0A0F" w14:paraId="7F747B00" w14:textId="48B91AE2">
      <w:pPr>
        <w:ind w:right="-20"/>
        <w:rPr>
          <w:u w:val="single"/>
        </w:rPr>
      </w:pPr>
      <w:r w:rsidRPr="00E06740">
        <w:t xml:space="preserve">10.  </w:t>
      </w:r>
      <w:r w:rsidRPr="00E06740">
        <w:rPr>
          <w:u w:val="single"/>
        </w:rPr>
        <w:t>Confidentiality</w:t>
      </w:r>
    </w:p>
    <w:p w:rsidRPr="00E06740" w:rsidR="00BE01BA" w:rsidP="004872C7" w:rsidRDefault="00BE01BA" w14:paraId="004920A7" w14:textId="4AC4B353">
      <w:pPr>
        <w:ind w:right="-20"/>
        <w:rPr>
          <w:u w:val="single"/>
        </w:rPr>
      </w:pPr>
    </w:p>
    <w:p w:rsidRPr="00E06740" w:rsidR="00BE01BA" w:rsidP="004872C7" w:rsidRDefault="004D67E4" w14:paraId="77205A6E" w14:textId="7BDBE46F">
      <w:pPr>
        <w:ind w:right="-20"/>
      </w:pPr>
      <w:r w:rsidRPr="00E06740">
        <w:t>A</w:t>
      </w:r>
      <w:r w:rsidRPr="00E06740" w:rsidR="002D6EBD">
        <w:t xml:space="preserve"> Privacy Act Statement is not required on the </w:t>
      </w:r>
      <w:r w:rsidRPr="00E06740">
        <w:t>OHWM datasheet</w:t>
      </w:r>
      <w:r w:rsidRPr="00E06740" w:rsidR="002D6EBD">
        <w:t xml:space="preserve"> </w:t>
      </w:r>
      <w:r w:rsidRPr="00E06740">
        <w:t>since it</w:t>
      </w:r>
      <w:r w:rsidRPr="00E06740" w:rsidR="002D6EBD">
        <w:t xml:space="preserve"> do</w:t>
      </w:r>
      <w:r w:rsidRPr="00E06740">
        <w:t>es</w:t>
      </w:r>
      <w:r w:rsidRPr="00E06740" w:rsidR="002D6EBD">
        <w:t xml:space="preserve"> not collect personal information</w:t>
      </w:r>
      <w:r w:rsidRPr="00E06740" w:rsidR="0087682B">
        <w:t xml:space="preserve"> for a system of records.</w:t>
      </w:r>
    </w:p>
    <w:p w:rsidRPr="00E06740" w:rsidR="00CC0A73" w:rsidP="000537B2" w:rsidRDefault="00CC0A73" w14:paraId="329FB20E" w14:textId="77777777">
      <w:pPr>
        <w:ind w:left="113" w:right="-20" w:firstLine="787"/>
      </w:pPr>
    </w:p>
    <w:p w:rsidRPr="00E06740" w:rsidR="00DE6CF9" w:rsidP="00166EBC" w:rsidRDefault="00B51BD5" w14:paraId="27CD2BC2" w14:textId="57BDBC87">
      <w:pPr>
        <w:pStyle w:val="PlainText"/>
        <w:rPr>
          <w:rFonts w:ascii="Times New Roman" w:hAnsi="Times New Roman" w:eastAsia="Times New Roman"/>
          <w:sz w:val="24"/>
          <w:szCs w:val="24"/>
        </w:rPr>
      </w:pPr>
      <w:r w:rsidRPr="00E06740">
        <w:rPr>
          <w:rFonts w:ascii="Times New Roman" w:hAnsi="Times New Roman" w:eastAsia="Times New Roman"/>
          <w:sz w:val="24"/>
          <w:szCs w:val="24"/>
        </w:rPr>
        <w:t xml:space="preserve">Information provided </w:t>
      </w:r>
      <w:r w:rsidRPr="00E06740" w:rsidR="00AD703A">
        <w:rPr>
          <w:rFonts w:ascii="Times New Roman" w:hAnsi="Times New Roman" w:eastAsia="Times New Roman"/>
          <w:sz w:val="24"/>
          <w:szCs w:val="24"/>
        </w:rPr>
        <w:t>o</w:t>
      </w:r>
      <w:r w:rsidRPr="00E06740" w:rsidR="00C9462A">
        <w:rPr>
          <w:rFonts w:ascii="Times New Roman" w:hAnsi="Times New Roman" w:eastAsia="Times New Roman"/>
          <w:sz w:val="24"/>
          <w:szCs w:val="24"/>
        </w:rPr>
        <w:t xml:space="preserve">n the </w:t>
      </w:r>
      <w:r w:rsidRPr="00E06740" w:rsidR="00AD703A">
        <w:rPr>
          <w:rFonts w:ascii="Times New Roman" w:hAnsi="Times New Roman" w:eastAsia="Times New Roman"/>
          <w:sz w:val="24"/>
          <w:szCs w:val="24"/>
        </w:rPr>
        <w:t>OHWM datasheet</w:t>
      </w:r>
      <w:r w:rsidRPr="00E06740" w:rsidR="00C9462A">
        <w:rPr>
          <w:rFonts w:ascii="Times New Roman" w:hAnsi="Times New Roman" w:eastAsia="Times New Roman"/>
          <w:sz w:val="24"/>
          <w:szCs w:val="24"/>
        </w:rPr>
        <w:t xml:space="preserve"> </w:t>
      </w:r>
      <w:r w:rsidRPr="00E06740">
        <w:rPr>
          <w:rFonts w:ascii="Times New Roman" w:hAnsi="Times New Roman" w:eastAsia="Times New Roman"/>
          <w:sz w:val="24"/>
          <w:szCs w:val="24"/>
        </w:rPr>
        <w:t>becomes par</w:t>
      </w:r>
      <w:r w:rsidRPr="00E06740" w:rsidR="00C9462A">
        <w:rPr>
          <w:rFonts w:ascii="Times New Roman" w:hAnsi="Times New Roman" w:eastAsia="Times New Roman"/>
          <w:sz w:val="24"/>
          <w:szCs w:val="24"/>
        </w:rPr>
        <w:t>t of the administrative record and</w:t>
      </w:r>
      <w:r w:rsidRPr="00E06740" w:rsidR="00865ECB">
        <w:rPr>
          <w:rFonts w:ascii="Times New Roman" w:hAnsi="Times New Roman" w:eastAsia="Times New Roman"/>
          <w:sz w:val="24"/>
          <w:szCs w:val="24"/>
        </w:rPr>
        <w:t xml:space="preserve"> may be shared </w:t>
      </w:r>
      <w:r w:rsidRPr="00E06740">
        <w:rPr>
          <w:rFonts w:ascii="Times New Roman" w:hAnsi="Times New Roman" w:eastAsia="Times New Roman"/>
          <w:sz w:val="24"/>
          <w:szCs w:val="24"/>
        </w:rPr>
        <w:t>with the Department of Justice or other federal, state, and local government agencies, and the public and may be made available a</w:t>
      </w:r>
      <w:r w:rsidRPr="00E06740" w:rsidR="00C9462A">
        <w:rPr>
          <w:rFonts w:ascii="Times New Roman" w:hAnsi="Times New Roman" w:eastAsia="Times New Roman"/>
          <w:sz w:val="24"/>
          <w:szCs w:val="24"/>
        </w:rPr>
        <w:t>s</w:t>
      </w:r>
      <w:r w:rsidRPr="00E06740">
        <w:rPr>
          <w:rFonts w:ascii="Times New Roman" w:hAnsi="Times New Roman" w:eastAsia="Times New Roman"/>
          <w:sz w:val="24"/>
          <w:szCs w:val="24"/>
        </w:rPr>
        <w:t xml:space="preserve"> part of a public notice as required by law.  </w:t>
      </w:r>
    </w:p>
    <w:p w:rsidRPr="00E06740" w:rsidR="00DF2729" w:rsidP="00166EBC" w:rsidRDefault="00DF2729" w14:paraId="05146A6D" w14:textId="77777777">
      <w:pPr>
        <w:pStyle w:val="PlainText"/>
        <w:rPr>
          <w:rFonts w:ascii="Times New Roman" w:hAnsi="Times New Roman" w:eastAsia="Times New Roman"/>
          <w:sz w:val="24"/>
          <w:szCs w:val="24"/>
        </w:rPr>
      </w:pPr>
    </w:p>
    <w:p w:rsidR="0017127B" w:rsidP="00166EBC" w:rsidRDefault="0017127B" w14:paraId="67042A4B" w14:textId="77777777">
      <w:pPr>
        <w:pStyle w:val="PlainText"/>
        <w:rPr>
          <w:rFonts w:ascii="Times New Roman" w:hAnsi="Times New Roman"/>
          <w:sz w:val="24"/>
          <w:szCs w:val="24"/>
        </w:rPr>
      </w:pPr>
      <w:bookmarkStart w:name="_GoBack" w:id="9"/>
      <w:r w:rsidRPr="0017127B">
        <w:rPr>
          <w:rFonts w:ascii="Times New Roman" w:hAnsi="Times New Roman"/>
          <w:sz w:val="24"/>
          <w:szCs w:val="24"/>
        </w:rPr>
        <w:t xml:space="preserve">A System of Record Notice (SORN) is not required for this collection because records are not retrievable by PII. </w:t>
      </w:r>
    </w:p>
    <w:bookmarkEnd w:id="9"/>
    <w:p w:rsidRPr="00E06740" w:rsidR="00DF2729" w:rsidP="00166EBC" w:rsidRDefault="00DF2729" w14:paraId="69802678" w14:textId="77777777">
      <w:pPr>
        <w:pStyle w:val="PlainText"/>
        <w:rPr>
          <w:rFonts w:ascii="Times New Roman" w:hAnsi="Times New Roman"/>
          <w:sz w:val="24"/>
          <w:szCs w:val="24"/>
        </w:rPr>
      </w:pPr>
    </w:p>
    <w:p w:rsidRPr="00E06740" w:rsidR="00793A88" w:rsidP="00166EBC" w:rsidRDefault="003A3F94" w14:paraId="7450B351" w14:textId="4D2D777E">
      <w:pPr>
        <w:pStyle w:val="PlainText"/>
        <w:rPr>
          <w:rFonts w:ascii="Times New Roman" w:hAnsi="Times New Roman"/>
          <w:sz w:val="24"/>
          <w:szCs w:val="24"/>
        </w:rPr>
      </w:pPr>
      <w:r w:rsidRPr="00E06740">
        <w:rPr>
          <w:rFonts w:ascii="Times New Roman" w:hAnsi="Times New Roman" w:eastAsia="Times New Roman"/>
          <w:sz w:val="24"/>
          <w:szCs w:val="24"/>
        </w:rPr>
        <w:t xml:space="preserve">A </w:t>
      </w:r>
      <w:r w:rsidRPr="00E06740" w:rsidR="0087682B">
        <w:rPr>
          <w:rFonts w:ascii="Times New Roman" w:hAnsi="Times New Roman" w:eastAsia="Times New Roman"/>
          <w:sz w:val="24"/>
          <w:szCs w:val="24"/>
        </w:rPr>
        <w:t xml:space="preserve">draft </w:t>
      </w:r>
      <w:r w:rsidRPr="00E06740" w:rsidR="00475F14">
        <w:rPr>
          <w:rFonts w:ascii="Times New Roman" w:hAnsi="Times New Roman" w:eastAsia="Times New Roman"/>
          <w:sz w:val="24"/>
          <w:szCs w:val="24"/>
        </w:rPr>
        <w:t xml:space="preserve">copy of the </w:t>
      </w:r>
      <w:r w:rsidRPr="00E06740" w:rsidR="00CD31B2">
        <w:rPr>
          <w:rFonts w:ascii="Times New Roman" w:hAnsi="Times New Roman" w:eastAsia="Times New Roman"/>
          <w:sz w:val="24"/>
          <w:szCs w:val="24"/>
        </w:rPr>
        <w:t>Privacy Impact Assessment (</w:t>
      </w:r>
      <w:r w:rsidRPr="00E06740">
        <w:rPr>
          <w:rFonts w:ascii="Times New Roman" w:hAnsi="Times New Roman" w:eastAsia="Times New Roman"/>
          <w:sz w:val="24"/>
          <w:szCs w:val="24"/>
        </w:rPr>
        <w:t>PIA</w:t>
      </w:r>
      <w:r w:rsidRPr="00E06740" w:rsidR="00CD31B2">
        <w:rPr>
          <w:rFonts w:ascii="Times New Roman" w:hAnsi="Times New Roman" w:eastAsia="Times New Roman"/>
          <w:sz w:val="24"/>
          <w:szCs w:val="24"/>
        </w:rPr>
        <w:t>)</w:t>
      </w:r>
      <w:r w:rsidRPr="00E06740" w:rsidR="0087682B">
        <w:rPr>
          <w:rFonts w:ascii="Times New Roman" w:hAnsi="Times New Roman" w:eastAsia="Times New Roman"/>
          <w:sz w:val="24"/>
          <w:szCs w:val="24"/>
        </w:rPr>
        <w:t>, Civil Works Business Intelligence (CWBI),</w:t>
      </w:r>
      <w:r w:rsidRPr="00211C05">
        <w:rPr>
          <w:rFonts w:ascii="Times New Roman" w:hAnsi="Times New Roman" w:eastAsia="Times New Roman"/>
          <w:sz w:val="24"/>
          <w:szCs w:val="24"/>
        </w:rPr>
        <w:t xml:space="preserve"> has been </w:t>
      </w:r>
      <w:r w:rsidRPr="00211C05" w:rsidR="00475F14">
        <w:rPr>
          <w:rFonts w:ascii="Times New Roman" w:hAnsi="Times New Roman" w:eastAsia="Times New Roman"/>
          <w:sz w:val="24"/>
          <w:szCs w:val="24"/>
        </w:rPr>
        <w:t xml:space="preserve">provided with this package for OMB’s review. </w:t>
      </w:r>
    </w:p>
    <w:p w:rsidRPr="00211C05" w:rsidR="00DE6CF9" w:rsidP="00DE6CF9" w:rsidRDefault="00DE6CF9" w14:paraId="56FC0F94" w14:textId="77777777">
      <w:pPr>
        <w:pStyle w:val="PlainText"/>
        <w:rPr>
          <w:rFonts w:ascii="Times New Roman" w:hAnsi="Times New Roman" w:eastAsia="Times New Roman"/>
          <w:color w:val="FF0000"/>
          <w:sz w:val="24"/>
          <w:szCs w:val="24"/>
        </w:rPr>
      </w:pPr>
    </w:p>
    <w:p w:rsidRPr="00211C05" w:rsidR="00DE6CF9" w:rsidP="007516B5" w:rsidRDefault="007516B5" w14:paraId="1EEE8300" w14:textId="77777777">
      <w:pPr>
        <w:pStyle w:val="PlainText"/>
        <w:rPr>
          <w:rFonts w:ascii="Times New Roman" w:hAnsi="Times New Roman" w:eastAsia="Times New Roman"/>
          <w:sz w:val="24"/>
          <w:szCs w:val="24"/>
        </w:rPr>
      </w:pPr>
      <w:r w:rsidRPr="00211C05">
        <w:rPr>
          <w:rFonts w:ascii="Times New Roman" w:hAnsi="Times New Roman" w:eastAsia="Times New Roman"/>
          <w:sz w:val="24"/>
          <w:szCs w:val="24"/>
        </w:rPr>
        <w:t>In accordance with Army Regulation (AR) 25-400-2, r</w:t>
      </w:r>
      <w:r w:rsidRPr="00211C05" w:rsidR="00DE6CF9">
        <w:rPr>
          <w:rFonts w:ascii="Times New Roman" w:hAnsi="Times New Roman" w:eastAsia="Times New Roman"/>
          <w:sz w:val="24"/>
          <w:szCs w:val="24"/>
        </w:rPr>
        <w:t xml:space="preserve">ecords </w:t>
      </w:r>
      <w:r w:rsidRPr="00211C05">
        <w:rPr>
          <w:rFonts w:ascii="Times New Roman" w:hAnsi="Times New Roman" w:eastAsia="Times New Roman"/>
          <w:sz w:val="24"/>
          <w:szCs w:val="24"/>
        </w:rPr>
        <w:t xml:space="preserve">are maintained in the current file area for </w:t>
      </w:r>
      <w:r w:rsidRPr="00211C05" w:rsidR="00DE6CF9">
        <w:rPr>
          <w:rFonts w:ascii="Times New Roman" w:hAnsi="Times New Roman" w:eastAsia="Times New Roman"/>
          <w:sz w:val="24"/>
          <w:szCs w:val="24"/>
        </w:rPr>
        <w:t>6 years after expiration of permits/applications</w:t>
      </w:r>
      <w:r w:rsidRPr="00211C05">
        <w:rPr>
          <w:rFonts w:ascii="Times New Roman" w:hAnsi="Times New Roman" w:eastAsia="Times New Roman"/>
          <w:sz w:val="24"/>
          <w:szCs w:val="24"/>
        </w:rPr>
        <w:t>, then destroyed.</w:t>
      </w:r>
    </w:p>
    <w:p w:rsidRPr="00211C05" w:rsidR="005E0A0F" w:rsidP="00F74FD5" w:rsidRDefault="005E0A0F" w14:paraId="3F244F7F" w14:textId="77777777">
      <w:pPr>
        <w:pStyle w:val="NormalWeb"/>
        <w:spacing w:line="288" w:lineRule="atLeast"/>
      </w:pPr>
      <w:r w:rsidRPr="00211C05">
        <w:t xml:space="preserve">11.  </w:t>
      </w:r>
      <w:r w:rsidRPr="00211C05">
        <w:rPr>
          <w:u w:val="single"/>
        </w:rPr>
        <w:t>Sensitive Questions</w:t>
      </w:r>
    </w:p>
    <w:p w:rsidRPr="00211C05" w:rsidR="00E82646" w:rsidP="00E82646" w:rsidRDefault="004872C7" w14:paraId="6F0A9353" w14:textId="77777777">
      <w:pPr>
        <w:pStyle w:val="CommentText"/>
        <w:rPr>
          <w:sz w:val="24"/>
        </w:rPr>
      </w:pPr>
      <w:bookmarkStart w:name="cp456" w:id="10"/>
      <w:r w:rsidRPr="00211C05">
        <w:rPr>
          <w:sz w:val="24"/>
        </w:rPr>
        <w:t>No questions considered sensitive are being asked in this collection.</w:t>
      </w:r>
    </w:p>
    <w:p w:rsidRPr="00211C05" w:rsidR="00E82646" w:rsidP="00E82646" w:rsidRDefault="00E82646" w14:paraId="03C2CF57" w14:textId="77777777">
      <w:pPr>
        <w:pStyle w:val="CommentText"/>
        <w:rPr>
          <w:sz w:val="24"/>
        </w:rPr>
      </w:pPr>
    </w:p>
    <w:p w:rsidRPr="00211C05" w:rsidR="005E0A0F" w:rsidP="00E82646" w:rsidRDefault="005E0A0F" w14:paraId="6398FD91" w14:textId="77777777">
      <w:pPr>
        <w:pStyle w:val="CommentText"/>
        <w:rPr>
          <w:sz w:val="24"/>
          <w:szCs w:val="24"/>
        </w:rPr>
      </w:pPr>
      <w:r w:rsidRPr="00211C05">
        <w:rPr>
          <w:sz w:val="24"/>
          <w:szCs w:val="24"/>
        </w:rPr>
        <w:t xml:space="preserve">12.  </w:t>
      </w:r>
      <w:r w:rsidRPr="00211C05">
        <w:rPr>
          <w:sz w:val="24"/>
          <w:szCs w:val="24"/>
          <w:u w:val="single"/>
        </w:rPr>
        <w:t>Respondent Burden, and its Labor Costs</w:t>
      </w:r>
    </w:p>
    <w:p w:rsidRPr="00211C05" w:rsidR="000D5B98" w:rsidP="009F6D81" w:rsidRDefault="000D5B98" w14:paraId="132326DC" w14:textId="77777777">
      <w:pPr>
        <w:pStyle w:val="NormalWeb"/>
        <w:spacing w:before="0" w:beforeAutospacing="0" w:after="0" w:afterAutospacing="0" w:line="288" w:lineRule="atLeast"/>
        <w:rPr>
          <w:color w:val="FF0000"/>
        </w:rPr>
      </w:pPr>
      <w:bookmarkStart w:name="cp457" w:id="11"/>
      <w:bookmarkEnd w:id="10"/>
    </w:p>
    <w:p w:rsidRPr="00211C05" w:rsidR="00BA1CD6" w:rsidP="00211C05" w:rsidRDefault="00BA1CD6" w14:paraId="3EBA8876" w14:textId="77777777">
      <w:pPr>
        <w:ind w:right="130"/>
        <w:rPr>
          <w:bCs/>
        </w:rPr>
      </w:pPr>
      <w:r w:rsidRPr="00211C05">
        <w:rPr>
          <w:bCs/>
        </w:rPr>
        <w:t xml:space="preserve">Part A: ESTIMATION OF RESPONDENT BURDEN </w:t>
      </w:r>
    </w:p>
    <w:p w:rsidRPr="00E06740" w:rsidR="00BA1CD6" w:rsidP="00D11371" w:rsidRDefault="00BA1CD6" w14:paraId="78BE6623" w14:textId="77777777">
      <w:pPr>
        <w:ind w:right="130" w:firstLine="360"/>
        <w:rPr>
          <w:b/>
          <w:bCs/>
          <w:u w:val="single"/>
        </w:rPr>
      </w:pPr>
    </w:p>
    <w:p w:rsidRPr="00211C05" w:rsidR="00CC6835" w:rsidP="00211C05" w:rsidRDefault="00CC6835" w14:paraId="4C103A47" w14:textId="77777777">
      <w:pPr>
        <w:pStyle w:val="NormalWeb"/>
        <w:spacing w:before="0" w:beforeAutospacing="0" w:after="0" w:afterAutospacing="0" w:line="288" w:lineRule="atLeast"/>
        <w:rPr>
          <w:color w:val="FF0000"/>
        </w:rPr>
      </w:pPr>
      <w:bookmarkStart w:name="cp461" w:id="12"/>
      <w:bookmarkEnd w:id="11"/>
      <w:r w:rsidRPr="00211C05">
        <w:t xml:space="preserve">We note that in most cases the only time the OHWM form would be required to be used is when riverine aquatic resources were determined jurisdictional.  Wetlands are not delineated using the OHWM, and therefore wetland-only areas (non-tidal, non-wetland aquatic resources) were excluded from the count. Since there can be multiple aquatic resources associated with each JD, the number of all riverine aquatic resources was tallied.  </w:t>
      </w:r>
    </w:p>
    <w:p w:rsidRPr="00211C05" w:rsidR="00CC6835" w:rsidP="00B61D2C" w:rsidRDefault="00CC6835" w14:paraId="6B1E10C0" w14:textId="77777777">
      <w:pPr>
        <w:pStyle w:val="NormalWeb"/>
        <w:spacing w:before="0" w:beforeAutospacing="0" w:after="0" w:afterAutospacing="0" w:line="288" w:lineRule="atLeast"/>
        <w:ind w:left="720"/>
      </w:pPr>
    </w:p>
    <w:p w:rsidRPr="00211C05" w:rsidR="00CC6835" w:rsidP="00211C05" w:rsidRDefault="00B61D2C" w14:paraId="679973BC" w14:textId="77777777">
      <w:pPr>
        <w:pStyle w:val="NormalWeb"/>
        <w:spacing w:before="0" w:beforeAutospacing="0" w:after="0" w:afterAutospacing="0" w:line="288" w:lineRule="atLeast"/>
      </w:pPr>
      <w:r w:rsidRPr="00211C05">
        <w:t xml:space="preserve">To determine how often this proposed form may be used, we used our ORM2 data showing the number of </w:t>
      </w:r>
      <w:r w:rsidRPr="00211C05" w:rsidR="00CC6835">
        <w:t xml:space="preserve">riverine aquatic resources determined jurisdictional during calendar year 2020 (45,001). </w:t>
      </w:r>
    </w:p>
    <w:p w:rsidRPr="00211C05" w:rsidR="00CC6835" w:rsidP="00B61D2C" w:rsidRDefault="00CC6835" w14:paraId="01E2DF7D" w14:textId="77777777">
      <w:pPr>
        <w:pStyle w:val="NormalWeb"/>
        <w:spacing w:before="0" w:beforeAutospacing="0" w:after="0" w:afterAutospacing="0" w:line="288" w:lineRule="atLeast"/>
        <w:ind w:left="720"/>
      </w:pPr>
    </w:p>
    <w:p w:rsidRPr="00211C05" w:rsidR="00CC6835" w:rsidP="00211C05" w:rsidRDefault="00CC6835" w14:paraId="1627C19A" w14:textId="49FEDF64">
      <w:pPr>
        <w:pStyle w:val="NormalWeb"/>
        <w:spacing w:before="0" w:beforeAutospacing="0" w:after="0" w:afterAutospacing="0" w:line="288" w:lineRule="atLeast"/>
      </w:pPr>
      <w:r w:rsidRPr="00211C05">
        <w:t xml:space="preserve">Because the Navigable Waters Protection Rule (NWPR) became effective on June 22, 2020, the number of riverine aquatic resources found jurisdictional during 2020 </w:t>
      </w:r>
      <w:r w:rsidR="00FD6E60">
        <w:t>is drawn from a period of time that was approximately half</w:t>
      </w:r>
      <w:r w:rsidRPr="00211C05">
        <w:t xml:space="preserve"> under</w:t>
      </w:r>
      <w:r w:rsidR="00FD6E60">
        <w:t xml:space="preserve"> the</w:t>
      </w:r>
      <w:r w:rsidRPr="00211C05">
        <w:t xml:space="preserve"> NWPR and </w:t>
      </w:r>
      <w:r w:rsidR="00FD6E60">
        <w:t>half</w:t>
      </w:r>
      <w:r w:rsidRPr="00211C05">
        <w:t xml:space="preserve"> under one of the pre-NWPR jurisdictional regimes.  We note that EPA and the Department of the Army have announced their intent to repeal and replace the NWPR, and we </w:t>
      </w:r>
      <w:r w:rsidR="00C348EB">
        <w:t>estimate the process will</w:t>
      </w:r>
      <w:r w:rsidRPr="00211C05">
        <w:t xml:space="preserve"> take 2</w:t>
      </w:r>
      <w:r w:rsidRPr="00211C05" w:rsidR="003E2073">
        <w:t>-</w:t>
      </w:r>
      <w:r w:rsidRPr="00211C05">
        <w:t>3 years. Therefore, we expect</w:t>
      </w:r>
      <w:r w:rsidR="003D2BE3">
        <w:t xml:space="preserve"> that</w:t>
      </w:r>
      <w:r w:rsidRPr="00211C05">
        <w:t xml:space="preserve"> about 50% of the time during the next 5 years</w:t>
      </w:r>
      <w:r w:rsidR="00C348EB">
        <w:t>,</w:t>
      </w:r>
      <w:r w:rsidRPr="00211C05">
        <w:t xml:space="preserve"> the OHWM forms </w:t>
      </w:r>
      <w:r w:rsidRPr="00211C05" w:rsidR="00C348EB">
        <w:t>w</w:t>
      </w:r>
      <w:r w:rsidR="00C348EB">
        <w:t>ill</w:t>
      </w:r>
      <w:r w:rsidRPr="00211C05" w:rsidR="00C348EB">
        <w:t xml:space="preserve"> </w:t>
      </w:r>
      <w:r w:rsidRPr="00211C05">
        <w:t>be completed as necessary to delineate riverine waters consistent with the NWPR jurisdictional regime</w:t>
      </w:r>
      <w:r w:rsidR="003D2BE3">
        <w:t>.</w:t>
      </w:r>
      <w:r w:rsidRPr="00211C05">
        <w:t xml:space="preserve"> </w:t>
      </w:r>
      <w:r w:rsidR="003D2BE3">
        <w:t xml:space="preserve">The other </w:t>
      </w:r>
      <w:r w:rsidRPr="00211C05">
        <w:t xml:space="preserve">50% of the time the </w:t>
      </w:r>
      <w:r w:rsidRPr="00211C05" w:rsidR="00021438">
        <w:t xml:space="preserve">OHWM </w:t>
      </w:r>
      <w:r w:rsidRPr="00211C05">
        <w:t>forms w</w:t>
      </w:r>
      <w:r w:rsidR="00C348EB">
        <w:t>ill</w:t>
      </w:r>
      <w:r w:rsidRPr="00211C05">
        <w:t xml:space="preserve"> be submitted as needed</w:t>
      </w:r>
      <w:r w:rsidR="00C348EB">
        <w:t>,</w:t>
      </w:r>
      <w:r w:rsidRPr="00211C05">
        <w:t xml:space="preserve"> consistent </w:t>
      </w:r>
      <w:r w:rsidRPr="00211C05">
        <w:lastRenderedPageBreak/>
        <w:t xml:space="preserve">with a different WOTUS regime that would be more aligned with </w:t>
      </w:r>
      <w:r w:rsidRPr="00211C05" w:rsidR="00ED7C8B">
        <w:t>t</w:t>
      </w:r>
      <w:r w:rsidRPr="00211C05">
        <w:t>he pre-NWPR regulations</w:t>
      </w:r>
      <w:r w:rsidR="003D2BE3">
        <w:t>. T</w:t>
      </w:r>
      <w:r w:rsidRPr="00211C05" w:rsidR="00021438">
        <w:t>herefore</w:t>
      </w:r>
      <w:r w:rsidR="003D2BE3">
        <w:t>,</w:t>
      </w:r>
      <w:r w:rsidRPr="00211C05" w:rsidR="00021438">
        <w:t xml:space="preserve"> using the 2020 data </w:t>
      </w:r>
      <w:r w:rsidR="003D2BE3">
        <w:t xml:space="preserve">we can estimate </w:t>
      </w:r>
      <w:r w:rsidRPr="00211C05" w:rsidR="00021438">
        <w:t xml:space="preserve">the </w:t>
      </w:r>
      <w:r w:rsidRPr="00211C05" w:rsidR="00ED7C8B">
        <w:t>number</w:t>
      </w:r>
      <w:r w:rsidRPr="00211C05" w:rsidR="00021438">
        <w:t xml:space="preserve"> of forms that w</w:t>
      </w:r>
      <w:r w:rsidR="003D2BE3">
        <w:t>ill</w:t>
      </w:r>
      <w:r w:rsidRPr="00211C05" w:rsidR="00021438">
        <w:t xml:space="preserve"> need to be submitted during the next 5 years</w:t>
      </w:r>
      <w:r w:rsidR="00FD6E60">
        <w:t>,</w:t>
      </w:r>
      <w:r w:rsidRPr="00211C05" w:rsidR="00021438">
        <w:t xml:space="preserve"> assuming a mid-stream change in regulatory regime.</w:t>
      </w:r>
      <w:r w:rsidRPr="00211C05">
        <w:t xml:space="preserve">   </w:t>
      </w:r>
    </w:p>
    <w:p w:rsidRPr="00211C05" w:rsidR="00CC6835" w:rsidP="00B61D2C" w:rsidRDefault="00CC6835" w14:paraId="10CFADFE" w14:textId="77777777">
      <w:pPr>
        <w:pStyle w:val="NormalWeb"/>
        <w:spacing w:before="0" w:beforeAutospacing="0" w:after="0" w:afterAutospacing="0" w:line="288" w:lineRule="atLeast"/>
        <w:ind w:left="720"/>
      </w:pPr>
    </w:p>
    <w:p w:rsidRPr="00211C05" w:rsidR="00B61D2C" w:rsidP="00211C05" w:rsidRDefault="00B61D2C" w14:paraId="0D5A5417" w14:textId="68FD9B1F">
      <w:pPr>
        <w:pStyle w:val="NormalWeb"/>
        <w:spacing w:before="0" w:beforeAutospacing="0" w:after="0" w:afterAutospacing="0" w:line="288" w:lineRule="atLeast"/>
      </w:pPr>
      <w:r w:rsidRPr="00211C05">
        <w:t>This total was then multiplied by the estimated 30 min</w:t>
      </w:r>
      <w:r w:rsidRPr="00211C05" w:rsidR="00ED7C8B">
        <w:t>utes</w:t>
      </w:r>
      <w:r w:rsidRPr="00211C05">
        <w:t xml:space="preserve"> (0.5 h</w:t>
      </w:r>
      <w:r w:rsidRPr="00211C05" w:rsidR="003F6168">
        <w:t>ou</w:t>
      </w:r>
      <w:r w:rsidRPr="00211C05">
        <w:t xml:space="preserve">rs) to complete the form.  Most of these forms will be completed by </w:t>
      </w:r>
      <w:r w:rsidRPr="00211C05" w:rsidR="00126DAF">
        <w:t xml:space="preserve">applicants and/or their consultants as part of their aquatic resources delineation reports and/or permit application packages. These forms will also occasionally be completed by </w:t>
      </w:r>
      <w:r w:rsidRPr="00211C05">
        <w:t>Corps staff</w:t>
      </w:r>
      <w:r w:rsidRPr="00211C05" w:rsidR="00021438">
        <w:t>, but to ensure a conservative estimate</w:t>
      </w:r>
      <w:r w:rsidR="0074536D">
        <w:t>,</w:t>
      </w:r>
      <w:r w:rsidRPr="00211C05" w:rsidR="00021438">
        <w:t xml:space="preserve"> this calculation assumes 100% will be completed by applicants</w:t>
      </w:r>
      <w:r w:rsidRPr="00211C05">
        <w:t xml:space="preserve">.  We envision most parcels </w:t>
      </w:r>
      <w:r w:rsidRPr="00211C05" w:rsidR="00510B0A">
        <w:t xml:space="preserve">that include streams or rivers </w:t>
      </w:r>
      <w:r w:rsidRPr="00211C05">
        <w:t xml:space="preserve">would only need one form, however, very large and complex stream networks may require </w:t>
      </w:r>
      <w:r w:rsidR="0074536D">
        <w:t>more</w:t>
      </w:r>
      <w:r w:rsidRPr="00211C05">
        <w:t xml:space="preserve"> than one form.  </w:t>
      </w:r>
    </w:p>
    <w:p w:rsidRPr="00211C05" w:rsidR="006828B9" w:rsidP="00B61D2C" w:rsidRDefault="006828B9" w14:paraId="2AE75AB0" w14:textId="77777777">
      <w:pPr>
        <w:pStyle w:val="PlainText"/>
        <w:ind w:left="720"/>
        <w:rPr>
          <w:rFonts w:ascii="Times New Roman" w:hAnsi="Times New Roman"/>
          <w:sz w:val="24"/>
          <w:szCs w:val="24"/>
          <w:u w:val="single"/>
        </w:rPr>
      </w:pPr>
    </w:p>
    <w:p w:rsidRPr="00E06740" w:rsidR="00BA1CD6" w:rsidP="00211C05" w:rsidRDefault="00BA1CD6" w14:paraId="2405DFD8" w14:textId="3B2EB9A2">
      <w:pPr>
        <w:pStyle w:val="PlainText"/>
        <w:rPr>
          <w:rFonts w:ascii="Times New Roman" w:hAnsi="Times New Roman"/>
          <w:sz w:val="24"/>
          <w:szCs w:val="24"/>
        </w:rPr>
      </w:pPr>
    </w:p>
    <w:p w:rsidRPr="00211C05" w:rsidR="00BA1CD6" w:rsidP="00065071" w:rsidRDefault="006828B9" w14:paraId="1FACBABA" w14:textId="36F07391">
      <w:pPr>
        <w:numPr>
          <w:ilvl w:val="0"/>
          <w:numId w:val="4"/>
        </w:numPr>
        <w:spacing w:after="200" w:line="276" w:lineRule="auto"/>
        <w:ind w:left="720"/>
        <w:contextualSpacing/>
        <w:rPr>
          <w:rFonts w:eastAsia="Calibri"/>
          <w:szCs w:val="22"/>
        </w:rPr>
      </w:pPr>
      <w:r w:rsidRPr="00211C05">
        <w:rPr>
          <w:rFonts w:eastAsia="Calibri"/>
          <w:szCs w:val="22"/>
        </w:rPr>
        <w:t>Collection Instrument</w:t>
      </w:r>
    </w:p>
    <w:p w:rsidRPr="00211C05" w:rsidR="00BA1CD6" w:rsidP="00BA1CD6" w:rsidRDefault="00645051" w14:paraId="408433F5" w14:textId="55E0D9FC">
      <w:pPr>
        <w:ind w:left="720"/>
        <w:contextualSpacing/>
        <w:rPr>
          <w:rFonts w:eastAsia="Calibri"/>
          <w:szCs w:val="22"/>
        </w:rPr>
      </w:pPr>
      <w:r>
        <w:rPr>
          <w:rFonts w:eastAsia="Calibri"/>
          <w:szCs w:val="22"/>
        </w:rPr>
        <w:t xml:space="preserve">Rapid </w:t>
      </w:r>
      <w:r w:rsidRPr="00211C05" w:rsidR="00BA1CD6">
        <w:rPr>
          <w:rFonts w:eastAsia="Calibri"/>
          <w:szCs w:val="22"/>
        </w:rPr>
        <w:t xml:space="preserve">OHWM Field Identification Datasheet </w:t>
      </w:r>
    </w:p>
    <w:p w:rsidRPr="00211C05" w:rsidR="00BA1CD6" w:rsidP="00065071" w:rsidRDefault="00BA1CD6" w14:paraId="2ACA154C" w14:textId="4CEE7406">
      <w:pPr>
        <w:numPr>
          <w:ilvl w:val="0"/>
          <w:numId w:val="7"/>
        </w:numPr>
        <w:spacing w:after="200" w:line="276" w:lineRule="auto"/>
        <w:contextualSpacing/>
        <w:rPr>
          <w:rFonts w:eastAsia="Calibri"/>
          <w:szCs w:val="22"/>
        </w:rPr>
      </w:pPr>
      <w:r w:rsidRPr="00211C05">
        <w:rPr>
          <w:rFonts w:eastAsia="Calibri"/>
          <w:szCs w:val="22"/>
        </w:rPr>
        <w:t>Number of Respondents: 45,001</w:t>
      </w:r>
    </w:p>
    <w:p w:rsidRPr="00211C05" w:rsidR="00BA1CD6" w:rsidP="00065071" w:rsidRDefault="00BA1CD6" w14:paraId="259FCF8A" w14:textId="0272D775">
      <w:pPr>
        <w:numPr>
          <w:ilvl w:val="0"/>
          <w:numId w:val="7"/>
        </w:numPr>
        <w:spacing w:after="200" w:line="276" w:lineRule="auto"/>
        <w:contextualSpacing/>
        <w:rPr>
          <w:rFonts w:eastAsia="Calibri"/>
          <w:szCs w:val="22"/>
        </w:rPr>
      </w:pPr>
      <w:r w:rsidRPr="00211C05">
        <w:rPr>
          <w:rFonts w:eastAsia="Calibri"/>
          <w:szCs w:val="22"/>
        </w:rPr>
        <w:t>Number of Responses Per Respondent: 1</w:t>
      </w:r>
    </w:p>
    <w:p w:rsidRPr="00211C05" w:rsidR="00BA1CD6" w:rsidP="00065071" w:rsidRDefault="00BA1CD6" w14:paraId="7EE9AD2E" w14:textId="634AD775">
      <w:pPr>
        <w:numPr>
          <w:ilvl w:val="0"/>
          <w:numId w:val="7"/>
        </w:numPr>
        <w:spacing w:after="200" w:line="276" w:lineRule="auto"/>
        <w:contextualSpacing/>
        <w:rPr>
          <w:rFonts w:eastAsia="Calibri"/>
          <w:szCs w:val="22"/>
        </w:rPr>
      </w:pPr>
      <w:r w:rsidRPr="00211C05">
        <w:rPr>
          <w:rFonts w:eastAsia="Calibri"/>
          <w:szCs w:val="22"/>
        </w:rPr>
        <w:t>Number of Total Annual Responses: 45,001</w:t>
      </w:r>
    </w:p>
    <w:p w:rsidRPr="00211C05" w:rsidR="00BA1CD6" w:rsidP="00065071" w:rsidRDefault="00BA1CD6" w14:paraId="65A5CBEC" w14:textId="5C91C74A">
      <w:pPr>
        <w:numPr>
          <w:ilvl w:val="0"/>
          <w:numId w:val="7"/>
        </w:numPr>
        <w:spacing w:after="200" w:line="276" w:lineRule="auto"/>
        <w:contextualSpacing/>
        <w:rPr>
          <w:rFonts w:eastAsia="Calibri"/>
          <w:szCs w:val="22"/>
        </w:rPr>
      </w:pPr>
      <w:r w:rsidRPr="00211C05">
        <w:rPr>
          <w:rFonts w:eastAsia="Calibri"/>
          <w:szCs w:val="22"/>
        </w:rPr>
        <w:t>Response Time: 30 minutes (0.5 hours)</w:t>
      </w:r>
    </w:p>
    <w:p w:rsidRPr="00211C05" w:rsidR="00BA1CD6" w:rsidP="00065071" w:rsidRDefault="00BA1CD6" w14:paraId="248D13A6" w14:textId="53336CA6">
      <w:pPr>
        <w:numPr>
          <w:ilvl w:val="0"/>
          <w:numId w:val="7"/>
        </w:numPr>
        <w:spacing w:after="200" w:line="276" w:lineRule="auto"/>
        <w:contextualSpacing/>
        <w:rPr>
          <w:rFonts w:eastAsia="Calibri"/>
          <w:szCs w:val="22"/>
        </w:rPr>
      </w:pPr>
      <w:r w:rsidRPr="00211C05">
        <w:rPr>
          <w:rFonts w:eastAsia="Calibri"/>
          <w:szCs w:val="22"/>
        </w:rPr>
        <w:t xml:space="preserve">Respondent Burden Hours: 22,500.5 hours </w:t>
      </w:r>
    </w:p>
    <w:p w:rsidRPr="00211C05" w:rsidR="00BA1CD6" w:rsidP="00BA1CD6" w:rsidRDefault="00BA1CD6" w14:paraId="533784E5" w14:textId="77777777">
      <w:pPr>
        <w:ind w:left="1440"/>
        <w:contextualSpacing/>
        <w:rPr>
          <w:rFonts w:eastAsia="Calibri"/>
          <w:szCs w:val="22"/>
        </w:rPr>
      </w:pPr>
    </w:p>
    <w:p w:rsidRPr="00211C05" w:rsidR="00BA1CD6" w:rsidP="00065071" w:rsidRDefault="00BA1CD6" w14:paraId="13F22ADF" w14:textId="60727870">
      <w:pPr>
        <w:numPr>
          <w:ilvl w:val="0"/>
          <w:numId w:val="4"/>
        </w:numPr>
        <w:spacing w:after="200" w:line="276" w:lineRule="auto"/>
        <w:ind w:left="720"/>
        <w:contextualSpacing/>
        <w:rPr>
          <w:rFonts w:eastAsia="Calibri"/>
          <w:szCs w:val="22"/>
        </w:rPr>
      </w:pPr>
      <w:r w:rsidRPr="00211C05">
        <w:rPr>
          <w:rFonts w:eastAsia="Calibri"/>
          <w:szCs w:val="22"/>
        </w:rPr>
        <w:t>Total Submission Burden</w:t>
      </w:r>
    </w:p>
    <w:p w:rsidRPr="00211C05" w:rsidR="00BA1CD6" w:rsidP="00065071" w:rsidRDefault="00BA1CD6" w14:paraId="4C637325" w14:textId="2E8C9D6C">
      <w:pPr>
        <w:numPr>
          <w:ilvl w:val="1"/>
          <w:numId w:val="4"/>
        </w:numPr>
        <w:spacing w:after="200" w:line="276" w:lineRule="auto"/>
        <w:ind w:left="1440"/>
        <w:contextualSpacing/>
        <w:rPr>
          <w:rFonts w:eastAsia="Calibri"/>
          <w:szCs w:val="22"/>
        </w:rPr>
      </w:pPr>
      <w:r w:rsidRPr="00211C05">
        <w:rPr>
          <w:rFonts w:eastAsia="Calibri"/>
          <w:szCs w:val="22"/>
        </w:rPr>
        <w:t>Total Number of Respondents: 45,001</w:t>
      </w:r>
    </w:p>
    <w:p w:rsidRPr="00211C05" w:rsidR="00BA1CD6" w:rsidP="00065071" w:rsidRDefault="00BA1CD6" w14:paraId="4171EE2C" w14:textId="77777777">
      <w:pPr>
        <w:numPr>
          <w:ilvl w:val="1"/>
          <w:numId w:val="4"/>
        </w:numPr>
        <w:spacing w:after="200" w:line="276" w:lineRule="auto"/>
        <w:ind w:left="1440"/>
        <w:contextualSpacing/>
        <w:rPr>
          <w:rFonts w:eastAsia="Calibri"/>
          <w:szCs w:val="22"/>
        </w:rPr>
      </w:pPr>
      <w:r w:rsidRPr="00211C05">
        <w:rPr>
          <w:rFonts w:eastAsia="Calibri"/>
          <w:szCs w:val="22"/>
        </w:rPr>
        <w:t>Total Number of Annual Responses: 45,001</w:t>
      </w:r>
    </w:p>
    <w:p w:rsidRPr="00211C05" w:rsidR="00BA1CD6" w:rsidP="00065071" w:rsidRDefault="00BA1CD6" w14:paraId="40AAF9E9" w14:textId="697B7CDC">
      <w:pPr>
        <w:numPr>
          <w:ilvl w:val="1"/>
          <w:numId w:val="4"/>
        </w:numPr>
        <w:spacing w:after="200" w:line="276" w:lineRule="auto"/>
        <w:ind w:left="1440"/>
        <w:contextualSpacing/>
        <w:rPr>
          <w:rFonts w:eastAsia="Calibri"/>
          <w:szCs w:val="22"/>
        </w:rPr>
      </w:pPr>
      <w:r w:rsidRPr="00E06740">
        <w:rPr>
          <w:szCs w:val="22"/>
        </w:rPr>
        <w:t xml:space="preserve">Total Respondent Burden Hours: </w:t>
      </w:r>
      <w:r w:rsidRPr="00211C05">
        <w:rPr>
          <w:szCs w:val="22"/>
        </w:rPr>
        <w:t>22,500.5 hours</w:t>
      </w:r>
    </w:p>
    <w:p w:rsidRPr="00E06740" w:rsidR="006828B9" w:rsidP="00211C05" w:rsidRDefault="006828B9" w14:paraId="41039707" w14:textId="77777777">
      <w:pPr>
        <w:pStyle w:val="NormalWeb"/>
        <w:spacing w:before="0" w:beforeAutospacing="0" w:after="0" w:afterAutospacing="0" w:line="288" w:lineRule="atLeast"/>
      </w:pPr>
      <w:r w:rsidRPr="00211C05">
        <w:t>Part B: LABOR COST OF RESPONDENT BURDEN</w:t>
      </w:r>
    </w:p>
    <w:p w:rsidRPr="00211C05" w:rsidR="00B61D2C" w:rsidP="00211C05" w:rsidRDefault="006828B9" w14:paraId="2EECF950" w14:textId="3BC08E9C">
      <w:pPr>
        <w:pStyle w:val="NormalWeb"/>
        <w:spacing w:before="0" w:beforeAutospacing="0" w:after="0" w:afterAutospacing="0" w:line="288" w:lineRule="atLeast"/>
        <w:rPr>
          <w:u w:val="single"/>
        </w:rPr>
      </w:pPr>
      <w:r w:rsidRPr="00211C05" w:rsidDel="006828B9">
        <w:rPr>
          <w:u w:val="single"/>
        </w:rPr>
        <w:t xml:space="preserve"> </w:t>
      </w:r>
    </w:p>
    <w:p w:rsidRPr="00211C05" w:rsidR="006828B9" w:rsidP="00065071" w:rsidRDefault="006828B9" w14:paraId="1101830E" w14:textId="45DBCC8D">
      <w:pPr>
        <w:numPr>
          <w:ilvl w:val="0"/>
          <w:numId w:val="5"/>
        </w:numPr>
        <w:spacing w:after="200" w:line="276" w:lineRule="auto"/>
        <w:ind w:left="720"/>
        <w:contextualSpacing/>
        <w:rPr>
          <w:rFonts w:eastAsia="Calibri"/>
          <w:szCs w:val="22"/>
        </w:rPr>
      </w:pPr>
      <w:r w:rsidRPr="00211C05">
        <w:rPr>
          <w:rFonts w:eastAsia="Calibri"/>
          <w:szCs w:val="22"/>
        </w:rPr>
        <w:t>Collection Instrument</w:t>
      </w:r>
    </w:p>
    <w:p w:rsidRPr="00211C05" w:rsidR="006828B9" w:rsidP="006828B9" w:rsidRDefault="00645051" w14:paraId="020D7732" w14:textId="7CCD1481">
      <w:pPr>
        <w:ind w:left="720"/>
        <w:contextualSpacing/>
        <w:rPr>
          <w:rFonts w:eastAsia="Calibri"/>
          <w:szCs w:val="22"/>
        </w:rPr>
      </w:pPr>
      <w:r>
        <w:rPr>
          <w:rFonts w:eastAsia="Calibri"/>
          <w:szCs w:val="22"/>
        </w:rPr>
        <w:t xml:space="preserve">Rapid </w:t>
      </w:r>
      <w:r w:rsidRPr="00211C05" w:rsidR="006828B9">
        <w:rPr>
          <w:rFonts w:eastAsia="Calibri"/>
          <w:szCs w:val="22"/>
        </w:rPr>
        <w:t xml:space="preserve">OHWM Field Identification Datasheet </w:t>
      </w:r>
    </w:p>
    <w:p w:rsidRPr="00211C05" w:rsidR="006828B9" w:rsidP="00065071" w:rsidRDefault="006828B9" w14:paraId="59A27B1A" w14:textId="0E509CE2">
      <w:pPr>
        <w:numPr>
          <w:ilvl w:val="0"/>
          <w:numId w:val="8"/>
        </w:numPr>
        <w:spacing w:after="200" w:line="276" w:lineRule="auto"/>
        <w:contextualSpacing/>
        <w:rPr>
          <w:rFonts w:eastAsia="Calibri"/>
          <w:szCs w:val="22"/>
        </w:rPr>
      </w:pPr>
      <w:r w:rsidRPr="00211C05">
        <w:rPr>
          <w:rFonts w:eastAsia="Calibri"/>
          <w:szCs w:val="22"/>
        </w:rPr>
        <w:t>Number of Total Annual Responses: 45,001</w:t>
      </w:r>
    </w:p>
    <w:p w:rsidRPr="00211C05" w:rsidR="006828B9" w:rsidP="00065071" w:rsidRDefault="006828B9" w14:paraId="4959684B" w14:textId="4841CECC">
      <w:pPr>
        <w:numPr>
          <w:ilvl w:val="0"/>
          <w:numId w:val="8"/>
        </w:numPr>
        <w:spacing w:after="200" w:line="276" w:lineRule="auto"/>
        <w:contextualSpacing/>
        <w:rPr>
          <w:rFonts w:eastAsia="Calibri"/>
          <w:szCs w:val="22"/>
        </w:rPr>
      </w:pPr>
      <w:r w:rsidRPr="00211C05">
        <w:rPr>
          <w:rFonts w:eastAsia="Calibri"/>
          <w:szCs w:val="22"/>
        </w:rPr>
        <w:t>Response Time: 30 minutes (0.5 hours)</w:t>
      </w:r>
    </w:p>
    <w:p w:rsidRPr="00211C05" w:rsidR="006828B9" w:rsidP="00065071" w:rsidRDefault="006828B9" w14:paraId="0602D98B" w14:textId="0B94B377">
      <w:pPr>
        <w:numPr>
          <w:ilvl w:val="0"/>
          <w:numId w:val="8"/>
        </w:numPr>
        <w:spacing w:after="200" w:line="276" w:lineRule="auto"/>
        <w:contextualSpacing/>
        <w:rPr>
          <w:rFonts w:eastAsia="Calibri"/>
          <w:szCs w:val="22"/>
        </w:rPr>
      </w:pPr>
      <w:r w:rsidRPr="00211C05">
        <w:rPr>
          <w:rFonts w:eastAsia="Calibri"/>
          <w:szCs w:val="22"/>
        </w:rPr>
        <w:t>Respondent Hourly Wage: $27.07</w:t>
      </w:r>
    </w:p>
    <w:p w:rsidRPr="00211C05" w:rsidR="006828B9" w:rsidP="00065071" w:rsidRDefault="006828B9" w14:paraId="36606A3C" w14:textId="0B4944C6">
      <w:pPr>
        <w:numPr>
          <w:ilvl w:val="0"/>
          <w:numId w:val="8"/>
        </w:numPr>
        <w:spacing w:after="200" w:line="276" w:lineRule="auto"/>
        <w:contextualSpacing/>
        <w:rPr>
          <w:rFonts w:eastAsia="Calibri"/>
          <w:szCs w:val="22"/>
        </w:rPr>
      </w:pPr>
      <w:r w:rsidRPr="00211C05">
        <w:rPr>
          <w:rFonts w:eastAsia="Calibri"/>
          <w:szCs w:val="22"/>
        </w:rPr>
        <w:t>Labor Burden per Response: $13.54</w:t>
      </w:r>
    </w:p>
    <w:p w:rsidRPr="00211C05" w:rsidR="006828B9" w:rsidP="00065071" w:rsidRDefault="006828B9" w14:paraId="2BD8573D" w14:textId="20E9F8BA">
      <w:pPr>
        <w:numPr>
          <w:ilvl w:val="0"/>
          <w:numId w:val="8"/>
        </w:numPr>
        <w:spacing w:after="200" w:line="276" w:lineRule="auto"/>
        <w:contextualSpacing/>
        <w:rPr>
          <w:rFonts w:eastAsia="Calibri"/>
          <w:szCs w:val="22"/>
        </w:rPr>
      </w:pPr>
      <w:r w:rsidRPr="00211C05">
        <w:rPr>
          <w:rFonts w:eastAsia="Calibri"/>
          <w:szCs w:val="22"/>
        </w:rPr>
        <w:t>Total Labor Burden: $609,088.54</w:t>
      </w:r>
    </w:p>
    <w:p w:rsidRPr="00211C05" w:rsidR="006828B9" w:rsidP="006828B9" w:rsidRDefault="006828B9" w14:paraId="25979807" w14:textId="77777777">
      <w:pPr>
        <w:ind w:left="1440"/>
        <w:contextualSpacing/>
        <w:rPr>
          <w:rFonts w:eastAsia="Calibri"/>
          <w:szCs w:val="22"/>
        </w:rPr>
      </w:pPr>
    </w:p>
    <w:p w:rsidRPr="00211C05" w:rsidR="006828B9" w:rsidP="00065071" w:rsidRDefault="006828B9" w14:paraId="43B0085A" w14:textId="77777777">
      <w:pPr>
        <w:numPr>
          <w:ilvl w:val="0"/>
          <w:numId w:val="5"/>
        </w:numPr>
        <w:spacing w:after="200" w:line="276" w:lineRule="auto"/>
        <w:ind w:left="720"/>
        <w:contextualSpacing/>
        <w:rPr>
          <w:rFonts w:eastAsia="Calibri"/>
          <w:szCs w:val="22"/>
        </w:rPr>
      </w:pPr>
      <w:r w:rsidRPr="00211C05">
        <w:rPr>
          <w:rFonts w:eastAsia="Calibri"/>
          <w:szCs w:val="22"/>
        </w:rPr>
        <w:t xml:space="preserve">Overall Labor Burden </w:t>
      </w:r>
    </w:p>
    <w:p w:rsidRPr="00211C05" w:rsidR="006828B9" w:rsidP="00065071" w:rsidRDefault="006828B9" w14:paraId="533D4D4B" w14:textId="551EA899">
      <w:pPr>
        <w:numPr>
          <w:ilvl w:val="1"/>
          <w:numId w:val="5"/>
        </w:numPr>
        <w:spacing w:after="200" w:line="276" w:lineRule="auto"/>
        <w:ind w:left="1440"/>
        <w:contextualSpacing/>
        <w:rPr>
          <w:rFonts w:eastAsia="Calibri"/>
          <w:szCs w:val="22"/>
        </w:rPr>
      </w:pPr>
      <w:r w:rsidRPr="00211C05">
        <w:rPr>
          <w:rFonts w:eastAsia="Calibri"/>
          <w:szCs w:val="22"/>
        </w:rPr>
        <w:t>Total Number of Annual Responses: 45,001</w:t>
      </w:r>
    </w:p>
    <w:p w:rsidRPr="00211C05" w:rsidR="006828B9" w:rsidP="00065071" w:rsidRDefault="006828B9" w14:paraId="71CB25F6" w14:textId="0C4EC100">
      <w:pPr>
        <w:numPr>
          <w:ilvl w:val="1"/>
          <w:numId w:val="5"/>
        </w:numPr>
        <w:spacing w:after="200" w:line="276" w:lineRule="auto"/>
        <w:ind w:left="1440"/>
        <w:contextualSpacing/>
        <w:rPr>
          <w:rFonts w:eastAsia="Calibri"/>
          <w:szCs w:val="22"/>
        </w:rPr>
      </w:pPr>
      <w:r w:rsidRPr="00211C05">
        <w:rPr>
          <w:rFonts w:eastAsia="Calibri"/>
          <w:szCs w:val="22"/>
        </w:rPr>
        <w:t>Total Labor Burden: $609,088.54</w:t>
      </w:r>
    </w:p>
    <w:p w:rsidRPr="00211C05" w:rsidR="006828B9" w:rsidP="004E2F99" w:rsidRDefault="006828B9" w14:paraId="0B05CFCF" w14:textId="77777777">
      <w:pPr>
        <w:rPr>
          <w:b/>
        </w:rPr>
      </w:pPr>
    </w:p>
    <w:p w:rsidRPr="00E06740" w:rsidR="00807D9A" w:rsidP="00211C05" w:rsidRDefault="009A708C" w14:paraId="22378836" w14:textId="3FCE5EFF">
      <w:pPr>
        <w:ind w:right="130"/>
      </w:pPr>
      <w:r w:rsidRPr="00211C05">
        <w:t>The respondent average hourly work wage was obtained from the Bureau of Labor Statistics website and is reported above. This figure represents the average wage for all US workers from the May 20</w:t>
      </w:r>
      <w:r w:rsidRPr="00211C05" w:rsidR="00C606F0">
        <w:t>20</w:t>
      </w:r>
      <w:r w:rsidRPr="00211C05">
        <w:t xml:space="preserve"> National Occupational Employment and Wage Estimates, and may be too high or too low, depending on the occupation of each applicant.  </w:t>
      </w:r>
      <w:hyperlink w:history="1" w:anchor="00-0000" r:id="rId12">
        <w:r w:rsidRPr="00E06740" w:rsidR="00C606F0">
          <w:rPr>
            <w:rStyle w:val="Hyperlink"/>
          </w:rPr>
          <w:t>https://www.bls.gov/oes/current/oes_nat.htm#00-0000</w:t>
        </w:r>
      </w:hyperlink>
      <w:r w:rsidRPr="00E06740" w:rsidR="00C606F0">
        <w:rPr>
          <w:rStyle w:val="Hyperlink"/>
          <w:color w:val="auto"/>
          <w:u w:val="none"/>
        </w:rPr>
        <w:t>.</w:t>
      </w:r>
      <w:r w:rsidRPr="00E06740" w:rsidR="00C606F0">
        <w:rPr>
          <w:rStyle w:val="Hyperlink"/>
          <w:color w:val="auto"/>
        </w:rPr>
        <w:t xml:space="preserve"> </w:t>
      </w:r>
      <w:r w:rsidRPr="00E06740">
        <w:t xml:space="preserve"> </w:t>
      </w:r>
    </w:p>
    <w:p w:rsidRPr="00211C05" w:rsidR="005D570C" w:rsidP="00CD2687" w:rsidRDefault="005D570C" w14:paraId="7B08EBDD" w14:textId="3C25DB1E">
      <w:pPr>
        <w:ind w:right="130"/>
      </w:pPr>
    </w:p>
    <w:p w:rsidRPr="00211C05" w:rsidR="005E0A0F" w:rsidP="000D5B98" w:rsidRDefault="005E0A0F" w14:paraId="14E6AAD5" w14:textId="77777777">
      <w:pPr>
        <w:pStyle w:val="NormalWeb"/>
        <w:spacing w:before="0" w:beforeAutospacing="0" w:after="0" w:afterAutospacing="0" w:line="288" w:lineRule="atLeast"/>
        <w:rPr>
          <w:u w:val="single"/>
        </w:rPr>
      </w:pPr>
      <w:bookmarkStart w:name="cp462" w:id="13"/>
      <w:bookmarkEnd w:id="12"/>
      <w:r w:rsidRPr="00211C05">
        <w:t xml:space="preserve">13.  </w:t>
      </w:r>
      <w:r w:rsidRPr="00211C05">
        <w:rPr>
          <w:u w:val="single"/>
        </w:rPr>
        <w:t>Respondent Costs Other Than Burden Hour Costs</w:t>
      </w:r>
    </w:p>
    <w:p w:rsidRPr="00211C05" w:rsidR="00CD2687" w:rsidP="003D1E8C" w:rsidRDefault="003D1E8C" w14:paraId="22015D30" w14:textId="4EB74572">
      <w:pPr>
        <w:pStyle w:val="CommentText"/>
        <w:rPr>
          <w:sz w:val="24"/>
          <w:szCs w:val="24"/>
        </w:rPr>
      </w:pPr>
      <w:r w:rsidRPr="00211C05">
        <w:rPr>
          <w:sz w:val="24"/>
          <w:szCs w:val="24"/>
        </w:rPr>
        <w:t>There are no annualized costs to the respondents other than the labor burden costs addressed in Section 12 of this document to complete this action.</w:t>
      </w:r>
    </w:p>
    <w:p w:rsidRPr="00211C05" w:rsidR="005E0A0F" w:rsidP="001038E5" w:rsidRDefault="005E0A0F" w14:paraId="2340F112" w14:textId="5DA48892">
      <w:pPr>
        <w:pStyle w:val="NormalWeb"/>
        <w:spacing w:line="288" w:lineRule="atLeast"/>
        <w:rPr>
          <w:u w:val="single"/>
        </w:rPr>
      </w:pPr>
      <w:bookmarkStart w:name="cp466" w:id="14"/>
      <w:bookmarkEnd w:id="13"/>
      <w:r w:rsidRPr="00211C05">
        <w:t xml:space="preserve">14.  </w:t>
      </w:r>
      <w:r w:rsidRPr="00211C05">
        <w:rPr>
          <w:u w:val="single"/>
        </w:rPr>
        <w:t>Cost to the Federal Government</w:t>
      </w:r>
    </w:p>
    <w:p w:rsidRPr="00E06740" w:rsidR="006828B9" w:rsidP="001038E5" w:rsidRDefault="006828B9" w14:paraId="0C1829A0" w14:textId="0FFC4F50">
      <w:pPr>
        <w:pStyle w:val="NormalWeb"/>
        <w:spacing w:line="288" w:lineRule="atLeast"/>
      </w:pPr>
      <w:r w:rsidRPr="00211C05">
        <w:t>Part A: LABOR COST TO THE FEDERAL GOVERNMENT</w:t>
      </w:r>
    </w:p>
    <w:p w:rsidRPr="00211C05" w:rsidR="006828B9" w:rsidP="00065071" w:rsidRDefault="006828B9" w14:paraId="29DE8350" w14:textId="77777777">
      <w:pPr>
        <w:numPr>
          <w:ilvl w:val="0"/>
          <w:numId w:val="9"/>
        </w:numPr>
        <w:spacing w:after="200" w:line="276" w:lineRule="auto"/>
        <w:contextualSpacing/>
        <w:rPr>
          <w:rFonts w:eastAsia="Calibri"/>
          <w:szCs w:val="22"/>
        </w:rPr>
      </w:pPr>
      <w:r w:rsidRPr="00211C05">
        <w:rPr>
          <w:rFonts w:eastAsia="Calibri"/>
          <w:szCs w:val="22"/>
        </w:rPr>
        <w:t>Collection Instrument(s)</w:t>
      </w:r>
    </w:p>
    <w:p w:rsidRPr="00211C05" w:rsidR="006828B9" w:rsidP="006828B9" w:rsidRDefault="00645051" w14:paraId="58604A9C" w14:textId="219BCE58">
      <w:pPr>
        <w:ind w:left="720"/>
        <w:contextualSpacing/>
        <w:rPr>
          <w:rFonts w:eastAsia="Calibri"/>
          <w:szCs w:val="22"/>
        </w:rPr>
      </w:pPr>
      <w:r>
        <w:rPr>
          <w:rFonts w:eastAsia="Calibri"/>
          <w:szCs w:val="22"/>
        </w:rPr>
        <w:t xml:space="preserve">Rapid </w:t>
      </w:r>
      <w:r w:rsidRPr="00211C05" w:rsidR="00922D3C">
        <w:rPr>
          <w:rFonts w:eastAsia="Calibri"/>
          <w:szCs w:val="22"/>
        </w:rPr>
        <w:t>OHWM Field Identification Datasheet</w:t>
      </w:r>
      <w:r w:rsidRPr="00211C05" w:rsidR="006828B9">
        <w:rPr>
          <w:rFonts w:eastAsia="Calibri"/>
          <w:szCs w:val="22"/>
        </w:rPr>
        <w:t xml:space="preserve"> </w:t>
      </w:r>
    </w:p>
    <w:p w:rsidRPr="00211C05" w:rsidR="006828B9" w:rsidP="00065071" w:rsidRDefault="006828B9" w14:paraId="011B2582" w14:textId="23DB0272">
      <w:pPr>
        <w:numPr>
          <w:ilvl w:val="0"/>
          <w:numId w:val="10"/>
        </w:numPr>
        <w:spacing w:after="200" w:line="276" w:lineRule="auto"/>
        <w:contextualSpacing/>
        <w:rPr>
          <w:rFonts w:eastAsia="Calibri"/>
          <w:szCs w:val="22"/>
        </w:rPr>
      </w:pPr>
      <w:r w:rsidRPr="00211C05">
        <w:rPr>
          <w:rFonts w:eastAsia="Calibri"/>
          <w:szCs w:val="22"/>
        </w:rPr>
        <w:t xml:space="preserve">Number of Total Annual Responses: </w:t>
      </w:r>
      <w:r w:rsidRPr="00211C05" w:rsidR="00922D3C">
        <w:rPr>
          <w:rFonts w:eastAsia="Calibri"/>
          <w:szCs w:val="22"/>
        </w:rPr>
        <w:t>45,001</w:t>
      </w:r>
    </w:p>
    <w:p w:rsidRPr="00211C05" w:rsidR="006828B9" w:rsidP="00065071" w:rsidRDefault="006828B9" w14:paraId="097A8FBF" w14:textId="55152845">
      <w:pPr>
        <w:numPr>
          <w:ilvl w:val="0"/>
          <w:numId w:val="10"/>
        </w:numPr>
        <w:spacing w:after="200" w:line="276" w:lineRule="auto"/>
        <w:contextualSpacing/>
        <w:rPr>
          <w:rFonts w:eastAsia="Calibri"/>
          <w:szCs w:val="22"/>
        </w:rPr>
      </w:pPr>
      <w:r w:rsidRPr="00211C05">
        <w:rPr>
          <w:rFonts w:eastAsia="Calibri"/>
          <w:szCs w:val="22"/>
        </w:rPr>
        <w:t xml:space="preserve">Processing Time per Response: </w:t>
      </w:r>
      <w:r w:rsidRPr="00211C05" w:rsidR="00922D3C">
        <w:rPr>
          <w:rFonts w:eastAsia="Calibri"/>
          <w:szCs w:val="22"/>
        </w:rPr>
        <w:t>3 minutes (0.05</w:t>
      </w:r>
      <w:r w:rsidRPr="00211C05">
        <w:rPr>
          <w:rFonts w:eastAsia="Calibri"/>
          <w:szCs w:val="22"/>
        </w:rPr>
        <w:t xml:space="preserve"> hours</w:t>
      </w:r>
      <w:r w:rsidRPr="00211C05" w:rsidR="00922D3C">
        <w:rPr>
          <w:rFonts w:eastAsia="Calibri"/>
          <w:szCs w:val="22"/>
        </w:rPr>
        <w:t>)</w:t>
      </w:r>
    </w:p>
    <w:p w:rsidRPr="00211C05" w:rsidR="006828B9" w:rsidP="00065071" w:rsidRDefault="006828B9" w14:paraId="3DE9499C" w14:textId="7177D1F2">
      <w:pPr>
        <w:numPr>
          <w:ilvl w:val="0"/>
          <w:numId w:val="10"/>
        </w:numPr>
        <w:spacing w:after="200" w:line="276" w:lineRule="auto"/>
        <w:contextualSpacing/>
        <w:rPr>
          <w:rFonts w:eastAsia="Calibri"/>
          <w:szCs w:val="22"/>
        </w:rPr>
      </w:pPr>
      <w:r w:rsidRPr="00211C05">
        <w:rPr>
          <w:rFonts w:eastAsia="Calibri"/>
          <w:szCs w:val="22"/>
        </w:rPr>
        <w:t>Hourly Wage of</w:t>
      </w:r>
      <w:r w:rsidRPr="00211C05" w:rsidR="00922D3C">
        <w:rPr>
          <w:rFonts w:eastAsia="Calibri"/>
          <w:szCs w:val="22"/>
        </w:rPr>
        <w:t xml:space="preserve"> Worker(s) Processing Responses</w:t>
      </w:r>
      <w:r w:rsidRPr="00211C05">
        <w:rPr>
          <w:rFonts w:eastAsia="Calibri"/>
          <w:szCs w:val="22"/>
        </w:rPr>
        <w:t>: $</w:t>
      </w:r>
      <w:r w:rsidRPr="00211C05" w:rsidR="00922D3C">
        <w:rPr>
          <w:rFonts w:eastAsia="Calibri"/>
          <w:szCs w:val="22"/>
        </w:rPr>
        <w:t>30.28</w:t>
      </w:r>
    </w:p>
    <w:p w:rsidRPr="00E06740" w:rsidR="006828B9" w:rsidP="00065071" w:rsidRDefault="006828B9" w14:paraId="39B9C5FE" w14:textId="3D4C79D7">
      <w:pPr>
        <w:numPr>
          <w:ilvl w:val="0"/>
          <w:numId w:val="10"/>
        </w:numPr>
        <w:spacing w:after="200" w:line="276" w:lineRule="auto"/>
        <w:contextualSpacing/>
        <w:rPr>
          <w:rFonts w:eastAsia="Calibri"/>
          <w:szCs w:val="22"/>
        </w:rPr>
      </w:pPr>
      <w:r w:rsidRPr="00211C05">
        <w:rPr>
          <w:rFonts w:eastAsia="Calibri"/>
          <w:szCs w:val="22"/>
        </w:rPr>
        <w:t>Cost to Process Each Response: $</w:t>
      </w:r>
      <w:r w:rsidRPr="00E06740" w:rsidR="00922D3C">
        <w:rPr>
          <w:rFonts w:eastAsia="Calibri"/>
          <w:szCs w:val="22"/>
        </w:rPr>
        <w:t>1.51</w:t>
      </w:r>
    </w:p>
    <w:p w:rsidRPr="00E06740" w:rsidR="006828B9" w:rsidP="00065071" w:rsidRDefault="006828B9" w14:paraId="26ED7B0A" w14:textId="6CD6A5EF">
      <w:pPr>
        <w:numPr>
          <w:ilvl w:val="0"/>
          <w:numId w:val="10"/>
        </w:numPr>
        <w:spacing w:after="200" w:line="276" w:lineRule="auto"/>
        <w:contextualSpacing/>
        <w:rPr>
          <w:rFonts w:eastAsia="Calibri"/>
          <w:szCs w:val="22"/>
        </w:rPr>
      </w:pPr>
      <w:r w:rsidRPr="00E06740">
        <w:rPr>
          <w:rFonts w:eastAsia="Calibri"/>
          <w:szCs w:val="22"/>
        </w:rPr>
        <w:t>Total Cost to Process Responses: $</w:t>
      </w:r>
      <w:r w:rsidRPr="00E06740" w:rsidR="00922D3C">
        <w:rPr>
          <w:rFonts w:eastAsia="Calibri"/>
          <w:szCs w:val="22"/>
        </w:rPr>
        <w:t>68,131.51</w:t>
      </w:r>
    </w:p>
    <w:p w:rsidRPr="00E06740" w:rsidR="006828B9" w:rsidP="006828B9" w:rsidRDefault="006828B9" w14:paraId="7F95F955" w14:textId="77777777">
      <w:pPr>
        <w:ind w:left="1440"/>
        <w:contextualSpacing/>
        <w:rPr>
          <w:rFonts w:eastAsia="Calibri"/>
          <w:szCs w:val="22"/>
        </w:rPr>
      </w:pPr>
    </w:p>
    <w:p w:rsidRPr="00E06740" w:rsidR="006828B9" w:rsidP="00065071" w:rsidRDefault="006828B9" w14:paraId="378B35C1" w14:textId="77777777">
      <w:pPr>
        <w:numPr>
          <w:ilvl w:val="0"/>
          <w:numId w:val="9"/>
        </w:numPr>
        <w:spacing w:after="200" w:line="276" w:lineRule="auto"/>
        <w:contextualSpacing/>
        <w:rPr>
          <w:rFonts w:eastAsia="Calibri"/>
          <w:szCs w:val="22"/>
        </w:rPr>
      </w:pPr>
      <w:r w:rsidRPr="00E06740">
        <w:rPr>
          <w:rFonts w:eastAsia="Calibri"/>
          <w:szCs w:val="22"/>
        </w:rPr>
        <w:t>Overall Labor Burden to the Federal Government</w:t>
      </w:r>
    </w:p>
    <w:p w:rsidRPr="00E06740" w:rsidR="00922D3C" w:rsidP="00065071" w:rsidRDefault="006828B9" w14:paraId="00499D4B" w14:textId="15C5050F">
      <w:pPr>
        <w:numPr>
          <w:ilvl w:val="1"/>
          <w:numId w:val="9"/>
        </w:numPr>
        <w:spacing w:after="200" w:line="276" w:lineRule="auto"/>
        <w:contextualSpacing/>
        <w:rPr>
          <w:rFonts w:eastAsia="Calibri"/>
          <w:szCs w:val="22"/>
        </w:rPr>
      </w:pPr>
      <w:r w:rsidRPr="00E06740">
        <w:rPr>
          <w:rFonts w:eastAsia="Calibri"/>
          <w:szCs w:val="22"/>
        </w:rPr>
        <w:t xml:space="preserve">Total Number of Annual Responses: </w:t>
      </w:r>
      <w:r w:rsidRPr="00E06740" w:rsidR="00922D3C">
        <w:rPr>
          <w:rFonts w:eastAsia="Calibri"/>
          <w:szCs w:val="22"/>
        </w:rPr>
        <w:t>45,001</w:t>
      </w:r>
    </w:p>
    <w:p w:rsidRPr="00E06740" w:rsidR="006828B9" w:rsidP="00065071" w:rsidRDefault="00922D3C" w14:paraId="5D7B6E1A" w14:textId="30A97773">
      <w:pPr>
        <w:numPr>
          <w:ilvl w:val="1"/>
          <w:numId w:val="9"/>
        </w:numPr>
        <w:spacing w:after="200" w:line="276" w:lineRule="auto"/>
        <w:contextualSpacing/>
        <w:rPr>
          <w:rFonts w:eastAsia="Calibri"/>
          <w:szCs w:val="22"/>
        </w:rPr>
      </w:pPr>
      <w:r w:rsidRPr="00E06740">
        <w:rPr>
          <w:rFonts w:eastAsia="Calibri"/>
          <w:szCs w:val="22"/>
        </w:rPr>
        <w:t>Total Labor Burden</w:t>
      </w:r>
      <w:r w:rsidRPr="00E06740" w:rsidR="006828B9">
        <w:rPr>
          <w:rFonts w:eastAsia="Calibri"/>
          <w:szCs w:val="22"/>
        </w:rPr>
        <w:t>:</w:t>
      </w:r>
      <w:r w:rsidRPr="00E06740" w:rsidR="006828B9">
        <w:rPr>
          <w:rFonts w:eastAsia="Calibri"/>
          <w:i/>
          <w:szCs w:val="22"/>
        </w:rPr>
        <w:t xml:space="preserve"> </w:t>
      </w:r>
      <w:r w:rsidRPr="00E06740" w:rsidR="006828B9">
        <w:rPr>
          <w:rFonts w:eastAsia="Calibri"/>
          <w:szCs w:val="22"/>
        </w:rPr>
        <w:t>$</w:t>
      </w:r>
      <w:r w:rsidRPr="00E06740">
        <w:rPr>
          <w:rFonts w:eastAsia="Calibri"/>
          <w:szCs w:val="22"/>
        </w:rPr>
        <w:t>68,131.51</w:t>
      </w:r>
    </w:p>
    <w:p w:rsidRPr="00E06740" w:rsidR="00922D3C" w:rsidP="00E06740" w:rsidRDefault="00922D3C" w14:paraId="01502872" w14:textId="0A15FECF">
      <w:pPr>
        <w:rPr>
          <w:u w:val="single"/>
        </w:rPr>
      </w:pPr>
      <w:bookmarkStart w:name="cp468" w:id="15"/>
      <w:bookmarkEnd w:id="14"/>
    </w:p>
    <w:p w:rsidRPr="00E06740" w:rsidR="00922D3C" w:rsidP="00E06740" w:rsidRDefault="00922D3C" w14:paraId="08DCFB15" w14:textId="44902165">
      <w:r w:rsidRPr="00E06740">
        <w:t>Part B: OPERATIONAL AND MAINTENANCE COSTS</w:t>
      </w:r>
    </w:p>
    <w:p w:rsidRPr="00E06740" w:rsidR="00807D9A" w:rsidP="00E06740" w:rsidRDefault="00807D9A" w14:paraId="1ABDE879" w14:textId="3A66B0EB">
      <w:pPr>
        <w:rPr>
          <w:u w:val="single"/>
        </w:rPr>
      </w:pPr>
    </w:p>
    <w:p w:rsidRPr="00E06740" w:rsidR="00922D3C" w:rsidP="00065071" w:rsidRDefault="00922D3C" w14:paraId="75A64A0A" w14:textId="77777777">
      <w:pPr>
        <w:numPr>
          <w:ilvl w:val="0"/>
          <w:numId w:val="11"/>
        </w:numPr>
        <w:spacing w:after="200" w:line="276" w:lineRule="auto"/>
        <w:contextualSpacing/>
        <w:rPr>
          <w:rFonts w:eastAsia="Calibri"/>
          <w:i/>
          <w:szCs w:val="22"/>
        </w:rPr>
      </w:pPr>
      <w:r w:rsidRPr="00E06740">
        <w:rPr>
          <w:rFonts w:eastAsia="Calibri"/>
          <w:szCs w:val="22"/>
        </w:rPr>
        <w:t>Cost Categories</w:t>
      </w:r>
    </w:p>
    <w:p w:rsidRPr="00E06740" w:rsidR="00922D3C" w:rsidP="00065071" w:rsidRDefault="00922D3C" w14:paraId="07734C69" w14:textId="04A26CA7">
      <w:pPr>
        <w:numPr>
          <w:ilvl w:val="1"/>
          <w:numId w:val="11"/>
        </w:numPr>
        <w:spacing w:after="200" w:line="276" w:lineRule="auto"/>
        <w:contextualSpacing/>
        <w:rPr>
          <w:rFonts w:eastAsia="Calibri"/>
          <w:i/>
          <w:szCs w:val="22"/>
        </w:rPr>
      </w:pPr>
      <w:r w:rsidRPr="00E06740">
        <w:rPr>
          <w:rFonts w:eastAsia="Calibri"/>
          <w:szCs w:val="22"/>
        </w:rPr>
        <w:t>Equipment: $0</w:t>
      </w:r>
    </w:p>
    <w:p w:rsidRPr="00E06740" w:rsidR="00922D3C" w:rsidP="00065071" w:rsidRDefault="00922D3C" w14:paraId="6D470579" w14:textId="1B4D0AE6">
      <w:pPr>
        <w:numPr>
          <w:ilvl w:val="1"/>
          <w:numId w:val="11"/>
        </w:numPr>
        <w:spacing w:after="200" w:line="276" w:lineRule="auto"/>
        <w:contextualSpacing/>
        <w:rPr>
          <w:rFonts w:eastAsia="Calibri"/>
          <w:i/>
          <w:szCs w:val="22"/>
        </w:rPr>
      </w:pPr>
      <w:r w:rsidRPr="00E06740">
        <w:rPr>
          <w:rFonts w:eastAsia="Calibri"/>
          <w:szCs w:val="22"/>
        </w:rPr>
        <w:t>Printing: $0</w:t>
      </w:r>
    </w:p>
    <w:p w:rsidRPr="00E06740" w:rsidR="00922D3C" w:rsidP="00065071" w:rsidRDefault="00922D3C" w14:paraId="58A9EF09" w14:textId="721FAC73">
      <w:pPr>
        <w:numPr>
          <w:ilvl w:val="1"/>
          <w:numId w:val="11"/>
        </w:numPr>
        <w:spacing w:after="200" w:line="276" w:lineRule="auto"/>
        <w:contextualSpacing/>
        <w:rPr>
          <w:rFonts w:eastAsia="Calibri"/>
          <w:i/>
          <w:szCs w:val="22"/>
        </w:rPr>
      </w:pPr>
      <w:r w:rsidRPr="00E06740">
        <w:rPr>
          <w:rFonts w:eastAsia="Calibri"/>
          <w:szCs w:val="22"/>
        </w:rPr>
        <w:t>Postage: $0</w:t>
      </w:r>
    </w:p>
    <w:p w:rsidRPr="00E06740" w:rsidR="00922D3C" w:rsidP="00065071" w:rsidRDefault="00922D3C" w14:paraId="0A4424AF" w14:textId="0C08AA2C">
      <w:pPr>
        <w:numPr>
          <w:ilvl w:val="1"/>
          <w:numId w:val="11"/>
        </w:numPr>
        <w:spacing w:after="200" w:line="276" w:lineRule="auto"/>
        <w:contextualSpacing/>
        <w:rPr>
          <w:rFonts w:eastAsia="Calibri"/>
          <w:i/>
          <w:szCs w:val="22"/>
        </w:rPr>
      </w:pPr>
      <w:r w:rsidRPr="00E06740">
        <w:rPr>
          <w:rFonts w:eastAsia="Calibri"/>
          <w:szCs w:val="22"/>
        </w:rPr>
        <w:t>Software Purchases: $0</w:t>
      </w:r>
    </w:p>
    <w:p w:rsidRPr="00E06740" w:rsidR="00922D3C" w:rsidP="00065071" w:rsidRDefault="00922D3C" w14:paraId="733FFD13" w14:textId="381F0B14">
      <w:pPr>
        <w:numPr>
          <w:ilvl w:val="1"/>
          <w:numId w:val="11"/>
        </w:numPr>
        <w:spacing w:after="200" w:line="276" w:lineRule="auto"/>
        <w:contextualSpacing/>
        <w:rPr>
          <w:rFonts w:eastAsia="Calibri"/>
          <w:i/>
          <w:szCs w:val="22"/>
        </w:rPr>
      </w:pPr>
      <w:r w:rsidRPr="00E06740">
        <w:rPr>
          <w:rFonts w:eastAsia="Calibri"/>
          <w:szCs w:val="22"/>
        </w:rPr>
        <w:t>Licensing Costs: $0</w:t>
      </w:r>
    </w:p>
    <w:p w:rsidRPr="00E06740" w:rsidR="00922D3C" w:rsidP="00065071" w:rsidRDefault="00922D3C" w14:paraId="78DCC83F" w14:textId="6FD08765">
      <w:pPr>
        <w:numPr>
          <w:ilvl w:val="1"/>
          <w:numId w:val="11"/>
        </w:numPr>
        <w:spacing w:after="200" w:line="276" w:lineRule="auto"/>
        <w:contextualSpacing/>
        <w:rPr>
          <w:rFonts w:eastAsia="Calibri"/>
          <w:i/>
          <w:szCs w:val="22"/>
        </w:rPr>
      </w:pPr>
      <w:r w:rsidRPr="00E06740">
        <w:rPr>
          <w:rFonts w:eastAsia="Calibri"/>
          <w:szCs w:val="22"/>
        </w:rPr>
        <w:t>Other: $0</w:t>
      </w:r>
    </w:p>
    <w:p w:rsidRPr="00E06740" w:rsidR="00922D3C" w:rsidP="00922D3C" w:rsidRDefault="00922D3C" w14:paraId="48FB0CF3" w14:textId="77777777">
      <w:pPr>
        <w:ind w:left="1440"/>
        <w:contextualSpacing/>
        <w:rPr>
          <w:rFonts w:eastAsia="Calibri"/>
          <w:i/>
          <w:szCs w:val="22"/>
        </w:rPr>
      </w:pPr>
    </w:p>
    <w:p w:rsidRPr="00E06740" w:rsidR="00922D3C" w:rsidP="00065071" w:rsidRDefault="00922D3C" w14:paraId="622CAE0D" w14:textId="5F070086">
      <w:pPr>
        <w:numPr>
          <w:ilvl w:val="0"/>
          <w:numId w:val="11"/>
        </w:numPr>
        <w:spacing w:after="200" w:line="276" w:lineRule="auto"/>
        <w:contextualSpacing/>
        <w:rPr>
          <w:rFonts w:eastAsia="Calibri"/>
          <w:i/>
          <w:szCs w:val="22"/>
        </w:rPr>
      </w:pPr>
      <w:r w:rsidRPr="00E06740">
        <w:rPr>
          <w:rFonts w:eastAsia="Calibri"/>
          <w:szCs w:val="22"/>
        </w:rPr>
        <w:t>Total Operational and Maintenance Cost: $0</w:t>
      </w:r>
    </w:p>
    <w:p w:rsidRPr="00E06740" w:rsidR="00922D3C" w:rsidP="00922D3C" w:rsidRDefault="00922D3C" w14:paraId="671E1883" w14:textId="77777777">
      <w:pPr>
        <w:rPr>
          <w:rFonts w:eastAsia="Calibri"/>
          <w:i/>
          <w:szCs w:val="22"/>
        </w:rPr>
      </w:pPr>
    </w:p>
    <w:p w:rsidRPr="00E06740" w:rsidR="00922D3C" w:rsidP="00922D3C" w:rsidRDefault="00922D3C" w14:paraId="089F5A18" w14:textId="77777777">
      <w:pPr>
        <w:rPr>
          <w:rFonts w:eastAsia="Calibri"/>
          <w:szCs w:val="22"/>
        </w:rPr>
      </w:pPr>
      <w:r w:rsidRPr="00E06740">
        <w:rPr>
          <w:rFonts w:eastAsia="Calibri"/>
          <w:szCs w:val="22"/>
        </w:rPr>
        <w:t>Part C: TOTAL COST TO THE FEDERAL GOVERNMENT</w:t>
      </w:r>
    </w:p>
    <w:p w:rsidRPr="00E06740" w:rsidR="00922D3C" w:rsidP="00922D3C" w:rsidRDefault="00922D3C" w14:paraId="645011E6" w14:textId="77777777">
      <w:pPr>
        <w:rPr>
          <w:rFonts w:eastAsia="Calibri"/>
        </w:rPr>
      </w:pPr>
    </w:p>
    <w:p w:rsidRPr="00E06740" w:rsidR="00922D3C" w:rsidP="00065071" w:rsidRDefault="00922D3C" w14:paraId="77408BB8" w14:textId="38AD83D5">
      <w:pPr>
        <w:pStyle w:val="ListParagraph"/>
        <w:numPr>
          <w:ilvl w:val="0"/>
          <w:numId w:val="12"/>
        </w:numPr>
        <w:spacing w:after="0" w:line="240" w:lineRule="auto"/>
        <w:rPr>
          <w:rFonts w:ascii="Times New Roman" w:hAnsi="Times New Roman"/>
          <w:sz w:val="24"/>
          <w:szCs w:val="24"/>
        </w:rPr>
      </w:pPr>
      <w:r w:rsidRPr="00E06740">
        <w:rPr>
          <w:rFonts w:ascii="Times New Roman" w:hAnsi="Times New Roman"/>
          <w:sz w:val="24"/>
          <w:szCs w:val="24"/>
        </w:rPr>
        <w:t>Total Labor Cost to the Federal Government: $68,131.51</w:t>
      </w:r>
    </w:p>
    <w:p w:rsidRPr="00E06740" w:rsidR="00E06740" w:rsidP="00E06740" w:rsidRDefault="00E06740" w14:paraId="73A75D0A" w14:textId="77777777">
      <w:pPr>
        <w:pStyle w:val="ListParagraph"/>
        <w:spacing w:after="0" w:line="240" w:lineRule="auto"/>
        <w:rPr>
          <w:rFonts w:ascii="Times New Roman" w:hAnsi="Times New Roman"/>
          <w:sz w:val="24"/>
          <w:szCs w:val="24"/>
        </w:rPr>
      </w:pPr>
    </w:p>
    <w:p w:rsidRPr="00E06740" w:rsidR="00922D3C" w:rsidP="00065071" w:rsidRDefault="00922D3C" w14:paraId="2F46A01A" w14:textId="4E857F7D">
      <w:pPr>
        <w:pStyle w:val="ListParagraph"/>
        <w:numPr>
          <w:ilvl w:val="0"/>
          <w:numId w:val="12"/>
        </w:numPr>
        <w:spacing w:after="0" w:line="240" w:lineRule="auto"/>
        <w:rPr>
          <w:rFonts w:ascii="Times New Roman" w:hAnsi="Times New Roman"/>
          <w:sz w:val="24"/>
          <w:szCs w:val="24"/>
        </w:rPr>
      </w:pPr>
      <w:r w:rsidRPr="00E06740">
        <w:rPr>
          <w:rFonts w:ascii="Times New Roman" w:hAnsi="Times New Roman"/>
          <w:sz w:val="24"/>
          <w:szCs w:val="24"/>
        </w:rPr>
        <w:t>Total Operational and Maintenance Costs: $0</w:t>
      </w:r>
    </w:p>
    <w:p w:rsidRPr="00E06740" w:rsidR="00E06740" w:rsidP="00E06740" w:rsidRDefault="00E06740" w14:paraId="7278C62F" w14:textId="0E815C29">
      <w:pPr>
        <w:rPr>
          <w:rFonts w:eastAsia="Calibri"/>
        </w:rPr>
      </w:pPr>
    </w:p>
    <w:p w:rsidRPr="00E06740" w:rsidR="00E06740" w:rsidP="00065071" w:rsidRDefault="00922D3C" w14:paraId="71F323D4" w14:textId="256DF76C">
      <w:pPr>
        <w:pStyle w:val="ListParagraph"/>
        <w:numPr>
          <w:ilvl w:val="0"/>
          <w:numId w:val="12"/>
        </w:numPr>
        <w:spacing w:after="0" w:line="240" w:lineRule="auto"/>
        <w:rPr>
          <w:rFonts w:ascii="Times New Roman" w:hAnsi="Times New Roman"/>
          <w:sz w:val="24"/>
          <w:szCs w:val="24"/>
        </w:rPr>
      </w:pPr>
      <w:r w:rsidRPr="00E06740">
        <w:rPr>
          <w:rFonts w:ascii="Times New Roman" w:hAnsi="Times New Roman"/>
          <w:sz w:val="24"/>
          <w:szCs w:val="24"/>
        </w:rPr>
        <w:t>Total Cost to the Federal Government: $68,131.51</w:t>
      </w:r>
    </w:p>
    <w:p w:rsidRPr="00E06740" w:rsidR="00E06740" w:rsidP="00E06740" w:rsidRDefault="00E06740" w14:paraId="38B58561" w14:textId="77777777">
      <w:pPr>
        <w:ind w:right="130"/>
      </w:pPr>
    </w:p>
    <w:p w:rsidRPr="00E06740" w:rsidR="001A5B3F" w:rsidP="00E06740" w:rsidRDefault="001A5B3F" w14:paraId="266B43A1" w14:textId="044F7754">
      <w:pPr>
        <w:ind w:right="130"/>
      </w:pPr>
      <w:r w:rsidRPr="00E06740">
        <w:t>The respondent average hourly work wage was obtained from the average of a Corps P</w:t>
      </w:r>
      <w:r w:rsidRPr="00E06740" w:rsidR="0023146C">
        <w:t xml:space="preserve">roject </w:t>
      </w:r>
      <w:r w:rsidRPr="00E06740">
        <w:t>M</w:t>
      </w:r>
      <w:r w:rsidRPr="00E06740" w:rsidR="0023146C">
        <w:t>anager</w:t>
      </w:r>
      <w:r w:rsidRPr="00E06740">
        <w:t xml:space="preserve"> unburdened salary for a GS-11 step 5 (average grade of worker preparing/reviewing JD form) standard hourly rate</w:t>
      </w:r>
      <w:r w:rsidRPr="00E06740" w:rsidR="00ED7C8B">
        <w:t xml:space="preserve">:  </w:t>
      </w:r>
      <w:hyperlink w:history="1" r:id="rId13">
        <w:r w:rsidRPr="00E06740" w:rsidR="00ED7C8B">
          <w:rPr>
            <w:rStyle w:val="Hyperlink"/>
          </w:rPr>
          <w:t>https://www.opm.gov/policy-data-oversight/pay-leave/salaries-wages/salary-tables/pdf/2021/GS_h.pdf</w:t>
        </w:r>
      </w:hyperlink>
      <w:r w:rsidRPr="00E06740" w:rsidR="00ED7C8B">
        <w:t xml:space="preserve"> </w:t>
      </w:r>
    </w:p>
    <w:p w:rsidRPr="00E06740" w:rsidR="00CC4431" w:rsidP="00C34823" w:rsidRDefault="00C34823" w14:paraId="75FDC74D" w14:textId="0A56A707">
      <w:pPr>
        <w:pStyle w:val="NormalWeb"/>
        <w:spacing w:line="288" w:lineRule="atLeast"/>
        <w:rPr>
          <w:u w:val="single"/>
        </w:rPr>
      </w:pPr>
      <w:r w:rsidRPr="00E06740">
        <w:lastRenderedPageBreak/>
        <w:t xml:space="preserve">15.  </w:t>
      </w:r>
      <w:r w:rsidRPr="00E06740" w:rsidR="005E0A0F">
        <w:rPr>
          <w:u w:val="single"/>
        </w:rPr>
        <w:t>Reasons for Change in Burden</w:t>
      </w:r>
      <w:bookmarkEnd w:id="15"/>
    </w:p>
    <w:p w:rsidRPr="00E06740" w:rsidR="00CC4431" w:rsidP="00CC4431" w:rsidRDefault="00BA1CD6" w14:paraId="21D90744" w14:textId="532251AB">
      <w:pPr>
        <w:pStyle w:val="NormalWeb"/>
        <w:spacing w:line="288" w:lineRule="atLeast"/>
      </w:pPr>
      <w:r w:rsidRPr="00E06740">
        <w:t>This is a new collection with a new associated burden.</w:t>
      </w:r>
    </w:p>
    <w:p w:rsidRPr="00E06740" w:rsidR="005E0A0F" w:rsidP="00A62FE5" w:rsidRDefault="005E0A0F" w14:paraId="1DBB53C8" w14:textId="77777777">
      <w:pPr>
        <w:pStyle w:val="NormalWeb"/>
        <w:spacing w:line="288" w:lineRule="atLeast"/>
      </w:pPr>
      <w:r w:rsidRPr="00E06740">
        <w:t xml:space="preserve">16.  </w:t>
      </w:r>
      <w:r w:rsidRPr="00E06740">
        <w:rPr>
          <w:u w:val="single"/>
        </w:rPr>
        <w:t>Publication of Results</w:t>
      </w:r>
    </w:p>
    <w:p w:rsidRPr="00E06740" w:rsidR="00A62FE5" w:rsidP="00A62FE5" w:rsidRDefault="00A62FE5" w14:paraId="3689DFCC" w14:textId="77777777">
      <w:bookmarkStart w:name="cp471" w:id="16"/>
      <w:r w:rsidRPr="00E06740">
        <w:t xml:space="preserve">The results of this information collection will not be published. </w:t>
      </w:r>
    </w:p>
    <w:p w:rsidRPr="00E06740" w:rsidR="005E0A0F" w:rsidP="00A62FE5" w:rsidRDefault="005E0A0F" w14:paraId="625B5B2A" w14:textId="77777777">
      <w:pPr>
        <w:pStyle w:val="NormalWeb"/>
        <w:spacing w:line="288" w:lineRule="atLeast"/>
      </w:pPr>
      <w:r w:rsidRPr="00E06740">
        <w:t xml:space="preserve">17.  </w:t>
      </w:r>
      <w:r w:rsidRPr="00E06740">
        <w:rPr>
          <w:u w:val="single"/>
        </w:rPr>
        <w:t>Non-Display of OMB Expiration Date</w:t>
      </w:r>
    </w:p>
    <w:p w:rsidRPr="00E06740" w:rsidR="00A62FE5" w:rsidP="00A62FE5" w:rsidRDefault="00A62FE5" w14:paraId="65C55417" w14:textId="77777777">
      <w:pPr>
        <w:pStyle w:val="CommentText"/>
        <w:rPr>
          <w:b/>
          <w:caps/>
        </w:rPr>
      </w:pPr>
      <w:bookmarkStart w:name="cp473" w:id="17"/>
      <w:bookmarkEnd w:id="16"/>
      <w:r w:rsidRPr="00E06740">
        <w:rPr>
          <w:sz w:val="24"/>
        </w:rPr>
        <w:t>We are not seeking approval to omit the display of the expiration date of the OMB approval on the collection instrument.</w:t>
      </w:r>
    </w:p>
    <w:p w:rsidRPr="00E06740" w:rsidR="005E0A0F" w:rsidP="00A62FE5" w:rsidRDefault="005E0A0F" w14:paraId="5E37DD88" w14:textId="77777777">
      <w:pPr>
        <w:pStyle w:val="NormalWeb"/>
        <w:spacing w:line="288" w:lineRule="atLeast"/>
        <w:rPr>
          <w:u w:val="single"/>
        </w:rPr>
      </w:pPr>
      <w:r w:rsidRPr="00E06740">
        <w:t xml:space="preserve">18.  </w:t>
      </w:r>
      <w:r w:rsidRPr="00E06740">
        <w:rPr>
          <w:u w:val="single"/>
        </w:rPr>
        <w:t>Exceptions to "Certification for Paperwork Reduction Submissions"</w:t>
      </w:r>
    </w:p>
    <w:p w:rsidRPr="001162FF" w:rsidR="00DD5C6D" w:rsidP="001162FF" w:rsidRDefault="00A62FE5" w14:paraId="009F8EAD" w14:textId="0CB826AE">
      <w:pPr>
        <w:pStyle w:val="CommentText"/>
        <w:rPr>
          <w:b/>
        </w:rPr>
      </w:pPr>
      <w:r w:rsidRPr="00E06740">
        <w:rPr>
          <w:sz w:val="24"/>
        </w:rPr>
        <w:t>We are not requesting any exemptions to the provisions stated in 5 CFR 1320.9.</w:t>
      </w:r>
      <w:bookmarkEnd w:id="17"/>
    </w:p>
    <w:sectPr w:rsidRPr="001162FF" w:rsidR="00DD5C6D" w:rsidSect="000537B2">
      <w:footerReference w:type="default" r:id="rId14"/>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039232" w14:textId="77777777" w:rsidR="005868E7" w:rsidRDefault="005868E7" w:rsidP="00D74D55">
      <w:r>
        <w:separator/>
      </w:r>
    </w:p>
  </w:endnote>
  <w:endnote w:type="continuationSeparator" w:id="0">
    <w:p w14:paraId="46DF149F" w14:textId="77777777" w:rsidR="005868E7" w:rsidRDefault="005868E7" w:rsidP="00D74D55">
      <w:r>
        <w:continuationSeparator/>
      </w:r>
    </w:p>
  </w:endnote>
  <w:endnote w:type="continuationNotice" w:id="1">
    <w:p w14:paraId="2CD8A991" w14:textId="77777777" w:rsidR="005868E7" w:rsidRDefault="005868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Ionic">
    <w:altName w:val="MS Gothic"/>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D83CE" w14:textId="297565DF" w:rsidR="006F5DC8" w:rsidRDefault="006F5DC8">
    <w:pPr>
      <w:pStyle w:val="Footer"/>
      <w:jc w:val="center"/>
    </w:pPr>
    <w:r>
      <w:fldChar w:fldCharType="begin"/>
    </w:r>
    <w:r>
      <w:instrText xml:space="preserve"> PAGE   \* MERGEFORMAT </w:instrText>
    </w:r>
    <w:r>
      <w:fldChar w:fldCharType="separate"/>
    </w:r>
    <w:r w:rsidR="00A23E89">
      <w:rPr>
        <w:noProof/>
      </w:rPr>
      <w:t>2</w:t>
    </w:r>
    <w:r>
      <w:fldChar w:fldCharType="end"/>
    </w:r>
  </w:p>
  <w:p w14:paraId="4806585E" w14:textId="77777777" w:rsidR="006F5DC8" w:rsidRDefault="006F5D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C802B2" w14:textId="77777777" w:rsidR="005868E7" w:rsidRDefault="005868E7" w:rsidP="00D74D55">
      <w:r>
        <w:separator/>
      </w:r>
    </w:p>
  </w:footnote>
  <w:footnote w:type="continuationSeparator" w:id="0">
    <w:p w14:paraId="02D50730" w14:textId="77777777" w:rsidR="005868E7" w:rsidRDefault="005868E7" w:rsidP="00D74D55">
      <w:r>
        <w:continuationSeparator/>
      </w:r>
    </w:p>
  </w:footnote>
  <w:footnote w:type="continuationNotice" w:id="1">
    <w:p w14:paraId="1AF4B51C" w14:textId="77777777" w:rsidR="005868E7" w:rsidRDefault="005868E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24AA1"/>
    <w:multiLevelType w:val="multilevel"/>
    <w:tmpl w:val="95F696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AC3574"/>
    <w:multiLevelType w:val="hybridMultilevel"/>
    <w:tmpl w:val="4A04D8BE"/>
    <w:lvl w:ilvl="0" w:tplc="12D2717C">
      <w:start w:val="1"/>
      <w:numFmt w:val="lowerLetter"/>
      <w:lvlText w:val="%1."/>
      <w:lvlJc w:val="left"/>
      <w:pPr>
        <w:ind w:left="720" w:hanging="360"/>
      </w:pPr>
      <w:rPr>
        <w:rFonts w:ascii="Times New Roman" w:hAnsi="Times New Roman" w:cs="Times New Roman" w:hint="default"/>
      </w:rPr>
    </w:lvl>
    <w:lvl w:ilvl="1" w:tplc="54D8577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7D1CE8"/>
    <w:multiLevelType w:val="hybridMultilevel"/>
    <w:tmpl w:val="60BC75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04057D"/>
    <w:multiLevelType w:val="hybridMultilevel"/>
    <w:tmpl w:val="34CA928C"/>
    <w:lvl w:ilvl="0" w:tplc="04090011">
      <w:start w:val="1"/>
      <w:numFmt w:val="decimal"/>
      <w:lvlText w:val="%1)"/>
      <w:lvlJc w:val="left"/>
      <w:pPr>
        <w:ind w:left="108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88842BC"/>
    <w:multiLevelType w:val="hybridMultilevel"/>
    <w:tmpl w:val="8B7C8B48"/>
    <w:lvl w:ilvl="0" w:tplc="D19611A6">
      <w:start w:val="1"/>
      <w:numFmt w:val="lowerLetter"/>
      <w:lvlText w:val="%1."/>
      <w:lvlJc w:val="left"/>
      <w:pPr>
        <w:ind w:left="720" w:hanging="360"/>
      </w:pPr>
      <w:rPr>
        <w:color w:val="auto"/>
      </w:rPr>
    </w:lvl>
    <w:lvl w:ilvl="1" w:tplc="54D8577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F1D4CDD"/>
    <w:multiLevelType w:val="hybridMultilevel"/>
    <w:tmpl w:val="1E7A7F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9A020D"/>
    <w:multiLevelType w:val="hybridMultilevel"/>
    <w:tmpl w:val="1C1EFF6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D9224CF"/>
    <w:multiLevelType w:val="hybridMultilevel"/>
    <w:tmpl w:val="455AF5C0"/>
    <w:lvl w:ilvl="0" w:tplc="04090011">
      <w:start w:val="1"/>
      <w:numFmt w:val="decimal"/>
      <w:lvlText w:val="%1)"/>
      <w:lvlJc w:val="left"/>
      <w:pPr>
        <w:ind w:left="1080" w:hanging="360"/>
      </w:pPr>
    </w:lvl>
    <w:lvl w:ilvl="1" w:tplc="04090017">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2"/>
  </w:num>
  <w:num w:numId="3">
    <w:abstractNumId w:val="5"/>
  </w:num>
  <w:num w:numId="4">
    <w:abstractNumId w:val="12"/>
  </w:num>
  <w:num w:numId="5">
    <w:abstractNumId w:val="6"/>
  </w:num>
  <w:num w:numId="6">
    <w:abstractNumId w:val="11"/>
  </w:num>
  <w:num w:numId="7">
    <w:abstractNumId w:val="7"/>
  </w:num>
  <w:num w:numId="8">
    <w:abstractNumId w:val="9"/>
  </w:num>
  <w:num w:numId="9">
    <w:abstractNumId w:val="4"/>
  </w:num>
  <w:num w:numId="10">
    <w:abstractNumId w:val="3"/>
  </w:num>
  <w:num w:numId="11">
    <w:abstractNumId w:val="1"/>
  </w:num>
  <w:num w:numId="12">
    <w:abstractNumId w:val="10"/>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0194F"/>
    <w:rsid w:val="00004362"/>
    <w:rsid w:val="00006D52"/>
    <w:rsid w:val="00011536"/>
    <w:rsid w:val="00012AEB"/>
    <w:rsid w:val="00021438"/>
    <w:rsid w:val="000215BA"/>
    <w:rsid w:val="00021F9C"/>
    <w:rsid w:val="000259C6"/>
    <w:rsid w:val="00026F25"/>
    <w:rsid w:val="00030C7D"/>
    <w:rsid w:val="00031B54"/>
    <w:rsid w:val="00033645"/>
    <w:rsid w:val="00036072"/>
    <w:rsid w:val="00037571"/>
    <w:rsid w:val="00037C35"/>
    <w:rsid w:val="00043D14"/>
    <w:rsid w:val="000460B3"/>
    <w:rsid w:val="0004675E"/>
    <w:rsid w:val="00047F42"/>
    <w:rsid w:val="00047FE5"/>
    <w:rsid w:val="0005062B"/>
    <w:rsid w:val="000537B2"/>
    <w:rsid w:val="00053F57"/>
    <w:rsid w:val="00055D24"/>
    <w:rsid w:val="00060C13"/>
    <w:rsid w:val="000620A2"/>
    <w:rsid w:val="00063F2A"/>
    <w:rsid w:val="0006419A"/>
    <w:rsid w:val="00065071"/>
    <w:rsid w:val="00066295"/>
    <w:rsid w:val="00072E4C"/>
    <w:rsid w:val="000732F2"/>
    <w:rsid w:val="000829CD"/>
    <w:rsid w:val="000909B2"/>
    <w:rsid w:val="000919B5"/>
    <w:rsid w:val="00095135"/>
    <w:rsid w:val="000970A8"/>
    <w:rsid w:val="000A2459"/>
    <w:rsid w:val="000A2489"/>
    <w:rsid w:val="000A4E72"/>
    <w:rsid w:val="000B0D7D"/>
    <w:rsid w:val="000B4724"/>
    <w:rsid w:val="000B69A0"/>
    <w:rsid w:val="000C1039"/>
    <w:rsid w:val="000C36F8"/>
    <w:rsid w:val="000C3A18"/>
    <w:rsid w:val="000C423D"/>
    <w:rsid w:val="000D0F02"/>
    <w:rsid w:val="000D169F"/>
    <w:rsid w:val="000D1F90"/>
    <w:rsid w:val="000D36CD"/>
    <w:rsid w:val="000D5B98"/>
    <w:rsid w:val="000D7C28"/>
    <w:rsid w:val="000E038D"/>
    <w:rsid w:val="000E4419"/>
    <w:rsid w:val="000E611F"/>
    <w:rsid w:val="000F048B"/>
    <w:rsid w:val="000F2CD7"/>
    <w:rsid w:val="000F4174"/>
    <w:rsid w:val="000F5316"/>
    <w:rsid w:val="000F6762"/>
    <w:rsid w:val="000F6D38"/>
    <w:rsid w:val="00101206"/>
    <w:rsid w:val="001038E5"/>
    <w:rsid w:val="001057B0"/>
    <w:rsid w:val="00110C4E"/>
    <w:rsid w:val="00112A59"/>
    <w:rsid w:val="001156D1"/>
    <w:rsid w:val="001162FF"/>
    <w:rsid w:val="00117FD7"/>
    <w:rsid w:val="00120BDE"/>
    <w:rsid w:val="0012105B"/>
    <w:rsid w:val="00123161"/>
    <w:rsid w:val="00124883"/>
    <w:rsid w:val="00124E48"/>
    <w:rsid w:val="00126DAF"/>
    <w:rsid w:val="00126F37"/>
    <w:rsid w:val="00131AD2"/>
    <w:rsid w:val="001325F9"/>
    <w:rsid w:val="00132C8B"/>
    <w:rsid w:val="00133181"/>
    <w:rsid w:val="001337E9"/>
    <w:rsid w:val="00135DC8"/>
    <w:rsid w:val="001408B6"/>
    <w:rsid w:val="00140ED6"/>
    <w:rsid w:val="00146094"/>
    <w:rsid w:val="00146B91"/>
    <w:rsid w:val="00151E50"/>
    <w:rsid w:val="001537D7"/>
    <w:rsid w:val="001556DF"/>
    <w:rsid w:val="001602C5"/>
    <w:rsid w:val="001603C7"/>
    <w:rsid w:val="001624E3"/>
    <w:rsid w:val="00165B41"/>
    <w:rsid w:val="00165F4E"/>
    <w:rsid w:val="00166EBC"/>
    <w:rsid w:val="0017127B"/>
    <w:rsid w:val="0017166E"/>
    <w:rsid w:val="00172BC9"/>
    <w:rsid w:val="001736B9"/>
    <w:rsid w:val="0017788F"/>
    <w:rsid w:val="0018672F"/>
    <w:rsid w:val="001940A5"/>
    <w:rsid w:val="001975EF"/>
    <w:rsid w:val="001A0683"/>
    <w:rsid w:val="001A1F78"/>
    <w:rsid w:val="001A204F"/>
    <w:rsid w:val="001A2482"/>
    <w:rsid w:val="001A2E2E"/>
    <w:rsid w:val="001A5B3F"/>
    <w:rsid w:val="001A78AF"/>
    <w:rsid w:val="001B062F"/>
    <w:rsid w:val="001B0F92"/>
    <w:rsid w:val="001B1C29"/>
    <w:rsid w:val="001C193E"/>
    <w:rsid w:val="001C221F"/>
    <w:rsid w:val="001C229F"/>
    <w:rsid w:val="001C323B"/>
    <w:rsid w:val="001D0979"/>
    <w:rsid w:val="001D1638"/>
    <w:rsid w:val="001D2466"/>
    <w:rsid w:val="001D348D"/>
    <w:rsid w:val="001D364A"/>
    <w:rsid w:val="001D57B4"/>
    <w:rsid w:val="001E078D"/>
    <w:rsid w:val="001E3AFB"/>
    <w:rsid w:val="001E6513"/>
    <w:rsid w:val="001E7BC6"/>
    <w:rsid w:val="002024EE"/>
    <w:rsid w:val="002026E6"/>
    <w:rsid w:val="002041DD"/>
    <w:rsid w:val="00205F20"/>
    <w:rsid w:val="00206402"/>
    <w:rsid w:val="00211C05"/>
    <w:rsid w:val="00215F22"/>
    <w:rsid w:val="00222245"/>
    <w:rsid w:val="00230974"/>
    <w:rsid w:val="0023146C"/>
    <w:rsid w:val="002335FC"/>
    <w:rsid w:val="00234E59"/>
    <w:rsid w:val="00242532"/>
    <w:rsid w:val="0024321C"/>
    <w:rsid w:val="0024402F"/>
    <w:rsid w:val="00247758"/>
    <w:rsid w:val="00250B6C"/>
    <w:rsid w:val="00252DEC"/>
    <w:rsid w:val="00256152"/>
    <w:rsid w:val="002607B7"/>
    <w:rsid w:val="00261337"/>
    <w:rsid w:val="00261F89"/>
    <w:rsid w:val="00271550"/>
    <w:rsid w:val="00271C79"/>
    <w:rsid w:val="00273CEE"/>
    <w:rsid w:val="00275DA4"/>
    <w:rsid w:val="002766E8"/>
    <w:rsid w:val="002829C9"/>
    <w:rsid w:val="0028340C"/>
    <w:rsid w:val="002845CF"/>
    <w:rsid w:val="00284BAB"/>
    <w:rsid w:val="00285820"/>
    <w:rsid w:val="00285F46"/>
    <w:rsid w:val="00291747"/>
    <w:rsid w:val="002926A2"/>
    <w:rsid w:val="00293585"/>
    <w:rsid w:val="0029798B"/>
    <w:rsid w:val="002A078D"/>
    <w:rsid w:val="002A1F5C"/>
    <w:rsid w:val="002A2053"/>
    <w:rsid w:val="002A2CB8"/>
    <w:rsid w:val="002A566E"/>
    <w:rsid w:val="002A77AE"/>
    <w:rsid w:val="002B5397"/>
    <w:rsid w:val="002B554F"/>
    <w:rsid w:val="002B6078"/>
    <w:rsid w:val="002B76A8"/>
    <w:rsid w:val="002B79C4"/>
    <w:rsid w:val="002C0B44"/>
    <w:rsid w:val="002C1CAF"/>
    <w:rsid w:val="002C39FB"/>
    <w:rsid w:val="002D0225"/>
    <w:rsid w:val="002D6571"/>
    <w:rsid w:val="002D6EBD"/>
    <w:rsid w:val="002E16E9"/>
    <w:rsid w:val="002E1AD0"/>
    <w:rsid w:val="002E5726"/>
    <w:rsid w:val="002F17CE"/>
    <w:rsid w:val="002F2780"/>
    <w:rsid w:val="002F3793"/>
    <w:rsid w:val="002F3A11"/>
    <w:rsid w:val="002F5762"/>
    <w:rsid w:val="0030008B"/>
    <w:rsid w:val="00300120"/>
    <w:rsid w:val="00302A8F"/>
    <w:rsid w:val="003062FB"/>
    <w:rsid w:val="003078C8"/>
    <w:rsid w:val="00307B65"/>
    <w:rsid w:val="00310765"/>
    <w:rsid w:val="00310E1E"/>
    <w:rsid w:val="00311772"/>
    <w:rsid w:val="00312A35"/>
    <w:rsid w:val="00312F55"/>
    <w:rsid w:val="00313585"/>
    <w:rsid w:val="003227CA"/>
    <w:rsid w:val="0032295F"/>
    <w:rsid w:val="003331A3"/>
    <w:rsid w:val="00333D4F"/>
    <w:rsid w:val="0033415E"/>
    <w:rsid w:val="003343D4"/>
    <w:rsid w:val="00334B0C"/>
    <w:rsid w:val="00336DAF"/>
    <w:rsid w:val="003371F3"/>
    <w:rsid w:val="00343CFB"/>
    <w:rsid w:val="00345EAB"/>
    <w:rsid w:val="00347438"/>
    <w:rsid w:val="00352B22"/>
    <w:rsid w:val="00354EE0"/>
    <w:rsid w:val="0035773C"/>
    <w:rsid w:val="00361EBE"/>
    <w:rsid w:val="003653F0"/>
    <w:rsid w:val="00365BB4"/>
    <w:rsid w:val="0037335F"/>
    <w:rsid w:val="0037385D"/>
    <w:rsid w:val="003750A1"/>
    <w:rsid w:val="00377458"/>
    <w:rsid w:val="00384FF3"/>
    <w:rsid w:val="003872D9"/>
    <w:rsid w:val="003873D8"/>
    <w:rsid w:val="00391127"/>
    <w:rsid w:val="003A1D60"/>
    <w:rsid w:val="003A3F94"/>
    <w:rsid w:val="003A5473"/>
    <w:rsid w:val="003A7D6A"/>
    <w:rsid w:val="003B2088"/>
    <w:rsid w:val="003B6DB9"/>
    <w:rsid w:val="003C22CA"/>
    <w:rsid w:val="003C4B45"/>
    <w:rsid w:val="003C5EB5"/>
    <w:rsid w:val="003C66F4"/>
    <w:rsid w:val="003D1E8C"/>
    <w:rsid w:val="003D2782"/>
    <w:rsid w:val="003D2BE3"/>
    <w:rsid w:val="003D5214"/>
    <w:rsid w:val="003D6361"/>
    <w:rsid w:val="003E2073"/>
    <w:rsid w:val="003E315A"/>
    <w:rsid w:val="003E33A1"/>
    <w:rsid w:val="003E5B3A"/>
    <w:rsid w:val="003E6E9D"/>
    <w:rsid w:val="003F0FD4"/>
    <w:rsid w:val="003F1247"/>
    <w:rsid w:val="003F2AA4"/>
    <w:rsid w:val="003F2BC8"/>
    <w:rsid w:val="003F6168"/>
    <w:rsid w:val="003F6CDB"/>
    <w:rsid w:val="003F6E57"/>
    <w:rsid w:val="00400D9B"/>
    <w:rsid w:val="00403239"/>
    <w:rsid w:val="00410353"/>
    <w:rsid w:val="00410F8F"/>
    <w:rsid w:val="00411256"/>
    <w:rsid w:val="00412344"/>
    <w:rsid w:val="00415D0B"/>
    <w:rsid w:val="004172A1"/>
    <w:rsid w:val="004200ED"/>
    <w:rsid w:val="004309C7"/>
    <w:rsid w:val="00430AAA"/>
    <w:rsid w:val="00431CC1"/>
    <w:rsid w:val="004329BE"/>
    <w:rsid w:val="00432D31"/>
    <w:rsid w:val="00435B0B"/>
    <w:rsid w:val="00451B0B"/>
    <w:rsid w:val="004534C2"/>
    <w:rsid w:val="00457DE5"/>
    <w:rsid w:val="004622A1"/>
    <w:rsid w:val="00463447"/>
    <w:rsid w:val="00463B4D"/>
    <w:rsid w:val="00465584"/>
    <w:rsid w:val="004703B0"/>
    <w:rsid w:val="00471617"/>
    <w:rsid w:val="0047345E"/>
    <w:rsid w:val="00473E64"/>
    <w:rsid w:val="00473ED9"/>
    <w:rsid w:val="00475F14"/>
    <w:rsid w:val="0048071C"/>
    <w:rsid w:val="00481525"/>
    <w:rsid w:val="0048175E"/>
    <w:rsid w:val="00484E81"/>
    <w:rsid w:val="004872C7"/>
    <w:rsid w:val="004905CE"/>
    <w:rsid w:val="0049158E"/>
    <w:rsid w:val="004935F8"/>
    <w:rsid w:val="00496DC2"/>
    <w:rsid w:val="004A211A"/>
    <w:rsid w:val="004A6C59"/>
    <w:rsid w:val="004B262C"/>
    <w:rsid w:val="004B3736"/>
    <w:rsid w:val="004C032B"/>
    <w:rsid w:val="004C1919"/>
    <w:rsid w:val="004C2D8D"/>
    <w:rsid w:val="004C2DB5"/>
    <w:rsid w:val="004C7040"/>
    <w:rsid w:val="004C7516"/>
    <w:rsid w:val="004D3330"/>
    <w:rsid w:val="004D46BE"/>
    <w:rsid w:val="004D67E4"/>
    <w:rsid w:val="004E1764"/>
    <w:rsid w:val="004E2F99"/>
    <w:rsid w:val="004E6053"/>
    <w:rsid w:val="004E7209"/>
    <w:rsid w:val="004E7975"/>
    <w:rsid w:val="004F233E"/>
    <w:rsid w:val="004F49E0"/>
    <w:rsid w:val="004F7E29"/>
    <w:rsid w:val="00502530"/>
    <w:rsid w:val="00503DAF"/>
    <w:rsid w:val="0050410D"/>
    <w:rsid w:val="00507214"/>
    <w:rsid w:val="00510B0A"/>
    <w:rsid w:val="00514367"/>
    <w:rsid w:val="00515312"/>
    <w:rsid w:val="0051771D"/>
    <w:rsid w:val="00522961"/>
    <w:rsid w:val="00523718"/>
    <w:rsid w:val="00526418"/>
    <w:rsid w:val="00526FBE"/>
    <w:rsid w:val="005277F5"/>
    <w:rsid w:val="00533094"/>
    <w:rsid w:val="005366C4"/>
    <w:rsid w:val="00537F00"/>
    <w:rsid w:val="0054222A"/>
    <w:rsid w:val="005445F4"/>
    <w:rsid w:val="0054676C"/>
    <w:rsid w:val="0054754E"/>
    <w:rsid w:val="0055046E"/>
    <w:rsid w:val="00550D86"/>
    <w:rsid w:val="005517D8"/>
    <w:rsid w:val="00553150"/>
    <w:rsid w:val="0055542E"/>
    <w:rsid w:val="00555F2E"/>
    <w:rsid w:val="005611A9"/>
    <w:rsid w:val="00563C11"/>
    <w:rsid w:val="00571DA5"/>
    <w:rsid w:val="00576C22"/>
    <w:rsid w:val="00577A01"/>
    <w:rsid w:val="005839CA"/>
    <w:rsid w:val="00585B30"/>
    <w:rsid w:val="005868E7"/>
    <w:rsid w:val="00594102"/>
    <w:rsid w:val="00597127"/>
    <w:rsid w:val="00597525"/>
    <w:rsid w:val="00597D8E"/>
    <w:rsid w:val="005A72C6"/>
    <w:rsid w:val="005B7157"/>
    <w:rsid w:val="005C1F2A"/>
    <w:rsid w:val="005C378C"/>
    <w:rsid w:val="005C4580"/>
    <w:rsid w:val="005C68C0"/>
    <w:rsid w:val="005C70E9"/>
    <w:rsid w:val="005D0672"/>
    <w:rsid w:val="005D312C"/>
    <w:rsid w:val="005D570C"/>
    <w:rsid w:val="005E0A0F"/>
    <w:rsid w:val="005E0FBF"/>
    <w:rsid w:val="005F1086"/>
    <w:rsid w:val="006011D5"/>
    <w:rsid w:val="00602D0F"/>
    <w:rsid w:val="00603271"/>
    <w:rsid w:val="006035FA"/>
    <w:rsid w:val="0060388A"/>
    <w:rsid w:val="00610B6E"/>
    <w:rsid w:val="006119B0"/>
    <w:rsid w:val="00614834"/>
    <w:rsid w:val="0062130B"/>
    <w:rsid w:val="006218D1"/>
    <w:rsid w:val="006251D0"/>
    <w:rsid w:val="00642F62"/>
    <w:rsid w:val="00643B13"/>
    <w:rsid w:val="00645051"/>
    <w:rsid w:val="006451EB"/>
    <w:rsid w:val="0065094F"/>
    <w:rsid w:val="00652D13"/>
    <w:rsid w:val="00654059"/>
    <w:rsid w:val="00654ABA"/>
    <w:rsid w:val="00654F50"/>
    <w:rsid w:val="00656531"/>
    <w:rsid w:val="006571BA"/>
    <w:rsid w:val="00661632"/>
    <w:rsid w:val="006656D4"/>
    <w:rsid w:val="006706AB"/>
    <w:rsid w:val="006766C5"/>
    <w:rsid w:val="006806A8"/>
    <w:rsid w:val="00681CBF"/>
    <w:rsid w:val="006828B9"/>
    <w:rsid w:val="00682D7F"/>
    <w:rsid w:val="00682FB5"/>
    <w:rsid w:val="00683D19"/>
    <w:rsid w:val="00685D00"/>
    <w:rsid w:val="00685DFD"/>
    <w:rsid w:val="00690AF9"/>
    <w:rsid w:val="0069124D"/>
    <w:rsid w:val="0069306D"/>
    <w:rsid w:val="006A2E00"/>
    <w:rsid w:val="006A3426"/>
    <w:rsid w:val="006A3B65"/>
    <w:rsid w:val="006A4E05"/>
    <w:rsid w:val="006A5A46"/>
    <w:rsid w:val="006B04EE"/>
    <w:rsid w:val="006B25A0"/>
    <w:rsid w:val="006B2B17"/>
    <w:rsid w:val="006B3DF4"/>
    <w:rsid w:val="006B55C7"/>
    <w:rsid w:val="006C1BC9"/>
    <w:rsid w:val="006C240A"/>
    <w:rsid w:val="006C3825"/>
    <w:rsid w:val="006C4583"/>
    <w:rsid w:val="006C4DF2"/>
    <w:rsid w:val="006C6C8D"/>
    <w:rsid w:val="006D1456"/>
    <w:rsid w:val="006D56AE"/>
    <w:rsid w:val="006D72E4"/>
    <w:rsid w:val="006E0683"/>
    <w:rsid w:val="006E0CBF"/>
    <w:rsid w:val="006E4C66"/>
    <w:rsid w:val="006E727D"/>
    <w:rsid w:val="006F4A89"/>
    <w:rsid w:val="006F5336"/>
    <w:rsid w:val="006F5DC8"/>
    <w:rsid w:val="00700089"/>
    <w:rsid w:val="00702DFE"/>
    <w:rsid w:val="0070573A"/>
    <w:rsid w:val="007057FC"/>
    <w:rsid w:val="00705F3D"/>
    <w:rsid w:val="00707917"/>
    <w:rsid w:val="00710C19"/>
    <w:rsid w:val="00711D93"/>
    <w:rsid w:val="00711E63"/>
    <w:rsid w:val="0071494F"/>
    <w:rsid w:val="00715187"/>
    <w:rsid w:val="007157A2"/>
    <w:rsid w:val="00716870"/>
    <w:rsid w:val="00717395"/>
    <w:rsid w:val="007228B8"/>
    <w:rsid w:val="007234B6"/>
    <w:rsid w:val="00723732"/>
    <w:rsid w:val="00724E3B"/>
    <w:rsid w:val="007368EB"/>
    <w:rsid w:val="00741F69"/>
    <w:rsid w:val="00744C2D"/>
    <w:rsid w:val="0074536D"/>
    <w:rsid w:val="007516B5"/>
    <w:rsid w:val="00752611"/>
    <w:rsid w:val="00752F71"/>
    <w:rsid w:val="0075371B"/>
    <w:rsid w:val="00755B6B"/>
    <w:rsid w:val="00755E1E"/>
    <w:rsid w:val="00761C4A"/>
    <w:rsid w:val="00765BF2"/>
    <w:rsid w:val="00775607"/>
    <w:rsid w:val="00777D3D"/>
    <w:rsid w:val="00781CD1"/>
    <w:rsid w:val="00781D76"/>
    <w:rsid w:val="00783821"/>
    <w:rsid w:val="00784E31"/>
    <w:rsid w:val="007861E4"/>
    <w:rsid w:val="0078650D"/>
    <w:rsid w:val="00787666"/>
    <w:rsid w:val="007901C4"/>
    <w:rsid w:val="00793A88"/>
    <w:rsid w:val="00794623"/>
    <w:rsid w:val="0079500E"/>
    <w:rsid w:val="00795564"/>
    <w:rsid w:val="00795752"/>
    <w:rsid w:val="00796A13"/>
    <w:rsid w:val="007A0030"/>
    <w:rsid w:val="007A292C"/>
    <w:rsid w:val="007A2959"/>
    <w:rsid w:val="007A330C"/>
    <w:rsid w:val="007A6FD0"/>
    <w:rsid w:val="007A7C7E"/>
    <w:rsid w:val="007B083C"/>
    <w:rsid w:val="007B3286"/>
    <w:rsid w:val="007B3BA0"/>
    <w:rsid w:val="007B4414"/>
    <w:rsid w:val="007B4C9B"/>
    <w:rsid w:val="007B73A9"/>
    <w:rsid w:val="007C0D9C"/>
    <w:rsid w:val="007C1506"/>
    <w:rsid w:val="007C4CF3"/>
    <w:rsid w:val="007D4409"/>
    <w:rsid w:val="007D49C1"/>
    <w:rsid w:val="007D65CD"/>
    <w:rsid w:val="007E7899"/>
    <w:rsid w:val="007F0A3E"/>
    <w:rsid w:val="007F1693"/>
    <w:rsid w:val="007F2EDA"/>
    <w:rsid w:val="007F381E"/>
    <w:rsid w:val="007F3A89"/>
    <w:rsid w:val="007F7C70"/>
    <w:rsid w:val="0080156E"/>
    <w:rsid w:val="00801B2D"/>
    <w:rsid w:val="00804D7F"/>
    <w:rsid w:val="00805A58"/>
    <w:rsid w:val="008063BA"/>
    <w:rsid w:val="008065C7"/>
    <w:rsid w:val="00806AE4"/>
    <w:rsid w:val="00807D9A"/>
    <w:rsid w:val="00812823"/>
    <w:rsid w:val="00814C71"/>
    <w:rsid w:val="00815899"/>
    <w:rsid w:val="00816C14"/>
    <w:rsid w:val="00817642"/>
    <w:rsid w:val="00820D3D"/>
    <w:rsid w:val="008269C8"/>
    <w:rsid w:val="00827284"/>
    <w:rsid w:val="0082732A"/>
    <w:rsid w:val="0083311E"/>
    <w:rsid w:val="00834ACC"/>
    <w:rsid w:val="00841031"/>
    <w:rsid w:val="00841CAE"/>
    <w:rsid w:val="00843F8B"/>
    <w:rsid w:val="00847002"/>
    <w:rsid w:val="00850B11"/>
    <w:rsid w:val="0085161B"/>
    <w:rsid w:val="00852595"/>
    <w:rsid w:val="00853A10"/>
    <w:rsid w:val="008565CA"/>
    <w:rsid w:val="008628C6"/>
    <w:rsid w:val="00865ECB"/>
    <w:rsid w:val="00866151"/>
    <w:rsid w:val="00866796"/>
    <w:rsid w:val="0087455F"/>
    <w:rsid w:val="00874B1E"/>
    <w:rsid w:val="0087682B"/>
    <w:rsid w:val="00885292"/>
    <w:rsid w:val="0088554D"/>
    <w:rsid w:val="00885CAA"/>
    <w:rsid w:val="008860A7"/>
    <w:rsid w:val="00886202"/>
    <w:rsid w:val="00896068"/>
    <w:rsid w:val="008A14D7"/>
    <w:rsid w:val="008A3602"/>
    <w:rsid w:val="008A7203"/>
    <w:rsid w:val="008B16FD"/>
    <w:rsid w:val="008B1898"/>
    <w:rsid w:val="008B1E24"/>
    <w:rsid w:val="008B4F26"/>
    <w:rsid w:val="008B70E8"/>
    <w:rsid w:val="008C02C2"/>
    <w:rsid w:val="008C1CE7"/>
    <w:rsid w:val="008C4671"/>
    <w:rsid w:val="008C69E5"/>
    <w:rsid w:val="008D2CF2"/>
    <w:rsid w:val="008D357F"/>
    <w:rsid w:val="008D6B36"/>
    <w:rsid w:val="008E0B30"/>
    <w:rsid w:val="008E1EBB"/>
    <w:rsid w:val="008E242B"/>
    <w:rsid w:val="008E3465"/>
    <w:rsid w:val="008E4DA1"/>
    <w:rsid w:val="008E6C80"/>
    <w:rsid w:val="008F0237"/>
    <w:rsid w:val="008F49F6"/>
    <w:rsid w:val="008F5161"/>
    <w:rsid w:val="00900947"/>
    <w:rsid w:val="00900C70"/>
    <w:rsid w:val="0090107A"/>
    <w:rsid w:val="009013A2"/>
    <w:rsid w:val="00902E15"/>
    <w:rsid w:val="0090725F"/>
    <w:rsid w:val="00911714"/>
    <w:rsid w:val="0091187B"/>
    <w:rsid w:val="00916BC9"/>
    <w:rsid w:val="00921F16"/>
    <w:rsid w:val="00922D3C"/>
    <w:rsid w:val="00923259"/>
    <w:rsid w:val="0092384A"/>
    <w:rsid w:val="00927298"/>
    <w:rsid w:val="00927D9B"/>
    <w:rsid w:val="009307BF"/>
    <w:rsid w:val="00931053"/>
    <w:rsid w:val="00932052"/>
    <w:rsid w:val="00933E67"/>
    <w:rsid w:val="00941B95"/>
    <w:rsid w:val="00951AD0"/>
    <w:rsid w:val="009521F4"/>
    <w:rsid w:val="0095252F"/>
    <w:rsid w:val="00954C1B"/>
    <w:rsid w:val="00955600"/>
    <w:rsid w:val="009559EB"/>
    <w:rsid w:val="009562D8"/>
    <w:rsid w:val="009573CD"/>
    <w:rsid w:val="009629EA"/>
    <w:rsid w:val="009732F2"/>
    <w:rsid w:val="00974C4E"/>
    <w:rsid w:val="00975C92"/>
    <w:rsid w:val="00980A0C"/>
    <w:rsid w:val="00984B7B"/>
    <w:rsid w:val="00984C5E"/>
    <w:rsid w:val="00985C44"/>
    <w:rsid w:val="009864C4"/>
    <w:rsid w:val="00991AAB"/>
    <w:rsid w:val="00991E00"/>
    <w:rsid w:val="009A0E73"/>
    <w:rsid w:val="009A2EA8"/>
    <w:rsid w:val="009A35F5"/>
    <w:rsid w:val="009A3E47"/>
    <w:rsid w:val="009A4B7C"/>
    <w:rsid w:val="009A708C"/>
    <w:rsid w:val="009A70AD"/>
    <w:rsid w:val="009B0A50"/>
    <w:rsid w:val="009B21D9"/>
    <w:rsid w:val="009C0FA2"/>
    <w:rsid w:val="009C194D"/>
    <w:rsid w:val="009C436E"/>
    <w:rsid w:val="009C437D"/>
    <w:rsid w:val="009C4F96"/>
    <w:rsid w:val="009C5690"/>
    <w:rsid w:val="009C594A"/>
    <w:rsid w:val="009C5999"/>
    <w:rsid w:val="009C6F22"/>
    <w:rsid w:val="009D038C"/>
    <w:rsid w:val="009D0CCA"/>
    <w:rsid w:val="009D1A3A"/>
    <w:rsid w:val="009D378F"/>
    <w:rsid w:val="009D411E"/>
    <w:rsid w:val="009D54A5"/>
    <w:rsid w:val="009E0EF0"/>
    <w:rsid w:val="009E1EE6"/>
    <w:rsid w:val="009E36C5"/>
    <w:rsid w:val="009E4D44"/>
    <w:rsid w:val="009F1EBB"/>
    <w:rsid w:val="009F23AF"/>
    <w:rsid w:val="009F3E29"/>
    <w:rsid w:val="009F48D8"/>
    <w:rsid w:val="009F6D81"/>
    <w:rsid w:val="00A00BB6"/>
    <w:rsid w:val="00A01E2F"/>
    <w:rsid w:val="00A01E61"/>
    <w:rsid w:val="00A02B56"/>
    <w:rsid w:val="00A031FB"/>
    <w:rsid w:val="00A04B03"/>
    <w:rsid w:val="00A05CC8"/>
    <w:rsid w:val="00A10F26"/>
    <w:rsid w:val="00A121DD"/>
    <w:rsid w:val="00A12913"/>
    <w:rsid w:val="00A1295C"/>
    <w:rsid w:val="00A138E1"/>
    <w:rsid w:val="00A16C15"/>
    <w:rsid w:val="00A23874"/>
    <w:rsid w:val="00A23E89"/>
    <w:rsid w:val="00A25E94"/>
    <w:rsid w:val="00A263AD"/>
    <w:rsid w:val="00A36EC4"/>
    <w:rsid w:val="00A37817"/>
    <w:rsid w:val="00A42C15"/>
    <w:rsid w:val="00A4447F"/>
    <w:rsid w:val="00A47121"/>
    <w:rsid w:val="00A51B93"/>
    <w:rsid w:val="00A52662"/>
    <w:rsid w:val="00A535A2"/>
    <w:rsid w:val="00A54004"/>
    <w:rsid w:val="00A5570B"/>
    <w:rsid w:val="00A557A3"/>
    <w:rsid w:val="00A62563"/>
    <w:rsid w:val="00A62FE5"/>
    <w:rsid w:val="00A6414F"/>
    <w:rsid w:val="00A64D9D"/>
    <w:rsid w:val="00A65DEE"/>
    <w:rsid w:val="00A707B0"/>
    <w:rsid w:val="00A7400E"/>
    <w:rsid w:val="00A74BBF"/>
    <w:rsid w:val="00A74CD9"/>
    <w:rsid w:val="00A76B9D"/>
    <w:rsid w:val="00A77566"/>
    <w:rsid w:val="00A81A1E"/>
    <w:rsid w:val="00A82F32"/>
    <w:rsid w:val="00A832A5"/>
    <w:rsid w:val="00A851F8"/>
    <w:rsid w:val="00A860C4"/>
    <w:rsid w:val="00A925E7"/>
    <w:rsid w:val="00A931D5"/>
    <w:rsid w:val="00A93CBF"/>
    <w:rsid w:val="00A945E1"/>
    <w:rsid w:val="00A95756"/>
    <w:rsid w:val="00A95971"/>
    <w:rsid w:val="00A96DA9"/>
    <w:rsid w:val="00AA3230"/>
    <w:rsid w:val="00AA4FCD"/>
    <w:rsid w:val="00AA5BC2"/>
    <w:rsid w:val="00AA6C58"/>
    <w:rsid w:val="00AB1F94"/>
    <w:rsid w:val="00AB30AC"/>
    <w:rsid w:val="00AB3496"/>
    <w:rsid w:val="00AB3913"/>
    <w:rsid w:val="00AB5D4A"/>
    <w:rsid w:val="00AB5E20"/>
    <w:rsid w:val="00AC4C98"/>
    <w:rsid w:val="00AC747E"/>
    <w:rsid w:val="00AD02DA"/>
    <w:rsid w:val="00AD1D49"/>
    <w:rsid w:val="00AD28BF"/>
    <w:rsid w:val="00AD534D"/>
    <w:rsid w:val="00AD703A"/>
    <w:rsid w:val="00AE4906"/>
    <w:rsid w:val="00AE7C7F"/>
    <w:rsid w:val="00AF2AD0"/>
    <w:rsid w:val="00AF337B"/>
    <w:rsid w:val="00AF66E0"/>
    <w:rsid w:val="00AF79F8"/>
    <w:rsid w:val="00B0191E"/>
    <w:rsid w:val="00B03CDD"/>
    <w:rsid w:val="00B03DD6"/>
    <w:rsid w:val="00B04B9B"/>
    <w:rsid w:val="00B0624B"/>
    <w:rsid w:val="00B12393"/>
    <w:rsid w:val="00B12E5A"/>
    <w:rsid w:val="00B16BFB"/>
    <w:rsid w:val="00B20082"/>
    <w:rsid w:val="00B20EB4"/>
    <w:rsid w:val="00B30183"/>
    <w:rsid w:val="00B30E79"/>
    <w:rsid w:val="00B33023"/>
    <w:rsid w:val="00B4073B"/>
    <w:rsid w:val="00B40AC1"/>
    <w:rsid w:val="00B4238F"/>
    <w:rsid w:val="00B425B2"/>
    <w:rsid w:val="00B438F4"/>
    <w:rsid w:val="00B46017"/>
    <w:rsid w:val="00B46119"/>
    <w:rsid w:val="00B466CB"/>
    <w:rsid w:val="00B46C2A"/>
    <w:rsid w:val="00B5006D"/>
    <w:rsid w:val="00B50A2F"/>
    <w:rsid w:val="00B50C51"/>
    <w:rsid w:val="00B51A00"/>
    <w:rsid w:val="00B51BD5"/>
    <w:rsid w:val="00B51E68"/>
    <w:rsid w:val="00B61D2C"/>
    <w:rsid w:val="00B6471F"/>
    <w:rsid w:val="00B6765B"/>
    <w:rsid w:val="00B6767B"/>
    <w:rsid w:val="00B72638"/>
    <w:rsid w:val="00B80F25"/>
    <w:rsid w:val="00B820A4"/>
    <w:rsid w:val="00B86E3A"/>
    <w:rsid w:val="00B87567"/>
    <w:rsid w:val="00B95D89"/>
    <w:rsid w:val="00B97B0E"/>
    <w:rsid w:val="00BA1B56"/>
    <w:rsid w:val="00BA1CD6"/>
    <w:rsid w:val="00BA48DE"/>
    <w:rsid w:val="00BA4D2D"/>
    <w:rsid w:val="00BA6AFA"/>
    <w:rsid w:val="00BA6B18"/>
    <w:rsid w:val="00BB170E"/>
    <w:rsid w:val="00BB4F6C"/>
    <w:rsid w:val="00BB6C63"/>
    <w:rsid w:val="00BB7A4B"/>
    <w:rsid w:val="00BC2FAF"/>
    <w:rsid w:val="00BC7C60"/>
    <w:rsid w:val="00BC7F8E"/>
    <w:rsid w:val="00BD2E6C"/>
    <w:rsid w:val="00BD69E9"/>
    <w:rsid w:val="00BE01BA"/>
    <w:rsid w:val="00BF0B1A"/>
    <w:rsid w:val="00BF1D22"/>
    <w:rsid w:val="00BF1D51"/>
    <w:rsid w:val="00BF30A7"/>
    <w:rsid w:val="00BF4B8F"/>
    <w:rsid w:val="00BF6AE1"/>
    <w:rsid w:val="00BF6E2E"/>
    <w:rsid w:val="00C00F5C"/>
    <w:rsid w:val="00C0331C"/>
    <w:rsid w:val="00C07C90"/>
    <w:rsid w:val="00C15B29"/>
    <w:rsid w:val="00C20E3C"/>
    <w:rsid w:val="00C20F4D"/>
    <w:rsid w:val="00C2434A"/>
    <w:rsid w:val="00C24B98"/>
    <w:rsid w:val="00C2562B"/>
    <w:rsid w:val="00C2773A"/>
    <w:rsid w:val="00C33F64"/>
    <w:rsid w:val="00C34823"/>
    <w:rsid w:val="00C348EB"/>
    <w:rsid w:val="00C34D08"/>
    <w:rsid w:val="00C3564B"/>
    <w:rsid w:val="00C35F55"/>
    <w:rsid w:val="00C41A93"/>
    <w:rsid w:val="00C45829"/>
    <w:rsid w:val="00C552AF"/>
    <w:rsid w:val="00C57ABB"/>
    <w:rsid w:val="00C606F0"/>
    <w:rsid w:val="00C6368B"/>
    <w:rsid w:val="00C64E2F"/>
    <w:rsid w:val="00C64FBE"/>
    <w:rsid w:val="00C66D8C"/>
    <w:rsid w:val="00C7105E"/>
    <w:rsid w:val="00C764C5"/>
    <w:rsid w:val="00C76936"/>
    <w:rsid w:val="00C80A55"/>
    <w:rsid w:val="00C82130"/>
    <w:rsid w:val="00C838B3"/>
    <w:rsid w:val="00C84A62"/>
    <w:rsid w:val="00C919FC"/>
    <w:rsid w:val="00C9462A"/>
    <w:rsid w:val="00CA271D"/>
    <w:rsid w:val="00CB050C"/>
    <w:rsid w:val="00CB273C"/>
    <w:rsid w:val="00CB53E9"/>
    <w:rsid w:val="00CB6111"/>
    <w:rsid w:val="00CB7D23"/>
    <w:rsid w:val="00CC0A73"/>
    <w:rsid w:val="00CC1C31"/>
    <w:rsid w:val="00CC23F1"/>
    <w:rsid w:val="00CC26D1"/>
    <w:rsid w:val="00CC4431"/>
    <w:rsid w:val="00CC44A7"/>
    <w:rsid w:val="00CC6835"/>
    <w:rsid w:val="00CD2687"/>
    <w:rsid w:val="00CD28FB"/>
    <w:rsid w:val="00CD31B2"/>
    <w:rsid w:val="00CD3804"/>
    <w:rsid w:val="00CD40B4"/>
    <w:rsid w:val="00CE0E86"/>
    <w:rsid w:val="00CE5DB8"/>
    <w:rsid w:val="00CE77B2"/>
    <w:rsid w:val="00CE7AAE"/>
    <w:rsid w:val="00CF3993"/>
    <w:rsid w:val="00CF4A22"/>
    <w:rsid w:val="00CF5159"/>
    <w:rsid w:val="00CF59B5"/>
    <w:rsid w:val="00CF6342"/>
    <w:rsid w:val="00CF7814"/>
    <w:rsid w:val="00CF7C06"/>
    <w:rsid w:val="00D00949"/>
    <w:rsid w:val="00D03B15"/>
    <w:rsid w:val="00D056A2"/>
    <w:rsid w:val="00D10A9A"/>
    <w:rsid w:val="00D11371"/>
    <w:rsid w:val="00D12034"/>
    <w:rsid w:val="00D12824"/>
    <w:rsid w:val="00D14F2F"/>
    <w:rsid w:val="00D21985"/>
    <w:rsid w:val="00D2479F"/>
    <w:rsid w:val="00D25FF7"/>
    <w:rsid w:val="00D266A3"/>
    <w:rsid w:val="00D313F3"/>
    <w:rsid w:val="00D32558"/>
    <w:rsid w:val="00D33685"/>
    <w:rsid w:val="00D344B3"/>
    <w:rsid w:val="00D34534"/>
    <w:rsid w:val="00D37A50"/>
    <w:rsid w:val="00D42CC4"/>
    <w:rsid w:val="00D43BE5"/>
    <w:rsid w:val="00D46148"/>
    <w:rsid w:val="00D54E30"/>
    <w:rsid w:val="00D65ED7"/>
    <w:rsid w:val="00D66E99"/>
    <w:rsid w:val="00D67F27"/>
    <w:rsid w:val="00D73F7B"/>
    <w:rsid w:val="00D74D55"/>
    <w:rsid w:val="00D772DC"/>
    <w:rsid w:val="00D844CC"/>
    <w:rsid w:val="00D85EF2"/>
    <w:rsid w:val="00D90442"/>
    <w:rsid w:val="00D9049D"/>
    <w:rsid w:val="00D938C8"/>
    <w:rsid w:val="00D95959"/>
    <w:rsid w:val="00DA2A6C"/>
    <w:rsid w:val="00DA3A92"/>
    <w:rsid w:val="00DA5EF3"/>
    <w:rsid w:val="00DA6F43"/>
    <w:rsid w:val="00DB1914"/>
    <w:rsid w:val="00DB678B"/>
    <w:rsid w:val="00DC139B"/>
    <w:rsid w:val="00DD219C"/>
    <w:rsid w:val="00DD5C6D"/>
    <w:rsid w:val="00DE06D6"/>
    <w:rsid w:val="00DE30D4"/>
    <w:rsid w:val="00DE6CF9"/>
    <w:rsid w:val="00DF190E"/>
    <w:rsid w:val="00DF2729"/>
    <w:rsid w:val="00DF3116"/>
    <w:rsid w:val="00DF46C2"/>
    <w:rsid w:val="00DF7E24"/>
    <w:rsid w:val="00E01D18"/>
    <w:rsid w:val="00E02DF5"/>
    <w:rsid w:val="00E05DAB"/>
    <w:rsid w:val="00E06740"/>
    <w:rsid w:val="00E06E8D"/>
    <w:rsid w:val="00E10C72"/>
    <w:rsid w:val="00E120CE"/>
    <w:rsid w:val="00E13615"/>
    <w:rsid w:val="00E136C7"/>
    <w:rsid w:val="00E15A07"/>
    <w:rsid w:val="00E21365"/>
    <w:rsid w:val="00E219DF"/>
    <w:rsid w:val="00E27A9D"/>
    <w:rsid w:val="00E33BF2"/>
    <w:rsid w:val="00E3584F"/>
    <w:rsid w:val="00E364A6"/>
    <w:rsid w:val="00E4065F"/>
    <w:rsid w:val="00E40F8F"/>
    <w:rsid w:val="00E41C3D"/>
    <w:rsid w:val="00E449B5"/>
    <w:rsid w:val="00E44DF6"/>
    <w:rsid w:val="00E45405"/>
    <w:rsid w:val="00E45EEA"/>
    <w:rsid w:val="00E5178F"/>
    <w:rsid w:val="00E523B7"/>
    <w:rsid w:val="00E53C2C"/>
    <w:rsid w:val="00E651A1"/>
    <w:rsid w:val="00E73E11"/>
    <w:rsid w:val="00E744C3"/>
    <w:rsid w:val="00E82646"/>
    <w:rsid w:val="00E86E97"/>
    <w:rsid w:val="00E872FC"/>
    <w:rsid w:val="00E9128D"/>
    <w:rsid w:val="00E92E95"/>
    <w:rsid w:val="00E93368"/>
    <w:rsid w:val="00E9407D"/>
    <w:rsid w:val="00E95222"/>
    <w:rsid w:val="00EA0739"/>
    <w:rsid w:val="00EA093E"/>
    <w:rsid w:val="00EA101F"/>
    <w:rsid w:val="00EA33A4"/>
    <w:rsid w:val="00EA6580"/>
    <w:rsid w:val="00EA71AD"/>
    <w:rsid w:val="00EA7B9A"/>
    <w:rsid w:val="00EB2DB3"/>
    <w:rsid w:val="00EB3980"/>
    <w:rsid w:val="00EB44B9"/>
    <w:rsid w:val="00EC0CE5"/>
    <w:rsid w:val="00EC0F8E"/>
    <w:rsid w:val="00EC1E8D"/>
    <w:rsid w:val="00EC3879"/>
    <w:rsid w:val="00EC510A"/>
    <w:rsid w:val="00EC7587"/>
    <w:rsid w:val="00ED169B"/>
    <w:rsid w:val="00ED3600"/>
    <w:rsid w:val="00ED7C8B"/>
    <w:rsid w:val="00EE7401"/>
    <w:rsid w:val="00F03389"/>
    <w:rsid w:val="00F0502F"/>
    <w:rsid w:val="00F05B24"/>
    <w:rsid w:val="00F11175"/>
    <w:rsid w:val="00F13580"/>
    <w:rsid w:val="00F1447C"/>
    <w:rsid w:val="00F17CA5"/>
    <w:rsid w:val="00F21E6E"/>
    <w:rsid w:val="00F2209D"/>
    <w:rsid w:val="00F33949"/>
    <w:rsid w:val="00F350D7"/>
    <w:rsid w:val="00F3624C"/>
    <w:rsid w:val="00F434F1"/>
    <w:rsid w:val="00F46712"/>
    <w:rsid w:val="00F46C55"/>
    <w:rsid w:val="00F508E6"/>
    <w:rsid w:val="00F55A4C"/>
    <w:rsid w:val="00F55C36"/>
    <w:rsid w:val="00F55CAF"/>
    <w:rsid w:val="00F56EBF"/>
    <w:rsid w:val="00F62C8E"/>
    <w:rsid w:val="00F64064"/>
    <w:rsid w:val="00F7252D"/>
    <w:rsid w:val="00F73CF0"/>
    <w:rsid w:val="00F7414E"/>
    <w:rsid w:val="00F74FD5"/>
    <w:rsid w:val="00F76018"/>
    <w:rsid w:val="00F76C10"/>
    <w:rsid w:val="00F76F7E"/>
    <w:rsid w:val="00F77D35"/>
    <w:rsid w:val="00F85FB2"/>
    <w:rsid w:val="00F909A1"/>
    <w:rsid w:val="00F92085"/>
    <w:rsid w:val="00F9264F"/>
    <w:rsid w:val="00F92ACC"/>
    <w:rsid w:val="00F94EB3"/>
    <w:rsid w:val="00F97698"/>
    <w:rsid w:val="00FA23C7"/>
    <w:rsid w:val="00FA5293"/>
    <w:rsid w:val="00FA5DDB"/>
    <w:rsid w:val="00FB176E"/>
    <w:rsid w:val="00FB2F09"/>
    <w:rsid w:val="00FB3487"/>
    <w:rsid w:val="00FB3C27"/>
    <w:rsid w:val="00FB5490"/>
    <w:rsid w:val="00FC378F"/>
    <w:rsid w:val="00FC42CF"/>
    <w:rsid w:val="00FC4F82"/>
    <w:rsid w:val="00FC7FCB"/>
    <w:rsid w:val="00FD0E32"/>
    <w:rsid w:val="00FD206D"/>
    <w:rsid w:val="00FD5334"/>
    <w:rsid w:val="00FD6E60"/>
    <w:rsid w:val="00FD730C"/>
    <w:rsid w:val="00FD7E69"/>
    <w:rsid w:val="00FE077B"/>
    <w:rsid w:val="00FF2B3F"/>
    <w:rsid w:val="00FF3B21"/>
    <w:rsid w:val="00FF6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6C2DF"/>
  <w15:docId w15:val="{ED03A467-A09C-402D-A4AD-4339E3C0D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68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rPr>
      <w:lang w:val="x-none" w:eastAsia="x-none"/>
    </w:r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rPr>
      <w:lang w:val="x-none" w:eastAsia="x-none"/>
    </w:rPr>
  </w:style>
  <w:style w:type="character" w:customStyle="1" w:styleId="FooterChar">
    <w:name w:val="Footer Char"/>
    <w:link w:val="Footer"/>
    <w:uiPriority w:val="99"/>
    <w:rsid w:val="00D74D55"/>
    <w:rPr>
      <w:rFonts w:ascii="Times New Roman" w:eastAsia="Times New Roman" w:hAnsi="Times New Roman"/>
      <w:sz w:val="24"/>
      <w:szCs w:val="24"/>
    </w:rPr>
  </w:style>
  <w:style w:type="character" w:styleId="CommentReference">
    <w:name w:val="annotation reference"/>
    <w:uiPriority w:val="99"/>
    <w:semiHidden/>
    <w:unhideWhenUsed/>
    <w:rsid w:val="0091187B"/>
    <w:rPr>
      <w:sz w:val="16"/>
      <w:szCs w:val="16"/>
    </w:rPr>
  </w:style>
  <w:style w:type="paragraph" w:styleId="CommentText">
    <w:name w:val="annotation text"/>
    <w:basedOn w:val="Normal"/>
    <w:link w:val="CommentTextChar"/>
    <w:uiPriority w:val="99"/>
    <w:unhideWhenUsed/>
    <w:rsid w:val="0091187B"/>
    <w:rPr>
      <w:sz w:val="20"/>
      <w:szCs w:val="20"/>
    </w:rPr>
  </w:style>
  <w:style w:type="character" w:customStyle="1" w:styleId="CommentTextChar">
    <w:name w:val="Comment Text Char"/>
    <w:link w:val="CommentText"/>
    <w:uiPriority w:val="99"/>
    <w:rsid w:val="0091187B"/>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1187B"/>
    <w:rPr>
      <w:b/>
      <w:bCs/>
    </w:rPr>
  </w:style>
  <w:style w:type="character" w:customStyle="1" w:styleId="CommentSubjectChar">
    <w:name w:val="Comment Subject Char"/>
    <w:link w:val="CommentSubject"/>
    <w:uiPriority w:val="99"/>
    <w:semiHidden/>
    <w:rsid w:val="0091187B"/>
    <w:rPr>
      <w:rFonts w:ascii="Times New Roman" w:eastAsia="Times New Roman" w:hAnsi="Times New Roman"/>
      <w:b/>
      <w:bCs/>
    </w:rPr>
  </w:style>
  <w:style w:type="paragraph" w:styleId="BalloonText">
    <w:name w:val="Balloon Text"/>
    <w:basedOn w:val="Normal"/>
    <w:link w:val="BalloonTextChar"/>
    <w:uiPriority w:val="99"/>
    <w:semiHidden/>
    <w:unhideWhenUsed/>
    <w:rsid w:val="0091187B"/>
    <w:rPr>
      <w:rFonts w:ascii="Tahoma" w:hAnsi="Tahoma" w:cs="Tahoma"/>
      <w:sz w:val="16"/>
      <w:szCs w:val="16"/>
    </w:rPr>
  </w:style>
  <w:style w:type="character" w:customStyle="1" w:styleId="BalloonTextChar">
    <w:name w:val="Balloon Text Char"/>
    <w:link w:val="BalloonText"/>
    <w:uiPriority w:val="99"/>
    <w:semiHidden/>
    <w:rsid w:val="0091187B"/>
    <w:rPr>
      <w:rFonts w:ascii="Tahoma" w:eastAsia="Times New Roman" w:hAnsi="Tahoma" w:cs="Tahoma"/>
      <w:sz w:val="16"/>
      <w:szCs w:val="16"/>
    </w:rPr>
  </w:style>
  <w:style w:type="paragraph" w:styleId="PlainText">
    <w:name w:val="Plain Text"/>
    <w:basedOn w:val="Normal"/>
    <w:link w:val="PlainTextChar"/>
    <w:uiPriority w:val="99"/>
    <w:unhideWhenUsed/>
    <w:rsid w:val="00CC0A73"/>
    <w:rPr>
      <w:rFonts w:ascii="Calibri" w:eastAsia="Calibri" w:hAnsi="Calibri"/>
      <w:sz w:val="22"/>
      <w:szCs w:val="21"/>
    </w:rPr>
  </w:style>
  <w:style w:type="character" w:customStyle="1" w:styleId="PlainTextChar">
    <w:name w:val="Plain Text Char"/>
    <w:link w:val="PlainText"/>
    <w:uiPriority w:val="99"/>
    <w:rsid w:val="00CC0A73"/>
    <w:rPr>
      <w:sz w:val="22"/>
      <w:szCs w:val="21"/>
    </w:rPr>
  </w:style>
  <w:style w:type="character" w:styleId="Hyperlink">
    <w:name w:val="Hyperlink"/>
    <w:uiPriority w:val="99"/>
    <w:unhideWhenUsed/>
    <w:rsid w:val="00166EBC"/>
    <w:rPr>
      <w:color w:val="0563C1"/>
      <w:u w:val="single"/>
    </w:rPr>
  </w:style>
  <w:style w:type="paragraph" w:styleId="ListParagraph">
    <w:name w:val="List Paragraph"/>
    <w:basedOn w:val="Normal"/>
    <w:uiPriority w:val="34"/>
    <w:qFormat/>
    <w:rsid w:val="001038E5"/>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2C0B44"/>
    <w:rPr>
      <w:rFonts w:ascii="Times New Roman" w:eastAsia="Times New Roman" w:hAnsi="Times New Roman"/>
      <w:sz w:val="24"/>
      <w:szCs w:val="24"/>
    </w:rPr>
  </w:style>
  <w:style w:type="character" w:styleId="Strong">
    <w:name w:val="Strong"/>
    <w:uiPriority w:val="22"/>
    <w:qFormat/>
    <w:rsid w:val="007861E4"/>
    <w:rPr>
      <w:b/>
      <w:bCs/>
    </w:rPr>
  </w:style>
  <w:style w:type="paragraph" w:styleId="Subtitle">
    <w:name w:val="Subtitle"/>
    <w:basedOn w:val="Normal"/>
    <w:next w:val="Normal"/>
    <w:link w:val="SubtitleChar"/>
    <w:uiPriority w:val="11"/>
    <w:qFormat/>
    <w:rsid w:val="00507214"/>
    <w:pPr>
      <w:spacing w:after="60"/>
      <w:jc w:val="center"/>
      <w:outlineLvl w:val="1"/>
    </w:pPr>
    <w:rPr>
      <w:rFonts w:ascii="Calibri Light" w:hAnsi="Calibri Light"/>
    </w:rPr>
  </w:style>
  <w:style w:type="character" w:customStyle="1" w:styleId="SubtitleChar">
    <w:name w:val="Subtitle Char"/>
    <w:link w:val="Subtitle"/>
    <w:uiPriority w:val="11"/>
    <w:rsid w:val="00507214"/>
    <w:rPr>
      <w:rFonts w:ascii="Calibri Light" w:eastAsia="Times New Roman" w:hAnsi="Calibri Light" w:cs="Times New Roman"/>
      <w:sz w:val="24"/>
      <w:szCs w:val="24"/>
    </w:rPr>
  </w:style>
  <w:style w:type="character" w:styleId="FollowedHyperlink">
    <w:name w:val="FollowedHyperlink"/>
    <w:basedOn w:val="DefaultParagraphFont"/>
    <w:uiPriority w:val="99"/>
    <w:semiHidden/>
    <w:unhideWhenUsed/>
    <w:rsid w:val="00911714"/>
    <w:rPr>
      <w:color w:val="954F72" w:themeColor="followedHyperlink"/>
      <w:u w:val="single"/>
    </w:rPr>
  </w:style>
  <w:style w:type="paragraph" w:styleId="FootnoteText">
    <w:name w:val="footnote text"/>
    <w:basedOn w:val="Normal"/>
    <w:link w:val="FootnoteTextChar"/>
    <w:uiPriority w:val="99"/>
    <w:semiHidden/>
    <w:unhideWhenUsed/>
    <w:rsid w:val="00E136C7"/>
    <w:rPr>
      <w:sz w:val="20"/>
      <w:szCs w:val="20"/>
    </w:rPr>
  </w:style>
  <w:style w:type="character" w:customStyle="1" w:styleId="FootnoteTextChar">
    <w:name w:val="Footnote Text Char"/>
    <w:basedOn w:val="DefaultParagraphFont"/>
    <w:link w:val="FootnoteText"/>
    <w:uiPriority w:val="99"/>
    <w:semiHidden/>
    <w:rsid w:val="00E136C7"/>
    <w:rPr>
      <w:rFonts w:ascii="Times New Roman" w:eastAsia="Times New Roman" w:hAnsi="Times New Roman"/>
    </w:rPr>
  </w:style>
  <w:style w:type="character" w:styleId="FootnoteReference">
    <w:name w:val="footnote reference"/>
    <w:basedOn w:val="DefaultParagraphFont"/>
    <w:uiPriority w:val="99"/>
    <w:semiHidden/>
    <w:unhideWhenUsed/>
    <w:rsid w:val="00E136C7"/>
    <w:rPr>
      <w:vertAlign w:val="superscript"/>
    </w:rPr>
  </w:style>
  <w:style w:type="table" w:styleId="TableGrid">
    <w:name w:val="Table Grid"/>
    <w:basedOn w:val="TableNormal"/>
    <w:uiPriority w:val="59"/>
    <w:rsid w:val="00064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4222A"/>
    <w:rPr>
      <w:color w:val="605E5C"/>
      <w:shd w:val="clear" w:color="auto" w:fill="E1DFDD"/>
    </w:rPr>
  </w:style>
  <w:style w:type="paragraph" w:styleId="Title">
    <w:name w:val="Title"/>
    <w:basedOn w:val="Normal"/>
    <w:next w:val="Normal"/>
    <w:link w:val="TitleChar"/>
    <w:uiPriority w:val="10"/>
    <w:qFormat/>
    <w:rsid w:val="00B95D8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5D8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24786">
      <w:bodyDiv w:val="1"/>
      <w:marLeft w:val="0"/>
      <w:marRight w:val="0"/>
      <w:marTop w:val="0"/>
      <w:marBottom w:val="0"/>
      <w:divBdr>
        <w:top w:val="none" w:sz="0" w:space="0" w:color="auto"/>
        <w:left w:val="none" w:sz="0" w:space="0" w:color="auto"/>
        <w:bottom w:val="none" w:sz="0" w:space="0" w:color="auto"/>
        <w:right w:val="none" w:sz="0" w:space="0" w:color="auto"/>
      </w:divBdr>
    </w:div>
    <w:div w:id="293678360">
      <w:bodyDiv w:val="1"/>
      <w:marLeft w:val="0"/>
      <w:marRight w:val="0"/>
      <w:marTop w:val="0"/>
      <w:marBottom w:val="0"/>
      <w:divBdr>
        <w:top w:val="none" w:sz="0" w:space="0" w:color="auto"/>
        <w:left w:val="none" w:sz="0" w:space="0" w:color="auto"/>
        <w:bottom w:val="none" w:sz="0" w:space="0" w:color="auto"/>
        <w:right w:val="none" w:sz="0" w:space="0" w:color="auto"/>
      </w:divBdr>
    </w:div>
    <w:div w:id="417215035">
      <w:bodyDiv w:val="1"/>
      <w:marLeft w:val="0"/>
      <w:marRight w:val="0"/>
      <w:marTop w:val="0"/>
      <w:marBottom w:val="0"/>
      <w:divBdr>
        <w:top w:val="none" w:sz="0" w:space="0" w:color="auto"/>
        <w:left w:val="none" w:sz="0" w:space="0" w:color="auto"/>
        <w:bottom w:val="none" w:sz="0" w:space="0" w:color="auto"/>
        <w:right w:val="none" w:sz="0" w:space="0" w:color="auto"/>
      </w:divBdr>
    </w:div>
    <w:div w:id="439687725">
      <w:bodyDiv w:val="1"/>
      <w:marLeft w:val="0"/>
      <w:marRight w:val="0"/>
      <w:marTop w:val="0"/>
      <w:marBottom w:val="0"/>
      <w:divBdr>
        <w:top w:val="none" w:sz="0" w:space="0" w:color="auto"/>
        <w:left w:val="none" w:sz="0" w:space="0" w:color="auto"/>
        <w:bottom w:val="none" w:sz="0" w:space="0" w:color="auto"/>
        <w:right w:val="none" w:sz="0" w:space="0" w:color="auto"/>
      </w:divBdr>
    </w:div>
    <w:div w:id="476998932">
      <w:bodyDiv w:val="1"/>
      <w:marLeft w:val="0"/>
      <w:marRight w:val="0"/>
      <w:marTop w:val="0"/>
      <w:marBottom w:val="0"/>
      <w:divBdr>
        <w:top w:val="none" w:sz="0" w:space="0" w:color="auto"/>
        <w:left w:val="none" w:sz="0" w:space="0" w:color="auto"/>
        <w:bottom w:val="none" w:sz="0" w:space="0" w:color="auto"/>
        <w:right w:val="none" w:sz="0" w:space="0" w:color="auto"/>
      </w:divBdr>
    </w:div>
    <w:div w:id="482280952">
      <w:bodyDiv w:val="1"/>
      <w:marLeft w:val="0"/>
      <w:marRight w:val="0"/>
      <w:marTop w:val="0"/>
      <w:marBottom w:val="0"/>
      <w:divBdr>
        <w:top w:val="none" w:sz="0" w:space="0" w:color="auto"/>
        <w:left w:val="none" w:sz="0" w:space="0" w:color="auto"/>
        <w:bottom w:val="none" w:sz="0" w:space="0" w:color="auto"/>
        <w:right w:val="none" w:sz="0" w:space="0" w:color="auto"/>
      </w:divBdr>
    </w:div>
    <w:div w:id="519778631">
      <w:bodyDiv w:val="1"/>
      <w:marLeft w:val="0"/>
      <w:marRight w:val="0"/>
      <w:marTop w:val="0"/>
      <w:marBottom w:val="0"/>
      <w:divBdr>
        <w:top w:val="none" w:sz="0" w:space="0" w:color="auto"/>
        <w:left w:val="none" w:sz="0" w:space="0" w:color="auto"/>
        <w:bottom w:val="none" w:sz="0" w:space="0" w:color="auto"/>
        <w:right w:val="none" w:sz="0" w:space="0" w:color="auto"/>
      </w:divBdr>
    </w:div>
    <w:div w:id="530654612">
      <w:bodyDiv w:val="1"/>
      <w:marLeft w:val="0"/>
      <w:marRight w:val="0"/>
      <w:marTop w:val="0"/>
      <w:marBottom w:val="0"/>
      <w:divBdr>
        <w:top w:val="none" w:sz="0" w:space="0" w:color="auto"/>
        <w:left w:val="none" w:sz="0" w:space="0" w:color="auto"/>
        <w:bottom w:val="none" w:sz="0" w:space="0" w:color="auto"/>
        <w:right w:val="none" w:sz="0" w:space="0" w:color="auto"/>
      </w:divBdr>
    </w:div>
    <w:div w:id="550338247">
      <w:bodyDiv w:val="1"/>
      <w:marLeft w:val="0"/>
      <w:marRight w:val="0"/>
      <w:marTop w:val="0"/>
      <w:marBottom w:val="0"/>
      <w:divBdr>
        <w:top w:val="none" w:sz="0" w:space="0" w:color="auto"/>
        <w:left w:val="none" w:sz="0" w:space="0" w:color="auto"/>
        <w:bottom w:val="none" w:sz="0" w:space="0" w:color="auto"/>
        <w:right w:val="none" w:sz="0" w:space="0" w:color="auto"/>
      </w:divBdr>
    </w:div>
    <w:div w:id="598099359">
      <w:bodyDiv w:val="1"/>
      <w:marLeft w:val="0"/>
      <w:marRight w:val="0"/>
      <w:marTop w:val="0"/>
      <w:marBottom w:val="0"/>
      <w:divBdr>
        <w:top w:val="none" w:sz="0" w:space="0" w:color="auto"/>
        <w:left w:val="none" w:sz="0" w:space="0" w:color="auto"/>
        <w:bottom w:val="none" w:sz="0" w:space="0" w:color="auto"/>
        <w:right w:val="none" w:sz="0" w:space="0" w:color="auto"/>
      </w:divBdr>
    </w:div>
    <w:div w:id="721053912">
      <w:bodyDiv w:val="1"/>
      <w:marLeft w:val="0"/>
      <w:marRight w:val="0"/>
      <w:marTop w:val="0"/>
      <w:marBottom w:val="0"/>
      <w:divBdr>
        <w:top w:val="none" w:sz="0" w:space="0" w:color="auto"/>
        <w:left w:val="none" w:sz="0" w:space="0" w:color="auto"/>
        <w:bottom w:val="none" w:sz="0" w:space="0" w:color="auto"/>
        <w:right w:val="none" w:sz="0" w:space="0" w:color="auto"/>
      </w:divBdr>
    </w:div>
    <w:div w:id="751970555">
      <w:bodyDiv w:val="1"/>
      <w:marLeft w:val="0"/>
      <w:marRight w:val="0"/>
      <w:marTop w:val="0"/>
      <w:marBottom w:val="0"/>
      <w:divBdr>
        <w:top w:val="none" w:sz="0" w:space="0" w:color="auto"/>
        <w:left w:val="none" w:sz="0" w:space="0" w:color="auto"/>
        <w:bottom w:val="none" w:sz="0" w:space="0" w:color="auto"/>
        <w:right w:val="none" w:sz="0" w:space="0" w:color="auto"/>
      </w:divBdr>
    </w:div>
    <w:div w:id="831719773">
      <w:bodyDiv w:val="1"/>
      <w:marLeft w:val="0"/>
      <w:marRight w:val="0"/>
      <w:marTop w:val="0"/>
      <w:marBottom w:val="0"/>
      <w:divBdr>
        <w:top w:val="none" w:sz="0" w:space="0" w:color="auto"/>
        <w:left w:val="none" w:sz="0" w:space="0" w:color="auto"/>
        <w:bottom w:val="none" w:sz="0" w:space="0" w:color="auto"/>
        <w:right w:val="none" w:sz="0" w:space="0" w:color="auto"/>
      </w:divBdr>
    </w:div>
    <w:div w:id="956526338">
      <w:bodyDiv w:val="1"/>
      <w:marLeft w:val="0"/>
      <w:marRight w:val="0"/>
      <w:marTop w:val="0"/>
      <w:marBottom w:val="0"/>
      <w:divBdr>
        <w:top w:val="none" w:sz="0" w:space="0" w:color="auto"/>
        <w:left w:val="none" w:sz="0" w:space="0" w:color="auto"/>
        <w:bottom w:val="none" w:sz="0" w:space="0" w:color="auto"/>
        <w:right w:val="none" w:sz="0" w:space="0" w:color="auto"/>
      </w:divBdr>
    </w:div>
    <w:div w:id="1240825156">
      <w:bodyDiv w:val="1"/>
      <w:marLeft w:val="0"/>
      <w:marRight w:val="0"/>
      <w:marTop w:val="0"/>
      <w:marBottom w:val="0"/>
      <w:divBdr>
        <w:top w:val="none" w:sz="0" w:space="0" w:color="auto"/>
        <w:left w:val="none" w:sz="0" w:space="0" w:color="auto"/>
        <w:bottom w:val="none" w:sz="0" w:space="0" w:color="auto"/>
        <w:right w:val="none" w:sz="0" w:space="0" w:color="auto"/>
      </w:divBdr>
    </w:div>
    <w:div w:id="1366295641">
      <w:bodyDiv w:val="1"/>
      <w:marLeft w:val="0"/>
      <w:marRight w:val="0"/>
      <w:marTop w:val="0"/>
      <w:marBottom w:val="0"/>
      <w:divBdr>
        <w:top w:val="none" w:sz="0" w:space="0" w:color="auto"/>
        <w:left w:val="none" w:sz="0" w:space="0" w:color="auto"/>
        <w:bottom w:val="none" w:sz="0" w:space="0" w:color="auto"/>
        <w:right w:val="none" w:sz="0" w:space="0" w:color="auto"/>
      </w:divBdr>
    </w:div>
    <w:div w:id="1399135322">
      <w:bodyDiv w:val="1"/>
      <w:marLeft w:val="0"/>
      <w:marRight w:val="0"/>
      <w:marTop w:val="0"/>
      <w:marBottom w:val="0"/>
      <w:divBdr>
        <w:top w:val="none" w:sz="0" w:space="0" w:color="auto"/>
        <w:left w:val="none" w:sz="0" w:space="0" w:color="auto"/>
        <w:bottom w:val="none" w:sz="0" w:space="0" w:color="auto"/>
        <w:right w:val="none" w:sz="0" w:space="0" w:color="auto"/>
      </w:divBdr>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 w:id="1704935362">
      <w:bodyDiv w:val="1"/>
      <w:marLeft w:val="0"/>
      <w:marRight w:val="0"/>
      <w:marTop w:val="0"/>
      <w:marBottom w:val="0"/>
      <w:divBdr>
        <w:top w:val="none" w:sz="0" w:space="0" w:color="auto"/>
        <w:left w:val="none" w:sz="0" w:space="0" w:color="auto"/>
        <w:bottom w:val="none" w:sz="0" w:space="0" w:color="auto"/>
        <w:right w:val="none" w:sz="0" w:space="0" w:color="auto"/>
      </w:divBdr>
    </w:div>
    <w:div w:id="1899855600">
      <w:bodyDiv w:val="1"/>
      <w:marLeft w:val="0"/>
      <w:marRight w:val="0"/>
      <w:marTop w:val="0"/>
      <w:marBottom w:val="0"/>
      <w:divBdr>
        <w:top w:val="none" w:sz="0" w:space="0" w:color="auto"/>
        <w:left w:val="none" w:sz="0" w:space="0" w:color="auto"/>
        <w:bottom w:val="none" w:sz="0" w:space="0" w:color="auto"/>
        <w:right w:val="none" w:sz="0" w:space="0" w:color="auto"/>
      </w:divBdr>
    </w:div>
    <w:div w:id="2010520696">
      <w:bodyDiv w:val="1"/>
      <w:marLeft w:val="0"/>
      <w:marRight w:val="0"/>
      <w:marTop w:val="0"/>
      <w:marBottom w:val="0"/>
      <w:divBdr>
        <w:top w:val="none" w:sz="0" w:space="0" w:color="auto"/>
        <w:left w:val="none" w:sz="0" w:space="0" w:color="auto"/>
        <w:bottom w:val="none" w:sz="0" w:space="0" w:color="auto"/>
        <w:right w:val="none" w:sz="0" w:space="0" w:color="auto"/>
      </w:divBdr>
    </w:div>
    <w:div w:id="2056736857">
      <w:bodyDiv w:val="1"/>
      <w:marLeft w:val="0"/>
      <w:marRight w:val="0"/>
      <w:marTop w:val="0"/>
      <w:marBottom w:val="0"/>
      <w:divBdr>
        <w:top w:val="none" w:sz="0" w:space="0" w:color="auto"/>
        <w:left w:val="none" w:sz="0" w:space="0" w:color="auto"/>
        <w:bottom w:val="none" w:sz="0" w:space="0" w:color="auto"/>
        <w:right w:val="none" w:sz="0" w:space="0" w:color="auto"/>
      </w:divBdr>
    </w:div>
    <w:div w:id="205772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ace.army.mil/Missions/Civil-Works/Regulatory-Program-and-Permits/" TargetMode="External"/><Relationship Id="rId13" Type="http://schemas.openxmlformats.org/officeDocument/2006/relationships/hyperlink" Target="https://www.opm.gov/policy-data-oversight/pay-leave/salaries-wages/salary-tables/pdf/2021/GS_h.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ls.gov/oes/current/oes_nat.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dc.usace.army.mil/Media/Fact-Sheets/Fact-Sheet-Article-View/Article/486085/ordinary-high-water-mark-ohwm-research-development-and-train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sace.army.mil/Missions/Civil-Works/Regulatory-Program-and-Permits/" TargetMode="External"/><Relationship Id="rId4" Type="http://schemas.openxmlformats.org/officeDocument/2006/relationships/settings" Target="settings.xml"/><Relationship Id="rId9" Type="http://schemas.openxmlformats.org/officeDocument/2006/relationships/hyperlink" Target="https://www.erdc.usace.army.mil/Media/Fact-Sheets/Fact-Sheet-Article-View/Article/486085/ordinary-high-water-mark-ohwm-research-development-and-trainin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4C463-C7B8-42D5-9F0B-42409D850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2322</Words>
  <Characters>13236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15527</CharactersWithSpaces>
  <SharedDoc>false</SharedDoc>
  <HLinks>
    <vt:vector size="12" baseType="variant">
      <vt:variant>
        <vt:i4>6422631</vt:i4>
      </vt:variant>
      <vt:variant>
        <vt:i4>3</vt:i4>
      </vt:variant>
      <vt:variant>
        <vt:i4>0</vt:i4>
      </vt:variant>
      <vt:variant>
        <vt:i4>5</vt:i4>
      </vt:variant>
      <vt:variant>
        <vt:lpwstr>http://www.bls.gov/news.release/empsit.t19.htm</vt:lpwstr>
      </vt:variant>
      <vt:variant>
        <vt:lpwstr/>
      </vt:variant>
      <vt:variant>
        <vt:i4>4522062</vt:i4>
      </vt:variant>
      <vt:variant>
        <vt:i4>0</vt:i4>
      </vt:variant>
      <vt:variant>
        <vt:i4>0</vt:i4>
      </vt:variant>
      <vt:variant>
        <vt:i4>5</vt:i4>
      </vt:variant>
      <vt:variant>
        <vt:lpwstr>http://w3.saj.usace.army.mil/permits/RDAvatarPRV201203/index.html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Toppings</dc:creator>
  <cp:keywords/>
  <dc:description/>
  <cp:lastModifiedBy>Schuff, Nicholas A CTR WHS ESD</cp:lastModifiedBy>
  <cp:revision>5</cp:revision>
  <cp:lastPrinted>2018-09-07T16:59:00Z</cp:lastPrinted>
  <dcterms:created xsi:type="dcterms:W3CDTF">2021-10-27T14:15:00Z</dcterms:created>
  <dcterms:modified xsi:type="dcterms:W3CDTF">2021-10-29T13:33:00Z</dcterms:modified>
</cp:coreProperties>
</file>