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CE5AA9" w:rsidRDefault="009B3794"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CE5AA9" w:rsidRDefault="00BA1A0C" w14:paraId="22E2A2EE" w14:textId="77777777">
      <w:pPr>
        <w:tabs>
          <w:tab w:val="center" w:pos="4680"/>
        </w:tabs>
        <w:spacing w:before="120"/>
        <w:jc w:val="center"/>
        <w:rPr>
          <w:rFonts w:ascii="Arial" w:hAnsi="Arial" w:cs="Arial"/>
          <w:b/>
          <w:bCs/>
          <w:sz w:val="32"/>
          <w:szCs w:val="32"/>
        </w:rPr>
      </w:pPr>
    </w:p>
    <w:p w:rsidRPr="00E353C8" w:rsidR="00E353C8" w:rsidP="00E353C8" w:rsidRDefault="00E353C8" w14:paraId="6D418DF7" w14:textId="77777777">
      <w:pPr>
        <w:tabs>
          <w:tab w:val="center" w:pos="4680"/>
        </w:tabs>
        <w:spacing w:before="120"/>
        <w:jc w:val="center"/>
        <w:rPr>
          <w:rFonts w:ascii="Arial" w:hAnsi="Arial" w:cs="Arial"/>
          <w:b/>
          <w:bCs/>
          <w:sz w:val="32"/>
          <w:szCs w:val="32"/>
        </w:rPr>
      </w:pPr>
      <w:r w:rsidRPr="00E353C8">
        <w:rPr>
          <w:rFonts w:ascii="Arial" w:hAnsi="Arial" w:cs="Arial"/>
          <w:b/>
          <w:bCs/>
          <w:i/>
          <w:sz w:val="32"/>
          <w:szCs w:val="32"/>
        </w:rPr>
        <w:t>Rural Health Care Services Outreach Program Performance Improvement Measurement System (PIMS)</w:t>
      </w:r>
    </w:p>
    <w:p w:rsidRPr="00C45431" w:rsidR="00BA1A0C" w:rsidP="00CE5AA9" w:rsidRDefault="00BA1A0C" w14:paraId="22E2A2F0" w14:textId="77777777">
      <w:pPr>
        <w:tabs>
          <w:tab w:val="center" w:pos="4680"/>
        </w:tabs>
        <w:spacing w:before="120"/>
        <w:jc w:val="center"/>
        <w:rPr>
          <w:rFonts w:ascii="Arial" w:hAnsi="Arial" w:cs="Arial"/>
          <w:b/>
          <w:bCs/>
          <w:sz w:val="32"/>
          <w:szCs w:val="32"/>
        </w:rPr>
      </w:pPr>
    </w:p>
    <w:p w:rsidR="00E353C8" w:rsidP="00CE5AA9" w:rsidRDefault="00185661" w14:paraId="5B8BF122" w14:textId="77777777">
      <w:pPr>
        <w:tabs>
          <w:tab w:val="center" w:pos="4680"/>
        </w:tabs>
        <w:spacing w:before="120"/>
        <w:jc w:val="center"/>
        <w:rPr>
          <w:rFonts w:ascii="Arial" w:hAnsi="Arial" w:cs="Arial"/>
          <w:b/>
          <w:bCs/>
          <w:sz w:val="32"/>
          <w:szCs w:val="32"/>
        </w:rPr>
      </w:pPr>
      <w:r>
        <w:rPr>
          <w:rFonts w:ascii="Arial" w:hAnsi="Arial" w:cs="Arial"/>
          <w:b/>
          <w:bCs/>
          <w:sz w:val="32"/>
          <w:szCs w:val="32"/>
        </w:rPr>
        <w:t>OMB Control No.</w:t>
      </w:r>
      <w:r w:rsidRPr="00185661">
        <w:rPr>
          <w:rFonts w:ascii="Arial" w:hAnsi="Arial" w:cs="Arial"/>
          <w:b/>
          <w:bCs/>
          <w:sz w:val="32"/>
          <w:szCs w:val="32"/>
        </w:rPr>
        <w:t xml:space="preserve"> 0906-0009</w:t>
      </w:r>
    </w:p>
    <w:p w:rsidR="00E353C8" w:rsidP="00CE5AA9" w:rsidRDefault="00E353C8" w14:paraId="6E1018F5" w14:textId="77777777">
      <w:pPr>
        <w:tabs>
          <w:tab w:val="center" w:pos="4680"/>
        </w:tabs>
        <w:spacing w:before="120"/>
        <w:jc w:val="center"/>
        <w:rPr>
          <w:rFonts w:ascii="Arial" w:hAnsi="Arial" w:cs="Arial"/>
          <w:b/>
          <w:bCs/>
          <w:sz w:val="32"/>
          <w:szCs w:val="32"/>
        </w:rPr>
      </w:pPr>
    </w:p>
    <w:p w:rsidRPr="00C45431" w:rsidR="00BA1A0C" w:rsidP="00CE5AA9" w:rsidRDefault="00E353C8" w14:paraId="22E2A2F1" w14:textId="7F40A53D">
      <w:pPr>
        <w:tabs>
          <w:tab w:val="center" w:pos="4680"/>
        </w:tabs>
        <w:spacing w:before="120"/>
        <w:jc w:val="center"/>
        <w:rPr>
          <w:rFonts w:ascii="Arial" w:hAnsi="Arial" w:cs="Arial"/>
          <w:b/>
          <w:bCs/>
          <w:sz w:val="32"/>
          <w:szCs w:val="32"/>
        </w:rPr>
      </w:pPr>
      <w:r>
        <w:rPr>
          <w:rFonts w:ascii="Arial" w:hAnsi="Arial" w:cs="Arial"/>
          <w:b/>
          <w:bCs/>
          <w:sz w:val="32"/>
          <w:szCs w:val="32"/>
        </w:rPr>
        <w:t>Revision</w:t>
      </w:r>
      <w:r w:rsidR="00185661">
        <w:rPr>
          <w:rFonts w:ascii="Arial" w:hAnsi="Arial" w:cs="Arial"/>
          <w:b/>
          <w:bCs/>
          <w:sz w:val="32"/>
          <w:szCs w:val="32"/>
        </w:rPr>
        <w:t xml:space="preserve"> </w:t>
      </w:r>
    </w:p>
    <w:p w:rsidR="00E353C8" w:rsidP="00564AA4" w:rsidRDefault="00E353C8" w14:paraId="31E35A95" w14:textId="77777777">
      <w:pPr>
        <w:spacing w:before="120"/>
        <w:rPr>
          <w:rFonts w:ascii="Arial" w:hAnsi="Arial" w:cs="Arial"/>
          <w:b/>
          <w:sz w:val="24"/>
        </w:rPr>
      </w:pPr>
    </w:p>
    <w:p w:rsidR="00A277CD" w:rsidP="00564AA4" w:rsidRDefault="00DE3A45" w14:paraId="62747857" w14:textId="220195FA">
      <w:pPr>
        <w:spacing w:before="120"/>
        <w:rPr>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135A07">
        <w:rPr>
          <w:rFonts w:ascii="Arial" w:hAnsi="Arial" w:cs="Arial"/>
          <w:sz w:val="24"/>
        </w:rPr>
        <w:t xml:space="preserve">None </w:t>
      </w:r>
    </w:p>
    <w:p w:rsidR="00A277CD" w:rsidP="00CE5AA9" w:rsidRDefault="00A277CD" w14:paraId="036D70E6" w14:textId="77777777">
      <w:pPr>
        <w:spacing w:before="120"/>
        <w:rPr>
          <w:sz w:val="24"/>
        </w:rPr>
      </w:pPr>
    </w:p>
    <w:p w:rsidRPr="00C45431" w:rsidR="009B3794" w:rsidP="00CA3DA6" w:rsidRDefault="009B3794"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C45431" w:rsidR="009B3794" w:rsidP="00CA3DA6" w:rsidRDefault="009B3794" w14:paraId="22E2A2F6"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514AFA" w:rsidP="00514AFA" w:rsidRDefault="00514AFA" w14:paraId="1004CC39" w14:textId="5C8CA96D">
      <w:pPr>
        <w:spacing w:before="120"/>
        <w:ind w:left="360"/>
        <w:rPr>
          <w:sz w:val="24"/>
        </w:rPr>
      </w:pPr>
      <w:r w:rsidRPr="009F371C">
        <w:rPr>
          <w:sz w:val="24"/>
        </w:rPr>
        <w:t xml:space="preserve">The Health Resources and Services Administration (HRSA)’s Federal Office of Rural Health Policy (FORHP) is requesting </w:t>
      </w:r>
      <w:r>
        <w:rPr>
          <w:sz w:val="24"/>
        </w:rPr>
        <w:t xml:space="preserve">continued </w:t>
      </w:r>
      <w:r w:rsidRPr="009F371C">
        <w:rPr>
          <w:sz w:val="24"/>
        </w:rPr>
        <w:t xml:space="preserve">OMB approval to collect information on grantee activities and on performance measures electronically through the HRSA Electronic Handbook (EHB). </w:t>
      </w:r>
      <w:r w:rsidR="00E353C8">
        <w:rPr>
          <w:sz w:val="24"/>
        </w:rPr>
        <w:t xml:space="preserve"> </w:t>
      </w:r>
      <w:r w:rsidRPr="009F371C">
        <w:rPr>
          <w:sz w:val="24"/>
        </w:rPr>
        <w:t xml:space="preserve">The EHB is a web-based portal that grantees use to submit information to HRSA. The Rural Health Care Services Outreach Performance Measures form is a tool that allows FORHP to measure the </w:t>
      </w:r>
      <w:r>
        <w:rPr>
          <w:sz w:val="24"/>
        </w:rPr>
        <w:t xml:space="preserve">effectiveness </w:t>
      </w:r>
      <w:r w:rsidRPr="009F371C">
        <w:rPr>
          <w:sz w:val="24"/>
        </w:rPr>
        <w:t>of the grant funding.</w:t>
      </w:r>
    </w:p>
    <w:p w:rsidRPr="00EA14BA" w:rsidR="00EA14BA" w:rsidP="00514AFA" w:rsidRDefault="00EA14BA" w14:paraId="42A07670" w14:textId="77777777">
      <w:pPr>
        <w:spacing w:before="120"/>
        <w:ind w:left="360"/>
        <w:rPr>
          <w:sz w:val="4"/>
        </w:rPr>
      </w:pPr>
    </w:p>
    <w:p w:rsidR="00514AFA" w:rsidP="00514AFA" w:rsidRDefault="00514AFA" w14:paraId="3E632711" w14:textId="5313AD71">
      <w:pPr>
        <w:spacing w:before="120"/>
        <w:ind w:left="360"/>
        <w:rPr>
          <w:sz w:val="24"/>
        </w:rPr>
      </w:pPr>
      <w:r w:rsidRPr="009F371C">
        <w:rPr>
          <w:sz w:val="24"/>
        </w:rPr>
        <w:t>It should be noted that in its authorizing language</w:t>
      </w:r>
      <w:r>
        <w:rPr>
          <w:sz w:val="24"/>
        </w:rPr>
        <w:t>,</w:t>
      </w:r>
      <w:r w:rsidRPr="009F371C">
        <w:rPr>
          <w:sz w:val="24"/>
        </w:rPr>
        <w:t xml:space="preserve"> </w:t>
      </w:r>
      <w:r w:rsidRPr="00514AFA">
        <w:rPr>
          <w:sz w:val="24"/>
        </w:rPr>
        <w:t xml:space="preserve">Section 330A(e) of the Public Health Service (PHS) Act (42 U.S.C. 254c(e)) and Public Law 116-136, </w:t>
      </w:r>
      <w:r w:rsidRPr="009F371C">
        <w:rPr>
          <w:sz w:val="24"/>
        </w:rPr>
        <w:t xml:space="preserve">Congress charged </w:t>
      </w:r>
      <w:r w:rsidR="00E353C8">
        <w:rPr>
          <w:sz w:val="24"/>
        </w:rPr>
        <w:t>F</w:t>
      </w:r>
      <w:r w:rsidRPr="009F371C">
        <w:rPr>
          <w:sz w:val="24"/>
        </w:rPr>
        <w:t xml:space="preserve">ORHP with “administering grants, cooperative agreements, and contracts to provide technical assistance and other activities as necessary to support activities related to improving health care in rural areas.” </w:t>
      </w:r>
      <w:r w:rsidR="00E353C8">
        <w:rPr>
          <w:sz w:val="24"/>
        </w:rPr>
        <w:t xml:space="preserve"> F</w:t>
      </w:r>
      <w:r w:rsidRPr="009F371C">
        <w:rPr>
          <w:sz w:val="24"/>
        </w:rPr>
        <w:t xml:space="preserve">ORHP’s mission is to sustain and improve access to quality health care services for rural communities. </w:t>
      </w:r>
    </w:p>
    <w:p w:rsidRPr="00EA14BA" w:rsidR="00514AFA" w:rsidP="00514AFA" w:rsidRDefault="00514AFA" w14:paraId="4A00000E" w14:textId="77777777">
      <w:pPr>
        <w:spacing w:before="120"/>
        <w:ind w:left="360"/>
        <w:rPr>
          <w:sz w:val="14"/>
        </w:rPr>
      </w:pPr>
    </w:p>
    <w:p w:rsidR="00E353C8" w:rsidP="00514AFA" w:rsidRDefault="00514AFA" w14:paraId="3D53FF64" w14:textId="77777777">
      <w:pPr>
        <w:ind w:left="360"/>
        <w:rPr>
          <w:sz w:val="24"/>
        </w:rPr>
      </w:pPr>
      <w:r w:rsidRPr="009F371C">
        <w:rPr>
          <w:sz w:val="24"/>
        </w:rPr>
        <w:t>This activity collect</w:t>
      </w:r>
      <w:r>
        <w:rPr>
          <w:sz w:val="24"/>
        </w:rPr>
        <w:t>s</w:t>
      </w:r>
      <w:r w:rsidRPr="009F371C">
        <w:rPr>
          <w:sz w:val="24"/>
        </w:rPr>
        <w:t xml:space="preserve"> information for the Rural Health Care Services Outreach Program (“Outreach”).  The Outreach program is funded under Section 330A (e) of the Public Health Service (PHS) Act (42 U.S.C. 254c(e)) to promote rural health care services outreach by expanding the delivery of health care services to include new and enhanced services in rural areas.  The goals for the Outre</w:t>
      </w:r>
      <w:r w:rsidR="00E353C8">
        <w:rPr>
          <w:sz w:val="24"/>
        </w:rPr>
        <w:t xml:space="preserve">ach Program are the following:  </w:t>
      </w:r>
      <w:r w:rsidRPr="009F371C">
        <w:rPr>
          <w:sz w:val="24"/>
        </w:rPr>
        <w:t xml:space="preserve">(1) expand the delivery of health care services to include new and enhanced services exclusively in rural communities; (2) deliver health care services through a strong consortium, in which every consortium member organization is actively involved and engaged in the planning and delivery of </w:t>
      </w:r>
      <w:r w:rsidRPr="009F371C">
        <w:rPr>
          <w:sz w:val="24"/>
        </w:rPr>
        <w:lastRenderedPageBreak/>
        <w:t xml:space="preserve">services; (3) utilize and/or adapt an evidence-based or promising practice model(s) in the </w:t>
      </w:r>
    </w:p>
    <w:p w:rsidR="00E353C8" w:rsidP="00514AFA" w:rsidRDefault="00E353C8" w14:paraId="1CA31482" w14:textId="77777777">
      <w:pPr>
        <w:ind w:left="360"/>
        <w:rPr>
          <w:sz w:val="24"/>
        </w:rPr>
      </w:pPr>
    </w:p>
    <w:p w:rsidR="00514AFA" w:rsidP="00514AFA" w:rsidRDefault="00514AFA" w14:paraId="7B4D07CD" w14:textId="65738ADC">
      <w:pPr>
        <w:ind w:left="360"/>
        <w:rPr>
          <w:sz w:val="24"/>
        </w:rPr>
      </w:pPr>
      <w:r w:rsidRPr="009F371C">
        <w:rPr>
          <w:sz w:val="24"/>
        </w:rPr>
        <w:t>delivery of</w:t>
      </w:r>
      <w:r w:rsidR="00AC135A">
        <w:rPr>
          <w:sz w:val="24"/>
        </w:rPr>
        <w:t xml:space="preserve"> </w:t>
      </w:r>
      <w:r w:rsidRPr="009F371C">
        <w:rPr>
          <w:sz w:val="24"/>
        </w:rPr>
        <w:t>health care services; and (4) improve population health, demonstrate health outcomes and sustainability.</w:t>
      </w:r>
    </w:p>
    <w:p w:rsidRPr="00C45431" w:rsidR="009B3794" w:rsidP="00CA3DA6" w:rsidRDefault="009B3794" w14:paraId="22E2A2FB"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514AFA" w:rsidP="00514AFA" w:rsidRDefault="00514AFA" w14:paraId="1E367191" w14:textId="5DAF5CF7">
      <w:pPr>
        <w:widowControl/>
        <w:autoSpaceDE/>
        <w:autoSpaceDN/>
        <w:adjustRightInd/>
        <w:spacing w:before="120"/>
        <w:ind w:left="360"/>
        <w:rPr>
          <w:color w:val="000000"/>
          <w:sz w:val="24"/>
        </w:rPr>
      </w:pPr>
      <w:r w:rsidRPr="00C42279">
        <w:rPr>
          <w:color w:val="000000"/>
          <w:sz w:val="24"/>
        </w:rPr>
        <w:t>The PIMS measures for the Outreach Program are utilized b</w:t>
      </w:r>
      <w:r w:rsidR="00862240">
        <w:rPr>
          <w:color w:val="000000"/>
          <w:sz w:val="24"/>
        </w:rPr>
        <w:t>y FORHP</w:t>
      </w:r>
      <w:r w:rsidRPr="00C42279">
        <w:rPr>
          <w:color w:val="000000"/>
          <w:sz w:val="24"/>
        </w:rPr>
        <w:t xml:space="preserve"> to capture and gauge aw</w:t>
      </w:r>
      <w:r w:rsidR="00862240">
        <w:rPr>
          <w:color w:val="000000"/>
          <w:sz w:val="24"/>
        </w:rPr>
        <w:t>ardee-level and aggregate data for funded program activities.  This</w:t>
      </w:r>
      <w:r w:rsidRPr="00C42279">
        <w:rPr>
          <w:color w:val="000000"/>
          <w:sz w:val="24"/>
        </w:rPr>
        <w:t xml:space="preserve"> information is used to illustr</w:t>
      </w:r>
      <w:r w:rsidR="00862240">
        <w:rPr>
          <w:color w:val="000000"/>
          <w:sz w:val="24"/>
        </w:rPr>
        <w:t xml:space="preserve">ate the impact and scope of HRSA’s FORHP </w:t>
      </w:r>
      <w:r w:rsidRPr="00C42279">
        <w:rPr>
          <w:color w:val="000000"/>
          <w:sz w:val="24"/>
        </w:rPr>
        <w:t xml:space="preserve">funding on rural communities. </w:t>
      </w:r>
      <w:r w:rsidR="00E353C8">
        <w:rPr>
          <w:color w:val="000000"/>
          <w:sz w:val="24"/>
        </w:rPr>
        <w:t xml:space="preserve"> </w:t>
      </w:r>
      <w:r w:rsidRPr="00C42279">
        <w:rPr>
          <w:color w:val="000000"/>
          <w:sz w:val="24"/>
        </w:rPr>
        <w:t>The data collected help inform the Outreach Program and help</w:t>
      </w:r>
      <w:r>
        <w:rPr>
          <w:color w:val="000000"/>
          <w:sz w:val="24"/>
        </w:rPr>
        <w:t>s</w:t>
      </w:r>
      <w:r w:rsidRPr="00C42279">
        <w:rPr>
          <w:color w:val="000000"/>
          <w:sz w:val="24"/>
        </w:rPr>
        <w:t xml:space="preserve"> identify additional areas for technical assistance. </w:t>
      </w:r>
    </w:p>
    <w:p w:rsidRPr="00C86126" w:rsidR="00C86126" w:rsidP="00514AFA" w:rsidRDefault="00C86126" w14:paraId="1406B330" w14:textId="77777777">
      <w:pPr>
        <w:widowControl/>
        <w:autoSpaceDE/>
        <w:autoSpaceDN/>
        <w:adjustRightInd/>
        <w:spacing w:before="120"/>
        <w:ind w:left="360"/>
        <w:rPr>
          <w:b/>
          <w:color w:val="000000"/>
          <w:sz w:val="2"/>
        </w:rPr>
      </w:pPr>
    </w:p>
    <w:p w:rsidR="00C86126" w:rsidP="00514AFA" w:rsidRDefault="00514AFA" w14:paraId="02E72293" w14:textId="1352B960">
      <w:pPr>
        <w:widowControl/>
        <w:autoSpaceDE/>
        <w:autoSpaceDN/>
        <w:adjustRightInd/>
        <w:spacing w:before="120"/>
        <w:ind w:left="360"/>
        <w:rPr>
          <w:b/>
          <w:color w:val="000000"/>
          <w:sz w:val="24"/>
        </w:rPr>
      </w:pPr>
      <w:r w:rsidRPr="00202A4F">
        <w:rPr>
          <w:color w:val="000000"/>
          <w:sz w:val="24"/>
        </w:rPr>
        <w:t xml:space="preserve">Historically, PIMS data has been utilized to assess the facilitators and barriers to the consortium-based work of Outreach grantees. </w:t>
      </w:r>
      <w:r w:rsidR="00E353C8">
        <w:rPr>
          <w:color w:val="000000"/>
          <w:sz w:val="24"/>
        </w:rPr>
        <w:t xml:space="preserve"> </w:t>
      </w:r>
      <w:r w:rsidRPr="00202A4F">
        <w:rPr>
          <w:color w:val="000000"/>
          <w:sz w:val="24"/>
        </w:rPr>
        <w:t xml:space="preserve">Both </w:t>
      </w:r>
      <w:r w:rsidR="00862240">
        <w:rPr>
          <w:color w:val="000000"/>
          <w:sz w:val="24"/>
        </w:rPr>
        <w:t xml:space="preserve">awardee-level and aggregate data </w:t>
      </w:r>
      <w:r w:rsidRPr="00202A4F">
        <w:rPr>
          <w:color w:val="000000"/>
          <w:sz w:val="24"/>
        </w:rPr>
        <w:t>has been used to identify the nuances of a successful Outreach grantee</w:t>
      </w:r>
      <w:r w:rsidR="00862240">
        <w:rPr>
          <w:color w:val="000000"/>
          <w:sz w:val="24"/>
        </w:rPr>
        <w:t>s</w:t>
      </w:r>
      <w:r w:rsidRPr="00202A4F">
        <w:rPr>
          <w:color w:val="000000"/>
          <w:sz w:val="24"/>
        </w:rPr>
        <w:t xml:space="preserve"> (e.g. strong consortium leadership, engagement from multipl</w:t>
      </w:r>
      <w:r w:rsidR="00862240">
        <w:rPr>
          <w:color w:val="000000"/>
          <w:sz w:val="24"/>
        </w:rPr>
        <w:t xml:space="preserve">e aspects of a community, etc.) and has been used to incorporate the inclusion of those identified </w:t>
      </w:r>
      <w:r w:rsidRPr="00202A4F">
        <w:rPr>
          <w:color w:val="000000"/>
          <w:sz w:val="24"/>
        </w:rPr>
        <w:t>elements into program and acc</w:t>
      </w:r>
      <w:r w:rsidR="00862240">
        <w:rPr>
          <w:color w:val="000000"/>
          <w:sz w:val="24"/>
        </w:rPr>
        <w:t xml:space="preserve">ompanying technical assistance </w:t>
      </w:r>
      <w:r w:rsidRPr="00202A4F">
        <w:rPr>
          <w:color w:val="000000"/>
          <w:sz w:val="24"/>
        </w:rPr>
        <w:t>provided by HRSA.</w:t>
      </w:r>
    </w:p>
    <w:p w:rsidRPr="00C86126" w:rsidR="00C86126" w:rsidP="00514AFA" w:rsidRDefault="00C86126" w14:paraId="2C3FC8B3" w14:textId="77777777">
      <w:pPr>
        <w:widowControl/>
        <w:autoSpaceDE/>
        <w:autoSpaceDN/>
        <w:adjustRightInd/>
        <w:spacing w:before="120"/>
        <w:ind w:left="360"/>
        <w:rPr>
          <w:b/>
          <w:color w:val="000000"/>
          <w:sz w:val="4"/>
        </w:rPr>
      </w:pPr>
    </w:p>
    <w:p w:rsidRPr="00C86126" w:rsidR="00514AFA" w:rsidP="00514AFA" w:rsidRDefault="00C86126" w14:paraId="4C4AF662" w14:textId="1A6F07D7">
      <w:pPr>
        <w:widowControl/>
        <w:autoSpaceDE/>
        <w:autoSpaceDN/>
        <w:adjustRightInd/>
        <w:spacing w:before="120"/>
        <w:ind w:left="360"/>
        <w:rPr>
          <w:b/>
          <w:color w:val="000000"/>
          <w:sz w:val="24"/>
        </w:rPr>
      </w:pPr>
      <w:r w:rsidRPr="00202A4F">
        <w:rPr>
          <w:color w:val="000000"/>
          <w:sz w:val="24"/>
        </w:rPr>
        <w:t xml:space="preserve">PIMS data </w:t>
      </w:r>
      <w:r>
        <w:rPr>
          <w:color w:val="000000"/>
          <w:sz w:val="24"/>
        </w:rPr>
        <w:t>is also</w:t>
      </w:r>
      <w:r w:rsidRPr="00C86126">
        <w:rPr>
          <w:color w:val="000000"/>
          <w:sz w:val="24"/>
        </w:rPr>
        <w:t xml:space="preserve"> used to inform the practices of rural communities outside of funded HRSA grants </w:t>
      </w:r>
      <w:r>
        <w:rPr>
          <w:color w:val="000000"/>
          <w:sz w:val="24"/>
        </w:rPr>
        <w:t xml:space="preserve">through supporting and </w:t>
      </w:r>
      <w:r w:rsidRPr="00202A4F">
        <w:rPr>
          <w:color w:val="000000"/>
          <w:sz w:val="24"/>
        </w:rPr>
        <w:t>further substantiate</w:t>
      </w:r>
      <w:r>
        <w:rPr>
          <w:color w:val="000000"/>
          <w:sz w:val="24"/>
        </w:rPr>
        <w:t xml:space="preserve"> the</w:t>
      </w:r>
      <w:r w:rsidRPr="00202A4F">
        <w:rPr>
          <w:color w:val="000000"/>
          <w:sz w:val="24"/>
        </w:rPr>
        <w:t xml:space="preserve"> evidence-based and promising practice models </w:t>
      </w:r>
      <w:r>
        <w:rPr>
          <w:color w:val="000000"/>
          <w:sz w:val="24"/>
        </w:rPr>
        <w:t xml:space="preserve">used by </w:t>
      </w:r>
      <w:r w:rsidRPr="00202A4F" w:rsidR="00514AFA">
        <w:rPr>
          <w:color w:val="000000"/>
          <w:sz w:val="24"/>
        </w:rPr>
        <w:t xml:space="preserve">Funded Outreach grants </w:t>
      </w:r>
      <w:r>
        <w:rPr>
          <w:color w:val="000000"/>
          <w:sz w:val="24"/>
        </w:rPr>
        <w:t xml:space="preserve">for project implementation.  </w:t>
      </w:r>
      <w:r w:rsidR="00602176">
        <w:rPr>
          <w:color w:val="000000"/>
          <w:sz w:val="24"/>
        </w:rPr>
        <w:t xml:space="preserve">These models are </w:t>
      </w:r>
      <w:r w:rsidRPr="00202A4F" w:rsidR="00514AFA">
        <w:rPr>
          <w:color w:val="000000"/>
          <w:sz w:val="24"/>
        </w:rPr>
        <w:t>subsequently shared among HRSA partners, being made</w:t>
      </w:r>
      <w:r>
        <w:rPr>
          <w:color w:val="000000"/>
          <w:sz w:val="24"/>
        </w:rPr>
        <w:t xml:space="preserve"> available to rural communities.  </w:t>
      </w:r>
    </w:p>
    <w:p w:rsidRPr="00C86126" w:rsidR="00C86126" w:rsidP="00C86D68" w:rsidRDefault="00C86126" w14:paraId="30CBB952" w14:textId="77777777">
      <w:pPr>
        <w:widowControl/>
        <w:autoSpaceDE/>
        <w:autoSpaceDN/>
        <w:adjustRightInd/>
        <w:spacing w:before="120"/>
        <w:ind w:left="360"/>
        <w:rPr>
          <w:color w:val="000000"/>
          <w:sz w:val="4"/>
        </w:rPr>
      </w:pPr>
    </w:p>
    <w:p w:rsidRPr="00C86D68" w:rsidR="00514AFA" w:rsidP="00C86D68" w:rsidRDefault="00862240" w14:paraId="12D56226" w14:textId="39FAAC5C">
      <w:pPr>
        <w:widowControl/>
        <w:autoSpaceDE/>
        <w:autoSpaceDN/>
        <w:adjustRightInd/>
        <w:spacing w:before="120"/>
        <w:ind w:left="360"/>
        <w:rPr>
          <w:b/>
          <w:color w:val="000000"/>
          <w:sz w:val="24"/>
        </w:rPr>
      </w:pPr>
      <w:r w:rsidRPr="00862240">
        <w:rPr>
          <w:color w:val="000000"/>
          <w:sz w:val="24"/>
        </w:rPr>
        <w:t xml:space="preserve">Failure to collect this information </w:t>
      </w:r>
      <w:r>
        <w:rPr>
          <w:color w:val="000000"/>
          <w:sz w:val="24"/>
        </w:rPr>
        <w:t xml:space="preserve">would impede the ability of HRSA and FORHP to </w:t>
      </w:r>
      <w:r w:rsidRPr="00862240">
        <w:rPr>
          <w:color w:val="000000"/>
          <w:sz w:val="24"/>
        </w:rPr>
        <w:t>adequately monitor and substantiate the focus and objectives of the federal funding awarded under this grant program are in accordance with the p</w:t>
      </w:r>
      <w:r>
        <w:rPr>
          <w:color w:val="000000"/>
          <w:sz w:val="24"/>
        </w:rPr>
        <w:t xml:space="preserve">rogram’s legislative authority. </w:t>
      </w:r>
      <w:r w:rsidR="00E353C8">
        <w:rPr>
          <w:color w:val="000000"/>
          <w:sz w:val="24"/>
        </w:rPr>
        <w:t xml:space="preserve"> </w:t>
      </w:r>
      <w:r>
        <w:rPr>
          <w:color w:val="000000"/>
          <w:sz w:val="24"/>
        </w:rPr>
        <w:t xml:space="preserve">In the absence of this data collection, </w:t>
      </w:r>
      <w:r w:rsidRPr="00202A4F" w:rsidR="00514AFA">
        <w:rPr>
          <w:color w:val="000000"/>
          <w:sz w:val="24"/>
        </w:rPr>
        <w:t>HRSA</w:t>
      </w:r>
      <w:r>
        <w:rPr>
          <w:color w:val="000000"/>
          <w:sz w:val="24"/>
        </w:rPr>
        <w:t xml:space="preserve"> and FORHP would also not</w:t>
      </w:r>
      <w:r w:rsidRPr="00202A4F" w:rsidR="00514AFA">
        <w:rPr>
          <w:color w:val="000000"/>
          <w:sz w:val="24"/>
        </w:rPr>
        <w:t xml:space="preserve"> have a means of</w:t>
      </w:r>
      <w:r w:rsidR="00C86126">
        <w:rPr>
          <w:color w:val="000000"/>
          <w:sz w:val="24"/>
        </w:rPr>
        <w:t xml:space="preserve"> </w:t>
      </w:r>
      <w:r w:rsidRPr="00202A4F" w:rsidR="00514AFA">
        <w:rPr>
          <w:color w:val="000000"/>
          <w:sz w:val="24"/>
        </w:rPr>
        <w:t xml:space="preserve">measuring the </w:t>
      </w:r>
      <w:r w:rsidR="00514AFA">
        <w:rPr>
          <w:color w:val="000000"/>
          <w:sz w:val="24"/>
        </w:rPr>
        <w:t xml:space="preserve">effectiveness </w:t>
      </w:r>
      <w:r w:rsidRPr="00202A4F" w:rsidR="00514AFA">
        <w:rPr>
          <w:color w:val="000000"/>
          <w:sz w:val="24"/>
        </w:rPr>
        <w:t xml:space="preserve">of Outreach funding and cannot further share information regarding best practices with rural communities. </w:t>
      </w:r>
    </w:p>
    <w:p w:rsidR="00C86D68" w:rsidP="00C86D68" w:rsidRDefault="009B3794" w14:paraId="107E068E" w14:textId="77777777">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C86D68" w:rsidP="00E353C8" w:rsidRDefault="00C86D68" w14:paraId="3859D861" w14:textId="146FEDD3">
      <w:pPr>
        <w:spacing w:before="240"/>
        <w:ind w:left="360"/>
        <w:rPr>
          <w:rFonts w:ascii="Arial" w:hAnsi="Arial" w:cs="Arial"/>
          <w:sz w:val="24"/>
        </w:rPr>
      </w:pPr>
      <w:r w:rsidRPr="00C86D68">
        <w:rPr>
          <w:sz w:val="24"/>
        </w:rPr>
        <w:t xml:space="preserve">The PIMS measures are only collected electronically through the Electronic Handbooks. </w:t>
      </w:r>
      <w:r w:rsidR="00E353C8">
        <w:rPr>
          <w:sz w:val="24"/>
        </w:rPr>
        <w:t xml:space="preserve">  </w:t>
      </w:r>
      <w:r w:rsidRPr="00C86D68">
        <w:rPr>
          <w:sz w:val="24"/>
        </w:rPr>
        <w:t xml:space="preserve">The measures are collected electronically in an effort to reduce burden on Outreach grantees, keeping in mind their competing priorities and additional deliverables. </w:t>
      </w:r>
    </w:p>
    <w:p w:rsidR="00C86D68" w:rsidP="00C86D68" w:rsidRDefault="009B3794" w14:paraId="159C5FD1"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Pr="00C45431" w:rsidR="009B3794" w:rsidP="00E353C8" w:rsidRDefault="00C86D68" w14:paraId="22E2A306" w14:textId="376D4D60">
      <w:pPr>
        <w:spacing w:before="240"/>
        <w:ind w:left="360"/>
        <w:rPr>
          <w:rFonts w:ascii="Arial" w:hAnsi="Arial" w:cs="Arial"/>
          <w:b/>
          <w:sz w:val="24"/>
        </w:rPr>
      </w:pPr>
      <w:r w:rsidRPr="00C86D68">
        <w:rPr>
          <w:sz w:val="24"/>
        </w:rPr>
        <w:t xml:space="preserve">There </w:t>
      </w:r>
      <w:r w:rsidR="00602176">
        <w:rPr>
          <w:sz w:val="24"/>
        </w:rPr>
        <w:t>are</w:t>
      </w:r>
      <w:r w:rsidRPr="00C86D68">
        <w:rPr>
          <w:sz w:val="24"/>
        </w:rPr>
        <w:t xml:space="preserve"> no other data source</w:t>
      </w:r>
      <w:r w:rsidR="00602176">
        <w:rPr>
          <w:sz w:val="24"/>
        </w:rPr>
        <w:t>s available that track</w:t>
      </w:r>
      <w:r w:rsidRPr="00C86D68">
        <w:rPr>
          <w:sz w:val="24"/>
        </w:rPr>
        <w:t xml:space="preserve"> the characteristics of rural entities </w:t>
      </w:r>
      <w:r w:rsidR="00602176">
        <w:rPr>
          <w:sz w:val="24"/>
        </w:rPr>
        <w:t xml:space="preserve">implementing </w:t>
      </w:r>
      <w:r w:rsidRPr="00C86D68">
        <w:rPr>
          <w:sz w:val="24"/>
        </w:rPr>
        <w:t xml:space="preserve">outreach and service delivery activities. </w:t>
      </w:r>
    </w:p>
    <w:p w:rsidR="00C86D68" w:rsidP="00C86D68" w:rsidRDefault="009B3794" w14:paraId="0140DD8F" w14:textId="77777777">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602176" w:rsidP="00C86D68" w:rsidRDefault="00C86D68" w14:paraId="3F19FAAD" w14:textId="6FF82421">
      <w:pPr>
        <w:spacing w:before="240"/>
        <w:ind w:left="360"/>
        <w:rPr>
          <w:sz w:val="24"/>
        </w:rPr>
      </w:pPr>
      <w:r w:rsidRPr="00C86D68">
        <w:rPr>
          <w:sz w:val="24"/>
        </w:rPr>
        <w:t>Every effort has been made to ensure that the data requested currently being collected by the projects or can be easily incorporated into normal</w:t>
      </w:r>
      <w:r w:rsidR="00E353C8">
        <w:rPr>
          <w:sz w:val="24"/>
        </w:rPr>
        <w:t xml:space="preserve"> project procedures.  </w:t>
      </w:r>
      <w:r w:rsidR="00602176">
        <w:rPr>
          <w:sz w:val="24"/>
        </w:rPr>
        <w:t xml:space="preserve">The data requested from projects </w:t>
      </w:r>
      <w:r w:rsidRPr="00C86D68">
        <w:rPr>
          <w:sz w:val="24"/>
        </w:rPr>
        <w:t>is useful in determining whether grantee goals and objectives are being met. The data collection activities will not have a significant impact on small entities.</w:t>
      </w:r>
    </w:p>
    <w:p w:rsidR="00AC5D98" w:rsidP="00AC5D98" w:rsidRDefault="009B3794" w14:paraId="7D55F37E"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C5D98" w:rsidP="00AC5D98" w:rsidRDefault="00AC5D98" w14:paraId="691B0E27" w14:textId="0E8980D8">
      <w:pPr>
        <w:spacing w:before="240"/>
        <w:ind w:left="360"/>
        <w:rPr>
          <w:sz w:val="24"/>
        </w:rPr>
      </w:pPr>
      <w:r w:rsidRPr="00AC5D98">
        <w:rPr>
          <w:sz w:val="24"/>
        </w:rPr>
        <w:t xml:space="preserve">Respondents </w:t>
      </w:r>
      <w:r>
        <w:rPr>
          <w:sz w:val="24"/>
        </w:rPr>
        <w:t xml:space="preserve">will complete </w:t>
      </w:r>
      <w:r w:rsidRPr="00AC5D98">
        <w:rPr>
          <w:sz w:val="24"/>
        </w:rPr>
        <w:t xml:space="preserve">the PIMS measures on </w:t>
      </w:r>
      <w:r w:rsidR="00602176">
        <w:rPr>
          <w:sz w:val="24"/>
        </w:rPr>
        <w:t xml:space="preserve">an </w:t>
      </w:r>
      <w:r>
        <w:rPr>
          <w:sz w:val="24"/>
        </w:rPr>
        <w:t xml:space="preserve">annual basis, at the end </w:t>
      </w:r>
      <w:r w:rsidRPr="00AC5D98">
        <w:rPr>
          <w:sz w:val="24"/>
        </w:rPr>
        <w:t>of each project year, for each year of the four year funding cycle.</w:t>
      </w:r>
      <w:r w:rsidR="00602176">
        <w:rPr>
          <w:sz w:val="24"/>
        </w:rPr>
        <w:t xml:space="preserve">  </w:t>
      </w:r>
      <w:r w:rsidRPr="00AC5D98">
        <w:rPr>
          <w:sz w:val="24"/>
        </w:rPr>
        <w:t>Reporting annual data ensures a st</w:t>
      </w:r>
      <w:r w:rsidR="00602176">
        <w:rPr>
          <w:sz w:val="24"/>
        </w:rPr>
        <w:t xml:space="preserve">andard reporting period </w:t>
      </w:r>
      <w:r w:rsidRPr="00AC5D98">
        <w:rPr>
          <w:sz w:val="24"/>
        </w:rPr>
        <w:t>uniform ac</w:t>
      </w:r>
      <w:r w:rsidR="00602176">
        <w:rPr>
          <w:sz w:val="24"/>
        </w:rPr>
        <w:t>ross all Outreach grantees that is able to provide</w:t>
      </w:r>
      <w:r w:rsidRPr="00AC5D98">
        <w:rPr>
          <w:sz w:val="24"/>
        </w:rPr>
        <w:t xml:space="preserve"> HRSA real-time data regarding the effectiveness of HRSA funding.</w:t>
      </w:r>
      <w:r w:rsidRPr="00AC5D98">
        <w:rPr>
          <w:sz w:val="24"/>
        </w:rPr>
        <w:tab/>
      </w:r>
    </w:p>
    <w:p w:rsidRPr="00AC135A" w:rsidR="00C86D68" w:rsidP="00AC135A" w:rsidRDefault="00AC5D98" w14:paraId="5B7E31C0" w14:textId="7DB9D670">
      <w:pPr>
        <w:spacing w:before="240"/>
        <w:ind w:left="360"/>
        <w:rPr>
          <w:rFonts w:ascii="Arial" w:hAnsi="Arial" w:cs="Arial"/>
          <w:b/>
          <w:sz w:val="24"/>
        </w:rPr>
      </w:pPr>
      <w:r w:rsidRPr="00AC5D98">
        <w:rPr>
          <w:sz w:val="24"/>
        </w:rPr>
        <w:t xml:space="preserve">This information is needed by the program, FORHP and HRSA in order to measure effective use of grant dollars to report on progress toward strategic goals and objectives.  </w:t>
      </w:r>
      <w:r w:rsidRPr="00BF2AA7" w:rsidR="00C86D68">
        <w:rPr>
          <w:sz w:val="24"/>
        </w:rPr>
        <w:t xml:space="preserve">If the information is collected less frequently, HRSA will not have up-to-date data regarding the effectiveness of HRSA funding. </w:t>
      </w:r>
    </w:p>
    <w:p w:rsidR="009B3794" w:rsidP="00AC5D98" w:rsidRDefault="00AC5D98" w14:paraId="22E2A311" w14:textId="4817BDBB">
      <w:pPr>
        <w:spacing w:before="240"/>
        <w:ind w:left="360"/>
        <w:rPr>
          <w:sz w:val="24"/>
        </w:rPr>
      </w:pPr>
      <w:r w:rsidRPr="00AC5D98">
        <w:rPr>
          <w:sz w:val="24"/>
        </w:rPr>
        <w:t>There are no legal obstacles to reduce the burden.</w:t>
      </w:r>
    </w:p>
    <w:p w:rsidR="009B780A" w:rsidP="009B780A" w:rsidRDefault="009B3794" w14:paraId="70BEEA0C"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P="009B780A" w:rsidRDefault="009B780A" w14:paraId="22E2A31B" w14:textId="34DBEB0C">
      <w:pPr>
        <w:spacing w:before="240"/>
        <w:ind w:left="360"/>
        <w:rPr>
          <w:sz w:val="24"/>
        </w:rPr>
      </w:pPr>
      <w:r w:rsidRPr="009B780A">
        <w:rPr>
          <w:sz w:val="24"/>
        </w:rPr>
        <w:t>This request fully complies with the regulation guidelines in 5 CFR 1320.5.</w:t>
      </w:r>
    </w:p>
    <w:p w:rsidRPr="00C45431" w:rsidR="009B3794" w:rsidP="00CA3DA6" w:rsidRDefault="009B3794" w14:paraId="22E2A31C"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Pr="00C45431" w:rsidR="00DE3A45" w:rsidP="00CA3DA6" w:rsidRDefault="00DE3A45" w14:paraId="22E2A31D" w14:textId="77777777">
      <w:pPr>
        <w:spacing w:before="120"/>
        <w:rPr>
          <w:rFonts w:ascii="Arial" w:hAnsi="Arial" w:cs="Arial"/>
          <w:b/>
          <w:sz w:val="28"/>
          <w:szCs w:val="28"/>
        </w:rPr>
      </w:pPr>
      <w:r w:rsidRPr="00C45431">
        <w:rPr>
          <w:rFonts w:ascii="Arial" w:hAnsi="Arial" w:cs="Arial"/>
          <w:b/>
          <w:sz w:val="28"/>
          <w:szCs w:val="28"/>
        </w:rPr>
        <w:t>Section 8A:</w:t>
      </w:r>
    </w:p>
    <w:p w:rsidRPr="00B155CF" w:rsidR="009B3794" w:rsidP="00B155CF" w:rsidRDefault="009B3794" w14:paraId="22E2A320" w14:textId="728AAAED">
      <w:pPr>
        <w:spacing w:before="120"/>
        <w:ind w:left="360"/>
        <w:rPr>
          <w:rFonts w:ascii="Arial" w:hAnsi="Arial" w:cs="Arial"/>
          <w:sz w:val="24"/>
        </w:rPr>
      </w:pPr>
      <w:r w:rsidRPr="00B155CF">
        <w:rPr>
          <w:sz w:val="24"/>
        </w:rPr>
        <w:t xml:space="preserve">A 60-day Federal Register Notice was published in the </w:t>
      </w:r>
      <w:r w:rsidRPr="00B155CF">
        <w:rPr>
          <w:i/>
          <w:iCs/>
          <w:sz w:val="24"/>
        </w:rPr>
        <w:t>Federal Register</w:t>
      </w:r>
      <w:r w:rsidR="00E353C8">
        <w:rPr>
          <w:i/>
          <w:iCs/>
          <w:sz w:val="24"/>
        </w:rPr>
        <w:t xml:space="preserve">, </w:t>
      </w:r>
      <w:hyperlink w:history="1" r:id="rId12">
        <w:r w:rsidRPr="003007BB" w:rsidR="00E353C8">
          <w:rPr>
            <w:rStyle w:val="Hyperlink"/>
            <w:rFonts w:ascii="Helvetica" w:hAnsi="Helvetica" w:cs="Helvetica"/>
          </w:rPr>
          <w:t xml:space="preserve">86 </w:t>
        </w:r>
        <w:r w:rsidRPr="003007BB" w:rsidR="00E353C8">
          <w:rPr>
            <w:rStyle w:val="Hyperlink"/>
            <w:rFonts w:ascii="Helvetica" w:hAnsi="Helvetica" w:cs="Helvetica"/>
          </w:rPr>
          <w:t>F</w:t>
        </w:r>
        <w:r w:rsidR="00E353C8">
          <w:rPr>
            <w:rStyle w:val="Hyperlink"/>
            <w:rFonts w:ascii="Helvetica" w:hAnsi="Helvetica" w:cs="Helvetica"/>
          </w:rPr>
          <w:t xml:space="preserve">ed. </w:t>
        </w:r>
        <w:r w:rsidRPr="003007BB" w:rsidR="00E353C8">
          <w:rPr>
            <w:rStyle w:val="Hyperlink"/>
            <w:rFonts w:ascii="Helvetica" w:hAnsi="Helvetica" w:cs="Helvetica"/>
          </w:rPr>
          <w:t>R</w:t>
        </w:r>
        <w:r w:rsidR="00E353C8">
          <w:rPr>
            <w:rStyle w:val="Hyperlink"/>
            <w:rFonts w:ascii="Helvetica" w:hAnsi="Helvetica" w:cs="Helvetica"/>
          </w:rPr>
          <w:t>eg.</w:t>
        </w:r>
        <w:r w:rsidRPr="003007BB" w:rsidR="00E353C8">
          <w:rPr>
            <w:rStyle w:val="Hyperlink"/>
            <w:rFonts w:ascii="Helvetica" w:hAnsi="Helvetica" w:cs="Helvetica"/>
          </w:rPr>
          <w:t xml:space="preserve"> 38725</w:t>
        </w:r>
      </w:hyperlink>
      <w:r w:rsidRPr="00B155CF" w:rsidR="00E353C8">
        <w:rPr>
          <w:sz w:val="24"/>
        </w:rPr>
        <w:t xml:space="preserve"> </w:t>
      </w:r>
      <w:r w:rsidR="00E353C8">
        <w:rPr>
          <w:sz w:val="24"/>
        </w:rPr>
        <w:t>(</w:t>
      </w:r>
      <w:r w:rsidR="00B155CF">
        <w:rPr>
          <w:sz w:val="24"/>
        </w:rPr>
        <w:t>July</w:t>
      </w:r>
      <w:r w:rsidRPr="00B155CF">
        <w:rPr>
          <w:sz w:val="24"/>
        </w:rPr>
        <w:t xml:space="preserve"> </w:t>
      </w:r>
      <w:r w:rsidR="00B155CF">
        <w:rPr>
          <w:sz w:val="24"/>
        </w:rPr>
        <w:t>22</w:t>
      </w:r>
      <w:r w:rsidRPr="00B155CF">
        <w:rPr>
          <w:sz w:val="24"/>
        </w:rPr>
        <w:t>, 2</w:t>
      </w:r>
      <w:r w:rsidR="00B155CF">
        <w:rPr>
          <w:sz w:val="24"/>
        </w:rPr>
        <w:t>021</w:t>
      </w:r>
      <w:r w:rsidRPr="00564AA4" w:rsidR="00564AA4">
        <w:rPr>
          <w:rFonts w:ascii="Helvetica" w:hAnsi="Helvetica"/>
        </w:rPr>
        <w:t>)</w:t>
      </w:r>
      <w:r w:rsidRPr="00B155CF">
        <w:rPr>
          <w:sz w:val="24"/>
        </w:rPr>
        <w:t xml:space="preserve">. </w:t>
      </w:r>
      <w:r w:rsidR="00E353C8">
        <w:rPr>
          <w:sz w:val="24"/>
        </w:rPr>
        <w:t xml:space="preserve"> </w:t>
      </w:r>
      <w:r w:rsidRPr="00B155CF">
        <w:rPr>
          <w:sz w:val="24"/>
        </w:rPr>
        <w:t>There were no public comments</w:t>
      </w:r>
      <w:r w:rsidRPr="00B155CF">
        <w:rPr>
          <w:rFonts w:ascii="Arial" w:hAnsi="Arial" w:cs="Arial"/>
          <w:b/>
          <w:sz w:val="24"/>
        </w:rPr>
        <w:t>.</w:t>
      </w:r>
    </w:p>
    <w:p w:rsidR="00E353C8" w:rsidP="009B780A" w:rsidRDefault="00E353C8" w14:paraId="6FD67F30" w14:textId="77777777">
      <w:pPr>
        <w:spacing w:before="120"/>
        <w:rPr>
          <w:rFonts w:ascii="Arial" w:hAnsi="Arial" w:cs="Arial"/>
          <w:b/>
          <w:sz w:val="28"/>
          <w:szCs w:val="28"/>
        </w:rPr>
      </w:pPr>
    </w:p>
    <w:p w:rsidR="009B780A" w:rsidP="009B780A" w:rsidRDefault="00DE3A45" w14:paraId="3F692D00" w14:textId="516D7962">
      <w:pPr>
        <w:spacing w:before="120"/>
        <w:rPr>
          <w:rFonts w:ascii="Arial" w:hAnsi="Arial" w:cs="Arial"/>
          <w:b/>
          <w:sz w:val="28"/>
          <w:szCs w:val="28"/>
        </w:rPr>
      </w:pPr>
      <w:r w:rsidRPr="00C45431">
        <w:rPr>
          <w:rFonts w:ascii="Arial" w:hAnsi="Arial" w:cs="Arial"/>
          <w:b/>
          <w:sz w:val="28"/>
          <w:szCs w:val="28"/>
        </w:rPr>
        <w:t>Section 8B:</w:t>
      </w:r>
    </w:p>
    <w:p w:rsidR="009B780A" w:rsidP="009B780A" w:rsidRDefault="009B780A" w14:paraId="0F0456C8" w14:textId="77777777">
      <w:pPr>
        <w:rPr>
          <w:sz w:val="24"/>
        </w:rPr>
      </w:pPr>
    </w:p>
    <w:p w:rsidR="009B780A" w:rsidP="009B780A" w:rsidRDefault="009B780A" w14:paraId="39D72E2D" w14:textId="30CEBBDF">
      <w:pPr>
        <w:rPr>
          <w:sz w:val="24"/>
        </w:rPr>
      </w:pPr>
      <w:r w:rsidRPr="00046193">
        <w:rPr>
          <w:sz w:val="24"/>
        </w:rPr>
        <w:t>In order to ensure the</w:t>
      </w:r>
      <w:r>
        <w:rPr>
          <w:sz w:val="24"/>
        </w:rPr>
        <w:t xml:space="preserve"> proposed revision to the Outreach </w:t>
      </w:r>
      <w:r w:rsidRPr="00046193">
        <w:rPr>
          <w:sz w:val="24"/>
        </w:rPr>
        <w:t>Program’s performance measures are useful for all program award recipients, a set of measures was vetted to six or less participati</w:t>
      </w:r>
      <w:r>
        <w:rPr>
          <w:sz w:val="24"/>
        </w:rPr>
        <w:t xml:space="preserve">ng </w:t>
      </w:r>
      <w:r>
        <w:rPr>
          <w:sz w:val="24"/>
        </w:rPr>
        <w:lastRenderedPageBreak/>
        <w:t>grantee organizations in 2021</w:t>
      </w:r>
      <w:r w:rsidRPr="00046193">
        <w:rPr>
          <w:sz w:val="24"/>
        </w:rPr>
        <w:t xml:space="preserve">. </w:t>
      </w:r>
      <w:r w:rsidR="00E353C8">
        <w:rPr>
          <w:sz w:val="24"/>
        </w:rPr>
        <w:t xml:space="preserve"> </w:t>
      </w:r>
      <w:r w:rsidRPr="00046193">
        <w:rPr>
          <w:sz w:val="24"/>
        </w:rPr>
        <w:t>The following grantees were consulted:</w:t>
      </w:r>
    </w:p>
    <w:p w:rsidR="009B780A" w:rsidP="009B780A" w:rsidRDefault="009B780A" w14:paraId="16C69D76" w14:textId="77777777">
      <w:pPr>
        <w:rPr>
          <w:sz w:val="24"/>
        </w:rPr>
      </w:pPr>
    </w:p>
    <w:p w:rsidR="009B780A" w:rsidP="009B780A" w:rsidRDefault="00510AD3" w14:paraId="3EF86644" w14:textId="77777777">
      <w:pPr>
        <w:rPr>
          <w:sz w:val="24"/>
        </w:rPr>
      </w:pPr>
      <w:r w:rsidRPr="00B155CF">
        <w:rPr>
          <w:sz w:val="24"/>
        </w:rPr>
        <w:t>Greg Roeback</w:t>
      </w:r>
      <w:r w:rsidRPr="00B155CF" w:rsidR="00CD5FB7">
        <w:rPr>
          <w:sz w:val="24"/>
        </w:rPr>
        <w:t>, CEO-LPC</w:t>
      </w:r>
    </w:p>
    <w:p w:rsidR="009B780A" w:rsidP="009B780A" w:rsidRDefault="00325545" w14:paraId="1911DEC0" w14:textId="77777777">
      <w:pPr>
        <w:rPr>
          <w:sz w:val="24"/>
        </w:rPr>
      </w:pPr>
      <w:hyperlink w:history="1" r:id="rId13">
        <w:r w:rsidRPr="00B155CF" w:rsidR="00510AD3">
          <w:rPr>
            <w:rStyle w:val="Hyperlink"/>
            <w:sz w:val="24"/>
          </w:rPr>
          <w:t>groeback@gmhcenter.org</w:t>
        </w:r>
      </w:hyperlink>
      <w:r w:rsidRPr="00B155CF" w:rsidR="00510AD3">
        <w:rPr>
          <w:sz w:val="24"/>
        </w:rPr>
        <w:t xml:space="preserve"> / (573) 438-9355</w:t>
      </w:r>
    </w:p>
    <w:p w:rsidR="009B780A" w:rsidP="009B780A" w:rsidRDefault="00510AD3" w14:paraId="562F1F40" w14:textId="77777777">
      <w:pPr>
        <w:rPr>
          <w:sz w:val="24"/>
        </w:rPr>
      </w:pPr>
      <w:r w:rsidRPr="00B155CF">
        <w:rPr>
          <w:sz w:val="24"/>
        </w:rPr>
        <w:t>Great Mines Health Center, Potosi, MO</w:t>
      </w:r>
    </w:p>
    <w:p w:rsidR="009B780A" w:rsidP="009B780A" w:rsidRDefault="009B780A" w14:paraId="33F6AB24" w14:textId="77777777">
      <w:pPr>
        <w:rPr>
          <w:sz w:val="24"/>
        </w:rPr>
      </w:pPr>
    </w:p>
    <w:p w:rsidR="009B780A" w:rsidP="009B780A" w:rsidRDefault="00510AD3" w14:paraId="05E16FBF" w14:textId="77777777">
      <w:pPr>
        <w:rPr>
          <w:sz w:val="24"/>
        </w:rPr>
      </w:pPr>
      <w:r w:rsidRPr="00402F43">
        <w:rPr>
          <w:sz w:val="24"/>
        </w:rPr>
        <w:t>Helen Labun</w:t>
      </w:r>
      <w:r w:rsidRPr="00402F43" w:rsidR="00CD5FB7">
        <w:rPr>
          <w:sz w:val="24"/>
        </w:rPr>
        <w:t xml:space="preserve">, Program Manager </w:t>
      </w:r>
    </w:p>
    <w:p w:rsidR="009B780A" w:rsidP="009B780A" w:rsidRDefault="00325545" w14:paraId="3F33FDDB" w14:textId="77777777">
      <w:pPr>
        <w:rPr>
          <w:sz w:val="24"/>
        </w:rPr>
      </w:pPr>
      <w:hyperlink w:history="1" r:id="rId14">
        <w:r w:rsidRPr="00402F43" w:rsidR="00510AD3">
          <w:rPr>
            <w:rStyle w:val="Hyperlink"/>
            <w:sz w:val="24"/>
          </w:rPr>
          <w:t>hlabun@bistatepca.org</w:t>
        </w:r>
      </w:hyperlink>
      <w:r w:rsidRPr="00402F43" w:rsidR="00510AD3">
        <w:rPr>
          <w:sz w:val="24"/>
        </w:rPr>
        <w:t xml:space="preserve"> / (802) 229-0002</w:t>
      </w:r>
    </w:p>
    <w:p w:rsidRPr="00402F43" w:rsidR="00510AD3" w:rsidP="009B780A" w:rsidRDefault="00510AD3" w14:paraId="7F120162" w14:textId="66E37608">
      <w:pPr>
        <w:rPr>
          <w:sz w:val="24"/>
        </w:rPr>
      </w:pPr>
      <w:r w:rsidRPr="00402F43">
        <w:rPr>
          <w:sz w:val="24"/>
        </w:rPr>
        <w:t>Bi-State Primary Care Association, Bow, NH</w:t>
      </w:r>
    </w:p>
    <w:p w:rsidRPr="00402F43" w:rsidR="00510AD3" w:rsidP="009B780A" w:rsidRDefault="00510AD3" w14:paraId="1F07584D" w14:textId="56CED954">
      <w:pPr>
        <w:rPr>
          <w:sz w:val="24"/>
        </w:rPr>
      </w:pPr>
    </w:p>
    <w:p w:rsidRPr="00402F43" w:rsidR="00510AD3" w:rsidP="009B780A" w:rsidRDefault="00510AD3" w14:paraId="4CA795CA" w14:textId="51240636">
      <w:pPr>
        <w:rPr>
          <w:sz w:val="24"/>
        </w:rPr>
      </w:pPr>
      <w:r w:rsidRPr="00402F43">
        <w:rPr>
          <w:sz w:val="24"/>
        </w:rPr>
        <w:t>Karen McCraw</w:t>
      </w:r>
      <w:r w:rsidRPr="00402F43" w:rsidR="00CD5FB7">
        <w:rPr>
          <w:sz w:val="24"/>
        </w:rPr>
        <w:t xml:space="preserve">, Vice President of Advocacy and Development </w:t>
      </w:r>
    </w:p>
    <w:p w:rsidRPr="00402F43" w:rsidR="00510AD3" w:rsidP="009B780A" w:rsidRDefault="00325545" w14:paraId="6E7ED4CF" w14:textId="2FB30C6D">
      <w:pPr>
        <w:rPr>
          <w:sz w:val="24"/>
        </w:rPr>
      </w:pPr>
      <w:hyperlink w:history="1" r:id="rId15">
        <w:r w:rsidRPr="00402F43" w:rsidR="00510AD3">
          <w:rPr>
            <w:rStyle w:val="Hyperlink"/>
            <w:sz w:val="24"/>
          </w:rPr>
          <w:t>karen.mccraw@fhccp.org</w:t>
        </w:r>
      </w:hyperlink>
      <w:r w:rsidRPr="00402F43" w:rsidR="00510AD3">
        <w:rPr>
          <w:sz w:val="24"/>
        </w:rPr>
        <w:t xml:space="preserve"> / (717) 686-4269</w:t>
      </w:r>
    </w:p>
    <w:p w:rsidRPr="00402F43" w:rsidR="00510AD3" w:rsidP="009B780A" w:rsidRDefault="00510AD3" w14:paraId="02F06C32" w14:textId="0BC37208">
      <w:pPr>
        <w:rPr>
          <w:sz w:val="24"/>
        </w:rPr>
      </w:pPr>
      <w:r w:rsidRPr="00402F43">
        <w:rPr>
          <w:sz w:val="24"/>
        </w:rPr>
        <w:t>Family Health Council of Central Pennsylvania, Inc., Camp Hill, PA</w:t>
      </w:r>
    </w:p>
    <w:p w:rsidR="009B780A" w:rsidP="009B780A" w:rsidRDefault="009B780A" w14:paraId="1854A222" w14:textId="2BD7229D">
      <w:pPr>
        <w:rPr>
          <w:sz w:val="24"/>
        </w:rPr>
      </w:pPr>
    </w:p>
    <w:p w:rsidR="009B780A" w:rsidP="009B780A" w:rsidRDefault="009B780A" w14:paraId="01DCC0A8" w14:textId="64DB923F">
      <w:pPr>
        <w:rPr>
          <w:sz w:val="24"/>
        </w:rPr>
      </w:pPr>
      <w:r w:rsidRPr="00046193">
        <w:rPr>
          <w:sz w:val="24"/>
        </w:rPr>
        <w:t xml:space="preserve">No major problems were identified that could not be resolved during consultation.  </w:t>
      </w:r>
    </w:p>
    <w:p w:rsidRPr="00046193" w:rsidR="00E353C8" w:rsidP="009B780A" w:rsidRDefault="00E353C8" w14:paraId="5686794A" w14:textId="77777777">
      <w:pPr>
        <w:rPr>
          <w:sz w:val="24"/>
        </w:rPr>
      </w:pPr>
    </w:p>
    <w:p w:rsidRPr="00402F43" w:rsidR="009B780A" w:rsidP="009B780A" w:rsidRDefault="009B780A" w14:paraId="61212084" w14:textId="77777777">
      <w:pPr>
        <w:rPr>
          <w:sz w:val="24"/>
        </w:rPr>
      </w:pPr>
    </w:p>
    <w:p w:rsidRPr="00C45431" w:rsidR="009B3794" w:rsidP="00CA3DA6" w:rsidRDefault="009B3794" w14:paraId="22E2A32A"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P="00496175" w:rsidRDefault="00935E77" w14:paraId="22E2A32D" w14:textId="14E12413">
      <w:pPr>
        <w:spacing w:before="120"/>
        <w:ind w:left="360"/>
        <w:rPr>
          <w:sz w:val="24"/>
        </w:rPr>
      </w:pPr>
      <w:r w:rsidRPr="00496175">
        <w:rPr>
          <w:sz w:val="24"/>
        </w:rPr>
        <w:t xml:space="preserve">Respondents will not receive </w:t>
      </w:r>
      <w:r w:rsidRPr="00496175" w:rsidR="008B04CA">
        <w:rPr>
          <w:sz w:val="24"/>
        </w:rPr>
        <w:t xml:space="preserve">any </w:t>
      </w:r>
      <w:r w:rsidRPr="00496175">
        <w:rPr>
          <w:sz w:val="24"/>
        </w:rPr>
        <w:t>payment</w:t>
      </w:r>
      <w:r w:rsidRPr="00496175" w:rsidR="008B04CA">
        <w:rPr>
          <w:sz w:val="24"/>
        </w:rPr>
        <w:t>s</w:t>
      </w:r>
      <w:r w:rsidRPr="00496175" w:rsidR="00496175">
        <w:rPr>
          <w:sz w:val="24"/>
        </w:rPr>
        <w:t xml:space="preserve"> or gifts.</w:t>
      </w:r>
    </w:p>
    <w:p w:rsidR="00496175" w:rsidP="00496175" w:rsidRDefault="00E353C8" w14:paraId="68867EE8" w14:textId="21995A3C">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Assurance of Confidentiality Provided to Respondents</w:t>
      </w:r>
    </w:p>
    <w:p w:rsidR="00496175" w:rsidP="00496175" w:rsidRDefault="00496175" w14:paraId="1CE4F773" w14:textId="30D03695">
      <w:pPr>
        <w:spacing w:before="240"/>
        <w:ind w:left="360"/>
        <w:rPr>
          <w:sz w:val="24"/>
        </w:rPr>
      </w:pPr>
      <w:r w:rsidRPr="00496175">
        <w:rPr>
          <w:sz w:val="24"/>
        </w:rPr>
        <w:t>The data system does not involve the reporting of information about identifiable individuals; therefore, the Privacy Act is not applicable to this activity.  The performance measures are used only in aggregate data form for program activities.</w:t>
      </w:r>
    </w:p>
    <w:p w:rsidRPr="00AE19B1" w:rsidR="00AE19B1" w:rsidP="00AE19B1" w:rsidRDefault="00E353C8" w14:paraId="27C9FD5F" w14:textId="60F12CBF">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Justification for Sensitive Questions</w:t>
      </w:r>
    </w:p>
    <w:p w:rsidR="00AE19B1" w:rsidP="00AE19B1" w:rsidRDefault="00AE19B1" w14:paraId="1744F3B5" w14:textId="059D385D">
      <w:pPr>
        <w:spacing w:before="240"/>
        <w:ind w:left="360"/>
        <w:rPr>
          <w:sz w:val="24"/>
        </w:rPr>
      </w:pPr>
      <w:r w:rsidRPr="00AE19B1">
        <w:rPr>
          <w:sz w:val="24"/>
        </w:rPr>
        <w:t>Race and ethnicity is the only sensitive information</w:t>
      </w:r>
      <w:r>
        <w:rPr>
          <w:sz w:val="24"/>
        </w:rPr>
        <w:t xml:space="preserve"> collected for the Outreach Program PIMS</w:t>
      </w:r>
      <w:r w:rsidRPr="00AE19B1">
        <w:rPr>
          <w:sz w:val="24"/>
        </w:rPr>
        <w:t xml:space="preserve"> measures.  HHS requires that race </w:t>
      </w:r>
      <w:r w:rsidRPr="00AE19B1">
        <w:rPr>
          <w:sz w:val="24"/>
          <w:u w:val="single"/>
        </w:rPr>
        <w:t>and</w:t>
      </w:r>
      <w:r w:rsidRPr="00AE19B1">
        <w:rPr>
          <w:sz w:val="24"/>
        </w:rPr>
        <w:t xml:space="preserve"> ethnicity be collected on all HHS data collection instruments.  Information for this section is collected in a way in which patient identity remains anonymous.</w:t>
      </w:r>
    </w:p>
    <w:p w:rsidRPr="00AE19B1" w:rsidR="00AE19B1" w:rsidP="00AE19B1" w:rsidRDefault="00AE19B1" w14:paraId="18092AF8" w14:textId="3936BF86">
      <w:pPr>
        <w:spacing w:before="240"/>
        <w:ind w:left="360"/>
        <w:rPr>
          <w:rFonts w:ascii="Arial" w:hAnsi="Arial" w:cs="Arial"/>
          <w:b/>
          <w:sz w:val="24"/>
        </w:rPr>
      </w:pPr>
      <w:r w:rsidRPr="00AE19B1">
        <w:rPr>
          <w:sz w:val="24"/>
        </w:rPr>
        <w:t xml:space="preserve">The collection of this information aids in informing the programmatic population demographics in order to appropriately identify and maintain culturally sensitive and competent approaches to services and </w:t>
      </w:r>
      <w:r>
        <w:rPr>
          <w:sz w:val="24"/>
        </w:rPr>
        <w:t>activities are conducted by funded</w:t>
      </w:r>
      <w:r w:rsidRPr="00AE19B1">
        <w:rPr>
          <w:sz w:val="24"/>
        </w:rPr>
        <w:t xml:space="preserve"> </w:t>
      </w:r>
      <w:r>
        <w:rPr>
          <w:sz w:val="24"/>
        </w:rPr>
        <w:t xml:space="preserve">Outreach Program grant projects.  </w:t>
      </w:r>
    </w:p>
    <w:p w:rsidRPr="00E353C8" w:rsidR="009B3794" w:rsidP="00CA3DA6" w:rsidRDefault="00E353C8" w14:paraId="22E2A33C" w14:textId="7F55438D">
      <w:pPr>
        <w:numPr>
          <w:ilvl w:val="0"/>
          <w:numId w:val="2"/>
        </w:numPr>
        <w:tabs>
          <w:tab w:val="clear" w:pos="1080"/>
          <w:tab w:val="num" w:pos="360"/>
        </w:tabs>
        <w:spacing w:before="240"/>
        <w:ind w:left="360"/>
        <w:rPr>
          <w:rFonts w:ascii="Arial" w:hAnsi="Arial" w:cs="Arial"/>
          <w:sz w:val="24"/>
        </w:rPr>
      </w:pPr>
      <w:r>
        <w:rPr>
          <w:rFonts w:ascii="Arial" w:hAnsi="Arial" w:cs="Arial"/>
          <w:b/>
          <w:sz w:val="24"/>
        </w:rPr>
        <w:t xml:space="preserve">  </w:t>
      </w:r>
      <w:r w:rsidRPr="00C45431" w:rsidR="009B3794">
        <w:rPr>
          <w:rFonts w:ascii="Arial" w:hAnsi="Arial" w:cs="Arial"/>
          <w:b/>
          <w:sz w:val="24"/>
          <w:u w:val="single"/>
        </w:rPr>
        <w:t xml:space="preserve">Estimates of Annualized Hour and Cost Burden  </w:t>
      </w:r>
    </w:p>
    <w:p w:rsidRPr="00C45431" w:rsidR="00E353C8" w:rsidP="00E353C8" w:rsidRDefault="00E353C8" w14:paraId="13CFC923" w14:textId="77777777">
      <w:pPr>
        <w:spacing w:before="240"/>
        <w:ind w:left="360"/>
        <w:rPr>
          <w:rFonts w:ascii="Arial" w:hAnsi="Arial" w:cs="Arial"/>
          <w:sz w:val="24"/>
        </w:rPr>
      </w:pPr>
    </w:p>
    <w:p w:rsidRPr="00C45431" w:rsidR="009B3794" w:rsidP="00CA3DA6" w:rsidRDefault="009B3794" w14:paraId="22E2A33F" w14:textId="77777777">
      <w:pPr>
        <w:widowControl/>
        <w:tabs>
          <w:tab w:val="num" w:pos="720"/>
        </w:tabs>
        <w:spacing w:before="120"/>
        <w:rPr>
          <w:rFonts w:ascii="Arial" w:hAnsi="Arial" w:cs="Arial"/>
          <w:sz w:val="24"/>
        </w:rPr>
      </w:pPr>
      <w:r w:rsidRPr="00C45431">
        <w:rPr>
          <w:rFonts w:ascii="Arial" w:hAnsi="Arial" w:cs="Arial"/>
          <w:b/>
          <w:sz w:val="28"/>
          <w:szCs w:val="28"/>
        </w:rPr>
        <w:lastRenderedPageBreak/>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523"/>
        <w:gridCol w:w="1737"/>
        <w:gridCol w:w="1603"/>
        <w:gridCol w:w="1364"/>
        <w:gridCol w:w="1061"/>
      </w:tblGrid>
      <w:tr w:rsidRPr="00C45431" w:rsidR="00CA3DA6" w:rsidTr="00E353C8" w14:paraId="22E2A351" w14:textId="77777777">
        <w:trPr>
          <w:trHeight w:val="440"/>
        </w:trPr>
        <w:tc>
          <w:tcPr>
            <w:tcW w:w="1603" w:type="dxa"/>
            <w:vAlign w:val="bottom"/>
          </w:tcPr>
          <w:p w:rsidRPr="00C45431" w:rsidR="00CA3DA6" w:rsidP="00E353C8" w:rsidRDefault="00CA3DA6" w14:paraId="22E2A340" w14:textId="77777777">
            <w:pPr>
              <w:widowControl/>
              <w:tabs>
                <w:tab w:val="num" w:pos="1080"/>
              </w:tabs>
              <w:jc w:val="center"/>
              <w:rPr>
                <w:rFonts w:ascii="Arial" w:hAnsi="Arial" w:cs="Arial"/>
                <w:b/>
                <w:bCs/>
                <w:sz w:val="24"/>
              </w:rPr>
            </w:pPr>
            <w:r w:rsidRPr="00C45431">
              <w:rPr>
                <w:rFonts w:ascii="Arial" w:hAnsi="Arial" w:cs="Arial"/>
                <w:b/>
                <w:bCs/>
                <w:sz w:val="24"/>
              </w:rPr>
              <w:t>Type of</w:t>
            </w:r>
          </w:p>
          <w:p w:rsidRPr="00C45431" w:rsidR="00CA3DA6" w:rsidP="00E353C8" w:rsidRDefault="00CA3DA6" w14:paraId="22E2A342" w14:textId="4BF82A2F">
            <w:pPr>
              <w:widowControl/>
              <w:tabs>
                <w:tab w:val="num" w:pos="1080"/>
              </w:tabs>
              <w:jc w:val="center"/>
              <w:rPr>
                <w:rFonts w:ascii="Arial" w:hAnsi="Arial" w:cs="Arial"/>
                <w:b/>
                <w:bCs/>
                <w:sz w:val="24"/>
              </w:rPr>
            </w:pPr>
            <w:r w:rsidRPr="00C45431">
              <w:rPr>
                <w:rFonts w:ascii="Arial" w:hAnsi="Arial" w:cs="Arial"/>
                <w:b/>
                <w:bCs/>
                <w:sz w:val="24"/>
              </w:rPr>
              <w:t>Respondent</w:t>
            </w:r>
          </w:p>
        </w:tc>
        <w:tc>
          <w:tcPr>
            <w:tcW w:w="874" w:type="dxa"/>
            <w:vAlign w:val="bottom"/>
          </w:tcPr>
          <w:p w:rsidRPr="00C45431" w:rsidR="00CA3DA6" w:rsidP="00E353C8" w:rsidRDefault="00CA3DA6" w14:paraId="22E2A343" w14:textId="77777777">
            <w:pPr>
              <w:widowControl/>
              <w:tabs>
                <w:tab w:val="num" w:pos="1080"/>
              </w:tabs>
              <w:jc w:val="center"/>
              <w:rPr>
                <w:rFonts w:ascii="Arial" w:hAnsi="Arial" w:cs="Arial"/>
                <w:b/>
                <w:bCs/>
                <w:sz w:val="24"/>
              </w:rPr>
            </w:pPr>
            <w:r w:rsidRPr="00C45431">
              <w:rPr>
                <w:rFonts w:ascii="Arial" w:hAnsi="Arial" w:cs="Arial"/>
                <w:b/>
                <w:bCs/>
                <w:sz w:val="24"/>
              </w:rPr>
              <w:t>Form</w:t>
            </w:r>
          </w:p>
          <w:p w:rsidRPr="00C45431" w:rsidR="00CA3DA6" w:rsidP="00E353C8" w:rsidRDefault="00CA3DA6" w14:paraId="22E2A345" w14:textId="031906D6">
            <w:pPr>
              <w:widowControl/>
              <w:tabs>
                <w:tab w:val="num" w:pos="1080"/>
              </w:tabs>
              <w:jc w:val="center"/>
              <w:rPr>
                <w:rFonts w:ascii="Arial" w:hAnsi="Arial" w:cs="Arial"/>
                <w:b/>
                <w:bCs/>
                <w:sz w:val="24"/>
              </w:rPr>
            </w:pPr>
            <w:r w:rsidRPr="00C45431">
              <w:rPr>
                <w:rFonts w:ascii="Arial" w:hAnsi="Arial" w:cs="Arial"/>
                <w:b/>
                <w:bCs/>
                <w:sz w:val="24"/>
              </w:rPr>
              <w:t>Name</w:t>
            </w:r>
          </w:p>
        </w:tc>
        <w:tc>
          <w:tcPr>
            <w:tcW w:w="1737" w:type="dxa"/>
            <w:vAlign w:val="bottom"/>
          </w:tcPr>
          <w:p w:rsidRPr="00C45431" w:rsidR="00CA3DA6" w:rsidP="00E353C8" w:rsidRDefault="00CA3DA6" w14:paraId="22E2A346" w14:textId="77777777">
            <w:pPr>
              <w:widowControl/>
              <w:tabs>
                <w:tab w:val="num" w:pos="1080"/>
              </w:tabs>
              <w:jc w:val="center"/>
              <w:rPr>
                <w:rFonts w:ascii="Arial" w:hAnsi="Arial" w:cs="Arial"/>
                <w:b/>
                <w:bCs/>
                <w:sz w:val="24"/>
              </w:rPr>
            </w:pPr>
            <w:r w:rsidRPr="00C45431">
              <w:rPr>
                <w:rFonts w:ascii="Arial" w:hAnsi="Arial" w:cs="Arial"/>
                <w:b/>
                <w:bCs/>
                <w:sz w:val="24"/>
              </w:rPr>
              <w:t>No. of</w:t>
            </w:r>
          </w:p>
          <w:p w:rsidRPr="00C45431" w:rsidR="00CA3DA6" w:rsidP="00E353C8" w:rsidRDefault="00CA3DA6" w14:paraId="22E2A347" w14:textId="77777777">
            <w:pPr>
              <w:widowControl/>
              <w:tabs>
                <w:tab w:val="num" w:pos="1080"/>
              </w:tabs>
              <w:jc w:val="center"/>
              <w:rPr>
                <w:rFonts w:ascii="Arial" w:hAnsi="Arial" w:cs="Arial"/>
                <w:b/>
                <w:bCs/>
                <w:sz w:val="24"/>
              </w:rPr>
            </w:pPr>
            <w:r w:rsidRPr="00C45431">
              <w:rPr>
                <w:rFonts w:ascii="Arial" w:hAnsi="Arial" w:cs="Arial"/>
                <w:b/>
                <w:bCs/>
                <w:sz w:val="24"/>
              </w:rPr>
              <w:t>Respondents</w:t>
            </w:r>
          </w:p>
        </w:tc>
        <w:tc>
          <w:tcPr>
            <w:tcW w:w="1603" w:type="dxa"/>
            <w:vAlign w:val="bottom"/>
          </w:tcPr>
          <w:p w:rsidRPr="00C45431" w:rsidR="00CA3DA6" w:rsidP="00E353C8" w:rsidRDefault="00CA3DA6" w14:paraId="22E2A348" w14:textId="77777777">
            <w:pPr>
              <w:widowControl/>
              <w:tabs>
                <w:tab w:val="num" w:pos="1080"/>
              </w:tabs>
              <w:jc w:val="center"/>
              <w:rPr>
                <w:rFonts w:ascii="Arial" w:hAnsi="Arial" w:cs="Arial"/>
                <w:b/>
                <w:bCs/>
                <w:sz w:val="24"/>
              </w:rPr>
            </w:pPr>
            <w:r w:rsidRPr="00C45431">
              <w:rPr>
                <w:rFonts w:ascii="Arial" w:hAnsi="Arial" w:cs="Arial"/>
                <w:b/>
                <w:bCs/>
                <w:sz w:val="24"/>
              </w:rPr>
              <w:t>No.</w:t>
            </w:r>
          </w:p>
          <w:p w:rsidRPr="00C45431" w:rsidR="00CA3DA6" w:rsidP="00E353C8" w:rsidRDefault="00CA3DA6" w14:paraId="22E2A349" w14:textId="77777777">
            <w:pPr>
              <w:widowControl/>
              <w:tabs>
                <w:tab w:val="num" w:pos="1080"/>
              </w:tabs>
              <w:jc w:val="center"/>
              <w:rPr>
                <w:rFonts w:ascii="Arial" w:hAnsi="Arial" w:cs="Arial"/>
                <w:b/>
                <w:bCs/>
                <w:sz w:val="24"/>
              </w:rPr>
            </w:pPr>
            <w:r w:rsidRPr="00C45431">
              <w:rPr>
                <w:rFonts w:ascii="Arial" w:hAnsi="Arial" w:cs="Arial"/>
                <w:b/>
                <w:bCs/>
                <w:sz w:val="24"/>
              </w:rPr>
              <w:t>Responses</w:t>
            </w:r>
          </w:p>
          <w:p w:rsidRPr="00C45431" w:rsidR="00CA3DA6" w:rsidP="00E353C8" w:rsidRDefault="00CA3DA6" w14:paraId="22E2A34A" w14:textId="77777777">
            <w:pPr>
              <w:widowControl/>
              <w:tabs>
                <w:tab w:val="num" w:pos="1080"/>
              </w:tabs>
              <w:jc w:val="center"/>
              <w:rPr>
                <w:rFonts w:ascii="Arial" w:hAnsi="Arial" w:cs="Arial"/>
                <w:b/>
                <w:bCs/>
                <w:sz w:val="24"/>
              </w:rPr>
            </w:pPr>
            <w:r w:rsidRPr="00C45431">
              <w:rPr>
                <w:rFonts w:ascii="Arial" w:hAnsi="Arial" w:cs="Arial"/>
                <w:b/>
                <w:bCs/>
                <w:sz w:val="24"/>
              </w:rPr>
              <w:t>per</w:t>
            </w:r>
          </w:p>
          <w:p w:rsidRPr="00C45431" w:rsidR="00CA3DA6" w:rsidP="00E353C8" w:rsidRDefault="00CA3DA6" w14:paraId="22E2A34B" w14:textId="77777777">
            <w:pPr>
              <w:widowControl/>
              <w:tabs>
                <w:tab w:val="num" w:pos="1080"/>
              </w:tabs>
              <w:jc w:val="center"/>
              <w:rPr>
                <w:rFonts w:ascii="Arial" w:hAnsi="Arial" w:cs="Arial"/>
                <w:b/>
                <w:bCs/>
                <w:sz w:val="24"/>
              </w:rPr>
            </w:pPr>
            <w:r w:rsidRPr="00C45431">
              <w:rPr>
                <w:rFonts w:ascii="Arial" w:hAnsi="Arial" w:cs="Arial"/>
                <w:b/>
                <w:bCs/>
                <w:sz w:val="24"/>
              </w:rPr>
              <w:t>Respondent</w:t>
            </w:r>
          </w:p>
        </w:tc>
        <w:tc>
          <w:tcPr>
            <w:tcW w:w="1364" w:type="dxa"/>
            <w:vAlign w:val="bottom"/>
          </w:tcPr>
          <w:p w:rsidRPr="00C45431" w:rsidR="00CA3DA6" w:rsidP="00E353C8" w:rsidRDefault="00CA3DA6" w14:paraId="22E2A34C" w14:textId="77777777">
            <w:pPr>
              <w:widowControl/>
              <w:tabs>
                <w:tab w:val="num" w:pos="1080"/>
              </w:tabs>
              <w:jc w:val="center"/>
              <w:rPr>
                <w:rFonts w:ascii="Arial" w:hAnsi="Arial" w:cs="Arial"/>
                <w:b/>
                <w:bCs/>
                <w:sz w:val="24"/>
              </w:rPr>
            </w:pPr>
            <w:r w:rsidRPr="00C45431">
              <w:rPr>
                <w:rFonts w:ascii="Arial" w:hAnsi="Arial" w:cs="Arial"/>
                <w:b/>
                <w:bCs/>
                <w:sz w:val="24"/>
              </w:rPr>
              <w:t>Average</w:t>
            </w:r>
          </w:p>
          <w:p w:rsidRPr="00C45431" w:rsidR="00CA3DA6" w:rsidP="00E353C8" w:rsidRDefault="00CA3DA6" w14:paraId="22E2A34D" w14:textId="77777777">
            <w:pPr>
              <w:widowControl/>
              <w:tabs>
                <w:tab w:val="num" w:pos="1080"/>
              </w:tabs>
              <w:jc w:val="center"/>
              <w:rPr>
                <w:rFonts w:ascii="Arial" w:hAnsi="Arial" w:cs="Arial"/>
                <w:b/>
                <w:bCs/>
                <w:sz w:val="24"/>
              </w:rPr>
            </w:pPr>
            <w:r w:rsidRPr="00C45431">
              <w:rPr>
                <w:rFonts w:ascii="Arial" w:hAnsi="Arial" w:cs="Arial"/>
                <w:b/>
                <w:bCs/>
                <w:sz w:val="24"/>
              </w:rPr>
              <w:t>Burden per</w:t>
            </w:r>
          </w:p>
          <w:p w:rsidRPr="00C45431" w:rsidR="00CA3DA6" w:rsidP="00E353C8" w:rsidRDefault="00CA3DA6" w14:paraId="22E2A34E" w14:textId="77777777">
            <w:pPr>
              <w:widowControl/>
              <w:tabs>
                <w:tab w:val="num" w:pos="1080"/>
              </w:tabs>
              <w:jc w:val="center"/>
              <w:rPr>
                <w:rFonts w:ascii="Arial" w:hAnsi="Arial" w:cs="Arial"/>
                <w:b/>
                <w:bCs/>
                <w:sz w:val="24"/>
              </w:rPr>
            </w:pPr>
            <w:r w:rsidRPr="00C45431">
              <w:rPr>
                <w:rFonts w:ascii="Arial" w:hAnsi="Arial" w:cs="Arial"/>
                <w:b/>
                <w:bCs/>
                <w:sz w:val="24"/>
              </w:rPr>
              <w:t>Response</w:t>
            </w:r>
          </w:p>
          <w:p w:rsidRPr="00C45431" w:rsidR="00CA3DA6" w:rsidP="00E353C8" w:rsidRDefault="00CA3DA6" w14:paraId="22E2A34F" w14:textId="77777777">
            <w:pPr>
              <w:widowControl/>
              <w:tabs>
                <w:tab w:val="num" w:pos="1080"/>
              </w:tabs>
              <w:jc w:val="center"/>
              <w:rPr>
                <w:rFonts w:ascii="Arial" w:hAnsi="Arial" w:cs="Arial"/>
                <w:b/>
                <w:bCs/>
                <w:sz w:val="24"/>
              </w:rPr>
            </w:pPr>
            <w:r w:rsidRPr="00C45431">
              <w:rPr>
                <w:rFonts w:ascii="Arial" w:hAnsi="Arial" w:cs="Arial"/>
                <w:b/>
                <w:bCs/>
                <w:sz w:val="24"/>
              </w:rPr>
              <w:t>(in hours)</w:t>
            </w:r>
          </w:p>
        </w:tc>
        <w:tc>
          <w:tcPr>
            <w:tcW w:w="1061" w:type="dxa"/>
            <w:vAlign w:val="bottom"/>
          </w:tcPr>
          <w:p w:rsidRPr="00C45431" w:rsidR="00CA3DA6" w:rsidP="00E353C8" w:rsidRDefault="00CA3DA6" w14:paraId="22E2A350" w14:textId="77777777">
            <w:pPr>
              <w:widowControl/>
              <w:tabs>
                <w:tab w:val="num" w:pos="1080"/>
              </w:tabs>
              <w:jc w:val="center"/>
              <w:rPr>
                <w:rFonts w:ascii="Arial" w:hAnsi="Arial" w:cs="Arial"/>
                <w:b/>
                <w:bCs/>
                <w:sz w:val="24"/>
              </w:rPr>
            </w:pPr>
            <w:r w:rsidRPr="00C45431">
              <w:rPr>
                <w:rFonts w:ascii="Arial" w:hAnsi="Arial" w:cs="Arial"/>
                <w:b/>
                <w:bCs/>
                <w:sz w:val="24"/>
              </w:rPr>
              <w:t>Total Burden Hours</w:t>
            </w:r>
          </w:p>
        </w:tc>
      </w:tr>
      <w:tr w:rsidRPr="00C45431" w:rsidR="00AE19B1" w:rsidTr="00E353C8" w14:paraId="22E2A358" w14:textId="77777777">
        <w:trPr>
          <w:trHeight w:val="679"/>
        </w:trPr>
        <w:tc>
          <w:tcPr>
            <w:tcW w:w="1603" w:type="dxa"/>
          </w:tcPr>
          <w:p w:rsidRPr="00C45431" w:rsidR="00AE19B1" w:rsidP="00AE19B1" w:rsidRDefault="00AE19B1" w14:paraId="22E2A352" w14:textId="360FEADF">
            <w:pPr>
              <w:widowControl/>
              <w:tabs>
                <w:tab w:val="num" w:pos="1080"/>
              </w:tabs>
              <w:spacing w:before="120"/>
              <w:rPr>
                <w:rFonts w:ascii="Arial" w:hAnsi="Arial" w:cs="Arial"/>
                <w:b/>
                <w:bCs/>
                <w:sz w:val="24"/>
              </w:rPr>
            </w:pPr>
            <w:r>
              <w:rPr>
                <w:bCs/>
                <w:sz w:val="24"/>
              </w:rPr>
              <w:t>Rural Health Care Services Outreach Program</w:t>
            </w:r>
            <w:r w:rsidRPr="00FC39AC">
              <w:rPr>
                <w:bCs/>
                <w:sz w:val="24"/>
              </w:rPr>
              <w:t xml:space="preserve"> Grantee key personnel</w:t>
            </w:r>
            <w:r w:rsidRPr="00454857">
              <w:rPr>
                <w:b/>
                <w:bCs/>
                <w:sz w:val="24"/>
              </w:rPr>
              <w:t xml:space="preserve"> </w:t>
            </w:r>
            <w:r w:rsidRPr="00454857">
              <w:rPr>
                <w:bCs/>
                <w:sz w:val="24"/>
              </w:rPr>
              <w:t>(Project Director)</w:t>
            </w:r>
          </w:p>
        </w:tc>
        <w:tc>
          <w:tcPr>
            <w:tcW w:w="874" w:type="dxa"/>
          </w:tcPr>
          <w:p w:rsidRPr="00C45431" w:rsidR="00AE19B1" w:rsidP="00AE19B1" w:rsidRDefault="00AE19B1" w14:paraId="22E2A353" w14:textId="65C73F40">
            <w:pPr>
              <w:widowControl/>
              <w:tabs>
                <w:tab w:val="num" w:pos="1080"/>
              </w:tabs>
              <w:spacing w:before="120"/>
              <w:rPr>
                <w:rFonts w:ascii="Arial" w:hAnsi="Arial" w:cs="Arial"/>
                <w:b/>
                <w:bCs/>
                <w:sz w:val="24"/>
              </w:rPr>
            </w:pPr>
            <w:r>
              <w:rPr>
                <w:sz w:val="24"/>
              </w:rPr>
              <w:t xml:space="preserve">Rural Health Care Services Outreach Performance Improvement Measurement System (PIMS) </w:t>
            </w:r>
          </w:p>
        </w:tc>
        <w:tc>
          <w:tcPr>
            <w:tcW w:w="1737" w:type="dxa"/>
            <w:vAlign w:val="center"/>
          </w:tcPr>
          <w:p w:rsidRPr="00AE19B1" w:rsidR="00AE19B1" w:rsidP="00E353C8" w:rsidRDefault="00AE19B1" w14:paraId="22E2A354" w14:textId="50C2FA26">
            <w:pPr>
              <w:widowControl/>
              <w:tabs>
                <w:tab w:val="num" w:pos="1080"/>
              </w:tabs>
              <w:spacing w:before="120"/>
              <w:jc w:val="right"/>
              <w:rPr>
                <w:b/>
                <w:bCs/>
                <w:sz w:val="24"/>
              </w:rPr>
            </w:pPr>
            <w:r w:rsidRPr="00AE19B1">
              <w:rPr>
                <w:sz w:val="24"/>
              </w:rPr>
              <w:t>61</w:t>
            </w:r>
          </w:p>
        </w:tc>
        <w:tc>
          <w:tcPr>
            <w:tcW w:w="1603" w:type="dxa"/>
            <w:vAlign w:val="center"/>
          </w:tcPr>
          <w:p w:rsidRPr="00AE19B1" w:rsidR="00AE19B1" w:rsidP="00E353C8" w:rsidRDefault="00AE19B1" w14:paraId="22E2A355" w14:textId="4AAE2015">
            <w:pPr>
              <w:widowControl/>
              <w:tabs>
                <w:tab w:val="num" w:pos="1080"/>
              </w:tabs>
              <w:spacing w:before="120"/>
              <w:jc w:val="right"/>
              <w:rPr>
                <w:b/>
                <w:bCs/>
                <w:sz w:val="24"/>
              </w:rPr>
            </w:pPr>
            <w:r w:rsidRPr="00AE19B1">
              <w:rPr>
                <w:sz w:val="24"/>
              </w:rPr>
              <w:t>1</w:t>
            </w:r>
          </w:p>
        </w:tc>
        <w:tc>
          <w:tcPr>
            <w:tcW w:w="1364" w:type="dxa"/>
            <w:vAlign w:val="center"/>
          </w:tcPr>
          <w:p w:rsidRPr="00AE19B1" w:rsidR="00AE19B1" w:rsidP="00E353C8" w:rsidRDefault="00AE19B1" w14:paraId="22E2A356" w14:textId="1CE2313A">
            <w:pPr>
              <w:widowControl/>
              <w:tabs>
                <w:tab w:val="num" w:pos="1080"/>
              </w:tabs>
              <w:spacing w:before="120"/>
              <w:jc w:val="right"/>
              <w:rPr>
                <w:b/>
                <w:bCs/>
                <w:sz w:val="24"/>
              </w:rPr>
            </w:pPr>
            <w:r w:rsidRPr="00AE19B1">
              <w:rPr>
                <w:sz w:val="24"/>
              </w:rPr>
              <w:t>7.5</w:t>
            </w:r>
          </w:p>
        </w:tc>
        <w:tc>
          <w:tcPr>
            <w:tcW w:w="1061" w:type="dxa"/>
            <w:vAlign w:val="center"/>
          </w:tcPr>
          <w:p w:rsidRPr="00AE19B1" w:rsidR="00AE19B1" w:rsidP="00E353C8" w:rsidRDefault="00AE19B1" w14:paraId="22E2A357" w14:textId="40077A48">
            <w:pPr>
              <w:widowControl/>
              <w:tabs>
                <w:tab w:val="num" w:pos="1080"/>
              </w:tabs>
              <w:spacing w:before="120"/>
              <w:jc w:val="right"/>
              <w:rPr>
                <w:b/>
                <w:bCs/>
                <w:sz w:val="24"/>
              </w:rPr>
            </w:pPr>
            <w:r w:rsidRPr="00AE19B1">
              <w:rPr>
                <w:sz w:val="24"/>
              </w:rPr>
              <w:t>457.5</w:t>
            </w:r>
          </w:p>
        </w:tc>
      </w:tr>
      <w:tr w:rsidRPr="00C45431" w:rsidR="00AE19B1" w:rsidTr="00E353C8" w14:paraId="22E2A368" w14:textId="77777777">
        <w:trPr>
          <w:trHeight w:val="485"/>
        </w:trPr>
        <w:tc>
          <w:tcPr>
            <w:tcW w:w="1603" w:type="dxa"/>
          </w:tcPr>
          <w:p w:rsidRPr="00C45431" w:rsidR="00AE19B1" w:rsidP="00AE19B1" w:rsidRDefault="00AE19B1"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874" w:type="dxa"/>
          </w:tcPr>
          <w:p w:rsidRPr="00C45431" w:rsidR="00AE19B1" w:rsidP="00AE19B1" w:rsidRDefault="00AE19B1" w14:paraId="22E2A362" w14:textId="77777777">
            <w:pPr>
              <w:widowControl/>
              <w:tabs>
                <w:tab w:val="num" w:pos="1080"/>
              </w:tabs>
              <w:spacing w:before="120"/>
              <w:rPr>
                <w:rFonts w:ascii="Arial" w:hAnsi="Arial" w:cs="Arial"/>
                <w:sz w:val="24"/>
              </w:rPr>
            </w:pPr>
          </w:p>
        </w:tc>
        <w:tc>
          <w:tcPr>
            <w:tcW w:w="1737" w:type="dxa"/>
            <w:vAlign w:val="center"/>
          </w:tcPr>
          <w:p w:rsidRPr="00AE19B1" w:rsidR="00AE19B1" w:rsidP="00E353C8" w:rsidRDefault="00AE19B1" w14:paraId="22E2A363" w14:textId="67FCF869">
            <w:pPr>
              <w:widowControl/>
              <w:tabs>
                <w:tab w:val="num" w:pos="1080"/>
              </w:tabs>
              <w:spacing w:before="120"/>
              <w:jc w:val="right"/>
              <w:rPr>
                <w:sz w:val="24"/>
              </w:rPr>
            </w:pPr>
            <w:r w:rsidRPr="00AE19B1">
              <w:rPr>
                <w:sz w:val="24"/>
              </w:rPr>
              <w:t>61</w:t>
            </w:r>
          </w:p>
        </w:tc>
        <w:tc>
          <w:tcPr>
            <w:tcW w:w="1603" w:type="dxa"/>
            <w:vAlign w:val="center"/>
          </w:tcPr>
          <w:p w:rsidRPr="00AE19B1" w:rsidR="00AE19B1" w:rsidP="00E353C8" w:rsidRDefault="00AE19B1" w14:paraId="22E2A364" w14:textId="2ADEC50B">
            <w:pPr>
              <w:widowControl/>
              <w:tabs>
                <w:tab w:val="num" w:pos="1080"/>
              </w:tabs>
              <w:spacing w:before="120"/>
              <w:jc w:val="right"/>
              <w:rPr>
                <w:sz w:val="24"/>
              </w:rPr>
            </w:pPr>
            <w:r w:rsidRPr="00AE19B1">
              <w:rPr>
                <w:sz w:val="24"/>
              </w:rPr>
              <w:t>61</w:t>
            </w:r>
          </w:p>
        </w:tc>
        <w:tc>
          <w:tcPr>
            <w:tcW w:w="1364" w:type="dxa"/>
            <w:vAlign w:val="center"/>
          </w:tcPr>
          <w:p w:rsidRPr="00AE19B1" w:rsidR="00AE19B1" w:rsidP="00E353C8" w:rsidRDefault="00AE19B1" w14:paraId="22E2A365" w14:textId="77777777">
            <w:pPr>
              <w:widowControl/>
              <w:tabs>
                <w:tab w:val="num" w:pos="1080"/>
              </w:tabs>
              <w:spacing w:before="120"/>
              <w:jc w:val="right"/>
              <w:rPr>
                <w:sz w:val="24"/>
              </w:rPr>
            </w:pPr>
          </w:p>
        </w:tc>
        <w:tc>
          <w:tcPr>
            <w:tcW w:w="1061" w:type="dxa"/>
            <w:vAlign w:val="center"/>
          </w:tcPr>
          <w:p w:rsidRPr="00AE19B1" w:rsidR="00AE19B1" w:rsidP="00E353C8" w:rsidRDefault="00AE19B1" w14:paraId="22E2A367" w14:textId="7B5921A0">
            <w:pPr>
              <w:widowControl/>
              <w:tabs>
                <w:tab w:val="num" w:pos="1080"/>
              </w:tabs>
              <w:spacing w:before="120"/>
              <w:jc w:val="right"/>
              <w:rPr>
                <w:sz w:val="24"/>
              </w:rPr>
            </w:pPr>
            <w:r w:rsidRPr="00AE19B1">
              <w:rPr>
                <w:bCs/>
                <w:sz w:val="24"/>
              </w:rPr>
              <w:t>457.5</w:t>
            </w:r>
          </w:p>
        </w:tc>
      </w:tr>
    </w:tbl>
    <w:p w:rsidR="00E353C8" w:rsidP="00AE19B1" w:rsidRDefault="00E353C8" w14:paraId="343ACE6E" w14:textId="77777777">
      <w:pPr>
        <w:widowControl/>
        <w:spacing w:before="120"/>
        <w:rPr>
          <w:sz w:val="24"/>
        </w:rPr>
      </w:pPr>
    </w:p>
    <w:p w:rsidR="00E353C8" w:rsidP="00AE19B1" w:rsidRDefault="00E353C8" w14:paraId="13CA74E1" w14:textId="77777777">
      <w:pPr>
        <w:widowControl/>
        <w:spacing w:before="120"/>
        <w:rPr>
          <w:sz w:val="24"/>
        </w:rPr>
      </w:pPr>
    </w:p>
    <w:p w:rsidR="00AC135A" w:rsidP="00AE19B1" w:rsidRDefault="00AE19B1" w14:paraId="61654346" w14:textId="1F44219E">
      <w:pPr>
        <w:widowControl/>
        <w:spacing w:before="120"/>
        <w:rPr>
          <w:sz w:val="24"/>
        </w:rPr>
      </w:pPr>
      <w:r w:rsidRPr="0091009A">
        <w:rPr>
          <w:sz w:val="24"/>
        </w:rPr>
        <w:t xml:space="preserve">These estimates were determined by consultations with three (3) current grantees from the program.  These grantees were sent a draft of the questions that pertain to their program.  They were asked to estimate how much time it would take to answer the </w:t>
      </w:r>
      <w:r>
        <w:rPr>
          <w:sz w:val="24"/>
        </w:rPr>
        <w:tab/>
      </w:r>
      <w:r w:rsidRPr="0091009A">
        <w:rPr>
          <w:sz w:val="24"/>
        </w:rPr>
        <w:t>questions.</w:t>
      </w:r>
    </w:p>
    <w:p w:rsidR="00AE19B1" w:rsidP="00AE19B1" w:rsidRDefault="00AE19B1" w14:paraId="3A2A9C6D" w14:textId="50FBA7E8">
      <w:pPr>
        <w:widowControl/>
        <w:spacing w:before="120"/>
        <w:rPr>
          <w:sz w:val="24"/>
        </w:rPr>
      </w:pPr>
      <w:r w:rsidRPr="0091009A">
        <w:rPr>
          <w:sz w:val="24"/>
        </w:rPr>
        <w:t>It should also be noted that the burden is expected to vary across the grantees.  This variation is tied primarily to the type of program activities specific to the grantee’s project and current data collection system.</w:t>
      </w:r>
    </w:p>
    <w:p w:rsidR="00E353C8" w:rsidP="00CA3DA6" w:rsidRDefault="00E353C8" w14:paraId="45E2C3EB" w14:textId="77777777">
      <w:pPr>
        <w:widowControl/>
        <w:spacing w:before="120"/>
        <w:rPr>
          <w:rFonts w:ascii="Arial" w:hAnsi="Arial" w:cs="Arial"/>
          <w:b/>
          <w:sz w:val="28"/>
          <w:szCs w:val="28"/>
        </w:rPr>
      </w:pPr>
    </w:p>
    <w:p w:rsidRPr="00C45431" w:rsidR="00D92E1D" w:rsidP="00CA3DA6" w:rsidRDefault="009B3794" w14:paraId="22E2A372" w14:textId="2D4EDF8C">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rsidRPr="00C45431" w:rsidR="009B3794" w:rsidP="00CA3DA6" w:rsidRDefault="009B3794" w14:paraId="22E2A374" w14:textId="77777777">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C45431" w:rsidR="009B3794" w:rsidTr="00E353C8" w14:paraId="22E2A380" w14:textId="77777777">
        <w:tc>
          <w:tcPr>
            <w:tcW w:w="1603" w:type="dxa"/>
            <w:vAlign w:val="bottom"/>
          </w:tcPr>
          <w:p w:rsidRPr="00C45431" w:rsidR="009B3794" w:rsidP="00E353C8" w:rsidRDefault="009B3794" w14:paraId="22E2A375" w14:textId="77777777">
            <w:pPr>
              <w:widowControl/>
              <w:jc w:val="center"/>
              <w:rPr>
                <w:rFonts w:ascii="Arial" w:hAnsi="Arial" w:cs="Arial"/>
                <w:b/>
                <w:bCs/>
                <w:sz w:val="24"/>
              </w:rPr>
            </w:pPr>
            <w:r w:rsidRPr="00C45431">
              <w:rPr>
                <w:rFonts w:ascii="Arial" w:hAnsi="Arial" w:cs="Arial"/>
                <w:b/>
                <w:bCs/>
                <w:sz w:val="24"/>
              </w:rPr>
              <w:t>Type of</w:t>
            </w:r>
          </w:p>
          <w:p w:rsidRPr="00C45431" w:rsidR="009B3794" w:rsidP="00E353C8" w:rsidRDefault="009B3794" w14:paraId="22E2A377" w14:textId="25D6516F">
            <w:pPr>
              <w:widowControl/>
              <w:jc w:val="center"/>
              <w:rPr>
                <w:rFonts w:ascii="Arial" w:hAnsi="Arial" w:cs="Arial"/>
                <w:b/>
                <w:bCs/>
                <w:sz w:val="24"/>
              </w:rPr>
            </w:pPr>
            <w:r w:rsidRPr="00C45431">
              <w:rPr>
                <w:rFonts w:ascii="Arial" w:hAnsi="Arial" w:cs="Arial"/>
                <w:b/>
                <w:bCs/>
                <w:sz w:val="24"/>
              </w:rPr>
              <w:t>Respondent</w:t>
            </w:r>
          </w:p>
        </w:tc>
        <w:tc>
          <w:tcPr>
            <w:tcW w:w="1277" w:type="dxa"/>
            <w:vAlign w:val="bottom"/>
          </w:tcPr>
          <w:p w:rsidRPr="00C45431" w:rsidR="009B3794" w:rsidP="00E353C8" w:rsidRDefault="009B3794" w14:paraId="22E2A378" w14:textId="77777777">
            <w:pPr>
              <w:widowControl/>
              <w:jc w:val="center"/>
              <w:rPr>
                <w:rFonts w:ascii="Arial" w:hAnsi="Arial" w:cs="Arial"/>
                <w:b/>
                <w:bCs/>
                <w:sz w:val="24"/>
              </w:rPr>
            </w:pPr>
            <w:r w:rsidRPr="00C45431">
              <w:rPr>
                <w:rFonts w:ascii="Arial" w:hAnsi="Arial" w:cs="Arial"/>
                <w:b/>
                <w:bCs/>
                <w:sz w:val="24"/>
              </w:rPr>
              <w:t>Total Burden</w:t>
            </w:r>
          </w:p>
          <w:p w:rsidRPr="00C45431" w:rsidR="009B3794" w:rsidP="00E353C8" w:rsidRDefault="009B3794" w14:paraId="22E2A37A" w14:textId="6BDBD908">
            <w:pPr>
              <w:widowControl/>
              <w:jc w:val="center"/>
              <w:rPr>
                <w:rFonts w:ascii="Arial" w:hAnsi="Arial" w:cs="Arial"/>
                <w:b/>
                <w:bCs/>
                <w:sz w:val="24"/>
              </w:rPr>
            </w:pPr>
            <w:r w:rsidRPr="00C45431">
              <w:rPr>
                <w:rFonts w:ascii="Arial" w:hAnsi="Arial" w:cs="Arial"/>
                <w:b/>
                <w:bCs/>
                <w:sz w:val="24"/>
              </w:rPr>
              <w:t>Hours</w:t>
            </w:r>
          </w:p>
        </w:tc>
        <w:tc>
          <w:tcPr>
            <w:tcW w:w="1342" w:type="dxa"/>
            <w:vAlign w:val="bottom"/>
          </w:tcPr>
          <w:p w:rsidRPr="00C45431" w:rsidR="009B3794" w:rsidP="00E353C8" w:rsidRDefault="009B3794" w14:paraId="22E2A37B" w14:textId="77777777">
            <w:pPr>
              <w:widowControl/>
              <w:jc w:val="center"/>
              <w:rPr>
                <w:rFonts w:ascii="Arial" w:hAnsi="Arial" w:cs="Arial"/>
                <w:b/>
                <w:bCs/>
                <w:sz w:val="24"/>
              </w:rPr>
            </w:pPr>
            <w:r w:rsidRPr="00C45431">
              <w:rPr>
                <w:rFonts w:ascii="Arial" w:hAnsi="Arial" w:cs="Arial"/>
                <w:b/>
                <w:bCs/>
                <w:sz w:val="24"/>
              </w:rPr>
              <w:t>Hourly</w:t>
            </w:r>
          </w:p>
          <w:p w:rsidRPr="00C45431" w:rsidR="009B3794" w:rsidP="00E353C8" w:rsidRDefault="009B3794" w14:paraId="22E2A37D" w14:textId="29FBF00D">
            <w:pPr>
              <w:widowControl/>
              <w:jc w:val="center"/>
              <w:rPr>
                <w:rFonts w:ascii="Arial" w:hAnsi="Arial" w:cs="Arial"/>
                <w:b/>
                <w:bCs/>
                <w:sz w:val="24"/>
              </w:rPr>
            </w:pPr>
            <w:r w:rsidRPr="00C45431">
              <w:rPr>
                <w:rFonts w:ascii="Arial" w:hAnsi="Arial" w:cs="Arial"/>
                <w:b/>
                <w:bCs/>
                <w:sz w:val="24"/>
              </w:rPr>
              <w:t>Wage Rate</w:t>
            </w:r>
          </w:p>
        </w:tc>
        <w:tc>
          <w:tcPr>
            <w:tcW w:w="1743" w:type="dxa"/>
            <w:vAlign w:val="bottom"/>
          </w:tcPr>
          <w:p w:rsidRPr="00C45431" w:rsidR="009B3794" w:rsidP="00E353C8" w:rsidRDefault="009B3794" w14:paraId="22E2A37F" w14:textId="3F230CE2">
            <w:pPr>
              <w:widowControl/>
              <w:jc w:val="center"/>
              <w:rPr>
                <w:rFonts w:ascii="Arial" w:hAnsi="Arial" w:cs="Arial"/>
                <w:b/>
                <w:bCs/>
                <w:sz w:val="24"/>
              </w:rPr>
            </w:pPr>
            <w:r w:rsidRPr="00C45431">
              <w:rPr>
                <w:rFonts w:ascii="Arial" w:hAnsi="Arial" w:cs="Arial"/>
                <w:b/>
                <w:bCs/>
                <w:sz w:val="24"/>
              </w:rPr>
              <w:t>Total Respondent Costs</w:t>
            </w:r>
          </w:p>
        </w:tc>
      </w:tr>
      <w:tr w:rsidRPr="00C45431" w:rsidR="009B3794" w:rsidTr="00AE19B1" w14:paraId="22E2A385" w14:textId="77777777">
        <w:tc>
          <w:tcPr>
            <w:tcW w:w="1603" w:type="dxa"/>
          </w:tcPr>
          <w:p w:rsidRPr="00A152D0" w:rsidR="009B3794" w:rsidP="00CE5AA9" w:rsidRDefault="00AE19B1" w14:paraId="22E2A381" w14:textId="63C85989">
            <w:pPr>
              <w:spacing w:before="120"/>
              <w:rPr>
                <w:sz w:val="24"/>
              </w:rPr>
            </w:pPr>
            <w:r w:rsidRPr="00A152D0">
              <w:rPr>
                <w:sz w:val="24"/>
              </w:rPr>
              <w:t xml:space="preserve">Project Director </w:t>
            </w:r>
          </w:p>
        </w:tc>
        <w:tc>
          <w:tcPr>
            <w:tcW w:w="1277" w:type="dxa"/>
          </w:tcPr>
          <w:p w:rsidRPr="00A152D0" w:rsidR="009B3794" w:rsidP="00602176" w:rsidRDefault="00AE19B1" w14:paraId="22E2A382" w14:textId="4E178A1E">
            <w:pPr>
              <w:spacing w:before="120"/>
              <w:jc w:val="right"/>
              <w:rPr>
                <w:sz w:val="24"/>
              </w:rPr>
            </w:pPr>
            <w:r w:rsidRPr="00A152D0">
              <w:rPr>
                <w:sz w:val="24"/>
              </w:rPr>
              <w:t>7.5</w:t>
            </w:r>
          </w:p>
        </w:tc>
        <w:tc>
          <w:tcPr>
            <w:tcW w:w="1342" w:type="dxa"/>
          </w:tcPr>
          <w:p w:rsidRPr="00A152D0" w:rsidR="009B3794" w:rsidP="00602176" w:rsidRDefault="00AE19B1" w14:paraId="22E2A383" w14:textId="77E8FF9A">
            <w:pPr>
              <w:spacing w:before="120"/>
              <w:jc w:val="right"/>
              <w:rPr>
                <w:sz w:val="24"/>
              </w:rPr>
            </w:pPr>
            <w:r w:rsidRPr="00A152D0">
              <w:rPr>
                <w:sz w:val="24"/>
              </w:rPr>
              <w:t xml:space="preserve"> $</w:t>
            </w:r>
            <w:r w:rsidRPr="00A152D0" w:rsidR="00A152D0">
              <w:rPr>
                <w:sz w:val="24"/>
              </w:rPr>
              <w:t>57.12</w:t>
            </w:r>
            <w:r w:rsidRPr="00A152D0" w:rsidR="009B3794">
              <w:rPr>
                <w:sz w:val="24"/>
              </w:rPr>
              <w:t xml:space="preserve"> </w:t>
            </w:r>
          </w:p>
        </w:tc>
        <w:tc>
          <w:tcPr>
            <w:tcW w:w="1743" w:type="dxa"/>
          </w:tcPr>
          <w:p w:rsidRPr="00A152D0" w:rsidR="009B3794" w:rsidP="00602176" w:rsidRDefault="00A152D0" w14:paraId="22E2A384" w14:textId="40990723">
            <w:pPr>
              <w:spacing w:before="120"/>
              <w:jc w:val="right"/>
              <w:rPr>
                <w:sz w:val="24"/>
              </w:rPr>
            </w:pPr>
            <w:r w:rsidRPr="00A152D0">
              <w:rPr>
                <w:sz w:val="24"/>
              </w:rPr>
              <w:t xml:space="preserve"> $428.40</w:t>
            </w:r>
          </w:p>
        </w:tc>
      </w:tr>
      <w:tr w:rsidRPr="00C45431" w:rsidR="009B3794" w:rsidTr="00AE19B1" w14:paraId="22E2A38F" w14:textId="77777777">
        <w:trPr>
          <w:trHeight w:val="440"/>
        </w:trPr>
        <w:tc>
          <w:tcPr>
            <w:tcW w:w="1603" w:type="dxa"/>
          </w:tcPr>
          <w:p w:rsidRPr="00A152D0" w:rsidR="009B3794" w:rsidP="00CE5AA9" w:rsidRDefault="009B3794" w14:paraId="22E2A38B" w14:textId="77777777">
            <w:pPr>
              <w:widowControl/>
              <w:spacing w:before="120"/>
              <w:rPr>
                <w:sz w:val="24"/>
              </w:rPr>
            </w:pPr>
            <w:r w:rsidRPr="00A152D0">
              <w:rPr>
                <w:sz w:val="24"/>
              </w:rPr>
              <w:t>Total</w:t>
            </w:r>
          </w:p>
        </w:tc>
        <w:tc>
          <w:tcPr>
            <w:tcW w:w="1277" w:type="dxa"/>
          </w:tcPr>
          <w:p w:rsidRPr="00A152D0" w:rsidR="009B3794" w:rsidP="00CE5AA9" w:rsidRDefault="009B3794" w14:paraId="22E2A38C" w14:textId="77777777">
            <w:pPr>
              <w:widowControl/>
              <w:spacing w:before="120"/>
              <w:rPr>
                <w:sz w:val="24"/>
              </w:rPr>
            </w:pPr>
          </w:p>
        </w:tc>
        <w:tc>
          <w:tcPr>
            <w:tcW w:w="1342" w:type="dxa"/>
          </w:tcPr>
          <w:p w:rsidRPr="00A152D0" w:rsidR="009B3794" w:rsidP="00CE5AA9" w:rsidRDefault="009B3794" w14:paraId="22E2A38D" w14:textId="77777777">
            <w:pPr>
              <w:widowControl/>
              <w:spacing w:before="120"/>
              <w:jc w:val="right"/>
              <w:rPr>
                <w:sz w:val="24"/>
              </w:rPr>
            </w:pPr>
          </w:p>
        </w:tc>
        <w:tc>
          <w:tcPr>
            <w:tcW w:w="1743" w:type="dxa"/>
          </w:tcPr>
          <w:p w:rsidRPr="00A152D0" w:rsidR="009B3794" w:rsidP="00CE5AA9" w:rsidRDefault="00A152D0" w14:paraId="22E2A38E" w14:textId="1CFB2D41">
            <w:pPr>
              <w:widowControl/>
              <w:spacing w:before="120"/>
              <w:jc w:val="right"/>
              <w:rPr>
                <w:sz w:val="24"/>
              </w:rPr>
            </w:pPr>
            <w:r w:rsidRPr="00A152D0">
              <w:rPr>
                <w:sz w:val="24"/>
              </w:rPr>
              <w:t>$26,132.40</w:t>
            </w:r>
          </w:p>
        </w:tc>
      </w:tr>
    </w:tbl>
    <w:p w:rsidR="00AE19B1" w:rsidP="00AE19B1" w:rsidRDefault="00AE19B1" w14:paraId="3211DA9C" w14:textId="77777777">
      <w:pPr>
        <w:spacing w:before="240"/>
        <w:rPr>
          <w:i/>
          <w:color w:val="000000"/>
          <w:sz w:val="24"/>
        </w:rPr>
      </w:pPr>
      <w:r w:rsidRPr="005B3A24">
        <w:rPr>
          <w:i/>
          <w:sz w:val="24"/>
        </w:rPr>
        <w:lastRenderedPageBreak/>
        <w:t xml:space="preserve">Hourly Wage Rate based on the United States </w:t>
      </w:r>
      <w:r w:rsidRPr="005B3A24">
        <w:rPr>
          <w:i/>
          <w:color w:val="000000"/>
          <w:sz w:val="24"/>
        </w:rPr>
        <w:t>Department of Labor, Bureau of Labor Statistics:</w:t>
      </w:r>
      <w:r>
        <w:rPr>
          <w:i/>
          <w:color w:val="000000"/>
          <w:sz w:val="24"/>
        </w:rPr>
        <w:t xml:space="preserve"> (</w:t>
      </w:r>
      <w:hyperlink w:history="1" r:id="rId16">
        <w:r w:rsidRPr="004214B6">
          <w:rPr>
            <w:rStyle w:val="Hyperlink"/>
            <w:i/>
            <w:sz w:val="24"/>
          </w:rPr>
          <w:t>https://www.bls.gov/oes/current/oes119111.htm</w:t>
        </w:r>
      </w:hyperlink>
      <w:r>
        <w:rPr>
          <w:i/>
          <w:color w:val="000000"/>
          <w:sz w:val="24"/>
        </w:rPr>
        <w:t>)</w:t>
      </w:r>
    </w:p>
    <w:p w:rsidRPr="00A152D0" w:rsidR="00A152D0" w:rsidP="00E353C8" w:rsidRDefault="00E353C8" w14:paraId="3DBA56A4" w14:textId="340AC044">
      <w:pPr>
        <w:numPr>
          <w:ilvl w:val="0"/>
          <w:numId w:val="2"/>
        </w:numPr>
        <w:tabs>
          <w:tab w:val="clear" w:pos="108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 xml:space="preserve">Estimates of other Total Annual Cost Burden to Respondents or </w:t>
      </w:r>
      <w:r>
        <w:rPr>
          <w:rFonts w:ascii="Arial" w:hAnsi="Arial" w:cs="Arial"/>
          <w:b/>
          <w:sz w:val="24"/>
          <w:u w:val="single"/>
        </w:rPr>
        <w:t xml:space="preserve"> </w:t>
      </w:r>
      <w:r w:rsidRPr="00C45431" w:rsidR="009B3794">
        <w:rPr>
          <w:rFonts w:ascii="Arial" w:hAnsi="Arial" w:cs="Arial"/>
          <w:b/>
          <w:sz w:val="24"/>
          <w:u w:val="single"/>
        </w:rPr>
        <w:t>Recordkeepers/Capital Costs</w:t>
      </w:r>
    </w:p>
    <w:p w:rsidRPr="00A152D0" w:rsidR="00A152D0" w:rsidP="00A152D0" w:rsidRDefault="00A152D0" w14:paraId="17639A8F" w14:textId="4FBDC1A2">
      <w:pPr>
        <w:spacing w:before="240"/>
        <w:ind w:left="360"/>
        <w:rPr>
          <w:rFonts w:ascii="Arial" w:hAnsi="Arial" w:cs="Arial"/>
          <w:b/>
          <w:sz w:val="32"/>
        </w:rPr>
      </w:pPr>
      <w:r w:rsidRPr="00A152D0">
        <w:rPr>
          <w:sz w:val="24"/>
        </w:rPr>
        <w:t>Other than their time, there is no cost to respondents</w:t>
      </w:r>
    </w:p>
    <w:p w:rsidRPr="00A152D0" w:rsidR="00A152D0" w:rsidP="00A152D0" w:rsidRDefault="008E4483" w14:paraId="7CADB816" w14:textId="5E821B57">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Annualized Cost to Federal Government</w:t>
      </w:r>
    </w:p>
    <w:p w:rsidR="00EC3E68" w:rsidP="00EC3E68" w:rsidRDefault="00A152D0" w14:paraId="2BB56D36" w14:textId="40FBE81C">
      <w:pPr>
        <w:spacing w:before="240"/>
        <w:ind w:left="360"/>
        <w:rPr>
          <w:sz w:val="24"/>
        </w:rPr>
      </w:pPr>
      <w:r w:rsidRPr="00A152D0">
        <w:rPr>
          <w:sz w:val="24"/>
        </w:rPr>
        <w:t>Annual data collection for this program is expected to be carried out at a</w:t>
      </w:r>
      <w:r w:rsidR="003431F3">
        <w:rPr>
          <w:sz w:val="24"/>
        </w:rPr>
        <w:t>n average annual</w:t>
      </w:r>
      <w:r w:rsidRPr="00A152D0">
        <w:rPr>
          <w:sz w:val="24"/>
        </w:rPr>
        <w:t xml:space="preserve"> cost to the Federal Government of $</w:t>
      </w:r>
      <w:r w:rsidR="002D5B22">
        <w:rPr>
          <w:sz w:val="24"/>
        </w:rPr>
        <w:t>55,619.65</w:t>
      </w:r>
      <w:r w:rsidR="00BF180F">
        <w:rPr>
          <w:sz w:val="24"/>
        </w:rPr>
        <w:t xml:space="preserve"> </w:t>
      </w:r>
      <w:r w:rsidR="00EC3E68">
        <w:rPr>
          <w:sz w:val="24"/>
        </w:rPr>
        <w:t>for each year of the Outreach Program’s four year funding cycle.</w:t>
      </w:r>
    </w:p>
    <w:p w:rsidR="00862784" w:rsidP="002E2E3E" w:rsidRDefault="002E2E3E" w14:paraId="119A08AE" w14:textId="2506EC85">
      <w:pPr>
        <w:spacing w:before="240"/>
        <w:ind w:left="360"/>
        <w:rPr>
          <w:sz w:val="24"/>
        </w:rPr>
      </w:pPr>
      <w:r>
        <w:rPr>
          <w:sz w:val="24"/>
        </w:rPr>
        <w:t>This cost includes the total annualized cost for s</w:t>
      </w:r>
      <w:r w:rsidRPr="00A152D0" w:rsidR="00A152D0">
        <w:rPr>
          <w:sz w:val="24"/>
        </w:rPr>
        <w:t xml:space="preserve">taff at FORHP </w:t>
      </w:r>
      <w:r>
        <w:rPr>
          <w:sz w:val="24"/>
        </w:rPr>
        <w:t xml:space="preserve">to </w:t>
      </w:r>
      <w:r w:rsidRPr="00A152D0" w:rsidR="00A152D0">
        <w:rPr>
          <w:sz w:val="24"/>
        </w:rPr>
        <w:t>monitor the grants and provide guidance to grantee project staff at a cost of $1,</w:t>
      </w:r>
      <w:r w:rsidR="00D93033">
        <w:rPr>
          <w:sz w:val="24"/>
        </w:rPr>
        <w:t>477.98</w:t>
      </w:r>
      <w:r w:rsidRPr="00A152D0" w:rsidR="00A152D0">
        <w:rPr>
          <w:sz w:val="24"/>
        </w:rPr>
        <w:t xml:space="preserve"> per year (25.5</w:t>
      </w:r>
      <w:r w:rsidR="00A152D0">
        <w:rPr>
          <w:sz w:val="24"/>
        </w:rPr>
        <w:t xml:space="preserve"> hours per year at $57.96</w:t>
      </w:r>
      <w:r w:rsidRPr="00A152D0" w:rsidR="00A152D0">
        <w:rPr>
          <w:sz w:val="24"/>
        </w:rPr>
        <w:t xml:space="preserve"> per hour at a </w:t>
      </w:r>
      <w:hyperlink w:history="1" r:id="rId17">
        <w:r w:rsidRPr="00EC3E68" w:rsidR="00A152D0">
          <w:rPr>
            <w:rStyle w:val="Hyperlink"/>
            <w:sz w:val="24"/>
          </w:rPr>
          <w:t>GS-13 Step 6 salary level</w:t>
        </w:r>
      </w:hyperlink>
      <w:r w:rsidR="00602176">
        <w:rPr>
          <w:sz w:val="24"/>
        </w:rPr>
        <w:t>).  This cost is also inclusive of</w:t>
      </w:r>
      <w:r>
        <w:rPr>
          <w:sz w:val="24"/>
        </w:rPr>
        <w:t xml:space="preserve"> </w:t>
      </w:r>
      <w:r w:rsidR="00602176">
        <w:rPr>
          <w:sz w:val="24"/>
        </w:rPr>
        <w:t xml:space="preserve">the estimated </w:t>
      </w:r>
      <w:r w:rsidR="002D5B22">
        <w:rPr>
          <w:sz w:val="24"/>
        </w:rPr>
        <w:t>$54,141.68</w:t>
      </w:r>
      <w:r w:rsidR="00B03B92">
        <w:rPr>
          <w:sz w:val="24"/>
        </w:rPr>
        <w:t xml:space="preserve"> </w:t>
      </w:r>
      <w:r w:rsidR="00BF180F">
        <w:rPr>
          <w:sz w:val="24"/>
        </w:rPr>
        <w:t xml:space="preserve">total annualized </w:t>
      </w:r>
      <w:r w:rsidR="00602176">
        <w:rPr>
          <w:sz w:val="24"/>
        </w:rPr>
        <w:t xml:space="preserve">cost </w:t>
      </w:r>
      <w:r w:rsidRPr="00EC3E68" w:rsidR="00EC3E68">
        <w:rPr>
          <w:sz w:val="24"/>
        </w:rPr>
        <w:t xml:space="preserve">anticipated </w:t>
      </w:r>
      <w:r w:rsidR="00602176">
        <w:rPr>
          <w:sz w:val="24"/>
        </w:rPr>
        <w:t xml:space="preserve">for the </w:t>
      </w:r>
      <w:r w:rsidRPr="00EC3E68" w:rsidR="00EC3E68">
        <w:rPr>
          <w:sz w:val="24"/>
        </w:rPr>
        <w:t>time and effort spent by HRSA contractors on the development and maintenance-related tasks associated with the functionali</w:t>
      </w:r>
      <w:r w:rsidR="00B03B92">
        <w:rPr>
          <w:sz w:val="24"/>
        </w:rPr>
        <w:t>ty of the PIMS reporting system.</w:t>
      </w:r>
    </w:p>
    <w:p w:rsidR="00862784" w:rsidP="00D76790" w:rsidRDefault="008E4483" w14:paraId="3C4FD2DE" w14:textId="4C040C70">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Explanation for Program Changes or Adjustments</w:t>
      </w:r>
    </w:p>
    <w:p w:rsidRPr="00862784" w:rsidR="00D76790" w:rsidP="00862784" w:rsidRDefault="00D76790" w14:paraId="65D3E0CF" w14:textId="1BF25FBF">
      <w:pPr>
        <w:spacing w:before="240"/>
        <w:ind w:left="360"/>
        <w:rPr>
          <w:rFonts w:ascii="Arial" w:hAnsi="Arial" w:cs="Arial"/>
          <w:b/>
          <w:sz w:val="24"/>
        </w:rPr>
      </w:pPr>
      <w:r w:rsidRPr="00862784">
        <w:rPr>
          <w:sz w:val="24"/>
        </w:rPr>
        <w:t xml:space="preserve">Changes, in the form of revisions to some measures which were previously reviewed and approved under OMB Number 0906-0009, have been made.  The revision to the measures seeking OMB review and approval were completed to improve alignment of collected information to the current competitive cohort and healthcare environment.  The proposed revisions specifically include the following:   </w:t>
      </w:r>
    </w:p>
    <w:p w:rsidR="00D76790" w:rsidP="00FF357C" w:rsidRDefault="00FF357C" w14:paraId="79E8F8A9" w14:textId="07FC64DD">
      <w:pPr>
        <w:pStyle w:val="ListParagraph"/>
        <w:numPr>
          <w:ilvl w:val="0"/>
          <w:numId w:val="46"/>
        </w:numPr>
        <w:spacing w:before="240"/>
        <w:rPr>
          <w:sz w:val="24"/>
        </w:rPr>
      </w:pPr>
      <w:r>
        <w:rPr>
          <w:sz w:val="24"/>
        </w:rPr>
        <w:t>A</w:t>
      </w:r>
      <w:r w:rsidR="0000010B">
        <w:rPr>
          <w:sz w:val="24"/>
        </w:rPr>
        <w:t>ddition of</w:t>
      </w:r>
      <w:r w:rsidR="00D76790">
        <w:rPr>
          <w:sz w:val="24"/>
        </w:rPr>
        <w:t xml:space="preserve"> </w:t>
      </w:r>
      <w:r w:rsidRPr="00FF357C">
        <w:rPr>
          <w:sz w:val="24"/>
        </w:rPr>
        <w:t>project-specific measures</w:t>
      </w:r>
      <w:r w:rsidR="00D76790">
        <w:rPr>
          <w:sz w:val="24"/>
        </w:rPr>
        <w:t>:</w:t>
      </w:r>
    </w:p>
    <w:p w:rsidR="00D76790" w:rsidP="00D76790" w:rsidRDefault="00D76790" w14:paraId="7B78D1BF" w14:textId="0920BCC5">
      <w:pPr>
        <w:pStyle w:val="ListParagraph"/>
        <w:numPr>
          <w:ilvl w:val="0"/>
          <w:numId w:val="36"/>
        </w:numPr>
        <w:spacing w:before="240"/>
        <w:rPr>
          <w:sz w:val="24"/>
        </w:rPr>
      </w:pPr>
      <w:r>
        <w:rPr>
          <w:sz w:val="24"/>
        </w:rPr>
        <w:t>A</w:t>
      </w:r>
      <w:r w:rsidR="003B0A78">
        <w:rPr>
          <w:sz w:val="24"/>
        </w:rPr>
        <w:t xml:space="preserve">ddition of </w:t>
      </w:r>
      <w:r>
        <w:rPr>
          <w:sz w:val="24"/>
        </w:rPr>
        <w:t xml:space="preserve">measures </w:t>
      </w:r>
      <w:r w:rsidRPr="00FF357C" w:rsidR="00FF357C">
        <w:rPr>
          <w:sz w:val="24"/>
        </w:rPr>
        <w:t xml:space="preserve">related to the </w:t>
      </w:r>
      <w:r w:rsidR="003B0A78">
        <w:rPr>
          <w:sz w:val="24"/>
        </w:rPr>
        <w:t xml:space="preserve">program’s new </w:t>
      </w:r>
      <w:r w:rsidRPr="00FF357C" w:rsidR="00FF357C">
        <w:rPr>
          <w:sz w:val="24"/>
        </w:rPr>
        <w:t>Rural Healthy Hometown Initiative (HRHI) (includes 17 required and 20 optional measures for a t</w:t>
      </w:r>
      <w:r w:rsidR="00FF357C">
        <w:rPr>
          <w:sz w:val="24"/>
        </w:rPr>
        <w:t xml:space="preserve">otal of 37 additional measures).  These measures are </w:t>
      </w:r>
      <w:r w:rsidRPr="00FF357C" w:rsidR="00FF357C">
        <w:rPr>
          <w:sz w:val="24"/>
        </w:rPr>
        <w:t xml:space="preserve">applicable only to Outreach awardees who apply to be part of the HRHI track (anticipated total of 16 out of 61 awardees) to focus on one or more of the five causes of excess death in rural communities (heart disease, cancer, unintentional injury/substance use, chronic lower respiratory disease, and </w:t>
      </w:r>
      <w:r>
        <w:rPr>
          <w:sz w:val="24"/>
        </w:rPr>
        <w:t xml:space="preserve">stroke). </w:t>
      </w:r>
      <w:r w:rsidRPr="00FF357C" w:rsidR="00FF357C">
        <w:rPr>
          <w:sz w:val="24"/>
        </w:rPr>
        <w:t xml:space="preserve"> </w:t>
      </w:r>
    </w:p>
    <w:p w:rsidR="00085686" w:rsidP="00085686" w:rsidRDefault="00085686" w14:paraId="1D3B7ACE" w14:textId="4F645893">
      <w:pPr>
        <w:pStyle w:val="ListParagraph"/>
        <w:numPr>
          <w:ilvl w:val="0"/>
          <w:numId w:val="36"/>
        </w:numPr>
        <w:spacing w:before="240"/>
        <w:rPr>
          <w:sz w:val="24"/>
        </w:rPr>
      </w:pPr>
      <w:r>
        <w:rPr>
          <w:sz w:val="24"/>
        </w:rPr>
        <w:t>N</w:t>
      </w:r>
      <w:r w:rsidR="003B0A78">
        <w:rPr>
          <w:sz w:val="24"/>
        </w:rPr>
        <w:t xml:space="preserve">ew </w:t>
      </w:r>
      <w:r w:rsidRPr="00D76790" w:rsidR="00FF357C">
        <w:rPr>
          <w:sz w:val="24"/>
        </w:rPr>
        <w:t>project-specific measu</w:t>
      </w:r>
      <w:r w:rsidR="003B0A78">
        <w:rPr>
          <w:sz w:val="24"/>
        </w:rPr>
        <w:t xml:space="preserve">res (3 additional measures) </w:t>
      </w:r>
      <w:r w:rsidRPr="00D76790" w:rsidR="00FF357C">
        <w:rPr>
          <w:sz w:val="24"/>
        </w:rPr>
        <w:t xml:space="preserve">applicable to Outreach </w:t>
      </w:r>
      <w:r w:rsidRPr="00D76790" w:rsidR="00FF357C">
        <w:rPr>
          <w:sz w:val="24"/>
        </w:rPr>
        <w:lastRenderedPageBreak/>
        <w:t xml:space="preserve">Awardees with a focus on telehealth (anticipated total of 15 out of 61 awardees); </w:t>
      </w:r>
    </w:p>
    <w:p w:rsidRPr="00085686" w:rsidR="00FF357C" w:rsidP="00085686" w:rsidRDefault="00085686" w14:paraId="3C1072AF" w14:textId="31B61F0A">
      <w:pPr>
        <w:pStyle w:val="ListParagraph"/>
        <w:numPr>
          <w:ilvl w:val="0"/>
          <w:numId w:val="36"/>
        </w:numPr>
        <w:spacing w:before="240"/>
        <w:rPr>
          <w:sz w:val="24"/>
        </w:rPr>
      </w:pPr>
      <w:r>
        <w:rPr>
          <w:sz w:val="24"/>
        </w:rPr>
        <w:t>N</w:t>
      </w:r>
      <w:r w:rsidRPr="00085686" w:rsidR="00D76790">
        <w:rPr>
          <w:sz w:val="24"/>
        </w:rPr>
        <w:t>ew</w:t>
      </w:r>
      <w:r w:rsidRPr="00085686" w:rsidR="00FF357C">
        <w:rPr>
          <w:sz w:val="24"/>
        </w:rPr>
        <w:t xml:space="preserve"> social determinants of health measures (3 additional </w:t>
      </w:r>
      <w:r w:rsidRPr="00085686" w:rsidR="003B0A78">
        <w:rPr>
          <w:sz w:val="24"/>
        </w:rPr>
        <w:t xml:space="preserve">measures) </w:t>
      </w:r>
      <w:r w:rsidRPr="00085686" w:rsidR="00FF357C">
        <w:rPr>
          <w:sz w:val="24"/>
        </w:rPr>
        <w:t xml:space="preserve">applicable to Outreach Awardees addressing social determinants of health as part of their grant funded activities (anticipated total of 15 out of 61 awardees); </w:t>
      </w:r>
    </w:p>
    <w:p w:rsidR="00FF357C" w:rsidP="00FF357C" w:rsidRDefault="00FF357C" w14:paraId="358A841F" w14:textId="59FE40D4">
      <w:pPr>
        <w:pStyle w:val="ListParagraph"/>
        <w:numPr>
          <w:ilvl w:val="0"/>
          <w:numId w:val="46"/>
        </w:numPr>
        <w:spacing w:before="240"/>
        <w:rPr>
          <w:sz w:val="24"/>
        </w:rPr>
      </w:pPr>
      <w:r>
        <w:rPr>
          <w:sz w:val="24"/>
        </w:rPr>
        <w:t>C</w:t>
      </w:r>
      <w:r w:rsidR="0000010B">
        <w:rPr>
          <w:sz w:val="24"/>
        </w:rPr>
        <w:t xml:space="preserve">onsolidation of previous singular measures focused on access to care </w:t>
      </w:r>
      <w:r w:rsidRPr="00FF357C">
        <w:rPr>
          <w:sz w:val="24"/>
        </w:rPr>
        <w:t xml:space="preserve">to composite measure format (currently 14, previously </w:t>
      </w:r>
      <w:r>
        <w:rPr>
          <w:sz w:val="24"/>
        </w:rPr>
        <w:t>16) applicable to all awardees</w:t>
      </w:r>
      <w:r w:rsidR="003B0A78">
        <w:rPr>
          <w:sz w:val="24"/>
        </w:rPr>
        <w:t>.</w:t>
      </w:r>
      <w:r>
        <w:rPr>
          <w:sz w:val="24"/>
        </w:rPr>
        <w:t xml:space="preserve"> </w:t>
      </w:r>
    </w:p>
    <w:p w:rsidR="00FF357C" w:rsidP="00FF357C" w:rsidRDefault="00FF357C" w14:paraId="4D03FCA1" w14:textId="05BC9B27">
      <w:pPr>
        <w:pStyle w:val="ListParagraph"/>
        <w:numPr>
          <w:ilvl w:val="0"/>
          <w:numId w:val="46"/>
        </w:numPr>
        <w:spacing w:before="240"/>
        <w:rPr>
          <w:sz w:val="24"/>
        </w:rPr>
      </w:pPr>
      <w:r>
        <w:rPr>
          <w:sz w:val="24"/>
        </w:rPr>
        <w:t>R</w:t>
      </w:r>
      <w:r w:rsidR="00D76790">
        <w:rPr>
          <w:sz w:val="24"/>
        </w:rPr>
        <w:t xml:space="preserve">emoval of 3 </w:t>
      </w:r>
      <w:r w:rsidRPr="00FF357C">
        <w:rPr>
          <w:sz w:val="24"/>
        </w:rPr>
        <w:t xml:space="preserve">outdated </w:t>
      </w:r>
      <w:r>
        <w:rPr>
          <w:sz w:val="24"/>
        </w:rPr>
        <w:t>measures:</w:t>
      </w:r>
    </w:p>
    <w:p w:rsidR="00D76790" w:rsidP="00D76790" w:rsidRDefault="00FF357C" w14:paraId="251B0300" w14:textId="77777777">
      <w:pPr>
        <w:pStyle w:val="ListParagraph"/>
        <w:numPr>
          <w:ilvl w:val="0"/>
          <w:numId w:val="36"/>
        </w:numPr>
        <w:spacing w:before="240"/>
        <w:rPr>
          <w:sz w:val="24"/>
        </w:rPr>
      </w:pPr>
      <w:r>
        <w:rPr>
          <w:sz w:val="24"/>
        </w:rPr>
        <w:t xml:space="preserve">Removed 1 </w:t>
      </w:r>
      <w:r w:rsidRPr="00FF357C">
        <w:rPr>
          <w:sz w:val="24"/>
        </w:rPr>
        <w:t xml:space="preserve">project specific measure applicable to awardees focused on childhood obesity; </w:t>
      </w:r>
    </w:p>
    <w:p w:rsidR="00D76790" w:rsidP="00D76790" w:rsidRDefault="00FF357C" w14:paraId="3B95ED22" w14:textId="77777777">
      <w:pPr>
        <w:pStyle w:val="ListParagraph"/>
        <w:numPr>
          <w:ilvl w:val="0"/>
          <w:numId w:val="36"/>
        </w:numPr>
        <w:spacing w:before="240"/>
        <w:rPr>
          <w:sz w:val="24"/>
        </w:rPr>
      </w:pPr>
      <w:r w:rsidRPr="00D76790">
        <w:rPr>
          <w:sz w:val="24"/>
        </w:rPr>
        <w:t>R</w:t>
      </w:r>
      <w:r w:rsidR="00D76790">
        <w:rPr>
          <w:sz w:val="24"/>
        </w:rPr>
        <w:t>emoved</w:t>
      </w:r>
      <w:r w:rsidRPr="00D76790">
        <w:rPr>
          <w:sz w:val="24"/>
        </w:rPr>
        <w:t xml:space="preserve"> </w:t>
      </w:r>
      <w:r w:rsidR="00D76790">
        <w:rPr>
          <w:sz w:val="24"/>
        </w:rPr>
        <w:t xml:space="preserve">1 </w:t>
      </w:r>
      <w:r w:rsidRPr="00D76790">
        <w:rPr>
          <w:sz w:val="24"/>
        </w:rPr>
        <w:t xml:space="preserve">project specific applicable to awardees providing clinical services (currently 7, previously 8) related to Healthy People 2020 and; </w:t>
      </w:r>
    </w:p>
    <w:p w:rsidR="00D76790" w:rsidP="00D76790" w:rsidRDefault="00D76790" w14:paraId="288CD2A9" w14:textId="74951AA9">
      <w:pPr>
        <w:pStyle w:val="ListParagraph"/>
        <w:numPr>
          <w:ilvl w:val="0"/>
          <w:numId w:val="36"/>
        </w:numPr>
        <w:spacing w:before="240"/>
        <w:rPr>
          <w:sz w:val="24"/>
        </w:rPr>
      </w:pPr>
      <w:r>
        <w:rPr>
          <w:sz w:val="24"/>
        </w:rPr>
        <w:t>Removed 1</w:t>
      </w:r>
      <w:r w:rsidRPr="00D76790" w:rsidR="00FF357C">
        <w:rPr>
          <w:sz w:val="24"/>
        </w:rPr>
        <w:t xml:space="preserve"> project specific </w:t>
      </w:r>
      <w:r w:rsidR="003B0A78">
        <w:rPr>
          <w:sz w:val="24"/>
        </w:rPr>
        <w:t xml:space="preserve">measure applicable to the program’s former </w:t>
      </w:r>
      <w:r w:rsidRPr="00D76790" w:rsidR="00FF357C">
        <w:rPr>
          <w:sz w:val="24"/>
        </w:rPr>
        <w:t>Health Improvement</w:t>
      </w:r>
      <w:r>
        <w:rPr>
          <w:sz w:val="24"/>
        </w:rPr>
        <w:t xml:space="preserve"> Special Project (HISP) </w:t>
      </w:r>
      <w:r w:rsidR="003B0A78">
        <w:rPr>
          <w:sz w:val="24"/>
        </w:rPr>
        <w:t xml:space="preserve">track.  </w:t>
      </w:r>
    </w:p>
    <w:p w:rsidR="0000010B" w:rsidP="0000010B" w:rsidRDefault="00D76790" w14:paraId="37C85C72" w14:textId="5D589EAA">
      <w:pPr>
        <w:spacing w:before="240"/>
        <w:ind w:left="360"/>
        <w:rPr>
          <w:sz w:val="24"/>
        </w:rPr>
      </w:pPr>
      <w:r w:rsidRPr="00D76790">
        <w:rPr>
          <w:sz w:val="24"/>
        </w:rPr>
        <w:t xml:space="preserve">In total, proposed changes reflect the addition of 43 measures and the removal of 5 measures for </w:t>
      </w:r>
      <w:r w:rsidR="003B0A78">
        <w:rPr>
          <w:sz w:val="24"/>
        </w:rPr>
        <w:t>change reflecting a total increase of</w:t>
      </w:r>
      <w:r w:rsidRPr="00D76790">
        <w:rPr>
          <w:sz w:val="24"/>
        </w:rPr>
        <w:t xml:space="preserve"> 38 measures.  </w:t>
      </w:r>
      <w:r w:rsidR="003B0A78">
        <w:rPr>
          <w:sz w:val="24"/>
        </w:rPr>
        <w:t xml:space="preserve">Added measures are project specific and will not be </w:t>
      </w:r>
      <w:r w:rsidRPr="00D76790" w:rsidR="003B0A78">
        <w:rPr>
          <w:sz w:val="24"/>
        </w:rPr>
        <w:t>applicable to all 61 responde</w:t>
      </w:r>
      <w:r w:rsidR="003B0A78">
        <w:rPr>
          <w:sz w:val="24"/>
        </w:rPr>
        <w:t xml:space="preserve">nts </w:t>
      </w:r>
      <w:r w:rsidRPr="00D76790">
        <w:rPr>
          <w:sz w:val="24"/>
        </w:rPr>
        <w:t>(only applicable to anticipated total ranging f</w:t>
      </w:r>
      <w:r w:rsidR="003B0A78">
        <w:rPr>
          <w:sz w:val="24"/>
        </w:rPr>
        <w:t>rom 15-16 out of 61 awardees</w:t>
      </w:r>
      <w:r w:rsidR="0000010B">
        <w:rPr>
          <w:sz w:val="24"/>
        </w:rPr>
        <w:t xml:space="preserve">).  </w:t>
      </w:r>
    </w:p>
    <w:p w:rsidR="00D76790" w:rsidP="00D76790" w:rsidRDefault="0000010B" w14:paraId="5F2EA238" w14:textId="5D5FEFC7">
      <w:pPr>
        <w:spacing w:before="240"/>
        <w:ind w:left="360"/>
        <w:rPr>
          <w:sz w:val="24"/>
        </w:rPr>
      </w:pPr>
      <w:r>
        <w:rPr>
          <w:sz w:val="24"/>
        </w:rPr>
        <w:t xml:space="preserve">A change </w:t>
      </w:r>
      <w:r w:rsidRPr="00FF357C" w:rsidR="00D76790">
        <w:rPr>
          <w:sz w:val="24"/>
        </w:rPr>
        <w:t xml:space="preserve">in the total number of respondents (61 total </w:t>
      </w:r>
      <w:r>
        <w:rPr>
          <w:sz w:val="24"/>
        </w:rPr>
        <w:t xml:space="preserve">currently, previously 25) is </w:t>
      </w:r>
      <w:r w:rsidRPr="00FF357C" w:rsidR="00D76790">
        <w:rPr>
          <w:sz w:val="24"/>
        </w:rPr>
        <w:t>expected to increase the total hour burden hours.</w:t>
      </w:r>
    </w:p>
    <w:p w:rsidRPr="00085686" w:rsidR="00085686" w:rsidP="00085686" w:rsidRDefault="008E4483" w14:paraId="4413F7E9" w14:textId="4EB81136">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Plans for Tabulation</w:t>
      </w:r>
      <w:r w:rsidRPr="00C45431" w:rsidR="002118B4">
        <w:rPr>
          <w:rFonts w:ascii="Arial" w:hAnsi="Arial" w:cs="Arial"/>
          <w:b/>
          <w:sz w:val="24"/>
          <w:u w:val="single"/>
        </w:rPr>
        <w:t xml:space="preserve">, </w:t>
      </w:r>
      <w:r w:rsidRPr="00C45431" w:rsidR="009B3794">
        <w:rPr>
          <w:rFonts w:ascii="Arial" w:hAnsi="Arial" w:cs="Arial"/>
          <w:b/>
          <w:sz w:val="24"/>
          <w:u w:val="single"/>
        </w:rPr>
        <w:t>Publication</w:t>
      </w:r>
      <w:r w:rsidRPr="00C45431" w:rsidR="002118B4">
        <w:rPr>
          <w:rFonts w:ascii="Arial" w:hAnsi="Arial" w:cs="Arial"/>
          <w:b/>
          <w:sz w:val="24"/>
          <w:u w:val="single"/>
        </w:rPr>
        <w:t>,</w:t>
      </w:r>
      <w:r w:rsidRPr="00C45431" w:rsidR="009B3794">
        <w:rPr>
          <w:rFonts w:ascii="Arial" w:hAnsi="Arial" w:cs="Arial"/>
          <w:b/>
          <w:sz w:val="24"/>
          <w:u w:val="single"/>
        </w:rPr>
        <w:t xml:space="preserve"> and Project Time Schedule</w:t>
      </w:r>
    </w:p>
    <w:p w:rsidRPr="00085686" w:rsidR="00085686" w:rsidP="00085686" w:rsidRDefault="00085686" w14:paraId="719FFC33" w14:textId="33A4606D">
      <w:pPr>
        <w:spacing w:before="240"/>
        <w:ind w:left="360"/>
        <w:rPr>
          <w:rFonts w:ascii="Arial" w:hAnsi="Arial" w:cs="Arial"/>
          <w:b/>
          <w:sz w:val="24"/>
        </w:rPr>
      </w:pPr>
      <w:r w:rsidRPr="00085686">
        <w:rPr>
          <w:sz w:val="24"/>
        </w:rPr>
        <w:t xml:space="preserve">There are no plans to publish the data.  The data may be used on an aggregate program level to document the impact and success of program.  This information might be used in the HRSA Annual Performance Report produced for the agency and may also be included in presentations used for rural stakeholders.  </w:t>
      </w:r>
    </w:p>
    <w:p w:rsidRPr="00C45431" w:rsidR="00D74B86" w:rsidP="00CA3DA6" w:rsidRDefault="00D74B86" w14:paraId="22E2A3A2" w14:textId="32E8F755">
      <w:pPr>
        <w:spacing w:before="120"/>
        <w:ind w:left="360"/>
        <w:rPr>
          <w:rFonts w:ascii="Arial" w:hAnsi="Arial" w:cs="Arial"/>
          <w:sz w:val="24"/>
        </w:rPr>
      </w:pPr>
    </w:p>
    <w:p w:rsidRPr="00085686" w:rsidR="00085686" w:rsidP="00085686" w:rsidRDefault="008E4483" w14:paraId="1169F37F" w14:textId="728B90CF">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Reason(s) Display of OMB Expiration Date is Inappropriate</w:t>
      </w:r>
    </w:p>
    <w:p w:rsidRPr="00085686" w:rsidR="00085686" w:rsidP="00085686" w:rsidRDefault="00085686" w14:paraId="4E1A900E" w14:textId="10103AC1">
      <w:pPr>
        <w:spacing w:before="240"/>
        <w:ind w:left="360"/>
        <w:rPr>
          <w:rFonts w:ascii="Arial" w:hAnsi="Arial" w:cs="Arial"/>
          <w:b/>
          <w:sz w:val="32"/>
        </w:rPr>
      </w:pPr>
      <w:r w:rsidRPr="00085686">
        <w:rPr>
          <w:sz w:val="24"/>
        </w:rPr>
        <w:t>The OMB number and Expiration date will be displayed on every page of every form/instrument</w:t>
      </w:r>
    </w:p>
    <w:p w:rsidRPr="00085686" w:rsidR="00085686" w:rsidP="00085686" w:rsidRDefault="008E4483" w14:paraId="37F22803" w14:textId="07B9ABA2">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bookmarkStart w:name="_GoBack" w:id="0"/>
      <w:bookmarkEnd w:id="0"/>
      <w:r w:rsidRPr="00C45431" w:rsidR="009B3794">
        <w:rPr>
          <w:rFonts w:ascii="Arial" w:hAnsi="Arial" w:cs="Arial"/>
          <w:b/>
          <w:sz w:val="24"/>
          <w:u w:val="single"/>
        </w:rPr>
        <w:t>Exceptions to Certification for Paperwork Reduction Act Submissions</w:t>
      </w:r>
    </w:p>
    <w:p w:rsidRPr="00085686" w:rsidR="00085686" w:rsidP="00085686" w:rsidRDefault="00085686" w14:paraId="581BC48E" w14:textId="34F862C6">
      <w:pPr>
        <w:spacing w:before="240"/>
        <w:ind w:left="360"/>
        <w:rPr>
          <w:rFonts w:ascii="Arial" w:hAnsi="Arial" w:cs="Arial"/>
          <w:b/>
          <w:sz w:val="32"/>
        </w:rPr>
      </w:pPr>
      <w:r w:rsidRPr="00085686">
        <w:rPr>
          <w:sz w:val="24"/>
        </w:rPr>
        <w:lastRenderedPageBreak/>
        <w:t>There are no exceptions to the certification</w:t>
      </w:r>
    </w:p>
    <w:sectPr w:rsidRPr="00085686" w:rsidR="00085686" w:rsidSect="00E353C8">
      <w:footerReference w:type="default" r:id="rId18"/>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A3A9" w14:textId="77777777" w:rsidR="00680D76" w:rsidRDefault="00680D76">
      <w:r>
        <w:separator/>
      </w:r>
    </w:p>
  </w:endnote>
  <w:endnote w:type="continuationSeparator" w:id="0">
    <w:p w14:paraId="22E2A3AA"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6A72B109"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325545">
      <w:rPr>
        <w:noProof/>
        <w:sz w:val="24"/>
      </w:rPr>
      <w:t>7</w:t>
    </w:r>
    <w:r>
      <w:rPr>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A3A7" w14:textId="77777777" w:rsidR="00680D76" w:rsidRDefault="00680D76">
      <w:r>
        <w:separator/>
      </w:r>
    </w:p>
  </w:footnote>
  <w:footnote w:type="continuationSeparator" w:id="0">
    <w:p w14:paraId="22E2A3A8" w14:textId="77777777" w:rsidR="00680D76" w:rsidRDefault="006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7611DE"/>
    <w:multiLevelType w:val="hybridMultilevel"/>
    <w:tmpl w:val="C4F0E72C"/>
    <w:lvl w:ilvl="0" w:tplc="657005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D2870"/>
    <w:multiLevelType w:val="hybridMultilevel"/>
    <w:tmpl w:val="343EB9C8"/>
    <w:lvl w:ilvl="0" w:tplc="ECF65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F66495E"/>
    <w:multiLevelType w:val="hybridMultilevel"/>
    <w:tmpl w:val="A2E2297E"/>
    <w:lvl w:ilvl="0" w:tplc="1024932C">
      <w:start w:val="1"/>
      <w:numFmt w:val="bullet"/>
      <w:lvlText w:val=""/>
      <w:lvlJc w:val="left"/>
      <w:pPr>
        <w:tabs>
          <w:tab w:val="num" w:pos="2160"/>
        </w:tabs>
        <w:ind w:left="1512" w:hanging="216"/>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8823AFD"/>
    <w:multiLevelType w:val="hybridMultilevel"/>
    <w:tmpl w:val="AA900766"/>
    <w:lvl w:ilvl="0" w:tplc="CB5ABC66">
      <w:start w:val="1"/>
      <w:numFmt w:val="decimal"/>
      <w:lvlText w:val="%1."/>
      <w:lvlJc w:val="left"/>
      <w:pPr>
        <w:ind w:left="360" w:hanging="360"/>
      </w:pPr>
      <w:rPr>
        <w:b/>
      </w:rPr>
    </w:lvl>
    <w:lvl w:ilvl="1" w:tplc="3048B44A">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0F675A"/>
    <w:multiLevelType w:val="hybridMultilevel"/>
    <w:tmpl w:val="88743A9A"/>
    <w:lvl w:ilvl="0" w:tplc="ECF65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2"/>
  </w:num>
  <w:num w:numId="5">
    <w:abstractNumId w:val="45"/>
  </w:num>
  <w:num w:numId="6">
    <w:abstractNumId w:val="11"/>
  </w:num>
  <w:num w:numId="7">
    <w:abstractNumId w:val="38"/>
  </w:num>
  <w:num w:numId="8">
    <w:abstractNumId w:val="19"/>
  </w:num>
  <w:num w:numId="9">
    <w:abstractNumId w:val="27"/>
  </w:num>
  <w:num w:numId="10">
    <w:abstractNumId w:val="21"/>
  </w:num>
  <w:num w:numId="11">
    <w:abstractNumId w:val="10"/>
  </w:num>
  <w:num w:numId="12">
    <w:abstractNumId w:val="26"/>
  </w:num>
  <w:num w:numId="13">
    <w:abstractNumId w:val="22"/>
  </w:num>
  <w:num w:numId="14">
    <w:abstractNumId w:val="24"/>
  </w:num>
  <w:num w:numId="15">
    <w:abstractNumId w:val="9"/>
  </w:num>
  <w:num w:numId="16">
    <w:abstractNumId w:val="0"/>
  </w:num>
  <w:num w:numId="17">
    <w:abstractNumId w:val="1"/>
  </w:num>
  <w:num w:numId="18">
    <w:abstractNumId w:val="17"/>
  </w:num>
  <w:num w:numId="19">
    <w:abstractNumId w:val="37"/>
  </w:num>
  <w:num w:numId="20">
    <w:abstractNumId w:val="35"/>
  </w:num>
  <w:num w:numId="21">
    <w:abstractNumId w:val="20"/>
  </w:num>
  <w:num w:numId="22">
    <w:abstractNumId w:val="41"/>
  </w:num>
  <w:num w:numId="23">
    <w:abstractNumId w:val="33"/>
  </w:num>
  <w:num w:numId="24">
    <w:abstractNumId w:val="34"/>
  </w:num>
  <w:num w:numId="25">
    <w:abstractNumId w:val="44"/>
  </w:num>
  <w:num w:numId="26">
    <w:abstractNumId w:val="40"/>
  </w:num>
  <w:num w:numId="27">
    <w:abstractNumId w:val="3"/>
  </w:num>
  <w:num w:numId="28">
    <w:abstractNumId w:val="18"/>
  </w:num>
  <w:num w:numId="29">
    <w:abstractNumId w:val="43"/>
  </w:num>
  <w:num w:numId="30">
    <w:abstractNumId w:val="39"/>
  </w:num>
  <w:num w:numId="31">
    <w:abstractNumId w:val="36"/>
  </w:num>
  <w:num w:numId="32">
    <w:abstractNumId w:val="12"/>
  </w:num>
  <w:num w:numId="33">
    <w:abstractNumId w:val="2"/>
  </w:num>
  <w:num w:numId="34">
    <w:abstractNumId w:val="30"/>
  </w:num>
  <w:num w:numId="35">
    <w:abstractNumId w:val="14"/>
  </w:num>
  <w:num w:numId="36">
    <w:abstractNumId w:val="13"/>
  </w:num>
  <w:num w:numId="37">
    <w:abstractNumId w:val="15"/>
  </w:num>
  <w:num w:numId="38">
    <w:abstractNumId w:val="5"/>
  </w:num>
  <w:num w:numId="39">
    <w:abstractNumId w:val="32"/>
  </w:num>
  <w:num w:numId="40">
    <w:abstractNumId w:val="8"/>
  </w:num>
  <w:num w:numId="41">
    <w:abstractNumId w:val="31"/>
  </w:num>
  <w:num w:numId="42">
    <w:abstractNumId w:val="25"/>
  </w:num>
  <w:num w:numId="43">
    <w:abstractNumId w:val="6"/>
  </w:num>
  <w:num w:numId="44">
    <w:abstractNumId w:val="7"/>
  </w:num>
  <w:num w:numId="45">
    <w:abstractNumId w:val="4"/>
  </w:num>
  <w:num w:numId="46">
    <w:abstractNumId w:val="2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010B"/>
    <w:rsid w:val="00015505"/>
    <w:rsid w:val="00085686"/>
    <w:rsid w:val="001325B2"/>
    <w:rsid w:val="00135A07"/>
    <w:rsid w:val="00185661"/>
    <w:rsid w:val="001920C3"/>
    <w:rsid w:val="001D4856"/>
    <w:rsid w:val="00204EE9"/>
    <w:rsid w:val="002118B4"/>
    <w:rsid w:val="002640E7"/>
    <w:rsid w:val="00276008"/>
    <w:rsid w:val="00281924"/>
    <w:rsid w:val="002D5B22"/>
    <w:rsid w:val="002E2E3E"/>
    <w:rsid w:val="003007BB"/>
    <w:rsid w:val="00322313"/>
    <w:rsid w:val="00323DDD"/>
    <w:rsid w:val="00325545"/>
    <w:rsid w:val="00342E44"/>
    <w:rsid w:val="003431F3"/>
    <w:rsid w:val="00391E16"/>
    <w:rsid w:val="00396B88"/>
    <w:rsid w:val="003A1EE6"/>
    <w:rsid w:val="003B0A78"/>
    <w:rsid w:val="003D23B1"/>
    <w:rsid w:val="00402F43"/>
    <w:rsid w:val="00472847"/>
    <w:rsid w:val="004746CA"/>
    <w:rsid w:val="00490720"/>
    <w:rsid w:val="00496175"/>
    <w:rsid w:val="004E687D"/>
    <w:rsid w:val="00503BAB"/>
    <w:rsid w:val="00510AD3"/>
    <w:rsid w:val="00514AFA"/>
    <w:rsid w:val="00564AA4"/>
    <w:rsid w:val="00582369"/>
    <w:rsid w:val="005D7625"/>
    <w:rsid w:val="005E1765"/>
    <w:rsid w:val="005E4A08"/>
    <w:rsid w:val="00602176"/>
    <w:rsid w:val="00624019"/>
    <w:rsid w:val="00627FFD"/>
    <w:rsid w:val="00680D76"/>
    <w:rsid w:val="0073114C"/>
    <w:rsid w:val="00764224"/>
    <w:rsid w:val="007C22E4"/>
    <w:rsid w:val="007F047A"/>
    <w:rsid w:val="008002AB"/>
    <w:rsid w:val="00862240"/>
    <w:rsid w:val="00862784"/>
    <w:rsid w:val="008B04CA"/>
    <w:rsid w:val="008D2D67"/>
    <w:rsid w:val="008E4483"/>
    <w:rsid w:val="00901464"/>
    <w:rsid w:val="00935E77"/>
    <w:rsid w:val="009B3794"/>
    <w:rsid w:val="009B780A"/>
    <w:rsid w:val="009B7E4D"/>
    <w:rsid w:val="00A152D0"/>
    <w:rsid w:val="00A1688A"/>
    <w:rsid w:val="00A21168"/>
    <w:rsid w:val="00A277CD"/>
    <w:rsid w:val="00A92CAB"/>
    <w:rsid w:val="00AC135A"/>
    <w:rsid w:val="00AC5D98"/>
    <w:rsid w:val="00AE19B1"/>
    <w:rsid w:val="00AE7154"/>
    <w:rsid w:val="00B03B92"/>
    <w:rsid w:val="00B155CF"/>
    <w:rsid w:val="00B655C6"/>
    <w:rsid w:val="00BA1A0C"/>
    <w:rsid w:val="00BF180F"/>
    <w:rsid w:val="00BF2F34"/>
    <w:rsid w:val="00C45431"/>
    <w:rsid w:val="00C74B86"/>
    <w:rsid w:val="00C86126"/>
    <w:rsid w:val="00C86D68"/>
    <w:rsid w:val="00CA3DA6"/>
    <w:rsid w:val="00CC4C46"/>
    <w:rsid w:val="00CD36E7"/>
    <w:rsid w:val="00CD484B"/>
    <w:rsid w:val="00CD5FB7"/>
    <w:rsid w:val="00CE5AA9"/>
    <w:rsid w:val="00D11CA3"/>
    <w:rsid w:val="00D46313"/>
    <w:rsid w:val="00D56CC2"/>
    <w:rsid w:val="00D74B86"/>
    <w:rsid w:val="00D76790"/>
    <w:rsid w:val="00D92E1D"/>
    <w:rsid w:val="00D93033"/>
    <w:rsid w:val="00DE3A45"/>
    <w:rsid w:val="00E00CEE"/>
    <w:rsid w:val="00E203FA"/>
    <w:rsid w:val="00E349FD"/>
    <w:rsid w:val="00E34A1F"/>
    <w:rsid w:val="00E353C8"/>
    <w:rsid w:val="00E62EC3"/>
    <w:rsid w:val="00E87554"/>
    <w:rsid w:val="00E962DB"/>
    <w:rsid w:val="00EA14BA"/>
    <w:rsid w:val="00EC38CD"/>
    <w:rsid w:val="00EC3E68"/>
    <w:rsid w:val="00ED18EA"/>
    <w:rsid w:val="00EE529C"/>
    <w:rsid w:val="00F4221E"/>
    <w:rsid w:val="00FE6C30"/>
    <w:rsid w:val="00FF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B155CF"/>
    <w:rPr>
      <w:sz w:val="16"/>
      <w:szCs w:val="16"/>
    </w:rPr>
  </w:style>
  <w:style w:type="paragraph" w:styleId="CommentText">
    <w:name w:val="annotation text"/>
    <w:basedOn w:val="Normal"/>
    <w:link w:val="CommentTextChar"/>
    <w:semiHidden/>
    <w:unhideWhenUsed/>
    <w:rsid w:val="00B155CF"/>
    <w:rPr>
      <w:szCs w:val="20"/>
    </w:rPr>
  </w:style>
  <w:style w:type="character" w:customStyle="1" w:styleId="CommentTextChar">
    <w:name w:val="Comment Text Char"/>
    <w:basedOn w:val="DefaultParagraphFont"/>
    <w:link w:val="CommentText"/>
    <w:semiHidden/>
    <w:rsid w:val="00B155CF"/>
  </w:style>
  <w:style w:type="paragraph" w:styleId="CommentSubject">
    <w:name w:val="annotation subject"/>
    <w:basedOn w:val="CommentText"/>
    <w:next w:val="CommentText"/>
    <w:link w:val="CommentSubjectChar"/>
    <w:semiHidden/>
    <w:unhideWhenUsed/>
    <w:rsid w:val="00B155CF"/>
    <w:rPr>
      <w:b/>
      <w:bCs/>
    </w:rPr>
  </w:style>
  <w:style w:type="character" w:customStyle="1" w:styleId="CommentSubjectChar">
    <w:name w:val="Comment Subject Char"/>
    <w:basedOn w:val="CommentTextChar"/>
    <w:link w:val="CommentSubject"/>
    <w:semiHidden/>
    <w:rsid w:val="00B155CF"/>
    <w:rPr>
      <w:b/>
      <w:bCs/>
    </w:rPr>
  </w:style>
  <w:style w:type="paragraph" w:styleId="NormalWeb">
    <w:name w:val="Normal (Web)"/>
    <w:basedOn w:val="Normal"/>
    <w:uiPriority w:val="99"/>
    <w:semiHidden/>
    <w:unhideWhenUsed/>
    <w:rsid w:val="009B780A"/>
    <w:pPr>
      <w:widowControl/>
      <w:autoSpaceDE/>
      <w:autoSpaceDN/>
      <w:adjustRightInd/>
    </w:pPr>
    <w:rPr>
      <w:rFonts w:eastAsiaTheme="minorHAnsi"/>
      <w:sz w:val="24"/>
    </w:rPr>
  </w:style>
  <w:style w:type="character" w:customStyle="1" w:styleId="BodyTextIndentChar">
    <w:name w:val="Body Text Indent Char"/>
    <w:basedOn w:val="DefaultParagraphFont"/>
    <w:link w:val="BodyTextIndent"/>
    <w:rsid w:val="00EC3E68"/>
    <w:rPr>
      <w:rFonts w:ascii="Baskerville Old Face" w:hAnsi="Baskerville Old Face"/>
      <w:sz w:val="24"/>
      <w:szCs w:val="24"/>
    </w:rPr>
  </w:style>
  <w:style w:type="paragraph" w:styleId="Header">
    <w:name w:val="header"/>
    <w:basedOn w:val="Normal"/>
    <w:link w:val="HeaderChar"/>
    <w:unhideWhenUsed/>
    <w:rsid w:val="00E353C8"/>
    <w:pPr>
      <w:tabs>
        <w:tab w:val="center" w:pos="4680"/>
        <w:tab w:val="right" w:pos="9360"/>
      </w:tabs>
    </w:pPr>
  </w:style>
  <w:style w:type="character" w:customStyle="1" w:styleId="HeaderChar">
    <w:name w:val="Header Char"/>
    <w:basedOn w:val="DefaultParagraphFont"/>
    <w:link w:val="Header"/>
    <w:rsid w:val="00E353C8"/>
    <w:rPr>
      <w:szCs w:val="24"/>
    </w:rPr>
  </w:style>
  <w:style w:type="paragraph" w:styleId="Footer">
    <w:name w:val="footer"/>
    <w:basedOn w:val="Normal"/>
    <w:link w:val="FooterChar"/>
    <w:unhideWhenUsed/>
    <w:rsid w:val="00E353C8"/>
    <w:pPr>
      <w:tabs>
        <w:tab w:val="center" w:pos="4680"/>
        <w:tab w:val="right" w:pos="9360"/>
      </w:tabs>
    </w:pPr>
  </w:style>
  <w:style w:type="character" w:customStyle="1" w:styleId="FooterChar">
    <w:name w:val="Footer Char"/>
    <w:basedOn w:val="DefaultParagraphFont"/>
    <w:link w:val="Footer"/>
    <w:rsid w:val="00E353C8"/>
    <w:rPr>
      <w:szCs w:val="24"/>
    </w:rPr>
  </w:style>
  <w:style w:type="character" w:styleId="FollowedHyperlink">
    <w:name w:val="FollowedHyperlink"/>
    <w:basedOn w:val="DefaultParagraphFont"/>
    <w:semiHidden/>
    <w:unhideWhenUsed/>
    <w:rsid w:val="00E353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oeback@gmhcenter.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1/07/22/2021-15607/agency-information-collection-activities-proposed-collection-public-comment-request-information" TargetMode="External"/><Relationship Id="rId17"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hyperlink" Target="https://www.bls.gov/oes/current/oes11911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ren.mccraw@fhccp.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labun@bistatep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12" ma:contentTypeDescription="Create a new document." ma:contentTypeScope="" ma:versionID="4557448fcffbf84c12dc7ea5a493f859">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DZXA3YQD6WY2-5511-478</_dlc_DocId>
    <_dlc_DocIdUrl xmlns="053a5afd-1424-405b-82d9-63deec7446f8">
      <Url>https://sharepoint.hrsa.gov/teams/forhp/cbd/_layouts/15/DocIdRedir.aspx?ID=DZXA3YQD6WY2-5511-478</Url>
      <Description>DZXA3YQD6WY2-5511-478</Description>
    </_dlc_DocIdUrl>
    <TaxCatchAll xmlns="c7d0ed18-d4ec-4450-b043-97ba750af71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8795-D165-4519-BB0D-860CC227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c7d0ed18-d4ec-4450-b043-97ba750af715"/>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24C187AC-83B7-403D-A807-1E231631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1908</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13286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8</cp:revision>
  <cp:lastPrinted>2010-10-14T13:41:00Z</cp:lastPrinted>
  <dcterms:created xsi:type="dcterms:W3CDTF">2021-09-22T14:24:00Z</dcterms:created>
  <dcterms:modified xsi:type="dcterms:W3CDTF">2021-09-30T20:35:00Z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83835cc0-18bc-4da2-b340-4516caf0d3c9</vt:lpwstr>
  </property>
</Properties>
</file>