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2086" w:rsidP="001311C3" w:rsidRDefault="00CA2086" w14:paraId="363A9859" w14:textId="77777777">
      <w:pPr>
        <w:shd w:val="clear" w:color="auto" w:fill="FFFFFF"/>
        <w:spacing w:line="480" w:lineRule="auto"/>
        <w:contextualSpacing/>
        <w:jc w:val="center"/>
      </w:pPr>
      <w:r>
        <w:t>United States Food and Drug Administration</w:t>
      </w:r>
    </w:p>
    <w:p w:rsidR="005425B7" w:rsidP="001311C3" w:rsidRDefault="001A5E31" w14:paraId="00F352D2" w14:textId="77777777">
      <w:pPr>
        <w:shd w:val="clear" w:color="auto" w:fill="FFFFFF"/>
        <w:spacing w:line="480" w:lineRule="auto"/>
        <w:contextualSpacing/>
        <w:jc w:val="center"/>
      </w:pPr>
      <w:r w:rsidRPr="00AB66B6">
        <w:t>Study of Disclosures to Health Care Providers Regarding Data that Do Not Support Unapproved Use of an Approved Prescription Drug</w:t>
      </w:r>
    </w:p>
    <w:p w:rsidR="00CA2086" w:rsidP="001311C3" w:rsidRDefault="00CA2086" w14:paraId="11BCF684" w14:textId="77777777">
      <w:pPr>
        <w:shd w:val="clear" w:color="auto" w:fill="FFFFFF"/>
        <w:spacing w:line="480" w:lineRule="auto"/>
        <w:contextualSpacing/>
        <w:jc w:val="center"/>
      </w:pPr>
      <w:r>
        <w:t>OMB Control No. 0910-NEW</w:t>
      </w:r>
    </w:p>
    <w:p w:rsidRPr="00681993" w:rsidR="00CA2086" w:rsidP="001311C3" w:rsidRDefault="00CA2086" w14:paraId="1949F096" w14:textId="77777777">
      <w:pPr>
        <w:shd w:val="clear" w:color="auto" w:fill="FFFFFF"/>
        <w:spacing w:line="480" w:lineRule="auto"/>
        <w:contextualSpacing/>
        <w:jc w:val="center"/>
      </w:pPr>
      <w:r>
        <w:t>SUPPORTING STATEMENT</w:t>
      </w:r>
    </w:p>
    <w:p w:rsidRPr="005A2020" w:rsidR="00EB7538" w:rsidP="005871C6" w:rsidRDefault="00CA2086" w14:paraId="449F662C" w14:textId="77777777">
      <w:pPr>
        <w:shd w:val="clear" w:color="auto" w:fill="FFFFFF"/>
        <w:spacing w:before="100" w:beforeAutospacing="1" w:after="100" w:afterAutospacing="1"/>
        <w:ind w:left="288"/>
        <w:rPr>
          <w:b/>
          <w:bCs/>
        </w:rPr>
      </w:pPr>
      <w:r w:rsidRPr="005A2020">
        <w:rPr>
          <w:b/>
          <w:bCs/>
        </w:rPr>
        <w:t xml:space="preserve">Part </w:t>
      </w:r>
      <w:r w:rsidRPr="005A2020" w:rsidR="002D4799">
        <w:rPr>
          <w:b/>
          <w:bCs/>
        </w:rPr>
        <w:t>B.</w:t>
      </w:r>
      <w:r w:rsidRPr="005A2020" w:rsidR="002D4799">
        <w:rPr>
          <w:b/>
          <w:bCs/>
        </w:rPr>
        <w:tab/>
      </w:r>
      <w:r w:rsidRPr="005A2020" w:rsidR="00EB7538">
        <w:rPr>
          <w:b/>
          <w:bCs/>
        </w:rPr>
        <w:t>Statistical Methods</w:t>
      </w:r>
    </w:p>
    <w:p w:rsidRPr="00681993" w:rsidR="000B4906" w:rsidP="001311C3" w:rsidRDefault="00EB7538" w14:paraId="321F869B" w14:textId="77777777">
      <w:pPr>
        <w:numPr>
          <w:ilvl w:val="0"/>
          <w:numId w:val="2"/>
        </w:numPr>
        <w:shd w:val="clear" w:color="auto" w:fill="FFFFFF"/>
        <w:spacing w:before="100" w:beforeAutospacing="1" w:after="100" w:afterAutospacing="1"/>
        <w:rPr>
          <w:u w:val="single"/>
        </w:rPr>
      </w:pPr>
      <w:r w:rsidRPr="00681993">
        <w:rPr>
          <w:u w:val="single"/>
        </w:rPr>
        <w:t>Responden</w:t>
      </w:r>
      <w:r w:rsidRPr="00681993" w:rsidR="004846BF">
        <w:rPr>
          <w:u w:val="single"/>
        </w:rPr>
        <w:t>t Universe and Sampling Methods</w:t>
      </w:r>
    </w:p>
    <w:p w:rsidR="00B9313F" w:rsidP="00BD3BF6" w:rsidRDefault="00681993" w14:paraId="7E7BB794" w14:textId="702BD976">
      <w:pPr>
        <w:ind w:left="720"/>
      </w:pPr>
      <w:r w:rsidRPr="00BA16AA">
        <w:t>For all phases of this research,</w:t>
      </w:r>
      <w:r w:rsidR="00B14D02">
        <w:t xml:space="preserve"> physician participants will be </w:t>
      </w:r>
      <w:r w:rsidR="00132CEA">
        <w:t xml:space="preserve">drawn </w:t>
      </w:r>
      <w:r w:rsidR="00B14D02">
        <w:t xml:space="preserve">from </w:t>
      </w:r>
      <w:r w:rsidR="00DE152A">
        <w:t xml:space="preserve">an internet panel (Sermo). </w:t>
      </w:r>
      <w:r w:rsidR="00B9313F">
        <w:t xml:space="preserve">Sermo is an online panel provider with a national network of practicing physicians from which they draw research respondents, representing diverse specialties, demographics and geographic locations. </w:t>
      </w:r>
      <w:r w:rsidR="00132CEA">
        <w:t xml:space="preserve">They have </w:t>
      </w:r>
      <w:r w:rsidR="00B9313F">
        <w:t>over 60,000 primary care physicians (PCPs) and 5,000 oncologis</w:t>
      </w:r>
      <w:r w:rsidR="00132CEA">
        <w:t>ts on their panel</w:t>
      </w:r>
      <w:r w:rsidR="00B14D02">
        <w:t>.</w:t>
      </w:r>
      <w:r w:rsidR="00132CEA">
        <w:t xml:space="preserve"> </w:t>
      </w:r>
      <w:r w:rsidR="00B9313F">
        <w:t>The profile of Sermo</w:t>
      </w:r>
      <w:r w:rsidR="00132CEA">
        <w:t>’s</w:t>
      </w:r>
      <w:r w:rsidR="00B9313F">
        <w:t xml:space="preserve"> US physician members closely mirrors that of the all U</w:t>
      </w:r>
      <w:r w:rsidR="00DE152A">
        <w:t>.</w:t>
      </w:r>
      <w:r w:rsidR="00B9313F">
        <w:t>S</w:t>
      </w:r>
      <w:r w:rsidR="00DE152A">
        <w:t>.</w:t>
      </w:r>
      <w:r w:rsidR="00B9313F">
        <w:t xml:space="preserve"> physicians. Ser</w:t>
      </w:r>
      <w:r w:rsidR="00327212">
        <w:t xml:space="preserve">mo validates all panel members and membership is </w:t>
      </w:r>
      <w:r w:rsidR="00B9313F">
        <w:t xml:space="preserve">voluntary. Panel members </w:t>
      </w:r>
      <w:r w:rsidR="00327212">
        <w:t>are</w:t>
      </w:r>
      <w:r w:rsidR="00B9313F">
        <w:t xml:space="preserve"> invited to participate</w:t>
      </w:r>
      <w:r w:rsidR="00327212">
        <w:t xml:space="preserve"> in research</w:t>
      </w:r>
      <w:r w:rsidR="00B9313F">
        <w:t xml:space="preserve"> by receiving an e-mail invitation (Appendix </w:t>
      </w:r>
      <w:r w:rsidR="0015453C">
        <w:t>C</w:t>
      </w:r>
      <w:r w:rsidR="00B9313F">
        <w:t xml:space="preserve">) and, if interested, can click on a hyperlink within the e-mail and gain access to the study. </w:t>
      </w:r>
      <w:r w:rsidR="00B14D02">
        <w:t xml:space="preserve">All participants in the study </w:t>
      </w:r>
      <w:r w:rsidR="00327212">
        <w:t xml:space="preserve">will be </w:t>
      </w:r>
      <w:r w:rsidR="00B14D02">
        <w:t xml:space="preserve">practicing physicians. </w:t>
      </w:r>
      <w:r w:rsidRPr="00BA16AA" w:rsidR="00B14D02">
        <w:t xml:space="preserve">For </w:t>
      </w:r>
      <w:r w:rsidR="00B14D02">
        <w:t>details on screening</w:t>
      </w:r>
      <w:r w:rsidRPr="00BA16AA" w:rsidR="00B14D02">
        <w:t>, see the “Participants”</w:t>
      </w:r>
      <w:r w:rsidR="00B14D02">
        <w:t xml:space="preserve"> </w:t>
      </w:r>
      <w:r w:rsidRPr="00BA16AA" w:rsidR="00B14D02">
        <w:t>section below.</w:t>
      </w:r>
      <w:r w:rsidR="00E96A9D">
        <w:t xml:space="preserve"> </w:t>
      </w:r>
      <w:r w:rsidR="00B9313F">
        <w:t>The sample for the current study is not intended to be representative of the physician population.</w:t>
      </w:r>
    </w:p>
    <w:p w:rsidRPr="00BA16AA" w:rsidR="004C6979" w:rsidP="001311C3" w:rsidRDefault="00EB7538" w14:paraId="5EE7B833" w14:textId="77777777">
      <w:pPr>
        <w:numPr>
          <w:ilvl w:val="0"/>
          <w:numId w:val="2"/>
        </w:numPr>
        <w:shd w:val="clear" w:color="auto" w:fill="FFFFFF"/>
        <w:spacing w:before="100" w:beforeAutospacing="1" w:after="100" w:afterAutospacing="1"/>
        <w:rPr>
          <w:u w:val="single"/>
        </w:rPr>
      </w:pPr>
      <w:r w:rsidRPr="00BA16AA">
        <w:rPr>
          <w:u w:val="single"/>
        </w:rPr>
        <w:t>Procedures fo</w:t>
      </w:r>
      <w:r w:rsidRPr="00BA16AA" w:rsidR="004846BF">
        <w:rPr>
          <w:u w:val="single"/>
        </w:rPr>
        <w:t>r the Collection of Information</w:t>
      </w:r>
      <w:r w:rsidR="00B9313F">
        <w:rPr>
          <w:u w:val="single"/>
        </w:rPr>
        <w:t xml:space="preserve"> </w:t>
      </w:r>
    </w:p>
    <w:p w:rsidRPr="00BA16AA" w:rsidR="00BC79AD" w:rsidP="001311C3" w:rsidRDefault="00BC79AD" w14:paraId="7A9269B2" w14:textId="77777777">
      <w:pPr>
        <w:shd w:val="clear" w:color="auto" w:fill="FFFFFF"/>
        <w:jc w:val="center"/>
        <w:rPr>
          <w:b/>
        </w:rPr>
      </w:pPr>
      <w:r w:rsidRPr="00BA16AA">
        <w:rPr>
          <w:b/>
        </w:rPr>
        <w:t>Design Overview</w:t>
      </w:r>
    </w:p>
    <w:p w:rsidRPr="00BA16AA" w:rsidR="00BC79AD" w:rsidP="001311C3" w:rsidRDefault="00BC79AD" w14:paraId="5DEDC474" w14:textId="77777777">
      <w:pPr>
        <w:shd w:val="clear" w:color="auto" w:fill="FFFFFF"/>
        <w:jc w:val="center"/>
        <w:rPr>
          <w:b/>
        </w:rPr>
      </w:pPr>
    </w:p>
    <w:p w:rsidRPr="00BA16AA" w:rsidR="00532973" w:rsidP="007A58D7" w:rsidRDefault="007A58D7" w14:paraId="05967A79" w14:textId="0EB07213">
      <w:pPr>
        <w:ind w:left="720"/>
        <w:rPr>
          <w:rStyle w:val="Strong"/>
        </w:rPr>
      </w:pPr>
      <w:r w:rsidRPr="00F939DE">
        <w:t xml:space="preserve">The purpose of this research is </w:t>
      </w:r>
      <w:bookmarkStart w:name="_Hlk51654969" w:id="0"/>
      <w:r w:rsidRPr="00F939DE">
        <w:t xml:space="preserve">to examine </w:t>
      </w:r>
      <w:r w:rsidR="00DB34CA">
        <w:t>physicians’</w:t>
      </w:r>
      <w:r w:rsidRPr="00F939DE">
        <w:t xml:space="preserve"> perceptions and behavioral intentions about an unapproved new use of an approved prescription drug when made aware of other data that are not supportive of the unapproved use. This research will also evaluate the effectiveness of various disclosure</w:t>
      </w:r>
      <w:r>
        <w:t xml:space="preserve"> </w:t>
      </w:r>
      <w:r w:rsidRPr="00F939DE">
        <w:t>approaches for communicating the unsupportive information.</w:t>
      </w:r>
      <w:bookmarkEnd w:id="0"/>
      <w:r w:rsidRPr="00F939DE">
        <w:t xml:space="preserve">  </w:t>
      </w:r>
      <w:r w:rsidRPr="008C05D7" w:rsidR="00DB34CA">
        <w:t xml:space="preserve">Five approaches will be examined: (1) the provision of the unsupportive data in the form of a representative publication; (2) a disclosure </w:t>
      </w:r>
      <w:r w:rsidRPr="60D52F9B" w:rsidR="00DB34CA">
        <w:t xml:space="preserve">that </w:t>
      </w:r>
      <w:r w:rsidRPr="008C05D7" w:rsidR="00DB34CA">
        <w:t>summariz</w:t>
      </w:r>
      <w:r w:rsidRPr="60D52F9B" w:rsidR="00DB34CA">
        <w:t xml:space="preserve">es, rather than provides </w:t>
      </w:r>
      <w:r w:rsidRPr="008C05D7" w:rsidR="00DB34CA">
        <w:t>the unsupportive data and including a citation to the representative publication; (</w:t>
      </w:r>
      <w:r w:rsidRPr="00047D7A" w:rsidR="00DB34CA">
        <w:t xml:space="preserve">3) a disclosure that does not </w:t>
      </w:r>
      <w:r w:rsidRPr="60D52F9B" w:rsidR="00DB34CA">
        <w:t xml:space="preserve">provide or </w:t>
      </w:r>
      <w:r w:rsidRPr="008C05D7" w:rsidR="00DB34CA">
        <w:t>include a summary of the unsupportive data</w:t>
      </w:r>
      <w:r w:rsidR="00724A75">
        <w:t>,</w:t>
      </w:r>
      <w:r w:rsidRPr="008C05D7" w:rsidR="00DB34CA">
        <w:t xml:space="preserve"> but does acknowledge that unsupportive data exist and includes a citation to the representative publication; (</w:t>
      </w:r>
      <w:r w:rsidRPr="00047D7A" w:rsidR="00DB34CA">
        <w:t xml:space="preserve">4) a general disclosure that </w:t>
      </w:r>
      <w:r w:rsidRPr="60D52F9B" w:rsidR="00DB34CA">
        <w:t>that does not provide or include a summary of the unsupportive data</w:t>
      </w:r>
      <w:r w:rsidR="00724A75">
        <w:t>,</w:t>
      </w:r>
      <w:r w:rsidRPr="60D52F9B" w:rsidR="00DB34CA">
        <w:t xml:space="preserve"> but acknowledges </w:t>
      </w:r>
      <w:r w:rsidRPr="008C05D7" w:rsidR="00DB34CA">
        <w:t xml:space="preserve">unsupportive data </w:t>
      </w:r>
      <w:r w:rsidRPr="60D52F9B" w:rsidR="00DB34CA">
        <w:rPr>
          <w:i/>
          <w:iCs/>
        </w:rPr>
        <w:t>may</w:t>
      </w:r>
      <w:r w:rsidRPr="008C05D7" w:rsidR="00DB34CA">
        <w:t xml:space="preserve"> exist, without conceding that such data do exist; or (5) nothing-- the absence of any presentation of unsupportive data or any disclosure about such data (control condition).</w:t>
      </w:r>
    </w:p>
    <w:p w:rsidR="00DE152A" w:rsidP="006D1839" w:rsidRDefault="00DE152A" w14:paraId="78E52FBF" w14:textId="77777777">
      <w:pPr>
        <w:jc w:val="center"/>
        <w:rPr>
          <w:rStyle w:val="Strong"/>
        </w:rPr>
      </w:pPr>
    </w:p>
    <w:p w:rsidRPr="00BA16AA" w:rsidR="006D1839" w:rsidP="006D1839" w:rsidRDefault="006D1839" w14:paraId="0B65B0A5" w14:textId="77777777">
      <w:pPr>
        <w:jc w:val="center"/>
        <w:rPr>
          <w:rStyle w:val="Strong"/>
        </w:rPr>
      </w:pPr>
      <w:r w:rsidRPr="00BA16AA">
        <w:rPr>
          <w:rStyle w:val="Strong"/>
        </w:rPr>
        <w:t>Procedure</w:t>
      </w:r>
    </w:p>
    <w:p w:rsidRPr="00BA16AA" w:rsidR="006D1839" w:rsidP="006D1839" w:rsidRDefault="006D1839" w14:paraId="57365FF7" w14:textId="77777777">
      <w:pPr>
        <w:jc w:val="center"/>
        <w:rPr>
          <w:rStyle w:val="Strong"/>
        </w:rPr>
      </w:pPr>
    </w:p>
    <w:p w:rsidRPr="00BA16AA" w:rsidR="00532973" w:rsidP="006D1839" w:rsidRDefault="006D1839" w14:paraId="5C0C5F25" w14:textId="77777777">
      <w:pPr>
        <w:ind w:left="720"/>
        <w:rPr>
          <w:rStyle w:val="Strong"/>
          <w:b w:val="0"/>
        </w:rPr>
      </w:pPr>
      <w:r w:rsidRPr="00BA16AA">
        <w:rPr>
          <w:rStyle w:val="Strong"/>
          <w:b w:val="0"/>
        </w:rPr>
        <w:t xml:space="preserve">We plan to conduct </w:t>
      </w:r>
      <w:r w:rsidR="00DE152A">
        <w:rPr>
          <w:rStyle w:val="Strong"/>
          <w:b w:val="0"/>
        </w:rPr>
        <w:t>two</w:t>
      </w:r>
      <w:r w:rsidRPr="00BA16AA">
        <w:rPr>
          <w:rStyle w:val="Strong"/>
          <w:b w:val="0"/>
        </w:rPr>
        <w:t xml:space="preserve"> pretest</w:t>
      </w:r>
      <w:r w:rsidR="00DE152A">
        <w:rPr>
          <w:rStyle w:val="Strong"/>
          <w:b w:val="0"/>
        </w:rPr>
        <w:t>s</w:t>
      </w:r>
      <w:r w:rsidRPr="00BA16AA">
        <w:rPr>
          <w:rStyle w:val="Strong"/>
          <w:b w:val="0"/>
        </w:rPr>
        <w:t xml:space="preserve"> and two main studies not longer than 20 minutes</w:t>
      </w:r>
      <w:r w:rsidR="00DE152A">
        <w:rPr>
          <w:rStyle w:val="Strong"/>
          <w:b w:val="0"/>
        </w:rPr>
        <w:t xml:space="preserve">. </w:t>
      </w:r>
      <w:r w:rsidR="00D141E6">
        <w:rPr>
          <w:rStyle w:val="Strong"/>
          <w:b w:val="0"/>
        </w:rPr>
        <w:t xml:space="preserve">Physician </w:t>
      </w:r>
      <w:r w:rsidR="00DE152A">
        <w:rPr>
          <w:rStyle w:val="Strong"/>
          <w:b w:val="0"/>
        </w:rPr>
        <w:t>p</w:t>
      </w:r>
      <w:r w:rsidRPr="00BA16AA">
        <w:rPr>
          <w:rStyle w:val="Strong"/>
          <w:b w:val="0"/>
        </w:rPr>
        <w:t xml:space="preserve">articipants </w:t>
      </w:r>
      <w:r w:rsidR="002D3F6A">
        <w:rPr>
          <w:rStyle w:val="Strong"/>
          <w:b w:val="0"/>
        </w:rPr>
        <w:t xml:space="preserve">(oncologists, PCPs) </w:t>
      </w:r>
      <w:r w:rsidRPr="00BA16AA">
        <w:rPr>
          <w:rStyle w:val="Strong"/>
          <w:b w:val="0"/>
        </w:rPr>
        <w:t>will be randomly assigned to</w:t>
      </w:r>
      <w:r w:rsidR="00DE152A">
        <w:rPr>
          <w:rStyle w:val="Strong"/>
          <w:b w:val="0"/>
        </w:rPr>
        <w:t xml:space="preserve"> one of five </w:t>
      </w:r>
      <w:r w:rsidR="00E85DB1">
        <w:rPr>
          <w:rStyle w:val="Strong"/>
          <w:b w:val="0"/>
        </w:rPr>
        <w:t xml:space="preserve">experimental </w:t>
      </w:r>
      <w:r w:rsidR="00DE152A">
        <w:rPr>
          <w:rStyle w:val="Strong"/>
          <w:b w:val="0"/>
        </w:rPr>
        <w:t xml:space="preserve">conditions (Figure 1) and view </w:t>
      </w:r>
      <w:r w:rsidR="007A58D7">
        <w:rPr>
          <w:rStyle w:val="Strong"/>
          <w:b w:val="0"/>
        </w:rPr>
        <w:t xml:space="preserve">one version of a brief study report </w:t>
      </w:r>
      <w:r w:rsidRPr="00BA16AA">
        <w:rPr>
          <w:rStyle w:val="Strong"/>
          <w:b w:val="0"/>
        </w:rPr>
        <w:t xml:space="preserve">and then complete a questionnaire (Appendix </w:t>
      </w:r>
      <w:r w:rsidR="001C36C6">
        <w:rPr>
          <w:rStyle w:val="Strong"/>
          <w:b w:val="0"/>
        </w:rPr>
        <w:t>B</w:t>
      </w:r>
      <w:r w:rsidRPr="00BA16AA">
        <w:rPr>
          <w:rStyle w:val="Strong"/>
          <w:b w:val="0"/>
        </w:rPr>
        <w:t xml:space="preserve">) that assesses </w:t>
      </w:r>
      <w:r w:rsidR="007A58D7">
        <w:rPr>
          <w:rStyle w:val="Strong"/>
          <w:b w:val="0"/>
        </w:rPr>
        <w:t>recall and perceptions of the disclosure, the drug,</w:t>
      </w:r>
      <w:r w:rsidRPr="00BA16AA">
        <w:rPr>
          <w:rStyle w:val="Strong"/>
          <w:b w:val="0"/>
        </w:rPr>
        <w:t xml:space="preserve"> attitudes, and behavioral intentions. We will also measure covariates such as </w:t>
      </w:r>
      <w:r w:rsidR="002D3F6A">
        <w:rPr>
          <w:rStyle w:val="Strong"/>
          <w:b w:val="0"/>
        </w:rPr>
        <w:t xml:space="preserve">provider </w:t>
      </w:r>
      <w:r w:rsidRPr="00BA16AA">
        <w:rPr>
          <w:rStyle w:val="Strong"/>
          <w:b w:val="0"/>
        </w:rPr>
        <w:t>demographics</w:t>
      </w:r>
      <w:r w:rsidR="002D3F6A">
        <w:rPr>
          <w:rStyle w:val="Strong"/>
          <w:b w:val="0"/>
        </w:rPr>
        <w:t>, practice characteristics</w:t>
      </w:r>
      <w:r w:rsidRPr="00BA16AA">
        <w:rPr>
          <w:rStyle w:val="Strong"/>
          <w:b w:val="0"/>
        </w:rPr>
        <w:t xml:space="preserve">.    </w:t>
      </w:r>
    </w:p>
    <w:p w:rsidRPr="00BA16AA" w:rsidR="00532973" w:rsidP="00532973" w:rsidRDefault="00532973" w14:paraId="61AAF52B" w14:textId="77777777">
      <w:pPr>
        <w:jc w:val="center"/>
        <w:rPr>
          <w:rStyle w:val="Strong"/>
        </w:rPr>
      </w:pPr>
    </w:p>
    <w:p w:rsidRPr="00B66607" w:rsidR="009E4E92" w:rsidP="005A2020" w:rsidRDefault="009E4E92" w14:paraId="768C4D95" w14:textId="77777777">
      <w:pPr>
        <w:autoSpaceDE w:val="0"/>
        <w:autoSpaceDN w:val="0"/>
        <w:adjustRightInd w:val="0"/>
        <w:spacing w:line="480" w:lineRule="auto"/>
        <w:ind w:left="360"/>
        <w:jc w:val="center"/>
        <w:rPr>
          <w:b/>
        </w:rPr>
      </w:pPr>
      <w:r w:rsidRPr="00B66607">
        <w:rPr>
          <w:b/>
        </w:rPr>
        <w:t xml:space="preserve">Figure 1: </w:t>
      </w:r>
      <w:r w:rsidR="00DE152A">
        <w:rPr>
          <w:b/>
        </w:rPr>
        <w:t xml:space="preserve">Experimental </w:t>
      </w:r>
      <w:r w:rsidRPr="00B66607">
        <w:rPr>
          <w:b/>
        </w:rPr>
        <w:t>Study Design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79"/>
        <w:gridCol w:w="1617"/>
        <w:gridCol w:w="1640"/>
        <w:gridCol w:w="1683"/>
        <w:gridCol w:w="1622"/>
        <w:gridCol w:w="1509"/>
      </w:tblGrid>
      <w:tr w:rsidR="009E4E92" w:rsidTr="00E04CC9" w14:paraId="07E82AE5" w14:textId="77777777">
        <w:tc>
          <w:tcPr>
            <w:tcW w:w="0" w:type="auto"/>
            <w:shd w:val="clear" w:color="auto" w:fill="auto"/>
          </w:tcPr>
          <w:p w:rsidR="009E4E92" w:rsidP="00E04CC9" w:rsidRDefault="009E4E92" w14:paraId="7F893A98" w14:textId="77777777"/>
        </w:tc>
        <w:tc>
          <w:tcPr>
            <w:tcW w:w="0" w:type="auto"/>
            <w:shd w:val="clear" w:color="auto" w:fill="auto"/>
          </w:tcPr>
          <w:p w:rsidRPr="008539DD" w:rsidR="009E4E92" w:rsidP="00E04CC9" w:rsidRDefault="009E4E92" w14:paraId="4E99E7F5" w14:textId="77777777">
            <w:r w:rsidRPr="008539DD">
              <w:t>Accompanied by representative publication with unsupportive data</w:t>
            </w:r>
          </w:p>
          <w:p w:rsidRPr="008539DD" w:rsidR="009E4E92" w:rsidP="00E04CC9" w:rsidRDefault="009E4E92" w14:paraId="01647CE5" w14:textId="77777777"/>
        </w:tc>
        <w:tc>
          <w:tcPr>
            <w:tcW w:w="0" w:type="auto"/>
            <w:shd w:val="clear" w:color="auto" w:fill="auto"/>
          </w:tcPr>
          <w:p w:rsidRPr="008539DD" w:rsidR="009E4E92" w:rsidP="00E04CC9" w:rsidRDefault="009E4E92" w14:paraId="07181D55" w14:textId="77777777">
            <w:r w:rsidRPr="008539DD">
              <w:t>Accompanied by disclosure with summary of unsupportive data and including a citation for that data.</w:t>
            </w:r>
          </w:p>
          <w:p w:rsidRPr="008539DD" w:rsidR="009E4E92" w:rsidP="00E04CC9" w:rsidRDefault="009E4E92" w14:paraId="432A0BF0" w14:textId="77777777"/>
          <w:p w:rsidRPr="008539DD" w:rsidR="009E4E92" w:rsidP="00E04CC9" w:rsidRDefault="009E4E92" w14:paraId="3F18D529" w14:textId="77777777"/>
        </w:tc>
        <w:tc>
          <w:tcPr>
            <w:tcW w:w="0" w:type="auto"/>
            <w:shd w:val="clear" w:color="auto" w:fill="auto"/>
          </w:tcPr>
          <w:p w:rsidRPr="008539DD" w:rsidR="009E4E92" w:rsidP="00E04CC9" w:rsidRDefault="009E4E92" w14:paraId="36B65552" w14:textId="77777777">
            <w:r w:rsidRPr="008539DD">
              <w:t xml:space="preserve">Accompanied by disclosure that unsupportive data exist and including a citation for that data, but without a summary of the unsupportive data </w:t>
            </w:r>
          </w:p>
        </w:tc>
        <w:tc>
          <w:tcPr>
            <w:tcW w:w="0" w:type="auto"/>
            <w:shd w:val="clear" w:color="auto" w:fill="auto"/>
          </w:tcPr>
          <w:p w:rsidRPr="00AE0A93" w:rsidR="009E4E92" w:rsidP="00E04CC9" w:rsidRDefault="009E4E92" w14:paraId="0BF3F2F3" w14:textId="77777777">
            <w:r w:rsidRPr="00AE0A93">
              <w:t xml:space="preserve">Accompanied by general disclosure that unsupportive data </w:t>
            </w:r>
            <w:r w:rsidRPr="00DD2F80">
              <w:rPr>
                <w:i/>
              </w:rPr>
              <w:t>may</w:t>
            </w:r>
            <w:r w:rsidRPr="00AE0A93">
              <w:t xml:space="preserve"> exist</w:t>
            </w:r>
            <w:r>
              <w:t xml:space="preserve"> and no citation</w:t>
            </w:r>
          </w:p>
          <w:p w:rsidRPr="00AE0A93" w:rsidR="009E4E92" w:rsidP="00E04CC9" w:rsidRDefault="009E4E92" w14:paraId="28BC04AF" w14:textId="77777777"/>
        </w:tc>
        <w:tc>
          <w:tcPr>
            <w:tcW w:w="0" w:type="auto"/>
            <w:shd w:val="clear" w:color="auto" w:fill="auto"/>
          </w:tcPr>
          <w:p w:rsidRPr="00AE0A93" w:rsidR="009E4E92" w:rsidP="00E04CC9" w:rsidRDefault="009E4E92" w14:paraId="500C6E16" w14:textId="77777777">
            <w:r w:rsidRPr="00AE0A93">
              <w:t>No disclosure or material about unsupportive  data</w:t>
            </w:r>
          </w:p>
        </w:tc>
      </w:tr>
      <w:tr w:rsidR="009E4E92" w:rsidTr="00E04CC9" w14:paraId="24A1A52A" w14:textId="77777777">
        <w:tc>
          <w:tcPr>
            <w:tcW w:w="0" w:type="auto"/>
            <w:shd w:val="clear" w:color="auto" w:fill="auto"/>
          </w:tcPr>
          <w:p w:rsidR="009E4E92" w:rsidP="00E04CC9" w:rsidRDefault="009E4E92" w14:paraId="70C2520E" w14:textId="77777777">
            <w:r>
              <w:t>Medical Condition 1</w:t>
            </w:r>
            <w:r w:rsidR="00DB34CA">
              <w:t xml:space="preserve"> (</w:t>
            </w:r>
            <w:r w:rsidR="00BD3BF6">
              <w:t>cancer</w:t>
            </w:r>
            <w:r w:rsidR="00DB34CA">
              <w:t>)</w:t>
            </w:r>
          </w:p>
        </w:tc>
        <w:tc>
          <w:tcPr>
            <w:tcW w:w="0" w:type="auto"/>
            <w:shd w:val="clear" w:color="auto" w:fill="auto"/>
          </w:tcPr>
          <w:p w:rsidR="009E4E92" w:rsidP="00E04CC9" w:rsidRDefault="009E4E92" w14:paraId="69D2CC22" w14:textId="77777777"/>
        </w:tc>
        <w:tc>
          <w:tcPr>
            <w:tcW w:w="0" w:type="auto"/>
            <w:shd w:val="clear" w:color="auto" w:fill="auto"/>
          </w:tcPr>
          <w:p w:rsidR="009E4E92" w:rsidP="00E04CC9" w:rsidRDefault="009E4E92" w14:paraId="56EE27AA" w14:textId="77777777"/>
        </w:tc>
        <w:tc>
          <w:tcPr>
            <w:tcW w:w="0" w:type="auto"/>
            <w:shd w:val="clear" w:color="auto" w:fill="auto"/>
          </w:tcPr>
          <w:p w:rsidR="009E4E92" w:rsidP="00E04CC9" w:rsidRDefault="009E4E92" w14:paraId="09749381" w14:textId="77777777"/>
        </w:tc>
        <w:tc>
          <w:tcPr>
            <w:tcW w:w="0" w:type="auto"/>
            <w:shd w:val="clear" w:color="auto" w:fill="auto"/>
          </w:tcPr>
          <w:p w:rsidR="009E4E92" w:rsidP="00E04CC9" w:rsidRDefault="009E4E92" w14:paraId="584B812C" w14:textId="77777777"/>
        </w:tc>
        <w:tc>
          <w:tcPr>
            <w:tcW w:w="0" w:type="auto"/>
            <w:shd w:val="clear" w:color="auto" w:fill="auto"/>
          </w:tcPr>
          <w:p w:rsidR="009E4E92" w:rsidP="00E04CC9" w:rsidRDefault="009E4E92" w14:paraId="63A74F7F" w14:textId="77777777"/>
        </w:tc>
      </w:tr>
      <w:tr w:rsidR="009E4E92" w:rsidTr="00E04CC9" w14:paraId="1464734F" w14:textId="77777777">
        <w:tc>
          <w:tcPr>
            <w:tcW w:w="0" w:type="auto"/>
            <w:shd w:val="clear" w:color="auto" w:fill="auto"/>
          </w:tcPr>
          <w:p w:rsidR="009E4E92" w:rsidP="00E04CC9" w:rsidRDefault="009E4E92" w14:paraId="6849F08E" w14:textId="77777777">
            <w:r>
              <w:t xml:space="preserve">Medical Condition 2 </w:t>
            </w:r>
            <w:r w:rsidR="00DB34CA">
              <w:t>(insomnia)</w:t>
            </w:r>
          </w:p>
        </w:tc>
        <w:tc>
          <w:tcPr>
            <w:tcW w:w="0" w:type="auto"/>
            <w:shd w:val="clear" w:color="auto" w:fill="auto"/>
          </w:tcPr>
          <w:p w:rsidR="009E4E92" w:rsidP="00E04CC9" w:rsidRDefault="009E4E92" w14:paraId="779E6F8B" w14:textId="77777777"/>
        </w:tc>
        <w:tc>
          <w:tcPr>
            <w:tcW w:w="0" w:type="auto"/>
            <w:shd w:val="clear" w:color="auto" w:fill="auto"/>
          </w:tcPr>
          <w:p w:rsidR="009E4E92" w:rsidP="00E04CC9" w:rsidRDefault="009E4E92" w14:paraId="142A2049" w14:textId="77777777"/>
        </w:tc>
        <w:tc>
          <w:tcPr>
            <w:tcW w:w="0" w:type="auto"/>
            <w:shd w:val="clear" w:color="auto" w:fill="auto"/>
          </w:tcPr>
          <w:p w:rsidR="009E4E92" w:rsidP="00E04CC9" w:rsidRDefault="009E4E92" w14:paraId="2F253C81" w14:textId="77777777"/>
        </w:tc>
        <w:tc>
          <w:tcPr>
            <w:tcW w:w="0" w:type="auto"/>
            <w:shd w:val="clear" w:color="auto" w:fill="auto"/>
          </w:tcPr>
          <w:p w:rsidR="009E4E92" w:rsidP="00E04CC9" w:rsidRDefault="009E4E92" w14:paraId="428EEC3E" w14:textId="77777777"/>
        </w:tc>
        <w:tc>
          <w:tcPr>
            <w:tcW w:w="0" w:type="auto"/>
            <w:shd w:val="clear" w:color="auto" w:fill="auto"/>
          </w:tcPr>
          <w:p w:rsidR="009E4E92" w:rsidP="00E04CC9" w:rsidRDefault="009E4E92" w14:paraId="0009D607" w14:textId="77777777"/>
        </w:tc>
      </w:tr>
    </w:tbl>
    <w:p w:rsidR="009E4E92" w:rsidP="001311C3" w:rsidRDefault="009E4E92" w14:paraId="6CA849FB" w14:textId="77777777">
      <w:pPr>
        <w:shd w:val="clear" w:color="auto" w:fill="FFFFFF"/>
        <w:ind w:left="720"/>
        <w:jc w:val="center"/>
        <w:rPr>
          <w:b/>
        </w:rPr>
      </w:pPr>
    </w:p>
    <w:p w:rsidRPr="00BA16AA" w:rsidR="00635096" w:rsidP="001311C3" w:rsidRDefault="00BC79AD" w14:paraId="0F2B1718" w14:textId="77777777">
      <w:pPr>
        <w:shd w:val="clear" w:color="auto" w:fill="FFFFFF"/>
        <w:ind w:left="720"/>
        <w:jc w:val="center"/>
        <w:rPr>
          <w:b/>
        </w:rPr>
      </w:pPr>
      <w:r w:rsidRPr="00BA16AA">
        <w:rPr>
          <w:b/>
        </w:rPr>
        <w:t>Participants</w:t>
      </w:r>
    </w:p>
    <w:p w:rsidRPr="00BA16AA" w:rsidR="008D5E7F" w:rsidP="001311C3" w:rsidRDefault="008D5E7F" w14:paraId="0321AD31" w14:textId="77777777">
      <w:pPr>
        <w:shd w:val="clear" w:color="auto" w:fill="FFFFFF"/>
        <w:ind w:left="720"/>
        <w:jc w:val="center"/>
        <w:rPr>
          <w:b/>
        </w:rPr>
      </w:pPr>
    </w:p>
    <w:p w:rsidRPr="00BA16AA" w:rsidR="00945F04" w:rsidP="001311C3" w:rsidRDefault="005871C6" w14:paraId="3DFDF07E" w14:textId="77777777">
      <w:pPr>
        <w:widowControl w:val="0"/>
        <w:shd w:val="clear" w:color="auto"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BA16AA">
        <w:t>For all phases of this research, we will recruit adult volunteers 18 years of age or older</w:t>
      </w:r>
      <w:r w:rsidRPr="00BA16AA" w:rsidR="006D1839">
        <w:t xml:space="preserve"> </w:t>
      </w:r>
      <w:r w:rsidR="003C66FE">
        <w:t xml:space="preserve">who are </w:t>
      </w:r>
      <w:r w:rsidR="00DB34CA">
        <w:t>physicians</w:t>
      </w:r>
      <w:r w:rsidR="003C66FE">
        <w:t xml:space="preserve"> </w:t>
      </w:r>
      <w:r w:rsidRPr="00BA16AA" w:rsidR="006D1839">
        <w:t>from an Internet panel</w:t>
      </w:r>
      <w:r w:rsidRPr="00BA16AA">
        <w:t xml:space="preserve">. For </w:t>
      </w:r>
      <w:r w:rsidR="003C66FE">
        <w:t xml:space="preserve">the </w:t>
      </w:r>
      <w:r w:rsidRPr="00BA16AA">
        <w:t xml:space="preserve">Pretest and </w:t>
      </w:r>
      <w:r w:rsidR="003C66FE">
        <w:t>Medical Condition 1,</w:t>
      </w:r>
      <w:r w:rsidRPr="00BA16AA">
        <w:t xml:space="preserve"> we will recruit </w:t>
      </w:r>
      <w:r w:rsidR="003C66FE">
        <w:t xml:space="preserve">board-certified oncologists who report </w:t>
      </w:r>
      <w:r w:rsidRPr="009550A1" w:rsidR="003C66FE">
        <w:t>spend</w:t>
      </w:r>
      <w:r w:rsidR="009E2AD3">
        <w:t>ing</w:t>
      </w:r>
      <w:r w:rsidRPr="009550A1" w:rsidR="003C66FE">
        <w:t xml:space="preserve"> at least fifty percent of their time on patient care; and write fifty or more prescriptions per week</w:t>
      </w:r>
      <w:r w:rsidRPr="00BA16AA" w:rsidR="003C66FE">
        <w:t xml:space="preserve"> </w:t>
      </w:r>
      <w:r w:rsidRPr="00BA16AA">
        <w:t xml:space="preserve">(N = </w:t>
      </w:r>
      <w:r w:rsidR="0024789A">
        <w:t>30</w:t>
      </w:r>
      <w:r w:rsidRPr="00BA16AA">
        <w:t xml:space="preserve"> in </w:t>
      </w:r>
      <w:r w:rsidR="003C66FE">
        <w:t xml:space="preserve">the Pretest </w:t>
      </w:r>
      <w:r w:rsidRPr="00BA16AA">
        <w:t xml:space="preserve">and N = </w:t>
      </w:r>
      <w:r w:rsidR="003C66FE">
        <w:t>510</w:t>
      </w:r>
      <w:r w:rsidRPr="00BA16AA">
        <w:t xml:space="preserve"> in </w:t>
      </w:r>
      <w:r w:rsidR="003C66FE">
        <w:t>Medical Condition 1 study</w:t>
      </w:r>
      <w:r w:rsidRPr="00BA16AA">
        <w:t xml:space="preserve">). For </w:t>
      </w:r>
      <w:r w:rsidR="003C66FE">
        <w:t xml:space="preserve">the </w:t>
      </w:r>
      <w:r w:rsidRPr="00BA16AA">
        <w:t xml:space="preserve">Pretest and </w:t>
      </w:r>
      <w:r w:rsidR="003C66FE">
        <w:t>Medical Condition 2</w:t>
      </w:r>
      <w:r w:rsidRPr="00BA16AA">
        <w:t xml:space="preserve">, we will recruit </w:t>
      </w:r>
      <w:r w:rsidR="003C66FE">
        <w:t xml:space="preserve">board-certified </w:t>
      </w:r>
      <w:r w:rsidRPr="009550A1" w:rsidR="003C66FE">
        <w:t>family medicine, internal medicine, or general practitioner</w:t>
      </w:r>
      <w:r w:rsidR="003C66FE">
        <w:t xml:space="preserve"> physicians (</w:t>
      </w:r>
      <w:r w:rsidR="009E2AD3">
        <w:t xml:space="preserve">primary care physicians, or </w:t>
      </w:r>
      <w:r w:rsidR="003C66FE">
        <w:t xml:space="preserve">PCPs) who </w:t>
      </w:r>
      <w:r w:rsidR="009E2AD3">
        <w:t xml:space="preserve">report </w:t>
      </w:r>
      <w:r w:rsidRPr="009550A1" w:rsidR="003C66FE">
        <w:t>spend</w:t>
      </w:r>
      <w:r w:rsidR="009E2AD3">
        <w:t>ing</w:t>
      </w:r>
      <w:r w:rsidRPr="009550A1" w:rsidR="003C66FE">
        <w:t xml:space="preserve"> at least fifty percent of their time on patient care; and write fifty or more prescriptions per week</w:t>
      </w:r>
      <w:r w:rsidRPr="00BA16AA" w:rsidR="003C66FE">
        <w:t xml:space="preserve"> </w:t>
      </w:r>
      <w:r w:rsidRPr="00BA16AA">
        <w:t>(N =</w:t>
      </w:r>
      <w:r w:rsidR="003067FB">
        <w:t>150</w:t>
      </w:r>
      <w:r w:rsidRPr="00BA16AA">
        <w:t xml:space="preserve"> in </w:t>
      </w:r>
      <w:r w:rsidR="003C66FE">
        <w:t xml:space="preserve">the </w:t>
      </w:r>
      <w:r w:rsidRPr="00BA16AA">
        <w:t xml:space="preserve">Pretest and N = </w:t>
      </w:r>
      <w:r w:rsidR="003C66FE">
        <w:t>1,090</w:t>
      </w:r>
      <w:r w:rsidRPr="00BA16AA">
        <w:t xml:space="preserve"> in </w:t>
      </w:r>
      <w:r w:rsidR="003C66FE">
        <w:t xml:space="preserve">Medical Condition </w:t>
      </w:r>
      <w:r w:rsidRPr="00BA16AA">
        <w:t>2</w:t>
      </w:r>
      <w:r w:rsidR="003C66FE">
        <w:t xml:space="preserve"> study</w:t>
      </w:r>
      <w:r w:rsidRPr="00BA16AA">
        <w:t>). We will exclude individuals who work for the Department of Health and Human Services</w:t>
      </w:r>
      <w:r w:rsidR="003C66FE">
        <w:t>, market research, advertising,</w:t>
      </w:r>
      <w:r w:rsidRPr="00BA16AA">
        <w:t xml:space="preserve"> or pharmaceutical industries. We will also exclude pretest participants from </w:t>
      </w:r>
      <w:r w:rsidRPr="00BA16AA">
        <w:lastRenderedPageBreak/>
        <w:t xml:space="preserve">the main studies, and participants will not be able to participate in both </w:t>
      </w:r>
      <w:r w:rsidR="003C66FE">
        <w:t>s</w:t>
      </w:r>
      <w:r w:rsidRPr="00BA16AA">
        <w:t xml:space="preserve">tudies 1 and 2. See Appendix </w:t>
      </w:r>
      <w:r w:rsidR="001C36C6">
        <w:t>C</w:t>
      </w:r>
      <w:r w:rsidRPr="00BA16AA">
        <w:t xml:space="preserve"> for the study screener.</w:t>
      </w:r>
    </w:p>
    <w:p w:rsidRPr="00BA16AA" w:rsidR="005871C6" w:rsidP="001311C3" w:rsidRDefault="005871C6" w14:paraId="51FFD463" w14:textId="77777777">
      <w:pPr>
        <w:widowControl w:val="0"/>
        <w:shd w:val="clear" w:color="auto"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Pr="00BA16AA" w:rsidR="00BC79AD" w:rsidP="001311C3" w:rsidRDefault="003C66FE" w14:paraId="5E83B6CD" w14:textId="77777777">
      <w:pPr>
        <w:shd w:val="clear" w:color="auto" w:fill="FFFFFF"/>
        <w:spacing w:line="480" w:lineRule="auto"/>
        <w:ind w:left="720"/>
        <w:jc w:val="center"/>
        <w:rPr>
          <w:b/>
        </w:rPr>
      </w:pPr>
      <w:r>
        <w:rPr>
          <w:b/>
        </w:rPr>
        <w:t>Research Questions</w:t>
      </w:r>
    </w:p>
    <w:p w:rsidR="003C66FE" w:rsidP="003C66FE" w:rsidRDefault="003C66FE" w14:paraId="7E08B255" w14:textId="77777777">
      <w:pPr>
        <w:ind w:left="720"/>
      </w:pPr>
      <w:r>
        <w:t>We have four research questions.</w:t>
      </w:r>
    </w:p>
    <w:p w:rsidR="003C66FE" w:rsidP="003C66FE" w:rsidRDefault="003C66FE" w14:paraId="2EAE5B3E" w14:textId="77777777">
      <w:pPr>
        <w:ind w:left="720"/>
      </w:pPr>
    </w:p>
    <w:p w:rsidRPr="00047D7A" w:rsidR="003C66FE" w:rsidP="003C66FE" w:rsidRDefault="003C66FE" w14:paraId="71EF36CE" w14:textId="77777777">
      <w:pPr>
        <w:ind w:left="720"/>
      </w:pPr>
      <w:r w:rsidRPr="00047D7A">
        <w:t xml:space="preserve">RQ1: When considering a presentation of data about an unapproved use of an approved drug product, how does the existence of unsupportive data impact </w:t>
      </w:r>
      <w:r w:rsidR="002D3F6A">
        <w:t xml:space="preserve">physician </w:t>
      </w:r>
      <w:r w:rsidRPr="00047D7A">
        <w:t xml:space="preserve">perceptions and intentions with regard to that unapproved use? </w:t>
      </w:r>
    </w:p>
    <w:p w:rsidR="003C66FE" w:rsidP="003C66FE" w:rsidRDefault="003C66FE" w14:paraId="01168283" w14:textId="77777777">
      <w:pPr>
        <w:ind w:left="720"/>
      </w:pPr>
    </w:p>
    <w:p w:rsidR="003C66FE" w:rsidP="003C66FE" w:rsidRDefault="003C66FE" w14:paraId="579990DD" w14:textId="77777777">
      <w:pPr>
        <w:ind w:left="720"/>
      </w:pPr>
      <w:r w:rsidRPr="00047D7A">
        <w:t xml:space="preserve">RQ2: </w:t>
      </w:r>
      <w:bookmarkStart w:name="_Hlk22914187" w:id="1"/>
      <w:r w:rsidRPr="00CF0798">
        <w:t>How does the way in which the existence of unsupportive data is communicated, when the specific data is not presented, i</w:t>
      </w:r>
      <w:r w:rsidRPr="004942E0">
        <w:t xml:space="preserve">mpact </w:t>
      </w:r>
      <w:r w:rsidR="002D3F6A">
        <w:t xml:space="preserve">physician </w:t>
      </w:r>
      <w:r w:rsidRPr="004942E0">
        <w:t xml:space="preserve">perceptions and intentions with regard to an unapproved use of an approved drug product? </w:t>
      </w:r>
    </w:p>
    <w:p w:rsidRPr="004942E0" w:rsidR="003C66FE" w:rsidP="003C66FE" w:rsidRDefault="003C66FE" w14:paraId="39574DBF" w14:textId="77777777">
      <w:pPr>
        <w:ind w:left="720"/>
      </w:pPr>
    </w:p>
    <w:bookmarkEnd w:id="1"/>
    <w:p w:rsidRPr="004942E0" w:rsidR="003C66FE" w:rsidP="003C66FE" w:rsidRDefault="003C66FE" w14:paraId="654E670F" w14:textId="77777777">
      <w:pPr>
        <w:ind w:left="720"/>
      </w:pPr>
      <w:r w:rsidRPr="004942E0">
        <w:t xml:space="preserve">RQ3: How are </w:t>
      </w:r>
      <w:r w:rsidR="002D3F6A">
        <w:t xml:space="preserve">physician </w:t>
      </w:r>
      <w:r w:rsidRPr="004942E0">
        <w:t xml:space="preserve">perceptions of and intentions toward an unapproved use of an approved drug product affected by the disclosure of </w:t>
      </w:r>
      <w:r w:rsidRPr="00CF0798">
        <w:t>specific unsupportive data versus disclosure statements about</w:t>
      </w:r>
      <w:r w:rsidR="00E85DB1">
        <w:t xml:space="preserve"> </w:t>
      </w:r>
      <w:r w:rsidR="002D3F6A">
        <w:t xml:space="preserve">the </w:t>
      </w:r>
      <w:r w:rsidR="00E85DB1">
        <w:t>unsupportive data</w:t>
      </w:r>
      <w:r w:rsidR="002D3F6A">
        <w:t xml:space="preserve"> or the existence of such data</w:t>
      </w:r>
      <w:r w:rsidRPr="004942E0">
        <w:t>?  </w:t>
      </w:r>
    </w:p>
    <w:p w:rsidR="003C66FE" w:rsidP="003C66FE" w:rsidRDefault="003C66FE" w14:paraId="0BD4A004" w14:textId="77777777">
      <w:pPr>
        <w:ind w:left="720"/>
      </w:pPr>
    </w:p>
    <w:p w:rsidRPr="004942E0" w:rsidR="003C66FE" w:rsidP="003C66FE" w:rsidRDefault="003C66FE" w14:paraId="770B6CB3" w14:textId="77777777">
      <w:pPr>
        <w:ind w:left="720"/>
      </w:pPr>
      <w:r w:rsidRPr="004942E0">
        <w:t>RQ4: Do other variables (e.g.,</w:t>
      </w:r>
      <w:r w:rsidR="00D141E6">
        <w:t xml:space="preserve"> provider </w:t>
      </w:r>
      <w:r w:rsidRPr="004942E0">
        <w:t>demographics</w:t>
      </w:r>
      <w:r w:rsidR="002D3F6A">
        <w:t>, practice characteristics</w:t>
      </w:r>
      <w:r w:rsidRPr="004942E0">
        <w:t>) impact</w:t>
      </w:r>
      <w:r w:rsidR="002D3F6A">
        <w:t xml:space="preserve"> physician </w:t>
      </w:r>
      <w:r w:rsidRPr="004942E0" w:rsidR="00D141E6">
        <w:t>perceptions of and intentions toward an unapproved use</w:t>
      </w:r>
      <w:r w:rsidRPr="004942E0">
        <w:t>?</w:t>
      </w:r>
    </w:p>
    <w:p w:rsidRPr="00BA16AA" w:rsidR="005871C6" w:rsidP="001311C3" w:rsidRDefault="005871C6" w14:paraId="0C561886" w14:textId="77777777">
      <w:pPr>
        <w:shd w:val="clear" w:color="auto" w:fill="FFFFFF"/>
        <w:tabs>
          <w:tab w:val="left" w:pos="720"/>
        </w:tabs>
        <w:ind w:left="720"/>
        <w:contextualSpacing/>
        <w:rPr>
          <w:b/>
        </w:rPr>
      </w:pPr>
    </w:p>
    <w:p w:rsidRPr="00BA16AA" w:rsidR="00BC79AD" w:rsidP="001311C3" w:rsidRDefault="00BC79AD" w14:paraId="5DF78C24" w14:textId="77777777">
      <w:pPr>
        <w:shd w:val="clear" w:color="auto" w:fill="FFFFFF"/>
        <w:tabs>
          <w:tab w:val="left" w:pos="720"/>
        </w:tabs>
        <w:spacing w:line="480" w:lineRule="auto"/>
        <w:ind w:left="720"/>
        <w:contextualSpacing/>
        <w:jc w:val="center"/>
        <w:rPr>
          <w:b/>
        </w:rPr>
      </w:pPr>
      <w:r w:rsidRPr="00BA16AA">
        <w:rPr>
          <w:b/>
        </w:rPr>
        <w:t>Analysis Plan</w:t>
      </w:r>
    </w:p>
    <w:p w:rsidRPr="00BA16AA" w:rsidR="006D1839" w:rsidP="00EE4226" w:rsidRDefault="0082658B" w14:paraId="7CC83B82" w14:textId="77777777">
      <w:pPr>
        <w:shd w:val="clear" w:color="auto" w:fill="FFFFFF"/>
        <w:tabs>
          <w:tab w:val="left" w:pos="720"/>
        </w:tabs>
        <w:ind w:left="720"/>
        <w:rPr>
          <w:b/>
        </w:rPr>
      </w:pPr>
      <w:r w:rsidRPr="00BA16AA">
        <w:t xml:space="preserve">We will conduct ANOVAs </w:t>
      </w:r>
      <w:r w:rsidRPr="00BA16AA" w:rsidR="005D6ED9">
        <w:t xml:space="preserve">(for continuous variables) and logistic regressions (for dichotomous variables) </w:t>
      </w:r>
      <w:r w:rsidRPr="00BA16AA">
        <w:t xml:space="preserve">with interaction terms and planned comparisons to </w:t>
      </w:r>
      <w:r w:rsidR="007A7AD8">
        <w:t xml:space="preserve">address research questions </w:t>
      </w:r>
      <w:r w:rsidRPr="00BA16AA">
        <w:t>outline</w:t>
      </w:r>
      <w:r w:rsidR="007A7AD8">
        <w:t>d</w:t>
      </w:r>
      <w:r w:rsidRPr="00BA16AA">
        <w:t xml:space="preserve"> above.  </w:t>
      </w:r>
    </w:p>
    <w:p w:rsidRPr="00BA16AA" w:rsidR="00E05FEE" w:rsidP="001311C3" w:rsidRDefault="00981612" w14:paraId="289FE2CA" w14:textId="77777777">
      <w:pPr>
        <w:shd w:val="clear" w:color="auto" w:fill="FFFFFF"/>
        <w:tabs>
          <w:tab w:val="left" w:pos="720"/>
        </w:tabs>
        <w:ind w:left="720"/>
        <w:jc w:val="center"/>
        <w:rPr>
          <w:b/>
        </w:rPr>
      </w:pPr>
      <w:r w:rsidRPr="00BA16AA">
        <w:rPr>
          <w:b/>
        </w:rPr>
        <w:t>Power</w:t>
      </w:r>
    </w:p>
    <w:p w:rsidR="009E4E92" w:rsidP="009E4E92" w:rsidRDefault="009E4E92" w14:paraId="18CC1CE7" w14:textId="77777777">
      <w:pPr>
        <w:pStyle w:val="L1-FlLSp12"/>
        <w:spacing w:line="240" w:lineRule="auto"/>
        <w:ind w:left="720"/>
        <w:rPr>
          <w:rFonts w:ascii="Times New Roman" w:hAnsi="Times New Roman"/>
        </w:rPr>
      </w:pPr>
    </w:p>
    <w:p w:rsidR="003067FB" w:rsidP="009E4E92" w:rsidRDefault="00E1114B" w14:paraId="697D8243" w14:textId="77777777">
      <w:pPr>
        <w:pStyle w:val="L1-FlLSp12"/>
        <w:spacing w:line="240" w:lineRule="auto"/>
        <w:ind w:left="720"/>
        <w:rPr>
          <w:rFonts w:ascii="Times New Roman" w:hAnsi="Times New Roman"/>
        </w:rPr>
      </w:pPr>
      <w:r w:rsidRPr="009E4E92">
        <w:rPr>
          <w:rFonts w:ascii="Times New Roman" w:hAnsi="Times New Roman"/>
        </w:rPr>
        <w:t>A power analysis was calculated separately for each medical condition</w:t>
      </w:r>
      <w:r w:rsidR="00396901">
        <w:rPr>
          <w:rFonts w:ascii="Times New Roman" w:hAnsi="Times New Roman"/>
        </w:rPr>
        <w:t xml:space="preserve"> for the main study</w:t>
      </w:r>
      <w:r w:rsidRPr="009E4E92">
        <w:rPr>
          <w:rFonts w:ascii="Times New Roman" w:hAnsi="Times New Roman"/>
        </w:rPr>
        <w:t xml:space="preserve">, with an objective to detect </w:t>
      </w:r>
      <w:r w:rsidRPr="009E4E92" w:rsidR="009E4E92">
        <w:rPr>
          <w:rFonts w:ascii="Times New Roman" w:hAnsi="Times New Roman"/>
        </w:rPr>
        <w:t xml:space="preserve">effect sizes between </w:t>
      </w:r>
      <w:r w:rsidRPr="009E4E92">
        <w:rPr>
          <w:rFonts w:ascii="Times New Roman" w:hAnsi="Times New Roman"/>
        </w:rPr>
        <w:t xml:space="preserve">f = 0.15 </w:t>
      </w:r>
      <w:r w:rsidRPr="009E4E92" w:rsidR="009E4E92">
        <w:rPr>
          <w:rFonts w:ascii="Times New Roman" w:hAnsi="Times New Roman"/>
        </w:rPr>
        <w:t>to f = .20</w:t>
      </w:r>
      <w:r w:rsidR="009E4E92">
        <w:rPr>
          <w:rFonts w:ascii="Times New Roman" w:hAnsi="Times New Roman"/>
        </w:rPr>
        <w:t xml:space="preserve"> (see Cohen, 1988)</w:t>
      </w:r>
      <w:r w:rsidR="00EE4226">
        <w:rPr>
          <w:rStyle w:val="FootnoteReference"/>
          <w:rFonts w:ascii="Times New Roman" w:hAnsi="Times New Roman"/>
        </w:rPr>
        <w:footnoteReference w:id="1"/>
      </w:r>
      <w:r w:rsidRPr="009E4E92" w:rsidR="009E4E92">
        <w:rPr>
          <w:rFonts w:ascii="Times New Roman" w:hAnsi="Times New Roman"/>
        </w:rPr>
        <w:t xml:space="preserve"> </w:t>
      </w:r>
      <w:r w:rsidRPr="009E4E92">
        <w:rPr>
          <w:rFonts w:ascii="Times New Roman" w:hAnsi="Times New Roman"/>
        </w:rPr>
        <w:t>across the five conditions, with a significance level of 0.05</w:t>
      </w:r>
      <w:r w:rsidRPr="009E4E92" w:rsidR="009E4E92">
        <w:rPr>
          <w:rFonts w:ascii="Times New Roman" w:hAnsi="Times New Roman"/>
        </w:rPr>
        <w:t xml:space="preserve"> and power of 0.90</w:t>
      </w:r>
      <w:r w:rsidR="00396901">
        <w:rPr>
          <w:rFonts w:ascii="Times New Roman" w:hAnsi="Times New Roman"/>
        </w:rPr>
        <w:t xml:space="preserve"> or higher</w:t>
      </w:r>
      <w:r w:rsidRPr="009E4E92">
        <w:rPr>
          <w:rFonts w:ascii="Times New Roman" w:hAnsi="Times New Roman"/>
        </w:rPr>
        <w:t xml:space="preserve">. Our estimates for power are based on the assumption that the variance is as large as possible for proportions and that the sample size is sufficiently large so that the point estimates are approximately normal. </w:t>
      </w:r>
      <w:r w:rsidRPr="009E4E92" w:rsidR="009E4E92">
        <w:rPr>
          <w:rFonts w:ascii="Times New Roman" w:hAnsi="Times New Roman"/>
        </w:rPr>
        <w:t xml:space="preserve">At 218 PCP participants per cell, the power is 0.99 for Medical Condition 2. At the same time, we understand that oncologists are a difficult group to recruit. Thus, we have </w:t>
      </w:r>
      <w:r w:rsidR="002D3F6A">
        <w:rPr>
          <w:rFonts w:ascii="Times New Roman" w:hAnsi="Times New Roman"/>
        </w:rPr>
        <w:t>reduced our sample s</w:t>
      </w:r>
      <w:r w:rsidR="006B4E6A">
        <w:rPr>
          <w:rFonts w:ascii="Times New Roman" w:hAnsi="Times New Roman"/>
        </w:rPr>
        <w:t xml:space="preserve">ize </w:t>
      </w:r>
      <w:r w:rsidRPr="009E4E92" w:rsidR="009E4E92">
        <w:rPr>
          <w:rFonts w:ascii="Times New Roman" w:hAnsi="Times New Roman"/>
        </w:rPr>
        <w:t xml:space="preserve">for Medical Condition 1. At 102 </w:t>
      </w:r>
      <w:r w:rsidR="00EE4226">
        <w:rPr>
          <w:rFonts w:ascii="Times New Roman" w:hAnsi="Times New Roman"/>
        </w:rPr>
        <w:t xml:space="preserve">oncologist </w:t>
      </w:r>
      <w:r w:rsidRPr="009E4E92" w:rsidR="009E4E92">
        <w:rPr>
          <w:rFonts w:ascii="Times New Roman" w:hAnsi="Times New Roman"/>
        </w:rPr>
        <w:t>participants per cell, the power is 0.</w:t>
      </w:r>
      <w:r w:rsidR="003067FB">
        <w:rPr>
          <w:rFonts w:ascii="Times New Roman" w:hAnsi="Times New Roman"/>
        </w:rPr>
        <w:t>95</w:t>
      </w:r>
      <w:r w:rsidRPr="009E4E92" w:rsidR="009E4E92">
        <w:rPr>
          <w:rFonts w:ascii="Times New Roman" w:hAnsi="Times New Roman"/>
        </w:rPr>
        <w:t xml:space="preserve">. </w:t>
      </w:r>
    </w:p>
    <w:p w:rsidRPr="00681993" w:rsidR="004C6979" w:rsidP="003067FB" w:rsidRDefault="00EB7538" w14:paraId="0EFB34F6" w14:textId="77777777">
      <w:pPr>
        <w:numPr>
          <w:ilvl w:val="0"/>
          <w:numId w:val="2"/>
        </w:numPr>
        <w:shd w:val="clear" w:color="auto" w:fill="FFFFFF"/>
        <w:spacing w:before="100" w:beforeAutospacing="1" w:after="100" w:afterAutospacing="1"/>
        <w:rPr>
          <w:u w:val="single"/>
        </w:rPr>
      </w:pPr>
      <w:r w:rsidRPr="00BA16AA">
        <w:rPr>
          <w:u w:val="single"/>
        </w:rPr>
        <w:t xml:space="preserve">Methods to Maximize Response </w:t>
      </w:r>
      <w:r w:rsidRPr="00BA16AA" w:rsidR="004846BF">
        <w:rPr>
          <w:u w:val="single"/>
        </w:rPr>
        <w:t>Rates and Deal with Non</w:t>
      </w:r>
      <w:r w:rsidRPr="00BA16AA" w:rsidR="00E00EA0">
        <w:rPr>
          <w:u w:val="single"/>
        </w:rPr>
        <w:t>-</w:t>
      </w:r>
      <w:r w:rsidRPr="00BA16AA" w:rsidR="004846BF">
        <w:rPr>
          <w:u w:val="single"/>
        </w:rPr>
        <w:t>response</w:t>
      </w:r>
    </w:p>
    <w:p w:rsidRPr="00681993" w:rsidR="0021223F" w:rsidP="003067FB" w:rsidRDefault="005425B7" w14:paraId="562B7511" w14:textId="77777777">
      <w:pPr>
        <w:pStyle w:val="NormalWeb"/>
        <w:shd w:val="clear" w:color="auto" w:fill="FFFFFF"/>
        <w:spacing w:before="0" w:beforeAutospacing="0" w:after="0" w:afterAutospacing="0"/>
        <w:ind w:left="720"/>
      </w:pPr>
      <w:r w:rsidRPr="00681993">
        <w:rPr>
          <w:color w:val="000000"/>
        </w:rPr>
        <w:t>The pretests and main studies</w:t>
      </w:r>
      <w:r w:rsidRPr="00681993" w:rsidR="00423C0D">
        <w:rPr>
          <w:color w:val="000000"/>
        </w:rPr>
        <w:t xml:space="preserve"> will use existing </w:t>
      </w:r>
      <w:r w:rsidRPr="00681993" w:rsidR="00907392">
        <w:rPr>
          <w:color w:val="000000"/>
        </w:rPr>
        <w:t>research</w:t>
      </w:r>
      <w:r w:rsidRPr="00681993" w:rsidR="00423C0D">
        <w:rPr>
          <w:color w:val="000000"/>
        </w:rPr>
        <w:t xml:space="preserve"> panel to draw a sample. The panel comprises individuals who </w:t>
      </w:r>
      <w:r w:rsidRPr="00681993" w:rsidR="00907392">
        <w:rPr>
          <w:color w:val="000000"/>
        </w:rPr>
        <w:t xml:space="preserve">have signed up to participate </w:t>
      </w:r>
      <w:r w:rsidR="008D62CD">
        <w:rPr>
          <w:color w:val="000000"/>
        </w:rPr>
        <w:t xml:space="preserve">voluntarily </w:t>
      </w:r>
      <w:r w:rsidRPr="00681993" w:rsidR="00907392">
        <w:rPr>
          <w:color w:val="000000"/>
        </w:rPr>
        <w:t xml:space="preserve">in </w:t>
      </w:r>
      <w:r w:rsidRPr="00681993" w:rsidR="00E773C0">
        <w:rPr>
          <w:color w:val="000000"/>
        </w:rPr>
        <w:t xml:space="preserve">online </w:t>
      </w:r>
      <w:r w:rsidRPr="00681993" w:rsidR="00907392">
        <w:rPr>
          <w:color w:val="000000"/>
        </w:rPr>
        <w:t>studies</w:t>
      </w:r>
      <w:r w:rsidRPr="00681993" w:rsidR="0021223F">
        <w:rPr>
          <w:color w:val="000000"/>
        </w:rPr>
        <w:t>. To help ensure that the par</w:t>
      </w:r>
      <w:r w:rsidRPr="00681993" w:rsidR="00423C0D">
        <w:rPr>
          <w:color w:val="000000"/>
        </w:rPr>
        <w:t>ticipation rate is as high as possible</w:t>
      </w:r>
      <w:r w:rsidRPr="00681993" w:rsidR="00423C0D">
        <w:t>, FDA will:</w:t>
      </w:r>
    </w:p>
    <w:p w:rsidRPr="00681993" w:rsidR="0021223F" w:rsidP="001311C3" w:rsidRDefault="0021223F" w14:paraId="5C36F3C0" w14:textId="77777777">
      <w:pPr>
        <w:pStyle w:val="NormalWeb"/>
        <w:shd w:val="clear" w:color="auto" w:fill="FFFFFF"/>
        <w:spacing w:before="0" w:beforeAutospacing="0" w:after="0" w:afterAutospacing="0"/>
        <w:ind w:left="360"/>
      </w:pPr>
    </w:p>
    <w:p w:rsidRPr="00681993" w:rsidR="0021223F" w:rsidP="001311C3" w:rsidRDefault="00423C0D" w14:paraId="43320024" w14:textId="77777777">
      <w:pPr>
        <w:pStyle w:val="NormalWeb"/>
        <w:numPr>
          <w:ilvl w:val="0"/>
          <w:numId w:val="44"/>
        </w:numPr>
        <w:shd w:val="clear" w:color="auto" w:fill="FFFFFF"/>
        <w:spacing w:before="0" w:beforeAutospacing="0" w:after="0" w:afterAutospacing="0"/>
      </w:pPr>
      <w:r w:rsidRPr="00681993">
        <w:t xml:space="preserve">Design an experimental protocol that minimizes burden (short in length, clearly written, and with appealing graphics); </w:t>
      </w:r>
    </w:p>
    <w:p w:rsidRPr="00681993" w:rsidR="0082658B" w:rsidP="001311C3" w:rsidRDefault="0082658B" w14:paraId="703C346D" w14:textId="77777777">
      <w:pPr>
        <w:pStyle w:val="NormalWeb"/>
        <w:numPr>
          <w:ilvl w:val="0"/>
          <w:numId w:val="44"/>
        </w:numPr>
        <w:shd w:val="clear" w:color="auto" w:fill="FFFFFF"/>
        <w:spacing w:before="0" w:beforeAutospacing="0" w:after="0" w:afterAutospacing="0"/>
      </w:pPr>
      <w:r w:rsidRPr="00681993">
        <w:t xml:space="preserve">Administer the </w:t>
      </w:r>
      <w:r w:rsidRPr="00681993" w:rsidR="005425B7">
        <w:t>pretests and main studies</w:t>
      </w:r>
      <w:r w:rsidRPr="00681993">
        <w:t xml:space="preserve"> over the Internet, allowing respondents to answer questions at a time </w:t>
      </w:r>
      <w:r w:rsidRPr="00681993" w:rsidR="00BF5A22">
        <w:t>and location of their choosing.</w:t>
      </w:r>
    </w:p>
    <w:p w:rsidRPr="00681993" w:rsidR="004C6979" w:rsidP="001311C3" w:rsidRDefault="00EB7538" w14:paraId="50B42126" w14:textId="77777777">
      <w:pPr>
        <w:numPr>
          <w:ilvl w:val="0"/>
          <w:numId w:val="2"/>
        </w:numPr>
        <w:shd w:val="clear" w:color="auto" w:fill="FFFFFF"/>
        <w:spacing w:before="100" w:beforeAutospacing="1" w:after="100" w:afterAutospacing="1"/>
        <w:rPr>
          <w:u w:val="single"/>
        </w:rPr>
      </w:pPr>
      <w:r w:rsidRPr="00681993">
        <w:rPr>
          <w:u w:val="single"/>
        </w:rPr>
        <w:t>Test of Procedu</w:t>
      </w:r>
      <w:r w:rsidRPr="00681993" w:rsidR="004846BF">
        <w:rPr>
          <w:u w:val="single"/>
        </w:rPr>
        <w:t>res or Methods to be Undertaken</w:t>
      </w:r>
    </w:p>
    <w:p w:rsidRPr="00681993" w:rsidR="00901043" w:rsidP="001311C3" w:rsidRDefault="005871C6" w14:paraId="296889D8" w14:textId="77777777">
      <w:pPr>
        <w:shd w:val="clear" w:color="auto" w:fill="FFFFFF"/>
        <w:spacing w:before="100" w:beforeAutospacing="1" w:after="100" w:afterAutospacing="1"/>
        <w:ind w:left="720"/>
      </w:pPr>
      <w:r>
        <w:t>W</w:t>
      </w:r>
      <w:r w:rsidRPr="00681993" w:rsidR="00675E2F">
        <w:t xml:space="preserve">e </w:t>
      </w:r>
      <w:r w:rsidR="007C13EC">
        <w:t>have</w:t>
      </w:r>
      <w:r w:rsidRPr="00681993" w:rsidR="00675E2F">
        <w:t xml:space="preserve"> conduct</w:t>
      </w:r>
      <w:r w:rsidR="007C13EC">
        <w:t>ed</w:t>
      </w:r>
      <w:r w:rsidRPr="00681993" w:rsidR="00675E2F">
        <w:t xml:space="preserve"> nine hour-long qualitative interviews to cognitively test the study stimuli and materials. </w:t>
      </w:r>
      <w:r w:rsidR="007C13EC">
        <w:t xml:space="preserve">Based on those interviews, we made changes to the questionnaire and study stimuli. </w:t>
      </w:r>
      <w:r w:rsidR="003C66FE">
        <w:t>W</w:t>
      </w:r>
      <w:r w:rsidRPr="00681993" w:rsidR="005425B7">
        <w:t xml:space="preserve">e will conduct a </w:t>
      </w:r>
      <w:r w:rsidRPr="00681993" w:rsidR="00BF5A22">
        <w:t>pretest</w:t>
      </w:r>
      <w:r w:rsidRPr="00681993" w:rsidR="00910CC3">
        <w:t xml:space="preserve"> to </w:t>
      </w:r>
      <w:r w:rsidRPr="00681993" w:rsidR="00BF5A22">
        <w:t>test the experimental manipulations and pilot the main study procedures</w:t>
      </w:r>
      <w:r w:rsidRPr="00681993" w:rsidR="00910CC3">
        <w:t xml:space="preserve">. </w:t>
      </w:r>
      <w:r w:rsidRPr="00681993" w:rsidR="00C76F75">
        <w:t>Final</w:t>
      </w:r>
      <w:r w:rsidRPr="00681993" w:rsidR="00BF5A22">
        <w:t xml:space="preserve">ly, we will run </w:t>
      </w:r>
      <w:r w:rsidRPr="00681993" w:rsidR="005425B7">
        <w:t xml:space="preserve">each </w:t>
      </w:r>
      <w:r w:rsidRPr="00681993" w:rsidR="00BF5A22">
        <w:t>main study</w:t>
      </w:r>
      <w:r w:rsidRPr="00681993" w:rsidR="00C76F75">
        <w:t xml:space="preserve"> as described elsewhere in this document.</w:t>
      </w:r>
      <w:r w:rsidRPr="00681993" w:rsidR="00423C0D">
        <w:t xml:space="preserve"> </w:t>
      </w:r>
    </w:p>
    <w:p w:rsidRPr="00681993" w:rsidR="00423C0D" w:rsidP="001311C3" w:rsidRDefault="00EB7538" w14:paraId="2A7CF18C" w14:textId="77777777">
      <w:pPr>
        <w:numPr>
          <w:ilvl w:val="0"/>
          <w:numId w:val="2"/>
        </w:numPr>
        <w:shd w:val="clear" w:color="auto" w:fill="FFFFFF"/>
        <w:spacing w:before="100" w:beforeAutospacing="1" w:after="100" w:afterAutospacing="1"/>
      </w:pPr>
      <w:r w:rsidRPr="00681993">
        <w:rPr>
          <w:u w:val="single"/>
        </w:rPr>
        <w:t>Individuals Consulted on Statistical Aspects and Individuals Collecting and/or Analyzing Data</w:t>
      </w:r>
    </w:p>
    <w:p w:rsidR="00423C0D" w:rsidP="001311C3" w:rsidRDefault="00423C0D" w14:paraId="164B45AE" w14:textId="77777777">
      <w:pPr>
        <w:shd w:val="clear" w:color="auto" w:fill="FFFFFF"/>
        <w:spacing w:before="100" w:beforeAutospacing="1" w:after="100" w:afterAutospacing="1"/>
        <w:ind w:left="720"/>
      </w:pPr>
      <w:r w:rsidRPr="00681993">
        <w:t xml:space="preserve">The contractor, </w:t>
      </w:r>
      <w:r w:rsidR="007C13EC">
        <w:t>Westat Inc.</w:t>
      </w:r>
      <w:r w:rsidRPr="00681993">
        <w:t xml:space="preserve">, will collect the data on behalf of FDA as a task order </w:t>
      </w:r>
      <w:r w:rsidRPr="00EA26F5">
        <w:t xml:space="preserve">under Contract </w:t>
      </w:r>
      <w:r w:rsidRPr="007C13EC" w:rsidR="007C13EC">
        <w:t>HHSF223201510001B</w:t>
      </w:r>
      <w:r w:rsidRPr="00EA26F5">
        <w:t xml:space="preserve">. </w:t>
      </w:r>
      <w:r w:rsidR="007C13EC">
        <w:t>Simani Price, Ph.D.</w:t>
      </w:r>
      <w:r w:rsidRPr="00681993">
        <w:rPr>
          <w:noProof/>
        </w:rPr>
        <w:t xml:space="preserve">, </w:t>
      </w:r>
      <w:r w:rsidRPr="00681993">
        <w:t xml:space="preserve">is </w:t>
      </w:r>
      <w:r w:rsidRPr="00681993" w:rsidR="00C76F75">
        <w:t>the contractor’s</w:t>
      </w:r>
      <w:r w:rsidRPr="00681993">
        <w:t xml:space="preserve"> Project Director for this project</w:t>
      </w:r>
      <w:r w:rsidRPr="00681993">
        <w:rPr>
          <w:noProof/>
        </w:rPr>
        <w:t>.  Data</w:t>
      </w:r>
      <w:r w:rsidRPr="00681993">
        <w:rPr>
          <w:noProof/>
          <w:color w:val="000080"/>
        </w:rPr>
        <w:t xml:space="preserve"> </w:t>
      </w:r>
      <w:r w:rsidRPr="00681993">
        <w:t>analysis will be overseen by the Research Team, Office of Prescription Drug Promotion (OPDP), Office of Medical Policy, CDER, FDA, and coordinated</w:t>
      </w:r>
      <w:r w:rsidRPr="00681993" w:rsidR="00A718FB">
        <w:t xml:space="preserve"> by </w:t>
      </w:r>
      <w:r w:rsidRPr="00681993">
        <w:t xml:space="preserve">and </w:t>
      </w:r>
      <w:r w:rsidR="00EA26F5">
        <w:t>Kathryn Aikin</w:t>
      </w:r>
      <w:r w:rsidRPr="00681993">
        <w:t>, Ph.D., 301-796-</w:t>
      </w:r>
      <w:r w:rsidR="00EA26F5">
        <w:t>1200</w:t>
      </w:r>
      <w:r w:rsidR="007C13EC">
        <w:t xml:space="preserve"> and Amie O’Donoghue, Ph.D., 301-796-1200</w:t>
      </w:r>
      <w:r w:rsidRPr="00681993">
        <w:t>.</w:t>
      </w:r>
    </w:p>
    <w:p w:rsidRPr="004C6979" w:rsidR="00A718FB" w:rsidP="001311C3" w:rsidRDefault="00A718FB" w14:paraId="60BCD211" w14:textId="77777777">
      <w:pPr>
        <w:shd w:val="clear" w:color="auto" w:fill="FFFFFF"/>
        <w:spacing w:before="100" w:beforeAutospacing="1" w:after="100" w:afterAutospacing="1"/>
        <w:ind w:left="720"/>
        <w:rPr>
          <w:b/>
        </w:rPr>
      </w:pPr>
    </w:p>
    <w:sectPr w:rsidRPr="004C6979" w:rsidR="00A718FB" w:rsidSect="00EB7538">
      <w:footerReference w:type="even"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F48F6" w14:textId="77777777" w:rsidR="00DC1712" w:rsidRDefault="00DC1712">
      <w:r>
        <w:separator/>
      </w:r>
    </w:p>
  </w:endnote>
  <w:endnote w:type="continuationSeparator" w:id="0">
    <w:p w14:paraId="1A68657C" w14:textId="77777777" w:rsidR="00DC1712" w:rsidRDefault="00DC1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MDOK M+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B8E29"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E995EF"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3BEBC"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0F88">
      <w:rPr>
        <w:rStyle w:val="PageNumber"/>
        <w:noProof/>
      </w:rPr>
      <w:t>3</w:t>
    </w:r>
    <w:r>
      <w:rPr>
        <w:rStyle w:val="PageNumber"/>
      </w:rPr>
      <w:fldChar w:fldCharType="end"/>
    </w:r>
  </w:p>
  <w:p w14:paraId="7BA90683"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3B64F" w14:textId="77777777" w:rsidR="00DC1712" w:rsidRDefault="00DC1712">
      <w:r>
        <w:separator/>
      </w:r>
    </w:p>
  </w:footnote>
  <w:footnote w:type="continuationSeparator" w:id="0">
    <w:p w14:paraId="511372D4" w14:textId="77777777" w:rsidR="00DC1712" w:rsidRDefault="00DC1712">
      <w:r>
        <w:continuationSeparator/>
      </w:r>
    </w:p>
  </w:footnote>
  <w:footnote w:id="1">
    <w:p w14:paraId="7F7630F2" w14:textId="2214F9AD" w:rsidR="00EE4226" w:rsidRPr="00EE4226" w:rsidRDefault="00EE4226" w:rsidP="00EE4226">
      <w:pPr>
        <w:pStyle w:val="BodyText"/>
        <w:shd w:val="clear" w:color="auto" w:fill="FFFFFF"/>
        <w:tabs>
          <w:tab w:val="left" w:pos="720"/>
        </w:tabs>
        <w:kinsoku w:val="0"/>
        <w:overflowPunct w:val="0"/>
        <w:spacing w:after="0"/>
        <w:ind w:left="720"/>
        <w:rPr>
          <w:sz w:val="20"/>
          <w:szCs w:val="20"/>
        </w:rPr>
      </w:pPr>
      <w:r>
        <w:rPr>
          <w:rStyle w:val="FootnoteReference"/>
        </w:rPr>
        <w:footnoteRef/>
      </w:r>
      <w:r w:rsidRPr="00EE4226">
        <w:rPr>
          <w:sz w:val="20"/>
          <w:szCs w:val="20"/>
        </w:rPr>
        <w:t>Cohen, J. (1988). Statistical power analysis for the behavioral sciences (2nd ed.). Hillsdale, NJ: Erlbaum.</w:t>
      </w:r>
    </w:p>
    <w:p w14:paraId="74409D7C" w14:textId="77777777" w:rsidR="00EE4226" w:rsidRDefault="00EE422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41126"/>
    <w:multiLevelType w:val="hybridMultilevel"/>
    <w:tmpl w:val="2C423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AA34062"/>
    <w:multiLevelType w:val="hybridMultilevel"/>
    <w:tmpl w:val="4FE0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6877C4A"/>
    <w:multiLevelType w:val="singleLevel"/>
    <w:tmpl w:val="745C8DE6"/>
    <w:lvl w:ilvl="0">
      <w:start w:val="1"/>
      <w:numFmt w:val="bullet"/>
      <w:pStyle w:val="CM12"/>
      <w:lvlText w:val=""/>
      <w:lvlJc w:val="left"/>
      <w:pPr>
        <w:tabs>
          <w:tab w:val="num" w:pos="1080"/>
        </w:tabs>
        <w:ind w:left="1080" w:hanging="360"/>
      </w:pPr>
      <w:rPr>
        <w:rFonts w:ascii="Wingdings" w:hAnsi="Wingdings" w:hint="default"/>
        <w:sz w:val="24"/>
      </w:rPr>
    </w:lvl>
  </w:abstractNum>
  <w:abstractNum w:abstractNumId="7" w15:restartNumberingAfterBreak="0">
    <w:nsid w:val="1A3B7D75"/>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DE7567"/>
    <w:multiLevelType w:val="hybridMultilevel"/>
    <w:tmpl w:val="7DFE1E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8FD062F"/>
    <w:multiLevelType w:val="hybridMultilevel"/>
    <w:tmpl w:val="EEB071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E015AFB"/>
    <w:multiLevelType w:val="hybridMultilevel"/>
    <w:tmpl w:val="4F783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48B1A41"/>
    <w:multiLevelType w:val="hybridMultilevel"/>
    <w:tmpl w:val="EDFA1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96E0CED"/>
    <w:multiLevelType w:val="hybridMultilevel"/>
    <w:tmpl w:val="37540DB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5" w15:restartNumberingAfterBreak="0">
    <w:nsid w:val="72FB651B"/>
    <w:multiLevelType w:val="hybridMultilevel"/>
    <w:tmpl w:val="05665982"/>
    <w:lvl w:ilvl="0" w:tplc="04090001">
      <w:start w:val="1"/>
      <w:numFmt w:val="bullet"/>
      <w:pStyle w:val="bullets"/>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3777081"/>
    <w:multiLevelType w:val="hybridMultilevel"/>
    <w:tmpl w:val="BC7C56BA"/>
    <w:lvl w:ilvl="0" w:tplc="24088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5297DBF"/>
    <w:multiLevelType w:val="hybridMultilevel"/>
    <w:tmpl w:val="7CF2AEDE"/>
    <w:lvl w:ilvl="0" w:tplc="253E0CAE">
      <w:start w:val="1"/>
      <w:numFmt w:val="decimal"/>
      <w:lvlText w:val="(%1)"/>
      <w:lvlJc w:val="left"/>
      <w:pPr>
        <w:ind w:left="450" w:hanging="360"/>
      </w:pPr>
      <w:rPr>
        <w:rFonts w:ascii="Franklin Gothic Medium" w:hAnsi="Franklin Gothic Medium" w:hint="default"/>
        <w:b/>
        <w:color w:val="DD4814"/>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E6655C5"/>
    <w:multiLevelType w:val="hybridMultilevel"/>
    <w:tmpl w:val="8016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22"/>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7"/>
  </w:num>
  <w:num w:numId="5">
    <w:abstractNumId w:val="12"/>
  </w:num>
  <w:num w:numId="6">
    <w:abstractNumId w:val="31"/>
  </w:num>
  <w:num w:numId="7">
    <w:abstractNumId w:val="36"/>
  </w:num>
  <w:num w:numId="8">
    <w:abstractNumId w:val="9"/>
  </w:num>
  <w:num w:numId="9">
    <w:abstractNumId w:val="32"/>
  </w:num>
  <w:num w:numId="10">
    <w:abstractNumId w:val="26"/>
  </w:num>
  <w:num w:numId="11">
    <w:abstractNumId w:val="14"/>
  </w:num>
  <w:num w:numId="12">
    <w:abstractNumId w:val="41"/>
  </w:num>
  <w:num w:numId="13">
    <w:abstractNumId w:val="25"/>
  </w:num>
  <w:num w:numId="14">
    <w:abstractNumId w:val="13"/>
  </w:num>
  <w:num w:numId="15">
    <w:abstractNumId w:val="21"/>
  </w:num>
  <w:num w:numId="16">
    <w:abstractNumId w:val="20"/>
  </w:num>
  <w:num w:numId="17">
    <w:abstractNumId w:val="35"/>
  </w:num>
  <w:num w:numId="18">
    <w:abstractNumId w:val="40"/>
  </w:num>
  <w:num w:numId="19">
    <w:abstractNumId w:val="38"/>
  </w:num>
  <w:num w:numId="20">
    <w:abstractNumId w:val="24"/>
  </w:num>
  <w:num w:numId="21">
    <w:abstractNumId w:val="19"/>
  </w:num>
  <w:num w:numId="22">
    <w:abstractNumId w:val="5"/>
  </w:num>
  <w:num w:numId="23">
    <w:abstractNumId w:val="33"/>
  </w:num>
  <w:num w:numId="24">
    <w:abstractNumId w:val="28"/>
  </w:num>
  <w:num w:numId="25">
    <w:abstractNumId w:val="17"/>
  </w:num>
  <w:num w:numId="26">
    <w:abstractNumId w:val="11"/>
  </w:num>
  <w:num w:numId="27">
    <w:abstractNumId w:val="43"/>
  </w:num>
  <w:num w:numId="28">
    <w:abstractNumId w:val="34"/>
  </w:num>
  <w:num w:numId="29">
    <w:abstractNumId w:val="10"/>
  </w:num>
  <w:num w:numId="30">
    <w:abstractNumId w:val="23"/>
  </w:num>
  <w:num w:numId="31">
    <w:abstractNumId w:val="4"/>
  </w:num>
  <w:num w:numId="32">
    <w:abstractNumId w:val="2"/>
  </w:num>
  <w:num w:numId="33">
    <w:abstractNumId w:val="6"/>
  </w:num>
  <w:num w:numId="34">
    <w:abstractNumId w:val="30"/>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15"/>
  </w:num>
  <w:num w:numId="38">
    <w:abstractNumId w:val="3"/>
  </w:num>
  <w:num w:numId="39">
    <w:abstractNumId w:val="7"/>
  </w:num>
  <w:num w:numId="40">
    <w:abstractNumId w:val="39"/>
  </w:num>
  <w:num w:numId="41">
    <w:abstractNumId w:val="1"/>
  </w:num>
  <w:num w:numId="42">
    <w:abstractNumId w:val="18"/>
  </w:num>
  <w:num w:numId="43">
    <w:abstractNumId w:val="42"/>
  </w:num>
  <w:num w:numId="44">
    <w:abstractNumId w:val="29"/>
  </w:num>
  <w:num w:numId="45">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1401"/>
    <w:rsid w:val="00012958"/>
    <w:rsid w:val="000321D3"/>
    <w:rsid w:val="000324D8"/>
    <w:rsid w:val="00040160"/>
    <w:rsid w:val="000532C8"/>
    <w:rsid w:val="0006570F"/>
    <w:rsid w:val="000739A4"/>
    <w:rsid w:val="000840C7"/>
    <w:rsid w:val="00091CF2"/>
    <w:rsid w:val="000964BB"/>
    <w:rsid w:val="00096B8B"/>
    <w:rsid w:val="000B4906"/>
    <w:rsid w:val="000B7714"/>
    <w:rsid w:val="000D48FD"/>
    <w:rsid w:val="000D7569"/>
    <w:rsid w:val="000D7C58"/>
    <w:rsid w:val="000E1C64"/>
    <w:rsid w:val="000E36BA"/>
    <w:rsid w:val="000E75B0"/>
    <w:rsid w:val="000F6CA6"/>
    <w:rsid w:val="00100739"/>
    <w:rsid w:val="00107885"/>
    <w:rsid w:val="00114FC4"/>
    <w:rsid w:val="0012329C"/>
    <w:rsid w:val="001311C3"/>
    <w:rsid w:val="0013231E"/>
    <w:rsid w:val="00132CEA"/>
    <w:rsid w:val="00134FA7"/>
    <w:rsid w:val="001370ED"/>
    <w:rsid w:val="00137950"/>
    <w:rsid w:val="00152F29"/>
    <w:rsid w:val="0015453C"/>
    <w:rsid w:val="00165A9E"/>
    <w:rsid w:val="0016663D"/>
    <w:rsid w:val="00167BE3"/>
    <w:rsid w:val="0017237B"/>
    <w:rsid w:val="00172A34"/>
    <w:rsid w:val="00177055"/>
    <w:rsid w:val="0017723D"/>
    <w:rsid w:val="00177D6B"/>
    <w:rsid w:val="00181DF3"/>
    <w:rsid w:val="00185270"/>
    <w:rsid w:val="00193E2A"/>
    <w:rsid w:val="001A322F"/>
    <w:rsid w:val="001A3B5A"/>
    <w:rsid w:val="001A444E"/>
    <w:rsid w:val="001A5E31"/>
    <w:rsid w:val="001B7CE9"/>
    <w:rsid w:val="001B7E54"/>
    <w:rsid w:val="001C36C6"/>
    <w:rsid w:val="001C416C"/>
    <w:rsid w:val="001C42D8"/>
    <w:rsid w:val="001D2477"/>
    <w:rsid w:val="001D495A"/>
    <w:rsid w:val="001E3E05"/>
    <w:rsid w:val="001F29EF"/>
    <w:rsid w:val="001F59EE"/>
    <w:rsid w:val="0021223F"/>
    <w:rsid w:val="00213BCA"/>
    <w:rsid w:val="00216419"/>
    <w:rsid w:val="002259EF"/>
    <w:rsid w:val="00232BE4"/>
    <w:rsid w:val="00242ED1"/>
    <w:rsid w:val="0024789A"/>
    <w:rsid w:val="00251EBF"/>
    <w:rsid w:val="0025328C"/>
    <w:rsid w:val="00254069"/>
    <w:rsid w:val="00256561"/>
    <w:rsid w:val="0027039C"/>
    <w:rsid w:val="002734E5"/>
    <w:rsid w:val="0027419B"/>
    <w:rsid w:val="002746DB"/>
    <w:rsid w:val="00280CAF"/>
    <w:rsid w:val="00282F09"/>
    <w:rsid w:val="00294C80"/>
    <w:rsid w:val="002A4B47"/>
    <w:rsid w:val="002A4F7C"/>
    <w:rsid w:val="002A502B"/>
    <w:rsid w:val="002A772C"/>
    <w:rsid w:val="002B2607"/>
    <w:rsid w:val="002C6B45"/>
    <w:rsid w:val="002D0C6C"/>
    <w:rsid w:val="002D14D8"/>
    <w:rsid w:val="002D3F6A"/>
    <w:rsid w:val="002D4799"/>
    <w:rsid w:val="002D49E7"/>
    <w:rsid w:val="002E357B"/>
    <w:rsid w:val="002E3FA4"/>
    <w:rsid w:val="002E7C59"/>
    <w:rsid w:val="002F06A7"/>
    <w:rsid w:val="002F552B"/>
    <w:rsid w:val="002F5BB3"/>
    <w:rsid w:val="002F7854"/>
    <w:rsid w:val="00302419"/>
    <w:rsid w:val="003067FB"/>
    <w:rsid w:val="0032277F"/>
    <w:rsid w:val="00323E95"/>
    <w:rsid w:val="00327212"/>
    <w:rsid w:val="00343ED7"/>
    <w:rsid w:val="00345CE3"/>
    <w:rsid w:val="00350523"/>
    <w:rsid w:val="003517D8"/>
    <w:rsid w:val="00373CDC"/>
    <w:rsid w:val="003740BC"/>
    <w:rsid w:val="003801A3"/>
    <w:rsid w:val="003820D3"/>
    <w:rsid w:val="00383D90"/>
    <w:rsid w:val="003933F7"/>
    <w:rsid w:val="00396901"/>
    <w:rsid w:val="003A2364"/>
    <w:rsid w:val="003A551D"/>
    <w:rsid w:val="003B42B3"/>
    <w:rsid w:val="003B6384"/>
    <w:rsid w:val="003B7D6B"/>
    <w:rsid w:val="003C4EBB"/>
    <w:rsid w:val="003C66FE"/>
    <w:rsid w:val="003D1531"/>
    <w:rsid w:val="003D6B91"/>
    <w:rsid w:val="003E4EC6"/>
    <w:rsid w:val="003E527E"/>
    <w:rsid w:val="003E553E"/>
    <w:rsid w:val="003E7078"/>
    <w:rsid w:val="003F3DF5"/>
    <w:rsid w:val="0040001A"/>
    <w:rsid w:val="004069C6"/>
    <w:rsid w:val="00411B7E"/>
    <w:rsid w:val="00411D11"/>
    <w:rsid w:val="00415E23"/>
    <w:rsid w:val="00423C0D"/>
    <w:rsid w:val="00424061"/>
    <w:rsid w:val="00435DE8"/>
    <w:rsid w:val="00443969"/>
    <w:rsid w:val="004446D0"/>
    <w:rsid w:val="00446EB0"/>
    <w:rsid w:val="00447D74"/>
    <w:rsid w:val="00450A74"/>
    <w:rsid w:val="0046292A"/>
    <w:rsid w:val="00465350"/>
    <w:rsid w:val="004744BA"/>
    <w:rsid w:val="004846BF"/>
    <w:rsid w:val="004A15A1"/>
    <w:rsid w:val="004B6AD4"/>
    <w:rsid w:val="004C47C2"/>
    <w:rsid w:val="004C6979"/>
    <w:rsid w:val="004C6DCB"/>
    <w:rsid w:val="004C79D7"/>
    <w:rsid w:val="004D3E7A"/>
    <w:rsid w:val="004E0E7D"/>
    <w:rsid w:val="004E309A"/>
    <w:rsid w:val="004F1781"/>
    <w:rsid w:val="00500A13"/>
    <w:rsid w:val="00523FA3"/>
    <w:rsid w:val="00531E80"/>
    <w:rsid w:val="00532973"/>
    <w:rsid w:val="005425B7"/>
    <w:rsid w:val="0054266E"/>
    <w:rsid w:val="00544002"/>
    <w:rsid w:val="00544138"/>
    <w:rsid w:val="00550A33"/>
    <w:rsid w:val="00554DEF"/>
    <w:rsid w:val="00562281"/>
    <w:rsid w:val="005640FD"/>
    <w:rsid w:val="0056457A"/>
    <w:rsid w:val="0056523E"/>
    <w:rsid w:val="0056599C"/>
    <w:rsid w:val="00570C72"/>
    <w:rsid w:val="0057509E"/>
    <w:rsid w:val="00576517"/>
    <w:rsid w:val="00584583"/>
    <w:rsid w:val="005871C6"/>
    <w:rsid w:val="00597CD8"/>
    <w:rsid w:val="005A2020"/>
    <w:rsid w:val="005A4099"/>
    <w:rsid w:val="005A59A1"/>
    <w:rsid w:val="005C38B2"/>
    <w:rsid w:val="005C5029"/>
    <w:rsid w:val="005C55C2"/>
    <w:rsid w:val="005D44CE"/>
    <w:rsid w:val="005D4DF5"/>
    <w:rsid w:val="005D6ED9"/>
    <w:rsid w:val="005F0651"/>
    <w:rsid w:val="005F1FC8"/>
    <w:rsid w:val="00600837"/>
    <w:rsid w:val="006023B1"/>
    <w:rsid w:val="00606E2B"/>
    <w:rsid w:val="00611D6B"/>
    <w:rsid w:val="00615D1E"/>
    <w:rsid w:val="00620F8E"/>
    <w:rsid w:val="006348DF"/>
    <w:rsid w:val="00635096"/>
    <w:rsid w:val="006364CA"/>
    <w:rsid w:val="0064391D"/>
    <w:rsid w:val="0065044F"/>
    <w:rsid w:val="00651E91"/>
    <w:rsid w:val="006664F8"/>
    <w:rsid w:val="0066768B"/>
    <w:rsid w:val="00675E2F"/>
    <w:rsid w:val="00681993"/>
    <w:rsid w:val="006830C1"/>
    <w:rsid w:val="00683687"/>
    <w:rsid w:val="00694C18"/>
    <w:rsid w:val="006974B3"/>
    <w:rsid w:val="006A26C6"/>
    <w:rsid w:val="006A27C6"/>
    <w:rsid w:val="006A6C67"/>
    <w:rsid w:val="006A6F4B"/>
    <w:rsid w:val="006A7D5D"/>
    <w:rsid w:val="006B4E6A"/>
    <w:rsid w:val="006B5E70"/>
    <w:rsid w:val="006D1839"/>
    <w:rsid w:val="006E48F4"/>
    <w:rsid w:val="006F4D6D"/>
    <w:rsid w:val="006F50C7"/>
    <w:rsid w:val="00705086"/>
    <w:rsid w:val="00710D99"/>
    <w:rsid w:val="00724A75"/>
    <w:rsid w:val="007409EF"/>
    <w:rsid w:val="007446CF"/>
    <w:rsid w:val="00746A87"/>
    <w:rsid w:val="00754497"/>
    <w:rsid w:val="00754BE0"/>
    <w:rsid w:val="007666A0"/>
    <w:rsid w:val="00783478"/>
    <w:rsid w:val="0078524B"/>
    <w:rsid w:val="00785D5F"/>
    <w:rsid w:val="00787C39"/>
    <w:rsid w:val="007940F0"/>
    <w:rsid w:val="00795DF3"/>
    <w:rsid w:val="007A212B"/>
    <w:rsid w:val="007A373C"/>
    <w:rsid w:val="007A58D7"/>
    <w:rsid w:val="007A7AD8"/>
    <w:rsid w:val="007B225C"/>
    <w:rsid w:val="007B7A56"/>
    <w:rsid w:val="007C0AA6"/>
    <w:rsid w:val="007C13EC"/>
    <w:rsid w:val="007C75B1"/>
    <w:rsid w:val="007D3DFC"/>
    <w:rsid w:val="007D7C9C"/>
    <w:rsid w:val="007E48B6"/>
    <w:rsid w:val="0080776D"/>
    <w:rsid w:val="00810145"/>
    <w:rsid w:val="008108FA"/>
    <w:rsid w:val="00810FF1"/>
    <w:rsid w:val="00822336"/>
    <w:rsid w:val="00823DFA"/>
    <w:rsid w:val="0082658B"/>
    <w:rsid w:val="008424CA"/>
    <w:rsid w:val="00843752"/>
    <w:rsid w:val="00850F88"/>
    <w:rsid w:val="00863CC5"/>
    <w:rsid w:val="00872AFC"/>
    <w:rsid w:val="00876526"/>
    <w:rsid w:val="00885B09"/>
    <w:rsid w:val="008910A2"/>
    <w:rsid w:val="00892400"/>
    <w:rsid w:val="008A1B22"/>
    <w:rsid w:val="008A209D"/>
    <w:rsid w:val="008B0E29"/>
    <w:rsid w:val="008B0EFA"/>
    <w:rsid w:val="008B30AB"/>
    <w:rsid w:val="008C5368"/>
    <w:rsid w:val="008D189F"/>
    <w:rsid w:val="008D5E7F"/>
    <w:rsid w:val="008D62CD"/>
    <w:rsid w:val="008D7C4F"/>
    <w:rsid w:val="008E0792"/>
    <w:rsid w:val="008F2743"/>
    <w:rsid w:val="008F4031"/>
    <w:rsid w:val="00901043"/>
    <w:rsid w:val="009051D2"/>
    <w:rsid w:val="00905DEF"/>
    <w:rsid w:val="00907392"/>
    <w:rsid w:val="00910CC3"/>
    <w:rsid w:val="00913B43"/>
    <w:rsid w:val="009210AD"/>
    <w:rsid w:val="00930203"/>
    <w:rsid w:val="009311D2"/>
    <w:rsid w:val="00931275"/>
    <w:rsid w:val="00936AC7"/>
    <w:rsid w:val="00945F04"/>
    <w:rsid w:val="00946F1B"/>
    <w:rsid w:val="00962564"/>
    <w:rsid w:val="009703AD"/>
    <w:rsid w:val="0097146A"/>
    <w:rsid w:val="009765CB"/>
    <w:rsid w:val="009807AD"/>
    <w:rsid w:val="00981612"/>
    <w:rsid w:val="009832AD"/>
    <w:rsid w:val="00987F45"/>
    <w:rsid w:val="0099022F"/>
    <w:rsid w:val="00990E8D"/>
    <w:rsid w:val="009950E0"/>
    <w:rsid w:val="009952E5"/>
    <w:rsid w:val="009A1674"/>
    <w:rsid w:val="009C666B"/>
    <w:rsid w:val="009C684F"/>
    <w:rsid w:val="009D074C"/>
    <w:rsid w:val="009E2AD3"/>
    <w:rsid w:val="009E2FDB"/>
    <w:rsid w:val="009E4E92"/>
    <w:rsid w:val="009E64F5"/>
    <w:rsid w:val="009F0955"/>
    <w:rsid w:val="009F2B4F"/>
    <w:rsid w:val="009F66B5"/>
    <w:rsid w:val="00A10D1B"/>
    <w:rsid w:val="00A20A7D"/>
    <w:rsid w:val="00A35D42"/>
    <w:rsid w:val="00A46CCF"/>
    <w:rsid w:val="00A472FE"/>
    <w:rsid w:val="00A64591"/>
    <w:rsid w:val="00A70426"/>
    <w:rsid w:val="00A718FB"/>
    <w:rsid w:val="00A725E8"/>
    <w:rsid w:val="00A73542"/>
    <w:rsid w:val="00A76D0D"/>
    <w:rsid w:val="00A91E9A"/>
    <w:rsid w:val="00A93ED9"/>
    <w:rsid w:val="00A94F37"/>
    <w:rsid w:val="00AA1F72"/>
    <w:rsid w:val="00AA264C"/>
    <w:rsid w:val="00AC6A64"/>
    <w:rsid w:val="00AC6A99"/>
    <w:rsid w:val="00AF5DE1"/>
    <w:rsid w:val="00B0456C"/>
    <w:rsid w:val="00B055EF"/>
    <w:rsid w:val="00B14278"/>
    <w:rsid w:val="00B14D02"/>
    <w:rsid w:val="00B23285"/>
    <w:rsid w:val="00B23769"/>
    <w:rsid w:val="00B47448"/>
    <w:rsid w:val="00B531F2"/>
    <w:rsid w:val="00B63ECB"/>
    <w:rsid w:val="00B725C5"/>
    <w:rsid w:val="00B73038"/>
    <w:rsid w:val="00B778F3"/>
    <w:rsid w:val="00B77C23"/>
    <w:rsid w:val="00B82974"/>
    <w:rsid w:val="00B86DFA"/>
    <w:rsid w:val="00B9313F"/>
    <w:rsid w:val="00B936D0"/>
    <w:rsid w:val="00B937B1"/>
    <w:rsid w:val="00BA16AA"/>
    <w:rsid w:val="00BA2E82"/>
    <w:rsid w:val="00BA44A2"/>
    <w:rsid w:val="00BC79AD"/>
    <w:rsid w:val="00BD0B1F"/>
    <w:rsid w:val="00BD3046"/>
    <w:rsid w:val="00BD3BF6"/>
    <w:rsid w:val="00BE3600"/>
    <w:rsid w:val="00BF5A22"/>
    <w:rsid w:val="00C01F6F"/>
    <w:rsid w:val="00C149AB"/>
    <w:rsid w:val="00C26E55"/>
    <w:rsid w:val="00C27499"/>
    <w:rsid w:val="00C3097C"/>
    <w:rsid w:val="00C40694"/>
    <w:rsid w:val="00C51037"/>
    <w:rsid w:val="00C538A4"/>
    <w:rsid w:val="00C63DB9"/>
    <w:rsid w:val="00C70542"/>
    <w:rsid w:val="00C75CBF"/>
    <w:rsid w:val="00C76F75"/>
    <w:rsid w:val="00C81B29"/>
    <w:rsid w:val="00C926B0"/>
    <w:rsid w:val="00C97A66"/>
    <w:rsid w:val="00CA2086"/>
    <w:rsid w:val="00CA45E5"/>
    <w:rsid w:val="00CC2894"/>
    <w:rsid w:val="00CD77C3"/>
    <w:rsid w:val="00CE112C"/>
    <w:rsid w:val="00CE6036"/>
    <w:rsid w:val="00CF5212"/>
    <w:rsid w:val="00D0451B"/>
    <w:rsid w:val="00D141E6"/>
    <w:rsid w:val="00D45D23"/>
    <w:rsid w:val="00D608DA"/>
    <w:rsid w:val="00D65E42"/>
    <w:rsid w:val="00D730BF"/>
    <w:rsid w:val="00D763D0"/>
    <w:rsid w:val="00D8271B"/>
    <w:rsid w:val="00D92F2F"/>
    <w:rsid w:val="00D932AA"/>
    <w:rsid w:val="00DA0C2B"/>
    <w:rsid w:val="00DA7DA6"/>
    <w:rsid w:val="00DB34CA"/>
    <w:rsid w:val="00DB5DC1"/>
    <w:rsid w:val="00DB6788"/>
    <w:rsid w:val="00DB7C18"/>
    <w:rsid w:val="00DC15ED"/>
    <w:rsid w:val="00DC1712"/>
    <w:rsid w:val="00DC67FE"/>
    <w:rsid w:val="00DC690B"/>
    <w:rsid w:val="00DC76C7"/>
    <w:rsid w:val="00DC7A33"/>
    <w:rsid w:val="00DD09F5"/>
    <w:rsid w:val="00DD3A4D"/>
    <w:rsid w:val="00DD4201"/>
    <w:rsid w:val="00DE152A"/>
    <w:rsid w:val="00DE5711"/>
    <w:rsid w:val="00DE574D"/>
    <w:rsid w:val="00DE59C0"/>
    <w:rsid w:val="00DF38D5"/>
    <w:rsid w:val="00E00EA0"/>
    <w:rsid w:val="00E04CC9"/>
    <w:rsid w:val="00E05FEE"/>
    <w:rsid w:val="00E108CD"/>
    <w:rsid w:val="00E1114B"/>
    <w:rsid w:val="00E13764"/>
    <w:rsid w:val="00E16007"/>
    <w:rsid w:val="00E21E9C"/>
    <w:rsid w:val="00E26758"/>
    <w:rsid w:val="00E36779"/>
    <w:rsid w:val="00E4357B"/>
    <w:rsid w:val="00E52320"/>
    <w:rsid w:val="00E63DE5"/>
    <w:rsid w:val="00E649B8"/>
    <w:rsid w:val="00E652F9"/>
    <w:rsid w:val="00E65A37"/>
    <w:rsid w:val="00E666EB"/>
    <w:rsid w:val="00E7010E"/>
    <w:rsid w:val="00E773C0"/>
    <w:rsid w:val="00E77B48"/>
    <w:rsid w:val="00E802AD"/>
    <w:rsid w:val="00E803FD"/>
    <w:rsid w:val="00E85DB1"/>
    <w:rsid w:val="00E90219"/>
    <w:rsid w:val="00E91799"/>
    <w:rsid w:val="00E96A9D"/>
    <w:rsid w:val="00E97DF5"/>
    <w:rsid w:val="00EA26F5"/>
    <w:rsid w:val="00EA34E3"/>
    <w:rsid w:val="00EA4CE0"/>
    <w:rsid w:val="00EB6A4F"/>
    <w:rsid w:val="00EB7538"/>
    <w:rsid w:val="00EC3D7A"/>
    <w:rsid w:val="00ED0C4A"/>
    <w:rsid w:val="00EE4226"/>
    <w:rsid w:val="00EF1CE0"/>
    <w:rsid w:val="00EF3CCE"/>
    <w:rsid w:val="00F10C5F"/>
    <w:rsid w:val="00F207A4"/>
    <w:rsid w:val="00F21F9D"/>
    <w:rsid w:val="00F2790D"/>
    <w:rsid w:val="00F355AC"/>
    <w:rsid w:val="00F37A4F"/>
    <w:rsid w:val="00F57B45"/>
    <w:rsid w:val="00F57FD3"/>
    <w:rsid w:val="00F65B5B"/>
    <w:rsid w:val="00F71A5A"/>
    <w:rsid w:val="00F769E0"/>
    <w:rsid w:val="00F76EBC"/>
    <w:rsid w:val="00F83808"/>
    <w:rsid w:val="00F861E8"/>
    <w:rsid w:val="00FA6526"/>
    <w:rsid w:val="00FB373C"/>
    <w:rsid w:val="00FC6BDE"/>
    <w:rsid w:val="00FE2C1C"/>
    <w:rsid w:val="00FE5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4DCCA"/>
  <w15:chartTrackingRefBased/>
  <w15:docId w15:val="{ABCB7429-6BEA-417D-B891-484D1C92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uiPriority w:val="5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customStyle="1" w:styleId="CM12">
    <w:name w:val="CM12"/>
    <w:basedOn w:val="Normal"/>
    <w:next w:val="Normal"/>
    <w:rsid w:val="00411B7E"/>
    <w:pPr>
      <w:widowControl w:val="0"/>
      <w:numPr>
        <w:numId w:val="33"/>
      </w:numPr>
      <w:tabs>
        <w:tab w:val="clear" w:pos="1080"/>
      </w:tabs>
      <w:autoSpaceDE w:val="0"/>
      <w:autoSpaceDN w:val="0"/>
      <w:adjustRightInd w:val="0"/>
      <w:spacing w:line="120" w:lineRule="atLeast"/>
      <w:ind w:left="0" w:firstLine="0"/>
    </w:pPr>
    <w:rPr>
      <w:rFonts w:ascii="OMDOK M+ Melior" w:hAnsi="OMDOK M+ Melior"/>
    </w:rPr>
  </w:style>
  <w:style w:type="paragraph" w:customStyle="1" w:styleId="bullets">
    <w:name w:val="bullets"/>
    <w:basedOn w:val="Normal"/>
    <w:rsid w:val="00411B7E"/>
    <w:pPr>
      <w:numPr>
        <w:numId w:val="17"/>
      </w:numPr>
      <w:spacing w:after="240"/>
    </w:pPr>
    <w:rPr>
      <w:sz w:val="22"/>
      <w:szCs w:val="20"/>
    </w:rPr>
  </w:style>
  <w:style w:type="character" w:styleId="CommentReference">
    <w:name w:val="annotation reference"/>
    <w:uiPriority w:val="99"/>
    <w:rsid w:val="00411B7E"/>
    <w:rPr>
      <w:sz w:val="16"/>
      <w:szCs w:val="16"/>
    </w:rPr>
  </w:style>
  <w:style w:type="paragraph" w:styleId="CommentText">
    <w:name w:val="annotation text"/>
    <w:basedOn w:val="Normal"/>
    <w:link w:val="CommentTextChar"/>
    <w:uiPriority w:val="99"/>
    <w:rsid w:val="00411B7E"/>
    <w:rPr>
      <w:sz w:val="20"/>
      <w:szCs w:val="20"/>
    </w:rPr>
  </w:style>
  <w:style w:type="character" w:customStyle="1" w:styleId="CommentTextChar">
    <w:name w:val="Comment Text Char"/>
    <w:basedOn w:val="DefaultParagraphFont"/>
    <w:link w:val="CommentText"/>
    <w:uiPriority w:val="99"/>
    <w:rsid w:val="00411B7E"/>
  </w:style>
  <w:style w:type="paragraph" w:styleId="PlainText">
    <w:name w:val="Plain Text"/>
    <w:basedOn w:val="Normal"/>
    <w:link w:val="PlainTextChar"/>
    <w:uiPriority w:val="99"/>
    <w:unhideWhenUsed/>
    <w:rsid w:val="00E7010E"/>
    <w:rPr>
      <w:rFonts w:ascii="Calibri" w:eastAsia="Calibri" w:hAnsi="Calibri"/>
      <w:sz w:val="22"/>
      <w:szCs w:val="21"/>
    </w:rPr>
  </w:style>
  <w:style w:type="character" w:customStyle="1" w:styleId="PlainTextChar">
    <w:name w:val="Plain Text Char"/>
    <w:link w:val="PlainText"/>
    <w:uiPriority w:val="99"/>
    <w:rsid w:val="00E7010E"/>
    <w:rPr>
      <w:rFonts w:ascii="Calibri" w:eastAsia="Calibri" w:hAnsi="Calibri"/>
      <w:sz w:val="22"/>
      <w:szCs w:val="21"/>
    </w:rPr>
  </w:style>
  <w:style w:type="paragraph" w:styleId="ListParagraph">
    <w:name w:val="List Paragraph"/>
    <w:basedOn w:val="Normal"/>
    <w:link w:val="ListParagraphChar"/>
    <w:uiPriority w:val="34"/>
    <w:qFormat/>
    <w:rsid w:val="00F57B45"/>
    <w:pPr>
      <w:spacing w:after="200" w:line="276" w:lineRule="auto"/>
      <w:ind w:left="720"/>
      <w:contextualSpacing/>
    </w:pPr>
    <w:rPr>
      <w:rFonts w:ascii="Calibri" w:eastAsia="Calibri" w:hAnsi="Calibri"/>
      <w:sz w:val="22"/>
      <w:szCs w:val="22"/>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link w:val="BodyText1"/>
    <w:locked/>
    <w:rsid w:val="00F57B45"/>
    <w:rPr>
      <w:lang w:val="x-none" w:eastAsia="x-none"/>
    </w:rPr>
  </w:style>
  <w:style w:type="paragraph" w:customStyle="1" w:styleId="BodyText1">
    <w:name w:val="Body Text1"/>
    <w:basedOn w:val="Normal"/>
    <w:link w:val="bodytextChar"/>
    <w:rsid w:val="00F57B45"/>
    <w:pPr>
      <w:spacing w:before="120" w:after="120"/>
      <w:ind w:firstLine="720"/>
    </w:pPr>
    <w:rPr>
      <w:sz w:val="20"/>
      <w:szCs w:val="20"/>
      <w:lang w:val="x-none" w:eastAsia="x-none"/>
    </w:rPr>
  </w:style>
  <w:style w:type="character" w:customStyle="1" w:styleId="bodytextpsgChar">
    <w:name w:val="body text_psg Char"/>
    <w:link w:val="bodytextpsg"/>
    <w:locked/>
    <w:rsid w:val="00E90219"/>
  </w:style>
  <w:style w:type="paragraph" w:customStyle="1" w:styleId="bodytextpsg">
    <w:name w:val="body text_psg"/>
    <w:basedOn w:val="Normal"/>
    <w:link w:val="bodytextpsgChar"/>
    <w:rsid w:val="00E90219"/>
    <w:pPr>
      <w:spacing w:after="240" w:line="320" w:lineRule="exact"/>
      <w:ind w:firstLine="720"/>
    </w:pPr>
    <w:rPr>
      <w:sz w:val="20"/>
      <w:szCs w:val="20"/>
    </w:rPr>
  </w:style>
  <w:style w:type="paragraph" w:styleId="FootnoteText">
    <w:name w:val="footnote text"/>
    <w:basedOn w:val="Normal"/>
    <w:link w:val="FootnoteTextChar"/>
    <w:rsid w:val="00981612"/>
    <w:pPr>
      <w:widowControl w:val="0"/>
    </w:pPr>
    <w:rPr>
      <w:snapToGrid w:val="0"/>
      <w:sz w:val="20"/>
      <w:szCs w:val="20"/>
    </w:rPr>
  </w:style>
  <w:style w:type="character" w:customStyle="1" w:styleId="FootnoteTextChar">
    <w:name w:val="Footnote Text Char"/>
    <w:link w:val="FootnoteText"/>
    <w:rsid w:val="00981612"/>
    <w:rPr>
      <w:snapToGrid w:val="0"/>
    </w:rPr>
  </w:style>
  <w:style w:type="character" w:styleId="FootnoteReference">
    <w:name w:val="footnote reference"/>
    <w:rsid w:val="00981612"/>
    <w:rPr>
      <w:vertAlign w:val="superscript"/>
    </w:rPr>
  </w:style>
  <w:style w:type="paragraph" w:styleId="BodyText">
    <w:name w:val="Body Text"/>
    <w:basedOn w:val="Normal"/>
    <w:link w:val="BodyTextChar0"/>
    <w:rsid w:val="0099022F"/>
    <w:pPr>
      <w:spacing w:after="120"/>
    </w:pPr>
  </w:style>
  <w:style w:type="character" w:customStyle="1" w:styleId="BodyTextChar0">
    <w:name w:val="Body Text Char"/>
    <w:link w:val="BodyText"/>
    <w:rsid w:val="0099022F"/>
    <w:rPr>
      <w:sz w:val="24"/>
      <w:szCs w:val="24"/>
    </w:rPr>
  </w:style>
  <w:style w:type="paragraph" w:styleId="CommentSubject">
    <w:name w:val="annotation subject"/>
    <w:basedOn w:val="CommentText"/>
    <w:next w:val="CommentText"/>
    <w:link w:val="CommentSubjectChar"/>
    <w:rsid w:val="002D0C6C"/>
    <w:rPr>
      <w:b/>
      <w:bCs/>
    </w:rPr>
  </w:style>
  <w:style w:type="character" w:customStyle="1" w:styleId="CommentSubjectChar">
    <w:name w:val="Comment Subject Char"/>
    <w:link w:val="CommentSubject"/>
    <w:rsid w:val="002D0C6C"/>
    <w:rPr>
      <w:b/>
      <w:bCs/>
    </w:rPr>
  </w:style>
  <w:style w:type="character" w:styleId="Hyperlink">
    <w:name w:val="Hyperlink"/>
    <w:uiPriority w:val="99"/>
    <w:unhideWhenUsed/>
    <w:rsid w:val="00F76EBC"/>
    <w:rPr>
      <w:color w:val="0000FF"/>
      <w:u w:val="single"/>
    </w:rPr>
  </w:style>
  <w:style w:type="character" w:customStyle="1" w:styleId="cit-last-page">
    <w:name w:val="cit-last-page"/>
    <w:rsid w:val="00F76EBC"/>
  </w:style>
  <w:style w:type="paragraph" w:styleId="NoSpacing">
    <w:name w:val="No Spacing"/>
    <w:uiPriority w:val="1"/>
    <w:qFormat/>
    <w:rsid w:val="00606E2B"/>
    <w:rPr>
      <w:rFonts w:eastAsia="Calibri"/>
      <w:sz w:val="24"/>
      <w:szCs w:val="22"/>
    </w:rPr>
  </w:style>
  <w:style w:type="character" w:customStyle="1" w:styleId="st">
    <w:name w:val="st"/>
    <w:rsid w:val="001A322F"/>
  </w:style>
  <w:style w:type="character" w:customStyle="1" w:styleId="ListParagraphChar">
    <w:name w:val="List Paragraph Char"/>
    <w:link w:val="ListParagraph"/>
    <w:uiPriority w:val="34"/>
    <w:locked/>
    <w:rsid w:val="0065044F"/>
    <w:rPr>
      <w:rFonts w:ascii="Calibri" w:eastAsia="Calibri" w:hAnsi="Calibri"/>
      <w:sz w:val="22"/>
      <w:szCs w:val="22"/>
    </w:rPr>
  </w:style>
  <w:style w:type="paragraph" w:styleId="Revision">
    <w:name w:val="Revision"/>
    <w:hidden/>
    <w:uiPriority w:val="99"/>
    <w:semiHidden/>
    <w:rsid w:val="00DE59C0"/>
    <w:rPr>
      <w:sz w:val="24"/>
      <w:szCs w:val="24"/>
    </w:rPr>
  </w:style>
  <w:style w:type="character" w:styleId="Strong">
    <w:name w:val="Strong"/>
    <w:uiPriority w:val="22"/>
    <w:qFormat/>
    <w:rsid w:val="00532973"/>
    <w:rPr>
      <w:b/>
      <w:bCs/>
    </w:rPr>
  </w:style>
  <w:style w:type="paragraph" w:customStyle="1" w:styleId="E1-Equation">
    <w:name w:val="E1-Equation"/>
    <w:basedOn w:val="Normal"/>
    <w:rsid w:val="00E1114B"/>
    <w:pPr>
      <w:tabs>
        <w:tab w:val="center" w:pos="4680"/>
        <w:tab w:val="right" w:pos="9360"/>
      </w:tabs>
      <w:spacing w:line="240" w:lineRule="atLeast"/>
    </w:pPr>
    <w:rPr>
      <w:rFonts w:ascii="Garamond" w:hAnsi="Garamond"/>
      <w:szCs w:val="20"/>
    </w:rPr>
  </w:style>
  <w:style w:type="paragraph" w:customStyle="1" w:styleId="L1-FlLSp12">
    <w:name w:val="L1-FlL Sp&amp;1/2"/>
    <w:basedOn w:val="Normal"/>
    <w:link w:val="L1-FlLSp12Char"/>
    <w:rsid w:val="00E1114B"/>
    <w:pPr>
      <w:tabs>
        <w:tab w:val="left" w:pos="1152"/>
      </w:tabs>
      <w:spacing w:line="360" w:lineRule="atLeast"/>
    </w:pPr>
    <w:rPr>
      <w:rFonts w:ascii="Garamond" w:hAnsi="Garamond"/>
      <w:szCs w:val="20"/>
    </w:rPr>
  </w:style>
  <w:style w:type="paragraph" w:customStyle="1" w:styleId="TT-TableTitle">
    <w:name w:val="TT-Table Title"/>
    <w:rsid w:val="00E1114B"/>
    <w:pPr>
      <w:keepNext/>
      <w:tabs>
        <w:tab w:val="left" w:pos="1440"/>
      </w:tabs>
      <w:spacing w:line="240" w:lineRule="atLeast"/>
      <w:ind w:left="1440" w:hanging="1440"/>
    </w:pPr>
    <w:rPr>
      <w:rFonts w:ascii="Franklin Gothic Medium" w:hAnsi="Franklin Gothic Medium"/>
      <w:sz w:val="22"/>
    </w:rPr>
  </w:style>
  <w:style w:type="table" w:customStyle="1" w:styleId="TableWestatStandardFormat">
    <w:name w:val="Table Westat Standard Format"/>
    <w:basedOn w:val="TableNormal"/>
    <w:rsid w:val="00E1114B"/>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H-TableHeading">
    <w:name w:val="TH-Table Heading"/>
    <w:rsid w:val="00E1114B"/>
    <w:pPr>
      <w:keepNext/>
      <w:spacing w:line="240" w:lineRule="atLeast"/>
      <w:jc w:val="center"/>
    </w:pPr>
    <w:rPr>
      <w:rFonts w:ascii="Franklin Gothic Medium" w:hAnsi="Franklin Gothic Medium"/>
      <w:b/>
    </w:rPr>
  </w:style>
  <w:style w:type="paragraph" w:customStyle="1" w:styleId="TX-TableText">
    <w:name w:val="TX-Table Text"/>
    <w:basedOn w:val="Normal"/>
    <w:rsid w:val="00E1114B"/>
    <w:pPr>
      <w:spacing w:line="240" w:lineRule="atLeast"/>
    </w:pPr>
    <w:rPr>
      <w:rFonts w:ascii="Franklin Gothic Medium" w:hAnsi="Franklin Gothic Medium"/>
      <w:sz w:val="20"/>
      <w:szCs w:val="20"/>
    </w:rPr>
  </w:style>
  <w:style w:type="character" w:customStyle="1" w:styleId="L1-FlLSp12Char">
    <w:name w:val="L1-FlL Sp&amp;1/2 Char"/>
    <w:link w:val="L1-FlLSp12"/>
    <w:rsid w:val="00E1114B"/>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288649">
      <w:bodyDiv w:val="1"/>
      <w:marLeft w:val="0"/>
      <w:marRight w:val="0"/>
      <w:marTop w:val="0"/>
      <w:marBottom w:val="0"/>
      <w:divBdr>
        <w:top w:val="none" w:sz="0" w:space="0" w:color="auto"/>
        <w:left w:val="none" w:sz="0" w:space="0" w:color="auto"/>
        <w:bottom w:val="none" w:sz="0" w:space="0" w:color="auto"/>
        <w:right w:val="none" w:sz="0" w:space="0" w:color="auto"/>
      </w:divBdr>
    </w:div>
    <w:div w:id="242685161">
      <w:bodyDiv w:val="1"/>
      <w:marLeft w:val="0"/>
      <w:marRight w:val="0"/>
      <w:marTop w:val="0"/>
      <w:marBottom w:val="0"/>
      <w:divBdr>
        <w:top w:val="none" w:sz="0" w:space="0" w:color="auto"/>
        <w:left w:val="none" w:sz="0" w:space="0" w:color="auto"/>
        <w:bottom w:val="none" w:sz="0" w:space="0" w:color="auto"/>
        <w:right w:val="none" w:sz="0" w:space="0" w:color="auto"/>
      </w:divBdr>
    </w:div>
    <w:div w:id="362944123">
      <w:bodyDiv w:val="1"/>
      <w:marLeft w:val="0"/>
      <w:marRight w:val="0"/>
      <w:marTop w:val="0"/>
      <w:marBottom w:val="0"/>
      <w:divBdr>
        <w:top w:val="none" w:sz="0" w:space="0" w:color="auto"/>
        <w:left w:val="none" w:sz="0" w:space="0" w:color="auto"/>
        <w:bottom w:val="none" w:sz="0" w:space="0" w:color="auto"/>
        <w:right w:val="none" w:sz="0" w:space="0" w:color="auto"/>
      </w:divBdr>
    </w:div>
    <w:div w:id="392966221">
      <w:bodyDiv w:val="1"/>
      <w:marLeft w:val="0"/>
      <w:marRight w:val="0"/>
      <w:marTop w:val="0"/>
      <w:marBottom w:val="0"/>
      <w:divBdr>
        <w:top w:val="none" w:sz="0" w:space="0" w:color="auto"/>
        <w:left w:val="none" w:sz="0" w:space="0" w:color="auto"/>
        <w:bottom w:val="none" w:sz="0" w:space="0" w:color="auto"/>
        <w:right w:val="none" w:sz="0" w:space="0" w:color="auto"/>
      </w:divBdr>
    </w:div>
    <w:div w:id="410196614">
      <w:bodyDiv w:val="1"/>
      <w:marLeft w:val="0"/>
      <w:marRight w:val="0"/>
      <w:marTop w:val="0"/>
      <w:marBottom w:val="0"/>
      <w:divBdr>
        <w:top w:val="none" w:sz="0" w:space="0" w:color="auto"/>
        <w:left w:val="none" w:sz="0" w:space="0" w:color="auto"/>
        <w:bottom w:val="none" w:sz="0" w:space="0" w:color="auto"/>
        <w:right w:val="none" w:sz="0" w:space="0" w:color="auto"/>
      </w:divBdr>
    </w:div>
    <w:div w:id="504443269">
      <w:bodyDiv w:val="1"/>
      <w:marLeft w:val="0"/>
      <w:marRight w:val="0"/>
      <w:marTop w:val="0"/>
      <w:marBottom w:val="0"/>
      <w:divBdr>
        <w:top w:val="none" w:sz="0" w:space="0" w:color="auto"/>
        <w:left w:val="none" w:sz="0" w:space="0" w:color="auto"/>
        <w:bottom w:val="none" w:sz="0" w:space="0" w:color="auto"/>
        <w:right w:val="none" w:sz="0" w:space="0" w:color="auto"/>
      </w:divBdr>
    </w:div>
    <w:div w:id="514005398">
      <w:bodyDiv w:val="1"/>
      <w:marLeft w:val="0"/>
      <w:marRight w:val="0"/>
      <w:marTop w:val="0"/>
      <w:marBottom w:val="0"/>
      <w:divBdr>
        <w:top w:val="none" w:sz="0" w:space="0" w:color="auto"/>
        <w:left w:val="none" w:sz="0" w:space="0" w:color="auto"/>
        <w:bottom w:val="none" w:sz="0" w:space="0" w:color="auto"/>
        <w:right w:val="none" w:sz="0" w:space="0" w:color="auto"/>
      </w:divBdr>
    </w:div>
    <w:div w:id="584613565">
      <w:bodyDiv w:val="1"/>
      <w:marLeft w:val="0"/>
      <w:marRight w:val="0"/>
      <w:marTop w:val="0"/>
      <w:marBottom w:val="0"/>
      <w:divBdr>
        <w:top w:val="none" w:sz="0" w:space="0" w:color="auto"/>
        <w:left w:val="none" w:sz="0" w:space="0" w:color="auto"/>
        <w:bottom w:val="none" w:sz="0" w:space="0" w:color="auto"/>
        <w:right w:val="none" w:sz="0" w:space="0" w:color="auto"/>
      </w:divBdr>
    </w:div>
    <w:div w:id="672343615">
      <w:bodyDiv w:val="1"/>
      <w:marLeft w:val="0"/>
      <w:marRight w:val="0"/>
      <w:marTop w:val="0"/>
      <w:marBottom w:val="0"/>
      <w:divBdr>
        <w:top w:val="none" w:sz="0" w:space="0" w:color="auto"/>
        <w:left w:val="none" w:sz="0" w:space="0" w:color="auto"/>
        <w:bottom w:val="none" w:sz="0" w:space="0" w:color="auto"/>
        <w:right w:val="none" w:sz="0" w:space="0" w:color="auto"/>
      </w:divBdr>
    </w:div>
    <w:div w:id="691150381">
      <w:bodyDiv w:val="1"/>
      <w:marLeft w:val="0"/>
      <w:marRight w:val="0"/>
      <w:marTop w:val="0"/>
      <w:marBottom w:val="0"/>
      <w:divBdr>
        <w:top w:val="none" w:sz="0" w:space="0" w:color="auto"/>
        <w:left w:val="none" w:sz="0" w:space="0" w:color="auto"/>
        <w:bottom w:val="none" w:sz="0" w:space="0" w:color="auto"/>
        <w:right w:val="none" w:sz="0" w:space="0" w:color="auto"/>
      </w:divBdr>
    </w:div>
    <w:div w:id="803352100">
      <w:bodyDiv w:val="1"/>
      <w:marLeft w:val="0"/>
      <w:marRight w:val="0"/>
      <w:marTop w:val="0"/>
      <w:marBottom w:val="0"/>
      <w:divBdr>
        <w:top w:val="none" w:sz="0" w:space="0" w:color="auto"/>
        <w:left w:val="none" w:sz="0" w:space="0" w:color="auto"/>
        <w:bottom w:val="none" w:sz="0" w:space="0" w:color="auto"/>
        <w:right w:val="none" w:sz="0" w:space="0" w:color="auto"/>
      </w:divBdr>
    </w:div>
    <w:div w:id="967206265">
      <w:bodyDiv w:val="1"/>
      <w:marLeft w:val="0"/>
      <w:marRight w:val="0"/>
      <w:marTop w:val="0"/>
      <w:marBottom w:val="0"/>
      <w:divBdr>
        <w:top w:val="none" w:sz="0" w:space="0" w:color="auto"/>
        <w:left w:val="none" w:sz="0" w:space="0" w:color="auto"/>
        <w:bottom w:val="none" w:sz="0" w:space="0" w:color="auto"/>
        <w:right w:val="none" w:sz="0" w:space="0" w:color="auto"/>
      </w:divBdr>
    </w:div>
    <w:div w:id="1034499774">
      <w:bodyDiv w:val="1"/>
      <w:marLeft w:val="0"/>
      <w:marRight w:val="0"/>
      <w:marTop w:val="0"/>
      <w:marBottom w:val="0"/>
      <w:divBdr>
        <w:top w:val="none" w:sz="0" w:space="0" w:color="auto"/>
        <w:left w:val="none" w:sz="0" w:space="0" w:color="auto"/>
        <w:bottom w:val="none" w:sz="0" w:space="0" w:color="auto"/>
        <w:right w:val="none" w:sz="0" w:space="0" w:color="auto"/>
      </w:divBdr>
    </w:div>
    <w:div w:id="1237088846">
      <w:bodyDiv w:val="1"/>
      <w:marLeft w:val="0"/>
      <w:marRight w:val="0"/>
      <w:marTop w:val="0"/>
      <w:marBottom w:val="0"/>
      <w:divBdr>
        <w:top w:val="none" w:sz="0" w:space="0" w:color="auto"/>
        <w:left w:val="none" w:sz="0" w:space="0" w:color="auto"/>
        <w:bottom w:val="none" w:sz="0" w:space="0" w:color="auto"/>
        <w:right w:val="none" w:sz="0" w:space="0" w:color="auto"/>
      </w:divBdr>
    </w:div>
    <w:div w:id="1253200176">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389842436">
      <w:bodyDiv w:val="1"/>
      <w:marLeft w:val="0"/>
      <w:marRight w:val="0"/>
      <w:marTop w:val="0"/>
      <w:marBottom w:val="0"/>
      <w:divBdr>
        <w:top w:val="none" w:sz="0" w:space="0" w:color="auto"/>
        <w:left w:val="none" w:sz="0" w:space="0" w:color="auto"/>
        <w:bottom w:val="none" w:sz="0" w:space="0" w:color="auto"/>
        <w:right w:val="none" w:sz="0" w:space="0" w:color="auto"/>
      </w:divBdr>
    </w:div>
    <w:div w:id="1457600269">
      <w:bodyDiv w:val="1"/>
      <w:marLeft w:val="0"/>
      <w:marRight w:val="0"/>
      <w:marTop w:val="0"/>
      <w:marBottom w:val="0"/>
      <w:divBdr>
        <w:top w:val="none" w:sz="0" w:space="0" w:color="auto"/>
        <w:left w:val="none" w:sz="0" w:space="0" w:color="auto"/>
        <w:bottom w:val="none" w:sz="0" w:space="0" w:color="auto"/>
        <w:right w:val="none" w:sz="0" w:space="0" w:color="auto"/>
      </w:divBdr>
    </w:div>
    <w:div w:id="1470395553">
      <w:bodyDiv w:val="1"/>
      <w:marLeft w:val="0"/>
      <w:marRight w:val="0"/>
      <w:marTop w:val="0"/>
      <w:marBottom w:val="0"/>
      <w:divBdr>
        <w:top w:val="none" w:sz="0" w:space="0" w:color="auto"/>
        <w:left w:val="none" w:sz="0" w:space="0" w:color="auto"/>
        <w:bottom w:val="none" w:sz="0" w:space="0" w:color="auto"/>
        <w:right w:val="none" w:sz="0" w:space="0" w:color="auto"/>
      </w:divBdr>
    </w:div>
    <w:div w:id="1560745462">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3906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55BBD-FEAC-4D58-94B8-4E92057BE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1226</Words>
  <Characters>6819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Mizrachi, Ila</cp:lastModifiedBy>
  <cp:revision>2</cp:revision>
  <cp:lastPrinted>2010-12-08T19:17:00Z</cp:lastPrinted>
  <dcterms:created xsi:type="dcterms:W3CDTF">2021-06-24T16:41:00Z</dcterms:created>
  <dcterms:modified xsi:type="dcterms:W3CDTF">2021-06-24T16:41:00Z</dcterms:modified>
</cp:coreProperties>
</file>