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55A4C" w:rsidR="00486121" w:rsidP="00486121" w:rsidRDefault="00AA3B84" w14:paraId="750388F7" w14:textId="77777777">
      <w:pPr>
        <w:tabs>
          <w:tab w:val="right" w:pos="9360"/>
        </w:tabs>
        <w:contextualSpacing/>
        <w:rPr>
          <w:noProof/>
        </w:rPr>
      </w:pPr>
      <w:r w:rsidRPr="00655A4C">
        <w:rPr>
          <w:noProof/>
        </w:rPr>
        <w:drawing>
          <wp:inline distT="0" distB="0" distL="0" distR="0" wp14:anchorId="6089C29A" wp14:editId="1FFB896E">
            <wp:extent cx="2513125" cy="73152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3125" cy="731520"/>
                    </a:xfrm>
                    <a:prstGeom prst="rect">
                      <a:avLst/>
                    </a:prstGeom>
                    <a:noFill/>
                    <a:ln>
                      <a:noFill/>
                    </a:ln>
                  </pic:spPr>
                </pic:pic>
              </a:graphicData>
            </a:graphic>
          </wp:inline>
        </w:drawing>
      </w:r>
      <w:r w:rsidRPr="00655A4C" w:rsidR="00486121">
        <w:rPr>
          <w:noProof/>
        </w:rPr>
        <w:tab/>
      </w:r>
      <w:r w:rsidRPr="00655A4C" w:rsidR="00E80FE2">
        <w:rPr>
          <w:noProof/>
        </w:rPr>
        <w:drawing>
          <wp:inline distT="0" distB="0" distL="0" distR="0" wp14:anchorId="0FD401A1" wp14:editId="534F2799">
            <wp:extent cx="2304000" cy="73152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4000" cy="731520"/>
                    </a:xfrm>
                    <a:prstGeom prst="rect">
                      <a:avLst/>
                    </a:prstGeom>
                    <a:noFill/>
                    <a:ln>
                      <a:noFill/>
                    </a:ln>
                  </pic:spPr>
                </pic:pic>
              </a:graphicData>
            </a:graphic>
          </wp:inline>
        </w:drawing>
      </w:r>
    </w:p>
    <w:p w:rsidRPr="00655A4C" w:rsidR="004F656A" w:rsidP="00901119" w:rsidRDefault="004F656A" w14:paraId="23AA6BA3" w14:textId="77777777">
      <w:pPr>
        <w:pStyle w:val="heading2garamond"/>
        <w:contextualSpacing/>
      </w:pPr>
    </w:p>
    <w:p w:rsidRPr="00655A4C" w:rsidR="005B3052" w:rsidP="004F2730" w:rsidRDefault="005B3052" w14:paraId="5BF00216" w14:textId="77777777">
      <w:pPr>
        <w:jc w:val="center"/>
        <w:rPr>
          <w:b/>
          <w:color w:val="ED7D31" w:themeColor="accent2"/>
          <w:sz w:val="28"/>
        </w:rPr>
      </w:pPr>
      <w:r w:rsidRPr="00655A4C">
        <w:rPr>
          <w:b/>
          <w:color w:val="ED7D31" w:themeColor="accent2"/>
          <w:sz w:val="28"/>
        </w:rPr>
        <w:t>TECHNICAL OVERVIEW OF THE AMERISPEAK® PANEL</w:t>
      </w:r>
      <w:r w:rsidRPr="00655A4C" w:rsidR="0079093D">
        <w:rPr>
          <w:b/>
          <w:color w:val="ED7D31" w:themeColor="accent2"/>
          <w:sz w:val="28"/>
        </w:rPr>
        <w:t>:</w:t>
      </w:r>
    </w:p>
    <w:p w:rsidRPr="00655A4C" w:rsidR="005B3052" w:rsidP="004F2730" w:rsidRDefault="005B3052" w14:paraId="218CF6D6" w14:textId="77777777">
      <w:pPr>
        <w:jc w:val="center"/>
        <w:rPr>
          <w:color w:val="ED7D31" w:themeColor="accent2"/>
          <w:sz w:val="28"/>
        </w:rPr>
      </w:pPr>
      <w:r w:rsidRPr="00655A4C">
        <w:rPr>
          <w:b/>
          <w:color w:val="ED7D31" w:themeColor="accent2"/>
          <w:sz w:val="28"/>
        </w:rPr>
        <w:t>NO</w:t>
      </w:r>
      <w:r w:rsidRPr="00655A4C" w:rsidR="00996F89">
        <w:rPr>
          <w:b/>
          <w:color w:val="ED7D31" w:themeColor="accent2"/>
          <w:sz w:val="28"/>
        </w:rPr>
        <w:t xml:space="preserve">RC’S PROBABILITY-BASED HOUSEHOLD </w:t>
      </w:r>
      <w:r w:rsidRPr="00655A4C">
        <w:rPr>
          <w:b/>
          <w:color w:val="ED7D31" w:themeColor="accent2"/>
          <w:sz w:val="28"/>
        </w:rPr>
        <w:t>PANEL</w:t>
      </w:r>
    </w:p>
    <w:p w:rsidRPr="00655A4C" w:rsidR="00ED458B" w:rsidP="00ED458B" w:rsidRDefault="00ED458B" w14:paraId="37E63859" w14:textId="77777777">
      <w:pPr>
        <w:rPr>
          <w:color w:val="ED7D31"/>
        </w:rPr>
      </w:pPr>
    </w:p>
    <w:p w:rsidRPr="00655A4C" w:rsidR="00AF0DE9" w:rsidP="00F92E58" w:rsidRDefault="00D9362F" w14:paraId="160C888C" w14:textId="77777777">
      <w:pPr>
        <w:rPr>
          <w:b/>
          <w:color w:val="ED7D31"/>
          <w:sz w:val="24"/>
        </w:rPr>
      </w:pPr>
      <w:r w:rsidRPr="00655A4C">
        <w:rPr>
          <w:b/>
          <w:color w:val="ED7D31"/>
          <w:sz w:val="24"/>
        </w:rPr>
        <w:t xml:space="preserve">Updated </w:t>
      </w:r>
      <w:r w:rsidRPr="00655A4C" w:rsidR="00E63C45">
        <w:rPr>
          <w:b/>
          <w:color w:val="ED7D31"/>
          <w:sz w:val="24"/>
        </w:rPr>
        <w:t>June 16, 2020</w:t>
      </w:r>
      <w:r w:rsidRPr="00655A4C" w:rsidR="00D95880">
        <w:rPr>
          <w:b/>
          <w:color w:val="ED7D31"/>
          <w:sz w:val="24"/>
        </w:rPr>
        <w:t xml:space="preserve"> </w:t>
      </w:r>
    </w:p>
    <w:p w:rsidRPr="00655A4C" w:rsidR="00F92E58" w:rsidP="00F92E58" w:rsidRDefault="00F92E58" w14:paraId="79DF3102" w14:textId="77777777">
      <w:pPr>
        <w:rPr>
          <w:b/>
          <w:color w:val="ED7D31"/>
          <w:sz w:val="24"/>
        </w:rPr>
      </w:pPr>
    </w:p>
    <w:p w:rsidRPr="00655A4C" w:rsidR="00F92E58" w:rsidP="00F92E58" w:rsidRDefault="00074588" w14:paraId="026804E1" w14:textId="77777777">
      <w:r w:rsidRPr="00655A4C">
        <w:t>This technical overview provides the basic information about AmeriSpeak</w:t>
      </w:r>
      <w:r w:rsidRPr="00655A4C">
        <w:rPr>
          <w:vertAlign w:val="superscript"/>
        </w:rPr>
        <w:t>®</w:t>
      </w:r>
      <w:r w:rsidRPr="00655A4C" w:rsidR="00940372">
        <w:t>, a l</w:t>
      </w:r>
      <w:r w:rsidRPr="00655A4C">
        <w:t>arge probability-based panel f</w:t>
      </w:r>
      <w:r w:rsidRPr="00655A4C" w:rsidR="00F92E58">
        <w:t>unded and operated by NORC at the University of Chicago</w:t>
      </w:r>
      <w:r w:rsidRPr="00655A4C" w:rsidR="00D9362F">
        <w:t xml:space="preserve">. </w:t>
      </w:r>
      <w:r w:rsidRPr="00655A4C">
        <w:t xml:space="preserve">AmeriSpeak is </w:t>
      </w:r>
      <w:r w:rsidRPr="00655A4C" w:rsidR="00F92E58">
        <w:t>designed to be representative of the U</w:t>
      </w:r>
      <w:r w:rsidRPr="00655A4C" w:rsidR="008F04BC">
        <w:t>.</w:t>
      </w:r>
      <w:r w:rsidRPr="00655A4C" w:rsidR="00F92E58">
        <w:t>S</w:t>
      </w:r>
      <w:r w:rsidRPr="00655A4C" w:rsidR="008F04BC">
        <w:t>.</w:t>
      </w:r>
      <w:r w:rsidRPr="00655A4C" w:rsidR="00F92E58">
        <w:t xml:space="preserve"> household population</w:t>
      </w:r>
      <w:r w:rsidRPr="00655A4C">
        <w:t>, including all 50 states and the District of Columbia</w:t>
      </w:r>
      <w:r w:rsidRPr="00655A4C" w:rsidR="00D9362F">
        <w:t xml:space="preserve">. </w:t>
      </w:r>
      <w:r w:rsidRPr="00655A4C" w:rsidR="00F92E58">
        <w:t>U</w:t>
      </w:r>
      <w:r w:rsidRPr="00655A4C" w:rsidR="000525B1">
        <w:t>.</w:t>
      </w:r>
      <w:r w:rsidRPr="00655A4C" w:rsidR="00F92E58">
        <w:t>S</w:t>
      </w:r>
      <w:r w:rsidRPr="00655A4C" w:rsidR="000525B1">
        <w:t>.</w:t>
      </w:r>
      <w:r w:rsidRPr="00655A4C" w:rsidR="00F92E58">
        <w:t xml:space="preserve"> households are </w:t>
      </w:r>
      <w:r w:rsidRPr="00655A4C" w:rsidR="000525B1">
        <w:t xml:space="preserve">randomly </w:t>
      </w:r>
      <w:r w:rsidRPr="00655A4C" w:rsidR="00F92E58">
        <w:t>s</w:t>
      </w:r>
      <w:r w:rsidRPr="00655A4C" w:rsidR="000525B1">
        <w:t xml:space="preserve">elected </w:t>
      </w:r>
      <w:r w:rsidRPr="00655A4C" w:rsidR="00F92E58">
        <w:t>with a known, non-zero probability from the NORC National Frame</w:t>
      </w:r>
      <w:r w:rsidRPr="00655A4C" w:rsidR="00996F89">
        <w:t xml:space="preserve"> a</w:t>
      </w:r>
      <w:r w:rsidRPr="00655A4C" w:rsidR="000525B1">
        <w:t xml:space="preserve">s well as </w:t>
      </w:r>
      <w:r w:rsidRPr="00655A4C" w:rsidR="00996F89">
        <w:t>address-based sample</w:t>
      </w:r>
      <w:r w:rsidRPr="00655A4C" w:rsidR="000525B1">
        <w:t xml:space="preserve"> </w:t>
      </w:r>
      <w:r w:rsidRPr="00655A4C" w:rsidR="003B38D9">
        <w:t xml:space="preserve">(ABS) </w:t>
      </w:r>
      <w:r w:rsidRPr="00655A4C" w:rsidR="000525B1">
        <w:t>frame</w:t>
      </w:r>
      <w:r w:rsidRPr="00655A4C" w:rsidR="00390A04">
        <w:t>s</w:t>
      </w:r>
      <w:r w:rsidRPr="00655A4C" w:rsidR="00F92E58">
        <w:t xml:space="preserve">, and then </w:t>
      </w:r>
      <w:r w:rsidRPr="00655A4C" w:rsidR="00966F7F">
        <w:t xml:space="preserve">recruited </w:t>
      </w:r>
      <w:r w:rsidRPr="00655A4C" w:rsidR="00F92E58">
        <w:t xml:space="preserve">by mail, telephone, and </w:t>
      </w:r>
      <w:r w:rsidR="00F54DD4">
        <w:t xml:space="preserve">by </w:t>
      </w:r>
      <w:r w:rsidRPr="00655A4C" w:rsidR="00F92E58">
        <w:t>field interviewers face to face</w:t>
      </w:r>
      <w:r w:rsidRPr="00655A4C" w:rsidR="00D9362F">
        <w:t xml:space="preserve">. </w:t>
      </w:r>
      <w:r w:rsidRPr="00655A4C" w:rsidR="00F92E58">
        <w:t xml:space="preserve">AmeriSpeak panelists participate in NORC studies or studies conducted by NORC on behalf of </w:t>
      </w:r>
      <w:r w:rsidRPr="00655A4C" w:rsidR="00AB3690">
        <w:t>governmental agencies, academic institutions, the media, and commercial organizations</w:t>
      </w:r>
      <w:r w:rsidRPr="00655A4C" w:rsidR="00D9362F">
        <w:t xml:space="preserve">. </w:t>
      </w:r>
      <w:r w:rsidRPr="00655A4C" w:rsidR="00F92E58">
        <w:t xml:space="preserve">   </w:t>
      </w:r>
    </w:p>
    <w:p w:rsidRPr="00655A4C" w:rsidR="00F92E58" w:rsidP="00F92E58" w:rsidRDefault="00F92E58" w14:paraId="6B8FD59F" w14:textId="77777777"/>
    <w:p w:rsidRPr="00655A4C" w:rsidR="000D4930" w:rsidP="000D4930" w:rsidRDefault="00327AB3" w14:paraId="08032336" w14:textId="3FA1CA5C">
      <w:r w:rsidRPr="00655A4C">
        <w:t xml:space="preserve">The construction of the AmeriSpeak panel started in </w:t>
      </w:r>
      <w:r w:rsidRPr="00655A4C" w:rsidR="002E23E4">
        <w:t xml:space="preserve">2014 </w:t>
      </w:r>
      <w:r w:rsidRPr="00655A4C" w:rsidR="00CB2827">
        <w:t xml:space="preserve">with </w:t>
      </w:r>
      <w:r w:rsidRPr="00655A4C" w:rsidR="002E23E4">
        <w:t xml:space="preserve">pilot samples. In </w:t>
      </w:r>
      <w:r w:rsidRPr="00655A4C">
        <w:t>2015</w:t>
      </w:r>
      <w:r w:rsidRPr="00655A4C" w:rsidR="002E23E4">
        <w:t xml:space="preserve">, </w:t>
      </w:r>
      <w:r w:rsidRPr="00655A4C">
        <w:t xml:space="preserve">about </w:t>
      </w:r>
      <w:r w:rsidRPr="00655A4C" w:rsidR="002E5459">
        <w:t>7,000 household</w:t>
      </w:r>
      <w:r w:rsidRPr="00655A4C">
        <w:t>s were recruited from a sample of around 60,000 addresses. I</w:t>
      </w:r>
      <w:r w:rsidRPr="00655A4C" w:rsidR="00B91EBA">
        <w:t xml:space="preserve">n 2016, about </w:t>
      </w:r>
      <w:r w:rsidRPr="00655A4C">
        <w:t>128,000 addresses were sampled to expand the panel to around 20,0</w:t>
      </w:r>
      <w:r w:rsidRPr="00655A4C" w:rsidR="00B91EBA">
        <w:t xml:space="preserve">00 recruited </w:t>
      </w:r>
      <w:r w:rsidRPr="00655A4C">
        <w:t xml:space="preserve">households. </w:t>
      </w:r>
      <w:r w:rsidRPr="00655A4C" w:rsidR="002E5459">
        <w:t xml:space="preserve">About 51,000 addresses were selected for the 2017 recruitment, which led to the expansion of the regular AmeriSpeak panel to </w:t>
      </w:r>
      <w:r w:rsidRPr="00655A4C">
        <w:t>23,000 recruited households</w:t>
      </w:r>
      <w:r w:rsidRPr="00655A4C" w:rsidR="00D9362F">
        <w:t xml:space="preserve">. </w:t>
      </w:r>
      <w:r w:rsidRPr="00655A4C" w:rsidR="00D928A1">
        <w:t>T</w:t>
      </w:r>
      <w:r w:rsidRPr="00655A4C" w:rsidR="004417A4">
        <w:t xml:space="preserve">he AmeriSpeak Panel expanded to </w:t>
      </w:r>
      <w:r w:rsidRPr="00655A4C" w:rsidR="00B52EAA">
        <w:t xml:space="preserve">approximately </w:t>
      </w:r>
      <w:r w:rsidRPr="00655A4C" w:rsidR="004A21A0">
        <w:t>3</w:t>
      </w:r>
      <w:r w:rsidRPr="00655A4C" w:rsidR="00401A03">
        <w:t>0</w:t>
      </w:r>
      <w:r w:rsidRPr="00655A4C" w:rsidR="004A21A0">
        <w:t>,</w:t>
      </w:r>
      <w:r w:rsidRPr="00655A4C" w:rsidR="00B52EAA">
        <w:t>000</w:t>
      </w:r>
      <w:r w:rsidRPr="00655A4C" w:rsidR="004417A4">
        <w:t xml:space="preserve"> households </w:t>
      </w:r>
      <w:r w:rsidRPr="00655A4C" w:rsidR="00D928A1">
        <w:t xml:space="preserve">in 2018 </w:t>
      </w:r>
      <w:r w:rsidRPr="00655A4C" w:rsidR="004417A4">
        <w:t xml:space="preserve">and </w:t>
      </w:r>
      <w:r w:rsidRPr="00655A4C" w:rsidR="004A21A0">
        <w:t>35,000</w:t>
      </w:r>
      <w:r w:rsidRPr="00655A4C" w:rsidR="004417A4">
        <w:t xml:space="preserve"> households in 201</w:t>
      </w:r>
      <w:r w:rsidRPr="00655A4C" w:rsidR="007D32F8">
        <w:t>9</w:t>
      </w:r>
      <w:r w:rsidRPr="00655A4C" w:rsidR="00CB2827">
        <w:t xml:space="preserve"> through further recruitment effort</w:t>
      </w:r>
      <w:r w:rsidRPr="00655A4C" w:rsidR="007640AB">
        <w:t>s</w:t>
      </w:r>
      <w:r w:rsidRPr="00655A4C" w:rsidR="00D9362F">
        <w:t xml:space="preserve">. </w:t>
      </w:r>
      <w:r w:rsidRPr="00655A4C" w:rsidR="00D928A1">
        <w:t>The 2020 recruitment is expected to expand the panel by another 5,000 households.</w:t>
      </w:r>
      <w:r w:rsidRPr="00655A4C" w:rsidR="000D4930">
        <w:t xml:space="preserve"> </w:t>
      </w:r>
      <w:r w:rsidR="00293673">
        <w:t>The current panel size is 48,900 panel members age 13 and over residing in over 40,000 households.</w:t>
      </w:r>
    </w:p>
    <w:p w:rsidRPr="00655A4C" w:rsidR="00D928A1" w:rsidP="004417A4" w:rsidRDefault="00D928A1" w14:paraId="7B6A8F21" w14:textId="77777777"/>
    <w:p w:rsidRPr="00655A4C" w:rsidR="004417A4" w:rsidP="004417A4" w:rsidRDefault="00860E85" w14:paraId="4201CDE3" w14:textId="77777777">
      <w:r w:rsidRPr="00655A4C">
        <w:t>In addition to the regular panel</w:t>
      </w:r>
      <w:r w:rsidRPr="00655A4C" w:rsidR="007B085D">
        <w:t xml:space="preserve"> for general population studies</w:t>
      </w:r>
      <w:r w:rsidRPr="00655A4C">
        <w:t xml:space="preserve">, </w:t>
      </w:r>
      <w:r w:rsidRPr="00655A4C" w:rsidR="004417A4">
        <w:t xml:space="preserve">AmeriSpeak </w:t>
      </w:r>
      <w:r w:rsidRPr="00655A4C">
        <w:t xml:space="preserve">also </w:t>
      </w:r>
      <w:r w:rsidRPr="00655A4C" w:rsidR="007B085D">
        <w:t xml:space="preserve">contains </w:t>
      </w:r>
      <w:r w:rsidRPr="00655A4C">
        <w:t xml:space="preserve">sub-panels </w:t>
      </w:r>
      <w:r w:rsidRPr="00655A4C" w:rsidR="007B085D">
        <w:t>to support studies of speci</w:t>
      </w:r>
      <w:r w:rsidRPr="00655A4C" w:rsidR="007640AB">
        <w:t xml:space="preserve">al </w:t>
      </w:r>
      <w:r w:rsidRPr="00655A4C" w:rsidR="007B085D">
        <w:t>populations, including</w:t>
      </w:r>
      <w:r w:rsidRPr="00655A4C">
        <w:t xml:space="preserve"> </w:t>
      </w:r>
      <w:r w:rsidRPr="00655A4C" w:rsidR="004417A4">
        <w:t xml:space="preserve">AmeriSpeak Latino, AmeriSpeak Teen, and AmeriSpeak Young Adult </w:t>
      </w:r>
      <w:r w:rsidR="00C4132A">
        <w:t xml:space="preserve">18-34 </w:t>
      </w:r>
      <w:r w:rsidRPr="00655A4C" w:rsidR="004417A4">
        <w:t xml:space="preserve">(which </w:t>
      </w:r>
      <w:r w:rsidRPr="00655A4C" w:rsidR="000D4930">
        <w:t xml:space="preserve">features </w:t>
      </w:r>
      <w:r w:rsidRPr="00655A4C" w:rsidR="004417A4">
        <w:t>an oversample of African Americans, Hispanics, and Asians)</w:t>
      </w:r>
      <w:r w:rsidRPr="00655A4C" w:rsidR="00D9362F">
        <w:t xml:space="preserve">. </w:t>
      </w:r>
      <w:r w:rsidRPr="00655A4C" w:rsidR="004417A4">
        <w:t xml:space="preserve">AmeriSpeak </w:t>
      </w:r>
      <w:r w:rsidRPr="00655A4C" w:rsidR="007D32F8">
        <w:t>is also the probability</w:t>
      </w:r>
      <w:r w:rsidRPr="00655A4C" w:rsidR="000D4930">
        <w:t xml:space="preserve"> </w:t>
      </w:r>
      <w:r w:rsidRPr="00655A4C" w:rsidR="007D32F8">
        <w:t>sample source for TrueNorth</w:t>
      </w:r>
      <w:r w:rsidRPr="00655A4C" w:rsidR="00D9362F">
        <w:rPr>
          <w:vertAlign w:val="superscript"/>
        </w:rPr>
        <w:t>®</w:t>
      </w:r>
      <w:r w:rsidRPr="00655A4C" w:rsidR="007D32F8">
        <w:t xml:space="preserve">, </w:t>
      </w:r>
      <w:r w:rsidRPr="00655A4C" w:rsidR="009D5AE9">
        <w:t xml:space="preserve">the NORC </w:t>
      </w:r>
      <w:r w:rsidRPr="00655A4C" w:rsidR="00D9362F">
        <w:t>calibration solution for</w:t>
      </w:r>
      <w:r w:rsidRPr="00655A4C" w:rsidR="009D5AE9">
        <w:t xml:space="preserve"> combining </w:t>
      </w:r>
      <w:r w:rsidRPr="00655A4C" w:rsidR="004417A4">
        <w:t xml:space="preserve">probability and non-probability samples </w:t>
      </w:r>
      <w:r w:rsidRPr="00655A4C" w:rsidR="009D5AE9">
        <w:t xml:space="preserve">for estimation through small area modeling that leverages data </w:t>
      </w:r>
      <w:r w:rsidRPr="00655A4C" w:rsidR="004417A4">
        <w:t>from AmeriSpeak</w:t>
      </w:r>
      <w:r w:rsidRPr="00655A4C" w:rsidR="007D32F8">
        <w:t xml:space="preserve">, the American Community Survey, </w:t>
      </w:r>
      <w:r w:rsidRPr="00655A4C" w:rsidR="009D5AE9">
        <w:t xml:space="preserve">Current Population Survey, </w:t>
      </w:r>
      <w:r w:rsidRPr="00655A4C" w:rsidR="007D32F8">
        <w:t>and other data sources</w:t>
      </w:r>
      <w:r w:rsidRPr="00655A4C" w:rsidR="009D5AE9">
        <w:t xml:space="preserve"> for improved statistical efficiency</w:t>
      </w:r>
      <w:r w:rsidRPr="00655A4C" w:rsidR="004417A4">
        <w:t>.</w:t>
      </w:r>
      <w:r w:rsidRPr="00655A4C" w:rsidR="000C008B">
        <w:rPr>
          <w:rStyle w:val="FootnoteReference"/>
        </w:rPr>
        <w:footnoteReference w:id="1"/>
      </w:r>
      <w:r w:rsidRPr="00655A4C" w:rsidR="002E5459">
        <w:t xml:space="preserve"> </w:t>
      </w:r>
    </w:p>
    <w:p w:rsidRPr="00655A4C" w:rsidR="00F92E58" w:rsidP="00F92E58" w:rsidRDefault="00F92E58" w14:paraId="5A4462B1" w14:textId="77777777"/>
    <w:p w:rsidRPr="00655A4C" w:rsidR="005756DA" w:rsidP="005756DA" w:rsidRDefault="007F560E" w14:paraId="0C8B095B" w14:textId="77777777">
      <w:pPr>
        <w:rPr>
          <w:rStyle w:val="NORCCaption-Color"/>
          <w:rFonts w:ascii="Garamond" w:hAnsi="Garamond"/>
          <w:color w:val="ED7D31"/>
        </w:rPr>
      </w:pPr>
      <w:r w:rsidRPr="00655A4C">
        <w:rPr>
          <w:rStyle w:val="NORCCaption-Color"/>
          <w:rFonts w:ascii="Garamond" w:hAnsi="Garamond"/>
          <w:color w:val="ED7D31"/>
        </w:rPr>
        <w:t xml:space="preserve">Panel </w:t>
      </w:r>
      <w:r w:rsidRPr="00655A4C" w:rsidR="005756DA">
        <w:rPr>
          <w:rStyle w:val="NORCCaption-Color"/>
          <w:rFonts w:ascii="Garamond" w:hAnsi="Garamond"/>
          <w:color w:val="ED7D31"/>
        </w:rPr>
        <w:t>Sample Frame</w:t>
      </w:r>
    </w:p>
    <w:p w:rsidRPr="00655A4C" w:rsidR="00FF5FBC" w:rsidP="00404A81" w:rsidRDefault="00FF5FBC" w14:paraId="4CF28E7F" w14:textId="77777777"/>
    <w:p w:rsidRPr="00655A4C" w:rsidR="00404A81" w:rsidP="00404A81" w:rsidRDefault="00561D7B" w14:paraId="10517EF3" w14:textId="77777777">
      <w:pPr>
        <w:rPr>
          <w:rFonts w:eastAsia="Roboto Light" w:cs="Roboto Light"/>
          <w:color w:val="000000" w:themeColor="text1"/>
        </w:rPr>
      </w:pPr>
      <w:r w:rsidRPr="00655A4C">
        <w:t xml:space="preserve">The primary sampling frame for </w:t>
      </w:r>
      <w:r w:rsidRPr="00655A4C" w:rsidR="005756DA">
        <w:t xml:space="preserve">AmeriSpeak </w:t>
      </w:r>
      <w:r w:rsidRPr="00655A4C">
        <w:t xml:space="preserve">is </w:t>
      </w:r>
      <w:r w:rsidRPr="00655A4C" w:rsidR="005756DA">
        <w:t xml:space="preserve">the </w:t>
      </w:r>
      <w:r w:rsidRPr="00655A4C" w:rsidR="005C48D4">
        <w:t xml:space="preserve">2010 </w:t>
      </w:r>
      <w:r w:rsidRPr="00655A4C" w:rsidR="005756DA">
        <w:t>NORC</w:t>
      </w:r>
      <w:r w:rsidRPr="00655A4C" w:rsidR="00D83AAD">
        <w:t xml:space="preserve"> </w:t>
      </w:r>
      <w:r w:rsidRPr="00655A4C" w:rsidR="005756DA">
        <w:t xml:space="preserve">National Frame, </w:t>
      </w:r>
      <w:r w:rsidRPr="00655A4C" w:rsidR="00404A81">
        <w:t xml:space="preserve">a </w:t>
      </w:r>
      <w:r w:rsidRPr="00655A4C">
        <w:t xml:space="preserve">multistage </w:t>
      </w:r>
      <w:r w:rsidRPr="00655A4C" w:rsidR="00404A81">
        <w:t xml:space="preserve">probability sample that </w:t>
      </w:r>
      <w:r w:rsidRPr="00655A4C">
        <w:t xml:space="preserve">fully </w:t>
      </w:r>
      <w:r w:rsidRPr="00655A4C" w:rsidR="00B15DDA">
        <w:t xml:space="preserve">represents the U.S. household population. </w:t>
      </w:r>
      <w:r w:rsidRPr="00655A4C" w:rsidR="00E75F74">
        <w:t xml:space="preserve">We provide a brief description of how the National Frame was constructed after the 2010 </w:t>
      </w:r>
      <w:r w:rsidRPr="00655A4C" w:rsidR="00E63C45">
        <w:t>C</w:t>
      </w:r>
      <w:r w:rsidRPr="00655A4C" w:rsidR="00E75F74">
        <w:t>ensus.</w:t>
      </w:r>
    </w:p>
    <w:p w:rsidRPr="00655A4C" w:rsidR="00AE22DA" w:rsidP="005756DA" w:rsidRDefault="00AE22DA" w14:paraId="217FD778" w14:textId="77777777"/>
    <w:p w:rsidRPr="00655A4C" w:rsidR="00F51029" w:rsidP="005756DA" w:rsidRDefault="005756DA" w14:paraId="4079C9FF" w14:textId="77777777">
      <w:r w:rsidRPr="00655A4C">
        <w:t xml:space="preserve">The </w:t>
      </w:r>
      <w:r w:rsidRPr="00655A4C" w:rsidR="003227F2">
        <w:t xml:space="preserve">primary sampling units (PSUs) in the </w:t>
      </w:r>
      <w:r w:rsidRPr="00655A4C">
        <w:t>first stage</w:t>
      </w:r>
      <w:r w:rsidRPr="00655A4C" w:rsidR="003227F2">
        <w:t xml:space="preserve"> sample selection are </w:t>
      </w:r>
      <w:r w:rsidRPr="00655A4C" w:rsidR="004A3EC5">
        <w:t>1</w:t>
      </w:r>
      <w:r w:rsidRPr="00655A4C" w:rsidR="00E63C45">
        <w:t>,</w:t>
      </w:r>
      <w:r w:rsidRPr="00655A4C" w:rsidR="004A3EC5">
        <w:t xml:space="preserve">917 </w:t>
      </w:r>
      <w:r w:rsidRPr="00655A4C">
        <w:t>National Frame Area</w:t>
      </w:r>
      <w:r w:rsidRPr="00655A4C" w:rsidR="003227F2">
        <w:t>s</w:t>
      </w:r>
      <w:r w:rsidRPr="00655A4C">
        <w:t xml:space="preserve"> (NFA</w:t>
      </w:r>
      <w:r w:rsidRPr="00655A4C" w:rsidR="003227F2">
        <w:t>s</w:t>
      </w:r>
      <w:r w:rsidRPr="00655A4C">
        <w:t xml:space="preserve">), </w:t>
      </w:r>
      <w:r w:rsidRPr="00655A4C" w:rsidR="003227F2">
        <w:t xml:space="preserve">each of </w:t>
      </w:r>
      <w:r w:rsidRPr="00655A4C">
        <w:t>which is an entire metropolitan area (made up of one or more counties)</w:t>
      </w:r>
      <w:r w:rsidRPr="00655A4C" w:rsidR="00424B5A">
        <w:t>,</w:t>
      </w:r>
      <w:r w:rsidRPr="00655A4C">
        <w:t xml:space="preserve"> a county</w:t>
      </w:r>
      <w:r w:rsidRPr="00655A4C" w:rsidR="00FF3FF1">
        <w:t>, or a group of counties</w:t>
      </w:r>
      <w:r w:rsidRPr="00655A4C">
        <w:t xml:space="preserve"> </w:t>
      </w:r>
      <w:r w:rsidRPr="00655A4C" w:rsidR="00FF3FF1">
        <w:t xml:space="preserve">with a minimum </w:t>
      </w:r>
      <w:r w:rsidRPr="00655A4C">
        <w:t>population of 10,000</w:t>
      </w:r>
      <w:r w:rsidRPr="00655A4C" w:rsidR="00D9362F">
        <w:t xml:space="preserve">. </w:t>
      </w:r>
      <w:r w:rsidRPr="00655A4C" w:rsidR="00DD5715">
        <w:t xml:space="preserve">A total of 126 NFAs are selected in the first stage, including 38 certainty </w:t>
      </w:r>
      <w:r w:rsidRPr="00655A4C" w:rsidR="00424B5A">
        <w:t>NAFs, 60 urban NFAs, and 28 non-urban</w:t>
      </w:r>
      <w:r w:rsidRPr="00655A4C" w:rsidR="00DD5715">
        <w:t xml:space="preserve"> NFAs. </w:t>
      </w:r>
      <w:r w:rsidRPr="00655A4C">
        <w:t xml:space="preserve">The largest </w:t>
      </w:r>
      <w:r w:rsidRPr="00655A4C" w:rsidR="00F51029">
        <w:t xml:space="preserve">38 </w:t>
      </w:r>
      <w:r w:rsidRPr="00655A4C">
        <w:t>NFAs</w:t>
      </w:r>
      <w:r w:rsidRPr="00655A4C" w:rsidR="00A76710">
        <w:t>, those</w:t>
      </w:r>
      <w:r w:rsidRPr="00655A4C">
        <w:t xml:space="preserve"> with a population of at least 1,543,728 (0.5 percent of the 2010 Census U.S. population)</w:t>
      </w:r>
      <w:r w:rsidRPr="00655A4C" w:rsidR="00A76710">
        <w:t>,</w:t>
      </w:r>
      <w:r w:rsidRPr="00655A4C">
        <w:t xml:space="preserve"> were selected </w:t>
      </w:r>
      <w:r w:rsidRPr="00655A4C" w:rsidR="00A76710">
        <w:t xml:space="preserve">into the National Frame </w:t>
      </w:r>
      <w:r w:rsidRPr="00655A4C">
        <w:t>with certainty</w:t>
      </w:r>
      <w:r w:rsidRPr="00655A4C" w:rsidR="00A76710">
        <w:t xml:space="preserve">. The certainty NFAs consist of </w:t>
      </w:r>
      <w:r w:rsidRPr="00655A4C">
        <w:t xml:space="preserve">areas </w:t>
      </w:r>
      <w:r w:rsidRPr="00655A4C" w:rsidR="00A76710">
        <w:t xml:space="preserve">with </w:t>
      </w:r>
      <w:r w:rsidRPr="00655A4C">
        <w:t>high</w:t>
      </w:r>
      <w:r w:rsidRPr="00655A4C" w:rsidR="00A76710">
        <w:t xml:space="preserve"> </w:t>
      </w:r>
      <w:r w:rsidRPr="00655A4C">
        <w:t xml:space="preserve">population density and are </w:t>
      </w:r>
      <w:r w:rsidRPr="00655A4C">
        <w:lastRenderedPageBreak/>
        <w:t xml:space="preserve">dominated by </w:t>
      </w:r>
      <w:r w:rsidRPr="00655A4C" w:rsidR="00A76710">
        <w:t xml:space="preserve">census </w:t>
      </w:r>
      <w:r w:rsidRPr="00655A4C">
        <w:t xml:space="preserve">tracts with </w:t>
      </w:r>
      <w:r w:rsidRPr="00655A4C" w:rsidR="007D49A7">
        <w:t>city</w:t>
      </w:r>
      <w:r w:rsidRPr="00655A4C">
        <w:t xml:space="preserve">-style </w:t>
      </w:r>
      <w:r w:rsidRPr="00655A4C" w:rsidR="00A76710">
        <w:t xml:space="preserve">mailing </w:t>
      </w:r>
      <w:r w:rsidRPr="00655A4C">
        <w:t xml:space="preserve">addresses. These areas contain 56 percent of the </w:t>
      </w:r>
      <w:r w:rsidRPr="00655A4C" w:rsidR="00A76710">
        <w:t xml:space="preserve">U.S. household </w:t>
      </w:r>
      <w:r w:rsidRPr="00655A4C">
        <w:t xml:space="preserve">population </w:t>
      </w:r>
      <w:r w:rsidRPr="00655A4C" w:rsidR="00A76710">
        <w:t>while only accounting for about</w:t>
      </w:r>
      <w:r w:rsidRPr="00655A4C">
        <w:t xml:space="preserve"> 8 percent of the geographic area of the United States. The remaining </w:t>
      </w:r>
      <w:r w:rsidRPr="00655A4C" w:rsidR="00EB10A8">
        <w:t xml:space="preserve">1,879 </w:t>
      </w:r>
      <w:r w:rsidRPr="00655A4C" w:rsidR="00A76710">
        <w:t>NFAs a</w:t>
      </w:r>
      <w:r w:rsidRPr="00655A4C">
        <w:t xml:space="preserve">re stratified into </w:t>
      </w:r>
      <w:r w:rsidRPr="00655A4C" w:rsidR="00F51029">
        <w:t xml:space="preserve">urban </w:t>
      </w:r>
      <w:r w:rsidRPr="00655A4C">
        <w:t xml:space="preserve">areas where </w:t>
      </w:r>
      <w:r w:rsidRPr="00655A4C" w:rsidR="007D49A7">
        <w:t>city</w:t>
      </w:r>
      <w:r w:rsidRPr="00655A4C">
        <w:t xml:space="preserve">-style addresses predominate, and </w:t>
      </w:r>
      <w:r w:rsidRPr="00655A4C" w:rsidR="00F51029">
        <w:t xml:space="preserve">rural areas </w:t>
      </w:r>
      <w:r w:rsidRPr="00655A4C" w:rsidR="00A76710">
        <w:t xml:space="preserve">that </w:t>
      </w:r>
      <w:r w:rsidRPr="00655A4C">
        <w:t xml:space="preserve">are less likely to have </w:t>
      </w:r>
      <w:r w:rsidRPr="00655A4C" w:rsidR="007D49A7">
        <w:t>city</w:t>
      </w:r>
      <w:r w:rsidRPr="00655A4C">
        <w:t xml:space="preserve">-style addresses. The latter stratum comprises 81 percent of the geographic area, but only 14 percent of the population. </w:t>
      </w:r>
      <w:r w:rsidRPr="00655A4C" w:rsidR="00EB10A8">
        <w:t xml:space="preserve">A sample of 60 and 28 NFAs is selected systematically </w:t>
      </w:r>
      <w:r w:rsidRPr="00655A4C" w:rsidR="00424B5A">
        <w:t xml:space="preserve">from the urban </w:t>
      </w:r>
      <w:r w:rsidRPr="00655A4C" w:rsidR="004A3EC5">
        <w:t xml:space="preserve">and rural </w:t>
      </w:r>
      <w:r w:rsidRPr="00655A4C" w:rsidR="00424B5A">
        <w:t>stratum</w:t>
      </w:r>
      <w:r w:rsidRPr="00655A4C" w:rsidR="00EB10A8">
        <w:t xml:space="preserve">, respectively, with selection probability proportional to size </w:t>
      </w:r>
      <w:r w:rsidRPr="00655A4C" w:rsidR="004972E7">
        <w:t xml:space="preserve">(PPS) </w:t>
      </w:r>
      <w:r w:rsidRPr="00655A4C" w:rsidR="00EB10A8">
        <w:t>where the</w:t>
      </w:r>
      <w:r w:rsidRPr="00655A4C" w:rsidR="00F51029">
        <w:t xml:space="preserve"> measure of size is the number of housing units per NFA.</w:t>
      </w:r>
    </w:p>
    <w:p w:rsidRPr="00655A4C" w:rsidR="005756DA" w:rsidP="005756DA" w:rsidRDefault="005756DA" w14:paraId="1B470658" w14:textId="77777777"/>
    <w:p w:rsidRPr="00655A4C" w:rsidR="00424B5A" w:rsidP="00B15DDA" w:rsidRDefault="005756DA" w14:paraId="0ECB151F" w14:textId="77777777">
      <w:r w:rsidRPr="00655A4C">
        <w:t xml:space="preserve">Within the </w:t>
      </w:r>
      <w:r w:rsidRPr="00655A4C" w:rsidR="00424B5A">
        <w:t xml:space="preserve">126 </w:t>
      </w:r>
      <w:r w:rsidRPr="00655A4C">
        <w:t>selected NFAs, the second</w:t>
      </w:r>
      <w:r w:rsidRPr="00655A4C" w:rsidR="00F34C92">
        <w:t>ary</w:t>
      </w:r>
      <w:r w:rsidRPr="00655A4C">
        <w:t xml:space="preserve"> sampling unit</w:t>
      </w:r>
      <w:r w:rsidRPr="00655A4C" w:rsidR="00F34C92">
        <w:t>s</w:t>
      </w:r>
      <w:r w:rsidRPr="00655A4C">
        <w:t xml:space="preserve"> </w:t>
      </w:r>
      <w:r w:rsidRPr="00655A4C" w:rsidR="001F4231">
        <w:t>(SSUs)</w:t>
      </w:r>
      <w:r w:rsidRPr="00655A4C" w:rsidR="00B46EC0">
        <w:t xml:space="preserve"> </w:t>
      </w:r>
      <w:r w:rsidRPr="00655A4C" w:rsidR="001F4231">
        <w:t xml:space="preserve">are </w:t>
      </w:r>
      <w:r w:rsidRPr="00655A4C">
        <w:t>segment</w:t>
      </w:r>
      <w:r w:rsidRPr="00655A4C" w:rsidR="00F34C92">
        <w:t xml:space="preserve">s </w:t>
      </w:r>
      <w:r w:rsidRPr="00655A4C">
        <w:t xml:space="preserve">defined </w:t>
      </w:r>
      <w:r w:rsidRPr="00655A4C" w:rsidR="00F34C92">
        <w:t xml:space="preserve">from </w:t>
      </w:r>
      <w:r w:rsidRPr="00655A4C" w:rsidR="00AB7145">
        <w:t>Census tracts or block</w:t>
      </w:r>
      <w:r w:rsidRPr="00655A4C">
        <w:t xml:space="preserve"> groups, </w:t>
      </w:r>
      <w:r w:rsidRPr="00655A4C" w:rsidR="00F34C92">
        <w:t xml:space="preserve">where each segment </w:t>
      </w:r>
      <w:r w:rsidRPr="00655A4C">
        <w:t>contain</w:t>
      </w:r>
      <w:r w:rsidRPr="00655A4C" w:rsidR="00F34C92">
        <w:t>s</w:t>
      </w:r>
      <w:r w:rsidRPr="00655A4C">
        <w:t xml:space="preserve"> at least 300 housing units according to the 2010 Census</w:t>
      </w:r>
      <w:r w:rsidRPr="00655A4C" w:rsidR="00D9362F">
        <w:t xml:space="preserve">. </w:t>
      </w:r>
      <w:r w:rsidRPr="00655A4C" w:rsidR="00573572">
        <w:t>Within the certainty NFAs, a sample of 8</w:t>
      </w:r>
      <w:r w:rsidRPr="00655A4C" w:rsidR="00257860">
        <w:t>96</w:t>
      </w:r>
      <w:r w:rsidRPr="00655A4C" w:rsidR="00573572">
        <w:t xml:space="preserve"> segments was selected using systematic </w:t>
      </w:r>
      <w:r w:rsidRPr="00655A4C" w:rsidR="004972E7">
        <w:t xml:space="preserve">PPS </w:t>
      </w:r>
      <w:r w:rsidRPr="00655A4C" w:rsidR="00573572">
        <w:t xml:space="preserve">sampling, where the size of a segment is the number of housing units. Implicit stratification was achieved by sorting the segments by location (NFA, state, </w:t>
      </w:r>
      <w:r w:rsidRPr="00655A4C" w:rsidR="00E56C61">
        <w:t xml:space="preserve">and </w:t>
      </w:r>
      <w:r w:rsidRPr="00655A4C" w:rsidR="00573572">
        <w:t xml:space="preserve">county), by principal city indicator, by ethnic and income indicators. </w:t>
      </w:r>
      <w:r w:rsidRPr="00655A4C" w:rsidR="00E56C61">
        <w:t>From</w:t>
      </w:r>
      <w:r w:rsidRPr="00655A4C" w:rsidR="00573572">
        <w:t xml:space="preserve"> each urban and rural NFA, a sample of 8 and 5 segments was selected, respectively, using systematic PPS sampling where the measure of size is the number of housing units per segment.</w:t>
      </w:r>
      <w:r w:rsidRPr="00655A4C" w:rsidR="00E56C61">
        <w:t xml:space="preserve"> </w:t>
      </w:r>
      <w:r w:rsidRPr="00655A4C" w:rsidR="00257860">
        <w:t>A total of 618 segments are selected from the non-certainty NFAs</w:t>
      </w:r>
      <w:r w:rsidRPr="00655A4C" w:rsidR="00257860">
        <w:rPr>
          <w:rStyle w:val="FootnoteReference"/>
        </w:rPr>
        <w:footnoteReference w:id="2"/>
      </w:r>
      <w:r w:rsidRPr="00655A4C" w:rsidR="00257860">
        <w:t>. Overall, a</w:t>
      </w:r>
      <w:r w:rsidRPr="00655A4C">
        <w:t xml:space="preserve"> stratified probability sample of 1,514 segments was selected </w:t>
      </w:r>
      <w:r w:rsidRPr="00655A4C" w:rsidR="00257860">
        <w:t>into the National Frame</w:t>
      </w:r>
      <w:r w:rsidRPr="00655A4C" w:rsidR="00943B77">
        <w:t xml:space="preserve"> in the second stage sampling.</w:t>
      </w:r>
      <w:r w:rsidRPr="00655A4C" w:rsidR="00257860">
        <w:t xml:space="preserve"> </w:t>
      </w:r>
    </w:p>
    <w:p w:rsidRPr="00655A4C" w:rsidR="00424B5A" w:rsidP="00B15DDA" w:rsidRDefault="00424B5A" w14:paraId="1FF5EDC0" w14:textId="77777777"/>
    <w:p w:rsidRPr="00655A4C" w:rsidR="005D5952" w:rsidP="005D5952" w:rsidRDefault="00257860" w14:paraId="38AEAE06" w14:textId="77777777">
      <w:r w:rsidRPr="00655A4C">
        <w:t>W</w:t>
      </w:r>
      <w:r w:rsidRPr="00655A4C" w:rsidR="001F4231">
        <w:t xml:space="preserve">ithin </w:t>
      </w:r>
      <w:r w:rsidRPr="00655A4C" w:rsidR="00424B5A">
        <w:t xml:space="preserve">the </w:t>
      </w:r>
      <w:r w:rsidRPr="00655A4C" w:rsidR="001F4231">
        <w:t>selected segments, all housing units are listed</w:t>
      </w:r>
      <w:r w:rsidRPr="00655A4C" w:rsidR="00E56C61">
        <w:t xml:space="preserve"> using the </w:t>
      </w:r>
      <w:r w:rsidRPr="00655A4C" w:rsidR="007D1092">
        <w:t>U.S. Postal Service Delivery Sequence File (</w:t>
      </w:r>
      <w:r w:rsidRPr="00655A4C" w:rsidR="00E56C61">
        <w:t>DSF</w:t>
      </w:r>
      <w:r w:rsidRPr="00655A4C" w:rsidR="007D1092">
        <w:t>)</w:t>
      </w:r>
      <w:r w:rsidRPr="00655A4C" w:rsidR="00E56C61">
        <w:t>. I</w:t>
      </w:r>
      <w:r w:rsidRPr="00655A4C" w:rsidR="00B15DDA">
        <w:t xml:space="preserve">n </w:t>
      </w:r>
      <w:r w:rsidRPr="00655A4C" w:rsidR="00424B5A">
        <w:t xml:space="preserve">the </w:t>
      </w:r>
      <w:r w:rsidRPr="00655A4C" w:rsidR="00B15DDA">
        <w:t>123 segments</w:t>
      </w:r>
      <w:r w:rsidRPr="00655A4C" w:rsidR="001F4231">
        <w:t xml:space="preserve"> where the DSF </w:t>
      </w:r>
      <w:r w:rsidRPr="00655A4C" w:rsidR="00927D58">
        <w:t>coverage is deemed inadequate</w:t>
      </w:r>
      <w:r w:rsidRPr="00655A4C" w:rsidR="001F4231">
        <w:t xml:space="preserve">, the DSF </w:t>
      </w:r>
      <w:r w:rsidRPr="00655A4C" w:rsidR="00B15DDA">
        <w:t xml:space="preserve">address list </w:t>
      </w:r>
      <w:r w:rsidRPr="00655A4C" w:rsidR="001F4231">
        <w:t xml:space="preserve">is enhanced </w:t>
      </w:r>
      <w:r w:rsidRPr="00655A4C" w:rsidR="00927D58">
        <w:t>with</w:t>
      </w:r>
      <w:r w:rsidRPr="00655A4C" w:rsidR="001F4231">
        <w:t xml:space="preserve"> in-person </w:t>
      </w:r>
      <w:r w:rsidRPr="00655A4C" w:rsidR="00424B5A">
        <w:t xml:space="preserve">field </w:t>
      </w:r>
      <w:r w:rsidRPr="00655A4C" w:rsidR="001F4231">
        <w:t>listing</w:t>
      </w:r>
      <w:r w:rsidRPr="00655A4C" w:rsidR="00927D58">
        <w:t xml:space="preserve"> to improve coverage</w:t>
      </w:r>
      <w:r w:rsidRPr="00655A4C" w:rsidR="001F4231">
        <w:t>.</w:t>
      </w:r>
      <w:r w:rsidRPr="00655A4C" w:rsidR="00927D58">
        <w:t xml:space="preserve"> </w:t>
      </w:r>
      <w:r w:rsidRPr="00655A4C" w:rsidR="005756DA">
        <w:t xml:space="preserve">The </w:t>
      </w:r>
      <w:r w:rsidRPr="00655A4C" w:rsidR="00B15DDA">
        <w:t xml:space="preserve">final </w:t>
      </w:r>
      <w:r w:rsidRPr="00655A4C" w:rsidR="005756DA">
        <w:t>National Frame</w:t>
      </w:r>
      <w:r w:rsidRPr="00655A4C" w:rsidR="00F51D29">
        <w:t>, consisting of all listed households in the sample segments,</w:t>
      </w:r>
      <w:r w:rsidRPr="00655A4C" w:rsidR="005756DA">
        <w:t xml:space="preserve"> </w:t>
      </w:r>
      <w:r w:rsidRPr="00655A4C" w:rsidR="00B15DDA">
        <w:rPr>
          <w:rFonts w:eastAsia="Roboto Light" w:cs="Roboto Light"/>
          <w:color w:val="000000" w:themeColor="text1"/>
        </w:rPr>
        <w:t xml:space="preserve">is estimated to provide </w:t>
      </w:r>
      <w:r w:rsidRPr="00655A4C" w:rsidR="00B15DDA">
        <w:t xml:space="preserve">over 97 percent coverage of the U.S. household population. It </w:t>
      </w:r>
      <w:r w:rsidRPr="00655A4C" w:rsidR="005756DA">
        <w:t>contains almost 3 million</w:t>
      </w:r>
      <w:r w:rsidRPr="00655A4C" w:rsidR="00B15DDA">
        <w:t xml:space="preserve"> </w:t>
      </w:r>
      <w:r w:rsidRPr="00655A4C" w:rsidR="005756DA">
        <w:t xml:space="preserve">households, including over 80,000 rural households </w:t>
      </w:r>
      <w:r w:rsidRPr="00655A4C" w:rsidR="00B15DDA">
        <w:t xml:space="preserve">that are </w:t>
      </w:r>
      <w:r w:rsidRPr="00655A4C" w:rsidR="005756DA">
        <w:t>added through in-person listing.</w:t>
      </w:r>
      <w:r w:rsidRPr="00655A4C" w:rsidR="00B46EC0">
        <w:t xml:space="preserve"> </w:t>
      </w:r>
      <w:r w:rsidRPr="00655A4C" w:rsidR="00C9053B">
        <w:t>In addition to NORC’s Nation</w:t>
      </w:r>
      <w:r w:rsidRPr="00655A4C" w:rsidR="00963107">
        <w:t>al Frame, the DSF is used as a supplemental</w:t>
      </w:r>
      <w:r w:rsidRPr="00655A4C" w:rsidR="00C9053B">
        <w:t xml:space="preserve"> sample frame in four states. </w:t>
      </w:r>
      <w:r w:rsidRPr="00655A4C" w:rsidR="00963107">
        <w:t>Although nationally representative, t</w:t>
      </w:r>
      <w:r w:rsidRPr="00655A4C" w:rsidR="005D5952">
        <w:t xml:space="preserve">he National Frame </w:t>
      </w:r>
      <w:r w:rsidRPr="00655A4C" w:rsidR="00963107">
        <w:t>does not include households from</w:t>
      </w:r>
      <w:r w:rsidRPr="00655A4C" w:rsidR="00C9053B">
        <w:t xml:space="preserve"> Alaska, Iowa, North Dakota, and Wyoming</w:t>
      </w:r>
      <w:r w:rsidRPr="00655A4C" w:rsidR="00D9362F">
        <w:t xml:space="preserve">. </w:t>
      </w:r>
      <w:r w:rsidRPr="00655A4C" w:rsidR="00CD5E6D">
        <w:t xml:space="preserve"> </w:t>
      </w:r>
      <w:r w:rsidRPr="00655A4C" w:rsidR="00561D7B">
        <w:t xml:space="preserve">Since 2016, the annual </w:t>
      </w:r>
      <w:r w:rsidRPr="00655A4C" w:rsidR="00963107">
        <w:t>panel recruitment sample</w:t>
      </w:r>
      <w:r w:rsidRPr="00655A4C" w:rsidR="00561D7B">
        <w:t xml:space="preserve"> has included a small address-based sample (ABS) </w:t>
      </w:r>
      <w:r w:rsidRPr="00655A4C" w:rsidR="001932CE">
        <w:t>from</w:t>
      </w:r>
      <w:r w:rsidRPr="00655A4C" w:rsidR="00C9053B">
        <w:t xml:space="preserve"> these four states </w:t>
      </w:r>
      <w:r w:rsidRPr="00655A4C" w:rsidR="005D5952">
        <w:t xml:space="preserve">to assure AmeriSpeak </w:t>
      </w:r>
      <w:r w:rsidRPr="00655A4C" w:rsidR="001932CE">
        <w:t>presence in in</w:t>
      </w:r>
      <w:r w:rsidRPr="00655A4C" w:rsidR="005D5952">
        <w:t xml:space="preserve"> all U</w:t>
      </w:r>
      <w:r w:rsidRPr="00655A4C" w:rsidR="00C9053B">
        <w:t>.</w:t>
      </w:r>
      <w:r w:rsidRPr="00655A4C" w:rsidR="005D5952">
        <w:t>S</w:t>
      </w:r>
      <w:r w:rsidRPr="00655A4C" w:rsidR="00C9053B">
        <w:t>.</w:t>
      </w:r>
      <w:r w:rsidRPr="00655A4C" w:rsidR="005D5952">
        <w:t xml:space="preserve"> States</w:t>
      </w:r>
      <w:r w:rsidRPr="00655A4C" w:rsidR="005430D5">
        <w:t xml:space="preserve"> and Washington, D</w:t>
      </w:r>
      <w:r w:rsidRPr="00655A4C" w:rsidR="00C9053B">
        <w:t>.</w:t>
      </w:r>
      <w:r w:rsidRPr="00655A4C" w:rsidR="005430D5">
        <w:t>C</w:t>
      </w:r>
      <w:r w:rsidRPr="00655A4C" w:rsidR="00D9362F">
        <w:t xml:space="preserve">. </w:t>
      </w:r>
    </w:p>
    <w:p w:rsidRPr="00655A4C" w:rsidR="003071E4" w:rsidP="005D5952" w:rsidRDefault="003071E4" w14:paraId="2056FCC4" w14:textId="77777777"/>
    <w:p w:rsidRPr="00655A4C" w:rsidR="008114CB" w:rsidP="005D5952" w:rsidRDefault="003071E4" w14:paraId="442BA3D9" w14:textId="77777777">
      <w:r w:rsidRPr="00655A4C">
        <w:t>In 2017, a</w:t>
      </w:r>
      <w:r w:rsidRPr="00655A4C" w:rsidR="009C3848">
        <w:t xml:space="preserve">n enhanced DSF frame was </w:t>
      </w:r>
      <w:r w:rsidRPr="00655A4C" w:rsidR="00875019">
        <w:t xml:space="preserve">also </w:t>
      </w:r>
      <w:r w:rsidRPr="00655A4C" w:rsidR="009C3848">
        <w:t>used</w:t>
      </w:r>
      <w:r w:rsidRPr="00655A4C" w:rsidR="006A5308">
        <w:t xml:space="preserve"> to </w:t>
      </w:r>
      <w:r w:rsidRPr="00655A4C">
        <w:t>develop a new Latino Panel with adequate representation of Spanish-</w:t>
      </w:r>
      <w:r w:rsidRPr="00655A4C" w:rsidR="007F1E21">
        <w:t>language-</w:t>
      </w:r>
      <w:r w:rsidRPr="00655A4C" w:rsidR="006A5308">
        <w:t>dominant</w:t>
      </w:r>
      <w:r w:rsidRPr="00655A4C">
        <w:t xml:space="preserve"> Hispanics</w:t>
      </w:r>
      <w:r w:rsidRPr="00655A4C" w:rsidR="00D9362F">
        <w:t xml:space="preserve">. </w:t>
      </w:r>
      <w:r w:rsidRPr="00655A4C">
        <w:t xml:space="preserve">Census </w:t>
      </w:r>
      <w:r w:rsidRPr="00655A4C" w:rsidR="006A5308">
        <w:t>tracts with high incidence</w:t>
      </w:r>
      <w:r w:rsidRPr="00655A4C">
        <w:t xml:space="preserve"> </w:t>
      </w:r>
      <w:r w:rsidRPr="00655A4C" w:rsidR="006A5308">
        <w:t xml:space="preserve">(at least 30%) </w:t>
      </w:r>
      <w:r w:rsidRPr="00655A4C">
        <w:t xml:space="preserve">of </w:t>
      </w:r>
      <w:r w:rsidRPr="00655A4C" w:rsidR="006A5308">
        <w:t>Spanish-dominant Hispanics were</w:t>
      </w:r>
      <w:r w:rsidRPr="00655A4C">
        <w:t xml:space="preserve"> targeted for this recruitment</w:t>
      </w:r>
      <w:r w:rsidRPr="00655A4C" w:rsidR="00D9362F">
        <w:t xml:space="preserve">. </w:t>
      </w:r>
      <w:r w:rsidRPr="00655A4C">
        <w:t xml:space="preserve">Furthermore, within these Census tracts, households that were flagged as Hispanic </w:t>
      </w:r>
      <w:r w:rsidRPr="00655A4C" w:rsidR="006A5308">
        <w:t xml:space="preserve">based on consumer vendor data </w:t>
      </w:r>
      <w:r w:rsidRPr="00655A4C" w:rsidR="00D47000">
        <w:t xml:space="preserve">(that are typically used for direct-mail marketing) </w:t>
      </w:r>
      <w:r w:rsidRPr="00655A4C" w:rsidR="006A5308">
        <w:t>were oversampled</w:t>
      </w:r>
      <w:r w:rsidRPr="00655A4C" w:rsidR="00D9362F">
        <w:t xml:space="preserve">. </w:t>
      </w:r>
      <w:r w:rsidRPr="00655A4C" w:rsidR="006A5308">
        <w:t>This new</w:t>
      </w:r>
      <w:r w:rsidRPr="00655A4C" w:rsidR="004417A4">
        <w:t xml:space="preserve"> AmeriSpeak</w:t>
      </w:r>
      <w:r w:rsidRPr="00655A4C" w:rsidR="006A5308">
        <w:t xml:space="preserve"> Latino Panel </w:t>
      </w:r>
      <w:r w:rsidRPr="00655A4C" w:rsidR="004417A4">
        <w:t>contains approximately</w:t>
      </w:r>
      <w:r w:rsidRPr="00655A4C" w:rsidR="006A5308">
        <w:t xml:space="preserve"> 5,</w:t>
      </w:r>
      <w:r w:rsidRPr="00655A4C" w:rsidR="006B4A61">
        <w:t>4</w:t>
      </w:r>
      <w:r w:rsidRPr="00655A4C" w:rsidR="006A5308">
        <w:t>00</w:t>
      </w:r>
      <w:r w:rsidRPr="00655A4C" w:rsidR="007F1E21">
        <w:t xml:space="preserve"> Hispanic</w:t>
      </w:r>
      <w:r w:rsidRPr="00655A4C" w:rsidR="006A5308">
        <w:t xml:space="preserve"> </w:t>
      </w:r>
      <w:r w:rsidRPr="00655A4C" w:rsidR="004417A4">
        <w:t>panelists with</w:t>
      </w:r>
      <w:r w:rsidRPr="00655A4C" w:rsidR="007F1E21">
        <w:t xml:space="preserve"> </w:t>
      </w:r>
      <w:r w:rsidRPr="00655A4C" w:rsidR="00805565">
        <w:t>2</w:t>
      </w:r>
      <w:r w:rsidRPr="00655A4C" w:rsidR="006B4A61">
        <w:t>4</w:t>
      </w:r>
      <w:r w:rsidRPr="00655A4C" w:rsidR="006A5308">
        <w:t>% of those panelist</w:t>
      </w:r>
      <w:r w:rsidRPr="00655A4C" w:rsidR="007F1E21">
        <w:t xml:space="preserve">s being Spanish-language </w:t>
      </w:r>
      <w:r w:rsidRPr="00655A4C" w:rsidR="006A5308">
        <w:t>dominant</w:t>
      </w:r>
      <w:r w:rsidRPr="00655A4C" w:rsidR="00D9362F">
        <w:t xml:space="preserve">. </w:t>
      </w:r>
      <w:r w:rsidRPr="00655A4C" w:rsidR="00805565">
        <w:rPr>
          <w:color w:val="000000" w:themeColor="text1"/>
        </w:rPr>
        <w:t xml:space="preserve">As of </w:t>
      </w:r>
      <w:r w:rsidRPr="00655A4C" w:rsidR="00670698">
        <w:rPr>
          <w:color w:val="000000" w:themeColor="text1"/>
        </w:rPr>
        <w:t>February 20</w:t>
      </w:r>
      <w:r w:rsidRPr="00655A4C" w:rsidR="00A96080">
        <w:rPr>
          <w:color w:val="000000" w:themeColor="text1"/>
        </w:rPr>
        <w:t>20</w:t>
      </w:r>
      <w:r w:rsidRPr="00655A4C" w:rsidR="00805565">
        <w:rPr>
          <w:color w:val="000000" w:themeColor="text1"/>
        </w:rPr>
        <w:t xml:space="preserve">, </w:t>
      </w:r>
      <w:r w:rsidRPr="00655A4C" w:rsidR="00A96080">
        <w:rPr>
          <w:color w:val="000000" w:themeColor="text1"/>
        </w:rPr>
        <w:t xml:space="preserve">63.4% of </w:t>
      </w:r>
      <w:r w:rsidRPr="00655A4C" w:rsidR="00C54448">
        <w:rPr>
          <w:color w:val="000000" w:themeColor="text1"/>
        </w:rPr>
        <w:t xml:space="preserve">the recruited adults in the </w:t>
      </w:r>
      <w:r w:rsidRPr="00655A4C" w:rsidR="00A96080">
        <w:rPr>
          <w:color w:val="000000" w:themeColor="text1"/>
        </w:rPr>
        <w:t>AmeriSpeak Pan</w:t>
      </w:r>
      <w:r w:rsidRPr="00655A4C" w:rsidR="00C54448">
        <w:rPr>
          <w:color w:val="000000" w:themeColor="text1"/>
        </w:rPr>
        <w:t xml:space="preserve">el </w:t>
      </w:r>
      <w:r w:rsidRPr="00655A4C" w:rsidR="00A96080">
        <w:rPr>
          <w:color w:val="000000" w:themeColor="text1"/>
        </w:rPr>
        <w:t xml:space="preserve">were sourced from the National Frame, 27.1% </w:t>
      </w:r>
      <w:r w:rsidRPr="00655A4C" w:rsidR="00805565">
        <w:rPr>
          <w:color w:val="000000" w:themeColor="text1"/>
        </w:rPr>
        <w:t xml:space="preserve">from </w:t>
      </w:r>
      <w:r w:rsidRPr="00655A4C" w:rsidR="00670698">
        <w:rPr>
          <w:color w:val="000000" w:themeColor="text1"/>
        </w:rPr>
        <w:t xml:space="preserve">targeted </w:t>
      </w:r>
      <w:r w:rsidRPr="00655A4C" w:rsidR="00C54448">
        <w:rPr>
          <w:color w:val="000000" w:themeColor="text1"/>
        </w:rPr>
        <w:t>ABS frames</w:t>
      </w:r>
      <w:r w:rsidRPr="00655A4C" w:rsidR="00A96080">
        <w:rPr>
          <w:color w:val="000000" w:themeColor="text1"/>
        </w:rPr>
        <w:t>, and 9.5% fro</w:t>
      </w:r>
      <w:r w:rsidRPr="00655A4C" w:rsidR="00C54448">
        <w:rPr>
          <w:color w:val="000000" w:themeColor="text1"/>
        </w:rPr>
        <w:t>m voter registration files</w:t>
      </w:r>
      <w:r w:rsidRPr="00655A4C" w:rsidR="00C54448">
        <w:rPr>
          <w:rStyle w:val="FootnoteReference"/>
          <w:color w:val="000000" w:themeColor="text1"/>
        </w:rPr>
        <w:footnoteReference w:id="3"/>
      </w:r>
      <w:r w:rsidRPr="00655A4C" w:rsidR="00805565">
        <w:rPr>
          <w:color w:val="000000" w:themeColor="text1"/>
        </w:rPr>
        <w:t xml:space="preserve">. Proper weights allow the full use </w:t>
      </w:r>
      <w:r w:rsidRPr="00655A4C" w:rsidR="00805565">
        <w:t>of the combined sample.</w:t>
      </w:r>
    </w:p>
    <w:p w:rsidRPr="00655A4C" w:rsidR="005756DA" w:rsidP="005756DA" w:rsidRDefault="005756DA" w14:paraId="5939A1F5" w14:textId="77777777"/>
    <w:p w:rsidRPr="00655A4C" w:rsidR="005756DA" w:rsidP="005756DA" w:rsidRDefault="007F560E" w14:paraId="130723F3" w14:textId="77777777">
      <w:pPr>
        <w:rPr>
          <w:rStyle w:val="NORCCaption-Color"/>
          <w:rFonts w:ascii="Garamond" w:hAnsi="Garamond"/>
          <w:color w:val="ED7D31"/>
        </w:rPr>
      </w:pPr>
      <w:r w:rsidRPr="00655A4C">
        <w:rPr>
          <w:rStyle w:val="NORCCaption-Color"/>
          <w:rFonts w:ascii="Garamond" w:hAnsi="Garamond"/>
          <w:color w:val="ED7D31"/>
        </w:rPr>
        <w:t xml:space="preserve">Panel </w:t>
      </w:r>
      <w:r w:rsidRPr="00655A4C" w:rsidR="005756DA">
        <w:rPr>
          <w:rStyle w:val="NORCCaption-Color"/>
          <w:rFonts w:ascii="Garamond" w:hAnsi="Garamond"/>
          <w:color w:val="ED7D31"/>
        </w:rPr>
        <w:t xml:space="preserve">Sample Selection </w:t>
      </w:r>
    </w:p>
    <w:p w:rsidRPr="00655A4C" w:rsidR="009C3848" w:rsidP="005756DA" w:rsidRDefault="009C3848" w14:paraId="13FAE2FE" w14:textId="77777777"/>
    <w:p w:rsidRPr="00655A4C" w:rsidR="002E23E4" w:rsidP="00C820E6" w:rsidRDefault="002E23E4" w14:paraId="1AE2E937" w14:textId="77777777">
      <w:pPr>
        <w:spacing w:line="276" w:lineRule="auto"/>
      </w:pPr>
      <w:r w:rsidRPr="00655A4C">
        <w:t xml:space="preserve">For </w:t>
      </w:r>
      <w:r w:rsidRPr="00655A4C" w:rsidR="006F7662">
        <w:t xml:space="preserve">panel </w:t>
      </w:r>
      <w:r w:rsidRPr="00655A4C">
        <w:t>sample selection between 2014 and 2018, National Frame segments are stratified into six sampling strata based on the race/ethn</w:t>
      </w:r>
      <w:r w:rsidRPr="00655A4C" w:rsidR="006F7662">
        <w:t>icity and age composition of each</w:t>
      </w:r>
      <w:r w:rsidRPr="00655A4C">
        <w:t xml:space="preserve"> segment, as below:</w:t>
      </w:r>
    </w:p>
    <w:p w:rsidRPr="00655A4C" w:rsidR="009A183B" w:rsidP="00C820E6" w:rsidRDefault="002E23E4" w14:paraId="0E19ACA3" w14:textId="77777777">
      <w:pPr>
        <w:pStyle w:val="ListParagraph"/>
        <w:numPr>
          <w:ilvl w:val="0"/>
          <w:numId w:val="9"/>
        </w:numPr>
        <w:spacing w:before="120"/>
        <w:rPr>
          <w:rFonts w:ascii="Garamond" w:hAnsi="Garamond"/>
          <w:b/>
        </w:rPr>
      </w:pPr>
      <w:r w:rsidRPr="00655A4C">
        <w:rPr>
          <w:rFonts w:ascii="Garamond" w:hAnsi="Garamond"/>
        </w:rPr>
        <w:t>H</w:t>
      </w:r>
      <w:r w:rsidRPr="00655A4C" w:rsidR="009A183B">
        <w:rPr>
          <w:rFonts w:ascii="Garamond" w:hAnsi="Garamond"/>
        </w:rPr>
        <w:t>ispanic, high youth segments</w:t>
      </w:r>
    </w:p>
    <w:p w:rsidRPr="00655A4C" w:rsidR="002E23E4" w:rsidP="00C820E6" w:rsidRDefault="002E23E4" w14:paraId="0A00B1E6" w14:textId="77777777">
      <w:pPr>
        <w:pStyle w:val="ListParagraph"/>
        <w:numPr>
          <w:ilvl w:val="0"/>
          <w:numId w:val="9"/>
        </w:numPr>
        <w:spacing w:before="120"/>
        <w:rPr>
          <w:rFonts w:ascii="Garamond" w:hAnsi="Garamond"/>
          <w:b/>
        </w:rPr>
      </w:pPr>
      <w:r w:rsidRPr="00655A4C">
        <w:rPr>
          <w:rFonts w:ascii="Garamond" w:hAnsi="Garamond"/>
        </w:rPr>
        <w:t>Hispa</w:t>
      </w:r>
      <w:r w:rsidRPr="00655A4C" w:rsidR="009A183B">
        <w:rPr>
          <w:rFonts w:ascii="Garamond" w:hAnsi="Garamond"/>
        </w:rPr>
        <w:t>nic, not high youth segments</w:t>
      </w:r>
    </w:p>
    <w:p w:rsidRPr="00655A4C" w:rsidR="002E23E4" w:rsidP="00C820E6" w:rsidRDefault="002E23E4" w14:paraId="57B57F5F" w14:textId="77777777">
      <w:pPr>
        <w:pStyle w:val="ListParagraph"/>
        <w:numPr>
          <w:ilvl w:val="0"/>
          <w:numId w:val="9"/>
        </w:numPr>
        <w:spacing w:before="120"/>
        <w:rPr>
          <w:rFonts w:ascii="Garamond" w:hAnsi="Garamond"/>
          <w:b/>
        </w:rPr>
      </w:pPr>
      <w:r w:rsidRPr="00655A4C">
        <w:rPr>
          <w:rFonts w:ascii="Garamond" w:hAnsi="Garamond"/>
        </w:rPr>
        <w:t>Non-Hispani</w:t>
      </w:r>
      <w:r w:rsidRPr="00655A4C" w:rsidR="009A183B">
        <w:rPr>
          <w:rFonts w:ascii="Garamond" w:hAnsi="Garamond"/>
        </w:rPr>
        <w:t>c Black, high youth segments</w:t>
      </w:r>
    </w:p>
    <w:p w:rsidRPr="00655A4C" w:rsidR="002E23E4" w:rsidP="00C820E6" w:rsidRDefault="002E23E4" w14:paraId="68E44FE7" w14:textId="77777777">
      <w:pPr>
        <w:pStyle w:val="ListParagraph"/>
        <w:numPr>
          <w:ilvl w:val="0"/>
          <w:numId w:val="9"/>
        </w:numPr>
        <w:spacing w:before="120"/>
        <w:rPr>
          <w:rFonts w:ascii="Garamond" w:hAnsi="Garamond"/>
          <w:b/>
        </w:rPr>
      </w:pPr>
      <w:r w:rsidRPr="00655A4C">
        <w:rPr>
          <w:rFonts w:ascii="Garamond" w:hAnsi="Garamond"/>
        </w:rPr>
        <w:t>Non-Hispanic Black, not high youth segment</w:t>
      </w:r>
      <w:r w:rsidRPr="00655A4C" w:rsidR="009A183B">
        <w:rPr>
          <w:rFonts w:ascii="Garamond" w:hAnsi="Garamond"/>
        </w:rPr>
        <w:t>s</w:t>
      </w:r>
    </w:p>
    <w:p w:rsidRPr="00655A4C" w:rsidR="002E23E4" w:rsidP="00C820E6" w:rsidRDefault="009A183B" w14:paraId="19DA3C71" w14:textId="77777777">
      <w:pPr>
        <w:pStyle w:val="ListParagraph"/>
        <w:numPr>
          <w:ilvl w:val="0"/>
          <w:numId w:val="9"/>
        </w:numPr>
        <w:spacing w:before="120"/>
        <w:rPr>
          <w:rFonts w:ascii="Garamond" w:hAnsi="Garamond"/>
          <w:b/>
        </w:rPr>
      </w:pPr>
      <w:r w:rsidRPr="00655A4C">
        <w:rPr>
          <w:rFonts w:ascii="Garamond" w:hAnsi="Garamond"/>
        </w:rPr>
        <w:t>Other, high youth segments</w:t>
      </w:r>
    </w:p>
    <w:p w:rsidRPr="00655A4C" w:rsidR="002E23E4" w:rsidP="00C820E6" w:rsidRDefault="002E23E4" w14:paraId="644D87A0" w14:textId="77777777">
      <w:pPr>
        <w:pStyle w:val="ListParagraph"/>
        <w:numPr>
          <w:ilvl w:val="0"/>
          <w:numId w:val="9"/>
        </w:numPr>
        <w:spacing w:before="120"/>
        <w:rPr>
          <w:rFonts w:ascii="Garamond" w:hAnsi="Garamond"/>
          <w:b/>
        </w:rPr>
      </w:pPr>
      <w:r w:rsidRPr="00655A4C">
        <w:rPr>
          <w:rFonts w:ascii="Garamond" w:hAnsi="Garamond"/>
        </w:rPr>
        <w:lastRenderedPageBreak/>
        <w:t>Ot</w:t>
      </w:r>
      <w:r w:rsidRPr="00655A4C" w:rsidR="009A183B">
        <w:rPr>
          <w:rFonts w:ascii="Garamond" w:hAnsi="Garamond"/>
        </w:rPr>
        <w:t>her, not high youth segments</w:t>
      </w:r>
    </w:p>
    <w:p w:rsidRPr="00655A4C" w:rsidR="002E23E4" w:rsidP="00C820E6" w:rsidRDefault="002E23E4" w14:paraId="0D58F765" w14:textId="77777777">
      <w:pPr>
        <w:spacing w:line="276" w:lineRule="auto"/>
      </w:pPr>
    </w:p>
    <w:p w:rsidRPr="00655A4C" w:rsidR="00644D6C" w:rsidP="00644D6C" w:rsidRDefault="009A183B" w14:paraId="2917913E" w14:textId="77777777">
      <w:r w:rsidRPr="00655A4C">
        <w:t xml:space="preserve">Hispanic segments are those where Hispanics make up at least a third of the population and the Hispanic share in the population is greater than that of non-Hispanic Black. </w:t>
      </w:r>
      <w:r w:rsidRPr="00655A4C" w:rsidR="00AC66EC">
        <w:t>Similarly, n</w:t>
      </w:r>
      <w:r w:rsidRPr="00655A4C">
        <w:t xml:space="preserve">on-Hispanic Black segments are those </w:t>
      </w:r>
      <w:r w:rsidRPr="00655A4C" w:rsidR="00644D6C">
        <w:t>where non</w:t>
      </w:r>
      <w:r w:rsidRPr="00655A4C">
        <w:t xml:space="preserve">-Hispanic Black </w:t>
      </w:r>
      <w:r w:rsidRPr="00655A4C" w:rsidR="00644D6C">
        <w:t>make up at least a third of the population and the non-Hispanic Black share in the population is greater than that of Hispanic. Finally, High Youth</w:t>
      </w:r>
      <w:r w:rsidRPr="00655A4C" w:rsidR="002E23E4">
        <w:t xml:space="preserve"> refers to segments in which 18-24 year old adults are at least 12% of the total</w:t>
      </w:r>
      <w:r w:rsidRPr="00655A4C" w:rsidR="00644D6C">
        <w:t xml:space="preserve"> adult population. </w:t>
      </w:r>
      <w:r w:rsidRPr="00655A4C" w:rsidR="00526E59">
        <w:t xml:space="preserve">The above stratification is used to </w:t>
      </w:r>
      <w:r w:rsidRPr="00655A4C" w:rsidR="00644D6C">
        <w:t xml:space="preserve">oversample housing units in </w:t>
      </w:r>
      <w:r w:rsidRPr="00655A4C" w:rsidR="00AC66EC">
        <w:t>areas</w:t>
      </w:r>
      <w:r w:rsidRPr="00655A4C" w:rsidR="00B46EC0">
        <w:t xml:space="preserve"> </w:t>
      </w:r>
      <w:r w:rsidRPr="00655A4C" w:rsidR="00526E59">
        <w:t xml:space="preserve">with </w:t>
      </w:r>
      <w:r w:rsidRPr="00655A4C" w:rsidR="00644D6C">
        <w:t xml:space="preserve">higher </w:t>
      </w:r>
      <w:r w:rsidRPr="00655A4C" w:rsidR="00526E59">
        <w:t xml:space="preserve">concentration of </w:t>
      </w:r>
      <w:r w:rsidRPr="00655A4C" w:rsidR="00644D6C">
        <w:t>young adults</w:t>
      </w:r>
      <w:r w:rsidRPr="00655A4C" w:rsidR="00526E59">
        <w:t xml:space="preserve">, </w:t>
      </w:r>
      <w:r w:rsidRPr="00655A4C" w:rsidR="00644D6C">
        <w:t>Hispanics</w:t>
      </w:r>
      <w:r w:rsidRPr="00655A4C" w:rsidR="00526E59">
        <w:t>,</w:t>
      </w:r>
      <w:r w:rsidRPr="00655A4C" w:rsidR="00644D6C">
        <w:t xml:space="preserve"> and non-Hispanic African-Americans</w:t>
      </w:r>
      <w:r w:rsidRPr="00655A4C" w:rsidR="00D9362F">
        <w:t xml:space="preserve">. </w:t>
      </w:r>
      <w:r w:rsidRPr="00655A4C" w:rsidR="00644D6C">
        <w:t>Th</w:t>
      </w:r>
      <w:r w:rsidRPr="00655A4C" w:rsidR="00AC66EC">
        <w:t>e resulting household sample</w:t>
      </w:r>
      <w:r w:rsidRPr="00655A4C" w:rsidR="00644D6C">
        <w:t xml:space="preserve"> is referred to as the initial </w:t>
      </w:r>
      <w:r w:rsidRPr="00655A4C" w:rsidR="009E7568">
        <w:t xml:space="preserve">AmeriSpeak </w:t>
      </w:r>
      <w:r w:rsidRPr="00655A4C" w:rsidR="00644D6C">
        <w:t xml:space="preserve">sample or </w:t>
      </w:r>
      <w:r w:rsidRPr="00655A4C" w:rsidR="00526E59">
        <w:t xml:space="preserve">sample for </w:t>
      </w:r>
      <w:r w:rsidRPr="00655A4C" w:rsidR="009E7568">
        <w:t xml:space="preserve">initial </w:t>
      </w:r>
      <w:r w:rsidRPr="00655A4C" w:rsidR="00644D6C">
        <w:t xml:space="preserve">panel recruitment. </w:t>
      </w:r>
    </w:p>
    <w:p w:rsidRPr="00655A4C" w:rsidR="009E7568" w:rsidP="009E7568" w:rsidRDefault="009E7568" w14:paraId="082BD02B" w14:textId="77777777"/>
    <w:p w:rsidRPr="00655A4C" w:rsidR="00B46EC0" w:rsidP="00D9362F" w:rsidRDefault="009E7568" w14:paraId="13DDB087" w14:textId="77777777">
      <w:r w:rsidRPr="00655A4C">
        <w:t>To support the second stage of panel recruitment, initially sampled but nonresponding housing units are subsampled for a nonresponse follow-up (NRFU)</w:t>
      </w:r>
      <w:r w:rsidRPr="00655A4C" w:rsidR="00453E7F">
        <w:rPr>
          <w:rStyle w:val="FootnoteReference"/>
        </w:rPr>
        <w:footnoteReference w:id="4"/>
      </w:r>
      <w:r w:rsidRPr="00655A4C" w:rsidR="00D9362F">
        <w:t xml:space="preserve">. </w:t>
      </w:r>
      <w:r w:rsidRPr="00655A4C">
        <w:t xml:space="preserve">At this stage, consumer vendor data are matched to </w:t>
      </w:r>
      <w:r w:rsidRPr="00655A4C" w:rsidR="00FB6E89">
        <w:t xml:space="preserve">the pending </w:t>
      </w:r>
      <w:r w:rsidRPr="00655A4C">
        <w:t xml:space="preserve">housing units, and housing units that are flagged as having a </w:t>
      </w:r>
      <w:r w:rsidRPr="00655A4C" w:rsidR="00453E7F">
        <w:t>young adult</w:t>
      </w:r>
      <w:r w:rsidRPr="00655A4C" w:rsidR="00453E7F">
        <w:rPr>
          <w:rStyle w:val="FootnoteReference"/>
        </w:rPr>
        <w:footnoteReference w:id="5"/>
      </w:r>
      <w:r w:rsidRPr="00655A4C" w:rsidR="00453E7F">
        <w:t xml:space="preserve"> </w:t>
      </w:r>
      <w:r w:rsidRPr="00655A4C">
        <w:t xml:space="preserve"> (18-34 years of age) or minority </w:t>
      </w:r>
      <w:r w:rsidRPr="00655A4C" w:rsidR="00B920C0">
        <w:t>(Hispanic</w:t>
      </w:r>
      <w:r w:rsidRPr="00655A4C" w:rsidR="00B920C0">
        <w:rPr>
          <w:rStyle w:val="FootnoteReference"/>
        </w:rPr>
        <w:footnoteReference w:id="6"/>
      </w:r>
      <w:r w:rsidRPr="00655A4C" w:rsidR="00B920C0">
        <w:t>, non-Hispanic Black</w:t>
      </w:r>
      <w:r w:rsidRPr="00655A4C" w:rsidR="00B920C0">
        <w:rPr>
          <w:rStyle w:val="FootnoteReference"/>
        </w:rPr>
        <w:footnoteReference w:id="7"/>
      </w:r>
      <w:r w:rsidRPr="00655A4C" w:rsidR="00B920C0">
        <w:t xml:space="preserve">) </w:t>
      </w:r>
      <w:r w:rsidRPr="00655A4C">
        <w:t>are oversampled for the NRFU</w:t>
      </w:r>
      <w:r w:rsidRPr="00655A4C" w:rsidR="00453E7F">
        <w:t xml:space="preserve"> sample</w:t>
      </w:r>
      <w:r w:rsidRPr="00655A4C" w:rsidR="00D9362F">
        <w:t xml:space="preserve">. </w:t>
      </w:r>
      <w:r w:rsidRPr="00655A4C">
        <w:t>Overall, approximately one in five initially nonresponding housing units are subsampled for NRFU</w:t>
      </w:r>
      <w:r w:rsidRPr="00655A4C" w:rsidR="00453E7F">
        <w:t xml:space="preserve"> using the same six sampling strata defined above</w:t>
      </w:r>
      <w:r w:rsidRPr="00655A4C" w:rsidR="00D9362F">
        <w:t xml:space="preserve">. </w:t>
      </w:r>
      <w:r w:rsidRPr="00655A4C">
        <w:t>Due to NRFU, these initially nonresponding housing units have a much higher selection probability compared to the housing units that were recruited during the first stage of panel recruitment</w:t>
      </w:r>
      <w:r w:rsidRPr="00655A4C" w:rsidR="00D9362F">
        <w:t xml:space="preserve">. </w:t>
      </w:r>
    </w:p>
    <w:p w:rsidRPr="00655A4C" w:rsidR="00D9362F" w:rsidP="00D9362F" w:rsidRDefault="00D9362F" w14:paraId="3AC9F9A5" w14:textId="77777777"/>
    <w:p w:rsidRPr="00655A4C" w:rsidR="00036DC7" w:rsidP="00D9362F" w:rsidRDefault="001F147B" w14:paraId="717AF72B" w14:textId="4FCC8C72">
      <w:r w:rsidRPr="00655A4C">
        <w:t xml:space="preserve">A 2-phase </w:t>
      </w:r>
      <w:r w:rsidRPr="00655A4C" w:rsidR="00D9362F">
        <w:t>state-based ABS sample design was</w:t>
      </w:r>
      <w:r w:rsidRPr="00655A4C">
        <w:t xml:space="preserve"> used for the 2019 AmeriSpeak recruitment. NORC’s National Frame is designed to represent the U.S. household population nationally. At the state level, </w:t>
      </w:r>
      <w:r w:rsidRPr="00655A4C" w:rsidR="00C8294F">
        <w:t xml:space="preserve">however, </w:t>
      </w:r>
      <w:r w:rsidRPr="00655A4C" w:rsidR="00FB6E89">
        <w:t xml:space="preserve">the </w:t>
      </w:r>
      <w:r w:rsidRPr="00655A4C">
        <w:t xml:space="preserve">panel may </w:t>
      </w:r>
      <w:r w:rsidR="00A542E5">
        <w:t>have more significant clustering effects from the use of the National Frame</w:t>
      </w:r>
      <w:r w:rsidRPr="00655A4C">
        <w:t xml:space="preserve">, especially for states with a small population. </w:t>
      </w:r>
      <w:r w:rsidRPr="00655A4C" w:rsidR="004D745A">
        <w:t xml:space="preserve">The primary objective of the 2019 design is to improve state-level representation by selecting the </w:t>
      </w:r>
      <w:r w:rsidRPr="00655A4C" w:rsidR="00FB6E89">
        <w:t xml:space="preserve">recruitment </w:t>
      </w:r>
      <w:r w:rsidRPr="00655A4C" w:rsidR="004D745A">
        <w:t>sample mostly from areas that are outsid</w:t>
      </w:r>
      <w:r w:rsidRPr="00655A4C" w:rsidR="00FB6E89">
        <w:t>e the National Frame</w:t>
      </w:r>
      <w:r w:rsidRPr="00655A4C" w:rsidR="00C8294F">
        <w:t>. A stratified systematic sa</w:t>
      </w:r>
      <w:r w:rsidRPr="00655A4C" w:rsidR="00D9362F">
        <w:t>mple was</w:t>
      </w:r>
      <w:r w:rsidRPr="00655A4C" w:rsidR="00C8294F">
        <w:t xml:space="preserve"> selected in the first phase, where each state constitutes a sa</w:t>
      </w:r>
      <w:r w:rsidRPr="00655A4C" w:rsidR="00D9362F">
        <w:t>mpling stratum and the sample was</w:t>
      </w:r>
      <w:r w:rsidRPr="00655A4C" w:rsidR="00C8294F">
        <w:t xml:space="preserve"> allocated to the strata proportional to the square root of the state population. In the second phase, </w:t>
      </w:r>
      <w:r w:rsidRPr="00655A4C" w:rsidR="00F53D28">
        <w:t xml:space="preserve">young adults, Hispanic, </w:t>
      </w:r>
      <w:r w:rsidRPr="00655A4C" w:rsidR="00986855">
        <w:t xml:space="preserve">non-Hispanic </w:t>
      </w:r>
      <w:r w:rsidRPr="00655A4C" w:rsidR="00F53D28">
        <w:t>Black, and conservatives are oversampled based on</w:t>
      </w:r>
      <w:r w:rsidRPr="00655A4C" w:rsidR="00A74F19">
        <w:t xml:space="preserve"> commercial data source</w:t>
      </w:r>
      <w:r w:rsidRPr="00655A4C" w:rsidR="00B564EA">
        <w:t>s to improve their representation</w:t>
      </w:r>
      <w:r w:rsidRPr="00655A4C" w:rsidR="00F53D28">
        <w:t xml:space="preserve"> in the panel</w:t>
      </w:r>
      <w:r w:rsidRPr="00655A4C" w:rsidR="00B564EA">
        <w:t>.</w:t>
      </w:r>
      <w:r w:rsidR="00293673">
        <w:t xml:space="preserve"> Because the </w:t>
      </w:r>
      <w:r w:rsidRPr="007573F1" w:rsidR="00293673">
        <w:t xml:space="preserve">2019 </w:t>
      </w:r>
      <w:r w:rsidRPr="007573F1" w:rsidR="0001478D">
        <w:t>design did not u</w:t>
      </w:r>
      <w:r w:rsidRPr="007573F1" w:rsidR="00880021">
        <w:t>se NRFU face-to-face recruitment</w:t>
      </w:r>
      <w:r w:rsidRPr="007573F1" w:rsidR="0001478D">
        <w:t xml:space="preserve">, </w:t>
      </w:r>
      <w:r w:rsidRPr="007573F1" w:rsidR="00293673">
        <w:t xml:space="preserve">the 2019 design did not involve geographic clustering. </w:t>
      </w:r>
      <w:r w:rsidRPr="00655A4C" w:rsidR="00B564EA">
        <w:t xml:space="preserve"> </w:t>
      </w:r>
    </w:p>
    <w:p w:rsidRPr="00655A4C" w:rsidR="00FB7455" w:rsidP="002E23E4" w:rsidRDefault="00FB7455" w14:paraId="423DE7BA" w14:textId="77777777"/>
    <w:p w:rsidRPr="00655A4C" w:rsidR="00FB7455" w:rsidP="002E23E4" w:rsidRDefault="004A19B0" w14:paraId="5BEFA84E" w14:textId="77777777">
      <w:r w:rsidRPr="00655A4C">
        <w:t>The overall AmeriSpeak Panel sample design reflects the cumulative design features of the NORC National Frame and the annual recruitment samples thus far. These design features are captured in the final panel weight for each recruited household and each panelist. T</w:t>
      </w:r>
      <w:r w:rsidRPr="00655A4C" w:rsidR="00FB7455">
        <w:t xml:space="preserve">here are </w:t>
      </w:r>
      <w:r w:rsidRPr="00655A4C" w:rsidR="00483373">
        <w:t xml:space="preserve">mainly </w:t>
      </w:r>
      <w:r w:rsidRPr="00655A4C" w:rsidR="00FB7455">
        <w:t xml:space="preserve">two reasons why the sampling design for AmeriSpeak Panel recruitment deviates from </w:t>
      </w:r>
      <w:r w:rsidRPr="00655A4C">
        <w:t>EPSEM (</w:t>
      </w:r>
      <w:r w:rsidRPr="00655A4C" w:rsidR="00FB7455">
        <w:t>Equal Probability of Selection Method</w:t>
      </w:r>
      <w:r w:rsidRPr="00655A4C">
        <w:t>)</w:t>
      </w:r>
      <w:r w:rsidRPr="00655A4C" w:rsidR="00FB7455">
        <w:t xml:space="preserve"> sampling: (a) oversampling of housing units in segments with a higher concentration of young adults and minorities results in the sample selection probabilities being higher for housing units in these segments; and (b) </w:t>
      </w:r>
      <w:r w:rsidRPr="00655A4C" w:rsidR="00DC6297">
        <w:t xml:space="preserve">NRFU subsampling </w:t>
      </w:r>
      <w:r w:rsidRPr="00655A4C" w:rsidR="00FB7455">
        <w:t>results in initially nonresponding housing units having a much higher selection probability</w:t>
      </w:r>
      <w:r w:rsidRPr="00655A4C" w:rsidR="00D9362F">
        <w:t xml:space="preserve">. </w:t>
      </w:r>
      <w:r w:rsidRPr="00655A4C" w:rsidR="00FB7455">
        <w:t xml:space="preserve">Furthermore, </w:t>
      </w:r>
      <w:r w:rsidRPr="00655A4C" w:rsidR="00DC6297">
        <w:t>within the NRFU samples, selection probabilities vary for housing units depending on the appended commercial data flags to target specific demographics for improved efficiency</w:t>
      </w:r>
      <w:r w:rsidRPr="00655A4C" w:rsidR="00D9362F">
        <w:t xml:space="preserve">. </w:t>
      </w:r>
      <w:r w:rsidRPr="00655A4C" w:rsidR="00483373">
        <w:t xml:space="preserve"> </w:t>
      </w:r>
      <w:r w:rsidRPr="00655A4C" w:rsidR="00FE7B60">
        <w:t>T</w:t>
      </w:r>
      <w:r w:rsidRPr="00655A4C" w:rsidR="00FB7455">
        <w:t xml:space="preserve">he initial and NRFU sampling procedures are </w:t>
      </w:r>
      <w:r w:rsidRPr="00655A4C" w:rsidR="00FE7B60">
        <w:t xml:space="preserve">examined and </w:t>
      </w:r>
      <w:r w:rsidRPr="00655A4C" w:rsidR="00DC6297">
        <w:t xml:space="preserve">possibly </w:t>
      </w:r>
      <w:r w:rsidRPr="00655A4C" w:rsidR="00FB7455">
        <w:t xml:space="preserve">modified </w:t>
      </w:r>
      <w:r w:rsidRPr="00655A4C" w:rsidR="00FE7B60">
        <w:t xml:space="preserve">each year </w:t>
      </w:r>
      <w:r w:rsidRPr="00655A4C" w:rsidR="003C1436">
        <w:t xml:space="preserve">to more efficiently recruit </w:t>
      </w:r>
      <w:r w:rsidRPr="00655A4C" w:rsidR="00DC6297">
        <w:t xml:space="preserve">subpopulations </w:t>
      </w:r>
      <w:r w:rsidRPr="00655A4C" w:rsidR="003C1436">
        <w:t xml:space="preserve"> </w:t>
      </w:r>
      <w:r w:rsidRPr="00655A4C" w:rsidR="00094ACE">
        <w:t xml:space="preserve">who </w:t>
      </w:r>
      <w:r w:rsidRPr="00655A4C" w:rsidR="001B0707">
        <w:t>are</w:t>
      </w:r>
      <w:r w:rsidRPr="00655A4C" w:rsidR="00094ACE">
        <w:t xml:space="preserve"> </w:t>
      </w:r>
      <w:r w:rsidRPr="00655A4C" w:rsidR="001B0707">
        <w:t>less likely</w:t>
      </w:r>
      <w:r w:rsidRPr="00655A4C" w:rsidR="00094ACE">
        <w:t xml:space="preserve"> to respond </w:t>
      </w:r>
      <w:r w:rsidRPr="00655A4C" w:rsidR="00DC6297">
        <w:t>to the recruitment survey</w:t>
      </w:r>
      <w:r w:rsidRPr="00655A4C" w:rsidR="00D9362F">
        <w:t xml:space="preserve">. </w:t>
      </w:r>
    </w:p>
    <w:p w:rsidRPr="00655A4C" w:rsidR="0088386C" w:rsidP="00F92E58" w:rsidRDefault="0088386C" w14:paraId="14189B18" w14:textId="77777777">
      <w:pPr>
        <w:pStyle w:val="BodyText"/>
        <w:spacing w:after="0" w:line="240" w:lineRule="auto"/>
        <w:rPr>
          <w:rFonts w:ascii="Garamond" w:hAnsi="Garamond"/>
          <w:b/>
          <w:color w:val="ED7D31"/>
        </w:rPr>
      </w:pPr>
    </w:p>
    <w:p w:rsidRPr="00655A4C" w:rsidR="00F92E58" w:rsidP="00F92E58" w:rsidRDefault="000B3309" w14:paraId="0F02AAA2" w14:textId="77777777">
      <w:pPr>
        <w:pStyle w:val="BodyText"/>
        <w:spacing w:after="0" w:line="240" w:lineRule="auto"/>
        <w:rPr>
          <w:rFonts w:ascii="Garamond" w:hAnsi="Garamond"/>
          <w:color w:val="ED7D31"/>
        </w:rPr>
      </w:pPr>
      <w:r w:rsidRPr="00655A4C">
        <w:rPr>
          <w:rFonts w:ascii="Garamond" w:hAnsi="Garamond"/>
          <w:b/>
          <w:color w:val="ED7D31"/>
        </w:rPr>
        <w:t>Panel Recruitment Procedures</w:t>
      </w:r>
      <w:r w:rsidRPr="00655A4C" w:rsidR="00F92E58">
        <w:rPr>
          <w:rFonts w:ascii="Garamond" w:hAnsi="Garamond"/>
          <w:color w:val="ED7D31"/>
        </w:rPr>
        <w:t xml:space="preserve"> </w:t>
      </w:r>
    </w:p>
    <w:p w:rsidRPr="00655A4C" w:rsidR="007C14FB" w:rsidP="007C14FB" w:rsidRDefault="007C14FB" w14:paraId="7458C431" w14:textId="77777777">
      <w:pPr>
        <w:pStyle w:val="BodyText"/>
        <w:spacing w:after="0" w:line="240" w:lineRule="auto"/>
        <w:rPr>
          <w:rFonts w:ascii="Times New Roman" w:hAnsi="Times New Roman"/>
          <w:color w:val="000000"/>
        </w:rPr>
      </w:pPr>
    </w:p>
    <w:p w:rsidRPr="00655A4C" w:rsidR="00403C23" w:rsidP="007C14FB" w:rsidRDefault="00E01956" w14:paraId="0C6B869D" w14:textId="77777777">
      <w:pPr>
        <w:pStyle w:val="BodyText"/>
        <w:spacing w:after="0" w:line="240" w:lineRule="auto"/>
        <w:rPr>
          <w:rFonts w:ascii="Garamond" w:hAnsi="Garamond"/>
        </w:rPr>
      </w:pPr>
      <w:r w:rsidRPr="00655A4C">
        <w:rPr>
          <w:rFonts w:ascii="Garamond" w:hAnsi="Garamond"/>
        </w:rPr>
        <w:t xml:space="preserve">The highly efficient recruitment procedures set AmeriSpeak apart from other national panels. </w:t>
      </w:r>
      <w:r w:rsidRPr="00655A4C" w:rsidR="00B42E50">
        <w:rPr>
          <w:rFonts w:ascii="Garamond" w:hAnsi="Garamond"/>
        </w:rPr>
        <w:t>AmeriSpeak Panel r</w:t>
      </w:r>
      <w:r w:rsidRPr="00655A4C" w:rsidR="00F92E58">
        <w:rPr>
          <w:rFonts w:ascii="Garamond" w:hAnsi="Garamond"/>
        </w:rPr>
        <w:t xml:space="preserve">ecruitment is a two-stage process: </w:t>
      </w:r>
      <w:r w:rsidRPr="00655A4C" w:rsidR="00403C23">
        <w:rPr>
          <w:rFonts w:ascii="Garamond" w:hAnsi="Garamond"/>
        </w:rPr>
        <w:t xml:space="preserve">(i) </w:t>
      </w:r>
      <w:r w:rsidRPr="00655A4C" w:rsidR="00BE7968">
        <w:rPr>
          <w:rFonts w:ascii="Garamond" w:hAnsi="Garamond"/>
        </w:rPr>
        <w:t xml:space="preserve">an </w:t>
      </w:r>
      <w:r w:rsidRPr="00655A4C" w:rsidR="00F92E58">
        <w:rPr>
          <w:rFonts w:ascii="Garamond" w:hAnsi="Garamond"/>
        </w:rPr>
        <w:t xml:space="preserve">initial recruitment using </w:t>
      </w:r>
      <w:r w:rsidRPr="00655A4C" w:rsidR="00403C23">
        <w:rPr>
          <w:rFonts w:ascii="Garamond" w:hAnsi="Garamond"/>
          <w:color w:val="000000"/>
        </w:rPr>
        <w:t>USPS mailings</w:t>
      </w:r>
      <w:r w:rsidRPr="00655A4C" w:rsidR="007C14FB">
        <w:rPr>
          <w:rFonts w:ascii="Garamond" w:hAnsi="Garamond"/>
          <w:color w:val="000000"/>
        </w:rPr>
        <w:t>, telephone contact, and modest incentives</w:t>
      </w:r>
      <w:r w:rsidRPr="00655A4C">
        <w:rPr>
          <w:rFonts w:ascii="Garamond" w:hAnsi="Garamond"/>
          <w:color w:val="000000"/>
        </w:rPr>
        <w:t>, and (ii) a more elaborate</w:t>
      </w:r>
      <w:r w:rsidRPr="00655A4C" w:rsidR="007C14FB">
        <w:rPr>
          <w:rFonts w:ascii="Garamond" w:hAnsi="Garamond"/>
          <w:color w:val="000000"/>
        </w:rPr>
        <w:t xml:space="preserve"> NRFU </w:t>
      </w:r>
      <w:r w:rsidRPr="00655A4C" w:rsidR="00BE7968">
        <w:rPr>
          <w:rFonts w:ascii="Garamond" w:hAnsi="Garamond"/>
          <w:color w:val="000000"/>
        </w:rPr>
        <w:t xml:space="preserve">recruitment </w:t>
      </w:r>
      <w:r w:rsidRPr="00655A4C" w:rsidR="007C14FB">
        <w:rPr>
          <w:rFonts w:ascii="Garamond" w:hAnsi="Garamond"/>
          <w:color w:val="000000"/>
        </w:rPr>
        <w:t>using FedEx mailings</w:t>
      </w:r>
      <w:r w:rsidRPr="00655A4C" w:rsidR="00403C23">
        <w:rPr>
          <w:rFonts w:ascii="Garamond" w:hAnsi="Garamond"/>
          <w:color w:val="000000"/>
        </w:rPr>
        <w:t xml:space="preserve">, </w:t>
      </w:r>
      <w:r w:rsidRPr="00655A4C" w:rsidR="007C14FB">
        <w:rPr>
          <w:rFonts w:ascii="Garamond" w:hAnsi="Garamond"/>
          <w:color w:val="000000"/>
        </w:rPr>
        <w:t xml:space="preserve">enhanced </w:t>
      </w:r>
      <w:r w:rsidRPr="00655A4C" w:rsidR="00403C23">
        <w:rPr>
          <w:rFonts w:ascii="Garamond" w:hAnsi="Garamond"/>
          <w:color w:val="000000"/>
        </w:rPr>
        <w:t>incentives, and in-person</w:t>
      </w:r>
      <w:r w:rsidRPr="00655A4C" w:rsidR="00BE7968">
        <w:rPr>
          <w:rFonts w:ascii="Garamond" w:hAnsi="Garamond"/>
          <w:color w:val="000000"/>
        </w:rPr>
        <w:t xml:space="preserve"> visits</w:t>
      </w:r>
      <w:r w:rsidRPr="00655A4C">
        <w:rPr>
          <w:rFonts w:ascii="Garamond" w:hAnsi="Garamond"/>
          <w:color w:val="000000"/>
        </w:rPr>
        <w:t xml:space="preserve"> by NORC</w:t>
      </w:r>
      <w:r w:rsidRPr="00655A4C" w:rsidR="007C14FB">
        <w:rPr>
          <w:rFonts w:ascii="Garamond" w:hAnsi="Garamond"/>
          <w:color w:val="000000"/>
        </w:rPr>
        <w:t xml:space="preserve"> field interviewers.</w:t>
      </w:r>
      <w:r w:rsidRPr="00655A4C" w:rsidR="00BE7968">
        <w:rPr>
          <w:rFonts w:ascii="Garamond" w:hAnsi="Garamond"/>
          <w:color w:val="000000"/>
        </w:rPr>
        <w:t xml:space="preserve"> </w:t>
      </w:r>
    </w:p>
    <w:p w:rsidRPr="00655A4C" w:rsidR="00403C23" w:rsidP="007C14FB" w:rsidRDefault="00403C23" w14:paraId="1417DD6D" w14:textId="77777777">
      <w:pPr>
        <w:pStyle w:val="BodyText"/>
        <w:spacing w:after="0" w:line="240" w:lineRule="auto"/>
        <w:rPr>
          <w:rFonts w:ascii="Garamond" w:hAnsi="Garamond"/>
        </w:rPr>
      </w:pPr>
    </w:p>
    <w:p w:rsidRPr="00655A4C" w:rsidR="00F92E58" w:rsidP="007C14FB" w:rsidRDefault="00F92E58" w14:paraId="72964E66" w14:textId="77777777">
      <w:pPr>
        <w:pStyle w:val="BodyText"/>
        <w:spacing w:after="0" w:line="240" w:lineRule="auto"/>
        <w:rPr>
          <w:rFonts w:ascii="Garamond" w:hAnsi="Garamond"/>
        </w:rPr>
      </w:pPr>
      <w:r w:rsidRPr="00655A4C">
        <w:rPr>
          <w:rFonts w:ascii="Garamond" w:hAnsi="Garamond"/>
        </w:rPr>
        <w:t xml:space="preserve">For the initial recruitment, sample </w:t>
      </w:r>
      <w:r w:rsidRPr="00655A4C" w:rsidR="00293542">
        <w:rPr>
          <w:rFonts w:ascii="Garamond" w:hAnsi="Garamond"/>
        </w:rPr>
        <w:t>households</w:t>
      </w:r>
      <w:r w:rsidRPr="00655A4C" w:rsidR="00B46EC0">
        <w:rPr>
          <w:rFonts w:ascii="Garamond" w:hAnsi="Garamond"/>
        </w:rPr>
        <w:t xml:space="preserve"> </w:t>
      </w:r>
      <w:r w:rsidRPr="00655A4C">
        <w:rPr>
          <w:rFonts w:ascii="Garamond" w:hAnsi="Garamond"/>
        </w:rPr>
        <w:t xml:space="preserve">are invited to join AmeriSpeak online by visiting the panel website AmeriSpeak.org or by </w:t>
      </w:r>
      <w:r w:rsidRPr="00655A4C" w:rsidR="00E97E94">
        <w:rPr>
          <w:rFonts w:ascii="Garamond" w:hAnsi="Garamond"/>
        </w:rPr>
        <w:t>calling a toll-free</w:t>
      </w:r>
      <w:r w:rsidRPr="00655A4C" w:rsidR="00A7694B">
        <w:rPr>
          <w:rFonts w:ascii="Garamond" w:hAnsi="Garamond"/>
        </w:rPr>
        <w:t xml:space="preserve"> </w:t>
      </w:r>
      <w:r w:rsidRPr="00655A4C">
        <w:rPr>
          <w:rFonts w:ascii="Garamond" w:hAnsi="Garamond"/>
        </w:rPr>
        <w:t xml:space="preserve">telephone </w:t>
      </w:r>
      <w:r w:rsidRPr="00655A4C" w:rsidR="00A7694B">
        <w:rPr>
          <w:rFonts w:ascii="Garamond" w:hAnsi="Garamond"/>
        </w:rPr>
        <w:t xml:space="preserve">line </w:t>
      </w:r>
      <w:r w:rsidRPr="00655A4C">
        <w:rPr>
          <w:rFonts w:ascii="Garamond" w:hAnsi="Garamond"/>
        </w:rPr>
        <w:t>(in-bound/outbound supported)</w:t>
      </w:r>
      <w:r w:rsidRPr="00655A4C" w:rsidR="00D9362F">
        <w:rPr>
          <w:rFonts w:ascii="Garamond" w:hAnsi="Garamond"/>
        </w:rPr>
        <w:t xml:space="preserve">. </w:t>
      </w:r>
      <w:r w:rsidRPr="00655A4C" w:rsidR="00BE7968">
        <w:rPr>
          <w:rFonts w:ascii="Garamond" w:hAnsi="Garamond"/>
        </w:rPr>
        <w:t xml:space="preserve">Both </w:t>
      </w:r>
      <w:r w:rsidRPr="00655A4C">
        <w:rPr>
          <w:rFonts w:ascii="Garamond" w:hAnsi="Garamond"/>
        </w:rPr>
        <w:t>English and Spanish language</w:t>
      </w:r>
      <w:r w:rsidRPr="00655A4C" w:rsidR="00B42E50">
        <w:rPr>
          <w:rFonts w:ascii="Garamond" w:hAnsi="Garamond"/>
        </w:rPr>
        <w:t>s</w:t>
      </w:r>
      <w:r w:rsidRPr="00655A4C">
        <w:rPr>
          <w:rFonts w:ascii="Garamond" w:hAnsi="Garamond"/>
        </w:rPr>
        <w:t xml:space="preserve"> are supported for online and telephone recruitment</w:t>
      </w:r>
      <w:r w:rsidRPr="00655A4C" w:rsidR="00D9362F">
        <w:rPr>
          <w:rFonts w:ascii="Garamond" w:hAnsi="Garamond"/>
        </w:rPr>
        <w:t xml:space="preserve">. </w:t>
      </w:r>
      <w:r w:rsidRPr="00655A4C" w:rsidR="00B42E50">
        <w:rPr>
          <w:rFonts w:ascii="Garamond" w:hAnsi="Garamond"/>
        </w:rPr>
        <w:t xml:space="preserve">The initial recruitment data collection protocol features the following: </w:t>
      </w:r>
      <w:r w:rsidRPr="00655A4C">
        <w:rPr>
          <w:rFonts w:ascii="Garamond" w:hAnsi="Garamond"/>
        </w:rPr>
        <w:t xml:space="preserve"> an over-sized pre-notification postcard, a USPS recruitment package in a 9”x12” envelope (containing a cover letter, a summary of the privacy policy, FAQs, and a study brochure), two follow-up post cards, and </w:t>
      </w:r>
      <w:r w:rsidRPr="00655A4C" w:rsidR="00644E83">
        <w:rPr>
          <w:rFonts w:ascii="Garamond" w:hAnsi="Garamond"/>
        </w:rPr>
        <w:t>contact</w:t>
      </w:r>
      <w:r w:rsidRPr="00655A4C">
        <w:rPr>
          <w:rFonts w:ascii="Garamond" w:hAnsi="Garamond"/>
        </w:rPr>
        <w:t xml:space="preserve"> by NORC’s telephone research center for sample units</w:t>
      </w:r>
      <w:r w:rsidRPr="00655A4C" w:rsidR="00644E83">
        <w:rPr>
          <w:rFonts w:ascii="Garamond" w:hAnsi="Garamond"/>
        </w:rPr>
        <w:t xml:space="preserve"> </w:t>
      </w:r>
      <w:r w:rsidRPr="00655A4C" w:rsidR="00A7694B">
        <w:rPr>
          <w:rFonts w:ascii="Garamond" w:hAnsi="Garamond"/>
        </w:rPr>
        <w:t xml:space="preserve">with a </w:t>
      </w:r>
      <w:r w:rsidRPr="00655A4C" w:rsidR="00644E83">
        <w:rPr>
          <w:rFonts w:ascii="Garamond" w:hAnsi="Garamond"/>
        </w:rPr>
        <w:t>matched telephone number</w:t>
      </w:r>
      <w:r w:rsidRPr="00655A4C" w:rsidR="00D9362F">
        <w:rPr>
          <w:rFonts w:ascii="Garamond" w:hAnsi="Garamond"/>
        </w:rPr>
        <w:t xml:space="preserve">. </w:t>
      </w:r>
    </w:p>
    <w:p w:rsidRPr="00655A4C" w:rsidR="00F92E58" w:rsidP="00F92E58" w:rsidRDefault="00F92E58" w14:paraId="0B4A9AEA" w14:textId="77777777">
      <w:pPr>
        <w:pStyle w:val="BodyText"/>
        <w:spacing w:after="0" w:line="240" w:lineRule="auto"/>
        <w:rPr>
          <w:rFonts w:ascii="Garamond" w:hAnsi="Garamond"/>
        </w:rPr>
      </w:pPr>
    </w:p>
    <w:p w:rsidRPr="00655A4C" w:rsidR="00F92E58" w:rsidP="00F92E58" w:rsidRDefault="005F0982" w14:paraId="4825C039" w14:textId="77777777">
      <w:pPr>
        <w:pStyle w:val="BodyText"/>
        <w:spacing w:after="0" w:line="240" w:lineRule="auto"/>
        <w:rPr>
          <w:rFonts w:ascii="Garamond" w:hAnsi="Garamond"/>
        </w:rPr>
      </w:pPr>
      <w:r w:rsidRPr="00655A4C">
        <w:rPr>
          <w:rFonts w:ascii="Garamond" w:hAnsi="Garamond"/>
        </w:rPr>
        <w:t>For t</w:t>
      </w:r>
      <w:r w:rsidRPr="00655A4C" w:rsidR="00F92E58">
        <w:rPr>
          <w:rFonts w:ascii="Garamond" w:hAnsi="Garamond"/>
        </w:rPr>
        <w:t xml:space="preserve">he second-stage </w:t>
      </w:r>
      <w:r w:rsidRPr="00655A4C">
        <w:rPr>
          <w:rFonts w:ascii="Garamond" w:hAnsi="Garamond"/>
        </w:rPr>
        <w:t xml:space="preserve">NRFU recruitment, </w:t>
      </w:r>
      <w:r w:rsidRPr="00655A4C" w:rsidR="00F92E58">
        <w:rPr>
          <w:rFonts w:ascii="Garamond" w:hAnsi="Garamond"/>
        </w:rPr>
        <w:t xml:space="preserve">a stratified random sample </w:t>
      </w:r>
      <w:r w:rsidRPr="00655A4C">
        <w:rPr>
          <w:rFonts w:ascii="Garamond" w:hAnsi="Garamond"/>
        </w:rPr>
        <w:t xml:space="preserve">is selected from the nonrespondents </w:t>
      </w:r>
      <w:r w:rsidRPr="00655A4C" w:rsidR="00F92E58">
        <w:rPr>
          <w:rFonts w:ascii="Garamond" w:hAnsi="Garamond"/>
        </w:rPr>
        <w:t>of the initial recruitment</w:t>
      </w:r>
      <w:r w:rsidRPr="00655A4C" w:rsidR="00D9362F">
        <w:rPr>
          <w:rFonts w:ascii="Garamond" w:hAnsi="Garamond"/>
        </w:rPr>
        <w:t xml:space="preserve">. </w:t>
      </w:r>
      <w:r w:rsidRPr="00655A4C" w:rsidR="00F92E58">
        <w:rPr>
          <w:rFonts w:ascii="Garamond" w:hAnsi="Garamond"/>
        </w:rPr>
        <w:t xml:space="preserve">Units sampled for </w:t>
      </w:r>
      <w:r w:rsidRPr="00655A4C" w:rsidR="00E97E94">
        <w:rPr>
          <w:rFonts w:ascii="Garamond" w:hAnsi="Garamond"/>
        </w:rPr>
        <w:t>NRFU</w:t>
      </w:r>
      <w:r w:rsidRPr="00655A4C" w:rsidR="00F92E58">
        <w:rPr>
          <w:rFonts w:ascii="Garamond" w:hAnsi="Garamond"/>
        </w:rPr>
        <w:t xml:space="preserve"> are sent </w:t>
      </w:r>
      <w:r w:rsidRPr="00655A4C" w:rsidR="00E97E94">
        <w:rPr>
          <w:rFonts w:ascii="Garamond" w:hAnsi="Garamond"/>
        </w:rPr>
        <w:t xml:space="preserve">a new recruitment package </w:t>
      </w:r>
      <w:r w:rsidRPr="00655A4C" w:rsidR="00F92E58">
        <w:rPr>
          <w:rFonts w:ascii="Garamond" w:hAnsi="Garamond"/>
        </w:rPr>
        <w:t>by Federal Express with an enhanced incentive offer</w:t>
      </w:r>
      <w:r w:rsidRPr="00655A4C" w:rsidR="00D9362F">
        <w:rPr>
          <w:rFonts w:ascii="Garamond" w:hAnsi="Garamond"/>
        </w:rPr>
        <w:t xml:space="preserve">. </w:t>
      </w:r>
      <w:r w:rsidRPr="00655A4C" w:rsidR="00E97E94">
        <w:rPr>
          <w:rFonts w:ascii="Garamond" w:hAnsi="Garamond"/>
        </w:rPr>
        <w:t xml:space="preserve">Meanwhile, </w:t>
      </w:r>
      <w:r w:rsidRPr="00655A4C" w:rsidR="00F92E58">
        <w:rPr>
          <w:rFonts w:ascii="Garamond" w:hAnsi="Garamond"/>
        </w:rPr>
        <w:t xml:space="preserve">NORC field interviewers make personal, face-to-face visits to the </w:t>
      </w:r>
      <w:r w:rsidRPr="00655A4C" w:rsidR="00E97E94">
        <w:rPr>
          <w:rFonts w:ascii="Garamond" w:hAnsi="Garamond"/>
        </w:rPr>
        <w:t xml:space="preserve">pending cases </w:t>
      </w:r>
      <w:r w:rsidRPr="00655A4C" w:rsidR="00F92E58">
        <w:rPr>
          <w:rFonts w:ascii="Garamond" w:hAnsi="Garamond"/>
        </w:rPr>
        <w:t>to encourage participation</w:t>
      </w:r>
      <w:r w:rsidRPr="00655A4C" w:rsidR="00D9362F">
        <w:rPr>
          <w:rFonts w:ascii="Garamond" w:hAnsi="Garamond"/>
        </w:rPr>
        <w:t xml:space="preserve">. </w:t>
      </w:r>
      <w:r w:rsidRPr="00655A4C" w:rsidR="00293542">
        <w:rPr>
          <w:rFonts w:ascii="Garamond" w:hAnsi="Garamond"/>
        </w:rPr>
        <w:t>Once the households are located, t</w:t>
      </w:r>
      <w:r w:rsidRPr="00655A4C" w:rsidR="00E97E94">
        <w:rPr>
          <w:rFonts w:ascii="Garamond" w:hAnsi="Garamond"/>
        </w:rPr>
        <w:t>he</w:t>
      </w:r>
      <w:r w:rsidRPr="00655A4C" w:rsidR="00F92E58">
        <w:rPr>
          <w:rFonts w:ascii="Garamond" w:hAnsi="Garamond"/>
        </w:rPr>
        <w:t xml:space="preserve"> field interviewers administer the recruitment survey in-person using CAPI or else encourage the respondents to register </w:t>
      </w:r>
      <w:r w:rsidRPr="00655A4C" w:rsidR="00E97E94">
        <w:rPr>
          <w:rFonts w:ascii="Garamond" w:hAnsi="Garamond"/>
        </w:rPr>
        <w:t>online or by telephone</w:t>
      </w:r>
      <w:r w:rsidRPr="00655A4C" w:rsidR="00D9362F">
        <w:rPr>
          <w:rFonts w:ascii="Garamond" w:hAnsi="Garamond"/>
        </w:rPr>
        <w:t xml:space="preserve">. </w:t>
      </w:r>
      <w:r w:rsidRPr="00655A4C" w:rsidR="00F92E58">
        <w:rPr>
          <w:rFonts w:ascii="Garamond" w:hAnsi="Garamond"/>
        </w:rPr>
        <w:t xml:space="preserve"> </w:t>
      </w:r>
    </w:p>
    <w:p w:rsidRPr="00655A4C" w:rsidR="005F0982" w:rsidP="00F92E58" w:rsidRDefault="005F0982" w14:paraId="6B4C33E7" w14:textId="77777777">
      <w:pPr>
        <w:pStyle w:val="BodyText"/>
        <w:spacing w:after="0" w:line="240" w:lineRule="auto"/>
        <w:rPr>
          <w:rFonts w:ascii="Garamond" w:hAnsi="Garamond"/>
        </w:rPr>
      </w:pPr>
    </w:p>
    <w:p w:rsidRPr="00655A4C" w:rsidR="00B23B0D" w:rsidP="00B23B0D" w:rsidRDefault="00B23B0D" w14:paraId="65702604" w14:textId="77777777">
      <w:pPr>
        <w:pStyle w:val="BodyText"/>
        <w:spacing w:after="0" w:line="240" w:lineRule="auto"/>
        <w:rPr>
          <w:rFonts w:ascii="Garamond" w:hAnsi="Garamond"/>
          <w:b/>
          <w:color w:val="ED7D31"/>
        </w:rPr>
      </w:pPr>
      <w:r w:rsidRPr="00655A4C">
        <w:rPr>
          <w:rFonts w:ascii="Garamond" w:hAnsi="Garamond"/>
          <w:b/>
          <w:color w:val="ED7D31"/>
        </w:rPr>
        <w:t xml:space="preserve">Panel Recruitment Response Rate and Other </w:t>
      </w:r>
      <w:r w:rsidRPr="00655A4C" w:rsidR="009C5CDC">
        <w:rPr>
          <w:rFonts w:ascii="Garamond" w:hAnsi="Garamond"/>
          <w:b/>
          <w:color w:val="ED7D31"/>
        </w:rPr>
        <w:t xml:space="preserve">Panel </w:t>
      </w:r>
      <w:r w:rsidRPr="00655A4C" w:rsidR="00DC0B3A">
        <w:rPr>
          <w:rFonts w:ascii="Garamond" w:hAnsi="Garamond"/>
          <w:b/>
          <w:color w:val="ED7D31"/>
        </w:rPr>
        <w:t>Statistics</w:t>
      </w:r>
      <w:r w:rsidRPr="00655A4C">
        <w:rPr>
          <w:rFonts w:ascii="Garamond" w:hAnsi="Garamond"/>
          <w:b/>
          <w:color w:val="ED7D31"/>
        </w:rPr>
        <w:t xml:space="preserve">   </w:t>
      </w:r>
    </w:p>
    <w:p w:rsidRPr="00655A4C" w:rsidR="00B23B0D" w:rsidP="00B23B0D" w:rsidRDefault="00B23B0D" w14:paraId="1A6F6676" w14:textId="77777777">
      <w:pPr>
        <w:pStyle w:val="BodyText"/>
        <w:spacing w:after="0" w:line="240" w:lineRule="auto"/>
        <w:rPr>
          <w:rFonts w:ascii="Garamond" w:hAnsi="Garamond"/>
        </w:rPr>
      </w:pPr>
    </w:p>
    <w:p w:rsidRPr="00655A4C" w:rsidR="00B23B0D" w:rsidP="00B23B0D" w:rsidRDefault="001E78BC" w14:paraId="3EBA6BC6" w14:textId="5AFC4511">
      <w:pPr>
        <w:pStyle w:val="BodyText"/>
        <w:spacing w:after="0" w:line="240" w:lineRule="auto"/>
        <w:rPr>
          <w:rFonts w:ascii="Garamond" w:hAnsi="Garamond"/>
        </w:rPr>
      </w:pPr>
      <w:r w:rsidRPr="00655A4C">
        <w:rPr>
          <w:rFonts w:ascii="Garamond" w:hAnsi="Garamond"/>
        </w:rPr>
        <w:t xml:space="preserve">A sample household is considered recruited </w:t>
      </w:r>
      <w:r w:rsidRPr="00655A4C" w:rsidR="002D2930">
        <w:rPr>
          <w:rFonts w:ascii="Garamond" w:hAnsi="Garamond"/>
        </w:rPr>
        <w:t xml:space="preserve">or responded </w:t>
      </w:r>
      <w:r w:rsidRPr="00655A4C">
        <w:rPr>
          <w:rFonts w:ascii="Garamond" w:hAnsi="Garamond"/>
        </w:rPr>
        <w:t xml:space="preserve">if at least one adult in the household joins the panel. </w:t>
      </w:r>
      <w:r w:rsidRPr="00655A4C" w:rsidR="00B23B0D">
        <w:rPr>
          <w:rFonts w:ascii="Garamond" w:hAnsi="Garamond"/>
        </w:rPr>
        <w:t xml:space="preserve">The weighted household response rate (AAPOR RR3) is about 6% for initial recruitment and 28% for NRFU recruitment. </w:t>
      </w:r>
      <w:r w:rsidRPr="00655A4C" w:rsidR="00784B43">
        <w:rPr>
          <w:rFonts w:ascii="Garamond" w:hAnsi="Garamond"/>
        </w:rPr>
        <w:t>We report two recruitment response rates: one f</w:t>
      </w:r>
      <w:r w:rsidRPr="00655A4C" w:rsidR="000A60D4">
        <w:rPr>
          <w:rFonts w:ascii="Garamond" w:hAnsi="Garamond"/>
        </w:rPr>
        <w:t xml:space="preserve">or </w:t>
      </w:r>
      <w:r w:rsidRPr="00655A4C" w:rsidR="00784B43">
        <w:rPr>
          <w:rFonts w:ascii="Garamond" w:hAnsi="Garamond"/>
        </w:rPr>
        <w:t xml:space="preserve">all the </w:t>
      </w:r>
      <w:r w:rsidRPr="00655A4C" w:rsidR="00E63C45">
        <w:rPr>
          <w:rFonts w:ascii="Garamond" w:hAnsi="Garamond"/>
        </w:rPr>
        <w:t xml:space="preserve">panel </w:t>
      </w:r>
      <w:r w:rsidRPr="00655A4C" w:rsidR="00784B43">
        <w:rPr>
          <w:rFonts w:ascii="Garamond" w:hAnsi="Garamond"/>
        </w:rPr>
        <w:t xml:space="preserve">recruitment years (2014-2019) and one for </w:t>
      </w:r>
      <w:r w:rsidRPr="00655A4C" w:rsidR="000A60D4">
        <w:rPr>
          <w:rFonts w:ascii="Garamond" w:hAnsi="Garamond"/>
        </w:rPr>
        <w:t>the recruitment years with NRFU (2014-2018)</w:t>
      </w:r>
      <w:r w:rsidRPr="00655A4C" w:rsidR="00784B43">
        <w:rPr>
          <w:rFonts w:ascii="Garamond" w:hAnsi="Garamond"/>
        </w:rPr>
        <w:t>. For all recruitment years, the cumulative weighted household response rate is 24.1%; for recruitment years with NRFU</w:t>
      </w:r>
      <w:r w:rsidRPr="00655A4C" w:rsidR="008D2D35">
        <w:rPr>
          <w:rFonts w:ascii="Garamond" w:hAnsi="Garamond"/>
        </w:rPr>
        <w:t>,</w:t>
      </w:r>
      <w:r w:rsidRPr="00655A4C" w:rsidR="000A60D4">
        <w:rPr>
          <w:rFonts w:ascii="Garamond" w:hAnsi="Garamond"/>
        </w:rPr>
        <w:t xml:space="preserve"> </w:t>
      </w:r>
      <w:r w:rsidRPr="00655A4C" w:rsidR="00784B43">
        <w:rPr>
          <w:rFonts w:ascii="Garamond" w:hAnsi="Garamond"/>
        </w:rPr>
        <w:t xml:space="preserve">and </w:t>
      </w:r>
      <w:r w:rsidRPr="00655A4C" w:rsidR="000A60D4">
        <w:rPr>
          <w:rFonts w:ascii="Garamond" w:hAnsi="Garamond"/>
        </w:rPr>
        <w:t>t</w:t>
      </w:r>
      <w:r w:rsidRPr="00655A4C" w:rsidR="002D2930">
        <w:rPr>
          <w:rFonts w:ascii="Garamond" w:hAnsi="Garamond"/>
        </w:rPr>
        <w:t>he cumulative</w:t>
      </w:r>
      <w:r w:rsidRPr="00655A4C" w:rsidR="00B23B0D">
        <w:rPr>
          <w:rFonts w:ascii="Garamond" w:hAnsi="Garamond"/>
        </w:rPr>
        <w:t xml:space="preserve"> weighted household response rate is 34.2%</w:t>
      </w:r>
      <w:r w:rsidRPr="00655A4C" w:rsidR="00D9362F">
        <w:rPr>
          <w:rFonts w:ascii="Garamond" w:hAnsi="Garamond"/>
        </w:rPr>
        <w:t xml:space="preserve">. </w:t>
      </w:r>
      <w:r w:rsidRPr="00655A4C" w:rsidR="00784B43">
        <w:rPr>
          <w:rFonts w:ascii="Garamond" w:hAnsi="Garamond"/>
        </w:rPr>
        <w:t xml:space="preserve">For </w:t>
      </w:r>
      <w:r w:rsidRPr="00655A4C" w:rsidR="008D2D35">
        <w:rPr>
          <w:rFonts w:ascii="Garamond" w:hAnsi="Garamond"/>
        </w:rPr>
        <w:t xml:space="preserve">client </w:t>
      </w:r>
      <w:r w:rsidRPr="00655A4C" w:rsidR="00784B43">
        <w:rPr>
          <w:rFonts w:ascii="Garamond" w:hAnsi="Garamond"/>
        </w:rPr>
        <w:t xml:space="preserve">studies </w:t>
      </w:r>
      <w:r w:rsidRPr="00655A4C" w:rsidR="00E63C45">
        <w:rPr>
          <w:rFonts w:ascii="Garamond" w:hAnsi="Garamond"/>
        </w:rPr>
        <w:t xml:space="preserve">requiring a panel recruitment response </w:t>
      </w:r>
      <w:r w:rsidR="00655A4C">
        <w:rPr>
          <w:rFonts w:ascii="Garamond" w:hAnsi="Garamond"/>
        </w:rPr>
        <w:t>rate exceeding 30%,</w:t>
      </w:r>
      <w:r w:rsidRPr="00655A4C" w:rsidR="00784B43">
        <w:rPr>
          <w:rFonts w:ascii="Garamond" w:hAnsi="Garamond"/>
        </w:rPr>
        <w:t xml:space="preserve"> the sampling frame may be restricted to the panelists recruited in the NRFU years.</w:t>
      </w:r>
      <w:r w:rsidR="00655A4C">
        <w:rPr>
          <w:rFonts w:ascii="Garamond" w:hAnsi="Garamond"/>
        </w:rPr>
        <w:t xml:space="preserve"> </w:t>
      </w:r>
      <w:r w:rsidRPr="00655A4C" w:rsidR="00E52F63">
        <w:rPr>
          <w:rFonts w:ascii="Garamond" w:hAnsi="Garamond"/>
        </w:rPr>
        <w:t>The panel recruitment response rate calculation methodology is consistent with AAPOR guidelines and fully documented</w:t>
      </w:r>
      <w:r w:rsidR="0001478D">
        <w:rPr>
          <w:rFonts w:ascii="Garamond" w:hAnsi="Garamond"/>
        </w:rPr>
        <w:t>.</w:t>
      </w:r>
      <w:r w:rsidR="0001478D">
        <w:rPr>
          <w:rStyle w:val="FootnoteReference"/>
          <w:rFonts w:ascii="Garamond" w:hAnsi="Garamond"/>
        </w:rPr>
        <w:footnoteReference w:id="8"/>
      </w:r>
      <w:r w:rsidRPr="00655A4C" w:rsidR="00E52F63">
        <w:rPr>
          <w:rFonts w:ascii="Garamond" w:hAnsi="Garamond"/>
        </w:rPr>
        <w:t xml:space="preserve"> </w:t>
      </w:r>
      <w:r w:rsidRPr="00655A4C" w:rsidR="00330C92">
        <w:rPr>
          <w:rFonts w:ascii="Garamond" w:hAnsi="Garamond"/>
        </w:rPr>
        <w:t>The annual panel retention rate is about 85%.</w:t>
      </w:r>
    </w:p>
    <w:p w:rsidRPr="00655A4C" w:rsidR="00B23B0D" w:rsidP="00B23B0D" w:rsidRDefault="00B23B0D" w14:paraId="10C55988" w14:textId="77777777">
      <w:pPr>
        <w:pStyle w:val="BodyText"/>
        <w:spacing w:after="0" w:line="240" w:lineRule="auto"/>
        <w:rPr>
          <w:rFonts w:ascii="Garamond" w:hAnsi="Garamond"/>
        </w:rPr>
      </w:pPr>
    </w:p>
    <w:p w:rsidRPr="00655A4C" w:rsidR="00B23B0D" w:rsidP="00B23B0D" w:rsidRDefault="004D4415" w14:paraId="7E087EA2" w14:textId="77777777">
      <w:pPr>
        <w:pStyle w:val="BodyText"/>
        <w:spacing w:after="0" w:line="240" w:lineRule="auto"/>
        <w:rPr>
          <w:rFonts w:ascii="Garamond" w:hAnsi="Garamond"/>
        </w:rPr>
      </w:pPr>
      <w:r w:rsidRPr="00655A4C">
        <w:rPr>
          <w:rFonts w:ascii="Garamond" w:hAnsi="Garamond"/>
        </w:rPr>
        <w:t xml:space="preserve">For individual client surveys based on the AmeriSpeak Panel, </w:t>
      </w:r>
      <w:r w:rsidRPr="00655A4C" w:rsidR="00604493">
        <w:rPr>
          <w:rFonts w:ascii="Garamond" w:hAnsi="Garamond"/>
        </w:rPr>
        <w:t xml:space="preserve">the </w:t>
      </w:r>
      <w:r w:rsidRPr="00655A4C" w:rsidR="00B23B0D">
        <w:rPr>
          <w:rFonts w:ascii="Garamond" w:hAnsi="Garamond"/>
        </w:rPr>
        <w:t xml:space="preserve">AAPOR RR3 </w:t>
      </w:r>
      <w:r w:rsidRPr="00655A4C" w:rsidR="00604493">
        <w:rPr>
          <w:rFonts w:ascii="Garamond" w:hAnsi="Garamond"/>
        </w:rPr>
        <w:t xml:space="preserve">response rate </w:t>
      </w:r>
      <w:r w:rsidRPr="00655A4C" w:rsidR="00B23B0D">
        <w:rPr>
          <w:rFonts w:ascii="Garamond" w:hAnsi="Garamond"/>
        </w:rPr>
        <w:t xml:space="preserve">is </w:t>
      </w:r>
      <w:r w:rsidRPr="00655A4C" w:rsidR="00604493">
        <w:rPr>
          <w:rFonts w:ascii="Garamond" w:hAnsi="Garamond"/>
        </w:rPr>
        <w:t xml:space="preserve">between </w:t>
      </w:r>
      <w:r w:rsidRPr="00655A4C" w:rsidR="00B23B0D">
        <w:rPr>
          <w:rFonts w:ascii="Garamond" w:hAnsi="Garamond"/>
        </w:rPr>
        <w:t xml:space="preserve">10% to 20% </w:t>
      </w:r>
      <w:r w:rsidRPr="00655A4C" w:rsidR="00604493">
        <w:rPr>
          <w:rFonts w:ascii="Garamond" w:hAnsi="Garamond"/>
        </w:rPr>
        <w:t>depending on specific</w:t>
      </w:r>
      <w:r w:rsidRPr="00655A4C" w:rsidR="007857C0">
        <w:rPr>
          <w:rFonts w:ascii="Garamond" w:hAnsi="Garamond"/>
        </w:rPr>
        <w:t xml:space="preserve"> </w:t>
      </w:r>
      <w:r w:rsidRPr="00655A4C" w:rsidR="00B23B0D">
        <w:rPr>
          <w:rFonts w:ascii="Garamond" w:hAnsi="Garamond"/>
        </w:rPr>
        <w:t>study parameters</w:t>
      </w:r>
      <w:r w:rsidRPr="00655A4C" w:rsidR="008778A2">
        <w:rPr>
          <w:rFonts w:ascii="Garamond" w:hAnsi="Garamond"/>
        </w:rPr>
        <w:t xml:space="preserve"> such as target population, survey length, </w:t>
      </w:r>
      <w:r w:rsidRPr="00655A4C" w:rsidR="00B0320A">
        <w:rPr>
          <w:rFonts w:ascii="Garamond" w:hAnsi="Garamond"/>
        </w:rPr>
        <w:t xml:space="preserve">time in the field, </w:t>
      </w:r>
      <w:r w:rsidRPr="00655A4C" w:rsidR="008778A2">
        <w:rPr>
          <w:rFonts w:ascii="Garamond" w:hAnsi="Garamond"/>
        </w:rPr>
        <w:t>salience of subject, and the like. This response rate takes</w:t>
      </w:r>
      <w:r w:rsidRPr="00655A4C" w:rsidR="00B23B0D">
        <w:rPr>
          <w:rFonts w:ascii="Garamond" w:hAnsi="Garamond"/>
        </w:rPr>
        <w:t xml:space="preserve"> into account panel recruitment</w:t>
      </w:r>
      <w:r w:rsidRPr="00655A4C" w:rsidR="008778A2">
        <w:rPr>
          <w:rFonts w:ascii="Garamond" w:hAnsi="Garamond"/>
        </w:rPr>
        <w:t xml:space="preserve"> rate</w:t>
      </w:r>
      <w:r w:rsidRPr="00655A4C" w:rsidR="00B23B0D">
        <w:rPr>
          <w:rFonts w:ascii="Garamond" w:hAnsi="Garamond"/>
        </w:rPr>
        <w:t xml:space="preserve">, panel </w:t>
      </w:r>
      <w:r w:rsidRPr="00655A4C" w:rsidR="007857C0">
        <w:rPr>
          <w:rFonts w:ascii="Garamond" w:hAnsi="Garamond"/>
        </w:rPr>
        <w:t>retention</w:t>
      </w:r>
      <w:r w:rsidRPr="00655A4C" w:rsidR="008778A2">
        <w:rPr>
          <w:rFonts w:ascii="Garamond" w:hAnsi="Garamond"/>
        </w:rPr>
        <w:t xml:space="preserve"> rate</w:t>
      </w:r>
      <w:r w:rsidRPr="00655A4C" w:rsidR="00B23B0D">
        <w:rPr>
          <w:rFonts w:ascii="Garamond" w:hAnsi="Garamond"/>
        </w:rPr>
        <w:t>, and survey participation</w:t>
      </w:r>
      <w:r w:rsidRPr="00655A4C" w:rsidR="008778A2">
        <w:rPr>
          <w:rFonts w:ascii="Garamond" w:hAnsi="Garamond"/>
        </w:rPr>
        <w:t xml:space="preserve"> rate</w:t>
      </w:r>
      <w:r w:rsidRPr="00655A4C" w:rsidR="00B23B0D">
        <w:rPr>
          <w:rFonts w:ascii="Garamond" w:hAnsi="Garamond"/>
        </w:rPr>
        <w:t>.</w:t>
      </w:r>
      <w:r w:rsidRPr="00655A4C" w:rsidR="00B23B0D">
        <w:rPr>
          <w:rStyle w:val="FootnoteReference"/>
          <w:rFonts w:ascii="Garamond" w:hAnsi="Garamond"/>
        </w:rPr>
        <w:footnoteReference w:id="9"/>
      </w:r>
    </w:p>
    <w:p w:rsidRPr="00655A4C" w:rsidR="00B23B0D" w:rsidP="00B23B0D" w:rsidRDefault="00B23B0D" w14:paraId="26EF10F4" w14:textId="77777777">
      <w:pPr>
        <w:pStyle w:val="BodyText"/>
        <w:spacing w:after="0" w:line="240" w:lineRule="auto"/>
        <w:rPr>
          <w:rFonts w:ascii="Garamond" w:hAnsi="Garamond"/>
        </w:rPr>
      </w:pPr>
    </w:p>
    <w:p w:rsidRPr="00655A4C" w:rsidR="00B6780B" w:rsidP="001B7D0A" w:rsidRDefault="00DC0B3A" w14:paraId="3C6A1D1C" w14:textId="77777777">
      <w:pPr>
        <w:pStyle w:val="BodyText"/>
        <w:spacing w:after="0" w:line="240" w:lineRule="auto"/>
        <w:rPr>
          <w:rFonts w:ascii="Garamond" w:hAnsi="Garamond"/>
        </w:rPr>
      </w:pPr>
      <w:r w:rsidRPr="00655A4C">
        <w:rPr>
          <w:rFonts w:ascii="Garamond" w:hAnsi="Garamond"/>
        </w:rPr>
        <w:t>Other important</w:t>
      </w:r>
      <w:r w:rsidRPr="00655A4C" w:rsidR="00B23B0D">
        <w:rPr>
          <w:rFonts w:ascii="Garamond" w:hAnsi="Garamond"/>
        </w:rPr>
        <w:t xml:space="preserve"> </w:t>
      </w:r>
      <w:r w:rsidRPr="00655A4C">
        <w:rPr>
          <w:rFonts w:ascii="Garamond" w:hAnsi="Garamond"/>
        </w:rPr>
        <w:t xml:space="preserve">panel </w:t>
      </w:r>
      <w:r w:rsidRPr="00655A4C" w:rsidR="00B23B0D">
        <w:rPr>
          <w:rFonts w:ascii="Garamond" w:hAnsi="Garamond"/>
        </w:rPr>
        <w:t>statistics with respect to the 2014-201</w:t>
      </w:r>
      <w:r w:rsidRPr="00655A4C" w:rsidR="00621E65">
        <w:rPr>
          <w:rFonts w:ascii="Garamond" w:hAnsi="Garamond"/>
        </w:rPr>
        <w:t>9</w:t>
      </w:r>
      <w:r w:rsidRPr="00655A4C" w:rsidR="00B23B0D">
        <w:rPr>
          <w:rFonts w:ascii="Garamond" w:hAnsi="Garamond"/>
        </w:rPr>
        <w:t xml:space="preserve"> recruited households are as follows:  </w:t>
      </w:r>
      <w:r w:rsidRPr="00655A4C" w:rsidR="00B6780B">
        <w:rPr>
          <w:rFonts w:ascii="Garamond" w:hAnsi="Garamond"/>
        </w:rPr>
        <w:t>62</w:t>
      </w:r>
      <w:r w:rsidRPr="00655A4C" w:rsidR="009C5CDC">
        <w:rPr>
          <w:rFonts w:ascii="Garamond" w:hAnsi="Garamond"/>
        </w:rPr>
        <w:t xml:space="preserve">% are recruited in the initial stage and </w:t>
      </w:r>
      <w:r w:rsidRPr="00655A4C" w:rsidR="00B6780B">
        <w:rPr>
          <w:rFonts w:ascii="Garamond" w:hAnsi="Garamond"/>
        </w:rPr>
        <w:t>38</w:t>
      </w:r>
      <w:r w:rsidRPr="00655A4C" w:rsidR="00B23B0D">
        <w:rPr>
          <w:rFonts w:ascii="Garamond" w:hAnsi="Garamond"/>
        </w:rPr>
        <w:t xml:space="preserve">% </w:t>
      </w:r>
      <w:r w:rsidRPr="00655A4C" w:rsidR="009C5CDC">
        <w:rPr>
          <w:rFonts w:ascii="Garamond" w:hAnsi="Garamond"/>
        </w:rPr>
        <w:t xml:space="preserve">are </w:t>
      </w:r>
      <w:r w:rsidRPr="00655A4C" w:rsidR="00B23B0D">
        <w:rPr>
          <w:rFonts w:ascii="Garamond" w:hAnsi="Garamond"/>
        </w:rPr>
        <w:t xml:space="preserve">recruited via </w:t>
      </w:r>
      <w:r w:rsidRPr="00655A4C" w:rsidR="009C5CDC">
        <w:rPr>
          <w:rFonts w:ascii="Garamond" w:hAnsi="Garamond"/>
        </w:rPr>
        <w:t xml:space="preserve">NRFU; </w:t>
      </w:r>
      <w:r w:rsidRPr="00655A4C" w:rsidR="00B0320A">
        <w:rPr>
          <w:rFonts w:ascii="Garamond" w:hAnsi="Garamond"/>
        </w:rPr>
        <w:t xml:space="preserve">85% of the active panelists prefer to do web or online surveys, while 15% prefer to participate in telephone surveys; </w:t>
      </w:r>
      <w:r w:rsidRPr="00655A4C" w:rsidR="00B23B0D">
        <w:rPr>
          <w:rFonts w:ascii="Garamond" w:hAnsi="Garamond"/>
        </w:rPr>
        <w:t>2</w:t>
      </w:r>
      <w:r w:rsidRPr="00655A4C" w:rsidR="00B6780B">
        <w:rPr>
          <w:rFonts w:ascii="Garamond" w:hAnsi="Garamond"/>
        </w:rPr>
        <w:t>1</w:t>
      </w:r>
      <w:r w:rsidRPr="00655A4C" w:rsidR="00B23B0D">
        <w:rPr>
          <w:rFonts w:ascii="Garamond" w:hAnsi="Garamond"/>
        </w:rPr>
        <w:t xml:space="preserve">% of the recruited households are </w:t>
      </w:r>
      <w:r w:rsidRPr="00655A4C" w:rsidR="00B23B0D">
        <w:rPr>
          <w:rFonts w:ascii="Garamond" w:hAnsi="Garamond"/>
        </w:rPr>
        <w:lastRenderedPageBreak/>
        <w:t>non-Internet</w:t>
      </w:r>
      <w:r w:rsidRPr="00655A4C" w:rsidR="00B23B0D">
        <w:rPr>
          <w:rStyle w:val="FootnoteReference"/>
          <w:rFonts w:ascii="Garamond" w:hAnsi="Garamond"/>
        </w:rPr>
        <w:footnoteReference w:id="10"/>
      </w:r>
      <w:r w:rsidRPr="00655A4C" w:rsidR="00B23B0D">
        <w:rPr>
          <w:rFonts w:ascii="Garamond" w:hAnsi="Garamond"/>
        </w:rPr>
        <w:t xml:space="preserve">; </w:t>
      </w:r>
      <w:r w:rsidRPr="00655A4C" w:rsidR="00B6780B">
        <w:rPr>
          <w:rFonts w:ascii="Garamond" w:hAnsi="Garamond"/>
        </w:rPr>
        <w:t>82</w:t>
      </w:r>
      <w:r w:rsidRPr="00655A4C" w:rsidR="00B23B0D">
        <w:rPr>
          <w:rFonts w:ascii="Garamond" w:hAnsi="Garamond"/>
        </w:rPr>
        <w:t>% are cell-phone only or cell-phone mostly; 1</w:t>
      </w:r>
      <w:r w:rsidRPr="00655A4C" w:rsidR="00B6780B">
        <w:rPr>
          <w:rFonts w:ascii="Garamond" w:hAnsi="Garamond"/>
        </w:rPr>
        <w:t>9</w:t>
      </w:r>
      <w:r w:rsidRPr="00655A4C" w:rsidR="00B23B0D">
        <w:rPr>
          <w:rFonts w:ascii="Garamond" w:hAnsi="Garamond"/>
        </w:rPr>
        <w:t>% are African-American and 2</w:t>
      </w:r>
      <w:r w:rsidRPr="00655A4C" w:rsidR="00B6780B">
        <w:rPr>
          <w:rFonts w:ascii="Garamond" w:hAnsi="Garamond"/>
        </w:rPr>
        <w:t>0</w:t>
      </w:r>
      <w:r w:rsidRPr="00655A4C" w:rsidR="00B23B0D">
        <w:rPr>
          <w:rFonts w:ascii="Garamond" w:hAnsi="Garamond"/>
        </w:rPr>
        <w:t>% Hispanic; and 3</w:t>
      </w:r>
      <w:r w:rsidRPr="00655A4C" w:rsidR="00B6780B">
        <w:rPr>
          <w:rFonts w:ascii="Garamond" w:hAnsi="Garamond"/>
        </w:rPr>
        <w:t>3</w:t>
      </w:r>
      <w:r w:rsidRPr="00655A4C" w:rsidR="00B23B0D">
        <w:rPr>
          <w:rFonts w:ascii="Garamond" w:hAnsi="Garamond"/>
        </w:rPr>
        <w:t>% have household income below $30,000 (compared to CPS benchmark of 26%).</w:t>
      </w:r>
      <w:r w:rsidRPr="00655A4C" w:rsidR="00B23B0D">
        <w:rPr>
          <w:rStyle w:val="FootnoteReference"/>
          <w:rFonts w:ascii="Garamond" w:hAnsi="Garamond"/>
        </w:rPr>
        <w:footnoteReference w:id="11"/>
      </w:r>
      <w:r w:rsidRPr="00655A4C" w:rsidR="00B23B0D">
        <w:rPr>
          <w:rFonts w:ascii="Garamond" w:hAnsi="Garamond"/>
        </w:rPr>
        <w:t xml:space="preserve"> </w:t>
      </w:r>
    </w:p>
    <w:p w:rsidRPr="00655A4C" w:rsidR="00B6780B" w:rsidP="00F92E58" w:rsidRDefault="00B6780B" w14:paraId="4DEB850D" w14:textId="77777777">
      <w:pPr>
        <w:pStyle w:val="BodyText"/>
        <w:spacing w:after="0" w:line="240" w:lineRule="auto"/>
        <w:rPr>
          <w:rFonts w:ascii="Garamond" w:hAnsi="Garamond"/>
        </w:rPr>
      </w:pPr>
    </w:p>
    <w:p w:rsidRPr="00655A4C" w:rsidR="009C5CDC" w:rsidP="009C5CDC" w:rsidRDefault="009C5CDC" w14:paraId="5F5C214E" w14:textId="77777777">
      <w:pPr>
        <w:pStyle w:val="BodyText"/>
        <w:spacing w:after="0" w:line="240" w:lineRule="auto"/>
        <w:rPr>
          <w:rFonts w:ascii="Garamond" w:hAnsi="Garamond"/>
          <w:color w:val="ED7D31"/>
        </w:rPr>
      </w:pPr>
      <w:r w:rsidRPr="00655A4C">
        <w:rPr>
          <w:rFonts w:ascii="Garamond" w:hAnsi="Garamond"/>
          <w:b/>
          <w:color w:val="ED7D31"/>
        </w:rPr>
        <w:t>Impact of Non-Response Follow-Up</w:t>
      </w:r>
      <w:r w:rsidRPr="00655A4C">
        <w:rPr>
          <w:rFonts w:ascii="Garamond" w:hAnsi="Garamond"/>
          <w:color w:val="ED7D31"/>
        </w:rPr>
        <w:t xml:space="preserve"> </w:t>
      </w:r>
    </w:p>
    <w:p w:rsidRPr="00655A4C" w:rsidR="009C5CDC" w:rsidP="009C5CDC" w:rsidRDefault="009C5CDC" w14:paraId="6C76A884" w14:textId="77777777">
      <w:pPr>
        <w:pStyle w:val="BodyText"/>
        <w:spacing w:after="0" w:line="240" w:lineRule="auto"/>
        <w:rPr>
          <w:rFonts w:ascii="Garamond" w:hAnsi="Garamond"/>
        </w:rPr>
      </w:pPr>
    </w:p>
    <w:p w:rsidRPr="00655A4C" w:rsidR="007563B4" w:rsidP="004F3D26" w:rsidRDefault="009C5CDC" w14:paraId="1F2BC179" w14:textId="042483A4">
      <w:pPr>
        <w:pStyle w:val="BodyText"/>
        <w:spacing w:after="0" w:line="240" w:lineRule="auto"/>
        <w:rPr>
          <w:rFonts w:ascii="Garamond" w:hAnsi="Garamond"/>
        </w:rPr>
      </w:pPr>
      <w:r w:rsidRPr="00655A4C">
        <w:rPr>
          <w:rFonts w:ascii="Garamond" w:hAnsi="Garamond"/>
        </w:rPr>
        <w:t xml:space="preserve">NRFU is instrumental </w:t>
      </w:r>
      <w:r w:rsidRPr="00655A4C" w:rsidR="00A73412">
        <w:rPr>
          <w:rFonts w:ascii="Garamond" w:hAnsi="Garamond"/>
        </w:rPr>
        <w:t>in</w:t>
      </w:r>
      <w:r w:rsidRPr="00655A4C">
        <w:rPr>
          <w:rFonts w:ascii="Garamond" w:hAnsi="Garamond"/>
        </w:rPr>
        <w:t xml:space="preserve"> producing</w:t>
      </w:r>
      <w:r w:rsidRPr="00655A4C" w:rsidR="00A47A78">
        <w:rPr>
          <w:rFonts w:ascii="Garamond" w:hAnsi="Garamond"/>
          <w:lang w:eastAsia="zh-CN"/>
        </w:rPr>
        <w:t xml:space="preserve"> the industry-leading response rate for AmeriSpeak Panel recruitment</w:t>
      </w:r>
      <w:r w:rsidRPr="00655A4C" w:rsidR="00D9362F">
        <w:rPr>
          <w:rFonts w:ascii="Garamond" w:hAnsi="Garamond"/>
          <w:lang w:eastAsia="zh-CN"/>
        </w:rPr>
        <w:t xml:space="preserve">. </w:t>
      </w:r>
      <w:r w:rsidRPr="00655A4C" w:rsidR="009D294E">
        <w:rPr>
          <w:rFonts w:ascii="Garamond" w:hAnsi="Garamond"/>
        </w:rPr>
        <w:t>Moreover</w:t>
      </w:r>
      <w:r w:rsidRPr="00655A4C">
        <w:rPr>
          <w:rFonts w:ascii="Garamond" w:hAnsi="Garamond"/>
        </w:rPr>
        <w:t xml:space="preserve">, </w:t>
      </w:r>
      <w:r w:rsidRPr="00655A4C" w:rsidR="007563B4">
        <w:rPr>
          <w:rFonts w:ascii="Garamond" w:hAnsi="Garamond"/>
        </w:rPr>
        <w:t>due to the</w:t>
      </w:r>
      <w:r w:rsidRPr="00655A4C" w:rsidR="00510CB2">
        <w:rPr>
          <w:rFonts w:ascii="Garamond" w:hAnsi="Garamond"/>
        </w:rPr>
        <w:t xml:space="preserve"> more intensive effort, </w:t>
      </w:r>
      <w:r w:rsidRPr="00655A4C" w:rsidR="009D294E">
        <w:rPr>
          <w:rFonts w:ascii="Garamond" w:hAnsi="Garamond"/>
        </w:rPr>
        <w:t xml:space="preserve">NRFU </w:t>
      </w:r>
      <w:r w:rsidRPr="00655A4C" w:rsidR="004F3D26">
        <w:rPr>
          <w:rFonts w:ascii="Garamond" w:hAnsi="Garamond"/>
        </w:rPr>
        <w:t>re</w:t>
      </w:r>
      <w:r w:rsidRPr="00655A4C" w:rsidR="00510CB2">
        <w:rPr>
          <w:rFonts w:ascii="Garamond" w:hAnsi="Garamond"/>
        </w:rPr>
        <w:t>cruitment</w:t>
      </w:r>
      <w:r w:rsidRPr="00655A4C" w:rsidR="00A73412">
        <w:rPr>
          <w:rFonts w:ascii="Garamond" w:hAnsi="Garamond"/>
        </w:rPr>
        <w:t>s</w:t>
      </w:r>
      <w:r w:rsidRPr="00655A4C" w:rsidR="004F3D26">
        <w:rPr>
          <w:rFonts w:ascii="Garamond" w:hAnsi="Garamond"/>
        </w:rPr>
        <w:t xml:space="preserve"> </w:t>
      </w:r>
      <w:r w:rsidRPr="00655A4C" w:rsidR="00510CB2">
        <w:rPr>
          <w:rFonts w:ascii="Garamond" w:hAnsi="Garamond"/>
        </w:rPr>
        <w:t xml:space="preserve">better represent hard to reach groups and </w:t>
      </w:r>
      <w:r w:rsidRPr="00655A4C" w:rsidR="004F3D26">
        <w:rPr>
          <w:rFonts w:ascii="Garamond" w:hAnsi="Garamond"/>
        </w:rPr>
        <w:t xml:space="preserve">are </w:t>
      </w:r>
      <w:r w:rsidRPr="00655A4C" w:rsidR="00510CB2">
        <w:rPr>
          <w:rFonts w:ascii="Garamond" w:hAnsi="Garamond"/>
        </w:rPr>
        <w:t xml:space="preserve">therefore more </w:t>
      </w:r>
      <w:r w:rsidRPr="00655A4C" w:rsidR="00A73412">
        <w:rPr>
          <w:rFonts w:ascii="Garamond" w:hAnsi="Garamond"/>
        </w:rPr>
        <w:t>representative of the target population</w:t>
      </w:r>
      <w:r w:rsidRPr="00655A4C" w:rsidR="004F3D26">
        <w:rPr>
          <w:rFonts w:ascii="Garamond" w:hAnsi="Garamond"/>
        </w:rPr>
        <w:t xml:space="preserve">. </w:t>
      </w:r>
      <w:r w:rsidRPr="00655A4C" w:rsidR="00510CB2">
        <w:rPr>
          <w:rFonts w:ascii="Garamond" w:hAnsi="Garamond"/>
        </w:rPr>
        <w:t>For example, i</w:t>
      </w:r>
      <w:r w:rsidRPr="00655A4C" w:rsidR="00031452">
        <w:rPr>
          <w:rFonts w:ascii="Garamond" w:hAnsi="Garamond"/>
          <w:bCs/>
          <w:color w:val="000000"/>
        </w:rPr>
        <w:t>nitial recruitment tend</w:t>
      </w:r>
      <w:r w:rsidRPr="00655A4C" w:rsidR="00510CB2">
        <w:rPr>
          <w:rFonts w:ascii="Garamond" w:hAnsi="Garamond"/>
          <w:bCs/>
          <w:color w:val="000000"/>
        </w:rPr>
        <w:t>s</w:t>
      </w:r>
      <w:r w:rsidRPr="00655A4C" w:rsidR="009560CF">
        <w:rPr>
          <w:rFonts w:ascii="Garamond" w:hAnsi="Garamond"/>
          <w:bCs/>
          <w:color w:val="000000"/>
        </w:rPr>
        <w:t xml:space="preserve"> to under-represent young</w:t>
      </w:r>
      <w:r w:rsidRPr="00655A4C" w:rsidR="00031452">
        <w:rPr>
          <w:rFonts w:ascii="Garamond" w:hAnsi="Garamond"/>
          <w:bCs/>
          <w:color w:val="000000"/>
        </w:rPr>
        <w:t xml:space="preserve"> adults 18-34 years of age</w:t>
      </w:r>
      <w:r w:rsidRPr="00655A4C" w:rsidR="00510CB2">
        <w:rPr>
          <w:rFonts w:ascii="Garamond" w:hAnsi="Garamond"/>
          <w:bCs/>
          <w:color w:val="000000"/>
        </w:rPr>
        <w:t xml:space="preserve">. </w:t>
      </w:r>
      <w:r w:rsidRPr="00655A4C" w:rsidR="009560CF">
        <w:rPr>
          <w:rFonts w:ascii="Garamond" w:hAnsi="Garamond"/>
          <w:color w:val="000000"/>
        </w:rPr>
        <w:t>NRFU recruitment</w:t>
      </w:r>
      <w:r w:rsidRPr="00655A4C" w:rsidR="00031452">
        <w:rPr>
          <w:rFonts w:ascii="Garamond" w:hAnsi="Garamond"/>
          <w:color w:val="000000"/>
        </w:rPr>
        <w:t xml:space="preserve"> correct</w:t>
      </w:r>
      <w:r w:rsidRPr="00655A4C" w:rsidR="00510CB2">
        <w:rPr>
          <w:rFonts w:ascii="Garamond" w:hAnsi="Garamond"/>
          <w:color w:val="000000"/>
        </w:rPr>
        <w:t>s for this</w:t>
      </w:r>
      <w:r w:rsidRPr="00655A4C" w:rsidR="009560CF">
        <w:rPr>
          <w:rFonts w:ascii="Garamond" w:hAnsi="Garamond"/>
          <w:color w:val="000000"/>
        </w:rPr>
        <w:t xml:space="preserve"> bias by bringing </w:t>
      </w:r>
      <w:r w:rsidRPr="00655A4C" w:rsidR="00510CB2">
        <w:rPr>
          <w:rFonts w:ascii="Garamond" w:hAnsi="Garamond"/>
          <w:color w:val="000000"/>
        </w:rPr>
        <w:t xml:space="preserve">the age distribution of the panel closer to ACS benchmarks. </w:t>
      </w:r>
    </w:p>
    <w:p w:rsidRPr="00655A4C" w:rsidR="007563B4" w:rsidP="004F3D26" w:rsidRDefault="007563B4" w14:paraId="6CA9F9A0" w14:textId="77777777">
      <w:pPr>
        <w:pStyle w:val="BodyText"/>
        <w:spacing w:after="0" w:line="240" w:lineRule="auto"/>
        <w:rPr>
          <w:rFonts w:ascii="Garamond" w:hAnsi="Garamond"/>
        </w:rPr>
      </w:pPr>
    </w:p>
    <w:p w:rsidRPr="00655A4C" w:rsidR="00EF43D0" w:rsidP="009C5CDC" w:rsidRDefault="001F5B32" w14:paraId="4FDA5195" w14:textId="77777777">
      <w:pPr>
        <w:pStyle w:val="BodyText"/>
        <w:spacing w:after="0" w:line="240" w:lineRule="auto"/>
        <w:rPr>
          <w:rFonts w:ascii="Garamond" w:hAnsi="Garamond"/>
        </w:rPr>
      </w:pPr>
      <w:r w:rsidRPr="00655A4C">
        <w:rPr>
          <w:rFonts w:ascii="Garamond" w:hAnsi="Garamond"/>
        </w:rPr>
        <w:t xml:space="preserve">Overall, </w:t>
      </w:r>
      <w:r w:rsidRPr="00655A4C" w:rsidR="004F3D26">
        <w:rPr>
          <w:rFonts w:ascii="Garamond" w:hAnsi="Garamond"/>
        </w:rPr>
        <w:t xml:space="preserve">NRFU </w:t>
      </w:r>
      <w:r w:rsidRPr="00655A4C" w:rsidR="009D294E">
        <w:rPr>
          <w:rFonts w:ascii="Garamond" w:hAnsi="Garamond"/>
        </w:rPr>
        <w:t>recruitment significantly improves the representation of the panel with respect to demographic segments that</w:t>
      </w:r>
      <w:r w:rsidRPr="00655A4C" w:rsidR="004F3D26">
        <w:rPr>
          <w:rFonts w:ascii="Garamond" w:hAnsi="Garamond"/>
        </w:rPr>
        <w:t xml:space="preserve"> are under</w:t>
      </w:r>
      <w:r w:rsidRPr="00655A4C" w:rsidR="007563B4">
        <w:rPr>
          <w:rFonts w:ascii="Garamond" w:hAnsi="Garamond"/>
        </w:rPr>
        <w:t>-</w:t>
      </w:r>
      <w:r w:rsidRPr="00655A4C" w:rsidR="004F3D26">
        <w:rPr>
          <w:rFonts w:ascii="Garamond" w:hAnsi="Garamond"/>
        </w:rPr>
        <w:t>represented among the respondents to the initial recruitment</w:t>
      </w:r>
      <w:r w:rsidRPr="00655A4C" w:rsidR="009D294E">
        <w:rPr>
          <w:rFonts w:ascii="Garamond" w:hAnsi="Garamond"/>
        </w:rPr>
        <w:t>, including young adults (persons 18 to 34 years of age), African Americans, Hispanics, lower income households, renters, cell-phone only households, and persons with lower educational attainment (</w:t>
      </w:r>
      <w:r w:rsidRPr="00655A4C" w:rsidR="007563B4">
        <w:rPr>
          <w:rFonts w:ascii="Garamond" w:hAnsi="Garamond"/>
        </w:rPr>
        <w:t xml:space="preserve">e.g., </w:t>
      </w:r>
      <w:r w:rsidRPr="00655A4C" w:rsidR="009D294E">
        <w:rPr>
          <w:rFonts w:ascii="Garamond" w:hAnsi="Garamond"/>
        </w:rPr>
        <w:t>no college</w:t>
      </w:r>
      <w:r w:rsidRPr="00655A4C" w:rsidR="007563B4">
        <w:rPr>
          <w:rFonts w:ascii="Garamond" w:hAnsi="Garamond"/>
        </w:rPr>
        <w:t xml:space="preserve"> degree</w:t>
      </w:r>
      <w:r w:rsidRPr="00655A4C" w:rsidR="009D294E">
        <w:rPr>
          <w:rFonts w:ascii="Garamond" w:hAnsi="Garamond"/>
        </w:rPr>
        <w:t xml:space="preserve">). </w:t>
      </w:r>
      <w:r w:rsidRPr="00655A4C" w:rsidR="004F3D26">
        <w:rPr>
          <w:rFonts w:ascii="Garamond" w:hAnsi="Garamond"/>
        </w:rPr>
        <w:t xml:space="preserve">To the extent that these demographic characteristics are correlated with substantive survey variables, </w:t>
      </w:r>
      <w:r w:rsidRPr="00655A4C" w:rsidR="009C5CDC">
        <w:rPr>
          <w:rFonts w:ascii="Garamond" w:hAnsi="Garamond"/>
        </w:rPr>
        <w:t xml:space="preserve">NRFU </w:t>
      </w:r>
      <w:r w:rsidRPr="00655A4C" w:rsidR="004F3D26">
        <w:rPr>
          <w:rFonts w:ascii="Garamond" w:hAnsi="Garamond"/>
        </w:rPr>
        <w:t xml:space="preserve">helps to </w:t>
      </w:r>
      <w:r w:rsidRPr="00655A4C" w:rsidR="009C5CDC">
        <w:rPr>
          <w:rFonts w:ascii="Garamond" w:hAnsi="Garamond"/>
        </w:rPr>
        <w:t xml:space="preserve">reduce </w:t>
      </w:r>
      <w:r w:rsidRPr="00655A4C" w:rsidR="004F3D26">
        <w:rPr>
          <w:rFonts w:ascii="Garamond" w:hAnsi="Garamond"/>
        </w:rPr>
        <w:t xml:space="preserve">potential </w:t>
      </w:r>
      <w:r w:rsidRPr="00655A4C" w:rsidR="009C5CDC">
        <w:rPr>
          <w:rFonts w:ascii="Garamond" w:hAnsi="Garamond"/>
        </w:rPr>
        <w:t xml:space="preserve">non-response bias </w:t>
      </w:r>
      <w:r w:rsidRPr="00655A4C" w:rsidR="004F3D26">
        <w:rPr>
          <w:rFonts w:ascii="Garamond" w:hAnsi="Garamond"/>
        </w:rPr>
        <w:t xml:space="preserve">in the sample estimates. </w:t>
      </w:r>
      <w:r w:rsidRPr="00655A4C" w:rsidR="008E5C0D">
        <w:rPr>
          <w:rFonts w:ascii="Garamond" w:hAnsi="Garamond"/>
        </w:rPr>
        <w:t xml:space="preserve">NORC’s research indicates that NRFU respondents are indeed somewhat different from initial respondents for many </w:t>
      </w:r>
      <w:r w:rsidRPr="00655A4C" w:rsidR="007563B4">
        <w:rPr>
          <w:rFonts w:ascii="Garamond" w:hAnsi="Garamond"/>
        </w:rPr>
        <w:t xml:space="preserve">common </w:t>
      </w:r>
      <w:r w:rsidRPr="00655A4C" w:rsidR="008E5C0D">
        <w:rPr>
          <w:rFonts w:ascii="Garamond" w:hAnsi="Garamond"/>
        </w:rPr>
        <w:t xml:space="preserve">survey variables. For example, compared to the panelists recruited during the initial stage, NRFU panelists </w:t>
      </w:r>
      <w:r w:rsidRPr="00655A4C" w:rsidR="00613FD8">
        <w:rPr>
          <w:rFonts w:ascii="Garamond" w:hAnsi="Garamond"/>
        </w:rPr>
        <w:t>tend to be</w:t>
      </w:r>
      <w:r w:rsidRPr="00655A4C" w:rsidR="008E5C0D">
        <w:rPr>
          <w:rFonts w:ascii="Garamond" w:hAnsi="Garamond"/>
        </w:rPr>
        <w:t xml:space="preserve"> more conservative</w:t>
      </w:r>
      <w:r w:rsidRPr="00655A4C" w:rsidR="007563B4">
        <w:rPr>
          <w:rFonts w:ascii="Garamond" w:hAnsi="Garamond"/>
        </w:rPr>
        <w:t xml:space="preserve"> politically</w:t>
      </w:r>
      <w:r w:rsidRPr="00655A4C" w:rsidR="008E5C0D">
        <w:rPr>
          <w:rFonts w:ascii="Garamond" w:hAnsi="Garamond"/>
        </w:rPr>
        <w:t xml:space="preserve">, more likely to attend church, </w:t>
      </w:r>
      <w:r w:rsidRPr="00655A4C" w:rsidR="00613FD8">
        <w:rPr>
          <w:rFonts w:ascii="Garamond" w:hAnsi="Garamond"/>
        </w:rPr>
        <w:t xml:space="preserve">less interested in current events or topics in the news </w:t>
      </w:r>
      <w:r w:rsidRPr="00655A4C" w:rsidR="004F3D26">
        <w:rPr>
          <w:rFonts w:ascii="Garamond" w:hAnsi="Garamond"/>
        </w:rPr>
        <w:t>report</w:t>
      </w:r>
      <w:r w:rsidRPr="00655A4C" w:rsidR="00613FD8">
        <w:rPr>
          <w:rFonts w:ascii="Garamond" w:hAnsi="Garamond"/>
        </w:rPr>
        <w:t xml:space="preserve">, less knowledgeable about science, less likely to be in favor of gun control policies, </w:t>
      </w:r>
      <w:r w:rsidRPr="00655A4C" w:rsidR="004F3D26">
        <w:rPr>
          <w:rFonts w:ascii="Garamond" w:hAnsi="Garamond"/>
        </w:rPr>
        <w:t>less likely to read a print newspaper (more likely to read the news online and use social media)</w:t>
      </w:r>
      <w:r w:rsidRPr="00655A4C" w:rsidR="00EF43D0">
        <w:rPr>
          <w:rFonts w:ascii="Garamond" w:hAnsi="Garamond"/>
        </w:rPr>
        <w:t>, more likely to eat at fast food restaurants and so on</w:t>
      </w:r>
      <w:r w:rsidRPr="00655A4C" w:rsidR="004F3D26">
        <w:rPr>
          <w:rStyle w:val="FootnoteReference"/>
          <w:rFonts w:ascii="Garamond" w:hAnsi="Garamond"/>
        </w:rPr>
        <w:footnoteReference w:id="12"/>
      </w:r>
      <w:r w:rsidRPr="00655A4C" w:rsidR="00D9362F">
        <w:rPr>
          <w:rFonts w:ascii="Garamond" w:hAnsi="Garamond"/>
        </w:rPr>
        <w:t xml:space="preserve">. </w:t>
      </w:r>
      <w:r w:rsidRPr="00655A4C" w:rsidR="00EF43D0">
        <w:rPr>
          <w:rFonts w:ascii="Garamond" w:hAnsi="Garamond"/>
        </w:rPr>
        <w:t>These observations illustrate</w:t>
      </w:r>
      <w:r w:rsidRPr="00655A4C" w:rsidR="004F3D26">
        <w:rPr>
          <w:rFonts w:ascii="Garamond" w:hAnsi="Garamond"/>
        </w:rPr>
        <w:t xml:space="preserve"> that </w:t>
      </w:r>
      <w:r w:rsidRPr="00655A4C" w:rsidR="00EF43D0">
        <w:rPr>
          <w:rFonts w:ascii="Garamond" w:hAnsi="Garamond"/>
        </w:rPr>
        <w:t>NRFU recruitment is critical for achieving a more balanced panel and for making</w:t>
      </w:r>
      <w:r w:rsidRPr="00655A4C" w:rsidR="004F3D26">
        <w:rPr>
          <w:rFonts w:ascii="Garamond" w:hAnsi="Garamond"/>
        </w:rPr>
        <w:t xml:space="preserve"> the substantive estimates in AmeriS</w:t>
      </w:r>
      <w:r w:rsidRPr="00655A4C" w:rsidR="00EF43D0">
        <w:rPr>
          <w:rFonts w:ascii="Garamond" w:hAnsi="Garamond"/>
        </w:rPr>
        <w:t>peak studies</w:t>
      </w:r>
      <w:r w:rsidRPr="00655A4C" w:rsidR="004F3D26">
        <w:rPr>
          <w:rFonts w:ascii="Garamond" w:hAnsi="Garamond"/>
        </w:rPr>
        <w:t xml:space="preserve"> more accurate</w:t>
      </w:r>
      <w:r w:rsidRPr="00655A4C" w:rsidR="00D9362F">
        <w:rPr>
          <w:rFonts w:ascii="Garamond" w:hAnsi="Garamond"/>
        </w:rPr>
        <w:t xml:space="preserve">. </w:t>
      </w:r>
      <w:r w:rsidRPr="00655A4C" w:rsidR="004F3D26">
        <w:rPr>
          <w:rFonts w:ascii="Garamond" w:hAnsi="Garamond"/>
        </w:rPr>
        <w:t> </w:t>
      </w:r>
      <w:r w:rsidRPr="00655A4C" w:rsidR="009C5CDC">
        <w:rPr>
          <w:rFonts w:ascii="Garamond" w:hAnsi="Garamond"/>
        </w:rPr>
        <w:t>Even though NRFU panelists are more reluctant to complete surveys, the addition of NRFU panelists reduced total absolute bias on average 5</w:t>
      </w:r>
      <w:r w:rsidRPr="00655A4C" w:rsidR="00655A4C">
        <w:rPr>
          <w:rFonts w:ascii="Garamond" w:hAnsi="Garamond"/>
        </w:rPr>
        <w:t xml:space="preserve"> to</w:t>
      </w:r>
      <w:r w:rsidRPr="00655A4C" w:rsidR="009C5CDC">
        <w:rPr>
          <w:rFonts w:ascii="Garamond" w:hAnsi="Garamond"/>
        </w:rPr>
        <w:t>21</w:t>
      </w:r>
      <w:r w:rsidRPr="00655A4C" w:rsidR="00655A4C">
        <w:rPr>
          <w:rFonts w:ascii="Garamond" w:hAnsi="Garamond"/>
        </w:rPr>
        <w:t xml:space="preserve"> percentage points</w:t>
      </w:r>
      <w:r w:rsidRPr="00655A4C" w:rsidR="009C5CDC">
        <w:rPr>
          <w:rFonts w:ascii="Garamond" w:hAnsi="Garamond"/>
        </w:rPr>
        <w:t xml:space="preserve"> when compared to the initial stage recruits (among examined surveys).</w:t>
      </w:r>
      <w:r w:rsidRPr="00655A4C" w:rsidR="009C5CDC">
        <w:rPr>
          <w:rStyle w:val="FootnoteReference"/>
          <w:rFonts w:ascii="Garamond" w:hAnsi="Garamond"/>
        </w:rPr>
        <w:footnoteReference w:id="13"/>
      </w:r>
    </w:p>
    <w:p w:rsidRPr="00655A4C" w:rsidR="00EF43D0" w:rsidP="009C5CDC" w:rsidRDefault="00EF43D0" w14:paraId="05788EAF" w14:textId="77777777">
      <w:pPr>
        <w:pStyle w:val="BodyText"/>
        <w:spacing w:after="0" w:line="240" w:lineRule="auto"/>
        <w:rPr>
          <w:rFonts w:ascii="Garamond" w:hAnsi="Garamond"/>
        </w:rPr>
      </w:pPr>
    </w:p>
    <w:p w:rsidRPr="00655A4C" w:rsidR="00F92E58" w:rsidP="00F92E58" w:rsidRDefault="00F92E58" w14:paraId="7D0682F9" w14:textId="77777777">
      <w:pPr>
        <w:pStyle w:val="BodyText"/>
        <w:spacing w:after="0" w:line="240" w:lineRule="auto"/>
        <w:rPr>
          <w:rFonts w:ascii="Garamond" w:hAnsi="Garamond"/>
        </w:rPr>
      </w:pPr>
      <w:r w:rsidRPr="00655A4C">
        <w:rPr>
          <w:rFonts w:ascii="Garamond" w:hAnsi="Garamond"/>
          <w:b/>
          <w:color w:val="ED7D31"/>
        </w:rPr>
        <w:t>Mixed-Mo</w:t>
      </w:r>
      <w:r w:rsidRPr="00655A4C" w:rsidR="000B3309">
        <w:rPr>
          <w:rFonts w:ascii="Garamond" w:hAnsi="Garamond"/>
          <w:b/>
          <w:color w:val="ED7D31"/>
        </w:rPr>
        <w:t>de Data Collection</w:t>
      </w:r>
      <w:r w:rsidRPr="00655A4C">
        <w:rPr>
          <w:rFonts w:ascii="Garamond" w:hAnsi="Garamond"/>
          <w:color w:val="ED7D31"/>
        </w:rPr>
        <w:t xml:space="preserve"> </w:t>
      </w:r>
    </w:p>
    <w:p w:rsidRPr="00655A4C" w:rsidR="00BE216B" w:rsidP="00F92E58" w:rsidRDefault="00BE216B" w14:paraId="7DDB7B85" w14:textId="77777777">
      <w:pPr>
        <w:pStyle w:val="BodyText"/>
        <w:spacing w:after="0" w:line="240" w:lineRule="auto"/>
        <w:rPr>
          <w:rFonts w:ascii="Garamond" w:hAnsi="Garamond"/>
          <w:lang w:val="en"/>
        </w:rPr>
      </w:pPr>
    </w:p>
    <w:p w:rsidR="0001478D" w:rsidP="0001478D" w:rsidRDefault="00AB21D9" w14:paraId="533722A7" w14:textId="77777777">
      <w:pPr>
        <w:pStyle w:val="BodyText"/>
        <w:spacing w:after="0" w:line="240" w:lineRule="auto"/>
        <w:rPr>
          <w:rFonts w:ascii="Garamond" w:hAnsi="Garamond"/>
        </w:rPr>
      </w:pPr>
      <w:r w:rsidRPr="007573F1">
        <w:rPr>
          <w:rFonts w:ascii="Garamond" w:hAnsi="Garamond"/>
        </w:rPr>
        <w:t xml:space="preserve">The AmeriSpeak Panel supports mixed-mode data collection to improve response rate and the representativeness of the complete surveys. </w:t>
      </w:r>
      <w:r w:rsidRPr="007573F1" w:rsidR="00857F52">
        <w:rPr>
          <w:rFonts w:ascii="Garamond" w:hAnsi="Garamond"/>
        </w:rPr>
        <w:t xml:space="preserve">During the recruitment survey, AmeriSpeak panelists </w:t>
      </w:r>
      <w:r w:rsidRPr="007573F1" w:rsidR="0079049E">
        <w:rPr>
          <w:rFonts w:ascii="Garamond" w:hAnsi="Garamond"/>
        </w:rPr>
        <w:t xml:space="preserve">are offered an opportunity to </w:t>
      </w:r>
      <w:r w:rsidRPr="007573F1" w:rsidR="00857F52">
        <w:rPr>
          <w:rFonts w:ascii="Garamond" w:hAnsi="Garamond"/>
        </w:rPr>
        <w:t>choose their preferred mode—web or phone—for future participation in AmeriSpeak surveys</w:t>
      </w:r>
      <w:r w:rsidRPr="007573F1" w:rsidR="00D9362F">
        <w:rPr>
          <w:rFonts w:ascii="Garamond" w:hAnsi="Garamond"/>
        </w:rPr>
        <w:t xml:space="preserve">. </w:t>
      </w:r>
      <w:r w:rsidRPr="007573F1" w:rsidR="00C820E6">
        <w:rPr>
          <w:rFonts w:ascii="Garamond" w:hAnsi="Garamond"/>
        </w:rPr>
        <w:t xml:space="preserve">A recruited household can consist of both web- and phone-mode panelists residing in the same household. </w:t>
      </w:r>
      <w:r w:rsidRPr="007573F1" w:rsidR="00DE060E">
        <w:rPr>
          <w:rFonts w:ascii="Garamond" w:hAnsi="Garamond"/>
        </w:rPr>
        <w:t xml:space="preserve">Panelists predominantly prefer web over phone mode. </w:t>
      </w:r>
      <w:r w:rsidRPr="007573F1" w:rsidR="00857F52">
        <w:rPr>
          <w:rFonts w:ascii="Garamond" w:hAnsi="Garamond"/>
        </w:rPr>
        <w:t>As of February 2020, 8</w:t>
      </w:r>
      <w:r w:rsidRPr="007573F1" w:rsidR="00CD2776">
        <w:rPr>
          <w:rFonts w:ascii="Garamond" w:hAnsi="Garamond"/>
        </w:rPr>
        <w:t>5</w:t>
      </w:r>
      <w:r w:rsidRPr="007573F1" w:rsidR="00857F52">
        <w:rPr>
          <w:rFonts w:ascii="Garamond" w:hAnsi="Garamond"/>
        </w:rPr>
        <w:t xml:space="preserve">% of the active panelists </w:t>
      </w:r>
      <w:r w:rsidRPr="007573F1" w:rsidR="0079049E">
        <w:rPr>
          <w:rFonts w:ascii="Garamond" w:hAnsi="Garamond"/>
        </w:rPr>
        <w:t xml:space="preserve">prefer to do web or </w:t>
      </w:r>
      <w:r w:rsidRPr="007573F1" w:rsidR="00857F52">
        <w:rPr>
          <w:rFonts w:ascii="Garamond" w:hAnsi="Garamond"/>
        </w:rPr>
        <w:t>online surveys, while 1</w:t>
      </w:r>
      <w:r w:rsidRPr="007573F1" w:rsidR="00CD2776">
        <w:rPr>
          <w:rFonts w:ascii="Garamond" w:hAnsi="Garamond"/>
        </w:rPr>
        <w:t>5</w:t>
      </w:r>
      <w:r w:rsidRPr="007573F1" w:rsidR="00857F52">
        <w:rPr>
          <w:rFonts w:ascii="Garamond" w:hAnsi="Garamond"/>
        </w:rPr>
        <w:t xml:space="preserve">% </w:t>
      </w:r>
      <w:r w:rsidRPr="007573F1" w:rsidR="0079049E">
        <w:rPr>
          <w:rFonts w:ascii="Garamond" w:hAnsi="Garamond"/>
        </w:rPr>
        <w:t xml:space="preserve">prefer </w:t>
      </w:r>
      <w:r w:rsidRPr="007573F1" w:rsidR="00857F52">
        <w:rPr>
          <w:rFonts w:ascii="Garamond" w:hAnsi="Garamond"/>
        </w:rPr>
        <w:t>to participate in telephone surveys.</w:t>
      </w:r>
      <w:r w:rsidRPr="007573F1" w:rsidR="0079049E">
        <w:rPr>
          <w:rFonts w:ascii="Garamond" w:hAnsi="Garamond"/>
        </w:rPr>
        <w:t xml:space="preserve"> The telephone mode encompasses panelists without internet access, panelists whose only internet access is via a smartphone, and panelists with internet access but </w:t>
      </w:r>
      <w:r w:rsidRPr="007573F1" w:rsidR="004244D8">
        <w:rPr>
          <w:rFonts w:ascii="Garamond" w:hAnsi="Garamond"/>
        </w:rPr>
        <w:t xml:space="preserve">are </w:t>
      </w:r>
      <w:r w:rsidRPr="007573F1" w:rsidR="0079049E">
        <w:rPr>
          <w:rFonts w:ascii="Garamond" w:hAnsi="Garamond"/>
        </w:rPr>
        <w:t xml:space="preserve">unwilling to share an email address. </w:t>
      </w:r>
    </w:p>
    <w:p w:rsidR="0001478D" w:rsidP="0001478D" w:rsidRDefault="0001478D" w14:paraId="023B1FBC" w14:textId="77777777">
      <w:pPr>
        <w:pStyle w:val="BodyText"/>
        <w:spacing w:after="0" w:line="240" w:lineRule="auto"/>
        <w:rPr>
          <w:rFonts w:ascii="Garamond" w:hAnsi="Garamond"/>
        </w:rPr>
      </w:pPr>
    </w:p>
    <w:p w:rsidRPr="007573F1" w:rsidR="007A7885" w:rsidP="0001478D" w:rsidRDefault="00DE060E" w14:paraId="681EA143" w14:textId="05394C92">
      <w:pPr>
        <w:pStyle w:val="BodyText"/>
        <w:spacing w:after="0" w:line="240" w:lineRule="auto"/>
        <w:rPr>
          <w:rFonts w:ascii="Garamond" w:hAnsi="Garamond"/>
        </w:rPr>
      </w:pPr>
      <w:r w:rsidRPr="007573F1">
        <w:rPr>
          <w:rFonts w:ascii="Garamond" w:hAnsi="Garamond"/>
        </w:rPr>
        <w:t xml:space="preserve">To the extent that non-internet households or “net averse” persons are different from the rest of the population, mixed-mode surveys have better </w:t>
      </w:r>
      <w:r w:rsidRPr="007573F1" w:rsidR="007A7885">
        <w:rPr>
          <w:rFonts w:ascii="Garamond" w:hAnsi="Garamond"/>
        </w:rPr>
        <w:t xml:space="preserve">population </w:t>
      </w:r>
      <w:r w:rsidRPr="007573F1">
        <w:rPr>
          <w:rFonts w:ascii="Garamond" w:hAnsi="Garamond"/>
        </w:rPr>
        <w:t>coverage and produce more accurate population estimates</w:t>
      </w:r>
      <w:r w:rsidRPr="007573F1" w:rsidR="00D9362F">
        <w:rPr>
          <w:rFonts w:ascii="Garamond" w:hAnsi="Garamond"/>
        </w:rPr>
        <w:t xml:space="preserve">. </w:t>
      </w:r>
      <w:r w:rsidRPr="007573F1" w:rsidR="007A7885">
        <w:rPr>
          <w:rFonts w:ascii="Garamond" w:hAnsi="Garamond"/>
        </w:rPr>
        <w:t>NORC’s telephone interviewers administer the tel</w:t>
      </w:r>
      <w:r w:rsidRPr="007573F1" w:rsidR="00B46EC0">
        <w:rPr>
          <w:rFonts w:ascii="Garamond" w:hAnsi="Garamond"/>
        </w:rPr>
        <w:t>e</w:t>
      </w:r>
      <w:r w:rsidRPr="007573F1" w:rsidR="007A7885">
        <w:rPr>
          <w:rFonts w:ascii="Garamond" w:hAnsi="Garamond"/>
        </w:rPr>
        <w:t>phone surveys using a data collection system supporting both the phone and web modes, providing an integrated sample management and data collection platform</w:t>
      </w:r>
      <w:r w:rsidRPr="007573F1" w:rsidR="00D9362F">
        <w:rPr>
          <w:rFonts w:ascii="Garamond" w:hAnsi="Garamond"/>
        </w:rPr>
        <w:t xml:space="preserve">. </w:t>
      </w:r>
      <w:r w:rsidRPr="007573F1" w:rsidR="007A7885">
        <w:rPr>
          <w:rFonts w:ascii="Garamond" w:hAnsi="Garamond"/>
        </w:rPr>
        <w:t>For panelists using smartphones for web-mode surveys, the NORC survey system renders an optimized presentation of the survey questions for these mobile users</w:t>
      </w:r>
      <w:r w:rsidRPr="007573F1" w:rsidR="00D9362F">
        <w:rPr>
          <w:rFonts w:ascii="Garamond" w:hAnsi="Garamond"/>
        </w:rPr>
        <w:t xml:space="preserve">. </w:t>
      </w:r>
    </w:p>
    <w:p w:rsidRPr="00655A4C" w:rsidR="0079049E" w:rsidP="0079049E" w:rsidRDefault="0079049E" w14:paraId="7A1D8298" w14:textId="77777777">
      <w:pPr>
        <w:pStyle w:val="BodyText"/>
        <w:spacing w:after="0" w:line="240" w:lineRule="auto"/>
        <w:rPr>
          <w:rFonts w:ascii="Garamond" w:hAnsi="Garamond"/>
          <w:lang w:val="en"/>
        </w:rPr>
      </w:pPr>
    </w:p>
    <w:p w:rsidRPr="00655A4C" w:rsidR="00F92E58" w:rsidP="00F92E58" w:rsidRDefault="00F92E58" w14:paraId="5927F9B4" w14:textId="77777777">
      <w:pPr>
        <w:rPr>
          <w:rStyle w:val="NORCCaption-Color"/>
          <w:rFonts w:ascii="Garamond" w:hAnsi="Garamond"/>
          <w:color w:val="ED7D31"/>
        </w:rPr>
      </w:pPr>
      <w:r w:rsidRPr="00655A4C">
        <w:rPr>
          <w:rStyle w:val="NORCCaption-Color"/>
          <w:rFonts w:ascii="Garamond" w:hAnsi="Garamond"/>
          <w:color w:val="ED7D31"/>
        </w:rPr>
        <w:t xml:space="preserve">Panel Management </w:t>
      </w:r>
      <w:r w:rsidRPr="00655A4C" w:rsidR="007A7885">
        <w:rPr>
          <w:rStyle w:val="NORCCaption-Color"/>
          <w:rFonts w:ascii="Garamond" w:hAnsi="Garamond"/>
          <w:color w:val="ED7D31"/>
        </w:rPr>
        <w:t>and Maintenance</w:t>
      </w:r>
    </w:p>
    <w:p w:rsidRPr="00655A4C" w:rsidR="00B86BA3" w:rsidP="00F92E58" w:rsidRDefault="00B86BA3" w14:paraId="6DA34B39" w14:textId="77777777"/>
    <w:p w:rsidRPr="00655A4C" w:rsidR="00F92E58" w:rsidP="00F92E58" w:rsidRDefault="008C141A" w14:paraId="2C89CBEF" w14:textId="07DAE434">
      <w:r w:rsidRPr="00655A4C">
        <w:rPr>
          <w:lang w:val="en"/>
        </w:rPr>
        <w:t>Panel manageme</w:t>
      </w:r>
      <w:r w:rsidRPr="00655A4C" w:rsidR="00C820E6">
        <w:rPr>
          <w:lang w:val="en"/>
        </w:rPr>
        <w:t>nt and maintenance are crucial</w:t>
      </w:r>
      <w:r w:rsidRPr="00655A4C">
        <w:rPr>
          <w:lang w:val="en"/>
        </w:rPr>
        <w:t xml:space="preserve"> for panel health and efficiency. </w:t>
      </w:r>
      <w:r w:rsidRPr="00655A4C" w:rsidR="00F92E58">
        <w:t xml:space="preserve">NORC maintains strict </w:t>
      </w:r>
      <w:r w:rsidRPr="00655A4C" w:rsidR="00F8621F">
        <w:t xml:space="preserve">panel management </w:t>
      </w:r>
      <w:r w:rsidRPr="00655A4C" w:rsidR="00F92E58">
        <w:t>rules to limit respondent burden</w:t>
      </w:r>
      <w:r w:rsidRPr="00655A4C" w:rsidR="003810A1">
        <w:t>, reduce panel attrition,</w:t>
      </w:r>
      <w:r w:rsidRPr="00655A4C" w:rsidR="00F92E58">
        <w:t xml:space="preserve"> and </w:t>
      </w:r>
      <w:r w:rsidRPr="00655A4C" w:rsidR="00F8621F">
        <w:t>minimize</w:t>
      </w:r>
      <w:r w:rsidRPr="00655A4C" w:rsidR="00F92E58">
        <w:t xml:space="preserve"> the risk of panel fatigue</w:t>
      </w:r>
      <w:r w:rsidRPr="00655A4C" w:rsidR="00D9362F">
        <w:t xml:space="preserve">. </w:t>
      </w:r>
      <w:r w:rsidRPr="00655A4C" w:rsidR="00F92E58">
        <w:t>On average, AmeriSpeak panel</w:t>
      </w:r>
      <w:r w:rsidRPr="00655A4C" w:rsidR="00F8621F">
        <w:t>ists</w:t>
      </w:r>
      <w:r w:rsidRPr="00655A4C" w:rsidR="00F92E58">
        <w:t xml:space="preserve"> </w:t>
      </w:r>
      <w:r w:rsidRPr="00655A4C" w:rsidR="00C820E6">
        <w:t xml:space="preserve">are invited to </w:t>
      </w:r>
      <w:r w:rsidRPr="00655A4C" w:rsidR="00F92E58">
        <w:t xml:space="preserve">participate in </w:t>
      </w:r>
      <w:r w:rsidRPr="00655A4C" w:rsidR="00F8621F">
        <w:t>client</w:t>
      </w:r>
      <w:r w:rsidRPr="00655A4C" w:rsidR="004F3564">
        <w:t xml:space="preserve"> </w:t>
      </w:r>
      <w:r w:rsidRPr="00655A4C" w:rsidR="00F92E58">
        <w:t>studies two to three times a month.</w:t>
      </w:r>
      <w:r w:rsidRPr="00655A4C" w:rsidR="00B46EC0">
        <w:t xml:space="preserve"> </w:t>
      </w:r>
      <w:r w:rsidRPr="00655A4C" w:rsidR="00F92E58">
        <w:t>AmeriSpeak works with NORC clients to create surveys that provide an appropriate user experience for AmeriSpeak panelists</w:t>
      </w:r>
      <w:r w:rsidRPr="00655A4C" w:rsidR="00D9362F">
        <w:t xml:space="preserve">. </w:t>
      </w:r>
      <w:r w:rsidRPr="00655A4C" w:rsidR="00F92E58">
        <w:t xml:space="preserve">AmeriSpeak will not field surveys that in our professional </w:t>
      </w:r>
      <w:r w:rsidR="005D69FC">
        <w:t>judgment</w:t>
      </w:r>
      <w:r w:rsidRPr="00655A4C" w:rsidR="005D69FC">
        <w:t xml:space="preserve"> </w:t>
      </w:r>
      <w:r w:rsidRPr="00655A4C" w:rsidR="00F92E58">
        <w:t>will result in a poor user experience for our panelists.</w:t>
      </w:r>
      <w:r w:rsidRPr="00655A4C" w:rsidR="004F3564">
        <w:t xml:space="preserve"> </w:t>
      </w:r>
      <w:r w:rsidRPr="00655A4C" w:rsidR="00C50436">
        <w:t>AmeriSpeak also has a designated website and a telephone number for panelist communications.</w:t>
      </w:r>
    </w:p>
    <w:p w:rsidRPr="00655A4C" w:rsidR="003810A1" w:rsidP="00F92E58" w:rsidRDefault="003810A1" w14:paraId="3D615DFA" w14:textId="77777777"/>
    <w:p w:rsidRPr="00655A4C" w:rsidR="003810A1" w:rsidP="00F92E58" w:rsidRDefault="003810A1" w14:paraId="5B5F049A" w14:textId="77777777">
      <w:pPr>
        <w:rPr>
          <w:color w:val="000000" w:themeColor="text1"/>
        </w:rPr>
      </w:pPr>
      <w:r w:rsidRPr="00655A4C">
        <w:rPr>
          <w:rFonts w:cs="Arial"/>
          <w:color w:val="000000" w:themeColor="text1"/>
          <w:shd w:val="clear" w:color="auto" w:fill="FFFFFF"/>
        </w:rPr>
        <w:t>Panel</w:t>
      </w:r>
      <w:r w:rsidRPr="00655A4C" w:rsidR="00C50436">
        <w:rPr>
          <w:rFonts w:cs="Arial"/>
          <w:color w:val="000000" w:themeColor="text1"/>
          <w:shd w:val="clear" w:color="auto" w:fill="FFFFFF"/>
        </w:rPr>
        <w:t xml:space="preserve"> maintenance is a dynamic process because the AmeriSpeak Panel is supplemented and </w:t>
      </w:r>
      <w:r w:rsidRPr="00655A4C">
        <w:rPr>
          <w:rStyle w:val="Strong"/>
          <w:rFonts w:cs="Arial"/>
          <w:b w:val="0"/>
          <w:color w:val="000000" w:themeColor="text1"/>
          <w:shd w:val="clear" w:color="auto" w:fill="FFFFFF"/>
        </w:rPr>
        <w:t xml:space="preserve">refreshed </w:t>
      </w:r>
      <w:r w:rsidRPr="00655A4C" w:rsidR="00C50436">
        <w:rPr>
          <w:rStyle w:val="Strong"/>
          <w:rFonts w:cs="Arial"/>
          <w:b w:val="0"/>
          <w:color w:val="000000" w:themeColor="text1"/>
          <w:shd w:val="clear" w:color="auto" w:fill="FFFFFF"/>
        </w:rPr>
        <w:t>regularly</w:t>
      </w:r>
      <w:r w:rsidRPr="00655A4C">
        <w:rPr>
          <w:rFonts w:cs="Arial"/>
          <w:color w:val="000000" w:themeColor="text1"/>
          <w:shd w:val="clear" w:color="auto" w:fill="FFFFFF"/>
        </w:rPr>
        <w:t xml:space="preserve"> over time </w:t>
      </w:r>
      <w:r w:rsidRPr="00655A4C" w:rsidR="00C50436">
        <w:rPr>
          <w:rFonts w:cs="Arial"/>
          <w:color w:val="000000" w:themeColor="text1"/>
          <w:shd w:val="clear" w:color="auto" w:fill="FFFFFF"/>
        </w:rPr>
        <w:t>to grow the panel, compensate for panel attrition, and improve panel representation for specific subpopulations</w:t>
      </w:r>
      <w:r w:rsidRPr="00655A4C">
        <w:rPr>
          <w:rFonts w:cs="Arial"/>
          <w:color w:val="000000" w:themeColor="text1"/>
          <w:shd w:val="clear" w:color="auto" w:fill="FFFFFF"/>
        </w:rPr>
        <w:t>. </w:t>
      </w:r>
      <w:r w:rsidRPr="00655A4C" w:rsidR="00C50436">
        <w:rPr>
          <w:rFonts w:cs="Arial"/>
          <w:color w:val="000000" w:themeColor="text1"/>
          <w:shd w:val="clear" w:color="auto" w:fill="FFFFFF"/>
        </w:rPr>
        <w:t xml:space="preserve">For example, </w:t>
      </w:r>
      <w:r w:rsidRPr="00655A4C" w:rsidR="00BA1542">
        <w:rPr>
          <w:rFonts w:cs="Arial"/>
          <w:color w:val="000000" w:themeColor="text1"/>
          <w:shd w:val="clear" w:color="auto" w:fill="FFFFFF"/>
        </w:rPr>
        <w:t xml:space="preserve">the Latino Panel and Teen Panel are created to support studies of Hispanics and teenagers, respectively; </w:t>
      </w:r>
      <w:r w:rsidRPr="00655A4C" w:rsidR="00C50436">
        <w:rPr>
          <w:rFonts w:cs="Arial"/>
          <w:color w:val="000000" w:themeColor="text1"/>
          <w:shd w:val="clear" w:color="auto" w:fill="FFFFFF"/>
        </w:rPr>
        <w:t xml:space="preserve">the 2019 recruitment is primarily designed to improve sample representation at the state level. </w:t>
      </w:r>
      <w:r w:rsidRPr="00655A4C" w:rsidR="00BA1542">
        <w:rPr>
          <w:rFonts w:cs="Arial"/>
          <w:color w:val="000000" w:themeColor="text1"/>
          <w:shd w:val="clear" w:color="auto" w:fill="FFFFFF"/>
        </w:rPr>
        <w:t>As panelists are added or/and removed from the panel, the panel refreshment process takes place to ensure that the refreshed panel fully represents the corresponding target population.</w:t>
      </w:r>
    </w:p>
    <w:p w:rsidRPr="00655A4C" w:rsidR="00F92E58" w:rsidP="00F92E58" w:rsidRDefault="00F92E58" w14:paraId="67407E68" w14:textId="77777777">
      <w:pPr>
        <w:pStyle w:val="Heading2"/>
        <w:rPr>
          <w:rFonts w:ascii="Garamond" w:hAnsi="Garamond"/>
          <w:color w:val="ED7D31"/>
        </w:rPr>
      </w:pPr>
      <w:r w:rsidRPr="00655A4C">
        <w:rPr>
          <w:rFonts w:ascii="Garamond" w:hAnsi="Garamond"/>
          <w:color w:val="ED7D31"/>
        </w:rPr>
        <w:t xml:space="preserve">About NORC at the University of Chicago </w:t>
      </w:r>
    </w:p>
    <w:p w:rsidRPr="00655A4C" w:rsidR="00F92E58" w:rsidP="00F92E58" w:rsidRDefault="00F92E58" w14:paraId="303E3C4A" w14:textId="77777777">
      <w:pPr>
        <w:pStyle w:val="Default"/>
        <w:rPr>
          <w:rFonts w:ascii="Garamond" w:hAnsi="Garamond"/>
          <w:sz w:val="22"/>
          <w:szCs w:val="22"/>
        </w:rPr>
      </w:pPr>
      <w:r w:rsidRPr="00655A4C">
        <w:rPr>
          <w:rFonts w:ascii="Garamond" w:hAnsi="Garamond"/>
          <w:sz w:val="22"/>
          <w:szCs w:val="22"/>
        </w:rPr>
        <w:t>As one of the world’s foremost independent research institutions, NORC at the University of Chicago delivers objective data and meaningful analysis to help decision-makers and leading organizations make informed choices and identify new opportunities</w:t>
      </w:r>
      <w:r w:rsidRPr="00655A4C" w:rsidR="00D9362F">
        <w:rPr>
          <w:rFonts w:ascii="Garamond" w:hAnsi="Garamond"/>
          <w:sz w:val="22"/>
          <w:szCs w:val="22"/>
        </w:rPr>
        <w:t xml:space="preserve">. </w:t>
      </w:r>
      <w:r w:rsidRPr="00655A4C">
        <w:rPr>
          <w:rFonts w:ascii="Garamond" w:hAnsi="Garamond"/>
          <w:sz w:val="22"/>
          <w:szCs w:val="22"/>
        </w:rPr>
        <w:t>Since 1941, NORC has applied sophisticated methods and tools, innovative and cost-effective solutions, and the highest standards of scientific integrity and quality to conduct and advance research on critical issues</w:t>
      </w:r>
      <w:r w:rsidRPr="00655A4C" w:rsidR="00D9362F">
        <w:rPr>
          <w:rFonts w:ascii="Garamond" w:hAnsi="Garamond"/>
          <w:sz w:val="22"/>
          <w:szCs w:val="22"/>
        </w:rPr>
        <w:t xml:space="preserve">. </w:t>
      </w:r>
      <w:r w:rsidRPr="00655A4C">
        <w:rPr>
          <w:rFonts w:ascii="Garamond" w:hAnsi="Garamond"/>
          <w:sz w:val="22"/>
          <w:szCs w:val="22"/>
        </w:rPr>
        <w:t xml:space="preserve">Today, NORC expands on this tradition by partnering with government, business, and nonprofit clients to create deep insight across a broad range of topics and to disseminate useful knowledge throughout society. </w:t>
      </w:r>
    </w:p>
    <w:p w:rsidRPr="00655A4C" w:rsidR="00F92E58" w:rsidP="00F92E58" w:rsidRDefault="00F92E58" w14:paraId="5E9BBAEC" w14:textId="77777777">
      <w:pPr>
        <w:pStyle w:val="Default"/>
        <w:rPr>
          <w:rFonts w:ascii="Garamond" w:hAnsi="Garamond"/>
          <w:sz w:val="22"/>
          <w:szCs w:val="22"/>
        </w:rPr>
      </w:pPr>
    </w:p>
    <w:p w:rsidRPr="00655A4C" w:rsidR="00F92E58" w:rsidP="00F92E58" w:rsidRDefault="00F92E58" w14:paraId="175ED9FC" w14:textId="77777777">
      <w:r w:rsidRPr="00655A4C">
        <w:t>Headquartered in downtown Chicago, NORC works in over 40 countries around the world, with additional offices on the University of Chicago campus, the DC metro area, Atlanta, Boston, and San Francisco.</w:t>
      </w:r>
    </w:p>
    <w:p w:rsidRPr="00655A4C" w:rsidR="00EE19F4" w:rsidP="00B75D3D" w:rsidRDefault="00EE19F4" w14:paraId="2CDD61C1" w14:textId="77777777">
      <w:pPr>
        <w:pStyle w:val="Heading2"/>
        <w:rPr>
          <w:rFonts w:ascii="Garamond" w:hAnsi="Garamond"/>
          <w:color w:val="ED7D31"/>
        </w:rPr>
      </w:pPr>
      <w:r w:rsidRPr="00655A4C">
        <w:rPr>
          <w:rFonts w:ascii="Garamond" w:hAnsi="Garamond"/>
          <w:color w:val="ED7D31"/>
        </w:rPr>
        <w:t>ADDITIONAL RESOURCES</w:t>
      </w:r>
    </w:p>
    <w:p w:rsidRPr="00655A4C" w:rsidR="001441E8" w:rsidP="00F92E58" w:rsidRDefault="00B75D3D" w14:paraId="43FBEE59" w14:textId="77777777">
      <w:r w:rsidRPr="00655A4C">
        <w:t xml:space="preserve">To learn more about AmeriSpeak or to share an RFP, please contact AmeriSpeak at </w:t>
      </w:r>
      <w:hyperlink w:history="1" r:id="rId10">
        <w:r w:rsidRPr="00655A4C">
          <w:rPr>
            <w:rStyle w:val="Hyperlink"/>
          </w:rPr>
          <w:t>AmeriSpeak-BD@norc.org</w:t>
        </w:r>
      </w:hyperlink>
      <w:r w:rsidRPr="00655A4C" w:rsidR="00D9362F">
        <w:t xml:space="preserve">. </w:t>
      </w:r>
      <w:r w:rsidRPr="00655A4C">
        <w:t xml:space="preserve">Information about AmeriSpeak capabilities and research papers are available online at </w:t>
      </w:r>
      <w:r w:rsidRPr="00655A4C">
        <w:rPr>
          <w:rStyle w:val="Hyperlink"/>
        </w:rPr>
        <w:t>AmeriSpeak.NORC.org</w:t>
      </w:r>
      <w:r w:rsidRPr="00655A4C">
        <w:t>.</w:t>
      </w:r>
    </w:p>
    <w:p w:rsidRPr="00655A4C" w:rsidR="001441E8" w:rsidP="001441E8" w:rsidRDefault="001441E8" w14:paraId="32F39FE1" w14:textId="77777777">
      <w:pPr>
        <w:rPr>
          <w:color w:val="1F497D"/>
        </w:rPr>
      </w:pPr>
    </w:p>
    <w:p w:rsidRPr="004F656A" w:rsidR="001441E8" w:rsidP="00F92E58" w:rsidRDefault="001441E8" w14:paraId="47494285" w14:textId="77777777">
      <w:bookmarkStart w:name="_GoBack" w:id="0"/>
      <w:bookmarkEnd w:id="0"/>
    </w:p>
    <w:sectPr w:rsidRPr="004F656A" w:rsidR="001441E8" w:rsidSect="00E37AB7">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88731" w14:textId="77777777" w:rsidR="009839D5" w:rsidRDefault="009839D5" w:rsidP="00901119">
      <w:r>
        <w:separator/>
      </w:r>
    </w:p>
  </w:endnote>
  <w:endnote w:type="continuationSeparator" w:id="0">
    <w:p w14:paraId="28C80BD6" w14:textId="77777777" w:rsidR="009839D5" w:rsidRDefault="009839D5" w:rsidP="0090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0F240" w14:textId="77777777" w:rsidR="00424B5A" w:rsidRDefault="00424B5A">
    <w:pPr>
      <w:pStyle w:val="Footer"/>
      <w:jc w:val="right"/>
    </w:pPr>
    <w:r>
      <w:fldChar w:fldCharType="begin"/>
    </w:r>
    <w:r>
      <w:instrText xml:space="preserve"> PAGE   \* MERGEFORMAT </w:instrText>
    </w:r>
    <w:r>
      <w:fldChar w:fldCharType="separate"/>
    </w:r>
    <w:r w:rsidR="007573F1">
      <w:rPr>
        <w:noProof/>
      </w:rPr>
      <w:t>6</w:t>
    </w:r>
    <w:r>
      <w:rPr>
        <w:noProof/>
      </w:rPr>
      <w:fldChar w:fldCharType="end"/>
    </w:r>
  </w:p>
  <w:p w14:paraId="019A4CB5" w14:textId="77777777" w:rsidR="00424B5A" w:rsidRDefault="00424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0F19E" w14:textId="77777777" w:rsidR="009839D5" w:rsidRDefault="009839D5" w:rsidP="00901119">
      <w:r>
        <w:separator/>
      </w:r>
    </w:p>
  </w:footnote>
  <w:footnote w:type="continuationSeparator" w:id="0">
    <w:p w14:paraId="226B50A7" w14:textId="77777777" w:rsidR="009839D5" w:rsidRDefault="009839D5" w:rsidP="00901119">
      <w:r>
        <w:continuationSeparator/>
      </w:r>
    </w:p>
  </w:footnote>
  <w:footnote w:id="1">
    <w:p w14:paraId="2413DF9F" w14:textId="77777777" w:rsidR="00424B5A" w:rsidRPr="00E8712E" w:rsidRDefault="00424B5A">
      <w:pPr>
        <w:pStyle w:val="FootnoteText"/>
        <w:rPr>
          <w:rFonts w:ascii="Garamond" w:hAnsi="Garamond"/>
        </w:rPr>
      </w:pPr>
      <w:r w:rsidRPr="00E8712E">
        <w:rPr>
          <w:rStyle w:val="FootnoteReference"/>
          <w:rFonts w:ascii="Garamond" w:hAnsi="Garamond"/>
        </w:rPr>
        <w:footnoteRef/>
      </w:r>
      <w:r w:rsidRPr="00E8712E">
        <w:rPr>
          <w:rFonts w:ascii="Garamond" w:hAnsi="Garamond"/>
        </w:rPr>
        <w:t xml:space="preserve"> </w:t>
      </w:r>
      <w:r w:rsidRPr="00197CE2">
        <w:rPr>
          <w:rFonts w:ascii="Garamond" w:hAnsi="Garamond"/>
        </w:rPr>
        <w:t>For more information</w:t>
      </w:r>
      <w:r w:rsidR="00D9362F">
        <w:rPr>
          <w:rFonts w:ascii="Garamond" w:hAnsi="Garamond"/>
        </w:rPr>
        <w:t xml:space="preserve"> about </w:t>
      </w:r>
      <w:r w:rsidR="00D9362F" w:rsidRPr="00D9362F">
        <w:rPr>
          <w:rFonts w:ascii="Garamond" w:hAnsi="Garamond"/>
        </w:rPr>
        <w:t>TrueNorth</w:t>
      </w:r>
      <w:r w:rsidRPr="00D9362F">
        <w:rPr>
          <w:rFonts w:ascii="Garamond" w:hAnsi="Garamond"/>
        </w:rPr>
        <w:t>, see</w:t>
      </w:r>
      <w:r w:rsidR="00D9362F" w:rsidRPr="00D9362F">
        <w:rPr>
          <w:rFonts w:ascii="Garamond" w:hAnsi="Garamond"/>
        </w:rPr>
        <w:t xml:space="preserve"> </w:t>
      </w:r>
      <w:hyperlink r:id="rId1" w:history="1">
        <w:r w:rsidR="00D9362F" w:rsidRPr="00D9362F">
          <w:rPr>
            <w:rStyle w:val="Hyperlink"/>
            <w:rFonts w:ascii="Garamond" w:hAnsi="Garamond"/>
          </w:rPr>
          <w:t>http://amerispeak.norc.org/our-capabilities/Pages/TrueNorth.aspx</w:t>
        </w:r>
      </w:hyperlink>
      <w:r w:rsidR="00D9362F" w:rsidRPr="00D9362F">
        <w:rPr>
          <w:rFonts w:ascii="Garamond" w:hAnsi="Garamond"/>
        </w:rPr>
        <w:t>.</w:t>
      </w:r>
      <w:r>
        <w:rPr>
          <w:rFonts w:ascii="Garamond" w:hAnsi="Garamond"/>
        </w:rPr>
        <w:t xml:space="preserve"> </w:t>
      </w:r>
    </w:p>
  </w:footnote>
  <w:footnote w:id="2">
    <w:p w14:paraId="2976A2BE" w14:textId="77777777" w:rsidR="00424B5A" w:rsidRPr="00C820E6" w:rsidRDefault="00424B5A">
      <w:pPr>
        <w:pStyle w:val="FootnoteText"/>
        <w:rPr>
          <w:rFonts w:ascii="Garamond" w:hAnsi="Garamond"/>
          <w:lang w:eastAsia="zh-CN"/>
        </w:rPr>
      </w:pPr>
      <w:r w:rsidRPr="00C820E6">
        <w:rPr>
          <w:rStyle w:val="FootnoteReference"/>
          <w:rFonts w:ascii="Garamond" w:hAnsi="Garamond"/>
        </w:rPr>
        <w:footnoteRef/>
      </w:r>
      <w:r w:rsidRPr="00C820E6">
        <w:rPr>
          <w:rFonts w:ascii="Garamond" w:hAnsi="Garamond"/>
        </w:rPr>
        <w:t xml:space="preserve"> A sample of 5 segments was selected from each of the 28 non-urban NFAs. However, 2 sample segments were later subsampled out in Montana due to cost. </w:t>
      </w:r>
    </w:p>
  </w:footnote>
  <w:footnote w:id="3">
    <w:p w14:paraId="474E0D8B" w14:textId="77777777" w:rsidR="00C54448" w:rsidRDefault="00C54448">
      <w:pPr>
        <w:pStyle w:val="FootnoteText"/>
      </w:pPr>
      <w:r>
        <w:rPr>
          <w:rStyle w:val="FootnoteReference"/>
        </w:rPr>
        <w:footnoteRef/>
      </w:r>
      <w:r>
        <w:t xml:space="preserve"> </w:t>
      </w:r>
      <w:r w:rsidRPr="007436FE">
        <w:rPr>
          <w:rFonts w:ascii="Garamond" w:hAnsi="Garamond"/>
        </w:rPr>
        <w:t>Vote</w:t>
      </w:r>
      <w:r w:rsidRPr="00C54448">
        <w:rPr>
          <w:rFonts w:ascii="Garamond" w:hAnsi="Garamond"/>
        </w:rPr>
        <w:t xml:space="preserve">r registration files were used </w:t>
      </w:r>
      <w:r w:rsidR="00E63C45">
        <w:rPr>
          <w:rFonts w:ascii="Garamond" w:hAnsi="Garamond"/>
        </w:rPr>
        <w:t>as supplemental sample source for the AmeriSpeak Young Adult Panel.</w:t>
      </w:r>
    </w:p>
  </w:footnote>
  <w:footnote w:id="4">
    <w:p w14:paraId="186A6205" w14:textId="77777777" w:rsidR="00424B5A" w:rsidRPr="00453E7F" w:rsidRDefault="00424B5A" w:rsidP="00C820E6">
      <w:r>
        <w:rPr>
          <w:rStyle w:val="FootnoteReference"/>
        </w:rPr>
        <w:footnoteRef/>
      </w:r>
      <w:r w:rsidRPr="00E8712E">
        <w:t xml:space="preserve"> </w:t>
      </w:r>
      <w:r>
        <w:t xml:space="preserve">A </w:t>
      </w:r>
      <w:r w:rsidRPr="00E8712E">
        <w:t>small fraction of initially nonresponding housing units are not eligible for NRFU</w:t>
      </w:r>
      <w:r>
        <w:t>, including “hard refusals” and those with</w:t>
      </w:r>
      <w:r w:rsidRPr="00E8712E">
        <w:t xml:space="preserve"> an appointment for a call back from NORC.</w:t>
      </w:r>
      <w:r w:rsidRPr="008A4AFF">
        <w:t xml:space="preserve"> </w:t>
      </w:r>
    </w:p>
  </w:footnote>
  <w:footnote w:id="5">
    <w:p w14:paraId="443F0919" w14:textId="77777777" w:rsidR="00424B5A" w:rsidRPr="00C820E6" w:rsidRDefault="00424B5A" w:rsidP="00453E7F">
      <w:pPr>
        <w:pStyle w:val="FootnoteText"/>
        <w:rPr>
          <w:rFonts w:ascii="Garamond" w:hAnsi="Garamond"/>
        </w:rPr>
      </w:pPr>
      <w:r w:rsidRPr="00C820E6">
        <w:rPr>
          <w:rStyle w:val="FootnoteReference"/>
          <w:rFonts w:ascii="Garamond" w:hAnsi="Garamond"/>
        </w:rPr>
        <w:footnoteRef/>
      </w:r>
      <w:r w:rsidRPr="00C820E6">
        <w:rPr>
          <w:rFonts w:ascii="Garamond" w:hAnsi="Garamond"/>
        </w:rPr>
        <w:t xml:space="preserve"> A young adult flagged household refers to a household where MSG or TargetSmart indicated there was an 18-24 year old adult in the household. In 2016 and 2017, a slightly different definition was used, and a young adult flagged household was defined as having an 18-34 year old adult in the household by MSG or 18-30 year old adult by TargetSmart.</w:t>
      </w:r>
    </w:p>
  </w:footnote>
  <w:footnote w:id="6">
    <w:p w14:paraId="414CCF29" w14:textId="77777777" w:rsidR="00424B5A" w:rsidRPr="00C820E6" w:rsidRDefault="00424B5A" w:rsidP="00B920C0">
      <w:pPr>
        <w:pStyle w:val="FootnoteText"/>
        <w:rPr>
          <w:rFonts w:ascii="Garamond" w:hAnsi="Garamond"/>
        </w:rPr>
      </w:pPr>
      <w:r w:rsidRPr="00C820E6">
        <w:rPr>
          <w:rStyle w:val="FootnoteReference"/>
          <w:rFonts w:ascii="Garamond" w:hAnsi="Garamond"/>
        </w:rPr>
        <w:footnoteRef/>
      </w:r>
      <w:r w:rsidRPr="00C820E6">
        <w:rPr>
          <w:rFonts w:ascii="Garamond" w:hAnsi="Garamond"/>
        </w:rPr>
        <w:t xml:space="preserve"> A Hispanic flagged household refers to a household where MSG or TargetSmart indicated the presence of a Hispanic adult in the household.</w:t>
      </w:r>
    </w:p>
  </w:footnote>
  <w:footnote w:id="7">
    <w:p w14:paraId="3AB431E2" w14:textId="77777777" w:rsidR="00424B5A" w:rsidRPr="00C820E6" w:rsidRDefault="00424B5A" w:rsidP="00B920C0">
      <w:pPr>
        <w:pStyle w:val="FootnoteText"/>
        <w:rPr>
          <w:rFonts w:ascii="Garamond" w:hAnsi="Garamond"/>
        </w:rPr>
      </w:pPr>
      <w:r w:rsidRPr="00C820E6">
        <w:rPr>
          <w:rStyle w:val="FootnoteReference"/>
          <w:rFonts w:ascii="Garamond" w:hAnsi="Garamond"/>
        </w:rPr>
        <w:footnoteRef/>
      </w:r>
      <w:r w:rsidRPr="00C820E6">
        <w:rPr>
          <w:rFonts w:ascii="Garamond" w:hAnsi="Garamond"/>
        </w:rPr>
        <w:t xml:space="preserve"> A non-Hispanic Black flagged household refers to a household where MSG or TargetSmart indicated the presence of a non-Hispanic Black adult in the household.</w:t>
      </w:r>
    </w:p>
  </w:footnote>
  <w:footnote w:id="8">
    <w:p w14:paraId="179E20B6" w14:textId="287ED0DC" w:rsidR="0001478D" w:rsidRDefault="0001478D">
      <w:pPr>
        <w:pStyle w:val="FootnoteText"/>
      </w:pPr>
      <w:r w:rsidRPr="007573F1">
        <w:rPr>
          <w:rStyle w:val="FootnoteReference"/>
          <w:rFonts w:ascii="Garamond" w:hAnsi="Garamond"/>
        </w:rPr>
        <w:footnoteRef/>
      </w:r>
      <w:r w:rsidRPr="007573F1">
        <w:rPr>
          <w:rStyle w:val="FootnoteReference"/>
          <w:rFonts w:ascii="Garamond" w:hAnsi="Garamond"/>
        </w:rPr>
        <w:t xml:space="preserve"> </w:t>
      </w:r>
      <w:r>
        <w:t>S</w:t>
      </w:r>
      <w:r w:rsidRPr="007573F1">
        <w:rPr>
          <w:rFonts w:ascii="Garamond" w:hAnsi="Garamond"/>
        </w:rPr>
        <w:t>ee</w:t>
      </w:r>
      <w:r>
        <w:t xml:space="preserve"> </w:t>
      </w:r>
      <w:hyperlink r:id="rId2" w:history="1">
        <w:r w:rsidRPr="007573F1">
          <w:rPr>
            <w:rFonts w:ascii="Garamond" w:hAnsi="Garamond"/>
          </w:rPr>
          <w:t>http://amerispeak.norc.org/research/Pages/WhitePaper_ResponseRateCalculation_AmeriSpeak_2016.pdf</w:t>
        </w:r>
      </w:hyperlink>
    </w:p>
  </w:footnote>
  <w:footnote w:id="9">
    <w:p w14:paraId="2DEA8AB6" w14:textId="77777777" w:rsidR="00424B5A" w:rsidRPr="00E8712E" w:rsidRDefault="00424B5A" w:rsidP="00B23B0D">
      <w:pPr>
        <w:pStyle w:val="FootnoteText"/>
        <w:rPr>
          <w:rFonts w:ascii="Garamond" w:hAnsi="Garamond"/>
        </w:rPr>
      </w:pPr>
      <w:r w:rsidRPr="00E8712E">
        <w:rPr>
          <w:rStyle w:val="FootnoteReference"/>
          <w:rFonts w:ascii="Garamond" w:hAnsi="Garamond"/>
        </w:rPr>
        <w:footnoteRef/>
      </w:r>
      <w:r w:rsidRPr="00E8712E">
        <w:rPr>
          <w:rFonts w:ascii="Garamond" w:hAnsi="Garamond"/>
        </w:rPr>
        <w:t xml:space="preserve"> A properly calculated </w:t>
      </w:r>
      <w:r>
        <w:rPr>
          <w:rFonts w:ascii="Garamond" w:hAnsi="Garamond"/>
        </w:rPr>
        <w:t xml:space="preserve">cumulative </w:t>
      </w:r>
      <w:r w:rsidRPr="00E8712E">
        <w:rPr>
          <w:rFonts w:ascii="Garamond" w:hAnsi="Garamond"/>
        </w:rPr>
        <w:t>AAPOR response rate for panel-based research takes into account all sources of non-response at each stage of the panel recruitment, management, and survey administration process</w:t>
      </w:r>
      <w:r w:rsidR="005D69FC">
        <w:rPr>
          <w:rFonts w:ascii="Garamond" w:hAnsi="Garamond"/>
        </w:rPr>
        <w:t xml:space="preserve"> (see </w:t>
      </w:r>
      <w:hyperlink r:id="rId3" w:history="1">
        <w:r w:rsidR="005D69FC" w:rsidRPr="00A21906">
          <w:rPr>
            <w:rStyle w:val="Hyperlink"/>
            <w:rFonts w:ascii="Garamond" w:hAnsi="Garamond"/>
          </w:rPr>
          <w:t>https://www.aapor.org/AAPOR_Main/media/publications/Standard-Definitions20169theditionfinal.pdf</w:t>
        </w:r>
      </w:hyperlink>
      <w:r w:rsidR="005D69FC">
        <w:rPr>
          <w:rFonts w:ascii="Garamond" w:hAnsi="Garamond"/>
        </w:rPr>
        <w:t>, page 48-9)</w:t>
      </w:r>
      <w:r w:rsidR="00D9362F">
        <w:rPr>
          <w:rFonts w:ascii="Garamond" w:hAnsi="Garamond"/>
        </w:rPr>
        <w:t xml:space="preserve">. </w:t>
      </w:r>
      <w:r w:rsidRPr="00E8712E">
        <w:rPr>
          <w:rFonts w:ascii="Garamond" w:hAnsi="Garamond"/>
        </w:rPr>
        <w:t xml:space="preserve">A common misapplication of the term “response rate” in online panel surveys is </w:t>
      </w:r>
      <w:r>
        <w:rPr>
          <w:rFonts w:ascii="Garamond" w:hAnsi="Garamond"/>
        </w:rPr>
        <w:t xml:space="preserve">to </w:t>
      </w:r>
      <w:r w:rsidRPr="00E8712E">
        <w:rPr>
          <w:rFonts w:ascii="Garamond" w:hAnsi="Garamond"/>
        </w:rPr>
        <w:t>represent the survey-specific cooperation rate as the “</w:t>
      </w:r>
      <w:r>
        <w:rPr>
          <w:rFonts w:ascii="Garamond" w:hAnsi="Garamond"/>
        </w:rPr>
        <w:t xml:space="preserve">cumulative </w:t>
      </w:r>
      <w:r w:rsidRPr="00E8712E">
        <w:rPr>
          <w:rFonts w:ascii="Garamond" w:hAnsi="Garamond"/>
        </w:rPr>
        <w:t xml:space="preserve">survey response rate.” </w:t>
      </w:r>
      <w:r w:rsidR="00D9362F" w:rsidRPr="00F6359A">
        <w:rPr>
          <w:rFonts w:ascii="Garamond" w:hAnsi="Garamond"/>
          <w:i/>
        </w:rPr>
        <w:t>See</w:t>
      </w:r>
      <w:r w:rsidR="00D9362F" w:rsidRPr="00E8712E">
        <w:rPr>
          <w:rFonts w:ascii="Garamond" w:hAnsi="Garamond"/>
        </w:rPr>
        <w:t xml:space="preserve"> “Response Rate Calculation Methodology for Recruitment of a Two-Phase Probability-Based Panel: The Case of AmeriSpeak” authored by Robert Montgomery, J. Michael Dennis, N</w:t>
      </w:r>
      <w:r w:rsidR="00D9362F">
        <w:rPr>
          <w:rFonts w:ascii="Garamond" w:hAnsi="Garamond"/>
        </w:rPr>
        <w:t>.</w:t>
      </w:r>
      <w:r w:rsidR="00D9362F" w:rsidRPr="00E8712E">
        <w:rPr>
          <w:rFonts w:ascii="Garamond" w:hAnsi="Garamond"/>
        </w:rPr>
        <w:t xml:space="preserve"> Ganesh</w:t>
      </w:r>
      <w:r w:rsidR="00D9362F">
        <w:rPr>
          <w:rFonts w:ascii="Garamond" w:hAnsi="Garamond"/>
        </w:rPr>
        <w:t xml:space="preserve">. </w:t>
      </w:r>
      <w:r w:rsidR="00D9362F" w:rsidRPr="00E8712E">
        <w:rPr>
          <w:rFonts w:ascii="Garamond" w:hAnsi="Garamond"/>
        </w:rPr>
        <w:t xml:space="preserve">The paper is available at </w:t>
      </w:r>
      <w:hyperlink r:id="rId4" w:history="1">
        <w:r w:rsidR="00D9362F" w:rsidRPr="00E8712E">
          <w:rPr>
            <w:rStyle w:val="Hyperlink"/>
            <w:rFonts w:ascii="Garamond" w:hAnsi="Garamond"/>
          </w:rPr>
          <w:t>https://amerispeak.norc.org/research/</w:t>
        </w:r>
      </w:hyperlink>
      <w:r w:rsidR="00D9362F" w:rsidRPr="00E8712E">
        <w:rPr>
          <w:rFonts w:ascii="Garamond" w:hAnsi="Garamond"/>
        </w:rPr>
        <w:t>.</w:t>
      </w:r>
    </w:p>
  </w:footnote>
  <w:footnote w:id="10">
    <w:p w14:paraId="19D83944" w14:textId="77777777" w:rsidR="00424B5A" w:rsidRDefault="00424B5A" w:rsidP="00B23B0D">
      <w:pPr>
        <w:pStyle w:val="FootnoteText"/>
      </w:pPr>
      <w:r>
        <w:rPr>
          <w:rStyle w:val="FootnoteReference"/>
        </w:rPr>
        <w:footnoteRef/>
      </w:r>
      <w:r>
        <w:t xml:space="preserve"> </w:t>
      </w:r>
      <w:r w:rsidRPr="00E8712E">
        <w:rPr>
          <w:rFonts w:ascii="Garamond" w:hAnsi="Garamond"/>
        </w:rPr>
        <w:t xml:space="preserve">The non-internet </w:t>
      </w:r>
      <w:r>
        <w:rPr>
          <w:rFonts w:ascii="Garamond" w:hAnsi="Garamond"/>
        </w:rPr>
        <w:t>households (</w:t>
      </w:r>
      <w:r w:rsidRPr="00E8712E">
        <w:rPr>
          <w:rFonts w:ascii="Garamond" w:hAnsi="Garamond"/>
        </w:rPr>
        <w:t>HHs</w:t>
      </w:r>
      <w:r>
        <w:rPr>
          <w:rFonts w:ascii="Garamond" w:hAnsi="Garamond"/>
        </w:rPr>
        <w:t>)</w:t>
      </w:r>
      <w:r w:rsidRPr="00E8712E">
        <w:rPr>
          <w:rFonts w:ascii="Garamond" w:hAnsi="Garamond"/>
        </w:rPr>
        <w:t xml:space="preserve"> are those </w:t>
      </w:r>
      <w:r>
        <w:rPr>
          <w:rFonts w:ascii="Garamond" w:hAnsi="Garamond"/>
        </w:rPr>
        <w:t>that</w:t>
      </w:r>
      <w:r w:rsidRPr="00E8712E">
        <w:rPr>
          <w:rFonts w:ascii="Garamond" w:hAnsi="Garamond"/>
        </w:rPr>
        <w:t xml:space="preserve"> </w:t>
      </w:r>
      <w:r>
        <w:rPr>
          <w:rFonts w:ascii="Garamond" w:hAnsi="Garamond"/>
        </w:rPr>
        <w:t>do not select “</w:t>
      </w:r>
      <w:r w:rsidRPr="00622641">
        <w:rPr>
          <w:rFonts w:ascii="Garamond" w:hAnsi="Garamond"/>
        </w:rPr>
        <w:t>High-speed, broadband internet at home (such as cable or DSL)</w:t>
      </w:r>
      <w:r>
        <w:rPr>
          <w:rFonts w:ascii="Garamond" w:hAnsi="Garamond"/>
        </w:rPr>
        <w:t>” or “</w:t>
      </w:r>
      <w:r w:rsidRPr="00622641">
        <w:rPr>
          <w:rFonts w:ascii="Garamond" w:hAnsi="Garamond"/>
        </w:rPr>
        <w:t>Dial-up internet at home</w:t>
      </w:r>
      <w:r>
        <w:rPr>
          <w:rFonts w:ascii="Garamond" w:hAnsi="Garamond"/>
        </w:rPr>
        <w:t>” response options when they are asked “</w:t>
      </w:r>
      <w:r w:rsidRPr="00622641">
        <w:rPr>
          <w:rFonts w:ascii="Garamond" w:hAnsi="Garamond"/>
        </w:rPr>
        <w:t>What kind of internet access do you hav</w:t>
      </w:r>
      <w:r>
        <w:rPr>
          <w:rFonts w:ascii="Garamond" w:hAnsi="Garamond"/>
        </w:rPr>
        <w:t>e? Please select all that apply” item in the recruitment survey</w:t>
      </w:r>
      <w:r w:rsidR="00D9362F">
        <w:rPr>
          <w:rFonts w:ascii="Garamond" w:hAnsi="Garamond"/>
        </w:rPr>
        <w:t xml:space="preserve">. </w:t>
      </w:r>
      <w:r>
        <w:rPr>
          <w:rFonts w:ascii="Garamond" w:hAnsi="Garamond"/>
        </w:rPr>
        <w:t xml:space="preserve">The non-internet HHs include those that only use internet on a cell connection or mobile phone. </w:t>
      </w:r>
    </w:p>
  </w:footnote>
  <w:footnote w:id="11">
    <w:p w14:paraId="1719B4AE" w14:textId="77777777" w:rsidR="00424B5A" w:rsidRDefault="00424B5A" w:rsidP="00B23B0D">
      <w:pPr>
        <w:pStyle w:val="FootnoteText"/>
      </w:pPr>
      <w:r>
        <w:rPr>
          <w:rStyle w:val="FootnoteReference"/>
        </w:rPr>
        <w:footnoteRef/>
      </w:r>
      <w:r>
        <w:t xml:space="preserve"> </w:t>
      </w:r>
      <w:r>
        <w:rPr>
          <w:rFonts w:ascii="Garamond" w:hAnsi="Garamond"/>
        </w:rPr>
        <w:t>For transparency purposes, unweighted percentages are presented in this section</w:t>
      </w:r>
      <w:r w:rsidR="00D9362F">
        <w:rPr>
          <w:rFonts w:ascii="Garamond" w:hAnsi="Garamond"/>
        </w:rPr>
        <w:t xml:space="preserve">. </w:t>
      </w:r>
      <w:r>
        <w:rPr>
          <w:rFonts w:ascii="Garamond" w:hAnsi="Garamond"/>
        </w:rPr>
        <w:t>Hence, these results do not take into account selection probabilities</w:t>
      </w:r>
      <w:r w:rsidR="00D9362F">
        <w:rPr>
          <w:rFonts w:ascii="Garamond" w:hAnsi="Garamond"/>
        </w:rPr>
        <w:t xml:space="preserve">. </w:t>
      </w:r>
      <w:r>
        <w:rPr>
          <w:rFonts w:ascii="Garamond" w:hAnsi="Garamond"/>
        </w:rPr>
        <w:t xml:space="preserve">The base weighted distributions that take </w:t>
      </w:r>
      <w:r w:rsidRPr="00E8712E">
        <w:rPr>
          <w:rFonts w:ascii="Garamond" w:hAnsi="Garamond"/>
        </w:rPr>
        <w:t>into account selection probabilities</w:t>
      </w:r>
      <w:r>
        <w:rPr>
          <w:rFonts w:ascii="Garamond" w:hAnsi="Garamond"/>
        </w:rPr>
        <w:t xml:space="preserve"> can be provided upon request</w:t>
      </w:r>
      <w:r w:rsidR="00D9362F">
        <w:rPr>
          <w:rFonts w:ascii="Garamond" w:hAnsi="Garamond"/>
        </w:rPr>
        <w:t xml:space="preserve">. </w:t>
      </w:r>
      <w:r>
        <w:rPr>
          <w:rFonts w:ascii="Garamond" w:hAnsi="Garamond"/>
        </w:rPr>
        <w:t xml:space="preserve"> </w:t>
      </w:r>
      <w:r>
        <w:t xml:space="preserve"> </w:t>
      </w:r>
    </w:p>
  </w:footnote>
  <w:footnote w:id="12">
    <w:p w14:paraId="50353BEB" w14:textId="77777777" w:rsidR="00424B5A" w:rsidRPr="00D03ACD" w:rsidRDefault="00424B5A" w:rsidP="004F3D26">
      <w:pPr>
        <w:pStyle w:val="FootnoteText"/>
        <w:rPr>
          <w:rFonts w:ascii="Garamond" w:hAnsi="Garamond"/>
        </w:rPr>
      </w:pPr>
      <w:r w:rsidRPr="00D03ACD">
        <w:rPr>
          <w:rStyle w:val="FootnoteReference"/>
          <w:rFonts w:ascii="Garamond" w:hAnsi="Garamond"/>
        </w:rPr>
        <w:footnoteRef/>
      </w:r>
      <w:r w:rsidRPr="00D03ACD">
        <w:rPr>
          <w:rFonts w:ascii="Garamond" w:hAnsi="Garamond"/>
        </w:rPr>
        <w:t xml:space="preserve"> </w:t>
      </w:r>
      <w:r w:rsidRPr="00F6359A">
        <w:rPr>
          <w:rFonts w:ascii="Garamond" w:hAnsi="Garamond"/>
          <w:i/>
        </w:rPr>
        <w:t>See</w:t>
      </w:r>
      <w:r w:rsidRPr="00D03ACD">
        <w:rPr>
          <w:rFonts w:ascii="Garamond" w:hAnsi="Garamond"/>
        </w:rPr>
        <w:t xml:space="preserve"> “</w:t>
      </w:r>
      <w:r w:rsidRPr="00295F24">
        <w:rPr>
          <w:rFonts w:ascii="Garamond" w:hAnsi="Garamond"/>
        </w:rPr>
        <w:t>The Undercounted</w:t>
      </w:r>
      <w:r>
        <w:rPr>
          <w:rFonts w:ascii="Garamond" w:hAnsi="Garamond"/>
        </w:rPr>
        <w:t xml:space="preserve">: </w:t>
      </w:r>
      <w:r w:rsidRPr="00295F24">
        <w:rPr>
          <w:rFonts w:ascii="Garamond" w:hAnsi="Garamond"/>
        </w:rPr>
        <w:t>Measuring the Impact of ‘Nonresponse Follow-up’ on Research Data</w:t>
      </w:r>
      <w:r>
        <w:rPr>
          <w:rFonts w:ascii="Garamond" w:hAnsi="Garamond"/>
        </w:rPr>
        <w:t xml:space="preserve"> and Outcome Measures</w:t>
      </w:r>
      <w:r w:rsidRPr="00D03ACD">
        <w:rPr>
          <w:rFonts w:ascii="Garamond" w:hAnsi="Garamond"/>
        </w:rPr>
        <w:t xml:space="preserve">” </w:t>
      </w:r>
      <w:r w:rsidRPr="005E26B4">
        <w:rPr>
          <w:rFonts w:ascii="Garamond" w:hAnsi="Garamond"/>
        </w:rPr>
        <w:t xml:space="preserve">authored by </w:t>
      </w:r>
      <w:r w:rsidRPr="00D03ACD">
        <w:rPr>
          <w:rFonts w:ascii="Garamond" w:hAnsi="Garamond"/>
        </w:rPr>
        <w:t>Ipek Bilgen, J. Michael Dennis, N</w:t>
      </w:r>
      <w:r>
        <w:rPr>
          <w:rFonts w:ascii="Garamond" w:hAnsi="Garamond"/>
        </w:rPr>
        <w:t>.</w:t>
      </w:r>
      <w:r w:rsidRPr="00D03ACD">
        <w:rPr>
          <w:rFonts w:ascii="Garamond" w:hAnsi="Garamond"/>
        </w:rPr>
        <w:t xml:space="preserve"> Ganesh</w:t>
      </w:r>
      <w:r w:rsidR="00D9362F">
        <w:rPr>
          <w:rFonts w:ascii="Garamond" w:hAnsi="Garamond"/>
        </w:rPr>
        <w:t xml:space="preserve">. </w:t>
      </w:r>
      <w:r w:rsidRPr="00D03ACD">
        <w:rPr>
          <w:rFonts w:ascii="Garamond" w:hAnsi="Garamond"/>
        </w:rPr>
        <w:t xml:space="preserve">The paper </w:t>
      </w:r>
      <w:r>
        <w:rPr>
          <w:rFonts w:ascii="Garamond" w:hAnsi="Garamond"/>
        </w:rPr>
        <w:t>will be soon</w:t>
      </w:r>
      <w:r w:rsidRPr="00D03ACD">
        <w:rPr>
          <w:rFonts w:ascii="Garamond" w:hAnsi="Garamond"/>
        </w:rPr>
        <w:t xml:space="preserve"> available at </w:t>
      </w:r>
      <w:hyperlink r:id="rId5" w:history="1">
        <w:r w:rsidRPr="00D03ACD">
          <w:rPr>
            <w:rStyle w:val="Hyperlink"/>
            <w:rFonts w:ascii="Garamond" w:hAnsi="Garamond"/>
          </w:rPr>
          <w:t>https://amerispeak.norc.org/research/</w:t>
        </w:r>
      </w:hyperlink>
      <w:r>
        <w:rPr>
          <w:rFonts w:ascii="Garamond" w:hAnsi="Garamond"/>
        </w:rPr>
        <w:t>.</w:t>
      </w:r>
    </w:p>
  </w:footnote>
  <w:footnote w:id="13">
    <w:p w14:paraId="254895DE" w14:textId="77777777" w:rsidR="00424B5A" w:rsidRDefault="00424B5A" w:rsidP="009C5CDC">
      <w:pPr>
        <w:pStyle w:val="FootnoteText"/>
        <w:spacing w:after="60"/>
        <w:rPr>
          <w:rFonts w:ascii="Garamond" w:hAnsi="Garamond"/>
        </w:rPr>
      </w:pPr>
      <w:r w:rsidRPr="00D03ACD">
        <w:rPr>
          <w:rStyle w:val="FootnoteReference"/>
          <w:rFonts w:ascii="Garamond" w:hAnsi="Garamond"/>
        </w:rPr>
        <w:footnoteRef/>
      </w:r>
      <w:r w:rsidRPr="00D03ACD">
        <w:rPr>
          <w:rFonts w:ascii="Garamond" w:hAnsi="Garamond"/>
        </w:rPr>
        <w:t xml:space="preserve"> </w:t>
      </w:r>
      <w:r w:rsidRPr="00F6359A">
        <w:rPr>
          <w:rFonts w:ascii="Garamond" w:hAnsi="Garamond"/>
          <w:i/>
        </w:rPr>
        <w:t>See</w:t>
      </w:r>
      <w:r w:rsidRPr="00D03ACD">
        <w:rPr>
          <w:rFonts w:ascii="Garamond" w:hAnsi="Garamond"/>
        </w:rPr>
        <w:t xml:space="preserve"> “Nonresponse Follow-up Impact on AmeriSpeak Panel Sample Composition and Representativeness” authored by Ipek Bilgen, J. Michael Dennis, N</w:t>
      </w:r>
      <w:r>
        <w:rPr>
          <w:rFonts w:ascii="Garamond" w:hAnsi="Garamond"/>
        </w:rPr>
        <w:t>.</w:t>
      </w:r>
      <w:r w:rsidRPr="00D03ACD">
        <w:rPr>
          <w:rFonts w:ascii="Garamond" w:hAnsi="Garamond"/>
        </w:rPr>
        <w:t xml:space="preserve"> Ganesh</w:t>
      </w:r>
      <w:r w:rsidR="00D9362F">
        <w:rPr>
          <w:rFonts w:ascii="Garamond" w:hAnsi="Garamond"/>
        </w:rPr>
        <w:t xml:space="preserve">. </w:t>
      </w:r>
      <w:r w:rsidRPr="00D03ACD">
        <w:rPr>
          <w:rFonts w:ascii="Garamond" w:hAnsi="Garamond"/>
        </w:rPr>
        <w:t xml:space="preserve">The paper is available at </w:t>
      </w:r>
      <w:hyperlink r:id="rId6" w:history="1">
        <w:r w:rsidRPr="00D03ACD">
          <w:rPr>
            <w:rStyle w:val="Hyperlink"/>
            <w:rFonts w:ascii="Garamond" w:hAnsi="Garamond"/>
          </w:rPr>
          <w:t>https://amerispeak.norc.org/research/</w:t>
        </w:r>
      </w:hyperlink>
      <w:r w:rsidR="00792D4F">
        <w:rPr>
          <w:rFonts w:ascii="Garamond" w:hAnsi="Garamond"/>
        </w:rPr>
        <w:t>.</w:t>
      </w:r>
      <w:r>
        <w:rPr>
          <w:rFonts w:ascii="Garamond" w:hAnsi="Garamond"/>
        </w:rPr>
        <w:t xml:space="preserve"> </w:t>
      </w:r>
    </w:p>
    <w:p w14:paraId="6CAA23E9" w14:textId="77777777" w:rsidR="00424B5A" w:rsidRPr="00D03ACD" w:rsidRDefault="00424B5A" w:rsidP="009C5CDC">
      <w:pPr>
        <w:pStyle w:val="FootnoteText"/>
        <w:spacing w:after="60"/>
        <w:rPr>
          <w:rFonts w:ascii="Garamond" w:hAnsi="Garamon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2E67"/>
    <w:multiLevelType w:val="hybridMultilevel"/>
    <w:tmpl w:val="D3E81422"/>
    <w:lvl w:ilvl="0" w:tplc="04090019">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83F52D0"/>
    <w:multiLevelType w:val="hybridMultilevel"/>
    <w:tmpl w:val="734A5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FB2464"/>
    <w:multiLevelType w:val="hybridMultilevel"/>
    <w:tmpl w:val="50E26866"/>
    <w:lvl w:ilvl="0" w:tplc="42E0EB6E">
      <w:start w:val="1"/>
      <w:numFmt w:val="bullet"/>
      <w:pStyle w:val="NORCBullet3"/>
      <w:lvlText w:val="►"/>
      <w:lvlJc w:val="left"/>
      <w:pPr>
        <w:ind w:left="1440" w:hanging="360"/>
      </w:pPr>
      <w:rPr>
        <w:b w:val="0"/>
        <w:bCs w:val="0"/>
        <w:i w:val="0"/>
        <w:iCs w:val="0"/>
        <w:caps w:val="0"/>
        <w:smallCaps w:val="0"/>
        <w:strike w:val="0"/>
        <w:dstrike w:val="0"/>
        <w:noProof w:val="0"/>
        <w:vanish w:val="0"/>
        <w:color w:val="8AB3A4"/>
        <w:spacing w:val="0"/>
        <w:kern w:val="0"/>
        <w:position w:val="0"/>
        <w:sz w:val="18"/>
        <w:u w:val="none"/>
        <w:effect w:val="none"/>
        <w:vertAlign w:val="baseline"/>
        <w:em w:val="none"/>
        <w:specVanish w:val="0"/>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DE707BF"/>
    <w:multiLevelType w:val="hybridMultilevel"/>
    <w:tmpl w:val="DB46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0067D"/>
    <w:multiLevelType w:val="hybridMultilevel"/>
    <w:tmpl w:val="80B66680"/>
    <w:lvl w:ilvl="0" w:tplc="8DF0D94E">
      <w:start w:val="1"/>
      <w:numFmt w:val="bullet"/>
      <w:pStyle w:val="NORCBullet2"/>
      <w:lvlText w:val="●"/>
      <w:lvlJc w:val="left"/>
      <w:pPr>
        <w:ind w:left="1080" w:hanging="360"/>
      </w:pPr>
      <w:rPr>
        <w:b w:val="0"/>
        <w:bCs w:val="0"/>
        <w:i w:val="0"/>
        <w:iCs w:val="0"/>
        <w:caps w:val="0"/>
        <w:smallCaps w:val="0"/>
        <w:strike w:val="0"/>
        <w:dstrike w:val="0"/>
        <w:noProof w:val="0"/>
        <w:vanish w:val="0"/>
        <w:color w:val="8AB3A4"/>
        <w:spacing w:val="0"/>
        <w:kern w:val="0"/>
        <w:position w:val="0"/>
        <w:u w:val="none"/>
        <w:effect w:val="none"/>
        <w:vertAlign w:val="baseline"/>
        <w:em w:val="none"/>
        <w:specVanish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5C7C8B"/>
    <w:multiLevelType w:val="hybridMultilevel"/>
    <w:tmpl w:val="E69A685C"/>
    <w:lvl w:ilvl="0" w:tplc="F234633E">
      <w:start w:val="1"/>
      <w:numFmt w:val="bullet"/>
      <w:lvlText w:val="■"/>
      <w:lvlJc w:val="left"/>
      <w:pPr>
        <w:ind w:left="720" w:hanging="360"/>
      </w:pPr>
      <w:rPr>
        <w:rFonts w:ascii="Times New Roman" w:hAnsi="Times New Roman" w:cs="Times New Roman" w:hint="default"/>
        <w:color w:val="8AB3A4"/>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C5754F"/>
    <w:multiLevelType w:val="hybridMultilevel"/>
    <w:tmpl w:val="73E0E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5D5A00"/>
    <w:multiLevelType w:val="hybridMultilevel"/>
    <w:tmpl w:val="5BE25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C175530"/>
    <w:multiLevelType w:val="hybridMultilevel"/>
    <w:tmpl w:val="8FAC52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B3E"/>
    <w:rsid w:val="000029EF"/>
    <w:rsid w:val="0001478D"/>
    <w:rsid w:val="00024F02"/>
    <w:rsid w:val="00031452"/>
    <w:rsid w:val="00036DC7"/>
    <w:rsid w:val="000525B1"/>
    <w:rsid w:val="00066051"/>
    <w:rsid w:val="00074588"/>
    <w:rsid w:val="00081D25"/>
    <w:rsid w:val="00093049"/>
    <w:rsid w:val="00094ACE"/>
    <w:rsid w:val="000A60D4"/>
    <w:rsid w:val="000A6F13"/>
    <w:rsid w:val="000B1807"/>
    <w:rsid w:val="000B3309"/>
    <w:rsid w:val="000C008B"/>
    <w:rsid w:val="000D4930"/>
    <w:rsid w:val="000D581E"/>
    <w:rsid w:val="000E0896"/>
    <w:rsid w:val="000F2E84"/>
    <w:rsid w:val="001441E8"/>
    <w:rsid w:val="00155005"/>
    <w:rsid w:val="00173C76"/>
    <w:rsid w:val="00190A89"/>
    <w:rsid w:val="001932CE"/>
    <w:rsid w:val="0019765B"/>
    <w:rsid w:val="00197CE2"/>
    <w:rsid w:val="001A13B0"/>
    <w:rsid w:val="001B0707"/>
    <w:rsid w:val="001B7D0A"/>
    <w:rsid w:val="001D27C1"/>
    <w:rsid w:val="001E78BC"/>
    <w:rsid w:val="001F147B"/>
    <w:rsid w:val="001F4231"/>
    <w:rsid w:val="001F5B32"/>
    <w:rsid w:val="002109FB"/>
    <w:rsid w:val="002205E1"/>
    <w:rsid w:val="00257860"/>
    <w:rsid w:val="002835A2"/>
    <w:rsid w:val="00291EF6"/>
    <w:rsid w:val="00293542"/>
    <w:rsid w:val="00293673"/>
    <w:rsid w:val="00295F24"/>
    <w:rsid w:val="002B4C3E"/>
    <w:rsid w:val="002D2930"/>
    <w:rsid w:val="002E23E4"/>
    <w:rsid w:val="002E5459"/>
    <w:rsid w:val="003025DE"/>
    <w:rsid w:val="003071E4"/>
    <w:rsid w:val="00322326"/>
    <w:rsid w:val="003227F2"/>
    <w:rsid w:val="00323ACF"/>
    <w:rsid w:val="00327AB3"/>
    <w:rsid w:val="00330C92"/>
    <w:rsid w:val="00355455"/>
    <w:rsid w:val="00375756"/>
    <w:rsid w:val="00380E4B"/>
    <w:rsid w:val="003810A1"/>
    <w:rsid w:val="00390A04"/>
    <w:rsid w:val="003915C2"/>
    <w:rsid w:val="00397948"/>
    <w:rsid w:val="003A0C04"/>
    <w:rsid w:val="003A34B2"/>
    <w:rsid w:val="003B38D9"/>
    <w:rsid w:val="003B60DA"/>
    <w:rsid w:val="003C1436"/>
    <w:rsid w:val="003C5489"/>
    <w:rsid w:val="003F68BD"/>
    <w:rsid w:val="00401A03"/>
    <w:rsid w:val="00403C23"/>
    <w:rsid w:val="00404A81"/>
    <w:rsid w:val="00405ED3"/>
    <w:rsid w:val="004244D8"/>
    <w:rsid w:val="00424B5A"/>
    <w:rsid w:val="004264CE"/>
    <w:rsid w:val="004417A4"/>
    <w:rsid w:val="00442E9B"/>
    <w:rsid w:val="00447788"/>
    <w:rsid w:val="00447C9A"/>
    <w:rsid w:val="00453C46"/>
    <w:rsid w:val="00453E7F"/>
    <w:rsid w:val="004613A0"/>
    <w:rsid w:val="00482EC6"/>
    <w:rsid w:val="00483373"/>
    <w:rsid w:val="00484DC2"/>
    <w:rsid w:val="00486121"/>
    <w:rsid w:val="00487C11"/>
    <w:rsid w:val="00490357"/>
    <w:rsid w:val="004972E7"/>
    <w:rsid w:val="004A19B0"/>
    <w:rsid w:val="004A21A0"/>
    <w:rsid w:val="004A3EC5"/>
    <w:rsid w:val="004C44CC"/>
    <w:rsid w:val="004C4B92"/>
    <w:rsid w:val="004D4415"/>
    <w:rsid w:val="004D745A"/>
    <w:rsid w:val="004F2730"/>
    <w:rsid w:val="004F3564"/>
    <w:rsid w:val="004F3D26"/>
    <w:rsid w:val="004F656A"/>
    <w:rsid w:val="00510CB2"/>
    <w:rsid w:val="00511B11"/>
    <w:rsid w:val="00526E59"/>
    <w:rsid w:val="005430D5"/>
    <w:rsid w:val="00561D7B"/>
    <w:rsid w:val="00570942"/>
    <w:rsid w:val="00573572"/>
    <w:rsid w:val="005756DA"/>
    <w:rsid w:val="00586CD0"/>
    <w:rsid w:val="0059204B"/>
    <w:rsid w:val="005968FC"/>
    <w:rsid w:val="00596DE2"/>
    <w:rsid w:val="005B3052"/>
    <w:rsid w:val="005C48D4"/>
    <w:rsid w:val="005D5952"/>
    <w:rsid w:val="005D69FC"/>
    <w:rsid w:val="005F0982"/>
    <w:rsid w:val="005F7684"/>
    <w:rsid w:val="00604493"/>
    <w:rsid w:val="00613FD8"/>
    <w:rsid w:val="00621E65"/>
    <w:rsid w:val="00622641"/>
    <w:rsid w:val="00627023"/>
    <w:rsid w:val="00632EFD"/>
    <w:rsid w:val="006437D5"/>
    <w:rsid w:val="00644D6C"/>
    <w:rsid w:val="00644E83"/>
    <w:rsid w:val="00651ECF"/>
    <w:rsid w:val="00654212"/>
    <w:rsid w:val="00655A4C"/>
    <w:rsid w:val="0066463A"/>
    <w:rsid w:val="00670698"/>
    <w:rsid w:val="006955CA"/>
    <w:rsid w:val="006A5308"/>
    <w:rsid w:val="006B4A61"/>
    <w:rsid w:val="006D014A"/>
    <w:rsid w:val="006D2BCB"/>
    <w:rsid w:val="006D3FE2"/>
    <w:rsid w:val="006D74DC"/>
    <w:rsid w:val="006F5FE7"/>
    <w:rsid w:val="006F7662"/>
    <w:rsid w:val="00700E72"/>
    <w:rsid w:val="00704E15"/>
    <w:rsid w:val="00707A51"/>
    <w:rsid w:val="00735831"/>
    <w:rsid w:val="007362B4"/>
    <w:rsid w:val="00742D8F"/>
    <w:rsid w:val="007436FE"/>
    <w:rsid w:val="00745A91"/>
    <w:rsid w:val="007520F6"/>
    <w:rsid w:val="007563B4"/>
    <w:rsid w:val="007573F1"/>
    <w:rsid w:val="007640AB"/>
    <w:rsid w:val="00764448"/>
    <w:rsid w:val="00784B43"/>
    <w:rsid w:val="007857C0"/>
    <w:rsid w:val="0079049E"/>
    <w:rsid w:val="0079093D"/>
    <w:rsid w:val="007916CF"/>
    <w:rsid w:val="00792D4F"/>
    <w:rsid w:val="007A7885"/>
    <w:rsid w:val="007B085D"/>
    <w:rsid w:val="007C14FB"/>
    <w:rsid w:val="007C5574"/>
    <w:rsid w:val="007D1092"/>
    <w:rsid w:val="007D1ADD"/>
    <w:rsid w:val="007D32F8"/>
    <w:rsid w:val="007D49A7"/>
    <w:rsid w:val="007D6BE5"/>
    <w:rsid w:val="007E1950"/>
    <w:rsid w:val="007E2082"/>
    <w:rsid w:val="007F1E21"/>
    <w:rsid w:val="007F4348"/>
    <w:rsid w:val="007F560E"/>
    <w:rsid w:val="007F5937"/>
    <w:rsid w:val="00805565"/>
    <w:rsid w:val="008114CB"/>
    <w:rsid w:val="0082544E"/>
    <w:rsid w:val="00833F6A"/>
    <w:rsid w:val="00850ACC"/>
    <w:rsid w:val="00854193"/>
    <w:rsid w:val="00857F52"/>
    <w:rsid w:val="00860E85"/>
    <w:rsid w:val="00863860"/>
    <w:rsid w:val="00864ABA"/>
    <w:rsid w:val="00875019"/>
    <w:rsid w:val="008778A2"/>
    <w:rsid w:val="00880021"/>
    <w:rsid w:val="0088386C"/>
    <w:rsid w:val="00883E78"/>
    <w:rsid w:val="008A2869"/>
    <w:rsid w:val="008A382A"/>
    <w:rsid w:val="008A4AFF"/>
    <w:rsid w:val="008C141A"/>
    <w:rsid w:val="008C294A"/>
    <w:rsid w:val="008C37D9"/>
    <w:rsid w:val="008D2D35"/>
    <w:rsid w:val="008E52CE"/>
    <w:rsid w:val="008E5C0D"/>
    <w:rsid w:val="008F04BC"/>
    <w:rsid w:val="00901119"/>
    <w:rsid w:val="00902581"/>
    <w:rsid w:val="00912130"/>
    <w:rsid w:val="009228EC"/>
    <w:rsid w:val="00927D58"/>
    <w:rsid w:val="009336CD"/>
    <w:rsid w:val="00940372"/>
    <w:rsid w:val="00940C7B"/>
    <w:rsid w:val="00943B77"/>
    <w:rsid w:val="00952935"/>
    <w:rsid w:val="009560CF"/>
    <w:rsid w:val="00963107"/>
    <w:rsid w:val="00964480"/>
    <w:rsid w:val="00966F7F"/>
    <w:rsid w:val="00972BFD"/>
    <w:rsid w:val="009776C4"/>
    <w:rsid w:val="009839D5"/>
    <w:rsid w:val="00985642"/>
    <w:rsid w:val="009863AA"/>
    <w:rsid w:val="00986855"/>
    <w:rsid w:val="00996F89"/>
    <w:rsid w:val="009A183B"/>
    <w:rsid w:val="009A30DB"/>
    <w:rsid w:val="009C3848"/>
    <w:rsid w:val="009C5CDC"/>
    <w:rsid w:val="009D140E"/>
    <w:rsid w:val="009D294E"/>
    <w:rsid w:val="009D316F"/>
    <w:rsid w:val="009D5AE9"/>
    <w:rsid w:val="009E7568"/>
    <w:rsid w:val="00A16E3C"/>
    <w:rsid w:val="00A30103"/>
    <w:rsid w:val="00A316A2"/>
    <w:rsid w:val="00A45A16"/>
    <w:rsid w:val="00A47A78"/>
    <w:rsid w:val="00A536BF"/>
    <w:rsid w:val="00A542E5"/>
    <w:rsid w:val="00A63C3B"/>
    <w:rsid w:val="00A73412"/>
    <w:rsid w:val="00A74F19"/>
    <w:rsid w:val="00A76710"/>
    <w:rsid w:val="00A7694B"/>
    <w:rsid w:val="00A779CC"/>
    <w:rsid w:val="00A82208"/>
    <w:rsid w:val="00A843D5"/>
    <w:rsid w:val="00A87B3E"/>
    <w:rsid w:val="00A903A3"/>
    <w:rsid w:val="00A95EB5"/>
    <w:rsid w:val="00A96080"/>
    <w:rsid w:val="00AA2B18"/>
    <w:rsid w:val="00AA3B84"/>
    <w:rsid w:val="00AA6DB8"/>
    <w:rsid w:val="00AB21D9"/>
    <w:rsid w:val="00AB3690"/>
    <w:rsid w:val="00AB4F25"/>
    <w:rsid w:val="00AB7145"/>
    <w:rsid w:val="00AC2195"/>
    <w:rsid w:val="00AC2D16"/>
    <w:rsid w:val="00AC66EC"/>
    <w:rsid w:val="00AD669C"/>
    <w:rsid w:val="00AE14AA"/>
    <w:rsid w:val="00AE22DA"/>
    <w:rsid w:val="00AF0DE9"/>
    <w:rsid w:val="00B0320A"/>
    <w:rsid w:val="00B03D7A"/>
    <w:rsid w:val="00B1544F"/>
    <w:rsid w:val="00B15DDA"/>
    <w:rsid w:val="00B23B0D"/>
    <w:rsid w:val="00B379A4"/>
    <w:rsid w:val="00B42E50"/>
    <w:rsid w:val="00B46EC0"/>
    <w:rsid w:val="00B52EAA"/>
    <w:rsid w:val="00B564EA"/>
    <w:rsid w:val="00B6780B"/>
    <w:rsid w:val="00B679AC"/>
    <w:rsid w:val="00B67B9D"/>
    <w:rsid w:val="00B728F1"/>
    <w:rsid w:val="00B75D3D"/>
    <w:rsid w:val="00B8225B"/>
    <w:rsid w:val="00B86BA3"/>
    <w:rsid w:val="00B91EBA"/>
    <w:rsid w:val="00B920C0"/>
    <w:rsid w:val="00BA1542"/>
    <w:rsid w:val="00BA7639"/>
    <w:rsid w:val="00BC524F"/>
    <w:rsid w:val="00BC65B3"/>
    <w:rsid w:val="00BC684C"/>
    <w:rsid w:val="00BE216B"/>
    <w:rsid w:val="00BE5910"/>
    <w:rsid w:val="00BE7968"/>
    <w:rsid w:val="00C203CF"/>
    <w:rsid w:val="00C23829"/>
    <w:rsid w:val="00C4132A"/>
    <w:rsid w:val="00C50436"/>
    <w:rsid w:val="00C54448"/>
    <w:rsid w:val="00C6158D"/>
    <w:rsid w:val="00C6774A"/>
    <w:rsid w:val="00C820E6"/>
    <w:rsid w:val="00C8294F"/>
    <w:rsid w:val="00C85959"/>
    <w:rsid w:val="00C9053B"/>
    <w:rsid w:val="00CA3BF9"/>
    <w:rsid w:val="00CB218C"/>
    <w:rsid w:val="00CB2827"/>
    <w:rsid w:val="00CB6BAD"/>
    <w:rsid w:val="00CD2776"/>
    <w:rsid w:val="00CD3465"/>
    <w:rsid w:val="00CD5E6D"/>
    <w:rsid w:val="00D02154"/>
    <w:rsid w:val="00D03ACD"/>
    <w:rsid w:val="00D23606"/>
    <w:rsid w:val="00D3782A"/>
    <w:rsid w:val="00D42D04"/>
    <w:rsid w:val="00D47000"/>
    <w:rsid w:val="00D479E6"/>
    <w:rsid w:val="00D533BF"/>
    <w:rsid w:val="00D6789A"/>
    <w:rsid w:val="00D83AAD"/>
    <w:rsid w:val="00D90364"/>
    <w:rsid w:val="00D928A1"/>
    <w:rsid w:val="00D9362F"/>
    <w:rsid w:val="00D95880"/>
    <w:rsid w:val="00DA013E"/>
    <w:rsid w:val="00DB3198"/>
    <w:rsid w:val="00DB7E93"/>
    <w:rsid w:val="00DC0B3A"/>
    <w:rsid w:val="00DC6297"/>
    <w:rsid w:val="00DD0316"/>
    <w:rsid w:val="00DD5715"/>
    <w:rsid w:val="00DE060E"/>
    <w:rsid w:val="00DE150E"/>
    <w:rsid w:val="00DE49A4"/>
    <w:rsid w:val="00DF16A3"/>
    <w:rsid w:val="00E01956"/>
    <w:rsid w:val="00E02691"/>
    <w:rsid w:val="00E0530E"/>
    <w:rsid w:val="00E2201D"/>
    <w:rsid w:val="00E226F1"/>
    <w:rsid w:val="00E27E65"/>
    <w:rsid w:val="00E303A9"/>
    <w:rsid w:val="00E30C70"/>
    <w:rsid w:val="00E3459C"/>
    <w:rsid w:val="00E37AB7"/>
    <w:rsid w:val="00E52F63"/>
    <w:rsid w:val="00E56C61"/>
    <w:rsid w:val="00E63C45"/>
    <w:rsid w:val="00E75F74"/>
    <w:rsid w:val="00E80FE2"/>
    <w:rsid w:val="00E8712E"/>
    <w:rsid w:val="00E962FF"/>
    <w:rsid w:val="00E97E94"/>
    <w:rsid w:val="00EB10A8"/>
    <w:rsid w:val="00EB60C9"/>
    <w:rsid w:val="00ED458B"/>
    <w:rsid w:val="00EE19F4"/>
    <w:rsid w:val="00EE6D0C"/>
    <w:rsid w:val="00EF43D0"/>
    <w:rsid w:val="00EF50F6"/>
    <w:rsid w:val="00EF6E01"/>
    <w:rsid w:val="00F022EB"/>
    <w:rsid w:val="00F23EC6"/>
    <w:rsid w:val="00F332D3"/>
    <w:rsid w:val="00F34C92"/>
    <w:rsid w:val="00F35CFF"/>
    <w:rsid w:val="00F44E96"/>
    <w:rsid w:val="00F51029"/>
    <w:rsid w:val="00F51D29"/>
    <w:rsid w:val="00F52725"/>
    <w:rsid w:val="00F53D28"/>
    <w:rsid w:val="00F54DD4"/>
    <w:rsid w:val="00F6359A"/>
    <w:rsid w:val="00F67B1F"/>
    <w:rsid w:val="00F7105E"/>
    <w:rsid w:val="00F80BBE"/>
    <w:rsid w:val="00F8621F"/>
    <w:rsid w:val="00F87788"/>
    <w:rsid w:val="00F92E58"/>
    <w:rsid w:val="00FA5460"/>
    <w:rsid w:val="00FB3161"/>
    <w:rsid w:val="00FB6E89"/>
    <w:rsid w:val="00FB7455"/>
    <w:rsid w:val="00FD52ED"/>
    <w:rsid w:val="00FE1D46"/>
    <w:rsid w:val="00FE7B60"/>
    <w:rsid w:val="00FF3FF1"/>
    <w:rsid w:val="00FF5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4159"/>
  <w15:chartTrackingRefBased/>
  <w15:docId w15:val="{E4B94A7F-F750-43B1-94C1-0978C57A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B3E"/>
    <w:rPr>
      <w:rFonts w:ascii="Garamond" w:hAnsi="Garamond"/>
      <w:sz w:val="22"/>
      <w:szCs w:val="22"/>
    </w:rPr>
  </w:style>
  <w:style w:type="paragraph" w:styleId="Heading2">
    <w:name w:val="heading 2"/>
    <w:basedOn w:val="Normal"/>
    <w:next w:val="Normal"/>
    <w:link w:val="Heading2Char"/>
    <w:uiPriority w:val="5"/>
    <w:qFormat/>
    <w:rsid w:val="00A87B3E"/>
    <w:pPr>
      <w:keepNext/>
      <w:keepLines/>
      <w:tabs>
        <w:tab w:val="left" w:pos="504"/>
      </w:tabs>
      <w:spacing w:before="320" w:after="120"/>
      <w:outlineLvl w:val="1"/>
    </w:pPr>
    <w:rPr>
      <w:rFonts w:ascii="Arial" w:hAnsi="Arial"/>
      <w:b/>
      <w:bCs/>
      <w:iCs/>
      <w:caps/>
      <w:color w:val="8AB3A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5"/>
    <w:rsid w:val="00A87B3E"/>
    <w:rPr>
      <w:rFonts w:ascii="Arial" w:hAnsi="Arial" w:cs="Times New Roman"/>
      <w:b/>
      <w:bCs/>
      <w:iCs/>
      <w:caps/>
      <w:color w:val="8AB3A4"/>
      <w:szCs w:val="28"/>
    </w:rPr>
  </w:style>
  <w:style w:type="table" w:styleId="TableGrid">
    <w:name w:val="Table Grid"/>
    <w:basedOn w:val="TableNormal"/>
    <w:uiPriority w:val="39"/>
    <w:rsid w:val="00A87B3E"/>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CCaption-Color">
    <w:name w:val="NORC Caption - Color"/>
    <w:qFormat/>
    <w:rsid w:val="00A87B3E"/>
    <w:rPr>
      <w:rFonts w:ascii="Arial" w:hAnsi="Arial"/>
      <w:b/>
      <w:color w:val="8AB3A4"/>
      <w:sz w:val="22"/>
    </w:rPr>
  </w:style>
  <w:style w:type="paragraph" w:customStyle="1" w:styleId="NORCBullet1">
    <w:name w:val="NORC Bullet 1"/>
    <w:basedOn w:val="ListBullet"/>
    <w:qFormat/>
    <w:rsid w:val="00A87B3E"/>
    <w:pPr>
      <w:keepLines/>
      <w:spacing w:before="120" w:after="60"/>
      <w:contextualSpacing w:val="0"/>
    </w:pPr>
    <w:rPr>
      <w:rFonts w:eastAsia="Times New Roman"/>
      <w:noProof/>
      <w:sz w:val="24"/>
      <w:szCs w:val="20"/>
    </w:rPr>
  </w:style>
  <w:style w:type="paragraph" w:customStyle="1" w:styleId="NORCBullet3">
    <w:name w:val="NORC Bullet 3"/>
    <w:qFormat/>
    <w:rsid w:val="00A87B3E"/>
    <w:pPr>
      <w:keepLines/>
      <w:numPr>
        <w:numId w:val="2"/>
      </w:numPr>
      <w:spacing w:after="60"/>
      <w:ind w:left="1080"/>
    </w:pPr>
    <w:rPr>
      <w:rFonts w:ascii="Garamond" w:eastAsia="Times New Roman" w:hAnsi="Garamond"/>
      <w:noProof/>
      <w:sz w:val="24"/>
      <w:szCs w:val="22"/>
    </w:rPr>
  </w:style>
  <w:style w:type="paragraph" w:customStyle="1" w:styleId="NORCBullet2">
    <w:name w:val="NORC Bullet 2"/>
    <w:qFormat/>
    <w:rsid w:val="00A87B3E"/>
    <w:pPr>
      <w:keepLines/>
      <w:numPr>
        <w:numId w:val="3"/>
      </w:numPr>
      <w:spacing w:after="60"/>
      <w:ind w:left="720"/>
    </w:pPr>
    <w:rPr>
      <w:rFonts w:ascii="Garamond" w:eastAsia="Times New Roman" w:hAnsi="Garamond"/>
      <w:noProof/>
      <w:sz w:val="24"/>
      <w:szCs w:val="24"/>
    </w:rPr>
  </w:style>
  <w:style w:type="paragraph" w:customStyle="1" w:styleId="NORCCaption-Table">
    <w:name w:val="NORC Caption - Table"/>
    <w:basedOn w:val="Normal"/>
    <w:uiPriority w:val="99"/>
    <w:qFormat/>
    <w:rsid w:val="00A87B3E"/>
    <w:pPr>
      <w:keepNext/>
      <w:keepLines/>
      <w:tabs>
        <w:tab w:val="left" w:pos="1080"/>
        <w:tab w:val="left" w:pos="1296"/>
      </w:tabs>
      <w:spacing w:before="320" w:after="120"/>
      <w:ind w:left="1080" w:hanging="1080"/>
    </w:pPr>
    <w:rPr>
      <w:rFonts w:eastAsia="Times New Roman" w:cs="AGaramond-Regular"/>
      <w:sz w:val="24"/>
    </w:rPr>
  </w:style>
  <w:style w:type="paragraph" w:customStyle="1" w:styleId="NORCProposalBody12ptGaramond">
    <w:name w:val="NORC Proposal Body 12pt Garamond"/>
    <w:basedOn w:val="Normal"/>
    <w:qFormat/>
    <w:rsid w:val="00A87B3E"/>
    <w:pPr>
      <w:tabs>
        <w:tab w:val="right" w:pos="9360"/>
      </w:tabs>
      <w:spacing w:after="240"/>
    </w:pPr>
    <w:rPr>
      <w:rFonts w:eastAsia="Times New Roman" w:cs="AGaramond-Regular"/>
      <w:sz w:val="24"/>
      <w:szCs w:val="20"/>
    </w:rPr>
  </w:style>
  <w:style w:type="paragraph" w:styleId="ListBullet">
    <w:name w:val="List Bullet"/>
    <w:basedOn w:val="Normal"/>
    <w:uiPriority w:val="99"/>
    <w:semiHidden/>
    <w:unhideWhenUsed/>
    <w:rsid w:val="00A87B3E"/>
    <w:pPr>
      <w:ind w:left="720" w:hanging="360"/>
      <w:contextualSpacing/>
    </w:pPr>
  </w:style>
  <w:style w:type="paragraph" w:customStyle="1" w:styleId="heading2garamond">
    <w:name w:val="heading2garamond"/>
    <w:basedOn w:val="Normal"/>
    <w:uiPriority w:val="99"/>
    <w:rsid w:val="00E27E65"/>
    <w:pPr>
      <w:keepNext/>
      <w:spacing w:before="320" w:after="120"/>
    </w:pPr>
    <w:rPr>
      <w:b/>
      <w:bCs/>
      <w:caps/>
      <w:color w:val="8AB3A4"/>
    </w:rPr>
  </w:style>
  <w:style w:type="paragraph" w:styleId="Header">
    <w:name w:val="header"/>
    <w:basedOn w:val="Normal"/>
    <w:link w:val="HeaderChar"/>
    <w:uiPriority w:val="99"/>
    <w:unhideWhenUsed/>
    <w:rsid w:val="00901119"/>
    <w:pPr>
      <w:tabs>
        <w:tab w:val="center" w:pos="4680"/>
        <w:tab w:val="right" w:pos="9360"/>
      </w:tabs>
    </w:pPr>
  </w:style>
  <w:style w:type="character" w:customStyle="1" w:styleId="HeaderChar">
    <w:name w:val="Header Char"/>
    <w:link w:val="Header"/>
    <w:uiPriority w:val="99"/>
    <w:rsid w:val="00901119"/>
    <w:rPr>
      <w:rFonts w:ascii="Garamond" w:hAnsi="Garamond"/>
      <w:sz w:val="22"/>
      <w:szCs w:val="22"/>
    </w:rPr>
  </w:style>
  <w:style w:type="paragraph" w:styleId="Footer">
    <w:name w:val="footer"/>
    <w:basedOn w:val="Normal"/>
    <w:link w:val="FooterChar"/>
    <w:uiPriority w:val="99"/>
    <w:unhideWhenUsed/>
    <w:rsid w:val="00901119"/>
    <w:pPr>
      <w:tabs>
        <w:tab w:val="center" w:pos="4680"/>
        <w:tab w:val="right" w:pos="9360"/>
      </w:tabs>
    </w:pPr>
  </w:style>
  <w:style w:type="character" w:customStyle="1" w:styleId="FooterChar">
    <w:name w:val="Footer Char"/>
    <w:link w:val="Footer"/>
    <w:uiPriority w:val="99"/>
    <w:rsid w:val="00901119"/>
    <w:rPr>
      <w:rFonts w:ascii="Garamond" w:hAnsi="Garamond"/>
      <w:sz w:val="22"/>
      <w:szCs w:val="22"/>
    </w:rPr>
  </w:style>
  <w:style w:type="character" w:styleId="Hyperlink">
    <w:name w:val="Hyperlink"/>
    <w:uiPriority w:val="99"/>
    <w:unhideWhenUsed/>
    <w:rsid w:val="00901119"/>
    <w:rPr>
      <w:color w:val="0563C1"/>
      <w:u w:val="single"/>
    </w:rPr>
  </w:style>
  <w:style w:type="paragraph" w:styleId="ListParagraph">
    <w:name w:val="List Paragraph"/>
    <w:basedOn w:val="Normal"/>
    <w:uiPriority w:val="34"/>
    <w:qFormat/>
    <w:rsid w:val="004F656A"/>
    <w:pPr>
      <w:ind w:left="720"/>
      <w:contextualSpacing/>
    </w:pPr>
    <w:rPr>
      <w:rFonts w:ascii="Calibri" w:hAnsi="Calibri"/>
    </w:rPr>
  </w:style>
  <w:style w:type="paragraph" w:customStyle="1" w:styleId="Default">
    <w:name w:val="Default"/>
    <w:rsid w:val="004F656A"/>
    <w:pPr>
      <w:autoSpaceDE w:val="0"/>
      <w:autoSpaceDN w:val="0"/>
      <w:adjustRightInd w:val="0"/>
    </w:pPr>
    <w:rPr>
      <w:rFonts w:cs="Calibri"/>
      <w:color w:val="000000"/>
      <w:sz w:val="24"/>
      <w:szCs w:val="24"/>
    </w:rPr>
  </w:style>
  <w:style w:type="character" w:styleId="CommentReference">
    <w:name w:val="annotation reference"/>
    <w:uiPriority w:val="99"/>
    <w:semiHidden/>
    <w:unhideWhenUsed/>
    <w:rsid w:val="00486121"/>
    <w:rPr>
      <w:sz w:val="16"/>
      <w:szCs w:val="16"/>
    </w:rPr>
  </w:style>
  <w:style w:type="paragraph" w:styleId="CommentText">
    <w:name w:val="annotation text"/>
    <w:basedOn w:val="Normal"/>
    <w:link w:val="CommentTextChar"/>
    <w:uiPriority w:val="99"/>
    <w:unhideWhenUsed/>
    <w:rsid w:val="00486121"/>
    <w:rPr>
      <w:sz w:val="20"/>
      <w:szCs w:val="20"/>
    </w:rPr>
  </w:style>
  <w:style w:type="character" w:customStyle="1" w:styleId="CommentTextChar">
    <w:name w:val="Comment Text Char"/>
    <w:basedOn w:val="DefaultParagraphFont"/>
    <w:link w:val="CommentText"/>
    <w:uiPriority w:val="99"/>
    <w:rsid w:val="00486121"/>
    <w:rPr>
      <w:rFonts w:ascii="Garamond" w:hAnsi="Garamond"/>
    </w:rPr>
  </w:style>
  <w:style w:type="paragraph" w:styleId="BalloonText">
    <w:name w:val="Balloon Text"/>
    <w:basedOn w:val="Normal"/>
    <w:link w:val="BalloonTextChar"/>
    <w:uiPriority w:val="99"/>
    <w:semiHidden/>
    <w:unhideWhenUsed/>
    <w:rsid w:val="004861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1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96DE2"/>
    <w:rPr>
      <w:b/>
      <w:bCs/>
    </w:rPr>
  </w:style>
  <w:style w:type="character" w:customStyle="1" w:styleId="CommentSubjectChar">
    <w:name w:val="Comment Subject Char"/>
    <w:basedOn w:val="CommentTextChar"/>
    <w:link w:val="CommentSubject"/>
    <w:uiPriority w:val="99"/>
    <w:semiHidden/>
    <w:rsid w:val="00596DE2"/>
    <w:rPr>
      <w:rFonts w:ascii="Garamond" w:hAnsi="Garamond"/>
      <w:b/>
      <w:bCs/>
    </w:rPr>
  </w:style>
  <w:style w:type="paragraph" w:styleId="BodyText">
    <w:name w:val="Body Text"/>
    <w:basedOn w:val="Normal"/>
    <w:link w:val="BodyTextChar"/>
    <w:uiPriority w:val="99"/>
    <w:unhideWhenUsed/>
    <w:rsid w:val="00F92E58"/>
    <w:pPr>
      <w:spacing w:after="240" w:line="276" w:lineRule="auto"/>
    </w:pPr>
    <w:rPr>
      <w:rFonts w:ascii="Arial" w:hAnsi="Arial"/>
    </w:rPr>
  </w:style>
  <w:style w:type="character" w:customStyle="1" w:styleId="BodyTextChar">
    <w:name w:val="Body Text Char"/>
    <w:basedOn w:val="DefaultParagraphFont"/>
    <w:link w:val="BodyText"/>
    <w:uiPriority w:val="99"/>
    <w:rsid w:val="00F92E58"/>
    <w:rPr>
      <w:rFonts w:ascii="Arial" w:hAnsi="Arial"/>
      <w:sz w:val="22"/>
      <w:szCs w:val="22"/>
    </w:rPr>
  </w:style>
  <w:style w:type="paragraph" w:styleId="FootnoteText">
    <w:name w:val="footnote text"/>
    <w:basedOn w:val="Normal"/>
    <w:link w:val="FootnoteTextChar"/>
    <w:uiPriority w:val="99"/>
    <w:semiHidden/>
    <w:unhideWhenUsed/>
    <w:rsid w:val="00F92E58"/>
    <w:rPr>
      <w:rFonts w:ascii="Calibri" w:hAnsi="Calibri"/>
      <w:sz w:val="20"/>
      <w:szCs w:val="20"/>
    </w:rPr>
  </w:style>
  <w:style w:type="character" w:customStyle="1" w:styleId="FootnoteTextChar">
    <w:name w:val="Footnote Text Char"/>
    <w:basedOn w:val="DefaultParagraphFont"/>
    <w:link w:val="FootnoteText"/>
    <w:uiPriority w:val="99"/>
    <w:semiHidden/>
    <w:rsid w:val="00F92E58"/>
  </w:style>
  <w:style w:type="character" w:styleId="FootnoteReference">
    <w:name w:val="footnote reference"/>
    <w:uiPriority w:val="99"/>
    <w:semiHidden/>
    <w:unhideWhenUsed/>
    <w:rsid w:val="00F92E58"/>
    <w:rPr>
      <w:vertAlign w:val="superscript"/>
    </w:rPr>
  </w:style>
  <w:style w:type="paragraph" w:styleId="Revision">
    <w:name w:val="Revision"/>
    <w:hidden/>
    <w:uiPriority w:val="99"/>
    <w:semiHidden/>
    <w:rsid w:val="0019765B"/>
    <w:rPr>
      <w:rFonts w:ascii="Garamond" w:hAnsi="Garamond"/>
      <w:sz w:val="22"/>
      <w:szCs w:val="22"/>
    </w:rPr>
  </w:style>
  <w:style w:type="character" w:styleId="Strong">
    <w:name w:val="Strong"/>
    <w:basedOn w:val="DefaultParagraphFont"/>
    <w:uiPriority w:val="22"/>
    <w:qFormat/>
    <w:rsid w:val="003810A1"/>
    <w:rPr>
      <w:b/>
      <w:bCs/>
    </w:rPr>
  </w:style>
  <w:style w:type="character" w:styleId="FollowedHyperlink">
    <w:name w:val="FollowedHyperlink"/>
    <w:basedOn w:val="DefaultParagraphFont"/>
    <w:uiPriority w:val="99"/>
    <w:semiHidden/>
    <w:unhideWhenUsed/>
    <w:rsid w:val="00E63C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19300">
      <w:bodyDiv w:val="1"/>
      <w:marLeft w:val="0"/>
      <w:marRight w:val="0"/>
      <w:marTop w:val="0"/>
      <w:marBottom w:val="0"/>
      <w:divBdr>
        <w:top w:val="none" w:sz="0" w:space="0" w:color="auto"/>
        <w:left w:val="none" w:sz="0" w:space="0" w:color="auto"/>
        <w:bottom w:val="none" w:sz="0" w:space="0" w:color="auto"/>
        <w:right w:val="none" w:sz="0" w:space="0" w:color="auto"/>
      </w:divBdr>
    </w:div>
    <w:div w:id="175652944">
      <w:bodyDiv w:val="1"/>
      <w:marLeft w:val="0"/>
      <w:marRight w:val="0"/>
      <w:marTop w:val="0"/>
      <w:marBottom w:val="0"/>
      <w:divBdr>
        <w:top w:val="none" w:sz="0" w:space="0" w:color="auto"/>
        <w:left w:val="none" w:sz="0" w:space="0" w:color="auto"/>
        <w:bottom w:val="none" w:sz="0" w:space="0" w:color="auto"/>
        <w:right w:val="none" w:sz="0" w:space="0" w:color="auto"/>
      </w:divBdr>
    </w:div>
    <w:div w:id="200290524">
      <w:bodyDiv w:val="1"/>
      <w:marLeft w:val="0"/>
      <w:marRight w:val="0"/>
      <w:marTop w:val="0"/>
      <w:marBottom w:val="0"/>
      <w:divBdr>
        <w:top w:val="none" w:sz="0" w:space="0" w:color="auto"/>
        <w:left w:val="none" w:sz="0" w:space="0" w:color="auto"/>
        <w:bottom w:val="none" w:sz="0" w:space="0" w:color="auto"/>
        <w:right w:val="none" w:sz="0" w:space="0" w:color="auto"/>
      </w:divBdr>
    </w:div>
    <w:div w:id="409546583">
      <w:bodyDiv w:val="1"/>
      <w:marLeft w:val="0"/>
      <w:marRight w:val="0"/>
      <w:marTop w:val="0"/>
      <w:marBottom w:val="0"/>
      <w:divBdr>
        <w:top w:val="none" w:sz="0" w:space="0" w:color="auto"/>
        <w:left w:val="none" w:sz="0" w:space="0" w:color="auto"/>
        <w:bottom w:val="none" w:sz="0" w:space="0" w:color="auto"/>
        <w:right w:val="none" w:sz="0" w:space="0" w:color="auto"/>
      </w:divBdr>
    </w:div>
    <w:div w:id="663704256">
      <w:bodyDiv w:val="1"/>
      <w:marLeft w:val="0"/>
      <w:marRight w:val="0"/>
      <w:marTop w:val="0"/>
      <w:marBottom w:val="0"/>
      <w:divBdr>
        <w:top w:val="none" w:sz="0" w:space="0" w:color="auto"/>
        <w:left w:val="none" w:sz="0" w:space="0" w:color="auto"/>
        <w:bottom w:val="none" w:sz="0" w:space="0" w:color="auto"/>
        <w:right w:val="none" w:sz="0" w:space="0" w:color="auto"/>
      </w:divBdr>
    </w:div>
    <w:div w:id="1198274479">
      <w:bodyDiv w:val="1"/>
      <w:marLeft w:val="0"/>
      <w:marRight w:val="0"/>
      <w:marTop w:val="0"/>
      <w:marBottom w:val="0"/>
      <w:divBdr>
        <w:top w:val="none" w:sz="0" w:space="0" w:color="auto"/>
        <w:left w:val="none" w:sz="0" w:space="0" w:color="auto"/>
        <w:bottom w:val="none" w:sz="0" w:space="0" w:color="auto"/>
        <w:right w:val="none" w:sz="0" w:space="0" w:color="auto"/>
      </w:divBdr>
    </w:div>
    <w:div w:id="1649166242">
      <w:bodyDiv w:val="1"/>
      <w:marLeft w:val="0"/>
      <w:marRight w:val="0"/>
      <w:marTop w:val="0"/>
      <w:marBottom w:val="0"/>
      <w:divBdr>
        <w:top w:val="none" w:sz="0" w:space="0" w:color="auto"/>
        <w:left w:val="none" w:sz="0" w:space="0" w:color="auto"/>
        <w:bottom w:val="none" w:sz="0" w:space="0" w:color="auto"/>
        <w:right w:val="none" w:sz="0" w:space="0" w:color="auto"/>
      </w:divBdr>
    </w:div>
    <w:div w:id="1740324374">
      <w:bodyDiv w:val="1"/>
      <w:marLeft w:val="0"/>
      <w:marRight w:val="0"/>
      <w:marTop w:val="0"/>
      <w:marBottom w:val="0"/>
      <w:divBdr>
        <w:top w:val="none" w:sz="0" w:space="0" w:color="auto"/>
        <w:left w:val="none" w:sz="0" w:space="0" w:color="auto"/>
        <w:bottom w:val="none" w:sz="0" w:space="0" w:color="auto"/>
        <w:right w:val="none" w:sz="0" w:space="0" w:color="auto"/>
      </w:divBdr>
    </w:div>
    <w:div w:id="1788230988">
      <w:bodyDiv w:val="1"/>
      <w:marLeft w:val="0"/>
      <w:marRight w:val="0"/>
      <w:marTop w:val="0"/>
      <w:marBottom w:val="0"/>
      <w:divBdr>
        <w:top w:val="none" w:sz="0" w:space="0" w:color="auto"/>
        <w:left w:val="none" w:sz="0" w:space="0" w:color="auto"/>
        <w:bottom w:val="none" w:sz="0" w:space="0" w:color="auto"/>
        <w:right w:val="none" w:sz="0" w:space="0" w:color="auto"/>
      </w:divBdr>
    </w:div>
    <w:div w:id="1822890185">
      <w:bodyDiv w:val="1"/>
      <w:marLeft w:val="0"/>
      <w:marRight w:val="0"/>
      <w:marTop w:val="0"/>
      <w:marBottom w:val="0"/>
      <w:divBdr>
        <w:top w:val="none" w:sz="0" w:space="0" w:color="auto"/>
        <w:left w:val="none" w:sz="0" w:space="0" w:color="auto"/>
        <w:bottom w:val="none" w:sz="0" w:space="0" w:color="auto"/>
        <w:right w:val="none" w:sz="0" w:space="0" w:color="auto"/>
      </w:divBdr>
    </w:div>
    <w:div w:id="191215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meriSpeak-BD@norc.org"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aapor.org/AAPOR_Main/media/publications/Standard-Definitions20169theditionfinal.pdf" TargetMode="External"/><Relationship Id="rId2" Type="http://schemas.openxmlformats.org/officeDocument/2006/relationships/hyperlink" Target="http://amerispeak.norc.org/research/Pages/WhitePaper_ResponseRateCalculation_AmeriSpeak_2016.pdf" TargetMode="External"/><Relationship Id="rId1" Type="http://schemas.openxmlformats.org/officeDocument/2006/relationships/hyperlink" Target="http://amerispeak.norc.org/our-capabilities/Pages/TrueNorth.aspx" TargetMode="External"/><Relationship Id="rId6" Type="http://schemas.openxmlformats.org/officeDocument/2006/relationships/hyperlink" Target="https://amerispeak.norc.org/research/" TargetMode="External"/><Relationship Id="rId5" Type="http://schemas.openxmlformats.org/officeDocument/2006/relationships/hyperlink" Target="https://amerispeak.norc.org/research/" TargetMode="External"/><Relationship Id="rId4" Type="http://schemas.openxmlformats.org/officeDocument/2006/relationships/hyperlink" Target="https://amerispeak.norc.org/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D4D2A-796B-4943-804D-2DC6123A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Subias</dc:creator>
  <cp:keywords/>
  <dc:description/>
  <cp:lastModifiedBy>Michael Dennis</cp:lastModifiedBy>
  <cp:revision>5</cp:revision>
  <cp:lastPrinted>2016-09-08T23:00:00Z</cp:lastPrinted>
  <dcterms:created xsi:type="dcterms:W3CDTF">2020-06-18T14:53:00Z</dcterms:created>
  <dcterms:modified xsi:type="dcterms:W3CDTF">2020-06-18T15:11:00Z</dcterms:modified>
</cp:coreProperties>
</file>