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B00D5" w:rsidR="009B00D5" w:rsidP="009B00D5" w:rsidRDefault="005A4A00" w14:paraId="0E9D603E" w14:textId="77777777">
      <w:pPr>
        <w:jc w:val="center"/>
        <w:rPr>
          <w:rStyle w:val="C2CtrSglS"/>
          <w:b/>
        </w:rPr>
      </w:pPr>
      <w:r w:rsidRPr="009B00D5">
        <w:rPr>
          <w:rStyle w:val="C2CtrSglS"/>
          <w:b/>
        </w:rPr>
        <w:t>SUPPORTING STATEMENT FOR THE</w:t>
      </w:r>
    </w:p>
    <w:p w:rsidRPr="009B00D5" w:rsidR="009B00D5" w:rsidP="009B00D5" w:rsidRDefault="009B00D5" w14:paraId="4681D861" w14:textId="77777777">
      <w:pPr>
        <w:jc w:val="center"/>
        <w:rPr>
          <w:b/>
          <w:szCs w:val="24"/>
        </w:rPr>
      </w:pPr>
      <w:r w:rsidRPr="009B00D5">
        <w:rPr>
          <w:b/>
          <w:szCs w:val="24"/>
        </w:rPr>
        <w:t>STATE OPIOID RESPONSE (SOR) AND TRIBAL OPIOID RESPONSE (TOR) PROGRAM DATA COLLECTION AND PERFORMANCE MEASUREMENT</w:t>
      </w:r>
    </w:p>
    <w:p w:rsidR="005A4A00" w:rsidP="005A4A00" w:rsidRDefault="005A4A00" w14:paraId="7E56E15E" w14:textId="77777777">
      <w:pPr>
        <w:widowControl w:val="0"/>
        <w:rPr>
          <w:rStyle w:val="SLFlLftSg"/>
        </w:rPr>
      </w:pPr>
      <w:r>
        <w:rPr>
          <w:rStyle w:val="SLFlLftSg"/>
        </w:rPr>
        <w:tab/>
      </w:r>
      <w:r>
        <w:rPr>
          <w:rStyle w:val="SLFlLftSg"/>
        </w:rPr>
        <w:tab/>
      </w:r>
      <w:r>
        <w:rPr>
          <w:rStyle w:val="SLFlLftSg"/>
        </w:rPr>
        <w:tab/>
      </w:r>
      <w:r>
        <w:rPr>
          <w:rStyle w:val="SLFlLftSg"/>
        </w:rPr>
        <w:tab/>
      </w:r>
      <w:r>
        <w:rPr>
          <w:rStyle w:val="SLFlLftSg"/>
        </w:rPr>
        <w:tab/>
      </w:r>
      <w:r>
        <w:rPr>
          <w:rStyle w:val="SLFlLftSg"/>
        </w:rPr>
        <w:tab/>
      </w:r>
      <w:r>
        <w:rPr>
          <w:rStyle w:val="SLFlLftSg"/>
        </w:rPr>
        <w:tab/>
      </w:r>
      <w:r>
        <w:rPr>
          <w:rStyle w:val="SLFlLftSg"/>
        </w:rPr>
        <w:tab/>
      </w:r>
      <w:r>
        <w:rPr>
          <w:rStyle w:val="SLFlLftSg"/>
        </w:rPr>
        <w:tab/>
      </w:r>
      <w:r>
        <w:rPr>
          <w:rStyle w:val="SLFlLftSg"/>
        </w:rPr>
        <w:tab/>
      </w:r>
      <w:r>
        <w:rPr>
          <w:rStyle w:val="SLFlLftSg"/>
        </w:rPr>
        <w:tab/>
      </w:r>
      <w:r>
        <w:rPr>
          <w:rStyle w:val="SLFlLftSg"/>
        </w:rPr>
        <w:tab/>
      </w:r>
    </w:p>
    <w:p w:rsidR="005A4A00" w:rsidP="005A4A00" w:rsidRDefault="005A4A00" w14:paraId="6610D512" w14:textId="77777777">
      <w:pPr>
        <w:rPr>
          <w:b/>
        </w:rPr>
      </w:pPr>
      <w:r>
        <w:rPr>
          <w:b/>
        </w:rPr>
        <w:t xml:space="preserve">JUSTIFICATION </w:t>
      </w:r>
    </w:p>
    <w:p w:rsidR="005A4A00" w:rsidP="005A4A00" w:rsidRDefault="005A4A00" w14:paraId="2ECB128B" w14:textId="77777777">
      <w:pPr>
        <w:rPr>
          <w:b/>
        </w:rPr>
      </w:pPr>
    </w:p>
    <w:p w:rsidR="005A4A00" w:rsidP="005A4A00" w:rsidRDefault="005A4A00" w14:paraId="3F9333C4" w14:textId="77777777">
      <w:pPr>
        <w:rPr>
          <w:b/>
        </w:rPr>
      </w:pPr>
      <w:r>
        <w:rPr>
          <w:b/>
        </w:rPr>
        <w:t>A</w:t>
      </w:r>
      <w:r w:rsidRPr="00446BA6">
        <w:rPr>
          <w:b/>
        </w:rPr>
        <w:t xml:space="preserve">1.     Circumstances </w:t>
      </w:r>
      <w:r w:rsidR="00656DD3">
        <w:rPr>
          <w:b/>
        </w:rPr>
        <w:t>of Information</w:t>
      </w:r>
      <w:r w:rsidRPr="00446BA6">
        <w:rPr>
          <w:b/>
        </w:rPr>
        <w:t xml:space="preserve"> Collection </w:t>
      </w:r>
    </w:p>
    <w:p w:rsidR="005A4A00" w:rsidP="005A4A00" w:rsidRDefault="005A4A00" w14:paraId="0D35B4CE" w14:textId="77777777"/>
    <w:p w:rsidR="009B00D5" w:rsidP="0E2F1544" w:rsidRDefault="005A4A00" w14:paraId="60660B11" w14:textId="1617039C">
      <w:pPr>
        <w:rPr>
          <w:color w:val="D13438"/>
          <w:szCs w:val="24"/>
          <w:u w:val="single"/>
        </w:rPr>
      </w:pPr>
      <w:r>
        <w:t xml:space="preserve">The Substance Abuse and Mental Health Services Administration (SAMHSA), </w:t>
      </w:r>
      <w:r w:rsidR="00647340">
        <w:t xml:space="preserve">Center for </w:t>
      </w:r>
      <w:r w:rsidR="009B00D5">
        <w:t>Substance Abuse Treatment (CSAT</w:t>
      </w:r>
      <w:r w:rsidR="00647340">
        <w:t>)</w:t>
      </w:r>
      <w:r>
        <w:t xml:space="preserve"> is requesting </w:t>
      </w:r>
      <w:r w:rsidR="00510DE2">
        <w:t xml:space="preserve">approval </w:t>
      </w:r>
      <w:r>
        <w:t>from the Office of Management an</w:t>
      </w:r>
      <w:r w:rsidR="00920965">
        <w:t>d Budget (OMB)</w:t>
      </w:r>
      <w:r w:rsidR="00FC17E7">
        <w:t xml:space="preserve"> </w:t>
      </w:r>
      <w:r w:rsidR="00920965">
        <w:t xml:space="preserve">for </w:t>
      </w:r>
      <w:r w:rsidR="00E646D7">
        <w:t xml:space="preserve">revisions to the previously approved </w:t>
      </w:r>
      <w:r w:rsidR="000744A0">
        <w:t>progra</w:t>
      </w:r>
      <w:r w:rsidR="5E9E8B3B">
        <w:t>m</w:t>
      </w:r>
      <w:r w:rsidR="000744A0">
        <w:t xml:space="preserve"> </w:t>
      </w:r>
      <w:r w:rsidR="00E646D7">
        <w:t xml:space="preserve">instrument and </w:t>
      </w:r>
      <w:r w:rsidR="009B00D5">
        <w:t>data collection activities associated with the State Opioid Response (SOR) and Tribal Opioid Response (TOR) grant programs</w:t>
      </w:r>
      <w:r w:rsidR="00DE4C7F">
        <w:t xml:space="preserve"> (OMB No. 0930–0384)</w:t>
      </w:r>
      <w:r w:rsidR="009B00D5">
        <w:t xml:space="preserve">. </w:t>
      </w:r>
      <w:r w:rsidRPr="004A33A7" w:rsidR="491BE1A8">
        <w:rPr>
          <w:szCs w:val="24"/>
        </w:rPr>
        <w:t xml:space="preserve">SAMHSA is requesting approval to modify its existing CSAT SOR/TOR Program Instrument by </w:t>
      </w:r>
      <w:r w:rsidRPr="004A33A7" w:rsidR="4CFCB0EA">
        <w:rPr>
          <w:szCs w:val="24"/>
        </w:rPr>
        <w:t xml:space="preserve">(1) </w:t>
      </w:r>
      <w:r w:rsidRPr="004A33A7" w:rsidR="491BE1A8">
        <w:rPr>
          <w:szCs w:val="24"/>
        </w:rPr>
        <w:t>co</w:t>
      </w:r>
      <w:r w:rsidR="00D4139E">
        <w:rPr>
          <w:szCs w:val="24"/>
        </w:rPr>
        <w:t xml:space="preserve">llapsing </w:t>
      </w:r>
      <w:r w:rsidRPr="004A33A7" w:rsidR="491BE1A8">
        <w:rPr>
          <w:szCs w:val="24"/>
        </w:rPr>
        <w:t>the original three questions into two questions</w:t>
      </w:r>
      <w:r w:rsidRPr="00D4139E" w:rsidR="00D4139E">
        <w:rPr>
          <w:szCs w:val="24"/>
        </w:rPr>
        <w:t xml:space="preserve"> </w:t>
      </w:r>
      <w:r w:rsidRPr="00007AA6" w:rsidR="00D4139E">
        <w:rPr>
          <w:szCs w:val="24"/>
        </w:rPr>
        <w:t>for clarity,</w:t>
      </w:r>
      <w:r w:rsidRPr="004A33A7" w:rsidR="491BE1A8">
        <w:rPr>
          <w:szCs w:val="24"/>
        </w:rPr>
        <w:t xml:space="preserve"> and </w:t>
      </w:r>
      <w:r w:rsidRPr="004A33A7" w:rsidR="5F5BCFE0">
        <w:rPr>
          <w:szCs w:val="24"/>
        </w:rPr>
        <w:t xml:space="preserve">(2) </w:t>
      </w:r>
      <w:r w:rsidRPr="004A33A7" w:rsidR="491BE1A8">
        <w:rPr>
          <w:szCs w:val="24"/>
        </w:rPr>
        <w:t xml:space="preserve">adding </w:t>
      </w:r>
      <w:r w:rsidR="0093465D">
        <w:rPr>
          <w:szCs w:val="24"/>
        </w:rPr>
        <w:t>ten</w:t>
      </w:r>
      <w:r w:rsidRPr="004A33A7" w:rsidR="491BE1A8">
        <w:rPr>
          <w:szCs w:val="24"/>
        </w:rPr>
        <w:t xml:space="preserve"> questions in order to </w:t>
      </w:r>
      <w:r w:rsidR="001E2F55">
        <w:rPr>
          <w:szCs w:val="24"/>
        </w:rPr>
        <w:t xml:space="preserve">collect information on </w:t>
      </w:r>
      <w:r w:rsidR="00D4139E">
        <w:rPr>
          <w:szCs w:val="24"/>
        </w:rPr>
        <w:t>C</w:t>
      </w:r>
      <w:r w:rsidRPr="004A33A7" w:rsidR="00C74897">
        <w:rPr>
          <w:szCs w:val="24"/>
        </w:rPr>
        <w:t>ongressionally</w:t>
      </w:r>
      <w:r w:rsidR="001E0BF5">
        <w:rPr>
          <w:szCs w:val="24"/>
        </w:rPr>
        <w:t xml:space="preserve"> </w:t>
      </w:r>
      <w:r w:rsidRPr="004A33A7" w:rsidR="491BE1A8">
        <w:rPr>
          <w:szCs w:val="24"/>
        </w:rPr>
        <w:t xml:space="preserve">mandated </w:t>
      </w:r>
      <w:r w:rsidR="00D4139E">
        <w:rPr>
          <w:szCs w:val="24"/>
        </w:rPr>
        <w:t xml:space="preserve">and programmatic </w:t>
      </w:r>
      <w:r w:rsidRPr="004A33A7" w:rsidR="491BE1A8">
        <w:rPr>
          <w:szCs w:val="24"/>
        </w:rPr>
        <w:t xml:space="preserve">activities and </w:t>
      </w:r>
      <w:r w:rsidR="001E2F55">
        <w:rPr>
          <w:szCs w:val="24"/>
        </w:rPr>
        <w:t xml:space="preserve">comply with </w:t>
      </w:r>
      <w:r w:rsidRPr="004A33A7" w:rsidR="491BE1A8">
        <w:rPr>
          <w:szCs w:val="24"/>
        </w:rPr>
        <w:t>reporting requirements.</w:t>
      </w:r>
      <w:r w:rsidRPr="00C74897" w:rsidR="491BE1A8">
        <w:t xml:space="preserve"> </w:t>
      </w:r>
      <w:r w:rsidRPr="0E2F1544" w:rsidR="61E7C384">
        <w:rPr>
          <w:szCs w:val="24"/>
        </w:rPr>
        <w:t xml:space="preserve">The SOR/TOR programs were first authorized under Title II Division H of the Consolidated Appropriations Act, 2018, Public Law 115-141. </w:t>
      </w:r>
    </w:p>
    <w:p w:rsidRPr="00CB3B8E" w:rsidR="005A4A00" w:rsidP="009B00D5" w:rsidRDefault="009B00D5" w14:paraId="45C368E9" w14:textId="77777777">
      <w:r w:rsidRPr="00CB3B8E">
        <w:t xml:space="preserve"> </w:t>
      </w:r>
    </w:p>
    <w:p w:rsidR="002B1490" w:rsidP="009B00D5" w:rsidRDefault="009B00D5" w14:paraId="749C9566" w14:textId="77777777">
      <w:pPr>
        <w:tabs>
          <w:tab w:val="left" w:pos="3370"/>
        </w:tabs>
        <w:autoSpaceDE w:val="0"/>
        <w:autoSpaceDN w:val="0"/>
        <w:adjustRightInd w:val="0"/>
        <w:ind w:right="-900"/>
        <w:outlineLvl w:val="0"/>
      </w:pPr>
      <w:r>
        <w:t>This information is c</w:t>
      </w:r>
      <w:r w:rsidRPr="00CB3B8E">
        <w:t xml:space="preserve">ollected using a </w:t>
      </w:r>
      <w:r>
        <w:t xml:space="preserve">grantee-level (state/territory or tribal entity) tool </w:t>
      </w:r>
      <w:r w:rsidRPr="00CB3B8E">
        <w:t>th</w:t>
      </w:r>
      <w:r>
        <w:t>at</w:t>
      </w:r>
      <w:r w:rsidRPr="00CB3B8E">
        <w:t xml:space="preserve"> provides CSAT </w:t>
      </w:r>
      <w:r>
        <w:t xml:space="preserve">with </w:t>
      </w:r>
      <w:r w:rsidR="00A87535">
        <w:t xml:space="preserve">prevention </w:t>
      </w:r>
      <w:r>
        <w:t>information about</w:t>
      </w:r>
      <w:r w:rsidRPr="00CB3B8E">
        <w:t xml:space="preserve"> all </w:t>
      </w:r>
      <w:r>
        <w:t>SOR/TOR grantees, including</w:t>
      </w:r>
      <w:r w:rsidR="00A87535">
        <w:t xml:space="preserve"> data on</w:t>
      </w:r>
      <w:r>
        <w:t>:</w:t>
      </w:r>
    </w:p>
    <w:p w:rsidR="00476770" w:rsidP="009B00D5" w:rsidRDefault="00476770" w14:paraId="361C5354" w14:textId="77777777">
      <w:pPr>
        <w:tabs>
          <w:tab w:val="left" w:pos="3370"/>
        </w:tabs>
        <w:autoSpaceDE w:val="0"/>
        <w:autoSpaceDN w:val="0"/>
        <w:adjustRightInd w:val="0"/>
        <w:ind w:right="-900"/>
        <w:outlineLvl w:val="0"/>
        <w:rPr>
          <w:szCs w:val="24"/>
        </w:rPr>
      </w:pPr>
    </w:p>
    <w:p w:rsidRPr="001A6955" w:rsidR="001A6955" w:rsidRDefault="001A6955" w14:paraId="77B59F4B" w14:textId="77777777">
      <w:pPr>
        <w:pStyle w:val="ListParagraph"/>
        <w:numPr>
          <w:ilvl w:val="0"/>
          <w:numId w:val="31"/>
        </w:numPr>
        <w:tabs>
          <w:tab w:val="left" w:pos="3370"/>
        </w:tabs>
        <w:autoSpaceDE w:val="0"/>
        <w:autoSpaceDN w:val="0"/>
        <w:adjustRightInd w:val="0"/>
        <w:ind w:right="-900"/>
        <w:outlineLvl w:val="0"/>
        <w:rPr>
          <w:szCs w:val="24"/>
        </w:rPr>
      </w:pPr>
      <w:r>
        <w:t>Reported overdose reversals;</w:t>
      </w:r>
    </w:p>
    <w:p w:rsidRPr="00284377" w:rsidR="002B1490" w:rsidP="004A33A7" w:rsidRDefault="002B1490" w14:paraId="0DAD0206" w14:textId="30AB9967">
      <w:pPr>
        <w:pStyle w:val="ListParagraph"/>
        <w:numPr>
          <w:ilvl w:val="0"/>
          <w:numId w:val="31"/>
        </w:numPr>
        <w:tabs>
          <w:tab w:val="left" w:pos="3370"/>
        </w:tabs>
        <w:autoSpaceDE w:val="0"/>
        <w:autoSpaceDN w:val="0"/>
        <w:adjustRightInd w:val="0"/>
        <w:ind w:right="-900"/>
        <w:outlineLvl w:val="0"/>
        <w:rPr>
          <w:szCs w:val="24"/>
        </w:rPr>
      </w:pPr>
      <w:r w:rsidRPr="002B1490">
        <w:rPr>
          <w:szCs w:val="24"/>
        </w:rPr>
        <w:t>T</w:t>
      </w:r>
      <w:r w:rsidRPr="002B1490" w:rsidR="00A87535">
        <w:rPr>
          <w:szCs w:val="24"/>
        </w:rPr>
        <w:t>he purchase and</w:t>
      </w:r>
      <w:r w:rsidRPr="00284377" w:rsidR="00A87535">
        <w:rPr>
          <w:szCs w:val="24"/>
        </w:rPr>
        <w:t xml:space="preserve"> distribution of naloxone</w:t>
      </w:r>
      <w:r w:rsidR="00CA192F">
        <w:rPr>
          <w:szCs w:val="24"/>
        </w:rPr>
        <w:t>;</w:t>
      </w:r>
    </w:p>
    <w:p w:rsidRPr="001C426C" w:rsidR="002B1490" w:rsidP="004A33A7" w:rsidRDefault="002B1490" w14:paraId="41336ABC" w14:textId="4228DC75">
      <w:pPr>
        <w:pStyle w:val="ListParagraph"/>
        <w:numPr>
          <w:ilvl w:val="0"/>
          <w:numId w:val="31"/>
        </w:numPr>
        <w:tabs>
          <w:tab w:val="left" w:pos="3370"/>
        </w:tabs>
        <w:autoSpaceDE w:val="0"/>
        <w:autoSpaceDN w:val="0"/>
        <w:adjustRightInd w:val="0"/>
        <w:ind w:right="-900"/>
        <w:outlineLvl w:val="0"/>
        <w:rPr>
          <w:szCs w:val="24"/>
        </w:rPr>
      </w:pPr>
      <w:r w:rsidRPr="001C426C">
        <w:rPr>
          <w:szCs w:val="24"/>
        </w:rPr>
        <w:t>T</w:t>
      </w:r>
      <w:r w:rsidRPr="001C426C" w:rsidR="00A87535">
        <w:rPr>
          <w:szCs w:val="24"/>
        </w:rPr>
        <w:t xml:space="preserve">raining on the administration of naloxone; </w:t>
      </w:r>
    </w:p>
    <w:p w:rsidRPr="00DE4C7F" w:rsidR="002B1490" w:rsidP="004A33A7" w:rsidRDefault="002B1490" w14:paraId="6C927DDE" w14:textId="349E5EC1">
      <w:pPr>
        <w:pStyle w:val="ListParagraph"/>
        <w:numPr>
          <w:ilvl w:val="0"/>
          <w:numId w:val="31"/>
        </w:numPr>
        <w:tabs>
          <w:tab w:val="left" w:pos="3370"/>
        </w:tabs>
        <w:autoSpaceDE w:val="0"/>
        <w:autoSpaceDN w:val="0"/>
        <w:adjustRightInd w:val="0"/>
        <w:ind w:right="-900"/>
        <w:outlineLvl w:val="0"/>
        <w:rPr>
          <w:szCs w:val="24"/>
        </w:rPr>
      </w:pPr>
      <w:r w:rsidRPr="00DE4C7F">
        <w:rPr>
          <w:szCs w:val="24"/>
        </w:rPr>
        <w:t>I</w:t>
      </w:r>
      <w:r w:rsidRPr="00DE4C7F" w:rsidR="00A87535">
        <w:rPr>
          <w:szCs w:val="24"/>
        </w:rPr>
        <w:t xml:space="preserve">mplementation of prevention and education activities; </w:t>
      </w:r>
    </w:p>
    <w:p w:rsidRPr="00C42094" w:rsidR="002B1490" w:rsidP="004A33A7" w:rsidRDefault="002B1490" w14:paraId="4AF3AA1B" w14:textId="3AA5DB52">
      <w:pPr>
        <w:pStyle w:val="ListParagraph"/>
        <w:numPr>
          <w:ilvl w:val="0"/>
          <w:numId w:val="31"/>
        </w:numPr>
        <w:tabs>
          <w:tab w:val="left" w:pos="3370"/>
        </w:tabs>
        <w:autoSpaceDE w:val="0"/>
        <w:autoSpaceDN w:val="0"/>
        <w:adjustRightInd w:val="0"/>
        <w:ind w:right="-900"/>
        <w:outlineLvl w:val="0"/>
        <w:rPr>
          <w:szCs w:val="24"/>
        </w:rPr>
      </w:pPr>
      <w:r w:rsidRPr="00C42094">
        <w:rPr>
          <w:szCs w:val="24"/>
        </w:rPr>
        <w:t>O</w:t>
      </w:r>
      <w:r w:rsidRPr="00C42094" w:rsidR="00A87535">
        <w:rPr>
          <w:szCs w:val="24"/>
        </w:rPr>
        <w:t xml:space="preserve">utreach activities for underserved communities; and </w:t>
      </w:r>
    </w:p>
    <w:p w:rsidRPr="00E87D0E" w:rsidR="002B1490" w:rsidP="004A33A7" w:rsidRDefault="002B1490" w14:paraId="00D19C6A" w14:textId="0BF239E9">
      <w:pPr>
        <w:pStyle w:val="ListParagraph"/>
        <w:numPr>
          <w:ilvl w:val="0"/>
          <w:numId w:val="31"/>
        </w:numPr>
        <w:tabs>
          <w:tab w:val="left" w:pos="3370"/>
        </w:tabs>
        <w:autoSpaceDE w:val="0"/>
        <w:autoSpaceDN w:val="0"/>
        <w:adjustRightInd w:val="0"/>
        <w:ind w:right="-900"/>
        <w:outlineLvl w:val="0"/>
        <w:rPr>
          <w:szCs w:val="24"/>
        </w:rPr>
      </w:pPr>
      <w:r w:rsidRPr="00E87D0E">
        <w:rPr>
          <w:szCs w:val="24"/>
        </w:rPr>
        <w:t>T</w:t>
      </w:r>
      <w:r w:rsidRPr="00E87D0E" w:rsidR="00A87535">
        <w:rPr>
          <w:szCs w:val="24"/>
        </w:rPr>
        <w:t>he purchase and distribution of fentanyl test strips.</w:t>
      </w:r>
      <w:r w:rsidRPr="00E87D0E" w:rsidR="00DA61E6">
        <w:rPr>
          <w:szCs w:val="24"/>
        </w:rPr>
        <w:t xml:space="preserve">  </w:t>
      </w:r>
    </w:p>
    <w:p w:rsidR="002B1490" w:rsidP="009B00D5" w:rsidRDefault="002B1490" w14:paraId="046A3061" w14:textId="77777777">
      <w:pPr>
        <w:tabs>
          <w:tab w:val="left" w:pos="3370"/>
        </w:tabs>
        <w:autoSpaceDE w:val="0"/>
        <w:autoSpaceDN w:val="0"/>
        <w:adjustRightInd w:val="0"/>
        <w:ind w:right="-900"/>
        <w:outlineLvl w:val="0"/>
        <w:rPr>
          <w:szCs w:val="24"/>
        </w:rPr>
      </w:pPr>
    </w:p>
    <w:p w:rsidRPr="00480B30" w:rsidR="009B00D5" w:rsidP="009B00D5" w:rsidRDefault="009B00D5" w14:paraId="78CEB09C" w14:textId="2459C882">
      <w:pPr>
        <w:tabs>
          <w:tab w:val="left" w:pos="3370"/>
        </w:tabs>
        <w:autoSpaceDE w:val="0"/>
        <w:autoSpaceDN w:val="0"/>
        <w:adjustRightInd w:val="0"/>
        <w:ind w:right="-900"/>
        <w:outlineLvl w:val="0"/>
        <w:rPr>
          <w:szCs w:val="18"/>
        </w:rPr>
      </w:pPr>
      <w:r>
        <w:rPr>
          <w:szCs w:val="18"/>
        </w:rPr>
        <w:t xml:space="preserve">This </w:t>
      </w:r>
      <w:r w:rsidR="00B84B3A">
        <w:rPr>
          <w:szCs w:val="18"/>
        </w:rPr>
        <w:t xml:space="preserve">program </w:t>
      </w:r>
      <w:r>
        <w:rPr>
          <w:szCs w:val="18"/>
        </w:rPr>
        <w:t xml:space="preserve">level information </w:t>
      </w:r>
      <w:r w:rsidR="00B84B3A">
        <w:rPr>
          <w:szCs w:val="18"/>
        </w:rPr>
        <w:t>is</w:t>
      </w:r>
      <w:r>
        <w:rPr>
          <w:szCs w:val="18"/>
        </w:rPr>
        <w:t xml:space="preserve"> collected quarterly. </w:t>
      </w:r>
      <w:r w:rsidRPr="00CB3B8E">
        <w:t xml:space="preserve">In order to be fully accountable for the spending of federal funds, SAMHSA/CSAT requires all </w:t>
      </w:r>
      <w:r>
        <w:t>SOR/TOR grantees</w:t>
      </w:r>
      <w:r w:rsidRPr="00CB3B8E">
        <w:t xml:space="preserve"> to collect and report data </w:t>
      </w:r>
      <w:r>
        <w:t>to ensure</w:t>
      </w:r>
      <w:r w:rsidRPr="00CB3B8E">
        <w:t xml:space="preserve"> </w:t>
      </w:r>
      <w:r w:rsidR="001E0BF5">
        <w:t xml:space="preserve">that </w:t>
      </w:r>
      <w:r w:rsidRPr="00CB3B8E">
        <w:t>program goals and objectives are met.  Data collected as part of this package are used a</w:t>
      </w:r>
      <w:r>
        <w:t>s a</w:t>
      </w:r>
      <w:r w:rsidRPr="00CB3B8E">
        <w:t xml:space="preserve"> tool to monitor performance through the grant period.  </w:t>
      </w:r>
      <w:r>
        <w:t xml:space="preserve">All data under this request will be collected electronically in SAMHSA’s Performance and Accountability Reporting System (SPARS). </w:t>
      </w:r>
    </w:p>
    <w:p w:rsidR="009B00D5" w:rsidP="008B7F2C" w:rsidRDefault="009B00D5" w14:paraId="2C5A3EED" w14:textId="77777777"/>
    <w:p w:rsidRPr="00CB3B8E" w:rsidR="005A4A00" w:rsidP="005A4A00" w:rsidRDefault="005A4A00" w14:paraId="1D2CD40E" w14:textId="236DF92C">
      <w:r w:rsidRPr="008D641B">
        <w:t xml:space="preserve">Approval of this information collection will allow SAMHSA to continue to meet </w:t>
      </w:r>
      <w:r w:rsidRPr="008D641B" w:rsidR="00576A97">
        <w:rPr>
          <w:szCs w:val="24"/>
        </w:rPr>
        <w:t>the Government Performance and Results Modernization Act</w:t>
      </w:r>
      <w:r w:rsidR="00483B31">
        <w:rPr>
          <w:szCs w:val="24"/>
        </w:rPr>
        <w:t xml:space="preserve"> (GPRA)</w:t>
      </w:r>
      <w:r w:rsidRPr="008D641B" w:rsidR="00576A97">
        <w:rPr>
          <w:szCs w:val="24"/>
        </w:rPr>
        <w:t xml:space="preserve"> of 2010 </w:t>
      </w:r>
      <w:r w:rsidRPr="008D641B">
        <w:t>reporting</w:t>
      </w:r>
      <w:r w:rsidRPr="00CB3B8E">
        <w:t xml:space="preserve"> requirements that quantify the effects and accomplishments of its discretionary grant programs</w:t>
      </w:r>
      <w:r w:rsidR="001E0BF5">
        <w:t>,</w:t>
      </w:r>
      <w:r w:rsidRPr="00CB3B8E">
        <w:t xml:space="preserve"> which are consistent with OMB guidance.  </w:t>
      </w:r>
    </w:p>
    <w:p w:rsidRPr="00CB3B8E" w:rsidR="005A4A00" w:rsidP="005A4A00" w:rsidRDefault="005A4A00" w14:paraId="5BCFDB46" w14:textId="77777777"/>
    <w:p w:rsidRPr="00CB3B8E" w:rsidR="005A4A00" w:rsidP="004A33A7" w:rsidRDefault="005A4A00" w14:paraId="18436C7C" w14:textId="484DBB70">
      <w:r>
        <w:t xml:space="preserve">In order to carry out section 1105(a) (29) of the GPRA, SAMHSA is required to prepare a performance plan for its major </w:t>
      </w:r>
      <w:r w:rsidR="00C74897">
        <w:t>program activities</w:t>
      </w:r>
      <w:r>
        <w:t xml:space="preserve">.  </w:t>
      </w:r>
    </w:p>
    <w:p w:rsidRPr="00CB3B8E" w:rsidR="005A4A00" w:rsidP="005A4A00" w:rsidRDefault="005A4A00" w14:paraId="6DA591B5" w14:textId="77777777"/>
    <w:p w:rsidRPr="00CB3B8E" w:rsidR="00610C34" w:rsidP="005A4A00" w:rsidRDefault="005A4A00" w14:paraId="6E0354FD" w14:textId="691C91FA">
      <w:r>
        <w:t>SAMHSA’s legislative mandate</w:t>
      </w:r>
      <w:r w:rsidR="5D8D2DA0">
        <w:t xml:space="preserve"> includes</w:t>
      </w:r>
      <w:r>
        <w:t xml:space="preserve"> increas</w:t>
      </w:r>
      <w:r w:rsidR="640C3364">
        <w:t>ing</w:t>
      </w:r>
      <w:r>
        <w:t xml:space="preserve"> access to high quality prevention services and to improve outcomes.  Its mission is to reduce the impact of substance use and mental illness on our communities.  </w:t>
      </w:r>
    </w:p>
    <w:p w:rsidRPr="00705E94" w:rsidR="005A4A00" w:rsidP="005A4A00" w:rsidRDefault="005A4A00" w14:paraId="52EA6CBD" w14:textId="77777777">
      <w:pPr>
        <w:rPr>
          <w:b/>
        </w:rPr>
      </w:pPr>
      <w:r>
        <w:rPr>
          <w:b/>
        </w:rPr>
        <w:lastRenderedPageBreak/>
        <w:t>A</w:t>
      </w:r>
      <w:r w:rsidRPr="00705E94">
        <w:rPr>
          <w:b/>
        </w:rPr>
        <w:t xml:space="preserve">2. </w:t>
      </w:r>
      <w:r>
        <w:rPr>
          <w:b/>
        </w:rPr>
        <w:t xml:space="preserve"> </w:t>
      </w:r>
      <w:r w:rsidRPr="00705E94">
        <w:rPr>
          <w:b/>
        </w:rPr>
        <w:t xml:space="preserve"> </w:t>
      </w:r>
      <w:r w:rsidRPr="00446BA6">
        <w:rPr>
          <w:b/>
          <w:bCs/>
        </w:rPr>
        <w:t xml:space="preserve">  Purposes and Use of Information </w:t>
      </w:r>
    </w:p>
    <w:p w:rsidRPr="006F61E0" w:rsidR="00E6628B" w:rsidP="00E6628B" w:rsidRDefault="00E6628B" w14:paraId="065A770A" w14:textId="77777777"/>
    <w:p w:rsidR="005A4A00" w:rsidP="005A4A00" w:rsidRDefault="005A4A00" w14:paraId="57956F15" w14:textId="25A97B4A">
      <w:r>
        <w:t xml:space="preserve">SAMHSA uses </w:t>
      </w:r>
      <w:r w:rsidR="001E2850">
        <w:t xml:space="preserve">this </w:t>
      </w:r>
      <w:r w:rsidR="00E952A9">
        <w:t xml:space="preserve">information </w:t>
      </w:r>
      <w:r>
        <w:t>to report on the performance</w:t>
      </w:r>
      <w:r w:rsidR="001E2850">
        <w:t xml:space="preserve"> and outcomes</w:t>
      </w:r>
      <w:r>
        <w:t xml:space="preserve"> of its </w:t>
      </w:r>
      <w:r w:rsidR="009B00D5">
        <w:t xml:space="preserve">SOR/TOR </w:t>
      </w:r>
      <w:r>
        <w:t>programs</w:t>
      </w:r>
      <w:r w:rsidR="0083301F">
        <w:t xml:space="preserve">.  </w:t>
      </w:r>
      <w:r>
        <w:t>The information is used by individuals at different levels:</w:t>
      </w:r>
      <w:r w:rsidR="0083301F">
        <w:t xml:space="preserve"> </w:t>
      </w:r>
      <w:r>
        <w:t xml:space="preserve">the </w:t>
      </w:r>
      <w:r w:rsidR="00CF35DF">
        <w:t xml:space="preserve">Assistant Secretary </w:t>
      </w:r>
      <w:r>
        <w:t xml:space="preserve">and </w:t>
      </w:r>
      <w:r w:rsidR="00CF35DF">
        <w:t xml:space="preserve">SAMHSA </w:t>
      </w:r>
      <w:r>
        <w:t xml:space="preserve">staff, the Center </w:t>
      </w:r>
      <w:r w:rsidR="00451D27">
        <w:t>administrators,</w:t>
      </w:r>
      <w:r>
        <w:t xml:space="preserve"> </w:t>
      </w:r>
      <w:r w:rsidR="00A016C6">
        <w:t>Government Project Officers</w:t>
      </w:r>
      <w:r w:rsidR="00FD6723">
        <w:t xml:space="preserve"> (GPOs)</w:t>
      </w:r>
      <w:r>
        <w:t xml:space="preserve">, and grantees:  </w:t>
      </w:r>
    </w:p>
    <w:p w:rsidR="005A4A00" w:rsidP="005A4A00" w:rsidRDefault="005A4A00" w14:paraId="1AD3582A" w14:textId="77777777"/>
    <w:p w:rsidR="005A4A00" w:rsidP="005A4A00" w:rsidRDefault="00354744" w14:paraId="38EA0D70" w14:textId="77777777">
      <w:pPr>
        <w:ind w:left="720"/>
      </w:pPr>
      <w:r w:rsidRPr="5355D8B4">
        <w:rPr>
          <w:b/>
          <w:bCs/>
        </w:rPr>
        <w:t>Assistant Secretary</w:t>
      </w:r>
      <w:r w:rsidRPr="5355D8B4" w:rsidR="009C2CB6">
        <w:rPr>
          <w:b/>
          <w:bCs/>
        </w:rPr>
        <w:t xml:space="preserve"> </w:t>
      </w:r>
      <w:r w:rsidRPr="5355D8B4" w:rsidR="005A4A00">
        <w:rPr>
          <w:b/>
          <w:bCs/>
        </w:rPr>
        <w:t>Level</w:t>
      </w:r>
      <w:r>
        <w:t xml:space="preserve"> – </w:t>
      </w:r>
      <w:r w:rsidR="009B00D5">
        <w:t>The information is used to inform the administration of the performance of the SOR/TOR programs.</w:t>
      </w:r>
      <w:r w:rsidR="0A4D4A23">
        <w:t xml:space="preserve"> </w:t>
      </w:r>
    </w:p>
    <w:p w:rsidR="0067073A" w:rsidP="005A4A00" w:rsidRDefault="0067073A" w14:paraId="061254C9" w14:textId="77777777">
      <w:pPr>
        <w:ind w:firstLine="720"/>
      </w:pPr>
    </w:p>
    <w:p w:rsidR="005A4A00" w:rsidP="005A4A00" w:rsidRDefault="005A4A00" w14:paraId="084B675C" w14:textId="77777777">
      <w:pPr>
        <w:ind w:left="720"/>
      </w:pPr>
      <w:r w:rsidRPr="00C42FF7">
        <w:rPr>
          <w:b/>
        </w:rPr>
        <w:t>C</w:t>
      </w:r>
      <w:r>
        <w:rPr>
          <w:b/>
        </w:rPr>
        <w:t xml:space="preserve">enter </w:t>
      </w:r>
      <w:r w:rsidRPr="00C42FF7">
        <w:rPr>
          <w:b/>
        </w:rPr>
        <w:t>Level</w:t>
      </w:r>
      <w:r w:rsidR="00354744">
        <w:t xml:space="preserve"> – </w:t>
      </w:r>
      <w:r>
        <w:t xml:space="preserve">In addition to </w:t>
      </w:r>
      <w:r w:rsidR="004754BA">
        <w:t xml:space="preserve">providing information about </w:t>
      </w:r>
      <w:r>
        <w:t xml:space="preserve">the performance of the </w:t>
      </w:r>
      <w:r w:rsidR="009B00D5">
        <w:t xml:space="preserve">SOR/TOR </w:t>
      </w:r>
      <w:r>
        <w:t xml:space="preserve">programs, the information </w:t>
      </w:r>
      <w:r w:rsidR="00262CB0">
        <w:t>is</w:t>
      </w:r>
      <w:r w:rsidR="004754BA">
        <w:t xml:space="preserve"> </w:t>
      </w:r>
      <w:r>
        <w:t>used to monitor and manage individual grant projects within each program</w:t>
      </w:r>
      <w:r w:rsidR="0083301F">
        <w:t xml:space="preserve">.  </w:t>
      </w:r>
      <w:r>
        <w:t xml:space="preserve">The information </w:t>
      </w:r>
      <w:r w:rsidR="00262CB0">
        <w:t>is</w:t>
      </w:r>
      <w:r w:rsidR="004754BA">
        <w:t xml:space="preserve"> used by</w:t>
      </w:r>
      <w:r>
        <w:t xml:space="preserve"> </w:t>
      </w:r>
      <w:r w:rsidR="004754BA">
        <w:t>GPOs</w:t>
      </w:r>
      <w:r>
        <w:t xml:space="preserve"> </w:t>
      </w:r>
      <w:r w:rsidR="004754BA">
        <w:t>to identify program strengths and weaknesses, to provide an informed basis for providing technical assistance and other support to grantees, to inform funding decisions, and to identify potential issues for additional evaluation</w:t>
      </w:r>
      <w:r>
        <w:t xml:space="preserve"> </w:t>
      </w:r>
    </w:p>
    <w:p w:rsidR="005A4A00" w:rsidP="005A4A00" w:rsidRDefault="005A4A00" w14:paraId="4FC8DAB6" w14:textId="77777777">
      <w:pPr>
        <w:ind w:firstLine="720"/>
      </w:pPr>
    </w:p>
    <w:p w:rsidR="005A4A00" w:rsidP="005A4A00" w:rsidRDefault="005A4A00" w14:paraId="677B4AFC" w14:textId="77777777">
      <w:pPr>
        <w:ind w:left="720"/>
      </w:pPr>
      <w:r w:rsidRPr="5355D8B4">
        <w:rPr>
          <w:b/>
          <w:bCs/>
        </w:rPr>
        <w:t>Grantee Level</w:t>
      </w:r>
      <w:r w:rsidR="00354744">
        <w:t xml:space="preserve"> – </w:t>
      </w:r>
      <w:r>
        <w:t xml:space="preserve">In addition to monitoring performance </w:t>
      </w:r>
      <w:r w:rsidR="00656DD3">
        <w:t xml:space="preserve">and </w:t>
      </w:r>
      <w:r>
        <w:t xml:space="preserve">outcomes, the grantee staff uses the information to improve the quality of </w:t>
      </w:r>
      <w:r w:rsidR="610CFDC5">
        <w:t>prevention</w:t>
      </w:r>
      <w:r w:rsidR="00A60A4E">
        <w:t xml:space="preserve"> </w:t>
      </w:r>
      <w:r>
        <w:t xml:space="preserve">services provided to clients within their projects.  </w:t>
      </w:r>
    </w:p>
    <w:p w:rsidR="005A4A00" w:rsidP="005A4A00" w:rsidRDefault="005A4A00" w14:paraId="7FF8A1B3" w14:textId="77777777"/>
    <w:p w:rsidR="00280770" w:rsidP="005A4A00" w:rsidRDefault="00280770" w14:paraId="00604F69" w14:textId="71EB8E69">
      <w:bookmarkStart w:name="_Hlk71035741" w:id="0"/>
      <w:r>
        <w:t xml:space="preserve">SAMHSA and CSAT will use the data to better assess grantee accountability and performance on the required education and prevention activities for the SOR/TOR programs.  SAMHSA will </w:t>
      </w:r>
      <w:r w:rsidR="00596A73">
        <w:t xml:space="preserve">also </w:t>
      </w:r>
      <w:r>
        <w:t>use the data</w:t>
      </w:r>
      <w:r w:rsidR="00596A73">
        <w:t xml:space="preserve"> collected through the revised tool</w:t>
      </w:r>
      <w:r>
        <w:t xml:space="preserve"> to implement recommendations resulting from the GAO study, “</w:t>
      </w:r>
      <w:r w:rsidR="00F57D8E">
        <w:t>Drug Misuse</w:t>
      </w:r>
      <w:r>
        <w:t>: Agencies Have Not Fully Identified How Grants That Can Support Drug Prevention Education Programs Contribute to National Goals (GAO-21-96)</w:t>
      </w:r>
      <w:r w:rsidR="484A462A">
        <w:t>.</w:t>
      </w:r>
      <w:r>
        <w:t>”</w:t>
      </w:r>
      <w:r w:rsidRPr="45AA5890">
        <w:rPr>
          <w:rStyle w:val="FootnoteReference"/>
        </w:rPr>
        <w:footnoteReference w:id="1"/>
      </w:r>
      <w:r w:rsidR="00CA192F">
        <w:t xml:space="preserve"> </w:t>
      </w:r>
      <w:r w:rsidR="00DA61E6">
        <w:t xml:space="preserve">Finally, the revisions will assist SAMHSA in </w:t>
      </w:r>
      <w:bookmarkStart w:name="_Hlk71793456" w:id="1"/>
      <w:r w:rsidR="00DA61E6">
        <w:t>providing comprehensive data on the full range of required activities to inform Congressionally</w:t>
      </w:r>
      <w:r w:rsidR="00F57D8E">
        <w:t xml:space="preserve"> </w:t>
      </w:r>
      <w:r w:rsidR="00DA61E6">
        <w:t>mandated reports for the SOR program.</w:t>
      </w:r>
      <w:bookmarkStart w:name="_Hlk71036054" w:id="2"/>
      <w:bookmarkStart w:name="_Hlk71036231" w:id="3"/>
      <w:bookmarkEnd w:id="0"/>
      <w:bookmarkEnd w:id="2"/>
      <w:bookmarkEnd w:id="3"/>
    </w:p>
    <w:bookmarkEnd w:id="1"/>
    <w:p w:rsidR="00DA61E6" w:rsidP="00262CB0" w:rsidRDefault="00DA61E6" w14:paraId="09D31A88" w14:textId="77777777">
      <w:pPr>
        <w:rPr>
          <w:b/>
          <w:u w:val="single"/>
        </w:rPr>
      </w:pPr>
    </w:p>
    <w:p w:rsidRPr="00CD0B63" w:rsidR="00262CB0" w:rsidP="00262CB0" w:rsidRDefault="00262CB0" w14:paraId="02AD8D68" w14:textId="77777777">
      <w:pPr>
        <w:rPr>
          <w:b/>
          <w:u w:val="single"/>
        </w:rPr>
      </w:pPr>
      <w:r w:rsidRPr="001063A0">
        <w:rPr>
          <w:b/>
          <w:u w:val="single"/>
        </w:rPr>
        <w:t>Proposed Changes to Data Collection Tool</w:t>
      </w:r>
    </w:p>
    <w:p w:rsidR="00262CB0" w:rsidP="00262CB0" w:rsidRDefault="00262CB0" w14:paraId="571680E6" w14:textId="77777777"/>
    <w:p w:rsidR="0076577C" w:rsidP="001B6C43" w:rsidRDefault="0076577C" w14:paraId="7F2D646F" w14:textId="33070F54">
      <w:pPr>
        <w:widowControl w:val="0"/>
      </w:pPr>
      <w:r w:rsidRPr="003C3C94">
        <w:rPr>
          <w:color w:val="000000" w:themeColor="text1"/>
        </w:rPr>
        <w:t xml:space="preserve">SAMHSA is proposing </w:t>
      </w:r>
      <w:r w:rsidRPr="00EC6225">
        <w:rPr>
          <w:color w:val="000000" w:themeColor="text1"/>
        </w:rPr>
        <w:t>to</w:t>
      </w:r>
      <w:r w:rsidRPr="003C3C94">
        <w:rPr>
          <w:color w:val="000000" w:themeColor="text1"/>
        </w:rPr>
        <w:t xml:space="preserve"> revis</w:t>
      </w:r>
      <w:r w:rsidRPr="00EC6225">
        <w:rPr>
          <w:color w:val="000000" w:themeColor="text1"/>
        </w:rPr>
        <w:t xml:space="preserve">e the SOR/TOR Program Instrument </w:t>
      </w:r>
      <w:r w:rsidRPr="003C3C94">
        <w:rPr>
          <w:color w:val="000000" w:themeColor="text1"/>
        </w:rPr>
        <w:t>data collection instrument (OMB No. 0930-0384)</w:t>
      </w:r>
      <w:r w:rsidR="00F57D8E">
        <w:rPr>
          <w:color w:val="000000" w:themeColor="text1"/>
        </w:rPr>
        <w:t>,</w:t>
      </w:r>
      <w:r w:rsidRPr="003C3C94">
        <w:rPr>
          <w:color w:val="000000" w:themeColor="text1"/>
        </w:rPr>
        <w:t xml:space="preserve"> </w:t>
      </w:r>
      <w:r w:rsidRPr="00EC6225">
        <w:rPr>
          <w:color w:val="000000" w:themeColor="text1"/>
        </w:rPr>
        <w:t xml:space="preserve">to collect information on </w:t>
      </w:r>
      <w:r w:rsidRPr="00EC6225" w:rsidR="00451D27">
        <w:rPr>
          <w:color w:val="000000" w:themeColor="text1"/>
        </w:rPr>
        <w:t>Congressionally</w:t>
      </w:r>
      <w:r w:rsidR="00451D27">
        <w:t xml:space="preserve"> mandated</w:t>
      </w:r>
      <w:r w:rsidRPr="00007AA6">
        <w:t xml:space="preserve"> </w:t>
      </w:r>
      <w:r>
        <w:t xml:space="preserve">and programmatic </w:t>
      </w:r>
      <w:r w:rsidRPr="00007AA6" w:rsidR="007F5033">
        <w:t>activities</w:t>
      </w:r>
      <w:r w:rsidR="007F5033">
        <w:t xml:space="preserve"> and</w:t>
      </w:r>
      <w:r w:rsidRPr="00007AA6">
        <w:t xml:space="preserve"> </w:t>
      </w:r>
      <w:r>
        <w:t xml:space="preserve">comply with </w:t>
      </w:r>
      <w:r w:rsidRPr="00007AA6">
        <w:t>reporting requirements.</w:t>
      </w:r>
      <w:r w:rsidRPr="00C74897">
        <w:t xml:space="preserve"> </w:t>
      </w:r>
    </w:p>
    <w:p w:rsidR="00E42717" w:rsidP="001B6C43" w:rsidRDefault="00E42717" w14:paraId="0B72FD80" w14:textId="77777777">
      <w:pPr>
        <w:widowControl w:val="0"/>
        <w:rPr>
          <w:szCs w:val="24"/>
        </w:rPr>
      </w:pPr>
    </w:p>
    <w:p w:rsidRPr="00280770" w:rsidR="001B6C43" w:rsidP="001B6C43" w:rsidRDefault="005A3862" w14:paraId="5573BEB0" w14:textId="2ECD0BCE">
      <w:pPr>
        <w:widowControl w:val="0"/>
      </w:pPr>
      <w:r>
        <w:t xml:space="preserve">SAMHSA </w:t>
      </w:r>
      <w:r w:rsidR="00D4139E">
        <w:t xml:space="preserve">originally </w:t>
      </w:r>
      <w:r>
        <w:t xml:space="preserve">developed the SOR/TOR Program Instrument to collect minimum data on naloxone purchase and </w:t>
      </w:r>
      <w:r w:rsidR="00451D27">
        <w:t>distribution,</w:t>
      </w:r>
      <w:r>
        <w:t xml:space="preserve"> but t</w:t>
      </w:r>
      <w:r w:rsidR="001B6C43">
        <w:t xml:space="preserve">he SOR/TOR programs are unique in that </w:t>
      </w:r>
      <w:r w:rsidR="6C240236">
        <w:t>they</w:t>
      </w:r>
      <w:r w:rsidR="001B6C43">
        <w:t xml:space="preserve"> have prevention requirements. SOR/TOR grantees are required to engage in the following prevention activities: (1) Implement prevention and education services including training of peers and first responders on recognition of opioid overdose and appropriate use of the opioid overdose antidote naloxone</w:t>
      </w:r>
      <w:r w:rsidR="00F57D8E">
        <w:t>;</w:t>
      </w:r>
      <w:r w:rsidR="001B6C43">
        <w:t xml:space="preserve"> (2) </w:t>
      </w:r>
      <w:r w:rsidR="00D4139E">
        <w:t>D</w:t>
      </w:r>
      <w:r w:rsidR="001B6C43">
        <w:t>evelop evidence-based community prevention efforts, including strategic messaging on the consequences of opioid misuse</w:t>
      </w:r>
      <w:r w:rsidR="00F57D8E">
        <w:t>;</w:t>
      </w:r>
      <w:r w:rsidR="001B6C43">
        <w:t xml:space="preserve"> and (3) </w:t>
      </w:r>
      <w:r w:rsidR="00D4139E">
        <w:t>P</w:t>
      </w:r>
      <w:r w:rsidR="001B6C43">
        <w:t xml:space="preserve">urchase and distribute naloxone and train on its use. The revised tool will allow SAMHSA to collect data on the required education and prevention activities, and better assess grantee performance on these activities. </w:t>
      </w:r>
    </w:p>
    <w:p w:rsidR="00280770" w:rsidP="000859CE" w:rsidRDefault="00280770" w14:paraId="54673FB3" w14:textId="77777777">
      <w:pPr>
        <w:widowControl w:val="0"/>
        <w:rPr>
          <w:szCs w:val="24"/>
        </w:rPr>
      </w:pPr>
    </w:p>
    <w:p w:rsidRPr="00DA61E6" w:rsidR="00280770" w:rsidP="00280770" w:rsidRDefault="000859CE" w14:paraId="1803A719" w14:textId="0C1E693E">
      <w:pPr>
        <w:widowControl w:val="0"/>
        <w:rPr>
          <w:szCs w:val="24"/>
        </w:rPr>
      </w:pPr>
      <w:r w:rsidRPr="00280770">
        <w:rPr>
          <w:szCs w:val="24"/>
        </w:rPr>
        <w:t>Based on a recent United States Government Accountability Office (GAO) Report to Congress GAO 21-96, ‘</w:t>
      </w:r>
      <w:r w:rsidRPr="00280770" w:rsidR="00F57D8E">
        <w:rPr>
          <w:szCs w:val="24"/>
        </w:rPr>
        <w:t>Drug Misuse</w:t>
      </w:r>
      <w:r w:rsidRPr="00280770">
        <w:rPr>
          <w:szCs w:val="24"/>
        </w:rPr>
        <w:t xml:space="preserve">: Agencies Have Not Fully Identified How Grants That Can Support Drug Prevention Education Programs Contribute to National Goals,’ GAO found that </w:t>
      </w:r>
      <w:r w:rsidRPr="00280770">
        <w:t xml:space="preserve">SAMHSA’s performance measures for the SOR program partially reflect its core program activities, and that although SAMHSA reported three performance measures for the </w:t>
      </w:r>
      <w:r w:rsidRPr="00280770" w:rsidR="001B6C43">
        <w:t>SOR</w:t>
      </w:r>
      <w:r w:rsidRPr="00280770">
        <w:t xml:space="preserve"> program, all three measures focused on treatment or recovery services only</w:t>
      </w:r>
      <w:r w:rsidRPr="00280770" w:rsidR="001B6C43">
        <w:t>.  GAO recommended</w:t>
      </w:r>
      <w:r w:rsidR="00D4139E">
        <w:t>, and SAMHSA agreed to,</w:t>
      </w:r>
      <w:r w:rsidRPr="00280770" w:rsidR="001B6C43">
        <w:t xml:space="preserve"> the following:</w:t>
      </w:r>
      <w:r w:rsidR="00DA61E6">
        <w:rPr>
          <w:szCs w:val="24"/>
        </w:rPr>
        <w:t xml:space="preserve"> </w:t>
      </w:r>
      <w:r w:rsidRPr="00280770" w:rsidR="00280770">
        <w:rPr>
          <w:color w:val="000000" w:themeColor="text1"/>
          <w:szCs w:val="24"/>
        </w:rPr>
        <w:t xml:space="preserve">“The Secretary of Health and Human Services should </w:t>
      </w:r>
      <w:bookmarkStart w:name="_Hlk71793866" w:id="4"/>
      <w:r w:rsidRPr="00280770" w:rsidR="00280770">
        <w:rPr>
          <w:color w:val="000000" w:themeColor="text1"/>
          <w:szCs w:val="24"/>
        </w:rPr>
        <w:t>determine how the State Opioid Response program contributes to the prevention goals of the National Drug Control Strategy and develop performance measures that relate to achieving those goals including the prevention education goal</w:t>
      </w:r>
      <w:bookmarkEnd w:id="4"/>
      <w:r w:rsidRPr="00280770" w:rsidR="00280770">
        <w:rPr>
          <w:color w:val="000000" w:themeColor="text1"/>
          <w:szCs w:val="24"/>
        </w:rPr>
        <w:t xml:space="preserve">.”  Collection of the data in the revised tool will enable SAMHSA to implement the recommendations of </w:t>
      </w:r>
      <w:r w:rsidR="001C0BEE">
        <w:rPr>
          <w:color w:val="000000" w:themeColor="text1"/>
          <w:szCs w:val="24"/>
        </w:rPr>
        <w:t xml:space="preserve">the </w:t>
      </w:r>
      <w:r w:rsidRPr="00280770" w:rsidR="00280770">
        <w:rPr>
          <w:color w:val="000000" w:themeColor="text1"/>
          <w:szCs w:val="24"/>
        </w:rPr>
        <w:t>GAO.</w:t>
      </w:r>
    </w:p>
    <w:p w:rsidR="00280770" w:rsidP="00280770" w:rsidRDefault="00280770" w14:paraId="5F2E213A" w14:textId="77777777">
      <w:pPr>
        <w:widowControl w:val="0"/>
        <w:rPr>
          <w:color w:val="000000" w:themeColor="text1"/>
          <w:szCs w:val="24"/>
        </w:rPr>
      </w:pPr>
    </w:p>
    <w:p w:rsidRPr="00280770" w:rsidR="00CA192F" w:rsidP="00280770" w:rsidRDefault="00280770" w14:paraId="110799CC" w14:textId="62019624">
      <w:pPr>
        <w:widowControl w:val="0"/>
        <w:rPr>
          <w:color w:val="000000" w:themeColor="text1"/>
          <w:szCs w:val="24"/>
        </w:rPr>
      </w:pPr>
      <w:r w:rsidRPr="00280770">
        <w:rPr>
          <w:color w:val="000000" w:themeColor="text1"/>
          <w:szCs w:val="24"/>
        </w:rPr>
        <w:t xml:space="preserve">Finally, SAMHSA and CSAT will use the program data for </w:t>
      </w:r>
      <w:r w:rsidRPr="00280770" w:rsidR="00451D27">
        <w:rPr>
          <w:color w:val="000000" w:themeColor="text1"/>
          <w:szCs w:val="24"/>
        </w:rPr>
        <w:t>Congressionally mandated</w:t>
      </w:r>
      <w:r w:rsidRPr="00280770">
        <w:rPr>
          <w:color w:val="000000" w:themeColor="text1"/>
          <w:szCs w:val="24"/>
        </w:rPr>
        <w:t xml:space="preserve"> SOR reports. The information collected through </w:t>
      </w:r>
      <w:r w:rsidR="00BF0412">
        <w:rPr>
          <w:color w:val="000000" w:themeColor="text1"/>
          <w:szCs w:val="24"/>
        </w:rPr>
        <w:t>the revised tool will provide</w:t>
      </w:r>
      <w:r w:rsidR="00BF0412">
        <w:t xml:space="preserve"> comprehensive data on the full range of required activities to inform </w:t>
      </w:r>
      <w:r w:rsidR="00451D27">
        <w:t>Congressionally mandated</w:t>
      </w:r>
      <w:r w:rsidR="00BF0412">
        <w:t xml:space="preserve"> reports for the SOR program.</w:t>
      </w:r>
      <w:r w:rsidRPr="00280770" w:rsidR="00BF0412">
        <w:rPr>
          <w:color w:val="000000" w:themeColor="text1"/>
          <w:szCs w:val="24"/>
        </w:rPr>
        <w:t xml:space="preserve"> </w:t>
      </w:r>
    </w:p>
    <w:p w:rsidR="00E42717" w:rsidP="00280770" w:rsidRDefault="00E42717" w14:paraId="6BA3E154" w14:textId="77777777">
      <w:pPr>
        <w:widowControl w:val="0"/>
        <w:rPr>
          <w:color w:val="000000" w:themeColor="text1"/>
          <w:szCs w:val="24"/>
        </w:rPr>
      </w:pPr>
    </w:p>
    <w:p w:rsidRPr="00280770" w:rsidR="00E42717" w:rsidP="0E2F1544" w:rsidRDefault="471A4CA8" w14:paraId="09083287" w14:textId="77777777">
      <w:pPr>
        <w:widowControl w:val="0"/>
        <w:rPr>
          <w:color w:val="000000" w:themeColor="text1"/>
        </w:rPr>
      </w:pPr>
      <w:r w:rsidRPr="0E2F1544">
        <w:rPr>
          <w:color w:val="000000" w:themeColor="text1"/>
        </w:rPr>
        <w:t>Summary of Proposed Changes:</w:t>
      </w:r>
    </w:p>
    <w:p w:rsidR="0E2F1544" w:rsidP="0E2F1544" w:rsidRDefault="0E2F1544" w14:paraId="1A8724CF" w14:textId="77777777">
      <w:pPr>
        <w:rPr>
          <w:color w:val="000000" w:themeColor="text1"/>
          <w:szCs w:val="24"/>
        </w:rPr>
      </w:pPr>
    </w:p>
    <w:p w:rsidR="004A6E78" w:rsidP="004A6E78" w:rsidRDefault="1A5294A5" w14:paraId="082E80B6" w14:textId="4A531217">
      <w:r w:rsidRPr="0E2F1544">
        <w:rPr>
          <w:color w:val="000000" w:themeColor="text1"/>
        </w:rPr>
        <w:t xml:space="preserve">The </w:t>
      </w:r>
      <w:r w:rsidRPr="0E2F1544" w:rsidR="02DB0986">
        <w:rPr>
          <w:color w:val="000000" w:themeColor="text1"/>
        </w:rPr>
        <w:t xml:space="preserve">original </w:t>
      </w:r>
      <w:r w:rsidRPr="0E2F1544" w:rsidR="268D5631">
        <w:rPr>
          <w:color w:val="000000" w:themeColor="text1"/>
        </w:rPr>
        <w:t xml:space="preserve">SOR/TOR program instrument </w:t>
      </w:r>
      <w:r w:rsidRPr="0E2F1544">
        <w:rPr>
          <w:color w:val="000000" w:themeColor="text1"/>
        </w:rPr>
        <w:t>had three questions</w:t>
      </w:r>
      <w:r w:rsidRPr="0E2F1544" w:rsidR="17E66785">
        <w:rPr>
          <w:color w:val="000000" w:themeColor="text1"/>
        </w:rPr>
        <w:t>. SAMHSA</w:t>
      </w:r>
      <w:r w:rsidRPr="0E2F1544" w:rsidR="0DDAC9F5">
        <w:rPr>
          <w:color w:val="000000" w:themeColor="text1"/>
        </w:rPr>
        <w:t xml:space="preserve"> is proposing to</w:t>
      </w:r>
      <w:r w:rsidRPr="0E2F1544" w:rsidR="17E66785">
        <w:rPr>
          <w:color w:val="000000" w:themeColor="text1"/>
        </w:rPr>
        <w:t xml:space="preserve"> </w:t>
      </w:r>
      <w:r w:rsidRPr="0E2F1544" w:rsidR="773D035A">
        <w:rPr>
          <w:color w:val="000000" w:themeColor="text1"/>
        </w:rPr>
        <w:t xml:space="preserve">(1) </w:t>
      </w:r>
      <w:r w:rsidR="00FA0149">
        <w:rPr>
          <w:color w:val="000000" w:themeColor="text1"/>
        </w:rPr>
        <w:t>collapse</w:t>
      </w:r>
      <w:r w:rsidRPr="0E2F1544" w:rsidR="10442D36">
        <w:rPr>
          <w:color w:val="000000" w:themeColor="text1"/>
        </w:rPr>
        <w:t xml:space="preserve"> </w:t>
      </w:r>
      <w:r w:rsidRPr="0E2F1544" w:rsidR="2F2D206E">
        <w:rPr>
          <w:color w:val="000000" w:themeColor="text1"/>
        </w:rPr>
        <w:t>the three questions</w:t>
      </w:r>
      <w:r w:rsidR="00FA0149">
        <w:rPr>
          <w:color w:val="000000" w:themeColor="text1"/>
        </w:rPr>
        <w:t xml:space="preserve"> </w:t>
      </w:r>
      <w:r w:rsidRPr="0E2F1544">
        <w:rPr>
          <w:color w:val="000000" w:themeColor="text1"/>
        </w:rPr>
        <w:t>into two questions</w:t>
      </w:r>
      <w:r w:rsidRPr="00FA0149" w:rsidR="00FA0149">
        <w:rPr>
          <w:color w:val="000000" w:themeColor="text1"/>
        </w:rPr>
        <w:t xml:space="preserve"> </w:t>
      </w:r>
      <w:r w:rsidRPr="0E2F1544" w:rsidR="00FA0149">
        <w:rPr>
          <w:color w:val="000000" w:themeColor="text1"/>
        </w:rPr>
        <w:t>for clarity</w:t>
      </w:r>
      <w:r w:rsidRPr="0E2F1544" w:rsidR="2A9A7962">
        <w:rPr>
          <w:color w:val="000000" w:themeColor="text1"/>
        </w:rPr>
        <w:t xml:space="preserve"> </w:t>
      </w:r>
      <w:r w:rsidRPr="0E2F1544">
        <w:rPr>
          <w:color w:val="000000" w:themeColor="text1"/>
        </w:rPr>
        <w:t>and</w:t>
      </w:r>
      <w:r w:rsidRPr="0E2F1544" w:rsidR="77C59C0D">
        <w:rPr>
          <w:color w:val="000000" w:themeColor="text1"/>
        </w:rPr>
        <w:t xml:space="preserve"> (2) </w:t>
      </w:r>
      <w:r w:rsidRPr="0E2F1544" w:rsidR="0A0D2B55">
        <w:rPr>
          <w:color w:val="000000" w:themeColor="text1"/>
        </w:rPr>
        <w:t xml:space="preserve">add </w:t>
      </w:r>
      <w:r w:rsidR="0093465D">
        <w:rPr>
          <w:color w:val="000000" w:themeColor="text1"/>
        </w:rPr>
        <w:t>ten</w:t>
      </w:r>
      <w:r w:rsidRPr="0E2F1544" w:rsidR="4AE41401">
        <w:rPr>
          <w:color w:val="000000" w:themeColor="text1"/>
        </w:rPr>
        <w:t xml:space="preserve"> que</w:t>
      </w:r>
      <w:r w:rsidRPr="0E2F1544">
        <w:rPr>
          <w:color w:val="000000" w:themeColor="text1"/>
        </w:rPr>
        <w:t>stion</w:t>
      </w:r>
      <w:r w:rsidRPr="0E2F1544" w:rsidR="1DACF098">
        <w:rPr>
          <w:color w:val="000000" w:themeColor="text1"/>
        </w:rPr>
        <w:t>s</w:t>
      </w:r>
      <w:r w:rsidR="001C0BEE">
        <w:rPr>
          <w:color w:val="000000" w:themeColor="text1"/>
        </w:rPr>
        <w:t>,</w:t>
      </w:r>
      <w:r w:rsidRPr="0E2F1544" w:rsidR="1DACF098">
        <w:rPr>
          <w:color w:val="000000" w:themeColor="text1"/>
        </w:rPr>
        <w:t xml:space="preserve"> in order</w:t>
      </w:r>
      <w:r w:rsidRPr="0E2F1544" w:rsidR="18450C67">
        <w:rPr>
          <w:color w:val="000000" w:themeColor="text1"/>
        </w:rPr>
        <w:t xml:space="preserve"> to </w:t>
      </w:r>
      <w:r w:rsidR="001E2F55">
        <w:rPr>
          <w:color w:val="000000" w:themeColor="text1"/>
        </w:rPr>
        <w:t xml:space="preserve">collect information on </w:t>
      </w:r>
      <w:r w:rsidR="00451D27">
        <w:rPr>
          <w:color w:val="000000" w:themeColor="text1"/>
        </w:rPr>
        <w:t>Co</w:t>
      </w:r>
      <w:r w:rsidRPr="0E2F1544" w:rsidR="00451D27">
        <w:rPr>
          <w:color w:val="000000" w:themeColor="text1"/>
        </w:rPr>
        <w:t>ngressionally</w:t>
      </w:r>
      <w:r w:rsidR="00451D27">
        <w:rPr>
          <w:color w:val="000000" w:themeColor="text1"/>
        </w:rPr>
        <w:t xml:space="preserve"> mandated</w:t>
      </w:r>
      <w:r w:rsidRPr="0E2F1544" w:rsidR="18450C67">
        <w:rPr>
          <w:color w:val="000000" w:themeColor="text1"/>
        </w:rPr>
        <w:t xml:space="preserve"> </w:t>
      </w:r>
      <w:r w:rsidR="001E2F55">
        <w:rPr>
          <w:color w:val="000000" w:themeColor="text1"/>
        </w:rPr>
        <w:t xml:space="preserve">and programmatic </w:t>
      </w:r>
      <w:r w:rsidRPr="0E2F1544" w:rsidR="007F5033">
        <w:rPr>
          <w:color w:val="000000" w:themeColor="text1"/>
        </w:rPr>
        <w:t>activities</w:t>
      </w:r>
      <w:r w:rsidR="007F5033">
        <w:rPr>
          <w:color w:val="000000" w:themeColor="text1"/>
        </w:rPr>
        <w:t xml:space="preserve"> and</w:t>
      </w:r>
      <w:r w:rsidRPr="0E2F1544" w:rsidR="18450C67">
        <w:rPr>
          <w:color w:val="000000" w:themeColor="text1"/>
        </w:rPr>
        <w:t xml:space="preserve"> </w:t>
      </w:r>
      <w:r w:rsidR="001E2F55">
        <w:rPr>
          <w:color w:val="000000" w:themeColor="text1"/>
        </w:rPr>
        <w:t xml:space="preserve">comply with </w:t>
      </w:r>
      <w:r w:rsidRPr="0E2F1544" w:rsidR="18450C67">
        <w:rPr>
          <w:color w:val="000000" w:themeColor="text1"/>
        </w:rPr>
        <w:t>reporting requirements</w:t>
      </w:r>
      <w:r w:rsidRPr="0E2F1544">
        <w:rPr>
          <w:color w:val="000000" w:themeColor="text1"/>
        </w:rPr>
        <w:t xml:space="preserve">. </w:t>
      </w:r>
      <w:r w:rsidRPr="0E2F1544" w:rsidR="7D472EEA">
        <w:rPr>
          <w:color w:val="000000" w:themeColor="text1"/>
          <w:szCs w:val="24"/>
        </w:rPr>
        <w:t>The</w:t>
      </w:r>
      <w:r w:rsidRPr="0E2F1544" w:rsidR="637EC6D1">
        <w:rPr>
          <w:color w:val="000000" w:themeColor="text1"/>
          <w:szCs w:val="24"/>
        </w:rPr>
        <w:t xml:space="preserve"> </w:t>
      </w:r>
      <w:r w:rsidRPr="0E2F1544" w:rsidR="303711D8">
        <w:rPr>
          <w:color w:val="000000" w:themeColor="text1"/>
          <w:szCs w:val="24"/>
        </w:rPr>
        <w:t>re</w:t>
      </w:r>
      <w:r w:rsidRPr="0E2F1544" w:rsidR="7D472EEA">
        <w:rPr>
          <w:color w:val="000000" w:themeColor="text1"/>
          <w:szCs w:val="24"/>
        </w:rPr>
        <w:t>vised questi</w:t>
      </w:r>
      <w:r w:rsidRPr="0E2F1544" w:rsidR="31558FDE">
        <w:rPr>
          <w:color w:val="000000" w:themeColor="text1"/>
          <w:szCs w:val="24"/>
        </w:rPr>
        <w:t xml:space="preserve">on </w:t>
      </w:r>
      <w:r w:rsidRPr="0E2F1544" w:rsidR="271E36EF">
        <w:rPr>
          <w:color w:val="000000" w:themeColor="text1"/>
          <w:szCs w:val="24"/>
        </w:rPr>
        <w:t xml:space="preserve">will provide </w:t>
      </w:r>
      <w:r w:rsidRPr="0E2F1544" w:rsidR="31558FDE">
        <w:rPr>
          <w:color w:val="000000" w:themeColor="text1"/>
          <w:szCs w:val="24"/>
        </w:rPr>
        <w:t>CSAT with clarification on the</w:t>
      </w:r>
      <w:r w:rsidRPr="0E2F1544" w:rsidR="0351028E">
        <w:rPr>
          <w:color w:val="000000" w:themeColor="text1"/>
          <w:szCs w:val="24"/>
        </w:rPr>
        <w:t xml:space="preserve"> purchase and distribution of naloxone kits.</w:t>
      </w:r>
      <w:r w:rsidR="74027F83">
        <w:t xml:space="preserve"> </w:t>
      </w:r>
      <w:r w:rsidRPr="0E2F1544" w:rsidR="7D472EEA">
        <w:rPr>
          <w:color w:val="000000" w:themeColor="text1"/>
          <w:szCs w:val="24"/>
        </w:rPr>
        <w:t xml:space="preserve">The </w:t>
      </w:r>
      <w:r w:rsidR="0093465D">
        <w:rPr>
          <w:color w:val="000000" w:themeColor="text1"/>
          <w:szCs w:val="24"/>
        </w:rPr>
        <w:t>ten</w:t>
      </w:r>
      <w:r w:rsidRPr="0E2F1544" w:rsidR="5B49E3F6">
        <w:rPr>
          <w:color w:val="000000" w:themeColor="text1"/>
          <w:szCs w:val="24"/>
        </w:rPr>
        <w:t xml:space="preserve"> </w:t>
      </w:r>
      <w:r w:rsidRPr="0E2F1544" w:rsidR="7D472EEA">
        <w:rPr>
          <w:color w:val="000000" w:themeColor="text1"/>
          <w:szCs w:val="24"/>
        </w:rPr>
        <w:t>additional</w:t>
      </w:r>
      <w:r w:rsidRPr="0E2F1544" w:rsidR="56BDB398">
        <w:rPr>
          <w:color w:val="000000" w:themeColor="text1"/>
          <w:szCs w:val="24"/>
        </w:rPr>
        <w:t xml:space="preserve"> </w:t>
      </w:r>
      <w:r w:rsidRPr="0E2F1544" w:rsidR="7D472EEA">
        <w:rPr>
          <w:color w:val="000000" w:themeColor="text1"/>
          <w:szCs w:val="24"/>
        </w:rPr>
        <w:t>questions will</w:t>
      </w:r>
      <w:r w:rsidR="004A6E78">
        <w:rPr>
          <w:color w:val="000000" w:themeColor="text1"/>
          <w:szCs w:val="24"/>
        </w:rPr>
        <w:t>:</w:t>
      </w:r>
      <w:r w:rsidRPr="0E2F1544" w:rsidR="7D472EEA">
        <w:rPr>
          <w:color w:val="000000" w:themeColor="text1"/>
          <w:szCs w:val="24"/>
        </w:rPr>
        <w:t xml:space="preserve"> </w:t>
      </w:r>
      <w:r w:rsidR="00FE6343">
        <w:rPr>
          <w:color w:val="000000" w:themeColor="text1"/>
          <w:szCs w:val="24"/>
        </w:rPr>
        <w:t>enhance</w:t>
      </w:r>
      <w:r w:rsidRPr="0E2F1544" w:rsidR="05913F23">
        <w:rPr>
          <w:color w:val="000000" w:themeColor="text1"/>
          <w:szCs w:val="24"/>
        </w:rPr>
        <w:t xml:space="preserve"> SAMHSA</w:t>
      </w:r>
      <w:r w:rsidR="00FE6343">
        <w:rPr>
          <w:color w:val="000000" w:themeColor="text1"/>
          <w:szCs w:val="24"/>
        </w:rPr>
        <w:t xml:space="preserve">’s ability to </w:t>
      </w:r>
      <w:r w:rsidR="004A6E78">
        <w:rPr>
          <w:color w:val="000000" w:themeColor="text1"/>
          <w:szCs w:val="24"/>
        </w:rPr>
        <w:t>assess</w:t>
      </w:r>
      <w:r w:rsidRPr="0E2F1544" w:rsidR="05913F23">
        <w:rPr>
          <w:color w:val="000000" w:themeColor="text1"/>
          <w:szCs w:val="24"/>
        </w:rPr>
        <w:t xml:space="preserve"> </w:t>
      </w:r>
      <w:r w:rsidRPr="0E2F1544" w:rsidR="38D1EB60">
        <w:rPr>
          <w:color w:val="000000" w:themeColor="text1"/>
          <w:szCs w:val="24"/>
        </w:rPr>
        <w:t xml:space="preserve">grantee </w:t>
      </w:r>
      <w:r w:rsidR="004A6E78">
        <w:rPr>
          <w:color w:val="000000" w:themeColor="text1"/>
          <w:szCs w:val="24"/>
        </w:rPr>
        <w:t xml:space="preserve">accountability and </w:t>
      </w:r>
      <w:r w:rsidRPr="0E2F1544" w:rsidR="38D1EB60">
        <w:rPr>
          <w:color w:val="000000" w:themeColor="text1"/>
          <w:szCs w:val="24"/>
        </w:rPr>
        <w:t xml:space="preserve">performance </w:t>
      </w:r>
      <w:r w:rsidR="00FE6343">
        <w:t>on the required education and prevention activities for the SOR/TOR programs</w:t>
      </w:r>
      <w:r w:rsidR="004A6E78">
        <w:rPr>
          <w:color w:val="000000" w:themeColor="text1"/>
          <w:szCs w:val="24"/>
        </w:rPr>
        <w:t xml:space="preserve">; </w:t>
      </w:r>
      <w:r w:rsidR="0076577C">
        <w:rPr>
          <w:color w:val="000000" w:themeColor="text1"/>
          <w:szCs w:val="24"/>
        </w:rPr>
        <w:t xml:space="preserve">enable SAMHSA to </w:t>
      </w:r>
      <w:r w:rsidR="004A6E78">
        <w:t xml:space="preserve">implement GAO recommendations </w:t>
      </w:r>
      <w:r w:rsidR="0093465D">
        <w:t xml:space="preserve">to </w:t>
      </w:r>
      <w:r w:rsidRPr="00280770" w:rsidR="004A6E78">
        <w:rPr>
          <w:color w:val="000000" w:themeColor="text1"/>
          <w:szCs w:val="24"/>
        </w:rPr>
        <w:t xml:space="preserve">determine how the </w:t>
      </w:r>
      <w:r w:rsidR="004A6E78">
        <w:rPr>
          <w:color w:val="000000" w:themeColor="text1"/>
          <w:szCs w:val="24"/>
        </w:rPr>
        <w:t>SOR</w:t>
      </w:r>
      <w:r w:rsidRPr="00280770" w:rsidR="004A6E78">
        <w:rPr>
          <w:color w:val="000000" w:themeColor="text1"/>
          <w:szCs w:val="24"/>
        </w:rPr>
        <w:t xml:space="preserve"> program contributes to the prevention goals of the National Drug Control Strategy and develop performance measures that relate to achieving those goals</w:t>
      </w:r>
      <w:r w:rsidR="001C0BEE">
        <w:rPr>
          <w:color w:val="000000" w:themeColor="text1"/>
          <w:szCs w:val="24"/>
        </w:rPr>
        <w:t>,</w:t>
      </w:r>
      <w:r w:rsidRPr="00280770" w:rsidR="004A6E78">
        <w:rPr>
          <w:color w:val="000000" w:themeColor="text1"/>
          <w:szCs w:val="24"/>
        </w:rPr>
        <w:t xml:space="preserve"> including the prevention education goal</w:t>
      </w:r>
      <w:r w:rsidR="004A6E78">
        <w:rPr>
          <w:color w:val="000000" w:themeColor="text1"/>
          <w:szCs w:val="24"/>
        </w:rPr>
        <w:t xml:space="preserve">; </w:t>
      </w:r>
      <w:r w:rsidR="004A6E78">
        <w:t>and provide comprehensive data on the full range of required activities</w:t>
      </w:r>
      <w:r w:rsidR="001C0BEE">
        <w:t>,</w:t>
      </w:r>
      <w:r w:rsidR="004A6E78">
        <w:t xml:space="preserve"> to inform Congressionally</w:t>
      </w:r>
      <w:r w:rsidR="001C0BEE">
        <w:t xml:space="preserve"> </w:t>
      </w:r>
      <w:r w:rsidR="004A6E78">
        <w:t>mandated reports for the SOR program.</w:t>
      </w:r>
    </w:p>
    <w:p w:rsidR="004A6E78" w:rsidP="004A6E78" w:rsidRDefault="004A6E78" w14:paraId="7B0C747F" w14:textId="77777777"/>
    <w:p w:rsidRPr="006803C1" w:rsidR="00C74897" w:rsidP="0E2F1544" w:rsidRDefault="0093465D" w14:paraId="73435A7A" w14:textId="33040E0B">
      <w:pPr>
        <w:rPr>
          <w:color w:val="000000" w:themeColor="text1"/>
          <w:szCs w:val="24"/>
        </w:rPr>
      </w:pPr>
      <w:r>
        <w:rPr>
          <w:color w:val="000000" w:themeColor="text1"/>
          <w:szCs w:val="24"/>
        </w:rPr>
        <w:t>As a result of the ten additional</w:t>
      </w:r>
      <w:r w:rsidR="006803C1">
        <w:rPr>
          <w:color w:val="000000" w:themeColor="text1"/>
          <w:szCs w:val="24"/>
        </w:rPr>
        <w:t xml:space="preserve"> questions</w:t>
      </w:r>
      <w:r>
        <w:rPr>
          <w:color w:val="000000" w:themeColor="text1"/>
          <w:szCs w:val="24"/>
        </w:rPr>
        <w:t xml:space="preserve">, </w:t>
      </w:r>
      <w:r w:rsidRPr="006803C1" w:rsidR="4A0A4F7C">
        <w:rPr>
          <w:color w:val="000000" w:themeColor="text1"/>
          <w:szCs w:val="24"/>
        </w:rPr>
        <w:t xml:space="preserve">SOR/TOR grantees will submit data on the following outcome measures:  </w:t>
      </w:r>
    </w:p>
    <w:p w:rsidRPr="006803C1" w:rsidR="0E2F1544" w:rsidP="0E2F1544" w:rsidRDefault="0E2F1544" w14:paraId="79F30190" w14:textId="77777777">
      <w:pPr>
        <w:rPr>
          <w:color w:val="000000" w:themeColor="text1"/>
          <w:szCs w:val="24"/>
        </w:rPr>
      </w:pPr>
    </w:p>
    <w:p w:rsidRPr="006803C1" w:rsidR="00C74897" w:rsidP="004A33A7" w:rsidRDefault="7178BA44" w14:paraId="74658D1C" w14:textId="3D9B82BB">
      <w:pPr>
        <w:pStyle w:val="ListParagraph"/>
        <w:numPr>
          <w:ilvl w:val="0"/>
          <w:numId w:val="31"/>
        </w:numPr>
        <w:tabs>
          <w:tab w:val="left" w:pos="3370"/>
        </w:tabs>
        <w:spacing w:after="120"/>
        <w:ind w:right="-907"/>
        <w:outlineLvl w:val="0"/>
        <w:rPr>
          <w:szCs w:val="24"/>
        </w:rPr>
      </w:pPr>
      <w:r w:rsidRPr="006803C1">
        <w:rPr>
          <w:szCs w:val="24"/>
        </w:rPr>
        <w:t>Reported o</w:t>
      </w:r>
      <w:r w:rsidRPr="006803C1" w:rsidR="547F968E">
        <w:rPr>
          <w:szCs w:val="24"/>
        </w:rPr>
        <w:t>verdose reversals</w:t>
      </w:r>
      <w:r w:rsidRPr="006803C1" w:rsidR="75A61CCF">
        <w:rPr>
          <w:szCs w:val="24"/>
        </w:rPr>
        <w:t>;</w:t>
      </w:r>
    </w:p>
    <w:p w:rsidRPr="006803C1" w:rsidR="114F2D3D" w:rsidP="004A33A7" w:rsidRDefault="114F2D3D" w14:paraId="76E36ED1" w14:textId="77777777">
      <w:pPr>
        <w:pStyle w:val="ListParagraph"/>
        <w:numPr>
          <w:ilvl w:val="0"/>
          <w:numId w:val="31"/>
        </w:numPr>
        <w:tabs>
          <w:tab w:val="left" w:pos="3370"/>
        </w:tabs>
        <w:spacing w:after="120"/>
        <w:ind w:right="-907"/>
        <w:outlineLvl w:val="0"/>
        <w:rPr>
          <w:szCs w:val="24"/>
        </w:rPr>
      </w:pPr>
      <w:r w:rsidRPr="006803C1">
        <w:rPr>
          <w:szCs w:val="24"/>
        </w:rPr>
        <w:t>P</w:t>
      </w:r>
      <w:r w:rsidRPr="006803C1" w:rsidR="317EBF37">
        <w:rPr>
          <w:szCs w:val="24"/>
        </w:rPr>
        <w:t>urchase and distribution of fentanyl test strips;</w:t>
      </w:r>
    </w:p>
    <w:p w:rsidRPr="006803C1" w:rsidR="317EBF37" w:rsidP="0E2F1544" w:rsidRDefault="317EBF37" w14:paraId="0E1F4DAD" w14:textId="77777777">
      <w:pPr>
        <w:pStyle w:val="ListParagraph"/>
        <w:numPr>
          <w:ilvl w:val="0"/>
          <w:numId w:val="31"/>
        </w:numPr>
        <w:tabs>
          <w:tab w:val="left" w:pos="3370"/>
        </w:tabs>
        <w:ind w:right="-900"/>
        <w:outlineLvl w:val="0"/>
        <w:rPr>
          <w:szCs w:val="24"/>
        </w:rPr>
      </w:pPr>
      <w:r w:rsidRPr="006803C1">
        <w:rPr>
          <w:szCs w:val="24"/>
        </w:rPr>
        <w:t xml:space="preserve">Training </w:t>
      </w:r>
      <w:r w:rsidRPr="006803C1" w:rsidR="1BA6ECB1">
        <w:rPr>
          <w:szCs w:val="24"/>
        </w:rPr>
        <w:t xml:space="preserve">of </w:t>
      </w:r>
      <w:r w:rsidRPr="006803C1">
        <w:rPr>
          <w:szCs w:val="24"/>
        </w:rPr>
        <w:t>first responders</w:t>
      </w:r>
      <w:r w:rsidRPr="006803C1" w:rsidR="7DBA848C">
        <w:rPr>
          <w:szCs w:val="24"/>
        </w:rPr>
        <w:t xml:space="preserve"> and key community sectors</w:t>
      </w:r>
      <w:r w:rsidRPr="006803C1">
        <w:rPr>
          <w:szCs w:val="24"/>
        </w:rPr>
        <w:t xml:space="preserve"> on recognizing an opioid overdose and the appropriate use of naloxone overdose reversal kits</w:t>
      </w:r>
      <w:r w:rsidRPr="006803C1" w:rsidR="197FD8DC">
        <w:rPr>
          <w:szCs w:val="24"/>
        </w:rPr>
        <w:t>;</w:t>
      </w:r>
    </w:p>
    <w:p w:rsidRPr="004A33A7" w:rsidR="00954E61" w:rsidP="0E2F1544" w:rsidRDefault="589A8F73" w14:paraId="5AA10790" w14:textId="7C46914D">
      <w:pPr>
        <w:pStyle w:val="ListParagraph"/>
        <w:numPr>
          <w:ilvl w:val="0"/>
          <w:numId w:val="31"/>
        </w:numPr>
        <w:tabs>
          <w:tab w:val="left" w:pos="3370"/>
        </w:tabs>
        <w:ind w:right="-900"/>
        <w:outlineLvl w:val="0"/>
        <w:rPr>
          <w:szCs w:val="24"/>
        </w:rPr>
      </w:pPr>
      <w:r w:rsidRPr="004A33A7">
        <w:rPr>
          <w:szCs w:val="24"/>
        </w:rPr>
        <w:t>Educating individuals</w:t>
      </w:r>
      <w:r w:rsidRPr="004A33A7" w:rsidR="24F1A96B">
        <w:rPr>
          <w:szCs w:val="24"/>
        </w:rPr>
        <w:t>, including school-aged children,</w:t>
      </w:r>
      <w:r w:rsidRPr="004A33A7">
        <w:rPr>
          <w:szCs w:val="24"/>
        </w:rPr>
        <w:t xml:space="preserve"> on the consequences of opioid and/or stimulant misuse</w:t>
      </w:r>
      <w:r w:rsidR="006B6C3F">
        <w:rPr>
          <w:szCs w:val="24"/>
        </w:rPr>
        <w:t>,</w:t>
      </w:r>
      <w:r w:rsidRPr="004A33A7">
        <w:rPr>
          <w:szCs w:val="24"/>
        </w:rPr>
        <w:t xml:space="preserve"> using strategic messaging and prevention activities</w:t>
      </w:r>
      <w:r w:rsidRPr="004A33A7" w:rsidR="78D24B74">
        <w:rPr>
          <w:szCs w:val="24"/>
        </w:rPr>
        <w:t>;</w:t>
      </w:r>
    </w:p>
    <w:p w:rsidRPr="004A33A7" w:rsidR="00C74897" w:rsidRDefault="589A8F73" w14:paraId="190C718C" w14:textId="3322B5C7">
      <w:pPr>
        <w:pStyle w:val="ListParagraph"/>
        <w:numPr>
          <w:ilvl w:val="0"/>
          <w:numId w:val="31"/>
        </w:numPr>
        <w:tabs>
          <w:tab w:val="left" w:pos="3370"/>
        </w:tabs>
        <w:ind w:right="-900"/>
        <w:outlineLvl w:val="0"/>
        <w:rPr>
          <w:szCs w:val="24"/>
        </w:rPr>
      </w:pPr>
      <w:r w:rsidRPr="004A33A7">
        <w:rPr>
          <w:szCs w:val="24"/>
        </w:rPr>
        <w:t>Training individuals to provide school-based prevention and education activities to school-aged children</w:t>
      </w:r>
      <w:r w:rsidRPr="004A33A7" w:rsidR="5BAB516C">
        <w:rPr>
          <w:szCs w:val="24"/>
        </w:rPr>
        <w:t xml:space="preserve">; and </w:t>
      </w:r>
    </w:p>
    <w:p w:rsidR="00476770" w:rsidP="004A33A7" w:rsidRDefault="5BB9959F" w14:paraId="0D6CD75D" w14:textId="77777777">
      <w:pPr>
        <w:pStyle w:val="ListParagraph"/>
        <w:numPr>
          <w:ilvl w:val="0"/>
          <w:numId w:val="31"/>
        </w:numPr>
        <w:tabs>
          <w:tab w:val="left" w:pos="3370"/>
        </w:tabs>
        <w:ind w:right="-900"/>
        <w:outlineLvl w:val="0"/>
        <w:rPr>
          <w:szCs w:val="24"/>
        </w:rPr>
      </w:pPr>
      <w:r w:rsidRPr="0093465D">
        <w:rPr>
          <w:szCs w:val="24"/>
        </w:rPr>
        <w:t>Providing t</w:t>
      </w:r>
      <w:r w:rsidRPr="0093465D" w:rsidR="589A8F73">
        <w:rPr>
          <w:szCs w:val="24"/>
        </w:rPr>
        <w:t>argeted prevention outreach activities to underserved and/or diverse populations</w:t>
      </w:r>
      <w:r w:rsidRPr="0093465D" w:rsidR="00954E61">
        <w:rPr>
          <w:szCs w:val="24"/>
        </w:rPr>
        <w:t xml:space="preserve">. </w:t>
      </w:r>
    </w:p>
    <w:p w:rsidRPr="006803C1" w:rsidR="0E2F1544" w:rsidP="004A33A7" w:rsidRDefault="0E2F1544" w14:paraId="1B91B6B4" w14:textId="77777777">
      <w:pPr>
        <w:pStyle w:val="ListParagraph"/>
        <w:tabs>
          <w:tab w:val="left" w:pos="3370"/>
        </w:tabs>
        <w:ind w:right="-900"/>
        <w:outlineLvl w:val="0"/>
        <w:rPr>
          <w:szCs w:val="24"/>
        </w:rPr>
      </w:pPr>
    </w:p>
    <w:p w:rsidR="00375A4F" w:rsidRDefault="000F343E" w14:paraId="1E11D56B" w14:textId="6FE9E57A">
      <w:pPr>
        <w:rPr>
          <w:b/>
          <w:bCs/>
        </w:rPr>
      </w:pPr>
      <w:r>
        <w:t xml:space="preserve">All </w:t>
      </w:r>
      <w:r w:rsidR="008F045F">
        <w:t>SOR/TOR</w:t>
      </w:r>
      <w:r>
        <w:t xml:space="preserve"> data collection activities</w:t>
      </w:r>
      <w:r w:rsidR="00375A4F">
        <w:t xml:space="preserve"> are intended to promote the use of consistent measures </w:t>
      </w:r>
      <w:r w:rsidR="00C07ABE">
        <w:t>among SOR/TOR</w:t>
      </w:r>
      <w:r w:rsidR="00375A4F">
        <w:t xml:space="preserve"> grantees</w:t>
      </w:r>
      <w:r w:rsidR="0083301F">
        <w:t xml:space="preserve">.  </w:t>
      </w:r>
      <w:r w:rsidR="00375A4F">
        <w:t>These measures are a result of extensive examination and recommendations, using consistent criteria, by panels of staff</w:t>
      </w:r>
      <w:r w:rsidR="001B6C43">
        <w:t xml:space="preserve"> who have knowledge of and experience with the SOR/TOR programs</w:t>
      </w:r>
      <w:r w:rsidR="0083301F">
        <w:t xml:space="preserve">.  </w:t>
      </w:r>
      <w:r w:rsidR="00375A4F">
        <w:t>Wherever feasible, the measures are consistent with or build upon previous data development efforts within CSAT</w:t>
      </w:r>
      <w:r w:rsidR="0083301F">
        <w:t xml:space="preserve">.  </w:t>
      </w:r>
      <w:r w:rsidR="00375A4F">
        <w:t xml:space="preserve">These data collection activities are organized to </w:t>
      </w:r>
      <w:r w:rsidR="00280770">
        <w:t>reflect</w:t>
      </w:r>
      <w:r w:rsidR="00375A4F">
        <w:t xml:space="preserve"> and support </w:t>
      </w:r>
      <w:r w:rsidR="007E3ABB">
        <w:t>required SOR/TOR p</w:t>
      </w:r>
      <w:r w:rsidR="008F045F">
        <w:t>revention and education services</w:t>
      </w:r>
      <w:r w:rsidR="00C87911">
        <w:t>.</w:t>
      </w:r>
    </w:p>
    <w:p w:rsidR="00375A4F" w:rsidP="005A4A00" w:rsidRDefault="00375A4F" w14:paraId="2D351E8C" w14:textId="77777777">
      <w:pPr>
        <w:rPr>
          <w:b/>
        </w:rPr>
      </w:pPr>
    </w:p>
    <w:p w:rsidRPr="00446BA6" w:rsidR="005A4A00" w:rsidP="005A4A00" w:rsidRDefault="005A4A00" w14:paraId="69E1AEEF" w14:textId="77777777">
      <w:pPr>
        <w:rPr>
          <w:b/>
        </w:rPr>
      </w:pPr>
      <w:r>
        <w:rPr>
          <w:b/>
        </w:rPr>
        <w:t>A</w:t>
      </w:r>
      <w:r w:rsidRPr="00446BA6">
        <w:rPr>
          <w:b/>
        </w:rPr>
        <w:t xml:space="preserve">3.     Use of Improved Information Technology </w:t>
      </w:r>
    </w:p>
    <w:p w:rsidR="005A4A00" w:rsidP="005A4A00" w:rsidRDefault="005A4A00" w14:paraId="1200EB02" w14:textId="77777777"/>
    <w:p w:rsidR="005A4A00" w:rsidP="005A4A00" w:rsidRDefault="4A944FB0" w14:paraId="48445995" w14:textId="38062EFB">
      <w:r>
        <w:t xml:space="preserve">Grantees collect program-level </w:t>
      </w:r>
      <w:r w:rsidR="005A4A00">
        <w:t>information using a variety of methods</w:t>
      </w:r>
      <w:r w:rsidR="006E32DE">
        <w:t xml:space="preserve">, including </w:t>
      </w:r>
      <w:r w:rsidR="005A4A00">
        <w:t>paper</w:t>
      </w:r>
      <w:r w:rsidR="006E32DE">
        <w:t>-</w:t>
      </w:r>
      <w:r w:rsidR="005A4A00">
        <w:t>and</w:t>
      </w:r>
      <w:r w:rsidR="006E32DE">
        <w:t>-</w:t>
      </w:r>
      <w:r w:rsidR="005A4A00">
        <w:t xml:space="preserve">pencil </w:t>
      </w:r>
      <w:r w:rsidR="006E32DE">
        <w:t xml:space="preserve">and </w:t>
      </w:r>
      <w:r w:rsidR="005A4A00">
        <w:t>electronic methods</w:t>
      </w:r>
      <w:r w:rsidR="0083301F">
        <w:t xml:space="preserve">.  </w:t>
      </w:r>
      <w:r w:rsidR="005A4A00">
        <w:t xml:space="preserve">This project will not interfere with ongoing program collection operations that facilitate information collection at each site.  </w:t>
      </w:r>
    </w:p>
    <w:p w:rsidR="005A4A00" w:rsidP="005A4A00" w:rsidRDefault="005A4A00" w14:paraId="012D8944" w14:textId="77777777"/>
    <w:p w:rsidR="005A4A00" w:rsidP="005A4A00" w:rsidRDefault="005A4A00" w14:paraId="4AF7AAE7" w14:textId="7B157373">
      <w:r>
        <w:t>A web-based data collection and entry system</w:t>
      </w:r>
      <w:r w:rsidR="00470ED6">
        <w:t>, SAMHS</w:t>
      </w:r>
      <w:r w:rsidR="006E32DE">
        <w:t xml:space="preserve">A’s Performance Accountability and Reporting System (SPARS), </w:t>
      </w:r>
      <w:r>
        <w:t>has been developed</w:t>
      </w:r>
      <w:r w:rsidR="006B6C3F">
        <w:t>,</w:t>
      </w:r>
      <w:r>
        <w:t xml:space="preserve"> </w:t>
      </w:r>
      <w:r w:rsidR="006E32DE">
        <w:t>and is currently used and</w:t>
      </w:r>
      <w:r>
        <w:t xml:space="preserve"> available to all programs for data </w:t>
      </w:r>
      <w:r w:rsidR="006B6C3F">
        <w:t>submi</w:t>
      </w:r>
      <w:r w:rsidR="00F80B03">
        <w:t>s</w:t>
      </w:r>
      <w:r w:rsidR="006B6C3F">
        <w:t>sion</w:t>
      </w:r>
      <w:r>
        <w:t xml:space="preserve">.  This web-based system allows for easy data entry, submission, and reporting to all those who have access to the system. </w:t>
      </w:r>
      <w:r w:rsidR="0083301F">
        <w:t xml:space="preserve"> </w:t>
      </w:r>
      <w:r>
        <w:t xml:space="preserve">Levels of access have been defined for users based on their authority and responsibilities regarding the data and reports. </w:t>
      </w:r>
      <w:r w:rsidR="0083301F">
        <w:t xml:space="preserve"> </w:t>
      </w:r>
      <w:r>
        <w:t>Access to the data and reports is limited to those individuals</w:t>
      </w:r>
      <w:r w:rsidR="00A01715">
        <w:t xml:space="preserve"> with a username and password. </w:t>
      </w:r>
      <w:r w:rsidR="0083301F">
        <w:t xml:space="preserve"> </w:t>
      </w:r>
      <w:r>
        <w:t xml:space="preserve">A </w:t>
      </w:r>
      <w:r w:rsidR="00A01715">
        <w:t xml:space="preserve">screenshot of the </w:t>
      </w:r>
      <w:r>
        <w:t xml:space="preserve">data entry screen </w:t>
      </w:r>
      <w:r w:rsidR="00A01715">
        <w:t xml:space="preserve">on SPARS </w:t>
      </w:r>
      <w:r>
        <w:t xml:space="preserve">is below: </w:t>
      </w:r>
    </w:p>
    <w:p w:rsidR="00A01715" w:rsidP="005A4A00" w:rsidRDefault="00A01715" w14:paraId="1A643869" w14:textId="77777777">
      <w:pPr>
        <w:rPr>
          <w:noProof/>
        </w:rPr>
      </w:pPr>
    </w:p>
    <w:p w:rsidR="005A4A00" w:rsidP="005A4A00" w:rsidRDefault="006E32DE" w14:paraId="11D4E6F2" w14:textId="77777777">
      <w:r>
        <w:rPr>
          <w:noProof/>
        </w:rPr>
        <w:drawing>
          <wp:inline distT="0" distB="0" distL="0" distR="0" wp14:anchorId="377A9D54" wp14:editId="75F275FB">
            <wp:extent cx="5943600" cy="317071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5107"/>
                    <a:stretch/>
                  </pic:blipFill>
                  <pic:spPr bwMode="auto">
                    <a:xfrm>
                      <a:off x="0" y="0"/>
                      <a:ext cx="5943600" cy="3170711"/>
                    </a:xfrm>
                    <a:prstGeom prst="rect">
                      <a:avLst/>
                    </a:prstGeom>
                    <a:ln>
                      <a:noFill/>
                    </a:ln>
                    <a:extLst>
                      <a:ext uri="{53640926-AAD7-44D8-BBD7-CCE9431645EC}">
                        <a14:shadowObscured xmlns:a14="http://schemas.microsoft.com/office/drawing/2010/main"/>
                      </a:ext>
                    </a:extLst>
                  </pic:spPr>
                </pic:pic>
              </a:graphicData>
            </a:graphic>
          </wp:inline>
        </w:drawing>
      </w:r>
    </w:p>
    <w:p w:rsidR="005A4A00" w:rsidP="005A4A00" w:rsidRDefault="005A4A00" w14:paraId="2FAC7A60" w14:textId="77777777"/>
    <w:p w:rsidR="005A4A00" w:rsidP="005A4A00" w:rsidRDefault="005A4A00" w14:paraId="06DF9204" w14:textId="77777777"/>
    <w:p w:rsidR="00B13A0E" w:rsidP="005A4A00" w:rsidRDefault="005A4A00" w14:paraId="495BE8BF" w14:textId="4E94A48F">
      <w:pPr>
        <w:rPr>
          <w:b/>
        </w:rPr>
      </w:pPr>
      <w:r>
        <w:t>Electronic submission of the data promotes enhanced data quality</w:t>
      </w:r>
      <w:r w:rsidR="0083301F">
        <w:t xml:space="preserve">.  </w:t>
      </w:r>
      <w:r>
        <w:t>With built-in data quality checks</w:t>
      </w:r>
      <w:r w:rsidR="00885FBA">
        <w:t xml:space="preserve"> and </w:t>
      </w:r>
      <w:r>
        <w:t>easy access to data outputs and reports, users of the data can feel confident about the quality of the output</w:t>
      </w:r>
      <w:r w:rsidR="0083301F">
        <w:t xml:space="preserve">.  </w:t>
      </w:r>
      <w:r>
        <w:t xml:space="preserve">The electronic submission also promotes immediate access to the dataset.  Once data are </w:t>
      </w:r>
      <w:r w:rsidR="006B6C3F">
        <w:t>entered in</w:t>
      </w:r>
      <w:r>
        <w:t xml:space="preserve"> the web-based system, </w:t>
      </w:r>
      <w:r w:rsidR="006B6C3F">
        <w:t xml:space="preserve">they </w:t>
      </w:r>
      <w:r w:rsidR="00F80B03">
        <w:t>are</w:t>
      </w:r>
      <w:r>
        <w:t xml:space="preserve"> available for access, review, and reporting by all those with access to the system</w:t>
      </w:r>
      <w:r w:rsidR="006B6C3F">
        <w:t>,</w:t>
      </w:r>
      <w:r>
        <w:t xml:space="preserve"> </w:t>
      </w:r>
      <w:r w:rsidR="006B6C3F">
        <w:t xml:space="preserve">both </w:t>
      </w:r>
      <w:r>
        <w:t xml:space="preserve">Center </w:t>
      </w:r>
      <w:r w:rsidR="006B6C3F">
        <w:t xml:space="preserve">and </w:t>
      </w:r>
      <w:r>
        <w:t xml:space="preserve">grantee staff.  </w:t>
      </w:r>
    </w:p>
    <w:p w:rsidR="006803C1" w:rsidP="005A4A00" w:rsidRDefault="006803C1" w14:paraId="2D487756" w14:textId="77777777"/>
    <w:p w:rsidRPr="00705E94" w:rsidR="005A4A00" w:rsidP="005A4A00" w:rsidRDefault="005A4A00" w14:paraId="1C40AEEA" w14:textId="77777777">
      <w:pPr>
        <w:rPr>
          <w:b/>
        </w:rPr>
      </w:pPr>
      <w:r>
        <w:rPr>
          <w:b/>
        </w:rPr>
        <w:t>A</w:t>
      </w:r>
      <w:r w:rsidRPr="00705E94">
        <w:rPr>
          <w:b/>
        </w:rPr>
        <w:t xml:space="preserve">4.  </w:t>
      </w:r>
      <w:r>
        <w:rPr>
          <w:b/>
        </w:rPr>
        <w:t xml:space="preserve">   </w:t>
      </w:r>
      <w:r w:rsidRPr="00446BA6">
        <w:rPr>
          <w:b/>
          <w:bCs/>
        </w:rPr>
        <w:t xml:space="preserve">Efforts to Identify Duplication </w:t>
      </w:r>
    </w:p>
    <w:p w:rsidR="005A4A00" w:rsidP="005A4A00" w:rsidRDefault="005A4A00" w14:paraId="78831408" w14:textId="77777777"/>
    <w:p w:rsidR="0021604E" w:rsidP="005A4A00" w:rsidRDefault="005A4A00" w14:paraId="57A46C9E" w14:textId="77777777">
      <w:pPr>
        <w:rPr>
          <w:szCs w:val="24"/>
        </w:rPr>
      </w:pPr>
      <w:r>
        <w:rPr>
          <w:szCs w:val="24"/>
        </w:rPr>
        <w:t>The items collected are necessary in order to assess grantee performance</w:t>
      </w:r>
      <w:r w:rsidR="0083301F">
        <w:rPr>
          <w:szCs w:val="24"/>
        </w:rPr>
        <w:t xml:space="preserve">.  </w:t>
      </w:r>
      <w:r w:rsidRPr="00143684">
        <w:rPr>
          <w:szCs w:val="24"/>
        </w:rPr>
        <w:t xml:space="preserve">SAMHSA is promoting the </w:t>
      </w:r>
      <w:r>
        <w:rPr>
          <w:szCs w:val="24"/>
        </w:rPr>
        <w:t xml:space="preserve">use of </w:t>
      </w:r>
      <w:r w:rsidR="0021604E">
        <w:rPr>
          <w:szCs w:val="24"/>
        </w:rPr>
        <w:t xml:space="preserve">consistent </w:t>
      </w:r>
      <w:r>
        <w:rPr>
          <w:szCs w:val="24"/>
        </w:rPr>
        <w:t>performance</w:t>
      </w:r>
      <w:r w:rsidR="006F5AEF">
        <w:rPr>
          <w:szCs w:val="24"/>
        </w:rPr>
        <w:t xml:space="preserve"> and outcomes</w:t>
      </w:r>
      <w:r>
        <w:rPr>
          <w:szCs w:val="24"/>
        </w:rPr>
        <w:t xml:space="preserve"> measures across </w:t>
      </w:r>
      <w:r w:rsidR="00885FBA">
        <w:rPr>
          <w:szCs w:val="24"/>
        </w:rPr>
        <w:t>SOR and TOR</w:t>
      </w:r>
      <w:r>
        <w:rPr>
          <w:szCs w:val="24"/>
        </w:rPr>
        <w:t xml:space="preserve"> programs;</w:t>
      </w:r>
      <w:r w:rsidRPr="00143684">
        <w:rPr>
          <w:szCs w:val="24"/>
        </w:rPr>
        <w:t xml:space="preserve"> this effort will result in less overlap and </w:t>
      </w:r>
      <w:r w:rsidRPr="00143684" w:rsidR="00280770">
        <w:rPr>
          <w:szCs w:val="24"/>
        </w:rPr>
        <w:t>duplication and</w:t>
      </w:r>
      <w:r w:rsidRPr="00143684">
        <w:rPr>
          <w:szCs w:val="24"/>
        </w:rPr>
        <w:t xml:space="preserve"> </w:t>
      </w:r>
      <w:r w:rsidR="00A93688">
        <w:rPr>
          <w:szCs w:val="24"/>
        </w:rPr>
        <w:t xml:space="preserve">will </w:t>
      </w:r>
      <w:r w:rsidRPr="00143684">
        <w:rPr>
          <w:szCs w:val="24"/>
        </w:rPr>
        <w:t>substantially reduce the burden on grantees that results from data demands associated with individual programs.</w:t>
      </w:r>
      <w:r>
        <w:rPr>
          <w:szCs w:val="24"/>
        </w:rPr>
        <w:t xml:space="preserve"> </w:t>
      </w:r>
    </w:p>
    <w:p w:rsidR="0021604E" w:rsidP="005A4A00" w:rsidRDefault="0021604E" w14:paraId="59E7D106" w14:textId="77777777">
      <w:pPr>
        <w:rPr>
          <w:szCs w:val="24"/>
        </w:rPr>
      </w:pPr>
    </w:p>
    <w:p w:rsidR="00247734" w:rsidP="005A4A00" w:rsidRDefault="00247734" w14:paraId="2D4AB50A" w14:textId="77777777">
      <w:pPr>
        <w:rPr>
          <w:szCs w:val="24"/>
        </w:rPr>
      </w:pPr>
      <w:r w:rsidRPr="00D107E2">
        <w:rPr>
          <w:szCs w:val="24"/>
        </w:rPr>
        <w:t xml:space="preserve">A program-level review of current measures and methods of </w:t>
      </w:r>
      <w:r>
        <w:rPr>
          <w:szCs w:val="24"/>
        </w:rPr>
        <w:t xml:space="preserve">data </w:t>
      </w:r>
      <w:r w:rsidRPr="00D107E2">
        <w:rPr>
          <w:szCs w:val="24"/>
        </w:rPr>
        <w:t xml:space="preserve">collection was conducted </w:t>
      </w:r>
      <w:r w:rsidR="00885FBA">
        <w:rPr>
          <w:szCs w:val="24"/>
        </w:rPr>
        <w:t>w</w:t>
      </w:r>
      <w:r w:rsidRPr="00D107E2">
        <w:rPr>
          <w:szCs w:val="24"/>
        </w:rPr>
        <w:t>ith th</w:t>
      </w:r>
      <w:r w:rsidR="00F7795A">
        <w:rPr>
          <w:szCs w:val="24"/>
        </w:rPr>
        <w:t xml:space="preserve">e goal of creating questions </w:t>
      </w:r>
      <w:r w:rsidRPr="00D107E2">
        <w:rPr>
          <w:szCs w:val="24"/>
        </w:rPr>
        <w:t>for</w:t>
      </w:r>
      <w:r w:rsidR="00F7795A">
        <w:rPr>
          <w:szCs w:val="24"/>
        </w:rPr>
        <w:t xml:space="preserve"> more precise monitoring of g</w:t>
      </w:r>
      <w:r w:rsidRPr="00D107E2">
        <w:rPr>
          <w:szCs w:val="24"/>
        </w:rPr>
        <w:t>rantee performance</w:t>
      </w:r>
      <w:r w:rsidR="00885FBA">
        <w:rPr>
          <w:szCs w:val="24"/>
        </w:rPr>
        <w:t xml:space="preserve">. </w:t>
      </w:r>
      <w:r w:rsidRPr="002A54C9">
        <w:rPr>
          <w:szCs w:val="24"/>
        </w:rPr>
        <w:t xml:space="preserve">Each </w:t>
      </w:r>
      <w:r w:rsidR="00885FBA">
        <w:rPr>
          <w:szCs w:val="24"/>
        </w:rPr>
        <w:t>p</w:t>
      </w:r>
      <w:r w:rsidRPr="002A54C9">
        <w:rPr>
          <w:szCs w:val="24"/>
        </w:rPr>
        <w:t xml:space="preserve">roposed </w:t>
      </w:r>
      <w:r w:rsidRPr="002A54C9" w:rsidR="00F7795A">
        <w:rPr>
          <w:szCs w:val="24"/>
        </w:rPr>
        <w:t xml:space="preserve">question </w:t>
      </w:r>
      <w:r w:rsidRPr="002A54C9">
        <w:rPr>
          <w:szCs w:val="24"/>
        </w:rPr>
        <w:t>was reviewed and approved by CSAT senior leadership as meeting the performance monitoring and management needs of</w:t>
      </w:r>
      <w:r w:rsidR="00885FBA">
        <w:rPr>
          <w:szCs w:val="24"/>
        </w:rPr>
        <w:t xml:space="preserve"> the SOR/TOR program</w:t>
      </w:r>
      <w:r w:rsidRPr="002A54C9">
        <w:rPr>
          <w:szCs w:val="24"/>
        </w:rPr>
        <w:t>.</w:t>
      </w:r>
      <w:r w:rsidRPr="00D107E2">
        <w:rPr>
          <w:szCs w:val="24"/>
        </w:rPr>
        <w:t xml:space="preserve"> </w:t>
      </w:r>
    </w:p>
    <w:p w:rsidR="00BF0412" w:rsidP="005A4A00" w:rsidRDefault="00BF0412" w14:paraId="260FFCA7" w14:textId="77777777">
      <w:pPr>
        <w:rPr>
          <w:szCs w:val="24"/>
        </w:rPr>
      </w:pPr>
    </w:p>
    <w:p w:rsidRPr="00446BA6" w:rsidR="005A4A00" w:rsidP="45AA5890" w:rsidRDefault="005A4A00" w14:paraId="06429744" w14:textId="77777777">
      <w:pPr>
        <w:rPr>
          <w:b/>
          <w:bCs/>
        </w:rPr>
      </w:pPr>
      <w:r w:rsidRPr="45AA5890">
        <w:rPr>
          <w:b/>
          <w:bCs/>
        </w:rPr>
        <w:t xml:space="preserve">A5.     Involvement of Small Entities </w:t>
      </w:r>
    </w:p>
    <w:p w:rsidR="005A4A00" w:rsidP="005A4A00" w:rsidRDefault="005A4A00" w14:paraId="43B1C59F" w14:textId="77777777"/>
    <w:p w:rsidR="005A4A00" w:rsidP="005A4A00" w:rsidRDefault="005A4A00" w14:paraId="15F74E43" w14:textId="78C4C565">
      <w:r>
        <w:t xml:space="preserve">Individual grantees vary from </w:t>
      </w:r>
      <w:r w:rsidR="5C7A6DD4">
        <w:t>tribal</w:t>
      </w:r>
      <w:r>
        <w:t xml:space="preserve"> entities </w:t>
      </w:r>
      <w:r w:rsidR="006011E6">
        <w:t>to</w:t>
      </w:r>
      <w:r w:rsidR="32BE4D86">
        <w:t xml:space="preserve"> tribes and states</w:t>
      </w:r>
      <w:r w:rsidR="0083301F">
        <w:t xml:space="preserve">. </w:t>
      </w:r>
      <w:r>
        <w:t xml:space="preserve">Every effort has been made to minimize the number of data items collected from </w:t>
      </w:r>
      <w:r w:rsidR="6966A0A1">
        <w:t>grantees</w:t>
      </w:r>
      <w:r w:rsidR="00A70B33">
        <w:t>, requiring responses to</w:t>
      </w:r>
      <w:r>
        <w:t xml:space="preserve"> </w:t>
      </w:r>
      <w:r w:rsidR="00A70B33">
        <w:t xml:space="preserve">only </w:t>
      </w:r>
      <w:r>
        <w:t xml:space="preserve">the </w:t>
      </w:r>
      <w:r w:rsidR="006011E6">
        <w:t xml:space="preserve">items necessary </w:t>
      </w:r>
      <w:r>
        <w:t xml:space="preserve">to accomplish </w:t>
      </w:r>
      <w:r w:rsidR="006011E6">
        <w:t xml:space="preserve">the </w:t>
      </w:r>
      <w:r>
        <w:t xml:space="preserve">objectives </w:t>
      </w:r>
      <w:r w:rsidR="006011E6">
        <w:t>described</w:t>
      </w:r>
      <w:r w:rsidR="00A44B3A">
        <w:softHyphen/>
      </w:r>
      <w:r w:rsidR="00A44B3A">
        <w:softHyphen/>
      </w:r>
      <w:r w:rsidR="006011E6">
        <w:t xml:space="preserve"> in </w:t>
      </w:r>
      <w:r w:rsidR="00A70B33">
        <w:t>the</w:t>
      </w:r>
      <w:r>
        <w:t xml:space="preserve"> GPRA reporting requirements</w:t>
      </w:r>
      <w:r w:rsidR="0083301F">
        <w:t xml:space="preserve">.  </w:t>
      </w:r>
      <w:r w:rsidR="006011E6">
        <w:t>T</w:t>
      </w:r>
      <w:r>
        <w:t xml:space="preserve">herefore, there is no significant impact </w:t>
      </w:r>
      <w:r w:rsidR="006011E6">
        <w:t>to</w:t>
      </w:r>
      <w:r>
        <w:t xml:space="preserve"> small entities.  </w:t>
      </w:r>
    </w:p>
    <w:p w:rsidR="005A4A00" w:rsidP="005A4A00" w:rsidRDefault="005A4A00" w14:paraId="4B823096" w14:textId="77777777"/>
    <w:p w:rsidR="005A4A00" w:rsidP="005A4A00" w:rsidRDefault="005A4A00" w14:paraId="5C8ED8EF" w14:textId="77777777">
      <w:pPr>
        <w:rPr>
          <w:b/>
          <w:u w:val="single"/>
        </w:rPr>
      </w:pPr>
      <w:r>
        <w:rPr>
          <w:b/>
        </w:rPr>
        <w:t>A</w:t>
      </w:r>
      <w:r w:rsidRPr="00446BA6">
        <w:rPr>
          <w:b/>
        </w:rPr>
        <w:t xml:space="preserve">6.     Consequences </w:t>
      </w:r>
      <w:r w:rsidR="006F5AEF">
        <w:rPr>
          <w:b/>
        </w:rPr>
        <w:t>i</w:t>
      </w:r>
      <w:r w:rsidRPr="00446BA6">
        <w:rPr>
          <w:b/>
        </w:rPr>
        <w:t xml:space="preserve">f </w:t>
      </w:r>
      <w:r w:rsidR="006F5AEF">
        <w:rPr>
          <w:b/>
        </w:rPr>
        <w:t xml:space="preserve">Information </w:t>
      </w:r>
      <w:r w:rsidRPr="00446BA6" w:rsidR="006F5AEF">
        <w:rPr>
          <w:b/>
        </w:rPr>
        <w:t>Collect</w:t>
      </w:r>
      <w:r w:rsidR="006F5AEF">
        <w:rPr>
          <w:b/>
        </w:rPr>
        <w:t>ed</w:t>
      </w:r>
      <w:r w:rsidRPr="00446BA6" w:rsidR="006F5AEF">
        <w:rPr>
          <w:b/>
        </w:rPr>
        <w:t xml:space="preserve"> </w:t>
      </w:r>
      <w:r w:rsidRPr="00446BA6">
        <w:rPr>
          <w:b/>
        </w:rPr>
        <w:t>Less Frequently</w:t>
      </w:r>
      <w:r w:rsidRPr="00446BA6" w:rsidDel="00446BA6">
        <w:rPr>
          <w:b/>
          <w:u w:val="single"/>
        </w:rPr>
        <w:t xml:space="preserve"> </w:t>
      </w:r>
    </w:p>
    <w:p w:rsidR="005A4A00" w:rsidP="005A4A00" w:rsidRDefault="005A4A00" w14:paraId="6F253EFC" w14:textId="77777777">
      <w:pPr>
        <w:rPr>
          <w:rFonts w:ascii="Times" w:hAnsi="Times"/>
        </w:rPr>
      </w:pPr>
    </w:p>
    <w:p w:rsidRPr="009A09BA" w:rsidR="00885FBA" w:rsidP="00885FBA" w:rsidRDefault="00885FBA" w14:paraId="02EE348C" w14:textId="615BE02F">
      <w:r>
        <w:t>SOR/TOR grant programs</w:t>
      </w:r>
      <w:r w:rsidRPr="009A09BA">
        <w:t xml:space="preserve"> </w:t>
      </w:r>
      <w:r>
        <w:t xml:space="preserve">report program level data to SAMHSA quarterly. These </w:t>
      </w:r>
      <w:r w:rsidR="00E774BC">
        <w:t xml:space="preserve">points in </w:t>
      </w:r>
      <w:r>
        <w:t xml:space="preserve">time </w:t>
      </w:r>
      <w:r w:rsidRPr="009A09BA">
        <w:t xml:space="preserve">are part of regular program </w:t>
      </w:r>
      <w:r w:rsidR="00E774BC">
        <w:t>monitoring</w:t>
      </w:r>
      <w:r w:rsidRPr="009A09BA">
        <w:t>.</w:t>
      </w:r>
      <w:r>
        <w:t xml:space="preserve">  If the</w:t>
      </w:r>
      <w:r w:rsidR="00EB5036">
        <w:t>se</w:t>
      </w:r>
      <w:r>
        <w:t xml:space="preserve"> data </w:t>
      </w:r>
      <w:r w:rsidR="00EB5036">
        <w:t xml:space="preserve">are </w:t>
      </w:r>
      <w:r>
        <w:t xml:space="preserve">collected less frequently, changes in program services will be difficult to </w:t>
      </w:r>
      <w:r w:rsidR="00EB5036">
        <w:t>measure</w:t>
      </w:r>
      <w:r>
        <w:t xml:space="preserve">. </w:t>
      </w:r>
      <w:r w:rsidRPr="009A09BA">
        <w:t xml:space="preserve"> </w:t>
      </w:r>
    </w:p>
    <w:p w:rsidR="00885FBA" w:rsidP="00885FBA" w:rsidRDefault="00885FBA" w14:paraId="0762A106" w14:textId="77777777"/>
    <w:p w:rsidR="00885FBA" w:rsidP="005A4A00" w:rsidRDefault="00885FBA" w14:paraId="6DC82591" w14:textId="6DF326A2">
      <w:r>
        <w:t>The</w:t>
      </w:r>
      <w:r w:rsidR="00EB5036">
        <w:t>se</w:t>
      </w:r>
      <w:r>
        <w:t xml:space="preserve"> data will be reported by SAMHSA</w:t>
      </w:r>
      <w:r w:rsidR="298E127D">
        <w:t xml:space="preserve"> in </w:t>
      </w:r>
      <w:r w:rsidR="00451D27">
        <w:t>Congressionally mandated</w:t>
      </w:r>
      <w:r w:rsidR="0093465D">
        <w:t xml:space="preserve"> SOR</w:t>
      </w:r>
      <w:r w:rsidR="003005B4">
        <w:t xml:space="preserve"> r</w:t>
      </w:r>
      <w:r w:rsidR="298E127D">
        <w:t xml:space="preserve">eports. </w:t>
      </w:r>
    </w:p>
    <w:p w:rsidRPr="00E04321" w:rsidR="005A4A00" w:rsidP="005A4A00" w:rsidRDefault="005A4A00" w14:paraId="325619F6" w14:textId="77777777">
      <w:pPr>
        <w:pStyle w:val="Heading2"/>
      </w:pPr>
      <w:r>
        <w:rPr>
          <w:bCs w:val="0"/>
        </w:rPr>
        <w:t>A</w:t>
      </w:r>
      <w:r w:rsidRPr="00446BA6">
        <w:rPr>
          <w:bCs w:val="0"/>
        </w:rPr>
        <w:t>7.</w:t>
      </w:r>
      <w:r w:rsidRPr="00CA4651">
        <w:rPr>
          <w:b w:val="0"/>
        </w:rPr>
        <w:t xml:space="preserve">  </w:t>
      </w:r>
      <w:r>
        <w:rPr>
          <w:b w:val="0"/>
        </w:rPr>
        <w:t xml:space="preserve">    </w:t>
      </w:r>
      <w:r>
        <w:t>Consistency with the Guidelines in</w:t>
      </w:r>
      <w:r w:rsidRPr="00E04321">
        <w:t xml:space="preserve"> 5 CFR1320.5</w:t>
      </w:r>
      <w:r>
        <w:t>(d)(2)</w:t>
      </w:r>
    </w:p>
    <w:p w:rsidR="005A4A00" w:rsidP="005A4A00" w:rsidRDefault="005A4A00" w14:paraId="2C2ECB75" w14:textId="77777777">
      <w:r>
        <w:t>This information collection fully complies with 5 CFR 1320.5(d) (2).</w:t>
      </w:r>
    </w:p>
    <w:p w:rsidR="005A4A00" w:rsidP="005A4A00" w:rsidRDefault="005A4A00" w14:paraId="1A402039" w14:textId="77777777"/>
    <w:p w:rsidRPr="00CA4651" w:rsidR="005A4A00" w:rsidP="004A33A7" w:rsidRDefault="005A4A00" w14:paraId="6D547E9B" w14:textId="77777777">
      <w:pPr>
        <w:rPr>
          <w:b/>
        </w:rPr>
      </w:pPr>
      <w:r>
        <w:rPr>
          <w:b/>
        </w:rPr>
        <w:t>A</w:t>
      </w:r>
      <w:r w:rsidRPr="00CA4651">
        <w:rPr>
          <w:b/>
        </w:rPr>
        <w:t xml:space="preserve">8.  </w:t>
      </w:r>
      <w:r>
        <w:rPr>
          <w:b/>
        </w:rPr>
        <w:t xml:space="preserve">    </w:t>
      </w:r>
      <w:r>
        <w:rPr>
          <w:b/>
          <w:bCs/>
        </w:rPr>
        <w:t xml:space="preserve">Consultation Outside the Agency </w:t>
      </w:r>
    </w:p>
    <w:p w:rsidR="005A4A00" w:rsidP="005A4A00" w:rsidRDefault="005A4A00" w14:paraId="5D89EF47" w14:textId="77777777"/>
    <w:p w:rsidR="005A4A00" w:rsidP="005A4A00" w:rsidRDefault="005A4A00" w14:paraId="0FAD5116" w14:textId="7E45FDB9">
      <w:r>
        <w:t xml:space="preserve">The notice required by 5 CFR 1320.8(d) was published in the </w:t>
      </w:r>
      <w:r w:rsidRPr="5355D8B4">
        <w:rPr>
          <w:i/>
          <w:iCs/>
        </w:rPr>
        <w:t xml:space="preserve">Federal Register </w:t>
      </w:r>
      <w:r>
        <w:t xml:space="preserve">on </w:t>
      </w:r>
      <w:r w:rsidR="009C01E2">
        <w:t>August</w:t>
      </w:r>
      <w:r w:rsidR="00581D8D">
        <w:t xml:space="preserve"> </w:t>
      </w:r>
      <w:r w:rsidR="009C01E2">
        <w:t>2</w:t>
      </w:r>
      <w:r w:rsidR="00E42550">
        <w:t xml:space="preserve">, </w:t>
      </w:r>
      <w:r w:rsidR="00920965">
        <w:t>20</w:t>
      </w:r>
      <w:r w:rsidR="009C01E2">
        <w:t>2</w:t>
      </w:r>
      <w:r w:rsidR="00920965">
        <w:t>1</w:t>
      </w:r>
      <w:r>
        <w:t xml:space="preserve"> (</w:t>
      </w:r>
      <w:r w:rsidR="002A54C9">
        <w:t>8</w:t>
      </w:r>
      <w:r w:rsidR="009C01E2">
        <w:t>6</w:t>
      </w:r>
      <w:r w:rsidR="002A54C9">
        <w:t xml:space="preserve"> </w:t>
      </w:r>
      <w:r>
        <w:t xml:space="preserve">FR </w:t>
      </w:r>
      <w:r w:rsidRPr="009C01E2" w:rsidR="009C01E2">
        <w:t>41495</w:t>
      </w:r>
      <w:r w:rsidR="00236FCA">
        <w:t>)</w:t>
      </w:r>
      <w:r w:rsidR="00E42550">
        <w:t>.</w:t>
      </w:r>
      <w:r w:rsidR="00581D8D">
        <w:t xml:space="preserve"> </w:t>
      </w:r>
      <w:r w:rsidRPr="008F52C3" w:rsidR="009C01E2">
        <w:t>No comments were received in response to this notice</w:t>
      </w:r>
      <w:r w:rsidR="00581D8D">
        <w:t>.</w:t>
      </w:r>
    </w:p>
    <w:p w:rsidR="000C5B23" w:rsidP="005A4A00" w:rsidRDefault="000C5B23" w14:paraId="070C67C0" w14:textId="77777777"/>
    <w:p w:rsidR="5355D8B4" w:rsidRDefault="005A4A00" w14:paraId="2CDE3FFB" w14:textId="77777777">
      <w:r w:rsidRPr="5355D8B4">
        <w:rPr>
          <w:b/>
          <w:bCs/>
        </w:rPr>
        <w:t>A9.     Payment to Respondents</w:t>
      </w:r>
      <w:r w:rsidRPr="5355D8B4">
        <w:rPr>
          <w:b/>
          <w:bCs/>
          <w:u w:val="single"/>
        </w:rPr>
        <w:t xml:space="preserve"> </w:t>
      </w:r>
    </w:p>
    <w:p w:rsidR="00280770" w:rsidP="005A4A00" w:rsidRDefault="00280770" w14:paraId="65495D2C" w14:textId="77777777"/>
    <w:p w:rsidR="005A4A00" w:rsidP="005A4A00" w:rsidRDefault="19651F8E" w14:paraId="4A883B6C" w14:textId="241DF3DD">
      <w:r>
        <w:t>The respondents do not receive payments.</w:t>
      </w:r>
    </w:p>
    <w:p w:rsidR="00EB5036" w:rsidDel="0004329A" w:rsidP="005A4A00" w:rsidRDefault="00EB5036" w14:paraId="2C21250D" w14:textId="77777777"/>
    <w:p w:rsidRPr="00446BA6" w:rsidR="005A4A00" w:rsidP="00E333F4" w:rsidRDefault="005A4A00" w14:paraId="3316BB58" w14:textId="23CCAE73">
      <w:pPr>
        <w:keepLines/>
        <w:rPr>
          <w:b/>
          <w:bCs/>
        </w:rPr>
      </w:pPr>
      <w:r>
        <w:rPr>
          <w:b/>
        </w:rPr>
        <w:t>A</w:t>
      </w:r>
      <w:r w:rsidRPr="00CA4651">
        <w:rPr>
          <w:b/>
        </w:rPr>
        <w:t xml:space="preserve">10.  </w:t>
      </w:r>
      <w:r>
        <w:rPr>
          <w:b/>
        </w:rPr>
        <w:t xml:space="preserve">   </w:t>
      </w:r>
      <w:r w:rsidRPr="00446BA6">
        <w:rPr>
          <w:b/>
          <w:bCs/>
        </w:rPr>
        <w:t>Assurance of Confidentiality</w:t>
      </w:r>
    </w:p>
    <w:p w:rsidR="005A4A00" w:rsidP="005A4A00" w:rsidRDefault="005A4A00" w14:paraId="0A1DF4EA" w14:textId="77777777"/>
    <w:p w:rsidR="005A4A00" w:rsidP="005A4A00" w:rsidRDefault="005A4A00" w14:paraId="0E41851A" w14:textId="1CB4656F">
      <w:r>
        <w:rPr>
          <w:szCs w:val="24"/>
        </w:rPr>
        <w:t xml:space="preserve">The information from Grantees and all other potential respondents will be kept private through all </w:t>
      </w:r>
      <w:r w:rsidR="00EB5036">
        <w:rPr>
          <w:szCs w:val="24"/>
        </w:rPr>
        <w:t xml:space="preserve">steps </w:t>
      </w:r>
      <w:r>
        <w:rPr>
          <w:szCs w:val="24"/>
        </w:rPr>
        <w:t>in the data collection and reporting processes</w:t>
      </w:r>
      <w:r w:rsidR="0083301F">
        <w:rPr>
          <w:szCs w:val="24"/>
        </w:rPr>
        <w:t xml:space="preserve">.  </w:t>
      </w:r>
      <w:r>
        <w:rPr>
          <w:szCs w:val="24"/>
        </w:rPr>
        <w:t xml:space="preserve">However, SAMHSA cannot ensure complete confidentiality of </w:t>
      </w:r>
      <w:r w:rsidR="00581D8D">
        <w:rPr>
          <w:szCs w:val="24"/>
        </w:rPr>
        <w:t xml:space="preserve">the program level </w:t>
      </w:r>
      <w:r>
        <w:rPr>
          <w:szCs w:val="24"/>
        </w:rPr>
        <w:t>data</w:t>
      </w:r>
      <w:r w:rsidR="0083301F">
        <w:rPr>
          <w:szCs w:val="24"/>
        </w:rPr>
        <w:t xml:space="preserve">.  </w:t>
      </w:r>
      <w:r>
        <w:rPr>
          <w:szCs w:val="24"/>
        </w:rPr>
        <w:t xml:space="preserve">Only aggregated data will be reported. </w:t>
      </w:r>
      <w:r w:rsidR="001118EF">
        <w:rPr>
          <w:szCs w:val="24"/>
        </w:rPr>
        <w:t xml:space="preserve"> </w:t>
      </w:r>
      <w:r>
        <w:t xml:space="preserve">SAMHSA has statutory authority to collect data under the </w:t>
      </w:r>
      <w:r w:rsidR="000B2D48">
        <w:t>GPRA</w:t>
      </w:r>
      <w:r>
        <w:t xml:space="preserve"> (Public Law 1103(a), Title 31)</w:t>
      </w:r>
      <w:r w:rsidR="00EB5036">
        <w:t>,</w:t>
      </w:r>
      <w:r>
        <w:t xml:space="preserve"> and is subject to the Privacy Act for the protection of data.  Federally assisted substance abuse treatment providers are subject to the federal regulations for </w:t>
      </w:r>
      <w:r w:rsidRPr="00C23A34">
        <w:t>alcohol and substance abuse patient records (42 CFR Part 2)</w:t>
      </w:r>
      <w:r w:rsidRPr="00C23A34">
        <w:rPr>
          <w:szCs w:val="24"/>
        </w:rPr>
        <w:t xml:space="preserve"> (OMB No. 0930-0092)</w:t>
      </w:r>
      <w:r w:rsidR="00EB5036">
        <w:rPr>
          <w:szCs w:val="24"/>
        </w:rPr>
        <w:t>,</w:t>
      </w:r>
      <w:r w:rsidRPr="00C23A34">
        <w:t xml:space="preserve"> which</w:t>
      </w:r>
      <w:r>
        <w:t xml:space="preserve"> govern the protection of patient identifying data</w:t>
      </w:r>
      <w:r w:rsidR="0083301F">
        <w:t xml:space="preserve">.  </w:t>
      </w:r>
      <w:r>
        <w:t xml:space="preserve">In some cases, these same providers meet the definition of a </w:t>
      </w:r>
      <w:r w:rsidRPr="000B2D48" w:rsidR="000B2D48">
        <w:t>Health Insurance Portability and Accountability Act</w:t>
      </w:r>
      <w:r>
        <w:t xml:space="preserve"> covered entity and are additionally subject to the Privacy Rule (45 CFR Parts 160 and 164) for the protection of individually identifiable data.  </w:t>
      </w:r>
    </w:p>
    <w:p w:rsidR="005A4A00" w:rsidP="005A4A00" w:rsidRDefault="005A4A00" w14:paraId="029BF983" w14:textId="77777777">
      <w:pPr>
        <w:rPr>
          <w:b/>
        </w:rPr>
      </w:pPr>
    </w:p>
    <w:p w:rsidRPr="00CA4651" w:rsidR="005A4A00" w:rsidP="005A4A00" w:rsidRDefault="005A4A00" w14:paraId="34BFB982" w14:textId="77777777">
      <w:pPr>
        <w:rPr>
          <w:b/>
        </w:rPr>
      </w:pPr>
      <w:r>
        <w:rPr>
          <w:b/>
        </w:rPr>
        <w:t>A</w:t>
      </w:r>
      <w:r w:rsidRPr="00CA4651">
        <w:rPr>
          <w:b/>
        </w:rPr>
        <w:t xml:space="preserve">11.  </w:t>
      </w:r>
      <w:r>
        <w:rPr>
          <w:b/>
        </w:rPr>
        <w:t xml:space="preserve">  </w:t>
      </w:r>
      <w:r>
        <w:rPr>
          <w:b/>
          <w:bCs/>
        </w:rPr>
        <w:t xml:space="preserve">Questions of a Sensitive Nature </w:t>
      </w:r>
    </w:p>
    <w:p w:rsidR="005A4A00" w:rsidP="005A4A00" w:rsidRDefault="005A4A00" w14:paraId="3A3C7C6F" w14:textId="77777777"/>
    <w:p w:rsidR="005A4A00" w:rsidP="00280770" w:rsidRDefault="005A4A00" w14:paraId="3D7E6E63" w14:textId="17C75C2D">
      <w:r>
        <w:t>SAMHSA’s mission is to improve the quality and availability of prevention, early intervention, treatment, and rehabilitation services for substance use and mental illnesses, including co-occurring disorders, in order to improve health and reduce illness, death, disability, and cost to society</w:t>
      </w:r>
      <w:r w:rsidR="0083301F">
        <w:t xml:space="preserve">.  </w:t>
      </w:r>
      <w:r>
        <w:t xml:space="preserve">The data submitted by each grantee </w:t>
      </w:r>
      <w:r w:rsidR="00B13794">
        <w:t>primar</w:t>
      </w:r>
      <w:r>
        <w:t xml:space="preserve">ily include </w:t>
      </w:r>
      <w:r w:rsidR="0004329A">
        <w:t xml:space="preserve">aggregate </w:t>
      </w:r>
      <w:r>
        <w:t xml:space="preserve">data on </w:t>
      </w:r>
      <w:r w:rsidR="001A6955">
        <w:t xml:space="preserve">reported overdose reversals; </w:t>
      </w:r>
      <w:r w:rsidR="00B13794">
        <w:t>the purchase</w:t>
      </w:r>
      <w:r w:rsidR="00724C0F">
        <w:t xml:space="preserve"> and </w:t>
      </w:r>
      <w:r w:rsidR="00B13794">
        <w:t>distribution</w:t>
      </w:r>
      <w:r w:rsidR="00724C0F">
        <w:t xml:space="preserve"> of naloxone</w:t>
      </w:r>
      <w:r w:rsidR="00EB5036">
        <w:t>;</w:t>
      </w:r>
      <w:r w:rsidR="00B13794">
        <w:t xml:space="preserve"> training o</w:t>
      </w:r>
      <w:r w:rsidR="00724C0F">
        <w:t xml:space="preserve">n </w:t>
      </w:r>
      <w:r w:rsidR="00B13794">
        <w:t>naloxone</w:t>
      </w:r>
      <w:r w:rsidR="00724C0F">
        <w:t xml:space="preserve"> administration</w:t>
      </w:r>
      <w:r w:rsidR="00B13794">
        <w:t>; implementation of prevention and education activities; outreach activities for underserved communities; and the purchase</w:t>
      </w:r>
      <w:r w:rsidR="0004329A">
        <w:t xml:space="preserve"> and distribution</w:t>
      </w:r>
      <w:r w:rsidR="00B13794">
        <w:t xml:space="preserve"> of fentanyl test strips</w:t>
      </w:r>
      <w:r w:rsidR="0083301F">
        <w:t xml:space="preserve">.  </w:t>
      </w:r>
    </w:p>
    <w:p w:rsidR="00372AF8" w:rsidP="00372AF8" w:rsidRDefault="00372AF8" w14:paraId="365DB16B" w14:textId="77777777">
      <w:pPr>
        <w:pStyle w:val="ListParagraph"/>
      </w:pPr>
    </w:p>
    <w:p w:rsidRPr="00CA4651" w:rsidR="005A4A00" w:rsidP="005A4A00" w:rsidRDefault="005A4A00" w14:paraId="436C2D76" w14:textId="77777777">
      <w:pPr>
        <w:rPr>
          <w:b/>
        </w:rPr>
      </w:pPr>
      <w:r>
        <w:rPr>
          <w:b/>
        </w:rPr>
        <w:t>A</w:t>
      </w:r>
      <w:r w:rsidRPr="00933758">
        <w:rPr>
          <w:b/>
        </w:rPr>
        <w:t xml:space="preserve">12.     </w:t>
      </w:r>
      <w:r w:rsidRPr="00203445">
        <w:rPr>
          <w:b/>
        </w:rPr>
        <w:t>Estimates of Annualized Hour Burden</w:t>
      </w:r>
      <w:r>
        <w:rPr>
          <w:b/>
          <w:u w:val="single"/>
        </w:rPr>
        <w:t xml:space="preserve"> </w:t>
      </w:r>
    </w:p>
    <w:p w:rsidR="005A4A00" w:rsidP="005A4A00" w:rsidRDefault="005A4A00" w14:paraId="2818EEAC" w14:textId="77777777"/>
    <w:p w:rsidR="00372AF8" w:rsidP="5355D8B4" w:rsidRDefault="007E5D1F" w14:paraId="5F88F80D" w14:textId="5627D5E1">
      <w:pPr>
        <w:rPr>
          <w:b/>
          <w:bCs/>
        </w:rPr>
      </w:pPr>
      <w:r>
        <w:t xml:space="preserve">The </w:t>
      </w:r>
      <w:r w:rsidR="00354648">
        <w:t xml:space="preserve">estimated </w:t>
      </w:r>
      <w:r>
        <w:t xml:space="preserve">time to complete the instruments is </w:t>
      </w:r>
      <w:r w:rsidR="00354648">
        <w:t>given</w:t>
      </w:r>
      <w:r>
        <w:t xml:space="preserve"> in Table 1</w:t>
      </w:r>
      <w:r w:rsidR="0083301F">
        <w:t xml:space="preserve">.  </w:t>
      </w:r>
      <w:r>
        <w:t xml:space="preserve">These estimates are based on current funding and planned </w:t>
      </w:r>
      <w:r w:rsidR="000B2D48">
        <w:t xml:space="preserve">funding </w:t>
      </w:r>
      <w:r>
        <w:t>and the number of con</w:t>
      </w:r>
      <w:r w:rsidR="000C5B23">
        <w:t xml:space="preserve">sumers served </w:t>
      </w:r>
      <w:r w:rsidR="00860CB0">
        <w:t>in recent years</w:t>
      </w:r>
      <w:r w:rsidR="00B13794">
        <w:t>. The</w:t>
      </w:r>
      <w:r>
        <w:t xml:space="preserve"> amount of time required to complete the new questions is based on an informal pilot and prior SAMHSA/CSAT experience in collecting similar data.</w:t>
      </w:r>
    </w:p>
    <w:p w:rsidR="00BF0412" w:rsidP="00C84489" w:rsidRDefault="00BF0412" w14:paraId="24A0F413" w14:textId="076FA629">
      <w:pPr>
        <w:rPr>
          <w:b/>
        </w:rPr>
      </w:pPr>
    </w:p>
    <w:p w:rsidR="00C84489" w:rsidP="00C84489" w:rsidRDefault="007E5D1F" w14:paraId="4DC03F37" w14:textId="3779E1A2">
      <w:pPr>
        <w:rPr>
          <w:b/>
          <w:sz w:val="20"/>
          <w:vertAlign w:val="superscript"/>
        </w:rPr>
      </w:pPr>
      <w:r>
        <w:rPr>
          <w:b/>
        </w:rPr>
        <w:t xml:space="preserve">Table 1: </w:t>
      </w:r>
      <w:r w:rsidR="00C84489">
        <w:rPr>
          <w:b/>
        </w:rPr>
        <w:t xml:space="preserve">Estimates of Annualized Hour Burden </w:t>
      </w:r>
      <w:r w:rsidR="00B13794">
        <w:rPr>
          <w:b/>
        </w:rPr>
        <w:t>for SOR/TOR Grantees</w:t>
      </w:r>
      <w:r w:rsidR="00C84489">
        <w:rPr>
          <w:b/>
          <w:sz w:val="20"/>
          <w:vertAlign w:val="superscript"/>
        </w:rPr>
        <w:t xml:space="preserve">  </w:t>
      </w:r>
    </w:p>
    <w:p w:rsidR="00C84489" w:rsidP="00C84489" w:rsidRDefault="00C84489" w14:paraId="6345F14D" w14:textId="45DD2302">
      <w:pPr>
        <w:rPr>
          <w:b/>
          <w:szCs w:val="22"/>
        </w:rPr>
      </w:pPr>
    </w:p>
    <w:tbl>
      <w:tblPr>
        <w:tblW w:w="990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19"/>
        <w:gridCol w:w="1441"/>
        <w:gridCol w:w="1350"/>
        <w:gridCol w:w="1260"/>
        <w:gridCol w:w="1170"/>
        <w:gridCol w:w="990"/>
        <w:gridCol w:w="900"/>
        <w:gridCol w:w="1170"/>
      </w:tblGrid>
      <w:tr w:rsidRPr="00341B6C" w:rsidR="0010283C" w:rsidTr="00F80B03" w14:paraId="3FF2DEE6" w14:textId="77777777">
        <w:trPr>
          <w:trHeight w:val="98"/>
        </w:trPr>
        <w:tc>
          <w:tcPr>
            <w:tcW w:w="1619" w:type="dxa"/>
            <w:shd w:val="clear" w:color="auto" w:fill="DDD9C3"/>
            <w:noWrap/>
            <w:vAlign w:val="center"/>
            <w:hideMark/>
          </w:tcPr>
          <w:p w:rsidRPr="00341B6C" w:rsidR="000869E3" w:rsidP="00F80B03" w:rsidRDefault="000869E3" w14:paraId="163A75AE" w14:textId="77777777">
            <w:pPr>
              <w:spacing w:after="160" w:line="259" w:lineRule="auto"/>
              <w:jc w:val="center"/>
              <w:rPr>
                <w:b/>
                <w:sz w:val="22"/>
                <w:szCs w:val="22"/>
              </w:rPr>
            </w:pPr>
            <w:bookmarkStart w:name="_Hlk71894833" w:id="5"/>
            <w:r w:rsidRPr="00341B6C">
              <w:rPr>
                <w:b/>
                <w:sz w:val="22"/>
                <w:szCs w:val="22"/>
              </w:rPr>
              <w:t>SAMHSA Data Collection</w:t>
            </w:r>
          </w:p>
        </w:tc>
        <w:tc>
          <w:tcPr>
            <w:tcW w:w="1441" w:type="dxa"/>
            <w:shd w:val="clear" w:color="auto" w:fill="DDD9C3"/>
            <w:vAlign w:val="center"/>
            <w:hideMark/>
          </w:tcPr>
          <w:p w:rsidRPr="00341B6C" w:rsidR="000869E3" w:rsidP="00F80B03" w:rsidRDefault="000869E3" w14:paraId="5BC164C2" w14:textId="77777777">
            <w:pPr>
              <w:spacing w:after="160" w:line="259" w:lineRule="auto"/>
              <w:jc w:val="center"/>
              <w:rPr>
                <w:b/>
                <w:sz w:val="22"/>
                <w:szCs w:val="22"/>
              </w:rPr>
            </w:pPr>
            <w:r w:rsidRPr="00341B6C">
              <w:rPr>
                <w:b/>
                <w:sz w:val="22"/>
                <w:szCs w:val="22"/>
              </w:rPr>
              <w:t>Number of Respondents</w:t>
            </w:r>
          </w:p>
        </w:tc>
        <w:tc>
          <w:tcPr>
            <w:tcW w:w="1350" w:type="dxa"/>
            <w:shd w:val="clear" w:color="auto" w:fill="DDD9C3"/>
            <w:vAlign w:val="center"/>
            <w:hideMark/>
          </w:tcPr>
          <w:p w:rsidRPr="00341B6C" w:rsidR="000869E3" w:rsidP="00F80B03" w:rsidRDefault="000869E3" w14:paraId="25434A6F" w14:textId="77777777">
            <w:pPr>
              <w:spacing w:after="160" w:line="259" w:lineRule="auto"/>
              <w:jc w:val="center"/>
              <w:rPr>
                <w:b/>
                <w:sz w:val="22"/>
                <w:szCs w:val="22"/>
              </w:rPr>
            </w:pPr>
            <w:r w:rsidRPr="00341B6C">
              <w:rPr>
                <w:b/>
                <w:sz w:val="22"/>
                <w:szCs w:val="22"/>
              </w:rPr>
              <w:t>Responses per Respondent</w:t>
            </w:r>
          </w:p>
        </w:tc>
        <w:tc>
          <w:tcPr>
            <w:tcW w:w="1260" w:type="dxa"/>
            <w:shd w:val="clear" w:color="auto" w:fill="DDD9C3"/>
            <w:vAlign w:val="center"/>
            <w:hideMark/>
          </w:tcPr>
          <w:p w:rsidRPr="00341B6C" w:rsidR="000869E3" w:rsidP="00F80B03" w:rsidRDefault="000869E3" w14:paraId="218B43A4" w14:textId="77777777">
            <w:pPr>
              <w:spacing w:after="160" w:line="259" w:lineRule="auto"/>
              <w:jc w:val="center"/>
              <w:rPr>
                <w:b/>
                <w:sz w:val="22"/>
                <w:szCs w:val="22"/>
              </w:rPr>
            </w:pPr>
            <w:r w:rsidRPr="00341B6C">
              <w:rPr>
                <w:b/>
                <w:sz w:val="22"/>
                <w:szCs w:val="22"/>
              </w:rPr>
              <w:t>Total Number of Responses</w:t>
            </w:r>
          </w:p>
        </w:tc>
        <w:tc>
          <w:tcPr>
            <w:tcW w:w="1170" w:type="dxa"/>
            <w:shd w:val="clear" w:color="auto" w:fill="DDD9C3"/>
            <w:vAlign w:val="center"/>
            <w:hideMark/>
          </w:tcPr>
          <w:p w:rsidRPr="00341B6C" w:rsidR="000869E3" w:rsidP="00F80B03" w:rsidRDefault="000869E3" w14:paraId="76AEB0B5" w14:textId="77777777">
            <w:pPr>
              <w:spacing w:after="160" w:line="259" w:lineRule="auto"/>
              <w:jc w:val="center"/>
              <w:rPr>
                <w:b/>
                <w:sz w:val="22"/>
                <w:szCs w:val="22"/>
              </w:rPr>
            </w:pPr>
            <w:r w:rsidRPr="00341B6C">
              <w:rPr>
                <w:b/>
                <w:sz w:val="22"/>
                <w:szCs w:val="22"/>
              </w:rPr>
              <w:t>Burden Hours per Response</w:t>
            </w:r>
          </w:p>
        </w:tc>
        <w:tc>
          <w:tcPr>
            <w:tcW w:w="990" w:type="dxa"/>
            <w:shd w:val="clear" w:color="auto" w:fill="DDD9C3"/>
            <w:vAlign w:val="center"/>
            <w:hideMark/>
          </w:tcPr>
          <w:p w:rsidRPr="00341B6C" w:rsidR="000869E3" w:rsidP="00F80B03" w:rsidRDefault="000869E3" w14:paraId="26BE108F" w14:textId="77777777">
            <w:pPr>
              <w:spacing w:after="160" w:line="259" w:lineRule="auto"/>
              <w:jc w:val="center"/>
              <w:rPr>
                <w:b/>
                <w:sz w:val="22"/>
                <w:szCs w:val="22"/>
              </w:rPr>
            </w:pPr>
            <w:r w:rsidRPr="00341B6C">
              <w:rPr>
                <w:b/>
                <w:sz w:val="22"/>
                <w:szCs w:val="22"/>
              </w:rPr>
              <w:t>Total Burden Hours</w:t>
            </w:r>
          </w:p>
        </w:tc>
        <w:tc>
          <w:tcPr>
            <w:tcW w:w="900" w:type="dxa"/>
            <w:shd w:val="clear" w:color="auto" w:fill="DDD9C3"/>
            <w:vAlign w:val="center"/>
            <w:hideMark/>
          </w:tcPr>
          <w:p w:rsidRPr="00341B6C" w:rsidR="000869E3" w:rsidP="00F80B03" w:rsidRDefault="000869E3" w14:paraId="648DFAB7" w14:textId="77777777">
            <w:pPr>
              <w:spacing w:after="160" w:line="259" w:lineRule="auto"/>
              <w:jc w:val="center"/>
              <w:rPr>
                <w:b/>
                <w:sz w:val="22"/>
                <w:szCs w:val="22"/>
              </w:rPr>
            </w:pPr>
            <w:r w:rsidRPr="00341B6C">
              <w:rPr>
                <w:b/>
                <w:sz w:val="22"/>
                <w:szCs w:val="22"/>
              </w:rPr>
              <w:t>Hourly Wage</w:t>
            </w:r>
            <w:r w:rsidRPr="00341B6C">
              <w:rPr>
                <w:b/>
                <w:sz w:val="22"/>
                <w:szCs w:val="22"/>
                <w:vertAlign w:val="superscript"/>
              </w:rPr>
              <w:footnoteReference w:id="2"/>
            </w:r>
          </w:p>
        </w:tc>
        <w:tc>
          <w:tcPr>
            <w:tcW w:w="1170" w:type="dxa"/>
            <w:shd w:val="clear" w:color="auto" w:fill="DDD9C3"/>
            <w:vAlign w:val="center"/>
            <w:hideMark/>
          </w:tcPr>
          <w:p w:rsidRPr="00341B6C" w:rsidR="000869E3" w:rsidP="00F80B03" w:rsidRDefault="000869E3" w14:paraId="35D8243C" w14:textId="77777777">
            <w:pPr>
              <w:spacing w:after="160" w:line="259" w:lineRule="auto"/>
              <w:jc w:val="center"/>
              <w:rPr>
                <w:b/>
                <w:sz w:val="22"/>
                <w:szCs w:val="22"/>
              </w:rPr>
            </w:pPr>
            <w:r w:rsidRPr="00341B6C">
              <w:rPr>
                <w:b/>
                <w:sz w:val="22"/>
                <w:szCs w:val="22"/>
              </w:rPr>
              <w:t>Total Wage Cost</w:t>
            </w:r>
          </w:p>
        </w:tc>
      </w:tr>
      <w:tr w:rsidRPr="00341B6C" w:rsidR="000869E3" w:rsidTr="00F80B03" w14:paraId="6735CC56" w14:textId="77777777">
        <w:trPr>
          <w:trHeight w:val="98"/>
        </w:trPr>
        <w:tc>
          <w:tcPr>
            <w:tcW w:w="1619" w:type="dxa"/>
            <w:tcBorders>
              <w:top w:val="single" w:color="auto" w:sz="4" w:space="0"/>
              <w:left w:val="single" w:color="auto" w:sz="4" w:space="0"/>
              <w:bottom w:val="single" w:color="auto" w:sz="4" w:space="0"/>
              <w:right w:val="single" w:color="auto" w:sz="4" w:space="0"/>
            </w:tcBorders>
            <w:noWrap/>
            <w:vAlign w:val="center"/>
            <w:hideMark/>
          </w:tcPr>
          <w:p w:rsidRPr="00341B6C" w:rsidR="000869E3" w:rsidP="0078689B" w:rsidRDefault="000869E3" w14:paraId="635DF3DF" w14:textId="77777777">
            <w:pPr>
              <w:spacing w:after="160" w:line="259" w:lineRule="auto"/>
              <w:rPr>
                <w:sz w:val="22"/>
                <w:szCs w:val="22"/>
              </w:rPr>
            </w:pPr>
            <w:r w:rsidRPr="00341B6C">
              <w:rPr>
                <w:sz w:val="22"/>
                <w:szCs w:val="22"/>
              </w:rPr>
              <w:t>Grantee-Level Instrument</w:t>
            </w:r>
          </w:p>
        </w:tc>
        <w:tc>
          <w:tcPr>
            <w:tcW w:w="1441" w:type="dxa"/>
            <w:tcBorders>
              <w:top w:val="single" w:color="auto" w:sz="4" w:space="0"/>
              <w:left w:val="single" w:color="auto" w:sz="4" w:space="0"/>
              <w:bottom w:val="single" w:color="auto" w:sz="4" w:space="0"/>
              <w:right w:val="single" w:color="auto" w:sz="4" w:space="0"/>
            </w:tcBorders>
            <w:vAlign w:val="center"/>
            <w:hideMark/>
          </w:tcPr>
          <w:p w:rsidRPr="00341B6C" w:rsidR="000869E3" w:rsidP="00F80B03" w:rsidRDefault="000869E3" w14:paraId="26619572" w14:textId="77777777">
            <w:pPr>
              <w:spacing w:after="160" w:line="259" w:lineRule="auto"/>
              <w:jc w:val="center"/>
              <w:rPr>
                <w:sz w:val="22"/>
                <w:szCs w:val="22"/>
              </w:rPr>
            </w:pPr>
            <w:r w:rsidRPr="00341B6C">
              <w:rPr>
                <w:sz w:val="22"/>
                <w:szCs w:val="22"/>
              </w:rPr>
              <w:t>159</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341B6C" w:rsidR="000869E3" w:rsidP="00F80B03" w:rsidRDefault="000869E3" w14:paraId="08AEEB51" w14:textId="77777777">
            <w:pPr>
              <w:spacing w:after="160" w:line="259" w:lineRule="auto"/>
              <w:jc w:val="center"/>
              <w:rPr>
                <w:sz w:val="22"/>
                <w:szCs w:val="22"/>
              </w:rPr>
            </w:pPr>
            <w:r w:rsidRPr="00341B6C">
              <w:rPr>
                <w:sz w:val="22"/>
                <w:szCs w:val="22"/>
              </w:rPr>
              <w:t>4</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341B6C" w:rsidR="000869E3" w:rsidP="00F80B03" w:rsidRDefault="000869E3" w14:paraId="39863F0B" w14:textId="77777777">
            <w:pPr>
              <w:spacing w:after="160" w:line="259" w:lineRule="auto"/>
              <w:jc w:val="center"/>
              <w:rPr>
                <w:sz w:val="22"/>
                <w:szCs w:val="22"/>
              </w:rPr>
            </w:pPr>
            <w:r w:rsidRPr="00341B6C">
              <w:rPr>
                <w:sz w:val="22"/>
                <w:szCs w:val="22"/>
              </w:rPr>
              <w:t>636</w:t>
            </w:r>
          </w:p>
        </w:tc>
        <w:tc>
          <w:tcPr>
            <w:tcW w:w="1170" w:type="dxa"/>
            <w:tcBorders>
              <w:top w:val="single" w:color="auto" w:sz="4" w:space="0"/>
              <w:left w:val="single" w:color="auto" w:sz="4" w:space="0"/>
              <w:bottom w:val="single" w:color="auto" w:sz="4" w:space="0"/>
              <w:right w:val="single" w:color="auto" w:sz="4" w:space="0"/>
            </w:tcBorders>
            <w:vAlign w:val="center"/>
            <w:hideMark/>
          </w:tcPr>
          <w:p w:rsidRPr="00341B6C" w:rsidR="000869E3" w:rsidP="00F80B03" w:rsidRDefault="000869E3" w14:paraId="6E2D60CF" w14:textId="263354FC">
            <w:pPr>
              <w:spacing w:after="160" w:line="259" w:lineRule="auto"/>
              <w:jc w:val="center"/>
              <w:rPr>
                <w:sz w:val="22"/>
                <w:szCs w:val="22"/>
              </w:rPr>
            </w:pPr>
            <w:r w:rsidRPr="00341B6C">
              <w:rPr>
                <w:sz w:val="22"/>
                <w:szCs w:val="22"/>
              </w:rPr>
              <w:t>.</w:t>
            </w:r>
            <w:r w:rsidR="00393F85">
              <w:rPr>
                <w:sz w:val="22"/>
                <w:szCs w:val="22"/>
              </w:rPr>
              <w:t>30</w:t>
            </w:r>
          </w:p>
        </w:tc>
        <w:tc>
          <w:tcPr>
            <w:tcW w:w="990" w:type="dxa"/>
            <w:tcBorders>
              <w:top w:val="single" w:color="auto" w:sz="4" w:space="0"/>
              <w:left w:val="single" w:color="auto" w:sz="4" w:space="0"/>
              <w:bottom w:val="single" w:color="auto" w:sz="4" w:space="0"/>
              <w:right w:val="single" w:color="auto" w:sz="4" w:space="0"/>
            </w:tcBorders>
            <w:vAlign w:val="center"/>
            <w:hideMark/>
          </w:tcPr>
          <w:p w:rsidRPr="00341B6C" w:rsidR="000869E3" w:rsidP="00F80B03" w:rsidRDefault="00393F85" w14:paraId="5DE7E0E8" w14:textId="1A5006A4">
            <w:pPr>
              <w:spacing w:after="160" w:line="259" w:lineRule="auto"/>
              <w:jc w:val="center"/>
              <w:rPr>
                <w:sz w:val="22"/>
                <w:szCs w:val="22"/>
              </w:rPr>
            </w:pPr>
            <w:r>
              <w:rPr>
                <w:sz w:val="22"/>
                <w:szCs w:val="22"/>
              </w:rPr>
              <w:t>190.80</w:t>
            </w:r>
          </w:p>
        </w:tc>
        <w:tc>
          <w:tcPr>
            <w:tcW w:w="900" w:type="dxa"/>
            <w:tcBorders>
              <w:top w:val="single" w:color="auto" w:sz="4" w:space="0"/>
              <w:left w:val="single" w:color="auto" w:sz="4" w:space="0"/>
              <w:bottom w:val="single" w:color="auto" w:sz="4" w:space="0"/>
              <w:right w:val="single" w:color="auto" w:sz="4" w:space="0"/>
            </w:tcBorders>
            <w:vAlign w:val="center"/>
            <w:hideMark/>
          </w:tcPr>
          <w:p w:rsidRPr="00341B6C" w:rsidR="000869E3" w:rsidP="00F80B03" w:rsidRDefault="000869E3" w14:paraId="23ABF9ED" w14:textId="77777777">
            <w:pPr>
              <w:spacing w:after="160" w:line="259" w:lineRule="auto"/>
              <w:jc w:val="center"/>
              <w:rPr>
                <w:sz w:val="22"/>
                <w:szCs w:val="22"/>
              </w:rPr>
            </w:pPr>
            <w:r w:rsidRPr="00341B6C">
              <w:rPr>
                <w:sz w:val="22"/>
                <w:szCs w:val="22"/>
              </w:rPr>
              <w:t>$24.78</w:t>
            </w:r>
          </w:p>
        </w:tc>
        <w:tc>
          <w:tcPr>
            <w:tcW w:w="1170" w:type="dxa"/>
            <w:tcBorders>
              <w:top w:val="single" w:color="auto" w:sz="4" w:space="0"/>
              <w:left w:val="single" w:color="auto" w:sz="4" w:space="0"/>
              <w:bottom w:val="single" w:color="auto" w:sz="4" w:space="0"/>
              <w:right w:val="single" w:color="auto" w:sz="4" w:space="0"/>
            </w:tcBorders>
            <w:vAlign w:val="center"/>
            <w:hideMark/>
          </w:tcPr>
          <w:p w:rsidRPr="00341B6C" w:rsidR="000869E3" w:rsidP="00F80B03" w:rsidRDefault="000869E3" w14:paraId="179FC42E" w14:textId="480D49D5">
            <w:pPr>
              <w:spacing w:after="160" w:line="259" w:lineRule="auto"/>
              <w:jc w:val="center"/>
              <w:rPr>
                <w:sz w:val="22"/>
                <w:szCs w:val="22"/>
              </w:rPr>
            </w:pPr>
            <w:r w:rsidRPr="00341B6C">
              <w:rPr>
                <w:sz w:val="22"/>
                <w:szCs w:val="22"/>
              </w:rPr>
              <w:t>$</w:t>
            </w:r>
            <w:r w:rsidR="00393F85">
              <w:rPr>
                <w:sz w:val="22"/>
                <w:szCs w:val="22"/>
              </w:rPr>
              <w:t>4,728.02</w:t>
            </w:r>
          </w:p>
        </w:tc>
      </w:tr>
      <w:tr w:rsidRPr="00341B6C" w:rsidR="000869E3" w:rsidTr="00F80B03" w14:paraId="6D07F86E" w14:textId="77777777">
        <w:trPr>
          <w:trHeight w:val="98"/>
        </w:trPr>
        <w:tc>
          <w:tcPr>
            <w:tcW w:w="1619" w:type="dxa"/>
            <w:tcBorders>
              <w:top w:val="single" w:color="auto" w:sz="4" w:space="0"/>
              <w:left w:val="single" w:color="auto" w:sz="4" w:space="0"/>
              <w:bottom w:val="single" w:color="auto" w:sz="4" w:space="0"/>
              <w:right w:val="single" w:color="auto" w:sz="4" w:space="0"/>
            </w:tcBorders>
            <w:noWrap/>
            <w:vAlign w:val="center"/>
            <w:hideMark/>
          </w:tcPr>
          <w:p w:rsidRPr="00341B6C" w:rsidR="000869E3" w:rsidP="0078689B" w:rsidRDefault="000869E3" w14:paraId="15ECDEDB" w14:textId="77777777">
            <w:pPr>
              <w:spacing w:after="160" w:line="259" w:lineRule="auto"/>
              <w:rPr>
                <w:b/>
                <w:sz w:val="22"/>
                <w:szCs w:val="22"/>
              </w:rPr>
            </w:pPr>
            <w:r w:rsidRPr="00341B6C">
              <w:rPr>
                <w:b/>
                <w:sz w:val="22"/>
                <w:szCs w:val="22"/>
              </w:rPr>
              <w:t>CSAT Total</w:t>
            </w:r>
          </w:p>
        </w:tc>
        <w:tc>
          <w:tcPr>
            <w:tcW w:w="1441" w:type="dxa"/>
            <w:tcBorders>
              <w:top w:val="single" w:color="auto" w:sz="4" w:space="0"/>
              <w:left w:val="single" w:color="auto" w:sz="4" w:space="0"/>
              <w:bottom w:val="single" w:color="auto" w:sz="4" w:space="0"/>
              <w:right w:val="single" w:color="auto" w:sz="4" w:space="0"/>
            </w:tcBorders>
            <w:vAlign w:val="center"/>
            <w:hideMark/>
          </w:tcPr>
          <w:p w:rsidRPr="00341B6C" w:rsidR="000869E3" w:rsidP="00F80B03" w:rsidRDefault="000869E3" w14:paraId="3B2E2258" w14:textId="77777777">
            <w:pPr>
              <w:spacing w:after="160" w:line="259" w:lineRule="auto"/>
              <w:jc w:val="center"/>
              <w:rPr>
                <w:sz w:val="22"/>
                <w:szCs w:val="22"/>
              </w:rPr>
            </w:pPr>
            <w:r w:rsidRPr="00341B6C">
              <w:rPr>
                <w:sz w:val="22"/>
                <w:szCs w:val="22"/>
              </w:rPr>
              <w:t>159</w:t>
            </w:r>
          </w:p>
        </w:tc>
        <w:tc>
          <w:tcPr>
            <w:tcW w:w="1350" w:type="dxa"/>
            <w:tcBorders>
              <w:top w:val="single" w:color="auto" w:sz="4" w:space="0"/>
              <w:left w:val="single" w:color="auto" w:sz="4" w:space="0"/>
              <w:bottom w:val="single" w:color="auto" w:sz="4" w:space="0"/>
              <w:right w:val="single" w:color="auto" w:sz="4" w:space="0"/>
            </w:tcBorders>
            <w:vAlign w:val="center"/>
          </w:tcPr>
          <w:p w:rsidRPr="00341B6C" w:rsidR="000869E3" w:rsidP="00F80B03" w:rsidRDefault="000869E3" w14:paraId="73E858F1" w14:textId="77777777">
            <w:pPr>
              <w:spacing w:after="160" w:line="259" w:lineRule="auto"/>
              <w:jc w:val="center"/>
              <w:rPr>
                <w:sz w:val="22"/>
                <w:szCs w:val="22"/>
              </w:rPr>
            </w:pPr>
            <w:r w:rsidRPr="00341B6C">
              <w:rPr>
                <w:sz w:val="22"/>
                <w:szCs w:val="22"/>
              </w:rPr>
              <w:t>4</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341B6C" w:rsidR="000869E3" w:rsidP="00F80B03" w:rsidRDefault="000869E3" w14:paraId="33A900A0" w14:textId="77777777">
            <w:pPr>
              <w:spacing w:after="160" w:line="259" w:lineRule="auto"/>
              <w:jc w:val="center"/>
              <w:rPr>
                <w:sz w:val="22"/>
                <w:szCs w:val="22"/>
              </w:rPr>
            </w:pPr>
            <w:r w:rsidRPr="00341B6C">
              <w:rPr>
                <w:sz w:val="22"/>
                <w:szCs w:val="22"/>
              </w:rPr>
              <w:t>636</w:t>
            </w:r>
          </w:p>
        </w:tc>
        <w:tc>
          <w:tcPr>
            <w:tcW w:w="1170" w:type="dxa"/>
            <w:tcBorders>
              <w:top w:val="single" w:color="auto" w:sz="4" w:space="0"/>
              <w:left w:val="single" w:color="auto" w:sz="4" w:space="0"/>
              <w:bottom w:val="single" w:color="auto" w:sz="4" w:space="0"/>
              <w:right w:val="single" w:color="auto" w:sz="4" w:space="0"/>
            </w:tcBorders>
            <w:vAlign w:val="center"/>
          </w:tcPr>
          <w:p w:rsidRPr="00341B6C" w:rsidR="000869E3" w:rsidP="00F80B03" w:rsidRDefault="000869E3" w14:paraId="7589C354" w14:textId="0B1B72CF">
            <w:pPr>
              <w:spacing w:after="160" w:line="259" w:lineRule="auto"/>
              <w:jc w:val="center"/>
              <w:rPr>
                <w:sz w:val="22"/>
                <w:szCs w:val="22"/>
              </w:rPr>
            </w:pPr>
            <w:r w:rsidRPr="00341B6C">
              <w:rPr>
                <w:sz w:val="22"/>
                <w:szCs w:val="22"/>
              </w:rPr>
              <w:t>.</w:t>
            </w:r>
            <w:r w:rsidR="00393F85">
              <w:rPr>
                <w:sz w:val="22"/>
                <w:szCs w:val="22"/>
              </w:rPr>
              <w:t>30</w:t>
            </w:r>
          </w:p>
        </w:tc>
        <w:tc>
          <w:tcPr>
            <w:tcW w:w="990" w:type="dxa"/>
            <w:tcBorders>
              <w:top w:val="single" w:color="auto" w:sz="4" w:space="0"/>
              <w:left w:val="single" w:color="auto" w:sz="4" w:space="0"/>
              <w:bottom w:val="single" w:color="auto" w:sz="4" w:space="0"/>
              <w:right w:val="single" w:color="auto" w:sz="4" w:space="0"/>
            </w:tcBorders>
            <w:vAlign w:val="center"/>
            <w:hideMark/>
          </w:tcPr>
          <w:p w:rsidRPr="00341B6C" w:rsidR="000869E3" w:rsidP="00F80B03" w:rsidRDefault="00393F85" w14:paraId="4117591D" w14:textId="05B4960E">
            <w:pPr>
              <w:spacing w:after="160" w:line="259" w:lineRule="auto"/>
              <w:jc w:val="center"/>
              <w:rPr>
                <w:sz w:val="22"/>
                <w:szCs w:val="22"/>
              </w:rPr>
            </w:pPr>
            <w:r>
              <w:rPr>
                <w:sz w:val="22"/>
                <w:szCs w:val="22"/>
              </w:rPr>
              <w:t>19</w:t>
            </w:r>
            <w:r w:rsidR="00D50A46">
              <w:rPr>
                <w:sz w:val="22"/>
                <w:szCs w:val="22"/>
              </w:rPr>
              <w:t>1</w:t>
            </w:r>
          </w:p>
        </w:tc>
        <w:tc>
          <w:tcPr>
            <w:tcW w:w="900" w:type="dxa"/>
            <w:tcBorders>
              <w:top w:val="single" w:color="auto" w:sz="4" w:space="0"/>
              <w:left w:val="single" w:color="auto" w:sz="4" w:space="0"/>
              <w:bottom w:val="single" w:color="auto" w:sz="4" w:space="0"/>
              <w:right w:val="single" w:color="auto" w:sz="4" w:space="0"/>
            </w:tcBorders>
            <w:vAlign w:val="center"/>
          </w:tcPr>
          <w:p w:rsidRPr="00341B6C" w:rsidR="000869E3" w:rsidP="00F80B03" w:rsidRDefault="000869E3" w14:paraId="37C28115" w14:textId="77777777">
            <w:pPr>
              <w:spacing w:after="160" w:line="259" w:lineRule="auto"/>
              <w:jc w:val="center"/>
              <w:rPr>
                <w:sz w:val="22"/>
                <w:szCs w:val="22"/>
              </w:rPr>
            </w:pPr>
            <w:r w:rsidRPr="00341B6C">
              <w:rPr>
                <w:sz w:val="22"/>
                <w:szCs w:val="22"/>
              </w:rPr>
              <w:t>$24.78</w:t>
            </w:r>
          </w:p>
        </w:tc>
        <w:tc>
          <w:tcPr>
            <w:tcW w:w="1170" w:type="dxa"/>
            <w:tcBorders>
              <w:top w:val="single" w:color="auto" w:sz="4" w:space="0"/>
              <w:left w:val="single" w:color="auto" w:sz="4" w:space="0"/>
              <w:bottom w:val="single" w:color="auto" w:sz="4" w:space="0"/>
              <w:right w:val="single" w:color="auto" w:sz="4" w:space="0"/>
            </w:tcBorders>
            <w:vAlign w:val="center"/>
            <w:hideMark/>
          </w:tcPr>
          <w:p w:rsidRPr="00341B6C" w:rsidR="000869E3" w:rsidP="00F80B03" w:rsidRDefault="000869E3" w14:paraId="3BDECA69" w14:textId="5BA5CF44">
            <w:pPr>
              <w:spacing w:after="160" w:line="259" w:lineRule="auto"/>
              <w:jc w:val="center"/>
              <w:rPr>
                <w:sz w:val="22"/>
                <w:szCs w:val="22"/>
              </w:rPr>
            </w:pPr>
            <w:r w:rsidRPr="00341B6C">
              <w:rPr>
                <w:sz w:val="22"/>
                <w:szCs w:val="22"/>
              </w:rPr>
              <w:t>$</w:t>
            </w:r>
            <w:r w:rsidR="00393F85">
              <w:rPr>
                <w:sz w:val="22"/>
                <w:szCs w:val="22"/>
              </w:rPr>
              <w:t>4,728.02</w:t>
            </w:r>
          </w:p>
        </w:tc>
      </w:tr>
      <w:tr w:rsidRPr="00CB7C8D" w:rsidR="00CB7C8D" w:rsidTr="00F80B03" w14:paraId="0674B0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3"/>
        </w:trPr>
        <w:tc>
          <w:tcPr>
            <w:tcW w:w="9900" w:type="dxa"/>
            <w:gridSpan w:val="8"/>
            <w:tcBorders>
              <w:top w:val="nil"/>
              <w:left w:val="nil"/>
              <w:bottom w:val="nil"/>
              <w:right w:val="nil"/>
            </w:tcBorders>
            <w:shd w:val="clear" w:color="auto" w:fill="auto"/>
            <w:noWrap/>
            <w:vAlign w:val="center"/>
            <w:hideMark/>
          </w:tcPr>
          <w:p w:rsidRPr="00CB7C8D" w:rsidR="00CB7C8D" w:rsidP="5355D8B4" w:rsidRDefault="00F80B03" w14:paraId="292B8AB3" w14:textId="1244F389">
            <w:pPr>
              <w:rPr>
                <w:color w:val="000000"/>
                <w:sz w:val="20"/>
              </w:rPr>
            </w:pPr>
            <w:r w:rsidRPr="5355D8B4">
              <w:rPr>
                <w:color w:val="000000"/>
                <w:sz w:val="20"/>
                <w:vertAlign w:val="superscript"/>
              </w:rPr>
              <w:t xml:space="preserve"> </w:t>
            </w:r>
            <w:r w:rsidRPr="5355D8B4" w:rsidR="00CB7C8D">
              <w:rPr>
                <w:color w:val="000000"/>
                <w:sz w:val="20"/>
                <w:vertAlign w:val="superscript"/>
              </w:rPr>
              <w:t>[</w:t>
            </w:r>
            <w:r>
              <w:rPr>
                <w:color w:val="000000"/>
                <w:sz w:val="20"/>
                <w:vertAlign w:val="superscript"/>
              </w:rPr>
              <w:t>2</w:t>
            </w:r>
            <w:r w:rsidRPr="5355D8B4" w:rsidR="00CB7C8D">
              <w:rPr>
                <w:color w:val="000000"/>
                <w:sz w:val="20"/>
                <w:vertAlign w:val="superscript"/>
              </w:rPr>
              <w:t>]</w:t>
            </w:r>
            <w:r w:rsidRPr="5355D8B4" w:rsidR="00CB7C8D">
              <w:rPr>
                <w:color w:val="000000"/>
                <w:sz w:val="20"/>
              </w:rPr>
              <w:t xml:space="preserve"> The hourly wage estimate is $</w:t>
            </w:r>
            <w:r w:rsidRPr="5355D8B4" w:rsidR="474CFD19">
              <w:rPr>
                <w:color w:val="000000"/>
                <w:sz w:val="20"/>
              </w:rPr>
              <w:t>24.78</w:t>
            </w:r>
            <w:r w:rsidRPr="5355D8B4" w:rsidR="00CB7C8D">
              <w:rPr>
                <w:color w:val="000000"/>
                <w:sz w:val="20"/>
              </w:rPr>
              <w:t xml:space="preserve"> based on the Occupational Employment and Wages, Mean Hourly Wage Rate for 21-10</w:t>
            </w:r>
            <w:r w:rsidRPr="5355D8B4" w:rsidR="54EBF70C">
              <w:rPr>
                <w:color w:val="000000"/>
                <w:sz w:val="20"/>
              </w:rPr>
              <w:t>18</w:t>
            </w:r>
            <w:r w:rsidRPr="5355D8B4" w:rsidR="0B92D81E">
              <w:rPr>
                <w:color w:val="000000"/>
                <w:sz w:val="20"/>
              </w:rPr>
              <w:t xml:space="preserve"> </w:t>
            </w:r>
            <w:r w:rsidRPr="5355D8B4" w:rsidR="0B92D81E">
              <w:rPr>
                <w:sz w:val="20"/>
              </w:rPr>
              <w:t>Substance Abuse, Behavioral Disorder, and Mental Health Counselors</w:t>
            </w:r>
            <w:r w:rsidRPr="5355D8B4" w:rsidR="00CB7C8D">
              <w:rPr>
                <w:color w:val="000000"/>
                <w:sz w:val="20"/>
              </w:rPr>
              <w:t>= $</w:t>
            </w:r>
            <w:r w:rsidRPr="5355D8B4" w:rsidR="555F31B4">
              <w:rPr>
                <w:color w:val="000000"/>
                <w:sz w:val="20"/>
              </w:rPr>
              <w:t>24.78</w:t>
            </w:r>
            <w:r w:rsidRPr="5355D8B4" w:rsidR="684316DE">
              <w:rPr>
                <w:color w:val="000000"/>
                <w:sz w:val="20"/>
              </w:rPr>
              <w:t xml:space="preserve"> </w:t>
            </w:r>
            <w:r w:rsidRPr="5355D8B4" w:rsidR="00CB7C8D">
              <w:rPr>
                <w:color w:val="000000"/>
                <w:sz w:val="20"/>
              </w:rPr>
              <w:t xml:space="preserve">/hr. as of </w:t>
            </w:r>
            <w:r w:rsidRPr="5355D8B4" w:rsidR="0D2A45DA">
              <w:rPr>
                <w:color w:val="000000"/>
                <w:sz w:val="20"/>
              </w:rPr>
              <w:t>May</w:t>
            </w:r>
            <w:r>
              <w:rPr>
                <w:color w:val="000000"/>
                <w:sz w:val="20"/>
              </w:rPr>
              <w:t xml:space="preserve"> </w:t>
            </w:r>
            <w:r w:rsidRPr="5355D8B4" w:rsidR="0D2A45DA">
              <w:rPr>
                <w:color w:val="000000"/>
                <w:sz w:val="20"/>
              </w:rPr>
              <w:t xml:space="preserve">2020 </w:t>
            </w:r>
            <w:r w:rsidRPr="5355D8B4" w:rsidR="00CB7C8D">
              <w:rPr>
                <w:color w:val="000000"/>
                <w:sz w:val="20"/>
              </w:rPr>
              <w:t>(</w:t>
            </w:r>
            <w:r w:rsidRPr="00F80B03" w:rsidR="51A1C90D">
              <w:rPr>
                <w:sz w:val="20"/>
              </w:rPr>
              <w:t>https://www.bls.gov</w:t>
            </w:r>
            <w:r w:rsidRPr="5355D8B4" w:rsidR="51A1C90D">
              <w:rPr>
                <w:color w:val="000000" w:themeColor="text1"/>
                <w:sz w:val="20"/>
              </w:rPr>
              <w:t>/oes/current/oes211018.htm</w:t>
            </w:r>
            <w:r w:rsidRPr="5355D8B4" w:rsidR="51A1C90D">
              <w:rPr>
                <w:color w:val="000000"/>
                <w:sz w:val="20"/>
              </w:rPr>
              <w:t xml:space="preserve"> </w:t>
            </w:r>
            <w:r w:rsidRPr="5355D8B4" w:rsidR="00CB7C8D">
              <w:rPr>
                <w:color w:val="000000" w:themeColor="text1"/>
                <w:sz w:val="20"/>
              </w:rPr>
              <w:t xml:space="preserve">Accessed on </w:t>
            </w:r>
            <w:r w:rsidRPr="5355D8B4" w:rsidR="57CB60DF">
              <w:rPr>
                <w:color w:val="000000" w:themeColor="text1"/>
                <w:sz w:val="20"/>
              </w:rPr>
              <w:t>May 4</w:t>
            </w:r>
            <w:r w:rsidRPr="5355D8B4" w:rsidR="00CB7C8D">
              <w:rPr>
                <w:color w:val="000000" w:themeColor="text1"/>
                <w:sz w:val="20"/>
              </w:rPr>
              <w:t>, 20</w:t>
            </w:r>
            <w:r w:rsidRPr="5355D8B4" w:rsidR="1726D042">
              <w:rPr>
                <w:color w:val="000000" w:themeColor="text1"/>
                <w:sz w:val="20"/>
              </w:rPr>
              <w:t>21</w:t>
            </w:r>
            <w:r w:rsidRPr="5355D8B4" w:rsidR="00CB7C8D">
              <w:rPr>
                <w:color w:val="000000" w:themeColor="text1"/>
                <w:sz w:val="20"/>
              </w:rPr>
              <w:t>.)</w:t>
            </w:r>
          </w:p>
        </w:tc>
      </w:tr>
      <w:tr w:rsidRPr="00CB7C8D" w:rsidR="00CB7C8D" w:rsidTr="00F80B03" w14:paraId="7E5062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18"/>
        </w:trPr>
        <w:tc>
          <w:tcPr>
            <w:tcW w:w="9900" w:type="dxa"/>
            <w:gridSpan w:val="8"/>
            <w:tcBorders>
              <w:top w:val="nil"/>
              <w:left w:val="nil"/>
              <w:bottom w:val="nil"/>
              <w:right w:val="nil"/>
            </w:tcBorders>
            <w:shd w:val="clear" w:color="auto" w:fill="auto"/>
            <w:noWrap/>
            <w:vAlign w:val="center"/>
            <w:hideMark/>
          </w:tcPr>
          <w:p w:rsidRPr="00CB7C8D" w:rsidR="00CB7C8D" w:rsidP="00CB7C8D" w:rsidRDefault="00CB7C8D" w14:paraId="727E9CC0" w14:textId="77777777">
            <w:pPr>
              <w:rPr>
                <w:color w:val="000000"/>
                <w:sz w:val="20"/>
              </w:rPr>
            </w:pPr>
          </w:p>
        </w:tc>
      </w:tr>
    </w:tbl>
    <w:bookmarkEnd w:id="5"/>
    <w:p w:rsidR="00C84489" w:rsidP="00C84489" w:rsidRDefault="00C84489" w14:paraId="6CCF0ACD" w14:textId="0A835C3F">
      <w:r>
        <w:t xml:space="preserve">The estimates in this table reflect the maximum annual burden for currently funded </w:t>
      </w:r>
      <w:r w:rsidR="1F522064">
        <w:t xml:space="preserve">SOR/TOR </w:t>
      </w:r>
      <w:r>
        <w:t xml:space="preserve">  programs</w:t>
      </w:r>
      <w:r w:rsidR="00E279F8">
        <w:t xml:space="preserve">.  </w:t>
      </w:r>
      <w:r>
        <w:t xml:space="preserve">The number of clients served in </w:t>
      </w:r>
      <w:r w:rsidR="007E6539">
        <w:t xml:space="preserve">future </w:t>
      </w:r>
      <w:r>
        <w:t>years is estimated to be the same</w:t>
      </w:r>
      <w:r w:rsidR="007E6539">
        <w:t>,</w:t>
      </w:r>
      <w:r>
        <w:t xml:space="preserve"> assuming </w:t>
      </w:r>
      <w:r w:rsidR="007E6539">
        <w:t xml:space="preserve">unchanged </w:t>
      </w:r>
      <w:r>
        <w:t xml:space="preserve">funding of the </w:t>
      </w:r>
      <w:r w:rsidR="55573B58">
        <w:t>SOR/TOR</w:t>
      </w:r>
      <w:r>
        <w:t xml:space="preserve"> program, resulting in the same annual burden estimate for those years.</w:t>
      </w:r>
    </w:p>
    <w:p w:rsidR="005A4A00" w:rsidP="005A4A00" w:rsidRDefault="005A4A00" w14:paraId="5DDE5893" w14:textId="77777777"/>
    <w:p w:rsidRPr="00446BA6" w:rsidR="005A4A00" w:rsidP="005A4A00" w:rsidRDefault="005A4A00" w14:paraId="35F8F437" w14:textId="77777777">
      <w:pPr>
        <w:rPr>
          <w:b/>
          <w:bCs/>
        </w:rPr>
      </w:pPr>
      <w:r>
        <w:rPr>
          <w:b/>
        </w:rPr>
        <w:t>A</w:t>
      </w:r>
      <w:r w:rsidRPr="006A4B05">
        <w:rPr>
          <w:b/>
        </w:rPr>
        <w:t xml:space="preserve">13.  </w:t>
      </w:r>
      <w:r>
        <w:rPr>
          <w:b/>
        </w:rPr>
        <w:t xml:space="preserve">   </w:t>
      </w:r>
      <w:r>
        <w:rPr>
          <w:b/>
          <w:bCs/>
        </w:rPr>
        <w:t xml:space="preserve">Estimates of </w:t>
      </w:r>
      <w:r w:rsidR="00AC3E29">
        <w:rPr>
          <w:b/>
          <w:bCs/>
        </w:rPr>
        <w:t xml:space="preserve">Annualized </w:t>
      </w:r>
      <w:r w:rsidRPr="00446BA6">
        <w:rPr>
          <w:b/>
          <w:bCs/>
        </w:rPr>
        <w:t xml:space="preserve">Cost Burden to Respondents </w:t>
      </w:r>
    </w:p>
    <w:p w:rsidR="005A4A00" w:rsidP="005A4A00" w:rsidRDefault="005A4A00" w14:paraId="2ABDC2A4" w14:textId="77777777"/>
    <w:p w:rsidR="005A4A00" w:rsidP="005A4A00" w:rsidRDefault="005A4A00" w14:paraId="4CE0CD31" w14:textId="77777777">
      <w:r>
        <w:t xml:space="preserve">There are </w:t>
      </w:r>
      <w:r w:rsidR="00A93688">
        <w:t xml:space="preserve">no </w:t>
      </w:r>
      <w:r>
        <w:t>capital or startup costs</w:t>
      </w:r>
      <w:r w:rsidR="00A93688">
        <w:t>,</w:t>
      </w:r>
      <w:r>
        <w:t xml:space="preserve"> nor are there any operation and maintenance costs.</w:t>
      </w:r>
    </w:p>
    <w:p w:rsidR="005A4A00" w:rsidP="005A4A00" w:rsidRDefault="005A4A00" w14:paraId="672CB2CE" w14:textId="77777777"/>
    <w:p w:rsidRPr="00203445" w:rsidR="005A4A00" w:rsidP="5355D8B4" w:rsidRDefault="005A4A00" w14:paraId="38D47927" w14:textId="77777777">
      <w:pPr>
        <w:rPr>
          <w:b/>
          <w:bCs/>
        </w:rPr>
      </w:pPr>
      <w:r w:rsidRPr="5355D8B4">
        <w:rPr>
          <w:b/>
          <w:bCs/>
        </w:rPr>
        <w:t>A14.     Estimates of Annualized Cost to the Government</w:t>
      </w:r>
    </w:p>
    <w:p w:rsidR="005A4A00" w:rsidP="005A4A00" w:rsidRDefault="005A4A00" w14:paraId="4A38B1B9" w14:textId="77777777"/>
    <w:p w:rsidR="005A4A00" w:rsidP="005A4A00" w:rsidRDefault="005A4A00" w14:paraId="7C06D6E7" w14:textId="4CD6D6D0">
      <w:r>
        <w:t>The principal additional cost to the government for this project is a contract to collect data from the various programs and conduct analyses</w:t>
      </w:r>
      <w:r w:rsidR="007E6539">
        <w:t xml:space="preserve"> for</w:t>
      </w:r>
      <w:r>
        <w:t xml:space="preserve"> routine reports</w:t>
      </w:r>
      <w:r w:rsidR="00871014">
        <w:t xml:space="preserve">. </w:t>
      </w:r>
      <w:r>
        <w:t xml:space="preserve">The reports </w:t>
      </w:r>
      <w:r w:rsidR="007E6539">
        <w:t xml:space="preserve">will </w:t>
      </w:r>
      <w:r>
        <w:t xml:space="preserve">examine baseline characteristics </w:t>
      </w:r>
      <w:r w:rsidR="006011E6">
        <w:t>and</w:t>
      </w:r>
      <w:r>
        <w:t xml:space="preserve"> changes between baseline</w:t>
      </w:r>
      <w:r w:rsidR="007E6539">
        <w:t xml:space="preserve"> and</w:t>
      </w:r>
      <w:r>
        <w:t xml:space="preserve"> discharge, and each of the follow-up periods</w:t>
      </w:r>
      <w:r w:rsidR="00B4235D">
        <w:t xml:space="preserve">.  </w:t>
      </w:r>
      <w:r>
        <w:t xml:space="preserve">It </w:t>
      </w:r>
      <w:r w:rsidR="007E6539">
        <w:t xml:space="preserve">will be </w:t>
      </w:r>
      <w:r>
        <w:t xml:space="preserve">the responsibility of the contractor to work with </w:t>
      </w:r>
      <w:r w:rsidR="000B2D48">
        <w:t>the GPO</w:t>
      </w:r>
      <w:r>
        <w:t xml:space="preserve"> when preparing reports that combine client services data with the </w:t>
      </w:r>
      <w:r w:rsidR="007E6539">
        <w:t xml:space="preserve">project </w:t>
      </w:r>
      <w:r>
        <w:t xml:space="preserve">annual reports.  </w:t>
      </w:r>
    </w:p>
    <w:p w:rsidR="005A4A00" w:rsidP="005A4A00" w:rsidRDefault="005A4A00" w14:paraId="2D6F4DCF" w14:textId="77777777"/>
    <w:p w:rsidR="005A4A00" w:rsidP="005A4A00" w:rsidRDefault="00117615" w14:paraId="2208DBA3" w14:textId="19CCAE1E">
      <w:r>
        <w:t>T</w:t>
      </w:r>
      <w:r w:rsidR="000B2D48">
        <w:t>he cost of one full-time equivalent</w:t>
      </w:r>
      <w:r w:rsidR="005A4A00">
        <w:t xml:space="preserve"> staff (25% for one GS-14</w:t>
      </w:r>
      <w:r>
        <w:t xml:space="preserve"> Step 5</w:t>
      </w:r>
      <w:r w:rsidR="007E6539">
        <w:t>,</w:t>
      </w:r>
      <w:r w:rsidR="005A4A00">
        <w:t xml:space="preserve"> $</w:t>
      </w:r>
      <w:r>
        <w:t>34,716.50</w:t>
      </w:r>
      <w:r w:rsidR="005A4A00">
        <w:t xml:space="preserve"> and 75% for one GS-12</w:t>
      </w:r>
      <w:r>
        <w:t xml:space="preserve"> Step 5</w:t>
      </w:r>
      <w:r w:rsidR="007E6539">
        <w:t>,</w:t>
      </w:r>
      <w:r w:rsidR="005A4A00">
        <w:t xml:space="preserve"> $</w:t>
      </w:r>
      <w:r w:rsidR="00841367">
        <w:t>74</w:t>
      </w:r>
      <w:r w:rsidR="005A4A00">
        <w:t>,</w:t>
      </w:r>
      <w:r w:rsidR="00841367">
        <w:t>120.25</w:t>
      </w:r>
      <w:r w:rsidR="005A4A00">
        <w:t>) responsible for the CSAT data collection effort is approximately $</w:t>
      </w:r>
      <w:r>
        <w:t>217</w:t>
      </w:r>
      <w:r w:rsidR="005A4A00">
        <w:t>,6</w:t>
      </w:r>
      <w:r>
        <w:t xml:space="preserve">73.50 over 2 </w:t>
      </w:r>
      <w:r w:rsidR="005A4A00">
        <w:t>year</w:t>
      </w:r>
      <w:r>
        <w:t>s</w:t>
      </w:r>
      <w:r w:rsidR="005A4A00">
        <w:t>.</w:t>
      </w:r>
    </w:p>
    <w:p w:rsidR="00117615" w:rsidP="005A4A00" w:rsidRDefault="00117615" w14:paraId="73471A24" w14:textId="7F03C320"/>
    <w:p w:rsidR="00117615" w:rsidP="005A4A00" w:rsidRDefault="00117615" w14:paraId="4E61B1F6" w14:textId="57351064">
      <w:r w:rsidRPr="00117615">
        <w:t>The annualized cost to the government is $</w:t>
      </w:r>
      <w:r>
        <w:t>108</w:t>
      </w:r>
      <w:r w:rsidRPr="00117615">
        <w:t>,</w:t>
      </w:r>
      <w:r>
        <w:t>83</w:t>
      </w:r>
      <w:r w:rsidR="00485DDE">
        <w:t>7.</w:t>
      </w:r>
    </w:p>
    <w:p w:rsidR="005A4A00" w:rsidP="005A4A00" w:rsidRDefault="005A4A00" w14:paraId="48DEC319" w14:textId="77777777">
      <w:pPr>
        <w:pStyle w:val="Heading2"/>
      </w:pPr>
      <w:bookmarkStart w:name="_Toc88033481" w:id="6"/>
      <w:bookmarkStart w:name="_Toc88277964" w:id="7"/>
      <w:r>
        <w:t>A15.</w:t>
      </w:r>
      <w:r>
        <w:tab/>
        <w:t xml:space="preserve">Changes in Burden </w:t>
      </w:r>
      <w:bookmarkEnd w:id="6"/>
      <w:bookmarkEnd w:id="7"/>
    </w:p>
    <w:p w:rsidRPr="00B22AA3" w:rsidR="005C0A02" w:rsidP="00E333F4" w:rsidRDefault="00A30B8F" w14:paraId="24EF697B" w14:textId="2A4A922F">
      <w:r w:rsidRPr="00B22AA3">
        <w:t>Currently, there are 244 burden hours in the OMB-approved inventory. SAMHSA is</w:t>
      </w:r>
      <w:r w:rsidRPr="00B22AA3" w:rsidR="00393F85">
        <w:t xml:space="preserve"> not</w:t>
      </w:r>
      <w:r w:rsidRPr="00B22AA3">
        <w:t xml:space="preserve"> requesting</w:t>
      </w:r>
      <w:r w:rsidRPr="00B22AA3" w:rsidR="00975CE0">
        <w:t xml:space="preserve"> </w:t>
      </w:r>
      <w:r w:rsidRPr="00B22AA3">
        <w:t>additional hours</w:t>
      </w:r>
      <w:r w:rsidRPr="00B22AA3" w:rsidR="004D71AC">
        <w:t xml:space="preserve"> at this time</w:t>
      </w:r>
      <w:r w:rsidRPr="00B22AA3">
        <w:t xml:space="preserve">. </w:t>
      </w:r>
      <w:r w:rsidRPr="00B22AA3" w:rsidR="00BB742C">
        <w:t>A</w:t>
      </w:r>
      <w:r w:rsidRPr="00B22AA3" w:rsidR="00786831">
        <w:t xml:space="preserve"> decrease in respondents </w:t>
      </w:r>
      <w:r w:rsidRPr="00B22AA3" w:rsidR="002D14EF">
        <w:t xml:space="preserve">created </w:t>
      </w:r>
      <w:r w:rsidRPr="00B22AA3" w:rsidR="00BB742C">
        <w:t>a decrease in</w:t>
      </w:r>
      <w:r w:rsidRPr="00B22AA3" w:rsidR="004D71AC">
        <w:t xml:space="preserve"> total</w:t>
      </w:r>
      <w:r w:rsidRPr="00B22AA3" w:rsidR="00BB742C">
        <w:t xml:space="preserve"> burden hours. </w:t>
      </w:r>
      <w:r w:rsidRPr="00B22AA3" w:rsidR="004D71AC">
        <w:t>There remains a 53.20 hour decrease in burden</w:t>
      </w:r>
      <w:r w:rsidR="001E2950">
        <w:t>,</w:t>
      </w:r>
      <w:r w:rsidRPr="00B22AA3" w:rsidR="004D71AC">
        <w:t xml:space="preserve"> </w:t>
      </w:r>
      <w:r w:rsidR="001E2950">
        <w:t xml:space="preserve">despite </w:t>
      </w:r>
      <w:r w:rsidRPr="00B22AA3" w:rsidR="004D71AC">
        <w:t>addition</w:t>
      </w:r>
      <w:r w:rsidRPr="00B22AA3" w:rsidR="002D14EF">
        <w:t xml:space="preserve"> of</w:t>
      </w:r>
      <w:r w:rsidRPr="00B22AA3" w:rsidR="004D71AC">
        <w:t xml:space="preserve"> new items to the instrument.</w:t>
      </w:r>
    </w:p>
    <w:p w:rsidRPr="00E04321" w:rsidR="005A4A00" w:rsidP="005A4A00" w:rsidRDefault="005A4A00" w14:paraId="0FAE4D88" w14:textId="77777777">
      <w:pPr>
        <w:pStyle w:val="Heading2"/>
      </w:pPr>
      <w:bookmarkStart w:name="_Hlk71807054" w:id="8"/>
      <w:r w:rsidRPr="00B22AA3">
        <w:rPr>
          <w:bCs w:val="0"/>
        </w:rPr>
        <w:t>A16</w:t>
      </w:r>
      <w:r w:rsidRPr="00B22AA3">
        <w:rPr>
          <w:b w:val="0"/>
        </w:rPr>
        <w:t xml:space="preserve">.  </w:t>
      </w:r>
      <w:r w:rsidRPr="00B22AA3">
        <w:rPr>
          <w:b w:val="0"/>
        </w:rPr>
        <w:tab/>
      </w:r>
      <w:r w:rsidRPr="00B22AA3">
        <w:t>Time Schedule</w:t>
      </w:r>
      <w:r>
        <w:t xml:space="preserve">, Publication and Analysis Plans </w:t>
      </w:r>
    </w:p>
    <w:bookmarkEnd w:id="8"/>
    <w:p w:rsidR="00D86BC3" w:rsidP="00D86BC3" w:rsidRDefault="00D86BC3" w14:paraId="7493D73E" w14:textId="09D6D0F2">
      <w:r>
        <w:t xml:space="preserve">Data for the SOR/TOR programs are needed by SAMHSA to prepare </w:t>
      </w:r>
      <w:r w:rsidR="00451D27">
        <w:t>Congressionally mandated</w:t>
      </w:r>
      <w:r>
        <w:t xml:space="preserve"> reports.  The SOR/TOR program data are readily available through the web-based system.  Data are provided quarterly to SAMHSA</w:t>
      </w:r>
      <w:r w:rsidR="001E2950">
        <w:t>,</w:t>
      </w:r>
      <w:r>
        <w:t xml:space="preserve"> in order to assure </w:t>
      </w:r>
      <w:r w:rsidR="001E2950">
        <w:t xml:space="preserve">timely </w:t>
      </w:r>
      <w:r>
        <w:t>analysis</w:t>
      </w:r>
      <w:r w:rsidR="001E2950">
        <w:t>,</w:t>
      </w:r>
      <w:r>
        <w:t xml:space="preserve"> to submit the required Congressional reports.  The data might also be used for specific comparisons relative to the Office of National Drug Control Policy’s National Drug Control Strategic Goals, especially for the prevention education goal.</w:t>
      </w:r>
    </w:p>
    <w:p w:rsidR="00D86BC3" w:rsidP="00D86BC3" w:rsidRDefault="00D86BC3" w14:paraId="66B553D1" w14:textId="77777777"/>
    <w:p w:rsidR="005A4A00" w:rsidP="00D86BC3" w:rsidRDefault="00D86BC3" w14:paraId="555D6126" w14:textId="7E0E710F">
      <w:r>
        <w:t>There will also be program-specific analys</w:t>
      </w:r>
      <w:r w:rsidR="001E2950">
        <w:t>e</w:t>
      </w:r>
      <w:r>
        <w:t>s of these data</w:t>
      </w:r>
      <w:r w:rsidR="001E2950">
        <w:t>,</w:t>
      </w:r>
      <w:r>
        <w:t xml:space="preserve"> because each program has unique programmatic and performance goals.  The data items collected will be analyzed and presented in GPRA reports using basic descriptive statistics. Key outcomes</w:t>
      </w:r>
      <w:r w:rsidRPr="001E2950" w:rsidR="001E2950">
        <w:t xml:space="preserve"> </w:t>
      </w:r>
      <w:r w:rsidR="001E2950">
        <w:t>that will be calculated and aggregated at the program level</w:t>
      </w:r>
      <w:r>
        <w:t xml:space="preserve"> includ</w:t>
      </w:r>
      <w:r w:rsidR="001E2950">
        <w:t>e:</w:t>
      </w:r>
      <w:r>
        <w:t xml:space="preserve"> reported overdose reversals; the purchase and distribution of naloxone</w:t>
      </w:r>
      <w:r w:rsidR="001E2950">
        <w:t>;</w:t>
      </w:r>
      <w:r>
        <w:t xml:space="preserve"> training on the administration of naloxone; implementation of prevention and education activities; outreach activities for underserved communities; and the purchase and distribution of fentanyl test strips.  If deemed necessary for CSAT specific issues, the data will be examined at the individual activity level.  </w:t>
      </w:r>
    </w:p>
    <w:p w:rsidRPr="001063A0" w:rsidR="00D86BC3" w:rsidP="00D86BC3" w:rsidRDefault="00D86BC3" w14:paraId="7A64E20B" w14:textId="77777777"/>
    <w:p w:rsidRPr="00446BA6" w:rsidR="005A4A00" w:rsidP="005A4A00" w:rsidRDefault="005A4A00" w14:paraId="0B40A7C6" w14:textId="77777777">
      <w:pPr>
        <w:rPr>
          <w:b/>
        </w:rPr>
      </w:pPr>
      <w:r>
        <w:rPr>
          <w:b/>
        </w:rPr>
        <w:t>A</w:t>
      </w:r>
      <w:r w:rsidRPr="00446BA6">
        <w:rPr>
          <w:b/>
        </w:rPr>
        <w:t xml:space="preserve">17.     </w:t>
      </w:r>
      <w:r>
        <w:rPr>
          <w:b/>
        </w:rPr>
        <w:t xml:space="preserve">Display of Expiration Date </w:t>
      </w:r>
    </w:p>
    <w:p w:rsidR="005A4A00" w:rsidP="005A4A00" w:rsidRDefault="005A4A00" w14:paraId="4A71206F" w14:textId="77777777"/>
    <w:p w:rsidR="005A4A00" w:rsidP="005A4A00" w:rsidRDefault="005A4A00" w14:paraId="70F6236E" w14:textId="77777777">
      <w:r>
        <w:t>The expiration date for OMB approval will be displayed on all data collection instruments.</w:t>
      </w:r>
    </w:p>
    <w:p w:rsidR="00D8523D" w:rsidP="005A4A00" w:rsidRDefault="00D8523D" w14:paraId="2DBA1C63" w14:textId="77777777"/>
    <w:p w:rsidRPr="00446BA6" w:rsidR="005A4A00" w:rsidP="005A4A00" w:rsidRDefault="005A4A00" w14:paraId="57DFCB52" w14:textId="77777777">
      <w:pPr>
        <w:rPr>
          <w:b/>
        </w:rPr>
      </w:pPr>
      <w:r>
        <w:rPr>
          <w:b/>
        </w:rPr>
        <w:t>A</w:t>
      </w:r>
      <w:r w:rsidRPr="00446BA6">
        <w:rPr>
          <w:b/>
        </w:rPr>
        <w:t xml:space="preserve">18.     Exceptions to Certification </w:t>
      </w:r>
      <w:r>
        <w:rPr>
          <w:b/>
        </w:rPr>
        <w:t xml:space="preserve">Statement </w:t>
      </w:r>
    </w:p>
    <w:p w:rsidR="005A4A00" w:rsidP="005A4A00" w:rsidRDefault="005A4A00" w14:paraId="3F87DBF6" w14:textId="77777777"/>
    <w:p w:rsidRPr="000467FD" w:rsidR="005A4A00" w:rsidP="005A4A00" w:rsidRDefault="005A4A00" w14:paraId="5A0E37AB" w14:textId="77777777">
      <w:pPr>
        <w:rPr>
          <w:strike/>
          <w:szCs w:val="24"/>
        </w:rPr>
      </w:pPr>
      <w:r>
        <w:t>This collection of information involves no exceptions to the Certification for Paperwork Reduction Act Submissions</w:t>
      </w:r>
      <w:r w:rsidR="00E279F8">
        <w:t xml:space="preserve">.  </w:t>
      </w:r>
      <w:r w:rsidRPr="00E333F4" w:rsidR="00CC0FCD">
        <w:t>The certifications are included in this submission.</w:t>
      </w:r>
    </w:p>
    <w:p w:rsidR="005A4A00" w:rsidP="005A4A00" w:rsidRDefault="005A4A00" w14:paraId="6E7A8A03" w14:textId="77777777">
      <w:pPr>
        <w:rPr>
          <w:b/>
        </w:rPr>
      </w:pPr>
    </w:p>
    <w:p w:rsidR="005A4A00" w:rsidP="005A4A00" w:rsidRDefault="005A4A00" w14:paraId="6E0D8EB2" w14:textId="77777777">
      <w:pPr>
        <w:rPr>
          <w:b/>
        </w:rPr>
      </w:pPr>
    </w:p>
    <w:p w:rsidR="00A63615" w:rsidRDefault="00A63615" w14:paraId="19283B60" w14:textId="77777777"/>
    <w:sectPr w:rsidR="00A63615" w:rsidSect="001D0E5E">
      <w:headerReference w:type="even" r:id="rId12"/>
      <w:headerReference w:type="default" r:id="rId13"/>
      <w:footerReference w:type="even" r:id="rId14"/>
      <w:footerReference w:type="default" r:id="rId15"/>
      <w:endnotePr>
        <w:numFmt w:val="lowerLetter"/>
      </w:endnotePr>
      <w:pgSz w:w="12240" w:h="15840"/>
      <w:pgMar w:top="990" w:right="1440" w:bottom="1260" w:left="1440" w:header="1440" w:footer="8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C3B7F4" w14:textId="77777777" w:rsidR="00681531" w:rsidRDefault="00681531" w:rsidP="005525FC">
      <w:r>
        <w:separator/>
      </w:r>
    </w:p>
  </w:endnote>
  <w:endnote w:type="continuationSeparator" w:id="0">
    <w:p w14:paraId="4627E44F" w14:textId="77777777" w:rsidR="00681531" w:rsidRDefault="00681531" w:rsidP="00552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3FCBF" w14:textId="77777777" w:rsidR="00A87535" w:rsidRDefault="00A87535" w:rsidP="001D0E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9A3D5DF" w14:textId="77777777" w:rsidR="00A87535" w:rsidRDefault="00A87535">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92583" w14:textId="491C6883" w:rsidR="00A87535" w:rsidRDefault="00A87535" w:rsidP="001D0E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756B4">
      <w:rPr>
        <w:rStyle w:val="PageNumber"/>
        <w:noProof/>
      </w:rPr>
      <w:t>4</w:t>
    </w:r>
    <w:r>
      <w:rPr>
        <w:rStyle w:val="PageNumber"/>
      </w:rPr>
      <w:fldChar w:fldCharType="end"/>
    </w:r>
  </w:p>
  <w:p w14:paraId="00511DE3" w14:textId="77777777" w:rsidR="00A87535" w:rsidRDefault="00A87535" w:rsidP="001D0E5E">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164E57" w14:textId="77777777" w:rsidR="00681531" w:rsidRDefault="00681531" w:rsidP="005525FC">
      <w:r>
        <w:separator/>
      </w:r>
    </w:p>
  </w:footnote>
  <w:footnote w:type="continuationSeparator" w:id="0">
    <w:p w14:paraId="45D8BB11" w14:textId="77777777" w:rsidR="00681531" w:rsidRDefault="00681531" w:rsidP="005525FC">
      <w:r>
        <w:continuationSeparator/>
      </w:r>
    </w:p>
  </w:footnote>
  <w:footnote w:id="1">
    <w:p w14:paraId="26A99CAE" w14:textId="643C47FD" w:rsidR="45AA5890" w:rsidRDefault="00515213" w:rsidP="004A33A7">
      <w:pPr>
        <w:pStyle w:val="FootnoteText"/>
      </w:pPr>
      <w:r>
        <w:rPr>
          <w:rStyle w:val="FootnoteReference"/>
        </w:rPr>
        <w:footnoteRef/>
      </w:r>
      <w:r w:rsidR="45AA5890" w:rsidRPr="45AA5890">
        <w:t xml:space="preserve">United States Government Accountability Office. (2020, November). </w:t>
      </w:r>
      <w:r w:rsidR="00F57D8E" w:rsidRPr="45AA5890">
        <w:t>Drug Misuse</w:t>
      </w:r>
      <w:r w:rsidR="45AA5890" w:rsidRPr="45AA5890">
        <w:t xml:space="preserve"> Agencies Have Not Fully Identified How Grants That Can Support Drug Prevention Education Programs Contribute to National Goals. </w:t>
      </w:r>
      <w:hyperlink r:id="rId1" w:history="1">
        <w:r w:rsidRPr="00421D8A">
          <w:rPr>
            <w:rStyle w:val="Hyperlink"/>
          </w:rPr>
          <w:t>https://www.gao.gov/assets/gao-21-96.pdf</w:t>
        </w:r>
      </w:hyperlink>
      <w:r>
        <w:t xml:space="preserve"> </w:t>
      </w:r>
    </w:p>
  </w:footnote>
  <w:footnote w:id="2">
    <w:p w14:paraId="65D28F71" w14:textId="77777777" w:rsidR="000869E3" w:rsidRDefault="000869E3" w:rsidP="000869E3">
      <w:pPr>
        <w:keepLines/>
        <w:rPr>
          <w:sz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2B399" w14:textId="77777777" w:rsidR="00A87535" w:rsidRDefault="00A87535">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DC42C" w14:textId="77777777" w:rsidR="00A87535" w:rsidRDefault="00A87535">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F1465"/>
    <w:multiLevelType w:val="hybridMultilevel"/>
    <w:tmpl w:val="067061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56B11"/>
    <w:multiLevelType w:val="hybridMultilevel"/>
    <w:tmpl w:val="9A902B40"/>
    <w:lvl w:ilvl="0" w:tplc="3AE4A4CE">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42D5D"/>
    <w:multiLevelType w:val="hybridMultilevel"/>
    <w:tmpl w:val="2F9CD9F6"/>
    <w:lvl w:ilvl="0" w:tplc="72C2D9A2">
      <w:start w:val="1"/>
      <w:numFmt w:val="bullet"/>
      <w:lvlText w:val=""/>
      <w:lvlJc w:val="left"/>
      <w:pPr>
        <w:ind w:left="1800" w:hanging="360"/>
      </w:pPr>
      <w:rPr>
        <w:rFonts w:ascii="Wingdings 2" w:eastAsia="Wingdings 2" w:hAnsi="Wingdings 2" w:hint="default"/>
        <w:sz w:val="22"/>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BE27F58"/>
    <w:multiLevelType w:val="hybridMultilevel"/>
    <w:tmpl w:val="3D7C2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1543A"/>
    <w:multiLevelType w:val="hybridMultilevel"/>
    <w:tmpl w:val="EC38B930"/>
    <w:lvl w:ilvl="0" w:tplc="E658484E">
      <w:start w:val="1"/>
      <w:numFmt w:val="decimal"/>
      <w:lvlText w:val="%1."/>
      <w:lvlJc w:val="left"/>
      <w:pPr>
        <w:ind w:left="720" w:hanging="360"/>
      </w:pPr>
    </w:lvl>
    <w:lvl w:ilvl="1" w:tplc="4738A140">
      <w:start w:val="1"/>
      <w:numFmt w:val="lowerLetter"/>
      <w:lvlText w:val="%2."/>
      <w:lvlJc w:val="left"/>
      <w:pPr>
        <w:ind w:left="1440" w:hanging="360"/>
      </w:pPr>
    </w:lvl>
    <w:lvl w:ilvl="2" w:tplc="829E8EE0">
      <w:start w:val="1"/>
      <w:numFmt w:val="lowerRoman"/>
      <w:lvlText w:val="%3."/>
      <w:lvlJc w:val="right"/>
      <w:pPr>
        <w:ind w:left="2160" w:hanging="180"/>
      </w:pPr>
    </w:lvl>
    <w:lvl w:ilvl="3" w:tplc="B914CCCC">
      <w:start w:val="1"/>
      <w:numFmt w:val="decimal"/>
      <w:lvlText w:val="%4."/>
      <w:lvlJc w:val="left"/>
      <w:pPr>
        <w:ind w:left="2880" w:hanging="360"/>
      </w:pPr>
    </w:lvl>
    <w:lvl w:ilvl="4" w:tplc="5F38761A">
      <w:start w:val="1"/>
      <w:numFmt w:val="lowerLetter"/>
      <w:lvlText w:val="%5."/>
      <w:lvlJc w:val="left"/>
      <w:pPr>
        <w:ind w:left="3600" w:hanging="360"/>
      </w:pPr>
    </w:lvl>
    <w:lvl w:ilvl="5" w:tplc="4BCC5734">
      <w:start w:val="1"/>
      <w:numFmt w:val="lowerRoman"/>
      <w:lvlText w:val="%6."/>
      <w:lvlJc w:val="right"/>
      <w:pPr>
        <w:ind w:left="4320" w:hanging="180"/>
      </w:pPr>
    </w:lvl>
    <w:lvl w:ilvl="6" w:tplc="C50254F8">
      <w:start w:val="1"/>
      <w:numFmt w:val="decimal"/>
      <w:lvlText w:val="%7."/>
      <w:lvlJc w:val="left"/>
      <w:pPr>
        <w:ind w:left="5040" w:hanging="360"/>
      </w:pPr>
    </w:lvl>
    <w:lvl w:ilvl="7" w:tplc="0492D0FE">
      <w:start w:val="1"/>
      <w:numFmt w:val="lowerLetter"/>
      <w:lvlText w:val="%8."/>
      <w:lvlJc w:val="left"/>
      <w:pPr>
        <w:ind w:left="5760" w:hanging="360"/>
      </w:pPr>
    </w:lvl>
    <w:lvl w:ilvl="8" w:tplc="24623B98">
      <w:start w:val="1"/>
      <w:numFmt w:val="lowerRoman"/>
      <w:lvlText w:val="%9."/>
      <w:lvlJc w:val="right"/>
      <w:pPr>
        <w:ind w:left="6480" w:hanging="180"/>
      </w:pPr>
    </w:lvl>
  </w:abstractNum>
  <w:abstractNum w:abstractNumId="5" w15:restartNumberingAfterBreak="0">
    <w:nsid w:val="157D12B1"/>
    <w:multiLevelType w:val="hybridMultilevel"/>
    <w:tmpl w:val="A71A3AD6"/>
    <w:lvl w:ilvl="0" w:tplc="04090019">
      <w:start w:val="1"/>
      <w:numFmt w:val="lowerLetter"/>
      <w:lvlText w:val="%1."/>
      <w:lvlJc w:val="left"/>
      <w:pPr>
        <w:ind w:left="720" w:hanging="360"/>
      </w:p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9A2577"/>
    <w:multiLevelType w:val="hybridMultilevel"/>
    <w:tmpl w:val="F4F289D2"/>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E6D7F07"/>
    <w:multiLevelType w:val="hybridMultilevel"/>
    <w:tmpl w:val="B7A25E04"/>
    <w:lvl w:ilvl="0" w:tplc="6D908C84">
      <w:start w:val="1"/>
      <w:numFmt w:val="decimal"/>
      <w:lvlText w:val="%1."/>
      <w:lvlJc w:val="left"/>
      <w:pPr>
        <w:ind w:left="720" w:hanging="360"/>
      </w:pPr>
      <w:rPr>
        <w:rFonts w:eastAsia="Calibri" w:hint="default"/>
        <w:sz w:val="22"/>
      </w:rPr>
    </w:lvl>
    <w:lvl w:ilvl="1" w:tplc="4522AECE">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820C34"/>
    <w:multiLevelType w:val="hybridMultilevel"/>
    <w:tmpl w:val="ACAE16CC"/>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9" w15:restartNumberingAfterBreak="0">
    <w:nsid w:val="235D530D"/>
    <w:multiLevelType w:val="hybridMultilevel"/>
    <w:tmpl w:val="DAA6C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E16289"/>
    <w:multiLevelType w:val="hybridMultilevel"/>
    <w:tmpl w:val="96D02034"/>
    <w:lvl w:ilvl="0" w:tplc="B1AA3236">
      <w:start w:val="1"/>
      <w:numFmt w:val="decimal"/>
      <w:pStyle w:val="QuestionNumbered"/>
      <w:lvlText w:val="%1."/>
      <w:lvlJc w:val="left"/>
      <w:pPr>
        <w:ind w:left="2340" w:hanging="21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557008"/>
    <w:multiLevelType w:val="hybridMultilevel"/>
    <w:tmpl w:val="547CA57A"/>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695319"/>
    <w:multiLevelType w:val="hybridMultilevel"/>
    <w:tmpl w:val="05C6F9E8"/>
    <w:lvl w:ilvl="0" w:tplc="0409000F">
      <w:start w:val="1"/>
      <w:numFmt w:val="decimal"/>
      <w:lvlText w:val="%1."/>
      <w:lvlJc w:val="left"/>
      <w:pPr>
        <w:ind w:left="720" w:hanging="360"/>
      </w:pPr>
    </w:lvl>
    <w:lvl w:ilvl="1" w:tplc="8EBC5E2A">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6DC5AE3"/>
    <w:multiLevelType w:val="hybridMultilevel"/>
    <w:tmpl w:val="F8020156"/>
    <w:lvl w:ilvl="0" w:tplc="8FBE15C0">
      <w:start w:val="1"/>
      <w:numFmt w:val="decimal"/>
      <w:lvlText w:val="%1)"/>
      <w:lvlJc w:val="left"/>
      <w:pPr>
        <w:ind w:left="720" w:hanging="360"/>
      </w:pPr>
      <w:rPr>
        <w:rFonts w:ascii="Times New Roman" w:eastAsia="Calibr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DC5E6D"/>
    <w:multiLevelType w:val="hybridMultilevel"/>
    <w:tmpl w:val="8702C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0656E2"/>
    <w:multiLevelType w:val="hybridMultilevel"/>
    <w:tmpl w:val="E432F07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C732BA"/>
    <w:multiLevelType w:val="hybridMultilevel"/>
    <w:tmpl w:val="8A960FA2"/>
    <w:lvl w:ilvl="0" w:tplc="3438C1A0">
      <w:start w:val="1"/>
      <w:numFmt w:val="bullet"/>
      <w:lvlText w:val=""/>
      <w:lvlJc w:val="left"/>
      <w:pPr>
        <w:ind w:left="720" w:hanging="360"/>
      </w:pPr>
      <w:rPr>
        <w:rFonts w:ascii="Symbol" w:hAnsi="Symbol" w:hint="default"/>
      </w:rPr>
    </w:lvl>
    <w:lvl w:ilvl="1" w:tplc="985EC498">
      <w:start w:val="1"/>
      <w:numFmt w:val="bullet"/>
      <w:lvlText w:val="o"/>
      <w:lvlJc w:val="left"/>
      <w:pPr>
        <w:ind w:left="1440" w:hanging="360"/>
      </w:pPr>
      <w:rPr>
        <w:rFonts w:ascii="Courier New" w:hAnsi="Courier New" w:hint="default"/>
      </w:rPr>
    </w:lvl>
    <w:lvl w:ilvl="2" w:tplc="77B27C4C">
      <w:start w:val="1"/>
      <w:numFmt w:val="bullet"/>
      <w:lvlText w:val=""/>
      <w:lvlJc w:val="left"/>
      <w:pPr>
        <w:ind w:left="2160" w:hanging="360"/>
      </w:pPr>
      <w:rPr>
        <w:rFonts w:ascii="Wingdings" w:hAnsi="Wingdings" w:hint="default"/>
      </w:rPr>
    </w:lvl>
    <w:lvl w:ilvl="3" w:tplc="E690E724">
      <w:start w:val="1"/>
      <w:numFmt w:val="bullet"/>
      <w:lvlText w:val=""/>
      <w:lvlJc w:val="left"/>
      <w:pPr>
        <w:ind w:left="2880" w:hanging="360"/>
      </w:pPr>
      <w:rPr>
        <w:rFonts w:ascii="Symbol" w:hAnsi="Symbol" w:hint="default"/>
      </w:rPr>
    </w:lvl>
    <w:lvl w:ilvl="4" w:tplc="0F80EFCE">
      <w:start w:val="1"/>
      <w:numFmt w:val="bullet"/>
      <w:lvlText w:val="o"/>
      <w:lvlJc w:val="left"/>
      <w:pPr>
        <w:ind w:left="3600" w:hanging="360"/>
      </w:pPr>
      <w:rPr>
        <w:rFonts w:ascii="Courier New" w:hAnsi="Courier New" w:hint="default"/>
      </w:rPr>
    </w:lvl>
    <w:lvl w:ilvl="5" w:tplc="6E1C81A4">
      <w:start w:val="1"/>
      <w:numFmt w:val="bullet"/>
      <w:lvlText w:val=""/>
      <w:lvlJc w:val="left"/>
      <w:pPr>
        <w:ind w:left="4320" w:hanging="360"/>
      </w:pPr>
      <w:rPr>
        <w:rFonts w:ascii="Wingdings" w:hAnsi="Wingdings" w:hint="default"/>
      </w:rPr>
    </w:lvl>
    <w:lvl w:ilvl="6" w:tplc="02AE26CA">
      <w:start w:val="1"/>
      <w:numFmt w:val="bullet"/>
      <w:lvlText w:val=""/>
      <w:lvlJc w:val="left"/>
      <w:pPr>
        <w:ind w:left="5040" w:hanging="360"/>
      </w:pPr>
      <w:rPr>
        <w:rFonts w:ascii="Symbol" w:hAnsi="Symbol" w:hint="default"/>
      </w:rPr>
    </w:lvl>
    <w:lvl w:ilvl="7" w:tplc="78F6FC04">
      <w:start w:val="1"/>
      <w:numFmt w:val="bullet"/>
      <w:lvlText w:val="o"/>
      <w:lvlJc w:val="left"/>
      <w:pPr>
        <w:ind w:left="5760" w:hanging="360"/>
      </w:pPr>
      <w:rPr>
        <w:rFonts w:ascii="Courier New" w:hAnsi="Courier New" w:hint="default"/>
      </w:rPr>
    </w:lvl>
    <w:lvl w:ilvl="8" w:tplc="E942437E">
      <w:start w:val="1"/>
      <w:numFmt w:val="bullet"/>
      <w:lvlText w:val=""/>
      <w:lvlJc w:val="left"/>
      <w:pPr>
        <w:ind w:left="6480" w:hanging="360"/>
      </w:pPr>
      <w:rPr>
        <w:rFonts w:ascii="Wingdings" w:hAnsi="Wingdings" w:hint="default"/>
      </w:rPr>
    </w:lvl>
  </w:abstractNum>
  <w:abstractNum w:abstractNumId="17" w15:restartNumberingAfterBreak="0">
    <w:nsid w:val="47C1698D"/>
    <w:multiLevelType w:val="hybridMultilevel"/>
    <w:tmpl w:val="111A99FE"/>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18" w15:restartNumberingAfterBreak="0">
    <w:nsid w:val="51CC4DA8"/>
    <w:multiLevelType w:val="hybridMultilevel"/>
    <w:tmpl w:val="B906ADE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86764C"/>
    <w:multiLevelType w:val="hybridMultilevel"/>
    <w:tmpl w:val="9CECA8BC"/>
    <w:lvl w:ilvl="0" w:tplc="A9F00A6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4C26E11"/>
    <w:multiLevelType w:val="hybridMultilevel"/>
    <w:tmpl w:val="C1E86F72"/>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9E32776"/>
    <w:multiLevelType w:val="hybridMultilevel"/>
    <w:tmpl w:val="146851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1E84DEB"/>
    <w:multiLevelType w:val="hybridMultilevel"/>
    <w:tmpl w:val="EAB246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5792CC6"/>
    <w:multiLevelType w:val="hybridMultilevel"/>
    <w:tmpl w:val="067061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4B7B0B"/>
    <w:multiLevelType w:val="hybridMultilevel"/>
    <w:tmpl w:val="225A4506"/>
    <w:lvl w:ilvl="0" w:tplc="EA765A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6076D"/>
    <w:multiLevelType w:val="hybridMultilevel"/>
    <w:tmpl w:val="067061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747C57"/>
    <w:multiLevelType w:val="hybridMultilevel"/>
    <w:tmpl w:val="DFC423E2"/>
    <w:lvl w:ilvl="0" w:tplc="C3A62A3E">
      <w:start w:val="2"/>
      <w:numFmt w:val="lowerLetter"/>
      <w:lvlText w:val="%1."/>
      <w:lvlJc w:val="left"/>
      <w:pPr>
        <w:ind w:left="108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 w15:restartNumberingAfterBreak="0">
    <w:nsid w:val="72FF5E39"/>
    <w:multiLevelType w:val="hybridMultilevel"/>
    <w:tmpl w:val="058294B2"/>
    <w:lvl w:ilvl="0" w:tplc="0409000F">
      <w:start w:val="1"/>
      <w:numFmt w:val="decimal"/>
      <w:lvlText w:val="%1."/>
      <w:lvlJc w:val="left"/>
      <w:pPr>
        <w:ind w:left="252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15:restartNumberingAfterBreak="0">
    <w:nsid w:val="745A6B5B"/>
    <w:multiLevelType w:val="hybridMultilevel"/>
    <w:tmpl w:val="067061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9F3EF3"/>
    <w:multiLevelType w:val="hybridMultilevel"/>
    <w:tmpl w:val="691836B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C03CE1"/>
    <w:multiLevelType w:val="hybridMultilevel"/>
    <w:tmpl w:val="A426D4D8"/>
    <w:lvl w:ilvl="0" w:tplc="8FBE15C0">
      <w:start w:val="1"/>
      <w:numFmt w:val="decimal"/>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D82668"/>
    <w:multiLevelType w:val="hybridMultilevel"/>
    <w:tmpl w:val="3238FD4C"/>
    <w:lvl w:ilvl="0" w:tplc="04090019">
      <w:start w:val="1"/>
      <w:numFmt w:val="lowerLetter"/>
      <w:lvlText w:val="%1."/>
      <w:lvlJc w:val="left"/>
      <w:pPr>
        <w:ind w:left="720" w:hanging="360"/>
      </w:pPr>
    </w:lvl>
    <w:lvl w:ilvl="1" w:tplc="8EBC5E2A">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16"/>
  </w:num>
  <w:num w:numId="3">
    <w:abstractNumId w:val="17"/>
  </w:num>
  <w:num w:numId="4">
    <w:abstractNumId w:val="8"/>
  </w:num>
  <w:num w:numId="5">
    <w:abstractNumId w:val="22"/>
  </w:num>
  <w:num w:numId="6">
    <w:abstractNumId w:val="28"/>
  </w:num>
  <w:num w:numId="7">
    <w:abstractNumId w:val="11"/>
  </w:num>
  <w:num w:numId="8">
    <w:abstractNumId w:val="13"/>
  </w:num>
  <w:num w:numId="9">
    <w:abstractNumId w:val="0"/>
  </w:num>
  <w:num w:numId="10">
    <w:abstractNumId w:val="25"/>
  </w:num>
  <w:num w:numId="11">
    <w:abstractNumId w:val="9"/>
  </w:num>
  <w:num w:numId="12">
    <w:abstractNumId w:val="29"/>
  </w:num>
  <w:num w:numId="13">
    <w:abstractNumId w:val="20"/>
  </w:num>
  <w:num w:numId="14">
    <w:abstractNumId w:val="23"/>
  </w:num>
  <w:num w:numId="15">
    <w:abstractNumId w:val="7"/>
  </w:num>
  <w:num w:numId="16">
    <w:abstractNumId w:val="19"/>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30"/>
  </w:num>
  <w:num w:numId="23">
    <w:abstractNumId w:val="18"/>
  </w:num>
  <w:num w:numId="24">
    <w:abstractNumId w:val="21"/>
  </w:num>
  <w:num w:numId="25">
    <w:abstractNumId w:val="31"/>
  </w:num>
  <w:num w:numId="26">
    <w:abstractNumId w:val="5"/>
  </w:num>
  <w:num w:numId="27">
    <w:abstractNumId w:val="15"/>
  </w:num>
  <w:num w:numId="28">
    <w:abstractNumId w:val="10"/>
  </w:num>
  <w:num w:numId="29">
    <w:abstractNumId w:val="2"/>
  </w:num>
  <w:num w:numId="30">
    <w:abstractNumId w:val="1"/>
  </w:num>
  <w:num w:numId="31">
    <w:abstractNumId w:val="3"/>
  </w:num>
  <w:num w:numId="32">
    <w:abstractNumId w:val="14"/>
  </w:num>
  <w:num w:numId="33">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A00"/>
    <w:rsid w:val="000157AD"/>
    <w:rsid w:val="000258EB"/>
    <w:rsid w:val="00033A76"/>
    <w:rsid w:val="00037573"/>
    <w:rsid w:val="0004153D"/>
    <w:rsid w:val="0004329A"/>
    <w:rsid w:val="000562C5"/>
    <w:rsid w:val="0005635B"/>
    <w:rsid w:val="00057843"/>
    <w:rsid w:val="00064732"/>
    <w:rsid w:val="00065DF6"/>
    <w:rsid w:val="0006635F"/>
    <w:rsid w:val="000744A0"/>
    <w:rsid w:val="000859CE"/>
    <w:rsid w:val="000869E3"/>
    <w:rsid w:val="0009061A"/>
    <w:rsid w:val="000955CD"/>
    <w:rsid w:val="000A507F"/>
    <w:rsid w:val="000A799F"/>
    <w:rsid w:val="000B00D8"/>
    <w:rsid w:val="000B069B"/>
    <w:rsid w:val="000B1EA0"/>
    <w:rsid w:val="000B2D48"/>
    <w:rsid w:val="000B3E71"/>
    <w:rsid w:val="000B658E"/>
    <w:rsid w:val="000C4187"/>
    <w:rsid w:val="000C5B23"/>
    <w:rsid w:val="000D7035"/>
    <w:rsid w:val="000E0F3C"/>
    <w:rsid w:val="000E5A09"/>
    <w:rsid w:val="000E610F"/>
    <w:rsid w:val="000F343E"/>
    <w:rsid w:val="000F40CC"/>
    <w:rsid w:val="000F4BFA"/>
    <w:rsid w:val="0010283C"/>
    <w:rsid w:val="0010430B"/>
    <w:rsid w:val="001118EF"/>
    <w:rsid w:val="00114E32"/>
    <w:rsid w:val="00117615"/>
    <w:rsid w:val="001215C6"/>
    <w:rsid w:val="00124F1A"/>
    <w:rsid w:val="00135732"/>
    <w:rsid w:val="00142F2B"/>
    <w:rsid w:val="001449DE"/>
    <w:rsid w:val="00146196"/>
    <w:rsid w:val="001872EC"/>
    <w:rsid w:val="001A2372"/>
    <w:rsid w:val="001A355C"/>
    <w:rsid w:val="001A5ACC"/>
    <w:rsid w:val="001A6955"/>
    <w:rsid w:val="001A7DF5"/>
    <w:rsid w:val="001B6C43"/>
    <w:rsid w:val="001B7BB8"/>
    <w:rsid w:val="001C0BEE"/>
    <w:rsid w:val="001C426C"/>
    <w:rsid w:val="001C4F65"/>
    <w:rsid w:val="001D0E5E"/>
    <w:rsid w:val="001D17B5"/>
    <w:rsid w:val="001D5CEF"/>
    <w:rsid w:val="001E0BF5"/>
    <w:rsid w:val="001E2850"/>
    <w:rsid w:val="001E2950"/>
    <w:rsid w:val="001E2F55"/>
    <w:rsid w:val="001F3A20"/>
    <w:rsid w:val="001F5049"/>
    <w:rsid w:val="001F5D76"/>
    <w:rsid w:val="0021102C"/>
    <w:rsid w:val="0021604E"/>
    <w:rsid w:val="002204E2"/>
    <w:rsid w:val="002229CC"/>
    <w:rsid w:val="002233E5"/>
    <w:rsid w:val="00236FCA"/>
    <w:rsid w:val="00237728"/>
    <w:rsid w:val="00240CF8"/>
    <w:rsid w:val="00247734"/>
    <w:rsid w:val="0025179E"/>
    <w:rsid w:val="00257B30"/>
    <w:rsid w:val="00262CB0"/>
    <w:rsid w:val="00267C84"/>
    <w:rsid w:val="0027008C"/>
    <w:rsid w:val="00280770"/>
    <w:rsid w:val="00284377"/>
    <w:rsid w:val="00287295"/>
    <w:rsid w:val="002968F0"/>
    <w:rsid w:val="002A00DE"/>
    <w:rsid w:val="002A54C9"/>
    <w:rsid w:val="002B1490"/>
    <w:rsid w:val="002C7CBF"/>
    <w:rsid w:val="002D14EF"/>
    <w:rsid w:val="002D741B"/>
    <w:rsid w:val="002E450A"/>
    <w:rsid w:val="002E6A61"/>
    <w:rsid w:val="003005B4"/>
    <w:rsid w:val="003153F7"/>
    <w:rsid w:val="00316D6E"/>
    <w:rsid w:val="00320646"/>
    <w:rsid w:val="00324D18"/>
    <w:rsid w:val="00325E5C"/>
    <w:rsid w:val="00353023"/>
    <w:rsid w:val="00354648"/>
    <w:rsid w:val="00354744"/>
    <w:rsid w:val="00354A02"/>
    <w:rsid w:val="00356F10"/>
    <w:rsid w:val="00360F12"/>
    <w:rsid w:val="00361DE3"/>
    <w:rsid w:val="00362E78"/>
    <w:rsid w:val="003640BA"/>
    <w:rsid w:val="00372AF8"/>
    <w:rsid w:val="00375A4F"/>
    <w:rsid w:val="003766A5"/>
    <w:rsid w:val="003802EC"/>
    <w:rsid w:val="0038168D"/>
    <w:rsid w:val="00393F85"/>
    <w:rsid w:val="003C05A0"/>
    <w:rsid w:val="003D15C8"/>
    <w:rsid w:val="003D2A49"/>
    <w:rsid w:val="003D2E9F"/>
    <w:rsid w:val="003D30D1"/>
    <w:rsid w:val="003E22A3"/>
    <w:rsid w:val="003E5F1C"/>
    <w:rsid w:val="003F0C70"/>
    <w:rsid w:val="00410801"/>
    <w:rsid w:val="004175E1"/>
    <w:rsid w:val="00425F5B"/>
    <w:rsid w:val="00435DF1"/>
    <w:rsid w:val="00440E6F"/>
    <w:rsid w:val="004421BB"/>
    <w:rsid w:val="00443213"/>
    <w:rsid w:val="004501F8"/>
    <w:rsid w:val="00451D27"/>
    <w:rsid w:val="004656EB"/>
    <w:rsid w:val="00470ED6"/>
    <w:rsid w:val="004754BA"/>
    <w:rsid w:val="0047667C"/>
    <w:rsid w:val="00476770"/>
    <w:rsid w:val="00483B31"/>
    <w:rsid w:val="00484F16"/>
    <w:rsid w:val="00485DDE"/>
    <w:rsid w:val="004A33A7"/>
    <w:rsid w:val="004A6E78"/>
    <w:rsid w:val="004C446D"/>
    <w:rsid w:val="004C4FFF"/>
    <w:rsid w:val="004C6359"/>
    <w:rsid w:val="004D71AC"/>
    <w:rsid w:val="004E1B0E"/>
    <w:rsid w:val="004F06EE"/>
    <w:rsid w:val="004F2205"/>
    <w:rsid w:val="00510DE2"/>
    <w:rsid w:val="00515213"/>
    <w:rsid w:val="00515F94"/>
    <w:rsid w:val="005204AF"/>
    <w:rsid w:val="00526818"/>
    <w:rsid w:val="0053744D"/>
    <w:rsid w:val="0054463D"/>
    <w:rsid w:val="005469C1"/>
    <w:rsid w:val="005509EF"/>
    <w:rsid w:val="005525FC"/>
    <w:rsid w:val="00552697"/>
    <w:rsid w:val="00564974"/>
    <w:rsid w:val="00576A97"/>
    <w:rsid w:val="00581D8D"/>
    <w:rsid w:val="00581EA9"/>
    <w:rsid w:val="005846B4"/>
    <w:rsid w:val="00585A26"/>
    <w:rsid w:val="00595985"/>
    <w:rsid w:val="00596A73"/>
    <w:rsid w:val="005A3862"/>
    <w:rsid w:val="005A4A00"/>
    <w:rsid w:val="005B04A2"/>
    <w:rsid w:val="005B4F5B"/>
    <w:rsid w:val="005B6398"/>
    <w:rsid w:val="005C0A02"/>
    <w:rsid w:val="005C2170"/>
    <w:rsid w:val="005D1131"/>
    <w:rsid w:val="005F36D8"/>
    <w:rsid w:val="005F59B7"/>
    <w:rsid w:val="005F6387"/>
    <w:rsid w:val="006011E6"/>
    <w:rsid w:val="00610C34"/>
    <w:rsid w:val="00624704"/>
    <w:rsid w:val="0062FFDF"/>
    <w:rsid w:val="00647236"/>
    <w:rsid w:val="00647340"/>
    <w:rsid w:val="006537E0"/>
    <w:rsid w:val="00656DD3"/>
    <w:rsid w:val="00660681"/>
    <w:rsid w:val="006606CD"/>
    <w:rsid w:val="0067073A"/>
    <w:rsid w:val="006735F7"/>
    <w:rsid w:val="006803C1"/>
    <w:rsid w:val="00681531"/>
    <w:rsid w:val="0068210F"/>
    <w:rsid w:val="00686794"/>
    <w:rsid w:val="006A520A"/>
    <w:rsid w:val="006B41C6"/>
    <w:rsid w:val="006B46D8"/>
    <w:rsid w:val="006B6C3F"/>
    <w:rsid w:val="006E18E5"/>
    <w:rsid w:val="006E32DE"/>
    <w:rsid w:val="006F5AEF"/>
    <w:rsid w:val="00720D7B"/>
    <w:rsid w:val="00724C0F"/>
    <w:rsid w:val="0072600E"/>
    <w:rsid w:val="00743998"/>
    <w:rsid w:val="00750CB2"/>
    <w:rsid w:val="007555F0"/>
    <w:rsid w:val="00763FC7"/>
    <w:rsid w:val="0076577C"/>
    <w:rsid w:val="00774007"/>
    <w:rsid w:val="007756B4"/>
    <w:rsid w:val="00786831"/>
    <w:rsid w:val="0078689B"/>
    <w:rsid w:val="00787FB7"/>
    <w:rsid w:val="00795FF6"/>
    <w:rsid w:val="00797F92"/>
    <w:rsid w:val="007A0CFD"/>
    <w:rsid w:val="007B01AC"/>
    <w:rsid w:val="007B092A"/>
    <w:rsid w:val="007B0C1F"/>
    <w:rsid w:val="007B1298"/>
    <w:rsid w:val="007B371D"/>
    <w:rsid w:val="007C53F1"/>
    <w:rsid w:val="007D2213"/>
    <w:rsid w:val="007D3AFF"/>
    <w:rsid w:val="007E3ABB"/>
    <w:rsid w:val="007E46CC"/>
    <w:rsid w:val="007E5D1F"/>
    <w:rsid w:val="007E6539"/>
    <w:rsid w:val="007F5033"/>
    <w:rsid w:val="00800C7B"/>
    <w:rsid w:val="0080672F"/>
    <w:rsid w:val="00810E88"/>
    <w:rsid w:val="00822A67"/>
    <w:rsid w:val="0083301F"/>
    <w:rsid w:val="00841367"/>
    <w:rsid w:val="00847FBD"/>
    <w:rsid w:val="00860CB0"/>
    <w:rsid w:val="00871014"/>
    <w:rsid w:val="00876838"/>
    <w:rsid w:val="00876890"/>
    <w:rsid w:val="00881A15"/>
    <w:rsid w:val="00885FBA"/>
    <w:rsid w:val="00891279"/>
    <w:rsid w:val="00895356"/>
    <w:rsid w:val="008A222D"/>
    <w:rsid w:val="008A640C"/>
    <w:rsid w:val="008B2DF1"/>
    <w:rsid w:val="008B7F2C"/>
    <w:rsid w:val="008C20AD"/>
    <w:rsid w:val="008C480E"/>
    <w:rsid w:val="008C72A9"/>
    <w:rsid w:val="008D480E"/>
    <w:rsid w:val="008D641B"/>
    <w:rsid w:val="008D7D11"/>
    <w:rsid w:val="008F045F"/>
    <w:rsid w:val="008F57EC"/>
    <w:rsid w:val="00900A08"/>
    <w:rsid w:val="00902E9D"/>
    <w:rsid w:val="00911B2D"/>
    <w:rsid w:val="0091326A"/>
    <w:rsid w:val="00916672"/>
    <w:rsid w:val="00917ED6"/>
    <w:rsid w:val="00920965"/>
    <w:rsid w:val="0093465D"/>
    <w:rsid w:val="00937C82"/>
    <w:rsid w:val="009427E7"/>
    <w:rsid w:val="00954DB7"/>
    <w:rsid w:val="00954E61"/>
    <w:rsid w:val="00957655"/>
    <w:rsid w:val="0097557E"/>
    <w:rsid w:val="009758EC"/>
    <w:rsid w:val="00975CE0"/>
    <w:rsid w:val="00982E9C"/>
    <w:rsid w:val="00983152"/>
    <w:rsid w:val="0099795D"/>
    <w:rsid w:val="009A4DE5"/>
    <w:rsid w:val="009B00D5"/>
    <w:rsid w:val="009B32DC"/>
    <w:rsid w:val="009B3CCB"/>
    <w:rsid w:val="009B7A9C"/>
    <w:rsid w:val="009C01E2"/>
    <w:rsid w:val="009C2CB6"/>
    <w:rsid w:val="009D5E0C"/>
    <w:rsid w:val="009D7A9F"/>
    <w:rsid w:val="009E3332"/>
    <w:rsid w:val="009E5E3E"/>
    <w:rsid w:val="009F5E27"/>
    <w:rsid w:val="00A00BF1"/>
    <w:rsid w:val="00A016C6"/>
    <w:rsid w:val="00A01715"/>
    <w:rsid w:val="00A01B73"/>
    <w:rsid w:val="00A103DD"/>
    <w:rsid w:val="00A30B8F"/>
    <w:rsid w:val="00A33997"/>
    <w:rsid w:val="00A33A3A"/>
    <w:rsid w:val="00A44B3A"/>
    <w:rsid w:val="00A501F1"/>
    <w:rsid w:val="00A51896"/>
    <w:rsid w:val="00A60A4E"/>
    <w:rsid w:val="00A619E3"/>
    <w:rsid w:val="00A6258C"/>
    <w:rsid w:val="00A63351"/>
    <w:rsid w:val="00A63615"/>
    <w:rsid w:val="00A67D03"/>
    <w:rsid w:val="00A70B33"/>
    <w:rsid w:val="00A74641"/>
    <w:rsid w:val="00A87535"/>
    <w:rsid w:val="00A90181"/>
    <w:rsid w:val="00A93688"/>
    <w:rsid w:val="00AB5556"/>
    <w:rsid w:val="00AB5730"/>
    <w:rsid w:val="00AC3E29"/>
    <w:rsid w:val="00AC5C84"/>
    <w:rsid w:val="00AD09DB"/>
    <w:rsid w:val="00AD0D99"/>
    <w:rsid w:val="00AD1CE7"/>
    <w:rsid w:val="00AD7A0B"/>
    <w:rsid w:val="00AF4D38"/>
    <w:rsid w:val="00AF74B6"/>
    <w:rsid w:val="00B01A81"/>
    <w:rsid w:val="00B048F0"/>
    <w:rsid w:val="00B05D83"/>
    <w:rsid w:val="00B06FBE"/>
    <w:rsid w:val="00B13794"/>
    <w:rsid w:val="00B13A0E"/>
    <w:rsid w:val="00B14A8A"/>
    <w:rsid w:val="00B16D43"/>
    <w:rsid w:val="00B22AA3"/>
    <w:rsid w:val="00B25401"/>
    <w:rsid w:val="00B27069"/>
    <w:rsid w:val="00B329E7"/>
    <w:rsid w:val="00B4235D"/>
    <w:rsid w:val="00B55F17"/>
    <w:rsid w:val="00B61134"/>
    <w:rsid w:val="00B747CA"/>
    <w:rsid w:val="00B74B6F"/>
    <w:rsid w:val="00B7594B"/>
    <w:rsid w:val="00B809A0"/>
    <w:rsid w:val="00B810A7"/>
    <w:rsid w:val="00B84B3A"/>
    <w:rsid w:val="00B94D60"/>
    <w:rsid w:val="00B9537C"/>
    <w:rsid w:val="00B96572"/>
    <w:rsid w:val="00BB742C"/>
    <w:rsid w:val="00BC41EA"/>
    <w:rsid w:val="00BD14A7"/>
    <w:rsid w:val="00BF0412"/>
    <w:rsid w:val="00BF0C69"/>
    <w:rsid w:val="00BF2D6B"/>
    <w:rsid w:val="00BF3CDD"/>
    <w:rsid w:val="00C010E0"/>
    <w:rsid w:val="00C026B8"/>
    <w:rsid w:val="00C0475A"/>
    <w:rsid w:val="00C07ABE"/>
    <w:rsid w:val="00C276E5"/>
    <w:rsid w:val="00C323CA"/>
    <w:rsid w:val="00C36EA8"/>
    <w:rsid w:val="00C4017D"/>
    <w:rsid w:val="00C4055F"/>
    <w:rsid w:val="00C42094"/>
    <w:rsid w:val="00C45143"/>
    <w:rsid w:val="00C53A52"/>
    <w:rsid w:val="00C57C3D"/>
    <w:rsid w:val="00C625A1"/>
    <w:rsid w:val="00C74897"/>
    <w:rsid w:val="00C84489"/>
    <w:rsid w:val="00C8597F"/>
    <w:rsid w:val="00C87911"/>
    <w:rsid w:val="00CA074D"/>
    <w:rsid w:val="00CA192F"/>
    <w:rsid w:val="00CB3B8E"/>
    <w:rsid w:val="00CB7653"/>
    <w:rsid w:val="00CB7C8D"/>
    <w:rsid w:val="00CC0FCD"/>
    <w:rsid w:val="00CE651B"/>
    <w:rsid w:val="00CF35DF"/>
    <w:rsid w:val="00CF56A8"/>
    <w:rsid w:val="00D03597"/>
    <w:rsid w:val="00D104BF"/>
    <w:rsid w:val="00D11015"/>
    <w:rsid w:val="00D164BA"/>
    <w:rsid w:val="00D1686A"/>
    <w:rsid w:val="00D2305E"/>
    <w:rsid w:val="00D241ED"/>
    <w:rsid w:val="00D345DF"/>
    <w:rsid w:val="00D4139E"/>
    <w:rsid w:val="00D4343B"/>
    <w:rsid w:val="00D4580A"/>
    <w:rsid w:val="00D46A68"/>
    <w:rsid w:val="00D50A46"/>
    <w:rsid w:val="00D624DB"/>
    <w:rsid w:val="00D6752F"/>
    <w:rsid w:val="00D8094C"/>
    <w:rsid w:val="00D8523D"/>
    <w:rsid w:val="00D86BC3"/>
    <w:rsid w:val="00D9284C"/>
    <w:rsid w:val="00DA61E6"/>
    <w:rsid w:val="00DB38AC"/>
    <w:rsid w:val="00DC0E10"/>
    <w:rsid w:val="00DC5626"/>
    <w:rsid w:val="00DC7078"/>
    <w:rsid w:val="00DD1DBB"/>
    <w:rsid w:val="00DE4C7F"/>
    <w:rsid w:val="00DE66CD"/>
    <w:rsid w:val="00DF4761"/>
    <w:rsid w:val="00DF6B1D"/>
    <w:rsid w:val="00DF762E"/>
    <w:rsid w:val="00E108E5"/>
    <w:rsid w:val="00E110C5"/>
    <w:rsid w:val="00E13AFC"/>
    <w:rsid w:val="00E1737E"/>
    <w:rsid w:val="00E21F2A"/>
    <w:rsid w:val="00E279F8"/>
    <w:rsid w:val="00E27B27"/>
    <w:rsid w:val="00E30E3D"/>
    <w:rsid w:val="00E333F4"/>
    <w:rsid w:val="00E41597"/>
    <w:rsid w:val="00E42550"/>
    <w:rsid w:val="00E42717"/>
    <w:rsid w:val="00E607C1"/>
    <w:rsid w:val="00E62613"/>
    <w:rsid w:val="00E62AA5"/>
    <w:rsid w:val="00E646D7"/>
    <w:rsid w:val="00E6628B"/>
    <w:rsid w:val="00E72423"/>
    <w:rsid w:val="00E7452B"/>
    <w:rsid w:val="00E774BC"/>
    <w:rsid w:val="00E855E9"/>
    <w:rsid w:val="00E87D0E"/>
    <w:rsid w:val="00E9007A"/>
    <w:rsid w:val="00E952A9"/>
    <w:rsid w:val="00EA00DB"/>
    <w:rsid w:val="00EB5036"/>
    <w:rsid w:val="00EC2469"/>
    <w:rsid w:val="00EC2A7D"/>
    <w:rsid w:val="00ED3AD2"/>
    <w:rsid w:val="00EE6D20"/>
    <w:rsid w:val="00EE7C2E"/>
    <w:rsid w:val="00EF7865"/>
    <w:rsid w:val="00EF790E"/>
    <w:rsid w:val="00F03BDA"/>
    <w:rsid w:val="00F04D3B"/>
    <w:rsid w:val="00F056A6"/>
    <w:rsid w:val="00F12900"/>
    <w:rsid w:val="00F32E94"/>
    <w:rsid w:val="00F4024A"/>
    <w:rsid w:val="00F40D0E"/>
    <w:rsid w:val="00F52ADD"/>
    <w:rsid w:val="00F54D68"/>
    <w:rsid w:val="00F55B81"/>
    <w:rsid w:val="00F57D8E"/>
    <w:rsid w:val="00F7795A"/>
    <w:rsid w:val="00F80B03"/>
    <w:rsid w:val="00F8102D"/>
    <w:rsid w:val="00F8388A"/>
    <w:rsid w:val="00F90EDE"/>
    <w:rsid w:val="00F91D6C"/>
    <w:rsid w:val="00F946D5"/>
    <w:rsid w:val="00FA0149"/>
    <w:rsid w:val="00FB372D"/>
    <w:rsid w:val="00FB6ECB"/>
    <w:rsid w:val="00FC17E7"/>
    <w:rsid w:val="00FD3A14"/>
    <w:rsid w:val="00FD6723"/>
    <w:rsid w:val="00FE0402"/>
    <w:rsid w:val="00FE1D87"/>
    <w:rsid w:val="00FE3266"/>
    <w:rsid w:val="00FE3941"/>
    <w:rsid w:val="00FE6343"/>
    <w:rsid w:val="00FE6831"/>
    <w:rsid w:val="00FF6520"/>
    <w:rsid w:val="02DB0986"/>
    <w:rsid w:val="02E426CD"/>
    <w:rsid w:val="02E815F7"/>
    <w:rsid w:val="03449F7A"/>
    <w:rsid w:val="0351028E"/>
    <w:rsid w:val="038EF6C2"/>
    <w:rsid w:val="039AA0A1"/>
    <w:rsid w:val="03EA5647"/>
    <w:rsid w:val="04022F9A"/>
    <w:rsid w:val="0450CE9D"/>
    <w:rsid w:val="0533E14C"/>
    <w:rsid w:val="056C27EC"/>
    <w:rsid w:val="05913F23"/>
    <w:rsid w:val="0622466F"/>
    <w:rsid w:val="0637BC10"/>
    <w:rsid w:val="06C69784"/>
    <w:rsid w:val="06D2C396"/>
    <w:rsid w:val="07CC375E"/>
    <w:rsid w:val="0800BE57"/>
    <w:rsid w:val="0823BB38"/>
    <w:rsid w:val="084F2DE0"/>
    <w:rsid w:val="098F58DB"/>
    <w:rsid w:val="09DAB4B7"/>
    <w:rsid w:val="09FFDA06"/>
    <w:rsid w:val="0A06950B"/>
    <w:rsid w:val="0A0D2B55"/>
    <w:rsid w:val="0A2B01A5"/>
    <w:rsid w:val="0A364E40"/>
    <w:rsid w:val="0A4D4A23"/>
    <w:rsid w:val="0AAAD32F"/>
    <w:rsid w:val="0B92D81E"/>
    <w:rsid w:val="0C02A2E2"/>
    <w:rsid w:val="0C75127C"/>
    <w:rsid w:val="0D2A45DA"/>
    <w:rsid w:val="0D2C08AB"/>
    <w:rsid w:val="0DDAC9F5"/>
    <w:rsid w:val="0DE29697"/>
    <w:rsid w:val="0E2F1544"/>
    <w:rsid w:val="0F3F739D"/>
    <w:rsid w:val="0F5A98DE"/>
    <w:rsid w:val="0FC5A391"/>
    <w:rsid w:val="10442D36"/>
    <w:rsid w:val="104FC979"/>
    <w:rsid w:val="108CCC0E"/>
    <w:rsid w:val="109E12B4"/>
    <w:rsid w:val="10BCEBA8"/>
    <w:rsid w:val="10DB875C"/>
    <w:rsid w:val="114F2D3D"/>
    <w:rsid w:val="1153BE3F"/>
    <w:rsid w:val="119B68D3"/>
    <w:rsid w:val="1203B933"/>
    <w:rsid w:val="12A50EFB"/>
    <w:rsid w:val="12EF8EA0"/>
    <w:rsid w:val="130FF807"/>
    <w:rsid w:val="13F3061C"/>
    <w:rsid w:val="148B5F01"/>
    <w:rsid w:val="15217A5D"/>
    <w:rsid w:val="15873BCE"/>
    <w:rsid w:val="15A98528"/>
    <w:rsid w:val="15CCB37D"/>
    <w:rsid w:val="16182A32"/>
    <w:rsid w:val="16603914"/>
    <w:rsid w:val="1726D042"/>
    <w:rsid w:val="17E66785"/>
    <w:rsid w:val="18450C67"/>
    <w:rsid w:val="1915E8B9"/>
    <w:rsid w:val="19532645"/>
    <w:rsid w:val="19651F8E"/>
    <w:rsid w:val="197FD8DC"/>
    <w:rsid w:val="1A09ABAC"/>
    <w:rsid w:val="1A5294A5"/>
    <w:rsid w:val="1AF58119"/>
    <w:rsid w:val="1B472B42"/>
    <w:rsid w:val="1BA6ECB1"/>
    <w:rsid w:val="1C605CFF"/>
    <w:rsid w:val="1C760EE1"/>
    <w:rsid w:val="1CCAD060"/>
    <w:rsid w:val="1DACF098"/>
    <w:rsid w:val="1E3A2ECD"/>
    <w:rsid w:val="1EA4FB61"/>
    <w:rsid w:val="1EAD89F9"/>
    <w:rsid w:val="1EC95054"/>
    <w:rsid w:val="1F522064"/>
    <w:rsid w:val="20027122"/>
    <w:rsid w:val="218B0189"/>
    <w:rsid w:val="21B4631C"/>
    <w:rsid w:val="225424DA"/>
    <w:rsid w:val="22ABB5BB"/>
    <w:rsid w:val="22B12025"/>
    <w:rsid w:val="23863666"/>
    <w:rsid w:val="23976595"/>
    <w:rsid w:val="249EF315"/>
    <w:rsid w:val="24F1A96B"/>
    <w:rsid w:val="25BA9A68"/>
    <w:rsid w:val="25E330EA"/>
    <w:rsid w:val="268D5631"/>
    <w:rsid w:val="26BB6308"/>
    <w:rsid w:val="271E36EF"/>
    <w:rsid w:val="28C0B117"/>
    <w:rsid w:val="2903716D"/>
    <w:rsid w:val="298E127D"/>
    <w:rsid w:val="2A9A7962"/>
    <w:rsid w:val="2AE29DEE"/>
    <w:rsid w:val="2AF11D12"/>
    <w:rsid w:val="2B12813F"/>
    <w:rsid w:val="2C5111FF"/>
    <w:rsid w:val="2CD470DB"/>
    <w:rsid w:val="2D91946F"/>
    <w:rsid w:val="2DAD6495"/>
    <w:rsid w:val="2DE22521"/>
    <w:rsid w:val="2E1A3EB0"/>
    <w:rsid w:val="2E717217"/>
    <w:rsid w:val="2E8C2D10"/>
    <w:rsid w:val="2F2D206E"/>
    <w:rsid w:val="303711D8"/>
    <w:rsid w:val="3065CCFB"/>
    <w:rsid w:val="30C50310"/>
    <w:rsid w:val="311BD38A"/>
    <w:rsid w:val="31558FDE"/>
    <w:rsid w:val="3162295C"/>
    <w:rsid w:val="317EBF37"/>
    <w:rsid w:val="321020C4"/>
    <w:rsid w:val="32BE4D86"/>
    <w:rsid w:val="32C682BC"/>
    <w:rsid w:val="33678BB9"/>
    <w:rsid w:val="342F7A7C"/>
    <w:rsid w:val="3461ABEA"/>
    <w:rsid w:val="34AC9EC6"/>
    <w:rsid w:val="34E0B39B"/>
    <w:rsid w:val="34EAD12A"/>
    <w:rsid w:val="3582D754"/>
    <w:rsid w:val="359A2EB1"/>
    <w:rsid w:val="36369240"/>
    <w:rsid w:val="365B647C"/>
    <w:rsid w:val="370C70E6"/>
    <w:rsid w:val="3774EA2A"/>
    <w:rsid w:val="37CF0750"/>
    <w:rsid w:val="37D262A1"/>
    <w:rsid w:val="38D1EB60"/>
    <w:rsid w:val="38E0247A"/>
    <w:rsid w:val="3A632298"/>
    <w:rsid w:val="3A6400A6"/>
    <w:rsid w:val="3B5EC511"/>
    <w:rsid w:val="3D3257F0"/>
    <w:rsid w:val="3D4330CE"/>
    <w:rsid w:val="3D45C477"/>
    <w:rsid w:val="3D9D5310"/>
    <w:rsid w:val="3E2AA608"/>
    <w:rsid w:val="3E53C012"/>
    <w:rsid w:val="3E64EEB4"/>
    <w:rsid w:val="3F257260"/>
    <w:rsid w:val="3FAC5C77"/>
    <w:rsid w:val="4000BF15"/>
    <w:rsid w:val="40A470FD"/>
    <w:rsid w:val="4117CC97"/>
    <w:rsid w:val="415FC27B"/>
    <w:rsid w:val="419E1723"/>
    <w:rsid w:val="41B4389C"/>
    <w:rsid w:val="432FA22F"/>
    <w:rsid w:val="439ECF03"/>
    <w:rsid w:val="45005787"/>
    <w:rsid w:val="45AA5890"/>
    <w:rsid w:val="45BA2674"/>
    <w:rsid w:val="4659034B"/>
    <w:rsid w:val="46F79339"/>
    <w:rsid w:val="471A4CA8"/>
    <w:rsid w:val="474CFD19"/>
    <w:rsid w:val="478ACE2C"/>
    <w:rsid w:val="47F2A89D"/>
    <w:rsid w:val="48340547"/>
    <w:rsid w:val="484A462A"/>
    <w:rsid w:val="486DC9C1"/>
    <w:rsid w:val="48CECAE0"/>
    <w:rsid w:val="4903B0F6"/>
    <w:rsid w:val="491BE1A8"/>
    <w:rsid w:val="49258DCA"/>
    <w:rsid w:val="49A04912"/>
    <w:rsid w:val="4A0A4F7C"/>
    <w:rsid w:val="4A1CCCBA"/>
    <w:rsid w:val="4A944FB0"/>
    <w:rsid w:val="4AE41401"/>
    <w:rsid w:val="4C473CF7"/>
    <w:rsid w:val="4C4A8C11"/>
    <w:rsid w:val="4C53F379"/>
    <w:rsid w:val="4CFCB0EA"/>
    <w:rsid w:val="4D1989FA"/>
    <w:rsid w:val="4D6F12C0"/>
    <w:rsid w:val="4D9336D3"/>
    <w:rsid w:val="4DCE4397"/>
    <w:rsid w:val="4EE19EDD"/>
    <w:rsid w:val="4FD11BCE"/>
    <w:rsid w:val="5090F55A"/>
    <w:rsid w:val="50C04FC4"/>
    <w:rsid w:val="50F17D75"/>
    <w:rsid w:val="51A1C90D"/>
    <w:rsid w:val="51C437DD"/>
    <w:rsid w:val="522A3647"/>
    <w:rsid w:val="528E112F"/>
    <w:rsid w:val="53504EA0"/>
    <w:rsid w:val="5355D8B4"/>
    <w:rsid w:val="53697019"/>
    <w:rsid w:val="536A0D86"/>
    <w:rsid w:val="53EED198"/>
    <w:rsid w:val="54291E37"/>
    <w:rsid w:val="547F968E"/>
    <w:rsid w:val="54EBF70C"/>
    <w:rsid w:val="55573B58"/>
    <w:rsid w:val="555F31B4"/>
    <w:rsid w:val="56885A0A"/>
    <w:rsid w:val="569BF16F"/>
    <w:rsid w:val="56B0C405"/>
    <w:rsid w:val="56B73D41"/>
    <w:rsid w:val="56BDB398"/>
    <w:rsid w:val="573DA5E9"/>
    <w:rsid w:val="5742CB4A"/>
    <w:rsid w:val="57C12EAB"/>
    <w:rsid w:val="57CB60DF"/>
    <w:rsid w:val="57F38F8C"/>
    <w:rsid w:val="584E1C13"/>
    <w:rsid w:val="589A8F73"/>
    <w:rsid w:val="58A29456"/>
    <w:rsid w:val="58FE1707"/>
    <w:rsid w:val="59AC8A4E"/>
    <w:rsid w:val="5A7A402B"/>
    <w:rsid w:val="5A985FBB"/>
    <w:rsid w:val="5AD01E1F"/>
    <w:rsid w:val="5B49E3F6"/>
    <w:rsid w:val="5BAB516C"/>
    <w:rsid w:val="5BB9959F"/>
    <w:rsid w:val="5BF056FA"/>
    <w:rsid w:val="5C35B7C9"/>
    <w:rsid w:val="5C7A6DD4"/>
    <w:rsid w:val="5CC76AF4"/>
    <w:rsid w:val="5CC93D46"/>
    <w:rsid w:val="5D3A83DC"/>
    <w:rsid w:val="5D8D2DA0"/>
    <w:rsid w:val="5DF1DD64"/>
    <w:rsid w:val="5E760ED9"/>
    <w:rsid w:val="5E9E8B3B"/>
    <w:rsid w:val="5F5BCFE0"/>
    <w:rsid w:val="5F9654E5"/>
    <w:rsid w:val="6000DE08"/>
    <w:rsid w:val="6042D3B5"/>
    <w:rsid w:val="60B18A5F"/>
    <w:rsid w:val="610CFDC5"/>
    <w:rsid w:val="61E7C384"/>
    <w:rsid w:val="63169F99"/>
    <w:rsid w:val="637EC6D1"/>
    <w:rsid w:val="63A11A40"/>
    <w:rsid w:val="63BDD231"/>
    <w:rsid w:val="63BF3895"/>
    <w:rsid w:val="640C3364"/>
    <w:rsid w:val="64DEA256"/>
    <w:rsid w:val="65EC7EB8"/>
    <w:rsid w:val="66098342"/>
    <w:rsid w:val="66496F14"/>
    <w:rsid w:val="6713D196"/>
    <w:rsid w:val="67543A44"/>
    <w:rsid w:val="6763EEB8"/>
    <w:rsid w:val="67909426"/>
    <w:rsid w:val="6834BD3D"/>
    <w:rsid w:val="684316DE"/>
    <w:rsid w:val="689D577D"/>
    <w:rsid w:val="68C63E0C"/>
    <w:rsid w:val="6966A0A1"/>
    <w:rsid w:val="6A0EB6BC"/>
    <w:rsid w:val="6AE2985A"/>
    <w:rsid w:val="6B30A919"/>
    <w:rsid w:val="6C077007"/>
    <w:rsid w:val="6C12732F"/>
    <w:rsid w:val="6C240236"/>
    <w:rsid w:val="6C888F72"/>
    <w:rsid w:val="6CA9085D"/>
    <w:rsid w:val="6D5BE414"/>
    <w:rsid w:val="6DD3E167"/>
    <w:rsid w:val="6E3A2F9F"/>
    <w:rsid w:val="6E4C9D18"/>
    <w:rsid w:val="6E5480F9"/>
    <w:rsid w:val="6FB6097D"/>
    <w:rsid w:val="6FD728FD"/>
    <w:rsid w:val="705FD3DB"/>
    <w:rsid w:val="7178BA44"/>
    <w:rsid w:val="7187D787"/>
    <w:rsid w:val="71E27E2F"/>
    <w:rsid w:val="7256D7A8"/>
    <w:rsid w:val="73201746"/>
    <w:rsid w:val="73B4AD70"/>
    <w:rsid w:val="73B6D72D"/>
    <w:rsid w:val="74027F83"/>
    <w:rsid w:val="744322EB"/>
    <w:rsid w:val="744DDBC4"/>
    <w:rsid w:val="746DDCA9"/>
    <w:rsid w:val="74BE5B4B"/>
    <w:rsid w:val="74D765CC"/>
    <w:rsid w:val="751B2DCB"/>
    <w:rsid w:val="755AFED1"/>
    <w:rsid w:val="759D2C38"/>
    <w:rsid w:val="75A61CCF"/>
    <w:rsid w:val="75D91581"/>
    <w:rsid w:val="75DBA537"/>
    <w:rsid w:val="773D035A"/>
    <w:rsid w:val="77588127"/>
    <w:rsid w:val="7760DDEC"/>
    <w:rsid w:val="7775A055"/>
    <w:rsid w:val="779E72E3"/>
    <w:rsid w:val="77C59C0D"/>
    <w:rsid w:val="77CC296C"/>
    <w:rsid w:val="77EA89F0"/>
    <w:rsid w:val="780F068E"/>
    <w:rsid w:val="7833E82B"/>
    <w:rsid w:val="78D24B74"/>
    <w:rsid w:val="78D5FDD5"/>
    <w:rsid w:val="79070178"/>
    <w:rsid w:val="794BB0EC"/>
    <w:rsid w:val="7A13CFE7"/>
    <w:rsid w:val="7A2E0637"/>
    <w:rsid w:val="7AB6B115"/>
    <w:rsid w:val="7ADE6AE8"/>
    <w:rsid w:val="7C3F89AF"/>
    <w:rsid w:val="7C9B9296"/>
    <w:rsid w:val="7D472EEA"/>
    <w:rsid w:val="7D550EA5"/>
    <w:rsid w:val="7DBA848C"/>
    <w:rsid w:val="7DE18D18"/>
    <w:rsid w:val="7EDC70FB"/>
    <w:rsid w:val="7EEB4A19"/>
    <w:rsid w:val="7F02E938"/>
    <w:rsid w:val="7F0B94E9"/>
    <w:rsid w:val="7FB30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E1B5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4A00"/>
    <w:rPr>
      <w:sz w:val="24"/>
    </w:rPr>
  </w:style>
  <w:style w:type="paragraph" w:styleId="Heading2">
    <w:name w:val="heading 2"/>
    <w:basedOn w:val="Normal"/>
    <w:next w:val="Normal"/>
    <w:link w:val="Heading2Char"/>
    <w:uiPriority w:val="99"/>
    <w:qFormat/>
    <w:rsid w:val="005A4A00"/>
    <w:pPr>
      <w:keepNext/>
      <w:spacing w:before="240" w:after="240"/>
      <w:ind w:left="720" w:hanging="720"/>
      <w:outlineLvl w:val="1"/>
    </w:pPr>
    <w:rPr>
      <w:rFonts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A4A00"/>
    <w:rPr>
      <w:rFonts w:cs="Arial"/>
      <w:b/>
      <w:bCs/>
      <w:iCs/>
      <w:sz w:val="24"/>
      <w:szCs w:val="28"/>
    </w:rPr>
  </w:style>
  <w:style w:type="paragraph" w:styleId="Footer">
    <w:name w:val="footer"/>
    <w:basedOn w:val="Normal"/>
    <w:link w:val="FooterChar"/>
    <w:rsid w:val="005A4A00"/>
    <w:pPr>
      <w:tabs>
        <w:tab w:val="center" w:pos="4320"/>
        <w:tab w:val="right" w:pos="8640"/>
      </w:tabs>
    </w:pPr>
  </w:style>
  <w:style w:type="character" w:customStyle="1" w:styleId="FooterChar">
    <w:name w:val="Footer Char"/>
    <w:basedOn w:val="DefaultParagraphFont"/>
    <w:link w:val="Footer"/>
    <w:rsid w:val="005A4A00"/>
    <w:rPr>
      <w:sz w:val="24"/>
    </w:rPr>
  </w:style>
  <w:style w:type="paragraph" w:customStyle="1" w:styleId="Level1">
    <w:name w:val="Level 1"/>
    <w:basedOn w:val="Normal"/>
    <w:rsid w:val="005A4A00"/>
    <w:pPr>
      <w:widowControl w:val="0"/>
    </w:pPr>
  </w:style>
  <w:style w:type="character" w:customStyle="1" w:styleId="DefaultPara">
    <w:name w:val="Default Para"/>
    <w:rsid w:val="005A4A00"/>
  </w:style>
  <w:style w:type="character" w:customStyle="1" w:styleId="footnoteref">
    <w:name w:val="footnote ref"/>
    <w:rsid w:val="005A4A00"/>
  </w:style>
  <w:style w:type="paragraph" w:customStyle="1" w:styleId="Footer1">
    <w:name w:val="Footer1"/>
    <w:basedOn w:val="Normal"/>
    <w:rsid w:val="005A4A00"/>
    <w:pPr>
      <w:widowControl w:val="0"/>
      <w:tabs>
        <w:tab w:val="left" w:pos="0"/>
        <w:tab w:val="center" w:pos="4320"/>
        <w:tab w:val="right" w:pos="8640"/>
        <w:tab w:val="left" w:pos="9360"/>
      </w:tabs>
    </w:pPr>
  </w:style>
  <w:style w:type="character" w:customStyle="1" w:styleId="PageNumber1">
    <w:name w:val="Page Number1"/>
    <w:rsid w:val="005A4A00"/>
    <w:rPr>
      <w:sz w:val="24"/>
    </w:rPr>
  </w:style>
  <w:style w:type="character" w:customStyle="1" w:styleId="C2CtrSglS">
    <w:name w:val="C2Ctr Sgl S"/>
    <w:rsid w:val="005A4A00"/>
  </w:style>
  <w:style w:type="character" w:customStyle="1" w:styleId="SLFlLftSg">
    <w:name w:val="SLFl Lft Sg"/>
    <w:rsid w:val="005A4A00"/>
  </w:style>
  <w:style w:type="paragraph" w:customStyle="1" w:styleId="a">
    <w:name w:val="_"/>
    <w:basedOn w:val="Normal"/>
    <w:rsid w:val="005A4A0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customStyle="1" w:styleId="Quick1">
    <w:name w:val="Quick 1."/>
    <w:basedOn w:val="Normal"/>
    <w:rsid w:val="005A4A0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character" w:customStyle="1" w:styleId="1">
    <w:name w:val="1"/>
    <w:rsid w:val="005A4A00"/>
    <w:rPr>
      <w:sz w:val="24"/>
    </w:rPr>
  </w:style>
  <w:style w:type="paragraph" w:customStyle="1" w:styleId="Header1">
    <w:name w:val="Header1"/>
    <w:basedOn w:val="Normal"/>
    <w:rsid w:val="005A4A00"/>
    <w:pPr>
      <w:widowControl w:val="0"/>
      <w:tabs>
        <w:tab w:val="left" w:pos="0"/>
        <w:tab w:val="center" w:pos="4320"/>
        <w:tab w:val="right" w:pos="8640"/>
        <w:tab w:val="left" w:pos="9360"/>
      </w:tabs>
    </w:pPr>
  </w:style>
  <w:style w:type="paragraph" w:customStyle="1" w:styleId="1AutoList40">
    <w:name w:val="1AutoList40"/>
    <w:basedOn w:val="Normal"/>
    <w:rsid w:val="005A4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style>
  <w:style w:type="character" w:styleId="PageNumber">
    <w:name w:val="page number"/>
    <w:basedOn w:val="DefaultParagraphFont"/>
    <w:rsid w:val="005A4A00"/>
  </w:style>
  <w:style w:type="paragraph" w:styleId="NormalWeb">
    <w:name w:val="Normal (Web)"/>
    <w:basedOn w:val="Normal"/>
    <w:rsid w:val="005A4A00"/>
    <w:pPr>
      <w:spacing w:before="100" w:beforeAutospacing="1" w:after="100" w:afterAutospacing="1"/>
    </w:pPr>
    <w:rPr>
      <w:szCs w:val="24"/>
    </w:rPr>
  </w:style>
  <w:style w:type="paragraph" w:styleId="BodyTextIndent3">
    <w:name w:val="Body Text Indent 3"/>
    <w:basedOn w:val="Normal"/>
    <w:link w:val="BodyTextIndent3Char"/>
    <w:rsid w:val="005A4A00"/>
    <w:pPr>
      <w:spacing w:after="120"/>
      <w:ind w:left="360"/>
    </w:pPr>
    <w:rPr>
      <w:sz w:val="16"/>
      <w:szCs w:val="16"/>
    </w:rPr>
  </w:style>
  <w:style w:type="character" w:customStyle="1" w:styleId="BodyTextIndent3Char">
    <w:name w:val="Body Text Indent 3 Char"/>
    <w:basedOn w:val="DefaultParagraphFont"/>
    <w:link w:val="BodyTextIndent3"/>
    <w:rsid w:val="005A4A00"/>
    <w:rPr>
      <w:sz w:val="16"/>
      <w:szCs w:val="16"/>
    </w:rPr>
  </w:style>
  <w:style w:type="paragraph" w:styleId="FootnoteText">
    <w:name w:val="footnote text"/>
    <w:basedOn w:val="Normal"/>
    <w:link w:val="FootnoteTextChar"/>
    <w:rsid w:val="005A4A00"/>
    <w:rPr>
      <w:sz w:val="20"/>
    </w:rPr>
  </w:style>
  <w:style w:type="character" w:customStyle="1" w:styleId="FootnoteTextChar">
    <w:name w:val="Footnote Text Char"/>
    <w:basedOn w:val="DefaultParagraphFont"/>
    <w:link w:val="FootnoteText"/>
    <w:rsid w:val="005A4A00"/>
  </w:style>
  <w:style w:type="table" w:styleId="TableGrid">
    <w:name w:val="Table Grid"/>
    <w:basedOn w:val="TableNormal"/>
    <w:uiPriority w:val="39"/>
    <w:rsid w:val="005A4A0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A4A00"/>
    <w:pPr>
      <w:tabs>
        <w:tab w:val="center" w:pos="4320"/>
        <w:tab w:val="right" w:pos="8640"/>
      </w:tabs>
    </w:pPr>
  </w:style>
  <w:style w:type="character" w:customStyle="1" w:styleId="HeaderChar">
    <w:name w:val="Header Char"/>
    <w:basedOn w:val="DefaultParagraphFont"/>
    <w:link w:val="Header"/>
    <w:rsid w:val="005A4A00"/>
    <w:rPr>
      <w:sz w:val="24"/>
    </w:rPr>
  </w:style>
  <w:style w:type="paragraph" w:styleId="BodyText">
    <w:name w:val="Body Text"/>
    <w:basedOn w:val="Normal"/>
    <w:link w:val="BodyTextChar"/>
    <w:rsid w:val="005A4A00"/>
    <w:pPr>
      <w:spacing w:after="120"/>
    </w:pPr>
  </w:style>
  <w:style w:type="character" w:customStyle="1" w:styleId="BodyTextChar">
    <w:name w:val="Body Text Char"/>
    <w:basedOn w:val="DefaultParagraphFont"/>
    <w:link w:val="BodyText"/>
    <w:rsid w:val="005A4A00"/>
    <w:rPr>
      <w:sz w:val="24"/>
    </w:rPr>
  </w:style>
  <w:style w:type="paragraph" w:styleId="BalloonText">
    <w:name w:val="Balloon Text"/>
    <w:basedOn w:val="Normal"/>
    <w:link w:val="BalloonTextChar"/>
    <w:rsid w:val="005A4A00"/>
    <w:rPr>
      <w:rFonts w:ascii="Tahoma" w:hAnsi="Tahoma" w:cs="Tahoma"/>
      <w:sz w:val="16"/>
      <w:szCs w:val="16"/>
    </w:rPr>
  </w:style>
  <w:style w:type="character" w:customStyle="1" w:styleId="BalloonTextChar">
    <w:name w:val="Balloon Text Char"/>
    <w:basedOn w:val="DefaultParagraphFont"/>
    <w:link w:val="BalloonText"/>
    <w:rsid w:val="005A4A00"/>
    <w:rPr>
      <w:rFonts w:ascii="Tahoma" w:hAnsi="Tahoma" w:cs="Tahoma"/>
      <w:sz w:val="16"/>
      <w:szCs w:val="16"/>
    </w:rPr>
  </w:style>
  <w:style w:type="character" w:styleId="CommentReference">
    <w:name w:val="annotation reference"/>
    <w:basedOn w:val="DefaultParagraphFont"/>
    <w:uiPriority w:val="99"/>
    <w:rsid w:val="005A4A00"/>
    <w:rPr>
      <w:sz w:val="16"/>
      <w:szCs w:val="16"/>
    </w:rPr>
  </w:style>
  <w:style w:type="paragraph" w:styleId="CommentText">
    <w:name w:val="annotation text"/>
    <w:basedOn w:val="Normal"/>
    <w:link w:val="CommentTextChar"/>
    <w:uiPriority w:val="99"/>
    <w:rsid w:val="005A4A00"/>
    <w:rPr>
      <w:sz w:val="20"/>
    </w:rPr>
  </w:style>
  <w:style w:type="character" w:customStyle="1" w:styleId="CommentTextChar">
    <w:name w:val="Comment Text Char"/>
    <w:basedOn w:val="DefaultParagraphFont"/>
    <w:link w:val="CommentText"/>
    <w:uiPriority w:val="99"/>
    <w:rsid w:val="005A4A00"/>
  </w:style>
  <w:style w:type="paragraph" w:styleId="CommentSubject">
    <w:name w:val="annotation subject"/>
    <w:basedOn w:val="CommentText"/>
    <w:next w:val="CommentText"/>
    <w:link w:val="CommentSubjectChar"/>
    <w:rsid w:val="005A4A00"/>
    <w:rPr>
      <w:b/>
      <w:bCs/>
    </w:rPr>
  </w:style>
  <w:style w:type="character" w:customStyle="1" w:styleId="CommentSubjectChar">
    <w:name w:val="Comment Subject Char"/>
    <w:basedOn w:val="CommentTextChar"/>
    <w:link w:val="CommentSubject"/>
    <w:rsid w:val="005A4A00"/>
    <w:rPr>
      <w:b/>
      <w:bCs/>
    </w:rPr>
  </w:style>
  <w:style w:type="paragraph" w:styleId="ListParagraph">
    <w:name w:val="List Paragraph"/>
    <w:basedOn w:val="Normal"/>
    <w:uiPriority w:val="34"/>
    <w:qFormat/>
    <w:rsid w:val="005A4A00"/>
    <w:pPr>
      <w:ind w:left="720"/>
      <w:contextualSpacing/>
    </w:pPr>
  </w:style>
  <w:style w:type="character" w:styleId="Hyperlink">
    <w:name w:val="Hyperlink"/>
    <w:basedOn w:val="DefaultParagraphFont"/>
    <w:uiPriority w:val="99"/>
    <w:unhideWhenUsed/>
    <w:rsid w:val="00937C82"/>
    <w:rPr>
      <w:color w:val="0000FF"/>
      <w:u w:val="single"/>
    </w:rPr>
  </w:style>
  <w:style w:type="paragraph" w:styleId="Revision">
    <w:name w:val="Revision"/>
    <w:hidden/>
    <w:uiPriority w:val="99"/>
    <w:semiHidden/>
    <w:rsid w:val="009F5E27"/>
    <w:rPr>
      <w:sz w:val="24"/>
    </w:rPr>
  </w:style>
  <w:style w:type="paragraph" w:styleId="NoSpacing">
    <w:name w:val="No Spacing"/>
    <w:uiPriority w:val="1"/>
    <w:qFormat/>
    <w:rsid w:val="002C7CBF"/>
    <w:rPr>
      <w:rFonts w:asciiTheme="minorHAnsi" w:eastAsiaTheme="minorHAnsi" w:hAnsiTheme="minorHAnsi" w:cstheme="minorBidi"/>
      <w:sz w:val="22"/>
      <w:szCs w:val="22"/>
    </w:rPr>
  </w:style>
  <w:style w:type="character" w:styleId="FootnoteReference">
    <w:name w:val="footnote reference"/>
    <w:basedOn w:val="DefaultParagraphFont"/>
    <w:semiHidden/>
    <w:unhideWhenUsed/>
    <w:rsid w:val="002E450A"/>
    <w:rPr>
      <w:vertAlign w:val="superscript"/>
    </w:rPr>
  </w:style>
  <w:style w:type="paragraph" w:customStyle="1" w:styleId="QuestionNumbered">
    <w:name w:val="Question Numbered"/>
    <w:basedOn w:val="Normal"/>
    <w:qFormat/>
    <w:rsid w:val="005B4F5B"/>
    <w:pPr>
      <w:keepNext/>
      <w:keepLines/>
      <w:numPr>
        <w:numId w:val="28"/>
      </w:numPr>
      <w:spacing w:before="240" w:after="240"/>
    </w:pPr>
    <w:rPr>
      <w:b/>
      <w:sz w:val="22"/>
      <w:szCs w:val="22"/>
    </w:rPr>
  </w:style>
  <w:style w:type="paragraph" w:customStyle="1" w:styleId="Response">
    <w:name w:val="Response"/>
    <w:basedOn w:val="Normal"/>
    <w:qFormat/>
    <w:rsid w:val="005B4F5B"/>
    <w:pPr>
      <w:tabs>
        <w:tab w:val="left" w:pos="1080"/>
        <w:tab w:val="left" w:pos="2160"/>
        <w:tab w:val="right" w:leader="underscore" w:pos="10800"/>
      </w:tabs>
      <w:ind w:left="1080" w:hanging="360"/>
    </w:pPr>
    <w:rPr>
      <w:sz w:val="22"/>
      <w:szCs w:val="22"/>
    </w:rPr>
  </w:style>
  <w:style w:type="paragraph" w:customStyle="1" w:styleId="QuestionIndent">
    <w:name w:val="QuestionIndent"/>
    <w:basedOn w:val="QuestionNumbered"/>
    <w:qFormat/>
    <w:rsid w:val="005B4F5B"/>
    <w:pPr>
      <w:numPr>
        <w:numId w:val="0"/>
      </w:numPr>
      <w:spacing w:before="480"/>
      <w:ind w:left="1440" w:hanging="720"/>
    </w:pPr>
  </w:style>
  <w:style w:type="table" w:customStyle="1" w:styleId="TableGrid1">
    <w:name w:val="Table Grid1"/>
    <w:basedOn w:val="TableNormal"/>
    <w:next w:val="TableGrid"/>
    <w:uiPriority w:val="39"/>
    <w:rsid w:val="0044321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15213"/>
    <w:rPr>
      <w:color w:val="605E5C"/>
      <w:shd w:val="clear" w:color="auto" w:fill="E1DFDD"/>
    </w:rPr>
  </w:style>
  <w:style w:type="character" w:styleId="FollowedHyperlink">
    <w:name w:val="FollowedHyperlink"/>
    <w:basedOn w:val="DefaultParagraphFont"/>
    <w:semiHidden/>
    <w:unhideWhenUsed/>
    <w:rsid w:val="00F57D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09993">
      <w:bodyDiv w:val="1"/>
      <w:marLeft w:val="0"/>
      <w:marRight w:val="0"/>
      <w:marTop w:val="0"/>
      <w:marBottom w:val="0"/>
      <w:divBdr>
        <w:top w:val="none" w:sz="0" w:space="0" w:color="auto"/>
        <w:left w:val="none" w:sz="0" w:space="0" w:color="auto"/>
        <w:bottom w:val="none" w:sz="0" w:space="0" w:color="auto"/>
        <w:right w:val="none" w:sz="0" w:space="0" w:color="auto"/>
      </w:divBdr>
    </w:div>
    <w:div w:id="64912198">
      <w:bodyDiv w:val="1"/>
      <w:marLeft w:val="0"/>
      <w:marRight w:val="0"/>
      <w:marTop w:val="0"/>
      <w:marBottom w:val="0"/>
      <w:divBdr>
        <w:top w:val="none" w:sz="0" w:space="0" w:color="auto"/>
        <w:left w:val="none" w:sz="0" w:space="0" w:color="auto"/>
        <w:bottom w:val="none" w:sz="0" w:space="0" w:color="auto"/>
        <w:right w:val="none" w:sz="0" w:space="0" w:color="auto"/>
      </w:divBdr>
    </w:div>
    <w:div w:id="124087861">
      <w:bodyDiv w:val="1"/>
      <w:marLeft w:val="0"/>
      <w:marRight w:val="0"/>
      <w:marTop w:val="0"/>
      <w:marBottom w:val="0"/>
      <w:divBdr>
        <w:top w:val="none" w:sz="0" w:space="0" w:color="auto"/>
        <w:left w:val="none" w:sz="0" w:space="0" w:color="auto"/>
        <w:bottom w:val="none" w:sz="0" w:space="0" w:color="auto"/>
        <w:right w:val="none" w:sz="0" w:space="0" w:color="auto"/>
      </w:divBdr>
    </w:div>
    <w:div w:id="223293865">
      <w:bodyDiv w:val="1"/>
      <w:marLeft w:val="0"/>
      <w:marRight w:val="0"/>
      <w:marTop w:val="0"/>
      <w:marBottom w:val="0"/>
      <w:divBdr>
        <w:top w:val="none" w:sz="0" w:space="0" w:color="auto"/>
        <w:left w:val="none" w:sz="0" w:space="0" w:color="auto"/>
        <w:bottom w:val="none" w:sz="0" w:space="0" w:color="auto"/>
        <w:right w:val="none" w:sz="0" w:space="0" w:color="auto"/>
      </w:divBdr>
    </w:div>
    <w:div w:id="316954641">
      <w:bodyDiv w:val="1"/>
      <w:marLeft w:val="0"/>
      <w:marRight w:val="0"/>
      <w:marTop w:val="0"/>
      <w:marBottom w:val="0"/>
      <w:divBdr>
        <w:top w:val="none" w:sz="0" w:space="0" w:color="auto"/>
        <w:left w:val="none" w:sz="0" w:space="0" w:color="auto"/>
        <w:bottom w:val="none" w:sz="0" w:space="0" w:color="auto"/>
        <w:right w:val="none" w:sz="0" w:space="0" w:color="auto"/>
      </w:divBdr>
    </w:div>
    <w:div w:id="493492054">
      <w:bodyDiv w:val="1"/>
      <w:marLeft w:val="0"/>
      <w:marRight w:val="0"/>
      <w:marTop w:val="0"/>
      <w:marBottom w:val="0"/>
      <w:divBdr>
        <w:top w:val="none" w:sz="0" w:space="0" w:color="auto"/>
        <w:left w:val="none" w:sz="0" w:space="0" w:color="auto"/>
        <w:bottom w:val="none" w:sz="0" w:space="0" w:color="auto"/>
        <w:right w:val="none" w:sz="0" w:space="0" w:color="auto"/>
      </w:divBdr>
    </w:div>
    <w:div w:id="502548214">
      <w:bodyDiv w:val="1"/>
      <w:marLeft w:val="0"/>
      <w:marRight w:val="0"/>
      <w:marTop w:val="0"/>
      <w:marBottom w:val="0"/>
      <w:divBdr>
        <w:top w:val="none" w:sz="0" w:space="0" w:color="auto"/>
        <w:left w:val="none" w:sz="0" w:space="0" w:color="auto"/>
        <w:bottom w:val="none" w:sz="0" w:space="0" w:color="auto"/>
        <w:right w:val="none" w:sz="0" w:space="0" w:color="auto"/>
      </w:divBdr>
    </w:div>
    <w:div w:id="709383608">
      <w:bodyDiv w:val="1"/>
      <w:marLeft w:val="0"/>
      <w:marRight w:val="0"/>
      <w:marTop w:val="0"/>
      <w:marBottom w:val="0"/>
      <w:divBdr>
        <w:top w:val="none" w:sz="0" w:space="0" w:color="auto"/>
        <w:left w:val="none" w:sz="0" w:space="0" w:color="auto"/>
        <w:bottom w:val="none" w:sz="0" w:space="0" w:color="auto"/>
        <w:right w:val="none" w:sz="0" w:space="0" w:color="auto"/>
      </w:divBdr>
    </w:div>
    <w:div w:id="788665461">
      <w:bodyDiv w:val="1"/>
      <w:marLeft w:val="0"/>
      <w:marRight w:val="0"/>
      <w:marTop w:val="0"/>
      <w:marBottom w:val="0"/>
      <w:divBdr>
        <w:top w:val="none" w:sz="0" w:space="0" w:color="auto"/>
        <w:left w:val="none" w:sz="0" w:space="0" w:color="auto"/>
        <w:bottom w:val="none" w:sz="0" w:space="0" w:color="auto"/>
        <w:right w:val="none" w:sz="0" w:space="0" w:color="auto"/>
      </w:divBdr>
    </w:div>
    <w:div w:id="870386134">
      <w:bodyDiv w:val="1"/>
      <w:marLeft w:val="0"/>
      <w:marRight w:val="0"/>
      <w:marTop w:val="0"/>
      <w:marBottom w:val="0"/>
      <w:divBdr>
        <w:top w:val="none" w:sz="0" w:space="0" w:color="auto"/>
        <w:left w:val="none" w:sz="0" w:space="0" w:color="auto"/>
        <w:bottom w:val="none" w:sz="0" w:space="0" w:color="auto"/>
        <w:right w:val="none" w:sz="0" w:space="0" w:color="auto"/>
      </w:divBdr>
    </w:div>
    <w:div w:id="910310204">
      <w:bodyDiv w:val="1"/>
      <w:marLeft w:val="0"/>
      <w:marRight w:val="0"/>
      <w:marTop w:val="0"/>
      <w:marBottom w:val="0"/>
      <w:divBdr>
        <w:top w:val="none" w:sz="0" w:space="0" w:color="auto"/>
        <w:left w:val="none" w:sz="0" w:space="0" w:color="auto"/>
        <w:bottom w:val="none" w:sz="0" w:space="0" w:color="auto"/>
        <w:right w:val="none" w:sz="0" w:space="0" w:color="auto"/>
      </w:divBdr>
    </w:div>
    <w:div w:id="1393432812">
      <w:bodyDiv w:val="1"/>
      <w:marLeft w:val="0"/>
      <w:marRight w:val="0"/>
      <w:marTop w:val="0"/>
      <w:marBottom w:val="0"/>
      <w:divBdr>
        <w:top w:val="none" w:sz="0" w:space="0" w:color="auto"/>
        <w:left w:val="none" w:sz="0" w:space="0" w:color="auto"/>
        <w:bottom w:val="none" w:sz="0" w:space="0" w:color="auto"/>
        <w:right w:val="none" w:sz="0" w:space="0" w:color="auto"/>
      </w:divBdr>
    </w:div>
    <w:div w:id="1465541374">
      <w:bodyDiv w:val="1"/>
      <w:marLeft w:val="0"/>
      <w:marRight w:val="0"/>
      <w:marTop w:val="0"/>
      <w:marBottom w:val="0"/>
      <w:divBdr>
        <w:top w:val="none" w:sz="0" w:space="0" w:color="auto"/>
        <w:left w:val="none" w:sz="0" w:space="0" w:color="auto"/>
        <w:bottom w:val="none" w:sz="0" w:space="0" w:color="auto"/>
        <w:right w:val="none" w:sz="0" w:space="0" w:color="auto"/>
      </w:divBdr>
    </w:div>
    <w:div w:id="1628507394">
      <w:bodyDiv w:val="1"/>
      <w:marLeft w:val="0"/>
      <w:marRight w:val="0"/>
      <w:marTop w:val="0"/>
      <w:marBottom w:val="0"/>
      <w:divBdr>
        <w:top w:val="none" w:sz="0" w:space="0" w:color="auto"/>
        <w:left w:val="none" w:sz="0" w:space="0" w:color="auto"/>
        <w:bottom w:val="none" w:sz="0" w:space="0" w:color="auto"/>
        <w:right w:val="none" w:sz="0" w:space="0" w:color="auto"/>
      </w:divBdr>
    </w:div>
    <w:div w:id="198111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gao.gov/assets/gao-21-9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39878A7DC3234E8458710E85AF48B5" ma:contentTypeVersion="8" ma:contentTypeDescription="Create a new document." ma:contentTypeScope="" ma:versionID="2d96a904900e6f8b7d3377e4ecfee194">
  <xsd:schema xmlns:xsd="http://www.w3.org/2001/XMLSchema" xmlns:xs="http://www.w3.org/2001/XMLSchema" xmlns:p="http://schemas.microsoft.com/office/2006/metadata/properties" xmlns:ns1="http://schemas.microsoft.com/sharepoint/v3" xmlns:ns3="ab34640c-b230-4aea-83bd-19c0811e10f6" targetNamespace="http://schemas.microsoft.com/office/2006/metadata/properties" ma:root="true" ma:fieldsID="e877f8ce3ec98ee035708ccfab6c3158" ns1:_="" ns3:_="">
    <xsd:import namespace="http://schemas.microsoft.com/sharepoint/v3"/>
    <xsd:import namespace="ab34640c-b230-4aea-83bd-19c0811e10f6"/>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34640c-b230-4aea-83bd-19c0811e10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867DCB-2591-4C52-835B-E0C2AE29A6A9}">
  <ds:schemaRefs>
    <ds:schemaRef ds:uri="http://schemas.openxmlformats.org/officeDocument/2006/bibliography"/>
  </ds:schemaRefs>
</ds:datastoreItem>
</file>

<file path=customXml/itemProps2.xml><?xml version="1.0" encoding="utf-8"?>
<ds:datastoreItem xmlns:ds="http://schemas.openxmlformats.org/officeDocument/2006/customXml" ds:itemID="{14D118BE-1882-4089-9E79-7BABF9B1740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441440D-7AA7-4E0B-962D-58E900781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34640c-b230-4aea-83bd-19c0811e10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954CC0-EF4B-4A6D-B6A7-EA8ADA8BEA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2609</Words>
  <Characters>15554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2021-10-08T15:19:00Z</dcterms:created>
  <dcterms:modified xsi:type="dcterms:W3CDTF">2021-10-08T15:30:00Z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0x010100F739878A7DC3234E8458710E85AF48B5</vt:lpwstr>
  </property>
</Properties>
</file>