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E0DD5" w:rsidR="00870D59" w:rsidP="00F4099F" w:rsidRDefault="00870D59" w14:paraId="171D990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r w:rsidRPr="003E0DD5">
        <w:rPr>
          <w:b/>
          <w:bCs/>
          <w:sz w:val="24"/>
          <w:u w:val="single"/>
        </w:rPr>
        <w:t>Supporting Statement – Part A</w:t>
      </w:r>
    </w:p>
    <w:p w:rsidRPr="003E0DD5" w:rsidR="001B6C31" w:rsidP="7001B425" w:rsidRDefault="7001B425" w14:paraId="658441FC" w14:textId="5D6A142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b/>
          <w:bCs/>
          <w:sz w:val="24"/>
          <w:u w:val="single"/>
        </w:rPr>
      </w:pPr>
      <w:r w:rsidRPr="7001B425">
        <w:rPr>
          <w:b/>
          <w:bCs/>
          <w:sz w:val="24"/>
          <w:u w:val="single"/>
        </w:rPr>
        <w:t>Non-Quantitative Treatment Limitation Analyses and Compliance Under MHPAEA</w:t>
      </w:r>
    </w:p>
    <w:p w:rsidRPr="003E0DD5" w:rsidR="008F1EB4" w:rsidP="00F4099F" w:rsidRDefault="001B6C31" w14:paraId="1DE45357" w14:textId="4C129ABE">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b/>
          <w:sz w:val="24"/>
        </w:rPr>
      </w:pPr>
      <w:r w:rsidRPr="003E0DD5">
        <w:rPr>
          <w:b/>
          <w:sz w:val="24"/>
        </w:rPr>
        <w:t>(</w:t>
      </w:r>
      <w:r w:rsidRPr="003E0DD5" w:rsidR="00EE62E5">
        <w:rPr>
          <w:b/>
          <w:sz w:val="24"/>
        </w:rPr>
        <w:t>CMS-</w:t>
      </w:r>
      <w:r w:rsidR="00996D79">
        <w:rPr>
          <w:b/>
          <w:sz w:val="24"/>
        </w:rPr>
        <w:t>10773</w:t>
      </w:r>
      <w:r w:rsidRPr="003E0DD5" w:rsidR="00EE62E5">
        <w:rPr>
          <w:b/>
          <w:sz w:val="24"/>
        </w:rPr>
        <w:t>/</w:t>
      </w:r>
      <w:r w:rsidRPr="003E0DD5">
        <w:rPr>
          <w:b/>
          <w:sz w:val="24"/>
        </w:rPr>
        <w:t xml:space="preserve">OMB </w:t>
      </w:r>
      <w:r w:rsidR="00F438D5">
        <w:rPr>
          <w:b/>
          <w:sz w:val="24"/>
        </w:rPr>
        <w:t>c</w:t>
      </w:r>
      <w:r w:rsidRPr="003E0DD5" w:rsidR="00F438D5">
        <w:rPr>
          <w:b/>
          <w:sz w:val="24"/>
        </w:rPr>
        <w:t xml:space="preserve">ontrol </w:t>
      </w:r>
      <w:r w:rsidR="00F438D5">
        <w:rPr>
          <w:b/>
          <w:sz w:val="24"/>
        </w:rPr>
        <w:t>number</w:t>
      </w:r>
      <w:r w:rsidRPr="003E0DD5">
        <w:rPr>
          <w:b/>
          <w:sz w:val="24"/>
        </w:rPr>
        <w:t xml:space="preserve"> 0938-</w:t>
      </w:r>
      <w:r w:rsidR="00B025A5">
        <w:rPr>
          <w:b/>
          <w:sz w:val="24"/>
        </w:rPr>
        <w:t>1393</w:t>
      </w:r>
      <w:r w:rsidRPr="003E0DD5">
        <w:rPr>
          <w:b/>
          <w:sz w:val="24"/>
        </w:rPr>
        <w:t>)</w:t>
      </w:r>
    </w:p>
    <w:p w:rsidRPr="003E0DD5" w:rsidR="00A80FD9" w:rsidP="00F4099F" w:rsidRDefault="00A80FD9" w14:paraId="3D963932" w14:textId="77777777">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after="19"/>
        <w:jc w:val="center"/>
        <w:rPr>
          <w:sz w:val="24"/>
        </w:rPr>
      </w:pPr>
    </w:p>
    <w:p w:rsidRPr="003E0DD5" w:rsidR="008F1EB4" w:rsidP="00F4099F" w:rsidRDefault="008F1EB4" w14:paraId="471D0B0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0DD5">
        <w:rPr>
          <w:b/>
          <w:bCs/>
          <w:sz w:val="24"/>
          <w:u w:val="single"/>
        </w:rPr>
        <w:t>A.</w:t>
      </w:r>
      <w:r w:rsidRPr="003E0DD5">
        <w:rPr>
          <w:b/>
          <w:bCs/>
          <w:sz w:val="24"/>
        </w:rPr>
        <w:tab/>
      </w:r>
      <w:r w:rsidRPr="003E0DD5">
        <w:rPr>
          <w:b/>
          <w:bCs/>
          <w:sz w:val="24"/>
          <w:u w:val="single"/>
        </w:rPr>
        <w:t>Background</w:t>
      </w:r>
    </w:p>
    <w:p w:rsidRPr="003E0DD5" w:rsidR="008F1EB4" w:rsidP="00F4099F" w:rsidRDefault="008F1EB4" w14:paraId="403DF4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45588A" w:rsidR="00685C2F" w:rsidP="4033089F" w:rsidRDefault="2FE1309F" w14:paraId="23D5BE81" w14:textId="368205CA">
      <w:pPr>
        <w:ind w:left="360"/>
        <w:rPr>
          <w:sz w:val="24"/>
        </w:rPr>
      </w:pPr>
      <w:r w:rsidRPr="2FE1309F">
        <w:rPr>
          <w:sz w:val="24"/>
        </w:rPr>
        <w:t xml:space="preserve">Enacted on October 3, 2008, the Paul Wellstone and Pete Domenici Mental Health Parity and Addiction Equity Act of 2008 (MHPAEA), Public Law 110-343, amended the Employee Retirement Income Security Act of 1974 (ERISA), the Public Health Service Act (PHS Act), and the Internal Revenue Code of 1986 (Code). MHPAEA expanded existing parity requirements between medical and surgical benefits and mental health benefits and also extended parity requirements to substance use disorder benefits. The law generally requires that group health plans and group health insurance issuers offering both medical/surgical and mental health or substance use disorder (MH/SUD) benefits do not apply more restrictive financial requirements (e.g., co-pays, deductibles) and/or treatment limitations </w:t>
      </w:r>
      <w:r w:rsidRPr="004B3BA6">
        <w:rPr>
          <w:sz w:val="24"/>
        </w:rPr>
        <w:t>(e.g., visit limits</w:t>
      </w:r>
      <w:r w:rsidR="009415D4">
        <w:rPr>
          <w:sz w:val="24"/>
        </w:rPr>
        <w:t>, prior authorizatio</w:t>
      </w:r>
      <w:r w:rsidRPr="004B3BA6" w:rsidR="009415D4">
        <w:rPr>
          <w:rStyle w:val="CommentReference"/>
          <w:sz w:val="24"/>
          <w:szCs w:val="24"/>
        </w:rPr>
        <w:t>n</w:t>
      </w:r>
      <w:r w:rsidRPr="004B3BA6">
        <w:rPr>
          <w:sz w:val="24"/>
        </w:rPr>
        <w:t>)</w:t>
      </w:r>
      <w:r w:rsidRPr="2FE1309F">
        <w:rPr>
          <w:sz w:val="24"/>
        </w:rPr>
        <w:t xml:space="preserve"> to MH/SUD benefits than those requirements and/or limitations applied to substantially all medical/surgical benefits.  </w:t>
      </w:r>
    </w:p>
    <w:p w:rsidR="00685C2F" w:rsidP="00F4099F" w:rsidRDefault="00685C2F" w14:paraId="59FA1F59" w14:textId="5A5674A8">
      <w:pPr>
        <w:rPr>
          <w:bCs/>
          <w:sz w:val="24"/>
        </w:rPr>
      </w:pPr>
    </w:p>
    <w:p w:rsidRPr="003E0DD5" w:rsidR="00BA5A9B" w:rsidP="2FE1309F" w:rsidRDefault="00BA5A9B" w14:paraId="01B5F369" w14:textId="7C10D0A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2FE1309F">
        <w:rPr>
          <w:sz w:val="24"/>
        </w:rPr>
        <w:t xml:space="preserve">The Patient Protection and Affordable Care Act, Pub. L. 111-148, was enacted on March 23, 2010, and the Health Care and Education Reconciliation Act of 2010, Pub. L. 111-152, was enacted on March 30, 2010. These statutes are collectively known as the “Affordable Care Act.”  The Affordable Care Act reorganizes, amends, and adds to the provisions of part A of </w:t>
      </w:r>
      <w:r w:rsidRPr="004B3BA6" w:rsidR="00D90BFB">
        <w:rPr>
          <w:sz w:val="24"/>
        </w:rPr>
        <w:t>T</w:t>
      </w:r>
      <w:r w:rsidRPr="004B3BA6">
        <w:rPr>
          <w:sz w:val="24"/>
        </w:rPr>
        <w:t>itle</w:t>
      </w:r>
      <w:r w:rsidRPr="2FE1309F">
        <w:rPr>
          <w:sz w:val="24"/>
        </w:rPr>
        <w:t xml:space="preserve"> XXVII of the PHS Act relating to group health plans and health insurance issuers in the group and individual markets. The Affordable Care Act added section 715(a)(1) to ERISA and section 9815(a)(1) to the Code to incorporate the provisions of part A of </w:t>
      </w:r>
      <w:r w:rsidR="00D90BFB">
        <w:rPr>
          <w:sz w:val="24"/>
        </w:rPr>
        <w:t>T</w:t>
      </w:r>
      <w:r w:rsidRPr="2FE1309F">
        <w:rPr>
          <w:sz w:val="24"/>
        </w:rPr>
        <w:t xml:space="preserve">itle XXVII of the PHS Act into ERISA and the Code, and to make them applicable to group health plans and health insurance issuers providing health insurance coverage in connection with group health plans. The Affordable Care Act extended MHPAEA to apply to the individual health insurance market and </w:t>
      </w:r>
      <w:proofErr w:type="spellStart"/>
      <w:r w:rsidRPr="2FE1309F">
        <w:rPr>
          <w:sz w:val="24"/>
        </w:rPr>
        <w:t>redesignated</w:t>
      </w:r>
      <w:proofErr w:type="spellEnd"/>
      <w:r w:rsidRPr="2FE1309F">
        <w:rPr>
          <w:sz w:val="24"/>
        </w:rPr>
        <w:t xml:space="preserve"> MHPAEA as section 2726 of the PHS Act.</w:t>
      </w:r>
      <w:r w:rsidRPr="2FE1309F">
        <w:rPr>
          <w:rStyle w:val="FootnoteReference"/>
          <w:sz w:val="24"/>
          <w:vertAlign w:val="superscript"/>
        </w:rPr>
        <w:footnoteReference w:id="1"/>
      </w:r>
      <w:r w:rsidRPr="2FE1309F">
        <w:rPr>
          <w:sz w:val="24"/>
        </w:rPr>
        <w:t xml:space="preserve"> Additionally, section 1311(j) of the Affordable Care Act applies section 2726 of the PHS Act to qualified health plans (QHPs) in the same manner and to the same extent as such section applies to health insurance issuers and groups health plans. Additionally, the Department of Health and Human Services (HHS) final regulation regarding essential health benefits (EHB) requires health insurance issuers offering non-grandfathered health insurance coverage in the individual and small group markets, through an Exchange or outside of an Exchange, to comply with the requirements of the MHPAEA regulations in order to satisfy the requirement to cover EHB.</w:t>
      </w:r>
      <w:r w:rsidRPr="2FE1309F">
        <w:rPr>
          <w:sz w:val="24"/>
          <w:vertAlign w:val="superscript"/>
        </w:rPr>
        <w:footnoteReference w:id="2"/>
      </w:r>
    </w:p>
    <w:p w:rsidR="009740FF" w:rsidP="00F4099F" w:rsidRDefault="009740FF" w14:paraId="0034AC7E" w14:textId="77777777">
      <w:pPr>
        <w:widowControl/>
        <w:tabs>
          <w:tab w:val="left" w:pos="-1440"/>
        </w:tabs>
        <w:rPr>
          <w:bCs/>
          <w:sz w:val="24"/>
        </w:rPr>
      </w:pPr>
    </w:p>
    <w:p w:rsidR="00A32024" w:rsidP="0045588A" w:rsidRDefault="004119F3" w14:paraId="4E838BAE" w14:textId="4FBCA4D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4119F3">
        <w:rPr>
          <w:sz w:val="24"/>
        </w:rPr>
        <w:t xml:space="preserve">The MHPAEA final regulations require that a group health plan or health insurance issuer may not impose a non-quantitative treatment limitation (NQTL) with respect to MH/SUD </w:t>
      </w:r>
      <w:r w:rsidRPr="004119F3">
        <w:rPr>
          <w:sz w:val="24"/>
        </w:rPr>
        <w:lastRenderedPageBreak/>
        <w:t>benefits in any classification unless, under the terms of the plan (or health insurance coverage) as written and in operation, any processes, strategies, evidentiary standards, or other factors used in applying the NQTL to MH/SUD benefits in the classification are comparable to, and are applied no more stringently than, the processes, strategies, evidentiary standards, or other factors used in applying the limitation to medical/surgical benefits in the same classification.</w:t>
      </w:r>
      <w:r w:rsidRPr="004119F3">
        <w:rPr>
          <w:sz w:val="24"/>
          <w:vertAlign w:val="superscript"/>
        </w:rPr>
        <w:footnoteReference w:id="3"/>
      </w:r>
      <w:r w:rsidRPr="004119F3">
        <w:rPr>
          <w:sz w:val="24"/>
        </w:rPr>
        <w:t xml:space="preserve"> Under this analysis, the focus is not on whether the final result is the same for MH/SUD benefits as for medical/surgical benefits, but rather on whether the underlying processes, strategies, evidentiary standards, an</w:t>
      </w:r>
      <w:r w:rsidR="00095B16">
        <w:rPr>
          <w:sz w:val="24"/>
        </w:rPr>
        <w:t xml:space="preserve">d other factors are in parity. </w:t>
      </w:r>
      <w:r w:rsidRPr="004119F3">
        <w:rPr>
          <w:sz w:val="24"/>
        </w:rPr>
        <w:t xml:space="preserve">These processes, strategies, evidentiary standards, and other factors must be comparable and applied no more stringently for MH/SUD benefits than for </w:t>
      </w:r>
      <w:r w:rsidRPr="00995D00" w:rsidR="00995D00">
        <w:rPr>
          <w:sz w:val="24"/>
        </w:rPr>
        <w:t xml:space="preserve">medical/surgical </w:t>
      </w:r>
      <w:r w:rsidRPr="004119F3">
        <w:rPr>
          <w:sz w:val="24"/>
        </w:rPr>
        <w:t>benefits.</w:t>
      </w:r>
    </w:p>
    <w:p w:rsidR="004119F3" w:rsidP="00F4099F" w:rsidRDefault="004119F3" w14:paraId="2599ABA6" w14:textId="3B96AC7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10C8B" w:rsidP="0045588A" w:rsidRDefault="00310C8B" w14:paraId="61325944" w14:textId="28167D5E">
      <w:pPr>
        <w:ind w:left="360"/>
        <w:rPr>
          <w:sz w:val="24"/>
          <w:szCs w:val="20"/>
        </w:rPr>
      </w:pPr>
      <w:r w:rsidRPr="00310C8B">
        <w:rPr>
          <w:sz w:val="24"/>
          <w:szCs w:val="20"/>
        </w:rPr>
        <w:t xml:space="preserve">The </w:t>
      </w:r>
      <w:r w:rsidRPr="0045588A">
        <w:rPr>
          <w:sz w:val="24"/>
          <w:szCs w:val="20"/>
        </w:rPr>
        <w:t>Consolidated Appropriations Act</w:t>
      </w:r>
      <w:r w:rsidR="004F6771">
        <w:rPr>
          <w:sz w:val="24"/>
          <w:szCs w:val="20"/>
        </w:rPr>
        <w:t>,</w:t>
      </w:r>
      <w:r w:rsidRPr="0045588A">
        <w:rPr>
          <w:sz w:val="24"/>
          <w:szCs w:val="20"/>
        </w:rPr>
        <w:t xml:space="preserve"> 2021 (the Appropriations Act) </w:t>
      </w:r>
      <w:r w:rsidRPr="00310C8B">
        <w:rPr>
          <w:sz w:val="24"/>
          <w:szCs w:val="20"/>
        </w:rPr>
        <w:t>was enacted on December 27, 2020.</w:t>
      </w:r>
      <w:r w:rsidRPr="0058340C">
        <w:rPr>
          <w:sz w:val="24"/>
          <w:szCs w:val="20"/>
          <w:vertAlign w:val="superscript"/>
        </w:rPr>
        <w:footnoteReference w:id="4"/>
      </w:r>
      <w:r w:rsidR="00095B16">
        <w:rPr>
          <w:sz w:val="24"/>
          <w:szCs w:val="20"/>
        </w:rPr>
        <w:t xml:space="preserve"> </w:t>
      </w:r>
      <w:r w:rsidRPr="0045588A">
        <w:rPr>
          <w:sz w:val="24"/>
          <w:szCs w:val="20"/>
        </w:rPr>
        <w:t xml:space="preserve">The Appropriations Act amended MHPAEA to provide important new protections. </w:t>
      </w:r>
      <w:r w:rsidRPr="00B569BB" w:rsidR="00B569BB">
        <w:rPr>
          <w:sz w:val="24"/>
          <w:szCs w:val="20"/>
        </w:rPr>
        <w:t>The Departments of Labor (DOL), Health and Human Services (HHS), and the Treasury (collectively, “the Departments”) have jointly prepared</w:t>
      </w:r>
      <w:r w:rsidR="003B78B1">
        <w:rPr>
          <w:sz w:val="24"/>
          <w:szCs w:val="20"/>
        </w:rPr>
        <w:t xml:space="preserve"> </w:t>
      </w:r>
      <w:r w:rsidR="00B569BB">
        <w:rPr>
          <w:sz w:val="24"/>
          <w:szCs w:val="20"/>
        </w:rPr>
        <w:t>a</w:t>
      </w:r>
      <w:r w:rsidRPr="00B569BB" w:rsidR="00B569BB">
        <w:rPr>
          <w:sz w:val="24"/>
          <w:szCs w:val="20"/>
        </w:rPr>
        <w:t xml:space="preserve"> </w:t>
      </w:r>
      <w:r w:rsidR="003B78B1">
        <w:rPr>
          <w:sz w:val="24"/>
          <w:szCs w:val="20"/>
        </w:rPr>
        <w:t xml:space="preserve">Frequently Ask Questions (FAQ) </w:t>
      </w:r>
      <w:r w:rsidRPr="00B569BB" w:rsidR="00B569BB">
        <w:rPr>
          <w:sz w:val="24"/>
          <w:szCs w:val="20"/>
        </w:rPr>
        <w:t>document to help stakeholders understand these amendments.</w:t>
      </w:r>
      <w:r w:rsidRPr="00A44C7F" w:rsidR="00B569BB">
        <w:rPr>
          <w:rStyle w:val="FootnoteReference"/>
          <w:sz w:val="24"/>
          <w:szCs w:val="20"/>
          <w:vertAlign w:val="superscript"/>
        </w:rPr>
        <w:footnoteReference w:id="5"/>
      </w:r>
    </w:p>
    <w:p w:rsidR="00A44C7F" w:rsidP="0045588A" w:rsidRDefault="00A44C7F" w14:paraId="675CEAA8" w14:textId="1D2F8233">
      <w:pPr>
        <w:ind w:left="360"/>
        <w:rPr>
          <w:sz w:val="24"/>
          <w:szCs w:val="20"/>
        </w:rPr>
      </w:pPr>
    </w:p>
    <w:p w:rsidRPr="00A44C7F" w:rsidR="00A44C7F" w:rsidP="35FE03E9" w:rsidRDefault="35FE03E9" w14:paraId="08DEBD94" w14:textId="479DDC83">
      <w:pPr>
        <w:ind w:left="360"/>
        <w:rPr>
          <w:sz w:val="24"/>
        </w:rPr>
      </w:pPr>
      <w:r w:rsidRPr="35FE03E9">
        <w:rPr>
          <w:sz w:val="24"/>
        </w:rPr>
        <w:t xml:space="preserve">Under the Appropriations Act, </w:t>
      </w:r>
      <w:r w:rsidRPr="009F5C1B" w:rsidR="009F5C1B">
        <w:rPr>
          <w:sz w:val="24"/>
        </w:rPr>
        <w:t>group health plans and health insurance issuers offering group or individual health insurance coverag</w:t>
      </w:r>
      <w:r w:rsidRPr="004B3BA6" w:rsidR="009F5C1B">
        <w:rPr>
          <w:sz w:val="24"/>
        </w:rPr>
        <w:t>e</w:t>
      </w:r>
      <w:r w:rsidRPr="004B3BA6" w:rsidDel="009F5C1B" w:rsidR="009F5C1B">
        <w:rPr>
          <w:sz w:val="24"/>
        </w:rPr>
        <w:t xml:space="preserve"> </w:t>
      </w:r>
      <w:r w:rsidRPr="35FE03E9">
        <w:rPr>
          <w:sz w:val="24"/>
        </w:rPr>
        <w:t xml:space="preserve">must now document and be prepared to submit their comparative analysis with respect to each NQTL imposed when requested by any of the Departments or applicable state authority. For an analysis to be treated as sufficient under the Appropriations Act, it must contain a detailed, written, and reasoned explanation of the specific plan terms and practices at issue, and include the bases for the plan’s or issuer’s conclusion that the NQTLs comply with MHPAEA. At a minimum, sufficient analyses must include a robust discussion of all of the following elements:   </w:t>
      </w:r>
    </w:p>
    <w:p w:rsidRPr="00A44C7F" w:rsidR="00A44C7F" w:rsidP="00A44C7F" w:rsidRDefault="00A44C7F" w14:paraId="61AF6B98" w14:textId="514E9912">
      <w:pPr>
        <w:pStyle w:val="ListParagraph"/>
        <w:numPr>
          <w:ilvl w:val="0"/>
          <w:numId w:val="7"/>
        </w:numPr>
        <w:rPr>
          <w:sz w:val="24"/>
          <w:szCs w:val="20"/>
        </w:rPr>
      </w:pPr>
      <w:r w:rsidRPr="00A44C7F">
        <w:rPr>
          <w:sz w:val="24"/>
          <w:szCs w:val="20"/>
        </w:rPr>
        <w:t>A clear description of the specific NQTL, plan terms, and policies at issue.</w:t>
      </w:r>
    </w:p>
    <w:p w:rsidRPr="00A44C7F" w:rsidR="00A44C7F" w:rsidP="00A44C7F" w:rsidRDefault="00A44C7F" w14:paraId="4C66BCB0" w14:textId="5D3E43C9">
      <w:pPr>
        <w:pStyle w:val="ListParagraph"/>
        <w:numPr>
          <w:ilvl w:val="0"/>
          <w:numId w:val="7"/>
        </w:numPr>
        <w:rPr>
          <w:sz w:val="24"/>
          <w:szCs w:val="20"/>
        </w:rPr>
      </w:pPr>
      <w:r w:rsidRPr="00A44C7F">
        <w:rPr>
          <w:sz w:val="24"/>
          <w:szCs w:val="20"/>
        </w:rPr>
        <w:t>Identification of the specific MH/SUD and medical/surgical benefits to which the NQTL applies within each benefit classification, and a clear statement as to which benefits identified are treated as MH/SUD and which are treated as medical/surgical.</w:t>
      </w:r>
    </w:p>
    <w:p w:rsidRPr="00A44C7F" w:rsidR="00A44C7F" w:rsidP="00A44C7F" w:rsidRDefault="00A44C7F" w14:paraId="646CF3EE" w14:textId="0F61215F">
      <w:pPr>
        <w:pStyle w:val="ListParagraph"/>
        <w:numPr>
          <w:ilvl w:val="0"/>
          <w:numId w:val="7"/>
        </w:numPr>
        <w:rPr>
          <w:sz w:val="24"/>
          <w:szCs w:val="20"/>
        </w:rPr>
      </w:pPr>
      <w:r w:rsidRPr="00A44C7F">
        <w:rPr>
          <w:sz w:val="24"/>
          <w:szCs w:val="20"/>
        </w:rPr>
        <w:t xml:space="preserve">Identification of any factors, evidentiary standards or sources, </w:t>
      </w:r>
      <w:r w:rsidR="006B69DE">
        <w:rPr>
          <w:sz w:val="24"/>
          <w:szCs w:val="20"/>
        </w:rPr>
        <w:t xml:space="preserve">or </w:t>
      </w:r>
      <w:r w:rsidRPr="00A44C7F">
        <w:rPr>
          <w:sz w:val="24"/>
          <w:szCs w:val="20"/>
        </w:rPr>
        <w:t xml:space="preserve">strategies or processes considered in the design or application of the NQTL and in determining which benefits, including both MH/SUD benefits and medical/surgical benefits, </w:t>
      </w:r>
      <w:r w:rsidR="006B69DE">
        <w:rPr>
          <w:sz w:val="24"/>
          <w:szCs w:val="20"/>
        </w:rPr>
        <w:t xml:space="preserve">are </w:t>
      </w:r>
      <w:r w:rsidRPr="00A44C7F">
        <w:rPr>
          <w:sz w:val="24"/>
          <w:szCs w:val="20"/>
        </w:rPr>
        <w:t xml:space="preserve">subject to the NQTL. Analyses should explain whether any factors were given more weight than others and the reason(s) for doing so, including </w:t>
      </w:r>
      <w:r w:rsidR="006B69DE">
        <w:rPr>
          <w:sz w:val="24"/>
          <w:szCs w:val="20"/>
        </w:rPr>
        <w:t xml:space="preserve">an </w:t>
      </w:r>
      <w:r w:rsidRPr="00A44C7F">
        <w:rPr>
          <w:sz w:val="24"/>
          <w:szCs w:val="20"/>
        </w:rPr>
        <w:t>evaluati</w:t>
      </w:r>
      <w:r w:rsidR="006B69DE">
        <w:rPr>
          <w:sz w:val="24"/>
          <w:szCs w:val="20"/>
        </w:rPr>
        <w:t xml:space="preserve">on of </w:t>
      </w:r>
      <w:r w:rsidRPr="00A44C7F">
        <w:rPr>
          <w:sz w:val="24"/>
          <w:szCs w:val="20"/>
        </w:rPr>
        <w:t>any specific data used in the determination.</w:t>
      </w:r>
    </w:p>
    <w:p w:rsidRPr="00A44C7F" w:rsidR="00A44C7F" w:rsidP="00A44C7F" w:rsidRDefault="00A44C7F" w14:paraId="45FFD21C" w14:textId="09C4F8A2">
      <w:pPr>
        <w:pStyle w:val="ListParagraph"/>
        <w:numPr>
          <w:ilvl w:val="0"/>
          <w:numId w:val="7"/>
        </w:numPr>
        <w:rPr>
          <w:sz w:val="24"/>
          <w:szCs w:val="20"/>
        </w:rPr>
      </w:pPr>
      <w:r w:rsidRPr="00A44C7F">
        <w:rPr>
          <w:sz w:val="24"/>
          <w:szCs w:val="20"/>
        </w:rPr>
        <w:t>To the extent the plan or issuer define</w:t>
      </w:r>
      <w:r w:rsidR="006B69DE">
        <w:rPr>
          <w:sz w:val="24"/>
          <w:szCs w:val="20"/>
        </w:rPr>
        <w:t>s</w:t>
      </w:r>
      <w:r w:rsidRPr="00A44C7F">
        <w:rPr>
          <w:sz w:val="24"/>
          <w:szCs w:val="20"/>
        </w:rPr>
        <w:t xml:space="preserve"> any of the factors, evidentiary standards, strategies, or processes in a quantitative manner, it must include the precise definitions used and any supporting sources.  </w:t>
      </w:r>
    </w:p>
    <w:p w:rsidRPr="00A44C7F" w:rsidR="00A44C7F" w:rsidP="00A44C7F" w:rsidRDefault="00C21977" w14:paraId="7957097C" w14:textId="57892817">
      <w:pPr>
        <w:pStyle w:val="ListParagraph"/>
        <w:numPr>
          <w:ilvl w:val="0"/>
          <w:numId w:val="7"/>
        </w:numPr>
        <w:rPr>
          <w:sz w:val="24"/>
          <w:szCs w:val="20"/>
        </w:rPr>
      </w:pPr>
      <w:r>
        <w:rPr>
          <w:sz w:val="24"/>
          <w:szCs w:val="20"/>
        </w:rPr>
        <w:t>The</w:t>
      </w:r>
      <w:r w:rsidRPr="00A44C7F">
        <w:rPr>
          <w:sz w:val="24"/>
          <w:szCs w:val="20"/>
        </w:rPr>
        <w:t xml:space="preserve"> </w:t>
      </w:r>
      <w:r w:rsidRPr="00A44C7F" w:rsidR="00A44C7F">
        <w:rPr>
          <w:sz w:val="24"/>
          <w:szCs w:val="20"/>
        </w:rPr>
        <w:t>analyses</w:t>
      </w:r>
      <w:r>
        <w:rPr>
          <w:sz w:val="24"/>
          <w:szCs w:val="20"/>
        </w:rPr>
        <w:t>, as documented,</w:t>
      </w:r>
      <w:r w:rsidRPr="00A44C7F" w:rsidR="00A44C7F">
        <w:rPr>
          <w:sz w:val="24"/>
          <w:szCs w:val="20"/>
        </w:rPr>
        <w:t xml:space="preserve"> should explain whether there is any variation in the application of a guideline or standard used by the plan or issuer between MH/SUD and medical/surgical benefits and, if so, describe the process and factors used for establishing that variation.</w:t>
      </w:r>
    </w:p>
    <w:p w:rsidRPr="00A44C7F" w:rsidR="00A44C7F" w:rsidP="00A44C7F" w:rsidRDefault="00A44C7F" w14:paraId="61360E1E" w14:textId="121AEAC1">
      <w:pPr>
        <w:pStyle w:val="ListParagraph"/>
        <w:numPr>
          <w:ilvl w:val="0"/>
          <w:numId w:val="7"/>
        </w:numPr>
        <w:rPr>
          <w:sz w:val="24"/>
          <w:szCs w:val="20"/>
        </w:rPr>
      </w:pPr>
      <w:r w:rsidRPr="00A44C7F">
        <w:rPr>
          <w:sz w:val="24"/>
          <w:szCs w:val="20"/>
        </w:rPr>
        <w:lastRenderedPageBreak/>
        <w:t>If the application of the NQTL turns on specific decisions in administration of the benefits, the plan or issuer should identify the nature of the decisions, the decision maker(s), the timing of the decisions, and the qualifications of the decision maker(s).</w:t>
      </w:r>
    </w:p>
    <w:p w:rsidRPr="00A44C7F" w:rsidR="00A44C7F" w:rsidP="00A44C7F" w:rsidRDefault="00A44C7F" w14:paraId="32472F15" w14:textId="4286DDFA">
      <w:pPr>
        <w:pStyle w:val="ListParagraph"/>
        <w:numPr>
          <w:ilvl w:val="0"/>
          <w:numId w:val="7"/>
        </w:numPr>
        <w:rPr>
          <w:sz w:val="24"/>
          <w:szCs w:val="20"/>
        </w:rPr>
      </w:pPr>
      <w:r w:rsidRPr="00A44C7F">
        <w:rPr>
          <w:sz w:val="24"/>
          <w:szCs w:val="20"/>
        </w:rPr>
        <w:t>If the plan</w:t>
      </w:r>
      <w:r w:rsidR="00C21977">
        <w:rPr>
          <w:sz w:val="24"/>
          <w:szCs w:val="20"/>
        </w:rPr>
        <w:t>’s</w:t>
      </w:r>
      <w:r w:rsidRPr="00A44C7F">
        <w:rPr>
          <w:sz w:val="24"/>
          <w:szCs w:val="20"/>
        </w:rPr>
        <w:t xml:space="preserve"> or issuer</w:t>
      </w:r>
      <w:r w:rsidR="00C21977">
        <w:rPr>
          <w:sz w:val="24"/>
          <w:szCs w:val="20"/>
        </w:rPr>
        <w:t>’s analyses rely upon</w:t>
      </w:r>
      <w:r w:rsidRPr="00A44C7F">
        <w:rPr>
          <w:sz w:val="24"/>
          <w:szCs w:val="20"/>
        </w:rPr>
        <w:t xml:space="preserve"> any experts, </w:t>
      </w:r>
      <w:r w:rsidR="00C21977">
        <w:rPr>
          <w:sz w:val="24"/>
          <w:szCs w:val="20"/>
        </w:rPr>
        <w:t xml:space="preserve">the analyses, as </w:t>
      </w:r>
      <w:r w:rsidRPr="00A44C7F">
        <w:rPr>
          <w:sz w:val="24"/>
          <w:szCs w:val="20"/>
        </w:rPr>
        <w:t>documented</w:t>
      </w:r>
      <w:r w:rsidR="00C21977">
        <w:rPr>
          <w:sz w:val="24"/>
          <w:szCs w:val="20"/>
        </w:rPr>
        <w:t>,</w:t>
      </w:r>
      <w:r w:rsidRPr="00A44C7F">
        <w:rPr>
          <w:sz w:val="24"/>
          <w:szCs w:val="20"/>
        </w:rPr>
        <w:t xml:space="preserve"> should include an assessment of </w:t>
      </w:r>
      <w:r w:rsidR="00C21977">
        <w:rPr>
          <w:sz w:val="24"/>
          <w:szCs w:val="20"/>
        </w:rPr>
        <w:t>each</w:t>
      </w:r>
      <w:r w:rsidRPr="00A44C7F" w:rsidR="00C21977">
        <w:rPr>
          <w:sz w:val="24"/>
          <w:szCs w:val="20"/>
        </w:rPr>
        <w:t xml:space="preserve"> </w:t>
      </w:r>
      <w:r w:rsidRPr="00A44C7F">
        <w:rPr>
          <w:sz w:val="24"/>
          <w:szCs w:val="20"/>
        </w:rPr>
        <w:t xml:space="preserve">expert’s qualifications and the extent to which the plan or issuer ultimately relied upon </w:t>
      </w:r>
      <w:r w:rsidR="00C21977">
        <w:rPr>
          <w:sz w:val="24"/>
          <w:szCs w:val="20"/>
        </w:rPr>
        <w:t>each</w:t>
      </w:r>
      <w:r w:rsidRPr="00A44C7F" w:rsidR="00C21977">
        <w:rPr>
          <w:sz w:val="24"/>
          <w:szCs w:val="20"/>
        </w:rPr>
        <w:t xml:space="preserve"> </w:t>
      </w:r>
      <w:r w:rsidRPr="00A44C7F">
        <w:rPr>
          <w:sz w:val="24"/>
          <w:szCs w:val="20"/>
        </w:rPr>
        <w:t>expert</w:t>
      </w:r>
      <w:r w:rsidR="00C21977">
        <w:rPr>
          <w:sz w:val="24"/>
          <w:szCs w:val="20"/>
        </w:rPr>
        <w:t>’s</w:t>
      </w:r>
      <w:r w:rsidRPr="00A44C7F">
        <w:rPr>
          <w:sz w:val="24"/>
          <w:szCs w:val="20"/>
        </w:rPr>
        <w:t xml:space="preserve"> evaluations in setting recommendations regarding both MH/SUD and medical/surgical benefits.</w:t>
      </w:r>
    </w:p>
    <w:p w:rsidRPr="00A44C7F" w:rsidR="00A44C7F" w:rsidP="00A44C7F" w:rsidRDefault="00A44C7F" w14:paraId="66542ECD" w14:textId="34A63787">
      <w:pPr>
        <w:pStyle w:val="ListParagraph"/>
        <w:numPr>
          <w:ilvl w:val="0"/>
          <w:numId w:val="7"/>
        </w:numPr>
        <w:rPr>
          <w:sz w:val="24"/>
          <w:szCs w:val="20"/>
        </w:rPr>
      </w:pPr>
      <w:r w:rsidRPr="00A44C7F">
        <w:rPr>
          <w:sz w:val="24"/>
          <w:szCs w:val="20"/>
        </w:rPr>
        <w:t xml:space="preserve">A reasoned discussion of the plan’s or issuer’s findings and conclusions as to the comparability of the processes, strategies, evidentiary standards, factors, and sources identified above within each affected classification, and their relative stringency, both as applied and </w:t>
      </w:r>
      <w:r w:rsidR="00C21977">
        <w:rPr>
          <w:sz w:val="24"/>
          <w:szCs w:val="20"/>
        </w:rPr>
        <w:t>as written</w:t>
      </w:r>
      <w:r w:rsidRPr="00A44C7F">
        <w:rPr>
          <w:sz w:val="24"/>
          <w:szCs w:val="20"/>
        </w:rPr>
        <w:t>. This discussion should include citations to any specific evidence considered and any results of analyses indicating that the plan or coverage is or is not in compliance with MHPAEA.</w:t>
      </w:r>
    </w:p>
    <w:p w:rsidRPr="00A44C7F" w:rsidR="00A44C7F" w:rsidP="00A44C7F" w:rsidRDefault="00A44C7F" w14:paraId="42A2923A" w14:textId="59972CE4">
      <w:pPr>
        <w:pStyle w:val="ListParagraph"/>
        <w:numPr>
          <w:ilvl w:val="0"/>
          <w:numId w:val="7"/>
        </w:numPr>
        <w:rPr>
          <w:sz w:val="24"/>
          <w:szCs w:val="20"/>
        </w:rPr>
      </w:pPr>
      <w:r w:rsidRPr="00A44C7F">
        <w:rPr>
          <w:sz w:val="24"/>
          <w:szCs w:val="20"/>
        </w:rPr>
        <w:t>The date of the analyses and the name, title, and position of the person or persons who performed or participated in the comparative analyses.</w:t>
      </w:r>
    </w:p>
    <w:p w:rsidR="005B7F5F" w:rsidP="005B7F5F" w:rsidRDefault="005B7F5F" w14:paraId="1380DFA6"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3E0DD5" w:rsidR="008F1EB4" w:rsidP="00F4099F" w:rsidRDefault="008F1EB4" w14:paraId="73FBCCF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0DD5">
        <w:rPr>
          <w:b/>
          <w:bCs/>
          <w:sz w:val="24"/>
          <w:u w:val="single"/>
        </w:rPr>
        <w:t>B.</w:t>
      </w:r>
      <w:r w:rsidRPr="003E0DD5">
        <w:rPr>
          <w:b/>
          <w:bCs/>
          <w:sz w:val="24"/>
        </w:rPr>
        <w:tab/>
      </w:r>
      <w:r w:rsidRPr="003E0DD5">
        <w:rPr>
          <w:b/>
          <w:bCs/>
          <w:sz w:val="24"/>
          <w:u w:val="single"/>
        </w:rPr>
        <w:t>Justification</w:t>
      </w:r>
    </w:p>
    <w:p w:rsidRPr="003E0DD5" w:rsidR="008F1EB4" w:rsidP="00F4099F" w:rsidRDefault="008F1EB4" w14:paraId="1DF2F66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8F1EB4" w14:paraId="0CE46D3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w:t>
      </w:r>
      <w:r w:rsidRPr="003E0DD5">
        <w:rPr>
          <w:sz w:val="24"/>
        </w:rPr>
        <w:tab/>
      </w:r>
      <w:r w:rsidRPr="003E0DD5">
        <w:rPr>
          <w:sz w:val="24"/>
          <w:u w:val="single"/>
        </w:rPr>
        <w:t>Need and Legal Basis</w:t>
      </w:r>
    </w:p>
    <w:p w:rsidRPr="003E0DD5" w:rsidR="008F1EB4" w:rsidP="00F4099F" w:rsidRDefault="008F1EB4" w14:paraId="323ECAF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10C8B" w:rsidR="00310C8B" w:rsidP="00D023A4" w:rsidRDefault="00310C8B" w14:paraId="519B06FE" w14:textId="58150A6A">
      <w:pPr>
        <w:ind w:left="360"/>
        <w:rPr>
          <w:sz w:val="24"/>
          <w:szCs w:val="20"/>
        </w:rPr>
      </w:pPr>
      <w:r w:rsidRPr="00310C8B">
        <w:rPr>
          <w:sz w:val="24"/>
          <w:szCs w:val="20"/>
        </w:rPr>
        <w:t xml:space="preserve">Section 203 of Title II of Division BB of the Appropriations Act amended MHPAEA, in part, by expressly requiring group health plans and health insurance issuers offering group or individual health insurance coverage that offer both medical/surgical benefits and MH/SUD benefits and that impose NQTLs on MH/SUD benefits to perform and document their comparative analyses of the design and application of NQTLs. Further, beginning 45 days after the date of enactment of the Appropriations Act, </w:t>
      </w:r>
      <w:r w:rsidR="009A13C6">
        <w:rPr>
          <w:sz w:val="24"/>
          <w:szCs w:val="20"/>
        </w:rPr>
        <w:t xml:space="preserve">these </w:t>
      </w:r>
      <w:r w:rsidRPr="00310C8B">
        <w:rPr>
          <w:sz w:val="24"/>
          <w:szCs w:val="20"/>
        </w:rPr>
        <w:t xml:space="preserve">plans and issuers must make their comparative analyses available to the Departments or applicable </w:t>
      </w:r>
      <w:r w:rsidR="00003CC0">
        <w:rPr>
          <w:sz w:val="24"/>
          <w:szCs w:val="20"/>
        </w:rPr>
        <w:t>s</w:t>
      </w:r>
      <w:r w:rsidRPr="00310C8B">
        <w:rPr>
          <w:sz w:val="24"/>
          <w:szCs w:val="20"/>
        </w:rPr>
        <w:t>tate authorities, upon request, including the following information:</w:t>
      </w:r>
    </w:p>
    <w:p w:rsidRPr="00310C8B" w:rsidR="00310C8B" w:rsidP="00310C8B" w:rsidRDefault="00310C8B" w14:paraId="43683137" w14:textId="77777777">
      <w:pPr>
        <w:numPr>
          <w:ilvl w:val="0"/>
          <w:numId w:val="1"/>
        </w:numPr>
        <w:rPr>
          <w:sz w:val="24"/>
          <w:szCs w:val="20"/>
        </w:rPr>
      </w:pPr>
      <w:r w:rsidRPr="00310C8B">
        <w:rPr>
          <w:sz w:val="24"/>
          <w:szCs w:val="20"/>
        </w:rPr>
        <w:t>The specific plan or coverage terms or other relevant terms regarding the NQTLs and a description of all MH/SUD and medical or surgical benefits to which each such term applies in each respective benefits classification;</w:t>
      </w:r>
    </w:p>
    <w:p w:rsidRPr="00310C8B" w:rsidR="00310C8B" w:rsidP="00310C8B" w:rsidRDefault="00310C8B" w14:paraId="0F34D6E3" w14:textId="77777777">
      <w:pPr>
        <w:numPr>
          <w:ilvl w:val="0"/>
          <w:numId w:val="1"/>
        </w:numPr>
        <w:rPr>
          <w:sz w:val="24"/>
          <w:szCs w:val="20"/>
        </w:rPr>
      </w:pPr>
      <w:r w:rsidRPr="00310C8B">
        <w:rPr>
          <w:sz w:val="24"/>
          <w:szCs w:val="20"/>
        </w:rPr>
        <w:t>The factors used to determine that the NQTLs will apply to MH/SUD benefits and medical or surgical benefits;</w:t>
      </w:r>
    </w:p>
    <w:p w:rsidRPr="00310C8B" w:rsidR="00310C8B" w:rsidP="00310C8B" w:rsidRDefault="00310C8B" w14:paraId="79247603" w14:textId="77777777">
      <w:pPr>
        <w:numPr>
          <w:ilvl w:val="0"/>
          <w:numId w:val="1"/>
        </w:numPr>
        <w:rPr>
          <w:sz w:val="24"/>
          <w:szCs w:val="20"/>
        </w:rPr>
      </w:pPr>
      <w:r w:rsidRPr="00310C8B">
        <w:rPr>
          <w:sz w:val="24"/>
          <w:szCs w:val="20"/>
        </w:rPr>
        <w:t>The evidentiary standards used for the factors identified, when applicable, provided that every factor shall be defined, and any other source or evidence relied upon to design and apply the NQTLs to MH/SUD benefits and medical or surgical benefits;</w:t>
      </w:r>
    </w:p>
    <w:p w:rsidRPr="00310C8B" w:rsidR="00310C8B" w:rsidP="00310C8B" w:rsidRDefault="00310C8B" w14:paraId="06D05019" w14:textId="77777777">
      <w:pPr>
        <w:numPr>
          <w:ilvl w:val="0"/>
          <w:numId w:val="1"/>
        </w:numPr>
        <w:rPr>
          <w:sz w:val="24"/>
          <w:szCs w:val="20"/>
        </w:rPr>
      </w:pPr>
      <w:r w:rsidRPr="00310C8B">
        <w:rPr>
          <w:sz w:val="24"/>
          <w:szCs w:val="20"/>
        </w:rPr>
        <w:t>The comparative analyses demonstrating that the processes, strategies, evidentiary standards, and other factors used to apply the NQTLs to MH/SUD benefits, as written and in operation, are comparable to, and are applied no more stringently than, the processes, strategies, evidentiary standards, and other factors used to apply the NQTLs to medical/surgical benefits in the benefits classification; and</w:t>
      </w:r>
    </w:p>
    <w:p w:rsidRPr="00310C8B" w:rsidR="00310C8B" w:rsidP="00310C8B" w:rsidRDefault="00310C8B" w14:paraId="009D7E11" w14:textId="1C59C570">
      <w:pPr>
        <w:numPr>
          <w:ilvl w:val="0"/>
          <w:numId w:val="1"/>
        </w:numPr>
        <w:rPr>
          <w:sz w:val="24"/>
          <w:szCs w:val="20"/>
        </w:rPr>
      </w:pPr>
      <w:r w:rsidRPr="00310C8B">
        <w:rPr>
          <w:sz w:val="24"/>
          <w:szCs w:val="20"/>
        </w:rPr>
        <w:t xml:space="preserve">The specific findings and conclusions reached by the plan or issuer, including any results of the analyses that indicate that the plan or coverage is or is not in compliance with </w:t>
      </w:r>
      <w:r w:rsidR="00167720">
        <w:rPr>
          <w:sz w:val="24"/>
          <w:szCs w:val="20"/>
        </w:rPr>
        <w:t>the MHPAEA r</w:t>
      </w:r>
      <w:r w:rsidR="00930DA9">
        <w:rPr>
          <w:sz w:val="24"/>
          <w:szCs w:val="20"/>
        </w:rPr>
        <w:t>e</w:t>
      </w:r>
      <w:r w:rsidR="00167720">
        <w:rPr>
          <w:sz w:val="24"/>
          <w:szCs w:val="20"/>
        </w:rPr>
        <w:t>quirements</w:t>
      </w:r>
      <w:r w:rsidRPr="00310C8B">
        <w:rPr>
          <w:sz w:val="24"/>
          <w:szCs w:val="20"/>
        </w:rPr>
        <w:t>.</w:t>
      </w:r>
      <w:r w:rsidRPr="00310C8B">
        <w:rPr>
          <w:sz w:val="24"/>
          <w:szCs w:val="20"/>
          <w:vertAlign w:val="superscript"/>
        </w:rPr>
        <w:footnoteReference w:id="6"/>
      </w:r>
    </w:p>
    <w:p w:rsidR="00D023A4" w:rsidP="00F4099F" w:rsidRDefault="00D023A4" w14:paraId="2B237F8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E0DD5" w:rsidR="008F1EB4" w:rsidP="00F4099F" w:rsidRDefault="008F1EB4" w14:paraId="2D5A467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2.</w:t>
      </w:r>
      <w:r w:rsidRPr="003E0DD5">
        <w:rPr>
          <w:sz w:val="24"/>
        </w:rPr>
        <w:tab/>
      </w:r>
      <w:r w:rsidRPr="003E0DD5">
        <w:rPr>
          <w:sz w:val="24"/>
          <w:u w:val="single"/>
        </w:rPr>
        <w:t>Information Users</w:t>
      </w:r>
    </w:p>
    <w:p w:rsidR="00A05122" w:rsidP="00A05122" w:rsidRDefault="00A05122" w14:paraId="7BD3EC04" w14:textId="77777777">
      <w:pPr>
        <w:ind w:left="360"/>
        <w:rPr>
          <w:sz w:val="24"/>
          <w:szCs w:val="20"/>
        </w:rPr>
      </w:pPr>
    </w:p>
    <w:p w:rsidRPr="004B3BA6" w:rsidR="00A05122" w:rsidP="280DC9D2" w:rsidRDefault="280DC9D2" w14:paraId="664241B3" w14:textId="6BC4D6CA">
      <w:pPr>
        <w:ind w:left="360"/>
        <w:rPr>
          <w:sz w:val="24"/>
        </w:rPr>
      </w:pPr>
      <w:r w:rsidRPr="280DC9D2">
        <w:rPr>
          <w:sz w:val="24"/>
        </w:rPr>
        <w:t xml:space="preserve">CMS will request the comparative analyses from self-funded </w:t>
      </w:r>
      <w:r w:rsidRPr="00167720">
        <w:rPr>
          <w:sz w:val="24"/>
        </w:rPr>
        <w:t>non-federal governmental plans and issuers offering group and individual health insurance coverage in direct enforcement states for MHPAEA for</w:t>
      </w:r>
      <w:r w:rsidRPr="280DC9D2">
        <w:rPr>
          <w:sz w:val="24"/>
        </w:rPr>
        <w:t xml:space="preserve"> reviews related to potential violations of MHPAEA or complaints regarding noncompliance with MHPAEA that concern NQTLs, and any other instances deemed appropriate. </w:t>
      </w:r>
    </w:p>
    <w:p w:rsidR="00A05122" w:rsidP="00A05122" w:rsidRDefault="00A05122" w14:paraId="16DF4D8A" w14:textId="77777777">
      <w:pPr>
        <w:rPr>
          <w:bCs/>
          <w:i/>
          <w:sz w:val="24"/>
        </w:rPr>
      </w:pPr>
      <w:r w:rsidRPr="003E0DD5">
        <w:rPr>
          <w:bCs/>
          <w:sz w:val="24"/>
        </w:rPr>
        <w:t xml:space="preserve"> </w:t>
      </w:r>
    </w:p>
    <w:p w:rsidR="008F1EB4" w:rsidP="00A05122" w:rsidRDefault="00A05122" w14:paraId="7B4DEF36" w14:textId="2FEC0DC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D023A4">
        <w:rPr>
          <w:sz w:val="24"/>
        </w:rPr>
        <w:t xml:space="preserve">The Appropriations Act </w:t>
      </w:r>
      <w:r w:rsidR="00DB4C00">
        <w:rPr>
          <w:sz w:val="24"/>
        </w:rPr>
        <w:t>also</w:t>
      </w:r>
      <w:r w:rsidRPr="00D023A4" w:rsidR="00DB4C00">
        <w:rPr>
          <w:sz w:val="24"/>
        </w:rPr>
        <w:t xml:space="preserve"> </w:t>
      </w:r>
      <w:r w:rsidRPr="00D023A4">
        <w:rPr>
          <w:sz w:val="24"/>
        </w:rPr>
        <w:t xml:space="preserve">requires the Departments, after review of the comparative analyses, to share information on findings of compliance and noncompliance with the </w:t>
      </w:r>
      <w:r w:rsidR="00003CC0">
        <w:rPr>
          <w:sz w:val="24"/>
        </w:rPr>
        <w:t>s</w:t>
      </w:r>
      <w:r w:rsidRPr="00D023A4">
        <w:rPr>
          <w:sz w:val="24"/>
        </w:rPr>
        <w:t xml:space="preserve">tate where the plan is located or the </w:t>
      </w:r>
      <w:r w:rsidR="00003CC0">
        <w:rPr>
          <w:sz w:val="24"/>
        </w:rPr>
        <w:t>s</w:t>
      </w:r>
      <w:r w:rsidRPr="00D023A4">
        <w:rPr>
          <w:sz w:val="24"/>
        </w:rPr>
        <w:t>tate where the issuer is licensed to do business.</w:t>
      </w:r>
    </w:p>
    <w:p w:rsidR="00A05122" w:rsidP="00A05122" w:rsidRDefault="00A05122" w14:paraId="79C5E526" w14:textId="098227F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Pr="00A05122" w:rsidR="00A05122" w:rsidP="00566AB6" w:rsidRDefault="00A05122" w14:paraId="6144D379" w14:textId="0DD9939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sidRPr="00A05122">
        <w:rPr>
          <w:sz w:val="24"/>
        </w:rPr>
        <w:t xml:space="preserve">Additionally, not later than one year after enactment of the Appropriations Act and annually by October 1 thereafter, the Departments must submit to Congress and make publicly available a report </w:t>
      </w:r>
      <w:r w:rsidR="00DB4C00">
        <w:rPr>
          <w:sz w:val="24"/>
        </w:rPr>
        <w:t xml:space="preserve">as described in item 10 below. </w:t>
      </w:r>
    </w:p>
    <w:p w:rsidRPr="003E0DD5" w:rsidR="00042573" w:rsidP="00F4099F" w:rsidRDefault="00042573" w14:paraId="0A5381A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E0DD5" w:rsidR="008F1EB4" w:rsidP="00F4099F" w:rsidRDefault="008F1EB4" w14:paraId="2345162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3.</w:t>
      </w:r>
      <w:r w:rsidRPr="003E0DD5">
        <w:rPr>
          <w:sz w:val="24"/>
        </w:rPr>
        <w:tab/>
      </w:r>
      <w:r w:rsidRPr="003E0DD5">
        <w:rPr>
          <w:sz w:val="24"/>
          <w:u w:val="single"/>
        </w:rPr>
        <w:t>Use of Information Technology</w:t>
      </w:r>
    </w:p>
    <w:p w:rsidRPr="003E0DD5" w:rsidR="008F1EB4" w:rsidP="00F4099F" w:rsidRDefault="008F1EB4" w14:paraId="2C6EA3C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2A6CF41D" w:rsidRDefault="2A6CF41D" w14:paraId="2B8D5D63" w14:textId="6A3EBBBD">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2A6CF41D">
        <w:rPr>
          <w:sz w:val="24"/>
        </w:rPr>
        <w:t>Plans and issuers must submit all information electronically to CMS.</w:t>
      </w:r>
    </w:p>
    <w:p w:rsidR="00657F3C" w:rsidP="00F4099F" w:rsidRDefault="00657F3C" w14:paraId="15C87F1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E0DD5" w:rsidR="008F1EB4" w:rsidP="00F4099F" w:rsidRDefault="008F1EB4" w14:paraId="0051A5BD" w14:textId="3E3F19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4.</w:t>
      </w:r>
      <w:r w:rsidRPr="003E0DD5">
        <w:rPr>
          <w:sz w:val="24"/>
        </w:rPr>
        <w:tab/>
      </w:r>
      <w:r w:rsidRPr="003E0DD5">
        <w:rPr>
          <w:sz w:val="24"/>
          <w:u w:val="single"/>
        </w:rPr>
        <w:t>Duplication of Efforts</w:t>
      </w:r>
    </w:p>
    <w:p w:rsidRPr="003E0DD5" w:rsidR="008F1EB4" w:rsidP="00F4099F" w:rsidRDefault="008F1EB4" w14:paraId="575001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796051" w:rsidP="0125BF5F" w:rsidRDefault="0125BF5F" w14:paraId="334FB9CD" w14:textId="7DB2F11E">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125BF5F">
        <w:rPr>
          <w:sz w:val="24"/>
        </w:rPr>
        <w:t xml:space="preserve">MHPAEA amended ERISA and the Code in addition to the PHS Act. Accordingly, both DOL and the Treasury may require plans and issuers to provide the information as well. However, only CMS oversees non-Federal governmental health plans and issuers of individual and group health coverage, therefore there will be no duplication of effort with DOL and the Treasury. </w:t>
      </w:r>
    </w:p>
    <w:p w:rsidRPr="003E0DD5" w:rsidR="00796051" w:rsidP="00F4099F" w:rsidRDefault="00796051" w14:paraId="1497BDE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2A6CF41D" w:rsidRDefault="2A6CF41D" w14:paraId="1C5BEA08" w14:textId="644E830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280DC9D2">
        <w:rPr>
          <w:sz w:val="24"/>
        </w:rPr>
        <w:t>States may require issuers to provide the information as well. However, no duplication should occur because CMS will only request information from issuers when CMS has direct enforcement responsibility for MHPAEA in a state.</w:t>
      </w:r>
      <w:r w:rsidRPr="280DC9D2" w:rsidR="00840A7C">
        <w:rPr>
          <w:rStyle w:val="FootnoteReference"/>
          <w:sz w:val="24"/>
          <w:vertAlign w:val="superscript"/>
        </w:rPr>
        <w:footnoteReference w:id="7"/>
      </w:r>
    </w:p>
    <w:p w:rsidRPr="003E0DD5" w:rsidR="00796051" w:rsidP="00F4099F" w:rsidRDefault="00796051" w14:paraId="0D2DFC7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E0DD5" w:rsidR="008F1EB4" w:rsidP="00F4099F" w:rsidRDefault="008F1EB4" w14:paraId="383B269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5.</w:t>
      </w:r>
      <w:r w:rsidRPr="003E0DD5">
        <w:rPr>
          <w:sz w:val="24"/>
        </w:rPr>
        <w:tab/>
      </w:r>
      <w:r w:rsidRPr="003E0DD5">
        <w:rPr>
          <w:sz w:val="24"/>
          <w:u w:val="single"/>
        </w:rPr>
        <w:t>Small Businesses</w:t>
      </w:r>
    </w:p>
    <w:p w:rsidRPr="003E0DD5" w:rsidR="008F1EB4" w:rsidP="00F4099F" w:rsidRDefault="008F1EB4" w14:paraId="504536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C21864" w:rsidP="00F4099F" w:rsidRDefault="00BE4171" w14:paraId="0A494BDC" w14:textId="7A87D13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BE4171">
        <w:rPr>
          <w:sz w:val="24"/>
        </w:rPr>
        <w:t>Small businesses are not significantly affected by th</w:t>
      </w:r>
      <w:r w:rsidR="000E617C">
        <w:rPr>
          <w:sz w:val="24"/>
        </w:rPr>
        <w:t>ese</w:t>
      </w:r>
      <w:r w:rsidRPr="00BE4171">
        <w:rPr>
          <w:sz w:val="24"/>
        </w:rPr>
        <w:t xml:space="preserve"> </w:t>
      </w:r>
      <w:r w:rsidR="000E617C">
        <w:rPr>
          <w:sz w:val="24"/>
        </w:rPr>
        <w:t xml:space="preserve">information </w:t>
      </w:r>
      <w:r w:rsidRPr="00BE4171">
        <w:rPr>
          <w:sz w:val="24"/>
        </w:rPr>
        <w:t>collection</w:t>
      </w:r>
      <w:r w:rsidR="000E617C">
        <w:rPr>
          <w:sz w:val="24"/>
        </w:rPr>
        <w:t xml:space="preserve"> requirements (ICRs)</w:t>
      </w:r>
      <w:r w:rsidR="002B006E">
        <w:rPr>
          <w:sz w:val="24"/>
        </w:rPr>
        <w:t>.</w:t>
      </w:r>
    </w:p>
    <w:p w:rsidRPr="003E0DD5" w:rsidR="00796051" w:rsidP="00F4099F" w:rsidRDefault="00796051" w14:paraId="38EFEB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E0DD5" w:rsidR="008F1EB4" w:rsidP="00F4099F" w:rsidRDefault="008F1EB4" w14:paraId="672E1AA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6.</w:t>
      </w:r>
      <w:r w:rsidRPr="003E0DD5">
        <w:rPr>
          <w:sz w:val="24"/>
        </w:rPr>
        <w:tab/>
      </w:r>
      <w:r w:rsidRPr="003E0DD5">
        <w:rPr>
          <w:sz w:val="24"/>
          <w:u w:val="single"/>
        </w:rPr>
        <w:t>Less Frequent Collection</w:t>
      </w:r>
    </w:p>
    <w:p w:rsidRPr="003E0DD5" w:rsidR="008F1EB4" w:rsidP="00F4099F" w:rsidRDefault="008F1EB4" w14:paraId="6EC1833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64017F0E" w:rsidRDefault="64017F0E" w14:paraId="10D382D7" w14:textId="6A0042F1">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64017F0E">
        <w:rPr>
          <w:sz w:val="24"/>
        </w:rPr>
        <w:t xml:space="preserve">This collection is required to fulfill the statutory requirements in the Appropriations Act. CMS will not be able to conduct reviews of the NQTL analyses and ensure regulatory compliance without collecting the information from plans and issuers. CMS will also need to perform the comparative analyses reviews, submit the report to Congress, and make it available to the public as required by statute. </w:t>
      </w:r>
    </w:p>
    <w:p w:rsidRPr="003E0DD5" w:rsidR="00796051" w:rsidP="00F4099F" w:rsidRDefault="00796051" w14:paraId="1D4F2BE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E0DD5" w:rsidR="008F1EB4" w:rsidP="00F4099F" w:rsidRDefault="008F1EB4" w14:paraId="01530BF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7.</w:t>
      </w:r>
      <w:r w:rsidRPr="003E0DD5">
        <w:rPr>
          <w:sz w:val="24"/>
        </w:rPr>
        <w:tab/>
      </w:r>
      <w:r w:rsidRPr="003E0DD5">
        <w:rPr>
          <w:sz w:val="24"/>
          <w:u w:val="single"/>
        </w:rPr>
        <w:t>Special Circumstances</w:t>
      </w:r>
    </w:p>
    <w:p w:rsidRPr="003E0DD5" w:rsidR="008F1EB4" w:rsidP="00F4099F" w:rsidRDefault="008F1EB4" w14:paraId="69FDCEA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C16B62" w:rsidP="00F4099F" w:rsidRDefault="0029150B" w14:paraId="07F7A6C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There are no special circumstances.</w:t>
      </w:r>
    </w:p>
    <w:p w:rsidRPr="003E0DD5" w:rsidR="008F1EB4" w:rsidP="00F4099F" w:rsidRDefault="008F1EB4" w14:paraId="4D9116E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8F1EB4" w14:paraId="52298DC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8.</w:t>
      </w:r>
      <w:r w:rsidRPr="003E0DD5">
        <w:rPr>
          <w:sz w:val="24"/>
        </w:rPr>
        <w:tab/>
      </w:r>
      <w:r w:rsidRPr="003E0DD5">
        <w:rPr>
          <w:sz w:val="24"/>
          <w:u w:val="single"/>
        </w:rPr>
        <w:t>Federal Register/Outside Consultation</w:t>
      </w:r>
    </w:p>
    <w:p w:rsidRPr="003E0DD5" w:rsidR="008F1EB4" w:rsidP="00F4099F" w:rsidRDefault="008F1EB4" w14:paraId="1F3061D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74970" w:rsidP="00B5556F" w:rsidRDefault="00507F1D" w14:paraId="50D8A75C" w14:textId="586445C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507F1D">
        <w:rPr>
          <w:sz w:val="24"/>
        </w:rPr>
        <w:t>A notice w</w:t>
      </w:r>
      <w:r w:rsidR="00034CC2">
        <w:rPr>
          <w:sz w:val="24"/>
        </w:rPr>
        <w:t>as</w:t>
      </w:r>
      <w:r w:rsidRPr="00507F1D">
        <w:rPr>
          <w:sz w:val="24"/>
        </w:rPr>
        <w:t xml:space="preserve"> published in the Federal Register</w:t>
      </w:r>
      <w:r w:rsidR="00034CC2">
        <w:rPr>
          <w:sz w:val="24"/>
        </w:rPr>
        <w:t xml:space="preserve"> on June 16, 2021 (86 FR 32049</w:t>
      </w:r>
      <w:r w:rsidRPr="00507F1D">
        <w:rPr>
          <w:sz w:val="24"/>
        </w:rPr>
        <w:t>, providing the public with a 60-day period to submit written comments on the ICRs.</w:t>
      </w:r>
      <w:r w:rsidR="00034CC2">
        <w:rPr>
          <w:sz w:val="24"/>
        </w:rPr>
        <w:t xml:space="preserve"> No comments were received.</w:t>
      </w:r>
      <w:r w:rsidR="00A74970">
        <w:rPr>
          <w:sz w:val="24"/>
        </w:rPr>
        <w:t xml:space="preserve"> </w:t>
      </w:r>
      <w:r w:rsidR="004928F4">
        <w:rPr>
          <w:sz w:val="24"/>
        </w:rPr>
        <w:t>DOL</w:t>
      </w:r>
      <w:r w:rsidR="00A74970">
        <w:rPr>
          <w:sz w:val="24"/>
        </w:rPr>
        <w:t xml:space="preserve"> received two comments on the ICRs, which are summarized in Appendix II.</w:t>
      </w:r>
    </w:p>
    <w:p w:rsidR="00403ACA" w:rsidP="00B5556F" w:rsidRDefault="00403ACA" w14:paraId="19D5488C" w14:textId="264CDC42">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347215" w:rsidP="00403ACA" w:rsidRDefault="00403ACA" w14:paraId="629E1FB4" w14:textId="4B6EE1A6">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 </w:t>
      </w:r>
      <w:r w:rsidR="00F7126F">
        <w:rPr>
          <w:sz w:val="24"/>
        </w:rPr>
        <w:t>30-day notice published in the Federal Register on October 26, 2021 (86 FR 59165).</w:t>
      </w:r>
      <w:bookmarkStart w:name="_GoBack" w:id="0"/>
      <w:bookmarkEnd w:id="0"/>
    </w:p>
    <w:p w:rsidRPr="003E0DD5" w:rsidR="00403ACA" w:rsidP="00403ACA" w:rsidRDefault="00403ACA" w14:paraId="57834D9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E0DD5" w:rsidR="008F1EB4" w:rsidP="00F4099F" w:rsidRDefault="008F1EB4" w14:paraId="05E5620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9.</w:t>
      </w:r>
      <w:r w:rsidRPr="003E0DD5">
        <w:rPr>
          <w:sz w:val="24"/>
        </w:rPr>
        <w:tab/>
      </w:r>
      <w:r w:rsidRPr="003E0DD5">
        <w:rPr>
          <w:sz w:val="24"/>
          <w:u w:val="single"/>
        </w:rPr>
        <w:t>Payments/Gifts to Respondents</w:t>
      </w:r>
    </w:p>
    <w:p w:rsidRPr="003E0DD5" w:rsidR="008F1EB4" w:rsidP="00F4099F" w:rsidRDefault="008F1EB4" w14:paraId="4BEE1EF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FA2A51" w14:paraId="092729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No payments or gifts are associated with these ICRs.</w:t>
      </w:r>
    </w:p>
    <w:p w:rsidRPr="003E0DD5" w:rsidR="008F1EB4" w:rsidP="00F4099F" w:rsidRDefault="008F1EB4" w14:paraId="3E6BF9F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8F1EB4" w14:paraId="4F6105EB" w14:textId="40B36E5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10.</w:t>
      </w:r>
      <w:r w:rsidRPr="003E0DD5">
        <w:rPr>
          <w:sz w:val="24"/>
        </w:rPr>
        <w:tab/>
      </w:r>
      <w:r w:rsidRPr="003E0DD5">
        <w:rPr>
          <w:sz w:val="24"/>
          <w:u w:val="single"/>
        </w:rPr>
        <w:t>Confidentiality</w:t>
      </w:r>
    </w:p>
    <w:p w:rsidRPr="003E0DD5" w:rsidR="000F3AF4" w:rsidP="00F4099F" w:rsidRDefault="000F3AF4" w14:paraId="582CE10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B569BB" w:rsidR="00B569BB" w:rsidP="2A6CF41D" w:rsidRDefault="2A6CF41D" w14:paraId="43AC9831" w14:textId="5CC373CC">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2A6CF41D">
        <w:rPr>
          <w:sz w:val="24"/>
        </w:rPr>
        <w:t xml:space="preserve">The Appropriations Act requires the Departments, after review of the comparative analyses, to share information on findings of compliance and noncompliance with the state where the </w:t>
      </w:r>
      <w:r w:rsidR="00665991">
        <w:rPr>
          <w:sz w:val="24"/>
        </w:rPr>
        <w:t xml:space="preserve">group health </w:t>
      </w:r>
      <w:r w:rsidRPr="2A6CF41D">
        <w:rPr>
          <w:sz w:val="24"/>
        </w:rPr>
        <w:t>plan is located or the state where the issuer is licensed to do business. Additionally, not later than one year after enactment of the Appropriations Act, and annually by October 1 thereafter, the Secretary of HHS must submit to Congress and make publicly available a report that contains:</w:t>
      </w:r>
    </w:p>
    <w:p w:rsidRPr="001C766F" w:rsidR="00B569BB" w:rsidP="64017F0E" w:rsidRDefault="2A6CF41D" w14:paraId="4F576717" w14:textId="529AC6C6">
      <w:pPr>
        <w:pStyle w:val="ListParagraph"/>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2A6CF41D">
        <w:rPr>
          <w:sz w:val="24"/>
        </w:rPr>
        <w:t>A summary of the comparative analyses requested, including the identity of each plan or issuer that is determined not to be in compliance after a final determination by the Secretary;</w:t>
      </w:r>
    </w:p>
    <w:p w:rsidRPr="001C766F" w:rsidR="00B569BB" w:rsidP="64017F0E" w:rsidRDefault="2A6CF41D" w14:paraId="671ACEA5" w14:textId="3A7EED4B">
      <w:pPr>
        <w:pStyle w:val="ListParagraph"/>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2A6CF41D">
        <w:rPr>
          <w:sz w:val="24"/>
        </w:rPr>
        <w:t>The Secretary’s conclusions as to whether each plan or issuer submitted sufficient information for the Secretary to review the comparative analyses requested for compliance with MHPAEA;</w:t>
      </w:r>
    </w:p>
    <w:p w:rsidRPr="001C766F" w:rsidR="00B569BB" w:rsidP="64017F0E" w:rsidRDefault="2A6CF41D" w14:paraId="0A76825C" w14:textId="7854F645">
      <w:pPr>
        <w:pStyle w:val="ListParagraph"/>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2A6CF41D">
        <w:rPr>
          <w:sz w:val="24"/>
        </w:rPr>
        <w:t>For each plan or issuer that submitted sufficient information for the Secretary to review the comparative analyses requested, the Secretary’s conclusion as to whether and why the plan or issuer is in compliance with MHPAEA;</w:t>
      </w:r>
    </w:p>
    <w:p w:rsidRPr="001C766F" w:rsidR="00B569BB" w:rsidP="64017F0E" w:rsidRDefault="2A6CF41D" w14:paraId="7F73C4E8" w14:textId="405120BD">
      <w:pPr>
        <w:pStyle w:val="ListParagraph"/>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2A6CF41D">
        <w:rPr>
          <w:sz w:val="24"/>
        </w:rPr>
        <w:t>The Secretary’s specifications with respect to the additional information that each plan or issuer that did not submit sufficient information must submit for the Secretary to review the comparative analyses for compliance with MHPAEA; and</w:t>
      </w:r>
    </w:p>
    <w:p w:rsidRPr="001C766F" w:rsidR="00C16B62" w:rsidP="64017F0E" w:rsidRDefault="2A6CF41D" w14:paraId="23F76906" w14:textId="0361DA84">
      <w:pPr>
        <w:pStyle w:val="ListParagraph"/>
        <w:numPr>
          <w:ilvl w:val="0"/>
          <w:numId w:val="5"/>
        </w:num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2A6CF41D">
        <w:rPr>
          <w:sz w:val="24"/>
        </w:rPr>
        <w:t>The Secretary’s specifications of the actions each plan or issuer that the Secretary determined is not in compliance must take to be in compliance with MHPAEA, including the reason the Departments determined the plan or issuer was not in compliance.</w:t>
      </w:r>
    </w:p>
    <w:p w:rsidRPr="003E0DD5" w:rsidR="00B569BB" w:rsidP="00B569BB" w:rsidRDefault="00B569BB" w14:paraId="410A2E3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E0DD5" w:rsidR="008F1EB4" w:rsidP="00F4099F" w:rsidRDefault="008F1EB4" w14:paraId="6584D36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11.</w:t>
      </w:r>
      <w:r w:rsidRPr="003E0DD5">
        <w:rPr>
          <w:sz w:val="24"/>
        </w:rPr>
        <w:tab/>
      </w:r>
      <w:r w:rsidRPr="003E0DD5">
        <w:rPr>
          <w:sz w:val="24"/>
          <w:u w:val="single"/>
        </w:rPr>
        <w:t>Sensitive Questions</w:t>
      </w:r>
    </w:p>
    <w:p w:rsidRPr="003E0DD5" w:rsidR="008F1EB4" w:rsidP="00F4099F" w:rsidRDefault="008F1EB4" w14:paraId="33AF40E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8F1EB4" w:rsidP="00F4099F" w:rsidRDefault="00FA2A51" w14:paraId="6558DA7E" w14:textId="430A0B3F">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sidRPr="003E0DD5">
        <w:rPr>
          <w:sz w:val="24"/>
        </w:rPr>
        <w:t>These ICRs involve no sensitive questions.</w:t>
      </w:r>
    </w:p>
    <w:p w:rsidRPr="003E0DD5" w:rsidR="00FD3355" w:rsidP="00F4099F" w:rsidRDefault="00FD3355" w14:paraId="735E4B9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Pr="003E0DD5" w:rsidR="00FA2A51" w:rsidP="00F4099F" w:rsidRDefault="00FA2A51" w14:paraId="1CC2FD0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8F1EB4" w14:paraId="7F72971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12.</w:t>
      </w:r>
      <w:r w:rsidRPr="003E0DD5">
        <w:rPr>
          <w:sz w:val="24"/>
        </w:rPr>
        <w:tab/>
      </w:r>
      <w:r w:rsidRPr="003E0DD5">
        <w:rPr>
          <w:sz w:val="24"/>
          <w:u w:val="single"/>
        </w:rPr>
        <w:t>Burden Estimates (Hours &amp; Wages)</w:t>
      </w:r>
    </w:p>
    <w:p w:rsidRPr="003E0DD5" w:rsidR="008F1EB4" w:rsidP="00F4099F" w:rsidRDefault="008F1EB4" w14:paraId="6A1A3B9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0E4BB4" w:rsidP="004361B4" w:rsidRDefault="000E4BB4" w14:paraId="0B6E1184" w14:textId="4B9860E4">
      <w:pPr>
        <w:ind w:left="432"/>
        <w:rPr>
          <w:bCs/>
          <w:sz w:val="24"/>
        </w:rPr>
      </w:pPr>
      <w:r w:rsidRPr="2A6CF41D">
        <w:rPr>
          <w:sz w:val="24"/>
        </w:rPr>
        <w:t xml:space="preserve">The burden estimates </w:t>
      </w:r>
      <w:r w:rsidRPr="2A6CF41D" w:rsidR="00BE0CD2">
        <w:rPr>
          <w:sz w:val="24"/>
        </w:rPr>
        <w:t xml:space="preserve">below </w:t>
      </w:r>
      <w:r w:rsidRPr="2A6CF41D">
        <w:rPr>
          <w:sz w:val="24"/>
        </w:rPr>
        <w:t xml:space="preserve">have been updated based on recent data on </w:t>
      </w:r>
      <w:r w:rsidRPr="2A6CF41D" w:rsidR="00BE73AA">
        <w:rPr>
          <w:sz w:val="24"/>
        </w:rPr>
        <w:t>individual market issuers</w:t>
      </w:r>
      <w:r w:rsidRPr="2A6CF41D" w:rsidR="00DE19C3">
        <w:rPr>
          <w:sz w:val="24"/>
        </w:rPr>
        <w:t xml:space="preserve"> and </w:t>
      </w:r>
      <w:r w:rsidRPr="2A6CF41D">
        <w:rPr>
          <w:sz w:val="24"/>
        </w:rPr>
        <w:t>labor and mailing costs. We generally used data from the Bureau of Labor Statistics</w:t>
      </w:r>
      <w:r w:rsidRPr="2A6CF41D" w:rsidR="000D37EA">
        <w:rPr>
          <w:rStyle w:val="FootnoteReference"/>
          <w:sz w:val="24"/>
          <w:vertAlign w:val="superscript"/>
        </w:rPr>
        <w:footnoteReference w:id="8"/>
      </w:r>
      <w:r w:rsidRPr="2A6CF41D">
        <w:rPr>
          <w:sz w:val="24"/>
        </w:rPr>
        <w:t xml:space="preserve"> to derive average labor costs (including </w:t>
      </w:r>
      <w:r w:rsidRPr="2A6CF41D" w:rsidR="00C53D5D">
        <w:rPr>
          <w:sz w:val="24"/>
        </w:rPr>
        <w:t xml:space="preserve">100 percent </w:t>
      </w:r>
      <w:r w:rsidRPr="2A6CF41D">
        <w:rPr>
          <w:sz w:val="24"/>
        </w:rPr>
        <w:t>fringe benefits) for estimating the burden associated with the ICR</w:t>
      </w:r>
      <w:r w:rsidRPr="2A6CF41D" w:rsidR="00977C49">
        <w:rPr>
          <w:sz w:val="24"/>
        </w:rPr>
        <w:t>s</w:t>
      </w:r>
      <w:r w:rsidRPr="2A6CF41D">
        <w:rPr>
          <w:sz w:val="24"/>
        </w:rPr>
        <w:t>.</w:t>
      </w:r>
      <w:r w:rsidRPr="2A6CF41D" w:rsidR="00566AB6">
        <w:rPr>
          <w:sz w:val="24"/>
        </w:rPr>
        <w:t xml:space="preserve"> Table 1 below presents the mean hourly wage, the cost of fringe benefits and overhead, and the adjusted hourly wage.</w:t>
      </w:r>
    </w:p>
    <w:p w:rsidR="00C3049E" w:rsidP="004361B4" w:rsidRDefault="00C3049E" w14:paraId="34430CE2" w14:textId="142A8C51">
      <w:pPr>
        <w:ind w:left="432"/>
        <w:rPr>
          <w:bCs/>
          <w:sz w:val="24"/>
        </w:rPr>
      </w:pPr>
    </w:p>
    <w:p w:rsidRPr="00FD3355" w:rsidR="00C3049E" w:rsidP="00C3049E" w:rsidRDefault="00C3049E" w14:paraId="31CB9A30" w14:textId="0ACA88DA">
      <w:pPr>
        <w:keepNext/>
        <w:keepLines/>
        <w:widowControl/>
        <w:autoSpaceDE/>
        <w:autoSpaceDN/>
        <w:adjustRightInd/>
        <w:spacing w:before="40" w:line="480" w:lineRule="auto"/>
        <w:ind w:firstLine="432"/>
        <w:outlineLvl w:val="2"/>
        <w:rPr>
          <w:sz w:val="24"/>
          <w:u w:val="single"/>
        </w:rPr>
      </w:pPr>
      <w:r w:rsidRPr="00FD3355">
        <w:rPr>
          <w:sz w:val="24"/>
          <w:u w:val="single"/>
        </w:rPr>
        <w:t>TABLE 1:  Adjusted Hourly Wages Used in Burden Estimates</w:t>
      </w: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0" w:type="dxa"/>
          <w:right w:w="0" w:type="dxa"/>
        </w:tblCellMar>
        <w:tblLook w:val="01E0" w:firstRow="1" w:lastRow="1" w:firstColumn="1" w:lastColumn="1" w:noHBand="0" w:noVBand="0"/>
      </w:tblPr>
      <w:tblGrid>
        <w:gridCol w:w="3325"/>
        <w:gridCol w:w="1710"/>
        <w:gridCol w:w="1440"/>
        <w:gridCol w:w="1495"/>
        <w:gridCol w:w="1380"/>
      </w:tblGrid>
      <w:tr w:rsidRPr="006069CA" w:rsidR="00C3049E" w:rsidTr="00297522" w14:paraId="2FCF3F89" w14:textId="77777777">
        <w:trPr>
          <w:tblHeader/>
        </w:trPr>
        <w:tc>
          <w:tcPr>
            <w:tcW w:w="3325" w:type="dxa"/>
            <w:shd w:val="clear" w:color="auto" w:fill="BFBFBF"/>
            <w:vAlign w:val="center"/>
          </w:tcPr>
          <w:p w:rsidRPr="006069CA" w:rsidR="00C3049E" w:rsidP="00297522" w:rsidRDefault="00C3049E" w14:paraId="6AE7042B" w14:textId="77777777">
            <w:pPr>
              <w:widowControl/>
              <w:autoSpaceDE/>
              <w:autoSpaceDN/>
              <w:adjustRightInd/>
              <w:ind w:firstLine="720"/>
              <w:rPr>
                <w:rFonts w:eastAsia="Calibri"/>
                <w:b/>
                <w:szCs w:val="20"/>
              </w:rPr>
            </w:pPr>
            <w:r w:rsidRPr="006069CA">
              <w:rPr>
                <w:rFonts w:eastAsia="Calibri"/>
                <w:b/>
                <w:szCs w:val="20"/>
              </w:rPr>
              <w:t>Occupation Title</w:t>
            </w:r>
          </w:p>
        </w:tc>
        <w:tc>
          <w:tcPr>
            <w:tcW w:w="1710" w:type="dxa"/>
            <w:shd w:val="clear" w:color="auto" w:fill="BFBFBF"/>
            <w:vAlign w:val="center"/>
          </w:tcPr>
          <w:p w:rsidRPr="006069CA" w:rsidR="00C3049E" w:rsidP="00297522" w:rsidRDefault="00C3049E" w14:paraId="3B97D291" w14:textId="77777777">
            <w:pPr>
              <w:widowControl/>
              <w:autoSpaceDE/>
              <w:autoSpaceDN/>
              <w:adjustRightInd/>
              <w:jc w:val="center"/>
              <w:rPr>
                <w:rFonts w:eastAsia="Calibri"/>
                <w:b/>
                <w:szCs w:val="20"/>
              </w:rPr>
            </w:pPr>
            <w:r w:rsidRPr="006069CA">
              <w:rPr>
                <w:rFonts w:eastAsia="Calibri"/>
                <w:b/>
                <w:szCs w:val="20"/>
              </w:rPr>
              <w:t>Occupational Code</w:t>
            </w:r>
          </w:p>
        </w:tc>
        <w:tc>
          <w:tcPr>
            <w:tcW w:w="1440" w:type="dxa"/>
            <w:shd w:val="clear" w:color="auto" w:fill="BFBFBF"/>
            <w:vAlign w:val="center"/>
          </w:tcPr>
          <w:p w:rsidRPr="006069CA" w:rsidR="00C3049E" w:rsidP="00297522" w:rsidRDefault="00C3049E" w14:paraId="4A75E2B6" w14:textId="77777777">
            <w:pPr>
              <w:widowControl/>
              <w:autoSpaceDE/>
              <w:autoSpaceDN/>
              <w:adjustRightInd/>
              <w:jc w:val="center"/>
              <w:rPr>
                <w:rFonts w:eastAsia="Calibri"/>
                <w:b/>
                <w:szCs w:val="20"/>
              </w:rPr>
            </w:pPr>
            <w:r w:rsidRPr="006069CA">
              <w:rPr>
                <w:rFonts w:eastAsia="Calibri"/>
                <w:b/>
                <w:szCs w:val="20"/>
              </w:rPr>
              <w:t>Mean Hourly Wage ($/hr.)</w:t>
            </w:r>
          </w:p>
        </w:tc>
        <w:tc>
          <w:tcPr>
            <w:tcW w:w="1495" w:type="dxa"/>
            <w:shd w:val="clear" w:color="auto" w:fill="BFBFBF"/>
            <w:vAlign w:val="center"/>
          </w:tcPr>
          <w:p w:rsidRPr="006069CA" w:rsidR="00C3049E" w:rsidP="00297522" w:rsidRDefault="00C3049E" w14:paraId="27873862" w14:textId="77777777">
            <w:pPr>
              <w:widowControl/>
              <w:autoSpaceDE/>
              <w:autoSpaceDN/>
              <w:adjustRightInd/>
              <w:jc w:val="center"/>
              <w:rPr>
                <w:rFonts w:eastAsia="Calibri"/>
                <w:b/>
                <w:szCs w:val="20"/>
              </w:rPr>
            </w:pPr>
            <w:r w:rsidRPr="006069CA">
              <w:rPr>
                <w:rFonts w:eastAsia="Calibri"/>
                <w:b/>
                <w:szCs w:val="20"/>
              </w:rPr>
              <w:t>Fringe Benefits and Overhead ($/hr.)</w:t>
            </w:r>
          </w:p>
        </w:tc>
        <w:tc>
          <w:tcPr>
            <w:tcW w:w="1380" w:type="dxa"/>
            <w:shd w:val="clear" w:color="auto" w:fill="BFBFBF"/>
            <w:vAlign w:val="center"/>
          </w:tcPr>
          <w:p w:rsidRPr="006069CA" w:rsidR="00C3049E" w:rsidP="00297522" w:rsidRDefault="00C3049E" w14:paraId="098AE065" w14:textId="77777777">
            <w:pPr>
              <w:widowControl/>
              <w:autoSpaceDE/>
              <w:autoSpaceDN/>
              <w:adjustRightInd/>
              <w:jc w:val="center"/>
              <w:rPr>
                <w:rFonts w:eastAsia="Calibri"/>
                <w:b/>
                <w:szCs w:val="20"/>
              </w:rPr>
            </w:pPr>
            <w:r w:rsidRPr="006069CA">
              <w:rPr>
                <w:rFonts w:eastAsia="Calibri"/>
                <w:b/>
                <w:szCs w:val="20"/>
              </w:rPr>
              <w:t>Adjusted Hourly Wage ($/hr.)</w:t>
            </w:r>
          </w:p>
        </w:tc>
      </w:tr>
      <w:tr w:rsidRPr="006069CA" w:rsidR="007D6370" w:rsidTr="00297522" w14:paraId="22D45F84" w14:textId="77777777">
        <w:tc>
          <w:tcPr>
            <w:tcW w:w="3325" w:type="dxa"/>
            <w:vAlign w:val="center"/>
          </w:tcPr>
          <w:p w:rsidRPr="006069CA" w:rsidR="007D6370" w:rsidP="007D6370" w:rsidRDefault="007D6370" w14:paraId="3CC53121" w14:textId="7D91D035">
            <w:pPr>
              <w:widowControl/>
              <w:autoSpaceDE/>
              <w:autoSpaceDN/>
              <w:adjustRightInd/>
              <w:rPr>
                <w:rFonts w:eastAsia="Calibri"/>
                <w:szCs w:val="20"/>
              </w:rPr>
            </w:pPr>
            <w:r w:rsidRPr="00BF68F8">
              <w:rPr>
                <w:color w:val="000000" w:themeColor="text1"/>
                <w:szCs w:val="20"/>
              </w:rPr>
              <w:t>Business Operations Specialist</w:t>
            </w:r>
          </w:p>
        </w:tc>
        <w:tc>
          <w:tcPr>
            <w:tcW w:w="1710" w:type="dxa"/>
            <w:vAlign w:val="center"/>
          </w:tcPr>
          <w:p w:rsidRPr="006069CA" w:rsidR="007D6370" w:rsidP="007D6370" w:rsidRDefault="007D6370" w14:paraId="73FA87F7" w14:textId="5DED6C40">
            <w:pPr>
              <w:widowControl/>
              <w:autoSpaceDE/>
              <w:autoSpaceDN/>
              <w:adjustRightInd/>
              <w:jc w:val="center"/>
              <w:rPr>
                <w:rFonts w:eastAsia="Calibri"/>
                <w:szCs w:val="20"/>
              </w:rPr>
            </w:pPr>
            <w:r w:rsidRPr="00BF68F8">
              <w:rPr>
                <w:color w:val="000000" w:themeColor="text1"/>
                <w:szCs w:val="20"/>
              </w:rPr>
              <w:t>13-1198</w:t>
            </w:r>
          </w:p>
        </w:tc>
        <w:tc>
          <w:tcPr>
            <w:tcW w:w="1440" w:type="dxa"/>
            <w:vAlign w:val="center"/>
          </w:tcPr>
          <w:p w:rsidRPr="006069CA" w:rsidR="007D6370" w:rsidP="007D6370" w:rsidRDefault="007D6370" w14:paraId="6D3F0BC9" w14:textId="785EBBC6">
            <w:pPr>
              <w:widowControl/>
              <w:autoSpaceDE/>
              <w:autoSpaceDN/>
              <w:adjustRightInd/>
              <w:jc w:val="center"/>
              <w:rPr>
                <w:rFonts w:eastAsia="Calibri"/>
                <w:szCs w:val="20"/>
              </w:rPr>
            </w:pPr>
            <w:r w:rsidRPr="00BF68F8">
              <w:rPr>
                <w:color w:val="000000" w:themeColor="text1"/>
                <w:szCs w:val="20"/>
              </w:rPr>
              <w:t>$38.57</w:t>
            </w:r>
          </w:p>
        </w:tc>
        <w:tc>
          <w:tcPr>
            <w:tcW w:w="1495" w:type="dxa"/>
            <w:vAlign w:val="center"/>
          </w:tcPr>
          <w:p w:rsidRPr="006069CA" w:rsidR="007D6370" w:rsidP="007D6370" w:rsidRDefault="007D6370" w14:paraId="26B3FE01" w14:textId="655683AD">
            <w:pPr>
              <w:widowControl/>
              <w:autoSpaceDE/>
              <w:autoSpaceDN/>
              <w:adjustRightInd/>
              <w:jc w:val="center"/>
              <w:rPr>
                <w:rFonts w:eastAsia="Calibri"/>
                <w:szCs w:val="20"/>
              </w:rPr>
            </w:pPr>
            <w:r w:rsidRPr="00BF68F8">
              <w:rPr>
                <w:color w:val="000000" w:themeColor="text1"/>
                <w:szCs w:val="20"/>
              </w:rPr>
              <w:t>$38.57</w:t>
            </w:r>
          </w:p>
        </w:tc>
        <w:tc>
          <w:tcPr>
            <w:tcW w:w="1380" w:type="dxa"/>
            <w:vAlign w:val="center"/>
          </w:tcPr>
          <w:p w:rsidRPr="006069CA" w:rsidR="007D6370" w:rsidP="007D6370" w:rsidRDefault="007D6370" w14:paraId="62243A10" w14:textId="430681A7">
            <w:pPr>
              <w:widowControl/>
              <w:autoSpaceDE/>
              <w:autoSpaceDN/>
              <w:adjustRightInd/>
              <w:jc w:val="center"/>
              <w:rPr>
                <w:rFonts w:eastAsia="Calibri"/>
                <w:szCs w:val="20"/>
              </w:rPr>
            </w:pPr>
            <w:r w:rsidRPr="00BF68F8">
              <w:rPr>
                <w:color w:val="000000" w:themeColor="text1"/>
                <w:szCs w:val="20"/>
              </w:rPr>
              <w:t>$77.14</w:t>
            </w:r>
          </w:p>
        </w:tc>
      </w:tr>
      <w:tr w:rsidRPr="006069CA" w:rsidR="007D6370" w:rsidTr="00297522" w14:paraId="06A88E35" w14:textId="77777777">
        <w:tc>
          <w:tcPr>
            <w:tcW w:w="3325" w:type="dxa"/>
            <w:vAlign w:val="center"/>
          </w:tcPr>
          <w:p w:rsidRPr="006069CA" w:rsidR="007D6370" w:rsidP="007D6370" w:rsidRDefault="007D6370" w14:paraId="48610D6A" w14:textId="09A95D81">
            <w:pPr>
              <w:widowControl/>
              <w:autoSpaceDE/>
              <w:autoSpaceDN/>
              <w:adjustRightInd/>
              <w:rPr>
                <w:rFonts w:eastAsia="Calibri"/>
                <w:szCs w:val="20"/>
              </w:rPr>
            </w:pPr>
            <w:r w:rsidRPr="00BF68F8">
              <w:rPr>
                <w:color w:val="000000" w:themeColor="text1"/>
                <w:szCs w:val="20"/>
              </w:rPr>
              <w:t>General and Operations Manager</w:t>
            </w:r>
          </w:p>
        </w:tc>
        <w:tc>
          <w:tcPr>
            <w:tcW w:w="1710" w:type="dxa"/>
            <w:vAlign w:val="center"/>
          </w:tcPr>
          <w:p w:rsidRPr="006069CA" w:rsidR="007D6370" w:rsidP="007D6370" w:rsidRDefault="007D6370" w14:paraId="4E4C79C4" w14:textId="4174D490">
            <w:pPr>
              <w:widowControl/>
              <w:autoSpaceDE/>
              <w:autoSpaceDN/>
              <w:adjustRightInd/>
              <w:jc w:val="center"/>
              <w:rPr>
                <w:rFonts w:eastAsia="Calibri"/>
                <w:szCs w:val="20"/>
              </w:rPr>
            </w:pPr>
            <w:r w:rsidRPr="00BF68F8">
              <w:rPr>
                <w:color w:val="000000" w:themeColor="text1"/>
                <w:szCs w:val="20"/>
              </w:rPr>
              <w:t>11-1021</w:t>
            </w:r>
          </w:p>
        </w:tc>
        <w:tc>
          <w:tcPr>
            <w:tcW w:w="1440" w:type="dxa"/>
            <w:vAlign w:val="center"/>
          </w:tcPr>
          <w:p w:rsidRPr="006069CA" w:rsidR="007D6370" w:rsidP="007D6370" w:rsidRDefault="007D6370" w14:paraId="66E8415F" w14:textId="3A0B62B8">
            <w:pPr>
              <w:widowControl/>
              <w:autoSpaceDE/>
              <w:autoSpaceDN/>
              <w:adjustRightInd/>
              <w:jc w:val="center"/>
              <w:rPr>
                <w:rFonts w:eastAsia="Calibri"/>
                <w:szCs w:val="20"/>
              </w:rPr>
            </w:pPr>
            <w:r w:rsidRPr="00BF68F8">
              <w:rPr>
                <w:color w:val="000000" w:themeColor="text1"/>
                <w:szCs w:val="20"/>
              </w:rPr>
              <w:t>$59.15</w:t>
            </w:r>
          </w:p>
        </w:tc>
        <w:tc>
          <w:tcPr>
            <w:tcW w:w="1495" w:type="dxa"/>
            <w:vAlign w:val="center"/>
          </w:tcPr>
          <w:p w:rsidRPr="006069CA" w:rsidR="007D6370" w:rsidP="007D6370" w:rsidRDefault="007D6370" w14:paraId="7720CC4C" w14:textId="61D6EE7B">
            <w:pPr>
              <w:widowControl/>
              <w:autoSpaceDE/>
              <w:autoSpaceDN/>
              <w:adjustRightInd/>
              <w:jc w:val="center"/>
              <w:rPr>
                <w:rFonts w:eastAsia="Calibri"/>
                <w:szCs w:val="20"/>
              </w:rPr>
            </w:pPr>
            <w:r w:rsidRPr="00BF68F8">
              <w:rPr>
                <w:color w:val="000000" w:themeColor="text1"/>
                <w:szCs w:val="20"/>
              </w:rPr>
              <w:t>$59.15</w:t>
            </w:r>
          </w:p>
        </w:tc>
        <w:tc>
          <w:tcPr>
            <w:tcW w:w="1380" w:type="dxa"/>
            <w:vAlign w:val="center"/>
          </w:tcPr>
          <w:p w:rsidRPr="006069CA" w:rsidR="007D6370" w:rsidP="007D6370" w:rsidRDefault="007D6370" w14:paraId="404A8A4D" w14:textId="0D87C306">
            <w:pPr>
              <w:widowControl/>
              <w:autoSpaceDE/>
              <w:autoSpaceDN/>
              <w:adjustRightInd/>
              <w:jc w:val="center"/>
              <w:rPr>
                <w:rFonts w:eastAsia="Calibri"/>
                <w:szCs w:val="20"/>
              </w:rPr>
            </w:pPr>
            <w:r w:rsidRPr="00BF68F8">
              <w:rPr>
                <w:color w:val="000000" w:themeColor="text1"/>
                <w:szCs w:val="20"/>
              </w:rPr>
              <w:t>$118.30</w:t>
            </w:r>
          </w:p>
        </w:tc>
      </w:tr>
      <w:tr w:rsidRPr="006069CA" w:rsidR="00C92FA7" w:rsidTr="00297522" w14:paraId="660AE398" w14:textId="77777777">
        <w:tc>
          <w:tcPr>
            <w:tcW w:w="3325" w:type="dxa"/>
            <w:vAlign w:val="center"/>
          </w:tcPr>
          <w:p w:rsidRPr="00BF68F8" w:rsidR="00C92FA7" w:rsidP="007D6370" w:rsidRDefault="00C92FA7" w14:paraId="53FCB044" w14:textId="01F42322">
            <w:pPr>
              <w:widowControl/>
              <w:autoSpaceDE/>
              <w:autoSpaceDN/>
              <w:adjustRightInd/>
              <w:rPr>
                <w:color w:val="000000" w:themeColor="text1"/>
                <w:szCs w:val="20"/>
              </w:rPr>
            </w:pPr>
            <w:r>
              <w:rPr>
                <w:color w:val="000000" w:themeColor="text1"/>
                <w:szCs w:val="20"/>
              </w:rPr>
              <w:t>Lawyer</w:t>
            </w:r>
          </w:p>
        </w:tc>
        <w:tc>
          <w:tcPr>
            <w:tcW w:w="1710" w:type="dxa"/>
            <w:vAlign w:val="center"/>
          </w:tcPr>
          <w:p w:rsidRPr="00BF68F8" w:rsidR="00C92FA7" w:rsidP="007D6370" w:rsidRDefault="00C92FA7" w14:paraId="2002FA05" w14:textId="2E52A4E0">
            <w:pPr>
              <w:widowControl/>
              <w:autoSpaceDE/>
              <w:autoSpaceDN/>
              <w:adjustRightInd/>
              <w:jc w:val="center"/>
              <w:rPr>
                <w:color w:val="000000" w:themeColor="text1"/>
                <w:szCs w:val="20"/>
              </w:rPr>
            </w:pPr>
            <w:r>
              <w:rPr>
                <w:color w:val="000000" w:themeColor="text1"/>
                <w:szCs w:val="20"/>
              </w:rPr>
              <w:t>23-1011</w:t>
            </w:r>
          </w:p>
        </w:tc>
        <w:tc>
          <w:tcPr>
            <w:tcW w:w="1440" w:type="dxa"/>
            <w:vAlign w:val="center"/>
          </w:tcPr>
          <w:p w:rsidRPr="00BF68F8" w:rsidR="00C92FA7" w:rsidP="007D6370" w:rsidRDefault="00092CEC" w14:paraId="2D3E5913" w14:textId="5CEFB782">
            <w:pPr>
              <w:widowControl/>
              <w:autoSpaceDE/>
              <w:autoSpaceDN/>
              <w:adjustRightInd/>
              <w:jc w:val="center"/>
              <w:rPr>
                <w:color w:val="000000" w:themeColor="text1"/>
                <w:szCs w:val="20"/>
              </w:rPr>
            </w:pPr>
            <w:r>
              <w:rPr>
                <w:color w:val="000000" w:themeColor="text1"/>
                <w:szCs w:val="20"/>
              </w:rPr>
              <w:t>$69.86</w:t>
            </w:r>
          </w:p>
        </w:tc>
        <w:tc>
          <w:tcPr>
            <w:tcW w:w="1495" w:type="dxa"/>
            <w:vAlign w:val="center"/>
          </w:tcPr>
          <w:p w:rsidRPr="00BF68F8" w:rsidR="00C92FA7" w:rsidP="007D6370" w:rsidRDefault="00092CEC" w14:paraId="4BEBFDC7" w14:textId="7F0BE379">
            <w:pPr>
              <w:widowControl/>
              <w:autoSpaceDE/>
              <w:autoSpaceDN/>
              <w:adjustRightInd/>
              <w:jc w:val="center"/>
              <w:rPr>
                <w:color w:val="000000" w:themeColor="text1"/>
                <w:szCs w:val="20"/>
              </w:rPr>
            </w:pPr>
            <w:r>
              <w:rPr>
                <w:color w:val="000000" w:themeColor="text1"/>
                <w:szCs w:val="20"/>
              </w:rPr>
              <w:t>$69.86</w:t>
            </w:r>
          </w:p>
        </w:tc>
        <w:tc>
          <w:tcPr>
            <w:tcW w:w="1380" w:type="dxa"/>
            <w:vAlign w:val="center"/>
          </w:tcPr>
          <w:p w:rsidRPr="00BF68F8" w:rsidR="00C92FA7" w:rsidP="007D6370" w:rsidRDefault="00092CEC" w14:paraId="377386E5" w14:textId="5DAA9929">
            <w:pPr>
              <w:widowControl/>
              <w:autoSpaceDE/>
              <w:autoSpaceDN/>
              <w:adjustRightInd/>
              <w:jc w:val="center"/>
              <w:rPr>
                <w:color w:val="000000" w:themeColor="text1"/>
                <w:szCs w:val="20"/>
              </w:rPr>
            </w:pPr>
            <w:r>
              <w:rPr>
                <w:color w:val="000000" w:themeColor="text1"/>
                <w:szCs w:val="20"/>
              </w:rPr>
              <w:t>$139.72</w:t>
            </w:r>
          </w:p>
        </w:tc>
      </w:tr>
    </w:tbl>
    <w:p w:rsidR="007B4F75" w:rsidP="00F4099F" w:rsidRDefault="007B4F75" w14:paraId="1F4167E1" w14:textId="0CD4E664">
      <w:pPr>
        <w:rPr>
          <w:bCs/>
          <w:sz w:val="24"/>
        </w:rPr>
      </w:pPr>
    </w:p>
    <w:p w:rsidRPr="006F62F6" w:rsidR="00850E9C" w:rsidP="006F62F6" w:rsidRDefault="00850E9C" w14:paraId="5E974838" w14:textId="7D62492E">
      <w:pPr>
        <w:ind w:left="432"/>
        <w:rPr>
          <w:bCs/>
          <w:sz w:val="24"/>
        </w:rPr>
      </w:pPr>
      <w:r w:rsidRPr="006F62F6">
        <w:rPr>
          <w:bCs/>
          <w:sz w:val="24"/>
          <w:u w:val="single"/>
        </w:rPr>
        <w:t xml:space="preserve">NQTL </w:t>
      </w:r>
      <w:r w:rsidRPr="006F62F6" w:rsidR="00CD33FB">
        <w:rPr>
          <w:bCs/>
          <w:sz w:val="24"/>
          <w:u w:val="single"/>
        </w:rPr>
        <w:t>a</w:t>
      </w:r>
      <w:r w:rsidRPr="006F62F6">
        <w:rPr>
          <w:bCs/>
          <w:sz w:val="24"/>
          <w:u w:val="single"/>
        </w:rPr>
        <w:t xml:space="preserve">nalysis </w:t>
      </w:r>
      <w:r w:rsidRPr="006F62F6" w:rsidR="00CD33FB">
        <w:rPr>
          <w:bCs/>
          <w:sz w:val="24"/>
          <w:u w:val="single"/>
        </w:rPr>
        <w:t>d</w:t>
      </w:r>
      <w:r w:rsidRPr="006F62F6">
        <w:rPr>
          <w:bCs/>
          <w:sz w:val="24"/>
          <w:u w:val="single"/>
        </w:rPr>
        <w:t>ocumentation</w:t>
      </w:r>
      <w:r w:rsidRPr="006F62F6" w:rsidR="004F3122">
        <w:rPr>
          <w:bCs/>
          <w:sz w:val="24"/>
          <w:u w:val="single"/>
        </w:rPr>
        <w:t xml:space="preserve"> and </w:t>
      </w:r>
      <w:r w:rsidRPr="006F62F6" w:rsidR="00CD33FB">
        <w:rPr>
          <w:bCs/>
          <w:sz w:val="24"/>
          <w:u w:val="single"/>
        </w:rPr>
        <w:t>r</w:t>
      </w:r>
      <w:r w:rsidRPr="006F62F6" w:rsidR="004F3122">
        <w:rPr>
          <w:bCs/>
          <w:sz w:val="24"/>
          <w:u w:val="single"/>
        </w:rPr>
        <w:t>ecordkeeping</w:t>
      </w:r>
      <w:r w:rsidRPr="004F3122">
        <w:rPr>
          <w:bCs/>
          <w:sz w:val="24"/>
        </w:rPr>
        <w:t>:</w:t>
      </w:r>
    </w:p>
    <w:p w:rsidR="00B94107" w:rsidP="00F4099F" w:rsidRDefault="00B94107" w14:paraId="066AC214" w14:textId="77777777">
      <w:pPr>
        <w:rPr>
          <w:bCs/>
          <w:sz w:val="24"/>
        </w:rPr>
      </w:pPr>
    </w:p>
    <w:p w:rsidR="00566AB6" w:rsidP="26249FC8" w:rsidRDefault="26249FC8" w14:paraId="311152D0" w14:textId="7FED82EA">
      <w:pPr>
        <w:ind w:left="432"/>
        <w:rPr>
          <w:sz w:val="24"/>
        </w:rPr>
      </w:pPr>
      <w:r w:rsidRPr="26249FC8">
        <w:rPr>
          <w:sz w:val="24"/>
        </w:rPr>
        <w:t>The Appropriations Act requires plans and issuers to perform and document comparative analyses for all NQTLs imposed. For an analysis to be treated as sufficient under the Appropriations Act, it must contain a detailed, written, and reasoned explanation of the specific plan terms and practices at issue, and include the bases for the plan’s or issuer’s conclusion that the NQTLs comply with MHPAEA. We expect that plans and issuers were already conducting NQTL analyses as best practice when creating benefit packages to ensure that the NQTLs are imposed in a manner that is compliant with MHPAEA. Therefore, we are only estimating the burden to comply with the additional requirements of the Appropriations Act.</w:t>
      </w:r>
    </w:p>
    <w:p w:rsidR="00C934F9" w:rsidP="00F4099F" w:rsidRDefault="00C934F9" w14:paraId="3F5871BF" w14:textId="05972BA8">
      <w:pPr>
        <w:rPr>
          <w:bCs/>
          <w:sz w:val="24"/>
        </w:rPr>
      </w:pPr>
    </w:p>
    <w:p w:rsidR="00C934F9" w:rsidP="2FE1309F" w:rsidRDefault="2FE1309F" w14:paraId="13728CEC" w14:textId="4518D004">
      <w:pPr>
        <w:ind w:left="432"/>
        <w:rPr>
          <w:sz w:val="24"/>
        </w:rPr>
      </w:pPr>
      <w:r w:rsidRPr="2FE1309F">
        <w:rPr>
          <w:sz w:val="24"/>
        </w:rPr>
        <w:t>Issuers offering individual or group health insurance coverage usually have multiple products offered in multiple states. We estimate that in the first year, for each issuer, a business operations specialist will need 72 hours (at an hourly labor cost of $77.14) and a senior manager will need 8 hours (at an hourly labor cost of $118.30) on average to document the analyses for all products</w:t>
      </w:r>
      <w:r w:rsidR="007C4D31">
        <w:rPr>
          <w:sz w:val="24"/>
        </w:rPr>
        <w:t>,</w:t>
      </w:r>
      <w:r w:rsidR="005516C3">
        <w:rPr>
          <w:sz w:val="24"/>
        </w:rPr>
        <w:t xml:space="preserve"> </w:t>
      </w:r>
      <w:r w:rsidRPr="2FE1309F">
        <w:rPr>
          <w:sz w:val="24"/>
        </w:rPr>
        <w:t>keep records</w:t>
      </w:r>
      <w:r w:rsidR="007C4D31">
        <w:rPr>
          <w:sz w:val="24"/>
        </w:rPr>
        <w:t>, and prepare the documentation for submission to HHS or state authorities upon request</w:t>
      </w:r>
      <w:r w:rsidRPr="2FE1309F">
        <w:rPr>
          <w:sz w:val="24"/>
        </w:rPr>
        <w:t xml:space="preserve">. The total burden for each issuer in the first year will be 80 hours on average, with an equivalent cost of $6,500. In subsequent years, issuers will only need to update the documentation as needed. We estimate that for each issuer, a business operations specialist will need 36 hours (at an hourly labor cost of $77.14) and a senior manager will need 4 hours (at an hourly labor cost of $118.30) on average to document and keep records of the changes. The total annual burden for each issuer in subsequent years will be 40 hours on average, with an equivalent cost of </w:t>
      </w:r>
      <w:r w:rsidR="00162CB0">
        <w:rPr>
          <w:sz w:val="24"/>
        </w:rPr>
        <w:t xml:space="preserve">approximately </w:t>
      </w:r>
      <w:r w:rsidRPr="2FE1309F">
        <w:rPr>
          <w:sz w:val="24"/>
        </w:rPr>
        <w:t>$3,</w:t>
      </w:r>
      <w:r w:rsidRPr="2FE1309F" w:rsidR="00162CB0">
        <w:rPr>
          <w:sz w:val="24"/>
        </w:rPr>
        <w:t>2</w:t>
      </w:r>
      <w:r w:rsidR="00162CB0">
        <w:rPr>
          <w:sz w:val="24"/>
        </w:rPr>
        <w:t>00</w:t>
      </w:r>
      <w:r w:rsidRPr="2FE1309F">
        <w:rPr>
          <w:sz w:val="24"/>
        </w:rPr>
        <w:t xml:space="preserve">.  </w:t>
      </w:r>
    </w:p>
    <w:p w:rsidR="00A26364" w:rsidP="00F4099F" w:rsidRDefault="00A26364" w14:paraId="3C80C1D1" w14:textId="610EECC3">
      <w:pPr>
        <w:rPr>
          <w:bCs/>
          <w:sz w:val="24"/>
        </w:rPr>
      </w:pPr>
    </w:p>
    <w:p w:rsidR="00A26364" w:rsidP="006F62F6" w:rsidRDefault="00B4089B" w14:paraId="149DD93F" w14:textId="75DCF2AF">
      <w:pPr>
        <w:ind w:left="432"/>
        <w:rPr>
          <w:bCs/>
          <w:sz w:val="24"/>
        </w:rPr>
      </w:pPr>
      <w:r>
        <w:rPr>
          <w:bCs/>
          <w:sz w:val="24"/>
        </w:rPr>
        <w:lastRenderedPageBreak/>
        <w:t xml:space="preserve">We estimate </w:t>
      </w:r>
      <w:r w:rsidR="00A26364">
        <w:rPr>
          <w:bCs/>
          <w:sz w:val="24"/>
        </w:rPr>
        <w:t xml:space="preserve">a total of </w:t>
      </w:r>
      <w:r w:rsidR="004C3154">
        <w:rPr>
          <w:bCs/>
          <w:sz w:val="24"/>
        </w:rPr>
        <w:t xml:space="preserve">473 </w:t>
      </w:r>
      <w:r w:rsidR="00A26364">
        <w:rPr>
          <w:bCs/>
          <w:sz w:val="24"/>
        </w:rPr>
        <w:t>issuers offering individual and group health coverage nationwide</w:t>
      </w:r>
      <w:r w:rsidR="00C56C64">
        <w:rPr>
          <w:bCs/>
          <w:sz w:val="24"/>
        </w:rPr>
        <w:t>, with 1,</w:t>
      </w:r>
      <w:r w:rsidR="004C3154">
        <w:rPr>
          <w:bCs/>
          <w:sz w:val="24"/>
        </w:rPr>
        <w:t xml:space="preserve">553 </w:t>
      </w:r>
      <w:r w:rsidR="00C56C64">
        <w:rPr>
          <w:bCs/>
          <w:sz w:val="24"/>
        </w:rPr>
        <w:t>issuer/state combinations offering coverage in multiple states</w:t>
      </w:r>
      <w:r w:rsidR="00A26364">
        <w:rPr>
          <w:bCs/>
          <w:sz w:val="24"/>
        </w:rPr>
        <w:t xml:space="preserve">. </w:t>
      </w:r>
      <w:r>
        <w:rPr>
          <w:bCs/>
          <w:sz w:val="24"/>
        </w:rPr>
        <w:t>We estimate that f</w:t>
      </w:r>
      <w:r w:rsidR="00A26364">
        <w:rPr>
          <w:bCs/>
          <w:sz w:val="24"/>
        </w:rPr>
        <w:t>or all issuers</w:t>
      </w:r>
      <w:r w:rsidR="00C56C64">
        <w:rPr>
          <w:bCs/>
          <w:sz w:val="24"/>
        </w:rPr>
        <w:t xml:space="preserve"> in all states</w:t>
      </w:r>
      <w:r w:rsidR="00A26364">
        <w:rPr>
          <w:bCs/>
          <w:sz w:val="24"/>
        </w:rPr>
        <w:t xml:space="preserve">, the total burden in the first year will be </w:t>
      </w:r>
      <w:r w:rsidR="004C3154">
        <w:rPr>
          <w:bCs/>
          <w:sz w:val="24"/>
        </w:rPr>
        <w:t>124,240</w:t>
      </w:r>
      <w:r w:rsidR="00A26364">
        <w:rPr>
          <w:bCs/>
          <w:sz w:val="24"/>
        </w:rPr>
        <w:t xml:space="preserve"> hours with an equivalent cost of </w:t>
      </w:r>
      <w:r w:rsidR="00DE1AAD">
        <w:rPr>
          <w:bCs/>
          <w:sz w:val="24"/>
        </w:rPr>
        <w:t xml:space="preserve">approximately </w:t>
      </w:r>
      <w:r w:rsidR="00A26364">
        <w:rPr>
          <w:bCs/>
          <w:sz w:val="24"/>
        </w:rPr>
        <w:t>$</w:t>
      </w:r>
      <w:r w:rsidR="00C56C64">
        <w:rPr>
          <w:bCs/>
          <w:sz w:val="24"/>
        </w:rPr>
        <w:t>10</w:t>
      </w:r>
      <w:r w:rsidR="00DE1AAD">
        <w:rPr>
          <w:bCs/>
          <w:sz w:val="24"/>
        </w:rPr>
        <w:t xml:space="preserve"> million</w:t>
      </w:r>
      <w:r w:rsidR="00A26364">
        <w:rPr>
          <w:bCs/>
          <w:sz w:val="24"/>
        </w:rPr>
        <w:t xml:space="preserve">. In subsequent years, </w:t>
      </w:r>
      <w:r>
        <w:rPr>
          <w:bCs/>
          <w:sz w:val="24"/>
        </w:rPr>
        <w:t xml:space="preserve">we estimate the </w:t>
      </w:r>
      <w:r w:rsidR="00A26364">
        <w:rPr>
          <w:bCs/>
          <w:sz w:val="24"/>
        </w:rPr>
        <w:t xml:space="preserve">total annual burden for all issuers will be </w:t>
      </w:r>
      <w:r w:rsidR="004C3154">
        <w:rPr>
          <w:bCs/>
          <w:sz w:val="24"/>
        </w:rPr>
        <w:t>62,120</w:t>
      </w:r>
      <w:r w:rsidR="00A26364">
        <w:rPr>
          <w:bCs/>
          <w:sz w:val="24"/>
        </w:rPr>
        <w:t xml:space="preserve"> hours, with an equivalent cost of </w:t>
      </w:r>
      <w:r w:rsidR="00C56C64">
        <w:rPr>
          <w:bCs/>
          <w:sz w:val="24"/>
        </w:rPr>
        <w:t xml:space="preserve">approximately </w:t>
      </w:r>
      <w:r w:rsidR="00A26364">
        <w:rPr>
          <w:bCs/>
          <w:sz w:val="24"/>
        </w:rPr>
        <w:t>$</w:t>
      </w:r>
      <w:r w:rsidR="00DE1AAD">
        <w:rPr>
          <w:bCs/>
          <w:sz w:val="24"/>
        </w:rPr>
        <w:t>5 million</w:t>
      </w:r>
      <w:r w:rsidR="00A26364">
        <w:rPr>
          <w:bCs/>
          <w:sz w:val="24"/>
        </w:rPr>
        <w:t>.</w:t>
      </w:r>
      <w:r w:rsidR="00DE1AAD">
        <w:rPr>
          <w:bCs/>
          <w:sz w:val="24"/>
        </w:rPr>
        <w:t xml:space="preserve"> </w:t>
      </w:r>
      <w:r>
        <w:rPr>
          <w:bCs/>
          <w:sz w:val="24"/>
        </w:rPr>
        <w:t>We estimate t</w:t>
      </w:r>
      <w:r w:rsidR="00DE1AAD">
        <w:rPr>
          <w:bCs/>
          <w:sz w:val="24"/>
        </w:rPr>
        <w:t xml:space="preserve">he average burden over 3 years will be approximately </w:t>
      </w:r>
      <w:r w:rsidR="00C56C64">
        <w:rPr>
          <w:bCs/>
          <w:sz w:val="24"/>
        </w:rPr>
        <w:t>82,</w:t>
      </w:r>
      <w:r w:rsidR="00327899">
        <w:rPr>
          <w:bCs/>
          <w:sz w:val="24"/>
        </w:rPr>
        <w:t xml:space="preserve">827 </w:t>
      </w:r>
      <w:r w:rsidR="00DE1AAD">
        <w:rPr>
          <w:bCs/>
          <w:sz w:val="24"/>
        </w:rPr>
        <w:t xml:space="preserve">hours, with an equivalent cost of </w:t>
      </w:r>
      <w:r w:rsidR="00162CB0">
        <w:rPr>
          <w:bCs/>
          <w:sz w:val="24"/>
        </w:rPr>
        <w:t xml:space="preserve">approximately </w:t>
      </w:r>
      <w:r w:rsidR="00DE1AAD">
        <w:rPr>
          <w:bCs/>
          <w:sz w:val="24"/>
        </w:rPr>
        <w:t>$</w:t>
      </w:r>
      <w:r w:rsidR="00C56C64">
        <w:rPr>
          <w:bCs/>
          <w:sz w:val="24"/>
        </w:rPr>
        <w:t>6.7</w:t>
      </w:r>
      <w:r w:rsidR="00DE1AAD">
        <w:rPr>
          <w:bCs/>
          <w:sz w:val="24"/>
        </w:rPr>
        <w:t xml:space="preserve"> million.</w:t>
      </w:r>
    </w:p>
    <w:p w:rsidR="00A26364" w:rsidP="00F4099F" w:rsidRDefault="00A26364" w14:paraId="35FBFEFC" w14:textId="68B1C111">
      <w:pPr>
        <w:rPr>
          <w:bCs/>
          <w:sz w:val="24"/>
        </w:rPr>
      </w:pPr>
    </w:p>
    <w:p w:rsidR="00A26364" w:rsidP="0125BF5F" w:rsidRDefault="280DC9D2" w14:paraId="06488E08" w14:textId="1E95E53D">
      <w:pPr>
        <w:ind w:left="432"/>
        <w:rPr>
          <w:sz w:val="24"/>
        </w:rPr>
      </w:pPr>
      <w:r w:rsidRPr="280DC9D2">
        <w:rPr>
          <w:sz w:val="24"/>
        </w:rPr>
        <w:t>Sponsors of self-funded non-federal governmental plans are responsible for performing and documenting their analyses. We estimate that for each plan sponsor, a business operations specialist will need 32 hours (at an hourly labor cost of $77.14) and a senior manager will need 8 hours (at an hourly labor cost of $118.30) on average to document the analyses for their plan</w:t>
      </w:r>
      <w:r w:rsidR="007C4D31">
        <w:rPr>
          <w:sz w:val="24"/>
        </w:rPr>
        <w:t>,</w:t>
      </w:r>
      <w:r w:rsidRPr="280DC9D2">
        <w:rPr>
          <w:sz w:val="24"/>
        </w:rPr>
        <w:t xml:space="preserve"> keep records</w:t>
      </w:r>
      <w:r w:rsidR="007C4D31">
        <w:rPr>
          <w:sz w:val="24"/>
        </w:rPr>
        <w:t>,</w:t>
      </w:r>
      <w:r w:rsidRPr="007C4D31" w:rsidR="007C4D31">
        <w:t xml:space="preserve"> </w:t>
      </w:r>
      <w:r w:rsidRPr="007C4D31" w:rsidR="007C4D31">
        <w:rPr>
          <w:sz w:val="24"/>
        </w:rPr>
        <w:t>and prepare the documentation for submission to HHS or state authorities upon request</w:t>
      </w:r>
      <w:r w:rsidRPr="280DC9D2">
        <w:rPr>
          <w:sz w:val="24"/>
        </w:rPr>
        <w:t xml:space="preserve">. We estimate the total burden for each plan sponsor in the first year will be 40 hours on average, with an equivalent cost of </w:t>
      </w:r>
      <w:r w:rsidR="00162CB0">
        <w:rPr>
          <w:sz w:val="24"/>
        </w:rPr>
        <w:t xml:space="preserve">approximately </w:t>
      </w:r>
      <w:r w:rsidRPr="280DC9D2">
        <w:rPr>
          <w:sz w:val="24"/>
        </w:rPr>
        <w:t>$3,</w:t>
      </w:r>
      <w:r w:rsidRPr="280DC9D2" w:rsidR="00162CB0">
        <w:rPr>
          <w:sz w:val="24"/>
        </w:rPr>
        <w:t>4</w:t>
      </w:r>
      <w:r w:rsidR="00162CB0">
        <w:rPr>
          <w:sz w:val="24"/>
        </w:rPr>
        <w:t>00</w:t>
      </w:r>
      <w:r w:rsidRPr="280DC9D2">
        <w:rPr>
          <w:sz w:val="24"/>
        </w:rPr>
        <w:t xml:space="preserve">. In subsequent years, plan sponsors will only need to update the documentation as needed. We estimate that for each plan sponsor, a business operations specialist will need 16 hours (at an hourly labor cost of $77.14) and a senior manager will need 4 hours (at an hourly labor cost of $118.30) on average to document and keep records of the changes. We estimate the total annual burden for each issuer in subsequent years will be 20 hours on average, with an equivalent cost of </w:t>
      </w:r>
      <w:r w:rsidR="00162CB0">
        <w:rPr>
          <w:sz w:val="24"/>
        </w:rPr>
        <w:t xml:space="preserve">approximately </w:t>
      </w:r>
      <w:r w:rsidRPr="280DC9D2">
        <w:rPr>
          <w:sz w:val="24"/>
        </w:rPr>
        <w:t>$1,</w:t>
      </w:r>
      <w:r w:rsidRPr="280DC9D2" w:rsidR="00162CB0">
        <w:rPr>
          <w:sz w:val="24"/>
        </w:rPr>
        <w:t>70</w:t>
      </w:r>
      <w:r w:rsidR="00162CB0">
        <w:rPr>
          <w:sz w:val="24"/>
        </w:rPr>
        <w:t>0</w:t>
      </w:r>
      <w:r w:rsidRPr="280DC9D2">
        <w:rPr>
          <w:sz w:val="24"/>
        </w:rPr>
        <w:t xml:space="preserve">. </w:t>
      </w:r>
    </w:p>
    <w:p w:rsidR="00566AB6" w:rsidP="00F4099F" w:rsidRDefault="00566AB6" w14:paraId="3C48837B" w14:textId="1FF13DFC">
      <w:pPr>
        <w:rPr>
          <w:bCs/>
          <w:sz w:val="24"/>
        </w:rPr>
      </w:pPr>
    </w:p>
    <w:p w:rsidR="0033013B" w:rsidP="2A6CF41D" w:rsidRDefault="2A6CF41D" w14:paraId="04E3AB1E" w14:textId="5FB60FD6">
      <w:pPr>
        <w:ind w:left="432"/>
        <w:rPr>
          <w:sz w:val="24"/>
        </w:rPr>
      </w:pPr>
      <w:r w:rsidRPr="2A6CF41D">
        <w:rPr>
          <w:sz w:val="24"/>
        </w:rPr>
        <w:t xml:space="preserve">We estimate that there are </w:t>
      </w:r>
      <w:r w:rsidRPr="004B3BA6">
        <w:rPr>
          <w:sz w:val="24"/>
        </w:rPr>
        <w:t>34,87</w:t>
      </w:r>
      <w:r w:rsidR="000159BD">
        <w:rPr>
          <w:sz w:val="24"/>
        </w:rPr>
        <w:t>9</w:t>
      </w:r>
      <w:r w:rsidRPr="004B3BA6">
        <w:rPr>
          <w:sz w:val="24"/>
        </w:rPr>
        <w:t xml:space="preserve"> self-funded non-federal governmental plans</w:t>
      </w:r>
      <w:r w:rsidRPr="2A6CF41D">
        <w:rPr>
          <w:sz w:val="24"/>
        </w:rPr>
        <w:t>. We estimate that for all plan sponsors, the total burden in the first year will be 1,395,1</w:t>
      </w:r>
      <w:r w:rsidR="000159BD">
        <w:rPr>
          <w:sz w:val="24"/>
        </w:rPr>
        <w:t>6</w:t>
      </w:r>
      <w:r w:rsidRPr="2A6CF41D">
        <w:rPr>
          <w:sz w:val="24"/>
        </w:rPr>
        <w:t xml:space="preserve">0 hours with an equivalent cost of </w:t>
      </w:r>
      <w:r w:rsidR="00162CB0">
        <w:rPr>
          <w:sz w:val="24"/>
        </w:rPr>
        <w:t xml:space="preserve">approximately </w:t>
      </w:r>
      <w:r w:rsidRPr="2A6CF41D">
        <w:rPr>
          <w:sz w:val="24"/>
        </w:rPr>
        <w:t>$119 million. In subsequent years, we estimate the total annual burden for all plan sponsors will be 697,5</w:t>
      </w:r>
      <w:r w:rsidR="000159BD">
        <w:rPr>
          <w:sz w:val="24"/>
        </w:rPr>
        <w:t>8</w:t>
      </w:r>
      <w:r w:rsidRPr="2A6CF41D">
        <w:rPr>
          <w:sz w:val="24"/>
        </w:rPr>
        <w:t xml:space="preserve">0 hours, with an equivalent cost of </w:t>
      </w:r>
      <w:r w:rsidR="00162CB0">
        <w:rPr>
          <w:sz w:val="24"/>
        </w:rPr>
        <w:t xml:space="preserve">approximately </w:t>
      </w:r>
      <w:r w:rsidRPr="2A6CF41D">
        <w:rPr>
          <w:sz w:val="24"/>
        </w:rPr>
        <w:t>$59.</w:t>
      </w:r>
      <w:r w:rsidR="000159BD">
        <w:rPr>
          <w:sz w:val="24"/>
        </w:rPr>
        <w:t>6</w:t>
      </w:r>
      <w:r w:rsidRPr="2A6CF41D">
        <w:rPr>
          <w:sz w:val="24"/>
        </w:rPr>
        <w:t xml:space="preserve"> million. We estimate the average burden over 3 years will be approximately 930,</w:t>
      </w:r>
      <w:r w:rsidR="000159BD">
        <w:rPr>
          <w:sz w:val="24"/>
        </w:rPr>
        <w:t>100</w:t>
      </w:r>
      <w:r w:rsidRPr="2A6CF41D">
        <w:rPr>
          <w:sz w:val="24"/>
        </w:rPr>
        <w:t xml:space="preserve"> hours, with an equivalent cost of </w:t>
      </w:r>
      <w:r w:rsidR="00162CB0">
        <w:rPr>
          <w:sz w:val="24"/>
        </w:rPr>
        <w:t xml:space="preserve">approximately </w:t>
      </w:r>
      <w:r w:rsidRPr="2A6CF41D">
        <w:rPr>
          <w:sz w:val="24"/>
        </w:rPr>
        <w:t>$79.4 million</w:t>
      </w:r>
    </w:p>
    <w:p w:rsidR="00087A63" w:rsidP="006F62F6" w:rsidRDefault="00087A63" w14:paraId="139D68EC" w14:textId="5BA42293">
      <w:pPr>
        <w:ind w:left="432"/>
        <w:rPr>
          <w:bCs/>
          <w:sz w:val="24"/>
        </w:rPr>
      </w:pPr>
    </w:p>
    <w:p w:rsidRPr="00FD3355" w:rsidR="00087A63" w:rsidP="2FE1309F" w:rsidRDefault="2FE1309F" w14:paraId="42CF505F" w14:textId="5D1B6672">
      <w:pPr>
        <w:ind w:left="432"/>
        <w:rPr>
          <w:sz w:val="24"/>
          <w:u w:val="single"/>
        </w:rPr>
      </w:pPr>
      <w:r w:rsidRPr="00FD3355">
        <w:rPr>
          <w:sz w:val="24"/>
          <w:u w:val="single"/>
        </w:rPr>
        <w:t>TABLE 2: Annual Burden for Issuers</w:t>
      </w:r>
      <w:r w:rsidRPr="00FD3355" w:rsidR="007F4C5C">
        <w:rPr>
          <w:sz w:val="24"/>
          <w:u w:val="single"/>
        </w:rPr>
        <w:t xml:space="preserve"> related to NQTL analysis documentation and recordkeeping</w:t>
      </w:r>
    </w:p>
    <w:p w:rsidRPr="004B3BA6" w:rsidR="00087A63" w:rsidP="2FE1309F" w:rsidRDefault="00087A63" w14:paraId="7A51FA39" w14:textId="76FA43D6">
      <w:pPr>
        <w:ind w:left="432"/>
        <w:rPr>
          <w:sz w:val="24"/>
        </w:rPr>
      </w:pPr>
    </w:p>
    <w:tbl>
      <w:tblPr>
        <w:tblStyle w:val="TableGrid"/>
        <w:tblW w:w="0" w:type="auto"/>
        <w:tblInd w:w="432" w:type="dxa"/>
        <w:tblLook w:val="04A0" w:firstRow="1" w:lastRow="0" w:firstColumn="1" w:lastColumn="0" w:noHBand="0" w:noVBand="1"/>
      </w:tblPr>
      <w:tblGrid>
        <w:gridCol w:w="1755"/>
        <w:gridCol w:w="1812"/>
        <w:gridCol w:w="1783"/>
        <w:gridCol w:w="1776"/>
        <w:gridCol w:w="1792"/>
      </w:tblGrid>
      <w:tr w:rsidRPr="004B3BA6" w:rsidR="00F870CB" w:rsidTr="2FE1309F" w14:paraId="47E79B05" w14:textId="77777777">
        <w:tc>
          <w:tcPr>
            <w:tcW w:w="1755" w:type="dxa"/>
          </w:tcPr>
          <w:p w:rsidRPr="004B3BA6" w:rsidR="00087A63" w:rsidP="2FE1309F" w:rsidRDefault="2FE1309F" w14:paraId="0C891AFC" w14:textId="16457EA4">
            <w:pPr>
              <w:jc w:val="center"/>
              <w:rPr>
                <w:sz w:val="24"/>
              </w:rPr>
            </w:pPr>
            <w:r w:rsidRPr="004B3BA6">
              <w:rPr>
                <w:sz w:val="24"/>
              </w:rPr>
              <w:t>Year</w:t>
            </w:r>
          </w:p>
        </w:tc>
        <w:tc>
          <w:tcPr>
            <w:tcW w:w="1812" w:type="dxa"/>
          </w:tcPr>
          <w:p w:rsidRPr="004B3BA6" w:rsidR="00087A63" w:rsidP="2FE1309F" w:rsidRDefault="2FE1309F" w14:paraId="02DCDE16" w14:textId="34A98B6C">
            <w:pPr>
              <w:jc w:val="center"/>
              <w:rPr>
                <w:sz w:val="24"/>
              </w:rPr>
            </w:pPr>
            <w:r w:rsidRPr="004B3BA6">
              <w:rPr>
                <w:sz w:val="24"/>
              </w:rPr>
              <w:t>Number of Respondents</w:t>
            </w:r>
          </w:p>
        </w:tc>
        <w:tc>
          <w:tcPr>
            <w:tcW w:w="1783" w:type="dxa"/>
          </w:tcPr>
          <w:p w:rsidRPr="004B3BA6" w:rsidR="00087A63" w:rsidP="2FE1309F" w:rsidRDefault="2FE1309F" w14:paraId="6E40AFBB" w14:textId="6C664B7A">
            <w:pPr>
              <w:jc w:val="center"/>
              <w:rPr>
                <w:sz w:val="24"/>
              </w:rPr>
            </w:pPr>
            <w:r w:rsidRPr="004B3BA6">
              <w:rPr>
                <w:sz w:val="24"/>
              </w:rPr>
              <w:t>Number of Responses</w:t>
            </w:r>
          </w:p>
        </w:tc>
        <w:tc>
          <w:tcPr>
            <w:tcW w:w="1776" w:type="dxa"/>
          </w:tcPr>
          <w:p w:rsidRPr="004B3BA6" w:rsidR="00087A63" w:rsidP="00755411" w:rsidRDefault="2FE1309F" w14:paraId="42A28C8D" w14:textId="30EAB09D">
            <w:pPr>
              <w:jc w:val="center"/>
              <w:rPr>
                <w:sz w:val="24"/>
              </w:rPr>
            </w:pPr>
            <w:r w:rsidRPr="004B3BA6">
              <w:rPr>
                <w:sz w:val="24"/>
              </w:rPr>
              <w:t>Total Estimated Annual Burden</w:t>
            </w:r>
            <w:r w:rsidR="00755411">
              <w:rPr>
                <w:sz w:val="24"/>
              </w:rPr>
              <w:t xml:space="preserve"> (Hours)</w:t>
            </w:r>
          </w:p>
        </w:tc>
        <w:tc>
          <w:tcPr>
            <w:tcW w:w="1792" w:type="dxa"/>
          </w:tcPr>
          <w:p w:rsidRPr="004B3BA6" w:rsidR="00087A63" w:rsidP="2FE1309F" w:rsidRDefault="2FE1309F" w14:paraId="70F6D21D" w14:textId="56103E16">
            <w:pPr>
              <w:jc w:val="center"/>
              <w:rPr>
                <w:sz w:val="24"/>
              </w:rPr>
            </w:pPr>
            <w:r w:rsidRPr="004B3BA6">
              <w:rPr>
                <w:sz w:val="24"/>
              </w:rPr>
              <w:t>Total Estimated Labor Cost</w:t>
            </w:r>
          </w:p>
        </w:tc>
      </w:tr>
      <w:tr w:rsidRPr="004B3BA6" w:rsidR="00F870CB" w:rsidTr="00C908A2" w14:paraId="08832CCC" w14:textId="77777777">
        <w:tc>
          <w:tcPr>
            <w:tcW w:w="1755" w:type="dxa"/>
            <w:vAlign w:val="center"/>
          </w:tcPr>
          <w:p w:rsidRPr="004B3BA6" w:rsidR="00625353" w:rsidP="2FE1309F" w:rsidRDefault="2FE1309F" w14:paraId="1B32EBA8" w14:textId="0222D4B6">
            <w:pPr>
              <w:jc w:val="center"/>
              <w:rPr>
                <w:sz w:val="24"/>
              </w:rPr>
            </w:pPr>
            <w:r w:rsidRPr="004B3BA6">
              <w:rPr>
                <w:sz w:val="24"/>
              </w:rPr>
              <w:t>2021</w:t>
            </w:r>
          </w:p>
        </w:tc>
        <w:tc>
          <w:tcPr>
            <w:tcW w:w="1812" w:type="dxa"/>
            <w:vAlign w:val="center"/>
          </w:tcPr>
          <w:p w:rsidRPr="001E3CA7" w:rsidR="00625353" w:rsidP="00C908A2" w:rsidRDefault="001E3CA7" w14:paraId="0B874189" w14:textId="24EAECC2">
            <w:pPr>
              <w:jc w:val="center"/>
              <w:rPr>
                <w:sz w:val="24"/>
              </w:rPr>
            </w:pPr>
            <w:r>
              <w:rPr>
                <w:sz w:val="24"/>
              </w:rPr>
              <w:t>1,553</w:t>
            </w:r>
          </w:p>
        </w:tc>
        <w:tc>
          <w:tcPr>
            <w:tcW w:w="1783" w:type="dxa"/>
            <w:vAlign w:val="center"/>
          </w:tcPr>
          <w:p w:rsidRPr="001E3CA7" w:rsidR="00625353" w:rsidP="00C908A2" w:rsidRDefault="001E3CA7" w14:paraId="5EE9CC68" w14:textId="638994D5">
            <w:pPr>
              <w:jc w:val="center"/>
              <w:rPr>
                <w:sz w:val="24"/>
              </w:rPr>
            </w:pPr>
            <w:r>
              <w:rPr>
                <w:sz w:val="24"/>
              </w:rPr>
              <w:t>1,553</w:t>
            </w:r>
          </w:p>
        </w:tc>
        <w:tc>
          <w:tcPr>
            <w:tcW w:w="1776" w:type="dxa"/>
            <w:vAlign w:val="center"/>
          </w:tcPr>
          <w:p w:rsidRPr="001E3CA7" w:rsidR="00625353" w:rsidP="00C908A2" w:rsidRDefault="001E3CA7" w14:paraId="4A538EFE" w14:textId="301F9EB9">
            <w:pPr>
              <w:jc w:val="center"/>
              <w:rPr>
                <w:sz w:val="24"/>
              </w:rPr>
            </w:pPr>
            <w:r>
              <w:rPr>
                <w:sz w:val="24"/>
              </w:rPr>
              <w:t>124,240</w:t>
            </w:r>
          </w:p>
        </w:tc>
        <w:tc>
          <w:tcPr>
            <w:tcW w:w="1792" w:type="dxa"/>
            <w:vAlign w:val="center"/>
          </w:tcPr>
          <w:p w:rsidRPr="004B3BA6" w:rsidR="00625353" w:rsidP="00C908A2" w:rsidRDefault="001E3CA7" w14:paraId="02A17E9E" w14:textId="1DE2A7DF">
            <w:pPr>
              <w:jc w:val="center"/>
              <w:rPr>
                <w:sz w:val="24"/>
              </w:rPr>
            </w:pPr>
            <w:r>
              <w:rPr>
                <w:sz w:val="24"/>
              </w:rPr>
              <w:t>$10,095,245</w:t>
            </w:r>
          </w:p>
        </w:tc>
      </w:tr>
      <w:tr w:rsidRPr="004B3BA6" w:rsidR="00F870CB" w:rsidTr="00C908A2" w14:paraId="579A0AA7" w14:textId="77777777">
        <w:tc>
          <w:tcPr>
            <w:tcW w:w="1755" w:type="dxa"/>
            <w:vAlign w:val="center"/>
          </w:tcPr>
          <w:p w:rsidRPr="004B3BA6" w:rsidR="00625353" w:rsidP="2FE1309F" w:rsidRDefault="2FE1309F" w14:paraId="2B5A46D6" w14:textId="703893C2">
            <w:pPr>
              <w:jc w:val="center"/>
              <w:rPr>
                <w:sz w:val="24"/>
              </w:rPr>
            </w:pPr>
            <w:r w:rsidRPr="004B3BA6">
              <w:rPr>
                <w:sz w:val="24"/>
              </w:rPr>
              <w:t>2022</w:t>
            </w:r>
          </w:p>
        </w:tc>
        <w:tc>
          <w:tcPr>
            <w:tcW w:w="1812" w:type="dxa"/>
            <w:vAlign w:val="center"/>
          </w:tcPr>
          <w:p w:rsidRPr="001E3CA7" w:rsidR="00625353" w:rsidP="00C908A2" w:rsidRDefault="001E3CA7" w14:paraId="415C371B" w14:textId="4818F5E6">
            <w:pPr>
              <w:jc w:val="center"/>
              <w:rPr>
                <w:sz w:val="24"/>
              </w:rPr>
            </w:pPr>
            <w:r>
              <w:rPr>
                <w:sz w:val="24"/>
              </w:rPr>
              <w:t>1,553</w:t>
            </w:r>
          </w:p>
        </w:tc>
        <w:tc>
          <w:tcPr>
            <w:tcW w:w="1783" w:type="dxa"/>
            <w:vAlign w:val="center"/>
          </w:tcPr>
          <w:p w:rsidRPr="001E3CA7" w:rsidR="00625353" w:rsidP="00C908A2" w:rsidRDefault="001E3CA7" w14:paraId="09BADA52" w14:textId="009E5878">
            <w:pPr>
              <w:jc w:val="center"/>
              <w:rPr>
                <w:sz w:val="24"/>
              </w:rPr>
            </w:pPr>
            <w:r>
              <w:rPr>
                <w:sz w:val="24"/>
              </w:rPr>
              <w:t>1,553</w:t>
            </w:r>
          </w:p>
        </w:tc>
        <w:tc>
          <w:tcPr>
            <w:tcW w:w="1776" w:type="dxa"/>
            <w:vAlign w:val="center"/>
          </w:tcPr>
          <w:p w:rsidRPr="001E3CA7" w:rsidR="00625353" w:rsidP="00C908A2" w:rsidRDefault="001E3CA7" w14:paraId="60562CF1" w14:textId="55B493E3">
            <w:pPr>
              <w:jc w:val="center"/>
              <w:rPr>
                <w:sz w:val="24"/>
              </w:rPr>
            </w:pPr>
            <w:r>
              <w:rPr>
                <w:sz w:val="24"/>
              </w:rPr>
              <w:t>62,120</w:t>
            </w:r>
          </w:p>
        </w:tc>
        <w:tc>
          <w:tcPr>
            <w:tcW w:w="1792" w:type="dxa"/>
            <w:vAlign w:val="center"/>
          </w:tcPr>
          <w:p w:rsidRPr="004B3BA6" w:rsidR="00625353" w:rsidP="00C908A2" w:rsidRDefault="001E3CA7" w14:paraId="6506F962" w14:textId="5225436C">
            <w:pPr>
              <w:jc w:val="center"/>
              <w:rPr>
                <w:sz w:val="24"/>
              </w:rPr>
            </w:pPr>
            <w:r>
              <w:rPr>
                <w:sz w:val="24"/>
              </w:rPr>
              <w:t>$5,047,623</w:t>
            </w:r>
          </w:p>
        </w:tc>
      </w:tr>
      <w:tr w:rsidRPr="004B3BA6" w:rsidR="00F870CB" w:rsidTr="00C908A2" w14:paraId="7389CA45" w14:textId="77777777">
        <w:tc>
          <w:tcPr>
            <w:tcW w:w="1755" w:type="dxa"/>
            <w:vAlign w:val="center"/>
          </w:tcPr>
          <w:p w:rsidRPr="004B3BA6" w:rsidR="00625353" w:rsidP="2FE1309F" w:rsidRDefault="2FE1309F" w14:paraId="4B9791A4" w14:textId="0700930E">
            <w:pPr>
              <w:jc w:val="center"/>
              <w:rPr>
                <w:sz w:val="24"/>
              </w:rPr>
            </w:pPr>
            <w:r w:rsidRPr="004B3BA6">
              <w:rPr>
                <w:sz w:val="24"/>
              </w:rPr>
              <w:t>2023</w:t>
            </w:r>
          </w:p>
        </w:tc>
        <w:tc>
          <w:tcPr>
            <w:tcW w:w="1812" w:type="dxa"/>
            <w:vAlign w:val="center"/>
          </w:tcPr>
          <w:p w:rsidRPr="001E3CA7" w:rsidR="00625353" w:rsidP="00C908A2" w:rsidRDefault="001E3CA7" w14:paraId="10BB2CC7" w14:textId="0B9A5053">
            <w:pPr>
              <w:jc w:val="center"/>
              <w:rPr>
                <w:sz w:val="24"/>
              </w:rPr>
            </w:pPr>
            <w:r>
              <w:rPr>
                <w:sz w:val="24"/>
              </w:rPr>
              <w:t>1,553</w:t>
            </w:r>
          </w:p>
        </w:tc>
        <w:tc>
          <w:tcPr>
            <w:tcW w:w="1783" w:type="dxa"/>
            <w:vAlign w:val="center"/>
          </w:tcPr>
          <w:p w:rsidRPr="001E3CA7" w:rsidR="00625353" w:rsidP="00C908A2" w:rsidRDefault="001E3CA7" w14:paraId="77B18CDB" w14:textId="3A082B76">
            <w:pPr>
              <w:jc w:val="center"/>
              <w:rPr>
                <w:sz w:val="24"/>
              </w:rPr>
            </w:pPr>
            <w:r>
              <w:rPr>
                <w:sz w:val="24"/>
              </w:rPr>
              <w:t>1,553</w:t>
            </w:r>
          </w:p>
        </w:tc>
        <w:tc>
          <w:tcPr>
            <w:tcW w:w="1776" w:type="dxa"/>
            <w:vAlign w:val="center"/>
          </w:tcPr>
          <w:p w:rsidRPr="001E3CA7" w:rsidR="00625353" w:rsidP="00C908A2" w:rsidRDefault="001E3CA7" w14:paraId="7175A118" w14:textId="66782741">
            <w:pPr>
              <w:jc w:val="center"/>
              <w:rPr>
                <w:sz w:val="24"/>
              </w:rPr>
            </w:pPr>
            <w:r>
              <w:rPr>
                <w:sz w:val="24"/>
              </w:rPr>
              <w:t>62,120</w:t>
            </w:r>
          </w:p>
        </w:tc>
        <w:tc>
          <w:tcPr>
            <w:tcW w:w="1792" w:type="dxa"/>
            <w:vAlign w:val="center"/>
          </w:tcPr>
          <w:p w:rsidRPr="004B3BA6" w:rsidR="00625353" w:rsidP="00C908A2" w:rsidRDefault="001E3CA7" w14:paraId="48B21984" w14:textId="5BA69CE8">
            <w:pPr>
              <w:jc w:val="center"/>
              <w:rPr>
                <w:sz w:val="24"/>
              </w:rPr>
            </w:pPr>
            <w:r>
              <w:rPr>
                <w:sz w:val="24"/>
              </w:rPr>
              <w:t>$5,047,623</w:t>
            </w:r>
          </w:p>
        </w:tc>
      </w:tr>
      <w:tr w:rsidRPr="004B3BA6" w:rsidR="00F870CB" w:rsidTr="00C908A2" w14:paraId="2296A8F8" w14:textId="77777777">
        <w:tc>
          <w:tcPr>
            <w:tcW w:w="1755" w:type="dxa"/>
            <w:vAlign w:val="center"/>
          </w:tcPr>
          <w:p w:rsidRPr="004B3BA6" w:rsidR="00625353" w:rsidP="2FE1309F" w:rsidRDefault="2FE1309F" w14:paraId="0821B9CC" w14:textId="7DB7665B">
            <w:pPr>
              <w:jc w:val="center"/>
              <w:rPr>
                <w:sz w:val="24"/>
              </w:rPr>
            </w:pPr>
            <w:r w:rsidRPr="004B3BA6">
              <w:rPr>
                <w:sz w:val="24"/>
              </w:rPr>
              <w:t>3  year Average</w:t>
            </w:r>
          </w:p>
        </w:tc>
        <w:tc>
          <w:tcPr>
            <w:tcW w:w="1812" w:type="dxa"/>
            <w:vAlign w:val="center"/>
          </w:tcPr>
          <w:p w:rsidRPr="001E3CA7" w:rsidR="00625353" w:rsidP="00C908A2" w:rsidRDefault="001E3CA7" w14:paraId="10E17CFC" w14:textId="2A86DD34">
            <w:pPr>
              <w:jc w:val="center"/>
              <w:rPr>
                <w:sz w:val="24"/>
              </w:rPr>
            </w:pPr>
            <w:r>
              <w:rPr>
                <w:sz w:val="24"/>
              </w:rPr>
              <w:t>1,553</w:t>
            </w:r>
          </w:p>
        </w:tc>
        <w:tc>
          <w:tcPr>
            <w:tcW w:w="1783" w:type="dxa"/>
            <w:vAlign w:val="center"/>
          </w:tcPr>
          <w:p w:rsidRPr="001E3CA7" w:rsidR="00625353" w:rsidP="00C908A2" w:rsidRDefault="001E3CA7" w14:paraId="35849A07" w14:textId="12E0DFA5">
            <w:pPr>
              <w:jc w:val="center"/>
              <w:rPr>
                <w:sz w:val="24"/>
              </w:rPr>
            </w:pPr>
            <w:r>
              <w:rPr>
                <w:sz w:val="24"/>
              </w:rPr>
              <w:t>1,553</w:t>
            </w:r>
          </w:p>
        </w:tc>
        <w:tc>
          <w:tcPr>
            <w:tcW w:w="1776" w:type="dxa"/>
            <w:vAlign w:val="center"/>
          </w:tcPr>
          <w:p w:rsidRPr="001E3CA7" w:rsidR="00625353" w:rsidP="00C908A2" w:rsidRDefault="001E3CA7" w14:paraId="3B15C726" w14:textId="1D27FD7B">
            <w:pPr>
              <w:jc w:val="center"/>
              <w:rPr>
                <w:sz w:val="24"/>
              </w:rPr>
            </w:pPr>
            <w:r>
              <w:rPr>
                <w:sz w:val="24"/>
              </w:rPr>
              <w:t>82,</w:t>
            </w:r>
            <w:r w:rsidR="00327899">
              <w:rPr>
                <w:sz w:val="24"/>
              </w:rPr>
              <w:t>827</w:t>
            </w:r>
          </w:p>
        </w:tc>
        <w:tc>
          <w:tcPr>
            <w:tcW w:w="1792" w:type="dxa"/>
            <w:vAlign w:val="center"/>
          </w:tcPr>
          <w:p w:rsidRPr="004B3BA6" w:rsidR="00625353" w:rsidP="00C908A2" w:rsidRDefault="001E3CA7" w14:paraId="4D85D705" w14:textId="0A89D9DC">
            <w:pPr>
              <w:jc w:val="center"/>
              <w:rPr>
                <w:sz w:val="24"/>
              </w:rPr>
            </w:pPr>
            <w:r>
              <w:rPr>
                <w:sz w:val="24"/>
              </w:rPr>
              <w:t>$6,730,164</w:t>
            </w:r>
          </w:p>
        </w:tc>
      </w:tr>
    </w:tbl>
    <w:p w:rsidRPr="004B3BA6" w:rsidR="00087A63" w:rsidP="006F62F6" w:rsidRDefault="00087A63" w14:paraId="7A09656B" w14:textId="77777777">
      <w:pPr>
        <w:ind w:left="432"/>
        <w:rPr>
          <w:bCs/>
          <w:sz w:val="24"/>
        </w:rPr>
      </w:pPr>
    </w:p>
    <w:p w:rsidRPr="00FD3355" w:rsidR="00A17EAE" w:rsidP="2FE1309F" w:rsidRDefault="2FE1309F" w14:paraId="1951C4E5" w14:textId="4899B30D">
      <w:pPr>
        <w:ind w:left="432"/>
        <w:rPr>
          <w:sz w:val="24"/>
          <w:u w:val="single"/>
        </w:rPr>
      </w:pPr>
      <w:r w:rsidRPr="00FD3355">
        <w:rPr>
          <w:sz w:val="24"/>
          <w:u w:val="single"/>
        </w:rPr>
        <w:t>TABLE 3: Annual Burden for Self-Insured Non-Federal Governmental Plans</w:t>
      </w:r>
      <w:r w:rsidRPr="00FD3355" w:rsidR="007F4C5C">
        <w:rPr>
          <w:sz w:val="24"/>
          <w:u w:val="single"/>
        </w:rPr>
        <w:t xml:space="preserve"> related to NQTL analysis documentation and recordkeeping</w:t>
      </w:r>
    </w:p>
    <w:p w:rsidRPr="004B3BA6" w:rsidR="00A17EAE" w:rsidP="2FE1309F" w:rsidRDefault="00A17EAE" w14:paraId="70FB38D0" w14:textId="77777777">
      <w:pPr>
        <w:ind w:left="432"/>
        <w:rPr>
          <w:sz w:val="24"/>
        </w:rPr>
      </w:pPr>
    </w:p>
    <w:tbl>
      <w:tblPr>
        <w:tblStyle w:val="TableGrid"/>
        <w:tblW w:w="0" w:type="auto"/>
        <w:tblInd w:w="432" w:type="dxa"/>
        <w:tblLook w:val="04A0" w:firstRow="1" w:lastRow="0" w:firstColumn="1" w:lastColumn="0" w:noHBand="0" w:noVBand="1"/>
      </w:tblPr>
      <w:tblGrid>
        <w:gridCol w:w="1760"/>
        <w:gridCol w:w="1814"/>
        <w:gridCol w:w="1786"/>
        <w:gridCol w:w="1779"/>
        <w:gridCol w:w="1779"/>
      </w:tblGrid>
      <w:tr w:rsidRPr="004B3BA6" w:rsidR="00A17EAE" w:rsidTr="2FE1309F" w14:paraId="6EF9BB7F" w14:textId="77777777">
        <w:tc>
          <w:tcPr>
            <w:tcW w:w="1760" w:type="dxa"/>
          </w:tcPr>
          <w:p w:rsidRPr="004B3BA6" w:rsidR="00A17EAE" w:rsidP="2FE1309F" w:rsidRDefault="2FE1309F" w14:paraId="70BF8988" w14:textId="77777777">
            <w:pPr>
              <w:jc w:val="center"/>
              <w:rPr>
                <w:sz w:val="24"/>
              </w:rPr>
            </w:pPr>
            <w:r w:rsidRPr="004B3BA6">
              <w:rPr>
                <w:sz w:val="24"/>
              </w:rPr>
              <w:t>Year</w:t>
            </w:r>
          </w:p>
        </w:tc>
        <w:tc>
          <w:tcPr>
            <w:tcW w:w="1814" w:type="dxa"/>
          </w:tcPr>
          <w:p w:rsidRPr="004B3BA6" w:rsidR="00A17EAE" w:rsidP="2FE1309F" w:rsidRDefault="2FE1309F" w14:paraId="7F0C1DEA" w14:textId="77777777">
            <w:pPr>
              <w:jc w:val="center"/>
              <w:rPr>
                <w:sz w:val="24"/>
              </w:rPr>
            </w:pPr>
            <w:r w:rsidRPr="004B3BA6">
              <w:rPr>
                <w:sz w:val="24"/>
              </w:rPr>
              <w:t>Number of Respondents</w:t>
            </w:r>
          </w:p>
        </w:tc>
        <w:tc>
          <w:tcPr>
            <w:tcW w:w="1786" w:type="dxa"/>
          </w:tcPr>
          <w:p w:rsidRPr="004B3BA6" w:rsidR="00A17EAE" w:rsidP="2FE1309F" w:rsidRDefault="2FE1309F" w14:paraId="0EE48F6C" w14:textId="77777777">
            <w:pPr>
              <w:jc w:val="center"/>
              <w:rPr>
                <w:sz w:val="24"/>
              </w:rPr>
            </w:pPr>
            <w:r w:rsidRPr="004B3BA6">
              <w:rPr>
                <w:sz w:val="24"/>
              </w:rPr>
              <w:t>Number of Responses</w:t>
            </w:r>
          </w:p>
        </w:tc>
        <w:tc>
          <w:tcPr>
            <w:tcW w:w="1779" w:type="dxa"/>
          </w:tcPr>
          <w:p w:rsidRPr="004B3BA6" w:rsidR="00A17EAE" w:rsidP="2FE1309F" w:rsidRDefault="2FE1309F" w14:paraId="715EEDFC" w14:textId="778FD4A8">
            <w:pPr>
              <w:jc w:val="center"/>
              <w:rPr>
                <w:sz w:val="24"/>
              </w:rPr>
            </w:pPr>
            <w:r w:rsidRPr="004B3BA6">
              <w:rPr>
                <w:sz w:val="24"/>
              </w:rPr>
              <w:t>Total Estimated Annual Burden</w:t>
            </w:r>
            <w:r w:rsidR="00755411">
              <w:rPr>
                <w:sz w:val="24"/>
              </w:rPr>
              <w:t xml:space="preserve"> (Hours)</w:t>
            </w:r>
          </w:p>
        </w:tc>
        <w:tc>
          <w:tcPr>
            <w:tcW w:w="1779" w:type="dxa"/>
          </w:tcPr>
          <w:p w:rsidRPr="004B3BA6" w:rsidR="00A17EAE" w:rsidP="2FE1309F" w:rsidRDefault="2FE1309F" w14:paraId="61DCCEE3" w14:textId="77777777">
            <w:pPr>
              <w:jc w:val="center"/>
              <w:rPr>
                <w:sz w:val="24"/>
              </w:rPr>
            </w:pPr>
            <w:r w:rsidRPr="004B3BA6">
              <w:rPr>
                <w:sz w:val="24"/>
              </w:rPr>
              <w:t>Total Estimated Labor Cost</w:t>
            </w:r>
          </w:p>
        </w:tc>
      </w:tr>
      <w:tr w:rsidRPr="004B3BA6" w:rsidR="00625353" w:rsidTr="00C908A2" w14:paraId="719111A1" w14:textId="77777777">
        <w:tc>
          <w:tcPr>
            <w:tcW w:w="1760" w:type="dxa"/>
            <w:vAlign w:val="center"/>
          </w:tcPr>
          <w:p w:rsidRPr="004B3BA6" w:rsidR="00625353" w:rsidP="2FE1309F" w:rsidRDefault="2FE1309F" w14:paraId="7D9AD997" w14:textId="77777777">
            <w:pPr>
              <w:jc w:val="center"/>
              <w:rPr>
                <w:sz w:val="24"/>
              </w:rPr>
            </w:pPr>
            <w:r w:rsidRPr="004B3BA6">
              <w:rPr>
                <w:sz w:val="24"/>
              </w:rPr>
              <w:lastRenderedPageBreak/>
              <w:t>2021</w:t>
            </w:r>
          </w:p>
        </w:tc>
        <w:tc>
          <w:tcPr>
            <w:tcW w:w="1814" w:type="dxa"/>
            <w:vAlign w:val="center"/>
          </w:tcPr>
          <w:p w:rsidRPr="004B3BA6" w:rsidR="00625353" w:rsidP="00C908A2" w:rsidRDefault="2FE1309F" w14:paraId="389A69C5" w14:textId="7616E5A1">
            <w:pPr>
              <w:jc w:val="center"/>
              <w:rPr>
                <w:sz w:val="24"/>
              </w:rPr>
            </w:pPr>
            <w:r w:rsidRPr="004B3BA6">
              <w:rPr>
                <w:sz w:val="24"/>
              </w:rPr>
              <w:t>34,87</w:t>
            </w:r>
            <w:r w:rsidR="000159BD">
              <w:rPr>
                <w:sz w:val="24"/>
              </w:rPr>
              <w:t>9</w:t>
            </w:r>
          </w:p>
        </w:tc>
        <w:tc>
          <w:tcPr>
            <w:tcW w:w="1786" w:type="dxa"/>
            <w:vAlign w:val="center"/>
          </w:tcPr>
          <w:p w:rsidRPr="004B3BA6" w:rsidR="00625353" w:rsidP="00C908A2" w:rsidRDefault="2FE1309F" w14:paraId="16D88469" w14:textId="6C9CBA8C">
            <w:pPr>
              <w:jc w:val="center"/>
              <w:rPr>
                <w:sz w:val="24"/>
              </w:rPr>
            </w:pPr>
            <w:r w:rsidRPr="004B3BA6">
              <w:rPr>
                <w:sz w:val="24"/>
              </w:rPr>
              <w:t>34,87</w:t>
            </w:r>
            <w:r w:rsidR="000159BD">
              <w:rPr>
                <w:sz w:val="24"/>
              </w:rPr>
              <w:t>9</w:t>
            </w:r>
          </w:p>
        </w:tc>
        <w:tc>
          <w:tcPr>
            <w:tcW w:w="1779" w:type="dxa"/>
            <w:vAlign w:val="center"/>
          </w:tcPr>
          <w:p w:rsidRPr="004B3BA6" w:rsidR="00625353" w:rsidP="00C908A2" w:rsidRDefault="2FE1309F" w14:paraId="0B5C5B75" w14:textId="3C40D7C8">
            <w:pPr>
              <w:jc w:val="center"/>
              <w:rPr>
                <w:sz w:val="24"/>
              </w:rPr>
            </w:pPr>
            <w:r w:rsidRPr="004B3BA6">
              <w:rPr>
                <w:sz w:val="24"/>
              </w:rPr>
              <w:t>1,395,1</w:t>
            </w:r>
            <w:r w:rsidR="000159BD">
              <w:rPr>
                <w:sz w:val="24"/>
              </w:rPr>
              <w:t>6</w:t>
            </w:r>
            <w:r w:rsidRPr="004B3BA6">
              <w:rPr>
                <w:sz w:val="24"/>
              </w:rPr>
              <w:t>0</w:t>
            </w:r>
          </w:p>
        </w:tc>
        <w:tc>
          <w:tcPr>
            <w:tcW w:w="1779" w:type="dxa"/>
            <w:vAlign w:val="center"/>
          </w:tcPr>
          <w:p w:rsidRPr="004B3BA6" w:rsidR="00625353" w:rsidP="00C908A2" w:rsidRDefault="2FE1309F" w14:paraId="712D4A87" w14:textId="4387D4CA">
            <w:pPr>
              <w:jc w:val="center"/>
              <w:rPr>
                <w:sz w:val="24"/>
              </w:rPr>
            </w:pPr>
            <w:r w:rsidRPr="004B3BA6">
              <w:rPr>
                <w:sz w:val="24"/>
              </w:rPr>
              <w:t>$119,10</w:t>
            </w:r>
            <w:r w:rsidR="000159BD">
              <w:rPr>
                <w:sz w:val="24"/>
              </w:rPr>
              <w:t>7</w:t>
            </w:r>
            <w:r w:rsidRPr="004B3BA6">
              <w:rPr>
                <w:sz w:val="24"/>
              </w:rPr>
              <w:t>,</w:t>
            </w:r>
            <w:r w:rsidR="000159BD">
              <w:rPr>
                <w:sz w:val="24"/>
              </w:rPr>
              <w:t>600</w:t>
            </w:r>
          </w:p>
        </w:tc>
      </w:tr>
      <w:tr w:rsidRPr="004B3BA6" w:rsidR="00625353" w:rsidTr="00C908A2" w14:paraId="6E1D467A" w14:textId="77777777">
        <w:tc>
          <w:tcPr>
            <w:tcW w:w="1760" w:type="dxa"/>
            <w:vAlign w:val="center"/>
          </w:tcPr>
          <w:p w:rsidRPr="004B3BA6" w:rsidR="00625353" w:rsidP="2FE1309F" w:rsidRDefault="2FE1309F" w14:paraId="655E3F9A" w14:textId="77777777">
            <w:pPr>
              <w:jc w:val="center"/>
              <w:rPr>
                <w:sz w:val="24"/>
              </w:rPr>
            </w:pPr>
            <w:r w:rsidRPr="004B3BA6">
              <w:rPr>
                <w:sz w:val="24"/>
              </w:rPr>
              <w:t>2022</w:t>
            </w:r>
          </w:p>
        </w:tc>
        <w:tc>
          <w:tcPr>
            <w:tcW w:w="1814" w:type="dxa"/>
            <w:vAlign w:val="center"/>
          </w:tcPr>
          <w:p w:rsidRPr="004B3BA6" w:rsidR="00625353" w:rsidP="00C908A2" w:rsidRDefault="2FE1309F" w14:paraId="6BBAE95C" w14:textId="366533D9">
            <w:pPr>
              <w:jc w:val="center"/>
              <w:rPr>
                <w:sz w:val="24"/>
              </w:rPr>
            </w:pPr>
            <w:r w:rsidRPr="004B3BA6">
              <w:rPr>
                <w:sz w:val="24"/>
              </w:rPr>
              <w:t>34,87</w:t>
            </w:r>
            <w:r w:rsidR="000159BD">
              <w:rPr>
                <w:sz w:val="24"/>
              </w:rPr>
              <w:t>9</w:t>
            </w:r>
          </w:p>
        </w:tc>
        <w:tc>
          <w:tcPr>
            <w:tcW w:w="1786" w:type="dxa"/>
            <w:vAlign w:val="center"/>
          </w:tcPr>
          <w:p w:rsidRPr="004B3BA6" w:rsidR="00625353" w:rsidP="00C908A2" w:rsidRDefault="2FE1309F" w14:paraId="7C975645" w14:textId="2F9B2C63">
            <w:pPr>
              <w:jc w:val="center"/>
              <w:rPr>
                <w:sz w:val="24"/>
              </w:rPr>
            </w:pPr>
            <w:r w:rsidRPr="004B3BA6">
              <w:rPr>
                <w:sz w:val="24"/>
              </w:rPr>
              <w:t>34,87</w:t>
            </w:r>
            <w:r w:rsidR="000159BD">
              <w:rPr>
                <w:sz w:val="24"/>
              </w:rPr>
              <w:t>9</w:t>
            </w:r>
          </w:p>
        </w:tc>
        <w:tc>
          <w:tcPr>
            <w:tcW w:w="1779" w:type="dxa"/>
            <w:vAlign w:val="center"/>
          </w:tcPr>
          <w:p w:rsidRPr="004B3BA6" w:rsidR="00625353" w:rsidP="00C908A2" w:rsidRDefault="2FE1309F" w14:paraId="54D58BFA" w14:textId="50FFDB55">
            <w:pPr>
              <w:jc w:val="center"/>
              <w:rPr>
                <w:sz w:val="24"/>
              </w:rPr>
            </w:pPr>
            <w:r w:rsidRPr="004B3BA6">
              <w:rPr>
                <w:sz w:val="24"/>
              </w:rPr>
              <w:t>697,5</w:t>
            </w:r>
            <w:r w:rsidR="000159BD">
              <w:rPr>
                <w:sz w:val="24"/>
              </w:rPr>
              <w:t>8</w:t>
            </w:r>
            <w:r w:rsidRPr="004B3BA6">
              <w:rPr>
                <w:sz w:val="24"/>
              </w:rPr>
              <w:t>0</w:t>
            </w:r>
          </w:p>
        </w:tc>
        <w:tc>
          <w:tcPr>
            <w:tcW w:w="1779" w:type="dxa"/>
            <w:vAlign w:val="center"/>
          </w:tcPr>
          <w:p w:rsidRPr="004B3BA6" w:rsidR="00625353" w:rsidP="00C908A2" w:rsidRDefault="2FE1309F" w14:paraId="1F67D9DA" w14:textId="16AFA68C">
            <w:pPr>
              <w:jc w:val="center"/>
              <w:rPr>
                <w:sz w:val="24"/>
              </w:rPr>
            </w:pPr>
            <w:r w:rsidRPr="004B3BA6">
              <w:rPr>
                <w:sz w:val="24"/>
              </w:rPr>
              <w:t>$59,55</w:t>
            </w:r>
            <w:r w:rsidR="000159BD">
              <w:rPr>
                <w:sz w:val="24"/>
              </w:rPr>
              <w:t>3</w:t>
            </w:r>
            <w:r w:rsidRPr="004B3BA6">
              <w:rPr>
                <w:sz w:val="24"/>
              </w:rPr>
              <w:t>,</w:t>
            </w:r>
            <w:r w:rsidR="000159BD">
              <w:rPr>
                <w:sz w:val="24"/>
              </w:rPr>
              <w:t>800</w:t>
            </w:r>
          </w:p>
        </w:tc>
      </w:tr>
      <w:tr w:rsidRPr="004B3BA6" w:rsidR="00625353" w:rsidTr="00C908A2" w14:paraId="464A6262" w14:textId="77777777">
        <w:tc>
          <w:tcPr>
            <w:tcW w:w="1760" w:type="dxa"/>
            <w:vAlign w:val="center"/>
          </w:tcPr>
          <w:p w:rsidRPr="004B3BA6" w:rsidR="00625353" w:rsidP="2FE1309F" w:rsidRDefault="2FE1309F" w14:paraId="74259EB1" w14:textId="77777777">
            <w:pPr>
              <w:jc w:val="center"/>
              <w:rPr>
                <w:sz w:val="24"/>
              </w:rPr>
            </w:pPr>
            <w:r w:rsidRPr="004B3BA6">
              <w:rPr>
                <w:sz w:val="24"/>
              </w:rPr>
              <w:t>2023</w:t>
            </w:r>
          </w:p>
        </w:tc>
        <w:tc>
          <w:tcPr>
            <w:tcW w:w="1814" w:type="dxa"/>
            <w:vAlign w:val="center"/>
          </w:tcPr>
          <w:p w:rsidRPr="004B3BA6" w:rsidR="00625353" w:rsidP="00C908A2" w:rsidRDefault="2FE1309F" w14:paraId="6245ED8D" w14:textId="3D8BBC88">
            <w:pPr>
              <w:jc w:val="center"/>
              <w:rPr>
                <w:sz w:val="24"/>
              </w:rPr>
            </w:pPr>
            <w:r w:rsidRPr="004B3BA6">
              <w:rPr>
                <w:sz w:val="24"/>
              </w:rPr>
              <w:t>34,87</w:t>
            </w:r>
            <w:r w:rsidR="000159BD">
              <w:rPr>
                <w:sz w:val="24"/>
              </w:rPr>
              <w:t>9</w:t>
            </w:r>
          </w:p>
        </w:tc>
        <w:tc>
          <w:tcPr>
            <w:tcW w:w="1786" w:type="dxa"/>
            <w:vAlign w:val="center"/>
          </w:tcPr>
          <w:p w:rsidRPr="004B3BA6" w:rsidR="00625353" w:rsidP="00C908A2" w:rsidRDefault="2FE1309F" w14:paraId="2FB720CD" w14:textId="76164AFF">
            <w:pPr>
              <w:jc w:val="center"/>
              <w:rPr>
                <w:sz w:val="24"/>
              </w:rPr>
            </w:pPr>
            <w:r w:rsidRPr="004B3BA6">
              <w:rPr>
                <w:sz w:val="24"/>
              </w:rPr>
              <w:t>34,87</w:t>
            </w:r>
            <w:r w:rsidR="000159BD">
              <w:rPr>
                <w:sz w:val="24"/>
              </w:rPr>
              <w:t>9</w:t>
            </w:r>
          </w:p>
        </w:tc>
        <w:tc>
          <w:tcPr>
            <w:tcW w:w="1779" w:type="dxa"/>
            <w:vAlign w:val="center"/>
          </w:tcPr>
          <w:p w:rsidRPr="004B3BA6" w:rsidR="00625353" w:rsidP="00C908A2" w:rsidRDefault="2FE1309F" w14:paraId="1F722580" w14:textId="683239B0">
            <w:pPr>
              <w:jc w:val="center"/>
              <w:rPr>
                <w:sz w:val="24"/>
              </w:rPr>
            </w:pPr>
            <w:r w:rsidRPr="004B3BA6">
              <w:rPr>
                <w:sz w:val="24"/>
              </w:rPr>
              <w:t>697,5</w:t>
            </w:r>
            <w:r w:rsidR="000159BD">
              <w:rPr>
                <w:sz w:val="24"/>
              </w:rPr>
              <w:t>8</w:t>
            </w:r>
            <w:r w:rsidRPr="004B3BA6">
              <w:rPr>
                <w:sz w:val="24"/>
              </w:rPr>
              <w:t>0</w:t>
            </w:r>
          </w:p>
        </w:tc>
        <w:tc>
          <w:tcPr>
            <w:tcW w:w="1779" w:type="dxa"/>
            <w:vAlign w:val="center"/>
          </w:tcPr>
          <w:p w:rsidRPr="004B3BA6" w:rsidR="00625353" w:rsidP="00C908A2" w:rsidRDefault="2FE1309F" w14:paraId="79156ED9" w14:textId="0DB25F04">
            <w:pPr>
              <w:jc w:val="center"/>
              <w:rPr>
                <w:sz w:val="24"/>
              </w:rPr>
            </w:pPr>
            <w:r w:rsidRPr="004B3BA6">
              <w:rPr>
                <w:sz w:val="24"/>
              </w:rPr>
              <w:t>$59,55</w:t>
            </w:r>
            <w:r w:rsidR="000159BD">
              <w:rPr>
                <w:sz w:val="24"/>
              </w:rPr>
              <w:t>3</w:t>
            </w:r>
            <w:r w:rsidRPr="004B3BA6">
              <w:rPr>
                <w:sz w:val="24"/>
              </w:rPr>
              <w:t>,</w:t>
            </w:r>
            <w:r w:rsidR="000159BD">
              <w:rPr>
                <w:sz w:val="24"/>
              </w:rPr>
              <w:t>800</w:t>
            </w:r>
          </w:p>
        </w:tc>
      </w:tr>
      <w:tr w:rsidR="00625353" w:rsidTr="00C908A2" w14:paraId="07DEEF20" w14:textId="77777777">
        <w:tc>
          <w:tcPr>
            <w:tcW w:w="1760" w:type="dxa"/>
            <w:vAlign w:val="center"/>
          </w:tcPr>
          <w:p w:rsidRPr="004B3BA6" w:rsidR="00625353" w:rsidP="2FE1309F" w:rsidRDefault="2FE1309F" w14:paraId="2EAD24A4" w14:textId="77777777">
            <w:pPr>
              <w:jc w:val="center"/>
              <w:rPr>
                <w:sz w:val="24"/>
              </w:rPr>
            </w:pPr>
            <w:r w:rsidRPr="004B3BA6">
              <w:rPr>
                <w:sz w:val="24"/>
              </w:rPr>
              <w:t>3  year Average</w:t>
            </w:r>
          </w:p>
        </w:tc>
        <w:tc>
          <w:tcPr>
            <w:tcW w:w="1814" w:type="dxa"/>
            <w:vAlign w:val="center"/>
          </w:tcPr>
          <w:p w:rsidRPr="004B3BA6" w:rsidR="00625353" w:rsidP="00C908A2" w:rsidRDefault="2FE1309F" w14:paraId="436375A7" w14:textId="5B24E8C7">
            <w:pPr>
              <w:jc w:val="center"/>
              <w:rPr>
                <w:sz w:val="24"/>
              </w:rPr>
            </w:pPr>
            <w:r w:rsidRPr="004B3BA6">
              <w:rPr>
                <w:sz w:val="24"/>
              </w:rPr>
              <w:t>34,87</w:t>
            </w:r>
            <w:r w:rsidR="000159BD">
              <w:rPr>
                <w:sz w:val="24"/>
              </w:rPr>
              <w:t>9</w:t>
            </w:r>
          </w:p>
        </w:tc>
        <w:tc>
          <w:tcPr>
            <w:tcW w:w="1786" w:type="dxa"/>
            <w:vAlign w:val="center"/>
          </w:tcPr>
          <w:p w:rsidRPr="004B3BA6" w:rsidR="00625353" w:rsidP="00C908A2" w:rsidRDefault="2FE1309F" w14:paraId="59A56BD9" w14:textId="6BB82FF5">
            <w:pPr>
              <w:jc w:val="center"/>
              <w:rPr>
                <w:sz w:val="24"/>
              </w:rPr>
            </w:pPr>
            <w:r w:rsidRPr="004B3BA6">
              <w:rPr>
                <w:sz w:val="24"/>
              </w:rPr>
              <w:t>34,87</w:t>
            </w:r>
            <w:r w:rsidR="000159BD">
              <w:rPr>
                <w:sz w:val="24"/>
              </w:rPr>
              <w:t>9</w:t>
            </w:r>
          </w:p>
        </w:tc>
        <w:tc>
          <w:tcPr>
            <w:tcW w:w="1779" w:type="dxa"/>
            <w:vAlign w:val="center"/>
          </w:tcPr>
          <w:p w:rsidRPr="004B3BA6" w:rsidR="00625353" w:rsidP="00C908A2" w:rsidRDefault="2FE1309F" w14:paraId="3A27380D" w14:textId="4F9318E1">
            <w:pPr>
              <w:jc w:val="center"/>
              <w:rPr>
                <w:sz w:val="24"/>
              </w:rPr>
            </w:pPr>
            <w:r w:rsidRPr="004B3BA6">
              <w:rPr>
                <w:sz w:val="24"/>
              </w:rPr>
              <w:t>930,</w:t>
            </w:r>
            <w:r w:rsidR="000159BD">
              <w:rPr>
                <w:sz w:val="24"/>
              </w:rPr>
              <w:t>107</w:t>
            </w:r>
          </w:p>
        </w:tc>
        <w:tc>
          <w:tcPr>
            <w:tcW w:w="1779" w:type="dxa"/>
            <w:vAlign w:val="center"/>
          </w:tcPr>
          <w:p w:rsidRPr="004B3BA6" w:rsidR="00625353" w:rsidP="00C908A2" w:rsidRDefault="2FE1309F" w14:paraId="0D9E2ADC" w14:textId="77B2E895">
            <w:pPr>
              <w:jc w:val="center"/>
              <w:rPr>
                <w:sz w:val="24"/>
              </w:rPr>
            </w:pPr>
            <w:r w:rsidRPr="004B3BA6">
              <w:rPr>
                <w:sz w:val="24"/>
              </w:rPr>
              <w:t>$79,40</w:t>
            </w:r>
            <w:r w:rsidR="000159BD">
              <w:rPr>
                <w:sz w:val="24"/>
              </w:rPr>
              <w:t>5</w:t>
            </w:r>
            <w:r w:rsidRPr="004B3BA6">
              <w:rPr>
                <w:sz w:val="24"/>
              </w:rPr>
              <w:t>,</w:t>
            </w:r>
            <w:r w:rsidR="000159BD">
              <w:rPr>
                <w:sz w:val="24"/>
              </w:rPr>
              <w:t>066</w:t>
            </w:r>
          </w:p>
        </w:tc>
      </w:tr>
    </w:tbl>
    <w:p w:rsidR="00A17EAE" w:rsidP="00F4099F" w:rsidRDefault="00A17EAE" w14:paraId="0AD6E229" w14:textId="77777777">
      <w:pPr>
        <w:rPr>
          <w:bCs/>
          <w:sz w:val="24"/>
        </w:rPr>
      </w:pPr>
    </w:p>
    <w:p w:rsidR="00850E9C" w:rsidP="006F62F6" w:rsidRDefault="00B34526" w14:paraId="591B46B9" w14:textId="0A5F1221">
      <w:pPr>
        <w:ind w:left="432"/>
        <w:rPr>
          <w:bCs/>
          <w:sz w:val="24"/>
        </w:rPr>
      </w:pPr>
      <w:r>
        <w:rPr>
          <w:bCs/>
          <w:sz w:val="24"/>
          <w:u w:val="single"/>
        </w:rPr>
        <w:t>R</w:t>
      </w:r>
      <w:r w:rsidR="00B62331">
        <w:rPr>
          <w:bCs/>
          <w:sz w:val="24"/>
          <w:u w:val="single"/>
        </w:rPr>
        <w:t>eview of comparative analysis</w:t>
      </w:r>
      <w:r w:rsidR="004F3122">
        <w:rPr>
          <w:bCs/>
          <w:sz w:val="24"/>
        </w:rPr>
        <w:t>:</w:t>
      </w:r>
    </w:p>
    <w:p w:rsidR="00CD33FB" w:rsidP="00F4099F" w:rsidRDefault="00CD33FB" w14:paraId="61C5BF17" w14:textId="77777777">
      <w:pPr>
        <w:rPr>
          <w:bCs/>
          <w:sz w:val="24"/>
        </w:rPr>
      </w:pPr>
    </w:p>
    <w:p w:rsidR="005C7AF4" w:rsidP="2A6CF41D" w:rsidRDefault="00CD33FB" w14:paraId="1841037D" w14:textId="485E77FF">
      <w:pPr>
        <w:ind w:left="432"/>
        <w:rPr>
          <w:sz w:val="24"/>
        </w:rPr>
      </w:pPr>
      <w:r w:rsidRPr="2A6CF41D">
        <w:rPr>
          <w:sz w:val="24"/>
        </w:rPr>
        <w:t xml:space="preserve">Under the Appropriations Act, plans and issuers must submit their comparative analysis with respect to each NQTL imposed when requested by </w:t>
      </w:r>
      <w:r w:rsidRPr="2A6CF41D" w:rsidR="005C7AF4">
        <w:rPr>
          <w:sz w:val="24"/>
        </w:rPr>
        <w:t>CMS</w:t>
      </w:r>
      <w:r w:rsidRPr="2A6CF41D">
        <w:rPr>
          <w:sz w:val="24"/>
        </w:rPr>
        <w:t>.</w:t>
      </w:r>
      <w:r w:rsidRPr="2A6CF41D" w:rsidR="00B62331">
        <w:rPr>
          <w:sz w:val="24"/>
        </w:rPr>
        <w:t xml:space="preserve"> </w:t>
      </w:r>
      <w:r w:rsidRPr="2A6CF41D" w:rsidR="00A513C7">
        <w:rPr>
          <w:sz w:val="24"/>
        </w:rPr>
        <w:t>CMS will only request this information from issuers in states where CMS has direct enforcement responsibility for MHPAEA</w:t>
      </w:r>
      <w:r w:rsidR="00C22BA2">
        <w:rPr>
          <w:sz w:val="24"/>
        </w:rPr>
        <w:t xml:space="preserve">. </w:t>
      </w:r>
      <w:r w:rsidRPr="2A6CF41D" w:rsidR="00B62331">
        <w:rPr>
          <w:sz w:val="24"/>
        </w:rPr>
        <w:t xml:space="preserve">The cost of </w:t>
      </w:r>
      <w:r w:rsidRPr="2A6CF41D" w:rsidR="005C7AF4">
        <w:rPr>
          <w:sz w:val="24"/>
        </w:rPr>
        <w:t>submitting the information to CMS electronically will be minimal.</w:t>
      </w:r>
      <w:r w:rsidRPr="2A6CF41D" w:rsidR="00B62331">
        <w:rPr>
          <w:sz w:val="24"/>
        </w:rPr>
        <w:t xml:space="preserve"> </w:t>
      </w:r>
    </w:p>
    <w:p w:rsidR="005C7AF4" w:rsidP="00F4099F" w:rsidRDefault="005C7AF4" w14:paraId="2DBC9382" w14:textId="77777777">
      <w:pPr>
        <w:rPr>
          <w:bCs/>
          <w:sz w:val="24"/>
        </w:rPr>
      </w:pPr>
    </w:p>
    <w:p w:rsidR="005C7AF4" w:rsidP="2FE1309F" w:rsidRDefault="2FE1309F" w14:paraId="7F7BA727" w14:textId="6BAC9FB8">
      <w:pPr>
        <w:ind w:left="432"/>
        <w:rPr>
          <w:sz w:val="24"/>
        </w:rPr>
      </w:pPr>
      <w:r w:rsidRPr="2FE1309F">
        <w:rPr>
          <w:sz w:val="24"/>
        </w:rPr>
        <w:t xml:space="preserve">We assume that upon review, 10 plans and issuers will be found to have not submitted sufficient documentation and will have to provide additional documentation. We estimate that for each such plan or issuer, a business operations specialist will need 4 hours (at an hourly labor cost of $77.14) and a senior manager will need 1 hour (at an hourly labor cost of $118.30) on average to gather and submit the documents to CMS. </w:t>
      </w:r>
      <w:r w:rsidR="00F870CB">
        <w:rPr>
          <w:sz w:val="24"/>
        </w:rPr>
        <w:t>We estimate t</w:t>
      </w:r>
      <w:r w:rsidRPr="2FE1309F">
        <w:rPr>
          <w:sz w:val="24"/>
        </w:rPr>
        <w:t xml:space="preserve">he total burden for each plan or issuer will be 5 hours, with an equivalent cost of </w:t>
      </w:r>
      <w:r w:rsidR="00162CB0">
        <w:rPr>
          <w:sz w:val="24"/>
        </w:rPr>
        <w:t xml:space="preserve">approximately </w:t>
      </w:r>
      <w:r w:rsidRPr="2FE1309F">
        <w:rPr>
          <w:sz w:val="24"/>
        </w:rPr>
        <w:t xml:space="preserve">$427. For 10 plans or issuers, </w:t>
      </w:r>
      <w:r w:rsidR="00F870CB">
        <w:rPr>
          <w:sz w:val="24"/>
        </w:rPr>
        <w:t xml:space="preserve">we estimate </w:t>
      </w:r>
      <w:r w:rsidRPr="2FE1309F">
        <w:rPr>
          <w:sz w:val="24"/>
        </w:rPr>
        <w:t xml:space="preserve">the total annual burden will be 50 hours, with an equivalent cost of </w:t>
      </w:r>
      <w:r w:rsidR="00162CB0">
        <w:rPr>
          <w:sz w:val="24"/>
        </w:rPr>
        <w:t xml:space="preserve">approximately </w:t>
      </w:r>
      <w:r w:rsidRPr="2FE1309F">
        <w:rPr>
          <w:sz w:val="24"/>
        </w:rPr>
        <w:t>$4,</w:t>
      </w:r>
      <w:r w:rsidR="00213021">
        <w:rPr>
          <w:sz w:val="24"/>
        </w:rPr>
        <w:t>270</w:t>
      </w:r>
      <w:r w:rsidRPr="2FE1309F">
        <w:rPr>
          <w:sz w:val="24"/>
        </w:rPr>
        <w:t>.</w:t>
      </w:r>
    </w:p>
    <w:p w:rsidR="2FE1309F" w:rsidP="2FE1309F" w:rsidRDefault="2FE1309F" w14:paraId="0FA077A4" w14:textId="1FCFDA87">
      <w:pPr>
        <w:ind w:left="432"/>
        <w:rPr>
          <w:sz w:val="24"/>
        </w:rPr>
      </w:pPr>
    </w:p>
    <w:p w:rsidRPr="00FD3355" w:rsidR="007F4C5C" w:rsidP="007F4C5C" w:rsidRDefault="007F4C5C" w14:paraId="2AAFCE82" w14:textId="4B5C8A31">
      <w:pPr>
        <w:ind w:left="432"/>
        <w:rPr>
          <w:sz w:val="24"/>
          <w:u w:val="single"/>
        </w:rPr>
      </w:pPr>
      <w:r w:rsidRPr="00FD3355">
        <w:rPr>
          <w:sz w:val="24"/>
          <w:u w:val="single"/>
        </w:rPr>
        <w:t>TABLE 4: Annual Burden for Self-Insured Non-Federal Governmental Plans and Issuers related to Review of Comparative Analysis</w:t>
      </w:r>
    </w:p>
    <w:p w:rsidR="007F4C5C" w:rsidP="007F4C5C" w:rsidRDefault="007F4C5C" w14:paraId="382E6673" w14:textId="27E9D4E2">
      <w:pPr>
        <w:ind w:left="432"/>
        <w:rPr>
          <w:sz w:val="24"/>
        </w:rPr>
      </w:pPr>
    </w:p>
    <w:tbl>
      <w:tblPr>
        <w:tblStyle w:val="TableGrid"/>
        <w:tblW w:w="0" w:type="auto"/>
        <w:tblInd w:w="432" w:type="dxa"/>
        <w:tblLook w:val="04A0" w:firstRow="1" w:lastRow="0" w:firstColumn="1" w:lastColumn="0" w:noHBand="0" w:noVBand="1"/>
      </w:tblPr>
      <w:tblGrid>
        <w:gridCol w:w="2229"/>
        <w:gridCol w:w="2229"/>
        <w:gridCol w:w="2230"/>
        <w:gridCol w:w="2230"/>
      </w:tblGrid>
      <w:tr w:rsidR="007F4C5C" w:rsidTr="007F4C5C" w14:paraId="26AC5DE2" w14:textId="77777777">
        <w:tc>
          <w:tcPr>
            <w:tcW w:w="2229" w:type="dxa"/>
            <w:vAlign w:val="center"/>
          </w:tcPr>
          <w:p w:rsidR="007F4C5C" w:rsidP="007F4C5C" w:rsidRDefault="007F4C5C" w14:paraId="105A461D" w14:textId="31757EF2">
            <w:pPr>
              <w:jc w:val="center"/>
              <w:rPr>
                <w:sz w:val="24"/>
              </w:rPr>
            </w:pPr>
            <w:r w:rsidRPr="004B3BA6">
              <w:rPr>
                <w:sz w:val="24"/>
              </w:rPr>
              <w:t>Number of Respondents</w:t>
            </w:r>
          </w:p>
        </w:tc>
        <w:tc>
          <w:tcPr>
            <w:tcW w:w="2229" w:type="dxa"/>
            <w:vAlign w:val="center"/>
          </w:tcPr>
          <w:p w:rsidR="007F4C5C" w:rsidP="007F4C5C" w:rsidRDefault="007F4C5C" w14:paraId="72407151" w14:textId="0393DA51">
            <w:pPr>
              <w:jc w:val="center"/>
              <w:rPr>
                <w:sz w:val="24"/>
              </w:rPr>
            </w:pPr>
            <w:r w:rsidRPr="004B3BA6">
              <w:rPr>
                <w:sz w:val="24"/>
              </w:rPr>
              <w:t>Number of Responses</w:t>
            </w:r>
          </w:p>
        </w:tc>
        <w:tc>
          <w:tcPr>
            <w:tcW w:w="2230" w:type="dxa"/>
            <w:vAlign w:val="center"/>
          </w:tcPr>
          <w:p w:rsidR="007F4C5C" w:rsidP="007F4C5C" w:rsidRDefault="007F4C5C" w14:paraId="2D4825C4" w14:textId="464D85F4">
            <w:pPr>
              <w:jc w:val="center"/>
              <w:rPr>
                <w:sz w:val="24"/>
              </w:rPr>
            </w:pPr>
            <w:r w:rsidRPr="004B3BA6">
              <w:rPr>
                <w:sz w:val="24"/>
              </w:rPr>
              <w:t>Total Estimated Annual Burden</w:t>
            </w:r>
            <w:r w:rsidR="00755411">
              <w:rPr>
                <w:sz w:val="24"/>
              </w:rPr>
              <w:t xml:space="preserve"> (Hours)</w:t>
            </w:r>
          </w:p>
        </w:tc>
        <w:tc>
          <w:tcPr>
            <w:tcW w:w="2230" w:type="dxa"/>
            <w:vAlign w:val="center"/>
          </w:tcPr>
          <w:p w:rsidR="007F4C5C" w:rsidP="007F4C5C" w:rsidRDefault="007F4C5C" w14:paraId="43DD9510" w14:textId="3F6EBE30">
            <w:pPr>
              <w:jc w:val="center"/>
              <w:rPr>
                <w:sz w:val="24"/>
              </w:rPr>
            </w:pPr>
            <w:r w:rsidRPr="004B3BA6">
              <w:rPr>
                <w:sz w:val="24"/>
              </w:rPr>
              <w:t>Total Estimated Labor Cost</w:t>
            </w:r>
          </w:p>
        </w:tc>
      </w:tr>
      <w:tr w:rsidR="007F4C5C" w:rsidTr="007F4C5C" w14:paraId="63A66812" w14:textId="77777777">
        <w:tc>
          <w:tcPr>
            <w:tcW w:w="2229" w:type="dxa"/>
            <w:vAlign w:val="center"/>
          </w:tcPr>
          <w:p w:rsidR="007F4C5C" w:rsidP="007F4C5C" w:rsidRDefault="007F4C5C" w14:paraId="3D9A5D20" w14:textId="16EAB167">
            <w:pPr>
              <w:jc w:val="center"/>
              <w:rPr>
                <w:sz w:val="24"/>
              </w:rPr>
            </w:pPr>
            <w:r>
              <w:rPr>
                <w:sz w:val="24"/>
              </w:rPr>
              <w:t>20</w:t>
            </w:r>
          </w:p>
        </w:tc>
        <w:tc>
          <w:tcPr>
            <w:tcW w:w="2229" w:type="dxa"/>
            <w:vAlign w:val="center"/>
          </w:tcPr>
          <w:p w:rsidR="007F4C5C" w:rsidP="007F4C5C" w:rsidRDefault="007F4C5C" w14:paraId="65F36D0A" w14:textId="4DE22EBF">
            <w:pPr>
              <w:jc w:val="center"/>
              <w:rPr>
                <w:sz w:val="24"/>
              </w:rPr>
            </w:pPr>
            <w:r>
              <w:rPr>
                <w:sz w:val="24"/>
              </w:rPr>
              <w:t>20</w:t>
            </w:r>
          </w:p>
        </w:tc>
        <w:tc>
          <w:tcPr>
            <w:tcW w:w="2230" w:type="dxa"/>
            <w:vAlign w:val="center"/>
          </w:tcPr>
          <w:p w:rsidR="007F4C5C" w:rsidP="007F4C5C" w:rsidRDefault="007F4C5C" w14:paraId="46AAFF5C" w14:textId="4524ACA7">
            <w:pPr>
              <w:jc w:val="center"/>
              <w:rPr>
                <w:sz w:val="24"/>
              </w:rPr>
            </w:pPr>
            <w:r>
              <w:rPr>
                <w:sz w:val="24"/>
              </w:rPr>
              <w:t>50</w:t>
            </w:r>
          </w:p>
        </w:tc>
        <w:tc>
          <w:tcPr>
            <w:tcW w:w="2230" w:type="dxa"/>
            <w:vAlign w:val="center"/>
          </w:tcPr>
          <w:p w:rsidR="007F4C5C" w:rsidP="007F4C5C" w:rsidRDefault="007F4C5C" w14:paraId="29134763" w14:textId="330D95BD">
            <w:pPr>
              <w:jc w:val="center"/>
              <w:rPr>
                <w:sz w:val="24"/>
              </w:rPr>
            </w:pPr>
            <w:r>
              <w:rPr>
                <w:sz w:val="24"/>
              </w:rPr>
              <w:t>$4,269</w:t>
            </w:r>
          </w:p>
        </w:tc>
      </w:tr>
    </w:tbl>
    <w:p w:rsidRPr="004B3BA6" w:rsidR="007F4C5C" w:rsidP="007F4C5C" w:rsidRDefault="007F4C5C" w14:paraId="5098A815" w14:textId="77777777">
      <w:pPr>
        <w:ind w:left="432"/>
        <w:rPr>
          <w:sz w:val="24"/>
        </w:rPr>
      </w:pPr>
    </w:p>
    <w:p w:rsidR="00FD3355" w:rsidP="00FD3355" w:rsidRDefault="26249FC8" w14:paraId="6FF11940" w14:textId="0F62B12D">
      <w:pPr>
        <w:ind w:left="432"/>
        <w:rPr>
          <w:sz w:val="24"/>
        </w:rPr>
      </w:pPr>
      <w:r w:rsidRPr="26249FC8">
        <w:rPr>
          <w:sz w:val="24"/>
        </w:rPr>
        <w:t xml:space="preserve">In instances where CMS, upon review of documentation submitted, determines that the plan or issuer is not in compliance with MHPAEA, the Appropriations Act requires the plan or issuer to specify the actions the plan or issuer will take to come into compliance and submit additional comparative analyses that demonstrate compliance not later than 45 days after the initial determination of noncompliance. We expect that no more than </w:t>
      </w:r>
      <w:r w:rsidR="005516C3">
        <w:rPr>
          <w:sz w:val="24"/>
        </w:rPr>
        <w:t xml:space="preserve">2 </w:t>
      </w:r>
      <w:r w:rsidRPr="26249FC8">
        <w:rPr>
          <w:sz w:val="24"/>
        </w:rPr>
        <w:t xml:space="preserve">issuers </w:t>
      </w:r>
      <w:r w:rsidR="005516C3">
        <w:rPr>
          <w:sz w:val="24"/>
        </w:rPr>
        <w:t xml:space="preserve">and 6 plan sponsors </w:t>
      </w:r>
      <w:r w:rsidRPr="26249FC8">
        <w:rPr>
          <w:sz w:val="24"/>
        </w:rPr>
        <w:t xml:space="preserve">will be found to be non-compliant with the MHPAEA NQTL requirements and will need to complete corrective actions to bring the NQTL into compliance. We estimate that for each such </w:t>
      </w:r>
      <w:r w:rsidR="005516C3">
        <w:rPr>
          <w:sz w:val="24"/>
        </w:rPr>
        <w:t>issuer</w:t>
      </w:r>
      <w:r w:rsidRPr="26249FC8">
        <w:rPr>
          <w:sz w:val="24"/>
        </w:rPr>
        <w:t xml:space="preserve">, a business operations specialist will need </w:t>
      </w:r>
      <w:r w:rsidR="005516C3">
        <w:rPr>
          <w:sz w:val="24"/>
        </w:rPr>
        <w:t>36</w:t>
      </w:r>
      <w:r w:rsidRPr="26249FC8">
        <w:rPr>
          <w:sz w:val="24"/>
        </w:rPr>
        <w:t xml:space="preserve"> hours (at an hourly labor cost of $77.14) and a senior manager will need </w:t>
      </w:r>
      <w:r w:rsidR="005516C3">
        <w:rPr>
          <w:sz w:val="24"/>
        </w:rPr>
        <w:t xml:space="preserve">4 </w:t>
      </w:r>
      <w:r w:rsidRPr="26249FC8">
        <w:rPr>
          <w:sz w:val="24"/>
        </w:rPr>
        <w:t xml:space="preserve">hours (at an hourly labor </w:t>
      </w:r>
      <w:r w:rsidR="005516C3">
        <w:rPr>
          <w:sz w:val="24"/>
        </w:rPr>
        <w:t>cost of $118.30) on average to</w:t>
      </w:r>
      <w:r w:rsidRPr="26249FC8">
        <w:rPr>
          <w:sz w:val="24"/>
        </w:rPr>
        <w:t xml:space="preserve"> prepare and submit documentation demonstrating compliance to CMS. We estimate the total burden for each issuer will be </w:t>
      </w:r>
      <w:r w:rsidR="005516C3">
        <w:rPr>
          <w:sz w:val="24"/>
        </w:rPr>
        <w:t>40</w:t>
      </w:r>
      <w:r w:rsidR="00054FEE">
        <w:rPr>
          <w:sz w:val="24"/>
        </w:rPr>
        <w:t xml:space="preserve"> </w:t>
      </w:r>
      <w:r w:rsidRPr="26249FC8">
        <w:rPr>
          <w:sz w:val="24"/>
        </w:rPr>
        <w:t>hours, with an equivalent cost of approximately $</w:t>
      </w:r>
      <w:r w:rsidR="005516C3">
        <w:rPr>
          <w:sz w:val="24"/>
        </w:rPr>
        <w:t>3,250 and for 2 issuers, the total burden will be 80 hours with an equivalent cost of approximately $6,500</w:t>
      </w:r>
      <w:r w:rsidRPr="26249FC8">
        <w:rPr>
          <w:sz w:val="24"/>
        </w:rPr>
        <w:t xml:space="preserve">. </w:t>
      </w:r>
      <w:r w:rsidR="005516C3">
        <w:rPr>
          <w:sz w:val="24"/>
        </w:rPr>
        <w:t xml:space="preserve">We estimate that for each such plan sponsor, </w:t>
      </w:r>
      <w:r w:rsidRPr="005516C3" w:rsidR="005516C3">
        <w:rPr>
          <w:sz w:val="24"/>
        </w:rPr>
        <w:t xml:space="preserve">a business operations specialist will need </w:t>
      </w:r>
      <w:r w:rsidR="005516C3">
        <w:rPr>
          <w:sz w:val="24"/>
        </w:rPr>
        <w:t>16</w:t>
      </w:r>
      <w:r w:rsidRPr="005516C3" w:rsidR="005516C3">
        <w:rPr>
          <w:sz w:val="24"/>
        </w:rPr>
        <w:t xml:space="preserve"> hours (at an hourly labor cost of $77.14) and a senior manager will need 4 hours (at an hourly labor cost of $118.30) on average to prepare and submit documentation demonstrating compliance to CMS. We estimate the total burden for each plan </w:t>
      </w:r>
      <w:r w:rsidR="005516C3">
        <w:rPr>
          <w:sz w:val="24"/>
        </w:rPr>
        <w:t xml:space="preserve">sponsor </w:t>
      </w:r>
      <w:r w:rsidRPr="005516C3" w:rsidR="005516C3">
        <w:rPr>
          <w:sz w:val="24"/>
        </w:rPr>
        <w:t xml:space="preserve">will be </w:t>
      </w:r>
      <w:r w:rsidR="005516C3">
        <w:rPr>
          <w:sz w:val="24"/>
        </w:rPr>
        <w:t xml:space="preserve">20 </w:t>
      </w:r>
      <w:r w:rsidRPr="005516C3" w:rsidR="005516C3">
        <w:rPr>
          <w:sz w:val="24"/>
        </w:rPr>
        <w:t>hours, with an equ</w:t>
      </w:r>
      <w:r w:rsidR="005516C3">
        <w:rPr>
          <w:sz w:val="24"/>
        </w:rPr>
        <w:t>ivalent cost of approximately $1,700</w:t>
      </w:r>
      <w:r w:rsidR="00D17E77">
        <w:rPr>
          <w:sz w:val="24"/>
        </w:rPr>
        <w:t xml:space="preserve">. We </w:t>
      </w:r>
      <w:r w:rsidR="00D17E77">
        <w:rPr>
          <w:sz w:val="24"/>
        </w:rPr>
        <w:lastRenderedPageBreak/>
        <w:t>estimate</w:t>
      </w:r>
      <w:r w:rsidR="005516C3">
        <w:rPr>
          <w:sz w:val="24"/>
        </w:rPr>
        <w:t xml:space="preserve"> the total cost for 6 plan sponsors will be 120 hours with an equivalent cost of approximately $10,200. </w:t>
      </w:r>
      <w:r w:rsidRPr="26249FC8">
        <w:rPr>
          <w:sz w:val="24"/>
        </w:rPr>
        <w:t xml:space="preserve">For </w:t>
      </w:r>
      <w:r w:rsidR="005516C3">
        <w:rPr>
          <w:sz w:val="24"/>
        </w:rPr>
        <w:t xml:space="preserve">all </w:t>
      </w:r>
      <w:r w:rsidRPr="26249FC8">
        <w:rPr>
          <w:sz w:val="24"/>
        </w:rPr>
        <w:t>8 plan</w:t>
      </w:r>
      <w:r w:rsidR="00D17E77">
        <w:rPr>
          <w:sz w:val="24"/>
        </w:rPr>
        <w:t xml:space="preserve"> </w:t>
      </w:r>
      <w:r w:rsidRPr="26249FC8">
        <w:rPr>
          <w:sz w:val="24"/>
        </w:rPr>
        <w:t>s</w:t>
      </w:r>
      <w:r w:rsidR="00D17E77">
        <w:rPr>
          <w:sz w:val="24"/>
        </w:rPr>
        <w:t>ponsors</w:t>
      </w:r>
      <w:r w:rsidRPr="26249FC8">
        <w:rPr>
          <w:sz w:val="24"/>
        </w:rPr>
        <w:t xml:space="preserve"> or issuers, we estimate the total burden will be </w:t>
      </w:r>
      <w:r w:rsidR="00054FEE">
        <w:rPr>
          <w:sz w:val="24"/>
        </w:rPr>
        <w:t xml:space="preserve">200 </w:t>
      </w:r>
      <w:r w:rsidRPr="26249FC8">
        <w:rPr>
          <w:sz w:val="24"/>
        </w:rPr>
        <w:t xml:space="preserve">hours, with an equivalent cost of approximately </w:t>
      </w:r>
      <w:r w:rsidR="00054FEE">
        <w:rPr>
          <w:sz w:val="24"/>
        </w:rPr>
        <w:t>$16,700</w:t>
      </w:r>
      <w:r w:rsidRPr="26249FC8">
        <w:rPr>
          <w:sz w:val="24"/>
        </w:rPr>
        <w:t>.</w:t>
      </w:r>
    </w:p>
    <w:p w:rsidR="00BA2C15" w:rsidP="00162CB0" w:rsidRDefault="00BA2C15" w14:paraId="449FC17A" w14:textId="77777777">
      <w:pPr>
        <w:ind w:left="432"/>
        <w:rPr>
          <w:sz w:val="24"/>
        </w:rPr>
      </w:pPr>
    </w:p>
    <w:p w:rsidRPr="00FD3355" w:rsidR="00162CB0" w:rsidP="00162CB0" w:rsidRDefault="00162CB0" w14:paraId="58BAEC2B" w14:textId="00C9466F">
      <w:pPr>
        <w:ind w:left="432"/>
        <w:rPr>
          <w:sz w:val="24"/>
          <w:u w:val="single"/>
        </w:rPr>
      </w:pPr>
      <w:r w:rsidRPr="00FD3355">
        <w:rPr>
          <w:sz w:val="24"/>
          <w:u w:val="single"/>
        </w:rPr>
        <w:t>TABLE 5: Annual Burden for Self-Insured Non-Federal Governmental Plans and Issuers related to Corrective Action Plans</w:t>
      </w:r>
    </w:p>
    <w:p w:rsidR="00162CB0" w:rsidP="00162CB0" w:rsidRDefault="00162CB0" w14:paraId="16032223" w14:textId="77777777">
      <w:pPr>
        <w:ind w:left="432"/>
        <w:rPr>
          <w:sz w:val="24"/>
        </w:rPr>
      </w:pPr>
    </w:p>
    <w:tbl>
      <w:tblPr>
        <w:tblStyle w:val="TableGrid"/>
        <w:tblW w:w="0" w:type="auto"/>
        <w:tblInd w:w="432" w:type="dxa"/>
        <w:tblLook w:val="04A0" w:firstRow="1" w:lastRow="0" w:firstColumn="1" w:lastColumn="0" w:noHBand="0" w:noVBand="1"/>
      </w:tblPr>
      <w:tblGrid>
        <w:gridCol w:w="1403"/>
        <w:gridCol w:w="1906"/>
        <w:gridCol w:w="1818"/>
        <w:gridCol w:w="1797"/>
        <w:gridCol w:w="1994"/>
      </w:tblGrid>
      <w:tr w:rsidR="00054FEE" w:rsidTr="00CE74D6" w14:paraId="2E0D8FF1" w14:textId="77777777">
        <w:tc>
          <w:tcPr>
            <w:tcW w:w="1403" w:type="dxa"/>
          </w:tcPr>
          <w:p w:rsidRPr="004B3BA6" w:rsidR="00054FEE" w:rsidP="00961EF2" w:rsidRDefault="00054FEE" w14:paraId="37114B6E" w14:textId="0DA88E7E">
            <w:pPr>
              <w:jc w:val="center"/>
              <w:rPr>
                <w:sz w:val="24"/>
              </w:rPr>
            </w:pPr>
            <w:r>
              <w:rPr>
                <w:sz w:val="24"/>
              </w:rPr>
              <w:t>Type of Respondent</w:t>
            </w:r>
          </w:p>
        </w:tc>
        <w:tc>
          <w:tcPr>
            <w:tcW w:w="1906" w:type="dxa"/>
            <w:vAlign w:val="center"/>
          </w:tcPr>
          <w:p w:rsidR="00054FEE" w:rsidP="00961EF2" w:rsidRDefault="00054FEE" w14:paraId="11415D81" w14:textId="1163A72E">
            <w:pPr>
              <w:jc w:val="center"/>
              <w:rPr>
                <w:sz w:val="24"/>
              </w:rPr>
            </w:pPr>
            <w:r w:rsidRPr="004B3BA6">
              <w:rPr>
                <w:sz w:val="24"/>
              </w:rPr>
              <w:t>Number of Respondents</w:t>
            </w:r>
          </w:p>
        </w:tc>
        <w:tc>
          <w:tcPr>
            <w:tcW w:w="1818" w:type="dxa"/>
            <w:vAlign w:val="center"/>
          </w:tcPr>
          <w:p w:rsidR="00054FEE" w:rsidP="00961EF2" w:rsidRDefault="00054FEE" w14:paraId="13ACC79A" w14:textId="77777777">
            <w:pPr>
              <w:jc w:val="center"/>
              <w:rPr>
                <w:sz w:val="24"/>
              </w:rPr>
            </w:pPr>
            <w:r w:rsidRPr="004B3BA6">
              <w:rPr>
                <w:sz w:val="24"/>
              </w:rPr>
              <w:t>Number of Responses</w:t>
            </w:r>
          </w:p>
        </w:tc>
        <w:tc>
          <w:tcPr>
            <w:tcW w:w="1797" w:type="dxa"/>
            <w:vAlign w:val="center"/>
          </w:tcPr>
          <w:p w:rsidR="00054FEE" w:rsidP="00755411" w:rsidRDefault="00054FEE" w14:paraId="66721916" w14:textId="401F7348">
            <w:pPr>
              <w:jc w:val="center"/>
              <w:rPr>
                <w:sz w:val="24"/>
              </w:rPr>
            </w:pPr>
            <w:r w:rsidRPr="004B3BA6">
              <w:rPr>
                <w:sz w:val="24"/>
              </w:rPr>
              <w:t>Total Estimated Annual Burden</w:t>
            </w:r>
            <w:r w:rsidR="00755411">
              <w:rPr>
                <w:sz w:val="24"/>
              </w:rPr>
              <w:t xml:space="preserve"> (Hours)</w:t>
            </w:r>
          </w:p>
        </w:tc>
        <w:tc>
          <w:tcPr>
            <w:tcW w:w="1994" w:type="dxa"/>
            <w:vAlign w:val="center"/>
          </w:tcPr>
          <w:p w:rsidR="00054FEE" w:rsidP="00961EF2" w:rsidRDefault="00054FEE" w14:paraId="42395F65" w14:textId="77777777">
            <w:pPr>
              <w:jc w:val="center"/>
              <w:rPr>
                <w:sz w:val="24"/>
              </w:rPr>
            </w:pPr>
            <w:r w:rsidRPr="004B3BA6">
              <w:rPr>
                <w:sz w:val="24"/>
              </w:rPr>
              <w:t>Total Estimated Labor Cost</w:t>
            </w:r>
          </w:p>
        </w:tc>
      </w:tr>
      <w:tr w:rsidR="00054FEE" w:rsidTr="00CE74D6" w14:paraId="3120FD8C" w14:textId="77777777">
        <w:tc>
          <w:tcPr>
            <w:tcW w:w="1403" w:type="dxa"/>
          </w:tcPr>
          <w:p w:rsidR="00054FEE" w:rsidP="00961EF2" w:rsidRDefault="00054FEE" w14:paraId="440E3D89" w14:textId="2C4C47BC">
            <w:pPr>
              <w:jc w:val="center"/>
              <w:rPr>
                <w:sz w:val="24"/>
              </w:rPr>
            </w:pPr>
            <w:r>
              <w:rPr>
                <w:sz w:val="24"/>
              </w:rPr>
              <w:t>Issuer</w:t>
            </w:r>
          </w:p>
        </w:tc>
        <w:tc>
          <w:tcPr>
            <w:tcW w:w="1906" w:type="dxa"/>
            <w:vAlign w:val="center"/>
          </w:tcPr>
          <w:p w:rsidR="00054FEE" w:rsidP="00961EF2" w:rsidRDefault="00054FEE" w14:paraId="24706C40" w14:textId="1C34306F">
            <w:pPr>
              <w:jc w:val="center"/>
              <w:rPr>
                <w:sz w:val="24"/>
              </w:rPr>
            </w:pPr>
            <w:r>
              <w:rPr>
                <w:sz w:val="24"/>
              </w:rPr>
              <w:t>2</w:t>
            </w:r>
          </w:p>
        </w:tc>
        <w:tc>
          <w:tcPr>
            <w:tcW w:w="1818" w:type="dxa"/>
            <w:vAlign w:val="center"/>
          </w:tcPr>
          <w:p w:rsidR="00054FEE" w:rsidP="00961EF2" w:rsidRDefault="00054FEE" w14:paraId="07F5AA52" w14:textId="6767D943">
            <w:pPr>
              <w:jc w:val="center"/>
              <w:rPr>
                <w:sz w:val="24"/>
              </w:rPr>
            </w:pPr>
            <w:r>
              <w:rPr>
                <w:sz w:val="24"/>
              </w:rPr>
              <w:t>2</w:t>
            </w:r>
          </w:p>
        </w:tc>
        <w:tc>
          <w:tcPr>
            <w:tcW w:w="1797" w:type="dxa"/>
            <w:vAlign w:val="center"/>
          </w:tcPr>
          <w:p w:rsidRPr="26249FC8" w:rsidR="00054FEE" w:rsidP="26249FC8" w:rsidRDefault="00054FEE" w14:paraId="7693C1CF" w14:textId="3F5F30E5">
            <w:pPr>
              <w:jc w:val="center"/>
              <w:rPr>
                <w:sz w:val="24"/>
              </w:rPr>
            </w:pPr>
            <w:r>
              <w:rPr>
                <w:sz w:val="24"/>
              </w:rPr>
              <w:t>80</w:t>
            </w:r>
          </w:p>
        </w:tc>
        <w:tc>
          <w:tcPr>
            <w:tcW w:w="1994" w:type="dxa"/>
            <w:vAlign w:val="center"/>
          </w:tcPr>
          <w:p w:rsidRPr="26249FC8" w:rsidR="00054FEE" w:rsidP="26249FC8" w:rsidRDefault="00054FEE" w14:paraId="1D7F20FB" w14:textId="29BC06A1">
            <w:pPr>
              <w:jc w:val="center"/>
              <w:rPr>
                <w:sz w:val="24"/>
              </w:rPr>
            </w:pPr>
            <w:r>
              <w:rPr>
                <w:sz w:val="24"/>
              </w:rPr>
              <w:t>$6,500</w:t>
            </w:r>
          </w:p>
        </w:tc>
      </w:tr>
      <w:tr w:rsidR="00054FEE" w:rsidTr="00CE74D6" w14:paraId="094DFB10" w14:textId="77777777">
        <w:tc>
          <w:tcPr>
            <w:tcW w:w="1403" w:type="dxa"/>
          </w:tcPr>
          <w:p w:rsidR="00054FEE" w:rsidP="00961EF2" w:rsidRDefault="00054FEE" w14:paraId="5E910379" w14:textId="69533543">
            <w:pPr>
              <w:jc w:val="center"/>
              <w:rPr>
                <w:sz w:val="24"/>
              </w:rPr>
            </w:pPr>
            <w:r>
              <w:rPr>
                <w:sz w:val="24"/>
              </w:rPr>
              <w:t>Plan Sponsor</w:t>
            </w:r>
          </w:p>
        </w:tc>
        <w:tc>
          <w:tcPr>
            <w:tcW w:w="1906" w:type="dxa"/>
            <w:vAlign w:val="center"/>
          </w:tcPr>
          <w:p w:rsidR="00054FEE" w:rsidP="00961EF2" w:rsidRDefault="00054FEE" w14:paraId="01F54310" w14:textId="3F083158">
            <w:pPr>
              <w:jc w:val="center"/>
              <w:rPr>
                <w:sz w:val="24"/>
              </w:rPr>
            </w:pPr>
            <w:r>
              <w:rPr>
                <w:sz w:val="24"/>
              </w:rPr>
              <w:t>6</w:t>
            </w:r>
          </w:p>
        </w:tc>
        <w:tc>
          <w:tcPr>
            <w:tcW w:w="1818" w:type="dxa"/>
            <w:vAlign w:val="center"/>
          </w:tcPr>
          <w:p w:rsidR="00054FEE" w:rsidP="00961EF2" w:rsidRDefault="00054FEE" w14:paraId="391A7E3A" w14:textId="276FB3F2">
            <w:pPr>
              <w:jc w:val="center"/>
              <w:rPr>
                <w:sz w:val="24"/>
              </w:rPr>
            </w:pPr>
            <w:r>
              <w:rPr>
                <w:sz w:val="24"/>
              </w:rPr>
              <w:t>6</w:t>
            </w:r>
          </w:p>
        </w:tc>
        <w:tc>
          <w:tcPr>
            <w:tcW w:w="1797" w:type="dxa"/>
            <w:vAlign w:val="center"/>
          </w:tcPr>
          <w:p w:rsidRPr="26249FC8" w:rsidR="00054FEE" w:rsidP="26249FC8" w:rsidRDefault="00054FEE" w14:paraId="48694081" w14:textId="07A47C87">
            <w:pPr>
              <w:jc w:val="center"/>
              <w:rPr>
                <w:sz w:val="24"/>
              </w:rPr>
            </w:pPr>
            <w:r>
              <w:rPr>
                <w:sz w:val="24"/>
              </w:rPr>
              <w:t>120</w:t>
            </w:r>
          </w:p>
        </w:tc>
        <w:tc>
          <w:tcPr>
            <w:tcW w:w="1994" w:type="dxa"/>
            <w:vAlign w:val="center"/>
          </w:tcPr>
          <w:p w:rsidRPr="26249FC8" w:rsidR="00054FEE" w:rsidP="26249FC8" w:rsidRDefault="00054FEE" w14:paraId="08DC5FA5" w14:textId="7C6D65EB">
            <w:pPr>
              <w:jc w:val="center"/>
              <w:rPr>
                <w:sz w:val="24"/>
              </w:rPr>
            </w:pPr>
            <w:r>
              <w:rPr>
                <w:sz w:val="24"/>
              </w:rPr>
              <w:t>$10,245</w:t>
            </w:r>
          </w:p>
        </w:tc>
      </w:tr>
      <w:tr w:rsidR="00054FEE" w:rsidTr="00CE74D6" w14:paraId="0F6E226D" w14:textId="77777777">
        <w:tc>
          <w:tcPr>
            <w:tcW w:w="1403" w:type="dxa"/>
          </w:tcPr>
          <w:p w:rsidR="00054FEE" w:rsidP="00961EF2" w:rsidRDefault="00054FEE" w14:paraId="1DF708CC" w14:textId="7CC26E24">
            <w:pPr>
              <w:jc w:val="center"/>
              <w:rPr>
                <w:sz w:val="24"/>
              </w:rPr>
            </w:pPr>
            <w:r>
              <w:rPr>
                <w:sz w:val="24"/>
              </w:rPr>
              <w:t>Total</w:t>
            </w:r>
          </w:p>
        </w:tc>
        <w:tc>
          <w:tcPr>
            <w:tcW w:w="1906" w:type="dxa"/>
            <w:vAlign w:val="center"/>
          </w:tcPr>
          <w:p w:rsidR="00054FEE" w:rsidP="00961EF2" w:rsidRDefault="00054FEE" w14:paraId="5957D9C1" w14:textId="7C3F2839">
            <w:pPr>
              <w:jc w:val="center"/>
              <w:rPr>
                <w:sz w:val="24"/>
              </w:rPr>
            </w:pPr>
            <w:r>
              <w:rPr>
                <w:sz w:val="24"/>
              </w:rPr>
              <w:t>8</w:t>
            </w:r>
          </w:p>
        </w:tc>
        <w:tc>
          <w:tcPr>
            <w:tcW w:w="1818" w:type="dxa"/>
            <w:vAlign w:val="center"/>
          </w:tcPr>
          <w:p w:rsidR="00054FEE" w:rsidP="00961EF2" w:rsidRDefault="00054FEE" w14:paraId="1A49ACB7" w14:textId="7A8373FC">
            <w:pPr>
              <w:jc w:val="center"/>
              <w:rPr>
                <w:sz w:val="24"/>
              </w:rPr>
            </w:pPr>
            <w:r>
              <w:rPr>
                <w:sz w:val="24"/>
              </w:rPr>
              <w:t>8</w:t>
            </w:r>
          </w:p>
        </w:tc>
        <w:tc>
          <w:tcPr>
            <w:tcW w:w="1797" w:type="dxa"/>
            <w:vAlign w:val="center"/>
          </w:tcPr>
          <w:p w:rsidR="00054FEE" w:rsidP="26249FC8" w:rsidRDefault="00054FEE" w14:paraId="177395AA" w14:textId="385924B7">
            <w:pPr>
              <w:jc w:val="center"/>
              <w:rPr>
                <w:sz w:val="24"/>
              </w:rPr>
            </w:pPr>
            <w:r>
              <w:rPr>
                <w:sz w:val="24"/>
              </w:rPr>
              <w:t>200</w:t>
            </w:r>
          </w:p>
        </w:tc>
        <w:tc>
          <w:tcPr>
            <w:tcW w:w="1994" w:type="dxa"/>
            <w:vAlign w:val="center"/>
          </w:tcPr>
          <w:p w:rsidR="00054FEE" w:rsidP="00054FEE" w:rsidRDefault="00054FEE" w14:paraId="4841628A" w14:textId="30C7493D">
            <w:pPr>
              <w:jc w:val="center"/>
              <w:rPr>
                <w:sz w:val="24"/>
              </w:rPr>
            </w:pPr>
            <w:r w:rsidRPr="26249FC8">
              <w:rPr>
                <w:sz w:val="24"/>
              </w:rPr>
              <w:t>$</w:t>
            </w:r>
            <w:r>
              <w:rPr>
                <w:sz w:val="24"/>
              </w:rPr>
              <w:t>16,745</w:t>
            </w:r>
          </w:p>
        </w:tc>
      </w:tr>
    </w:tbl>
    <w:p w:rsidR="00162CB0" w:rsidP="00162CB0" w:rsidRDefault="00162CB0" w14:paraId="2ACB0F60" w14:textId="567D97A8">
      <w:pPr>
        <w:ind w:left="432"/>
        <w:rPr>
          <w:bCs/>
          <w:sz w:val="24"/>
        </w:rPr>
      </w:pPr>
    </w:p>
    <w:p w:rsidR="007B42C8" w:rsidP="26249FC8" w:rsidRDefault="26249FC8" w14:paraId="2B2FE060" w14:textId="2A2C4C33">
      <w:pPr>
        <w:ind w:left="432"/>
        <w:rPr>
          <w:sz w:val="24"/>
        </w:rPr>
      </w:pPr>
      <w:r w:rsidRPr="26249FC8">
        <w:rPr>
          <w:sz w:val="24"/>
        </w:rPr>
        <w:t xml:space="preserve">Following the 45-day corrective action period, if CMS makes a final determination that the plan or issuer is still not in compliance, not later than 7 days after such determination, the plan or issuer must notify all individuals enrolled in the plan or coverage that the coverage is determined to be noncompliant with MHPAEA. We anticipate that issuers </w:t>
      </w:r>
      <w:r w:rsidR="00D17E77">
        <w:rPr>
          <w:sz w:val="24"/>
        </w:rPr>
        <w:t xml:space="preserve">and plan sponsors </w:t>
      </w:r>
      <w:r w:rsidRPr="26249FC8">
        <w:rPr>
          <w:sz w:val="24"/>
        </w:rPr>
        <w:t xml:space="preserve">will take corrective action to become compliant with MHPAEA NQTL requirements. If a plan or issuer is still not in compliance, we estimate that it will take a lawyer (at an hourly labor cost of $139.72) 1 hour to prepare the required notice for a cost of approximately $140. </w:t>
      </w:r>
    </w:p>
    <w:p w:rsidR="007F4C5C" w:rsidP="00F4099F" w:rsidRDefault="007F4C5C" w14:paraId="4A9FE6E1" w14:textId="614C8B0C">
      <w:pPr>
        <w:rPr>
          <w:bCs/>
          <w:sz w:val="24"/>
        </w:rPr>
      </w:pPr>
    </w:p>
    <w:p w:rsidRPr="00FD3355" w:rsidR="00755411" w:rsidP="00755411" w:rsidRDefault="00755411" w14:paraId="63989506" w14:textId="0AD58C6A">
      <w:pPr>
        <w:ind w:left="432"/>
        <w:rPr>
          <w:sz w:val="24"/>
          <w:u w:val="single"/>
        </w:rPr>
      </w:pPr>
      <w:r w:rsidRPr="00FD3355">
        <w:rPr>
          <w:sz w:val="24"/>
          <w:u w:val="single"/>
        </w:rPr>
        <w:t>TABLE 6: Annual Burden for Self-Insured Non-Federal Governmental Plans and Issuers related to Notification of Non-compliance</w:t>
      </w:r>
    </w:p>
    <w:p w:rsidR="00755411" w:rsidP="00755411" w:rsidRDefault="00755411" w14:paraId="6F99F553" w14:textId="77777777">
      <w:pPr>
        <w:ind w:left="432"/>
        <w:rPr>
          <w:sz w:val="24"/>
        </w:rPr>
      </w:pPr>
    </w:p>
    <w:tbl>
      <w:tblPr>
        <w:tblStyle w:val="TableGrid"/>
        <w:tblW w:w="0" w:type="auto"/>
        <w:tblInd w:w="432" w:type="dxa"/>
        <w:tblLook w:val="04A0" w:firstRow="1" w:lastRow="0" w:firstColumn="1" w:lastColumn="0" w:noHBand="0" w:noVBand="1"/>
      </w:tblPr>
      <w:tblGrid>
        <w:gridCol w:w="2229"/>
        <w:gridCol w:w="2229"/>
        <w:gridCol w:w="2230"/>
        <w:gridCol w:w="2230"/>
      </w:tblGrid>
      <w:tr w:rsidR="00755411" w:rsidTr="00CD506D" w14:paraId="7FC1F3BA" w14:textId="77777777">
        <w:tc>
          <w:tcPr>
            <w:tcW w:w="2229" w:type="dxa"/>
            <w:vAlign w:val="center"/>
          </w:tcPr>
          <w:p w:rsidR="00755411" w:rsidP="00CD506D" w:rsidRDefault="00755411" w14:paraId="00656273" w14:textId="77777777">
            <w:pPr>
              <w:jc w:val="center"/>
              <w:rPr>
                <w:sz w:val="24"/>
              </w:rPr>
            </w:pPr>
            <w:r w:rsidRPr="004B3BA6">
              <w:rPr>
                <w:sz w:val="24"/>
              </w:rPr>
              <w:t>Number of Respondents</w:t>
            </w:r>
          </w:p>
        </w:tc>
        <w:tc>
          <w:tcPr>
            <w:tcW w:w="2229" w:type="dxa"/>
            <w:vAlign w:val="center"/>
          </w:tcPr>
          <w:p w:rsidR="00755411" w:rsidP="00CD506D" w:rsidRDefault="00755411" w14:paraId="4C7E7B77" w14:textId="77777777">
            <w:pPr>
              <w:jc w:val="center"/>
              <w:rPr>
                <w:sz w:val="24"/>
              </w:rPr>
            </w:pPr>
            <w:r w:rsidRPr="004B3BA6">
              <w:rPr>
                <w:sz w:val="24"/>
              </w:rPr>
              <w:t>Number of Responses</w:t>
            </w:r>
          </w:p>
        </w:tc>
        <w:tc>
          <w:tcPr>
            <w:tcW w:w="2230" w:type="dxa"/>
            <w:vAlign w:val="center"/>
          </w:tcPr>
          <w:p w:rsidR="00755411" w:rsidP="00755411" w:rsidRDefault="00755411" w14:paraId="2B536C16" w14:textId="5C0C5308">
            <w:pPr>
              <w:jc w:val="center"/>
              <w:rPr>
                <w:sz w:val="24"/>
              </w:rPr>
            </w:pPr>
            <w:r w:rsidRPr="004B3BA6">
              <w:rPr>
                <w:sz w:val="24"/>
              </w:rPr>
              <w:t>Total Estimated Annual Burden</w:t>
            </w:r>
            <w:r>
              <w:rPr>
                <w:sz w:val="24"/>
              </w:rPr>
              <w:t xml:space="preserve"> (Hours)</w:t>
            </w:r>
          </w:p>
        </w:tc>
        <w:tc>
          <w:tcPr>
            <w:tcW w:w="2230" w:type="dxa"/>
            <w:vAlign w:val="center"/>
          </w:tcPr>
          <w:p w:rsidR="00755411" w:rsidP="00CD506D" w:rsidRDefault="00755411" w14:paraId="3A66406A" w14:textId="77777777">
            <w:pPr>
              <w:jc w:val="center"/>
              <w:rPr>
                <w:sz w:val="24"/>
              </w:rPr>
            </w:pPr>
            <w:r w:rsidRPr="004B3BA6">
              <w:rPr>
                <w:sz w:val="24"/>
              </w:rPr>
              <w:t>Total Estimated Labor Cost</w:t>
            </w:r>
          </w:p>
        </w:tc>
      </w:tr>
      <w:tr w:rsidR="00755411" w:rsidTr="00CD506D" w14:paraId="341E315D" w14:textId="77777777">
        <w:tc>
          <w:tcPr>
            <w:tcW w:w="2229" w:type="dxa"/>
            <w:vAlign w:val="center"/>
          </w:tcPr>
          <w:p w:rsidR="00755411" w:rsidP="00CD506D" w:rsidRDefault="00755411" w14:paraId="4EB022E0" w14:textId="738A94B2">
            <w:pPr>
              <w:jc w:val="center"/>
              <w:rPr>
                <w:sz w:val="24"/>
              </w:rPr>
            </w:pPr>
            <w:r>
              <w:rPr>
                <w:sz w:val="24"/>
              </w:rPr>
              <w:t>1</w:t>
            </w:r>
          </w:p>
        </w:tc>
        <w:tc>
          <w:tcPr>
            <w:tcW w:w="2229" w:type="dxa"/>
            <w:vAlign w:val="center"/>
          </w:tcPr>
          <w:p w:rsidR="00755411" w:rsidP="00CD506D" w:rsidRDefault="00755411" w14:paraId="5636D266" w14:textId="4CB1D886">
            <w:pPr>
              <w:jc w:val="center"/>
              <w:rPr>
                <w:sz w:val="24"/>
              </w:rPr>
            </w:pPr>
            <w:r>
              <w:rPr>
                <w:sz w:val="24"/>
              </w:rPr>
              <w:t>1</w:t>
            </w:r>
          </w:p>
        </w:tc>
        <w:tc>
          <w:tcPr>
            <w:tcW w:w="2230" w:type="dxa"/>
            <w:vAlign w:val="center"/>
          </w:tcPr>
          <w:p w:rsidR="00755411" w:rsidP="00CD506D" w:rsidRDefault="00755411" w14:paraId="103289E5" w14:textId="42F82534">
            <w:pPr>
              <w:jc w:val="center"/>
              <w:rPr>
                <w:sz w:val="24"/>
              </w:rPr>
            </w:pPr>
            <w:r>
              <w:rPr>
                <w:sz w:val="24"/>
              </w:rPr>
              <w:t xml:space="preserve">1 </w:t>
            </w:r>
          </w:p>
        </w:tc>
        <w:tc>
          <w:tcPr>
            <w:tcW w:w="2230" w:type="dxa"/>
            <w:vAlign w:val="center"/>
          </w:tcPr>
          <w:p w:rsidR="00755411" w:rsidP="00755411" w:rsidRDefault="00755411" w14:paraId="7DE0CCD0" w14:textId="37D68B1A">
            <w:pPr>
              <w:jc w:val="center"/>
              <w:rPr>
                <w:sz w:val="24"/>
              </w:rPr>
            </w:pPr>
            <w:r>
              <w:rPr>
                <w:sz w:val="24"/>
              </w:rPr>
              <w:t>$140</w:t>
            </w:r>
          </w:p>
        </w:tc>
      </w:tr>
    </w:tbl>
    <w:p w:rsidR="00755411" w:rsidP="00F4099F" w:rsidRDefault="00755411" w14:paraId="507F3289" w14:textId="50E279BE">
      <w:pPr>
        <w:rPr>
          <w:bCs/>
          <w:sz w:val="24"/>
        </w:rPr>
      </w:pPr>
    </w:p>
    <w:p w:rsidR="004F3122" w:rsidP="006F62F6" w:rsidRDefault="004F3122" w14:paraId="788B993A" w14:textId="41CCB0D7">
      <w:pPr>
        <w:ind w:left="432"/>
        <w:rPr>
          <w:bCs/>
          <w:sz w:val="24"/>
        </w:rPr>
      </w:pPr>
      <w:r w:rsidRPr="004F3122">
        <w:rPr>
          <w:bCs/>
          <w:sz w:val="24"/>
          <w:u w:val="single"/>
        </w:rPr>
        <w:t>Submission to states upon request</w:t>
      </w:r>
      <w:r>
        <w:rPr>
          <w:bCs/>
          <w:sz w:val="24"/>
        </w:rPr>
        <w:t>:</w:t>
      </w:r>
    </w:p>
    <w:p w:rsidR="004F3122" w:rsidP="006F62F6" w:rsidRDefault="004F3122" w14:paraId="64A8F607" w14:textId="0098C69E">
      <w:pPr>
        <w:rPr>
          <w:bCs/>
          <w:sz w:val="24"/>
        </w:rPr>
      </w:pPr>
    </w:p>
    <w:p w:rsidR="004F3122" w:rsidP="006F62F6" w:rsidRDefault="00CD33FB" w14:paraId="00083EC5" w14:textId="1910AEA9">
      <w:pPr>
        <w:ind w:left="432"/>
        <w:rPr>
          <w:bCs/>
          <w:sz w:val="24"/>
        </w:rPr>
      </w:pPr>
      <w:r w:rsidRPr="00CD33FB">
        <w:rPr>
          <w:bCs/>
          <w:sz w:val="24"/>
        </w:rPr>
        <w:t xml:space="preserve">Under the Appropriations Act, plans and issuers must be prepared to submit their </w:t>
      </w:r>
      <w:r w:rsidR="00E52A3E">
        <w:rPr>
          <w:bCs/>
          <w:sz w:val="24"/>
        </w:rPr>
        <w:t>c</w:t>
      </w:r>
      <w:r w:rsidRPr="00CD33FB">
        <w:rPr>
          <w:bCs/>
          <w:sz w:val="24"/>
        </w:rPr>
        <w:t>omparative analysis with respect to each NQTL imposed when requested by the applicable state authority</w:t>
      </w:r>
      <w:r w:rsidR="00E52A3E">
        <w:rPr>
          <w:bCs/>
          <w:sz w:val="24"/>
        </w:rPr>
        <w:t>.</w:t>
      </w:r>
      <w:r w:rsidR="00B62331">
        <w:rPr>
          <w:bCs/>
          <w:sz w:val="24"/>
        </w:rPr>
        <w:t xml:space="preserve"> </w:t>
      </w:r>
      <w:r w:rsidR="005C7AF4">
        <w:rPr>
          <w:bCs/>
          <w:sz w:val="24"/>
        </w:rPr>
        <w:t>Of the 47 states and the District of Columbia</w:t>
      </w:r>
      <w:r w:rsidR="00C22BA2">
        <w:rPr>
          <w:bCs/>
          <w:sz w:val="24"/>
        </w:rPr>
        <w:t xml:space="preserve"> that enforce MHPAEA</w:t>
      </w:r>
      <w:r w:rsidR="005C7AF4">
        <w:rPr>
          <w:bCs/>
          <w:sz w:val="24"/>
        </w:rPr>
        <w:t>, we are unable to estimate how many states will request this information and how often. However, the cost of submitting the information to state authorities electronically will be minimal.</w:t>
      </w:r>
    </w:p>
    <w:p w:rsidRPr="003E0DD5" w:rsidR="00631BE1" w:rsidP="00F4099F" w:rsidRDefault="00631BE1" w14:paraId="6D8963F9" w14:textId="77777777">
      <w:pPr>
        <w:rPr>
          <w:bCs/>
          <w:sz w:val="24"/>
        </w:rPr>
      </w:pPr>
    </w:p>
    <w:p w:rsidRPr="003E0DD5" w:rsidR="008F1EB4" w:rsidP="00F4099F" w:rsidRDefault="008F1EB4" w14:paraId="2B3AF74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14.</w:t>
      </w:r>
      <w:r w:rsidRPr="003E0DD5">
        <w:rPr>
          <w:sz w:val="24"/>
        </w:rPr>
        <w:tab/>
      </w:r>
      <w:r w:rsidRPr="003E0DD5">
        <w:rPr>
          <w:sz w:val="24"/>
          <w:u w:val="single"/>
        </w:rPr>
        <w:t>Cost to Federal Government</w:t>
      </w:r>
    </w:p>
    <w:p w:rsidRPr="003E0DD5" w:rsidR="008F1EB4" w:rsidP="00F4099F" w:rsidRDefault="008F1EB4" w14:paraId="102C749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B34526" w14:paraId="1482C2D8" w14:textId="517D0EA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w:t>
      </w:r>
      <w:r w:rsidR="00A937AD">
        <w:rPr>
          <w:sz w:val="24"/>
        </w:rPr>
        <w:t xml:space="preserve">estimates that the cost of each review will </w:t>
      </w:r>
      <w:r w:rsidR="003F5FDB">
        <w:rPr>
          <w:sz w:val="24"/>
        </w:rPr>
        <w:t xml:space="preserve">be </w:t>
      </w:r>
      <w:r w:rsidR="00A937AD">
        <w:rPr>
          <w:sz w:val="24"/>
        </w:rPr>
        <w:t xml:space="preserve">approximately $100,000, with a total </w:t>
      </w:r>
      <w:r w:rsidR="003F5FDB">
        <w:rPr>
          <w:sz w:val="24"/>
        </w:rPr>
        <w:t xml:space="preserve">cost </w:t>
      </w:r>
      <w:r w:rsidR="00A937AD">
        <w:rPr>
          <w:sz w:val="24"/>
        </w:rPr>
        <w:t>of $2 million for all 20 reviews annually.</w:t>
      </w:r>
    </w:p>
    <w:p w:rsidRPr="003E0DD5" w:rsidR="008F1EB4" w:rsidP="00F4099F" w:rsidRDefault="008F1EB4" w14:paraId="77798C1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8F1EB4" w14:paraId="0D005455" w14:textId="4D735659">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15.</w:t>
      </w:r>
      <w:r w:rsidRPr="003E0DD5">
        <w:rPr>
          <w:sz w:val="24"/>
        </w:rPr>
        <w:tab/>
      </w:r>
      <w:r w:rsidRPr="003E0DD5">
        <w:rPr>
          <w:sz w:val="24"/>
          <w:u w:val="single"/>
        </w:rPr>
        <w:t>Changes to Burden</w:t>
      </w:r>
      <w:r w:rsidRPr="003E0DD5" w:rsidR="00F72924">
        <w:rPr>
          <w:sz w:val="24"/>
          <w:u w:val="single"/>
        </w:rPr>
        <w:t xml:space="preserve"> </w:t>
      </w:r>
    </w:p>
    <w:p w:rsidRPr="003E0DD5" w:rsidR="008F1EB4" w:rsidP="00F4099F" w:rsidRDefault="008F1EB4" w14:paraId="60AFEBA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DD1993" w14:paraId="57F0A7BB" w14:textId="6F5955EE">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There is no change in burden. </w:t>
      </w:r>
    </w:p>
    <w:p w:rsidRPr="003E0DD5" w:rsidR="008F1EB4" w:rsidP="00F4099F" w:rsidRDefault="008F1EB4" w14:paraId="465F9C0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A2C15" w:rsidP="00F4099F" w:rsidRDefault="00BA2C15" w14:paraId="7791561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p>
    <w:p w:rsidRPr="003E0DD5" w:rsidR="008F1EB4" w:rsidP="00F4099F" w:rsidRDefault="008F1EB4" w14:paraId="7A37B01A" w14:textId="780BCBA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16.</w:t>
      </w:r>
      <w:r w:rsidRPr="003E0DD5">
        <w:rPr>
          <w:sz w:val="24"/>
        </w:rPr>
        <w:tab/>
      </w:r>
      <w:r w:rsidRPr="003E0DD5">
        <w:rPr>
          <w:sz w:val="24"/>
          <w:u w:val="single"/>
        </w:rPr>
        <w:t>Publication/Tabulation Dates</w:t>
      </w:r>
    </w:p>
    <w:p w:rsidRPr="003E0DD5" w:rsidR="00FA2A51" w:rsidP="00F4099F" w:rsidRDefault="00FA2A51" w14:paraId="456BC33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6F62F6" w14:paraId="522CF2DD" w14:textId="594D061A">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xml:space="preserve">CMS </w:t>
      </w:r>
      <w:r w:rsidR="00631BE1">
        <w:rPr>
          <w:sz w:val="24"/>
        </w:rPr>
        <w:t xml:space="preserve">is required to publish reports using </w:t>
      </w:r>
      <w:r w:rsidR="007161F0">
        <w:rPr>
          <w:sz w:val="24"/>
        </w:rPr>
        <w:t>review results</w:t>
      </w:r>
      <w:r w:rsidR="00631BE1">
        <w:rPr>
          <w:sz w:val="24"/>
        </w:rPr>
        <w:t xml:space="preserve"> as described in item 10 above. </w:t>
      </w:r>
    </w:p>
    <w:p w:rsidRPr="003E0DD5" w:rsidR="008F1EB4" w:rsidP="00F4099F" w:rsidRDefault="008F1EB4" w14:paraId="216DF8F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3E0DD5" w:rsidR="008F1EB4" w:rsidP="00F4099F" w:rsidRDefault="008F1EB4" w14:paraId="12F56FD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rPr>
          <w:sz w:val="24"/>
        </w:rPr>
      </w:pPr>
      <w:r w:rsidRPr="003E0DD5">
        <w:rPr>
          <w:sz w:val="24"/>
        </w:rPr>
        <w:t>17.</w:t>
      </w:r>
      <w:r w:rsidRPr="003E0DD5">
        <w:rPr>
          <w:sz w:val="24"/>
        </w:rPr>
        <w:tab/>
      </w:r>
      <w:r w:rsidRPr="003E0DD5">
        <w:rPr>
          <w:sz w:val="24"/>
          <w:u w:val="single"/>
        </w:rPr>
        <w:t>Expiration Date</w:t>
      </w:r>
    </w:p>
    <w:p w:rsidRPr="003E0DD5" w:rsidR="000F3AF4" w:rsidP="00F4099F" w:rsidRDefault="000F3AF4" w14:paraId="6CD0E0A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0F3AF4" w:rsidP="2FE1309F" w:rsidRDefault="00FA2A51" w14:paraId="355F9A42" w14:textId="12202095">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3E0DD5">
        <w:rPr>
          <w:sz w:val="24"/>
        </w:rPr>
        <w:tab/>
      </w:r>
      <w:r w:rsidRPr="2FE1309F" w:rsidR="00B34526">
        <w:rPr>
          <w:sz w:val="24"/>
        </w:rPr>
        <w:t>There are no instruments associated with these ICRs.</w:t>
      </w:r>
    </w:p>
    <w:p w:rsidR="005810DC" w:rsidRDefault="005810DC" w14:paraId="758EB40A" w14:textId="20A9361B">
      <w:pPr>
        <w:widowControl/>
        <w:autoSpaceDE/>
        <w:autoSpaceDN/>
        <w:adjustRightInd/>
        <w:rPr>
          <w:b/>
          <w:bCs/>
          <w:sz w:val="24"/>
          <w:u w:val="single"/>
        </w:rPr>
      </w:pPr>
      <w:r>
        <w:rPr>
          <w:b/>
          <w:bCs/>
          <w:sz w:val="24"/>
          <w:u w:val="single"/>
        </w:rPr>
        <w:br w:type="page"/>
      </w:r>
    </w:p>
    <w:p w:rsidR="005810DC" w:rsidP="2FE1309F" w:rsidRDefault="005810DC" w14:paraId="2CBC64F4" w14:textId="7C7E6CC0">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Pr>
          <w:b/>
          <w:bCs/>
          <w:sz w:val="24"/>
          <w:u w:val="single"/>
        </w:rPr>
        <w:lastRenderedPageBreak/>
        <w:t xml:space="preserve">APPENDIX I </w:t>
      </w:r>
    </w:p>
    <w:p w:rsidR="005810DC" w:rsidP="2FE1309F" w:rsidRDefault="005810DC" w14:paraId="0B741851" w14:textId="7777777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p>
    <w:p w:rsidR="005810DC" w:rsidP="2FE1309F" w:rsidRDefault="005810DC" w14:paraId="168D7C28" w14:textId="74C66F2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sidRPr="005810DC">
        <w:rPr>
          <w:b/>
          <w:bCs/>
          <w:sz w:val="24"/>
        </w:rPr>
        <w:t>FAQS ABOUT MENTAL HEALTH AND SUBSTANCE USE DISORDER PARITY IMPLEMENTATION AND THE CONSOLIDATED APPROPRIATIONS ACT, 2021 PART 45</w:t>
      </w:r>
    </w:p>
    <w:p w:rsidR="00A74970" w:rsidP="2FE1309F" w:rsidRDefault="00A74970" w14:paraId="7BA44819" w14:textId="686ED8BF">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FD3355" w:rsidR="00A74970" w:rsidP="2FE1309F" w:rsidRDefault="00A74970" w14:paraId="7F7E065A" w14:textId="6005D314">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u w:val="single"/>
        </w:rPr>
      </w:pPr>
      <w:r w:rsidRPr="00FD3355">
        <w:rPr>
          <w:b/>
          <w:bCs/>
          <w:sz w:val="24"/>
          <w:u w:val="single"/>
        </w:rPr>
        <w:t>APPEN</w:t>
      </w:r>
      <w:r>
        <w:rPr>
          <w:b/>
          <w:bCs/>
          <w:sz w:val="24"/>
          <w:u w:val="single"/>
        </w:rPr>
        <w:t>D</w:t>
      </w:r>
      <w:r w:rsidRPr="00FD3355">
        <w:rPr>
          <w:b/>
          <w:bCs/>
          <w:sz w:val="24"/>
          <w:u w:val="single"/>
        </w:rPr>
        <w:t>IX II</w:t>
      </w:r>
    </w:p>
    <w:p w:rsidR="00A74970" w:rsidP="2FE1309F" w:rsidRDefault="00A74970" w14:paraId="5BBD1E25" w14:textId="013A45F7">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Pr="005810DC" w:rsidR="00A74970" w:rsidP="2FE1309F" w:rsidRDefault="00A74970" w14:paraId="339AC403" w14:textId="5BBA4E22">
      <w:pPr>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COMMENT RESPONSE SUMMARY</w:t>
      </w:r>
    </w:p>
    <w:sectPr w:rsidRPr="005810DC" w:rsidR="00A74970" w:rsidSect="00BB6AD2">
      <w:footerReference w:type="default" r:id="rId8"/>
      <w:endnotePr>
        <w:numFmt w:val="decimal"/>
      </w:endnotePr>
      <w:type w:val="continuous"/>
      <w:pgSz w:w="12240" w:h="15840"/>
      <w:pgMar w:top="1440" w:right="1440" w:bottom="1440" w:left="1440" w:header="864" w:footer="864" w:gutter="0"/>
      <w:cols w:space="720"/>
      <w:noEndnote/>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1E1810F" w16cex:dateUtc="2021-03-20T14:37:16.825Z"/>
  <w16cex:commentExtensible w16cex:durableId="0A3BBA4E" w16cex:dateUtc="2021-03-20T14:39:57.693Z"/>
  <w16cex:commentExtensible w16cex:durableId="32C0927A" w16cex:dateUtc="2021-03-20T14:53:21.655Z"/>
  <w16cex:commentExtensible w16cex:durableId="033F0F59" w16cex:dateUtc="2021-03-20T14:57:06.708Z"/>
  <w16cex:commentExtensible w16cex:durableId="56429250" w16cex:dateUtc="2021-03-20T14:59:47.091Z"/>
  <w16cex:commentExtensible w16cex:durableId="5C68BF07" w16cex:dateUtc="2021-03-20T15:01:25.909Z"/>
  <w16cex:commentExtensible w16cex:durableId="7C73821B" w16cex:dateUtc="2021-03-20T15:03:12.104Z"/>
  <w16cex:commentExtensible w16cex:durableId="1E92D85A" w16cex:dateUtc="2021-03-20T15:15:43.163Z"/>
  <w16cex:commentExtensible w16cex:durableId="19001E77" w16cex:dateUtc="2021-03-20T15:17:18.59Z"/>
  <w16cex:commentExtensible w16cex:durableId="2924A28F" w16cex:dateUtc="2021-03-20T15:18:20.134Z"/>
  <w16cex:commentExtensible w16cex:durableId="3BA4E39C" w16cex:dateUtc="2021-03-20T15:22:07.358Z"/>
  <w16cex:commentExtensible w16cex:durableId="4B9FA08D" w16cex:dateUtc="2021-03-20T15:23:05.011Z"/>
  <w16cex:commentExtensible w16cex:durableId="73412088" w16cex:dateUtc="2021-03-24T11:09:40.285Z"/>
  <w16cex:commentExtensible w16cex:durableId="715FE121" w16cex:dateUtc="2021-03-23T19:59:29.748Z"/>
  <w16cex:commentExtensible w16cex:durableId="54336959" w16cex:dateUtc="2021-03-23T20:14:31.381Z"/>
  <w16cex:commentExtensible w16cex:durableId="7EC01014" w16cex:dateUtc="2021-03-24T12:31:56.206Z"/>
  <w16cex:commentExtensible w16cex:durableId="53338A1C" w16cex:dateUtc="2021-03-24T20:51:14.981Z"/>
  <w16cex:commentExtensible w16cex:durableId="20017480" w16cex:dateUtc="2021-03-24T20:54:31.229Z"/>
  <w16cex:commentExtensible w16cex:durableId="30DDAAC6" w16cex:dateUtc="2021-03-24T21:02:56.907Z"/>
  <w16cex:commentExtensible w16cex:durableId="030CB834" w16cex:dateUtc="2021-03-24T21:04:01.944Z"/>
  <w16cex:commentExtensible w16cex:durableId="772F1C68" w16cex:dateUtc="2021-03-24T21:05:28.905Z"/>
  <w16cex:commentExtensible w16cex:durableId="6D3C5071" w16cex:dateUtc="2021-03-25T05:29:41.554Z"/>
  <w16cex:commentExtensible w16cex:durableId="0C5A8A96" w16cex:dateUtc="2021-03-25T17:41:53.47Z"/>
  <w16cex:commentExtensible w16cex:durableId="58753E0B" w16cex:dateUtc="2021-03-25T17:45:56Z"/>
  <w16cex:commentExtensible w16cex:durableId="306C3621" w16cex:dateUtc="2021-03-25T18:40:15Z"/>
  <w16cex:commentExtensible w16cex:durableId="05936AFD" w16cex:dateUtc="2021-03-25T19:55:26Z"/>
  <w16cex:commentExtensible w16cex:durableId="63F85362" w16cex:dateUtc="2021-03-25T20:40:58.658Z"/>
  <w16cex:commentExtensible w16cex:durableId="59C03A3A" w16cex:dateUtc="2021-03-25T20:44:30.571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AF3394" w14:textId="77777777" w:rsidR="00DF5D94" w:rsidRDefault="00DF5D94">
      <w:r>
        <w:separator/>
      </w:r>
    </w:p>
  </w:endnote>
  <w:endnote w:type="continuationSeparator" w:id="0">
    <w:p w14:paraId="31B95D87" w14:textId="77777777" w:rsidR="00DF5D94" w:rsidRDefault="00DF5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4446B" w14:textId="77777777" w:rsidR="003F5FDB" w:rsidRDefault="003F5FDB">
    <w:pPr>
      <w:pStyle w:val="Footer"/>
      <w:jc w:val="center"/>
    </w:pPr>
  </w:p>
  <w:p w14:paraId="04169FE3" w14:textId="4A462104" w:rsidR="003F5FDB" w:rsidRPr="007C6062" w:rsidRDefault="00F7126F" w:rsidP="007C6062">
    <w:pPr>
      <w:pStyle w:val="Footer"/>
      <w:jc w:val="center"/>
    </w:pPr>
    <w:sdt>
      <w:sdtPr>
        <w:id w:val="1454432571"/>
        <w:docPartObj>
          <w:docPartGallery w:val="Page Numbers (Bottom of Page)"/>
          <w:docPartUnique/>
        </w:docPartObj>
      </w:sdtPr>
      <w:sdtEndPr>
        <w:rPr>
          <w:noProof/>
        </w:rPr>
      </w:sdtEndPr>
      <w:sdtContent>
        <w:r w:rsidR="003F5FDB">
          <w:fldChar w:fldCharType="begin"/>
        </w:r>
        <w:r w:rsidR="003F5FDB">
          <w:instrText xml:space="preserve"> PAGE   \* MERGEFORMAT </w:instrText>
        </w:r>
        <w:r w:rsidR="003F5FDB">
          <w:fldChar w:fldCharType="separate"/>
        </w:r>
        <w:r w:rsidR="00BA2C15">
          <w:rPr>
            <w:noProof/>
          </w:rPr>
          <w:t>9</w:t>
        </w:r>
        <w:r w:rsidR="003F5FDB">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5D1A0" w14:textId="77777777" w:rsidR="00DF5D94" w:rsidRDefault="00DF5D94">
      <w:r>
        <w:separator/>
      </w:r>
    </w:p>
  </w:footnote>
  <w:footnote w:type="continuationSeparator" w:id="0">
    <w:p w14:paraId="51C0AE4A" w14:textId="77777777" w:rsidR="00DF5D94" w:rsidRDefault="00DF5D94">
      <w:r>
        <w:continuationSeparator/>
      </w:r>
    </w:p>
  </w:footnote>
  <w:footnote w:id="1">
    <w:p w14:paraId="3C47A4DD" w14:textId="77777777" w:rsidR="003F5FDB" w:rsidRDefault="003F5FDB" w:rsidP="00BA5A9B">
      <w:pPr>
        <w:pStyle w:val="FootnoteText"/>
      </w:pPr>
      <w:r w:rsidRPr="00C159EE">
        <w:rPr>
          <w:rStyle w:val="FootnoteReference"/>
          <w:vertAlign w:val="superscript"/>
        </w:rPr>
        <w:footnoteRef/>
      </w:r>
      <w:r w:rsidRPr="00C159EE">
        <w:rPr>
          <w:vertAlign w:val="superscript"/>
        </w:rPr>
        <w:t xml:space="preserve"> </w:t>
      </w:r>
      <w:r>
        <w:t>MHPAEA requirements</w:t>
      </w:r>
      <w:r w:rsidRPr="00ED24EE">
        <w:t xml:space="preserve"> apply to both grandfathered and non-grandfathered health plans.  See section 1251 of the Affordable Care Act and its implementing regulations at 26 CFR 54.9815-1251T, 29 CFR 2590.715-1251, and 45 CFR 147.140. Under section 1251 of the Affordable Care Act, grandfathered health plans are exempted only from certain Affordable Care Act requirements enacted in Subtitles A and C of Title</w:t>
      </w:r>
      <w:r>
        <w:t xml:space="preserve"> I of the Affordable Care Act. </w:t>
      </w:r>
      <w:r w:rsidRPr="00ED24EE">
        <w:t>The provisions extending MHPAEA requirements to the individual market, and requiring that qualified health plans comply with MHPAEA were not part of these sections.</w:t>
      </w:r>
    </w:p>
  </w:footnote>
  <w:footnote w:id="2">
    <w:p w14:paraId="238C8217" w14:textId="77777777" w:rsidR="003F5FDB" w:rsidRPr="00E0015C" w:rsidRDefault="003F5FDB" w:rsidP="00BA5A9B">
      <w:pPr>
        <w:pStyle w:val="FootnoteText"/>
      </w:pPr>
      <w:r w:rsidRPr="006132EE">
        <w:rPr>
          <w:rStyle w:val="FootnoteReference"/>
          <w:vertAlign w:val="superscript"/>
        </w:rPr>
        <w:footnoteRef/>
      </w:r>
      <w:r w:rsidRPr="00E0015C">
        <w:t xml:space="preserve">  See 45 CFR </w:t>
      </w:r>
      <w:r>
        <w:t>§§</w:t>
      </w:r>
      <w:r w:rsidRPr="00E0015C">
        <w:t xml:space="preserve">147.150 and 156.115 (78 FR 12834, February 25, 2013).  </w:t>
      </w:r>
    </w:p>
  </w:footnote>
  <w:footnote w:id="3">
    <w:p w14:paraId="2465D8CE" w14:textId="77777777" w:rsidR="003F5FDB" w:rsidRPr="00627C70" w:rsidRDefault="003F5FDB" w:rsidP="004119F3">
      <w:pPr>
        <w:pStyle w:val="FootnoteText"/>
      </w:pPr>
      <w:r w:rsidRPr="00B569BB">
        <w:rPr>
          <w:rStyle w:val="FootnoteReference"/>
          <w:vertAlign w:val="superscript"/>
        </w:rPr>
        <w:footnoteRef/>
      </w:r>
      <w:r w:rsidRPr="00B569BB">
        <w:rPr>
          <w:vertAlign w:val="superscript"/>
        </w:rPr>
        <w:t xml:space="preserve"> </w:t>
      </w:r>
      <w:r w:rsidRPr="00627C70">
        <w:t>26 CFR 54.9812-1(c)(4)(i); 29 CFR 2590.712(c)(4)(i); and 45 CFR 146.136(c)(4)(i)</w:t>
      </w:r>
      <w:r>
        <w:t xml:space="preserve"> and 147.160</w:t>
      </w:r>
      <w:r w:rsidRPr="00627C70">
        <w:t>.</w:t>
      </w:r>
    </w:p>
  </w:footnote>
  <w:footnote w:id="4">
    <w:p w14:paraId="221778B6" w14:textId="07F1D1DB" w:rsidR="003F5FDB" w:rsidRPr="00627C70" w:rsidRDefault="003F5FDB" w:rsidP="00310C8B">
      <w:pPr>
        <w:pStyle w:val="FootnoteText"/>
      </w:pPr>
      <w:r w:rsidRPr="00B569BB">
        <w:rPr>
          <w:rStyle w:val="FootnoteReference"/>
          <w:vertAlign w:val="superscript"/>
        </w:rPr>
        <w:footnoteRef/>
      </w:r>
      <w:r w:rsidRPr="00627C70">
        <w:t xml:space="preserve"> </w:t>
      </w:r>
      <w:r>
        <w:t xml:space="preserve">Pub. L. </w:t>
      </w:r>
      <w:r w:rsidRPr="00627C70">
        <w:t>116-260 (Dec. 27, 2020).</w:t>
      </w:r>
    </w:p>
  </w:footnote>
  <w:footnote w:id="5">
    <w:p w14:paraId="1E626CEA" w14:textId="50440986" w:rsidR="003F5FDB" w:rsidRDefault="003F5FDB">
      <w:pPr>
        <w:pStyle w:val="FootnoteText"/>
      </w:pPr>
      <w:r w:rsidRPr="00B569BB">
        <w:rPr>
          <w:rStyle w:val="FootnoteReference"/>
          <w:vertAlign w:val="superscript"/>
        </w:rPr>
        <w:footnoteRef/>
      </w:r>
      <w:r>
        <w:t xml:space="preserve"> </w:t>
      </w:r>
      <w:r w:rsidR="004F3405">
        <w:t xml:space="preserve">See Appendix </w:t>
      </w:r>
      <w:r w:rsidR="004F6771">
        <w:t>I</w:t>
      </w:r>
      <w:r w:rsidR="001D0358">
        <w:t xml:space="preserve">. Available at </w:t>
      </w:r>
      <w:hyperlink r:id="rId1" w:history="1">
        <w:r w:rsidR="001D0358" w:rsidRPr="004B42CD">
          <w:rPr>
            <w:rStyle w:val="Hyperlink"/>
          </w:rPr>
          <w:t>https://www.cms.gov/CCIIO/Resources/Fact-Sheets-and-FAQs/Downloads/MHPAEA-FAQs-Part-45.pdf</w:t>
        </w:r>
      </w:hyperlink>
      <w:r w:rsidR="001D0358">
        <w:t xml:space="preserve">. </w:t>
      </w:r>
    </w:p>
  </w:footnote>
  <w:footnote w:id="6">
    <w:p w14:paraId="713ABFBA" w14:textId="77777777" w:rsidR="003F5FDB" w:rsidRPr="00627C70" w:rsidRDefault="003F5FDB" w:rsidP="00310C8B">
      <w:pPr>
        <w:pStyle w:val="FootnoteText"/>
      </w:pPr>
      <w:r w:rsidRPr="00B569BB">
        <w:rPr>
          <w:rStyle w:val="FootnoteReference"/>
          <w:vertAlign w:val="superscript"/>
        </w:rPr>
        <w:footnoteRef/>
      </w:r>
      <w:r w:rsidRPr="00627C70">
        <w:t xml:space="preserve"> </w:t>
      </w:r>
      <w:r>
        <w:t>Internal Revenue Code (Code) section 9812(a)(8)(A)(i)-(iv), ERISA Section 712(a)(8)(A)(i)-(iv) and PHS Act s</w:t>
      </w:r>
      <w:r w:rsidRPr="00627C70">
        <w:t>ection 2726(a)(8)(A)(i)-(iv).</w:t>
      </w:r>
    </w:p>
  </w:footnote>
  <w:footnote w:id="7">
    <w:p w14:paraId="42899CBC" w14:textId="793F3797" w:rsidR="2A6CF41D" w:rsidRDefault="2A6CF41D" w:rsidP="004B3BA6">
      <w:pPr>
        <w:pStyle w:val="FootnoteText"/>
      </w:pPr>
      <w:r w:rsidRPr="004B3BA6">
        <w:rPr>
          <w:rStyle w:val="FootnoteReference"/>
          <w:vertAlign w:val="superscript"/>
        </w:rPr>
        <w:footnoteRef/>
      </w:r>
      <w:r>
        <w:t xml:space="preserve"> </w:t>
      </w:r>
      <w:r w:rsidR="280DC9D2">
        <w:t>CMS is responsible for enforcement of MHPAEA with regard to issuers in Missouri, Texas, and Wyoming.</w:t>
      </w:r>
    </w:p>
  </w:footnote>
  <w:footnote w:id="8">
    <w:p w14:paraId="143528FF" w14:textId="54675594" w:rsidR="003F5FDB" w:rsidRDefault="003F5FDB">
      <w:pPr>
        <w:pStyle w:val="FootnoteText"/>
      </w:pPr>
      <w:r w:rsidRPr="000D37EA">
        <w:rPr>
          <w:rStyle w:val="FootnoteReference"/>
          <w:vertAlign w:val="superscript"/>
        </w:rPr>
        <w:footnoteRef/>
      </w:r>
      <w:r>
        <w:t xml:space="preserve"> </w:t>
      </w:r>
      <w:r w:rsidRPr="000D37EA">
        <w:t>May 201</w:t>
      </w:r>
      <w:r>
        <w:t>9</w:t>
      </w:r>
      <w:r w:rsidRPr="000D37EA">
        <w:t xml:space="preserve"> National Occupational Employment and Wage Estimates United States found at </w:t>
      </w:r>
      <w:hyperlink r:id="rId2" w:history="1">
        <w:r w:rsidRPr="00113140">
          <w:rPr>
            <w:rStyle w:val="Hyperlink"/>
          </w:rPr>
          <w:t>https://www.bls.gov/oes/current/oes_nat.htm</w:t>
        </w:r>
      </w:hyperlink>
      <w:r>
        <w:rPr>
          <w:rStyle w:val="Hyperlink"/>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1A25"/>
    <w:multiLevelType w:val="hybridMultilevel"/>
    <w:tmpl w:val="49B4F1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E22164"/>
    <w:multiLevelType w:val="hybridMultilevel"/>
    <w:tmpl w:val="E6DC3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B3751"/>
    <w:multiLevelType w:val="hybridMultilevel"/>
    <w:tmpl w:val="C838C83E"/>
    <w:lvl w:ilvl="0" w:tplc="CDBAEF28">
      <w:start w:val="1"/>
      <w:numFmt w:val="decimal"/>
      <w:lvlText w:val="%1."/>
      <w:lvlJc w:val="left"/>
      <w:pPr>
        <w:ind w:left="1152"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532FA9"/>
    <w:multiLevelType w:val="hybridMultilevel"/>
    <w:tmpl w:val="4A1A3032"/>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524392"/>
    <w:multiLevelType w:val="hybridMultilevel"/>
    <w:tmpl w:val="49F8F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6E16F6"/>
    <w:multiLevelType w:val="hybridMultilevel"/>
    <w:tmpl w:val="FEFCAA5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6" w15:restartNumberingAfterBreak="0">
    <w:nsid w:val="6C7A4EC4"/>
    <w:multiLevelType w:val="hybridMultilevel"/>
    <w:tmpl w:val="95569142"/>
    <w:lvl w:ilvl="0" w:tplc="CDBAEF2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3"/>
  </w:num>
  <w:num w:numId="2">
    <w:abstractNumId w:val="0"/>
  </w:num>
  <w:num w:numId="3">
    <w:abstractNumId w:val="1"/>
  </w:num>
  <w:num w:numId="4">
    <w:abstractNumId w:val="5"/>
  </w:num>
  <w:num w:numId="5">
    <w:abstractNumId w:val="6"/>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AF4"/>
    <w:rsid w:val="00000134"/>
    <w:rsid w:val="00003CC0"/>
    <w:rsid w:val="00007E45"/>
    <w:rsid w:val="00010649"/>
    <w:rsid w:val="000111F0"/>
    <w:rsid w:val="000159BD"/>
    <w:rsid w:val="00016389"/>
    <w:rsid w:val="00016BFD"/>
    <w:rsid w:val="00017FAD"/>
    <w:rsid w:val="000203BD"/>
    <w:rsid w:val="0002103B"/>
    <w:rsid w:val="0003205E"/>
    <w:rsid w:val="0003343B"/>
    <w:rsid w:val="00034CC2"/>
    <w:rsid w:val="00034E2F"/>
    <w:rsid w:val="000372ED"/>
    <w:rsid w:val="000379A7"/>
    <w:rsid w:val="00042573"/>
    <w:rsid w:val="000442F6"/>
    <w:rsid w:val="00053B4A"/>
    <w:rsid w:val="00054FEE"/>
    <w:rsid w:val="00057051"/>
    <w:rsid w:val="00060713"/>
    <w:rsid w:val="0006716B"/>
    <w:rsid w:val="00081257"/>
    <w:rsid w:val="00081D72"/>
    <w:rsid w:val="00087A63"/>
    <w:rsid w:val="00090EA1"/>
    <w:rsid w:val="00092CEC"/>
    <w:rsid w:val="00094112"/>
    <w:rsid w:val="00095B16"/>
    <w:rsid w:val="00095DBD"/>
    <w:rsid w:val="00096F4F"/>
    <w:rsid w:val="000A0B9C"/>
    <w:rsid w:val="000B6E83"/>
    <w:rsid w:val="000B7A69"/>
    <w:rsid w:val="000C0837"/>
    <w:rsid w:val="000C4E9F"/>
    <w:rsid w:val="000C4F49"/>
    <w:rsid w:val="000C6102"/>
    <w:rsid w:val="000C61E2"/>
    <w:rsid w:val="000C6537"/>
    <w:rsid w:val="000C6D2D"/>
    <w:rsid w:val="000C7316"/>
    <w:rsid w:val="000D218D"/>
    <w:rsid w:val="000D2FAD"/>
    <w:rsid w:val="000D37EA"/>
    <w:rsid w:val="000D574D"/>
    <w:rsid w:val="000D6AAB"/>
    <w:rsid w:val="000D6BFA"/>
    <w:rsid w:val="000E0B2E"/>
    <w:rsid w:val="000E4BB4"/>
    <w:rsid w:val="000E617C"/>
    <w:rsid w:val="000F03BA"/>
    <w:rsid w:val="000F04F8"/>
    <w:rsid w:val="000F3AF4"/>
    <w:rsid w:val="00100773"/>
    <w:rsid w:val="00106299"/>
    <w:rsid w:val="00111FB2"/>
    <w:rsid w:val="00113140"/>
    <w:rsid w:val="0011403A"/>
    <w:rsid w:val="00116AB3"/>
    <w:rsid w:val="00121716"/>
    <w:rsid w:val="001404D7"/>
    <w:rsid w:val="001405F8"/>
    <w:rsid w:val="00141244"/>
    <w:rsid w:val="00147EEA"/>
    <w:rsid w:val="001557F1"/>
    <w:rsid w:val="00160137"/>
    <w:rsid w:val="0016132C"/>
    <w:rsid w:val="00162CB0"/>
    <w:rsid w:val="00165C8D"/>
    <w:rsid w:val="00165E07"/>
    <w:rsid w:val="00167720"/>
    <w:rsid w:val="00167847"/>
    <w:rsid w:val="00170FA2"/>
    <w:rsid w:val="00171B82"/>
    <w:rsid w:val="00176BDF"/>
    <w:rsid w:val="00177B16"/>
    <w:rsid w:val="00184EBA"/>
    <w:rsid w:val="001859E3"/>
    <w:rsid w:val="00190F5E"/>
    <w:rsid w:val="00192A36"/>
    <w:rsid w:val="001A0E5C"/>
    <w:rsid w:val="001A3358"/>
    <w:rsid w:val="001A7C01"/>
    <w:rsid w:val="001B255B"/>
    <w:rsid w:val="001B3FF9"/>
    <w:rsid w:val="001B564B"/>
    <w:rsid w:val="001B5705"/>
    <w:rsid w:val="001B6C31"/>
    <w:rsid w:val="001C766F"/>
    <w:rsid w:val="001D0358"/>
    <w:rsid w:val="001D207B"/>
    <w:rsid w:val="001D2124"/>
    <w:rsid w:val="001E0B87"/>
    <w:rsid w:val="001E3CA7"/>
    <w:rsid w:val="001E6243"/>
    <w:rsid w:val="001E65E6"/>
    <w:rsid w:val="001E782E"/>
    <w:rsid w:val="001E7B3B"/>
    <w:rsid w:val="001F160A"/>
    <w:rsid w:val="001F20ED"/>
    <w:rsid w:val="001F2C1E"/>
    <w:rsid w:val="001F3709"/>
    <w:rsid w:val="001F4222"/>
    <w:rsid w:val="001F7745"/>
    <w:rsid w:val="00213021"/>
    <w:rsid w:val="00214024"/>
    <w:rsid w:val="00214692"/>
    <w:rsid w:val="00215A2A"/>
    <w:rsid w:val="00221146"/>
    <w:rsid w:val="002253FE"/>
    <w:rsid w:val="00231461"/>
    <w:rsid w:val="00236D1D"/>
    <w:rsid w:val="002429D6"/>
    <w:rsid w:val="0024365B"/>
    <w:rsid w:val="00243F8E"/>
    <w:rsid w:val="002451A9"/>
    <w:rsid w:val="0024606F"/>
    <w:rsid w:val="0024712F"/>
    <w:rsid w:val="00250E5B"/>
    <w:rsid w:val="00251143"/>
    <w:rsid w:val="0025698C"/>
    <w:rsid w:val="00265618"/>
    <w:rsid w:val="00270530"/>
    <w:rsid w:val="00277307"/>
    <w:rsid w:val="002814DB"/>
    <w:rsid w:val="0029045C"/>
    <w:rsid w:val="0029150B"/>
    <w:rsid w:val="00291787"/>
    <w:rsid w:val="00292928"/>
    <w:rsid w:val="00293529"/>
    <w:rsid w:val="00295224"/>
    <w:rsid w:val="002964F4"/>
    <w:rsid w:val="00297522"/>
    <w:rsid w:val="002A1659"/>
    <w:rsid w:val="002A1C13"/>
    <w:rsid w:val="002A3AB2"/>
    <w:rsid w:val="002A74A8"/>
    <w:rsid w:val="002B006E"/>
    <w:rsid w:val="002B09E5"/>
    <w:rsid w:val="002B18EF"/>
    <w:rsid w:val="002B225B"/>
    <w:rsid w:val="002B4EBC"/>
    <w:rsid w:val="002B783D"/>
    <w:rsid w:val="002C3205"/>
    <w:rsid w:val="002D3CE9"/>
    <w:rsid w:val="002E113C"/>
    <w:rsid w:val="002E4B17"/>
    <w:rsid w:val="002E584E"/>
    <w:rsid w:val="002E651E"/>
    <w:rsid w:val="002F0597"/>
    <w:rsid w:val="002F693B"/>
    <w:rsid w:val="00305A36"/>
    <w:rsid w:val="00306B2D"/>
    <w:rsid w:val="003075BB"/>
    <w:rsid w:val="00310673"/>
    <w:rsid w:val="00310C8B"/>
    <w:rsid w:val="003175E1"/>
    <w:rsid w:val="00317DC1"/>
    <w:rsid w:val="0032063E"/>
    <w:rsid w:val="0032068A"/>
    <w:rsid w:val="00327899"/>
    <w:rsid w:val="0033013B"/>
    <w:rsid w:val="003321E6"/>
    <w:rsid w:val="00333145"/>
    <w:rsid w:val="00335798"/>
    <w:rsid w:val="00340683"/>
    <w:rsid w:val="00347215"/>
    <w:rsid w:val="00350736"/>
    <w:rsid w:val="00353128"/>
    <w:rsid w:val="00360DCE"/>
    <w:rsid w:val="0036541F"/>
    <w:rsid w:val="0036610F"/>
    <w:rsid w:val="00367DD3"/>
    <w:rsid w:val="003701D2"/>
    <w:rsid w:val="00371230"/>
    <w:rsid w:val="00375CCC"/>
    <w:rsid w:val="00381CA0"/>
    <w:rsid w:val="00382218"/>
    <w:rsid w:val="0038444D"/>
    <w:rsid w:val="00387D92"/>
    <w:rsid w:val="00391008"/>
    <w:rsid w:val="0039464E"/>
    <w:rsid w:val="00394CDB"/>
    <w:rsid w:val="00396DDE"/>
    <w:rsid w:val="00397BBD"/>
    <w:rsid w:val="003A237E"/>
    <w:rsid w:val="003A3D72"/>
    <w:rsid w:val="003A4DBF"/>
    <w:rsid w:val="003B0997"/>
    <w:rsid w:val="003B1196"/>
    <w:rsid w:val="003B6E35"/>
    <w:rsid w:val="003B78B1"/>
    <w:rsid w:val="003C0D5D"/>
    <w:rsid w:val="003C13F5"/>
    <w:rsid w:val="003D136B"/>
    <w:rsid w:val="003D1604"/>
    <w:rsid w:val="003D3FD6"/>
    <w:rsid w:val="003D4222"/>
    <w:rsid w:val="003D7044"/>
    <w:rsid w:val="003E0DD5"/>
    <w:rsid w:val="003F02D7"/>
    <w:rsid w:val="003F5FDB"/>
    <w:rsid w:val="003F6052"/>
    <w:rsid w:val="004008B7"/>
    <w:rsid w:val="00403ACA"/>
    <w:rsid w:val="00403CE6"/>
    <w:rsid w:val="00403EDB"/>
    <w:rsid w:val="004056BB"/>
    <w:rsid w:val="00405DF3"/>
    <w:rsid w:val="00406D12"/>
    <w:rsid w:val="004119F3"/>
    <w:rsid w:val="00415246"/>
    <w:rsid w:val="004205E7"/>
    <w:rsid w:val="00422ABC"/>
    <w:rsid w:val="004361B4"/>
    <w:rsid w:val="004364C8"/>
    <w:rsid w:val="0043690E"/>
    <w:rsid w:val="00436FF5"/>
    <w:rsid w:val="00440AD0"/>
    <w:rsid w:val="00440D14"/>
    <w:rsid w:val="00441835"/>
    <w:rsid w:val="00441B88"/>
    <w:rsid w:val="004463A7"/>
    <w:rsid w:val="004534B2"/>
    <w:rsid w:val="0045588A"/>
    <w:rsid w:val="004567F4"/>
    <w:rsid w:val="004609F3"/>
    <w:rsid w:val="00461960"/>
    <w:rsid w:val="00465AAC"/>
    <w:rsid w:val="004751CB"/>
    <w:rsid w:val="004761D2"/>
    <w:rsid w:val="00482E13"/>
    <w:rsid w:val="004834B6"/>
    <w:rsid w:val="004872BA"/>
    <w:rsid w:val="00487B6B"/>
    <w:rsid w:val="00487E27"/>
    <w:rsid w:val="004900F6"/>
    <w:rsid w:val="00491D9F"/>
    <w:rsid w:val="00491DD8"/>
    <w:rsid w:val="004928F4"/>
    <w:rsid w:val="004A1E1A"/>
    <w:rsid w:val="004B1091"/>
    <w:rsid w:val="004B3BA6"/>
    <w:rsid w:val="004B6F61"/>
    <w:rsid w:val="004C3154"/>
    <w:rsid w:val="004C7F8E"/>
    <w:rsid w:val="004E04E6"/>
    <w:rsid w:val="004E59B8"/>
    <w:rsid w:val="004F3122"/>
    <w:rsid w:val="004F3405"/>
    <w:rsid w:val="004F53C1"/>
    <w:rsid w:val="004F56EC"/>
    <w:rsid w:val="004F6771"/>
    <w:rsid w:val="005004AC"/>
    <w:rsid w:val="00503956"/>
    <w:rsid w:val="00503EF3"/>
    <w:rsid w:val="00505D14"/>
    <w:rsid w:val="00506F3E"/>
    <w:rsid w:val="00507844"/>
    <w:rsid w:val="00507F1D"/>
    <w:rsid w:val="0051171D"/>
    <w:rsid w:val="00512983"/>
    <w:rsid w:val="00523939"/>
    <w:rsid w:val="0053279F"/>
    <w:rsid w:val="00533D91"/>
    <w:rsid w:val="00535171"/>
    <w:rsid w:val="005369F0"/>
    <w:rsid w:val="00537D37"/>
    <w:rsid w:val="005424D3"/>
    <w:rsid w:val="005516C3"/>
    <w:rsid w:val="005533A5"/>
    <w:rsid w:val="00557D45"/>
    <w:rsid w:val="005620BB"/>
    <w:rsid w:val="00565534"/>
    <w:rsid w:val="00566AB6"/>
    <w:rsid w:val="005729CC"/>
    <w:rsid w:val="00572C6A"/>
    <w:rsid w:val="0057370D"/>
    <w:rsid w:val="005810DC"/>
    <w:rsid w:val="0058340C"/>
    <w:rsid w:val="00583F28"/>
    <w:rsid w:val="00592C69"/>
    <w:rsid w:val="0059420E"/>
    <w:rsid w:val="00596EB0"/>
    <w:rsid w:val="005A2B0A"/>
    <w:rsid w:val="005A63B2"/>
    <w:rsid w:val="005B6F59"/>
    <w:rsid w:val="005B7F5F"/>
    <w:rsid w:val="005C4B64"/>
    <w:rsid w:val="005C4BA2"/>
    <w:rsid w:val="005C5933"/>
    <w:rsid w:val="005C7AF4"/>
    <w:rsid w:val="005D5E2C"/>
    <w:rsid w:val="005D70F6"/>
    <w:rsid w:val="005D7468"/>
    <w:rsid w:val="005E4F77"/>
    <w:rsid w:val="005F2E33"/>
    <w:rsid w:val="005F4B82"/>
    <w:rsid w:val="005F695A"/>
    <w:rsid w:val="00602B58"/>
    <w:rsid w:val="00603756"/>
    <w:rsid w:val="00607086"/>
    <w:rsid w:val="00607E2C"/>
    <w:rsid w:val="006120DC"/>
    <w:rsid w:val="006132EE"/>
    <w:rsid w:val="00613DBC"/>
    <w:rsid w:val="006154B4"/>
    <w:rsid w:val="00617D50"/>
    <w:rsid w:val="0062421E"/>
    <w:rsid w:val="00625353"/>
    <w:rsid w:val="00625B00"/>
    <w:rsid w:val="00631BE1"/>
    <w:rsid w:val="006348AF"/>
    <w:rsid w:val="006411F5"/>
    <w:rsid w:val="00642E50"/>
    <w:rsid w:val="006456E0"/>
    <w:rsid w:val="00645F44"/>
    <w:rsid w:val="00652509"/>
    <w:rsid w:val="00657F3C"/>
    <w:rsid w:val="0066217A"/>
    <w:rsid w:val="00665991"/>
    <w:rsid w:val="00667805"/>
    <w:rsid w:val="00667F33"/>
    <w:rsid w:val="00670203"/>
    <w:rsid w:val="00670C85"/>
    <w:rsid w:val="006749D9"/>
    <w:rsid w:val="00674A33"/>
    <w:rsid w:val="00675127"/>
    <w:rsid w:val="006754E3"/>
    <w:rsid w:val="0067596C"/>
    <w:rsid w:val="006764AF"/>
    <w:rsid w:val="00684504"/>
    <w:rsid w:val="00685C2F"/>
    <w:rsid w:val="00686542"/>
    <w:rsid w:val="006905BF"/>
    <w:rsid w:val="006929FA"/>
    <w:rsid w:val="00695871"/>
    <w:rsid w:val="006A3906"/>
    <w:rsid w:val="006A6C90"/>
    <w:rsid w:val="006A6CF0"/>
    <w:rsid w:val="006B1A50"/>
    <w:rsid w:val="006B69DE"/>
    <w:rsid w:val="006B6AD6"/>
    <w:rsid w:val="006C272E"/>
    <w:rsid w:val="006C3ED5"/>
    <w:rsid w:val="006F0973"/>
    <w:rsid w:val="006F0EDC"/>
    <w:rsid w:val="006F3826"/>
    <w:rsid w:val="006F3C56"/>
    <w:rsid w:val="006F62F6"/>
    <w:rsid w:val="006F6F6E"/>
    <w:rsid w:val="0070305D"/>
    <w:rsid w:val="007109DC"/>
    <w:rsid w:val="00710F78"/>
    <w:rsid w:val="007161F0"/>
    <w:rsid w:val="007235B1"/>
    <w:rsid w:val="00724281"/>
    <w:rsid w:val="007255BC"/>
    <w:rsid w:val="00733128"/>
    <w:rsid w:val="007448CF"/>
    <w:rsid w:val="0074553C"/>
    <w:rsid w:val="007477D7"/>
    <w:rsid w:val="00755411"/>
    <w:rsid w:val="007568A1"/>
    <w:rsid w:val="00756C49"/>
    <w:rsid w:val="007670A0"/>
    <w:rsid w:val="007672E3"/>
    <w:rsid w:val="007678C7"/>
    <w:rsid w:val="0077501F"/>
    <w:rsid w:val="007754A7"/>
    <w:rsid w:val="0078015A"/>
    <w:rsid w:val="0078069F"/>
    <w:rsid w:val="00785320"/>
    <w:rsid w:val="00787BC6"/>
    <w:rsid w:val="00787D99"/>
    <w:rsid w:val="0079142A"/>
    <w:rsid w:val="00791A81"/>
    <w:rsid w:val="007929B6"/>
    <w:rsid w:val="00796051"/>
    <w:rsid w:val="00796C2D"/>
    <w:rsid w:val="007A2A04"/>
    <w:rsid w:val="007A3142"/>
    <w:rsid w:val="007A3F1A"/>
    <w:rsid w:val="007B39D2"/>
    <w:rsid w:val="007B42C8"/>
    <w:rsid w:val="007B4F75"/>
    <w:rsid w:val="007B7B3D"/>
    <w:rsid w:val="007C2B37"/>
    <w:rsid w:val="007C4D31"/>
    <w:rsid w:val="007C6062"/>
    <w:rsid w:val="007D026A"/>
    <w:rsid w:val="007D6370"/>
    <w:rsid w:val="007D64C9"/>
    <w:rsid w:val="007E280D"/>
    <w:rsid w:val="007E4B5D"/>
    <w:rsid w:val="007E5AB2"/>
    <w:rsid w:val="007F05A6"/>
    <w:rsid w:val="007F1E24"/>
    <w:rsid w:val="007F1E54"/>
    <w:rsid w:val="007F2B61"/>
    <w:rsid w:val="007F3FB5"/>
    <w:rsid w:val="007F4C5C"/>
    <w:rsid w:val="007F7964"/>
    <w:rsid w:val="00810206"/>
    <w:rsid w:val="00812FBE"/>
    <w:rsid w:val="0082077D"/>
    <w:rsid w:val="00820FC5"/>
    <w:rsid w:val="008248D6"/>
    <w:rsid w:val="0083159A"/>
    <w:rsid w:val="00833432"/>
    <w:rsid w:val="00834F85"/>
    <w:rsid w:val="00836DF9"/>
    <w:rsid w:val="00840A7C"/>
    <w:rsid w:val="008416A2"/>
    <w:rsid w:val="00841CA3"/>
    <w:rsid w:val="00842075"/>
    <w:rsid w:val="0084462C"/>
    <w:rsid w:val="008456B0"/>
    <w:rsid w:val="00850E9C"/>
    <w:rsid w:val="00852424"/>
    <w:rsid w:val="00853CFC"/>
    <w:rsid w:val="00860DF9"/>
    <w:rsid w:val="0086147C"/>
    <w:rsid w:val="00861882"/>
    <w:rsid w:val="00861F60"/>
    <w:rsid w:val="00870D59"/>
    <w:rsid w:val="00871F95"/>
    <w:rsid w:val="0087364F"/>
    <w:rsid w:val="00880472"/>
    <w:rsid w:val="00891902"/>
    <w:rsid w:val="0089243A"/>
    <w:rsid w:val="00893149"/>
    <w:rsid w:val="00895F6C"/>
    <w:rsid w:val="008A0213"/>
    <w:rsid w:val="008A1CB0"/>
    <w:rsid w:val="008A1EFE"/>
    <w:rsid w:val="008A547D"/>
    <w:rsid w:val="008A5BCC"/>
    <w:rsid w:val="008B0302"/>
    <w:rsid w:val="008C0E91"/>
    <w:rsid w:val="008C1560"/>
    <w:rsid w:val="008C3C53"/>
    <w:rsid w:val="008C58EF"/>
    <w:rsid w:val="008C61C6"/>
    <w:rsid w:val="008C6885"/>
    <w:rsid w:val="008C798D"/>
    <w:rsid w:val="008D0CBE"/>
    <w:rsid w:val="008D3027"/>
    <w:rsid w:val="008D3EF9"/>
    <w:rsid w:val="008D4B03"/>
    <w:rsid w:val="008D4FF5"/>
    <w:rsid w:val="008D5B45"/>
    <w:rsid w:val="008D6C2A"/>
    <w:rsid w:val="008E0C50"/>
    <w:rsid w:val="008E0FCE"/>
    <w:rsid w:val="008E2D31"/>
    <w:rsid w:val="008F0C53"/>
    <w:rsid w:val="008F14E9"/>
    <w:rsid w:val="008F1EB4"/>
    <w:rsid w:val="008F5403"/>
    <w:rsid w:val="00903359"/>
    <w:rsid w:val="00905EF6"/>
    <w:rsid w:val="009141A9"/>
    <w:rsid w:val="00916EBC"/>
    <w:rsid w:val="00917E26"/>
    <w:rsid w:val="009206C7"/>
    <w:rsid w:val="00921A7D"/>
    <w:rsid w:val="00924A22"/>
    <w:rsid w:val="00930DA9"/>
    <w:rsid w:val="00940A3E"/>
    <w:rsid w:val="009415D4"/>
    <w:rsid w:val="0095136D"/>
    <w:rsid w:val="0095422E"/>
    <w:rsid w:val="00960533"/>
    <w:rsid w:val="0096088E"/>
    <w:rsid w:val="0096459A"/>
    <w:rsid w:val="0096499C"/>
    <w:rsid w:val="00966592"/>
    <w:rsid w:val="00967103"/>
    <w:rsid w:val="009740FF"/>
    <w:rsid w:val="00975587"/>
    <w:rsid w:val="00977C49"/>
    <w:rsid w:val="00983423"/>
    <w:rsid w:val="00983527"/>
    <w:rsid w:val="00983878"/>
    <w:rsid w:val="00995D00"/>
    <w:rsid w:val="00996D79"/>
    <w:rsid w:val="009A13C6"/>
    <w:rsid w:val="009A20EF"/>
    <w:rsid w:val="009A551A"/>
    <w:rsid w:val="009A5F2A"/>
    <w:rsid w:val="009A74EF"/>
    <w:rsid w:val="009A7D51"/>
    <w:rsid w:val="009B0F42"/>
    <w:rsid w:val="009B1424"/>
    <w:rsid w:val="009B2AF4"/>
    <w:rsid w:val="009B69A2"/>
    <w:rsid w:val="009B7283"/>
    <w:rsid w:val="009C0BF5"/>
    <w:rsid w:val="009C5502"/>
    <w:rsid w:val="009D22E2"/>
    <w:rsid w:val="009D6B2C"/>
    <w:rsid w:val="009E4684"/>
    <w:rsid w:val="009F5C1B"/>
    <w:rsid w:val="00A02866"/>
    <w:rsid w:val="00A038E0"/>
    <w:rsid w:val="00A05122"/>
    <w:rsid w:val="00A07286"/>
    <w:rsid w:val="00A119E5"/>
    <w:rsid w:val="00A14239"/>
    <w:rsid w:val="00A17EAE"/>
    <w:rsid w:val="00A2061B"/>
    <w:rsid w:val="00A2084A"/>
    <w:rsid w:val="00A22D62"/>
    <w:rsid w:val="00A22E37"/>
    <w:rsid w:val="00A23F82"/>
    <w:rsid w:val="00A26364"/>
    <w:rsid w:val="00A32024"/>
    <w:rsid w:val="00A3367E"/>
    <w:rsid w:val="00A34601"/>
    <w:rsid w:val="00A350AA"/>
    <w:rsid w:val="00A43A40"/>
    <w:rsid w:val="00A44C7F"/>
    <w:rsid w:val="00A45E84"/>
    <w:rsid w:val="00A513C7"/>
    <w:rsid w:val="00A5173C"/>
    <w:rsid w:val="00A53F1F"/>
    <w:rsid w:val="00A60714"/>
    <w:rsid w:val="00A6136B"/>
    <w:rsid w:val="00A61C1E"/>
    <w:rsid w:val="00A701FF"/>
    <w:rsid w:val="00A74970"/>
    <w:rsid w:val="00A77451"/>
    <w:rsid w:val="00A806F2"/>
    <w:rsid w:val="00A80FD9"/>
    <w:rsid w:val="00A8554F"/>
    <w:rsid w:val="00A85628"/>
    <w:rsid w:val="00A9134E"/>
    <w:rsid w:val="00A937AD"/>
    <w:rsid w:val="00AA0FE4"/>
    <w:rsid w:val="00AA22B3"/>
    <w:rsid w:val="00AB617A"/>
    <w:rsid w:val="00AB6484"/>
    <w:rsid w:val="00AB6E80"/>
    <w:rsid w:val="00AB7930"/>
    <w:rsid w:val="00AC0065"/>
    <w:rsid w:val="00AC05B5"/>
    <w:rsid w:val="00AC23DE"/>
    <w:rsid w:val="00AC65EC"/>
    <w:rsid w:val="00AD052B"/>
    <w:rsid w:val="00AD0F5C"/>
    <w:rsid w:val="00AD1F0C"/>
    <w:rsid w:val="00AD49AE"/>
    <w:rsid w:val="00AD4DA1"/>
    <w:rsid w:val="00AD7ABB"/>
    <w:rsid w:val="00AE58CD"/>
    <w:rsid w:val="00AF1291"/>
    <w:rsid w:val="00AF584B"/>
    <w:rsid w:val="00B00DB5"/>
    <w:rsid w:val="00B025A5"/>
    <w:rsid w:val="00B03554"/>
    <w:rsid w:val="00B05788"/>
    <w:rsid w:val="00B06227"/>
    <w:rsid w:val="00B10A51"/>
    <w:rsid w:val="00B16BE4"/>
    <w:rsid w:val="00B2167C"/>
    <w:rsid w:val="00B24D93"/>
    <w:rsid w:val="00B30F4B"/>
    <w:rsid w:val="00B32D8D"/>
    <w:rsid w:val="00B34526"/>
    <w:rsid w:val="00B36A7F"/>
    <w:rsid w:val="00B4089B"/>
    <w:rsid w:val="00B45928"/>
    <w:rsid w:val="00B51EB3"/>
    <w:rsid w:val="00B53E11"/>
    <w:rsid w:val="00B5556F"/>
    <w:rsid w:val="00B55CDE"/>
    <w:rsid w:val="00B569BB"/>
    <w:rsid w:val="00B5713C"/>
    <w:rsid w:val="00B60262"/>
    <w:rsid w:val="00B62331"/>
    <w:rsid w:val="00B62FA8"/>
    <w:rsid w:val="00B64983"/>
    <w:rsid w:val="00B72A1D"/>
    <w:rsid w:val="00B7384A"/>
    <w:rsid w:val="00B77C3E"/>
    <w:rsid w:val="00B77DE3"/>
    <w:rsid w:val="00B80F72"/>
    <w:rsid w:val="00B8347A"/>
    <w:rsid w:val="00B84527"/>
    <w:rsid w:val="00B94107"/>
    <w:rsid w:val="00BA2C15"/>
    <w:rsid w:val="00BA5A9B"/>
    <w:rsid w:val="00BB17C5"/>
    <w:rsid w:val="00BB4C75"/>
    <w:rsid w:val="00BB4EDD"/>
    <w:rsid w:val="00BB6AD2"/>
    <w:rsid w:val="00BC2D8F"/>
    <w:rsid w:val="00BC45DD"/>
    <w:rsid w:val="00BC7758"/>
    <w:rsid w:val="00BD1E00"/>
    <w:rsid w:val="00BD423E"/>
    <w:rsid w:val="00BD75FB"/>
    <w:rsid w:val="00BE0B3A"/>
    <w:rsid w:val="00BE0CD2"/>
    <w:rsid w:val="00BE4171"/>
    <w:rsid w:val="00BE73AA"/>
    <w:rsid w:val="00C00569"/>
    <w:rsid w:val="00C00A6C"/>
    <w:rsid w:val="00C0348A"/>
    <w:rsid w:val="00C11762"/>
    <w:rsid w:val="00C159EE"/>
    <w:rsid w:val="00C16B62"/>
    <w:rsid w:val="00C206B7"/>
    <w:rsid w:val="00C21864"/>
    <w:rsid w:val="00C21977"/>
    <w:rsid w:val="00C22BA2"/>
    <w:rsid w:val="00C23D16"/>
    <w:rsid w:val="00C3049E"/>
    <w:rsid w:val="00C30B23"/>
    <w:rsid w:val="00C33D0E"/>
    <w:rsid w:val="00C346E7"/>
    <w:rsid w:val="00C40DE7"/>
    <w:rsid w:val="00C417E0"/>
    <w:rsid w:val="00C52E92"/>
    <w:rsid w:val="00C53C62"/>
    <w:rsid w:val="00C53D5D"/>
    <w:rsid w:val="00C56C64"/>
    <w:rsid w:val="00C60647"/>
    <w:rsid w:val="00C73BF3"/>
    <w:rsid w:val="00C73D8D"/>
    <w:rsid w:val="00C7414A"/>
    <w:rsid w:val="00C82C06"/>
    <w:rsid w:val="00C908A2"/>
    <w:rsid w:val="00C92FA7"/>
    <w:rsid w:val="00C934F9"/>
    <w:rsid w:val="00C95D58"/>
    <w:rsid w:val="00C96C36"/>
    <w:rsid w:val="00CA6354"/>
    <w:rsid w:val="00CB2604"/>
    <w:rsid w:val="00CB2D78"/>
    <w:rsid w:val="00CB3792"/>
    <w:rsid w:val="00CC2301"/>
    <w:rsid w:val="00CC2947"/>
    <w:rsid w:val="00CC6552"/>
    <w:rsid w:val="00CD33FB"/>
    <w:rsid w:val="00CD5414"/>
    <w:rsid w:val="00CD7703"/>
    <w:rsid w:val="00CE080A"/>
    <w:rsid w:val="00CE570A"/>
    <w:rsid w:val="00CE63B0"/>
    <w:rsid w:val="00CE685F"/>
    <w:rsid w:val="00CE74D6"/>
    <w:rsid w:val="00CF14BE"/>
    <w:rsid w:val="00CF591A"/>
    <w:rsid w:val="00CF63A9"/>
    <w:rsid w:val="00CF6523"/>
    <w:rsid w:val="00CF7AFE"/>
    <w:rsid w:val="00D023A4"/>
    <w:rsid w:val="00D1023D"/>
    <w:rsid w:val="00D11EEF"/>
    <w:rsid w:val="00D150BC"/>
    <w:rsid w:val="00D17E77"/>
    <w:rsid w:val="00D21570"/>
    <w:rsid w:val="00D232C5"/>
    <w:rsid w:val="00D25ACE"/>
    <w:rsid w:val="00D35998"/>
    <w:rsid w:val="00D412E2"/>
    <w:rsid w:val="00D50052"/>
    <w:rsid w:val="00D5192C"/>
    <w:rsid w:val="00D52F8F"/>
    <w:rsid w:val="00D5389A"/>
    <w:rsid w:val="00D569CB"/>
    <w:rsid w:val="00D57236"/>
    <w:rsid w:val="00D61D4A"/>
    <w:rsid w:val="00D625A7"/>
    <w:rsid w:val="00D670B1"/>
    <w:rsid w:val="00D76A0D"/>
    <w:rsid w:val="00D80D4B"/>
    <w:rsid w:val="00D90BFB"/>
    <w:rsid w:val="00D9314B"/>
    <w:rsid w:val="00D937C0"/>
    <w:rsid w:val="00D949F4"/>
    <w:rsid w:val="00D961A1"/>
    <w:rsid w:val="00DB3309"/>
    <w:rsid w:val="00DB4C00"/>
    <w:rsid w:val="00DC3196"/>
    <w:rsid w:val="00DC4F51"/>
    <w:rsid w:val="00DC7B12"/>
    <w:rsid w:val="00DD1993"/>
    <w:rsid w:val="00DD1FDF"/>
    <w:rsid w:val="00DD4276"/>
    <w:rsid w:val="00DE19C3"/>
    <w:rsid w:val="00DE1AAD"/>
    <w:rsid w:val="00DE556C"/>
    <w:rsid w:val="00DE7FD7"/>
    <w:rsid w:val="00DF5D94"/>
    <w:rsid w:val="00DF637F"/>
    <w:rsid w:val="00E00946"/>
    <w:rsid w:val="00E0378F"/>
    <w:rsid w:val="00E0607E"/>
    <w:rsid w:val="00E12538"/>
    <w:rsid w:val="00E14BF2"/>
    <w:rsid w:val="00E15A00"/>
    <w:rsid w:val="00E1693E"/>
    <w:rsid w:val="00E17B64"/>
    <w:rsid w:val="00E20DAA"/>
    <w:rsid w:val="00E2597E"/>
    <w:rsid w:val="00E27158"/>
    <w:rsid w:val="00E27418"/>
    <w:rsid w:val="00E30580"/>
    <w:rsid w:val="00E42825"/>
    <w:rsid w:val="00E46A03"/>
    <w:rsid w:val="00E5046F"/>
    <w:rsid w:val="00E52661"/>
    <w:rsid w:val="00E52A3E"/>
    <w:rsid w:val="00E54AAB"/>
    <w:rsid w:val="00E57015"/>
    <w:rsid w:val="00E624EB"/>
    <w:rsid w:val="00E64A84"/>
    <w:rsid w:val="00E73900"/>
    <w:rsid w:val="00E8303B"/>
    <w:rsid w:val="00E86F2D"/>
    <w:rsid w:val="00E87ACB"/>
    <w:rsid w:val="00E91BDA"/>
    <w:rsid w:val="00E955E5"/>
    <w:rsid w:val="00E97903"/>
    <w:rsid w:val="00EA5099"/>
    <w:rsid w:val="00EA780B"/>
    <w:rsid w:val="00EB000D"/>
    <w:rsid w:val="00EB37F9"/>
    <w:rsid w:val="00EB65FD"/>
    <w:rsid w:val="00EC5FEF"/>
    <w:rsid w:val="00ED1A52"/>
    <w:rsid w:val="00ED24EE"/>
    <w:rsid w:val="00ED3FD8"/>
    <w:rsid w:val="00ED4B32"/>
    <w:rsid w:val="00ED6D91"/>
    <w:rsid w:val="00EE3050"/>
    <w:rsid w:val="00EE3D1C"/>
    <w:rsid w:val="00EE62E5"/>
    <w:rsid w:val="00EF2509"/>
    <w:rsid w:val="00EF566E"/>
    <w:rsid w:val="00EF56A5"/>
    <w:rsid w:val="00EF5905"/>
    <w:rsid w:val="00F00492"/>
    <w:rsid w:val="00F02CDB"/>
    <w:rsid w:val="00F04BF8"/>
    <w:rsid w:val="00F07792"/>
    <w:rsid w:val="00F12D7F"/>
    <w:rsid w:val="00F133DF"/>
    <w:rsid w:val="00F148B1"/>
    <w:rsid w:val="00F153E3"/>
    <w:rsid w:val="00F33BBE"/>
    <w:rsid w:val="00F37106"/>
    <w:rsid w:val="00F4099F"/>
    <w:rsid w:val="00F438D5"/>
    <w:rsid w:val="00F44185"/>
    <w:rsid w:val="00F47B8B"/>
    <w:rsid w:val="00F47D01"/>
    <w:rsid w:val="00F606A0"/>
    <w:rsid w:val="00F62F06"/>
    <w:rsid w:val="00F67051"/>
    <w:rsid w:val="00F67D6A"/>
    <w:rsid w:val="00F70066"/>
    <w:rsid w:val="00F7126F"/>
    <w:rsid w:val="00F7270C"/>
    <w:rsid w:val="00F72924"/>
    <w:rsid w:val="00F77E48"/>
    <w:rsid w:val="00F81351"/>
    <w:rsid w:val="00F8222B"/>
    <w:rsid w:val="00F8271A"/>
    <w:rsid w:val="00F82C86"/>
    <w:rsid w:val="00F870CB"/>
    <w:rsid w:val="00F9227A"/>
    <w:rsid w:val="00F93243"/>
    <w:rsid w:val="00F950A7"/>
    <w:rsid w:val="00FA29E0"/>
    <w:rsid w:val="00FA2A51"/>
    <w:rsid w:val="00FA3C5A"/>
    <w:rsid w:val="00FA5A85"/>
    <w:rsid w:val="00FB1D13"/>
    <w:rsid w:val="00FB6C71"/>
    <w:rsid w:val="00FC40DE"/>
    <w:rsid w:val="00FC4D18"/>
    <w:rsid w:val="00FD1135"/>
    <w:rsid w:val="00FD2D22"/>
    <w:rsid w:val="00FD3355"/>
    <w:rsid w:val="00FE2A14"/>
    <w:rsid w:val="00FE3007"/>
    <w:rsid w:val="00FE5230"/>
    <w:rsid w:val="00FF28E6"/>
    <w:rsid w:val="00FF5C1A"/>
    <w:rsid w:val="00FF606F"/>
    <w:rsid w:val="0125BF5F"/>
    <w:rsid w:val="26249FC8"/>
    <w:rsid w:val="280DC9D2"/>
    <w:rsid w:val="2A6CF41D"/>
    <w:rsid w:val="2FE1309F"/>
    <w:rsid w:val="31208273"/>
    <w:rsid w:val="35FE03E9"/>
    <w:rsid w:val="4033089F"/>
    <w:rsid w:val="59ADC5DB"/>
    <w:rsid w:val="64017F0E"/>
    <w:rsid w:val="7001B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CEF9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15246"/>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FootnoteText">
    <w:name w:val="footnote text"/>
    <w:basedOn w:val="Normal"/>
    <w:link w:val="FootnoteTextChar"/>
    <w:uiPriority w:val="99"/>
    <w:rsid w:val="007B4F75"/>
    <w:rPr>
      <w:szCs w:val="20"/>
    </w:rPr>
  </w:style>
  <w:style w:type="character" w:customStyle="1" w:styleId="FootnoteTextChar">
    <w:name w:val="Footnote Text Char"/>
    <w:basedOn w:val="DefaultParagraphFont"/>
    <w:link w:val="FootnoteText"/>
    <w:rsid w:val="007B4F75"/>
  </w:style>
  <w:style w:type="paragraph" w:styleId="Header">
    <w:name w:val="header"/>
    <w:basedOn w:val="Normal"/>
    <w:link w:val="HeaderChar"/>
    <w:rsid w:val="007B4F75"/>
    <w:pPr>
      <w:tabs>
        <w:tab w:val="center" w:pos="4680"/>
        <w:tab w:val="right" w:pos="9360"/>
      </w:tabs>
    </w:pPr>
  </w:style>
  <w:style w:type="character" w:customStyle="1" w:styleId="HeaderChar">
    <w:name w:val="Header Char"/>
    <w:link w:val="Header"/>
    <w:rsid w:val="007B4F75"/>
    <w:rPr>
      <w:szCs w:val="24"/>
    </w:rPr>
  </w:style>
  <w:style w:type="paragraph" w:styleId="Footer">
    <w:name w:val="footer"/>
    <w:basedOn w:val="Normal"/>
    <w:link w:val="FooterChar"/>
    <w:uiPriority w:val="99"/>
    <w:rsid w:val="007B4F75"/>
    <w:pPr>
      <w:tabs>
        <w:tab w:val="center" w:pos="4680"/>
        <w:tab w:val="right" w:pos="9360"/>
      </w:tabs>
    </w:pPr>
  </w:style>
  <w:style w:type="character" w:customStyle="1" w:styleId="FooterChar">
    <w:name w:val="Footer Char"/>
    <w:link w:val="Footer"/>
    <w:uiPriority w:val="99"/>
    <w:rsid w:val="007B4F75"/>
    <w:rPr>
      <w:szCs w:val="24"/>
    </w:rPr>
  </w:style>
  <w:style w:type="character" w:styleId="PageNumber">
    <w:name w:val="page number"/>
    <w:basedOn w:val="DefaultParagraphFont"/>
    <w:rsid w:val="007B4F75"/>
  </w:style>
  <w:style w:type="paragraph" w:styleId="BalloonText">
    <w:name w:val="Balloon Text"/>
    <w:basedOn w:val="Normal"/>
    <w:link w:val="BalloonTextChar"/>
    <w:rsid w:val="00D569CB"/>
    <w:rPr>
      <w:rFonts w:ascii="Tahoma" w:hAnsi="Tahoma" w:cs="Tahoma"/>
      <w:sz w:val="16"/>
      <w:szCs w:val="16"/>
    </w:rPr>
  </w:style>
  <w:style w:type="character" w:customStyle="1" w:styleId="BalloonTextChar">
    <w:name w:val="Balloon Text Char"/>
    <w:link w:val="BalloonText"/>
    <w:rsid w:val="00D569CB"/>
    <w:rPr>
      <w:rFonts w:ascii="Tahoma" w:hAnsi="Tahoma" w:cs="Tahoma"/>
      <w:sz w:val="16"/>
      <w:szCs w:val="16"/>
    </w:rPr>
  </w:style>
  <w:style w:type="character" w:styleId="CommentReference">
    <w:name w:val="annotation reference"/>
    <w:uiPriority w:val="99"/>
    <w:rsid w:val="00E30580"/>
    <w:rPr>
      <w:sz w:val="16"/>
      <w:szCs w:val="16"/>
    </w:rPr>
  </w:style>
  <w:style w:type="paragraph" w:styleId="CommentText">
    <w:name w:val="annotation text"/>
    <w:basedOn w:val="Normal"/>
    <w:link w:val="CommentTextChar"/>
    <w:rsid w:val="00E30580"/>
    <w:rPr>
      <w:szCs w:val="20"/>
    </w:rPr>
  </w:style>
  <w:style w:type="character" w:customStyle="1" w:styleId="CommentTextChar">
    <w:name w:val="Comment Text Char"/>
    <w:basedOn w:val="DefaultParagraphFont"/>
    <w:link w:val="CommentText"/>
    <w:rsid w:val="00E30580"/>
  </w:style>
  <w:style w:type="paragraph" w:styleId="CommentSubject">
    <w:name w:val="annotation subject"/>
    <w:basedOn w:val="CommentText"/>
    <w:next w:val="CommentText"/>
    <w:link w:val="CommentSubjectChar"/>
    <w:rsid w:val="00E30580"/>
    <w:rPr>
      <w:b/>
      <w:bCs/>
    </w:rPr>
  </w:style>
  <w:style w:type="character" w:customStyle="1" w:styleId="CommentSubjectChar">
    <w:name w:val="Comment Subject Char"/>
    <w:link w:val="CommentSubject"/>
    <w:rsid w:val="00E30580"/>
    <w:rPr>
      <w:b/>
      <w:bCs/>
    </w:rPr>
  </w:style>
  <w:style w:type="paragraph" w:styleId="EndnoteText">
    <w:name w:val="endnote text"/>
    <w:basedOn w:val="Normal"/>
    <w:link w:val="EndnoteTextChar"/>
    <w:semiHidden/>
    <w:unhideWhenUsed/>
    <w:rsid w:val="000D37EA"/>
    <w:rPr>
      <w:szCs w:val="20"/>
    </w:rPr>
  </w:style>
  <w:style w:type="character" w:customStyle="1" w:styleId="EndnoteTextChar">
    <w:name w:val="Endnote Text Char"/>
    <w:basedOn w:val="DefaultParagraphFont"/>
    <w:link w:val="EndnoteText"/>
    <w:semiHidden/>
    <w:rsid w:val="000D37EA"/>
  </w:style>
  <w:style w:type="character" w:styleId="EndnoteReference">
    <w:name w:val="endnote reference"/>
    <w:basedOn w:val="DefaultParagraphFont"/>
    <w:semiHidden/>
    <w:unhideWhenUsed/>
    <w:rsid w:val="000D37EA"/>
    <w:rPr>
      <w:vertAlign w:val="superscript"/>
    </w:rPr>
  </w:style>
  <w:style w:type="character" w:styleId="Hyperlink">
    <w:name w:val="Hyperlink"/>
    <w:basedOn w:val="DefaultParagraphFont"/>
    <w:unhideWhenUsed/>
    <w:rsid w:val="000D37EA"/>
    <w:rPr>
      <w:color w:val="0000FF" w:themeColor="hyperlink"/>
      <w:u w:val="single"/>
    </w:rPr>
  </w:style>
  <w:style w:type="table" w:styleId="TableGrid">
    <w:name w:val="Table Grid"/>
    <w:basedOn w:val="TableNormal"/>
    <w:rsid w:val="004B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F438D5"/>
    <w:rPr>
      <w:color w:val="800080" w:themeColor="followedHyperlink"/>
      <w:u w:val="single"/>
    </w:rPr>
  </w:style>
  <w:style w:type="paragraph" w:styleId="ListParagraph">
    <w:name w:val="List Paragraph"/>
    <w:basedOn w:val="Normal"/>
    <w:uiPriority w:val="34"/>
    <w:qFormat/>
    <w:rsid w:val="00A051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a1371e825b5d4edd"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oes/current/oes_nat.htm" TargetMode="External"/><Relationship Id="rId1" Type="http://schemas.openxmlformats.org/officeDocument/2006/relationships/hyperlink" Target="https://www.cms.gov/CCIIO/Resources/Fact-Sheets-and-FAQs/Downloads/MHPAEA-FAQs-Part-4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2D8A0-65E1-497D-850D-07597B01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3825</Words>
  <Characters>20869</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2021-10-26T17:22:00Z</dcterms:created>
  <dcterms:modified xsi:type="dcterms:W3CDTF">2021-10-26T17:22:00Z</dcterms:modified>
</cp:coreProperties>
</file>