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3CC0" w:rsidP="003F00B3" w:rsidRDefault="00F107B7" w14:paraId="4A744D9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4578A2">
        <w:rPr>
          <w:rFonts w:ascii="Times New Roman" w:hAnsi="Times New Roman" w:cs="Times New Roman"/>
        </w:rPr>
        <w:t xml:space="preserve">Regulations Governing </w:t>
      </w:r>
    </w:p>
    <w:p w:rsidR="002E3CC0" w:rsidP="003F00B3" w:rsidRDefault="004578A2" w14:paraId="6AD29FB4"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Testimony by Employees and the Production of </w:t>
      </w:r>
    </w:p>
    <w:p w:rsidRPr="00BC7F42" w:rsidR="003F00B3" w:rsidP="003F00B3" w:rsidRDefault="004578A2" w14:paraId="2D45BF84"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Records and Information in Legal Proceedings</w:t>
      </w:r>
    </w:p>
    <w:p w:rsidRPr="002E3CC0" w:rsidR="00146275" w:rsidP="00F107B7" w:rsidRDefault="004578A2" w14:paraId="67D0FFFF" w14:textId="77777777">
      <w:pPr>
        <w:jc w:val="center"/>
        <w:rPr>
          <w:rFonts w:ascii="Times New Roman" w:hAnsi="Times New Roman"/>
          <w:b/>
          <w:color w:val="0000FF"/>
        </w:rPr>
      </w:pPr>
      <w:r w:rsidRPr="002E3CC0">
        <w:rPr>
          <w:rFonts w:ascii="Times New Roman" w:hAnsi="Times New Roman"/>
          <w:b/>
        </w:rPr>
        <w:t>20 C.F.R. 403.100 – 403.155</w:t>
      </w:r>
    </w:p>
    <w:p w:rsidRPr="00BC7F42" w:rsidR="00A45D82" w:rsidP="00A45D82" w:rsidRDefault="008B6774" w14:paraId="57F9B9B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4578A2">
        <w:rPr>
          <w:rFonts w:ascii="Times New Roman" w:hAnsi="Times New Roman" w:cs="Times New Roman"/>
        </w:rPr>
        <w:t>0619</w:t>
      </w:r>
      <w:r w:rsidRPr="00BC7F42" w:rsidR="004578A2">
        <w:rPr>
          <w:rFonts w:ascii="Times New Roman" w:hAnsi="Times New Roman" w:cs="Times New Roman"/>
        </w:rPr>
        <w:t xml:space="preserve"> </w:t>
      </w:r>
    </w:p>
    <w:p w:rsidRPr="00BC7F42" w:rsidR="00A45D82" w:rsidP="00A45D82" w:rsidRDefault="00A45D82" w14:paraId="2255B643" w14:textId="77777777">
      <w:pPr>
        <w:pStyle w:val="Header"/>
        <w:tabs>
          <w:tab w:val="clear" w:pos="4320"/>
          <w:tab w:val="clear" w:pos="8640"/>
        </w:tabs>
        <w:rPr>
          <w:rFonts w:ascii="Times New Roman" w:hAnsi="Times New Roman"/>
        </w:rPr>
      </w:pPr>
    </w:p>
    <w:p w:rsidRPr="002321B0" w:rsidR="00A45D82" w:rsidP="00A45D82" w:rsidRDefault="00A45D82" w14:paraId="4D3DDE96"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59910DD0" w14:textId="77777777">
      <w:pPr>
        <w:pStyle w:val="Header"/>
        <w:tabs>
          <w:tab w:val="clear" w:pos="4320"/>
          <w:tab w:val="clear" w:pos="8640"/>
        </w:tabs>
        <w:rPr>
          <w:rFonts w:ascii="Times New Roman" w:hAnsi="Times New Roman"/>
        </w:rPr>
      </w:pPr>
    </w:p>
    <w:p w:rsidR="002321B0" w:rsidP="00E15B34" w:rsidRDefault="002E18CF" w14:paraId="2CCBBEED" w14:textId="77777777">
      <w:pPr>
        <w:numPr>
          <w:ilvl w:val="0"/>
          <w:numId w:val="5"/>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BA1381" w:rsidP="00C666A3" w:rsidRDefault="00853C0F" w14:paraId="1F686630" w14:textId="77777777">
      <w:pPr>
        <w:pStyle w:val="Level1"/>
        <w:widowControl/>
        <w:numPr>
          <w:ilvl w:val="0"/>
          <w:numId w:val="0"/>
        </w:numPr>
        <w:tabs>
          <w:tab w:val="left" w:pos="-1440"/>
          <w:tab w:val="num" w:pos="1440"/>
        </w:tabs>
        <w:ind w:left="1440"/>
      </w:pPr>
      <w:r>
        <w:t xml:space="preserve">A Social Security Administration (SSA) employee can testify concerning any function of the agency, or any information or record created or acquired by </w:t>
      </w:r>
      <w:r w:rsidR="006F0CD2">
        <w:t>SSA</w:t>
      </w:r>
      <w:r>
        <w:t xml:space="preserve"> because of the discharge of </w:t>
      </w:r>
      <w:r w:rsidR="006F0CD2">
        <w:t xml:space="preserve">its </w:t>
      </w:r>
      <w:r>
        <w:t>official duties in a</w:t>
      </w:r>
      <w:r w:rsidR="006F0CD2">
        <w:t>ny</w:t>
      </w:r>
      <w:r>
        <w:t xml:space="preserve"> legal proceeding in which the agency is not a party with the prior authorization of the Commissioner.  </w:t>
      </w:r>
      <w:r w:rsidR="004578A2">
        <w:t xml:space="preserve">SSA has authority to collect this information under </w:t>
      </w:r>
      <w:r w:rsidRPr="00020426" w:rsidR="00340AF3">
        <w:rPr>
          <w:i/>
        </w:rPr>
        <w:t>T</w:t>
      </w:r>
      <w:r w:rsidRPr="00020426">
        <w:rPr>
          <w:i/>
        </w:rPr>
        <w:t>he Plain Writing Act of 2010</w:t>
      </w:r>
      <w:r w:rsidRPr="00020426" w:rsidR="00340AF3">
        <w:rPr>
          <w:iCs/>
        </w:rPr>
        <w:t>,</w:t>
      </w:r>
      <w:r w:rsidR="00340AF3">
        <w:t xml:space="preserve"> </w:t>
      </w:r>
    </w:p>
    <w:p w:rsidRPr="00F57AD9" w:rsidR="00853C0F" w:rsidP="00C666A3" w:rsidRDefault="00340AF3" w14:paraId="0324FBFC" w14:textId="77777777">
      <w:pPr>
        <w:pStyle w:val="Level1"/>
        <w:widowControl/>
        <w:numPr>
          <w:ilvl w:val="0"/>
          <w:numId w:val="0"/>
        </w:numPr>
        <w:tabs>
          <w:tab w:val="left" w:pos="-1440"/>
          <w:tab w:val="num" w:pos="1440"/>
        </w:tabs>
        <w:ind w:left="1440"/>
      </w:pPr>
      <w:r w:rsidRPr="00020426">
        <w:rPr>
          <w:i/>
          <w:iCs/>
        </w:rPr>
        <w:t>Pub. L. 117-274, 12 Stat. 2861</w:t>
      </w:r>
      <w:r w:rsidR="006F0CD2">
        <w:t>,</w:t>
      </w:r>
      <w:r>
        <w:t xml:space="preserve"> </w:t>
      </w:r>
      <w:r w:rsidR="006F0CD2">
        <w:t xml:space="preserve">as </w:t>
      </w:r>
      <w:r>
        <w:t xml:space="preserve">codified at </w:t>
      </w:r>
      <w:r w:rsidRPr="00020426">
        <w:rPr>
          <w:i/>
          <w:iCs/>
        </w:rPr>
        <w:t>5 U.S.C. 301</w:t>
      </w:r>
      <w:r>
        <w:t xml:space="preserve"> note</w:t>
      </w:r>
      <w:r w:rsidRPr="00146A20" w:rsidR="00853C0F">
        <w:t>;</w:t>
      </w:r>
      <w:r w:rsidR="00853C0F">
        <w:rPr>
          <w:i/>
        </w:rPr>
        <w:t xml:space="preserve"> </w:t>
      </w:r>
      <w:r w:rsidRPr="00020426" w:rsidR="006F0CD2">
        <w:rPr>
          <w:i/>
          <w:iCs/>
        </w:rPr>
        <w:t>The Independent Offices Appropriations Act of 1952</w:t>
      </w:r>
      <w:r w:rsidR="006F0CD2">
        <w:t xml:space="preserve">, as codified at </w:t>
      </w:r>
      <w:r w:rsidR="00853C0F">
        <w:rPr>
          <w:i/>
        </w:rPr>
        <w:t>31 U</w:t>
      </w:r>
      <w:r w:rsidR="006F0CD2">
        <w:rPr>
          <w:i/>
        </w:rPr>
        <w:t>.</w:t>
      </w:r>
      <w:r w:rsidR="00853C0F">
        <w:rPr>
          <w:i/>
        </w:rPr>
        <w:t>S</w:t>
      </w:r>
      <w:r w:rsidR="006F0CD2">
        <w:rPr>
          <w:i/>
        </w:rPr>
        <w:t>.</w:t>
      </w:r>
      <w:r w:rsidR="00853C0F">
        <w:rPr>
          <w:i/>
        </w:rPr>
        <w:t>C</w:t>
      </w:r>
      <w:r w:rsidR="006F0CD2">
        <w:rPr>
          <w:i/>
        </w:rPr>
        <w:t>.</w:t>
      </w:r>
      <w:r w:rsidR="00853C0F">
        <w:rPr>
          <w:i/>
        </w:rPr>
        <w:t xml:space="preserve"> 9701</w:t>
      </w:r>
      <w:r w:rsidR="00853C0F">
        <w:t>;</w:t>
      </w:r>
      <w:r w:rsidR="00853C0F">
        <w:rPr>
          <w:i/>
        </w:rPr>
        <w:t xml:space="preserve"> </w:t>
      </w:r>
      <w:r w:rsidR="006F0CD2">
        <w:t xml:space="preserve">and </w:t>
      </w:r>
      <w:r w:rsidRPr="00020426" w:rsidR="006F0CD2">
        <w:rPr>
          <w:i/>
          <w:iCs/>
        </w:rPr>
        <w:t>the Social Security Act (Act)</w:t>
      </w:r>
      <w:r w:rsidR="006F0CD2">
        <w:t xml:space="preserve">, as codified at </w:t>
      </w:r>
      <w:r w:rsidRPr="00020426" w:rsidR="00853C0F">
        <w:rPr>
          <w:i/>
          <w:iCs/>
        </w:rPr>
        <w:t>42 U</w:t>
      </w:r>
      <w:r w:rsidRPr="00020426" w:rsidR="006F0CD2">
        <w:rPr>
          <w:i/>
          <w:iCs/>
        </w:rPr>
        <w:t>.</w:t>
      </w:r>
      <w:r w:rsidRPr="00020426" w:rsidR="00853C0F">
        <w:rPr>
          <w:i/>
          <w:iCs/>
        </w:rPr>
        <w:t>S</w:t>
      </w:r>
      <w:r w:rsidRPr="00020426" w:rsidR="006F0CD2">
        <w:rPr>
          <w:i/>
          <w:iCs/>
        </w:rPr>
        <w:t>.</w:t>
      </w:r>
      <w:r w:rsidRPr="00020426" w:rsidR="00853C0F">
        <w:rPr>
          <w:i/>
          <w:iCs/>
        </w:rPr>
        <w:t>C</w:t>
      </w:r>
      <w:r w:rsidRPr="00020426" w:rsidR="006F0CD2">
        <w:rPr>
          <w:i/>
          <w:iCs/>
        </w:rPr>
        <w:t>.</w:t>
      </w:r>
      <w:r w:rsidRPr="00020426" w:rsidR="00853C0F">
        <w:rPr>
          <w:i/>
          <w:iCs/>
        </w:rPr>
        <w:t xml:space="preserve"> 902</w:t>
      </w:r>
      <w:r w:rsidR="00853C0F">
        <w:rPr>
          <w:i/>
        </w:rPr>
        <w:t xml:space="preserve"> </w:t>
      </w:r>
      <w:r w:rsidR="00853C0F">
        <w:t xml:space="preserve">and </w:t>
      </w:r>
      <w:r w:rsidR="00853C0F">
        <w:rPr>
          <w:i/>
        </w:rPr>
        <w:t>1306</w:t>
      </w:r>
      <w:r w:rsidR="00853C0F">
        <w:t xml:space="preserve">.  These laws explain how individuals seeking testimony of an SSA employee must provide sufficient information about the testimony </w:t>
      </w:r>
      <w:r w:rsidR="00084F6C">
        <w:t>sought</w:t>
      </w:r>
      <w:r w:rsidR="00853C0F">
        <w:t xml:space="preserve"> for the Commissioner (or designee) to authorize.  In addition, the regulations at </w:t>
      </w:r>
      <w:r w:rsidRPr="00020426" w:rsidR="00853C0F">
        <w:rPr>
          <w:i/>
          <w:iCs/>
          <w:noProof/>
        </w:rPr>
        <w:t>20 CFR 403.100-403.155</w:t>
      </w:r>
      <w:r w:rsidRPr="001F59B6" w:rsidR="00853C0F">
        <w:rPr>
          <w:noProof/>
        </w:rPr>
        <w:t xml:space="preserve"> </w:t>
      </w:r>
      <w:r w:rsidR="00853C0F">
        <w:rPr>
          <w:noProof/>
        </w:rPr>
        <w:t xml:space="preserve">establish SSA’s policies and procedures applicable to requests for official agency information, records, or testimony in legal proceedings.  </w:t>
      </w:r>
    </w:p>
    <w:p w:rsidRPr="00F57AD9" w:rsidR="00F57AD9" w:rsidP="00F57AD9" w:rsidRDefault="00F57AD9" w14:paraId="3CE39D08" w14:textId="77777777">
      <w:pPr>
        <w:rPr>
          <w:rFonts w:ascii="Times New Roman" w:hAnsi="Times New Roman"/>
        </w:rPr>
      </w:pPr>
    </w:p>
    <w:p w:rsidRPr="002E18CF" w:rsidR="002E18CF" w:rsidP="00E15B34" w:rsidRDefault="00F56A74" w14:paraId="030C1561" w14:textId="77777777">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rsidRPr="004578A2" w:rsidR="004578A2" w:rsidP="00C666A3" w:rsidRDefault="004578A2" w14:paraId="019CC9B6" w14:textId="77777777">
      <w:pPr>
        <w:ind w:left="1440"/>
        <w:rPr>
          <w:rFonts w:ascii="Times New Roman" w:hAnsi="Times New Roman"/>
        </w:rPr>
      </w:pPr>
      <w:r w:rsidRPr="004578A2">
        <w:rPr>
          <w:rFonts w:ascii="Times New Roman" w:hAnsi="Times New Roman"/>
        </w:rPr>
        <w:t xml:space="preserve">Each year, </w:t>
      </w:r>
      <w:r w:rsidR="00E16CE7">
        <w:rPr>
          <w:rFonts w:ascii="Times New Roman" w:hAnsi="Times New Roman"/>
        </w:rPr>
        <w:t>SSA</w:t>
      </w:r>
      <w:r w:rsidRPr="004578A2" w:rsidR="00E16CE7">
        <w:rPr>
          <w:rFonts w:ascii="Times New Roman" w:hAnsi="Times New Roman"/>
        </w:rPr>
        <w:t xml:space="preserve"> </w:t>
      </w:r>
      <w:r w:rsidRPr="004578A2">
        <w:rPr>
          <w:rFonts w:ascii="Times New Roman" w:hAnsi="Times New Roman"/>
        </w:rPr>
        <w:t>receive</w:t>
      </w:r>
      <w:r w:rsidR="00E16CE7">
        <w:rPr>
          <w:rFonts w:ascii="Times New Roman" w:hAnsi="Times New Roman"/>
        </w:rPr>
        <w:t>s</w:t>
      </w:r>
      <w:r w:rsidRPr="004578A2">
        <w:rPr>
          <w:rFonts w:ascii="Times New Roman" w:hAnsi="Times New Roman"/>
        </w:rPr>
        <w:t xml:space="preserve"> requests for testimony.  Among other things, SSA regulations expressly prohibit any testimony except those approved by the Commissioner of Social Security.  The regulations establish a procedure whereby an individual, organization, or government entity may request official agency information, records, or testimony in legal proceedings.  An essential element of these regulations is the requirement that the requestor actually make the request for testimony to the Commissioner (or designee) in writing.  The request must:  (1) set out the nature and relevance of the testimony sought; (2) explain why the information is not available by other means; (3) explain why it is in our interest to provide the testimony; and (4) provide the date, time, and place for the testimony.  The requestor must make the request in writing so the Commissioner (or designee) can properly and consistently evaluate the basis for the request, and the extent to which the testimony would further the objectives of the agency </w:t>
      </w:r>
      <w:r w:rsidR="00E16CE7">
        <w:rPr>
          <w:rFonts w:ascii="Times New Roman" w:hAnsi="Times New Roman"/>
        </w:rPr>
        <w:t xml:space="preserve">if it </w:t>
      </w:r>
      <w:r w:rsidRPr="004578A2">
        <w:rPr>
          <w:rFonts w:ascii="Times New Roman" w:hAnsi="Times New Roman"/>
        </w:rPr>
        <w:t>provides the testimony, as requested.  Respondents are any individuals or entities who request testimony from our employees in connection with any legal proceeding.</w:t>
      </w:r>
    </w:p>
    <w:p w:rsidRPr="00BC7F42" w:rsidR="00A45D82" w:rsidP="00A45D82" w:rsidRDefault="00A45D82" w14:paraId="76F309AE" w14:textId="77777777">
      <w:pPr>
        <w:rPr>
          <w:rFonts w:ascii="Times New Roman" w:hAnsi="Times New Roman"/>
        </w:rPr>
      </w:pPr>
    </w:p>
    <w:p w:rsidRPr="0036696D" w:rsidR="0036696D" w:rsidP="00E15B34" w:rsidRDefault="00A45D82" w14:paraId="64C762BF"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Pr="00BE4CAB" w:rsidR="00BE4CAB" w:rsidP="00C666A3" w:rsidRDefault="00BE4CAB" w14:paraId="502420DD" w14:textId="77777777">
      <w:pPr>
        <w:tabs>
          <w:tab w:val="left" w:pos="1260"/>
          <w:tab w:val="left" w:pos="1440"/>
        </w:tabs>
        <w:ind w:left="1440"/>
        <w:rPr>
          <w:rFonts w:ascii="Times New Roman" w:hAnsi="Times New Roman"/>
        </w:rPr>
      </w:pPr>
      <w:r w:rsidRPr="00B37A5B">
        <w:rPr>
          <w:rFonts w:ascii="Times New Roman" w:hAnsi="Times New Roman"/>
        </w:rPr>
        <w:t>SSA does not collect this information through forms or any other standardized information collection; therefore, we cannot create an electronic version for these regulatory requirements under the Government Paperwork Elimination Act.  SSA</w:t>
      </w:r>
      <w:r w:rsidRPr="00BE4CAB">
        <w:rPr>
          <w:rFonts w:ascii="Times New Roman" w:hAnsi="Times New Roman"/>
        </w:rPr>
        <w:t xml:space="preserve"> obtains the information </w:t>
      </w:r>
      <w:r>
        <w:rPr>
          <w:rFonts w:ascii="Times New Roman" w:hAnsi="Times New Roman"/>
        </w:rPr>
        <w:t xml:space="preserve">request </w:t>
      </w:r>
      <w:r w:rsidR="00DA2B6A">
        <w:rPr>
          <w:rFonts w:ascii="Times New Roman" w:hAnsi="Times New Roman"/>
        </w:rPr>
        <w:t>through</w:t>
      </w:r>
      <w:r>
        <w:rPr>
          <w:rFonts w:ascii="Times New Roman" w:hAnsi="Times New Roman"/>
        </w:rPr>
        <w:t xml:space="preserve"> USPS</w:t>
      </w:r>
      <w:r w:rsidR="00DA2B6A">
        <w:rPr>
          <w:rFonts w:ascii="Times New Roman" w:hAnsi="Times New Roman"/>
        </w:rPr>
        <w:t xml:space="preserve">; </w:t>
      </w:r>
      <w:r w:rsidRPr="00BE4CAB">
        <w:rPr>
          <w:rFonts w:ascii="Times New Roman" w:hAnsi="Times New Roman"/>
        </w:rPr>
        <w:t xml:space="preserve">telephone conversations with the </w:t>
      </w:r>
      <w:r w:rsidRPr="00BE4CAB">
        <w:rPr>
          <w:rFonts w:ascii="Times New Roman" w:hAnsi="Times New Roman"/>
        </w:rPr>
        <w:lastRenderedPageBreak/>
        <w:t>recipient when we re-contact the representative payee for allegations of misuse; or through face</w:t>
      </w:r>
      <w:r w:rsidRPr="00BE4CAB">
        <w:rPr>
          <w:rFonts w:ascii="Times New Roman" w:hAnsi="Times New Roman"/>
        </w:rPr>
        <w:noBreakHyphen/>
        <w:t>to-face interviews during an expanded monitoring program site visit where SSA staff visits the respondent.</w:t>
      </w:r>
    </w:p>
    <w:p w:rsidRPr="00BC7F42" w:rsidR="004578A2" w:rsidP="00A45D82" w:rsidRDefault="004578A2" w14:paraId="150D9235" w14:textId="77777777">
      <w:pPr>
        <w:rPr>
          <w:rFonts w:ascii="Times New Roman" w:hAnsi="Times New Roman"/>
        </w:rPr>
      </w:pPr>
    </w:p>
    <w:p w:rsidR="000C1D18" w:rsidP="00E15B34" w:rsidRDefault="00A45D82" w14:paraId="44AEBF83"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4578A2" w:rsidP="00C666A3" w:rsidRDefault="004578A2" w14:paraId="7EF5F0A2" w14:textId="77777777">
      <w:pPr>
        <w:pStyle w:val="Level1"/>
        <w:widowControl/>
        <w:numPr>
          <w:ilvl w:val="0"/>
          <w:numId w:val="0"/>
        </w:numPr>
        <w:tabs>
          <w:tab w:val="left" w:pos="-1440"/>
          <w:tab w:val="num" w:pos="1440"/>
        </w:tabs>
        <w:ind w:left="1440"/>
      </w:pPr>
      <w:r>
        <w:t>The nature of the information we collect and the manner in which we collect it precludes duplication.  SSA does not use another collection instrument to obtain similar data.</w:t>
      </w:r>
    </w:p>
    <w:p w:rsidRPr="00BC7F42" w:rsidR="004578A2" w:rsidP="00A45D82" w:rsidRDefault="004578A2" w14:paraId="3C1D7435" w14:textId="77777777">
      <w:pPr>
        <w:pStyle w:val="Header"/>
        <w:tabs>
          <w:tab w:val="clear" w:pos="4320"/>
          <w:tab w:val="clear" w:pos="8640"/>
        </w:tabs>
        <w:ind w:left="720"/>
        <w:rPr>
          <w:rFonts w:ascii="Times New Roman" w:hAnsi="Times New Roman"/>
        </w:rPr>
      </w:pPr>
    </w:p>
    <w:p w:rsidRPr="00077E0E" w:rsidR="00077E0E" w:rsidP="00E15B34" w:rsidRDefault="00077E0E" w14:paraId="50FFEABF" w14:textId="77777777">
      <w:pPr>
        <w:numPr>
          <w:ilvl w:val="0"/>
          <w:numId w:val="4"/>
        </w:numPr>
        <w:tabs>
          <w:tab w:val="clear" w:pos="360"/>
        </w:tabs>
        <w:ind w:left="1440" w:hanging="720"/>
        <w:rPr>
          <w:rFonts w:ascii="Times New Roman" w:hAnsi="Times New Roman"/>
        </w:rPr>
      </w:pPr>
      <w:r>
        <w:rPr>
          <w:rFonts w:ascii="Times New Roman" w:hAnsi="Times New Roman"/>
          <w:b/>
        </w:rPr>
        <w:t>Minimizing Burden on Small Respondents</w:t>
      </w:r>
    </w:p>
    <w:p w:rsidRPr="004578A2" w:rsidR="004578A2" w:rsidP="00C666A3" w:rsidRDefault="004578A2" w14:paraId="04DD84E5" w14:textId="77777777">
      <w:pPr>
        <w:ind w:left="720" w:firstLine="720"/>
        <w:rPr>
          <w:rFonts w:ascii="Times New Roman" w:hAnsi="Times New Roman"/>
        </w:rPr>
      </w:pPr>
      <w:r w:rsidRPr="004578A2">
        <w:rPr>
          <w:rFonts w:ascii="Times New Roman" w:hAnsi="Times New Roman"/>
        </w:rPr>
        <w:t>This collection does not affect small businesses or other small entities.</w:t>
      </w:r>
    </w:p>
    <w:p w:rsidRPr="00077E0E" w:rsidR="004578A2" w:rsidP="004578A2" w:rsidRDefault="004578A2" w14:paraId="4140010F" w14:textId="77777777">
      <w:pPr>
        <w:rPr>
          <w:rFonts w:ascii="Times New Roman" w:hAnsi="Times New Roman"/>
          <w:b/>
          <w:u w:val="single"/>
        </w:rPr>
      </w:pPr>
    </w:p>
    <w:p w:rsidRPr="00490485" w:rsidR="00A45D82" w:rsidP="00C666A3" w:rsidRDefault="00A45D82" w14:paraId="4F757B4F" w14:textId="77777777">
      <w:pPr>
        <w:ind w:left="720"/>
        <w:rPr>
          <w:rFonts w:ascii="Times New Roman" w:hAnsi="Times New Roman"/>
          <w:i/>
          <w:color w:val="8EAADB"/>
        </w:rPr>
      </w:pPr>
      <w:r w:rsidRPr="00C666A3">
        <w:rPr>
          <w:rFonts w:ascii="Times New Roman" w:hAnsi="Times New Roman"/>
          <w:bCs/>
        </w:rPr>
        <w:t>6</w:t>
      </w:r>
      <w:r w:rsidRPr="005C2C39">
        <w:rPr>
          <w:rFonts w:ascii="Times New Roman" w:hAnsi="Times New Roman"/>
          <w:b/>
        </w:rPr>
        <w:t>.</w:t>
      </w:r>
      <w:r w:rsidR="00C666A3">
        <w:rPr>
          <w:rFonts w:ascii="Times New Roman" w:hAnsi="Times New Roman"/>
          <w:b/>
        </w:rPr>
        <w:tab/>
      </w:r>
      <w:r w:rsidRPr="00BC7F42">
        <w:rPr>
          <w:rFonts w:ascii="Times New Roman" w:hAnsi="Times New Roman"/>
          <w:b/>
        </w:rPr>
        <w:t xml:space="preserve">Consequence of Not Collecting Information or Collecting it Less Frequently </w:t>
      </w:r>
    </w:p>
    <w:p w:rsidR="004578A2" w:rsidP="00C666A3" w:rsidRDefault="004578A2" w14:paraId="69085DE3" w14:textId="77777777">
      <w:pPr>
        <w:ind w:left="1440"/>
        <w:rPr>
          <w:rFonts w:ascii="Times New Roman" w:hAnsi="Times New Roman"/>
        </w:rPr>
      </w:pPr>
      <w:r w:rsidRPr="004578A2">
        <w:rPr>
          <w:rFonts w:ascii="Times New Roman" w:hAnsi="Times New Roman"/>
        </w:rPr>
        <w:t>If we did not collect this information, SSA would be unable to render informed decision</w:t>
      </w:r>
      <w:r w:rsidR="00E16CE7">
        <w:rPr>
          <w:rFonts w:ascii="Times New Roman" w:hAnsi="Times New Roman"/>
        </w:rPr>
        <w:t>s</w:t>
      </w:r>
      <w:r w:rsidRPr="004578A2">
        <w:rPr>
          <w:rFonts w:ascii="Times New Roman" w:hAnsi="Times New Roman"/>
        </w:rPr>
        <w:t xml:space="preserve"> regarding requests made to the agency for information or testimony by  employee</w:t>
      </w:r>
      <w:r w:rsidR="00E16CE7">
        <w:rPr>
          <w:rFonts w:ascii="Times New Roman" w:hAnsi="Times New Roman"/>
        </w:rPr>
        <w:t>s</w:t>
      </w:r>
      <w:r w:rsidRPr="004578A2">
        <w:rPr>
          <w:rFonts w:ascii="Times New Roman" w:hAnsi="Times New Roman"/>
        </w:rPr>
        <w:t xml:space="preserve">.  Because </w:t>
      </w:r>
      <w:r w:rsidR="00E16CE7">
        <w:rPr>
          <w:rFonts w:ascii="Times New Roman" w:hAnsi="Times New Roman"/>
        </w:rPr>
        <w:t>SSA</w:t>
      </w:r>
      <w:r w:rsidRPr="004578A2" w:rsidR="00E16CE7">
        <w:rPr>
          <w:rFonts w:ascii="Times New Roman" w:hAnsi="Times New Roman"/>
        </w:rPr>
        <w:t xml:space="preserve"> </w:t>
      </w:r>
      <w:r w:rsidRPr="004578A2">
        <w:rPr>
          <w:rFonts w:ascii="Times New Roman" w:hAnsi="Times New Roman"/>
        </w:rPr>
        <w:t>collect</w:t>
      </w:r>
      <w:r w:rsidR="00E16CE7">
        <w:rPr>
          <w:rFonts w:ascii="Times New Roman" w:hAnsi="Times New Roman"/>
        </w:rPr>
        <w:t>s</w:t>
      </w:r>
      <w:r w:rsidRPr="004578A2">
        <w:rPr>
          <w:rFonts w:ascii="Times New Roman" w:hAnsi="Times New Roman"/>
        </w:rPr>
        <w:t xml:space="preserve"> this information on an as needed basis, </w:t>
      </w:r>
      <w:r w:rsidR="00E16CE7">
        <w:rPr>
          <w:rFonts w:ascii="Times New Roman" w:hAnsi="Times New Roman"/>
        </w:rPr>
        <w:t>the agency</w:t>
      </w:r>
      <w:r w:rsidRPr="004578A2" w:rsidR="00E16CE7">
        <w:rPr>
          <w:rFonts w:ascii="Times New Roman" w:hAnsi="Times New Roman"/>
        </w:rPr>
        <w:t xml:space="preserve"> </w:t>
      </w:r>
      <w:r w:rsidRPr="004578A2">
        <w:rPr>
          <w:rFonts w:ascii="Times New Roman" w:hAnsi="Times New Roman"/>
        </w:rPr>
        <w:t>cannot collect it less frequently.  There are no technical or legal obstacles to burden reduction.</w:t>
      </w:r>
    </w:p>
    <w:p w:rsidRPr="00BC7F42" w:rsidR="00F56EB1" w:rsidP="00F56EB1" w:rsidRDefault="00F56EB1" w14:paraId="0106C5A7" w14:textId="77777777">
      <w:pPr>
        <w:ind w:left="720"/>
        <w:rPr>
          <w:rFonts w:ascii="Times New Roman" w:hAnsi="Times New Roman"/>
        </w:rPr>
      </w:pPr>
    </w:p>
    <w:p w:rsidR="00127980" w:rsidP="003776A7" w:rsidRDefault="00C666A3" w14:paraId="7BD958A1" w14:textId="6170EF7D">
      <w:pPr>
        <w:ind w:left="720"/>
        <w:rPr>
          <w:rFonts w:ascii="Times New Roman" w:hAnsi="Times New Roman"/>
          <w:b/>
        </w:rPr>
      </w:pPr>
      <w:r w:rsidRPr="00C666A3">
        <w:rPr>
          <w:rFonts w:ascii="Times New Roman" w:hAnsi="Times New Roman"/>
          <w:b/>
        </w:rPr>
        <w:t>7.</w:t>
      </w:r>
      <w:r>
        <w:rPr>
          <w:rFonts w:ascii="Times New Roman" w:hAnsi="Times New Roman"/>
          <w:b/>
        </w:rPr>
        <w:tab/>
      </w:r>
      <w:r w:rsidRPr="00BC7F42" w:rsidR="00A45D82">
        <w:rPr>
          <w:rFonts w:ascii="Times New Roman" w:hAnsi="Times New Roman"/>
          <w:b/>
        </w:rPr>
        <w:t xml:space="preserve">Special Circumstances </w:t>
      </w:r>
    </w:p>
    <w:p w:rsidRPr="00F56EB1" w:rsidR="00F56EB1" w:rsidP="00DA2B6A" w:rsidRDefault="00F56EB1" w14:paraId="5C2A04D6" w14:textId="77777777">
      <w:pPr>
        <w:ind w:left="1440"/>
        <w:rPr>
          <w:rFonts w:ascii="Times New Roman" w:hAnsi="Times New Roman"/>
        </w:rPr>
      </w:pPr>
      <w:r w:rsidRPr="00F56EB1">
        <w:rPr>
          <w:rFonts w:ascii="Times New Roman" w:hAnsi="Times New Roman"/>
        </w:rPr>
        <w:t xml:space="preserve">There are no special circumstances that would cause SSA to conduct this information collection in a manner inconsistent with </w:t>
      </w:r>
      <w:r w:rsidRPr="00DA2B6A">
        <w:rPr>
          <w:rFonts w:ascii="Times New Roman" w:hAnsi="Times New Roman"/>
          <w:i/>
          <w:iCs/>
        </w:rPr>
        <w:t>5 CFR 1320.5</w:t>
      </w:r>
      <w:r w:rsidRPr="00F56EB1">
        <w:rPr>
          <w:rFonts w:ascii="Times New Roman" w:hAnsi="Times New Roman"/>
        </w:rPr>
        <w:t>.</w:t>
      </w:r>
    </w:p>
    <w:p w:rsidRPr="00F56EB1" w:rsidR="00F56EB1" w:rsidP="00A45D82" w:rsidRDefault="00F56EB1" w14:paraId="53085DC8" w14:textId="77777777">
      <w:pPr>
        <w:rPr>
          <w:rFonts w:ascii="Times New Roman" w:hAnsi="Times New Roman"/>
          <w:b/>
        </w:rPr>
      </w:pPr>
    </w:p>
    <w:p w:rsidRPr="002E3CC0" w:rsidR="00A45D82" w:rsidP="00E15B34" w:rsidRDefault="00A45D82" w14:paraId="0302ABE9" w14:textId="77777777">
      <w:pPr>
        <w:numPr>
          <w:ilvl w:val="0"/>
          <w:numId w:val="1"/>
        </w:numPr>
        <w:tabs>
          <w:tab w:val="clear" w:pos="720"/>
        </w:tabs>
        <w:ind w:left="1440"/>
        <w:rPr>
          <w:rFonts w:ascii="Times New Roman" w:hAnsi="Times New Roman"/>
        </w:rPr>
      </w:pPr>
      <w:r w:rsidRPr="002E3CC0">
        <w:rPr>
          <w:rFonts w:ascii="Times New Roman" w:hAnsi="Times New Roman"/>
          <w:b/>
        </w:rPr>
        <w:t xml:space="preserve">Solicitation of Public Comment and Other Consultations with the Public </w:t>
      </w:r>
    </w:p>
    <w:p w:rsidR="007E0C1B" w:rsidP="00DA2B6A" w:rsidRDefault="00271236" w14:paraId="1889AC7D" w14:textId="77777777">
      <w:pPr>
        <w:ind w:left="1440"/>
        <w:rPr>
          <w:rFonts w:ascii="Times New Roman" w:hAnsi="Times New Roman"/>
        </w:rPr>
      </w:pPr>
      <w:r w:rsidRPr="00271236">
        <w:rPr>
          <w:rFonts w:ascii="Times New Roman" w:hAnsi="Times New Roman"/>
        </w:rPr>
        <w:t xml:space="preserve">The 60-day advance Federal Register Notice published on </w:t>
      </w:r>
      <w:r w:rsidR="007E0C1B">
        <w:rPr>
          <w:rFonts w:ascii="Times New Roman" w:hAnsi="Times New Roman"/>
        </w:rPr>
        <w:t>August 20, 2021</w:t>
      </w:r>
      <w:r w:rsidRPr="00271236">
        <w:rPr>
          <w:rFonts w:ascii="Times New Roman" w:hAnsi="Times New Roman"/>
        </w:rPr>
        <w:t xml:space="preserve">, at </w:t>
      </w:r>
    </w:p>
    <w:p w:rsidR="002E3CC0" w:rsidP="00DA2B6A" w:rsidRDefault="007E0C1B" w14:paraId="74AAFCA5" w14:textId="4BF9D991">
      <w:pPr>
        <w:ind w:left="1440"/>
        <w:rPr>
          <w:rFonts w:ascii="Times New Roman" w:hAnsi="Times New Roman"/>
        </w:rPr>
      </w:pPr>
      <w:r>
        <w:rPr>
          <w:rFonts w:ascii="Times New Roman" w:hAnsi="Times New Roman"/>
        </w:rPr>
        <w:t>86</w:t>
      </w:r>
      <w:r w:rsidRPr="00271236" w:rsidR="00271236">
        <w:rPr>
          <w:rFonts w:ascii="Times New Roman" w:hAnsi="Times New Roman"/>
        </w:rPr>
        <w:t xml:space="preserve"> FR </w:t>
      </w:r>
      <w:r>
        <w:rPr>
          <w:rFonts w:ascii="Times New Roman" w:hAnsi="Times New Roman"/>
        </w:rPr>
        <w:t>46897</w:t>
      </w:r>
      <w:r w:rsidRPr="00271236" w:rsidR="00271236">
        <w:rPr>
          <w:rFonts w:ascii="Times New Roman" w:hAnsi="Times New Roman"/>
        </w:rPr>
        <w:t>, and we received no public comments.  The 30-day FRN published on</w:t>
      </w:r>
      <w:r w:rsidR="00367B94">
        <w:rPr>
          <w:rFonts w:ascii="Times New Roman" w:hAnsi="Times New Roman"/>
        </w:rPr>
        <w:t xml:space="preserve"> October 26, 2021 </w:t>
      </w:r>
      <w:r w:rsidRPr="00271236" w:rsidR="00271236">
        <w:rPr>
          <w:rFonts w:ascii="Times New Roman" w:hAnsi="Times New Roman"/>
        </w:rPr>
        <w:t xml:space="preserve">at </w:t>
      </w:r>
      <w:r w:rsidR="00367B94">
        <w:rPr>
          <w:rFonts w:ascii="Times New Roman" w:hAnsi="Times New Roman"/>
        </w:rPr>
        <w:t>86 FR 59262</w:t>
      </w:r>
      <w:r w:rsidRPr="00271236" w:rsidR="00271236">
        <w:rPr>
          <w:rFonts w:ascii="Times New Roman" w:hAnsi="Times New Roman"/>
        </w:rPr>
        <w:t xml:space="preserve">.  If we receive any comments in response to this Notice, we will forward them to OMB.  </w:t>
      </w:r>
      <w:r w:rsidR="002E3CC0">
        <w:rPr>
          <w:rFonts w:ascii="Times New Roman" w:hAnsi="Times New Roman"/>
        </w:rPr>
        <w:t>We did not consult with the public in the</w:t>
      </w:r>
      <w:r w:rsidR="00271236">
        <w:rPr>
          <w:rFonts w:ascii="Times New Roman" w:hAnsi="Times New Roman"/>
        </w:rPr>
        <w:t xml:space="preserve"> </w:t>
      </w:r>
      <w:r w:rsidR="002E3CC0">
        <w:rPr>
          <w:rFonts w:ascii="Times New Roman" w:hAnsi="Times New Roman"/>
        </w:rPr>
        <w:t xml:space="preserve">maintenance of this </w:t>
      </w:r>
      <w:r w:rsidR="00DA2B6A">
        <w:rPr>
          <w:rFonts w:ascii="Times New Roman" w:hAnsi="Times New Roman"/>
        </w:rPr>
        <w:t>collection</w:t>
      </w:r>
      <w:r w:rsidR="002E3CC0">
        <w:rPr>
          <w:rFonts w:ascii="Times New Roman" w:hAnsi="Times New Roman"/>
        </w:rPr>
        <w:t>.</w:t>
      </w:r>
    </w:p>
    <w:p w:rsidRPr="00F56EB1" w:rsidR="00F56EB1" w:rsidP="00F56EB1" w:rsidRDefault="00F56EB1" w14:paraId="5EAB307D" w14:textId="77777777">
      <w:pPr>
        <w:ind w:left="720"/>
        <w:rPr>
          <w:rFonts w:ascii="Times New Roman" w:hAnsi="Times New Roman"/>
          <w:b/>
        </w:rPr>
      </w:pPr>
    </w:p>
    <w:p w:rsidR="00640A26" w:rsidP="00E15B34" w:rsidRDefault="00A45D82" w14:paraId="687010A3"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F56EB1" w:rsidP="00A45D82" w:rsidRDefault="00F56EB1" w14:paraId="2E3B2644" w14:textId="77777777">
      <w:pPr>
        <w:rPr>
          <w:rFonts w:ascii="Times New Roman" w:hAnsi="Times New Roman"/>
        </w:rPr>
      </w:pPr>
      <w:r>
        <w:rPr>
          <w:rFonts w:ascii="Times New Roman" w:hAnsi="Times New Roman"/>
        </w:rPr>
        <w:tab/>
      </w:r>
      <w:r w:rsidR="00DA2B6A">
        <w:rPr>
          <w:rFonts w:ascii="Times New Roman" w:hAnsi="Times New Roman"/>
        </w:rPr>
        <w:tab/>
      </w:r>
      <w:r w:rsidRPr="00F56EB1">
        <w:rPr>
          <w:rFonts w:ascii="Times New Roman" w:hAnsi="Times New Roman"/>
        </w:rPr>
        <w:t>SSA does not provide payments or gifts to the respondents.</w:t>
      </w:r>
    </w:p>
    <w:p w:rsidRPr="00BC7F42" w:rsidR="00F56EB1" w:rsidP="00A45D82" w:rsidRDefault="00F56EB1" w14:paraId="2E37CB82" w14:textId="77777777">
      <w:pPr>
        <w:rPr>
          <w:rFonts w:ascii="Times New Roman" w:hAnsi="Times New Roman"/>
        </w:rPr>
      </w:pPr>
    </w:p>
    <w:p w:rsidR="00795BAB" w:rsidP="00E15B34" w:rsidRDefault="00A45D82" w14:paraId="2D86F4AC"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F56EB1" w:rsidR="00F56EB1" w:rsidP="00DA2B6A" w:rsidRDefault="00F56EB1" w14:paraId="2D653809" w14:textId="77777777">
      <w:pPr>
        <w:ind w:left="1440"/>
        <w:rPr>
          <w:rFonts w:ascii="Times New Roman" w:hAnsi="Times New Roman"/>
        </w:rPr>
      </w:pPr>
      <w:r w:rsidRPr="00F56EB1">
        <w:rPr>
          <w:rFonts w:ascii="Times New Roman" w:hAnsi="Times New Roman"/>
        </w:rPr>
        <w:t xml:space="preserve">SSA protects and holds confidential the information it collects in accordance with </w:t>
      </w:r>
      <w:r w:rsidRPr="00020426">
        <w:rPr>
          <w:rFonts w:ascii="Times New Roman" w:hAnsi="Times New Roman"/>
          <w:i/>
          <w:iCs/>
        </w:rPr>
        <w:t>42 U.S.C. 1306, 20 CFR 401</w:t>
      </w:r>
      <w:r w:rsidRPr="00F56EB1">
        <w:rPr>
          <w:rFonts w:ascii="Times New Roman" w:hAnsi="Times New Roman"/>
          <w:i/>
        </w:rPr>
        <w:t xml:space="preserve"> </w:t>
      </w:r>
      <w:r w:rsidRPr="00F56EB1">
        <w:rPr>
          <w:rFonts w:ascii="Times New Roman" w:hAnsi="Times New Roman"/>
        </w:rPr>
        <w:t xml:space="preserve">and </w:t>
      </w:r>
      <w:r w:rsidRPr="00020426">
        <w:rPr>
          <w:rFonts w:ascii="Times New Roman" w:hAnsi="Times New Roman"/>
          <w:i/>
          <w:iCs/>
        </w:rPr>
        <w:t>402, 5 U.S.C. 552</w:t>
      </w:r>
      <w:r w:rsidRPr="00F56EB1">
        <w:rPr>
          <w:rFonts w:ascii="Times New Roman" w:hAnsi="Times New Roman"/>
        </w:rPr>
        <w:t xml:space="preserve"> (Freedom of Information Act), </w:t>
      </w:r>
      <w:r w:rsidRPr="00020426">
        <w:rPr>
          <w:rFonts w:ascii="Times New Roman" w:hAnsi="Times New Roman"/>
          <w:i/>
          <w:iCs/>
        </w:rPr>
        <w:t>5 U.S.C. 552a</w:t>
      </w:r>
      <w:r w:rsidRPr="00F56EB1">
        <w:rPr>
          <w:rFonts w:ascii="Times New Roman" w:hAnsi="Times New Roman"/>
        </w:rPr>
        <w:t xml:space="preserve"> (Privacy Act of 1974), and OMB Circular No. A-130.</w:t>
      </w:r>
    </w:p>
    <w:p w:rsidRPr="00BC7F42" w:rsidR="00A45D82" w:rsidP="00A45D82" w:rsidRDefault="00A45D82" w14:paraId="1F238B09" w14:textId="77777777">
      <w:pPr>
        <w:pStyle w:val="Header"/>
        <w:tabs>
          <w:tab w:val="clear" w:pos="4320"/>
          <w:tab w:val="clear" w:pos="8640"/>
        </w:tabs>
        <w:rPr>
          <w:rFonts w:ascii="Times New Roman" w:hAnsi="Times New Roman"/>
        </w:rPr>
      </w:pPr>
    </w:p>
    <w:p w:rsidR="00D0011E" w:rsidP="00E15B34" w:rsidRDefault="00A45D82" w14:paraId="3199A2F9"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F56EB1" w:rsidP="00F56EB1" w:rsidRDefault="00F56EB1" w14:paraId="6E0E07F7" w14:textId="30F6E48C">
      <w:pPr>
        <w:rPr>
          <w:rFonts w:ascii="Times New Roman" w:hAnsi="Times New Roman"/>
        </w:rPr>
      </w:pPr>
      <w:r>
        <w:rPr>
          <w:rFonts w:ascii="Times New Roman" w:hAnsi="Times New Roman"/>
        </w:rPr>
        <w:tab/>
      </w:r>
      <w:r w:rsidR="00DA2B6A">
        <w:rPr>
          <w:rFonts w:ascii="Times New Roman" w:hAnsi="Times New Roman"/>
        </w:rPr>
        <w:tab/>
      </w:r>
      <w:r w:rsidRPr="00F56EB1">
        <w:rPr>
          <w:rFonts w:ascii="Times New Roman" w:hAnsi="Times New Roman"/>
        </w:rPr>
        <w:t xml:space="preserve">The information collection does not contain any questions of a sensitive nature.  </w:t>
      </w:r>
    </w:p>
    <w:p w:rsidR="00E15B34" w:rsidP="00F56EB1" w:rsidRDefault="00E15B34" w14:paraId="0AAA9B71" w14:textId="4E19E397">
      <w:pPr>
        <w:rPr>
          <w:rFonts w:ascii="Times New Roman" w:hAnsi="Times New Roman"/>
        </w:rPr>
      </w:pPr>
    </w:p>
    <w:p w:rsidR="00E15B34" w:rsidP="00F56EB1" w:rsidRDefault="00E15B34" w14:paraId="523CF1C5" w14:textId="0713EB36">
      <w:pPr>
        <w:rPr>
          <w:rFonts w:ascii="Times New Roman" w:hAnsi="Times New Roman"/>
        </w:rPr>
      </w:pPr>
    </w:p>
    <w:p w:rsidR="00E15B34" w:rsidP="00F56EB1" w:rsidRDefault="00E15B34" w14:paraId="22332586" w14:textId="1F335448">
      <w:pPr>
        <w:rPr>
          <w:rFonts w:ascii="Times New Roman" w:hAnsi="Times New Roman"/>
        </w:rPr>
      </w:pPr>
    </w:p>
    <w:p w:rsidR="00E15B34" w:rsidP="00F56EB1" w:rsidRDefault="00E15B34" w14:paraId="0F351664" w14:textId="02A8B1B4">
      <w:pPr>
        <w:rPr>
          <w:rFonts w:ascii="Times New Roman" w:hAnsi="Times New Roman"/>
        </w:rPr>
      </w:pPr>
    </w:p>
    <w:p w:rsidR="00E15B34" w:rsidP="00F56EB1" w:rsidRDefault="00E15B34" w14:paraId="1CB602C9" w14:textId="77777777">
      <w:pPr>
        <w:rPr>
          <w:rFonts w:ascii="Times New Roman" w:hAnsi="Times New Roman"/>
        </w:rPr>
      </w:pPr>
    </w:p>
    <w:p w:rsidR="00E15B34" w:rsidP="00A45D82" w:rsidRDefault="00E15B34" w14:paraId="35D2836A" w14:textId="3F8BF22C">
      <w:pPr>
        <w:rPr>
          <w:rFonts w:ascii="Times New Roman" w:hAnsi="Times New Roman"/>
        </w:rPr>
      </w:pPr>
    </w:p>
    <w:tbl>
      <w:tblPr>
        <w:tblpPr w:leftFromText="180" w:rightFromText="180" w:vertAnchor="page" w:horzAnchor="margin" w:tblpXSpec="center" w:tblpY="1753"/>
        <w:tblW w:w="11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8"/>
        <w:gridCol w:w="1523"/>
        <w:gridCol w:w="1310"/>
        <w:gridCol w:w="1190"/>
        <w:gridCol w:w="1256"/>
        <w:gridCol w:w="1389"/>
        <w:gridCol w:w="1362"/>
        <w:gridCol w:w="1510"/>
      </w:tblGrid>
      <w:tr w:rsidRPr="00352628" w:rsidR="00E15B34" w:rsidTr="00E15B34" w14:paraId="4940A7EB" w14:textId="77777777">
        <w:trPr>
          <w:trHeight w:val="2139"/>
        </w:trPr>
        <w:tc>
          <w:tcPr>
            <w:tcW w:w="1888" w:type="dxa"/>
          </w:tcPr>
          <w:p w:rsidRPr="00352628" w:rsidR="00E15B34" w:rsidP="00E15B34" w:rsidRDefault="00E15B34" w14:paraId="6BB96359" w14:textId="77777777">
            <w:pPr>
              <w:widowControl/>
              <w:rPr>
                <w:rFonts w:ascii="Times New Roman" w:hAnsi="Times New Roman" w:eastAsia="Calibri"/>
                <w:b/>
                <w:snapToGrid/>
                <w:szCs w:val="22"/>
              </w:rPr>
            </w:pPr>
            <w:r w:rsidRPr="00352628">
              <w:rPr>
                <w:rFonts w:ascii="Times New Roman" w:hAnsi="Times New Roman" w:eastAsia="Calibri"/>
                <w:b/>
                <w:snapToGrid/>
                <w:szCs w:val="22"/>
              </w:rPr>
              <w:lastRenderedPageBreak/>
              <w:t>Modality of Completion</w:t>
            </w:r>
          </w:p>
        </w:tc>
        <w:tc>
          <w:tcPr>
            <w:tcW w:w="1523" w:type="dxa"/>
          </w:tcPr>
          <w:p w:rsidRPr="00352628" w:rsidR="00E15B34" w:rsidP="00E15B34" w:rsidRDefault="00E15B34" w14:paraId="42253D5A" w14:textId="77777777">
            <w:pPr>
              <w:widowControl/>
              <w:rPr>
                <w:rFonts w:ascii="Times New Roman" w:hAnsi="Times New Roman" w:eastAsia="Calibri"/>
                <w:b/>
                <w:snapToGrid/>
                <w:szCs w:val="22"/>
              </w:rPr>
            </w:pPr>
            <w:r w:rsidRPr="00352628">
              <w:rPr>
                <w:rFonts w:ascii="Times New Roman" w:hAnsi="Times New Roman" w:eastAsia="Calibri"/>
                <w:b/>
                <w:snapToGrid/>
                <w:szCs w:val="22"/>
              </w:rPr>
              <w:t>Number of Respondents</w:t>
            </w:r>
          </w:p>
        </w:tc>
        <w:tc>
          <w:tcPr>
            <w:tcW w:w="1310" w:type="dxa"/>
          </w:tcPr>
          <w:p w:rsidRPr="00352628" w:rsidR="00E15B34" w:rsidP="00E15B34" w:rsidRDefault="00E15B34" w14:paraId="29AF6E74" w14:textId="77777777">
            <w:pPr>
              <w:widowControl/>
              <w:rPr>
                <w:rFonts w:ascii="Times New Roman" w:hAnsi="Times New Roman" w:eastAsia="Calibri"/>
                <w:b/>
                <w:snapToGrid/>
                <w:szCs w:val="22"/>
              </w:rPr>
            </w:pPr>
            <w:r w:rsidRPr="00352628">
              <w:rPr>
                <w:rFonts w:ascii="Times New Roman" w:hAnsi="Times New Roman" w:eastAsia="Calibri"/>
                <w:b/>
                <w:snapToGrid/>
                <w:szCs w:val="22"/>
              </w:rPr>
              <w:t>Frequency of Response</w:t>
            </w:r>
          </w:p>
        </w:tc>
        <w:tc>
          <w:tcPr>
            <w:tcW w:w="1190" w:type="dxa"/>
          </w:tcPr>
          <w:p w:rsidRPr="00352628" w:rsidR="00E15B34" w:rsidP="00E15B34" w:rsidRDefault="00E15B34" w14:paraId="4A2D19ED" w14:textId="77777777">
            <w:pPr>
              <w:widowControl/>
              <w:rPr>
                <w:rFonts w:ascii="Times New Roman" w:hAnsi="Times New Roman" w:eastAsia="Calibri"/>
                <w:b/>
                <w:snapToGrid/>
                <w:szCs w:val="22"/>
              </w:rPr>
            </w:pPr>
            <w:r w:rsidRPr="00352628">
              <w:rPr>
                <w:rFonts w:ascii="Times New Roman" w:hAnsi="Times New Roman" w:eastAsia="Calibri"/>
                <w:b/>
                <w:snapToGrid/>
                <w:szCs w:val="22"/>
              </w:rPr>
              <w:t>Average Burden per Response (minutes)</w:t>
            </w:r>
          </w:p>
        </w:tc>
        <w:tc>
          <w:tcPr>
            <w:tcW w:w="1256" w:type="dxa"/>
          </w:tcPr>
          <w:p w:rsidRPr="00352628" w:rsidR="00E15B34" w:rsidP="00E15B34" w:rsidRDefault="00E15B34" w14:paraId="3F48855F" w14:textId="77777777">
            <w:pPr>
              <w:widowControl/>
              <w:rPr>
                <w:rFonts w:ascii="Times New Roman" w:hAnsi="Times New Roman" w:eastAsia="Calibri"/>
                <w:b/>
                <w:snapToGrid/>
                <w:szCs w:val="22"/>
              </w:rPr>
            </w:pPr>
            <w:r w:rsidRPr="00352628">
              <w:rPr>
                <w:rFonts w:ascii="Times New Roman" w:hAnsi="Times New Roman" w:eastAsia="Calibri"/>
                <w:b/>
                <w:snapToGrid/>
                <w:szCs w:val="22"/>
              </w:rPr>
              <w:t>Estimated Total Annual Burden (hours)</w:t>
            </w:r>
          </w:p>
        </w:tc>
        <w:tc>
          <w:tcPr>
            <w:tcW w:w="1389" w:type="dxa"/>
          </w:tcPr>
          <w:p w:rsidRPr="00352628" w:rsidR="00E15B34" w:rsidP="00E15B34" w:rsidRDefault="00E15B34" w14:paraId="5C31530B" w14:textId="77777777">
            <w:pPr>
              <w:widowControl/>
              <w:rPr>
                <w:rFonts w:ascii="Times New Roman" w:hAnsi="Times New Roman" w:eastAsia="Calibri"/>
                <w:b/>
                <w:snapToGrid/>
                <w:szCs w:val="22"/>
              </w:rPr>
            </w:pPr>
            <w:r w:rsidRPr="00352628">
              <w:rPr>
                <w:rFonts w:ascii="Times New Roman" w:hAnsi="Times New Roman" w:eastAsia="Calibri"/>
                <w:b/>
                <w:snapToGrid/>
                <w:szCs w:val="22"/>
              </w:rPr>
              <w:t>Average Theoretical Hourly Cost Amount (dollars)*</w:t>
            </w:r>
          </w:p>
        </w:tc>
        <w:tc>
          <w:tcPr>
            <w:tcW w:w="1362" w:type="dxa"/>
          </w:tcPr>
          <w:p w:rsidRPr="007E4C53" w:rsidR="00E15B34" w:rsidP="00E15B34" w:rsidRDefault="00E15B34" w14:paraId="6B4BBC6A" w14:textId="77777777">
            <w:pPr>
              <w:autoSpaceDE w:val="0"/>
              <w:autoSpaceDN w:val="0"/>
              <w:adjustRightInd w:val="0"/>
              <w:rPr>
                <w:rFonts w:ascii="Times New Roman" w:hAnsi="Times New Roman" w:eastAsia="Calibri"/>
                <w:b/>
              </w:rPr>
            </w:pPr>
            <w:r w:rsidRPr="007E4C53">
              <w:rPr>
                <w:rFonts w:ascii="Times New Roman" w:hAnsi="Times New Roman" w:eastAsia="Calibri"/>
                <w:b/>
              </w:rPr>
              <w:t xml:space="preserve">Average Wait Time in Field Office or for Teleservice Centers </w:t>
            </w:r>
          </w:p>
          <w:p w:rsidRPr="00BA1381" w:rsidR="00E15B34" w:rsidP="00E15B34" w:rsidRDefault="00E15B34" w14:paraId="53880C2B" w14:textId="77777777">
            <w:pPr>
              <w:widowControl/>
              <w:rPr>
                <w:rFonts w:ascii="Times New Roman" w:hAnsi="Times New Roman" w:eastAsia="Calibri"/>
                <w:b/>
                <w:snapToGrid/>
                <w:szCs w:val="22"/>
              </w:rPr>
            </w:pPr>
            <w:r w:rsidRPr="007E4C53">
              <w:rPr>
                <w:rFonts w:ascii="Times New Roman" w:hAnsi="Times New Roman" w:eastAsia="Calibri"/>
                <w:b/>
                <w:lang w:val="x-none"/>
              </w:rPr>
              <w:t>(minutes) **</w:t>
            </w:r>
          </w:p>
        </w:tc>
        <w:tc>
          <w:tcPr>
            <w:tcW w:w="1510" w:type="dxa"/>
          </w:tcPr>
          <w:p w:rsidRPr="00352628" w:rsidR="00E15B34" w:rsidP="00E15B34" w:rsidRDefault="00E15B34" w14:paraId="2547A98F" w14:textId="77777777">
            <w:pPr>
              <w:widowControl/>
              <w:rPr>
                <w:rFonts w:ascii="Times New Roman" w:hAnsi="Times New Roman" w:eastAsia="Calibri"/>
                <w:b/>
                <w:snapToGrid/>
                <w:szCs w:val="22"/>
              </w:rPr>
            </w:pPr>
            <w:r w:rsidRPr="00352628">
              <w:rPr>
                <w:rFonts w:ascii="Times New Roman" w:hAnsi="Times New Roman" w:eastAsia="Calibri"/>
                <w:b/>
                <w:snapToGrid/>
                <w:szCs w:val="22"/>
              </w:rPr>
              <w:t>Total Annual Opportunity Cost (dollars)**</w:t>
            </w:r>
            <w:r>
              <w:rPr>
                <w:rFonts w:ascii="Times New Roman" w:hAnsi="Times New Roman" w:eastAsia="Calibri"/>
                <w:b/>
                <w:snapToGrid/>
                <w:szCs w:val="22"/>
              </w:rPr>
              <w:t>*</w:t>
            </w:r>
          </w:p>
        </w:tc>
      </w:tr>
      <w:tr w:rsidRPr="00352628" w:rsidR="00E15B34" w:rsidTr="00E15B34" w14:paraId="050FFB51" w14:textId="77777777">
        <w:trPr>
          <w:trHeight w:val="629"/>
        </w:trPr>
        <w:tc>
          <w:tcPr>
            <w:tcW w:w="1888" w:type="dxa"/>
          </w:tcPr>
          <w:p w:rsidRPr="00352628" w:rsidR="00E15B34" w:rsidP="00E15B34" w:rsidRDefault="00E15B34" w14:paraId="5076BB76" w14:textId="77777777">
            <w:pPr>
              <w:widowControl/>
              <w:rPr>
                <w:rFonts w:ascii="Times New Roman" w:hAnsi="Times New Roman" w:eastAsia="Calibri"/>
                <w:snapToGrid/>
                <w:szCs w:val="22"/>
              </w:rPr>
            </w:pPr>
            <w:r w:rsidRPr="00352628">
              <w:rPr>
                <w:rFonts w:ascii="Times New Roman" w:hAnsi="Times New Roman" w:eastAsia="Calibri"/>
                <w:snapToGrid/>
                <w:szCs w:val="22"/>
              </w:rPr>
              <w:t>20 CFR 403.100-403.155</w:t>
            </w:r>
          </w:p>
        </w:tc>
        <w:tc>
          <w:tcPr>
            <w:tcW w:w="1523" w:type="dxa"/>
          </w:tcPr>
          <w:p w:rsidRPr="00352628" w:rsidR="00E15B34" w:rsidP="00E15B34" w:rsidRDefault="00E15B34" w14:paraId="76027694" w14:textId="77777777">
            <w:pPr>
              <w:widowControl/>
              <w:rPr>
                <w:rFonts w:ascii="Times New Roman" w:hAnsi="Times New Roman" w:eastAsia="Calibri"/>
                <w:snapToGrid/>
                <w:szCs w:val="22"/>
              </w:rPr>
            </w:pPr>
            <w:r w:rsidRPr="00352628">
              <w:rPr>
                <w:rFonts w:ascii="Times New Roman" w:hAnsi="Times New Roman" w:eastAsia="Calibri"/>
                <w:snapToGrid/>
                <w:szCs w:val="22"/>
              </w:rPr>
              <w:t>100</w:t>
            </w:r>
          </w:p>
        </w:tc>
        <w:tc>
          <w:tcPr>
            <w:tcW w:w="1310" w:type="dxa"/>
          </w:tcPr>
          <w:p w:rsidRPr="00352628" w:rsidR="00E15B34" w:rsidP="00E15B34" w:rsidRDefault="00E15B34" w14:paraId="578C0E5D" w14:textId="77777777">
            <w:pPr>
              <w:widowControl/>
              <w:rPr>
                <w:rFonts w:ascii="Times New Roman" w:hAnsi="Times New Roman" w:eastAsia="Calibri"/>
                <w:snapToGrid/>
                <w:szCs w:val="22"/>
              </w:rPr>
            </w:pPr>
            <w:r w:rsidRPr="00352628">
              <w:rPr>
                <w:rFonts w:ascii="Times New Roman" w:hAnsi="Times New Roman" w:eastAsia="Calibri"/>
                <w:snapToGrid/>
                <w:szCs w:val="22"/>
              </w:rPr>
              <w:t>1</w:t>
            </w:r>
          </w:p>
        </w:tc>
        <w:tc>
          <w:tcPr>
            <w:tcW w:w="1190" w:type="dxa"/>
          </w:tcPr>
          <w:p w:rsidRPr="00352628" w:rsidR="00E15B34" w:rsidP="00E15B34" w:rsidRDefault="00E15B34" w14:paraId="330FF6B4" w14:textId="77777777">
            <w:pPr>
              <w:widowControl/>
              <w:rPr>
                <w:rFonts w:ascii="Times New Roman" w:hAnsi="Times New Roman" w:eastAsia="Calibri"/>
                <w:snapToGrid/>
                <w:szCs w:val="22"/>
              </w:rPr>
            </w:pPr>
            <w:r w:rsidRPr="00352628">
              <w:rPr>
                <w:rFonts w:ascii="Times New Roman" w:hAnsi="Times New Roman" w:eastAsia="Calibri"/>
                <w:snapToGrid/>
                <w:szCs w:val="22"/>
              </w:rPr>
              <w:t>60</w:t>
            </w:r>
          </w:p>
        </w:tc>
        <w:tc>
          <w:tcPr>
            <w:tcW w:w="1256" w:type="dxa"/>
          </w:tcPr>
          <w:p w:rsidRPr="00352628" w:rsidR="00E15B34" w:rsidP="00E15B34" w:rsidRDefault="00E15B34" w14:paraId="067826F8" w14:textId="77777777">
            <w:pPr>
              <w:widowControl/>
              <w:rPr>
                <w:rFonts w:ascii="Times New Roman" w:hAnsi="Times New Roman" w:eastAsia="Calibri"/>
                <w:snapToGrid/>
                <w:szCs w:val="22"/>
              </w:rPr>
            </w:pPr>
            <w:r w:rsidRPr="00352628">
              <w:rPr>
                <w:rFonts w:ascii="Times New Roman" w:hAnsi="Times New Roman" w:eastAsia="Calibri"/>
                <w:snapToGrid/>
                <w:szCs w:val="22"/>
              </w:rPr>
              <w:t>100</w:t>
            </w:r>
          </w:p>
        </w:tc>
        <w:tc>
          <w:tcPr>
            <w:tcW w:w="1389" w:type="dxa"/>
          </w:tcPr>
          <w:p w:rsidRPr="00352628" w:rsidR="00E15B34" w:rsidP="00E15B34" w:rsidRDefault="00E15B34" w14:paraId="4A7BA7D3" w14:textId="7D343E88">
            <w:pPr>
              <w:widowControl/>
              <w:jc w:val="right"/>
              <w:rPr>
                <w:rFonts w:ascii="Times New Roman" w:hAnsi="Times New Roman" w:eastAsia="Calibri"/>
                <w:snapToGrid/>
                <w:szCs w:val="22"/>
              </w:rPr>
            </w:pPr>
            <w:r w:rsidRPr="00352628">
              <w:rPr>
                <w:rFonts w:ascii="Times New Roman" w:hAnsi="Times New Roman" w:eastAsia="Calibri"/>
                <w:snapToGrid/>
                <w:szCs w:val="22"/>
              </w:rPr>
              <w:t>$2</w:t>
            </w:r>
            <w:r w:rsidR="00020426">
              <w:rPr>
                <w:rFonts w:ascii="Times New Roman" w:hAnsi="Times New Roman" w:eastAsia="Calibri"/>
                <w:snapToGrid/>
                <w:szCs w:val="22"/>
              </w:rPr>
              <w:t>7</w:t>
            </w:r>
            <w:r w:rsidRPr="00352628">
              <w:rPr>
                <w:rFonts w:ascii="Times New Roman" w:hAnsi="Times New Roman" w:eastAsia="Calibri"/>
                <w:snapToGrid/>
                <w:szCs w:val="22"/>
              </w:rPr>
              <w:t>.</w:t>
            </w:r>
            <w:r w:rsidR="00020426">
              <w:rPr>
                <w:rFonts w:ascii="Times New Roman" w:hAnsi="Times New Roman" w:eastAsia="Calibri"/>
                <w:snapToGrid/>
                <w:szCs w:val="22"/>
              </w:rPr>
              <w:t>0</w:t>
            </w:r>
            <w:r w:rsidRPr="00352628">
              <w:rPr>
                <w:rFonts w:ascii="Times New Roman" w:hAnsi="Times New Roman" w:eastAsia="Calibri"/>
                <w:snapToGrid/>
                <w:szCs w:val="22"/>
              </w:rPr>
              <w:t>7*</w:t>
            </w:r>
          </w:p>
        </w:tc>
        <w:tc>
          <w:tcPr>
            <w:tcW w:w="1362" w:type="dxa"/>
          </w:tcPr>
          <w:p w:rsidRPr="00352628" w:rsidR="00E15B34" w:rsidP="00E15B34" w:rsidRDefault="00E15B34" w14:paraId="04E2182E" w14:textId="77777777">
            <w:pPr>
              <w:widowControl/>
              <w:jc w:val="right"/>
              <w:rPr>
                <w:rFonts w:ascii="Times New Roman" w:hAnsi="Times New Roman" w:eastAsia="Calibri"/>
                <w:snapToGrid/>
                <w:szCs w:val="22"/>
              </w:rPr>
            </w:pPr>
            <w:r>
              <w:rPr>
                <w:rFonts w:ascii="Times New Roman" w:hAnsi="Times New Roman" w:eastAsia="Calibri"/>
                <w:snapToGrid/>
                <w:szCs w:val="22"/>
              </w:rPr>
              <w:t>21**</w:t>
            </w:r>
          </w:p>
        </w:tc>
        <w:tc>
          <w:tcPr>
            <w:tcW w:w="1510" w:type="dxa"/>
          </w:tcPr>
          <w:p w:rsidRPr="00352628" w:rsidR="00E15B34" w:rsidP="00E15B34" w:rsidRDefault="00E15B34" w14:paraId="70C65DF9" w14:textId="0C21D45B">
            <w:pPr>
              <w:widowControl/>
              <w:jc w:val="right"/>
              <w:rPr>
                <w:rFonts w:ascii="Times New Roman" w:hAnsi="Times New Roman" w:eastAsia="Calibri"/>
                <w:snapToGrid/>
                <w:szCs w:val="22"/>
              </w:rPr>
            </w:pPr>
            <w:r w:rsidRPr="00352628">
              <w:rPr>
                <w:rFonts w:ascii="Times New Roman" w:hAnsi="Times New Roman" w:eastAsia="Calibri"/>
                <w:snapToGrid/>
                <w:szCs w:val="22"/>
              </w:rPr>
              <w:t>$</w:t>
            </w:r>
            <w:r w:rsidR="00020426">
              <w:rPr>
                <w:rFonts w:ascii="Times New Roman" w:hAnsi="Times New Roman" w:eastAsia="Calibri"/>
                <w:snapToGrid/>
                <w:szCs w:val="22"/>
              </w:rPr>
              <w:t>3,654</w:t>
            </w:r>
            <w:r w:rsidRPr="00352628">
              <w:rPr>
                <w:rFonts w:ascii="Times New Roman" w:hAnsi="Times New Roman" w:eastAsia="Calibri"/>
                <w:snapToGrid/>
                <w:szCs w:val="22"/>
              </w:rPr>
              <w:t>**</w:t>
            </w:r>
            <w:r>
              <w:rPr>
                <w:rFonts w:ascii="Times New Roman" w:hAnsi="Times New Roman" w:eastAsia="Calibri"/>
                <w:snapToGrid/>
                <w:szCs w:val="22"/>
              </w:rPr>
              <w:t>*</w:t>
            </w:r>
          </w:p>
        </w:tc>
      </w:tr>
    </w:tbl>
    <w:p w:rsidR="00E15B34" w:rsidP="00E15B34" w:rsidRDefault="00E15B34" w14:paraId="51290E98"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6A60D4" w:rsidP="00E15B34" w:rsidRDefault="006A60D4" w14:paraId="1EBFFB43" w14:textId="77777777">
      <w:pPr>
        <w:tabs>
          <w:tab w:val="left" w:pos="81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rPr>
      </w:pPr>
      <w:r w:rsidRPr="00DF699E">
        <w:rPr>
          <w:rFonts w:ascii="Times New Roman" w:hAnsi="Times New Roman"/>
        </w:rPr>
        <w:t xml:space="preserve">* </w:t>
      </w:r>
      <w:r w:rsidRPr="00DF699E">
        <w:rPr>
          <w:rFonts w:ascii="Times New Roman" w:hAnsi="Times New Roman" w:eastAsia="Calibri"/>
        </w:rPr>
        <w:t xml:space="preserve">We based </w:t>
      </w:r>
      <w:r w:rsidRPr="00DF699E">
        <w:rPr>
          <w:rFonts w:ascii="Times New Roman" w:hAnsi="Times New Roman"/>
        </w:rPr>
        <w:t xml:space="preserve">this figure on </w:t>
      </w:r>
      <w:r w:rsidRPr="00DF699E">
        <w:rPr>
          <w:rFonts w:ascii="Times New Roman" w:hAnsi="Times New Roman" w:eastAsia="Calibri"/>
        </w:rPr>
        <w:t xml:space="preserve">the </w:t>
      </w:r>
      <w:r w:rsidRPr="00DF699E">
        <w:rPr>
          <w:rFonts w:ascii="Times New Roman" w:hAnsi="Times New Roman"/>
        </w:rPr>
        <w:t>average U.S. worker’s hourly wages, as reported by Bureau of Labor Statistics data (</w:t>
      </w:r>
      <w:hyperlink w:history="1" w:anchor="00-0000" r:id="rId8">
        <w:r w:rsidRPr="00DF699E">
          <w:rPr>
            <w:rFonts w:ascii="Times New Roman" w:hAnsi="Times New Roman"/>
            <w:color w:val="0000FF"/>
            <w:u w:val="single"/>
          </w:rPr>
          <w:t>https://www.bls.gov/oes/current/oes_nat.htm#00-0000</w:t>
        </w:r>
      </w:hyperlink>
      <w:r w:rsidRPr="00DF699E">
        <w:rPr>
          <w:rFonts w:ascii="Times New Roman" w:hAnsi="Times New Roman"/>
        </w:rPr>
        <w:t>).</w:t>
      </w:r>
    </w:p>
    <w:p w:rsidR="00BA1381" w:rsidP="006A60D4" w:rsidRDefault="00BA1381" w14:paraId="4616EF37" w14:textId="77777777">
      <w:pPr>
        <w:tabs>
          <w:tab w:val="left" w:pos="916"/>
          <w:tab w:val="left" w:pos="108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rPr>
      </w:pPr>
    </w:p>
    <w:p w:rsidRPr="00BA1381" w:rsidR="00BA1381" w:rsidP="00CD3E65" w:rsidRDefault="00BA1381" w14:paraId="78E3DB75" w14:textId="4B661561">
      <w:pPr>
        <w:ind w:left="1440"/>
        <w:rPr>
          <w:rFonts w:ascii="Times New Roman" w:hAnsi="Times New Roman"/>
        </w:rPr>
      </w:pPr>
      <w:r w:rsidRPr="00BA1381">
        <w:rPr>
          <w:rFonts w:ascii="Times New Roman" w:hAnsi="Times New Roman"/>
        </w:rPr>
        <w:t>** We based this figure on averaging the average FY 2021 wait times for</w:t>
      </w:r>
      <w:r w:rsidR="00020426">
        <w:rPr>
          <w:rFonts w:ascii="Times New Roman" w:hAnsi="Times New Roman"/>
        </w:rPr>
        <w:t xml:space="preserve"> field office and</w:t>
      </w:r>
      <w:r w:rsidRPr="00BA1381">
        <w:rPr>
          <w:rFonts w:ascii="Times New Roman" w:hAnsi="Times New Roman"/>
        </w:rPr>
        <w:t xml:space="preserve"> teleservice centers, based on SSA’s current management information data.</w:t>
      </w:r>
    </w:p>
    <w:p w:rsidR="003B15EC" w:rsidP="004509AD" w:rsidRDefault="003B15EC" w14:paraId="58670679" w14:textId="77777777">
      <w:pPr>
        <w:tabs>
          <w:tab w:val="left" w:pos="360"/>
        </w:tabs>
        <w:ind w:left="720"/>
        <w:rPr>
          <w:rFonts w:ascii="Times New Roman" w:hAnsi="Times New Roman"/>
          <w:b/>
          <w:u w:val="single"/>
        </w:rPr>
      </w:pPr>
    </w:p>
    <w:p w:rsidR="00352628" w:rsidP="00CD3E65" w:rsidRDefault="00352628" w14:paraId="03702A40" w14:textId="77777777">
      <w:pPr>
        <w:widowControl/>
        <w:ind w:left="1440"/>
        <w:rPr>
          <w:rFonts w:ascii="Times New Roman" w:hAnsi="Times New Roman" w:eastAsia="Calibri"/>
          <w:snapToGrid/>
          <w:szCs w:val="22"/>
        </w:rPr>
      </w:pPr>
      <w:r w:rsidRPr="00352628">
        <w:rPr>
          <w:rFonts w:ascii="Times New Roman" w:hAnsi="Times New Roman" w:eastAsia="Calibri"/>
          <w:snapToGrid/>
          <w:szCs w:val="22"/>
        </w:rPr>
        <w:t>**</w:t>
      </w:r>
      <w:r w:rsidR="00672989">
        <w:rPr>
          <w:rFonts w:ascii="Times New Roman" w:hAnsi="Times New Roman" w:eastAsia="Calibri"/>
          <w:snapToGrid/>
          <w:szCs w:val="22"/>
        </w:rPr>
        <w:t>*</w:t>
      </w:r>
      <w:r w:rsidRPr="00352628">
        <w:rPr>
          <w:rFonts w:ascii="Times New Roman" w:hAnsi="Times New Roman" w:eastAsia="Calibri"/>
          <w:snapToGrid/>
          <w:szCs w:val="22"/>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52628">
        <w:rPr>
          <w:rFonts w:ascii="Times New Roman" w:hAnsi="Times New Roman" w:eastAsia="Calibri"/>
          <w:b/>
          <w:snapToGrid/>
          <w:szCs w:val="22"/>
          <w:u w:val="single"/>
        </w:rPr>
        <w:t>There is no actual charge to respondents to complete the application</w:t>
      </w:r>
      <w:r w:rsidRPr="00352628">
        <w:rPr>
          <w:rFonts w:ascii="Times New Roman" w:hAnsi="Times New Roman" w:eastAsia="Calibri"/>
          <w:snapToGrid/>
          <w:szCs w:val="22"/>
        </w:rPr>
        <w:t>.</w:t>
      </w:r>
    </w:p>
    <w:p w:rsidR="00672989" w:rsidP="00352628" w:rsidRDefault="00672989" w14:paraId="01118802" w14:textId="77777777">
      <w:pPr>
        <w:widowControl/>
        <w:ind w:left="1080"/>
        <w:rPr>
          <w:rFonts w:ascii="Times New Roman" w:hAnsi="Times New Roman" w:eastAsia="Calibri"/>
          <w:snapToGrid/>
          <w:szCs w:val="22"/>
        </w:rPr>
      </w:pPr>
    </w:p>
    <w:p w:rsidR="00672989" w:rsidP="00672989" w:rsidRDefault="00672989" w14:paraId="189B7564" w14:textId="77777777">
      <w:pPr>
        <w:ind w:left="1710"/>
      </w:pPr>
      <w:r>
        <w:t xml:space="preserve"> </w:t>
      </w:r>
    </w:p>
    <w:tbl>
      <w:tblPr>
        <w:tblW w:w="8460"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1530"/>
        <w:gridCol w:w="1710"/>
        <w:gridCol w:w="1637"/>
        <w:gridCol w:w="1603"/>
      </w:tblGrid>
      <w:tr w:rsidRPr="00672989" w:rsidR="00672989" w:rsidTr="007E4C53" w14:paraId="0795EE62" w14:textId="77777777">
        <w:trPr>
          <w:trHeight w:val="1682"/>
        </w:trPr>
        <w:tc>
          <w:tcPr>
            <w:tcW w:w="1980" w:type="dxa"/>
            <w:shd w:val="clear" w:color="auto" w:fill="auto"/>
          </w:tcPr>
          <w:p w:rsidRPr="007E4C53" w:rsidR="007E4C53" w:rsidP="007E4C53" w:rsidRDefault="00672989" w14:paraId="1EF34DCE" w14:textId="77777777">
            <w:pPr>
              <w:autoSpaceDE w:val="0"/>
              <w:autoSpaceDN w:val="0"/>
              <w:adjustRightInd w:val="0"/>
              <w:rPr>
                <w:rFonts w:ascii="Times New Roman" w:hAnsi="Times New Roman" w:eastAsia="Calibri"/>
                <w:b/>
              </w:rPr>
            </w:pPr>
            <w:r w:rsidRPr="00672989">
              <w:rPr>
                <w:rFonts w:ascii="Times New Roman" w:hAnsi="Times New Roman"/>
              </w:rPr>
              <w:t>Total Number of Respondents Who Visit a Field Office</w:t>
            </w:r>
            <w:r w:rsidR="007E4C53">
              <w:rPr>
                <w:rFonts w:ascii="Times New Roman" w:hAnsi="Times New Roman"/>
              </w:rPr>
              <w:t xml:space="preserve"> or for </w:t>
            </w:r>
            <w:r w:rsidRPr="007E4C53" w:rsidR="007E4C53">
              <w:rPr>
                <w:rFonts w:ascii="Times New Roman" w:hAnsi="Times New Roman" w:eastAsia="Calibri"/>
                <w:bCs/>
              </w:rPr>
              <w:t>Teleservice Centers</w:t>
            </w:r>
            <w:r w:rsidRPr="007E4C53" w:rsidR="007E4C53">
              <w:rPr>
                <w:rFonts w:ascii="Times New Roman" w:hAnsi="Times New Roman" w:eastAsia="Calibri"/>
                <w:b/>
              </w:rPr>
              <w:t xml:space="preserve"> </w:t>
            </w:r>
          </w:p>
          <w:p w:rsidRPr="00672989" w:rsidR="00672989" w:rsidP="00B91CC4" w:rsidRDefault="00672989" w14:paraId="76FC99F5" w14:textId="77777777">
            <w:pPr>
              <w:rPr>
                <w:rFonts w:ascii="Times New Roman" w:hAnsi="Times New Roman"/>
              </w:rPr>
            </w:pPr>
          </w:p>
        </w:tc>
        <w:tc>
          <w:tcPr>
            <w:tcW w:w="1530" w:type="dxa"/>
            <w:shd w:val="clear" w:color="auto" w:fill="auto"/>
          </w:tcPr>
          <w:p w:rsidRPr="00672989" w:rsidR="00672989" w:rsidP="00B91CC4" w:rsidRDefault="00672989" w14:paraId="53AB4473" w14:textId="77777777">
            <w:pPr>
              <w:rPr>
                <w:rFonts w:ascii="Times New Roman" w:hAnsi="Times New Roman"/>
              </w:rPr>
            </w:pPr>
            <w:r w:rsidRPr="00672989">
              <w:rPr>
                <w:rFonts w:ascii="Times New Roman" w:hAnsi="Times New Roman"/>
              </w:rPr>
              <w:t>Frequency of Response</w:t>
            </w:r>
          </w:p>
        </w:tc>
        <w:tc>
          <w:tcPr>
            <w:tcW w:w="1710" w:type="dxa"/>
            <w:shd w:val="clear" w:color="auto" w:fill="auto"/>
          </w:tcPr>
          <w:p w:rsidRPr="00672989" w:rsidR="00672989" w:rsidP="00B91CC4" w:rsidRDefault="00672989" w14:paraId="6C6DDC59" w14:textId="77777777">
            <w:pPr>
              <w:rPr>
                <w:rFonts w:ascii="Times New Roman" w:hAnsi="Times New Roman"/>
              </w:rPr>
            </w:pPr>
            <w:r w:rsidRPr="00672989">
              <w:rPr>
                <w:rFonts w:ascii="Times New Roman" w:hAnsi="Times New Roman"/>
              </w:rPr>
              <w:t>Average One-Way Travel Time to a Field Office (minutes)</w:t>
            </w:r>
          </w:p>
        </w:tc>
        <w:tc>
          <w:tcPr>
            <w:tcW w:w="1637" w:type="dxa"/>
            <w:shd w:val="clear" w:color="auto" w:fill="auto"/>
          </w:tcPr>
          <w:p w:rsidRPr="00672989" w:rsidR="00672989" w:rsidP="00B91CC4" w:rsidRDefault="00672989" w14:paraId="4DAB23BD" w14:textId="77777777">
            <w:pPr>
              <w:rPr>
                <w:rFonts w:ascii="Times New Roman" w:hAnsi="Times New Roman"/>
              </w:rPr>
            </w:pPr>
            <w:r w:rsidRPr="00672989">
              <w:rPr>
                <w:rFonts w:ascii="Times New Roman" w:hAnsi="Times New Roman"/>
              </w:rPr>
              <w:t>Estimated Total Travel Time to a Field Office (hours)</w:t>
            </w:r>
          </w:p>
        </w:tc>
        <w:tc>
          <w:tcPr>
            <w:tcW w:w="1603" w:type="dxa"/>
            <w:shd w:val="clear" w:color="auto" w:fill="auto"/>
          </w:tcPr>
          <w:p w:rsidRPr="00672989" w:rsidR="00672989" w:rsidP="00B91CC4" w:rsidRDefault="00672989" w14:paraId="3986E898" w14:textId="77777777">
            <w:pPr>
              <w:rPr>
                <w:rFonts w:ascii="Times New Roman" w:hAnsi="Times New Roman"/>
              </w:rPr>
            </w:pPr>
            <w:r w:rsidRPr="00672989">
              <w:rPr>
                <w:rFonts w:ascii="Times New Roman" w:hAnsi="Times New Roman"/>
              </w:rPr>
              <w:t>Total Annual Opportunity Cost for Travel Time (dollars)****</w:t>
            </w:r>
          </w:p>
        </w:tc>
      </w:tr>
      <w:tr w:rsidRPr="00672989" w:rsidR="00672989" w:rsidTr="00672989" w14:paraId="625F45AD" w14:textId="77777777">
        <w:tc>
          <w:tcPr>
            <w:tcW w:w="1980" w:type="dxa"/>
            <w:shd w:val="clear" w:color="auto" w:fill="auto"/>
          </w:tcPr>
          <w:p w:rsidRPr="00672989" w:rsidR="00672989" w:rsidP="00672989" w:rsidRDefault="00672989" w14:paraId="1DE6CCF1" w14:textId="77777777">
            <w:pPr>
              <w:rPr>
                <w:rFonts w:ascii="Times New Roman" w:hAnsi="Times New Roman"/>
              </w:rPr>
            </w:pPr>
            <w:r>
              <w:rPr>
                <w:rFonts w:ascii="Times New Roman" w:hAnsi="Times New Roman"/>
              </w:rPr>
              <w:t>100</w:t>
            </w:r>
          </w:p>
        </w:tc>
        <w:tc>
          <w:tcPr>
            <w:tcW w:w="1530" w:type="dxa"/>
            <w:shd w:val="clear" w:color="auto" w:fill="auto"/>
          </w:tcPr>
          <w:p w:rsidRPr="00672989" w:rsidR="00672989" w:rsidP="00B91CC4" w:rsidRDefault="00672989" w14:paraId="3A50FAE4" w14:textId="77777777">
            <w:pPr>
              <w:jc w:val="right"/>
              <w:rPr>
                <w:rFonts w:ascii="Times New Roman" w:hAnsi="Times New Roman"/>
              </w:rPr>
            </w:pPr>
            <w:r w:rsidRPr="00672989">
              <w:rPr>
                <w:rFonts w:ascii="Times New Roman" w:hAnsi="Times New Roman"/>
              </w:rPr>
              <w:t>1</w:t>
            </w:r>
          </w:p>
        </w:tc>
        <w:tc>
          <w:tcPr>
            <w:tcW w:w="1710" w:type="dxa"/>
            <w:shd w:val="clear" w:color="auto" w:fill="auto"/>
          </w:tcPr>
          <w:p w:rsidRPr="00672989" w:rsidR="00672989" w:rsidP="00B91CC4" w:rsidRDefault="00672989" w14:paraId="4FB5BF4A" w14:textId="77777777">
            <w:pPr>
              <w:jc w:val="right"/>
              <w:rPr>
                <w:rFonts w:ascii="Times New Roman" w:hAnsi="Times New Roman"/>
              </w:rPr>
            </w:pPr>
            <w:r w:rsidRPr="00672989">
              <w:rPr>
                <w:rFonts w:ascii="Times New Roman" w:hAnsi="Times New Roman"/>
              </w:rPr>
              <w:t>30</w:t>
            </w:r>
          </w:p>
        </w:tc>
        <w:tc>
          <w:tcPr>
            <w:tcW w:w="1637" w:type="dxa"/>
            <w:shd w:val="clear" w:color="auto" w:fill="auto"/>
          </w:tcPr>
          <w:p w:rsidRPr="00672989" w:rsidR="00672989" w:rsidP="00B91CC4" w:rsidRDefault="007E4C53" w14:paraId="0A785825" w14:textId="77777777">
            <w:pPr>
              <w:jc w:val="right"/>
              <w:rPr>
                <w:rFonts w:ascii="Times New Roman" w:hAnsi="Times New Roman"/>
              </w:rPr>
            </w:pPr>
            <w:r>
              <w:rPr>
                <w:rFonts w:ascii="Times New Roman" w:hAnsi="Times New Roman"/>
              </w:rPr>
              <w:t>50</w:t>
            </w:r>
          </w:p>
        </w:tc>
        <w:tc>
          <w:tcPr>
            <w:tcW w:w="1603" w:type="dxa"/>
            <w:shd w:val="clear" w:color="auto" w:fill="auto"/>
          </w:tcPr>
          <w:p w:rsidRPr="00672989" w:rsidR="00672989" w:rsidP="00B91CC4" w:rsidRDefault="00672989" w14:paraId="45DA4A40" w14:textId="0BDBE193">
            <w:pPr>
              <w:jc w:val="right"/>
              <w:rPr>
                <w:rFonts w:ascii="Times New Roman" w:hAnsi="Times New Roman"/>
              </w:rPr>
            </w:pPr>
            <w:r w:rsidRPr="00672989">
              <w:rPr>
                <w:rFonts w:ascii="Times New Roman" w:hAnsi="Times New Roman"/>
              </w:rPr>
              <w:t>$</w:t>
            </w:r>
            <w:r w:rsidR="00341E99">
              <w:rPr>
                <w:rFonts w:ascii="Times New Roman" w:hAnsi="Times New Roman"/>
              </w:rPr>
              <w:t>1,354</w:t>
            </w:r>
          </w:p>
        </w:tc>
      </w:tr>
    </w:tbl>
    <w:p w:rsidR="00672989" w:rsidP="00672989" w:rsidRDefault="00672989" w14:paraId="7C00E22C" w14:textId="77777777">
      <w:pPr>
        <w:ind w:left="1440"/>
      </w:pPr>
    </w:p>
    <w:p w:rsidRPr="00672989" w:rsidR="00672989" w:rsidP="00CD3E65" w:rsidRDefault="00672989" w14:paraId="48F1BA81" w14:textId="77777777">
      <w:pPr>
        <w:ind w:left="1440"/>
        <w:rPr>
          <w:rFonts w:ascii="Times New Roman" w:hAnsi="Times New Roman"/>
        </w:rPr>
      </w:pPr>
      <w:r w:rsidRPr="00672989">
        <w:rPr>
          <w:rFonts w:ascii="Times New Roman" w:hAnsi="Times New Roman"/>
        </w:rPr>
        <w:t xml:space="preserve">****We based this dollar amount on the Average Theoretical Hourly Cost Amount in dollars shown on the burden chart above.  </w:t>
      </w:r>
    </w:p>
    <w:p w:rsidRPr="00672989" w:rsidR="00672989" w:rsidP="00CD3E65" w:rsidRDefault="00672989" w14:paraId="7C8CBEE7" w14:textId="77777777">
      <w:pPr>
        <w:ind w:left="1440"/>
        <w:rPr>
          <w:rFonts w:ascii="Times New Roman" w:hAnsi="Times New Roman"/>
        </w:rPr>
      </w:pPr>
      <w:r w:rsidRPr="00672989">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w:t>
      </w:r>
      <w:r w:rsidRPr="00672989">
        <w:rPr>
          <w:rFonts w:ascii="Times New Roman" w:hAnsi="Times New Roman"/>
        </w:rPr>
        <w:lastRenderedPageBreak/>
        <w:t>mode of travel and, therefore, travel times vary widely dependent on region, mode of travel, and actual proximity to a field office.</w:t>
      </w:r>
    </w:p>
    <w:p w:rsidRPr="00672989" w:rsidR="00672989" w:rsidP="00672989" w:rsidRDefault="00672989" w14:paraId="3E848E2B" w14:textId="77777777">
      <w:pPr>
        <w:ind w:left="1440"/>
        <w:rPr>
          <w:rFonts w:ascii="Times New Roman" w:hAnsi="Times New Roman"/>
        </w:rPr>
      </w:pPr>
    </w:p>
    <w:p w:rsidRPr="007E4C53" w:rsidR="00672989" w:rsidP="00CD3E65" w:rsidRDefault="00672989" w14:paraId="7E4ED0F9" w14:textId="77777777">
      <w:pPr>
        <w:ind w:left="1440"/>
        <w:rPr>
          <w:rFonts w:ascii="Times New Roman" w:hAnsi="Times New Roman"/>
        </w:rPr>
      </w:pPr>
      <w:r w:rsidRPr="00672989">
        <w:rPr>
          <w:rFonts w:ascii="Times New Roman" w:hAnsi="Times New Roman"/>
        </w:rPr>
        <w:t>NOTE:  We included the total opportunity cost estimate from this chart in our calculations when showing the total time and opportunity cost</w:t>
      </w:r>
      <w:r w:rsidR="007E4C53">
        <w:t xml:space="preserve"> </w:t>
      </w:r>
      <w:r w:rsidRPr="007E4C53">
        <w:rPr>
          <w:rFonts w:ascii="Times New Roman" w:hAnsi="Times New Roman"/>
        </w:rPr>
        <w:t>estimates in the paragraph below.</w:t>
      </w:r>
    </w:p>
    <w:p w:rsidR="00672989" w:rsidP="00CD3E65" w:rsidRDefault="00672989" w14:paraId="30B3D9FE" w14:textId="77777777">
      <w:pPr>
        <w:ind w:left="1440"/>
      </w:pPr>
    </w:p>
    <w:p w:rsidRPr="00352628" w:rsidR="00672989" w:rsidP="00CD3E65" w:rsidRDefault="00672989" w14:paraId="7EBEB0B9" w14:textId="3004250D">
      <w:pPr>
        <w:widowControl/>
        <w:ind w:left="1440"/>
        <w:rPr>
          <w:rFonts w:ascii="Times New Roman" w:hAnsi="Times New Roman" w:eastAsia="Calibri"/>
          <w:snapToGrid/>
          <w:szCs w:val="22"/>
        </w:rPr>
      </w:pPr>
      <w:bookmarkStart w:name="_Hlk75507070" w:id="0"/>
      <w:r w:rsidRPr="000C5FF3">
        <w:rPr>
          <w:rFonts w:ascii="Times New Roman" w:hAnsi="Times New Roman" w:eastAsia="Calibri"/>
          <w:color w:val="000000"/>
        </w:rPr>
        <w:t>We base our burden estimates on current management information data, which</w:t>
      </w:r>
      <w:r w:rsidR="007E4C53">
        <w:rPr>
          <w:rFonts w:ascii="Times New Roman" w:hAnsi="Times New Roman" w:eastAsia="Calibri"/>
          <w:color w:val="000000"/>
        </w:rPr>
        <w:t xml:space="preserve"> </w:t>
      </w:r>
      <w:r w:rsidRPr="000C5FF3">
        <w:rPr>
          <w:rFonts w:ascii="Times New Roman" w:hAnsi="Times New Roman" w:eastAsia="Calibri"/>
          <w:color w:val="000000"/>
        </w:rPr>
        <w:t xml:space="preserve">includes data from actual interviews, as well as from years of conducting this information collection.  Per our management information data, we believe that the average time in minutes listed in the chart above accurately shows the average burden per response for reading the </w:t>
      </w:r>
      <w:r w:rsidRPr="000C5FF3">
        <w:rPr>
          <w:rFonts w:ascii="Times New Roman" w:hAnsi="Times New Roman" w:eastAsia="Calibri"/>
        </w:rPr>
        <w:t>instructions, gathering the facts, and answering the questions</w:t>
      </w:r>
      <w:r w:rsidRPr="000C5FF3">
        <w:rPr>
          <w:rFonts w:ascii="Times New Roman" w:hAnsi="Times New Roman" w:eastAsia="Calibri"/>
          <w:color w:val="000000"/>
        </w:rPr>
        <w:t>.  Based on our current management information data, the current burden information we provided is accurate</w:t>
      </w:r>
      <w:bookmarkEnd w:id="0"/>
      <w:r w:rsidRPr="000C5FF3">
        <w:rPr>
          <w:rFonts w:ascii="Times New Roman" w:hAnsi="Times New Roman" w:eastAsia="Calibri"/>
          <w:color w:val="000000"/>
        </w:rPr>
        <w:t xml:space="preserve">.  </w:t>
      </w:r>
      <w:r w:rsidRPr="000C5FF3">
        <w:rPr>
          <w:rFonts w:ascii="Times New Roman" w:hAnsi="Times New Roman"/>
        </w:rPr>
        <w:t xml:space="preserve">The total burden for this ICR is </w:t>
      </w:r>
      <w:r w:rsidRPr="007E4C53" w:rsidR="007E4C53">
        <w:rPr>
          <w:rFonts w:ascii="Times New Roman" w:hAnsi="Times New Roman"/>
          <w:b/>
          <w:bCs/>
        </w:rPr>
        <w:t>100</w:t>
      </w:r>
      <w:r w:rsidRPr="000C5FF3">
        <w:rPr>
          <w:rFonts w:ascii="Times New Roman" w:hAnsi="Times New Roman"/>
          <w:b/>
        </w:rPr>
        <w:t xml:space="preserve"> </w:t>
      </w:r>
      <w:r w:rsidRPr="000C5FF3">
        <w:rPr>
          <w:rFonts w:ascii="Times New Roman" w:hAnsi="Times New Roman"/>
        </w:rPr>
        <w:t xml:space="preserve">burden hours (reflecting SSA management information data), which results in an associated theoretical (not actual) opportunity cost financial burden of </w:t>
      </w:r>
      <w:r w:rsidR="007E4C53">
        <w:rPr>
          <w:rFonts w:ascii="Times New Roman" w:hAnsi="Times New Roman"/>
          <w:b/>
        </w:rPr>
        <w:t>$</w:t>
      </w:r>
      <w:r w:rsidR="00341E99">
        <w:rPr>
          <w:rFonts w:ascii="Times New Roman" w:hAnsi="Times New Roman"/>
          <w:b/>
        </w:rPr>
        <w:t>5,008</w:t>
      </w:r>
      <w:r w:rsidRPr="000C5FF3">
        <w:rPr>
          <w:rFonts w:ascii="Times New Roman" w:hAnsi="Times New Roman"/>
        </w:rPr>
        <w:t xml:space="preserve">  SSA does not charge respondents to complete our applications</w:t>
      </w:r>
    </w:p>
    <w:p w:rsidR="00DA2B6A" w:rsidP="00DA2B6A" w:rsidRDefault="00DA2B6A" w14:paraId="748EA609" w14:textId="77777777">
      <w:pPr>
        <w:widowControl/>
        <w:rPr>
          <w:rFonts w:ascii="Times New Roman" w:hAnsi="Times New Roman" w:eastAsia="Calibri"/>
          <w:snapToGrid/>
          <w:szCs w:val="22"/>
        </w:rPr>
      </w:pPr>
    </w:p>
    <w:p w:rsidRPr="00BC7F42" w:rsidR="00A45D82" w:rsidP="00E15B34" w:rsidRDefault="003776A7" w14:paraId="1F8498CA" w14:textId="77777777">
      <w:pPr>
        <w:widowControl/>
        <w:ind w:left="1440" w:hanging="720"/>
        <w:rPr>
          <w:rFonts w:ascii="Times New Roman" w:hAnsi="Times New Roman"/>
        </w:rPr>
      </w:pPr>
      <w:r>
        <w:rPr>
          <w:rFonts w:ascii="Times New Roman" w:hAnsi="Times New Roman" w:eastAsia="Calibri"/>
          <w:snapToGrid/>
          <w:szCs w:val="22"/>
        </w:rPr>
        <w:t>13.</w:t>
      </w:r>
      <w:r>
        <w:rPr>
          <w:rFonts w:ascii="Times New Roman" w:hAnsi="Times New Roman" w:eastAsia="Calibri"/>
          <w:snapToGrid/>
          <w:szCs w:val="22"/>
        </w:rPr>
        <w:tab/>
      </w:r>
      <w:r w:rsidRPr="00BC7F42" w:rsidR="00A45D82">
        <w:rPr>
          <w:rFonts w:ascii="Times New Roman" w:hAnsi="Times New Roman"/>
          <w:b/>
        </w:rPr>
        <w:t>Annual</w:t>
      </w:r>
      <w:r w:rsidRPr="00BC7F42" w:rsidR="00A45D82">
        <w:rPr>
          <w:rFonts w:ascii="Times New Roman" w:hAnsi="Times New Roman"/>
        </w:rPr>
        <w:t xml:space="preserve"> </w:t>
      </w:r>
      <w:r w:rsidRPr="00BC7F42" w:rsidR="00A45D82">
        <w:rPr>
          <w:rFonts w:ascii="Times New Roman" w:hAnsi="Times New Roman"/>
          <w:b/>
        </w:rPr>
        <w:t>Cost to the Respondents (Other)</w:t>
      </w:r>
      <w:r w:rsidRPr="00BC7F42" w:rsidR="00A45D82">
        <w:rPr>
          <w:rFonts w:ascii="Times New Roman" w:hAnsi="Times New Roman"/>
        </w:rPr>
        <w:t xml:space="preserve"> </w:t>
      </w:r>
    </w:p>
    <w:p w:rsidRPr="00AF6B13" w:rsidR="00AF6B13" w:rsidP="00CD3E65" w:rsidRDefault="00AF6B13" w14:paraId="3CE6380D" w14:textId="77777777">
      <w:pPr>
        <w:ind w:left="720" w:firstLine="720"/>
        <w:rPr>
          <w:rFonts w:ascii="Times New Roman" w:hAnsi="Times New Roman"/>
        </w:rPr>
      </w:pPr>
      <w:r w:rsidRPr="00AF6B13">
        <w:rPr>
          <w:rFonts w:ascii="Times New Roman" w:hAnsi="Times New Roman"/>
        </w:rPr>
        <w:t>This collection does not impose a known cost burden to the respondents.</w:t>
      </w:r>
    </w:p>
    <w:p w:rsidRPr="00BC7F42" w:rsidR="00A45D82" w:rsidP="00AF6B13" w:rsidRDefault="00A45D82" w14:paraId="67012D2D" w14:textId="77777777">
      <w:pPr>
        <w:ind w:firstLine="720"/>
        <w:rPr>
          <w:rFonts w:ascii="Times New Roman" w:hAnsi="Times New Roman"/>
        </w:rPr>
      </w:pPr>
    </w:p>
    <w:p w:rsidRPr="00121032" w:rsidR="00121032" w:rsidP="00E15B34" w:rsidRDefault="00CD3E65" w14:paraId="332F0B1D" w14:textId="77777777">
      <w:pPr>
        <w:numPr>
          <w:ilvl w:val="0"/>
          <w:numId w:val="3"/>
        </w:numPr>
        <w:tabs>
          <w:tab w:val="left" w:pos="810"/>
          <w:tab w:val="left" w:pos="1170"/>
          <w:tab w:val="left" w:pos="1440"/>
        </w:tabs>
        <w:ind w:left="720" w:firstLine="0"/>
        <w:rPr>
          <w:rFonts w:ascii="Times New Roman" w:hAnsi="Times New Roman"/>
        </w:rPr>
      </w:pPr>
      <w:r>
        <w:rPr>
          <w:rFonts w:ascii="Times New Roman" w:hAnsi="Times New Roman"/>
          <w:b/>
        </w:rPr>
        <w:t xml:space="preserve">     </w:t>
      </w:r>
      <w:r w:rsidRPr="00BC7F42" w:rsidR="00A45D82">
        <w:rPr>
          <w:rFonts w:ascii="Times New Roman" w:hAnsi="Times New Roman"/>
          <w:b/>
        </w:rPr>
        <w:t>Annual Cost To Federal Government</w:t>
      </w:r>
    </w:p>
    <w:p w:rsidR="00222857" w:rsidP="00CD3E65" w:rsidRDefault="00222857" w14:paraId="2ECA235D" w14:textId="77777777">
      <w:pPr>
        <w:ind w:left="1440"/>
        <w:rPr>
          <w:rFonts w:ascii="Times New Roman" w:hAnsi="Times New Roman"/>
          <w:color w:val="000000"/>
        </w:rPr>
      </w:pPr>
      <w:r w:rsidRPr="0047588F">
        <w:rPr>
          <w:rFonts w:ascii="Times New Roman" w:hAnsi="Times New Roman"/>
          <w:color w:val="000000"/>
        </w:rPr>
        <w:t xml:space="preserve">The annual cost to the Federal Government is approximately </w:t>
      </w:r>
      <w:r w:rsidRPr="00921271" w:rsidR="00921271">
        <w:rPr>
          <w:rFonts w:ascii="Times New Roman" w:hAnsi="Times New Roman"/>
          <w:b/>
          <w:bCs/>
          <w:color w:val="000000"/>
        </w:rPr>
        <w:t>$35,960</w:t>
      </w:r>
      <w:r w:rsidRPr="0047588F">
        <w:rPr>
          <w:rFonts w:ascii="Times New Roman" w:hAnsi="Times New Roman"/>
          <w:color w:val="000000"/>
        </w:rPr>
        <w:t>.  This estimate accounts for costs from the following areas:</w:t>
      </w:r>
    </w:p>
    <w:p w:rsidR="00222857" w:rsidP="00222857" w:rsidRDefault="00222857" w14:paraId="1BBB79BC" w14:textId="77777777">
      <w:pPr>
        <w:ind w:left="360"/>
        <w:rPr>
          <w:rFonts w:ascii="Times New Roman" w:hAnsi="Times New Roman"/>
          <w:color w:val="000000"/>
        </w:rPr>
      </w:pPr>
    </w:p>
    <w:tbl>
      <w:tblPr>
        <w:tblW w:w="8100"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0"/>
        <w:gridCol w:w="3117"/>
        <w:gridCol w:w="2203"/>
      </w:tblGrid>
      <w:tr w:rsidR="00222857" w:rsidTr="00921271" w14:paraId="375B6260" w14:textId="77777777">
        <w:tc>
          <w:tcPr>
            <w:tcW w:w="2780" w:type="dxa"/>
            <w:shd w:val="clear" w:color="auto" w:fill="auto"/>
          </w:tcPr>
          <w:p w:rsidRPr="00003983" w:rsidR="00222857" w:rsidP="004A0F7E" w:rsidRDefault="00222857" w14:paraId="0239D7B3"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shd w:val="clear" w:color="auto" w:fill="auto"/>
          </w:tcPr>
          <w:p w:rsidRPr="00003983" w:rsidR="00222857" w:rsidP="004A0F7E" w:rsidRDefault="00222857" w14:paraId="00149C90"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203" w:type="dxa"/>
            <w:shd w:val="clear" w:color="auto" w:fill="auto"/>
          </w:tcPr>
          <w:p w:rsidRPr="00003983" w:rsidR="00222857" w:rsidP="004A0F7E" w:rsidRDefault="00222857" w14:paraId="31C6EC13"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rsidR="00222857" w:rsidTr="00921271" w14:paraId="501B3122" w14:textId="77777777">
        <w:tc>
          <w:tcPr>
            <w:tcW w:w="2780" w:type="dxa"/>
            <w:shd w:val="clear" w:color="auto" w:fill="auto"/>
          </w:tcPr>
          <w:p w:rsidRPr="00003983" w:rsidR="00222857" w:rsidP="004A0F7E" w:rsidRDefault="00222857" w14:paraId="47D9BEB3"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17" w:type="dxa"/>
            <w:shd w:val="clear" w:color="auto" w:fill="auto"/>
          </w:tcPr>
          <w:p w:rsidRPr="00003983" w:rsidR="00222857" w:rsidP="004A0F7E" w:rsidRDefault="00222857" w14:paraId="0775B5A4"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203" w:type="dxa"/>
            <w:shd w:val="clear" w:color="auto" w:fill="auto"/>
          </w:tcPr>
          <w:p w:rsidRPr="00003983" w:rsidR="00222857" w:rsidP="00921271" w:rsidRDefault="00921271" w14:paraId="49C61B89" w14:textId="77777777">
            <w:pPr>
              <w:pStyle w:val="ListParagraph"/>
              <w:ind w:left="0"/>
              <w:jc w:val="right"/>
              <w:rPr>
                <w:rFonts w:ascii="Times New Roman" w:hAnsi="Times New Roman"/>
                <w:color w:val="000000"/>
              </w:rPr>
            </w:pPr>
            <w:r>
              <w:rPr>
                <w:rFonts w:ascii="Times New Roman" w:hAnsi="Times New Roman"/>
                <w:color w:val="000000"/>
              </w:rPr>
              <w:t>$0</w:t>
            </w:r>
          </w:p>
        </w:tc>
      </w:tr>
      <w:tr w:rsidR="00222857" w:rsidTr="00921271" w14:paraId="26FBA5A4" w14:textId="77777777">
        <w:tc>
          <w:tcPr>
            <w:tcW w:w="2780" w:type="dxa"/>
            <w:shd w:val="clear" w:color="auto" w:fill="auto"/>
          </w:tcPr>
          <w:p w:rsidRPr="00003983" w:rsidR="00222857" w:rsidP="004A0F7E" w:rsidRDefault="00222857" w14:paraId="3E38C170"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117" w:type="dxa"/>
            <w:shd w:val="clear" w:color="auto" w:fill="auto"/>
          </w:tcPr>
          <w:p w:rsidRPr="00003983" w:rsidR="00222857" w:rsidP="004A0F7E" w:rsidRDefault="00222857" w14:paraId="2261C898"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203" w:type="dxa"/>
            <w:shd w:val="clear" w:color="auto" w:fill="auto"/>
          </w:tcPr>
          <w:p w:rsidRPr="00003983" w:rsidR="00222857" w:rsidP="00921271" w:rsidRDefault="00921271" w14:paraId="1C594012" w14:textId="77777777">
            <w:pPr>
              <w:pStyle w:val="ListParagraph"/>
              <w:ind w:left="0"/>
              <w:jc w:val="right"/>
              <w:rPr>
                <w:rFonts w:ascii="Times New Roman" w:hAnsi="Times New Roman"/>
                <w:color w:val="000000"/>
              </w:rPr>
            </w:pPr>
            <w:r>
              <w:rPr>
                <w:rFonts w:ascii="Times New Roman" w:hAnsi="Times New Roman"/>
                <w:color w:val="000000"/>
              </w:rPr>
              <w:t>$0</w:t>
            </w:r>
          </w:p>
        </w:tc>
      </w:tr>
      <w:tr w:rsidR="00222857" w:rsidTr="00921271" w14:paraId="34EE3F1F" w14:textId="77777777">
        <w:tc>
          <w:tcPr>
            <w:tcW w:w="2780" w:type="dxa"/>
            <w:shd w:val="clear" w:color="auto" w:fill="auto"/>
          </w:tcPr>
          <w:p w:rsidRPr="00003983" w:rsidR="00222857" w:rsidP="004A0F7E" w:rsidRDefault="00222857" w14:paraId="1F0E59C6"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17" w:type="dxa"/>
            <w:shd w:val="clear" w:color="auto" w:fill="auto"/>
          </w:tcPr>
          <w:p w:rsidRPr="00003983" w:rsidR="00222857" w:rsidP="004A0F7E" w:rsidRDefault="00222857" w14:paraId="0496C891"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203" w:type="dxa"/>
            <w:shd w:val="clear" w:color="auto" w:fill="auto"/>
          </w:tcPr>
          <w:p w:rsidRPr="00003983" w:rsidR="00222857" w:rsidP="00921271" w:rsidRDefault="00921271" w14:paraId="279908AB" w14:textId="77777777">
            <w:pPr>
              <w:pStyle w:val="ListParagraph"/>
              <w:ind w:left="0"/>
              <w:jc w:val="right"/>
              <w:rPr>
                <w:rFonts w:ascii="Times New Roman" w:hAnsi="Times New Roman"/>
                <w:color w:val="000000"/>
              </w:rPr>
            </w:pPr>
            <w:r>
              <w:rPr>
                <w:rFonts w:ascii="Times New Roman" w:hAnsi="Times New Roman"/>
                <w:color w:val="000000"/>
              </w:rPr>
              <w:t>$1,093</w:t>
            </w:r>
          </w:p>
        </w:tc>
      </w:tr>
      <w:tr w:rsidR="00222857" w:rsidTr="00921271" w14:paraId="7FF51006" w14:textId="77777777">
        <w:tc>
          <w:tcPr>
            <w:tcW w:w="2780" w:type="dxa"/>
            <w:shd w:val="clear" w:color="auto" w:fill="auto"/>
          </w:tcPr>
          <w:p w:rsidRPr="00003983" w:rsidR="00222857" w:rsidP="004A0F7E" w:rsidRDefault="00222857" w14:paraId="32F8482D"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shd w:val="clear" w:color="auto" w:fill="auto"/>
          </w:tcPr>
          <w:p w:rsidRPr="00003983" w:rsidR="00222857" w:rsidP="004A0F7E" w:rsidRDefault="00222857" w14:paraId="79F5BDDC"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203" w:type="dxa"/>
            <w:shd w:val="clear" w:color="auto" w:fill="auto"/>
          </w:tcPr>
          <w:p w:rsidRPr="00003983" w:rsidR="00222857" w:rsidP="00921271" w:rsidRDefault="00921271" w14:paraId="6381A71E" w14:textId="77777777">
            <w:pPr>
              <w:pStyle w:val="ListParagraph"/>
              <w:ind w:left="0"/>
              <w:jc w:val="right"/>
              <w:rPr>
                <w:rFonts w:ascii="Times New Roman" w:hAnsi="Times New Roman"/>
                <w:color w:val="000000"/>
              </w:rPr>
            </w:pPr>
            <w:r>
              <w:rPr>
                <w:rFonts w:ascii="Times New Roman" w:hAnsi="Times New Roman"/>
                <w:color w:val="000000"/>
              </w:rPr>
              <w:t>$0</w:t>
            </w:r>
          </w:p>
        </w:tc>
      </w:tr>
      <w:tr w:rsidR="00222857" w:rsidTr="00921271" w14:paraId="5597132A" w14:textId="77777777">
        <w:tc>
          <w:tcPr>
            <w:tcW w:w="2780" w:type="dxa"/>
            <w:shd w:val="clear" w:color="auto" w:fill="auto"/>
          </w:tcPr>
          <w:p w:rsidRPr="00003983" w:rsidR="00222857" w:rsidP="004A0F7E" w:rsidRDefault="00222857" w14:paraId="7774A61F"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shd w:val="clear" w:color="auto" w:fill="auto"/>
          </w:tcPr>
          <w:p w:rsidRPr="00003983" w:rsidR="00222857" w:rsidP="004A0F7E" w:rsidRDefault="00222857" w14:paraId="5115DB7C"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203" w:type="dxa"/>
            <w:shd w:val="clear" w:color="auto" w:fill="auto"/>
          </w:tcPr>
          <w:p w:rsidRPr="00003983" w:rsidR="00222857" w:rsidP="00921271" w:rsidRDefault="00921271" w14:paraId="4E92175C" w14:textId="77777777">
            <w:pPr>
              <w:pStyle w:val="ListParagraph"/>
              <w:ind w:left="0"/>
              <w:jc w:val="right"/>
              <w:rPr>
                <w:rFonts w:ascii="Times New Roman" w:hAnsi="Times New Roman"/>
                <w:color w:val="000000"/>
              </w:rPr>
            </w:pPr>
            <w:r>
              <w:rPr>
                <w:rFonts w:ascii="Times New Roman" w:hAnsi="Times New Roman"/>
                <w:color w:val="000000"/>
              </w:rPr>
              <w:t>$34,167</w:t>
            </w:r>
          </w:p>
        </w:tc>
      </w:tr>
      <w:tr w:rsidR="00222857" w:rsidTr="00921271" w14:paraId="2C119059" w14:textId="77777777">
        <w:tc>
          <w:tcPr>
            <w:tcW w:w="2780" w:type="dxa"/>
            <w:shd w:val="clear" w:color="auto" w:fill="auto"/>
          </w:tcPr>
          <w:p w:rsidRPr="00003983" w:rsidR="00222857" w:rsidP="004A0F7E" w:rsidRDefault="00222857" w14:paraId="1FC71DEF"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shd w:val="clear" w:color="auto" w:fill="auto"/>
          </w:tcPr>
          <w:p w:rsidRPr="00003983" w:rsidR="00222857" w:rsidP="004A0F7E" w:rsidRDefault="00222857" w14:paraId="34D40DFA"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203" w:type="dxa"/>
            <w:shd w:val="clear" w:color="auto" w:fill="auto"/>
          </w:tcPr>
          <w:p w:rsidRPr="00003983" w:rsidR="00222857" w:rsidP="00921271" w:rsidRDefault="00921271" w14:paraId="4628F37B" w14:textId="77777777">
            <w:pPr>
              <w:pStyle w:val="ListParagraph"/>
              <w:ind w:left="0"/>
              <w:jc w:val="right"/>
              <w:rPr>
                <w:rFonts w:ascii="Times New Roman" w:hAnsi="Times New Roman"/>
                <w:color w:val="000000"/>
              </w:rPr>
            </w:pPr>
            <w:r>
              <w:rPr>
                <w:rFonts w:ascii="Times New Roman" w:hAnsi="Times New Roman"/>
                <w:color w:val="000000"/>
              </w:rPr>
              <w:t>$0</w:t>
            </w:r>
          </w:p>
        </w:tc>
      </w:tr>
      <w:tr w:rsidR="00222857" w:rsidTr="00921271" w14:paraId="3812A628" w14:textId="77777777">
        <w:tc>
          <w:tcPr>
            <w:tcW w:w="2780" w:type="dxa"/>
            <w:shd w:val="clear" w:color="auto" w:fill="auto"/>
          </w:tcPr>
          <w:p w:rsidRPr="00003983" w:rsidR="00222857" w:rsidP="004A0F7E" w:rsidRDefault="00222857" w14:paraId="38DB77EE"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shd w:val="clear" w:color="auto" w:fill="auto"/>
          </w:tcPr>
          <w:p w:rsidRPr="00003983" w:rsidR="00222857" w:rsidP="004A0F7E" w:rsidRDefault="00222857" w14:paraId="5694B7E2" w14:textId="77777777">
            <w:pPr>
              <w:pStyle w:val="ListParagraph"/>
              <w:ind w:left="0"/>
              <w:rPr>
                <w:rFonts w:ascii="Times New Roman" w:hAnsi="Times New Roman"/>
                <w:b/>
                <w:bCs/>
                <w:color w:val="000000"/>
              </w:rPr>
            </w:pPr>
          </w:p>
        </w:tc>
        <w:tc>
          <w:tcPr>
            <w:tcW w:w="2203" w:type="dxa"/>
            <w:shd w:val="clear" w:color="auto" w:fill="auto"/>
          </w:tcPr>
          <w:p w:rsidRPr="00003983" w:rsidR="00222857" w:rsidP="00921271" w:rsidRDefault="00921271" w14:paraId="225F2B73" w14:textId="77777777">
            <w:pPr>
              <w:pStyle w:val="ListParagraph"/>
              <w:ind w:left="0"/>
              <w:jc w:val="right"/>
              <w:rPr>
                <w:rFonts w:ascii="Times New Roman" w:hAnsi="Times New Roman"/>
                <w:b/>
                <w:bCs/>
                <w:color w:val="000000"/>
              </w:rPr>
            </w:pPr>
            <w:r>
              <w:rPr>
                <w:rFonts w:ascii="Times New Roman" w:hAnsi="Times New Roman"/>
                <w:b/>
                <w:bCs/>
                <w:color w:val="000000"/>
              </w:rPr>
              <w:t>$35,960</w:t>
            </w:r>
          </w:p>
        </w:tc>
      </w:tr>
    </w:tbl>
    <w:p w:rsidR="00222857" w:rsidP="00CD3E65" w:rsidRDefault="00222857" w14:paraId="3E7D1C08" w14:textId="77777777">
      <w:pPr>
        <w:ind w:left="1440"/>
        <w:rPr>
          <w:rFonts w:ascii="Times New Roman" w:hAnsi="Times New Roman"/>
          <w:color w:val="000000"/>
        </w:rPr>
      </w:pPr>
      <w:r>
        <w:rPr>
          <w:rFonts w:ascii="Times New Roman" w:hAnsi="Times New Roman"/>
          <w:color w:val="000000"/>
        </w:rPr>
        <w:t xml:space="preserve">* We have inserted a $0 amount for cost factors that do not apply to this </w:t>
      </w:r>
      <w:r>
        <w:rPr>
          <w:rFonts w:ascii="Times New Roman" w:hAnsi="Times New Roman"/>
          <w:color w:val="000000"/>
        </w:rPr>
        <w:lastRenderedPageBreak/>
        <w:t>collection.</w:t>
      </w:r>
    </w:p>
    <w:p w:rsidR="00AF6B13" w:rsidP="00CD3E65" w:rsidRDefault="00222857" w14:paraId="60A92E07" w14:textId="478A33FF">
      <w:pPr>
        <w:tabs>
          <w:tab w:val="left" w:pos="1440"/>
        </w:tabs>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already have.  </w:t>
      </w:r>
      <w:r w:rsidR="00341E99">
        <w:rPr>
          <w:rFonts w:ascii="Times New Roman" w:hAnsi="Times New Roman"/>
          <w:color w:val="000000"/>
        </w:rPr>
        <w:t>It</w:t>
      </w:r>
      <w:r>
        <w:rPr>
          <w:rFonts w:ascii="Times New Roman" w:hAnsi="Times New Roman"/>
          <w:color w:val="000000"/>
        </w:rPr>
        <w:t xml:space="preserve"> is difficult for us to break down the cost for processing a single form, </w:t>
      </w:r>
      <w:r w:rsidR="00341E99">
        <w:rPr>
          <w:rFonts w:ascii="Times New Roman" w:hAnsi="Times New Roman"/>
          <w:color w:val="000000"/>
        </w:rPr>
        <w:t>as the</w:t>
      </w:r>
      <w:r>
        <w:rPr>
          <w:rFonts w:ascii="Times New Roman" w:hAnsi="Times New Roman"/>
          <w:color w:val="000000"/>
        </w:rPr>
        <w:t xml:space="preserve"> time it takes to </w:t>
      </w:r>
      <w:r w:rsidR="00341E99">
        <w:rPr>
          <w:rFonts w:ascii="Times New Roman" w:hAnsi="Times New Roman"/>
          <w:color w:val="000000"/>
        </w:rPr>
        <w:t>help respondents complete the documentation</w:t>
      </w:r>
      <w:r>
        <w:rPr>
          <w:rFonts w:ascii="Times New Roman" w:hAnsi="Times New Roman"/>
          <w:color w:val="000000"/>
        </w:rPr>
        <w:t xml:space="preserve"> can vary greatly per respondent.  </w:t>
      </w:r>
      <w:r w:rsidR="00341E99">
        <w:rPr>
          <w:rFonts w:ascii="Times New Roman" w:hAnsi="Times New Roman"/>
          <w:color w:val="000000"/>
        </w:rPr>
        <w:t>In addition</w:t>
      </w:r>
      <w:r>
        <w:rPr>
          <w:rFonts w:ascii="Times New Roman" w:hAnsi="Times New Roman"/>
          <w:color w:val="000000"/>
        </w:rPr>
        <w:t>, because so many employees have a hand in each aspect of our forms, we use an estimated average hourly wage, based on the wage of our average field office employee (GS-9) for these</w:t>
      </w:r>
      <w:r w:rsidR="00341E99">
        <w:rPr>
          <w:rFonts w:ascii="Times New Roman" w:hAnsi="Times New Roman"/>
          <w:color w:val="000000"/>
        </w:rPr>
        <w:t xml:space="preserve"> calculations.  </w:t>
      </w:r>
      <w:r>
        <w:rPr>
          <w:rFonts w:ascii="Times New Roman" w:hAnsi="Times New Roman"/>
          <w:color w:val="000000"/>
        </w:rPr>
        <w:t>However, we have calculated these costs as accurately as possible based on the information we collect for creating, updating, and maintaining these information collections</w:t>
      </w:r>
    </w:p>
    <w:p w:rsidR="00222857" w:rsidP="00AF6B13" w:rsidRDefault="00222857" w14:paraId="5557BB8D" w14:textId="77777777">
      <w:pPr>
        <w:ind w:left="720"/>
        <w:rPr>
          <w:rFonts w:ascii="Times New Roman" w:hAnsi="Times New Roman"/>
          <w:snapToGrid/>
          <w:color w:val="000000"/>
        </w:rPr>
      </w:pPr>
    </w:p>
    <w:p w:rsidR="00063A05" w:rsidP="00E15B34" w:rsidRDefault="00921271" w14:paraId="21C2F77A" w14:textId="77777777">
      <w:pPr>
        <w:tabs>
          <w:tab w:val="left" w:pos="1440"/>
        </w:tabs>
        <w:ind w:firstLine="810"/>
        <w:rPr>
          <w:rFonts w:ascii="Times New Roman" w:hAnsi="Times New Roman"/>
          <w:b/>
        </w:rPr>
      </w:pPr>
      <w:r>
        <w:rPr>
          <w:rFonts w:ascii="Times New Roman" w:hAnsi="Times New Roman"/>
          <w:bCs/>
        </w:rPr>
        <w:t xml:space="preserve">15.  </w:t>
      </w:r>
      <w:r w:rsidR="00CD3E65">
        <w:rPr>
          <w:rFonts w:ascii="Times New Roman" w:hAnsi="Times New Roman"/>
          <w:bCs/>
        </w:rPr>
        <w:tab/>
      </w:r>
      <w:r w:rsidRPr="00BC7F42" w:rsidR="00A45D82">
        <w:rPr>
          <w:rFonts w:ascii="Times New Roman" w:hAnsi="Times New Roman"/>
          <w:b/>
        </w:rPr>
        <w:t xml:space="preserve">Program Changes or Adjustments to the Information Collection </w:t>
      </w:r>
      <w:r w:rsidR="00063A05">
        <w:rPr>
          <w:rFonts w:ascii="Times New Roman" w:hAnsi="Times New Roman"/>
          <w:b/>
        </w:rPr>
        <w:t>Request</w:t>
      </w:r>
    </w:p>
    <w:p w:rsidRPr="00742E2F" w:rsidR="00742E2F" w:rsidP="00DE70D9" w:rsidRDefault="00DE70D9" w14:paraId="4F9CC256" w14:textId="35F226BE">
      <w:pPr>
        <w:ind w:left="1440"/>
        <w:rPr>
          <w:rFonts w:ascii="Times New Roman" w:hAnsi="Times New Roman"/>
        </w:rPr>
      </w:pPr>
      <w:r w:rsidRPr="00DE70D9">
        <w:rPr>
          <w:rFonts w:ascii="Times New Roman" w:hAnsi="Times New Roman"/>
        </w:rPr>
        <w:t>There are no changes to the public reporting burden.  We updated the figures to include the opportunity cost for the respondents' travel time; however, we made no other revisions to the overall burden for this information collection</w:t>
      </w:r>
      <w:r w:rsidRPr="00742E2F" w:rsidR="00742E2F">
        <w:rPr>
          <w:rFonts w:ascii="Times New Roman" w:hAnsi="Times New Roman"/>
        </w:rPr>
        <w:t>.</w:t>
      </w:r>
    </w:p>
    <w:p w:rsidRPr="00BC7F42" w:rsidR="00145796" w:rsidP="00A45D82" w:rsidRDefault="00145796" w14:paraId="4BD82DDD" w14:textId="77777777">
      <w:pPr>
        <w:rPr>
          <w:rFonts w:ascii="Times New Roman" w:hAnsi="Times New Roman"/>
        </w:rPr>
      </w:pPr>
    </w:p>
    <w:p w:rsidR="00063A05" w:rsidP="00921271" w:rsidRDefault="00A45D82" w14:paraId="3F646235" w14:textId="77777777">
      <w:pPr>
        <w:tabs>
          <w:tab w:val="left" w:pos="990"/>
        </w:tabs>
        <w:ind w:left="720"/>
        <w:rPr>
          <w:rFonts w:ascii="Times New Roman" w:hAnsi="Times New Roman"/>
        </w:rPr>
      </w:pPr>
      <w:r w:rsidRPr="00921271">
        <w:rPr>
          <w:rFonts w:ascii="Times New Roman" w:hAnsi="Times New Roman"/>
          <w:bCs/>
        </w:rPr>
        <w:t>16.</w:t>
      </w:r>
      <w:r w:rsidRPr="00BC7F42">
        <w:rPr>
          <w:rFonts w:ascii="Times New Roman" w:hAnsi="Times New Roman"/>
        </w:rPr>
        <w:t xml:space="preserve">  </w:t>
      </w:r>
      <w:r w:rsidR="00CD3E65">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742E2F" w:rsidR="00742E2F" w:rsidP="00921271" w:rsidRDefault="00742E2F" w14:paraId="09186CD0" w14:textId="77777777">
      <w:pPr>
        <w:pStyle w:val="Header"/>
        <w:tabs>
          <w:tab w:val="clear" w:pos="4320"/>
          <w:tab w:val="clear" w:pos="8640"/>
          <w:tab w:val="left" w:pos="1080"/>
        </w:tabs>
        <w:rPr>
          <w:rFonts w:ascii="Times New Roman" w:hAnsi="Times New Roman"/>
        </w:rPr>
      </w:pPr>
      <w:r>
        <w:rPr>
          <w:rFonts w:ascii="Times New Roman" w:hAnsi="Times New Roman"/>
          <w:bCs/>
          <w:iCs/>
        </w:rPr>
        <w:tab/>
      </w:r>
      <w:r w:rsidR="00921271">
        <w:rPr>
          <w:rFonts w:ascii="Times New Roman" w:hAnsi="Times New Roman"/>
          <w:bCs/>
          <w:iCs/>
        </w:rPr>
        <w:t xml:space="preserve"> </w:t>
      </w:r>
      <w:r w:rsidR="00CD3E65">
        <w:rPr>
          <w:rFonts w:ascii="Times New Roman" w:hAnsi="Times New Roman"/>
          <w:bCs/>
          <w:iCs/>
        </w:rPr>
        <w:tab/>
      </w:r>
      <w:r w:rsidRPr="00742E2F">
        <w:rPr>
          <w:rFonts w:ascii="Times New Roman" w:hAnsi="Times New Roman"/>
          <w:bCs/>
          <w:iCs/>
        </w:rPr>
        <w:t>SSA will not publish the results of the information collection</w:t>
      </w:r>
      <w:r w:rsidRPr="00742E2F">
        <w:rPr>
          <w:rFonts w:ascii="Times New Roman" w:hAnsi="Times New Roman"/>
        </w:rPr>
        <w:t>.</w:t>
      </w:r>
    </w:p>
    <w:p w:rsidRPr="00BC7F42" w:rsidR="00742E2F" w:rsidP="00A45D82" w:rsidRDefault="00742E2F" w14:paraId="09132E13" w14:textId="77777777">
      <w:pPr>
        <w:pStyle w:val="Header"/>
        <w:tabs>
          <w:tab w:val="clear" w:pos="4320"/>
          <w:tab w:val="clear" w:pos="8640"/>
        </w:tabs>
        <w:rPr>
          <w:rFonts w:ascii="Times New Roman" w:hAnsi="Times New Roman"/>
        </w:rPr>
      </w:pPr>
    </w:p>
    <w:p w:rsidRPr="006A60D4" w:rsidR="00A45D82" w:rsidP="00921271" w:rsidRDefault="00A45D82" w14:paraId="3FDB3F75" w14:textId="77777777">
      <w:pPr>
        <w:tabs>
          <w:tab w:val="left" w:pos="1080"/>
        </w:tabs>
        <w:ind w:left="720"/>
        <w:rPr>
          <w:rFonts w:ascii="Times New Roman" w:hAnsi="Times New Roman"/>
        </w:rPr>
      </w:pPr>
      <w:r w:rsidRPr="00921271">
        <w:rPr>
          <w:rFonts w:ascii="Times New Roman" w:hAnsi="Times New Roman"/>
          <w:bCs/>
        </w:rPr>
        <w:t>17</w:t>
      </w:r>
      <w:r w:rsidRPr="003B30B4">
        <w:rPr>
          <w:rFonts w:ascii="Times New Roman" w:hAnsi="Times New Roman"/>
          <w:b/>
        </w:rPr>
        <w:t>.</w:t>
      </w:r>
      <w:r w:rsidRPr="00BC7F42">
        <w:rPr>
          <w:rFonts w:ascii="Times New Roman" w:hAnsi="Times New Roman"/>
        </w:rPr>
        <w:tab/>
      </w:r>
      <w:r w:rsidR="003776A7">
        <w:rPr>
          <w:rFonts w:ascii="Times New Roman" w:hAnsi="Times New Roman"/>
        </w:rPr>
        <w:t xml:space="preserve"> </w:t>
      </w:r>
      <w:r w:rsidR="00CD3E65">
        <w:rPr>
          <w:rFonts w:ascii="Times New Roman" w:hAnsi="Times New Roman"/>
        </w:rPr>
        <w:tab/>
      </w:r>
      <w:r w:rsidR="003B30B4">
        <w:rPr>
          <w:rFonts w:ascii="Times New Roman" w:hAnsi="Times New Roman"/>
          <w:b/>
        </w:rPr>
        <w:t>Displaying the OMB Approval Expiration Date</w:t>
      </w:r>
    </w:p>
    <w:p w:rsidR="00742E2F" w:rsidP="00CD3E65" w:rsidRDefault="00742E2F" w14:paraId="591E39F4" w14:textId="77777777">
      <w:pPr>
        <w:pStyle w:val="Level1"/>
        <w:widowControl/>
        <w:numPr>
          <w:ilvl w:val="0"/>
          <w:numId w:val="0"/>
        </w:numPr>
        <w:tabs>
          <w:tab w:val="left" w:pos="-1440"/>
        </w:tabs>
        <w:ind w:left="1440" w:hanging="720"/>
      </w:pPr>
      <w:r>
        <w:rPr>
          <w:bCs/>
          <w:i/>
          <w:iCs/>
        </w:rPr>
        <w:tab/>
      </w:r>
      <w:r w:rsidRPr="003776A7">
        <w:rPr>
          <w:bCs/>
          <w:iCs/>
        </w:rPr>
        <w:t>SSA</w:t>
      </w:r>
      <w:r>
        <w:rPr>
          <w:bCs/>
          <w:iCs/>
        </w:rPr>
        <w:t xml:space="preserve"> is not requesting an exception to the requirement to display the OMB approval expiration date</w:t>
      </w:r>
      <w:r>
        <w:t xml:space="preserve">.  </w:t>
      </w:r>
    </w:p>
    <w:p w:rsidRPr="00BC7F42" w:rsidR="00742E2F" w:rsidP="00A45D82" w:rsidRDefault="00742E2F" w14:paraId="77A2264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E15B34" w:rsidRDefault="00A45D82" w14:paraId="22A41797" w14:textId="77777777">
      <w:pPr>
        <w:numPr>
          <w:ilvl w:val="0"/>
          <w:numId w:val="6"/>
        </w:numPr>
        <w:tabs>
          <w:tab w:val="clear" w:pos="1440"/>
        </w:tabs>
        <w:rPr>
          <w:rFonts w:ascii="Times New Roman" w:hAnsi="Times New Roman"/>
          <w:b/>
        </w:rPr>
      </w:pPr>
      <w:r w:rsidRPr="00BC7F42">
        <w:rPr>
          <w:rFonts w:ascii="Times New Roman" w:hAnsi="Times New Roman"/>
          <w:b/>
        </w:rPr>
        <w:t>Exceptions to Certification Statement</w:t>
      </w:r>
    </w:p>
    <w:p w:rsidR="00CD3E65" w:rsidP="00C657D7" w:rsidRDefault="00742E2F" w14:paraId="0C29B794" w14:textId="77777777">
      <w:pPr>
        <w:pStyle w:val="Level1"/>
        <w:widowControl/>
        <w:numPr>
          <w:ilvl w:val="0"/>
          <w:numId w:val="0"/>
        </w:numPr>
        <w:tabs>
          <w:tab w:val="left" w:pos="-1440"/>
        </w:tabs>
        <w:ind w:left="720" w:hanging="720"/>
      </w:pPr>
      <w:r>
        <w:tab/>
      </w:r>
      <w:r w:rsidR="00CD3E65">
        <w:tab/>
      </w:r>
      <w:r>
        <w:t xml:space="preserve">SSA is not requesting an exception to the certification requirements </w:t>
      </w:r>
      <w:r w:rsidRPr="001F59B6">
        <w:t xml:space="preserve">at </w:t>
      </w:r>
    </w:p>
    <w:p w:rsidRPr="001F59B6" w:rsidR="00742E2F" w:rsidP="00C657D7" w:rsidRDefault="00CD3E65" w14:paraId="37745353" w14:textId="77777777">
      <w:pPr>
        <w:pStyle w:val="Level1"/>
        <w:widowControl/>
        <w:numPr>
          <w:ilvl w:val="0"/>
          <w:numId w:val="0"/>
        </w:numPr>
        <w:tabs>
          <w:tab w:val="left" w:pos="-1440"/>
        </w:tabs>
        <w:ind w:left="720" w:hanging="720"/>
      </w:pPr>
      <w:r>
        <w:tab/>
      </w:r>
      <w:r>
        <w:tab/>
      </w:r>
      <w:r w:rsidRPr="00E15B34" w:rsidR="00742E2F">
        <w:rPr>
          <w:i/>
          <w:iCs/>
        </w:rPr>
        <w:t>5 CFR 1320.9</w:t>
      </w:r>
      <w:r w:rsidRPr="001F59B6" w:rsidR="00742E2F">
        <w:t xml:space="preserve"> and related provisions at </w:t>
      </w:r>
      <w:r w:rsidRPr="00E15B34" w:rsidR="00742E2F">
        <w:rPr>
          <w:i/>
          <w:iCs/>
        </w:rPr>
        <w:t>5 CFR 1320.8(b)(3)</w:t>
      </w:r>
      <w:r w:rsidRPr="00E15B34" w:rsidR="00742E2F">
        <w:rPr>
          <w:rFonts w:ascii="Times New (W1)" w:cs="Times New (W1)"/>
          <w:i/>
          <w:iCs/>
        </w:rPr>
        <w:t>.</w:t>
      </w:r>
    </w:p>
    <w:p w:rsidR="0041131C" w:rsidP="0041131C" w:rsidRDefault="0041131C" w14:paraId="04AD7797" w14:textId="77777777">
      <w:pPr>
        <w:ind w:left="720"/>
        <w:rPr>
          <w:rFonts w:ascii="Times New Roman" w:hAnsi="Times New Roman"/>
        </w:rPr>
      </w:pPr>
    </w:p>
    <w:p w:rsidR="001F59B6" w:rsidP="001F59B6" w:rsidRDefault="001F59B6" w14:paraId="0DD18691" w14:textId="77777777">
      <w:pPr>
        <w:rPr>
          <w:rFonts w:ascii="Times New Roman" w:hAnsi="Times New Roman"/>
          <w:b/>
          <w:u w:val="single"/>
        </w:rPr>
      </w:pPr>
      <w:r w:rsidRPr="0041131C">
        <w:rPr>
          <w:rFonts w:ascii="Times New Roman" w:hAnsi="Times New Roman"/>
          <w:b/>
        </w:rPr>
        <w:t>B.</w:t>
      </w:r>
      <w:r w:rsidR="003776A7">
        <w:rPr>
          <w:rFonts w:ascii="Times New Roman" w:hAnsi="Times New Roman"/>
          <w:b/>
        </w:rPr>
        <w:t xml:space="preserve">       </w:t>
      </w:r>
      <w:r w:rsidRPr="0041131C">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P="0041131C" w:rsidRDefault="0041131C" w14:paraId="3A2430AF" w14:textId="77777777">
      <w:pPr>
        <w:rPr>
          <w:rFonts w:ascii="Times New Roman" w:hAnsi="Times New Roman"/>
        </w:rPr>
      </w:pPr>
    </w:p>
    <w:p w:rsidRPr="00D42C22" w:rsidR="001067A3" w:rsidP="00CD3E65" w:rsidRDefault="001067A3" w14:paraId="196C7268" w14:textId="77777777">
      <w:pPr>
        <w:ind w:left="720" w:firstLine="720"/>
        <w:rPr>
          <w:rFonts w:ascii="Times New Roman" w:hAnsi="Times New Roman"/>
          <w:bCs/>
          <w:iCs/>
        </w:rPr>
      </w:pPr>
      <w:r w:rsidRPr="00D42C22">
        <w:rPr>
          <w:rFonts w:ascii="Times New Roman" w:hAnsi="Times New Roman"/>
          <w:bCs/>
          <w:iCs/>
        </w:rPr>
        <w:t xml:space="preserve">SSA does not use statistical methods for this information collection. </w:t>
      </w:r>
    </w:p>
    <w:p w:rsidR="001F59B6" w:rsidP="0041131C" w:rsidRDefault="001F59B6" w14:paraId="706DC889" w14:textId="77777777">
      <w:pPr>
        <w:rPr>
          <w:rFonts w:ascii="Times New Roman" w:hAnsi="Times New Roman"/>
        </w:rPr>
      </w:pPr>
    </w:p>
    <w:p w:rsidRPr="0041131C" w:rsidR="0041131C" w:rsidP="00A45D82" w:rsidRDefault="0041131C" w14:paraId="3EB317EC" w14:textId="77777777">
      <w:pPr>
        <w:rPr>
          <w:rFonts w:ascii="Times New Roman" w:hAnsi="Times New Roman"/>
        </w:rPr>
      </w:pPr>
    </w:p>
    <w:p w:rsidRPr="00BC7F42" w:rsidR="00A45D82" w:rsidP="00A45D82" w:rsidRDefault="00A45D82" w14:paraId="77A97ECA" w14:textId="77777777">
      <w:pPr>
        <w:rPr>
          <w:rFonts w:ascii="Times New Roman" w:hAnsi="Times New Roman"/>
          <w:i/>
        </w:rPr>
      </w:pPr>
    </w:p>
    <w:p w:rsidRPr="00BC7F42" w:rsidR="00F832E5" w:rsidP="00AB3769" w:rsidRDefault="00F832E5" w14:paraId="3C720537" w14:textId="77777777">
      <w:pPr>
        <w:pStyle w:val="Heading6"/>
        <w:jc w:val="left"/>
        <w:rPr>
          <w:rFonts w:ascii="Times New Roman" w:hAnsi="Times New Roman"/>
        </w:rPr>
      </w:pPr>
    </w:p>
    <w:p w:rsidRPr="00BC7F42" w:rsidR="00A45D82" w:rsidP="00A45D82" w:rsidRDefault="00A45D82" w14:paraId="7D3EF64E" w14:textId="77777777">
      <w:pPr>
        <w:rPr>
          <w:rFonts w:ascii="Times New Roman" w:hAnsi="Times New Roman"/>
        </w:rPr>
      </w:pPr>
    </w:p>
    <w:sectPr w:rsidRPr="00BC7F42" w:rsidR="00A45D82" w:rsidSect="00C666A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8ACD1" w14:textId="77777777" w:rsidR="006850DC" w:rsidRDefault="006850DC">
      <w:r>
        <w:separator/>
      </w:r>
    </w:p>
  </w:endnote>
  <w:endnote w:type="continuationSeparator" w:id="0">
    <w:p w14:paraId="64F7C237" w14:textId="77777777" w:rsidR="006850DC" w:rsidRDefault="0068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F27F7" w14:textId="77777777" w:rsidR="00E15B34" w:rsidRDefault="00E15B34">
    <w:pPr>
      <w:pStyle w:val="Footer"/>
      <w:jc w:val="center"/>
    </w:pPr>
    <w:r>
      <w:fldChar w:fldCharType="begin"/>
    </w:r>
    <w:r>
      <w:instrText xml:space="preserve"> PAGE   \* MERGEFORMAT </w:instrText>
    </w:r>
    <w:r>
      <w:fldChar w:fldCharType="separate"/>
    </w:r>
    <w:r>
      <w:rPr>
        <w:noProof/>
      </w:rPr>
      <w:t>2</w:t>
    </w:r>
    <w:r>
      <w:rPr>
        <w:noProof/>
      </w:rPr>
      <w:fldChar w:fldCharType="end"/>
    </w:r>
  </w:p>
  <w:p w14:paraId="0BF49110" w14:textId="77777777" w:rsidR="00E15B34" w:rsidRDefault="00E1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BFAAE" w14:textId="77777777" w:rsidR="006850DC" w:rsidRDefault="006850DC">
      <w:r>
        <w:separator/>
      </w:r>
    </w:p>
  </w:footnote>
  <w:footnote w:type="continuationSeparator" w:id="0">
    <w:p w14:paraId="7D0FFC03" w14:textId="77777777" w:rsidR="006850DC" w:rsidRDefault="00685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167267B6"/>
    <w:lvl w:ilvl="0">
      <w:start w:val="1"/>
      <w:numFmt w:val="decimal"/>
      <w:pStyle w:val="Level1"/>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4631A7"/>
    <w:multiLevelType w:val="hybridMultilevel"/>
    <w:tmpl w:val="E51272CA"/>
    <w:lvl w:ilvl="0" w:tplc="15D4EE06">
      <w:start w:val="18"/>
      <w:numFmt w:val="decimal"/>
      <w:lvlText w:val="%1."/>
      <w:lvlJc w:val="left"/>
      <w:pPr>
        <w:tabs>
          <w:tab w:val="num" w:pos="1440"/>
        </w:tabs>
        <w:ind w:left="1440"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A605A35"/>
    <w:multiLevelType w:val="singleLevel"/>
    <w:tmpl w:val="21E4AF22"/>
    <w:lvl w:ilvl="0">
      <w:start w:val="5"/>
      <w:numFmt w:val="decimal"/>
      <w:lvlText w:val="%1."/>
      <w:lvlJc w:val="left"/>
      <w:pPr>
        <w:tabs>
          <w:tab w:val="num" w:pos="360"/>
        </w:tabs>
        <w:ind w:left="360" w:hanging="360"/>
      </w:pPr>
      <w:rPr>
        <w:rFonts w:hint="default"/>
        <w:b w:val="0"/>
        <w:bCs w:val="0"/>
      </w:rPr>
    </w:lvl>
  </w:abstractNum>
  <w:abstractNum w:abstractNumId="3" w15:restartNumberingAfterBreak="0">
    <w:nsid w:val="616F329C"/>
    <w:multiLevelType w:val="hybridMultilevel"/>
    <w:tmpl w:val="E8C2F372"/>
    <w:lvl w:ilvl="0" w:tplc="F06C2772">
      <w:start w:val="1"/>
      <w:numFmt w:val="decimal"/>
      <w:lvlText w:val="%1."/>
      <w:lvlJc w:val="left"/>
      <w:pPr>
        <w:tabs>
          <w:tab w:val="num" w:pos="1440"/>
        </w:tabs>
        <w:ind w:left="1440" w:hanging="720"/>
      </w:pPr>
      <w:rPr>
        <w:rFonts w:hint="default"/>
        <w:b w:val="0"/>
        <w:bCs/>
      </w:rPr>
    </w:lvl>
    <w:lvl w:ilvl="1" w:tplc="D3BC8F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4CC03B5"/>
    <w:multiLevelType w:val="singleLevel"/>
    <w:tmpl w:val="0A6AEE84"/>
    <w:lvl w:ilvl="0">
      <w:start w:val="14"/>
      <w:numFmt w:val="decimal"/>
      <w:lvlText w:val="%1."/>
      <w:lvlJc w:val="left"/>
      <w:pPr>
        <w:tabs>
          <w:tab w:val="num" w:pos="1260"/>
        </w:tabs>
        <w:ind w:left="1260" w:hanging="360"/>
      </w:pPr>
      <w:rPr>
        <w:rFonts w:hint="default"/>
        <w:b w:val="0"/>
        <w:bCs w:val="0"/>
      </w:rPr>
    </w:lvl>
  </w:abstractNum>
  <w:abstractNum w:abstractNumId="5" w15:restartNumberingAfterBreak="0">
    <w:nsid w:val="7866410B"/>
    <w:multiLevelType w:val="singleLevel"/>
    <w:tmpl w:val="046CFDCE"/>
    <w:lvl w:ilvl="0">
      <w:start w:val="2"/>
      <w:numFmt w:val="decimal"/>
      <w:lvlText w:val="%1."/>
      <w:lvlJc w:val="left"/>
      <w:pPr>
        <w:tabs>
          <w:tab w:val="num" w:pos="720"/>
        </w:tabs>
        <w:ind w:left="720" w:hanging="720"/>
      </w:pPr>
      <w:rPr>
        <w:rFonts w:hint="default"/>
        <w:b w:val="0"/>
        <w:bCs/>
      </w:rPr>
    </w:lvl>
  </w:abstractNum>
  <w:abstractNum w:abstractNumId="6" w15:restartNumberingAfterBreak="0">
    <w:nsid w:val="7A9B5E7D"/>
    <w:multiLevelType w:val="singleLevel"/>
    <w:tmpl w:val="2A8204E4"/>
    <w:lvl w:ilvl="0">
      <w:start w:val="8"/>
      <w:numFmt w:val="decimal"/>
      <w:lvlText w:val="%1."/>
      <w:lvlJc w:val="left"/>
      <w:pPr>
        <w:tabs>
          <w:tab w:val="num" w:pos="720"/>
        </w:tabs>
        <w:ind w:left="720" w:hanging="720"/>
      </w:pPr>
      <w:rPr>
        <w:rFonts w:hint="default"/>
        <w:b w:val="0"/>
        <w:bCs/>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lvlOverride w:ilvl="0">
      <w:startOverride w:val="1"/>
      <w:lvl w:ilvl="0">
        <w:start w:val="1"/>
        <w:numFmt w:val="decimal"/>
        <w:pStyle w:val="Level1"/>
        <w:lvlText w:val="%1."/>
        <w:lvlJc w:val="left"/>
        <w:pPr>
          <w:tabs>
            <w:tab w:val="num" w:pos="360"/>
          </w:tabs>
          <w:ind w:left="36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lvl w:ilvl="8">
        <w:numFmt w:val="decimal"/>
        <w:lvlText w:val=""/>
        <w:lvlJc w:val="left"/>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20426"/>
    <w:rsid w:val="000222A7"/>
    <w:rsid w:val="00025216"/>
    <w:rsid w:val="00025D75"/>
    <w:rsid w:val="0002677F"/>
    <w:rsid w:val="00063A05"/>
    <w:rsid w:val="00064229"/>
    <w:rsid w:val="0006715D"/>
    <w:rsid w:val="0007189E"/>
    <w:rsid w:val="00077720"/>
    <w:rsid w:val="00077E0E"/>
    <w:rsid w:val="00084F6C"/>
    <w:rsid w:val="00086E84"/>
    <w:rsid w:val="000958AA"/>
    <w:rsid w:val="000A20F3"/>
    <w:rsid w:val="000A6AE3"/>
    <w:rsid w:val="000B2B68"/>
    <w:rsid w:val="000B3B12"/>
    <w:rsid w:val="000C151C"/>
    <w:rsid w:val="000C1D18"/>
    <w:rsid w:val="000C4E14"/>
    <w:rsid w:val="000D5F5C"/>
    <w:rsid w:val="000E1576"/>
    <w:rsid w:val="001067A3"/>
    <w:rsid w:val="00121032"/>
    <w:rsid w:val="00122EE2"/>
    <w:rsid w:val="00127980"/>
    <w:rsid w:val="00145796"/>
    <w:rsid w:val="00146275"/>
    <w:rsid w:val="00146A20"/>
    <w:rsid w:val="0015576E"/>
    <w:rsid w:val="001567E1"/>
    <w:rsid w:val="00157AD6"/>
    <w:rsid w:val="00161A18"/>
    <w:rsid w:val="001779F3"/>
    <w:rsid w:val="00186C90"/>
    <w:rsid w:val="00192897"/>
    <w:rsid w:val="001A3317"/>
    <w:rsid w:val="001A65F9"/>
    <w:rsid w:val="001B7CF4"/>
    <w:rsid w:val="001C6D3A"/>
    <w:rsid w:val="001D0B21"/>
    <w:rsid w:val="001E1076"/>
    <w:rsid w:val="001F59B6"/>
    <w:rsid w:val="00202C06"/>
    <w:rsid w:val="00210218"/>
    <w:rsid w:val="00222857"/>
    <w:rsid w:val="002321B0"/>
    <w:rsid w:val="00246836"/>
    <w:rsid w:val="00255ABA"/>
    <w:rsid w:val="0026052B"/>
    <w:rsid w:val="00271236"/>
    <w:rsid w:val="00276AAF"/>
    <w:rsid w:val="002801F8"/>
    <w:rsid w:val="002A4C30"/>
    <w:rsid w:val="002A572B"/>
    <w:rsid w:val="002B0820"/>
    <w:rsid w:val="002B5578"/>
    <w:rsid w:val="002E18CF"/>
    <w:rsid w:val="002E335E"/>
    <w:rsid w:val="002E3CC0"/>
    <w:rsid w:val="002F1C11"/>
    <w:rsid w:val="00302545"/>
    <w:rsid w:val="003176E1"/>
    <w:rsid w:val="00331821"/>
    <w:rsid w:val="00333D3D"/>
    <w:rsid w:val="00340AF3"/>
    <w:rsid w:val="00340D7D"/>
    <w:rsid w:val="00341E99"/>
    <w:rsid w:val="003465DC"/>
    <w:rsid w:val="003469CA"/>
    <w:rsid w:val="00352628"/>
    <w:rsid w:val="0036696D"/>
    <w:rsid w:val="00367B94"/>
    <w:rsid w:val="003776A7"/>
    <w:rsid w:val="0038050B"/>
    <w:rsid w:val="003A6E57"/>
    <w:rsid w:val="003A71A9"/>
    <w:rsid w:val="003B15EC"/>
    <w:rsid w:val="003B30B4"/>
    <w:rsid w:val="003C10BD"/>
    <w:rsid w:val="003E145C"/>
    <w:rsid w:val="003F00B3"/>
    <w:rsid w:val="00401DE1"/>
    <w:rsid w:val="00405548"/>
    <w:rsid w:val="0041131C"/>
    <w:rsid w:val="004145D2"/>
    <w:rsid w:val="004238CA"/>
    <w:rsid w:val="004317CB"/>
    <w:rsid w:val="00444F17"/>
    <w:rsid w:val="00447EE9"/>
    <w:rsid w:val="0045065A"/>
    <w:rsid w:val="004509AD"/>
    <w:rsid w:val="004578A2"/>
    <w:rsid w:val="00475350"/>
    <w:rsid w:val="00481B44"/>
    <w:rsid w:val="00484662"/>
    <w:rsid w:val="00490485"/>
    <w:rsid w:val="004915B5"/>
    <w:rsid w:val="00494ED0"/>
    <w:rsid w:val="004A0F7E"/>
    <w:rsid w:val="004A1401"/>
    <w:rsid w:val="004E146D"/>
    <w:rsid w:val="0050197F"/>
    <w:rsid w:val="005040EC"/>
    <w:rsid w:val="00506486"/>
    <w:rsid w:val="0056163C"/>
    <w:rsid w:val="0056364A"/>
    <w:rsid w:val="005721D4"/>
    <w:rsid w:val="00593A36"/>
    <w:rsid w:val="00594CB3"/>
    <w:rsid w:val="005A1198"/>
    <w:rsid w:val="005B15E5"/>
    <w:rsid w:val="005C2C39"/>
    <w:rsid w:val="005D4107"/>
    <w:rsid w:val="005D5B33"/>
    <w:rsid w:val="005F208A"/>
    <w:rsid w:val="006002DD"/>
    <w:rsid w:val="006013A3"/>
    <w:rsid w:val="006160ED"/>
    <w:rsid w:val="00626C22"/>
    <w:rsid w:val="00631F1B"/>
    <w:rsid w:val="0063304D"/>
    <w:rsid w:val="00637AF5"/>
    <w:rsid w:val="00640A26"/>
    <w:rsid w:val="00663881"/>
    <w:rsid w:val="00664553"/>
    <w:rsid w:val="00672989"/>
    <w:rsid w:val="006806E1"/>
    <w:rsid w:val="006850DC"/>
    <w:rsid w:val="0069545D"/>
    <w:rsid w:val="0069667B"/>
    <w:rsid w:val="006A60D4"/>
    <w:rsid w:val="006B0A7C"/>
    <w:rsid w:val="006B0D37"/>
    <w:rsid w:val="006B173F"/>
    <w:rsid w:val="006B17EF"/>
    <w:rsid w:val="006B297F"/>
    <w:rsid w:val="006E2FB4"/>
    <w:rsid w:val="006E59B6"/>
    <w:rsid w:val="006F0CD2"/>
    <w:rsid w:val="006F2B8B"/>
    <w:rsid w:val="006F4D0F"/>
    <w:rsid w:val="0070479A"/>
    <w:rsid w:val="00712F1B"/>
    <w:rsid w:val="0071437B"/>
    <w:rsid w:val="007245C9"/>
    <w:rsid w:val="007256B3"/>
    <w:rsid w:val="00742B56"/>
    <w:rsid w:val="00742E2F"/>
    <w:rsid w:val="00745462"/>
    <w:rsid w:val="00795BAB"/>
    <w:rsid w:val="007A08D1"/>
    <w:rsid w:val="007A2DEE"/>
    <w:rsid w:val="007B007C"/>
    <w:rsid w:val="007B64F6"/>
    <w:rsid w:val="007C0384"/>
    <w:rsid w:val="007D061D"/>
    <w:rsid w:val="007D22EB"/>
    <w:rsid w:val="007D3B00"/>
    <w:rsid w:val="007E0C1B"/>
    <w:rsid w:val="007E17BD"/>
    <w:rsid w:val="007E4C53"/>
    <w:rsid w:val="00806984"/>
    <w:rsid w:val="00810485"/>
    <w:rsid w:val="00812999"/>
    <w:rsid w:val="00814772"/>
    <w:rsid w:val="00824D72"/>
    <w:rsid w:val="00825B97"/>
    <w:rsid w:val="00831CCD"/>
    <w:rsid w:val="0084775D"/>
    <w:rsid w:val="00853C0F"/>
    <w:rsid w:val="0086463A"/>
    <w:rsid w:val="008754ED"/>
    <w:rsid w:val="00876482"/>
    <w:rsid w:val="00891CA8"/>
    <w:rsid w:val="00892E12"/>
    <w:rsid w:val="008B6774"/>
    <w:rsid w:val="008D158E"/>
    <w:rsid w:val="008E3A3A"/>
    <w:rsid w:val="00906892"/>
    <w:rsid w:val="00921271"/>
    <w:rsid w:val="009252AB"/>
    <w:rsid w:val="00951258"/>
    <w:rsid w:val="00952C5B"/>
    <w:rsid w:val="00955EC4"/>
    <w:rsid w:val="0097160A"/>
    <w:rsid w:val="009748B6"/>
    <w:rsid w:val="00975DD8"/>
    <w:rsid w:val="009A0B16"/>
    <w:rsid w:val="009E3C50"/>
    <w:rsid w:val="009F23D6"/>
    <w:rsid w:val="009F4BA7"/>
    <w:rsid w:val="009F7BB3"/>
    <w:rsid w:val="00A06BE2"/>
    <w:rsid w:val="00A32C8F"/>
    <w:rsid w:val="00A337E4"/>
    <w:rsid w:val="00A33C65"/>
    <w:rsid w:val="00A34222"/>
    <w:rsid w:val="00A45D82"/>
    <w:rsid w:val="00A651A7"/>
    <w:rsid w:val="00A67D76"/>
    <w:rsid w:val="00A706B8"/>
    <w:rsid w:val="00A805BA"/>
    <w:rsid w:val="00AA06A4"/>
    <w:rsid w:val="00AA0858"/>
    <w:rsid w:val="00AA0C27"/>
    <w:rsid w:val="00AA6250"/>
    <w:rsid w:val="00AB0CA7"/>
    <w:rsid w:val="00AB3769"/>
    <w:rsid w:val="00AC2E93"/>
    <w:rsid w:val="00AC39FD"/>
    <w:rsid w:val="00AD0977"/>
    <w:rsid w:val="00AE0527"/>
    <w:rsid w:val="00AF3BEA"/>
    <w:rsid w:val="00AF6B13"/>
    <w:rsid w:val="00AF7234"/>
    <w:rsid w:val="00B007C5"/>
    <w:rsid w:val="00B01D57"/>
    <w:rsid w:val="00B1614B"/>
    <w:rsid w:val="00B17CF0"/>
    <w:rsid w:val="00B37819"/>
    <w:rsid w:val="00B37A5B"/>
    <w:rsid w:val="00B429C0"/>
    <w:rsid w:val="00B51EF0"/>
    <w:rsid w:val="00B525CA"/>
    <w:rsid w:val="00B741F6"/>
    <w:rsid w:val="00B91CC4"/>
    <w:rsid w:val="00B92550"/>
    <w:rsid w:val="00BA1381"/>
    <w:rsid w:val="00BA1653"/>
    <w:rsid w:val="00BA401A"/>
    <w:rsid w:val="00BC5531"/>
    <w:rsid w:val="00BC7F42"/>
    <w:rsid w:val="00BD74FC"/>
    <w:rsid w:val="00BE4CAB"/>
    <w:rsid w:val="00BF026F"/>
    <w:rsid w:val="00BF4955"/>
    <w:rsid w:val="00C0290B"/>
    <w:rsid w:val="00C22097"/>
    <w:rsid w:val="00C25FDC"/>
    <w:rsid w:val="00C34553"/>
    <w:rsid w:val="00C34A91"/>
    <w:rsid w:val="00C377BC"/>
    <w:rsid w:val="00C5104E"/>
    <w:rsid w:val="00C60E61"/>
    <w:rsid w:val="00C657D7"/>
    <w:rsid w:val="00C666A3"/>
    <w:rsid w:val="00C67C8A"/>
    <w:rsid w:val="00C67F83"/>
    <w:rsid w:val="00C74A43"/>
    <w:rsid w:val="00C93220"/>
    <w:rsid w:val="00C941E2"/>
    <w:rsid w:val="00CA0B15"/>
    <w:rsid w:val="00CA5F75"/>
    <w:rsid w:val="00CA6CAE"/>
    <w:rsid w:val="00CB7253"/>
    <w:rsid w:val="00CB7557"/>
    <w:rsid w:val="00CD07B4"/>
    <w:rsid w:val="00CD3E65"/>
    <w:rsid w:val="00CD667A"/>
    <w:rsid w:val="00CE23C1"/>
    <w:rsid w:val="00CF0595"/>
    <w:rsid w:val="00D0011E"/>
    <w:rsid w:val="00D006AD"/>
    <w:rsid w:val="00D03E8A"/>
    <w:rsid w:val="00D42C22"/>
    <w:rsid w:val="00D42EFE"/>
    <w:rsid w:val="00D44900"/>
    <w:rsid w:val="00D5531A"/>
    <w:rsid w:val="00D678F8"/>
    <w:rsid w:val="00DA2B6A"/>
    <w:rsid w:val="00DB1DB4"/>
    <w:rsid w:val="00DD494D"/>
    <w:rsid w:val="00DE156B"/>
    <w:rsid w:val="00DE6186"/>
    <w:rsid w:val="00DE70D9"/>
    <w:rsid w:val="00DF4B3A"/>
    <w:rsid w:val="00E0137B"/>
    <w:rsid w:val="00E065DA"/>
    <w:rsid w:val="00E15B34"/>
    <w:rsid w:val="00E16CE7"/>
    <w:rsid w:val="00E3164F"/>
    <w:rsid w:val="00E437C5"/>
    <w:rsid w:val="00E75DB0"/>
    <w:rsid w:val="00E80456"/>
    <w:rsid w:val="00E956F3"/>
    <w:rsid w:val="00EA6845"/>
    <w:rsid w:val="00EB4469"/>
    <w:rsid w:val="00EC7EFD"/>
    <w:rsid w:val="00ED36D8"/>
    <w:rsid w:val="00EE6086"/>
    <w:rsid w:val="00EF4071"/>
    <w:rsid w:val="00EF765F"/>
    <w:rsid w:val="00F028DE"/>
    <w:rsid w:val="00F0585C"/>
    <w:rsid w:val="00F107B7"/>
    <w:rsid w:val="00F11F57"/>
    <w:rsid w:val="00F14BA8"/>
    <w:rsid w:val="00F15EF8"/>
    <w:rsid w:val="00F2154D"/>
    <w:rsid w:val="00F36E53"/>
    <w:rsid w:val="00F4316C"/>
    <w:rsid w:val="00F46176"/>
    <w:rsid w:val="00F5149E"/>
    <w:rsid w:val="00F56A74"/>
    <w:rsid w:val="00F56EB1"/>
    <w:rsid w:val="00F57AD9"/>
    <w:rsid w:val="00F832E5"/>
    <w:rsid w:val="00F870A3"/>
    <w:rsid w:val="00F91762"/>
    <w:rsid w:val="00F9405B"/>
    <w:rsid w:val="00FA0FE2"/>
    <w:rsid w:val="00FA34E8"/>
    <w:rsid w:val="00FA7D4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5B75F"/>
  <w15:chartTrackingRefBased/>
  <w15:docId w15:val="{8D5E9B9B-DB2D-4494-B303-6EDEFE08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Level1">
    <w:name w:val="Level 1"/>
    <w:basedOn w:val="Normal"/>
    <w:rsid w:val="00853C0F"/>
    <w:pPr>
      <w:numPr>
        <w:numId w:val="7"/>
      </w:numPr>
      <w:snapToGrid w:val="0"/>
      <w:ind w:left="720" w:hanging="720"/>
      <w:outlineLvl w:val="0"/>
    </w:pPr>
    <w:rPr>
      <w:rFonts w:ascii="Times New Roman" w:hAnsi="Times New Roman"/>
      <w:snapToGrid/>
    </w:rPr>
  </w:style>
  <w:style w:type="paragraph" w:styleId="Revision">
    <w:name w:val="Revision"/>
    <w:hidden/>
    <w:uiPriority w:val="99"/>
    <w:semiHidden/>
    <w:rsid w:val="00D42C22"/>
    <w:rPr>
      <w:rFonts w:ascii="Courier" w:eastAsia="Times New Roman" w:hAnsi="Courier"/>
      <w:snapToGrid w:val="0"/>
      <w:sz w:val="24"/>
      <w:szCs w:val="24"/>
    </w:rPr>
  </w:style>
  <w:style w:type="character" w:customStyle="1" w:styleId="FooterChar">
    <w:name w:val="Footer Char"/>
    <w:link w:val="Footer"/>
    <w:uiPriority w:val="99"/>
    <w:rsid w:val="00E15B34"/>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577">
      <w:bodyDiv w:val="1"/>
      <w:marLeft w:val="0"/>
      <w:marRight w:val="0"/>
      <w:marTop w:val="0"/>
      <w:marBottom w:val="0"/>
      <w:divBdr>
        <w:top w:val="none" w:sz="0" w:space="0" w:color="auto"/>
        <w:left w:val="none" w:sz="0" w:space="0" w:color="auto"/>
        <w:bottom w:val="none" w:sz="0" w:space="0" w:color="auto"/>
        <w:right w:val="none" w:sz="0" w:space="0" w:color="auto"/>
      </w:divBdr>
    </w:div>
    <w:div w:id="141777806">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298001625">
      <w:bodyDiv w:val="1"/>
      <w:marLeft w:val="0"/>
      <w:marRight w:val="0"/>
      <w:marTop w:val="0"/>
      <w:marBottom w:val="0"/>
      <w:divBdr>
        <w:top w:val="none" w:sz="0" w:space="0" w:color="auto"/>
        <w:left w:val="none" w:sz="0" w:space="0" w:color="auto"/>
        <w:bottom w:val="none" w:sz="0" w:space="0" w:color="auto"/>
        <w:right w:val="none" w:sz="0" w:space="0" w:color="auto"/>
      </w:divBdr>
    </w:div>
    <w:div w:id="351345924">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02142085">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474612649">
      <w:bodyDiv w:val="1"/>
      <w:marLeft w:val="0"/>
      <w:marRight w:val="0"/>
      <w:marTop w:val="0"/>
      <w:marBottom w:val="0"/>
      <w:divBdr>
        <w:top w:val="none" w:sz="0" w:space="0" w:color="auto"/>
        <w:left w:val="none" w:sz="0" w:space="0" w:color="auto"/>
        <w:bottom w:val="none" w:sz="0" w:space="0" w:color="auto"/>
        <w:right w:val="none" w:sz="0" w:space="0" w:color="auto"/>
      </w:divBdr>
    </w:div>
    <w:div w:id="511140880">
      <w:bodyDiv w:val="1"/>
      <w:marLeft w:val="0"/>
      <w:marRight w:val="0"/>
      <w:marTop w:val="0"/>
      <w:marBottom w:val="0"/>
      <w:divBdr>
        <w:top w:val="none" w:sz="0" w:space="0" w:color="auto"/>
        <w:left w:val="none" w:sz="0" w:space="0" w:color="auto"/>
        <w:bottom w:val="none" w:sz="0" w:space="0" w:color="auto"/>
        <w:right w:val="none" w:sz="0" w:space="0" w:color="auto"/>
      </w:divBdr>
    </w:div>
    <w:div w:id="540167369">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49021479">
      <w:bodyDiv w:val="1"/>
      <w:marLeft w:val="0"/>
      <w:marRight w:val="0"/>
      <w:marTop w:val="0"/>
      <w:marBottom w:val="0"/>
      <w:divBdr>
        <w:top w:val="none" w:sz="0" w:space="0" w:color="auto"/>
        <w:left w:val="none" w:sz="0" w:space="0" w:color="auto"/>
        <w:bottom w:val="none" w:sz="0" w:space="0" w:color="auto"/>
        <w:right w:val="none" w:sz="0" w:space="0" w:color="auto"/>
      </w:divBdr>
    </w:div>
    <w:div w:id="660044861">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23936231">
      <w:bodyDiv w:val="1"/>
      <w:marLeft w:val="0"/>
      <w:marRight w:val="0"/>
      <w:marTop w:val="0"/>
      <w:marBottom w:val="0"/>
      <w:divBdr>
        <w:top w:val="none" w:sz="0" w:space="0" w:color="auto"/>
        <w:left w:val="none" w:sz="0" w:space="0" w:color="auto"/>
        <w:bottom w:val="none" w:sz="0" w:space="0" w:color="auto"/>
        <w:right w:val="none" w:sz="0" w:space="0" w:color="auto"/>
      </w:divBdr>
    </w:div>
    <w:div w:id="859510831">
      <w:bodyDiv w:val="1"/>
      <w:marLeft w:val="0"/>
      <w:marRight w:val="0"/>
      <w:marTop w:val="0"/>
      <w:marBottom w:val="0"/>
      <w:divBdr>
        <w:top w:val="none" w:sz="0" w:space="0" w:color="auto"/>
        <w:left w:val="none" w:sz="0" w:space="0" w:color="auto"/>
        <w:bottom w:val="none" w:sz="0" w:space="0" w:color="auto"/>
        <w:right w:val="none" w:sz="0" w:space="0" w:color="auto"/>
      </w:divBdr>
    </w:div>
    <w:div w:id="892933558">
      <w:bodyDiv w:val="1"/>
      <w:marLeft w:val="0"/>
      <w:marRight w:val="0"/>
      <w:marTop w:val="0"/>
      <w:marBottom w:val="0"/>
      <w:divBdr>
        <w:top w:val="none" w:sz="0" w:space="0" w:color="auto"/>
        <w:left w:val="none" w:sz="0" w:space="0" w:color="auto"/>
        <w:bottom w:val="none" w:sz="0" w:space="0" w:color="auto"/>
        <w:right w:val="none" w:sz="0" w:space="0" w:color="auto"/>
      </w:divBdr>
    </w:div>
    <w:div w:id="906570129">
      <w:bodyDiv w:val="1"/>
      <w:marLeft w:val="0"/>
      <w:marRight w:val="0"/>
      <w:marTop w:val="0"/>
      <w:marBottom w:val="0"/>
      <w:divBdr>
        <w:top w:val="none" w:sz="0" w:space="0" w:color="auto"/>
        <w:left w:val="none" w:sz="0" w:space="0" w:color="auto"/>
        <w:bottom w:val="none" w:sz="0" w:space="0" w:color="auto"/>
        <w:right w:val="none" w:sz="0" w:space="0" w:color="auto"/>
      </w:divBdr>
    </w:div>
    <w:div w:id="1295329268">
      <w:bodyDiv w:val="1"/>
      <w:marLeft w:val="0"/>
      <w:marRight w:val="0"/>
      <w:marTop w:val="0"/>
      <w:marBottom w:val="0"/>
      <w:divBdr>
        <w:top w:val="none" w:sz="0" w:space="0" w:color="auto"/>
        <w:left w:val="none" w:sz="0" w:space="0" w:color="auto"/>
        <w:bottom w:val="none" w:sz="0" w:space="0" w:color="auto"/>
        <w:right w:val="none" w:sz="0" w:space="0" w:color="auto"/>
      </w:divBdr>
    </w:div>
    <w:div w:id="1318923761">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30586096">
      <w:bodyDiv w:val="1"/>
      <w:marLeft w:val="0"/>
      <w:marRight w:val="0"/>
      <w:marTop w:val="0"/>
      <w:marBottom w:val="0"/>
      <w:divBdr>
        <w:top w:val="none" w:sz="0" w:space="0" w:color="auto"/>
        <w:left w:val="none" w:sz="0" w:space="0" w:color="auto"/>
        <w:bottom w:val="none" w:sz="0" w:space="0" w:color="auto"/>
        <w:right w:val="none" w:sz="0" w:space="0" w:color="auto"/>
      </w:divBdr>
    </w:div>
    <w:div w:id="1596279567">
      <w:bodyDiv w:val="1"/>
      <w:marLeft w:val="0"/>
      <w:marRight w:val="0"/>
      <w:marTop w:val="0"/>
      <w:marBottom w:val="0"/>
      <w:divBdr>
        <w:top w:val="none" w:sz="0" w:space="0" w:color="auto"/>
        <w:left w:val="none" w:sz="0" w:space="0" w:color="auto"/>
        <w:bottom w:val="none" w:sz="0" w:space="0" w:color="auto"/>
        <w:right w:val="none" w:sz="0" w:space="0" w:color="auto"/>
      </w:divBdr>
    </w:div>
    <w:div w:id="1629043517">
      <w:bodyDiv w:val="1"/>
      <w:marLeft w:val="0"/>
      <w:marRight w:val="0"/>
      <w:marTop w:val="0"/>
      <w:marBottom w:val="0"/>
      <w:divBdr>
        <w:top w:val="none" w:sz="0" w:space="0" w:color="auto"/>
        <w:left w:val="none" w:sz="0" w:space="0" w:color="auto"/>
        <w:bottom w:val="none" w:sz="0" w:space="0" w:color="auto"/>
        <w:right w:val="none" w:sz="0" w:space="0" w:color="auto"/>
      </w:divBdr>
    </w:div>
    <w:div w:id="1677885123">
      <w:bodyDiv w:val="1"/>
      <w:marLeft w:val="0"/>
      <w:marRight w:val="0"/>
      <w:marTop w:val="0"/>
      <w:marBottom w:val="0"/>
      <w:divBdr>
        <w:top w:val="none" w:sz="0" w:space="0" w:color="auto"/>
        <w:left w:val="none" w:sz="0" w:space="0" w:color="auto"/>
        <w:bottom w:val="none" w:sz="0" w:space="0" w:color="auto"/>
        <w:right w:val="none" w:sz="0" w:space="0" w:color="auto"/>
      </w:divBdr>
    </w:div>
    <w:div w:id="1736587004">
      <w:bodyDiv w:val="1"/>
      <w:marLeft w:val="0"/>
      <w:marRight w:val="0"/>
      <w:marTop w:val="0"/>
      <w:marBottom w:val="0"/>
      <w:divBdr>
        <w:top w:val="none" w:sz="0" w:space="0" w:color="auto"/>
        <w:left w:val="none" w:sz="0" w:space="0" w:color="auto"/>
        <w:bottom w:val="none" w:sz="0" w:space="0" w:color="auto"/>
        <w:right w:val="none" w:sz="0" w:space="0" w:color="auto"/>
      </w:divBdr>
    </w:div>
    <w:div w:id="1750997984">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97EF6-EC15-4489-9DC0-FBC7E661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1631</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10763</CharactersWithSpaces>
  <SharedDoc>false</SharedDoc>
  <HLinks>
    <vt:vector size="6" baseType="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3</cp:revision>
  <dcterms:created xsi:type="dcterms:W3CDTF">2021-11-01T18:19:00Z</dcterms:created>
  <dcterms:modified xsi:type="dcterms:W3CDTF">2021-11-01T18:23:00Z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238411534</vt:i4>
  </property>
  <property fmtid="{D5CDD505-2E9C-101B-9397-08002B2CF9AE}" pid="4" name="_EmailSubject">
    <vt:lpwstr>Attorney-Client Privileged/Work Product - RE: OMB Expiration Notice: 0960-0619 (Application for SSA Employee Testimony)</vt:lpwstr>
  </property>
  <property fmtid="{D5CDD505-2E9C-101B-9397-08002B2CF9AE}" pid="5" name="_AuthorEmail">
    <vt:lpwstr>Tiffany.B.Davis@ssa.gov</vt:lpwstr>
  </property>
  <property fmtid="{D5CDD505-2E9C-101B-9397-08002B2CF9AE}" pid="6" name="_AuthorEmailDisplayName">
    <vt:lpwstr>Davis, Tiffany B.</vt:lpwstr>
  </property>
  <property fmtid="{D5CDD505-2E9C-101B-9397-08002B2CF9AE}" pid="7" name="_PreviousAdHocReviewCycleID">
    <vt:i4>-1266588670</vt:i4>
  </property>
  <property fmtid="{D5CDD505-2E9C-101B-9397-08002B2CF9AE}" pid="8" name="_ReviewingToolsShownOnce">
    <vt:lpwstr/>
  </property>
</Properties>
</file>