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59B6" w:rsidR="00A42C71" w:rsidP="00A42C71" w:rsidRDefault="00A42C71" w14:paraId="2A27214F"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A35AB11"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1A59B6" w:rsidR="00A42C71" w:rsidP="00083C7C" w:rsidRDefault="0067054F" w14:paraId="4A7DBF2F" w14:textId="14CEE118">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Personal Responsibility Education Program (PREP) Performance Measures and Adulthood Preparation Study (PMAPS)</w:t>
      </w: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A42C71" w14:paraId="3F6C890C" w14:textId="5079CACE">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 </w:t>
      </w:r>
      <w:r w:rsidR="0067054F">
        <w:rPr>
          <w:rFonts w:asciiTheme="minorHAnsi" w:hAnsiTheme="minorHAnsi" w:cstheme="minorHAnsi"/>
          <w:color w:val="auto"/>
          <w:sz w:val="32"/>
          <w:szCs w:val="32"/>
        </w:rPr>
        <w:t>0497</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FF770D" w14:paraId="0850FD2E" w14:textId="580F3B1E">
      <w:pPr>
        <w:pStyle w:val="ReportCover-Date"/>
        <w:spacing w:after="0"/>
        <w:jc w:val="center"/>
        <w:rPr>
          <w:rFonts w:asciiTheme="minorHAnsi" w:hAnsiTheme="minorHAnsi" w:cstheme="minorHAnsi"/>
          <w:color w:val="auto"/>
        </w:rPr>
      </w:pPr>
      <w:r>
        <w:rPr>
          <w:rFonts w:asciiTheme="minorHAnsi" w:hAnsiTheme="minorHAnsi" w:cstheme="minorHAnsi"/>
          <w:color w:val="auto"/>
        </w:rPr>
        <w:t>SEPTEMBER 2021</w:t>
      </w: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715DE65F" w14:textId="77777777">
      <w:pPr>
        <w:pStyle w:val="ReportCover-Date"/>
        <w:spacing w:after="0"/>
        <w:jc w:val="center"/>
        <w:rPr>
          <w:rFonts w:asciiTheme="minorHAnsi" w:hAnsiTheme="minorHAnsi" w:cstheme="minorHAnsi"/>
          <w:color w:val="auto"/>
        </w:rPr>
      </w:pPr>
    </w:p>
    <w:p w:rsidRPr="001A59B6" w:rsidR="00A42C71" w:rsidP="00A42C71" w:rsidRDefault="00A42C71" w14:paraId="3A5BBBCE" w14:textId="77777777">
      <w:pPr>
        <w:pStyle w:val="ReportCover-Date"/>
        <w:spacing w:after="0"/>
        <w:jc w:val="center"/>
        <w:rPr>
          <w:rFonts w:asciiTheme="minorHAnsi" w:hAnsiTheme="minorHAnsi" w:cstheme="minorHAnsi"/>
          <w:color w:val="auto"/>
        </w:rPr>
      </w:pPr>
    </w:p>
    <w:p w:rsidRPr="001A59B6" w:rsidR="00A42C71" w:rsidP="00A42C71" w:rsidRDefault="00A42C71" w14:paraId="6C4099E3" w14:textId="77777777">
      <w:pPr>
        <w:pStyle w:val="ReportCover-Date"/>
        <w:spacing w:after="0"/>
        <w:jc w:val="center"/>
        <w:rPr>
          <w:rFonts w:asciiTheme="minorHAnsi" w:hAnsiTheme="minorHAnsi" w:cstheme="minorHAnsi"/>
          <w:color w:val="auto"/>
        </w:rPr>
      </w:pPr>
    </w:p>
    <w:p w:rsidRPr="001A59B6" w:rsidR="00A42C71" w:rsidP="00A42C71" w:rsidRDefault="00A42C71" w14:paraId="055C8152" w14:textId="77777777">
      <w:pPr>
        <w:pStyle w:val="ReportCover-Date"/>
        <w:spacing w:after="0"/>
        <w:jc w:val="center"/>
        <w:rPr>
          <w:rFonts w:asciiTheme="minorHAnsi" w:hAnsiTheme="minorHAnsi" w:cstheme="minorHAnsi"/>
          <w:color w:val="auto"/>
        </w:rPr>
      </w:pPr>
    </w:p>
    <w:p w:rsidRPr="001A59B6" w:rsidR="00A42C71" w:rsidP="00A42C71" w:rsidRDefault="00A42C71" w14:paraId="48D9D0F9" w14:textId="77777777">
      <w:pPr>
        <w:pStyle w:val="ReportCover-Date"/>
        <w:spacing w:after="0"/>
        <w:jc w:val="center"/>
        <w:rPr>
          <w:rFonts w:asciiTheme="minorHAnsi" w:hAnsiTheme="minorHAnsi" w:cstheme="minorHAnsi"/>
          <w:color w:val="auto"/>
        </w:rPr>
      </w:pPr>
    </w:p>
    <w:p w:rsidRPr="001A59B6" w:rsidR="00A42C71" w:rsidP="00A42C71" w:rsidRDefault="00A42C71" w14:paraId="6732C469" w14:textId="77777777">
      <w:pPr>
        <w:pStyle w:val="ReportCover-Date"/>
        <w:spacing w:after="0"/>
        <w:jc w:val="center"/>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Pr="001A59B6" w:rsidR="00A42C71" w:rsidP="00A42C71" w:rsidRDefault="00A42C71" w14:paraId="16C3B2D5" w14:textId="5B5BDA78">
      <w:pPr>
        <w:spacing w:after="0" w:line="240" w:lineRule="auto"/>
        <w:jc w:val="center"/>
        <w:rPr>
          <w:rFonts w:cstheme="minorHAnsi"/>
        </w:rPr>
      </w:pPr>
      <w:r w:rsidRPr="001A59B6">
        <w:rPr>
          <w:rFonts w:cstheme="minorHAnsi"/>
        </w:rPr>
        <w:t>Project Officers:</w:t>
      </w:r>
      <w:r w:rsidR="00204A63">
        <w:rPr>
          <w:rFonts w:cstheme="minorHAnsi"/>
        </w:rPr>
        <w:t xml:space="preserve"> Caryn Blitz, Tia </w:t>
      </w:r>
      <w:r w:rsidR="00E10DE8">
        <w:rPr>
          <w:rFonts w:cstheme="minorHAnsi"/>
        </w:rPr>
        <w:t>Brown</w:t>
      </w: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3D580A57">
      <w:pPr>
        <w:spacing w:after="0"/>
        <w:jc w:val="center"/>
        <w:rPr>
          <w:rFonts w:cstheme="minorHAnsi"/>
          <w:b/>
          <w:sz w:val="32"/>
          <w:szCs w:val="32"/>
        </w:rPr>
      </w:pPr>
      <w:r w:rsidRPr="001A59B6">
        <w:rPr>
          <w:rFonts w:cstheme="minorHAnsi"/>
          <w:b/>
          <w:sz w:val="32"/>
          <w:szCs w:val="32"/>
        </w:rPr>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1F1E2135" w14:textId="77777777">
      <w:pPr>
        <w:spacing w:after="60" w:line="240" w:lineRule="auto"/>
        <w:rPr>
          <w:rFonts w:cstheme="minorHAnsi"/>
          <w:i/>
        </w:rPr>
      </w:pPr>
      <w:r w:rsidRPr="001A59B6">
        <w:rPr>
          <w:rFonts w:cstheme="minorHAnsi"/>
          <w:i/>
        </w:rPr>
        <w:t>Study Objectives</w:t>
      </w:r>
    </w:p>
    <w:p w:rsidRPr="00B5726A" w:rsidR="00B5726A" w:rsidP="00B5726A" w:rsidRDefault="005E3217" w14:paraId="1A194A0D" w14:textId="5CABCABE">
      <w:pPr>
        <w:spacing w:after="0"/>
        <w:rPr>
          <w:rFonts w:cstheme="minorHAnsi"/>
        </w:rPr>
      </w:pPr>
      <w:r>
        <w:rPr>
          <w:rFonts w:cstheme="minorHAnsi"/>
        </w:rPr>
        <w:tab/>
      </w:r>
      <w:r w:rsidRPr="00555A5E" w:rsidR="00ED544C">
        <w:rPr>
          <w:rFonts w:cstheme="minorHAnsi"/>
        </w:rPr>
        <w:t>The objective of the P</w:t>
      </w:r>
      <w:r w:rsidR="00F02347">
        <w:rPr>
          <w:rFonts w:cstheme="minorHAnsi"/>
        </w:rPr>
        <w:t xml:space="preserve">ersonal Responsibility Education Program (PREP) performance measures (PM) </w:t>
      </w:r>
      <w:r w:rsidRPr="00555A5E" w:rsidR="00ED544C">
        <w:rPr>
          <w:rFonts w:cstheme="minorHAnsi"/>
        </w:rPr>
        <w:t xml:space="preserve">effort is to document how PREP-funded programs are operationalized in the field and assess program outcomes.  </w:t>
      </w:r>
      <w:r w:rsidRPr="00B5726A" w:rsidR="00B5726A">
        <w:rPr>
          <w:rFonts w:cstheme="minorHAnsi"/>
        </w:rPr>
        <w:t>This performance measures effort includes collection and analysis of performance measure</w:t>
      </w:r>
      <w:r w:rsidR="008A5761">
        <w:rPr>
          <w:rFonts w:cstheme="minorHAnsi"/>
        </w:rPr>
        <w:t>s</w:t>
      </w:r>
      <w:r w:rsidRPr="00B5726A" w:rsidR="00B5726A">
        <w:rPr>
          <w:rFonts w:cstheme="minorHAnsi"/>
        </w:rPr>
        <w:t xml:space="preserve"> data from State PREP (SPREP), Tribal PREP (TPREP), Competitive PREP (CPREP), and Personal Responsibility Education Innovative Strategies (PREIS) grantees</w:t>
      </w:r>
      <w:bookmarkStart w:name="_Hlk35244766" w:id="0"/>
      <w:r w:rsidR="00B5726A">
        <w:rPr>
          <w:rFonts w:cstheme="minorHAnsi"/>
        </w:rPr>
        <w:t xml:space="preserve">. </w:t>
      </w:r>
      <w:r w:rsidRPr="00B5726A" w:rsidR="00B5726A">
        <w:rPr>
          <w:rFonts w:cstheme="minorHAnsi"/>
        </w:rPr>
        <w:t xml:space="preserve">ACF will use the </w:t>
      </w:r>
      <w:r w:rsidR="008A5761">
        <w:rPr>
          <w:rFonts w:cstheme="minorHAnsi"/>
        </w:rPr>
        <w:t>PM</w:t>
      </w:r>
      <w:r w:rsidRPr="00B5726A" w:rsidR="00B5726A">
        <w:rPr>
          <w:rFonts w:cstheme="minorHAnsi"/>
        </w:rPr>
        <w:t xml:space="preserve"> data to continue to (1) track how grantees are allocating their PREP funds; (2) assess whether PREP objectives are being met (e.g., in terms of the populations served); and (3) help drive PREP programs toward continuous improvement of service delivery. In addition, ACF will use this information to fulfill reporting requirements to Congress and OMB concerning the PREP initiative. ACF will also continue to share grantee and provider level findings with each grantee to inform their own program improvement efforts. </w:t>
      </w:r>
    </w:p>
    <w:bookmarkEnd w:id="0"/>
    <w:p w:rsidRPr="001A59B6" w:rsidR="00A42C71" w:rsidP="00A42C71" w:rsidRDefault="00A42C71" w14:paraId="078509A0" w14:textId="77777777">
      <w:pPr>
        <w:spacing w:after="0" w:line="240" w:lineRule="auto"/>
        <w:rPr>
          <w:rFonts w:cstheme="minorHAnsi"/>
        </w:rPr>
      </w:pPr>
    </w:p>
    <w:p w:rsidRPr="001A59B6" w:rsidR="00A42C71" w:rsidP="00A42C71" w:rsidRDefault="00A42C71" w14:paraId="15CEF91F" w14:textId="77777777">
      <w:pPr>
        <w:spacing w:after="60" w:line="240" w:lineRule="auto"/>
        <w:rPr>
          <w:rFonts w:cstheme="minorHAnsi"/>
        </w:rPr>
      </w:pPr>
      <w:r w:rsidRPr="001A59B6">
        <w:rPr>
          <w:rFonts w:cstheme="minorHAnsi"/>
          <w:i/>
        </w:rPr>
        <w:t xml:space="preserve">Generalizability of Results </w:t>
      </w:r>
    </w:p>
    <w:p w:rsidRPr="001A59B6" w:rsidR="00A42C71" w:rsidP="00595229" w:rsidRDefault="00945808" w14:paraId="4037E45E" w14:textId="5313E32C">
      <w:pPr>
        <w:autoSpaceDE w:val="0"/>
        <w:autoSpaceDN w:val="0"/>
        <w:adjustRightInd w:val="0"/>
        <w:spacing w:after="0" w:line="240" w:lineRule="atLeast"/>
        <w:ind w:firstLine="720"/>
        <w:rPr>
          <w:rFonts w:eastAsia="Times New Roman" w:cstheme="minorHAnsi"/>
          <w:color w:val="000000"/>
        </w:rPr>
      </w:pPr>
      <w:r w:rsidRPr="007733D5">
        <w:t xml:space="preserve">This study is intended to present internally-valid description of </w:t>
      </w:r>
      <w:r>
        <w:t>PREP</w:t>
      </w:r>
      <w:r w:rsidRPr="007733D5">
        <w:t>, not to promote statistical generalization to other sites or service populations.</w:t>
      </w:r>
    </w:p>
    <w:p w:rsidRPr="001A59B6" w:rsidR="00A42C71" w:rsidP="00595229" w:rsidRDefault="00A42C71" w14:paraId="3C9D8A40" w14:textId="77777777">
      <w:pPr>
        <w:autoSpaceDE w:val="0"/>
        <w:autoSpaceDN w:val="0"/>
        <w:adjustRightInd w:val="0"/>
        <w:spacing w:after="0" w:line="240" w:lineRule="auto"/>
        <w:rPr>
          <w:rFonts w:eastAsia="Times New Roman" w:cstheme="minorHAnsi"/>
          <w:color w:val="000000"/>
        </w:rPr>
      </w:pPr>
    </w:p>
    <w:p w:rsidRPr="001A59B6" w:rsidR="00A42C71" w:rsidP="00A42C71" w:rsidRDefault="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Pr="00555A5E" w:rsidR="00555A5E" w:rsidP="00595229" w:rsidRDefault="00555A5E" w14:paraId="5ADADA43" w14:textId="48256E0D">
      <w:pPr>
        <w:pStyle w:val="NormalWeb"/>
        <w:spacing w:before="0" w:beforeAutospacing="0" w:after="0" w:afterAutospacing="0"/>
        <w:ind w:firstLine="720"/>
        <w:rPr>
          <w:rFonts w:ascii="Calibri" w:hAnsi="Calibri" w:cs="Calibri"/>
          <w:sz w:val="22"/>
          <w:szCs w:val="22"/>
        </w:rPr>
      </w:pPr>
      <w:r w:rsidRPr="00555A5E">
        <w:rPr>
          <w:rFonts w:ascii="Calibri" w:hAnsi="Calibri" w:cs="Calibri"/>
          <w:sz w:val="22"/>
          <w:szCs w:val="22"/>
        </w:rPr>
        <w:t xml:space="preserve">The </w:t>
      </w:r>
      <w:r>
        <w:rPr>
          <w:rFonts w:ascii="Calibri" w:hAnsi="Calibri" w:cs="Calibri"/>
          <w:sz w:val="22"/>
          <w:szCs w:val="22"/>
        </w:rPr>
        <w:t xml:space="preserve">PREP </w:t>
      </w:r>
      <w:r w:rsidR="005B4898">
        <w:rPr>
          <w:rFonts w:ascii="Calibri" w:hAnsi="Calibri" w:cs="Calibri"/>
          <w:sz w:val="22"/>
          <w:szCs w:val="22"/>
        </w:rPr>
        <w:t>PM</w:t>
      </w:r>
      <w:r>
        <w:rPr>
          <w:rFonts w:ascii="Calibri" w:hAnsi="Calibri" w:cs="Calibri"/>
          <w:sz w:val="22"/>
          <w:szCs w:val="22"/>
        </w:rPr>
        <w:t xml:space="preserve"> data collection </w:t>
      </w:r>
      <w:r w:rsidRPr="00555A5E">
        <w:rPr>
          <w:rFonts w:ascii="Calibri" w:hAnsi="Calibri" w:cs="Calibri"/>
          <w:sz w:val="22"/>
          <w:szCs w:val="22"/>
        </w:rPr>
        <w:t xml:space="preserve">is designed to describe the implementation and outcomes of the </w:t>
      </w:r>
      <w:r>
        <w:rPr>
          <w:rFonts w:ascii="Calibri" w:hAnsi="Calibri" w:cs="Calibri"/>
          <w:sz w:val="22"/>
          <w:szCs w:val="22"/>
        </w:rPr>
        <w:t xml:space="preserve">PREP </w:t>
      </w:r>
      <w:r w:rsidRPr="00555A5E">
        <w:rPr>
          <w:rFonts w:ascii="Calibri" w:hAnsi="Calibri" w:cs="Calibri"/>
          <w:sz w:val="22"/>
          <w:szCs w:val="22"/>
        </w:rPr>
        <w:t xml:space="preserve">program. The </w:t>
      </w:r>
      <w:r w:rsidR="008A5761">
        <w:rPr>
          <w:rFonts w:ascii="Calibri" w:hAnsi="Calibri" w:cs="Calibri"/>
          <w:sz w:val="22"/>
          <w:szCs w:val="22"/>
        </w:rPr>
        <w:t>PM</w:t>
      </w:r>
      <w:r w:rsidRPr="00555A5E">
        <w:rPr>
          <w:rFonts w:ascii="Calibri" w:hAnsi="Calibri" w:cs="Calibri"/>
          <w:sz w:val="22"/>
          <w:szCs w:val="22"/>
        </w:rPr>
        <w:t xml:space="preserve"> data collected through this descriptive study provide necessary information to ACF and grantees to effectively manage the</w:t>
      </w:r>
      <w:r w:rsidR="008A5761">
        <w:rPr>
          <w:rFonts w:ascii="Calibri" w:hAnsi="Calibri" w:cs="Calibri"/>
          <w:sz w:val="22"/>
          <w:szCs w:val="22"/>
        </w:rPr>
        <w:t>ir</w:t>
      </w:r>
      <w:r w:rsidRPr="00555A5E">
        <w:rPr>
          <w:rFonts w:ascii="Calibri" w:hAnsi="Calibri" w:cs="Calibri"/>
          <w:sz w:val="22"/>
          <w:szCs w:val="22"/>
        </w:rPr>
        <w:t xml:space="preserve"> programs. Entry and exit surveys of youth participating in </w:t>
      </w:r>
      <w:r>
        <w:rPr>
          <w:rFonts w:ascii="Calibri" w:hAnsi="Calibri" w:cs="Calibri"/>
          <w:sz w:val="22"/>
          <w:szCs w:val="22"/>
        </w:rPr>
        <w:t xml:space="preserve">PREP </w:t>
      </w:r>
      <w:r w:rsidRPr="00555A5E">
        <w:rPr>
          <w:rFonts w:ascii="Calibri" w:hAnsi="Calibri" w:cs="Calibri"/>
          <w:sz w:val="22"/>
          <w:szCs w:val="22"/>
        </w:rPr>
        <w:t xml:space="preserve">are necessary to collect information on the demographic </w:t>
      </w:r>
      <w:r w:rsidRPr="00146F72">
        <w:rPr>
          <w:rFonts w:ascii="Calibri" w:hAnsi="Calibri" w:cs="Calibri"/>
          <w:sz w:val="22"/>
          <w:szCs w:val="22"/>
        </w:rPr>
        <w:t xml:space="preserve">and behavioral characteristics of program participants, their </w:t>
      </w:r>
      <w:r w:rsidRPr="00146F72" w:rsidR="00146F72">
        <w:rPr>
          <w:rFonts w:ascii="Calibri" w:hAnsi="Calibri" w:cs="Calibri"/>
          <w:sz w:val="22"/>
          <w:szCs w:val="22"/>
        </w:rPr>
        <w:t xml:space="preserve">experiences in the program, </w:t>
      </w:r>
      <w:r w:rsidRPr="00146F72">
        <w:rPr>
          <w:rFonts w:ascii="Calibri" w:hAnsi="Calibri" w:cs="Calibri"/>
          <w:sz w:val="22"/>
          <w:szCs w:val="22"/>
        </w:rPr>
        <w:t>and their perceptions of program effects. Administrative</w:t>
      </w:r>
      <w:r w:rsidRPr="00555A5E">
        <w:rPr>
          <w:rFonts w:ascii="Calibri" w:hAnsi="Calibri" w:cs="Calibri"/>
          <w:sz w:val="22"/>
          <w:szCs w:val="22"/>
        </w:rPr>
        <w:t xml:space="preserve"> data from grantees and their </w:t>
      </w:r>
      <w:r w:rsidR="005E4288">
        <w:rPr>
          <w:rFonts w:ascii="Calibri" w:hAnsi="Calibri" w:cs="Calibri"/>
          <w:sz w:val="22"/>
          <w:szCs w:val="22"/>
        </w:rPr>
        <w:t>subrecipient</w:t>
      </w:r>
      <w:r w:rsidRPr="00555A5E">
        <w:rPr>
          <w:rFonts w:ascii="Calibri" w:hAnsi="Calibri" w:cs="Calibri"/>
          <w:sz w:val="22"/>
          <w:szCs w:val="22"/>
        </w:rPr>
        <w:t xml:space="preserve"> program providers are needed to understand the structure and features of </w:t>
      </w:r>
      <w:r w:rsidR="00927D90">
        <w:rPr>
          <w:rFonts w:ascii="Calibri" w:hAnsi="Calibri" w:cs="Calibri"/>
          <w:sz w:val="22"/>
          <w:szCs w:val="22"/>
        </w:rPr>
        <w:t xml:space="preserve">PREP </w:t>
      </w:r>
      <w:r w:rsidRPr="00555A5E">
        <w:rPr>
          <w:rFonts w:ascii="Calibri" w:hAnsi="Calibri" w:cs="Calibri"/>
          <w:sz w:val="22"/>
          <w:szCs w:val="22"/>
        </w:rPr>
        <w:t>programs, participant numbers, implementation supports, and staff perceptions of quality challenges and needs for technical assistance. Because these are performance measures, data are required on the universe of grantees, programs, and participants.</w:t>
      </w:r>
    </w:p>
    <w:p w:rsidR="00555A5E" w:rsidP="00A42C71" w:rsidRDefault="00555A5E" w14:paraId="37BC7C02" w14:textId="77777777">
      <w:pPr>
        <w:pStyle w:val="NormalWeb"/>
        <w:spacing w:before="0" w:beforeAutospacing="0" w:after="0" w:afterAutospacing="0"/>
        <w:rPr>
          <w:rFonts w:asciiTheme="minorHAnsi" w:hAnsiTheme="minorHAnsi" w:cstheme="minorHAnsi"/>
          <w:sz w:val="22"/>
          <w:szCs w:val="22"/>
        </w:rPr>
      </w:pPr>
    </w:p>
    <w:p w:rsidRPr="001A59B6" w:rsidR="00A42C71" w:rsidP="00595229" w:rsidRDefault="00A42C71" w14:paraId="21886270" w14:textId="0AB408A6">
      <w:pPr>
        <w:pStyle w:val="NormalWeb"/>
        <w:spacing w:before="0" w:beforeAutospacing="0" w:after="0" w:afterAutospacing="0"/>
        <w:ind w:firstLine="72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0A3692" w:rsidP="00A42C71" w:rsidRDefault="000A3692" w14:paraId="236DE0A3" w14:textId="77777777">
      <w:pPr>
        <w:pStyle w:val="ListParagraph"/>
        <w:spacing w:after="120"/>
        <w:ind w:left="0"/>
        <w:rPr>
          <w:rFonts w:cstheme="minorHAnsi"/>
          <w:b/>
        </w:rPr>
      </w:pPr>
    </w:p>
    <w:p w:rsidR="000A3692" w:rsidP="00A42C71" w:rsidRDefault="000A3692" w14:paraId="65021238" w14:textId="77777777">
      <w:pPr>
        <w:pStyle w:val="ListParagraph"/>
        <w:spacing w:after="120"/>
        <w:ind w:left="0"/>
        <w:rPr>
          <w:rFonts w:cstheme="minorHAnsi"/>
          <w:b/>
        </w:rPr>
      </w:pPr>
    </w:p>
    <w:p w:rsidRPr="000A3692" w:rsidR="005248F4" w:rsidP="000A3692" w:rsidRDefault="00A42C71" w14:paraId="15600875" w14:textId="5FA6E530">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C523DE" w:rsidR="00A42C71" w:rsidP="00C523DE" w:rsidRDefault="00A42C71" w14:paraId="4C77B3BD" w14:textId="5F9A0550">
      <w:pPr>
        <w:spacing w:after="60"/>
        <w:rPr>
          <w:i/>
        </w:rPr>
      </w:pPr>
      <w:r w:rsidRPr="00C523DE">
        <w:rPr>
          <w:i/>
        </w:rPr>
        <w:t xml:space="preserve">Target Population  </w:t>
      </w:r>
    </w:p>
    <w:p w:rsidR="003D4E7B" w:rsidP="00595229" w:rsidRDefault="003D4E7B" w14:paraId="3555807E" w14:textId="08F74043">
      <w:pPr>
        <w:spacing w:after="120" w:line="240" w:lineRule="auto"/>
        <w:ind w:firstLine="720"/>
        <w:rPr>
          <w:rFonts w:eastAsia="Times New Roman" w:cstheme="minorHAnsi"/>
          <w:color w:val="000000"/>
        </w:rPr>
      </w:pPr>
      <w:r>
        <w:rPr>
          <w:rFonts w:cstheme="minorHAnsi"/>
        </w:rPr>
        <w:t xml:space="preserve">The target population for the PREP </w:t>
      </w:r>
      <w:r w:rsidR="00DA1123">
        <w:rPr>
          <w:rFonts w:cstheme="minorHAnsi"/>
        </w:rPr>
        <w:t xml:space="preserve">PMAPS </w:t>
      </w:r>
      <w:r>
        <w:rPr>
          <w:rFonts w:cstheme="minorHAnsi"/>
        </w:rPr>
        <w:t xml:space="preserve">PM data collection includes </w:t>
      </w:r>
      <w:r w:rsidRPr="00412F80">
        <w:rPr>
          <w:rFonts w:cstheme="minorHAnsi"/>
        </w:rPr>
        <w:t>all</w:t>
      </w:r>
      <w:r w:rsidR="00995648">
        <w:rPr>
          <w:rFonts w:cstheme="minorHAnsi"/>
        </w:rPr>
        <w:t xml:space="preserve"> PREP</w:t>
      </w:r>
      <w:r w:rsidRPr="00412F80">
        <w:rPr>
          <w:rFonts w:cstheme="minorHAnsi"/>
        </w:rPr>
        <w:t xml:space="preserve"> grantees, their </w:t>
      </w:r>
      <w:r w:rsidR="005E4288">
        <w:rPr>
          <w:rFonts w:cstheme="minorHAnsi"/>
        </w:rPr>
        <w:t>subrecipient</w:t>
      </w:r>
      <w:r w:rsidRPr="00412F80">
        <w:rPr>
          <w:rFonts w:cstheme="minorHAnsi"/>
        </w:rPr>
        <w:t xml:space="preserve"> program providers, and youth participants. </w:t>
      </w:r>
      <w:r w:rsidRPr="00412F80">
        <w:t xml:space="preserve">The </w:t>
      </w:r>
      <w:r w:rsidR="00D33CA9">
        <w:t xml:space="preserve">numbers may vary somewhat by year, but </w:t>
      </w:r>
      <w:r w:rsidR="00455A25">
        <w:t xml:space="preserve">currently </w:t>
      </w:r>
      <w:r w:rsidRPr="00455A25" w:rsidR="00D33CA9">
        <w:t>they</w:t>
      </w:r>
      <w:r w:rsidR="00D33CA9">
        <w:t xml:space="preserve"> include </w:t>
      </w:r>
      <w:r w:rsidRPr="00412F80" w:rsidR="00146F72">
        <w:t>51</w:t>
      </w:r>
      <w:r w:rsidRPr="00412F80">
        <w:t xml:space="preserve"> State </w:t>
      </w:r>
      <w:r w:rsidRPr="00412F80" w:rsidR="00146F72">
        <w:t xml:space="preserve">PREP </w:t>
      </w:r>
      <w:r w:rsidRPr="00412F80">
        <w:t>(S</w:t>
      </w:r>
      <w:r w:rsidRPr="00412F80" w:rsidR="00146F72">
        <w:t>PREP</w:t>
      </w:r>
      <w:r w:rsidRPr="00412F80">
        <w:t xml:space="preserve">), </w:t>
      </w:r>
      <w:r w:rsidR="00A94779">
        <w:t>8</w:t>
      </w:r>
      <w:r w:rsidRPr="00412F80" w:rsidR="00146F72">
        <w:t xml:space="preserve"> Tribal PREP grantees (TPREP), </w:t>
      </w:r>
      <w:r w:rsidR="008F381B">
        <w:t xml:space="preserve">30 </w:t>
      </w:r>
      <w:r w:rsidRPr="00412F80">
        <w:t xml:space="preserve">Competitive </w:t>
      </w:r>
      <w:r w:rsidRPr="00412F80" w:rsidR="00146F72">
        <w:t xml:space="preserve">PREP </w:t>
      </w:r>
      <w:r w:rsidRPr="00412F80">
        <w:t>grantees (C</w:t>
      </w:r>
      <w:r w:rsidRPr="00412F80" w:rsidR="00146F72">
        <w:t>PREP</w:t>
      </w:r>
      <w:r w:rsidRPr="00412F80">
        <w:t>)</w:t>
      </w:r>
      <w:r w:rsidRPr="00412F80" w:rsidR="00146F72">
        <w:t xml:space="preserve">, and </w:t>
      </w:r>
      <w:r w:rsidR="00AE2040">
        <w:t>1</w:t>
      </w:r>
      <w:r w:rsidR="00A94779">
        <w:t>2</w:t>
      </w:r>
      <w:r w:rsidRPr="00412F80" w:rsidR="00146F72">
        <w:t xml:space="preserve"> PREIS </w:t>
      </w:r>
      <w:r w:rsidRPr="00412F80" w:rsidR="00412F80">
        <w:t>grantees</w:t>
      </w:r>
      <w:r w:rsidRPr="00111EAF">
        <w:t xml:space="preserve">. </w:t>
      </w:r>
      <w:r w:rsidR="00D33CA9">
        <w:rPr>
          <w:rFonts w:cstheme="minorHAnsi"/>
        </w:rPr>
        <w:t>T</w:t>
      </w:r>
      <w:r w:rsidRPr="00111EAF">
        <w:rPr>
          <w:rFonts w:cstheme="minorHAnsi"/>
        </w:rPr>
        <w:t xml:space="preserve">he number of </w:t>
      </w:r>
      <w:r w:rsidR="005E4288">
        <w:rPr>
          <w:rFonts w:cstheme="minorHAnsi"/>
        </w:rPr>
        <w:t xml:space="preserve">subrecipient </w:t>
      </w:r>
      <w:r w:rsidR="00D33CA9">
        <w:rPr>
          <w:rFonts w:cstheme="minorHAnsi"/>
        </w:rPr>
        <w:t xml:space="preserve">providers </w:t>
      </w:r>
      <w:r w:rsidRPr="00111EAF">
        <w:rPr>
          <w:rFonts w:cstheme="minorHAnsi"/>
        </w:rPr>
        <w:t xml:space="preserve">is estimated to be </w:t>
      </w:r>
      <w:r w:rsidR="00575E78">
        <w:rPr>
          <w:rFonts w:cstheme="minorHAnsi"/>
        </w:rPr>
        <w:t xml:space="preserve">400 </w:t>
      </w:r>
      <w:r w:rsidRPr="00111EAF">
        <w:rPr>
          <w:rFonts w:cstheme="minorHAnsi"/>
        </w:rPr>
        <w:t xml:space="preserve">across all grantees. </w:t>
      </w:r>
      <w:r w:rsidRPr="00111EAF">
        <w:rPr>
          <w:rFonts w:eastAsia="Times New Roman" w:cstheme="minorHAnsi"/>
          <w:color w:val="000000"/>
        </w:rPr>
        <w:t xml:space="preserve">Grantees are expected to </w:t>
      </w:r>
      <w:r w:rsidRPr="00111EAF">
        <w:t>serve</w:t>
      </w:r>
      <w:r w:rsidRPr="00111EAF">
        <w:rPr>
          <w:rFonts w:eastAsia="Times New Roman" w:cstheme="minorHAnsi"/>
          <w:color w:val="000000"/>
        </w:rPr>
        <w:t xml:space="preserve"> approximately </w:t>
      </w:r>
      <w:r w:rsidR="00296976">
        <w:rPr>
          <w:rFonts w:eastAsia="Times New Roman" w:cstheme="minorHAnsi"/>
          <w:color w:val="000000"/>
        </w:rPr>
        <w:t>369,474</w:t>
      </w:r>
      <w:r w:rsidR="00111EAF">
        <w:rPr>
          <w:szCs w:val="20"/>
        </w:rPr>
        <w:t xml:space="preserve"> </w:t>
      </w:r>
      <w:r w:rsidRPr="00111EAF">
        <w:rPr>
          <w:rFonts w:eastAsia="Times New Roman" w:cstheme="minorHAnsi"/>
          <w:color w:val="000000"/>
        </w:rPr>
        <w:t>participants</w:t>
      </w:r>
      <w:r w:rsidRPr="00CA2789">
        <w:rPr>
          <w:rFonts w:eastAsia="Times New Roman" w:cstheme="minorHAnsi"/>
          <w:color w:val="000000"/>
        </w:rPr>
        <w:t xml:space="preserve"> over the three</w:t>
      </w:r>
      <w:r w:rsidR="00111EAF">
        <w:rPr>
          <w:rFonts w:eastAsia="Times New Roman" w:cstheme="minorHAnsi"/>
          <w:color w:val="000000"/>
        </w:rPr>
        <w:t>-</w:t>
      </w:r>
      <w:r w:rsidRPr="00CA2789">
        <w:rPr>
          <w:rFonts w:eastAsia="Times New Roman" w:cstheme="minorHAnsi"/>
          <w:color w:val="000000"/>
        </w:rPr>
        <w:t xml:space="preserve">year OMB clearance period, for an average of about </w:t>
      </w:r>
      <w:r w:rsidR="00296976">
        <w:rPr>
          <w:rFonts w:eastAsia="Times New Roman" w:cstheme="minorHAnsi"/>
          <w:color w:val="000000"/>
        </w:rPr>
        <w:t xml:space="preserve">123,158 </w:t>
      </w:r>
      <w:r w:rsidR="00111EAF">
        <w:rPr>
          <w:rFonts w:eastAsia="Times New Roman" w:cstheme="minorHAnsi"/>
          <w:color w:val="000000"/>
        </w:rPr>
        <w:t xml:space="preserve"> </w:t>
      </w:r>
      <w:r w:rsidRPr="00CA2789">
        <w:rPr>
          <w:rFonts w:eastAsia="Times New Roman" w:cstheme="minorHAnsi"/>
          <w:color w:val="000000"/>
        </w:rPr>
        <w:t>new participants per year.</w:t>
      </w:r>
      <w:r>
        <w:rPr>
          <w:rFonts w:eastAsia="Times New Roman" w:cstheme="minorHAnsi"/>
          <w:color w:val="000000"/>
        </w:rPr>
        <w:t xml:space="preserve"> P</w:t>
      </w:r>
      <w:r>
        <w:rPr>
          <w:szCs w:val="24"/>
        </w:rPr>
        <w:t xml:space="preserve">rogram </w:t>
      </w:r>
      <w:r>
        <w:rPr>
          <w:szCs w:val="24"/>
        </w:rPr>
        <w:lastRenderedPageBreak/>
        <w:t>participants are youth</w:t>
      </w:r>
      <w:r w:rsidR="00F02347">
        <w:rPr>
          <w:szCs w:val="24"/>
        </w:rPr>
        <w:t xml:space="preserve"> in middle school through age 20.</w:t>
      </w:r>
      <w:r>
        <w:rPr>
          <w:szCs w:val="24"/>
        </w:rPr>
        <w:t xml:space="preserve"> </w:t>
      </w:r>
      <w:r>
        <w:rPr>
          <w:rFonts w:eastAsia="Times New Roman" w:cstheme="minorHAnsi"/>
          <w:color w:val="000000"/>
        </w:rPr>
        <w:t>The data collection instruments to be used by each target population are as follows:</w:t>
      </w:r>
    </w:p>
    <w:p w:rsidR="003D4E7B" w:rsidP="003D4E7B" w:rsidRDefault="003D4E7B" w14:paraId="2C2F3984" w14:textId="5CF68785">
      <w:pPr>
        <w:pStyle w:val="ListParagraph"/>
        <w:numPr>
          <w:ilvl w:val="0"/>
          <w:numId w:val="32"/>
        </w:numPr>
        <w:spacing w:after="240" w:line="240" w:lineRule="auto"/>
        <w:rPr>
          <w:rFonts w:eastAsia="Times New Roman" w:cstheme="minorHAnsi"/>
          <w:color w:val="000000"/>
        </w:rPr>
      </w:pPr>
      <w:r>
        <w:rPr>
          <w:rFonts w:cs="Calibri"/>
          <w:b/>
        </w:rPr>
        <w:t>Instrument 1</w:t>
      </w:r>
      <w:r w:rsidR="00F56CFC">
        <w:rPr>
          <w:rFonts w:cs="Calibri"/>
          <w:b/>
        </w:rPr>
        <w:t xml:space="preserve"> (</w:t>
      </w:r>
      <w:r w:rsidR="00AC41E5">
        <w:rPr>
          <w:rFonts w:cs="Calibri"/>
          <w:b/>
        </w:rPr>
        <w:t>a</w:t>
      </w:r>
      <w:r w:rsidR="00F56CFC">
        <w:rPr>
          <w:rFonts w:cs="Calibri"/>
          <w:b/>
        </w:rPr>
        <w:t xml:space="preserve"> through </w:t>
      </w:r>
      <w:r w:rsidR="00563F93">
        <w:rPr>
          <w:rFonts w:cs="Calibri"/>
          <w:b/>
        </w:rPr>
        <w:t>c</w:t>
      </w:r>
      <w:r w:rsidR="00F56CFC">
        <w:rPr>
          <w:rFonts w:cs="Calibri"/>
          <w:b/>
        </w:rPr>
        <w:t>)</w:t>
      </w:r>
      <w:r>
        <w:rPr>
          <w:rFonts w:cs="Calibri"/>
          <w:b/>
        </w:rPr>
        <w:t xml:space="preserve">: </w:t>
      </w:r>
      <w:r w:rsidRPr="001006AB">
        <w:rPr>
          <w:rFonts w:cs="Calibri"/>
          <w:b/>
        </w:rPr>
        <w:t>Partic</w:t>
      </w:r>
      <w:r>
        <w:rPr>
          <w:rFonts w:cs="Calibri"/>
          <w:b/>
        </w:rPr>
        <w:t>ipant Entry S</w:t>
      </w:r>
      <w:r w:rsidRPr="001006AB">
        <w:rPr>
          <w:rFonts w:cs="Calibri"/>
          <w:b/>
        </w:rPr>
        <w:t>urvey</w:t>
      </w:r>
      <w:r>
        <w:rPr>
          <w:rFonts w:eastAsia="Times New Roman" w:cstheme="minorHAnsi"/>
          <w:color w:val="000000"/>
        </w:rPr>
        <w:t xml:space="preserve"> -- youth participants </w:t>
      </w:r>
    </w:p>
    <w:p w:rsidR="003D4E7B" w:rsidP="003D4E7B" w:rsidRDefault="003D4E7B" w14:paraId="2ABE4B54" w14:textId="0FF70864">
      <w:pPr>
        <w:pStyle w:val="ListParagraph"/>
        <w:numPr>
          <w:ilvl w:val="0"/>
          <w:numId w:val="32"/>
        </w:numPr>
        <w:spacing w:after="240" w:line="240" w:lineRule="auto"/>
        <w:rPr>
          <w:rFonts w:eastAsia="Times New Roman" w:cstheme="minorHAnsi"/>
          <w:color w:val="000000"/>
        </w:rPr>
      </w:pPr>
      <w:r w:rsidRPr="00873D02">
        <w:rPr>
          <w:rFonts w:eastAsia="Times New Roman" w:cstheme="minorHAnsi"/>
          <w:b/>
          <w:color w:val="000000"/>
        </w:rPr>
        <w:t xml:space="preserve">Instrument </w:t>
      </w:r>
      <w:r>
        <w:rPr>
          <w:rFonts w:eastAsia="Times New Roman" w:cstheme="minorHAnsi"/>
          <w:b/>
          <w:color w:val="000000"/>
        </w:rPr>
        <w:t>2</w:t>
      </w:r>
      <w:r w:rsidR="00F56CFC">
        <w:rPr>
          <w:rFonts w:eastAsia="Times New Roman" w:cstheme="minorHAnsi"/>
          <w:b/>
          <w:color w:val="000000"/>
        </w:rPr>
        <w:t xml:space="preserve"> (</w:t>
      </w:r>
      <w:r w:rsidR="00AC41E5">
        <w:rPr>
          <w:rFonts w:eastAsia="Times New Roman" w:cstheme="minorHAnsi"/>
          <w:b/>
          <w:color w:val="000000"/>
        </w:rPr>
        <w:t>a</w:t>
      </w:r>
      <w:r w:rsidR="00F56CFC">
        <w:rPr>
          <w:rFonts w:eastAsia="Times New Roman" w:cstheme="minorHAnsi"/>
          <w:b/>
          <w:color w:val="000000"/>
        </w:rPr>
        <w:t xml:space="preserve"> through </w:t>
      </w:r>
      <w:r w:rsidR="00563F93">
        <w:rPr>
          <w:rFonts w:eastAsia="Times New Roman" w:cstheme="minorHAnsi"/>
          <w:b/>
          <w:color w:val="000000"/>
        </w:rPr>
        <w:t>c</w:t>
      </w:r>
      <w:r w:rsidR="00F56CFC">
        <w:rPr>
          <w:rFonts w:eastAsia="Times New Roman" w:cstheme="minorHAnsi"/>
          <w:b/>
          <w:color w:val="000000"/>
        </w:rPr>
        <w:t>)</w:t>
      </w:r>
      <w:r w:rsidRPr="00873D02">
        <w:rPr>
          <w:rFonts w:eastAsia="Times New Roman" w:cstheme="minorHAnsi"/>
          <w:b/>
          <w:color w:val="000000"/>
        </w:rPr>
        <w:t>: Participant E</w:t>
      </w:r>
      <w:r>
        <w:rPr>
          <w:rFonts w:eastAsia="Times New Roman" w:cstheme="minorHAnsi"/>
          <w:b/>
          <w:color w:val="000000"/>
        </w:rPr>
        <w:t>xi</w:t>
      </w:r>
      <w:r w:rsidRPr="00873D02">
        <w:rPr>
          <w:rFonts w:eastAsia="Times New Roman" w:cstheme="minorHAnsi"/>
          <w:b/>
          <w:color w:val="000000"/>
        </w:rPr>
        <w:t>t Survey</w:t>
      </w:r>
      <w:r w:rsidRPr="00873D02">
        <w:rPr>
          <w:rFonts w:eastAsia="Times New Roman" w:cstheme="minorHAnsi"/>
          <w:color w:val="000000"/>
        </w:rPr>
        <w:t xml:space="preserve"> -- youth participants</w:t>
      </w:r>
    </w:p>
    <w:p w:rsidRPr="00873D02" w:rsidR="003D4E7B" w:rsidP="003D4E7B" w:rsidRDefault="003D4E7B" w14:paraId="615CAF34" w14:textId="77777777">
      <w:pPr>
        <w:pStyle w:val="ListParagraph"/>
        <w:numPr>
          <w:ilvl w:val="0"/>
          <w:numId w:val="32"/>
        </w:numPr>
        <w:spacing w:after="240" w:line="240" w:lineRule="auto"/>
        <w:rPr>
          <w:rFonts w:eastAsia="Times New Roman" w:cstheme="minorHAnsi"/>
          <w:color w:val="000000"/>
        </w:rPr>
      </w:pPr>
      <w:r w:rsidRPr="00873D02">
        <w:rPr>
          <w:b/>
        </w:rPr>
        <w:t>Instrument 3: Performance Reporting System Data Entry Form</w:t>
      </w:r>
      <w:r>
        <w:t xml:space="preserve"> – grantees</w:t>
      </w:r>
    </w:p>
    <w:p w:rsidRPr="000A3692" w:rsidR="00A42C71" w:rsidP="000A3692" w:rsidRDefault="003D4E7B" w14:paraId="0EC4C463" w14:textId="55986546">
      <w:pPr>
        <w:pStyle w:val="ListParagraph"/>
        <w:numPr>
          <w:ilvl w:val="0"/>
          <w:numId w:val="32"/>
        </w:numPr>
        <w:spacing w:after="240" w:line="240" w:lineRule="auto"/>
        <w:rPr>
          <w:rFonts w:eastAsia="Times New Roman" w:cstheme="minorHAnsi"/>
          <w:color w:val="000000"/>
        </w:rPr>
      </w:pPr>
      <w:r w:rsidRPr="00873D02">
        <w:rPr>
          <w:b/>
        </w:rPr>
        <w:t xml:space="preserve">Instrument 4: </w:t>
      </w:r>
      <w:r w:rsidR="005E4288">
        <w:rPr>
          <w:b/>
        </w:rPr>
        <w:t>Subrecipient</w:t>
      </w:r>
      <w:r w:rsidRPr="00873D02">
        <w:rPr>
          <w:b/>
        </w:rPr>
        <w:t xml:space="preserve"> Data Collection and Reporting Form</w:t>
      </w:r>
      <w:r>
        <w:t xml:space="preserve"> –</w:t>
      </w:r>
      <w:r w:rsidR="00A94779">
        <w:t xml:space="preserve"> subrecipient </w:t>
      </w:r>
      <w:r>
        <w:t xml:space="preserve">providers </w:t>
      </w:r>
    </w:p>
    <w:p w:rsidRPr="00C523DE" w:rsidR="00A42C71" w:rsidP="00C523DE" w:rsidRDefault="00A42C71" w14:paraId="242D83A5" w14:textId="27A3185A">
      <w:pPr>
        <w:spacing w:after="60"/>
        <w:rPr>
          <w:i/>
        </w:rPr>
      </w:pPr>
      <w:r w:rsidRPr="00C523DE">
        <w:rPr>
          <w:i/>
        </w:rPr>
        <w:t>Sampling and Site Selection</w:t>
      </w:r>
    </w:p>
    <w:p w:rsidRPr="00E870E4" w:rsidR="003D4E7B" w:rsidP="00595229" w:rsidRDefault="003D4E7B" w14:paraId="60B37029" w14:textId="52720BDD">
      <w:pPr>
        <w:spacing w:after="0" w:line="240" w:lineRule="auto"/>
        <w:ind w:firstLine="720"/>
        <w:rPr>
          <w:rFonts w:eastAsia="Times New Roman" w:cstheme="minorHAnsi"/>
          <w:color w:val="000000"/>
        </w:rPr>
      </w:pPr>
      <w:r>
        <w:rPr>
          <w:rFonts w:eastAsia="Times New Roman" w:cstheme="minorHAnsi"/>
          <w:color w:val="000000"/>
        </w:rPr>
        <w:t xml:space="preserve">The PREP PMAPS PM </w:t>
      </w:r>
      <w:r w:rsidR="008A5761">
        <w:rPr>
          <w:rFonts w:eastAsia="Times New Roman" w:cstheme="minorHAnsi"/>
          <w:color w:val="000000"/>
        </w:rPr>
        <w:t xml:space="preserve">data collection </w:t>
      </w:r>
      <w:r>
        <w:rPr>
          <w:rFonts w:eastAsia="Times New Roman" w:cstheme="minorHAnsi"/>
          <w:color w:val="000000"/>
        </w:rPr>
        <w:t xml:space="preserve">includes all PREP grantees, </w:t>
      </w:r>
      <w:r w:rsidR="005E4288">
        <w:rPr>
          <w:rFonts w:eastAsia="Times New Roman" w:cstheme="minorHAnsi"/>
          <w:color w:val="000000"/>
        </w:rPr>
        <w:t>subrecipient</w:t>
      </w:r>
      <w:r>
        <w:rPr>
          <w:rFonts w:eastAsia="Times New Roman" w:cstheme="minorHAnsi"/>
          <w:color w:val="000000"/>
        </w:rPr>
        <w:t xml:space="preserve"> program providers, and participants. </w:t>
      </w:r>
      <w:r w:rsidRPr="007C0B95">
        <w:rPr>
          <w:rFonts w:eastAsia="Times New Roman" w:cstheme="minorHAnsi"/>
          <w:color w:val="000000"/>
        </w:rPr>
        <w:t>ACF</w:t>
      </w:r>
      <w:r>
        <w:rPr>
          <w:rFonts w:eastAsia="Times New Roman" w:cstheme="minorHAnsi"/>
          <w:color w:val="000000"/>
        </w:rPr>
        <w:t xml:space="preserve"> will use the performance measures data to monitor and report on progress in implementing PREP programs and support </w:t>
      </w:r>
      <w:r w:rsidRPr="00E870E4">
        <w:rPr>
          <w:rFonts w:cstheme="minorHAnsi"/>
        </w:rPr>
        <w:t>continuous</w:t>
      </w:r>
      <w:r>
        <w:rPr>
          <w:rFonts w:eastAsia="Times New Roman" w:cstheme="minorHAnsi"/>
          <w:color w:val="000000"/>
        </w:rPr>
        <w:t xml:space="preserve"> quality improvement of the programs. In addition, the information will be used by grantees themselves to inform improvements to their program(s). All PREP grantees must be included in the study so that (1) the </w:t>
      </w:r>
      <w:r w:rsidRPr="00127129">
        <w:rPr>
          <w:rFonts w:eastAsia="Times New Roman" w:cstheme="minorHAnsi"/>
          <w:color w:val="000000"/>
        </w:rPr>
        <w:t>measures</w:t>
      </w:r>
      <w:r>
        <w:rPr>
          <w:rFonts w:eastAsia="Times New Roman" w:cstheme="minorHAnsi"/>
          <w:color w:val="000000"/>
        </w:rPr>
        <w:t xml:space="preserve"> reflect the complete scope of the program and (2) the data can be used to promote program improvement among all grantees. </w:t>
      </w:r>
    </w:p>
    <w:p w:rsidR="00A42C71" w:rsidP="00A42C71" w:rsidRDefault="00A42C71" w14:paraId="705CF94B" w14:textId="6CF3F700">
      <w:pPr>
        <w:pStyle w:val="ListParagraph"/>
        <w:spacing w:after="0" w:line="240" w:lineRule="auto"/>
        <w:ind w:left="0"/>
        <w:rPr>
          <w:rFonts w:cstheme="minorHAnsi"/>
        </w:rPr>
      </w:pPr>
    </w:p>
    <w:p w:rsidRPr="001A59B6" w:rsidR="00AC41E5" w:rsidP="00A42C71" w:rsidRDefault="00AC41E5" w14:paraId="6657B68E" w14:textId="77777777">
      <w:pPr>
        <w:pStyle w:val="ListParagraph"/>
        <w:spacing w:after="0" w:line="240" w:lineRule="auto"/>
        <w:ind w:left="0"/>
        <w:rPr>
          <w:rFonts w:cstheme="minorHAnsi"/>
        </w:rPr>
      </w:pP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0A3692" w:rsidR="00220033" w:rsidP="000A3692" w:rsidRDefault="00A42C71" w14:paraId="2B48AC3B" w14:textId="655AC966">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9735AB" w:rsidP="00595229" w:rsidRDefault="00AF5FFB" w14:paraId="641C1BCE" w14:textId="77777777">
      <w:pPr>
        <w:spacing w:after="0" w:line="240" w:lineRule="auto"/>
        <w:ind w:firstLine="720"/>
        <w:rPr>
          <w:rFonts w:ascii="Calibri" w:hAnsi="Calibri" w:eastAsia="Times New Roman" w:cs="Calibri"/>
          <w:color w:val="000000"/>
        </w:rPr>
      </w:pPr>
      <w:r w:rsidRPr="009E784D">
        <w:rPr>
          <w:rFonts w:ascii="Calibri" w:hAnsi="Calibri" w:eastAsia="Times New Roman" w:cs="Calibri"/>
          <w:color w:val="000000"/>
        </w:rPr>
        <w:t>In April 2017, OMB approved the collection of PREP performance measures data through</w:t>
      </w:r>
      <w:r w:rsidR="008A5761">
        <w:rPr>
          <w:rFonts w:ascii="Calibri" w:hAnsi="Calibri" w:eastAsia="Times New Roman" w:cs="Calibri"/>
          <w:color w:val="000000"/>
        </w:rPr>
        <w:t xml:space="preserve"> </w:t>
      </w:r>
      <w:r w:rsidRPr="009E784D">
        <w:rPr>
          <w:rFonts w:ascii="Calibri" w:hAnsi="Calibri" w:eastAsia="Times New Roman" w:cs="Calibri"/>
          <w:color w:val="000000"/>
        </w:rPr>
        <w:t>participant entry a</w:t>
      </w:r>
      <w:r w:rsidRPr="009E784D" w:rsidR="009E784D">
        <w:rPr>
          <w:rFonts w:ascii="Calibri" w:hAnsi="Calibri" w:eastAsia="Times New Roman" w:cs="Calibri"/>
          <w:color w:val="000000"/>
        </w:rPr>
        <w:t>n</w:t>
      </w:r>
      <w:r w:rsidRPr="009E784D">
        <w:rPr>
          <w:rFonts w:ascii="Calibri" w:hAnsi="Calibri" w:eastAsia="Times New Roman" w:cs="Calibri"/>
          <w:color w:val="000000"/>
        </w:rPr>
        <w:t xml:space="preserve">d exit surveys, and the grantee and </w:t>
      </w:r>
      <w:r w:rsidR="001E3494">
        <w:rPr>
          <w:rFonts w:ascii="Calibri" w:hAnsi="Calibri" w:eastAsia="Times New Roman" w:cs="Calibri"/>
          <w:color w:val="000000"/>
        </w:rPr>
        <w:t xml:space="preserve">subrecipient </w:t>
      </w:r>
      <w:r w:rsidRPr="009E784D">
        <w:rPr>
          <w:rFonts w:ascii="Calibri" w:hAnsi="Calibri" w:eastAsia="Times New Roman" w:cs="Calibri"/>
          <w:color w:val="000000"/>
        </w:rPr>
        <w:t xml:space="preserve">reporting forms (OMB # 0970-0497). </w:t>
      </w:r>
    </w:p>
    <w:p w:rsidR="0032222A" w:rsidP="00595229" w:rsidRDefault="00C66538" w14:paraId="1349BF9D" w14:textId="1C3CD09F">
      <w:pPr>
        <w:spacing w:after="0" w:line="240" w:lineRule="auto"/>
        <w:ind w:firstLine="720"/>
        <w:rPr>
          <w:rFonts w:ascii="Calibri" w:hAnsi="Calibri" w:cs="Calibri"/>
        </w:rPr>
      </w:pPr>
      <w:r>
        <w:rPr>
          <w:rFonts w:ascii="Calibri" w:hAnsi="Calibri" w:cs="Calibri"/>
        </w:rPr>
        <w:t>I</w:t>
      </w:r>
      <w:r w:rsidRPr="009E784D">
        <w:rPr>
          <w:rFonts w:ascii="Calibri" w:hAnsi="Calibri" w:cs="Calibri"/>
        </w:rPr>
        <w:t>nternal</w:t>
      </w:r>
      <w:r w:rsidRPr="009E784D" w:rsidR="00A64D64">
        <w:rPr>
          <w:rFonts w:ascii="Calibri" w:hAnsi="Calibri" w:cs="Calibri"/>
        </w:rPr>
        <w:t xml:space="preserve"> discussions </w:t>
      </w:r>
      <w:r>
        <w:rPr>
          <w:rFonts w:ascii="Calibri" w:hAnsi="Calibri" w:cs="Calibri"/>
        </w:rPr>
        <w:t>with</w:t>
      </w:r>
      <w:r w:rsidRPr="009E784D">
        <w:rPr>
          <w:rFonts w:ascii="Calibri" w:hAnsi="Calibri" w:cs="Calibri"/>
        </w:rPr>
        <w:t xml:space="preserve"> new leadership at ACF led</w:t>
      </w:r>
      <w:r w:rsidRPr="009E784D" w:rsidR="00A64D64">
        <w:rPr>
          <w:rFonts w:ascii="Calibri" w:hAnsi="Calibri" w:cs="Calibri"/>
        </w:rPr>
        <w:t xml:space="preserve"> to some proposed revisions to the approved measures. In Fall 2018, cognitive pretesting </w:t>
      </w:r>
      <w:r w:rsidR="00EA4A22">
        <w:rPr>
          <w:rFonts w:ascii="Calibri" w:hAnsi="Calibri" w:cs="Calibri"/>
        </w:rPr>
        <w:t>o</w:t>
      </w:r>
      <w:r w:rsidRPr="009E784D" w:rsidR="00EA4A22">
        <w:rPr>
          <w:rFonts w:ascii="Calibri" w:hAnsi="Calibri" w:cs="Calibri"/>
        </w:rPr>
        <w:t xml:space="preserve">f revised </w:t>
      </w:r>
      <w:r w:rsidR="00EA4A22">
        <w:rPr>
          <w:rFonts w:ascii="Calibri" w:hAnsi="Calibri" w:cs="Calibri"/>
        </w:rPr>
        <w:t xml:space="preserve">entry and exit instruments </w:t>
      </w:r>
      <w:r w:rsidRPr="009E784D" w:rsidR="00A64D64">
        <w:rPr>
          <w:rFonts w:ascii="Calibri" w:hAnsi="Calibri" w:cs="Calibri"/>
        </w:rPr>
        <w:t>was conducted with nine youth</w:t>
      </w:r>
      <w:r w:rsidR="00EA4A22">
        <w:rPr>
          <w:rFonts w:ascii="Calibri" w:hAnsi="Calibri" w:cs="Calibri"/>
        </w:rPr>
        <w:t>,</w:t>
      </w:r>
      <w:r w:rsidRPr="009E784D" w:rsidR="00A64D64">
        <w:rPr>
          <w:rFonts w:ascii="Calibri" w:hAnsi="Calibri" w:cs="Calibri"/>
        </w:rPr>
        <w:t xml:space="preserve"> includ</w:t>
      </w:r>
      <w:r w:rsidR="00EA4A22">
        <w:rPr>
          <w:rFonts w:ascii="Calibri" w:hAnsi="Calibri" w:cs="Calibri"/>
        </w:rPr>
        <w:t>ing</w:t>
      </w:r>
      <w:r w:rsidRPr="009E784D" w:rsidR="00A64D64">
        <w:rPr>
          <w:rFonts w:ascii="Calibri" w:hAnsi="Calibri" w:cs="Calibri"/>
        </w:rPr>
        <w:t xml:space="preserve"> a mix of males and females, ages 11 to 18. </w:t>
      </w:r>
      <w:r w:rsidRPr="009E784D" w:rsidR="00A64D64">
        <w:rPr>
          <w:rFonts w:ascii="Calibri" w:hAnsi="Calibri" w:eastAsia="Times New Roman" w:cs="Calibri"/>
          <w:color w:val="000000"/>
        </w:rPr>
        <w:t>The survey questions were revised based on the results of these pretests and</w:t>
      </w:r>
      <w:r w:rsidR="009E784D">
        <w:rPr>
          <w:rFonts w:ascii="Calibri" w:hAnsi="Calibri" w:eastAsia="Times New Roman" w:cs="Calibri"/>
          <w:color w:val="000000"/>
        </w:rPr>
        <w:t xml:space="preserve"> additional </w:t>
      </w:r>
      <w:r w:rsidRPr="009E784D" w:rsidR="00A64D64">
        <w:rPr>
          <w:rFonts w:ascii="Calibri" w:hAnsi="Calibri" w:eastAsia="Times New Roman" w:cs="Calibri"/>
          <w:color w:val="000000"/>
        </w:rPr>
        <w:t>discussions with leadership</w:t>
      </w:r>
      <w:r w:rsidRPr="009E784D" w:rsidR="00DA1123">
        <w:rPr>
          <w:rFonts w:ascii="Calibri" w:hAnsi="Calibri" w:cs="Calibri"/>
        </w:rPr>
        <w:t>.</w:t>
      </w:r>
      <w:r w:rsidR="0032222A">
        <w:rPr>
          <w:rFonts w:ascii="Calibri" w:hAnsi="Calibri" w:cs="Calibri"/>
        </w:rPr>
        <w:t xml:space="preserve"> </w:t>
      </w:r>
      <w:r w:rsidRPr="009E784D" w:rsidR="00AF5FFB">
        <w:rPr>
          <w:rFonts w:ascii="Calibri" w:hAnsi="Calibri" w:cs="Calibri"/>
        </w:rPr>
        <w:t>In August 2019, OMB approved a non-substantive change request that included revised versions of the participant entry and exit surveys</w:t>
      </w:r>
      <w:r w:rsidR="00607FBA">
        <w:rPr>
          <w:rFonts w:ascii="Calibri" w:hAnsi="Calibri" w:cs="Calibri"/>
        </w:rPr>
        <w:t>, which include the following survey changes:</w:t>
      </w:r>
    </w:p>
    <w:p w:rsidR="00607FBA" w:rsidP="00595229" w:rsidRDefault="00607FBA" w14:paraId="12435B45" w14:textId="3B665F90">
      <w:pPr>
        <w:spacing w:after="0" w:line="240" w:lineRule="auto"/>
        <w:ind w:firstLine="720"/>
        <w:rPr>
          <w:rFonts w:ascii="Calibri" w:hAnsi="Calibri" w:cs="Calibri"/>
        </w:rPr>
      </w:pPr>
    </w:p>
    <w:p w:rsidRPr="00811AC7" w:rsidR="00607FBA" w:rsidP="00607FBA" w:rsidRDefault="00607FBA" w14:paraId="5AC06157" w14:textId="7174CF05">
      <w:pPr>
        <w:pStyle w:val="ListParagraph"/>
        <w:numPr>
          <w:ilvl w:val="0"/>
          <w:numId w:val="37"/>
        </w:numPr>
        <w:spacing w:after="120"/>
      </w:pPr>
      <w:r>
        <w:t>R</w:t>
      </w:r>
      <w:r w:rsidRPr="00811AC7">
        <w:t>emove</w:t>
      </w:r>
      <w:r>
        <w:t>d</w:t>
      </w:r>
      <w:r w:rsidRPr="00811AC7">
        <w:t xml:space="preserve"> sensitive items (by dropping items about oral sex or anal sex, modifying items asking about “vaginal sex” to ask about “sexual intercourse,” and deleting d</w:t>
      </w:r>
      <w:r>
        <w:t>efinitions of sexual behaviors).</w:t>
      </w:r>
    </w:p>
    <w:p w:rsidRPr="00811AC7" w:rsidR="00607FBA" w:rsidP="00607FBA" w:rsidRDefault="00607FBA" w14:paraId="21633307" w14:textId="3F8B54C7">
      <w:pPr>
        <w:pStyle w:val="ListParagraph"/>
        <w:numPr>
          <w:ilvl w:val="0"/>
          <w:numId w:val="37"/>
        </w:numPr>
        <w:spacing w:after="120"/>
      </w:pPr>
      <w:r>
        <w:t>Modified</w:t>
      </w:r>
      <w:r w:rsidRPr="00811AC7">
        <w:t xml:space="preserve"> and expand</w:t>
      </w:r>
      <w:r>
        <w:t>ed</w:t>
      </w:r>
      <w:r w:rsidRPr="00811AC7">
        <w:t xml:space="preserve"> existing items related to</w:t>
      </w:r>
      <w:r>
        <w:t xml:space="preserve"> adulthood preparation subjects</w:t>
      </w:r>
      <w:r w:rsidR="00C523DE">
        <w:t>.</w:t>
      </w:r>
    </w:p>
    <w:p w:rsidRPr="00395FAD" w:rsidR="00607FBA" w:rsidP="00C523DE" w:rsidRDefault="00563F93" w14:paraId="616CDDF8" w14:textId="0A622AAE">
      <w:pPr>
        <w:pStyle w:val="ListParagraph"/>
        <w:numPr>
          <w:ilvl w:val="0"/>
          <w:numId w:val="37"/>
        </w:numPr>
        <w:spacing w:after="0"/>
      </w:pPr>
      <w:r>
        <w:t>A</w:t>
      </w:r>
      <w:r w:rsidRPr="00811AC7" w:rsidR="00607FBA">
        <w:t>dd</w:t>
      </w:r>
      <w:r w:rsidR="00607FBA">
        <w:t>ed</w:t>
      </w:r>
      <w:r w:rsidRPr="00811AC7" w:rsidR="00607FBA">
        <w:t xml:space="preserve"> items to capture information from youth relevant to the success sequence for poverty prevention.</w:t>
      </w:r>
      <w:r w:rsidRPr="00811AC7" w:rsidR="00607FBA">
        <w:rPr>
          <w:vertAlign w:val="superscript"/>
        </w:rPr>
        <w:footnoteReference w:id="1"/>
      </w:r>
      <w:r w:rsidRPr="00811AC7" w:rsidR="00607FBA">
        <w:rPr>
          <w:vertAlign w:val="superscript"/>
        </w:rPr>
        <w:t>,</w:t>
      </w:r>
      <w:r w:rsidRPr="00811AC7" w:rsidR="00607FBA">
        <w:rPr>
          <w:vertAlign w:val="superscript"/>
        </w:rPr>
        <w:footnoteReference w:id="2"/>
      </w:r>
    </w:p>
    <w:p w:rsidR="00AC41E5" w:rsidP="00595229" w:rsidRDefault="00AC41E5" w14:paraId="1BC1C4D0" w14:textId="6CFC6BB1">
      <w:pPr>
        <w:spacing w:after="0" w:line="240" w:lineRule="auto"/>
        <w:ind w:firstLine="450"/>
        <w:rPr>
          <w:rFonts w:ascii="Calibri" w:hAnsi="Calibri" w:cs="Calibri"/>
        </w:rPr>
      </w:pPr>
    </w:p>
    <w:p w:rsidRPr="005E3217" w:rsidR="00B5726A" w:rsidP="00595229" w:rsidRDefault="00250CBC" w14:paraId="7AE34DB7" w14:textId="234BF358">
      <w:pPr>
        <w:pStyle w:val="CommentText"/>
        <w:spacing w:after="120"/>
        <w:ind w:firstLine="720"/>
        <w:rPr>
          <w:rFonts w:cstheme="minorHAnsi"/>
          <w:sz w:val="22"/>
          <w:szCs w:val="22"/>
        </w:rPr>
      </w:pPr>
      <w:r>
        <w:rPr>
          <w:rFonts w:ascii="Calibri" w:hAnsi="Calibri" w:cs="Calibri"/>
          <w:sz w:val="22"/>
          <w:szCs w:val="22"/>
        </w:rPr>
        <w:lastRenderedPageBreak/>
        <w:t>Based on feedback from g</w:t>
      </w:r>
      <w:r w:rsidRPr="00595229" w:rsidR="00AF5FFB">
        <w:rPr>
          <w:rFonts w:ascii="Calibri" w:hAnsi="Calibri" w:cs="Calibri"/>
          <w:sz w:val="22"/>
          <w:szCs w:val="22"/>
        </w:rPr>
        <w:t xml:space="preserve">rantees </w:t>
      </w:r>
      <w:r>
        <w:rPr>
          <w:rFonts w:ascii="Calibri" w:hAnsi="Calibri" w:cs="Calibri"/>
          <w:sz w:val="22"/>
          <w:szCs w:val="22"/>
        </w:rPr>
        <w:t>on the 2019 versions of the surveys</w:t>
      </w:r>
      <w:r w:rsidRPr="00595229" w:rsidR="00995648">
        <w:rPr>
          <w:rFonts w:cstheme="minorHAnsi"/>
          <w:sz w:val="22"/>
          <w:szCs w:val="22"/>
        </w:rPr>
        <w:t>,</w:t>
      </w:r>
      <w:r w:rsidRPr="00595229" w:rsidR="0032222A">
        <w:rPr>
          <w:rFonts w:cstheme="minorHAnsi"/>
          <w:sz w:val="22"/>
          <w:szCs w:val="22"/>
        </w:rPr>
        <w:t xml:space="preserve"> as well as additional discussions with ACF leadership</w:t>
      </w:r>
      <w:r w:rsidR="00F66512">
        <w:rPr>
          <w:rFonts w:cstheme="minorHAnsi"/>
          <w:sz w:val="22"/>
          <w:szCs w:val="22"/>
        </w:rPr>
        <w:t xml:space="preserve">, </w:t>
      </w:r>
      <w:r w:rsidRPr="005E3217" w:rsidR="00B5726A">
        <w:rPr>
          <w:rFonts w:cstheme="minorHAnsi"/>
          <w:sz w:val="22"/>
          <w:szCs w:val="22"/>
        </w:rPr>
        <w:t xml:space="preserve">ACF </w:t>
      </w:r>
      <w:r w:rsidR="00F66512">
        <w:rPr>
          <w:rFonts w:cstheme="minorHAnsi"/>
          <w:sz w:val="22"/>
          <w:szCs w:val="22"/>
        </w:rPr>
        <w:t>propose</w:t>
      </w:r>
      <w:r w:rsidR="00455A25">
        <w:rPr>
          <w:rFonts w:cstheme="minorHAnsi"/>
          <w:sz w:val="22"/>
          <w:szCs w:val="22"/>
        </w:rPr>
        <w:t>d</w:t>
      </w:r>
      <w:r w:rsidRPr="005E3217" w:rsidR="00B5726A">
        <w:rPr>
          <w:rFonts w:cstheme="minorHAnsi"/>
          <w:sz w:val="22"/>
          <w:szCs w:val="22"/>
        </w:rPr>
        <w:t xml:space="preserve"> </w:t>
      </w:r>
      <w:r w:rsidR="00455A25">
        <w:rPr>
          <w:rFonts w:cstheme="minorHAnsi"/>
          <w:sz w:val="22"/>
          <w:szCs w:val="22"/>
        </w:rPr>
        <w:t xml:space="preserve">and received OMB approval on </w:t>
      </w:r>
      <w:r w:rsidRPr="005E3217" w:rsidR="00B5726A">
        <w:rPr>
          <w:rFonts w:cstheme="minorHAnsi"/>
          <w:sz w:val="22"/>
          <w:szCs w:val="22"/>
        </w:rPr>
        <w:t>the following revisions to the planned data collection</w:t>
      </w:r>
      <w:r w:rsidR="00455A25">
        <w:rPr>
          <w:rFonts w:cstheme="minorHAnsi"/>
          <w:sz w:val="22"/>
          <w:szCs w:val="22"/>
        </w:rPr>
        <w:t xml:space="preserve"> in </w:t>
      </w:r>
      <w:r w:rsidR="00823861">
        <w:rPr>
          <w:rFonts w:cstheme="minorHAnsi"/>
          <w:sz w:val="22"/>
          <w:szCs w:val="22"/>
        </w:rPr>
        <w:t>April</w:t>
      </w:r>
      <w:r w:rsidR="00455A25">
        <w:rPr>
          <w:rFonts w:cstheme="minorHAnsi"/>
          <w:sz w:val="22"/>
          <w:szCs w:val="22"/>
        </w:rPr>
        <w:t xml:space="preserve"> 2020</w:t>
      </w:r>
      <w:r w:rsidRPr="005E3217" w:rsidR="00B5726A">
        <w:rPr>
          <w:rFonts w:cstheme="minorHAnsi"/>
          <w:sz w:val="22"/>
          <w:szCs w:val="22"/>
        </w:rPr>
        <w:t>:</w:t>
      </w:r>
    </w:p>
    <w:p w:rsidRPr="00CA713B" w:rsidR="00B5726A" w:rsidP="009A5436" w:rsidRDefault="00B5726A" w14:paraId="7D296109" w14:textId="6484A373">
      <w:pPr>
        <w:pStyle w:val="CommentText"/>
        <w:numPr>
          <w:ilvl w:val="0"/>
          <w:numId w:val="24"/>
        </w:numPr>
        <w:spacing w:after="120"/>
        <w:ind w:left="1080"/>
        <w:rPr>
          <w:rFonts w:cstheme="minorHAnsi"/>
          <w:sz w:val="22"/>
          <w:szCs w:val="22"/>
        </w:rPr>
      </w:pPr>
      <w:r w:rsidRPr="00CA713B">
        <w:rPr>
          <w:rFonts w:cstheme="minorHAnsi"/>
          <w:sz w:val="22"/>
          <w:szCs w:val="22"/>
        </w:rPr>
        <w:t>T</w:t>
      </w:r>
      <w:r>
        <w:rPr>
          <w:rFonts w:cstheme="minorHAnsi"/>
          <w:sz w:val="22"/>
          <w:szCs w:val="22"/>
        </w:rPr>
        <w:t>wo</w:t>
      </w:r>
      <w:r w:rsidRPr="00CA713B">
        <w:rPr>
          <w:rFonts w:cstheme="minorHAnsi"/>
          <w:sz w:val="22"/>
          <w:szCs w:val="22"/>
        </w:rPr>
        <w:t xml:space="preserve"> Versions of the Entry and Exit Surveys (Instruments 1 and 2)</w:t>
      </w:r>
      <w:r w:rsidR="008A5761">
        <w:rPr>
          <w:rFonts w:cstheme="minorHAnsi"/>
          <w:sz w:val="22"/>
          <w:szCs w:val="22"/>
        </w:rPr>
        <w:t xml:space="preserve">: One for middle </w:t>
      </w:r>
      <w:r>
        <w:rPr>
          <w:rFonts w:cstheme="minorHAnsi"/>
          <w:sz w:val="22"/>
          <w:szCs w:val="22"/>
        </w:rPr>
        <w:t>sch</w:t>
      </w:r>
      <w:r w:rsidR="005E3217">
        <w:rPr>
          <w:rFonts w:cstheme="minorHAnsi"/>
          <w:sz w:val="22"/>
          <w:szCs w:val="22"/>
        </w:rPr>
        <w:t>ool</w:t>
      </w:r>
      <w:r w:rsidR="008A5761">
        <w:rPr>
          <w:rFonts w:cstheme="minorHAnsi"/>
          <w:sz w:val="22"/>
          <w:szCs w:val="22"/>
        </w:rPr>
        <w:t>-</w:t>
      </w:r>
      <w:r w:rsidR="005E3217">
        <w:rPr>
          <w:rFonts w:cstheme="minorHAnsi"/>
          <w:sz w:val="22"/>
          <w:szCs w:val="22"/>
        </w:rPr>
        <w:t xml:space="preserve">age groups and one for high </w:t>
      </w:r>
      <w:r>
        <w:rPr>
          <w:rFonts w:cstheme="minorHAnsi"/>
          <w:sz w:val="22"/>
          <w:szCs w:val="22"/>
        </w:rPr>
        <w:t>school</w:t>
      </w:r>
      <w:r w:rsidR="008A5761">
        <w:rPr>
          <w:rFonts w:cstheme="minorHAnsi"/>
          <w:sz w:val="22"/>
          <w:szCs w:val="22"/>
        </w:rPr>
        <w:t>-</w:t>
      </w:r>
      <w:r>
        <w:rPr>
          <w:rFonts w:cstheme="minorHAnsi"/>
          <w:sz w:val="22"/>
          <w:szCs w:val="22"/>
        </w:rPr>
        <w:t xml:space="preserve"> and older age groups.</w:t>
      </w:r>
    </w:p>
    <w:p w:rsidRPr="002A775C" w:rsidR="002A775C" w:rsidP="002A775C" w:rsidRDefault="00083A33" w14:paraId="01425A95" w14:textId="65DB4AD4">
      <w:pPr>
        <w:pStyle w:val="CommentText"/>
        <w:numPr>
          <w:ilvl w:val="0"/>
          <w:numId w:val="36"/>
        </w:numPr>
        <w:spacing w:after="60"/>
        <w:ind w:left="1800"/>
        <w:rPr>
          <w:rFonts w:cstheme="minorHAnsi"/>
          <w:iCs/>
          <w:sz w:val="22"/>
          <w:szCs w:val="22"/>
        </w:rPr>
      </w:pPr>
      <w:r>
        <w:rPr>
          <w:rFonts w:cstheme="minorHAnsi"/>
          <w:sz w:val="22"/>
          <w:szCs w:val="22"/>
        </w:rPr>
        <w:t>Middle</w:t>
      </w:r>
      <w:r w:rsidR="00C32E7F">
        <w:rPr>
          <w:rFonts w:cstheme="minorHAnsi"/>
          <w:sz w:val="22"/>
          <w:szCs w:val="22"/>
        </w:rPr>
        <w:t xml:space="preserve"> s</w:t>
      </w:r>
      <w:r w:rsidRPr="002A775C" w:rsidR="002A775C">
        <w:rPr>
          <w:rFonts w:cstheme="minorHAnsi"/>
          <w:sz w:val="22"/>
          <w:szCs w:val="22"/>
        </w:rPr>
        <w:t xml:space="preserve">chool </w:t>
      </w:r>
      <w:r w:rsidR="00C32E7F">
        <w:rPr>
          <w:rFonts w:cstheme="minorHAnsi"/>
          <w:sz w:val="22"/>
          <w:szCs w:val="22"/>
        </w:rPr>
        <w:t>v</w:t>
      </w:r>
      <w:r w:rsidRPr="002A775C" w:rsidR="002A775C">
        <w:rPr>
          <w:rFonts w:cstheme="minorHAnsi"/>
          <w:sz w:val="22"/>
          <w:szCs w:val="22"/>
        </w:rPr>
        <w:t>ersion</w:t>
      </w:r>
      <w:r w:rsidR="00C32E7F">
        <w:rPr>
          <w:rFonts w:cstheme="minorHAnsi"/>
          <w:sz w:val="22"/>
          <w:szCs w:val="22"/>
        </w:rPr>
        <w:t>s (Instruments 1a and 1b)</w:t>
      </w:r>
      <w:r w:rsidRPr="002A775C" w:rsidR="002A775C">
        <w:rPr>
          <w:rFonts w:cstheme="minorHAnsi"/>
          <w:sz w:val="22"/>
          <w:szCs w:val="22"/>
        </w:rPr>
        <w:t>: We developed version</w:t>
      </w:r>
      <w:r w:rsidR="00C32E7F">
        <w:rPr>
          <w:rFonts w:cstheme="minorHAnsi"/>
          <w:sz w:val="22"/>
          <w:szCs w:val="22"/>
        </w:rPr>
        <w:t>s</w:t>
      </w:r>
      <w:r w:rsidRPr="002A775C" w:rsidR="002A775C">
        <w:rPr>
          <w:rFonts w:cstheme="minorHAnsi"/>
          <w:sz w:val="22"/>
          <w:szCs w:val="22"/>
        </w:rPr>
        <w:t xml:space="preserve"> of the surveys that exclude items on sensitive subjects for use with State, Tribal and Competit</w:t>
      </w:r>
      <w:r>
        <w:rPr>
          <w:rFonts w:cstheme="minorHAnsi"/>
          <w:sz w:val="22"/>
          <w:szCs w:val="22"/>
        </w:rPr>
        <w:t>ive PREP participants in middle school</w:t>
      </w:r>
      <w:r w:rsidRPr="002A775C" w:rsidR="002A775C">
        <w:rPr>
          <w:rFonts w:cstheme="minorHAnsi"/>
          <w:sz w:val="22"/>
          <w:szCs w:val="22"/>
        </w:rPr>
        <w:t xml:space="preserve">. The following changes were: </w:t>
      </w:r>
    </w:p>
    <w:p w:rsidRPr="002A775C" w:rsidR="002A775C" w:rsidP="002A775C" w:rsidRDefault="002A775C" w14:paraId="6999BACD" w14:textId="75B8E9A8">
      <w:pPr>
        <w:numPr>
          <w:ilvl w:val="1"/>
          <w:numId w:val="36"/>
        </w:numPr>
        <w:spacing w:after="60" w:line="240" w:lineRule="auto"/>
        <w:ind w:left="2520"/>
        <w:rPr>
          <w:rFonts w:cstheme="minorHAnsi"/>
          <w:iCs/>
        </w:rPr>
      </w:pPr>
      <w:r w:rsidRPr="002A775C">
        <w:rPr>
          <w:rFonts w:cstheme="minorHAnsi"/>
        </w:rPr>
        <w:t>Removed items on sexual activity and incidence of pregnancy</w:t>
      </w:r>
      <w:r>
        <w:rPr>
          <w:rFonts w:cstheme="minorHAnsi"/>
        </w:rPr>
        <w:t xml:space="preserve"> (questions 14-20 in the </w:t>
      </w:r>
      <w:r w:rsidR="00C32E7F">
        <w:rPr>
          <w:rFonts w:cstheme="minorHAnsi"/>
        </w:rPr>
        <w:t>previous E</w:t>
      </w:r>
      <w:r>
        <w:rPr>
          <w:rFonts w:cstheme="minorHAnsi"/>
        </w:rPr>
        <w:t xml:space="preserve">ntry </w:t>
      </w:r>
      <w:r w:rsidR="00C32E7F">
        <w:rPr>
          <w:rFonts w:cstheme="minorHAnsi"/>
        </w:rPr>
        <w:t>S</w:t>
      </w:r>
      <w:r>
        <w:rPr>
          <w:rFonts w:cstheme="minorHAnsi"/>
        </w:rPr>
        <w:t>urvey)</w:t>
      </w:r>
      <w:r w:rsidRPr="002A775C">
        <w:rPr>
          <w:rFonts w:cstheme="minorHAnsi"/>
        </w:rPr>
        <w:t>;  participants’ perceptions of PREP’s influence on their plans to engage in sexual activity and the importance of various reasons in decisions to not have sexual intercourse</w:t>
      </w:r>
      <w:r w:rsidR="00423D9D">
        <w:rPr>
          <w:rFonts w:cstheme="minorHAnsi"/>
        </w:rPr>
        <w:t xml:space="preserve"> (questions 15-17 in the </w:t>
      </w:r>
      <w:r w:rsidR="00C32E7F">
        <w:rPr>
          <w:rFonts w:cstheme="minorHAnsi"/>
        </w:rPr>
        <w:t>previous version of the</w:t>
      </w:r>
      <w:r w:rsidR="00423D9D">
        <w:rPr>
          <w:rFonts w:cstheme="minorHAnsi"/>
        </w:rPr>
        <w:t xml:space="preserve"> </w:t>
      </w:r>
      <w:r w:rsidR="00C32E7F">
        <w:rPr>
          <w:rFonts w:cstheme="minorHAnsi"/>
        </w:rPr>
        <w:t>E</w:t>
      </w:r>
      <w:r w:rsidR="00423D9D">
        <w:rPr>
          <w:rFonts w:cstheme="minorHAnsi"/>
        </w:rPr>
        <w:t xml:space="preserve">xit </w:t>
      </w:r>
      <w:r w:rsidR="00C32E7F">
        <w:rPr>
          <w:rFonts w:cstheme="minorHAnsi"/>
        </w:rPr>
        <w:t>S</w:t>
      </w:r>
      <w:r w:rsidR="00423D9D">
        <w:rPr>
          <w:rFonts w:cstheme="minorHAnsi"/>
        </w:rPr>
        <w:t>urvey)</w:t>
      </w:r>
      <w:r w:rsidRPr="002A775C">
        <w:rPr>
          <w:rFonts w:cstheme="minorHAnsi"/>
        </w:rPr>
        <w:t xml:space="preserve">. </w:t>
      </w:r>
    </w:p>
    <w:p w:rsidR="00423D9D" w:rsidP="00595229" w:rsidRDefault="002A775C" w14:paraId="4D6C71CF" w14:textId="67EDC68C">
      <w:pPr>
        <w:numPr>
          <w:ilvl w:val="3"/>
          <w:numId w:val="35"/>
        </w:numPr>
        <w:spacing w:after="60" w:line="240" w:lineRule="auto"/>
        <w:ind w:left="2520"/>
        <w:rPr>
          <w:rFonts w:cstheme="minorHAnsi"/>
        </w:rPr>
      </w:pPr>
      <w:r w:rsidRPr="002A775C">
        <w:rPr>
          <w:rFonts w:cstheme="minorHAnsi"/>
        </w:rPr>
        <w:t>Removed and added response categories for older ages</w:t>
      </w:r>
      <w:r w:rsidR="00C32E7F">
        <w:rPr>
          <w:rFonts w:cstheme="minorHAnsi"/>
        </w:rPr>
        <w:t xml:space="preserve"> and </w:t>
      </w:r>
      <w:r w:rsidRPr="002A775C">
        <w:rPr>
          <w:rFonts w:cstheme="minorHAnsi"/>
        </w:rPr>
        <w:t>grades</w:t>
      </w:r>
      <w:r w:rsidR="00423D9D">
        <w:rPr>
          <w:rFonts w:cstheme="minorHAnsi"/>
        </w:rPr>
        <w:t xml:space="preserve"> (question</w:t>
      </w:r>
      <w:r w:rsidR="00C32E7F">
        <w:rPr>
          <w:rFonts w:cstheme="minorHAnsi"/>
        </w:rPr>
        <w:t>s</w:t>
      </w:r>
      <w:r w:rsidR="00423D9D">
        <w:rPr>
          <w:rFonts w:cstheme="minorHAnsi"/>
        </w:rPr>
        <w:t xml:space="preserve"> 1</w:t>
      </w:r>
      <w:r w:rsidR="00C32E7F">
        <w:rPr>
          <w:rFonts w:cstheme="minorHAnsi"/>
        </w:rPr>
        <w:t xml:space="preserve"> and </w:t>
      </w:r>
      <w:r w:rsidR="00423D9D">
        <w:rPr>
          <w:rFonts w:cstheme="minorHAnsi"/>
        </w:rPr>
        <w:t>2</w:t>
      </w:r>
      <w:r w:rsidR="00C32E7F">
        <w:rPr>
          <w:rFonts w:cstheme="minorHAnsi"/>
        </w:rPr>
        <w:t xml:space="preserve"> in the previous versions of the Entry and Exit Surveys</w:t>
      </w:r>
      <w:r w:rsidR="00423D9D">
        <w:rPr>
          <w:rFonts w:cstheme="minorHAnsi"/>
        </w:rPr>
        <w:t xml:space="preserve">) </w:t>
      </w:r>
      <w:r w:rsidRPr="002A775C">
        <w:rPr>
          <w:rFonts w:cstheme="minorHAnsi"/>
        </w:rPr>
        <w:t xml:space="preserve">to reflect the other changes to the surveys. </w:t>
      </w:r>
    </w:p>
    <w:p w:rsidR="00C32E7F" w:rsidP="002A775C" w:rsidRDefault="002A775C" w14:paraId="57215B2E" w14:textId="33F00652">
      <w:pPr>
        <w:numPr>
          <w:ilvl w:val="1"/>
          <w:numId w:val="35"/>
        </w:numPr>
        <w:spacing w:after="60" w:line="240" w:lineRule="auto"/>
        <w:ind w:left="1800"/>
        <w:rPr>
          <w:rFonts w:cstheme="minorHAnsi"/>
        </w:rPr>
      </w:pPr>
      <w:r w:rsidRPr="002A775C">
        <w:rPr>
          <w:rFonts w:cstheme="minorHAnsi"/>
        </w:rPr>
        <w:t xml:space="preserve">High school and older </w:t>
      </w:r>
      <w:r w:rsidR="00C32E7F">
        <w:rPr>
          <w:rFonts w:cstheme="minorHAnsi"/>
        </w:rPr>
        <w:t>versions (Instruments 1b and 2b)</w:t>
      </w:r>
      <w:r w:rsidRPr="002A775C">
        <w:rPr>
          <w:rFonts w:cstheme="minorHAnsi"/>
        </w:rPr>
        <w:t xml:space="preserve">: </w:t>
      </w:r>
    </w:p>
    <w:p w:rsidR="002A775C" w:rsidP="00397D12" w:rsidRDefault="00C32E7F" w14:paraId="49A03EEA" w14:textId="57BD5D42">
      <w:pPr>
        <w:numPr>
          <w:ilvl w:val="2"/>
          <w:numId w:val="35"/>
        </w:numPr>
        <w:spacing w:after="60" w:line="240" w:lineRule="auto"/>
        <w:ind w:left="2520"/>
        <w:rPr>
          <w:rFonts w:cstheme="minorHAnsi"/>
        </w:rPr>
      </w:pPr>
      <w:r>
        <w:rPr>
          <w:rFonts w:cstheme="minorHAnsi"/>
        </w:rPr>
        <w:t>R</w:t>
      </w:r>
      <w:r w:rsidRPr="002A775C" w:rsidR="002A775C">
        <w:rPr>
          <w:rFonts w:cstheme="minorHAnsi"/>
        </w:rPr>
        <w:t>emove</w:t>
      </w:r>
      <w:r>
        <w:rPr>
          <w:rFonts w:cstheme="minorHAnsi"/>
        </w:rPr>
        <w:t>d</w:t>
      </w:r>
      <w:r w:rsidRPr="002A775C" w:rsidR="002A775C">
        <w:rPr>
          <w:rFonts w:cstheme="minorHAnsi"/>
        </w:rPr>
        <w:t xml:space="preserve"> response categories for younger ages</w:t>
      </w:r>
      <w:r>
        <w:rPr>
          <w:rFonts w:cstheme="minorHAnsi"/>
        </w:rPr>
        <w:t xml:space="preserve"> and </w:t>
      </w:r>
      <w:r w:rsidRPr="002A775C" w:rsidR="002A775C">
        <w:rPr>
          <w:rFonts w:cstheme="minorHAnsi"/>
        </w:rPr>
        <w:t xml:space="preserve">grades </w:t>
      </w:r>
      <w:r w:rsidR="00423D9D">
        <w:rPr>
          <w:rFonts w:cstheme="minorHAnsi"/>
        </w:rPr>
        <w:t>(question</w:t>
      </w:r>
      <w:r>
        <w:rPr>
          <w:rFonts w:cstheme="minorHAnsi"/>
        </w:rPr>
        <w:t>s</w:t>
      </w:r>
      <w:r w:rsidR="00423D9D">
        <w:rPr>
          <w:rFonts w:cstheme="minorHAnsi"/>
        </w:rPr>
        <w:t xml:space="preserve"> 1</w:t>
      </w:r>
      <w:r>
        <w:rPr>
          <w:rFonts w:cstheme="minorHAnsi"/>
        </w:rPr>
        <w:t xml:space="preserve"> and </w:t>
      </w:r>
      <w:r w:rsidR="00423D9D">
        <w:rPr>
          <w:rFonts w:cstheme="minorHAnsi"/>
        </w:rPr>
        <w:t>2</w:t>
      </w:r>
      <w:r>
        <w:rPr>
          <w:rFonts w:cstheme="minorHAnsi"/>
        </w:rPr>
        <w:t xml:space="preserve"> in the previous versions of the Entry and Exit Surveys</w:t>
      </w:r>
      <w:r w:rsidR="00423D9D">
        <w:rPr>
          <w:rFonts w:cstheme="minorHAnsi"/>
        </w:rPr>
        <w:t xml:space="preserve">) </w:t>
      </w:r>
      <w:r w:rsidRPr="002A775C" w:rsidR="002A775C">
        <w:rPr>
          <w:rFonts w:cstheme="minorHAnsi"/>
        </w:rPr>
        <w:t xml:space="preserve">as appropriate. </w:t>
      </w:r>
    </w:p>
    <w:p w:rsidRPr="002A775C" w:rsidR="00423D9D" w:rsidP="002A775C" w:rsidRDefault="005E3217" w14:paraId="4402F23A" w14:textId="14D167CD">
      <w:pPr>
        <w:numPr>
          <w:ilvl w:val="1"/>
          <w:numId w:val="35"/>
        </w:numPr>
        <w:spacing w:after="60" w:line="240" w:lineRule="auto"/>
        <w:ind w:left="1800"/>
        <w:rPr>
          <w:rFonts w:cstheme="minorHAnsi"/>
        </w:rPr>
      </w:pPr>
      <w:r>
        <w:rPr>
          <w:rFonts w:cstheme="minorHAnsi"/>
        </w:rPr>
        <w:t>For all versions of the middle-school and high school surveys, the sexual orientation item (question 6</w:t>
      </w:r>
      <w:r w:rsidR="00C32E7F">
        <w:rPr>
          <w:rFonts w:cstheme="minorHAnsi"/>
        </w:rPr>
        <w:t xml:space="preserve"> in the previous versions of the Entry and Exit Surveys</w:t>
      </w:r>
      <w:r>
        <w:rPr>
          <w:rFonts w:cstheme="minorHAnsi"/>
        </w:rPr>
        <w:t>) was removed.</w:t>
      </w:r>
    </w:p>
    <w:p w:rsidRPr="002A775C" w:rsidR="002A775C" w:rsidP="002A775C" w:rsidRDefault="002A775C" w14:paraId="239A604A" w14:textId="1A2F3A54">
      <w:pPr>
        <w:numPr>
          <w:ilvl w:val="0"/>
          <w:numId w:val="35"/>
        </w:numPr>
        <w:spacing w:after="0" w:line="240" w:lineRule="auto"/>
        <w:ind w:left="1170" w:hanging="450"/>
        <w:rPr>
          <w:rFonts w:cstheme="minorHAnsi"/>
        </w:rPr>
      </w:pPr>
      <w:r w:rsidRPr="002A775C">
        <w:rPr>
          <w:rFonts w:cstheme="minorHAnsi"/>
        </w:rPr>
        <w:t>Edits to the Performance reporting system data form</w:t>
      </w:r>
      <w:r w:rsidR="00423D9D">
        <w:rPr>
          <w:rFonts w:cstheme="minorHAnsi"/>
        </w:rPr>
        <w:t xml:space="preserve"> </w:t>
      </w:r>
      <w:r w:rsidR="00D537F3">
        <w:rPr>
          <w:rFonts w:cstheme="minorHAnsi"/>
        </w:rPr>
        <w:t>(</w:t>
      </w:r>
      <w:r w:rsidRPr="002A775C">
        <w:rPr>
          <w:rFonts w:cstheme="minorHAnsi"/>
        </w:rPr>
        <w:t xml:space="preserve">Instrument 3): updates were made to reflect changes to the Entry and Exit Surveys. </w:t>
      </w:r>
    </w:p>
    <w:p w:rsidR="00CC4711" w:rsidP="00455A25" w:rsidRDefault="00CC4711" w14:paraId="1D33CC27" w14:textId="20DD6762">
      <w:pPr>
        <w:spacing w:after="0" w:line="240" w:lineRule="auto"/>
        <w:rPr>
          <w:rFonts w:cstheme="minorHAnsi"/>
        </w:rPr>
      </w:pPr>
    </w:p>
    <w:p w:rsidRPr="00455A25" w:rsidR="00CC4711" w:rsidP="004D5289" w:rsidRDefault="00CC4711" w14:paraId="153D8367" w14:textId="22DD2CB0">
      <w:pPr>
        <w:spacing w:after="120" w:line="240" w:lineRule="auto"/>
        <w:ind w:firstLine="450"/>
      </w:pPr>
      <w:r>
        <w:t xml:space="preserve">In August 2020, a </w:t>
      </w:r>
      <w:r w:rsidRPr="00455A25">
        <w:t>nonsubstantive change</w:t>
      </w:r>
      <w:r>
        <w:t xml:space="preserve"> request was approved by OMB to add and modify measures in Instruments 3 and 4 to </w:t>
      </w:r>
      <w:r w:rsidRPr="00201241">
        <w:t xml:space="preserve">understand the extent to which </w:t>
      </w:r>
      <w:r>
        <w:t xml:space="preserve">the COVID-19 public health emergency </w:t>
      </w:r>
      <w:r w:rsidRPr="00201241">
        <w:t>resulted in interruptions in programming or in providers shifting their mode of program delivery and/or their collection of youth participant entry and exit surveys.</w:t>
      </w:r>
    </w:p>
    <w:p w:rsidR="00201360" w:rsidP="0056481E" w:rsidRDefault="00201360" w14:paraId="2AA0AAF0" w14:textId="43497784">
      <w:pPr>
        <w:spacing w:after="120" w:line="240" w:lineRule="auto"/>
        <w:ind w:firstLine="446"/>
      </w:pPr>
      <w:bookmarkStart w:name="_Hlk58490129" w:id="1"/>
      <w:r>
        <w:t xml:space="preserve">In January 2021, a nonsubstantive change request was approved by OMB to revise the COVID-related measures in Instruments 3 and 4. </w:t>
      </w:r>
    </w:p>
    <w:p w:rsidR="00201360" w:rsidP="0056481E" w:rsidRDefault="00201360" w14:paraId="3843EC69" w14:textId="46917B0C">
      <w:pPr>
        <w:spacing w:after="120" w:line="240" w:lineRule="auto"/>
        <w:ind w:firstLine="446"/>
      </w:pPr>
      <w:r w:rsidRPr="00201360">
        <w:t>For future rounds of data</w:t>
      </w:r>
      <w:r>
        <w:t xml:space="preserve"> collection</w:t>
      </w:r>
      <w:r w:rsidRPr="00201360">
        <w:t xml:space="preserve">, ACF </w:t>
      </w:r>
      <w:r w:rsidR="00F266EC">
        <w:t>will</w:t>
      </w:r>
      <w:r w:rsidRPr="00201360">
        <w:t xml:space="preserve"> reduce the number of pandemic-related measures in</w:t>
      </w:r>
      <w:bookmarkStart w:name="_Hlk81320903" w:id="2"/>
      <w:r w:rsidRPr="00201360">
        <w:t xml:space="preserve"> Instrument #3 and Instrument #4</w:t>
      </w:r>
      <w:bookmarkEnd w:id="2"/>
      <w:r w:rsidRPr="00201360">
        <w:t xml:space="preserve">. In addition, ACF leadership recently undertook a </w:t>
      </w:r>
      <w:bookmarkStart w:name="_Hlk81321700" w:id="3"/>
      <w:r w:rsidRPr="00201360">
        <w:t xml:space="preserve">review </w:t>
      </w:r>
      <w:bookmarkEnd w:id="3"/>
      <w:r w:rsidRPr="00201360">
        <w:t>of the PREP participant entry (Instrument #1) and exit surveys (Instrument #2) to (1) ensure that all items directly align with legislation, (2) reduce the number of items that some grantees might consider sensitive, (3) reduce burden, and (4) improve clarity. This review resulted in requested changes to the surveys</w:t>
      </w:r>
      <w:bookmarkStart w:name="_Hlk81321730" w:id="4"/>
      <w:r w:rsidR="001117AF">
        <w:t xml:space="preserve">, </w:t>
      </w:r>
      <w:bookmarkEnd w:id="4"/>
      <w:r w:rsidRPr="00201360">
        <w:t xml:space="preserve">which are also reflected in this </w:t>
      </w:r>
      <w:r>
        <w:t>information collection request</w:t>
      </w:r>
      <w:r w:rsidRPr="00201360">
        <w:t>.</w:t>
      </w:r>
    </w:p>
    <w:bookmarkEnd w:id="1"/>
    <w:p w:rsidR="00C05084" w:rsidP="00260119" w:rsidRDefault="00C05084" w14:paraId="2476803A" w14:textId="01CAB702">
      <w:pPr>
        <w:spacing w:after="0" w:line="240" w:lineRule="auto"/>
        <w:ind w:firstLine="450"/>
        <w:rPr>
          <w:rFonts w:eastAsia="Times New Roman" w:cstheme="minorHAnsi"/>
          <w:color w:val="000000"/>
          <w:szCs w:val="24"/>
        </w:rPr>
      </w:pPr>
      <w:r w:rsidRPr="00B5726A">
        <w:rPr>
          <w:rFonts w:cstheme="minorHAnsi"/>
        </w:rPr>
        <w:t>Each of the four data collection instrument</w:t>
      </w:r>
      <w:r w:rsidRPr="00B5726A" w:rsidR="00F128FC">
        <w:rPr>
          <w:rFonts w:cstheme="minorHAnsi"/>
        </w:rPr>
        <w:t>s</w:t>
      </w:r>
      <w:r w:rsidRPr="00B5726A">
        <w:rPr>
          <w:rFonts w:cstheme="minorHAnsi"/>
        </w:rPr>
        <w:t xml:space="preserve"> will address each of the study’s objectives described in Section B1 above. Instruments 1 and 2 will capture information on the characteristics of the youth participating in the program a</w:t>
      </w:r>
      <w:r>
        <w:rPr>
          <w:rFonts w:eastAsia="Times New Roman" w:cstheme="minorHAnsi"/>
          <w:color w:val="000000"/>
          <w:szCs w:val="24"/>
        </w:rPr>
        <w:t xml:space="preserve">nd their perceptions of program effects, and Instruments 3 and 4 will capture information on grantees’ and </w:t>
      </w:r>
      <w:r w:rsidR="005E4288">
        <w:rPr>
          <w:rFonts w:eastAsia="Times New Roman" w:cstheme="minorHAnsi"/>
          <w:color w:val="000000"/>
          <w:szCs w:val="24"/>
        </w:rPr>
        <w:t>subrecipient</w:t>
      </w:r>
      <w:r>
        <w:rPr>
          <w:rFonts w:eastAsia="Times New Roman" w:cstheme="minorHAnsi"/>
          <w:color w:val="000000"/>
          <w:szCs w:val="24"/>
        </w:rPr>
        <w:t xml:space="preserve">s’ implementation of the </w:t>
      </w:r>
      <w:r w:rsidR="00C93548">
        <w:rPr>
          <w:rFonts w:eastAsia="Times New Roman" w:cstheme="minorHAnsi"/>
          <w:color w:val="000000"/>
          <w:szCs w:val="24"/>
        </w:rPr>
        <w:t xml:space="preserve">PREP </w:t>
      </w:r>
      <w:r>
        <w:rPr>
          <w:rFonts w:eastAsia="Times New Roman" w:cstheme="minorHAnsi"/>
          <w:color w:val="000000"/>
          <w:szCs w:val="24"/>
        </w:rPr>
        <w:t xml:space="preserve">programs. Both types of data will be used to </w:t>
      </w:r>
      <w:r w:rsidRPr="00E72F0D">
        <w:rPr>
          <w:rFonts w:eastAsia="Times New Roman" w:cstheme="minorHAnsi"/>
          <w:color w:val="000000"/>
          <w:szCs w:val="24"/>
        </w:rPr>
        <w:t xml:space="preserve">monitor </w:t>
      </w:r>
      <w:r>
        <w:rPr>
          <w:rFonts w:eastAsia="Times New Roman" w:cstheme="minorHAnsi"/>
          <w:color w:val="000000"/>
          <w:szCs w:val="24"/>
        </w:rPr>
        <w:t>program</w:t>
      </w:r>
      <w:r w:rsidRPr="00E72F0D">
        <w:rPr>
          <w:rFonts w:eastAsia="Times New Roman" w:cstheme="minorHAnsi"/>
          <w:color w:val="000000"/>
          <w:szCs w:val="24"/>
        </w:rPr>
        <w:t xml:space="preserve"> implementation</w:t>
      </w:r>
      <w:r>
        <w:rPr>
          <w:rFonts w:eastAsia="Times New Roman" w:cstheme="minorHAnsi"/>
          <w:color w:val="000000"/>
          <w:szCs w:val="24"/>
        </w:rPr>
        <w:t xml:space="preserve"> and outcomes, inform program improvement, and provide status and progress updates.</w:t>
      </w:r>
    </w:p>
    <w:p w:rsidR="00A42C71" w:rsidP="00A42C71" w:rsidRDefault="00A42C71" w14:paraId="07375F14" w14:textId="419DF90D">
      <w:pPr>
        <w:autoSpaceDE w:val="0"/>
        <w:autoSpaceDN w:val="0"/>
        <w:adjustRightInd w:val="0"/>
        <w:spacing w:after="0" w:line="240" w:lineRule="atLeast"/>
        <w:rPr>
          <w:rFonts w:eastAsia="Times New Roman" w:cstheme="minorHAnsi"/>
          <w:color w:val="000000"/>
        </w:rPr>
      </w:pPr>
    </w:p>
    <w:p w:rsidRPr="001A59B6" w:rsidR="00A42C71" w:rsidP="00260119" w:rsidRDefault="00A42C71" w14:paraId="3E0643E6" w14:textId="285BD116">
      <w:pPr>
        <w:rPr>
          <w:rFonts w:eastAsia="Times New Roman" w:cstheme="minorHAnsi"/>
          <w:color w:val="000000"/>
        </w:rPr>
      </w:pPr>
      <w:r w:rsidRPr="001A59B6">
        <w:rPr>
          <w:rFonts w:eastAsia="Times New Roman" w:cstheme="minorHAnsi"/>
          <w:b/>
          <w:bCs/>
          <w:color w:val="000000"/>
        </w:rPr>
        <w:lastRenderedPageBreak/>
        <w:t xml:space="preserve">B4. </w:t>
      </w:r>
      <w:r w:rsidRPr="001A59B6">
        <w:rPr>
          <w:rFonts w:eastAsia="Times New Roman" w:cstheme="minorHAnsi"/>
          <w:b/>
          <w:bCs/>
          <w:color w:val="000000"/>
        </w:rPr>
        <w:tab/>
        <w:t>Collection of Data and Quality Control</w:t>
      </w:r>
    </w:p>
    <w:p w:rsidR="005248F4" w:rsidP="00595229" w:rsidRDefault="005248F4" w14:paraId="35FC0F67" w14:textId="753800E7">
      <w:pPr>
        <w:pStyle w:val="NormalSS"/>
        <w:tabs>
          <w:tab w:val="clear" w:pos="432"/>
        </w:tabs>
        <w:spacing w:after="0"/>
        <w:ind w:firstLine="720"/>
        <w:rPr>
          <w:rFonts w:asciiTheme="minorHAnsi" w:hAnsiTheme="minorHAnsi" w:cstheme="minorHAnsi"/>
          <w:sz w:val="22"/>
          <w:szCs w:val="22"/>
        </w:rPr>
      </w:pPr>
      <w:r w:rsidRPr="00E124CB">
        <w:rPr>
          <w:rFonts w:asciiTheme="minorHAnsi" w:hAnsiTheme="minorHAnsi" w:cstheme="minorHAnsi"/>
          <w:b/>
          <w:iCs/>
          <w:sz w:val="22"/>
          <w:szCs w:val="22"/>
        </w:rPr>
        <w:t>Instruments 1-2: Participant Entry and Exit Surveys.</w:t>
      </w:r>
      <w:r w:rsidRPr="00E124CB">
        <w:rPr>
          <w:rFonts w:asciiTheme="minorHAnsi" w:hAnsiTheme="minorHAnsi" w:cstheme="minorHAnsi"/>
          <w:iCs/>
          <w:sz w:val="22"/>
          <w:szCs w:val="22"/>
        </w:rPr>
        <w:t xml:space="preserve"> Each grantee and their </w:t>
      </w:r>
      <w:r w:rsidR="005E4288">
        <w:rPr>
          <w:rFonts w:asciiTheme="minorHAnsi" w:hAnsiTheme="minorHAnsi" w:cstheme="minorHAnsi"/>
          <w:iCs/>
          <w:sz w:val="22"/>
          <w:szCs w:val="22"/>
        </w:rPr>
        <w:t>subrecipient</w:t>
      </w:r>
      <w:r w:rsidRPr="00E124CB">
        <w:rPr>
          <w:rFonts w:asciiTheme="minorHAnsi" w:hAnsiTheme="minorHAnsi" w:cstheme="minorHAnsi"/>
          <w:iCs/>
          <w:sz w:val="22"/>
          <w:szCs w:val="22"/>
        </w:rPr>
        <w:t xml:space="preserve">s will make decisions regarding procedures for collecting the participant entry and exit surveys. Some grantees have elected to work with local evaluators that will administer the surveys for performance measures purposes; the local evaluators could decide to use paper-and-pencil or web-based surveys. For those grantees not working with local evaluators, it is likely that the </w:t>
      </w:r>
      <w:r w:rsidR="00455A25">
        <w:rPr>
          <w:rFonts w:asciiTheme="minorHAnsi" w:hAnsiTheme="minorHAnsi" w:cstheme="minorHAnsi"/>
          <w:sz w:val="22"/>
          <w:szCs w:val="22"/>
        </w:rPr>
        <w:t>subrecipient</w:t>
      </w:r>
      <w:r w:rsidRPr="00E124CB">
        <w:rPr>
          <w:rFonts w:asciiTheme="minorHAnsi" w:hAnsiTheme="minorHAnsi" w:cstheme="minorHAnsi"/>
          <w:sz w:val="22"/>
          <w:szCs w:val="22"/>
        </w:rPr>
        <w:t>s’ program facilitators will administer the entry and exit surveys using paper and pencil in group or individual settings. Grantees will inform their</w:t>
      </w:r>
      <w:r w:rsidRPr="00E124CB">
        <w:rPr>
          <w:rFonts w:asciiTheme="minorHAnsi" w:hAnsiTheme="minorHAnsi" w:cstheme="minorHAnsi"/>
          <w:color w:val="FF0000"/>
          <w:sz w:val="22"/>
          <w:szCs w:val="22"/>
        </w:rPr>
        <w:t xml:space="preserve"> </w:t>
      </w:r>
      <w:r w:rsidRPr="00E124CB">
        <w:rPr>
          <w:rFonts w:asciiTheme="minorHAnsi" w:hAnsiTheme="minorHAnsi" w:cstheme="minorHAnsi"/>
          <w:sz w:val="22"/>
          <w:szCs w:val="22"/>
        </w:rPr>
        <w:t xml:space="preserve">individual program participants that participation is voluntary and that they may refuse to answer any or all of the questions in the entry and exit questionnaires. </w:t>
      </w:r>
    </w:p>
    <w:p w:rsidRPr="00E124CB" w:rsidR="00AC41E5" w:rsidP="00595229" w:rsidRDefault="00AC41E5" w14:paraId="196DB778" w14:textId="77777777">
      <w:pPr>
        <w:pStyle w:val="NormalSS"/>
        <w:spacing w:after="0"/>
        <w:rPr>
          <w:rFonts w:asciiTheme="minorHAnsi" w:hAnsiTheme="minorHAnsi" w:cstheme="minorHAnsi"/>
          <w:sz w:val="22"/>
          <w:szCs w:val="22"/>
        </w:rPr>
      </w:pPr>
    </w:p>
    <w:p w:rsidR="005248F4" w:rsidP="00595229" w:rsidRDefault="005248F4" w14:paraId="1DB4820B" w14:textId="42E6D989">
      <w:pPr>
        <w:pStyle w:val="NormalSS"/>
        <w:tabs>
          <w:tab w:val="clear" w:pos="432"/>
        </w:tabs>
        <w:spacing w:after="0"/>
        <w:ind w:firstLine="720"/>
        <w:rPr>
          <w:rFonts w:asciiTheme="minorHAnsi" w:hAnsiTheme="minorHAnsi" w:cstheme="minorHAnsi"/>
          <w:sz w:val="22"/>
          <w:szCs w:val="22"/>
        </w:rPr>
      </w:pPr>
      <w:r w:rsidRPr="00E124CB">
        <w:rPr>
          <w:rFonts w:asciiTheme="minorHAnsi" w:hAnsiTheme="minorHAnsi" w:cstheme="minorHAnsi"/>
          <w:b/>
          <w:sz w:val="22"/>
          <w:szCs w:val="22"/>
        </w:rPr>
        <w:t xml:space="preserve">Instruments 3-4: Performance Reporting System Data Entry Form and </w:t>
      </w:r>
      <w:r w:rsidR="00455A25">
        <w:rPr>
          <w:rFonts w:asciiTheme="minorHAnsi" w:hAnsiTheme="minorHAnsi" w:cstheme="minorHAnsi"/>
          <w:b/>
          <w:sz w:val="22"/>
          <w:szCs w:val="22"/>
        </w:rPr>
        <w:t>Subrecipient</w:t>
      </w:r>
      <w:r w:rsidRPr="00E124CB">
        <w:rPr>
          <w:rFonts w:asciiTheme="minorHAnsi" w:hAnsiTheme="minorHAnsi" w:cstheme="minorHAnsi"/>
          <w:b/>
          <w:sz w:val="22"/>
          <w:szCs w:val="22"/>
        </w:rPr>
        <w:t xml:space="preserve"> Data Collection and Reporting Form.</w:t>
      </w:r>
      <w:r w:rsidRPr="00E124CB">
        <w:rPr>
          <w:rFonts w:asciiTheme="minorHAnsi" w:hAnsiTheme="minorHAnsi" w:cstheme="minorHAnsi"/>
          <w:sz w:val="22"/>
          <w:szCs w:val="22"/>
        </w:rPr>
        <w:t xml:space="preserve"> Grantees will report separately on levels of participant attendance, reach and dosage (see Figure 1</w:t>
      </w:r>
      <w:r w:rsidR="00FE1A37">
        <w:rPr>
          <w:rFonts w:asciiTheme="minorHAnsi" w:hAnsiTheme="minorHAnsi" w:cstheme="minorHAnsi"/>
          <w:sz w:val="22"/>
          <w:szCs w:val="22"/>
        </w:rPr>
        <w:t xml:space="preserve"> in SSA</w:t>
      </w:r>
      <w:r w:rsidRPr="00E124CB">
        <w:rPr>
          <w:rFonts w:asciiTheme="minorHAnsi" w:hAnsiTheme="minorHAnsi" w:cstheme="minorHAnsi"/>
          <w:sz w:val="22"/>
          <w:szCs w:val="22"/>
        </w:rPr>
        <w:t>). Data on these measures</w:t>
      </w:r>
      <w:r w:rsidR="00995648">
        <w:rPr>
          <w:rFonts w:asciiTheme="minorHAnsi" w:hAnsiTheme="minorHAnsi" w:cstheme="minorHAnsi"/>
          <w:sz w:val="22"/>
          <w:szCs w:val="22"/>
        </w:rPr>
        <w:t xml:space="preserve"> will be collected by providers</w:t>
      </w:r>
      <w:r w:rsidR="00AE404E">
        <w:rPr>
          <w:rFonts w:asciiTheme="minorHAnsi" w:hAnsiTheme="minorHAnsi" w:cstheme="minorHAnsi"/>
          <w:sz w:val="22"/>
          <w:szCs w:val="22"/>
        </w:rPr>
        <w:t>,</w:t>
      </w:r>
      <w:r w:rsidRPr="00AE404E" w:rsidR="00AE404E">
        <w:t xml:space="preserve"> </w:t>
      </w:r>
      <w:r w:rsidRPr="00AE404E" w:rsidR="00AE404E">
        <w:rPr>
          <w:rFonts w:asciiTheme="minorHAnsi" w:hAnsiTheme="minorHAnsi" w:cstheme="minorHAnsi"/>
          <w:sz w:val="22"/>
          <w:szCs w:val="22"/>
        </w:rPr>
        <w:t xml:space="preserve">which could be grantees or </w:t>
      </w:r>
      <w:r w:rsidR="00515279">
        <w:rPr>
          <w:rFonts w:asciiTheme="minorHAnsi" w:hAnsiTheme="minorHAnsi" w:cstheme="minorHAnsi"/>
          <w:sz w:val="22"/>
          <w:szCs w:val="22"/>
        </w:rPr>
        <w:t xml:space="preserve">subrecipients </w:t>
      </w:r>
      <w:r w:rsidRPr="00E124CB">
        <w:rPr>
          <w:rFonts w:asciiTheme="minorHAnsi" w:hAnsiTheme="minorHAnsi" w:cstheme="minorHAnsi"/>
          <w:sz w:val="22"/>
          <w:szCs w:val="22"/>
        </w:rPr>
        <w:t>(Instrument</w:t>
      </w:r>
      <w:r w:rsidRPr="00E124CB" w:rsidR="00AE404E">
        <w:rPr>
          <w:rFonts w:asciiTheme="minorHAnsi" w:hAnsiTheme="minorHAnsi" w:cstheme="minorHAnsi"/>
          <w:sz w:val="22"/>
          <w:szCs w:val="22"/>
        </w:rPr>
        <w:t>s 3 and</w:t>
      </w:r>
      <w:r w:rsidRPr="00E124CB">
        <w:rPr>
          <w:rFonts w:asciiTheme="minorHAnsi" w:hAnsiTheme="minorHAnsi" w:cstheme="minorHAnsi"/>
          <w:sz w:val="22"/>
          <w:szCs w:val="22"/>
        </w:rPr>
        <w:t xml:space="preserve"> 4). Administrative data on program features and structure, allocation of funds, and staff perceptions of quality challenges will be collected by grantees and </w:t>
      </w:r>
      <w:r w:rsidR="005E4288">
        <w:rPr>
          <w:rFonts w:asciiTheme="minorHAnsi" w:hAnsiTheme="minorHAnsi" w:cstheme="minorHAnsi"/>
          <w:sz w:val="22"/>
          <w:szCs w:val="22"/>
        </w:rPr>
        <w:t>subrecipient</w:t>
      </w:r>
      <w:r w:rsidRPr="00E124CB">
        <w:rPr>
          <w:rFonts w:asciiTheme="minorHAnsi" w:hAnsiTheme="minorHAnsi" w:cstheme="minorHAnsi"/>
          <w:sz w:val="22"/>
          <w:szCs w:val="22"/>
        </w:rPr>
        <w:t xml:space="preserve">s through their administrators (Instruments 3 and 4). </w:t>
      </w:r>
      <w:r w:rsidRPr="00E124CB">
        <w:rPr>
          <w:rFonts w:asciiTheme="minorHAnsi" w:hAnsiTheme="minorHAnsi" w:cstheme="minorHAnsi"/>
          <w:bCs/>
          <w:color w:val="000000"/>
          <w:sz w:val="22"/>
          <w:szCs w:val="22"/>
        </w:rPr>
        <w:t>Grantees will p</w:t>
      </w:r>
      <w:r w:rsidRPr="00E124CB">
        <w:rPr>
          <w:rFonts w:asciiTheme="minorHAnsi" w:hAnsiTheme="minorHAnsi" w:cstheme="minorHAnsi"/>
          <w:sz w:val="22"/>
          <w:szCs w:val="22"/>
        </w:rPr>
        <w:t xml:space="preserve">repare and submit their final data sets in aggregate form to ACF through </w:t>
      </w:r>
      <w:r w:rsidRPr="007E30D0">
        <w:rPr>
          <w:rFonts w:asciiTheme="minorHAnsi" w:hAnsiTheme="minorHAnsi" w:cstheme="minorHAnsi"/>
          <w:sz w:val="22"/>
          <w:szCs w:val="22"/>
        </w:rPr>
        <w:t xml:space="preserve">the </w:t>
      </w:r>
      <w:r w:rsidRPr="00B03859" w:rsidR="00AC41E5">
        <w:rPr>
          <w:rFonts w:asciiTheme="minorHAnsi" w:hAnsiTheme="minorHAnsi" w:cstheme="minorHAnsi"/>
          <w:sz w:val="22"/>
          <w:szCs w:val="22"/>
        </w:rPr>
        <w:t>Performance Measures Management System (</w:t>
      </w:r>
      <w:r w:rsidRPr="007E30D0" w:rsidR="00E67E41">
        <w:rPr>
          <w:rFonts w:asciiTheme="minorHAnsi" w:hAnsiTheme="minorHAnsi" w:cstheme="minorHAnsi"/>
          <w:sz w:val="22"/>
          <w:szCs w:val="22"/>
        </w:rPr>
        <w:t>PMMS</w:t>
      </w:r>
      <w:r w:rsidR="00AC41E5">
        <w:rPr>
          <w:rFonts w:asciiTheme="minorHAnsi" w:hAnsiTheme="minorHAnsi" w:cstheme="minorHAnsi"/>
          <w:sz w:val="22"/>
          <w:szCs w:val="22"/>
        </w:rPr>
        <w:t>)</w:t>
      </w:r>
      <w:r w:rsidRPr="00E124CB">
        <w:rPr>
          <w:rFonts w:asciiTheme="minorHAnsi" w:hAnsiTheme="minorHAnsi" w:cstheme="minorHAnsi"/>
          <w:sz w:val="22"/>
          <w:szCs w:val="22"/>
        </w:rPr>
        <w:t xml:space="preserve">. The Performance Reporting System Data Entry Form (Instrument 3) contains the list of all data elements grantees will report, collected from among their </w:t>
      </w:r>
      <w:r w:rsidR="005E4288">
        <w:rPr>
          <w:rFonts w:asciiTheme="minorHAnsi" w:hAnsiTheme="minorHAnsi" w:cstheme="minorHAnsi"/>
          <w:sz w:val="22"/>
          <w:szCs w:val="22"/>
        </w:rPr>
        <w:t>subrecipient</w:t>
      </w:r>
      <w:r w:rsidRPr="00E124CB">
        <w:rPr>
          <w:rFonts w:asciiTheme="minorHAnsi" w:hAnsiTheme="minorHAnsi" w:cstheme="minorHAnsi"/>
          <w:sz w:val="22"/>
          <w:szCs w:val="22"/>
        </w:rPr>
        <w:t xml:space="preserve">s. </w:t>
      </w:r>
    </w:p>
    <w:p w:rsidRPr="000A3692" w:rsidR="00AC41E5" w:rsidP="00595229" w:rsidRDefault="00AC41E5" w14:paraId="423A684F" w14:textId="77777777">
      <w:pPr>
        <w:pStyle w:val="NormalSS"/>
        <w:spacing w:after="0"/>
        <w:rPr>
          <w:rFonts w:asciiTheme="minorHAnsi" w:hAnsiTheme="minorHAnsi" w:cstheme="minorHAnsi"/>
          <w:sz w:val="22"/>
          <w:szCs w:val="22"/>
        </w:rPr>
      </w:pPr>
    </w:p>
    <w:p w:rsidR="005248F4" w:rsidP="00595229" w:rsidRDefault="005248F4" w14:paraId="30ED9BB7" w14:textId="57A4584B">
      <w:pPr>
        <w:autoSpaceDE w:val="0"/>
        <w:autoSpaceDN w:val="0"/>
        <w:adjustRightInd w:val="0"/>
        <w:spacing w:after="0" w:line="240" w:lineRule="auto"/>
        <w:ind w:firstLine="720"/>
        <w:rPr>
          <w:rFonts w:cs="Calibri"/>
        </w:rPr>
      </w:pPr>
      <w:r w:rsidRPr="0086484F">
        <w:rPr>
          <w:rFonts w:cs="Calibri"/>
        </w:rPr>
        <w:t xml:space="preserve">The timing of participant survey data collections will be customized for each site depending upon the start and end dates of each cohort of participants. Administrative </w:t>
      </w:r>
      <w:r>
        <w:rPr>
          <w:rFonts w:cs="Calibri"/>
        </w:rPr>
        <w:t xml:space="preserve">performance measurement </w:t>
      </w:r>
      <w:r w:rsidRPr="0086484F">
        <w:rPr>
          <w:rFonts w:cs="Calibri"/>
        </w:rPr>
        <w:t xml:space="preserve">data </w:t>
      </w:r>
      <w:r>
        <w:rPr>
          <w:rFonts w:cs="Calibri"/>
        </w:rPr>
        <w:t xml:space="preserve">and participant </w:t>
      </w:r>
      <w:r w:rsidRPr="00AE2040">
        <w:rPr>
          <w:rFonts w:cs="Calibri"/>
        </w:rPr>
        <w:t>information will be reported twice a year</w:t>
      </w:r>
      <w:r w:rsidR="00AE2040">
        <w:rPr>
          <w:rStyle w:val="FootnoteReference"/>
          <w:rFonts w:cs="Calibri"/>
        </w:rPr>
        <w:footnoteReference w:id="3"/>
      </w:r>
      <w:r w:rsidRPr="00AE2040">
        <w:rPr>
          <w:rFonts w:cs="Calibri"/>
        </w:rPr>
        <w:t>.</w:t>
      </w:r>
      <w:r w:rsidRPr="0086484F">
        <w:rPr>
          <w:rFonts w:cs="Calibri"/>
        </w:rPr>
        <w:t xml:space="preserve"> </w:t>
      </w:r>
    </w:p>
    <w:p w:rsidR="00AC41E5" w:rsidP="00595229" w:rsidRDefault="00AC41E5" w14:paraId="56DC1993" w14:textId="77777777">
      <w:pPr>
        <w:autoSpaceDE w:val="0"/>
        <w:autoSpaceDN w:val="0"/>
        <w:adjustRightInd w:val="0"/>
        <w:spacing w:after="0" w:line="240" w:lineRule="auto"/>
        <w:ind w:firstLine="360"/>
        <w:rPr>
          <w:rFonts w:cs="Calibri"/>
        </w:rPr>
      </w:pPr>
    </w:p>
    <w:p w:rsidRPr="000A3692" w:rsidR="00A42C71" w:rsidP="00595229" w:rsidRDefault="00C05084" w14:paraId="4D80C138" w14:textId="38619157">
      <w:pPr>
        <w:autoSpaceDE w:val="0"/>
        <w:autoSpaceDN w:val="0"/>
        <w:adjustRightInd w:val="0"/>
        <w:spacing w:after="0" w:line="240" w:lineRule="auto"/>
        <w:ind w:firstLine="720"/>
        <w:rPr>
          <w:rFonts w:eastAsia="Times New Roman" w:cstheme="minorHAnsi"/>
          <w:szCs w:val="20"/>
        </w:rPr>
      </w:pPr>
      <w:r w:rsidRPr="00796B5C">
        <w:rPr>
          <w:rFonts w:eastAsia="Times New Roman" w:cstheme="minorHAnsi"/>
          <w:bCs/>
          <w:szCs w:val="20"/>
        </w:rPr>
        <w:t xml:space="preserve">ACF’s </w:t>
      </w:r>
      <w:r w:rsidRPr="00796B5C">
        <w:rPr>
          <w:rFonts w:eastAsia="Times New Roman" w:cstheme="minorHAnsi"/>
          <w:szCs w:val="20"/>
        </w:rPr>
        <w:t xml:space="preserve">contractor will </w:t>
      </w:r>
      <w:r>
        <w:rPr>
          <w:rFonts w:eastAsia="Times New Roman" w:cstheme="minorHAnsi"/>
          <w:szCs w:val="20"/>
        </w:rPr>
        <w:t xml:space="preserve">continue to </w:t>
      </w:r>
      <w:r w:rsidRPr="00796B5C">
        <w:rPr>
          <w:rFonts w:eastAsia="Times New Roman" w:cstheme="minorHAnsi"/>
          <w:szCs w:val="20"/>
        </w:rPr>
        <w:t xml:space="preserve">provide training and technical assistance to ensure that grantees and program providers understand the measures, instruments, and data collection processes. </w:t>
      </w:r>
    </w:p>
    <w:p w:rsidR="00A42C71" w:rsidP="00A42C71" w:rsidRDefault="00A42C71" w14:paraId="5F817256" w14:textId="19B54188">
      <w:pPr>
        <w:autoSpaceDE w:val="0"/>
        <w:autoSpaceDN w:val="0"/>
        <w:adjustRightInd w:val="0"/>
        <w:spacing w:after="0" w:line="240" w:lineRule="atLeast"/>
        <w:rPr>
          <w:rFonts w:eastAsia="Times New Roman" w:cstheme="minorHAnsi"/>
          <w:color w:val="000000"/>
        </w:rPr>
      </w:pPr>
    </w:p>
    <w:p w:rsidRPr="001A59B6" w:rsidR="00AC41E5" w:rsidP="00A42C71" w:rsidRDefault="00AC41E5" w14:paraId="599FBADF"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A42C71" w:rsidP="00A42C71" w:rsidRDefault="00A42C71" w14:paraId="60C5A7FD" w14:textId="6A320A7B">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Pr="00A34E81" w:rsidR="00947AB6" w:rsidP="00083A33" w:rsidRDefault="00947AB6" w14:paraId="23851CFB" w14:textId="567F55EE">
      <w:pPr>
        <w:pStyle w:val="NormalSS"/>
        <w:tabs>
          <w:tab w:val="clear" w:pos="432"/>
        </w:tabs>
        <w:ind w:firstLine="720"/>
        <w:rPr>
          <w:rFonts w:asciiTheme="minorHAnsi" w:hAnsiTheme="minorHAnsi" w:cstheme="minorHAnsi"/>
          <w:sz w:val="22"/>
          <w:szCs w:val="22"/>
        </w:rPr>
      </w:pPr>
      <w:r w:rsidRPr="00A34E81">
        <w:rPr>
          <w:rFonts w:asciiTheme="minorHAnsi" w:hAnsiTheme="minorHAnsi" w:cstheme="minorHAnsi"/>
          <w:b/>
          <w:iCs/>
          <w:sz w:val="22"/>
          <w:szCs w:val="22"/>
        </w:rPr>
        <w:t>Instruments 1-2: Participant Entry and Exit Surveys.</w:t>
      </w:r>
      <w:r w:rsidRPr="00A34E81">
        <w:rPr>
          <w:rFonts w:asciiTheme="minorHAnsi" w:hAnsiTheme="minorHAnsi" w:cstheme="minorHAnsi"/>
          <w:sz w:val="22"/>
          <w:szCs w:val="22"/>
        </w:rPr>
        <w:t xml:space="preserve"> Response rates for participant surveys will be maximized through the administration of entry surveys to all participants at enrollment and administration of the exit surveys during final program sessions. Where feasible, exit surveys will be administered on an individualized basis to program exiters who are absent during final sessions when the surveys are completed.</w:t>
      </w:r>
      <w:r w:rsidR="00216AED">
        <w:rPr>
          <w:rFonts w:asciiTheme="minorHAnsi" w:hAnsiTheme="minorHAnsi" w:cstheme="minorHAnsi"/>
          <w:sz w:val="22"/>
          <w:szCs w:val="22"/>
        </w:rPr>
        <w:t xml:space="preserve"> </w:t>
      </w:r>
      <w:r w:rsidRPr="00A34E81" w:rsidDel="00947AB6">
        <w:rPr>
          <w:rFonts w:asciiTheme="minorHAnsi" w:hAnsiTheme="minorHAnsi" w:cstheme="minorHAnsi"/>
          <w:sz w:val="22"/>
          <w:szCs w:val="22"/>
        </w:rPr>
        <w:t>The response rate for both surveys is expected to be 95 percent</w:t>
      </w:r>
      <w:r w:rsidRPr="00C93548" w:rsidDel="00947AB6">
        <w:rPr>
          <w:rFonts w:asciiTheme="minorHAnsi" w:hAnsiTheme="minorHAnsi" w:cstheme="minorHAnsi"/>
          <w:sz w:val="22"/>
          <w:szCs w:val="22"/>
        </w:rPr>
        <w:t xml:space="preserve">. </w:t>
      </w:r>
    </w:p>
    <w:p w:rsidR="00947AB6" w:rsidP="00C523DE" w:rsidRDefault="00947AB6" w14:paraId="4D93DCE7" w14:textId="6F49D384">
      <w:pPr>
        <w:pStyle w:val="NormalSS"/>
        <w:tabs>
          <w:tab w:val="clear" w:pos="432"/>
        </w:tabs>
        <w:spacing w:after="0"/>
        <w:ind w:firstLine="720"/>
        <w:rPr>
          <w:rFonts w:asciiTheme="minorHAnsi" w:hAnsiTheme="minorHAnsi" w:cstheme="minorHAnsi"/>
          <w:sz w:val="22"/>
          <w:szCs w:val="22"/>
        </w:rPr>
      </w:pPr>
      <w:r w:rsidRPr="00A34E81">
        <w:rPr>
          <w:rFonts w:asciiTheme="minorHAnsi" w:hAnsiTheme="minorHAnsi" w:cstheme="minorHAnsi"/>
          <w:b/>
          <w:sz w:val="22"/>
          <w:szCs w:val="22"/>
        </w:rPr>
        <w:t xml:space="preserve">Instruments 3-4: Performance Reporting System Data Entry Form and </w:t>
      </w:r>
      <w:r w:rsidR="005E4288">
        <w:rPr>
          <w:rFonts w:asciiTheme="minorHAnsi" w:hAnsiTheme="minorHAnsi" w:cstheme="minorHAnsi"/>
          <w:b/>
          <w:sz w:val="22"/>
          <w:szCs w:val="22"/>
        </w:rPr>
        <w:t>Subrecipient</w:t>
      </w:r>
      <w:r w:rsidRPr="00A34E81">
        <w:rPr>
          <w:rFonts w:asciiTheme="minorHAnsi" w:hAnsiTheme="minorHAnsi" w:cstheme="minorHAnsi"/>
          <w:b/>
          <w:sz w:val="22"/>
          <w:szCs w:val="22"/>
        </w:rPr>
        <w:t xml:space="preserve"> Data Collection Reporting Form. </w:t>
      </w:r>
      <w:r w:rsidRPr="00A34E81">
        <w:rPr>
          <w:rFonts w:asciiTheme="minorHAnsi" w:hAnsiTheme="minorHAnsi" w:cstheme="minorHAnsi"/>
          <w:sz w:val="22"/>
          <w:szCs w:val="22"/>
        </w:rPr>
        <w:t xml:space="preserve">To reduce grantee burden and maximize grantee response rates, ACF is providing common data element definitions across PREP program models and collecting these data in a uniform manner through the </w:t>
      </w:r>
      <w:r w:rsidR="007E30D0">
        <w:rPr>
          <w:rFonts w:asciiTheme="minorHAnsi" w:hAnsiTheme="minorHAnsi" w:cstheme="minorHAnsi"/>
          <w:sz w:val="22"/>
          <w:szCs w:val="22"/>
        </w:rPr>
        <w:t xml:space="preserve">PMMS </w:t>
      </w:r>
      <w:r w:rsidRPr="007E30D0">
        <w:rPr>
          <w:rFonts w:asciiTheme="minorHAnsi" w:hAnsiTheme="minorHAnsi" w:cstheme="minorHAnsi"/>
          <w:sz w:val="22"/>
          <w:szCs w:val="22"/>
        </w:rPr>
        <w:t>(</w:t>
      </w:r>
      <w:r w:rsidRPr="00A34E81">
        <w:rPr>
          <w:rFonts w:asciiTheme="minorHAnsi" w:hAnsiTheme="minorHAnsi" w:cstheme="minorHAnsi"/>
          <w:sz w:val="22"/>
          <w:szCs w:val="22"/>
        </w:rPr>
        <w:t xml:space="preserve">see Instruments 3-4). </w:t>
      </w:r>
      <w:r w:rsidR="007E30D0">
        <w:rPr>
          <w:rFonts w:asciiTheme="minorHAnsi" w:hAnsiTheme="minorHAnsi" w:cstheme="minorHAnsi"/>
          <w:sz w:val="22"/>
          <w:szCs w:val="22"/>
        </w:rPr>
        <w:t xml:space="preserve"> </w:t>
      </w:r>
      <w:r w:rsidRPr="00A34E81">
        <w:rPr>
          <w:rFonts w:asciiTheme="minorHAnsi" w:hAnsiTheme="minorHAnsi" w:cstheme="minorHAnsi"/>
          <w:sz w:val="22"/>
          <w:szCs w:val="22"/>
        </w:rPr>
        <w:t xml:space="preserve">Because collecting and reporting data for performance measures is a funding requirement of the PREP grants, the grantee and </w:t>
      </w:r>
      <w:r w:rsidR="005E4288">
        <w:rPr>
          <w:rFonts w:asciiTheme="minorHAnsi" w:hAnsiTheme="minorHAnsi" w:cstheme="minorHAnsi"/>
          <w:sz w:val="22"/>
          <w:szCs w:val="22"/>
        </w:rPr>
        <w:t>subrecipient</w:t>
      </w:r>
      <w:r w:rsidRPr="00A34E81">
        <w:rPr>
          <w:rFonts w:asciiTheme="minorHAnsi" w:hAnsiTheme="minorHAnsi" w:cstheme="minorHAnsi"/>
          <w:sz w:val="22"/>
          <w:szCs w:val="22"/>
        </w:rPr>
        <w:t xml:space="preserve"> response rates are expected to be 100 percent.</w:t>
      </w:r>
    </w:p>
    <w:p w:rsidR="009E784D" w:rsidP="00947AB6" w:rsidRDefault="009E784D" w14:paraId="726989AD" w14:textId="26C0E48B">
      <w:pPr>
        <w:pStyle w:val="NormalSS"/>
        <w:spacing w:after="120"/>
        <w:rPr>
          <w:rFonts w:asciiTheme="minorHAnsi" w:hAnsiTheme="minorHAnsi" w:cstheme="minorHAnsi"/>
          <w:sz w:val="22"/>
          <w:szCs w:val="22"/>
        </w:rPr>
      </w:pPr>
    </w:p>
    <w:p w:rsidRPr="009E784D" w:rsidR="009E784D" w:rsidP="00595229" w:rsidRDefault="009E784D" w14:paraId="510C7C57" w14:textId="719910DF">
      <w:pPr>
        <w:rPr>
          <w:rFonts w:cstheme="minorHAnsi"/>
          <w:b/>
          <w:bCs/>
        </w:rPr>
      </w:pPr>
      <w:r w:rsidRPr="009E784D">
        <w:rPr>
          <w:rFonts w:cstheme="minorHAnsi"/>
          <w:b/>
          <w:bCs/>
        </w:rPr>
        <w:lastRenderedPageBreak/>
        <w:t>Table B1.1. Annual Respondent Universe and Expected Response Rates for the Study of Performance Measures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8"/>
        <w:gridCol w:w="1870"/>
        <w:gridCol w:w="1384"/>
        <w:gridCol w:w="1554"/>
        <w:gridCol w:w="1694"/>
      </w:tblGrid>
      <w:tr w:rsidR="00350CCD" w:rsidTr="00900D26" w14:paraId="6240CAF5" w14:textId="77777777">
        <w:tc>
          <w:tcPr>
            <w:tcW w:w="1523" w:type="pct"/>
            <w:shd w:val="clear" w:color="auto" w:fill="D9D9D9" w:themeFill="background1" w:themeFillShade="D9"/>
            <w:vAlign w:val="bottom"/>
          </w:tcPr>
          <w:p w:rsidRPr="00711E10" w:rsidR="009E784D" w:rsidP="00900D26" w:rsidRDefault="009E784D" w14:paraId="1B204996" w14:textId="77777777">
            <w:pPr>
              <w:pStyle w:val="TableHeaderLeft"/>
              <w:rPr>
                <w:b/>
              </w:rPr>
            </w:pPr>
            <w:r w:rsidRPr="00711E10">
              <w:rPr>
                <w:b/>
              </w:rPr>
              <w:t>Data Collection</w:t>
            </w:r>
          </w:p>
        </w:tc>
        <w:tc>
          <w:tcPr>
            <w:tcW w:w="1000" w:type="pct"/>
            <w:shd w:val="clear" w:color="auto" w:fill="D9D9D9" w:themeFill="background1" w:themeFillShade="D9"/>
            <w:vAlign w:val="bottom"/>
          </w:tcPr>
          <w:p w:rsidRPr="00711E10" w:rsidR="009E784D" w:rsidP="00900D26" w:rsidRDefault="009E784D" w14:paraId="40B3CE8B" w14:textId="77777777">
            <w:pPr>
              <w:pStyle w:val="TableHeaderCenter"/>
              <w:rPr>
                <w:b/>
              </w:rPr>
            </w:pPr>
            <w:r w:rsidRPr="00711E10">
              <w:rPr>
                <w:b/>
              </w:rPr>
              <w:t>Type of respondent</w:t>
            </w:r>
          </w:p>
        </w:tc>
        <w:tc>
          <w:tcPr>
            <w:tcW w:w="740" w:type="pct"/>
            <w:shd w:val="clear" w:color="auto" w:fill="D9D9D9" w:themeFill="background1" w:themeFillShade="D9"/>
            <w:vAlign w:val="bottom"/>
          </w:tcPr>
          <w:p w:rsidRPr="00711E10" w:rsidR="009E784D" w:rsidP="00900D26" w:rsidRDefault="00B92E53" w14:paraId="4D07762C" w14:textId="2DB04B05">
            <w:pPr>
              <w:pStyle w:val="TableHeaderCenter"/>
              <w:rPr>
                <w:b/>
              </w:rPr>
            </w:pPr>
            <w:r>
              <w:rPr>
                <w:b/>
              </w:rPr>
              <w:t>Annual n</w:t>
            </w:r>
            <w:r w:rsidRPr="00711E10" w:rsidR="009E784D">
              <w:rPr>
                <w:b/>
              </w:rPr>
              <w:t>umber of</w:t>
            </w:r>
            <w:r w:rsidRPr="00711E10" w:rsidR="009E784D">
              <w:rPr>
                <w:b/>
              </w:rPr>
              <w:br/>
            </w:r>
            <w:r>
              <w:rPr>
                <w:b/>
              </w:rPr>
              <w:t>r</w:t>
            </w:r>
            <w:r w:rsidRPr="00711E10" w:rsidR="009E784D">
              <w:rPr>
                <w:b/>
              </w:rPr>
              <w:t>espondents</w:t>
            </w:r>
          </w:p>
        </w:tc>
        <w:tc>
          <w:tcPr>
            <w:tcW w:w="831" w:type="pct"/>
            <w:shd w:val="clear" w:color="auto" w:fill="D9D9D9" w:themeFill="background1" w:themeFillShade="D9"/>
            <w:vAlign w:val="bottom"/>
          </w:tcPr>
          <w:p w:rsidRPr="00711E10" w:rsidR="009E784D" w:rsidP="00900D26" w:rsidRDefault="009E784D" w14:paraId="324D615C" w14:textId="77777777">
            <w:pPr>
              <w:pStyle w:val="TableHeaderCenter"/>
              <w:rPr>
                <w:b/>
              </w:rPr>
            </w:pPr>
            <w:r w:rsidRPr="00711E10">
              <w:rPr>
                <w:b/>
              </w:rPr>
              <w:t>Expected response rate</w:t>
            </w:r>
          </w:p>
        </w:tc>
        <w:tc>
          <w:tcPr>
            <w:tcW w:w="906" w:type="pct"/>
            <w:shd w:val="clear" w:color="auto" w:fill="D9D9D9" w:themeFill="background1" w:themeFillShade="D9"/>
            <w:vAlign w:val="bottom"/>
          </w:tcPr>
          <w:p w:rsidRPr="00711E10" w:rsidR="009E784D" w:rsidP="00B92E53" w:rsidRDefault="00B92E53" w14:paraId="5D9CC50F" w14:textId="6B43C87E">
            <w:pPr>
              <w:pStyle w:val="TableHeaderCenter"/>
              <w:rPr>
                <w:b/>
              </w:rPr>
            </w:pPr>
            <w:r>
              <w:rPr>
                <w:b/>
              </w:rPr>
              <w:t>Annual</w:t>
            </w:r>
            <w:r w:rsidRPr="00711E10">
              <w:rPr>
                <w:b/>
              </w:rPr>
              <w:t xml:space="preserve"> </w:t>
            </w:r>
            <w:r w:rsidRPr="00711E10" w:rsidR="009E784D">
              <w:rPr>
                <w:b/>
              </w:rPr>
              <w:t xml:space="preserve">expected </w:t>
            </w:r>
            <w:r w:rsidRPr="00711E10">
              <w:rPr>
                <w:b/>
              </w:rPr>
              <w:t>respon</w:t>
            </w:r>
            <w:r>
              <w:rPr>
                <w:b/>
              </w:rPr>
              <w:t>dents</w:t>
            </w:r>
          </w:p>
        </w:tc>
      </w:tr>
      <w:tr w:rsidR="00350CCD" w:rsidTr="00900D26" w14:paraId="5E490CD0" w14:textId="77777777">
        <w:tc>
          <w:tcPr>
            <w:tcW w:w="1523" w:type="pct"/>
          </w:tcPr>
          <w:p w:rsidRPr="00B20331" w:rsidR="009E784D" w:rsidP="00900D26" w:rsidRDefault="009E784D" w14:paraId="6AB6F22B" w14:textId="77777777">
            <w:pPr>
              <w:pStyle w:val="TableText"/>
              <w:spacing w:before="60" w:after="40"/>
            </w:pPr>
            <w:r>
              <w:t>Instrument 1: Participant Entry S</w:t>
            </w:r>
            <w:r w:rsidRPr="00B20331">
              <w:t xml:space="preserve">urvey </w:t>
            </w:r>
          </w:p>
        </w:tc>
        <w:tc>
          <w:tcPr>
            <w:tcW w:w="1000" w:type="pct"/>
            <w:vAlign w:val="center"/>
          </w:tcPr>
          <w:p w:rsidRPr="00B20331" w:rsidR="009E784D" w:rsidP="00900D26" w:rsidRDefault="009E784D" w14:paraId="07753B4F" w14:textId="77777777">
            <w:pPr>
              <w:pStyle w:val="TableText"/>
              <w:spacing w:before="60" w:after="40"/>
              <w:jc w:val="center"/>
            </w:pPr>
            <w:r w:rsidRPr="00B20331">
              <w:t>Youth participant</w:t>
            </w:r>
          </w:p>
        </w:tc>
        <w:tc>
          <w:tcPr>
            <w:tcW w:w="740" w:type="pct"/>
            <w:vAlign w:val="center"/>
          </w:tcPr>
          <w:p w:rsidRPr="00043CA7" w:rsidR="009E784D" w:rsidP="00900D26" w:rsidRDefault="0056481E" w14:paraId="3770F774" w14:textId="2DA0434A">
            <w:pPr>
              <w:pStyle w:val="TableText"/>
              <w:spacing w:before="60" w:after="40"/>
              <w:ind w:right="144"/>
              <w:jc w:val="center"/>
            </w:pPr>
            <w:r>
              <w:t xml:space="preserve">123,158 </w:t>
            </w:r>
          </w:p>
        </w:tc>
        <w:tc>
          <w:tcPr>
            <w:tcW w:w="831" w:type="pct"/>
            <w:vAlign w:val="center"/>
          </w:tcPr>
          <w:p w:rsidRPr="00043CA7" w:rsidR="009E784D" w:rsidP="00900D26" w:rsidRDefault="009E784D" w14:paraId="03D1E7FF" w14:textId="77777777">
            <w:pPr>
              <w:pStyle w:val="TableText"/>
              <w:spacing w:before="60" w:after="40"/>
              <w:ind w:right="144"/>
              <w:jc w:val="center"/>
            </w:pPr>
            <w:r w:rsidRPr="00043CA7">
              <w:t>95%</w:t>
            </w:r>
          </w:p>
        </w:tc>
        <w:tc>
          <w:tcPr>
            <w:tcW w:w="906" w:type="pct"/>
            <w:vAlign w:val="center"/>
          </w:tcPr>
          <w:p w:rsidRPr="00043CA7" w:rsidR="009E784D" w:rsidP="00900D26" w:rsidRDefault="0056481E" w14:paraId="26BDE6B9" w14:textId="78424C84">
            <w:pPr>
              <w:pStyle w:val="TableText"/>
              <w:spacing w:before="60" w:after="40"/>
              <w:ind w:right="144"/>
              <w:jc w:val="center"/>
            </w:pPr>
            <w:r>
              <w:t xml:space="preserve">117,000 </w:t>
            </w:r>
          </w:p>
        </w:tc>
      </w:tr>
      <w:tr w:rsidR="00350CCD" w:rsidTr="00900D26" w14:paraId="13B72C80" w14:textId="77777777">
        <w:tc>
          <w:tcPr>
            <w:tcW w:w="1523" w:type="pct"/>
          </w:tcPr>
          <w:p w:rsidRPr="00B20331" w:rsidR="009E784D" w:rsidP="00900D26" w:rsidRDefault="009E784D" w14:paraId="337D7DF3" w14:textId="77777777">
            <w:pPr>
              <w:pStyle w:val="TableText"/>
              <w:spacing w:before="60" w:after="40"/>
            </w:pPr>
            <w:r>
              <w:t>Instrument 2: Participant</w:t>
            </w:r>
            <w:r w:rsidRPr="00B20331">
              <w:t xml:space="preserve"> </w:t>
            </w:r>
            <w:r>
              <w:t>Exit S</w:t>
            </w:r>
            <w:r w:rsidRPr="00B20331">
              <w:t xml:space="preserve">urvey </w:t>
            </w:r>
          </w:p>
        </w:tc>
        <w:tc>
          <w:tcPr>
            <w:tcW w:w="1000" w:type="pct"/>
            <w:vAlign w:val="center"/>
          </w:tcPr>
          <w:p w:rsidRPr="00B20331" w:rsidR="009E784D" w:rsidP="00900D26" w:rsidRDefault="009E784D" w14:paraId="7055ACD0" w14:textId="77777777">
            <w:pPr>
              <w:pStyle w:val="TableText"/>
              <w:spacing w:before="60" w:after="40"/>
              <w:jc w:val="center"/>
            </w:pPr>
            <w:r>
              <w:t>Y</w:t>
            </w:r>
            <w:r w:rsidRPr="00B20331">
              <w:t>outh participant</w:t>
            </w:r>
          </w:p>
        </w:tc>
        <w:tc>
          <w:tcPr>
            <w:tcW w:w="740" w:type="pct"/>
            <w:vAlign w:val="center"/>
          </w:tcPr>
          <w:p w:rsidRPr="00043CA7" w:rsidR="009E784D" w:rsidP="00900D26" w:rsidRDefault="0056481E" w14:paraId="21D3AA17" w14:textId="227E4D9B">
            <w:pPr>
              <w:pStyle w:val="TableText"/>
              <w:spacing w:before="60" w:after="40"/>
              <w:ind w:right="144"/>
              <w:jc w:val="center"/>
            </w:pPr>
            <w:r>
              <w:t xml:space="preserve">112,352 </w:t>
            </w:r>
          </w:p>
        </w:tc>
        <w:tc>
          <w:tcPr>
            <w:tcW w:w="831" w:type="pct"/>
            <w:vAlign w:val="center"/>
          </w:tcPr>
          <w:p w:rsidRPr="00043CA7" w:rsidR="009E784D" w:rsidP="00900D26" w:rsidRDefault="009E784D" w14:paraId="5030F804" w14:textId="77777777">
            <w:pPr>
              <w:pStyle w:val="TableText"/>
              <w:spacing w:before="60" w:after="40"/>
              <w:ind w:right="144"/>
              <w:jc w:val="center"/>
            </w:pPr>
            <w:r w:rsidRPr="00043CA7">
              <w:t>95%</w:t>
            </w:r>
          </w:p>
        </w:tc>
        <w:tc>
          <w:tcPr>
            <w:tcW w:w="906" w:type="pct"/>
            <w:vAlign w:val="center"/>
          </w:tcPr>
          <w:p w:rsidRPr="00043CA7" w:rsidR="009E784D" w:rsidP="00900D26" w:rsidRDefault="0056481E" w14:paraId="01A78C1F" w14:textId="6273EB47">
            <w:pPr>
              <w:pStyle w:val="TableText"/>
              <w:spacing w:before="60" w:after="40"/>
              <w:ind w:right="144"/>
              <w:jc w:val="center"/>
            </w:pPr>
            <w:r>
              <w:t xml:space="preserve">106,734 </w:t>
            </w:r>
          </w:p>
        </w:tc>
      </w:tr>
      <w:tr w:rsidR="00350CCD" w:rsidTr="00900D26" w14:paraId="513AC928" w14:textId="77777777">
        <w:tc>
          <w:tcPr>
            <w:tcW w:w="1523" w:type="pct"/>
          </w:tcPr>
          <w:p w:rsidRPr="00B20331" w:rsidR="009E784D" w:rsidP="00900D26" w:rsidRDefault="009E784D" w14:paraId="7532D68E" w14:textId="77777777">
            <w:pPr>
              <w:pStyle w:val="TableText"/>
              <w:spacing w:before="60" w:after="40"/>
            </w:pPr>
            <w:r>
              <w:t xml:space="preserve">Instrument 3: </w:t>
            </w:r>
            <w:r w:rsidRPr="00AB2A32">
              <w:t>Performance Reporting System Data Entry Form</w:t>
            </w:r>
          </w:p>
        </w:tc>
        <w:tc>
          <w:tcPr>
            <w:tcW w:w="1000" w:type="pct"/>
            <w:vAlign w:val="center"/>
          </w:tcPr>
          <w:p w:rsidRPr="00B20331" w:rsidR="009E784D" w:rsidP="00900D26" w:rsidRDefault="009E784D" w14:paraId="3A5E09CC" w14:textId="77777777">
            <w:pPr>
              <w:pStyle w:val="TableText"/>
              <w:spacing w:before="60" w:after="40"/>
              <w:jc w:val="center"/>
            </w:pPr>
            <w:r w:rsidRPr="00AB2A32">
              <w:t>Grantee Administrator</w:t>
            </w:r>
          </w:p>
        </w:tc>
        <w:tc>
          <w:tcPr>
            <w:tcW w:w="740" w:type="pct"/>
            <w:vAlign w:val="center"/>
          </w:tcPr>
          <w:p w:rsidRPr="00B20331" w:rsidR="009E784D" w:rsidP="00900D26" w:rsidRDefault="00D8726A" w14:paraId="44AAB140" w14:textId="29AEF722">
            <w:pPr>
              <w:pStyle w:val="TableText"/>
              <w:spacing w:before="60" w:after="40"/>
              <w:ind w:right="144"/>
              <w:jc w:val="center"/>
            </w:pPr>
            <w:r>
              <w:t>101</w:t>
            </w:r>
          </w:p>
        </w:tc>
        <w:tc>
          <w:tcPr>
            <w:tcW w:w="831" w:type="pct"/>
            <w:vAlign w:val="center"/>
          </w:tcPr>
          <w:p w:rsidRPr="00B20331" w:rsidR="009E784D" w:rsidP="00900D26" w:rsidRDefault="009E784D" w14:paraId="635EAB6E" w14:textId="77777777">
            <w:pPr>
              <w:pStyle w:val="TableText"/>
              <w:spacing w:before="60" w:after="40"/>
              <w:ind w:right="144"/>
              <w:jc w:val="center"/>
            </w:pPr>
            <w:r w:rsidRPr="00B20331">
              <w:t>100%</w:t>
            </w:r>
          </w:p>
        </w:tc>
        <w:tc>
          <w:tcPr>
            <w:tcW w:w="906" w:type="pct"/>
            <w:vAlign w:val="center"/>
          </w:tcPr>
          <w:p w:rsidRPr="00B20331" w:rsidR="009E784D" w:rsidP="00900D26" w:rsidRDefault="00AC222D" w14:paraId="41E38A3B" w14:textId="462111EF">
            <w:pPr>
              <w:pStyle w:val="TableText"/>
              <w:spacing w:before="60" w:after="40"/>
              <w:ind w:right="144"/>
              <w:jc w:val="center"/>
            </w:pPr>
            <w:r>
              <w:t>101</w:t>
            </w:r>
          </w:p>
        </w:tc>
      </w:tr>
      <w:tr w:rsidR="00350CCD" w:rsidTr="00900D26" w14:paraId="09A7353C" w14:textId="77777777">
        <w:tc>
          <w:tcPr>
            <w:tcW w:w="1523" w:type="pct"/>
          </w:tcPr>
          <w:p w:rsidRPr="00B20331" w:rsidR="009E784D" w:rsidP="00900D26" w:rsidRDefault="009E784D" w14:paraId="5743E78F" w14:textId="3CCE58D3">
            <w:pPr>
              <w:pStyle w:val="TableText"/>
              <w:spacing w:before="60" w:after="40"/>
            </w:pPr>
            <w:r>
              <w:t xml:space="preserve">Instrument 4: </w:t>
            </w:r>
            <w:r w:rsidR="005E4288">
              <w:t>Subrecipient</w:t>
            </w:r>
            <w:r>
              <w:t xml:space="preserve"> Data C</w:t>
            </w:r>
            <w:r w:rsidRPr="00AB2A32">
              <w:t xml:space="preserve">ollection and </w:t>
            </w:r>
            <w:r>
              <w:t>R</w:t>
            </w:r>
            <w:r w:rsidRPr="00AB2A32">
              <w:t>eporting</w:t>
            </w:r>
            <w:r>
              <w:t xml:space="preserve"> Form</w:t>
            </w:r>
          </w:p>
        </w:tc>
        <w:tc>
          <w:tcPr>
            <w:tcW w:w="1000" w:type="pct"/>
            <w:vAlign w:val="center"/>
          </w:tcPr>
          <w:p w:rsidRPr="00B20331" w:rsidR="009E784D" w:rsidP="00900D26" w:rsidRDefault="005E4288" w14:paraId="63174598" w14:textId="53325F08">
            <w:pPr>
              <w:pStyle w:val="TableText"/>
              <w:spacing w:before="60" w:after="40"/>
              <w:jc w:val="center"/>
            </w:pPr>
            <w:r>
              <w:t>Subrecipient</w:t>
            </w:r>
            <w:r w:rsidRPr="00AB2A32" w:rsidR="009E784D">
              <w:t xml:space="preserve"> Administrator</w:t>
            </w:r>
          </w:p>
        </w:tc>
        <w:tc>
          <w:tcPr>
            <w:tcW w:w="740" w:type="pct"/>
            <w:vAlign w:val="center"/>
          </w:tcPr>
          <w:p w:rsidRPr="00B20331" w:rsidR="009E784D" w:rsidP="00900D26" w:rsidRDefault="00D8726A" w14:paraId="0ED5C099" w14:textId="7DB9E778">
            <w:pPr>
              <w:pStyle w:val="TableText"/>
              <w:spacing w:before="60" w:after="40"/>
              <w:ind w:right="144"/>
              <w:jc w:val="center"/>
            </w:pPr>
            <w:r>
              <w:t>400</w:t>
            </w:r>
          </w:p>
        </w:tc>
        <w:tc>
          <w:tcPr>
            <w:tcW w:w="831" w:type="pct"/>
            <w:vAlign w:val="center"/>
          </w:tcPr>
          <w:p w:rsidRPr="00B20331" w:rsidR="009E784D" w:rsidP="00900D26" w:rsidRDefault="009E784D" w14:paraId="394A6208" w14:textId="77777777">
            <w:pPr>
              <w:pStyle w:val="TableText"/>
              <w:spacing w:before="60" w:after="40"/>
              <w:ind w:right="144"/>
              <w:jc w:val="center"/>
            </w:pPr>
            <w:r w:rsidRPr="00B20331">
              <w:t>100%</w:t>
            </w:r>
          </w:p>
        </w:tc>
        <w:tc>
          <w:tcPr>
            <w:tcW w:w="906" w:type="pct"/>
            <w:vAlign w:val="center"/>
          </w:tcPr>
          <w:p w:rsidRPr="00B20331" w:rsidR="009E784D" w:rsidP="00900D26" w:rsidRDefault="00AC222D" w14:paraId="759FAC70" w14:textId="5FF1EB24">
            <w:pPr>
              <w:pStyle w:val="TableText"/>
              <w:spacing w:before="60" w:after="40"/>
              <w:ind w:right="144"/>
              <w:jc w:val="center"/>
            </w:pPr>
            <w:r>
              <w:t>400</w:t>
            </w:r>
          </w:p>
        </w:tc>
      </w:tr>
      <w:tr w:rsidR="0056481E" w:rsidTr="00900D26" w14:paraId="29180F28" w14:textId="77777777">
        <w:tc>
          <w:tcPr>
            <w:tcW w:w="2522" w:type="pct"/>
            <w:gridSpan w:val="2"/>
            <w:vAlign w:val="center"/>
          </w:tcPr>
          <w:p w:rsidRPr="00711E10" w:rsidR="009E784D" w:rsidP="00900D26" w:rsidRDefault="009E784D" w14:paraId="6EB1EBAD" w14:textId="77777777">
            <w:pPr>
              <w:pStyle w:val="TableText"/>
              <w:spacing w:before="60" w:after="40"/>
              <w:rPr>
                <w:b/>
              </w:rPr>
            </w:pPr>
            <w:r w:rsidRPr="00711E10">
              <w:rPr>
                <w:b/>
              </w:rPr>
              <w:t>Estimated Totals</w:t>
            </w:r>
          </w:p>
        </w:tc>
        <w:tc>
          <w:tcPr>
            <w:tcW w:w="740" w:type="pct"/>
            <w:vAlign w:val="center"/>
          </w:tcPr>
          <w:p w:rsidRPr="00711E10" w:rsidR="009E784D" w:rsidP="00900D26" w:rsidRDefault="00350CCD" w14:paraId="3AAB447C" w14:textId="5ED6AA5B">
            <w:pPr>
              <w:pStyle w:val="TableText"/>
              <w:spacing w:before="60" w:after="40"/>
              <w:ind w:right="144"/>
              <w:jc w:val="center"/>
              <w:rPr>
                <w:b/>
              </w:rPr>
            </w:pPr>
            <w:r>
              <w:rPr>
                <w:b/>
              </w:rPr>
              <w:t xml:space="preserve">236,011 </w:t>
            </w:r>
          </w:p>
        </w:tc>
        <w:tc>
          <w:tcPr>
            <w:tcW w:w="831" w:type="pct"/>
            <w:vAlign w:val="center"/>
          </w:tcPr>
          <w:p w:rsidRPr="00711E10" w:rsidR="009E784D" w:rsidP="00900D26" w:rsidRDefault="009E784D" w14:paraId="576F0D9B" w14:textId="77777777">
            <w:pPr>
              <w:pStyle w:val="TableText"/>
              <w:spacing w:before="60" w:after="40"/>
              <w:ind w:right="144"/>
              <w:jc w:val="center"/>
              <w:rPr>
                <w:b/>
              </w:rPr>
            </w:pPr>
          </w:p>
        </w:tc>
        <w:tc>
          <w:tcPr>
            <w:tcW w:w="906" w:type="pct"/>
            <w:vAlign w:val="center"/>
          </w:tcPr>
          <w:p w:rsidRPr="00711E10" w:rsidR="009E784D" w:rsidP="00900D26" w:rsidRDefault="0056481E" w14:paraId="5A69D4DD" w14:textId="6C523C93">
            <w:pPr>
              <w:pStyle w:val="TableText"/>
              <w:spacing w:before="60" w:after="40"/>
              <w:ind w:right="144"/>
              <w:jc w:val="center"/>
              <w:rPr>
                <w:b/>
              </w:rPr>
            </w:pPr>
            <w:r>
              <w:rPr>
                <w:b/>
              </w:rPr>
              <w:t xml:space="preserve">224,235 </w:t>
            </w:r>
          </w:p>
        </w:tc>
      </w:tr>
    </w:tbl>
    <w:p w:rsidRPr="001A59B6" w:rsidR="00A42C71" w:rsidP="00A42C71" w:rsidRDefault="00A42C71" w14:paraId="1374A59C"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7D020F8F" w14:textId="194E56C4">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NonResponse</w:t>
      </w:r>
    </w:p>
    <w:p w:rsidRPr="00595229" w:rsidR="005F3334" w:rsidP="00083A33" w:rsidRDefault="0070008A" w14:paraId="08FC9FEC" w14:textId="77777777">
      <w:pPr>
        <w:pStyle w:val="CommentText"/>
        <w:ind w:firstLine="720"/>
        <w:rPr>
          <w:rFonts w:eastAsia="Times New Roman" w:cstheme="minorHAnsi"/>
          <w:color w:val="000000"/>
          <w:sz w:val="22"/>
          <w:szCs w:val="22"/>
        </w:rPr>
      </w:pPr>
      <w:r w:rsidRPr="00595229">
        <w:rPr>
          <w:rFonts w:eastAsia="Times New Roman" w:cstheme="minorHAnsi"/>
          <w:color w:val="000000"/>
          <w:sz w:val="22"/>
          <w:szCs w:val="22"/>
        </w:rPr>
        <w:t xml:space="preserve">Analyses will be conducted based on the respondents providing data for a given measure, with no imputation or weight adjustments to address missing data. </w:t>
      </w:r>
    </w:p>
    <w:p w:rsidRPr="00595229" w:rsidR="005F3334" w:rsidP="00C523DE" w:rsidRDefault="005F3334" w14:paraId="74B2C356" w14:textId="77777777">
      <w:pPr>
        <w:pStyle w:val="CommentText"/>
        <w:spacing w:after="0"/>
        <w:ind w:firstLine="720"/>
        <w:rPr>
          <w:sz w:val="22"/>
          <w:szCs w:val="22"/>
        </w:rPr>
      </w:pPr>
      <w:r w:rsidRPr="00595229">
        <w:rPr>
          <w:rFonts w:eastAsia="Times New Roman" w:cstheme="minorHAnsi"/>
          <w:color w:val="000000"/>
          <w:sz w:val="22"/>
          <w:szCs w:val="22"/>
        </w:rPr>
        <w:t>As participants will not be randomly sampled and findings are not intended to be representative, non-response bias will not be calculated.  Respondent demographics will be documented and reported in written materials associated with the data collection.</w:t>
      </w:r>
    </w:p>
    <w:p w:rsidR="0070008A" w:rsidP="00A42C71" w:rsidRDefault="0070008A" w14:paraId="1CE33978" w14:textId="3A20A136">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2C017166"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4E6826E7" w14:textId="0FD9DA81">
      <w:pPr>
        <w:spacing w:after="120" w:line="240" w:lineRule="auto"/>
        <w:rPr>
          <w:rFonts w:eastAsia="Times New Roman" w:cstheme="minorHAnsi"/>
        </w:rPr>
      </w:pPr>
      <w:r w:rsidRPr="001A59B6">
        <w:rPr>
          <w:rFonts w:eastAsia="Times New Roman" w:cstheme="minorHAnsi"/>
          <w:b/>
          <w:bCs/>
        </w:rPr>
        <w:t xml:space="preserve">B6.   </w:t>
      </w:r>
      <w:r w:rsidR="00083A33">
        <w:rPr>
          <w:rFonts w:eastAsia="Times New Roman" w:cstheme="minorHAnsi"/>
          <w:b/>
          <w:bCs/>
        </w:rPr>
        <w:tab/>
      </w:r>
      <w:r w:rsidRPr="001A59B6">
        <w:rPr>
          <w:rFonts w:eastAsia="Times New Roman" w:cstheme="minorHAnsi"/>
          <w:b/>
          <w:bCs/>
        </w:rPr>
        <w:t>Production of Estimates and Projections</w:t>
      </w:r>
      <w:r w:rsidRPr="001A59B6">
        <w:rPr>
          <w:rFonts w:eastAsia="Times New Roman" w:cstheme="minorHAnsi"/>
        </w:rPr>
        <w:t xml:space="preserve"> </w:t>
      </w:r>
    </w:p>
    <w:p w:rsidR="0070008A" w:rsidP="00595229" w:rsidRDefault="0070008A" w14:paraId="444BCD46" w14:textId="3E8E5E07">
      <w:pPr>
        <w:spacing w:after="0" w:line="240" w:lineRule="auto"/>
        <w:ind w:firstLine="720"/>
        <w:rPr>
          <w:rFonts w:eastAsia="Times New Roman" w:cstheme="minorHAnsi"/>
          <w:szCs w:val="24"/>
        </w:rPr>
      </w:pPr>
      <w:r w:rsidRPr="00CA561A">
        <w:rPr>
          <w:rFonts w:eastAsia="Times New Roman" w:cstheme="minorHAnsi"/>
          <w:szCs w:val="24"/>
        </w:rPr>
        <w:t xml:space="preserve">The performance measures data will primarily be used internally by ACF and </w:t>
      </w:r>
      <w:r>
        <w:rPr>
          <w:rFonts w:eastAsia="Times New Roman" w:cstheme="minorHAnsi"/>
          <w:szCs w:val="24"/>
        </w:rPr>
        <w:t xml:space="preserve">PREP </w:t>
      </w:r>
      <w:r w:rsidRPr="00CA561A">
        <w:rPr>
          <w:rFonts w:eastAsia="Times New Roman" w:cstheme="minorHAnsi"/>
          <w:szCs w:val="24"/>
        </w:rPr>
        <w:t xml:space="preserve">grantees but will also be used to inform other stakeholders. For example, performance measures data will inform </w:t>
      </w:r>
      <w:r>
        <w:rPr>
          <w:rFonts w:eastAsia="Times New Roman" w:cstheme="minorHAnsi"/>
          <w:szCs w:val="24"/>
        </w:rPr>
        <w:t xml:space="preserve">ACF’s </w:t>
      </w:r>
      <w:r w:rsidRPr="00CA561A">
        <w:rPr>
          <w:rFonts w:eastAsia="Times New Roman" w:cstheme="minorHAnsi"/>
          <w:szCs w:val="24"/>
        </w:rPr>
        <w:t>annual report</w:t>
      </w:r>
      <w:r>
        <w:rPr>
          <w:rFonts w:eastAsia="Times New Roman" w:cstheme="minorHAnsi"/>
          <w:szCs w:val="24"/>
        </w:rPr>
        <w:t>ing</w:t>
      </w:r>
      <w:r w:rsidRPr="00CA561A">
        <w:rPr>
          <w:rFonts w:eastAsia="Times New Roman" w:cstheme="minorHAnsi"/>
          <w:szCs w:val="24"/>
        </w:rPr>
        <w:t xml:space="preserve"> to Congress on the progress of the </w:t>
      </w:r>
      <w:r>
        <w:rPr>
          <w:rFonts w:eastAsia="Times New Roman" w:cstheme="minorHAnsi"/>
          <w:szCs w:val="24"/>
        </w:rPr>
        <w:t xml:space="preserve">PREP </w:t>
      </w:r>
      <w:r w:rsidRPr="00CA561A">
        <w:rPr>
          <w:rFonts w:eastAsia="Times New Roman" w:cstheme="minorHAnsi"/>
          <w:szCs w:val="24"/>
        </w:rPr>
        <w:t>program</w:t>
      </w:r>
      <w:r>
        <w:rPr>
          <w:rFonts w:eastAsia="Times New Roman" w:cstheme="minorHAnsi"/>
          <w:szCs w:val="24"/>
        </w:rPr>
        <w:t>, and end-of-cohort reports will be made available to the public</w:t>
      </w:r>
      <w:r w:rsidRPr="00CA561A">
        <w:rPr>
          <w:rFonts w:eastAsia="Times New Roman" w:cstheme="minorHAnsi"/>
          <w:szCs w:val="24"/>
        </w:rPr>
        <w:t xml:space="preserve">. </w:t>
      </w:r>
    </w:p>
    <w:p w:rsidRPr="00CA561A" w:rsidR="00B92E53" w:rsidP="00595229" w:rsidRDefault="00B92E53" w14:paraId="76BA1A17" w14:textId="77777777">
      <w:pPr>
        <w:spacing w:after="0" w:line="240" w:lineRule="auto"/>
        <w:ind w:firstLine="432"/>
        <w:rPr>
          <w:rFonts w:eastAsia="Times New Roman" w:cstheme="minorHAnsi"/>
          <w:szCs w:val="24"/>
        </w:rPr>
      </w:pPr>
    </w:p>
    <w:p w:rsidRPr="000A3692" w:rsidR="00A42C71" w:rsidP="00083A33" w:rsidRDefault="0070008A" w14:paraId="54D795CB" w14:textId="12118582">
      <w:pPr>
        <w:spacing w:after="240" w:line="240" w:lineRule="auto"/>
        <w:ind w:firstLine="720"/>
        <w:rPr>
          <w:rFonts w:ascii="Times New Roman" w:hAnsi="Times New Roman" w:eastAsia="Times New Roman" w:cs="Times New Roman"/>
          <w:sz w:val="24"/>
          <w:szCs w:val="24"/>
        </w:rPr>
      </w:pPr>
      <w:r w:rsidRPr="00CA561A">
        <w:rPr>
          <w:rFonts w:eastAsia="Times New Roman" w:cstheme="minorHAnsi"/>
          <w:szCs w:val="24"/>
        </w:rPr>
        <w:t xml:space="preserve">The </w:t>
      </w:r>
      <w:r w:rsidRPr="00F75DA9">
        <w:rPr>
          <w:rFonts w:eastAsia="Times New Roman" w:cstheme="minorHAnsi"/>
          <w:szCs w:val="24"/>
        </w:rPr>
        <w:t xml:space="preserve">performance measures </w:t>
      </w:r>
      <w:r>
        <w:rPr>
          <w:rFonts w:eastAsia="Times New Roman" w:cstheme="minorHAnsi"/>
          <w:szCs w:val="24"/>
        </w:rPr>
        <w:t>data</w:t>
      </w:r>
      <w:r w:rsidRPr="00CA561A">
        <w:rPr>
          <w:rFonts w:eastAsia="Times New Roman" w:cstheme="minorHAnsi"/>
          <w:szCs w:val="24"/>
        </w:rPr>
        <w:t xml:space="preserve"> are to be collected from all </w:t>
      </w:r>
      <w:r w:rsidR="00C830D3">
        <w:rPr>
          <w:rFonts w:eastAsia="Times New Roman" w:cstheme="minorHAnsi"/>
          <w:szCs w:val="24"/>
        </w:rPr>
        <w:t xml:space="preserve">PREP </w:t>
      </w:r>
      <w:r>
        <w:rPr>
          <w:rFonts w:eastAsia="Times New Roman" w:cstheme="minorHAnsi"/>
          <w:szCs w:val="24"/>
        </w:rPr>
        <w:t xml:space="preserve">grantees, program providers, and </w:t>
      </w:r>
      <w:r w:rsidRPr="00CA561A">
        <w:rPr>
          <w:rFonts w:eastAsia="Times New Roman" w:cstheme="minorHAnsi"/>
          <w:szCs w:val="24"/>
        </w:rPr>
        <w:t>youth participa</w:t>
      </w:r>
      <w:r>
        <w:rPr>
          <w:rFonts w:eastAsia="Times New Roman" w:cstheme="minorHAnsi"/>
          <w:szCs w:val="24"/>
        </w:rPr>
        <w:t>n</w:t>
      </w:r>
      <w:r w:rsidRPr="00CA561A">
        <w:rPr>
          <w:rFonts w:eastAsia="Times New Roman" w:cstheme="minorHAnsi"/>
          <w:szCs w:val="24"/>
        </w:rPr>
        <w:t>t</w:t>
      </w:r>
      <w:r>
        <w:rPr>
          <w:rFonts w:eastAsia="Times New Roman" w:cstheme="minorHAnsi"/>
          <w:szCs w:val="24"/>
        </w:rPr>
        <w:t>s</w:t>
      </w:r>
      <w:r w:rsidRPr="00CA561A">
        <w:rPr>
          <w:rFonts w:eastAsia="Times New Roman" w:cstheme="minorHAnsi"/>
          <w:szCs w:val="24"/>
        </w:rPr>
        <w:t xml:space="preserve">. </w:t>
      </w:r>
      <w:r>
        <w:rPr>
          <w:rFonts w:eastAsia="Times New Roman" w:cstheme="minorHAnsi"/>
          <w:szCs w:val="24"/>
        </w:rPr>
        <w:t xml:space="preserve">The analyses will include computation of statistics such as percentages and means based on the respondents; we will not produce estimates intended to apply to any broader population. </w:t>
      </w:r>
    </w:p>
    <w:p w:rsidRPr="001A59B6" w:rsidR="00A42C71" w:rsidP="00A42C71" w:rsidRDefault="00A42C71" w14:paraId="6D9A7ABD" w14:textId="77777777">
      <w:pPr>
        <w:spacing w:after="0" w:line="240" w:lineRule="auto"/>
        <w:rPr>
          <w:rFonts w:eastAsia="Times New Roman" w:cstheme="minorHAnsi"/>
        </w:rPr>
      </w:pPr>
    </w:p>
    <w:p w:rsidRPr="001A59B6" w:rsidR="00A42C71" w:rsidP="00A42C71" w:rsidRDefault="00A42C71" w14:paraId="5A639760" w14:textId="267AFC78">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00083A33">
        <w:rPr>
          <w:rFonts w:eastAsia="Times New Roman" w:cstheme="minorHAnsi"/>
          <w:color w:val="000000"/>
        </w:rPr>
        <w:tab/>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Pr="001A59B6" w:rsidR="00A42C71" w:rsidP="00595229" w:rsidRDefault="00C830D3" w14:paraId="272B92F2" w14:textId="4B1B80B3">
      <w:pPr>
        <w:autoSpaceDE w:val="0"/>
        <w:autoSpaceDN w:val="0"/>
        <w:adjustRightInd w:val="0"/>
        <w:spacing w:after="0" w:line="240" w:lineRule="atLeast"/>
        <w:ind w:firstLine="720"/>
        <w:rPr>
          <w:rFonts w:eastAsia="Times New Roman" w:cstheme="minorHAnsi"/>
          <w:bCs/>
          <w:color w:val="000000"/>
        </w:rPr>
      </w:pPr>
      <w:r w:rsidRPr="00AA373E">
        <w:t xml:space="preserve">Data for the </w:t>
      </w:r>
      <w:r>
        <w:t>performance measures</w:t>
      </w:r>
      <w:r w:rsidRPr="00AA373E">
        <w:t xml:space="preserve"> will be collected by grantees and their </w:t>
      </w:r>
      <w:r w:rsidR="005E4288">
        <w:t>subrecipient</w:t>
      </w:r>
      <w:r w:rsidRPr="00AA373E">
        <w:t xml:space="preserve">s. In some cases, grantees will have engaged local evaluators </w:t>
      </w:r>
      <w:r w:rsidRPr="00AA373E">
        <w:rPr>
          <w:rFonts w:cs="Garamond"/>
        </w:rPr>
        <w:t>who</w:t>
      </w:r>
      <w:r w:rsidRPr="00AA373E">
        <w:t xml:space="preserve"> will assist them in </w:t>
      </w:r>
      <w:r w:rsidR="005F3334">
        <w:t>PM</w:t>
      </w:r>
      <w:r>
        <w:t xml:space="preserve"> </w:t>
      </w:r>
      <w:r w:rsidRPr="00AA373E">
        <w:t xml:space="preserve">data collection. </w:t>
      </w:r>
      <w:r>
        <w:t xml:space="preserve">Grantees will report these data in aggregate form into the PREP </w:t>
      </w:r>
      <w:r w:rsidR="009B5BE1">
        <w:t xml:space="preserve">PMMS </w:t>
      </w:r>
      <w:r>
        <w:t>that will be maintained by ACF’s contractor, Mathematica. Mathematica will use these data to analyze PREP performance data and to generate performance measurement reports for ACF</w:t>
      </w:r>
      <w:r w:rsidRPr="00AA373E">
        <w:t>.</w:t>
      </w:r>
    </w:p>
    <w:p w:rsidR="006A22FA" w:rsidP="00A42C71" w:rsidRDefault="006A22FA" w14:paraId="7FC461DD" w14:textId="4C572276">
      <w:pPr>
        <w:autoSpaceDE w:val="0"/>
        <w:autoSpaceDN w:val="0"/>
        <w:adjustRightInd w:val="0"/>
        <w:spacing w:after="0" w:line="240" w:lineRule="atLeast"/>
        <w:rPr>
          <w:rFonts w:eastAsia="Times New Roman" w:cstheme="minorHAnsi"/>
          <w:bCs/>
          <w:color w:val="000000"/>
        </w:rPr>
      </w:pPr>
    </w:p>
    <w:p w:rsidR="006A22FA" w:rsidP="00595229" w:rsidRDefault="006A22FA" w14:paraId="68A55EE6" w14:textId="1364BE08">
      <w:pPr>
        <w:spacing w:after="0" w:line="240" w:lineRule="auto"/>
        <w:ind w:firstLine="720"/>
        <w:rPr>
          <w:rFonts w:eastAsia="Times New Roman" w:cstheme="minorHAnsi"/>
          <w:bCs/>
          <w:color w:val="000000"/>
        </w:rPr>
      </w:pPr>
      <w:r w:rsidRPr="00626CD4">
        <w:rPr>
          <w:rFonts w:eastAsia="Times New Roman" w:cstheme="minorHAnsi"/>
          <w:bCs/>
          <w:color w:val="000000"/>
        </w:rPr>
        <w:lastRenderedPageBreak/>
        <w:t xml:space="preserve">The entry screens of the </w:t>
      </w:r>
      <w:r w:rsidR="009B5BE1">
        <w:rPr>
          <w:rFonts w:eastAsia="Times New Roman" w:cstheme="minorHAnsi"/>
          <w:bCs/>
          <w:color w:val="000000"/>
        </w:rPr>
        <w:t xml:space="preserve">PMMS </w:t>
      </w:r>
      <w:r w:rsidRPr="00626CD4">
        <w:rPr>
          <w:rFonts w:eastAsia="Times New Roman" w:cstheme="minorHAnsi"/>
          <w:bCs/>
          <w:color w:val="000000"/>
        </w:rPr>
        <w:t>include</w:t>
      </w:r>
      <w:r w:rsidRPr="0060520F">
        <w:rPr>
          <w:rFonts w:eastAsia="Times New Roman" w:cstheme="minorHAnsi"/>
          <w:bCs/>
          <w:color w:val="000000"/>
        </w:rPr>
        <w:t xml:space="preserve"> a series of </w:t>
      </w:r>
      <w:r w:rsidRPr="00626CD4">
        <w:rPr>
          <w:rFonts w:eastAsia="Times New Roman" w:cstheme="minorHAnsi"/>
          <w:bCs/>
          <w:color w:val="000000"/>
        </w:rPr>
        <w:t xml:space="preserve">automated </w:t>
      </w:r>
      <w:r w:rsidRPr="0060520F">
        <w:rPr>
          <w:rFonts w:eastAsia="Times New Roman" w:cstheme="minorHAnsi"/>
          <w:bCs/>
          <w:color w:val="000000"/>
        </w:rPr>
        <w:t xml:space="preserve">validity checks to </w:t>
      </w:r>
      <w:r w:rsidRPr="00626CD4">
        <w:rPr>
          <w:rFonts w:eastAsia="Times New Roman" w:cstheme="minorHAnsi"/>
          <w:bCs/>
          <w:color w:val="000000"/>
        </w:rPr>
        <w:t>identify some types of errors as the data are entered.</w:t>
      </w:r>
      <w:r w:rsidRPr="00626CD4" w:rsidDel="00626CD4">
        <w:rPr>
          <w:rFonts w:eastAsia="Times New Roman" w:cstheme="minorHAnsi"/>
          <w:bCs/>
          <w:color w:val="000000"/>
        </w:rPr>
        <w:t xml:space="preserve"> </w:t>
      </w:r>
      <w:r w:rsidRPr="00626CD4">
        <w:rPr>
          <w:rFonts w:eastAsia="Times New Roman" w:cstheme="minorHAnsi"/>
          <w:bCs/>
          <w:color w:val="000000"/>
        </w:rPr>
        <w:t>Error messages alert grantees to inconsistencies between data elements</w:t>
      </w:r>
      <w:r>
        <w:rPr>
          <w:rFonts w:eastAsia="Times New Roman" w:cstheme="minorHAnsi"/>
          <w:bCs/>
          <w:color w:val="000000"/>
        </w:rPr>
        <w:t>, values beyond the expected range,</w:t>
      </w:r>
      <w:r w:rsidRPr="00626CD4">
        <w:rPr>
          <w:rFonts w:eastAsia="Times New Roman" w:cstheme="minorHAnsi"/>
          <w:bCs/>
          <w:color w:val="000000"/>
        </w:rPr>
        <w:t xml:space="preserve"> and similar issues, and provide an opportunity for the grantee to correct such errors before the data are submitted. </w:t>
      </w:r>
      <w:r>
        <w:rPr>
          <w:rFonts w:eastAsia="Times New Roman" w:cstheme="minorHAnsi"/>
          <w:bCs/>
          <w:color w:val="000000"/>
        </w:rPr>
        <w:t>The system also conduct</w:t>
      </w:r>
      <w:r w:rsidR="00C071DB">
        <w:rPr>
          <w:rFonts w:eastAsia="Times New Roman" w:cstheme="minorHAnsi"/>
          <w:bCs/>
          <w:color w:val="000000"/>
        </w:rPr>
        <w:t>s</w:t>
      </w:r>
      <w:r>
        <w:rPr>
          <w:rFonts w:eastAsia="Times New Roman" w:cstheme="minorHAnsi"/>
          <w:bCs/>
          <w:color w:val="000000"/>
        </w:rPr>
        <w:t xml:space="preserve"> automated checks to ensure</w:t>
      </w:r>
      <w:r w:rsidRPr="0060520F">
        <w:rPr>
          <w:rFonts w:eastAsia="Times New Roman" w:cstheme="minorHAnsi"/>
          <w:bCs/>
          <w:color w:val="000000"/>
        </w:rPr>
        <w:t xml:space="preserve"> that the full set of performance measures are entered. </w:t>
      </w:r>
    </w:p>
    <w:p w:rsidR="00FD41AB" w:rsidP="00595229" w:rsidRDefault="00FD41AB" w14:paraId="1ADAFC32" w14:textId="77777777">
      <w:pPr>
        <w:spacing w:after="0" w:line="240" w:lineRule="auto"/>
        <w:ind w:firstLine="432"/>
        <w:rPr>
          <w:rFonts w:eastAsia="Times New Roman" w:cstheme="minorHAnsi"/>
          <w:bCs/>
          <w:color w:val="000000"/>
        </w:rPr>
      </w:pPr>
    </w:p>
    <w:p w:rsidR="006A22FA" w:rsidP="00595229" w:rsidRDefault="005F3334" w14:paraId="45D1E4E1" w14:textId="0EF4C475">
      <w:pPr>
        <w:spacing w:after="0" w:line="240" w:lineRule="auto"/>
        <w:ind w:firstLine="720"/>
        <w:rPr>
          <w:rFonts w:eastAsia="Times New Roman" w:cstheme="minorHAnsi"/>
          <w:bCs/>
          <w:color w:val="000000"/>
        </w:rPr>
      </w:pPr>
      <w:r>
        <w:rPr>
          <w:rFonts w:eastAsia="Times New Roman" w:cstheme="minorHAnsi"/>
          <w:bCs/>
          <w:color w:val="000000"/>
        </w:rPr>
        <w:t>A</w:t>
      </w:r>
      <w:r w:rsidR="006A22FA">
        <w:rPr>
          <w:rFonts w:eastAsia="Times New Roman" w:cstheme="minorHAnsi"/>
          <w:bCs/>
          <w:color w:val="000000"/>
        </w:rPr>
        <w:t xml:space="preserve">dditional quality checks </w:t>
      </w:r>
      <w:r>
        <w:rPr>
          <w:rFonts w:eastAsia="Times New Roman" w:cstheme="minorHAnsi"/>
          <w:bCs/>
          <w:color w:val="000000"/>
        </w:rPr>
        <w:t xml:space="preserve">are conducted </w:t>
      </w:r>
      <w:r w:rsidR="006A22FA">
        <w:rPr>
          <w:rFonts w:eastAsia="Times New Roman" w:cstheme="minorHAnsi"/>
          <w:bCs/>
          <w:color w:val="000000"/>
        </w:rPr>
        <w:t>to identify remaining issues. C</w:t>
      </w:r>
      <w:r w:rsidRPr="0060520F" w:rsidR="006A22FA">
        <w:rPr>
          <w:rFonts w:eastAsia="Times New Roman" w:cstheme="minorHAnsi"/>
          <w:bCs/>
          <w:color w:val="000000"/>
        </w:rPr>
        <w:t xml:space="preserve">ases with </w:t>
      </w:r>
      <w:r w:rsidRPr="009A0DD2" w:rsidR="006A22FA">
        <w:rPr>
          <w:rFonts w:eastAsia="Times New Roman" w:cstheme="minorHAnsi"/>
          <w:bCs/>
          <w:color w:val="000000"/>
        </w:rPr>
        <w:t xml:space="preserve">unresolved </w:t>
      </w:r>
      <w:r w:rsidR="006A22FA">
        <w:rPr>
          <w:rFonts w:eastAsia="Times New Roman" w:cstheme="minorHAnsi"/>
          <w:bCs/>
          <w:color w:val="000000"/>
        </w:rPr>
        <w:t>data issues may be omitted</w:t>
      </w:r>
      <w:r w:rsidRPr="0060520F" w:rsidR="006A22FA">
        <w:rPr>
          <w:rFonts w:eastAsia="Times New Roman" w:cstheme="minorHAnsi"/>
          <w:bCs/>
          <w:color w:val="000000"/>
        </w:rPr>
        <w:t xml:space="preserve"> from analyses that rely on </w:t>
      </w:r>
      <w:r w:rsidR="006A22FA">
        <w:rPr>
          <w:rFonts w:eastAsia="Times New Roman" w:cstheme="minorHAnsi"/>
          <w:bCs/>
          <w:color w:val="000000"/>
        </w:rPr>
        <w:t xml:space="preserve">the </w:t>
      </w:r>
      <w:r w:rsidRPr="0060520F" w:rsidR="006A22FA">
        <w:rPr>
          <w:rFonts w:eastAsia="Times New Roman" w:cstheme="minorHAnsi"/>
          <w:bCs/>
          <w:color w:val="000000"/>
        </w:rPr>
        <w:t>problematic data elements.</w:t>
      </w:r>
      <w:r w:rsidR="006A22FA">
        <w:rPr>
          <w:rFonts w:eastAsia="Times New Roman" w:cstheme="minorHAnsi"/>
          <w:bCs/>
          <w:color w:val="000000"/>
        </w:rPr>
        <w:t xml:space="preserve"> If suspect data are included in any tabulations, caveats will be included alongside the reported data.</w:t>
      </w:r>
    </w:p>
    <w:p w:rsidRPr="001A59B6" w:rsidR="00FD41AB" w:rsidP="00595229" w:rsidRDefault="00FD41AB" w14:paraId="7238E09B" w14:textId="77777777">
      <w:pPr>
        <w:spacing w:after="0" w:line="240" w:lineRule="auto"/>
        <w:ind w:firstLine="432"/>
        <w:rPr>
          <w:rFonts w:eastAsia="Times New Roman" w:cstheme="minorHAnsi"/>
          <w:bCs/>
          <w:color w:val="000000"/>
        </w:rPr>
      </w:pPr>
    </w:p>
    <w:p w:rsidRPr="001A59B6" w:rsidR="00A42C71" w:rsidP="00A42C71" w:rsidRDefault="00A42C71" w14:paraId="029DADD1" w14:textId="6854E36F">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C21420" w:rsidP="00595229" w:rsidRDefault="00C21420" w14:paraId="26DD7D5F" w14:textId="11D464B7">
      <w:pPr>
        <w:pStyle w:val="NormalSS"/>
        <w:tabs>
          <w:tab w:val="clear" w:pos="432"/>
        </w:tabs>
        <w:spacing w:after="0"/>
        <w:ind w:firstLine="720"/>
        <w:rPr>
          <w:rFonts w:asciiTheme="minorHAnsi" w:hAnsiTheme="minorHAnsi" w:cstheme="minorHAnsi"/>
          <w:sz w:val="22"/>
          <w:szCs w:val="22"/>
        </w:rPr>
      </w:pPr>
      <w:r w:rsidRPr="001A2373">
        <w:rPr>
          <w:rFonts w:asciiTheme="minorHAnsi" w:hAnsiTheme="minorHAnsi" w:cstheme="minorHAnsi"/>
          <w:sz w:val="22"/>
          <w:szCs w:val="22"/>
        </w:rPr>
        <w:t xml:space="preserve">The PM effort involves collecting performance measures data that will be used to monitor and analyze grantee performance. </w:t>
      </w:r>
    </w:p>
    <w:p w:rsidRPr="001A2373" w:rsidR="00FD41AB" w:rsidP="00595229" w:rsidRDefault="00FD41AB" w14:paraId="1C287FF2" w14:textId="77777777">
      <w:pPr>
        <w:pStyle w:val="NormalSS"/>
        <w:spacing w:after="0"/>
        <w:rPr>
          <w:rFonts w:asciiTheme="minorHAnsi" w:hAnsiTheme="minorHAnsi" w:cstheme="minorHAnsi"/>
          <w:sz w:val="22"/>
          <w:szCs w:val="22"/>
        </w:rPr>
      </w:pPr>
    </w:p>
    <w:p w:rsidR="00C21420" w:rsidP="008A456D" w:rsidRDefault="00C21420" w14:paraId="1A1F5D30" w14:textId="2000CBCD">
      <w:pPr>
        <w:pStyle w:val="NormalSS"/>
        <w:spacing w:after="0"/>
        <w:rPr>
          <w:rFonts w:asciiTheme="minorHAnsi" w:hAnsiTheme="minorHAnsi" w:cstheme="minorHAnsi"/>
          <w:sz w:val="22"/>
          <w:szCs w:val="22"/>
        </w:rPr>
      </w:pPr>
      <w:r w:rsidRPr="001A2373">
        <w:rPr>
          <w:rFonts w:asciiTheme="minorHAnsi" w:hAnsiTheme="minorHAnsi" w:cstheme="minorHAnsi"/>
          <w:sz w:val="22"/>
          <w:szCs w:val="22"/>
        </w:rPr>
        <w:t>Using the performance data for accountability requires constructing indicators for many of the same measures, but separately for each grantee</w:t>
      </w:r>
      <w:r w:rsidR="00A031FA">
        <w:rPr>
          <w:rFonts w:asciiTheme="minorHAnsi" w:hAnsiTheme="minorHAnsi" w:cstheme="minorHAnsi"/>
          <w:sz w:val="22"/>
          <w:szCs w:val="22"/>
        </w:rPr>
        <w:t xml:space="preserve">, and in some cases each </w:t>
      </w:r>
      <w:r w:rsidR="005E4288">
        <w:rPr>
          <w:rFonts w:asciiTheme="minorHAnsi" w:hAnsiTheme="minorHAnsi" w:cstheme="minorHAnsi"/>
          <w:sz w:val="22"/>
          <w:szCs w:val="22"/>
        </w:rPr>
        <w:t>subrecipient</w:t>
      </w:r>
      <w:r w:rsidR="00A031FA">
        <w:rPr>
          <w:rFonts w:asciiTheme="minorHAnsi" w:hAnsiTheme="minorHAnsi" w:cstheme="minorHAnsi"/>
          <w:sz w:val="22"/>
          <w:szCs w:val="22"/>
        </w:rPr>
        <w:t xml:space="preserve"> provider </w:t>
      </w:r>
      <w:r w:rsidR="008C7F96">
        <w:rPr>
          <w:rFonts w:asciiTheme="minorHAnsi" w:hAnsiTheme="minorHAnsi" w:cstheme="minorHAnsi"/>
          <w:sz w:val="22"/>
          <w:szCs w:val="22"/>
        </w:rPr>
        <w:t>or</w:t>
      </w:r>
      <w:r w:rsidR="00A031FA">
        <w:rPr>
          <w:rFonts w:asciiTheme="minorHAnsi" w:hAnsiTheme="minorHAnsi" w:cstheme="minorHAnsi"/>
          <w:sz w:val="22"/>
          <w:szCs w:val="22"/>
        </w:rPr>
        <w:t xml:space="preserve"> program</w:t>
      </w:r>
      <w:r w:rsidRPr="001A2373">
        <w:rPr>
          <w:rFonts w:asciiTheme="minorHAnsi" w:hAnsiTheme="minorHAnsi" w:cstheme="minorHAnsi"/>
          <w:sz w:val="22"/>
          <w:szCs w:val="22"/>
        </w:rPr>
        <w:t xml:space="preserve">. Indicators at the grantee level help fulfill federal responsibilities to hold grantees accountable for performance. Indicators at the </w:t>
      </w:r>
      <w:r w:rsidR="005E4288">
        <w:rPr>
          <w:rFonts w:asciiTheme="minorHAnsi" w:hAnsiTheme="minorHAnsi" w:cstheme="minorHAnsi"/>
          <w:sz w:val="22"/>
          <w:szCs w:val="22"/>
        </w:rPr>
        <w:t>subrecipient</w:t>
      </w:r>
      <w:r w:rsidRPr="001A2373">
        <w:rPr>
          <w:rFonts w:asciiTheme="minorHAnsi" w:hAnsiTheme="minorHAnsi" w:cstheme="minorHAnsi"/>
          <w:sz w:val="22"/>
          <w:szCs w:val="22"/>
        </w:rPr>
        <w:t xml:space="preserve"> </w:t>
      </w:r>
      <w:r w:rsidR="008C7F96">
        <w:rPr>
          <w:rFonts w:asciiTheme="minorHAnsi" w:hAnsiTheme="minorHAnsi" w:cstheme="minorHAnsi"/>
          <w:sz w:val="22"/>
          <w:szCs w:val="22"/>
        </w:rPr>
        <w:t xml:space="preserve">and program </w:t>
      </w:r>
      <w:r w:rsidRPr="001A2373">
        <w:rPr>
          <w:rFonts w:asciiTheme="minorHAnsi" w:hAnsiTheme="minorHAnsi" w:cstheme="minorHAnsi"/>
          <w:sz w:val="22"/>
          <w:szCs w:val="22"/>
        </w:rPr>
        <w:t>level</w:t>
      </w:r>
      <w:r w:rsidR="008C7F96">
        <w:rPr>
          <w:rFonts w:asciiTheme="minorHAnsi" w:hAnsiTheme="minorHAnsi" w:cstheme="minorHAnsi"/>
          <w:sz w:val="22"/>
          <w:szCs w:val="22"/>
        </w:rPr>
        <w:t>s</w:t>
      </w:r>
      <w:r w:rsidRPr="001A2373">
        <w:rPr>
          <w:rFonts w:asciiTheme="minorHAnsi" w:hAnsiTheme="minorHAnsi" w:cstheme="minorHAnsi"/>
          <w:sz w:val="22"/>
          <w:szCs w:val="22"/>
        </w:rPr>
        <w:t xml:space="preserve"> will help grantees in their efforts to hold accountable those to whom they are providing resources for PREP implementation. The structure of the data will also allow for examining several of these questions by program model to better understand successes and challenges implementing the various programmatic approaches.</w:t>
      </w:r>
    </w:p>
    <w:p w:rsidRPr="001A2373" w:rsidR="00FD41AB" w:rsidP="005848C8" w:rsidRDefault="00FD41AB" w14:paraId="7EBCEB41" w14:textId="77777777">
      <w:pPr>
        <w:pStyle w:val="NormalSS"/>
        <w:spacing w:after="0"/>
        <w:rPr>
          <w:rFonts w:asciiTheme="minorHAnsi" w:hAnsiTheme="minorHAnsi" w:cstheme="minorHAnsi"/>
          <w:sz w:val="22"/>
          <w:szCs w:val="22"/>
        </w:rPr>
      </w:pPr>
    </w:p>
    <w:p w:rsidRPr="000A3692" w:rsidR="00A42C71" w:rsidP="00083A33" w:rsidRDefault="00C21420" w14:paraId="0B8C1089" w14:textId="1837B3DD">
      <w:pPr>
        <w:pStyle w:val="NormalSS"/>
        <w:tabs>
          <w:tab w:val="clear" w:pos="432"/>
        </w:tabs>
        <w:ind w:firstLine="720"/>
        <w:rPr>
          <w:rFonts w:asciiTheme="minorHAnsi" w:hAnsiTheme="minorHAnsi" w:cstheme="minorHAnsi"/>
          <w:sz w:val="22"/>
          <w:szCs w:val="22"/>
        </w:rPr>
      </w:pPr>
      <w:r w:rsidRPr="001A2373">
        <w:rPr>
          <w:rFonts w:asciiTheme="minorHAnsi" w:hAnsiTheme="minorHAnsi" w:cstheme="minorHAnsi"/>
          <w:sz w:val="22"/>
          <w:szCs w:val="22"/>
        </w:rPr>
        <w:t xml:space="preserve">The results of the performance measures analysis will help ACF and grantees pinpoint areas for possible improvement of program implementation. ACF will learn which implementation challenges are most evident to grantees and their </w:t>
      </w:r>
      <w:r w:rsidR="005E4288">
        <w:rPr>
          <w:rFonts w:asciiTheme="minorHAnsi" w:hAnsiTheme="minorHAnsi" w:cstheme="minorHAnsi"/>
          <w:sz w:val="22"/>
          <w:szCs w:val="22"/>
        </w:rPr>
        <w:t>subrecipient</w:t>
      </w:r>
      <w:r w:rsidRPr="001A2373">
        <w:rPr>
          <w:rFonts w:asciiTheme="minorHAnsi" w:hAnsiTheme="minorHAnsi" w:cstheme="minorHAnsi"/>
          <w:sz w:val="22"/>
          <w:szCs w:val="22"/>
        </w:rPr>
        <w:t xml:space="preserve">s, and which are seen as topics for technical assistance. Over time, data can demonstrate which grantees and </w:t>
      </w:r>
      <w:r w:rsidR="005E4288">
        <w:rPr>
          <w:rFonts w:asciiTheme="minorHAnsi" w:hAnsiTheme="minorHAnsi" w:cstheme="minorHAnsi"/>
          <w:sz w:val="22"/>
          <w:szCs w:val="22"/>
        </w:rPr>
        <w:t>subrecipient</w:t>
      </w:r>
      <w:r w:rsidRPr="001A2373">
        <w:rPr>
          <w:rFonts w:asciiTheme="minorHAnsi" w:hAnsiTheme="minorHAnsi" w:cstheme="minorHAnsi"/>
          <w:sz w:val="22"/>
          <w:szCs w:val="22"/>
        </w:rPr>
        <w:t>s are improving with respect to elements of program delivery and which areas of technical assistance require on-going attention.</w:t>
      </w:r>
    </w:p>
    <w:p w:rsidRPr="001A59B6" w:rsidR="00A42C71" w:rsidP="00A42C71" w:rsidRDefault="00A42C71" w14:paraId="502BA51B" w14:textId="38754342">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Pr="0050403C" w:rsidR="003825C9" w:rsidP="00083A33" w:rsidRDefault="003825C9" w14:paraId="4EC91685" w14:textId="39F9BE92">
      <w:pPr>
        <w:pStyle w:val="ListParagraph"/>
        <w:spacing w:after="0" w:line="240" w:lineRule="auto"/>
        <w:ind w:left="0" w:firstLine="720"/>
        <w:rPr>
          <w:rFonts w:eastAsia="Times New Roman" w:cstheme="minorHAnsi"/>
        </w:rPr>
      </w:pPr>
      <w:r>
        <w:rPr>
          <w:rFonts w:eastAsia="Times New Roman" w:cstheme="minorHAnsi"/>
        </w:rPr>
        <w:t xml:space="preserve">In addition </w:t>
      </w:r>
      <w:r w:rsidR="00F66512">
        <w:rPr>
          <w:rFonts w:eastAsia="Times New Roman" w:cstheme="minorHAnsi"/>
        </w:rPr>
        <w:t xml:space="preserve">to </w:t>
      </w:r>
      <w:r w:rsidR="001A17A9">
        <w:rPr>
          <w:rFonts w:eastAsia="Times New Roman" w:cstheme="minorHAnsi"/>
        </w:rPr>
        <w:t>the availability of the data</w:t>
      </w:r>
      <w:r>
        <w:rPr>
          <w:rFonts w:eastAsia="Times New Roman" w:cstheme="minorHAnsi"/>
        </w:rPr>
        <w:t xml:space="preserve"> to ACF</w:t>
      </w:r>
      <w:r w:rsidR="00043CA7">
        <w:rPr>
          <w:rFonts w:eastAsia="Times New Roman" w:cstheme="minorHAnsi"/>
        </w:rPr>
        <w:t xml:space="preserve"> </w:t>
      </w:r>
      <w:r w:rsidR="001A17A9">
        <w:rPr>
          <w:rFonts w:eastAsia="Times New Roman" w:cstheme="minorHAnsi"/>
        </w:rPr>
        <w:t xml:space="preserve">and grantees in the </w:t>
      </w:r>
      <w:r w:rsidR="00043CA7">
        <w:rPr>
          <w:rFonts w:eastAsia="Times New Roman" w:cstheme="minorHAnsi"/>
        </w:rPr>
        <w:t>dashboard</w:t>
      </w:r>
      <w:r>
        <w:rPr>
          <w:rFonts w:eastAsia="Times New Roman" w:cstheme="minorHAnsi"/>
        </w:rPr>
        <w:t>, the performance measures data will be used to develop end-of-cohort reports, which will synthesize performance measures data across years.  These reports will include summaries of the data collection and analysis methods as well as appropriate caveats and data limitations.</w:t>
      </w:r>
      <w:r w:rsidRPr="00F66512" w:rsidR="00F66512">
        <w:rPr>
          <w:rFonts w:eastAsia="Times New Roman" w:cstheme="minorHAnsi"/>
        </w:rPr>
        <w:t xml:space="preserve"> </w:t>
      </w:r>
      <w:r w:rsidR="00F66512">
        <w:rPr>
          <w:rFonts w:eastAsia="Times New Roman" w:cstheme="minorHAnsi"/>
        </w:rPr>
        <w:t xml:space="preserve">ACF will also use the data provided for annual reporting to Congress and OMB.  </w:t>
      </w:r>
    </w:p>
    <w:p w:rsidRPr="001A59B6" w:rsidR="00A42C71" w:rsidP="00A42C71" w:rsidRDefault="00A42C71" w14:paraId="3569E449" w14:textId="77777777">
      <w:pPr>
        <w:spacing w:after="0" w:line="240" w:lineRule="auto"/>
        <w:rPr>
          <w:rFonts w:eastAsia="Times New Roman" w:cstheme="minorHAnsi"/>
        </w:rPr>
      </w:pPr>
    </w:p>
    <w:p w:rsidRPr="001A59B6" w:rsidR="00A42C71" w:rsidP="00A42C71" w:rsidRDefault="00A42C71" w14:paraId="334FEB50" w14:textId="77777777">
      <w:pPr>
        <w:spacing w:after="0" w:line="240" w:lineRule="auto"/>
        <w:rPr>
          <w:rFonts w:eastAsia="Times New Roman" w:cstheme="minorHAnsi"/>
        </w:rPr>
      </w:pPr>
    </w:p>
    <w:p w:rsidR="00A42C71" w:rsidP="00A42C71" w:rsidRDefault="00A42C71" w14:paraId="1C0321C0" w14:textId="751DBF62">
      <w:pPr>
        <w:spacing w:after="120" w:line="240" w:lineRule="auto"/>
        <w:rPr>
          <w:rFonts w:eastAsia="Times New Roman" w:cstheme="minorHAnsi"/>
        </w:rPr>
      </w:pPr>
      <w:r w:rsidRPr="001A59B6">
        <w:rPr>
          <w:rFonts w:eastAsia="Times New Roman" w:cstheme="minorHAnsi"/>
          <w:b/>
          <w:bCs/>
        </w:rPr>
        <w:t xml:space="preserve">B8.  </w:t>
      </w:r>
      <w:r w:rsidR="00083A33">
        <w:rPr>
          <w:rFonts w:eastAsia="Times New Roman" w:cstheme="minorHAnsi"/>
          <w:b/>
          <w:bCs/>
        </w:rPr>
        <w:tab/>
      </w:r>
      <w:r w:rsidRPr="001A59B6">
        <w:rPr>
          <w:rFonts w:eastAsia="Times New Roman" w:cstheme="minorHAnsi"/>
          <w:b/>
          <w:bCs/>
        </w:rPr>
        <w:t>Contact Person(s)</w:t>
      </w:r>
      <w:r w:rsidRPr="001A59B6">
        <w:rPr>
          <w:rFonts w:eastAsia="Times New Roman" w:cstheme="minorHAnsi"/>
        </w:rPr>
        <w:t xml:space="preserve">  </w:t>
      </w:r>
    </w:p>
    <w:p w:rsidRPr="003825C9" w:rsidR="003825C9" w:rsidP="003825C9" w:rsidRDefault="003825C9" w14:paraId="2B95C0C7" w14:textId="77777777">
      <w:pPr>
        <w:pStyle w:val="ListParagraph"/>
        <w:numPr>
          <w:ilvl w:val="0"/>
          <w:numId w:val="33"/>
        </w:numPr>
        <w:spacing w:after="0" w:line="240" w:lineRule="auto"/>
        <w:rPr>
          <w:rStyle w:val="Hyperlink"/>
          <w:rFonts w:cstheme="minorHAnsi"/>
          <w:color w:val="auto"/>
          <w:u w:val="none"/>
        </w:rPr>
      </w:pPr>
      <w:r>
        <w:rPr>
          <w:rFonts w:eastAsia="Times New Roman" w:cstheme="minorHAnsi"/>
        </w:rPr>
        <w:t xml:space="preserve">Caryn Blitz </w:t>
      </w:r>
      <w:r>
        <w:rPr>
          <w:rFonts w:cstheme="minorHAnsi"/>
        </w:rPr>
        <w:t xml:space="preserve">OPRE, ACF, </w:t>
      </w:r>
      <w:hyperlink w:history="1" r:id="rId11">
        <w:r w:rsidRPr="00B20C7B">
          <w:rPr>
            <w:rStyle w:val="Hyperlink"/>
            <w:rFonts w:ascii="Calibri" w:hAnsi="Calibri" w:eastAsia="Times New Roman" w:cs="Calibri"/>
          </w:rPr>
          <w:t>Caryn.Blitz@acf.hhs.gov</w:t>
        </w:r>
      </w:hyperlink>
    </w:p>
    <w:p w:rsidRPr="003825C9" w:rsidR="003825C9" w:rsidP="003825C9" w:rsidRDefault="003825C9" w14:paraId="59554414" w14:textId="78775704">
      <w:pPr>
        <w:pStyle w:val="ListParagraph"/>
        <w:numPr>
          <w:ilvl w:val="0"/>
          <w:numId w:val="33"/>
        </w:numPr>
        <w:spacing w:after="0" w:line="240" w:lineRule="auto"/>
        <w:rPr>
          <w:rFonts w:cstheme="minorHAnsi"/>
        </w:rPr>
      </w:pPr>
      <w:r w:rsidRPr="003825C9">
        <w:rPr>
          <w:rFonts w:eastAsia="Times New Roman" w:cstheme="minorHAnsi"/>
        </w:rPr>
        <w:t>Tia Zeno</w:t>
      </w:r>
      <w:r>
        <w:rPr>
          <w:rFonts w:eastAsia="Times New Roman" w:cstheme="minorHAnsi"/>
        </w:rPr>
        <w:t>, OPRE, ACF, Tia.Zeno@acf.hhs.gov</w:t>
      </w:r>
    </w:p>
    <w:p w:rsidRPr="003825C9" w:rsidR="003825C9" w:rsidP="003825C9" w:rsidRDefault="003825C9" w14:paraId="51BFA8F3" w14:textId="48971EC3">
      <w:pPr>
        <w:pStyle w:val="ListParagraph"/>
        <w:numPr>
          <w:ilvl w:val="0"/>
          <w:numId w:val="33"/>
        </w:numPr>
        <w:spacing w:after="0" w:line="240" w:lineRule="auto"/>
        <w:rPr>
          <w:rFonts w:cstheme="minorHAnsi"/>
        </w:rPr>
      </w:pPr>
      <w:r w:rsidRPr="003825C9">
        <w:rPr>
          <w:rFonts w:eastAsia="Times New Roman" w:cstheme="minorHAnsi"/>
        </w:rPr>
        <w:t>Lara Hulsey</w:t>
      </w:r>
      <w:r>
        <w:rPr>
          <w:rFonts w:eastAsia="Times New Roman" w:cstheme="minorHAnsi"/>
        </w:rPr>
        <w:t>, Mathematica (contractor), lhulsey@mathematica-mpr.com</w:t>
      </w:r>
    </w:p>
    <w:p w:rsidRPr="006F5CEA" w:rsidR="006F5CEA" w:rsidP="003825C9" w:rsidRDefault="003825C9" w14:paraId="53C7E03C" w14:textId="77777777">
      <w:pPr>
        <w:pStyle w:val="ListParagraph"/>
        <w:numPr>
          <w:ilvl w:val="0"/>
          <w:numId w:val="33"/>
        </w:numPr>
        <w:spacing w:after="0" w:line="240" w:lineRule="auto"/>
        <w:rPr>
          <w:rFonts w:cstheme="minorHAnsi"/>
        </w:rPr>
      </w:pPr>
      <w:r w:rsidRPr="003825C9">
        <w:rPr>
          <w:rFonts w:eastAsia="Times New Roman" w:cstheme="minorHAnsi"/>
        </w:rPr>
        <w:t>Lauren Murphy</w:t>
      </w:r>
      <w:r>
        <w:rPr>
          <w:rFonts w:eastAsia="Times New Roman" w:cstheme="minorHAnsi"/>
        </w:rPr>
        <w:t>, Mathematica (contractor),lmurphy@mathematica-mpr.com</w:t>
      </w:r>
    </w:p>
    <w:p w:rsidRPr="003825C9" w:rsidR="003825C9" w:rsidP="003825C9" w:rsidRDefault="006F5CEA" w14:paraId="49E90E42" w14:textId="4A56E5D7">
      <w:pPr>
        <w:pStyle w:val="ListParagraph"/>
        <w:numPr>
          <w:ilvl w:val="0"/>
          <w:numId w:val="33"/>
        </w:numPr>
        <w:spacing w:after="0" w:line="240" w:lineRule="auto"/>
        <w:rPr>
          <w:rFonts w:cstheme="minorHAnsi"/>
        </w:rPr>
      </w:pPr>
      <w:r>
        <w:rPr>
          <w:rFonts w:eastAsia="Times New Roman" w:cstheme="minorHAnsi"/>
        </w:rPr>
        <w:t>Melissa Thomas, Mathematica (contractor), mthomas@mathematica-mpr.com</w:t>
      </w:r>
      <w:r w:rsidR="003825C9">
        <w:rPr>
          <w:rFonts w:eastAsia="Times New Roman" w:cstheme="minorHAnsi"/>
        </w:rPr>
        <w:t xml:space="preserve"> </w:t>
      </w:r>
      <w:r w:rsidRPr="003825C9" w:rsidR="003825C9">
        <w:rPr>
          <w:rFonts w:eastAsia="Times New Roman" w:cstheme="minorHAnsi"/>
        </w:rPr>
        <w:t xml:space="preserve"> </w:t>
      </w:r>
    </w:p>
    <w:p w:rsidRPr="001A59B6" w:rsidR="00A42C71" w:rsidP="00A42C71" w:rsidRDefault="00A42C71" w14:paraId="3F327361" w14:textId="77777777">
      <w:pPr>
        <w:pStyle w:val="ListParagraph"/>
        <w:spacing w:after="0" w:line="240" w:lineRule="auto"/>
        <w:ind w:left="0"/>
        <w:rPr>
          <w:rFonts w:cstheme="minorHAnsi"/>
          <w:b/>
        </w:rPr>
      </w:pPr>
    </w:p>
    <w:p w:rsidRPr="001A59B6" w:rsidR="00A42C71" w:rsidP="00A42C71" w:rsidRDefault="00A42C71" w14:paraId="2B00F308" w14:textId="62EE22AD">
      <w:pPr>
        <w:spacing w:after="120" w:line="240" w:lineRule="auto"/>
        <w:rPr>
          <w:rFonts w:cstheme="minorHAnsi"/>
          <w:b/>
        </w:rPr>
      </w:pPr>
      <w:r w:rsidRPr="001A59B6">
        <w:rPr>
          <w:rFonts w:cstheme="minorHAnsi"/>
          <w:b/>
        </w:rPr>
        <w:t>Attachments</w:t>
      </w:r>
    </w:p>
    <w:p w:rsidRPr="00AA452D" w:rsidR="00070317" w:rsidP="00070317" w:rsidRDefault="00070317" w14:paraId="6F2A5AC1" w14:textId="77777777">
      <w:pPr>
        <w:spacing w:after="0" w:line="240" w:lineRule="auto"/>
      </w:pPr>
      <w:bookmarkStart w:name="_Hlk36117514" w:id="5"/>
      <w:r w:rsidRPr="00AA452D">
        <w:t xml:space="preserve">Instrument 1: </w:t>
      </w:r>
      <w:r>
        <w:t xml:space="preserve">Participant </w:t>
      </w:r>
      <w:r w:rsidRPr="00AA452D">
        <w:t xml:space="preserve">Entry </w:t>
      </w:r>
      <w:r>
        <w:t>S</w:t>
      </w:r>
      <w:r w:rsidRPr="00AA452D">
        <w:t xml:space="preserve">urvey for high school and older youth </w:t>
      </w:r>
    </w:p>
    <w:p w:rsidRPr="00AA452D" w:rsidR="00070317" w:rsidP="00070317" w:rsidRDefault="00070317" w14:paraId="46E87FAB" w14:textId="77777777">
      <w:pPr>
        <w:spacing w:after="0" w:line="240" w:lineRule="auto"/>
        <w:ind w:left="720"/>
      </w:pPr>
      <w:r w:rsidRPr="00AA452D">
        <w:t xml:space="preserve">1a: Entry survey for middle school youth </w:t>
      </w:r>
    </w:p>
    <w:p w:rsidRPr="00AA452D" w:rsidR="00070317" w:rsidP="001117AF" w:rsidRDefault="00070317" w14:paraId="54CB4C08" w14:textId="48C2F809">
      <w:pPr>
        <w:spacing w:after="0" w:line="240" w:lineRule="auto"/>
        <w:ind w:left="720"/>
      </w:pPr>
      <w:r w:rsidRPr="00AA452D">
        <w:lastRenderedPageBreak/>
        <w:t xml:space="preserve">1b: Entry survey for high school </w:t>
      </w:r>
      <w:r>
        <w:t>(</w:t>
      </w:r>
      <w:r w:rsidRPr="00AA452D">
        <w:t>PREIS</w:t>
      </w:r>
      <w:r>
        <w:t>/</w:t>
      </w:r>
      <w:r w:rsidRPr="00AA452D">
        <w:t>TPREP</w:t>
      </w:r>
      <w:r>
        <w:t>)</w:t>
      </w:r>
    </w:p>
    <w:p w:rsidRPr="00AA452D" w:rsidR="00070317" w:rsidP="00070317" w:rsidRDefault="00070317" w14:paraId="1630B051" w14:textId="7AB240D7">
      <w:pPr>
        <w:spacing w:after="0" w:line="240" w:lineRule="auto"/>
        <w:ind w:left="720"/>
      </w:pPr>
      <w:r w:rsidRPr="00AA452D">
        <w:t>1</w:t>
      </w:r>
      <w:r w:rsidR="001117AF">
        <w:t>c</w:t>
      </w:r>
      <w:r w:rsidRPr="00AA452D">
        <w:t>: Entry survey for middle school youth</w:t>
      </w:r>
      <w:r>
        <w:t xml:space="preserve"> (</w:t>
      </w:r>
      <w:r w:rsidRPr="00AA452D">
        <w:t>PREIS</w:t>
      </w:r>
      <w:r>
        <w:t>/</w:t>
      </w:r>
      <w:r w:rsidRPr="00AA452D">
        <w:t>TPREP</w:t>
      </w:r>
      <w:r>
        <w:t>)</w:t>
      </w:r>
      <w:r w:rsidRPr="00AA452D">
        <w:t xml:space="preserve"> </w:t>
      </w:r>
    </w:p>
    <w:p w:rsidRPr="000748A3" w:rsidR="00CA11DA" w:rsidP="00CA11DA" w:rsidRDefault="00CA11DA" w14:paraId="7DDB4B2D" w14:textId="77777777">
      <w:pPr>
        <w:spacing w:after="0" w:line="240" w:lineRule="auto"/>
      </w:pPr>
      <w:r w:rsidRPr="000748A3">
        <w:t xml:space="preserve">Instrument 2: Exit survey for high school and older youth </w:t>
      </w:r>
    </w:p>
    <w:p w:rsidRPr="000748A3" w:rsidR="00CA11DA" w:rsidP="00CA11DA" w:rsidRDefault="00CA11DA" w14:paraId="60DFFFCC" w14:textId="77777777">
      <w:pPr>
        <w:spacing w:after="0" w:line="240" w:lineRule="auto"/>
        <w:ind w:left="720"/>
      </w:pPr>
      <w:r w:rsidRPr="000748A3">
        <w:t xml:space="preserve">2a: Exit survey for middle school youth </w:t>
      </w:r>
    </w:p>
    <w:p w:rsidRPr="000748A3" w:rsidR="00CA11DA" w:rsidP="001117AF" w:rsidRDefault="00CA11DA" w14:paraId="21122754" w14:textId="59EB2BF4">
      <w:pPr>
        <w:spacing w:after="0" w:line="240" w:lineRule="auto"/>
        <w:ind w:left="720"/>
      </w:pPr>
      <w:r w:rsidRPr="000748A3">
        <w:t xml:space="preserve">2b: Exit survey for high school and older youth </w:t>
      </w:r>
      <w:r>
        <w:t>(</w:t>
      </w:r>
      <w:r w:rsidRPr="000748A3">
        <w:t>PREIS/TPREP)</w:t>
      </w:r>
    </w:p>
    <w:p w:rsidRPr="000748A3" w:rsidR="00CA11DA" w:rsidP="00CA11DA" w:rsidRDefault="00CA11DA" w14:paraId="507B9715" w14:textId="2E020E34">
      <w:pPr>
        <w:spacing w:after="0" w:line="240" w:lineRule="auto"/>
        <w:ind w:left="720"/>
      </w:pPr>
      <w:r w:rsidRPr="000748A3">
        <w:t>2</w:t>
      </w:r>
      <w:r w:rsidR="001117AF">
        <w:t>c</w:t>
      </w:r>
      <w:r w:rsidRPr="000748A3">
        <w:t>: Exit survey for middle school youth</w:t>
      </w:r>
      <w:r>
        <w:t xml:space="preserve"> (</w:t>
      </w:r>
      <w:r w:rsidRPr="000748A3">
        <w:t>PREIS/TPREP</w:t>
      </w:r>
      <w:r>
        <w:t>)</w:t>
      </w:r>
      <w:r w:rsidRPr="000748A3">
        <w:t xml:space="preserve"> </w:t>
      </w:r>
    </w:p>
    <w:p w:rsidR="00624F49" w:rsidP="00C523DE" w:rsidRDefault="000E6DF7" w14:paraId="7138A7E5" w14:textId="387D1550">
      <w:pPr>
        <w:spacing w:after="120" w:line="240" w:lineRule="auto"/>
      </w:pPr>
      <w:r>
        <w:t>Instrument 3</w:t>
      </w:r>
      <w:r w:rsidR="00624F49">
        <w:t xml:space="preserve">: </w:t>
      </w:r>
      <w:r w:rsidR="00487B33">
        <w:t>Pe</w:t>
      </w:r>
      <w:r>
        <w:t>r</w:t>
      </w:r>
      <w:r w:rsidR="00487B33">
        <w:t xml:space="preserve">formance Reporting Data Entry Form – Grantees </w:t>
      </w:r>
    </w:p>
    <w:p w:rsidR="00487B33" w:rsidP="00C523DE" w:rsidRDefault="000E6DF7" w14:paraId="6694F3C6" w14:textId="7B385A29">
      <w:pPr>
        <w:spacing w:after="120" w:line="240" w:lineRule="auto"/>
        <w:rPr>
          <w:bCs/>
        </w:rPr>
      </w:pPr>
      <w:r>
        <w:t>Instrument 4</w:t>
      </w:r>
      <w:r w:rsidR="00624F49">
        <w:t xml:space="preserve">: </w:t>
      </w:r>
      <w:r w:rsidR="005E4288">
        <w:rPr>
          <w:bCs/>
        </w:rPr>
        <w:t>Subrecipient</w:t>
      </w:r>
      <w:r w:rsidRPr="00487B33" w:rsidR="00487B33">
        <w:rPr>
          <w:bCs/>
        </w:rPr>
        <w:t xml:space="preserve"> Data Collection and Reporting Form – </w:t>
      </w:r>
      <w:r w:rsidR="005E4288">
        <w:rPr>
          <w:bCs/>
        </w:rPr>
        <w:t>subrecipient</w:t>
      </w:r>
      <w:r w:rsidRPr="00487B33" w:rsidR="00487B33">
        <w:rPr>
          <w:bCs/>
        </w:rPr>
        <w:t xml:space="preserve"> program providers </w:t>
      </w:r>
    </w:p>
    <w:p w:rsidR="005752A3" w:rsidP="00C523DE" w:rsidRDefault="005752A3" w14:paraId="1D4E20B4" w14:textId="6268440F">
      <w:pPr>
        <w:spacing w:after="120" w:line="240" w:lineRule="auto"/>
        <w:rPr>
          <w:bCs/>
        </w:rPr>
      </w:pPr>
      <w:r>
        <w:rPr>
          <w:bCs/>
        </w:rPr>
        <w:t>A</w:t>
      </w:r>
      <w:r w:rsidR="00064C55">
        <w:rPr>
          <w:bCs/>
        </w:rPr>
        <w:t>ppendix</w:t>
      </w:r>
      <w:r>
        <w:rPr>
          <w:bCs/>
        </w:rPr>
        <w:t xml:space="preserve"> A: 60-day FRN</w:t>
      </w:r>
    </w:p>
    <w:p w:rsidRPr="00487B33" w:rsidR="00216AED" w:rsidP="00043CA7" w:rsidRDefault="00216AED" w14:paraId="5507E377" w14:textId="03197BF0">
      <w:pPr>
        <w:spacing w:after="0" w:line="240" w:lineRule="auto"/>
        <w:rPr>
          <w:rFonts w:eastAsia="Times New Roman" w:cstheme="minorHAnsi"/>
          <w:bCs/>
          <w:color w:val="000000"/>
        </w:rPr>
      </w:pPr>
      <w:r>
        <w:rPr>
          <w:bCs/>
        </w:rPr>
        <w:t>Appendix B: Consent form</w:t>
      </w:r>
      <w:r w:rsidR="00C135CF">
        <w:rPr>
          <w:bCs/>
        </w:rPr>
        <w:t>s</w:t>
      </w:r>
    </w:p>
    <w:bookmarkEnd w:id="5"/>
    <w:p w:rsidR="00624F49" w:rsidP="00487B33" w:rsidRDefault="00624F49" w14:paraId="20871D36" w14:textId="539F4F94">
      <w:pPr>
        <w:spacing w:after="0" w:line="240" w:lineRule="auto"/>
      </w:pPr>
    </w:p>
    <w:p w:rsidR="00220033" w:rsidP="00220033" w:rsidRDefault="00220033" w14:paraId="75C29F93" w14:textId="3BD778C5">
      <w:pPr>
        <w:pStyle w:val="NormalSS"/>
      </w:pPr>
    </w:p>
    <w:p w:rsidRPr="006B53F1" w:rsidR="00220033" w:rsidP="00220033" w:rsidRDefault="00220033" w14:paraId="40F0ED0B" w14:textId="77777777"/>
    <w:sectPr w:rsidRPr="006B53F1" w:rsidR="00220033" w:rsidSect="00C91C7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42A39" w14:textId="77777777" w:rsidR="00D02024" w:rsidRDefault="00D02024" w:rsidP="0004063C">
      <w:pPr>
        <w:spacing w:after="0" w:line="240" w:lineRule="auto"/>
      </w:pPr>
      <w:r>
        <w:separator/>
      </w:r>
    </w:p>
  </w:endnote>
  <w:endnote w:type="continuationSeparator" w:id="0">
    <w:p w14:paraId="29119A04" w14:textId="77777777" w:rsidR="00D02024" w:rsidRDefault="00D02024"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ucida Sans">
    <w:altName w:val="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7A63C5C1" w:rsidR="00900D26" w:rsidRDefault="00900D26">
        <w:pPr>
          <w:pStyle w:val="Footer"/>
          <w:jc w:val="right"/>
        </w:pPr>
        <w:r>
          <w:fldChar w:fldCharType="begin"/>
        </w:r>
        <w:r>
          <w:instrText xml:space="preserve"> PAGE   \* MERGEFORMAT </w:instrText>
        </w:r>
        <w:r>
          <w:fldChar w:fldCharType="separate"/>
        </w:r>
        <w:r w:rsidR="004951E6">
          <w:rPr>
            <w:noProof/>
          </w:rPr>
          <w:t>8</w:t>
        </w:r>
        <w:r>
          <w:rPr>
            <w:noProof/>
          </w:rPr>
          <w:fldChar w:fldCharType="end"/>
        </w:r>
      </w:p>
    </w:sdtContent>
  </w:sdt>
  <w:p w14:paraId="04723F22" w14:textId="77777777" w:rsidR="00900D26" w:rsidRDefault="00900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DFB27" w14:textId="77777777" w:rsidR="00D02024" w:rsidRDefault="00D02024" w:rsidP="0004063C">
      <w:pPr>
        <w:spacing w:after="0" w:line="240" w:lineRule="auto"/>
      </w:pPr>
      <w:r>
        <w:separator/>
      </w:r>
    </w:p>
  </w:footnote>
  <w:footnote w:type="continuationSeparator" w:id="0">
    <w:p w14:paraId="46F9BB36" w14:textId="77777777" w:rsidR="00D02024" w:rsidRDefault="00D02024" w:rsidP="0004063C">
      <w:pPr>
        <w:spacing w:after="0" w:line="240" w:lineRule="auto"/>
      </w:pPr>
      <w:r>
        <w:continuationSeparator/>
      </w:r>
    </w:p>
  </w:footnote>
  <w:footnote w:id="1">
    <w:p w14:paraId="3659A030" w14:textId="77777777" w:rsidR="00607FBA" w:rsidRPr="004A37AF" w:rsidRDefault="00607FBA" w:rsidP="00607FBA">
      <w:pPr>
        <w:pStyle w:val="FootnoteText"/>
        <w:rPr>
          <w:rFonts w:ascii="Times New Roman" w:hAnsi="Times New Roman" w:cs="Times New Roman"/>
        </w:rPr>
      </w:pPr>
      <w:r w:rsidRPr="004A37AF">
        <w:rPr>
          <w:rStyle w:val="FootnoteReference"/>
          <w:rFonts w:ascii="Times New Roman" w:hAnsi="Times New Roman" w:cs="Times New Roman"/>
        </w:rPr>
        <w:footnoteRef/>
      </w:r>
      <w:r w:rsidRPr="004A37AF">
        <w:rPr>
          <w:rFonts w:ascii="Times New Roman" w:hAnsi="Times New Roman" w:cs="Times New Roman"/>
        </w:rPr>
        <w:t xml:space="preserve"> The success sequence was first discussed by Haskins and Sawhill in </w:t>
      </w:r>
      <w:r w:rsidRPr="004A37AF">
        <w:rPr>
          <w:rFonts w:ascii="Times New Roman" w:hAnsi="Times New Roman" w:cs="Times New Roman"/>
          <w:i/>
        </w:rPr>
        <w:t>Creating an Opportunity Society</w:t>
      </w:r>
      <w:r w:rsidRPr="004A37AF">
        <w:rPr>
          <w:rFonts w:ascii="Times New Roman" w:hAnsi="Times New Roman" w:cs="Times New Roman"/>
        </w:rPr>
        <w:t xml:space="preserve"> (Washington, DC: Brookings Institution; 2009. </w:t>
      </w:r>
      <w:hyperlink r:id="rId1" w:history="1">
        <w:r w:rsidRPr="004A37AF">
          <w:rPr>
            <w:rStyle w:val="Hyperlink"/>
            <w:rFonts w:ascii="Times New Roman" w:hAnsi="Times New Roman" w:cs="Times New Roman"/>
          </w:rPr>
          <w:t>https://www.brookings.edu/book/creating-an-opportunity-society/</w:t>
        </w:r>
      </w:hyperlink>
      <w:r w:rsidRPr="004A37AF">
        <w:rPr>
          <w:rFonts w:ascii="Times New Roman" w:hAnsi="Times New Roman" w:cs="Times New Roman"/>
        </w:rPr>
        <w:t>), which identified a correlation between having income above the poverty level and three “norms:” (1) completing high school, (2) working full time, and (3) waiting until age 21 and marrying before having children.</w:t>
      </w:r>
    </w:p>
  </w:footnote>
  <w:footnote w:id="2">
    <w:p w14:paraId="27632D3A" w14:textId="77777777" w:rsidR="00607FBA" w:rsidRPr="00DF4562" w:rsidRDefault="00607FBA" w:rsidP="00607FBA">
      <w:pPr>
        <w:pStyle w:val="FootnoteText"/>
        <w:rPr>
          <w:rFonts w:cstheme="minorHAnsi"/>
        </w:rPr>
      </w:pPr>
      <w:r w:rsidRPr="004A37AF">
        <w:rPr>
          <w:rStyle w:val="FootnoteReference"/>
          <w:rFonts w:ascii="Times New Roman" w:hAnsi="Times New Roman" w:cs="Times New Roman"/>
        </w:rPr>
        <w:footnoteRef/>
      </w:r>
      <w:r w:rsidRPr="004A37AF">
        <w:rPr>
          <w:rFonts w:ascii="Times New Roman" w:hAnsi="Times New Roman" w:cs="Times New Roman"/>
        </w:rPr>
        <w:t xml:space="preserve"> The proposed items related to adulthood preparation subjects and the success sequence are also included in the performance measures for the Sexual Risk Avoidance Education Performance Analysis Study (30 day FRN posted on 05/23/19).</w:t>
      </w:r>
    </w:p>
  </w:footnote>
  <w:footnote w:id="3">
    <w:p w14:paraId="12E77D7C" w14:textId="0E3B9AB7" w:rsidR="00AE2040" w:rsidRDefault="00AE2040">
      <w:pPr>
        <w:pStyle w:val="FootnoteText"/>
      </w:pPr>
      <w:r>
        <w:rPr>
          <w:rStyle w:val="FootnoteReference"/>
        </w:rPr>
        <w:footnoteRef/>
      </w:r>
      <w:r>
        <w:t xml:space="preserve"> Measures of structure, cost</w:t>
      </w:r>
      <w:r w:rsidRPr="0062513F">
        <w:t xml:space="preserve">, and support for program implementation </w:t>
      </w:r>
      <w:r>
        <w:t>will be submitted once per year, and all other measures will be submitted t</w:t>
      </w:r>
      <w:r w:rsidRPr="0062513F">
        <w:t>wice per year</w:t>
      </w:r>
      <w:r w:rsidRPr="002F61C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886AD1FE"/>
    <w:lvl w:ilvl="0" w:tplc="C974E846">
      <w:start w:val="1"/>
      <w:numFmt w:val="decimal"/>
      <w:lvlText w:val="%1."/>
      <w:lvlJc w:val="right"/>
      <w:pPr>
        <w:ind w:left="720" w:hanging="360"/>
      </w:pPr>
      <w:rPr>
        <w:rFonts w:hint="default"/>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4F3CF8"/>
    <w:multiLevelType w:val="hybridMultilevel"/>
    <w:tmpl w:val="4F8A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513D4"/>
    <w:multiLevelType w:val="hybridMultilevel"/>
    <w:tmpl w:val="58901D92"/>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A799E"/>
    <w:multiLevelType w:val="hybridMultilevel"/>
    <w:tmpl w:val="57968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162AF"/>
    <w:multiLevelType w:val="hybridMultilevel"/>
    <w:tmpl w:val="92F658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7"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661B30"/>
    <w:multiLevelType w:val="hybridMultilevel"/>
    <w:tmpl w:val="5B6CB0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987A2C"/>
    <w:multiLevelType w:val="hybridMultilevel"/>
    <w:tmpl w:val="137A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645D8A"/>
    <w:multiLevelType w:val="hybridMultilevel"/>
    <w:tmpl w:val="A25E7EE4"/>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5753BE"/>
    <w:multiLevelType w:val="hybridMultilevel"/>
    <w:tmpl w:val="3044E82A"/>
    <w:lvl w:ilvl="0" w:tplc="52AC1F4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1"/>
  </w:num>
  <w:num w:numId="3">
    <w:abstractNumId w:val="4"/>
  </w:num>
  <w:num w:numId="4">
    <w:abstractNumId w:val="27"/>
  </w:num>
  <w:num w:numId="5">
    <w:abstractNumId w:val="16"/>
  </w:num>
  <w:num w:numId="6">
    <w:abstractNumId w:val="34"/>
  </w:num>
  <w:num w:numId="7">
    <w:abstractNumId w:val="3"/>
  </w:num>
  <w:num w:numId="8">
    <w:abstractNumId w:val="10"/>
  </w:num>
  <w:num w:numId="9">
    <w:abstractNumId w:val="15"/>
  </w:num>
  <w:num w:numId="10">
    <w:abstractNumId w:val="33"/>
  </w:num>
  <w:num w:numId="11">
    <w:abstractNumId w:val="36"/>
  </w:num>
  <w:num w:numId="12">
    <w:abstractNumId w:val="31"/>
  </w:num>
  <w:num w:numId="13">
    <w:abstractNumId w:val="26"/>
  </w:num>
  <w:num w:numId="14">
    <w:abstractNumId w:val="32"/>
  </w:num>
  <w:num w:numId="15">
    <w:abstractNumId w:val="17"/>
  </w:num>
  <w:num w:numId="16">
    <w:abstractNumId w:val="25"/>
  </w:num>
  <w:num w:numId="17">
    <w:abstractNumId w:val="13"/>
  </w:num>
  <w:num w:numId="18">
    <w:abstractNumId w:val="8"/>
  </w:num>
  <w:num w:numId="19">
    <w:abstractNumId w:val="7"/>
  </w:num>
  <w:num w:numId="20">
    <w:abstractNumId w:val="24"/>
  </w:num>
  <w:num w:numId="21">
    <w:abstractNumId w:val="0"/>
  </w:num>
  <w:num w:numId="22">
    <w:abstractNumId w:val="1"/>
  </w:num>
  <w:num w:numId="23">
    <w:abstractNumId w:val="18"/>
  </w:num>
  <w:num w:numId="24">
    <w:abstractNumId w:val="2"/>
  </w:num>
  <w:num w:numId="25">
    <w:abstractNumId w:val="11"/>
  </w:num>
  <w:num w:numId="26">
    <w:abstractNumId w:val="23"/>
  </w:num>
  <w:num w:numId="27">
    <w:abstractNumId w:val="35"/>
  </w:num>
  <w:num w:numId="28">
    <w:abstractNumId w:val="29"/>
  </w:num>
  <w:num w:numId="29">
    <w:abstractNumId w:val="20"/>
  </w:num>
  <w:num w:numId="30">
    <w:abstractNumId w:val="30"/>
  </w:num>
  <w:num w:numId="31">
    <w:abstractNumId w:val="9"/>
  </w:num>
  <w:num w:numId="32">
    <w:abstractNumId w:val="19"/>
  </w:num>
  <w:num w:numId="33">
    <w:abstractNumId w:val="22"/>
  </w:num>
  <w:num w:numId="34">
    <w:abstractNumId w:val="6"/>
  </w:num>
  <w:num w:numId="35">
    <w:abstractNumId w:val="14"/>
  </w:num>
  <w:num w:numId="36">
    <w:abstractNumId w:val="28"/>
  </w:num>
  <w:num w:numId="37">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4063C"/>
    <w:rsid w:val="0004247F"/>
    <w:rsid w:val="00043CA7"/>
    <w:rsid w:val="00045DDA"/>
    <w:rsid w:val="00062AFB"/>
    <w:rsid w:val="00064C55"/>
    <w:rsid w:val="000655DD"/>
    <w:rsid w:val="00070317"/>
    <w:rsid w:val="00071F79"/>
    <w:rsid w:val="0007251B"/>
    <w:rsid w:val="000733A5"/>
    <w:rsid w:val="00082C5B"/>
    <w:rsid w:val="00083227"/>
    <w:rsid w:val="00083A33"/>
    <w:rsid w:val="00083C7C"/>
    <w:rsid w:val="00086CBE"/>
    <w:rsid w:val="00087015"/>
    <w:rsid w:val="00090812"/>
    <w:rsid w:val="000921F0"/>
    <w:rsid w:val="000A012A"/>
    <w:rsid w:val="000A3692"/>
    <w:rsid w:val="000B582B"/>
    <w:rsid w:val="000D4E9A"/>
    <w:rsid w:val="000D7D44"/>
    <w:rsid w:val="000E6DF7"/>
    <w:rsid w:val="000F1121"/>
    <w:rsid w:val="000F1E4A"/>
    <w:rsid w:val="00100D34"/>
    <w:rsid w:val="00103EFD"/>
    <w:rsid w:val="00107D87"/>
    <w:rsid w:val="001117AF"/>
    <w:rsid w:val="00111EAF"/>
    <w:rsid w:val="00114DFF"/>
    <w:rsid w:val="001253F4"/>
    <w:rsid w:val="00130ACB"/>
    <w:rsid w:val="00146F72"/>
    <w:rsid w:val="001562D2"/>
    <w:rsid w:val="00157482"/>
    <w:rsid w:val="001707D8"/>
    <w:rsid w:val="00186EB2"/>
    <w:rsid w:val="00190BEC"/>
    <w:rsid w:val="00196A24"/>
    <w:rsid w:val="001A17A9"/>
    <w:rsid w:val="001A2373"/>
    <w:rsid w:val="001B0A76"/>
    <w:rsid w:val="001C7E66"/>
    <w:rsid w:val="001E3494"/>
    <w:rsid w:val="001F34B8"/>
    <w:rsid w:val="001F57F5"/>
    <w:rsid w:val="00201360"/>
    <w:rsid w:val="0020401C"/>
    <w:rsid w:val="00204A63"/>
    <w:rsid w:val="0020629A"/>
    <w:rsid w:val="00206E11"/>
    <w:rsid w:val="00206FE3"/>
    <w:rsid w:val="00207554"/>
    <w:rsid w:val="00211261"/>
    <w:rsid w:val="00216AED"/>
    <w:rsid w:val="00220033"/>
    <w:rsid w:val="00250418"/>
    <w:rsid w:val="00250CBC"/>
    <w:rsid w:val="002517BB"/>
    <w:rsid w:val="00256E24"/>
    <w:rsid w:val="00260119"/>
    <w:rsid w:val="00265491"/>
    <w:rsid w:val="00276CE2"/>
    <w:rsid w:val="002820B6"/>
    <w:rsid w:val="00287AF1"/>
    <w:rsid w:val="002939B8"/>
    <w:rsid w:val="00296976"/>
    <w:rsid w:val="002A1BB0"/>
    <w:rsid w:val="002A41C6"/>
    <w:rsid w:val="002A5DB4"/>
    <w:rsid w:val="002A775C"/>
    <w:rsid w:val="002B012F"/>
    <w:rsid w:val="002B785B"/>
    <w:rsid w:val="002C5437"/>
    <w:rsid w:val="002E6CCF"/>
    <w:rsid w:val="002F33D0"/>
    <w:rsid w:val="00300722"/>
    <w:rsid w:val="0030316D"/>
    <w:rsid w:val="0032222A"/>
    <w:rsid w:val="00324429"/>
    <w:rsid w:val="00333D91"/>
    <w:rsid w:val="00350CCD"/>
    <w:rsid w:val="00354BED"/>
    <w:rsid w:val="00365066"/>
    <w:rsid w:val="00373D2F"/>
    <w:rsid w:val="003825C9"/>
    <w:rsid w:val="00390F85"/>
    <w:rsid w:val="00395FAD"/>
    <w:rsid w:val="00397D12"/>
    <w:rsid w:val="003A1CC3"/>
    <w:rsid w:val="003A5655"/>
    <w:rsid w:val="003A7774"/>
    <w:rsid w:val="003B3600"/>
    <w:rsid w:val="003C6D22"/>
    <w:rsid w:val="003C7358"/>
    <w:rsid w:val="003D4E7B"/>
    <w:rsid w:val="003E61F6"/>
    <w:rsid w:val="003F277D"/>
    <w:rsid w:val="00407537"/>
    <w:rsid w:val="00412F80"/>
    <w:rsid w:val="004165BD"/>
    <w:rsid w:val="0042220D"/>
    <w:rsid w:val="00423D9D"/>
    <w:rsid w:val="0043377A"/>
    <w:rsid w:val="00437489"/>
    <w:rsid w:val="004379B6"/>
    <w:rsid w:val="0044428E"/>
    <w:rsid w:val="00444B84"/>
    <w:rsid w:val="00446465"/>
    <w:rsid w:val="0045122F"/>
    <w:rsid w:val="0045547D"/>
    <w:rsid w:val="00455A25"/>
    <w:rsid w:val="00455AD8"/>
    <w:rsid w:val="00460D54"/>
    <w:rsid w:val="00461D3E"/>
    <w:rsid w:val="004706CC"/>
    <w:rsid w:val="0047112F"/>
    <w:rsid w:val="004750CA"/>
    <w:rsid w:val="00487B33"/>
    <w:rsid w:val="004951E6"/>
    <w:rsid w:val="004B75AC"/>
    <w:rsid w:val="004C3644"/>
    <w:rsid w:val="004D12DD"/>
    <w:rsid w:val="004D5289"/>
    <w:rsid w:val="004D7A42"/>
    <w:rsid w:val="004E0CE1"/>
    <w:rsid w:val="004E5778"/>
    <w:rsid w:val="004E7ED8"/>
    <w:rsid w:val="004F4724"/>
    <w:rsid w:val="0050376D"/>
    <w:rsid w:val="00512C25"/>
    <w:rsid w:val="00515279"/>
    <w:rsid w:val="005248F4"/>
    <w:rsid w:val="005302CB"/>
    <w:rsid w:val="00533FDB"/>
    <w:rsid w:val="0055434C"/>
    <w:rsid w:val="00555A5E"/>
    <w:rsid w:val="00562727"/>
    <w:rsid w:val="00563F93"/>
    <w:rsid w:val="0056481E"/>
    <w:rsid w:val="005752A3"/>
    <w:rsid w:val="00575E78"/>
    <w:rsid w:val="005848C8"/>
    <w:rsid w:val="00591283"/>
    <w:rsid w:val="00595229"/>
    <w:rsid w:val="00597C1A"/>
    <w:rsid w:val="005A61CE"/>
    <w:rsid w:val="005A7E5A"/>
    <w:rsid w:val="005B1285"/>
    <w:rsid w:val="005B1410"/>
    <w:rsid w:val="005B4898"/>
    <w:rsid w:val="005C20DB"/>
    <w:rsid w:val="005C447B"/>
    <w:rsid w:val="005D4A40"/>
    <w:rsid w:val="005E3217"/>
    <w:rsid w:val="005E4288"/>
    <w:rsid w:val="005E493B"/>
    <w:rsid w:val="005F2951"/>
    <w:rsid w:val="005F3334"/>
    <w:rsid w:val="00607FBA"/>
    <w:rsid w:val="00624DDC"/>
    <w:rsid w:val="00624F49"/>
    <w:rsid w:val="006253B6"/>
    <w:rsid w:val="006257ED"/>
    <w:rsid w:val="0062686E"/>
    <w:rsid w:val="00630B30"/>
    <w:rsid w:val="00651794"/>
    <w:rsid w:val="00651FF6"/>
    <w:rsid w:val="006655D4"/>
    <w:rsid w:val="0067054F"/>
    <w:rsid w:val="00677D48"/>
    <w:rsid w:val="006803B1"/>
    <w:rsid w:val="0068303E"/>
    <w:rsid w:val="0068383E"/>
    <w:rsid w:val="006A22FA"/>
    <w:rsid w:val="006A4D02"/>
    <w:rsid w:val="006B1BF9"/>
    <w:rsid w:val="006B31DA"/>
    <w:rsid w:val="006B53F1"/>
    <w:rsid w:val="006B6037"/>
    <w:rsid w:val="006B6E12"/>
    <w:rsid w:val="006C0E56"/>
    <w:rsid w:val="006E4F82"/>
    <w:rsid w:val="006F5CEA"/>
    <w:rsid w:val="0070008A"/>
    <w:rsid w:val="00716419"/>
    <w:rsid w:val="00716567"/>
    <w:rsid w:val="00717BDC"/>
    <w:rsid w:val="00721E77"/>
    <w:rsid w:val="00723A28"/>
    <w:rsid w:val="00724EBC"/>
    <w:rsid w:val="00736B62"/>
    <w:rsid w:val="00764C85"/>
    <w:rsid w:val="007733D5"/>
    <w:rsid w:val="0077381A"/>
    <w:rsid w:val="007834F3"/>
    <w:rsid w:val="0079098E"/>
    <w:rsid w:val="00793E3E"/>
    <w:rsid w:val="007A29C5"/>
    <w:rsid w:val="007C6266"/>
    <w:rsid w:val="007C7B4B"/>
    <w:rsid w:val="007E141C"/>
    <w:rsid w:val="007E30D0"/>
    <w:rsid w:val="00823428"/>
    <w:rsid w:val="00823861"/>
    <w:rsid w:val="00831438"/>
    <w:rsid w:val="008369BA"/>
    <w:rsid w:val="008409CD"/>
    <w:rsid w:val="00840D32"/>
    <w:rsid w:val="00843933"/>
    <w:rsid w:val="0084670F"/>
    <w:rsid w:val="00864C1F"/>
    <w:rsid w:val="00870FA1"/>
    <w:rsid w:val="00875220"/>
    <w:rsid w:val="00891CD9"/>
    <w:rsid w:val="008A456D"/>
    <w:rsid w:val="008A5761"/>
    <w:rsid w:val="008C302D"/>
    <w:rsid w:val="008C7F96"/>
    <w:rsid w:val="008E0239"/>
    <w:rsid w:val="008E0FB7"/>
    <w:rsid w:val="008E4718"/>
    <w:rsid w:val="008F2446"/>
    <w:rsid w:val="008F381B"/>
    <w:rsid w:val="00900D26"/>
    <w:rsid w:val="00901040"/>
    <w:rsid w:val="009020CD"/>
    <w:rsid w:val="00923F25"/>
    <w:rsid w:val="009270E1"/>
    <w:rsid w:val="00927D90"/>
    <w:rsid w:val="00930EA1"/>
    <w:rsid w:val="00945808"/>
    <w:rsid w:val="00947AB6"/>
    <w:rsid w:val="00963503"/>
    <w:rsid w:val="00965DBD"/>
    <w:rsid w:val="00971944"/>
    <w:rsid w:val="009735AB"/>
    <w:rsid w:val="009815C6"/>
    <w:rsid w:val="009905F6"/>
    <w:rsid w:val="00995648"/>
    <w:rsid w:val="00996201"/>
    <w:rsid w:val="009A39E1"/>
    <w:rsid w:val="009A3AD8"/>
    <w:rsid w:val="009A6EE8"/>
    <w:rsid w:val="009B0F58"/>
    <w:rsid w:val="009B1102"/>
    <w:rsid w:val="009B5215"/>
    <w:rsid w:val="009B5BE1"/>
    <w:rsid w:val="009B79C0"/>
    <w:rsid w:val="009C3380"/>
    <w:rsid w:val="009E0A7E"/>
    <w:rsid w:val="009E2935"/>
    <w:rsid w:val="009E784D"/>
    <w:rsid w:val="009E7E38"/>
    <w:rsid w:val="009F265B"/>
    <w:rsid w:val="009F482C"/>
    <w:rsid w:val="009F68DB"/>
    <w:rsid w:val="00A031FA"/>
    <w:rsid w:val="00A03E3F"/>
    <w:rsid w:val="00A1108E"/>
    <w:rsid w:val="00A273A5"/>
    <w:rsid w:val="00A27CD0"/>
    <w:rsid w:val="00A34E81"/>
    <w:rsid w:val="00A362B6"/>
    <w:rsid w:val="00A42C71"/>
    <w:rsid w:val="00A64D64"/>
    <w:rsid w:val="00A67DFF"/>
    <w:rsid w:val="00A71475"/>
    <w:rsid w:val="00A714DC"/>
    <w:rsid w:val="00A7179C"/>
    <w:rsid w:val="00A761CB"/>
    <w:rsid w:val="00A85701"/>
    <w:rsid w:val="00A94779"/>
    <w:rsid w:val="00A97E24"/>
    <w:rsid w:val="00AB158C"/>
    <w:rsid w:val="00AC222D"/>
    <w:rsid w:val="00AC41E5"/>
    <w:rsid w:val="00AD3261"/>
    <w:rsid w:val="00AD4355"/>
    <w:rsid w:val="00AE13E2"/>
    <w:rsid w:val="00AE2040"/>
    <w:rsid w:val="00AE2714"/>
    <w:rsid w:val="00AE3F5F"/>
    <w:rsid w:val="00AE404E"/>
    <w:rsid w:val="00AF5FFB"/>
    <w:rsid w:val="00B121C7"/>
    <w:rsid w:val="00B13DC4"/>
    <w:rsid w:val="00B17B7C"/>
    <w:rsid w:val="00B23277"/>
    <w:rsid w:val="00B245AD"/>
    <w:rsid w:val="00B4182B"/>
    <w:rsid w:val="00B55E54"/>
    <w:rsid w:val="00B56589"/>
    <w:rsid w:val="00B5726A"/>
    <w:rsid w:val="00B64D05"/>
    <w:rsid w:val="00B671A4"/>
    <w:rsid w:val="00B70460"/>
    <w:rsid w:val="00B72C64"/>
    <w:rsid w:val="00B92E53"/>
    <w:rsid w:val="00B9441B"/>
    <w:rsid w:val="00B95ADD"/>
    <w:rsid w:val="00BA5034"/>
    <w:rsid w:val="00BB4BF8"/>
    <w:rsid w:val="00BB6487"/>
    <w:rsid w:val="00BD702B"/>
    <w:rsid w:val="00BD7B78"/>
    <w:rsid w:val="00BE45BC"/>
    <w:rsid w:val="00BE6F93"/>
    <w:rsid w:val="00BE773B"/>
    <w:rsid w:val="00BF2E2B"/>
    <w:rsid w:val="00C01981"/>
    <w:rsid w:val="00C05084"/>
    <w:rsid w:val="00C05352"/>
    <w:rsid w:val="00C071DB"/>
    <w:rsid w:val="00C135CF"/>
    <w:rsid w:val="00C21420"/>
    <w:rsid w:val="00C31A4D"/>
    <w:rsid w:val="00C32404"/>
    <w:rsid w:val="00C32587"/>
    <w:rsid w:val="00C32C8A"/>
    <w:rsid w:val="00C32E7F"/>
    <w:rsid w:val="00C523DE"/>
    <w:rsid w:val="00C66538"/>
    <w:rsid w:val="00C73360"/>
    <w:rsid w:val="00C830D3"/>
    <w:rsid w:val="00C86CB2"/>
    <w:rsid w:val="00C91C71"/>
    <w:rsid w:val="00C93548"/>
    <w:rsid w:val="00C95126"/>
    <w:rsid w:val="00CA11DA"/>
    <w:rsid w:val="00CA72A5"/>
    <w:rsid w:val="00CC07BF"/>
    <w:rsid w:val="00CC3788"/>
    <w:rsid w:val="00CC4651"/>
    <w:rsid w:val="00CC4711"/>
    <w:rsid w:val="00CC6120"/>
    <w:rsid w:val="00CC6195"/>
    <w:rsid w:val="00CD508F"/>
    <w:rsid w:val="00CE018E"/>
    <w:rsid w:val="00CE7A4A"/>
    <w:rsid w:val="00CF12C6"/>
    <w:rsid w:val="00D02024"/>
    <w:rsid w:val="00D04C57"/>
    <w:rsid w:val="00D1343F"/>
    <w:rsid w:val="00D13AA8"/>
    <w:rsid w:val="00D239B5"/>
    <w:rsid w:val="00D32B72"/>
    <w:rsid w:val="00D335CA"/>
    <w:rsid w:val="00D33CA9"/>
    <w:rsid w:val="00D4033C"/>
    <w:rsid w:val="00D45504"/>
    <w:rsid w:val="00D5346A"/>
    <w:rsid w:val="00D537F3"/>
    <w:rsid w:val="00D55767"/>
    <w:rsid w:val="00D71BA0"/>
    <w:rsid w:val="00D74050"/>
    <w:rsid w:val="00D749DF"/>
    <w:rsid w:val="00D81184"/>
    <w:rsid w:val="00D82755"/>
    <w:rsid w:val="00D82E67"/>
    <w:rsid w:val="00D831AC"/>
    <w:rsid w:val="00D8726A"/>
    <w:rsid w:val="00D87E56"/>
    <w:rsid w:val="00D95E35"/>
    <w:rsid w:val="00D97926"/>
    <w:rsid w:val="00DA0AFC"/>
    <w:rsid w:val="00DA1123"/>
    <w:rsid w:val="00DA3557"/>
    <w:rsid w:val="00DA4701"/>
    <w:rsid w:val="00DB13D7"/>
    <w:rsid w:val="00DB1A4C"/>
    <w:rsid w:val="00DC153B"/>
    <w:rsid w:val="00DC2B8B"/>
    <w:rsid w:val="00DC65F2"/>
    <w:rsid w:val="00DC6AB6"/>
    <w:rsid w:val="00DC7876"/>
    <w:rsid w:val="00DC7DD5"/>
    <w:rsid w:val="00DD55D4"/>
    <w:rsid w:val="00DE3ED7"/>
    <w:rsid w:val="00DF1291"/>
    <w:rsid w:val="00DF1CE7"/>
    <w:rsid w:val="00E10DE8"/>
    <w:rsid w:val="00E124CB"/>
    <w:rsid w:val="00E1392C"/>
    <w:rsid w:val="00E22AC6"/>
    <w:rsid w:val="00E24830"/>
    <w:rsid w:val="00E318A6"/>
    <w:rsid w:val="00E41C62"/>
    <w:rsid w:val="00E41EE9"/>
    <w:rsid w:val="00E461D4"/>
    <w:rsid w:val="00E53F22"/>
    <w:rsid w:val="00E62285"/>
    <w:rsid w:val="00E62819"/>
    <w:rsid w:val="00E65E1A"/>
    <w:rsid w:val="00E67E41"/>
    <w:rsid w:val="00E71E25"/>
    <w:rsid w:val="00E9045F"/>
    <w:rsid w:val="00EA0D4F"/>
    <w:rsid w:val="00EA405B"/>
    <w:rsid w:val="00EA4A22"/>
    <w:rsid w:val="00EB4C26"/>
    <w:rsid w:val="00EB6134"/>
    <w:rsid w:val="00EC1A6C"/>
    <w:rsid w:val="00EC4A12"/>
    <w:rsid w:val="00ED544C"/>
    <w:rsid w:val="00ED7509"/>
    <w:rsid w:val="00EE38AF"/>
    <w:rsid w:val="00EF254B"/>
    <w:rsid w:val="00EF4FF2"/>
    <w:rsid w:val="00F02347"/>
    <w:rsid w:val="00F071DE"/>
    <w:rsid w:val="00F128FC"/>
    <w:rsid w:val="00F266EC"/>
    <w:rsid w:val="00F42246"/>
    <w:rsid w:val="00F51743"/>
    <w:rsid w:val="00F56CFC"/>
    <w:rsid w:val="00F66512"/>
    <w:rsid w:val="00F67B7C"/>
    <w:rsid w:val="00F67E9D"/>
    <w:rsid w:val="00F74630"/>
    <w:rsid w:val="00F748EB"/>
    <w:rsid w:val="00F9122A"/>
    <w:rsid w:val="00FA6D2C"/>
    <w:rsid w:val="00FB127B"/>
    <w:rsid w:val="00FB5BF6"/>
    <w:rsid w:val="00FC646F"/>
    <w:rsid w:val="00FC779A"/>
    <w:rsid w:val="00FD41AB"/>
    <w:rsid w:val="00FE08C7"/>
    <w:rsid w:val="00FE1A37"/>
    <w:rsid w:val="00FF5C51"/>
    <w:rsid w:val="00FF75B8"/>
    <w:rsid w:val="00FF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3">
    <w:name w:val="heading 3"/>
    <w:basedOn w:val="Normal"/>
    <w:next w:val="Normal"/>
    <w:link w:val="Heading3Char"/>
    <w:qFormat/>
    <w:rsid w:val="005248F4"/>
    <w:pPr>
      <w:keepNext/>
      <w:tabs>
        <w:tab w:val="left" w:pos="432"/>
      </w:tabs>
      <w:spacing w:after="240" w:line="240" w:lineRule="auto"/>
      <w:ind w:left="432" w:hanging="432"/>
      <w:jc w:val="both"/>
      <w:outlineLvl w:val="2"/>
    </w:pPr>
    <w:rPr>
      <w:rFonts w:ascii="Garamond" w:eastAsia="Times New Roman" w:hAnsi="Garamond"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customStyle="1" w:styleId="Heading3Char">
    <w:name w:val="Heading 3 Char"/>
    <w:basedOn w:val="DefaultParagraphFont"/>
    <w:link w:val="Heading3"/>
    <w:rsid w:val="005248F4"/>
    <w:rPr>
      <w:rFonts w:ascii="Garamond" w:eastAsia="Times New Roman" w:hAnsi="Garamond" w:cs="Times New Roman"/>
      <w:b/>
      <w:sz w:val="24"/>
      <w:szCs w:val="24"/>
    </w:rPr>
  </w:style>
  <w:style w:type="paragraph" w:customStyle="1" w:styleId="NormalSS">
    <w:name w:val="NormalSS"/>
    <w:basedOn w:val="Normal"/>
    <w:link w:val="NormalSSChar"/>
    <w:qFormat/>
    <w:rsid w:val="005248F4"/>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MarkforTableHeading">
    <w:name w:val="Mark for Table Heading"/>
    <w:basedOn w:val="Normal"/>
    <w:next w:val="Normal"/>
    <w:qFormat/>
    <w:rsid w:val="005248F4"/>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HeaderCenter">
    <w:name w:val="Table Header Center"/>
    <w:basedOn w:val="NormalSS"/>
    <w:qFormat/>
    <w:rsid w:val="005248F4"/>
    <w:pPr>
      <w:spacing w:before="120" w:after="60"/>
      <w:ind w:firstLine="0"/>
      <w:jc w:val="center"/>
    </w:pPr>
    <w:rPr>
      <w:rFonts w:ascii="Lucida Sans" w:hAnsi="Lucida Sans"/>
      <w:sz w:val="18"/>
    </w:rPr>
  </w:style>
  <w:style w:type="paragraph" w:customStyle="1" w:styleId="TableHeaderLeft">
    <w:name w:val="Table Header Left"/>
    <w:basedOn w:val="NormalSS"/>
    <w:qFormat/>
    <w:rsid w:val="005248F4"/>
    <w:pPr>
      <w:spacing w:before="120" w:after="60"/>
      <w:ind w:firstLine="0"/>
      <w:jc w:val="left"/>
    </w:pPr>
    <w:rPr>
      <w:rFonts w:ascii="Lucida Sans" w:hAnsi="Lucida Sans"/>
      <w:sz w:val="18"/>
    </w:rPr>
  </w:style>
  <w:style w:type="paragraph" w:customStyle="1" w:styleId="TableText">
    <w:name w:val="Table Text"/>
    <w:basedOn w:val="NormalSS"/>
    <w:qFormat/>
    <w:rsid w:val="005248F4"/>
    <w:pPr>
      <w:tabs>
        <w:tab w:val="clear" w:pos="432"/>
      </w:tabs>
      <w:spacing w:after="0"/>
      <w:ind w:firstLine="0"/>
      <w:jc w:val="left"/>
    </w:pPr>
    <w:rPr>
      <w:rFonts w:ascii="Lucida Sans" w:hAnsi="Lucida Sans"/>
      <w:sz w:val="18"/>
    </w:rPr>
  </w:style>
  <w:style w:type="character" w:styleId="Emphasis">
    <w:name w:val="Emphasis"/>
    <w:basedOn w:val="DefaultParagraphFont"/>
    <w:uiPriority w:val="99"/>
    <w:qFormat/>
    <w:rsid w:val="005248F4"/>
    <w:rPr>
      <w:rFonts w:cs="Times New Roman"/>
      <w:i/>
      <w:iCs/>
    </w:rPr>
  </w:style>
  <w:style w:type="character" w:customStyle="1" w:styleId="NormalSSChar">
    <w:name w:val="NormalSS Char"/>
    <w:basedOn w:val="DefaultParagraphFont"/>
    <w:link w:val="NormalSS"/>
    <w:rsid w:val="005248F4"/>
    <w:rPr>
      <w:rFonts w:ascii="Garamond" w:eastAsia="Times New Roman" w:hAnsi="Garamond" w:cs="Times New Roman"/>
      <w:sz w:val="24"/>
      <w:szCs w:val="24"/>
    </w:rPr>
  </w:style>
  <w:style w:type="table" w:customStyle="1" w:styleId="PlainTable11">
    <w:name w:val="Plain Table 11"/>
    <w:basedOn w:val="TableNormal"/>
    <w:uiPriority w:val="41"/>
    <w:rsid w:val="005248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Black">
    <w:name w:val="Heading 2_Black"/>
    <w:basedOn w:val="Normal"/>
    <w:next w:val="Normal"/>
    <w:qFormat/>
    <w:rsid w:val="005248F4"/>
    <w:pPr>
      <w:keepNext/>
      <w:tabs>
        <w:tab w:val="left" w:pos="432"/>
      </w:tabs>
      <w:spacing w:after="240" w:line="240" w:lineRule="auto"/>
      <w:ind w:left="432" w:hanging="432"/>
      <w:jc w:val="both"/>
      <w:outlineLvl w:val="1"/>
    </w:pPr>
    <w:rPr>
      <w:rFonts w:ascii="Lucida Sans" w:eastAsia="Times New Roman" w:hAnsi="Lucida Sans" w:cs="Times New Roman"/>
      <w:b/>
      <w:sz w:val="24"/>
      <w:szCs w:val="24"/>
    </w:rPr>
  </w:style>
  <w:style w:type="paragraph" w:customStyle="1" w:styleId="BulletBlack">
    <w:name w:val="Bullet_Black"/>
    <w:basedOn w:val="Normal"/>
    <w:qFormat/>
    <w:rsid w:val="00204A63"/>
    <w:pPr>
      <w:numPr>
        <w:numId w:val="31"/>
      </w:numPr>
      <w:tabs>
        <w:tab w:val="left" w:pos="360"/>
      </w:tabs>
      <w:spacing w:after="120" w:line="240" w:lineRule="auto"/>
      <w:ind w:right="360"/>
      <w:jc w:val="both"/>
    </w:pPr>
    <w:rPr>
      <w:rFonts w:ascii="Garamond" w:eastAsia="Times New Roman" w:hAnsi="Garamond" w:cs="Times New Roman"/>
      <w:sz w:val="24"/>
      <w:szCs w:val="24"/>
    </w:rPr>
  </w:style>
  <w:style w:type="character" w:styleId="PageNumber">
    <w:name w:val="page number"/>
    <w:basedOn w:val="DefaultParagraphFont"/>
    <w:semiHidden/>
    <w:qFormat/>
    <w:rsid w:val="00C32587"/>
    <w:rPr>
      <w:rFonts w:ascii="Arial" w:hAnsi="Arial"/>
      <w:color w:val="auto"/>
      <w:sz w:val="20"/>
      <w:bdr w:val="none" w:sz="0" w:space="0" w:color="auto"/>
    </w:rPr>
  </w:style>
  <w:style w:type="paragraph" w:styleId="EndnoteText">
    <w:name w:val="endnote text"/>
    <w:basedOn w:val="Normal"/>
    <w:link w:val="EndnoteTextChar"/>
    <w:uiPriority w:val="99"/>
    <w:semiHidden/>
    <w:unhideWhenUsed/>
    <w:rsid w:val="007E30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30D0"/>
    <w:rPr>
      <w:sz w:val="20"/>
      <w:szCs w:val="20"/>
    </w:rPr>
  </w:style>
  <w:style w:type="character" w:styleId="EndnoteReference">
    <w:name w:val="endnote reference"/>
    <w:basedOn w:val="DefaultParagraphFont"/>
    <w:uiPriority w:val="99"/>
    <w:semiHidden/>
    <w:unhideWhenUsed/>
    <w:rsid w:val="007E30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yn.Blitz@acf.hh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rookings.edu/book/creating-an-opportunity-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0" ma:contentTypeDescription="Create a new document." ma:contentTypeScope="" ma:versionID="831fb3544ee9fe97c231ab578430ec30">
  <xsd:schema xmlns:xsd="http://www.w3.org/2001/XMLSchema" xmlns:xs="http://www.w3.org/2001/XMLSchema" xmlns:p="http://schemas.microsoft.com/office/2006/metadata/properties" xmlns:ns3="5309e048-1b4c-4f6d-b014-3d79d9de2e99" targetNamespace="http://schemas.microsoft.com/office/2006/metadata/properties" ma:root="true" ma:fieldsID="849277e642b371acaea4645c4357be34" ns3:_="">
    <xsd:import namespace="5309e048-1b4c-4f6d-b014-3d79d9de2e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B8A477B7-7857-44D5-A67E-A305195EFFE2}">
  <ds:schemaRefs>
    <ds:schemaRef ds:uri="http://schemas.openxmlformats.org/officeDocument/2006/bibliography"/>
  </ds:schemaRefs>
</ds:datastoreItem>
</file>

<file path=customXml/itemProps4.xml><?xml version="1.0" encoding="utf-8"?>
<ds:datastoreItem xmlns:ds="http://schemas.openxmlformats.org/officeDocument/2006/customXml" ds:itemID="{6DCC0D43-9AC5-43FC-9A00-0BF40A4A7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2691</Words>
  <Characters>15341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Blitz, Caryn (ACF)</dc:creator>
  <cp:lastModifiedBy>Mathematica</cp:lastModifiedBy>
  <cp:revision>5</cp:revision>
  <dcterms:created xsi:type="dcterms:W3CDTF">2021-09-14T16:39:00Z</dcterms:created>
  <dcterms:modified xsi:type="dcterms:W3CDTF">2021-09-27T13:45:00Z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