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1D1C73" w:rsidP="001D1C73" w:rsidRDefault="001D1C73" w14:paraId="43EDD2F0" w14:textId="77777777">
      <w:pPr>
        <w:spacing w:after="0"/>
        <w:jc w:val="center"/>
        <w:rPr>
          <w:b/>
        </w:rPr>
      </w:pPr>
    </w:p>
    <w:p w:rsidRPr="009139B3" w:rsidR="001D1C73" w:rsidP="001D1C73" w:rsidRDefault="001D1C73" w14:paraId="54C713DE" w14:textId="3C3CA77F">
      <w:pPr>
        <w:spacing w:after="0"/>
        <w:rPr>
          <w:rFonts w:ascii="Arial" w:hAnsi="Arial" w:eastAsia="Arial Unicode MS" w:cs="Arial"/>
          <w:b/>
          <w:noProof/>
          <w:sz w:val="40"/>
          <w:szCs w:val="40"/>
        </w:rPr>
      </w:pPr>
    </w:p>
    <w:p w:rsidRPr="009139B3" w:rsidR="001D1C73" w:rsidP="001D1C73" w:rsidRDefault="001D1C73" w14:paraId="745202F0" w14:textId="77777777">
      <w:pPr>
        <w:pStyle w:val="ReportCover-Title"/>
        <w:jc w:val="center"/>
        <w:rPr>
          <w:rFonts w:ascii="Arial" w:hAnsi="Arial" w:eastAsia="Arial Unicode MS" w:cs="Arial"/>
          <w:noProof/>
          <w:color w:val="auto"/>
        </w:rPr>
      </w:pPr>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D05944" w:rsidRDefault="00D227AF" w14:paraId="23B3F2E9" w14:textId="75D5672E">
      <w:pPr>
        <w:pStyle w:val="ReportCover-Title"/>
        <w:jc w:val="center"/>
        <w:rPr>
          <w:rFonts w:ascii="Arial" w:hAnsi="Arial" w:cs="Arial"/>
          <w:color w:val="auto"/>
        </w:rPr>
      </w:pPr>
      <w:r w:rsidRPr="00D227AF">
        <w:rPr>
          <w:rFonts w:ascii="Arial" w:hAnsi="Arial" w:eastAsia="Arial Unicode MS" w:cs="Arial"/>
          <w:noProof/>
          <w:color w:val="auto"/>
        </w:rPr>
        <w:t>Integrating Financial Capability and Employment Services</w:t>
      </w:r>
      <w:r w:rsidR="0048562D">
        <w:rPr>
          <w:rFonts w:ascii="Arial" w:hAnsi="Arial" w:eastAsia="Arial Unicode MS" w:cs="Arial"/>
          <w:noProof/>
          <w:color w:val="auto"/>
        </w:rPr>
        <w:t xml:space="preserve"> (InFin)</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6A4D5540">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w:t>
      </w:r>
      <w:r w:rsidR="00D227AF">
        <w:rPr>
          <w:rFonts w:ascii="Arial" w:hAnsi="Arial" w:cs="Arial"/>
          <w:color w:val="auto"/>
          <w:sz w:val="32"/>
          <w:szCs w:val="32"/>
        </w:rPr>
        <w:t>–</w:t>
      </w:r>
      <w:r w:rsidRPr="009139B3">
        <w:rPr>
          <w:rFonts w:ascii="Arial" w:hAnsi="Arial" w:cs="Arial"/>
          <w:color w:val="auto"/>
          <w:sz w:val="32"/>
          <w:szCs w:val="32"/>
        </w:rPr>
        <w:t xml:space="preserve"> </w:t>
      </w:r>
      <w:r w:rsidR="00D227AF">
        <w:rPr>
          <w:rFonts w:ascii="Arial" w:hAnsi="Arial" w:cs="Arial"/>
          <w:color w:val="auto"/>
          <w:sz w:val="32"/>
          <w:szCs w:val="32"/>
        </w:rPr>
        <w:t xml:space="preserve">New collection </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3C150E" w14:paraId="25EC0787" w14:textId="72BC93E8">
      <w:pPr>
        <w:pStyle w:val="ReportCover-Date"/>
        <w:spacing w:after="0"/>
        <w:jc w:val="center"/>
        <w:rPr>
          <w:rFonts w:ascii="Arial" w:hAnsi="Arial" w:cs="Arial"/>
          <w:color w:val="auto"/>
        </w:rPr>
      </w:pPr>
      <w:r w:rsidRPr="003C150E">
        <w:rPr>
          <w:rFonts w:ascii="Arial" w:hAnsi="Arial" w:cs="Arial"/>
          <w:color w:val="auto"/>
        </w:rPr>
        <w:t>November</w:t>
      </w:r>
      <w:r w:rsidRPr="003C150E" w:rsidR="00CC7580">
        <w:rPr>
          <w:rFonts w:ascii="Arial" w:hAnsi="Arial" w:cs="Arial"/>
          <w:color w:val="auto"/>
        </w:rPr>
        <w:t xml:space="preserve"> </w:t>
      </w:r>
      <w:r w:rsidRPr="003C150E" w:rsidR="00D227AF">
        <w:rPr>
          <w:rFonts w:ascii="Arial" w:hAnsi="Arial" w:cs="Arial"/>
          <w:color w:val="auto"/>
        </w:rPr>
        <w:t>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396B1190">
      <w:pPr>
        <w:spacing w:after="0" w:line="240" w:lineRule="auto"/>
        <w:jc w:val="center"/>
        <w:rPr>
          <w:rFonts w:ascii="Arial" w:hAnsi="Arial" w:cs="Arial"/>
        </w:rPr>
      </w:pPr>
      <w:r w:rsidRPr="009139B3">
        <w:rPr>
          <w:rFonts w:ascii="Arial" w:hAnsi="Arial" w:cs="Arial"/>
        </w:rPr>
        <w:lastRenderedPageBreak/>
        <w:t>Project Officers:</w:t>
      </w:r>
    </w:p>
    <w:p w:rsidRPr="009139B3" w:rsidR="001D1C73" w:rsidP="004E6A9A" w:rsidRDefault="00941E39" w14:paraId="028CE6F6" w14:textId="0BDF171B">
      <w:pPr>
        <w:spacing w:after="0" w:line="240" w:lineRule="auto"/>
        <w:jc w:val="center"/>
        <w:rPr>
          <w:b/>
        </w:rPr>
      </w:pPr>
      <w:r w:rsidRPr="00941E39">
        <w:rPr>
          <w:b/>
        </w:rPr>
        <w:t xml:space="preserve">Lisa Zingman </w:t>
      </w: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D05944" w:rsidR="001D1C73" w:rsidP="001D1C73" w:rsidRDefault="001D1C73" w14:paraId="2634415F" w14:textId="0718C37D">
      <w:pPr>
        <w:pStyle w:val="ListParagraph"/>
        <w:numPr>
          <w:ilvl w:val="0"/>
          <w:numId w:val="27"/>
        </w:numPr>
        <w:spacing w:after="0" w:line="240" w:lineRule="auto"/>
        <w:rPr>
          <w:rStyle w:val="CommentReference"/>
          <w:sz w:val="22"/>
          <w:szCs w:val="22"/>
        </w:rPr>
      </w:pPr>
      <w:r w:rsidRPr="009139B3">
        <w:rPr>
          <w:b/>
        </w:rPr>
        <w:t xml:space="preserve">Type of Request: </w:t>
      </w:r>
      <w:r w:rsidRPr="009139B3">
        <w:t>This Information Collection Request is for a</w:t>
      </w:r>
      <w:r w:rsidR="00E732C4">
        <w:t xml:space="preserve"> </w:t>
      </w:r>
      <w:r w:rsidR="00D05944">
        <w:t>n</w:t>
      </w:r>
      <w:r w:rsidR="00E732C4">
        <w:t>ew request</w:t>
      </w:r>
      <w:r w:rsidRPr="009139B3">
        <w:t xml:space="preserve">. </w:t>
      </w:r>
      <w:r w:rsidR="00670817">
        <w:t xml:space="preserve">We expect data collection to be complete within a year, but </w:t>
      </w:r>
      <w:r w:rsidRPr="009139B3">
        <w:t xml:space="preserve">request </w:t>
      </w:r>
      <w:r w:rsidR="00EF1F63">
        <w:t>18 months</w:t>
      </w:r>
      <w:r w:rsidR="004C59CD">
        <w:t xml:space="preserve"> </w:t>
      </w:r>
      <w:r w:rsidRPr="009139B3">
        <w:t>of approval</w:t>
      </w:r>
      <w:r w:rsidR="00670817">
        <w:t xml:space="preserve"> to account for any unanticipated delays</w:t>
      </w:r>
      <w:r w:rsidRPr="009139B3">
        <w:t xml:space="preserve">. </w:t>
      </w:r>
    </w:p>
    <w:p w:rsidRPr="009139B3" w:rsidR="001D1C73" w:rsidP="001D1C73" w:rsidRDefault="001D1C73" w14:paraId="3D729D59" w14:textId="77777777">
      <w:pPr>
        <w:pStyle w:val="ListParagraph"/>
        <w:spacing w:after="0"/>
      </w:pPr>
    </w:p>
    <w:p w:rsidRPr="00D05944" w:rsidR="009B71D3" w:rsidP="009B71D3" w:rsidRDefault="001D1C73" w14:paraId="7615E327" w14:textId="519BEA20">
      <w:pPr>
        <w:pStyle w:val="ListParagraph"/>
        <w:numPr>
          <w:ilvl w:val="0"/>
          <w:numId w:val="27"/>
        </w:numPr>
        <w:spacing w:after="0" w:line="240" w:lineRule="auto"/>
        <w:rPr>
          <w:rStyle w:val="normaltextrun"/>
          <w:rFonts w:cstheme="minorHAnsi"/>
        </w:rPr>
      </w:pPr>
      <w:r w:rsidRPr="00D05944">
        <w:rPr>
          <w:rFonts w:cstheme="minorHAnsi"/>
          <w:b/>
        </w:rPr>
        <w:t xml:space="preserve">Description of Request: </w:t>
      </w:r>
      <w:r w:rsidRPr="00D05944" w:rsidR="00D12B25">
        <w:rPr>
          <w:rFonts w:cstheme="minorHAnsi"/>
          <w:color w:val="000000"/>
          <w:shd w:val="clear" w:color="auto" w:fill="FFFFFF"/>
        </w:rPr>
        <w:t xml:space="preserve"> </w:t>
      </w:r>
      <w:r w:rsidRPr="00D05944" w:rsidR="00D12B25">
        <w:rPr>
          <w:rStyle w:val="normaltextrun"/>
          <w:rFonts w:cstheme="minorHAnsi"/>
          <w:color w:val="000000"/>
          <w:shd w:val="clear" w:color="auto" w:fill="FFFFFF"/>
        </w:rPr>
        <w:t>Th</w:t>
      </w:r>
      <w:r w:rsidR="000C043E">
        <w:rPr>
          <w:rStyle w:val="normaltextrun"/>
          <w:rFonts w:cstheme="minorHAnsi"/>
          <w:color w:val="000000"/>
          <w:shd w:val="clear" w:color="auto" w:fill="FFFFFF"/>
        </w:rPr>
        <w:t>is descriptive, exploratory study</w:t>
      </w:r>
      <w:r w:rsidRPr="00D05944" w:rsidR="00D12B25">
        <w:rPr>
          <w:rStyle w:val="normaltextrun"/>
          <w:rFonts w:cstheme="minorHAnsi"/>
          <w:color w:val="000000"/>
          <w:shd w:val="clear" w:color="auto" w:fill="FFFFFF"/>
        </w:rPr>
        <w:t xml:space="preserve"> will advance understanding of the extent </w:t>
      </w:r>
      <w:r w:rsidR="00852033">
        <w:rPr>
          <w:rStyle w:val="normaltextrun"/>
          <w:rFonts w:cstheme="minorHAnsi"/>
          <w:color w:val="000000"/>
          <w:shd w:val="clear" w:color="auto" w:fill="FFFFFF"/>
        </w:rPr>
        <w:t xml:space="preserve">to which </w:t>
      </w:r>
      <w:r w:rsidRPr="00D05944" w:rsidR="00D12B25">
        <w:rPr>
          <w:rStyle w:val="normaltextrun"/>
          <w:rFonts w:cstheme="minorHAnsi"/>
          <w:color w:val="000000"/>
          <w:shd w:val="clear" w:color="auto" w:fill="FFFFFF"/>
        </w:rPr>
        <w:t xml:space="preserve">financial capability interventions </w:t>
      </w:r>
      <w:r w:rsidR="00852033">
        <w:rPr>
          <w:rStyle w:val="normaltextrun"/>
          <w:rFonts w:cstheme="minorHAnsi"/>
          <w:color w:val="000000"/>
          <w:shd w:val="clear" w:color="auto" w:fill="FFFFFF"/>
        </w:rPr>
        <w:t xml:space="preserve">are incorporated </w:t>
      </w:r>
      <w:r w:rsidRPr="00D05944" w:rsidR="00D12B25">
        <w:rPr>
          <w:rStyle w:val="normaltextrun"/>
          <w:rFonts w:cstheme="minorHAnsi"/>
          <w:color w:val="000000"/>
          <w:shd w:val="clear" w:color="auto" w:fill="FFFFFF"/>
        </w:rPr>
        <w:t>in employment-related contexts, the factors that have led to their inclusion, and the key features of such programs</w:t>
      </w:r>
      <w:r w:rsidRPr="00D05944" w:rsidR="00773D5C">
        <w:rPr>
          <w:rStyle w:val="normaltextrun"/>
          <w:rFonts w:cstheme="minorHAnsi"/>
          <w:color w:val="000000"/>
          <w:shd w:val="clear" w:color="auto" w:fill="FFFFFF"/>
        </w:rPr>
        <w:t>.</w:t>
      </w:r>
      <w:r w:rsidRPr="00D05944" w:rsidR="002C592A">
        <w:rPr>
          <w:rStyle w:val="normaltextrun"/>
          <w:rFonts w:cstheme="minorHAnsi"/>
          <w:color w:val="000000"/>
          <w:shd w:val="clear" w:color="auto" w:fill="FFFFFF"/>
        </w:rPr>
        <w:t xml:space="preserve"> </w:t>
      </w:r>
      <w:r w:rsidRPr="00D05944" w:rsidR="009372B9">
        <w:rPr>
          <w:rStyle w:val="normaltextrun"/>
          <w:rFonts w:cstheme="minorHAnsi"/>
          <w:color w:val="000000"/>
          <w:shd w:val="clear" w:color="auto" w:fill="FFFFFF"/>
        </w:rPr>
        <w:t>Our data collection efforts include: a survey of</w:t>
      </w:r>
      <w:r w:rsidR="004C59CD">
        <w:rPr>
          <w:rStyle w:val="normaltextrun"/>
          <w:rFonts w:cstheme="minorHAnsi"/>
          <w:color w:val="000000"/>
          <w:shd w:val="clear" w:color="auto" w:fill="FFFFFF"/>
        </w:rPr>
        <w:t xml:space="preserve"> employment and training</w:t>
      </w:r>
      <w:r w:rsidRPr="00D05944" w:rsidR="009372B9">
        <w:rPr>
          <w:rStyle w:val="normaltextrun"/>
          <w:rFonts w:cstheme="minorHAnsi"/>
          <w:color w:val="000000"/>
          <w:shd w:val="clear" w:color="auto" w:fill="FFFFFF"/>
        </w:rPr>
        <w:t xml:space="preserve"> </w:t>
      </w:r>
      <w:r w:rsidR="004C59CD">
        <w:rPr>
          <w:rStyle w:val="normaltextrun"/>
          <w:rFonts w:cstheme="minorHAnsi"/>
          <w:color w:val="000000"/>
          <w:shd w:val="clear" w:color="auto" w:fill="FFFFFF"/>
        </w:rPr>
        <w:t>(</w:t>
      </w:r>
      <w:r w:rsidRPr="00D05944" w:rsidR="009372B9">
        <w:rPr>
          <w:rStyle w:val="normaltextrun"/>
          <w:rFonts w:cstheme="minorHAnsi"/>
          <w:color w:val="000000"/>
          <w:shd w:val="clear" w:color="auto" w:fill="FFFFFF"/>
        </w:rPr>
        <w:t>E&amp;T</w:t>
      </w:r>
      <w:r w:rsidR="004C59CD">
        <w:rPr>
          <w:rStyle w:val="normaltextrun"/>
          <w:rFonts w:cstheme="minorHAnsi"/>
          <w:color w:val="000000"/>
          <w:shd w:val="clear" w:color="auto" w:fill="FFFFFF"/>
        </w:rPr>
        <w:t>)</w:t>
      </w:r>
      <w:r w:rsidRPr="00D05944" w:rsidR="009372B9">
        <w:rPr>
          <w:rStyle w:val="normaltextrun"/>
          <w:rFonts w:cstheme="minorHAnsi"/>
          <w:color w:val="000000"/>
          <w:shd w:val="clear" w:color="auto" w:fill="FFFFFF"/>
        </w:rPr>
        <w:t xml:space="preserve"> programs that </w:t>
      </w:r>
      <w:r w:rsidR="00852033">
        <w:rPr>
          <w:rStyle w:val="normaltextrun"/>
          <w:rFonts w:cstheme="minorHAnsi"/>
          <w:color w:val="000000"/>
          <w:shd w:val="clear" w:color="auto" w:fill="FFFFFF"/>
        </w:rPr>
        <w:t>include</w:t>
      </w:r>
      <w:r w:rsidRPr="00D05944" w:rsidR="00852033">
        <w:rPr>
          <w:rStyle w:val="normaltextrun"/>
          <w:rFonts w:cstheme="minorHAnsi"/>
          <w:color w:val="000000"/>
          <w:shd w:val="clear" w:color="auto" w:fill="FFFFFF"/>
        </w:rPr>
        <w:t xml:space="preserve"> </w:t>
      </w:r>
      <w:r w:rsidRPr="00D05944" w:rsidR="009372B9">
        <w:rPr>
          <w:rStyle w:val="normaltextrun"/>
          <w:rFonts w:cstheme="minorHAnsi"/>
          <w:color w:val="000000"/>
          <w:shd w:val="clear" w:color="auto" w:fill="FFFFFF"/>
        </w:rPr>
        <w:t>financial capability interventions; phone interviews with program administrators from E&amp;T agencies with financial capability services; virtual site visit</w:t>
      </w:r>
      <w:r w:rsidR="00797F75">
        <w:rPr>
          <w:rStyle w:val="normaltextrun"/>
          <w:rFonts w:cstheme="minorHAnsi"/>
          <w:color w:val="000000"/>
          <w:shd w:val="clear" w:color="auto" w:fill="FFFFFF"/>
        </w:rPr>
        <w:t xml:space="preserve"> interview</w:t>
      </w:r>
      <w:r w:rsidRPr="00D05944" w:rsidR="009372B9">
        <w:rPr>
          <w:rStyle w:val="normaltextrun"/>
          <w:rFonts w:cstheme="minorHAnsi"/>
          <w:color w:val="000000"/>
          <w:shd w:val="clear" w:color="auto" w:fill="FFFFFF"/>
        </w:rPr>
        <w:t>s with E&amp;T programs and their staff and partners;</w:t>
      </w:r>
      <w:r w:rsidR="00852033">
        <w:rPr>
          <w:rStyle w:val="normaltextrun"/>
          <w:rFonts w:cstheme="minorHAnsi"/>
          <w:color w:val="000000"/>
          <w:shd w:val="clear" w:color="auto" w:fill="FFFFFF"/>
        </w:rPr>
        <w:t xml:space="preserve"> interviews with those who have</w:t>
      </w:r>
      <w:r w:rsidRPr="00D05944" w:rsidR="009372B9">
        <w:rPr>
          <w:rStyle w:val="normaltextrun"/>
          <w:rFonts w:cstheme="minorHAnsi"/>
          <w:color w:val="000000"/>
          <w:shd w:val="clear" w:color="auto" w:fill="FFFFFF"/>
        </w:rPr>
        <w:t xml:space="preserve"> participa</w:t>
      </w:r>
      <w:r w:rsidR="00852033">
        <w:rPr>
          <w:rStyle w:val="normaltextrun"/>
          <w:rFonts w:cstheme="minorHAnsi"/>
          <w:color w:val="000000"/>
          <w:shd w:val="clear" w:color="auto" w:fill="FFFFFF"/>
        </w:rPr>
        <w:t>ted in financial capability services within E&amp;T programs</w:t>
      </w:r>
      <w:r w:rsidRPr="00D05944" w:rsidR="009372B9">
        <w:rPr>
          <w:rStyle w:val="normaltextrun"/>
          <w:rFonts w:cstheme="minorHAnsi"/>
          <w:color w:val="000000"/>
          <w:shd w:val="clear" w:color="auto" w:fill="FFFFFF"/>
        </w:rPr>
        <w:t xml:space="preserve">; </w:t>
      </w:r>
      <w:r w:rsidR="004C59CD">
        <w:rPr>
          <w:rStyle w:val="normaltextrun"/>
          <w:rFonts w:cstheme="minorHAnsi"/>
          <w:color w:val="000000"/>
          <w:shd w:val="clear" w:color="auto" w:fill="FFFFFF"/>
        </w:rPr>
        <w:t>a cross-program focus group discussion with E&amp;T program administrators</w:t>
      </w:r>
      <w:r w:rsidR="00852033">
        <w:rPr>
          <w:rStyle w:val="normaltextrun"/>
          <w:rFonts w:cstheme="minorHAnsi"/>
          <w:color w:val="000000"/>
          <w:shd w:val="clear" w:color="auto" w:fill="FFFFFF"/>
        </w:rPr>
        <w:t>;</w:t>
      </w:r>
      <w:r w:rsidR="004C59CD">
        <w:rPr>
          <w:rStyle w:val="normaltextrun"/>
          <w:rFonts w:cstheme="minorHAnsi"/>
          <w:color w:val="000000"/>
          <w:shd w:val="clear" w:color="auto" w:fill="FFFFFF"/>
        </w:rPr>
        <w:t xml:space="preserve"> </w:t>
      </w:r>
      <w:r w:rsidRPr="00D05944" w:rsidR="009372B9">
        <w:rPr>
          <w:rStyle w:val="normaltextrun"/>
          <w:rFonts w:cstheme="minorHAnsi"/>
          <w:color w:val="000000"/>
          <w:shd w:val="clear" w:color="auto" w:fill="FFFFFF"/>
        </w:rPr>
        <w:t xml:space="preserve">and lastly, employer interviews </w:t>
      </w:r>
      <w:r w:rsidRPr="00D05944" w:rsidR="00C92C72">
        <w:rPr>
          <w:rStyle w:val="normaltextrun"/>
          <w:rFonts w:cstheme="minorHAnsi"/>
          <w:color w:val="000000"/>
          <w:shd w:val="clear" w:color="auto" w:fill="FFFFFF"/>
        </w:rPr>
        <w:t xml:space="preserve">with program administrators for employer-based financial capability programs. </w:t>
      </w:r>
      <w:r w:rsidRPr="00D05944" w:rsidR="002C6D62">
        <w:rPr>
          <w:rStyle w:val="normaltextrun"/>
          <w:rFonts w:cstheme="minorHAnsi"/>
          <w:color w:val="000000"/>
          <w:shd w:val="clear" w:color="auto" w:fill="FFFFFF"/>
        </w:rPr>
        <w:t xml:space="preserve">We do not intend for this data to be generalizable to a broader population. </w:t>
      </w:r>
    </w:p>
    <w:p w:rsidRPr="009139B3" w:rsidR="002C6D62" w:rsidP="00D05944" w:rsidRDefault="002C6D62" w14:paraId="568D52A7" w14:textId="77777777">
      <w:pPr>
        <w:pStyle w:val="ListParagraph"/>
        <w:spacing w:after="0" w:line="240" w:lineRule="auto"/>
      </w:pPr>
    </w:p>
    <w:p w:rsidRPr="009139B3" w:rsidR="001D1C73" w:rsidP="001D1C73" w:rsidRDefault="001D1C73" w14:paraId="5826ECF0" w14:textId="77777777">
      <w:pPr>
        <w:pStyle w:val="ListParagraph"/>
        <w:spacing w:after="0"/>
        <w:rPr>
          <w:rFonts w:cs="Calibri"/>
        </w:rPr>
      </w:pPr>
      <w:r w:rsidRPr="009139B3">
        <w:rPr>
          <w:rFonts w:cs="Calibri"/>
        </w:rPr>
        <w:t>We do not intend for this information to be used as the principal basis for public policy decisions.</w:t>
      </w:r>
    </w:p>
    <w:p w:rsidRPr="009139B3" w:rsidR="001D1C73" w:rsidP="001D1C73" w:rsidRDefault="001D1C73" w14:paraId="44585B10" w14:textId="77777777">
      <w:pPr>
        <w:spacing w:after="0" w:line="240" w:lineRule="auto"/>
        <w:rPr>
          <w:b/>
        </w:rPr>
      </w:pP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B757E3" w:rsidR="00F97544" w:rsidP="00B757E3" w:rsidRDefault="001D1C73" w14:paraId="09BF9E0B" w14:textId="61190F1E">
      <w:pPr>
        <w:spacing w:after="120" w:line="240" w:lineRule="auto"/>
      </w:pPr>
      <w:r w:rsidRPr="009139B3">
        <w:rPr>
          <w:b/>
        </w:rPr>
        <w:t>A1</w:t>
      </w:r>
      <w:r w:rsidRPr="009139B3">
        <w:t>.</w:t>
      </w:r>
      <w:r w:rsidRPr="009139B3">
        <w:tab/>
      </w:r>
      <w:r w:rsidRPr="009139B3">
        <w:rPr>
          <w:b/>
        </w:rPr>
        <w:t>Necessity for Collection</w:t>
      </w:r>
      <w:r w:rsidRPr="009139B3">
        <w:t xml:space="preserve"> </w:t>
      </w:r>
    </w:p>
    <w:p w:rsidRPr="00B757E3" w:rsidR="00B757E3" w:rsidP="00B757E3" w:rsidRDefault="00B757E3" w14:paraId="375DF9DD" w14:textId="12880DC4">
      <w:pPr>
        <w:spacing w:line="240" w:lineRule="auto"/>
      </w:pPr>
      <w:r w:rsidRPr="00B757E3">
        <w:t xml:space="preserve">Adults with low and moderate incomes face a range of economic challenges, such as financial instability and barriers to upward mobility, </w:t>
      </w:r>
      <w:r w:rsidR="00852033">
        <w:t>which</w:t>
      </w:r>
      <w:r w:rsidRPr="00B757E3" w:rsidR="00852033">
        <w:t xml:space="preserve"> </w:t>
      </w:r>
      <w:r w:rsidRPr="00B757E3">
        <w:t>stem in part from low wages and limited employment opportunities. In addition, limited knowledge of financial concepts and access to financial products and services can worsen these challenges. To help improve the financial lives of people with lower incomes, public policy funds both employment and training (E&amp;T) programs and financial capability interventions (i.e., programs and services that help people build the capacity to manage their finances). Examples of financial capability interventions include financial education, financial counseling, and financial coaching, as well as programs and services targeting financial access (e.g., asset-building programs, programs that support access to public benefits and provide tax preparation services, credit-building programs).</w:t>
      </w:r>
    </w:p>
    <w:p w:rsidR="00B757E3" w:rsidP="00B757E3" w:rsidRDefault="00B757E3" w14:paraId="6BFECFA4" w14:textId="06029653">
      <w:pPr>
        <w:spacing w:line="240" w:lineRule="auto"/>
      </w:pPr>
      <w:r w:rsidRPr="00B757E3">
        <w:t>E&amp;T programs provide opportunities to deliver these</w:t>
      </w:r>
      <w:r w:rsidR="00525B8D">
        <w:t xml:space="preserve"> financial capability</w:t>
      </w:r>
      <w:r w:rsidRPr="00B757E3">
        <w:t xml:space="preserve"> interventions, but there is currently little evidence o</w:t>
      </w:r>
      <w:r w:rsidR="00852033">
        <w:t>f</w:t>
      </w:r>
      <w:r w:rsidRPr="00B757E3">
        <w:t xml:space="preserve"> E&amp;T program</w:t>
      </w:r>
      <w:r w:rsidR="00747290">
        <w:t xml:space="preserve"> effectiveness</w:t>
      </w:r>
      <w:r w:rsidRPr="00B757E3">
        <w:t xml:space="preserve"> in this role. </w:t>
      </w:r>
      <w:r w:rsidRPr="00B757E3" w:rsidR="007027B1">
        <w:t xml:space="preserve">A recent literature synthesis for </w:t>
      </w:r>
      <w:r w:rsidR="00670817">
        <w:t>the Administration for Children and Families (ACF) Office of Planning, Research, and Evaluation (</w:t>
      </w:r>
      <w:r w:rsidRPr="00B757E3" w:rsidR="007027B1">
        <w:t>OPRE</w:t>
      </w:r>
      <w:r w:rsidR="00670817">
        <w:t>)</w:t>
      </w:r>
      <w:r w:rsidRPr="00B757E3" w:rsidR="007027B1">
        <w:t xml:space="preserve"> by the Urban Institute, under subcontract to MEF Associates, </w:t>
      </w:r>
      <w:r w:rsidRPr="00B757E3">
        <w:t>found there are numerous ways in which financial capability interventions and E&amp;T programs might work well together to bring about improvements in financial and economic outcomes for adults with low incomes, and identified various examples of interventions that bring together the two</w:t>
      </w:r>
      <w:r w:rsidR="00747290">
        <w:t>.</w:t>
      </w:r>
      <w:r w:rsidRPr="00B757E3">
        <w:t xml:space="preserve"> </w:t>
      </w:r>
      <w:r w:rsidR="00747290">
        <w:t xml:space="preserve">However, </w:t>
      </w:r>
      <w:r w:rsidRPr="00B757E3">
        <w:t xml:space="preserve">there is limited existing research specifically examining the implementation and effectiveness of financial capability interventions </w:t>
      </w:r>
      <w:r w:rsidR="00852033">
        <w:t xml:space="preserve">integrated </w:t>
      </w:r>
      <w:r w:rsidRPr="00B757E3">
        <w:t>into E&amp;T programming.</w:t>
      </w:r>
      <w:r w:rsidR="002B74B6">
        <w:rPr>
          <w:rStyle w:val="FootnoteReference"/>
        </w:rPr>
        <w:footnoteReference w:id="2"/>
      </w:r>
      <w:r w:rsidRPr="00B757E3">
        <w:t xml:space="preserve"> </w:t>
      </w:r>
      <w:r w:rsidRPr="00B757E3" w:rsidR="007027B1">
        <w:rPr>
          <w:shd w:val="clear" w:color="auto" w:fill="FFFFFF"/>
        </w:rPr>
        <w:t xml:space="preserve">This project seeks to fill that gap in the research and develop a better understanding of how financial capability interventions reach and </w:t>
      </w:r>
      <w:r w:rsidR="00525B8D">
        <w:rPr>
          <w:shd w:val="clear" w:color="auto" w:fill="FFFFFF"/>
        </w:rPr>
        <w:t>support</w:t>
      </w:r>
      <w:r w:rsidRPr="00B757E3" w:rsidR="00525B8D">
        <w:rPr>
          <w:shd w:val="clear" w:color="auto" w:fill="FFFFFF"/>
        </w:rPr>
        <w:t xml:space="preserve"> </w:t>
      </w:r>
      <w:r w:rsidRPr="00B757E3" w:rsidR="007027B1">
        <w:rPr>
          <w:shd w:val="clear" w:color="auto" w:fill="FFFFFF"/>
        </w:rPr>
        <w:t xml:space="preserve">low-income populations through </w:t>
      </w:r>
      <w:r w:rsidR="00852033">
        <w:rPr>
          <w:shd w:val="clear" w:color="auto" w:fill="FFFFFF"/>
        </w:rPr>
        <w:t xml:space="preserve">E&amp;T </w:t>
      </w:r>
      <w:r w:rsidRPr="00B757E3" w:rsidR="007027B1">
        <w:rPr>
          <w:shd w:val="clear" w:color="auto" w:fill="FFFFFF"/>
        </w:rPr>
        <w:t>programs.</w:t>
      </w:r>
      <w:r w:rsidRPr="000B0488" w:rsidR="000B0488">
        <w:rPr>
          <w:rFonts w:eastAsia="Times New Roman" w:cstheme="minorHAnsi"/>
          <w:color w:val="000000"/>
        </w:rPr>
        <w:t xml:space="preserve"> </w:t>
      </w:r>
      <w:r w:rsidR="000B0488">
        <w:rPr>
          <w:rFonts w:eastAsia="Times New Roman" w:cstheme="minorHAnsi"/>
          <w:color w:val="000000"/>
        </w:rPr>
        <w:t>ACF has contracted with MEF Associates and its subcontractor Urban Institute to conduct this study.</w:t>
      </w:r>
    </w:p>
    <w:p w:rsidR="00B757E3" w:rsidP="00B757E3" w:rsidRDefault="00B757E3" w14:paraId="70F846D2" w14:textId="12C1CF8E">
      <w:pPr>
        <w:spacing w:after="0" w:line="240" w:lineRule="auto"/>
        <w:rPr>
          <w:rFonts w:cstheme="minorHAnsi"/>
        </w:rPr>
      </w:pPr>
      <w:r w:rsidRPr="00B757E3">
        <w:rPr>
          <w:rFonts w:cstheme="minorHAnsi"/>
        </w:rPr>
        <w:t>There are no legal or administrative requirements that necessitate this collection. ACF is undertaking the collection at the discretion of the agency.</w:t>
      </w:r>
      <w:r w:rsidR="00670817">
        <w:rPr>
          <w:rFonts w:cstheme="minorHAnsi"/>
        </w:rPr>
        <w:t xml:space="preserve"> </w:t>
      </w:r>
    </w:p>
    <w:p w:rsidRPr="00B757E3" w:rsidR="00B757E3" w:rsidP="00B757E3" w:rsidRDefault="00B757E3" w14:paraId="228FF8EE" w14:textId="77777777">
      <w:pPr>
        <w:spacing w:after="0" w:line="240" w:lineRule="auto"/>
        <w:rPr>
          <w:rFonts w:cstheme="minorHAnsi"/>
        </w:rPr>
      </w:pP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D05944">
        <w:rPr>
          <w:b/>
        </w:rPr>
        <w:t>Purpose</w:t>
      </w:r>
    </w:p>
    <w:p w:rsidRPr="00525B8D" w:rsidR="001D1C73" w:rsidP="001D1C73" w:rsidRDefault="001D1C73" w14:paraId="3EF5234E" w14:textId="77777777">
      <w:pPr>
        <w:spacing w:after="60" w:line="240" w:lineRule="auto"/>
        <w:rPr>
          <w:i/>
        </w:rPr>
      </w:pPr>
      <w:r w:rsidRPr="00525B8D">
        <w:rPr>
          <w:i/>
        </w:rPr>
        <w:t xml:space="preserve">Purpose and Use </w:t>
      </w:r>
    </w:p>
    <w:p w:rsidRPr="00525B8D" w:rsidR="001D1C73" w:rsidP="001D1C73" w:rsidRDefault="000D084B" w14:paraId="5D584897" w14:textId="4DBA85B4">
      <w:pPr>
        <w:spacing w:after="0" w:line="240" w:lineRule="auto"/>
        <w:rPr>
          <w:rFonts w:cs="Calibri"/>
        </w:rPr>
      </w:pPr>
      <w:r w:rsidRPr="00242214">
        <w:t xml:space="preserve">The </w:t>
      </w:r>
      <w:r w:rsidRPr="00242214" w:rsidR="00CC7580">
        <w:t>purpose</w:t>
      </w:r>
      <w:r w:rsidRPr="00242214">
        <w:t xml:space="preserve"> of this project </w:t>
      </w:r>
      <w:r w:rsidR="00CC7580">
        <w:t xml:space="preserve">is to help ACF </w:t>
      </w:r>
      <w:r w:rsidRPr="00242214">
        <w:t xml:space="preserve">better understand the extent to which E&amp;T programs serving low-income adult populations incorporate financial capability </w:t>
      </w:r>
      <w:r w:rsidR="00032057">
        <w:t>interventions</w:t>
      </w:r>
      <w:r w:rsidRPr="00242214">
        <w:t xml:space="preserve">; </w:t>
      </w:r>
      <w:r w:rsidRPr="00D05944" w:rsidR="002A3DCD">
        <w:rPr>
          <w:rStyle w:val="normaltextrun"/>
          <w:rFonts w:cstheme="minorHAnsi"/>
          <w:color w:val="000000"/>
          <w:shd w:val="clear" w:color="auto" w:fill="FFFFFF"/>
        </w:rPr>
        <w:t>the factors that led to their inclusion</w:t>
      </w:r>
      <w:r w:rsidR="002A3DCD">
        <w:rPr>
          <w:rStyle w:val="normaltextrun"/>
          <w:rFonts w:cstheme="minorHAnsi"/>
          <w:color w:val="000000"/>
          <w:shd w:val="clear" w:color="auto" w:fill="FFFFFF"/>
        </w:rPr>
        <w:t xml:space="preserve">; </w:t>
      </w:r>
      <w:r w:rsidRPr="00242214">
        <w:t>how such training is incorporated;</w:t>
      </w:r>
      <w:r w:rsidRPr="00D05944" w:rsidR="002A3DCD">
        <w:rPr>
          <w:rStyle w:val="normaltextrun"/>
          <w:rFonts w:cstheme="minorHAnsi"/>
          <w:color w:val="000000"/>
          <w:shd w:val="clear" w:color="auto" w:fill="FFFFFF"/>
        </w:rPr>
        <w:t xml:space="preserve"> the key features of such programs</w:t>
      </w:r>
      <w:r w:rsidR="002A3DCD">
        <w:t xml:space="preserve">; </w:t>
      </w:r>
      <w:r w:rsidRPr="00242214">
        <w:t xml:space="preserve">and options for future research and evaluation efforts in this area. </w:t>
      </w:r>
      <w:r w:rsidRPr="00525B8D" w:rsidR="001D1C73">
        <w:rPr>
          <w:rFonts w:cs="Calibri"/>
        </w:rPr>
        <w:t>The information collected is meant to contribute to the body of knowledge on ACF programs</w:t>
      </w:r>
      <w:r w:rsidR="00233F88">
        <w:rPr>
          <w:rFonts w:cs="Calibri"/>
        </w:rPr>
        <w:t xml:space="preserve">, </w:t>
      </w:r>
      <w:r w:rsidR="000959E6">
        <w:rPr>
          <w:rFonts w:cs="Calibri"/>
        </w:rPr>
        <w:t xml:space="preserve">to help establish a basis for </w:t>
      </w:r>
      <w:r w:rsidR="00F82FC3">
        <w:rPr>
          <w:rFonts w:cs="Calibri"/>
        </w:rPr>
        <w:t xml:space="preserve">potential </w:t>
      </w:r>
      <w:r w:rsidR="000959E6">
        <w:rPr>
          <w:rFonts w:cs="Calibri"/>
        </w:rPr>
        <w:t xml:space="preserve">future research and evaluation </w:t>
      </w:r>
      <w:r w:rsidR="00F82FC3">
        <w:rPr>
          <w:rFonts w:cs="Calibri"/>
        </w:rPr>
        <w:t xml:space="preserve">by ACF or other agencies </w:t>
      </w:r>
      <w:r w:rsidR="000959E6">
        <w:rPr>
          <w:rFonts w:cs="Calibri"/>
        </w:rPr>
        <w:t>in this area</w:t>
      </w:r>
      <w:r w:rsidR="00233F88">
        <w:rPr>
          <w:rFonts w:cs="Calibri"/>
        </w:rPr>
        <w:t xml:space="preserve">, </w:t>
      </w:r>
      <w:r w:rsidR="00233F88">
        <w:rPr>
          <w:rFonts w:eastAsia="Times New Roman" w:cstheme="minorHAnsi"/>
        </w:rPr>
        <w:t>and to highlight examples of promising strategies for E&amp;T programs interested in incorporating financial capability services into their programming</w:t>
      </w:r>
      <w:r w:rsidR="00A30E9A">
        <w:rPr>
          <w:rFonts w:eastAsia="Times New Roman" w:cstheme="minorHAnsi"/>
        </w:rPr>
        <w:t xml:space="preserve"> as well as for financial capability providers considering incorporating employment services directly or through partnerships</w:t>
      </w:r>
      <w:r w:rsidRPr="00525B8D" w:rsidR="001D1C73">
        <w:rPr>
          <w:rFonts w:cs="Calibri"/>
        </w:rPr>
        <w:t xml:space="preserve">. It is not intended to be used as the principal basis for a decision by a federal decision-maker and is not expected to meet the threshold of influential or highly influential scientific information.  </w:t>
      </w:r>
    </w:p>
    <w:p w:rsidRPr="00525B8D" w:rsidR="001D1C73" w:rsidP="001D1C73" w:rsidRDefault="001D1C73" w14:paraId="1EE5C038" w14:textId="77777777">
      <w:pPr>
        <w:spacing w:after="0" w:line="240" w:lineRule="auto"/>
        <w:rPr>
          <w:i/>
        </w:rPr>
      </w:pPr>
    </w:p>
    <w:p w:rsidRPr="00525B8D" w:rsidR="001D1C73" w:rsidP="007027B1" w:rsidRDefault="001D1C73" w14:paraId="366BAD8E" w14:textId="0F92D709">
      <w:pPr>
        <w:spacing w:after="60" w:line="240" w:lineRule="auto"/>
        <w:rPr>
          <w:iCs/>
        </w:rPr>
      </w:pPr>
      <w:r w:rsidRPr="00525B8D">
        <w:rPr>
          <w:i/>
        </w:rPr>
        <w:lastRenderedPageBreak/>
        <w:t>Research Questions or Tests</w:t>
      </w:r>
    </w:p>
    <w:p w:rsidRPr="00525B8D" w:rsidR="000D084B" w:rsidP="007027B1" w:rsidRDefault="000D084B" w14:paraId="0F503EAD" w14:textId="5401D330">
      <w:pPr>
        <w:spacing w:after="60" w:line="240" w:lineRule="auto"/>
        <w:rPr>
          <w:iCs/>
        </w:rPr>
      </w:pPr>
      <w:r w:rsidRPr="00242214">
        <w:t xml:space="preserve">Collectively, the information collection activities in this study will contribute to the broader body of knowledge of financial capability </w:t>
      </w:r>
      <w:r w:rsidR="008B5864">
        <w:t>interventions</w:t>
      </w:r>
      <w:r w:rsidRPr="00242214" w:rsidR="00E81FF4">
        <w:t xml:space="preserve"> </w:t>
      </w:r>
      <w:r w:rsidRPr="00242214">
        <w:t xml:space="preserve">in the context of </w:t>
      </w:r>
      <w:r w:rsidR="002A3DCD">
        <w:t>E&amp;T programs</w:t>
      </w:r>
      <w:r w:rsidRPr="00242214">
        <w:t xml:space="preserve"> and provide insights on the potential for empirical evaluation. The</w:t>
      </w:r>
      <w:r w:rsidR="002A3DCD">
        <w:t xml:space="preserve"> data collection activities </w:t>
      </w:r>
      <w:r w:rsidRPr="00242214">
        <w:t xml:space="preserve">will </w:t>
      </w:r>
      <w:r w:rsidR="002A3DCD">
        <w:t>meet these goals</w:t>
      </w:r>
      <w:r w:rsidRPr="00242214">
        <w:t xml:space="preserve"> by addressing the following broad research questions:</w:t>
      </w:r>
    </w:p>
    <w:p w:rsidRPr="007027B1" w:rsidR="007027B1" w:rsidP="00CC7580" w:rsidRDefault="007027B1" w14:paraId="7913C238" w14:textId="40E47FFC">
      <w:pPr>
        <w:pStyle w:val="ListParagraph"/>
        <w:numPr>
          <w:ilvl w:val="0"/>
          <w:numId w:val="44"/>
        </w:numPr>
        <w:spacing w:after="48" w:line="240" w:lineRule="auto"/>
        <w:rPr>
          <w:rFonts w:eastAsia="Times New Roman" w:cstheme="minorHAnsi"/>
          <w:color w:val="000000"/>
        </w:rPr>
      </w:pPr>
      <w:r w:rsidRPr="007027B1">
        <w:rPr>
          <w:rFonts w:eastAsia="Times New Roman" w:cstheme="minorHAnsi"/>
          <w:color w:val="000000"/>
        </w:rPr>
        <w:t>To what extent are employment coaching or training programs incorporating financial capability training?</w:t>
      </w:r>
    </w:p>
    <w:p w:rsidRPr="007027B1" w:rsidR="007027B1" w:rsidP="007027B1" w:rsidRDefault="007027B1" w14:paraId="323A7397" w14:textId="77777777">
      <w:pPr>
        <w:pStyle w:val="ListParagraph"/>
        <w:numPr>
          <w:ilvl w:val="0"/>
          <w:numId w:val="44"/>
        </w:numPr>
        <w:spacing w:before="100" w:beforeAutospacing="1" w:after="48" w:line="240" w:lineRule="auto"/>
        <w:rPr>
          <w:rFonts w:eastAsia="Times New Roman" w:cstheme="minorHAnsi"/>
          <w:color w:val="000000"/>
        </w:rPr>
      </w:pPr>
      <w:r w:rsidRPr="007027B1">
        <w:rPr>
          <w:rFonts w:eastAsia="Times New Roman" w:cstheme="minorHAnsi"/>
          <w:color w:val="000000"/>
        </w:rPr>
        <w:t>Why are they incorporating financial capability training? What factors, including any state or local policies, drive this decision?</w:t>
      </w:r>
    </w:p>
    <w:p w:rsidRPr="007027B1" w:rsidR="007027B1" w:rsidP="007027B1" w:rsidRDefault="007027B1" w14:paraId="4FDAF6F3" w14:textId="5E0D3AE8">
      <w:pPr>
        <w:pStyle w:val="ListParagraph"/>
        <w:numPr>
          <w:ilvl w:val="0"/>
          <w:numId w:val="44"/>
        </w:numPr>
        <w:spacing w:before="100" w:beforeAutospacing="1" w:after="48" w:line="240" w:lineRule="auto"/>
        <w:rPr>
          <w:rFonts w:eastAsia="Times New Roman" w:cstheme="minorHAnsi"/>
          <w:color w:val="000000"/>
        </w:rPr>
      </w:pPr>
      <w:r w:rsidRPr="007027B1">
        <w:rPr>
          <w:rFonts w:eastAsia="Times New Roman" w:cstheme="minorHAnsi"/>
          <w:color w:val="000000"/>
        </w:rPr>
        <w:t xml:space="preserve">What are the key inputs, activities, and outputs of financial capability trainings as implemented </w:t>
      </w:r>
      <w:r w:rsidR="00076B1D">
        <w:rPr>
          <w:rFonts w:eastAsia="Times New Roman" w:cstheme="minorHAnsi"/>
          <w:color w:val="000000"/>
        </w:rPr>
        <w:t>with</w:t>
      </w:r>
      <w:r w:rsidRPr="007027B1">
        <w:rPr>
          <w:rFonts w:eastAsia="Times New Roman" w:cstheme="minorHAnsi"/>
          <w:color w:val="000000"/>
        </w:rPr>
        <w:t>in employment and training programs?</w:t>
      </w:r>
    </w:p>
    <w:p w:rsidRPr="007027B1" w:rsidR="007027B1" w:rsidP="007027B1" w:rsidRDefault="007027B1" w14:paraId="7677A378" w14:textId="77777777">
      <w:pPr>
        <w:pStyle w:val="ListParagraph"/>
        <w:numPr>
          <w:ilvl w:val="0"/>
          <w:numId w:val="44"/>
        </w:numPr>
        <w:spacing w:before="100" w:beforeAutospacing="1" w:after="48" w:line="240" w:lineRule="auto"/>
        <w:rPr>
          <w:rFonts w:eastAsia="Times New Roman" w:cstheme="minorHAnsi"/>
          <w:color w:val="000000"/>
        </w:rPr>
      </w:pPr>
      <w:r w:rsidRPr="007027B1">
        <w:rPr>
          <w:rFonts w:eastAsia="Times New Roman" w:cstheme="minorHAnsi"/>
          <w:color w:val="000000"/>
        </w:rPr>
        <w:t>What are the efforts to evaluate financial capability training in employment and training contexts to date?</w:t>
      </w:r>
    </w:p>
    <w:p w:rsidRPr="007027B1" w:rsidR="007027B1" w:rsidP="00CC7580" w:rsidRDefault="007027B1" w14:paraId="65F4AE38" w14:textId="6DA1E268">
      <w:pPr>
        <w:pStyle w:val="ListParagraph"/>
        <w:numPr>
          <w:ilvl w:val="0"/>
          <w:numId w:val="44"/>
        </w:numPr>
        <w:spacing w:before="100" w:beforeAutospacing="1" w:after="0" w:line="240" w:lineRule="auto"/>
        <w:rPr>
          <w:rFonts w:eastAsia="Times New Roman" w:cstheme="minorHAnsi"/>
          <w:color w:val="000000"/>
        </w:rPr>
      </w:pPr>
      <w:r w:rsidRPr="007027B1">
        <w:rPr>
          <w:rFonts w:eastAsia="Times New Roman" w:cstheme="minorHAnsi"/>
          <w:color w:val="000000"/>
        </w:rPr>
        <w:t>What are the research gaps in these areas and options for future research and evaluation efforts to address them?</w:t>
      </w:r>
    </w:p>
    <w:p w:rsidRPr="009139B3" w:rsidR="007027B1" w:rsidP="001D1C73" w:rsidRDefault="007027B1" w14:paraId="79499EC9" w14:textId="77777777">
      <w:pPr>
        <w:spacing w:after="0" w:line="240" w:lineRule="auto"/>
        <w:rPr>
          <w:i/>
        </w:rPr>
      </w:pPr>
    </w:p>
    <w:p w:rsidR="001D1C73" w:rsidP="001D1C73" w:rsidRDefault="001D1C73" w14:paraId="51121746" w14:textId="2B5C5729">
      <w:pPr>
        <w:spacing w:after="60" w:line="240" w:lineRule="auto"/>
        <w:rPr>
          <w:i/>
        </w:rPr>
      </w:pPr>
      <w:r w:rsidRPr="009139B3">
        <w:rPr>
          <w:i/>
        </w:rPr>
        <w:t>Study Design</w:t>
      </w:r>
    </w:p>
    <w:p w:rsidR="00B657FD" w:rsidP="00B657FD" w:rsidRDefault="00B657FD" w14:paraId="72E6FD91" w14:textId="64A43D8D">
      <w:pPr>
        <w:pStyle w:val="BodyText"/>
        <w:rPr>
          <w:rFonts w:asciiTheme="minorHAnsi" w:hAnsiTheme="minorHAnsi" w:cstheme="minorHAnsi"/>
        </w:rPr>
      </w:pPr>
      <w:r w:rsidRPr="00B657FD">
        <w:rPr>
          <w:rFonts w:eastAsia="Lato Regular" w:asciiTheme="minorHAnsi" w:hAnsiTheme="minorHAnsi" w:cstheme="minorHAnsi"/>
        </w:rPr>
        <w:t>The study data collectio</w:t>
      </w:r>
      <w:bookmarkStart w:name="_Hlk81899564" w:id="0"/>
      <w:r w:rsidRPr="00B657FD">
        <w:rPr>
          <w:rFonts w:eastAsia="Lato Regular" w:asciiTheme="minorHAnsi" w:hAnsiTheme="minorHAnsi" w:cstheme="minorHAnsi"/>
        </w:rPr>
        <w:t xml:space="preserve">n </w:t>
      </w:r>
      <w:r w:rsidR="007A0B1E">
        <w:rPr>
          <w:rFonts w:eastAsia="Lato Regular" w:asciiTheme="minorHAnsi" w:hAnsiTheme="minorHAnsi" w:cstheme="minorHAnsi"/>
        </w:rPr>
        <w:t xml:space="preserve">utilizes a mixed-methods approach to adequately answer all research questions, beginning with </w:t>
      </w:r>
      <w:r w:rsidRPr="00B657FD">
        <w:rPr>
          <w:rFonts w:eastAsia="Lato Regular" w:asciiTheme="minorHAnsi" w:hAnsiTheme="minorHAnsi" w:cstheme="minorHAnsi"/>
        </w:rPr>
        <w:t xml:space="preserve">a web-based </w:t>
      </w:r>
      <w:r w:rsidRPr="003A7CC8">
        <w:rPr>
          <w:rFonts w:eastAsia="Lato Regular" w:asciiTheme="minorHAnsi" w:hAnsiTheme="minorHAnsi" w:cstheme="minorHAnsi"/>
          <w:b/>
          <w:bCs w:val="0"/>
          <w:i/>
          <w:iCs/>
        </w:rPr>
        <w:t>survey</w:t>
      </w:r>
      <w:r w:rsidRPr="00B657FD">
        <w:rPr>
          <w:rFonts w:eastAsia="Lato Regular" w:asciiTheme="minorHAnsi" w:hAnsiTheme="minorHAnsi" w:cstheme="minorHAnsi"/>
        </w:rPr>
        <w:t xml:space="preserve"> of </w:t>
      </w:r>
      <w:r>
        <w:rPr>
          <w:rFonts w:eastAsia="Lato Regular" w:asciiTheme="minorHAnsi" w:hAnsiTheme="minorHAnsi" w:cstheme="minorHAnsi"/>
        </w:rPr>
        <w:t xml:space="preserve">program managers or agency leads </w:t>
      </w:r>
      <w:r w:rsidRPr="00B657FD">
        <w:rPr>
          <w:rFonts w:eastAsia="Lato Regular" w:asciiTheme="minorHAnsi" w:hAnsiTheme="minorHAnsi" w:cstheme="minorHAnsi"/>
        </w:rPr>
        <w:t xml:space="preserve">at </w:t>
      </w:r>
      <w:r>
        <w:rPr>
          <w:rFonts w:eastAsia="Lato Regular" w:asciiTheme="minorHAnsi" w:hAnsiTheme="minorHAnsi" w:cstheme="minorHAnsi"/>
        </w:rPr>
        <w:t>E&amp;T programs integrating financial capability services</w:t>
      </w:r>
      <w:r w:rsidR="007A0B1E">
        <w:rPr>
          <w:rFonts w:eastAsia="Lato Regular" w:asciiTheme="minorHAnsi" w:hAnsiTheme="minorHAnsi" w:cstheme="minorHAnsi"/>
        </w:rPr>
        <w:t xml:space="preserve">. We will then conduct </w:t>
      </w:r>
      <w:r w:rsidRPr="003A7CC8">
        <w:rPr>
          <w:rFonts w:eastAsia="Lato Regular" w:asciiTheme="minorHAnsi" w:hAnsiTheme="minorHAnsi" w:cstheme="minorHAnsi"/>
          <w:b/>
          <w:bCs w:val="0"/>
          <w:i/>
          <w:iCs/>
        </w:rPr>
        <w:t>phone interviews</w:t>
      </w:r>
      <w:r>
        <w:rPr>
          <w:rFonts w:eastAsia="Lato Regular" w:asciiTheme="minorHAnsi" w:hAnsiTheme="minorHAnsi" w:cstheme="minorHAnsi"/>
        </w:rPr>
        <w:t xml:space="preserve"> with staff at E&amp;T programs integrating financial capability services</w:t>
      </w:r>
      <w:r w:rsidR="007A0B1E">
        <w:rPr>
          <w:rFonts w:eastAsia="Lato Regular" w:asciiTheme="minorHAnsi" w:hAnsiTheme="minorHAnsi" w:cstheme="minorHAnsi"/>
        </w:rPr>
        <w:t xml:space="preserve"> to gather more in-depth information on integration models. We will use the information learned during the</w:t>
      </w:r>
      <w:r w:rsidR="004F668A">
        <w:rPr>
          <w:rFonts w:eastAsia="Lato Regular" w:asciiTheme="minorHAnsi" w:hAnsiTheme="minorHAnsi" w:cstheme="minorHAnsi"/>
        </w:rPr>
        <w:t xml:space="preserve"> survey and</w:t>
      </w:r>
      <w:r w:rsidR="007A0B1E">
        <w:rPr>
          <w:rFonts w:eastAsia="Lato Regular" w:asciiTheme="minorHAnsi" w:hAnsiTheme="minorHAnsi" w:cstheme="minorHAnsi"/>
        </w:rPr>
        <w:t xml:space="preserve"> phone interviews to select E&amp;T programs integrating financial capability services to conduct </w:t>
      </w:r>
      <w:r w:rsidRPr="003A7CC8">
        <w:rPr>
          <w:rFonts w:eastAsia="Lato Regular" w:asciiTheme="minorHAnsi" w:hAnsiTheme="minorHAnsi" w:cstheme="minorHAnsi"/>
          <w:b/>
          <w:bCs w:val="0"/>
          <w:i/>
          <w:iCs/>
        </w:rPr>
        <w:t>virtual site visit</w:t>
      </w:r>
      <w:r w:rsidR="00797F75">
        <w:rPr>
          <w:rFonts w:eastAsia="Lato Regular" w:asciiTheme="minorHAnsi" w:hAnsiTheme="minorHAnsi" w:cstheme="minorHAnsi"/>
          <w:b/>
          <w:bCs w:val="0"/>
          <w:i/>
          <w:iCs/>
        </w:rPr>
        <w:t xml:space="preserve"> interview</w:t>
      </w:r>
      <w:r w:rsidRPr="003A7CC8">
        <w:rPr>
          <w:rFonts w:eastAsia="Lato Regular" w:asciiTheme="minorHAnsi" w:hAnsiTheme="minorHAnsi" w:cstheme="minorHAnsi"/>
          <w:b/>
          <w:bCs w:val="0"/>
          <w:i/>
          <w:iCs/>
        </w:rPr>
        <w:t>s</w:t>
      </w:r>
      <w:r w:rsidR="007A0B1E">
        <w:rPr>
          <w:rFonts w:eastAsia="Lato Regular" w:asciiTheme="minorHAnsi" w:hAnsiTheme="minorHAnsi" w:cstheme="minorHAnsi"/>
        </w:rPr>
        <w:t xml:space="preserve"> and </w:t>
      </w:r>
      <w:r w:rsidRPr="003A7CC8">
        <w:rPr>
          <w:rFonts w:eastAsia="Lato Regular" w:asciiTheme="minorHAnsi" w:hAnsiTheme="minorHAnsi" w:cstheme="minorHAnsi"/>
          <w:b/>
          <w:bCs w:val="0"/>
          <w:i/>
          <w:iCs/>
        </w:rPr>
        <w:t>interviews with participants</w:t>
      </w:r>
      <w:r>
        <w:rPr>
          <w:rFonts w:eastAsia="Lato Regular" w:asciiTheme="minorHAnsi" w:hAnsiTheme="minorHAnsi" w:cstheme="minorHAnsi"/>
        </w:rPr>
        <w:t xml:space="preserve"> of </w:t>
      </w:r>
      <w:r w:rsidR="004F668A">
        <w:rPr>
          <w:rFonts w:eastAsia="Lato Regular" w:asciiTheme="minorHAnsi" w:hAnsiTheme="minorHAnsi" w:cstheme="minorHAnsi"/>
        </w:rPr>
        <w:t>those</w:t>
      </w:r>
      <w:r>
        <w:rPr>
          <w:rFonts w:eastAsia="Lato Regular" w:asciiTheme="minorHAnsi" w:hAnsiTheme="minorHAnsi" w:cstheme="minorHAnsi"/>
        </w:rPr>
        <w:t xml:space="preserve"> programs</w:t>
      </w:r>
      <w:r w:rsidR="007A0B1E">
        <w:rPr>
          <w:rFonts w:eastAsia="Lato Regular" w:asciiTheme="minorHAnsi" w:hAnsiTheme="minorHAnsi" w:cstheme="minorHAnsi"/>
        </w:rPr>
        <w:t xml:space="preserve">. We will also conduct </w:t>
      </w:r>
      <w:r w:rsidRPr="003A7CC8">
        <w:rPr>
          <w:rFonts w:eastAsia="Lato Regular" w:asciiTheme="minorHAnsi" w:hAnsiTheme="minorHAnsi" w:cstheme="minorHAnsi"/>
          <w:b/>
          <w:bCs w:val="0"/>
          <w:i/>
          <w:iCs/>
        </w:rPr>
        <w:t>interviews with employers</w:t>
      </w:r>
      <w:r>
        <w:rPr>
          <w:rFonts w:eastAsia="Lato Regular" w:asciiTheme="minorHAnsi" w:hAnsiTheme="minorHAnsi" w:cstheme="minorHAnsi"/>
        </w:rPr>
        <w:t xml:space="preserve"> offering financial capability services and</w:t>
      </w:r>
      <w:r w:rsidR="00481427">
        <w:rPr>
          <w:rFonts w:eastAsia="Lato Regular" w:asciiTheme="minorHAnsi" w:hAnsiTheme="minorHAnsi" w:cstheme="minorHAnsi"/>
        </w:rPr>
        <w:t xml:space="preserve"> cross-program</w:t>
      </w:r>
      <w:r>
        <w:rPr>
          <w:rFonts w:eastAsia="Lato Regular" w:asciiTheme="minorHAnsi" w:hAnsiTheme="minorHAnsi" w:cstheme="minorHAnsi"/>
        </w:rPr>
        <w:t xml:space="preserve"> </w:t>
      </w:r>
      <w:r w:rsidRPr="003A7CC8">
        <w:rPr>
          <w:rFonts w:eastAsia="Lato Regular" w:asciiTheme="minorHAnsi" w:hAnsiTheme="minorHAnsi" w:cstheme="minorHAnsi"/>
          <w:b/>
          <w:bCs w:val="0"/>
          <w:i/>
          <w:iCs/>
        </w:rPr>
        <w:t>focus groups of administrators</w:t>
      </w:r>
      <w:r>
        <w:rPr>
          <w:rFonts w:eastAsia="Lato Regular" w:asciiTheme="minorHAnsi" w:hAnsiTheme="minorHAnsi" w:cstheme="minorHAnsi"/>
        </w:rPr>
        <w:t xml:space="preserve"> of </w:t>
      </w:r>
      <w:bookmarkEnd w:id="0"/>
      <w:r>
        <w:rPr>
          <w:rFonts w:eastAsia="Lato Regular" w:asciiTheme="minorHAnsi" w:hAnsiTheme="minorHAnsi" w:cstheme="minorHAnsi"/>
        </w:rPr>
        <w:t xml:space="preserve">E&amp;T programs integrating financial capability services. </w:t>
      </w:r>
      <w:r w:rsidR="007A0B1E">
        <w:rPr>
          <w:rFonts w:eastAsia="Lato Regular" w:asciiTheme="minorHAnsi" w:hAnsiTheme="minorHAnsi" w:cstheme="minorHAnsi"/>
        </w:rPr>
        <w:t xml:space="preserve">Table 1 explains each data collection activity and corresponding instrument in greater detail. </w:t>
      </w:r>
      <w:r w:rsidRPr="00B657FD">
        <w:rPr>
          <w:rFonts w:asciiTheme="minorHAnsi" w:hAnsiTheme="minorHAnsi" w:cstheme="minorHAnsi"/>
        </w:rPr>
        <w:t xml:space="preserve">The study is designed to capture an </w:t>
      </w:r>
      <w:r>
        <w:rPr>
          <w:rFonts w:asciiTheme="minorHAnsi" w:hAnsiTheme="minorHAnsi" w:cstheme="minorHAnsi"/>
        </w:rPr>
        <w:t xml:space="preserve">understanding </w:t>
      </w:r>
      <w:r w:rsidRPr="00B657FD">
        <w:rPr>
          <w:rFonts w:asciiTheme="minorHAnsi" w:hAnsiTheme="minorHAnsi" w:cstheme="minorHAnsi"/>
        </w:rPr>
        <w:t xml:space="preserve">of how and to what </w:t>
      </w:r>
      <w:r w:rsidR="00481427">
        <w:rPr>
          <w:rFonts w:asciiTheme="minorHAnsi" w:hAnsiTheme="minorHAnsi" w:cstheme="minorHAnsi"/>
        </w:rPr>
        <w:t xml:space="preserve">extent </w:t>
      </w:r>
      <w:r>
        <w:rPr>
          <w:rFonts w:asciiTheme="minorHAnsi" w:hAnsiTheme="minorHAnsi" w:cstheme="minorHAnsi"/>
        </w:rPr>
        <w:t xml:space="preserve">E&amp;T programs </w:t>
      </w:r>
      <w:r w:rsidRPr="00B657FD">
        <w:rPr>
          <w:rFonts w:asciiTheme="minorHAnsi" w:hAnsiTheme="minorHAnsi" w:cstheme="minorHAnsi"/>
        </w:rPr>
        <w:t xml:space="preserve">are </w:t>
      </w:r>
      <w:r>
        <w:rPr>
          <w:rFonts w:asciiTheme="minorHAnsi" w:hAnsiTheme="minorHAnsi" w:cstheme="minorHAnsi"/>
        </w:rPr>
        <w:t>integrating financial capability services</w:t>
      </w:r>
      <w:r w:rsidRPr="00B657FD">
        <w:rPr>
          <w:rFonts w:asciiTheme="minorHAnsi" w:hAnsiTheme="minorHAnsi" w:cstheme="minorHAnsi"/>
        </w:rPr>
        <w:t xml:space="preserve">. We will collect information on variation in implementation across </w:t>
      </w:r>
      <w:r>
        <w:rPr>
          <w:rFonts w:asciiTheme="minorHAnsi" w:hAnsiTheme="minorHAnsi" w:cstheme="minorHAnsi"/>
        </w:rPr>
        <w:t>E&amp;T program types</w:t>
      </w:r>
      <w:r w:rsidRPr="00B657FD">
        <w:rPr>
          <w:rFonts w:asciiTheme="minorHAnsi" w:hAnsiTheme="minorHAnsi" w:cstheme="minorHAnsi"/>
        </w:rPr>
        <w:t xml:space="preserve">, </w:t>
      </w:r>
      <w:r>
        <w:rPr>
          <w:rFonts w:asciiTheme="minorHAnsi" w:hAnsiTheme="minorHAnsi" w:cstheme="minorHAnsi"/>
        </w:rPr>
        <w:t>details on the types of financial capability services offered</w:t>
      </w:r>
      <w:r w:rsidRPr="00B657FD">
        <w:rPr>
          <w:rFonts w:asciiTheme="minorHAnsi" w:hAnsiTheme="minorHAnsi" w:cstheme="minorHAnsi"/>
        </w:rPr>
        <w:t xml:space="preserve">, how </w:t>
      </w:r>
      <w:r>
        <w:rPr>
          <w:rFonts w:asciiTheme="minorHAnsi" w:hAnsiTheme="minorHAnsi" w:cstheme="minorHAnsi"/>
        </w:rPr>
        <w:t>those services are integrated</w:t>
      </w:r>
      <w:r w:rsidRPr="00B657FD">
        <w:rPr>
          <w:rFonts w:asciiTheme="minorHAnsi" w:hAnsiTheme="minorHAnsi" w:cstheme="minorHAnsi"/>
        </w:rPr>
        <w:t xml:space="preserve">, how </w:t>
      </w:r>
      <w:r>
        <w:rPr>
          <w:rFonts w:asciiTheme="minorHAnsi" w:hAnsiTheme="minorHAnsi" w:cstheme="minorHAnsi"/>
        </w:rPr>
        <w:t>participants experience these types of services</w:t>
      </w:r>
      <w:r w:rsidRPr="00B657FD">
        <w:rPr>
          <w:rFonts w:asciiTheme="minorHAnsi" w:hAnsiTheme="minorHAnsi" w:cstheme="minorHAnsi"/>
        </w:rPr>
        <w:t xml:space="preserve">, the </w:t>
      </w:r>
      <w:r>
        <w:rPr>
          <w:rFonts w:asciiTheme="minorHAnsi" w:hAnsiTheme="minorHAnsi" w:cstheme="minorHAnsi"/>
        </w:rPr>
        <w:t>types of programs offered by employers</w:t>
      </w:r>
      <w:r w:rsidRPr="00B657FD">
        <w:rPr>
          <w:rFonts w:asciiTheme="minorHAnsi" w:hAnsiTheme="minorHAnsi" w:cstheme="minorHAnsi"/>
        </w:rPr>
        <w:t xml:space="preserve">, and </w:t>
      </w:r>
      <w:r>
        <w:rPr>
          <w:rFonts w:asciiTheme="minorHAnsi" w:hAnsiTheme="minorHAnsi" w:cstheme="minorHAnsi"/>
        </w:rPr>
        <w:t>challenges in offering financial capability services</w:t>
      </w:r>
      <w:r w:rsidRPr="00B657FD">
        <w:rPr>
          <w:rFonts w:asciiTheme="minorHAnsi" w:hAnsiTheme="minorHAnsi" w:cstheme="minorHAnsi"/>
        </w:rPr>
        <w:t>.</w:t>
      </w:r>
      <w:r>
        <w:rPr>
          <w:rFonts w:asciiTheme="minorHAnsi" w:hAnsiTheme="minorHAnsi" w:cstheme="minorHAnsi"/>
        </w:rPr>
        <w:t xml:space="preserve"> </w:t>
      </w:r>
    </w:p>
    <w:p w:rsidR="000D084B" w:rsidP="00B657FD" w:rsidRDefault="000D084B" w14:paraId="19534FF3" w14:textId="39B0F57F">
      <w:pPr>
        <w:pStyle w:val="BodyText"/>
        <w:rPr>
          <w:rFonts w:asciiTheme="minorHAnsi" w:hAnsiTheme="minorHAnsi" w:cstheme="minorHAnsi"/>
        </w:rPr>
      </w:pPr>
      <w:r>
        <w:rPr>
          <w:rFonts w:asciiTheme="minorHAnsi" w:hAnsiTheme="minorHAnsi" w:cstheme="minorHAnsi"/>
        </w:rPr>
        <w:t xml:space="preserve">The modes of information collection and the specific topics each reflect input from experts and stakeholders consulted at an earlier stage of the project. Section A8 provides more information about the consultations. </w:t>
      </w:r>
    </w:p>
    <w:p w:rsidR="00B657FD" w:rsidP="00B657FD" w:rsidRDefault="00B657FD" w14:paraId="10889132" w14:textId="05F2DEDE">
      <w:pPr>
        <w:pStyle w:val="BodyTextFirstIndent"/>
        <w:ind w:firstLine="0"/>
      </w:pPr>
      <w:r w:rsidRPr="00B657FD">
        <w:rPr>
          <w:rFonts w:cstheme="minorHAnsi"/>
        </w:rPr>
        <w:t xml:space="preserve">For a detailed discussion of the appropriateness of this study design, see B.1 of Supporting Statement B. </w:t>
      </w:r>
      <w:r w:rsidRPr="00B657FD">
        <w:t xml:space="preserve">Study limitations include the fact that </w:t>
      </w:r>
      <w:r>
        <w:t xml:space="preserve">data </w:t>
      </w:r>
      <w:r w:rsidRPr="00B657FD">
        <w:t xml:space="preserve">collected </w:t>
      </w:r>
      <w:r>
        <w:t xml:space="preserve">through the survey, semi-structured interviews, and focus groups </w:t>
      </w:r>
      <w:r w:rsidRPr="00B657FD">
        <w:t xml:space="preserve">are not generalizable and the fact that the study is not designed to </w:t>
      </w:r>
      <w:r>
        <w:t>be representative of all E&amp;T programs integrating financial capability</w:t>
      </w:r>
      <w:r w:rsidR="008B5864">
        <w:t xml:space="preserve"> interventions</w:t>
      </w:r>
      <w:r w:rsidRPr="00B657FD">
        <w:t xml:space="preserve">. Limitations will be clearly noted in any public information related to this information collection. </w:t>
      </w:r>
    </w:p>
    <w:p w:rsidR="00BD7901" w:rsidP="00BD7901" w:rsidRDefault="00BD7901" w14:paraId="515CACF6" w14:textId="6B6429B0">
      <w:pPr>
        <w:pStyle w:val="BodyTextFirstIndent"/>
        <w:spacing w:after="0"/>
        <w:ind w:firstLine="0"/>
      </w:pPr>
    </w:p>
    <w:p w:rsidR="00BD7901" w:rsidP="00BD7901" w:rsidRDefault="00BD7901" w14:paraId="7CA03A59" w14:textId="77777777">
      <w:pPr>
        <w:pStyle w:val="BodyTextFirstIndent"/>
        <w:spacing w:after="0"/>
        <w:ind w:firstLine="0"/>
      </w:pPr>
    </w:p>
    <w:p w:rsidR="001D1C73" w:rsidP="001D1C73" w:rsidRDefault="00B44BDB" w14:paraId="3E13AED3" w14:textId="4B43DBDC">
      <w:pPr>
        <w:spacing w:after="0" w:line="240" w:lineRule="auto"/>
        <w:rPr>
          <w:rFonts w:ascii="Arial Narrow" w:hAnsi="Arial Narrow"/>
          <w:b/>
          <w:bCs/>
          <w:iCs/>
        </w:rPr>
      </w:pPr>
      <w:r>
        <w:rPr>
          <w:rFonts w:ascii="Arial Narrow" w:hAnsi="Arial Narrow"/>
          <w:b/>
          <w:bCs/>
          <w:iCs/>
        </w:rPr>
        <w:lastRenderedPageBreak/>
        <w:t>Table 1: Description of Instruments Involved in Information Collection</w:t>
      </w:r>
    </w:p>
    <w:p w:rsidRPr="009912D5" w:rsidR="00B44BDB" w:rsidP="001D1C73" w:rsidRDefault="00B44BDB" w14:paraId="06AA13CA" w14:textId="77777777">
      <w:pPr>
        <w:spacing w:after="0" w:line="240" w:lineRule="auto"/>
        <w:rPr>
          <w:rFonts w:ascii="Arial Narrow" w:hAnsi="Arial Narrow"/>
          <w:b/>
          <w:bCs/>
          <w:iCs/>
        </w:rPr>
      </w:pPr>
    </w:p>
    <w:tbl>
      <w:tblPr>
        <w:tblStyle w:val="TableGrid"/>
        <w:tblW w:w="9355" w:type="dxa"/>
        <w:tblInd w:w="0" w:type="dxa"/>
        <w:tblLayout w:type="fixed"/>
        <w:tblLook w:val="04A0" w:firstRow="1" w:lastRow="0" w:firstColumn="1" w:lastColumn="0" w:noHBand="0" w:noVBand="1"/>
      </w:tblPr>
      <w:tblGrid>
        <w:gridCol w:w="1975"/>
        <w:gridCol w:w="1530"/>
        <w:gridCol w:w="4050"/>
        <w:gridCol w:w="1800"/>
      </w:tblGrid>
      <w:tr w:rsidRPr="00D05944" w:rsidR="001D1C73" w:rsidTr="00BD7901" w14:paraId="7A08A530" w14:textId="77777777">
        <w:tc>
          <w:tcPr>
            <w:tcW w:w="1975" w:type="dxa"/>
            <w:shd w:val="clear" w:color="auto" w:fill="D9D9D9" w:themeFill="background1" w:themeFillShade="D9"/>
          </w:tcPr>
          <w:p w:rsidRPr="00D05944" w:rsidR="001D1C73" w:rsidP="00BD4146" w:rsidRDefault="001D1C73" w14:paraId="142698B1" w14:textId="77777777">
            <w:pPr>
              <w:rPr>
                <w:rFonts w:asciiTheme="minorHAnsi" w:hAnsiTheme="minorHAnsi" w:cstheme="minorHAnsi"/>
                <w:i/>
              </w:rPr>
            </w:pPr>
            <w:r w:rsidRPr="00D05944">
              <w:rPr>
                <w:rFonts w:asciiTheme="minorHAnsi" w:hAnsiTheme="minorHAnsi" w:cstheme="minorHAnsi"/>
                <w:i/>
              </w:rPr>
              <w:t>Data Collection Activity</w:t>
            </w:r>
          </w:p>
        </w:tc>
        <w:tc>
          <w:tcPr>
            <w:tcW w:w="1530" w:type="dxa"/>
            <w:shd w:val="clear" w:color="auto" w:fill="D9D9D9" w:themeFill="background1" w:themeFillShade="D9"/>
          </w:tcPr>
          <w:p w:rsidRPr="00D05944" w:rsidR="001D1C73" w:rsidP="00BD4146" w:rsidRDefault="001D1C73" w14:paraId="27BC6F15" w14:textId="69D986B3">
            <w:pPr>
              <w:rPr>
                <w:rFonts w:asciiTheme="minorHAnsi" w:hAnsiTheme="minorHAnsi" w:cstheme="minorHAnsi"/>
                <w:i/>
              </w:rPr>
            </w:pPr>
            <w:r w:rsidRPr="00D05944">
              <w:rPr>
                <w:rFonts w:asciiTheme="minorHAnsi" w:hAnsiTheme="minorHAnsi" w:cstheme="minorHAnsi"/>
                <w:i/>
              </w:rPr>
              <w:t>Instruments</w:t>
            </w:r>
          </w:p>
        </w:tc>
        <w:tc>
          <w:tcPr>
            <w:tcW w:w="4050" w:type="dxa"/>
            <w:shd w:val="clear" w:color="auto" w:fill="D9D9D9" w:themeFill="background1" w:themeFillShade="D9"/>
          </w:tcPr>
          <w:p w:rsidRPr="00D05944" w:rsidR="001D1C73" w:rsidP="00BD4146" w:rsidRDefault="001D1C73" w14:paraId="02FE35A0" w14:textId="77777777">
            <w:pPr>
              <w:rPr>
                <w:rFonts w:asciiTheme="minorHAnsi" w:hAnsiTheme="minorHAnsi" w:cstheme="minorHAnsi"/>
                <w:i/>
              </w:rPr>
            </w:pPr>
            <w:r w:rsidRPr="00D05944">
              <w:rPr>
                <w:rFonts w:asciiTheme="minorHAnsi" w:hAnsiTheme="minorHAnsi" w:cstheme="minorHAnsi"/>
                <w:i/>
              </w:rPr>
              <w:t>Respondent, Content, Purpose of Collection</w:t>
            </w:r>
          </w:p>
        </w:tc>
        <w:tc>
          <w:tcPr>
            <w:tcW w:w="1800" w:type="dxa"/>
            <w:shd w:val="clear" w:color="auto" w:fill="D9D9D9" w:themeFill="background1" w:themeFillShade="D9"/>
          </w:tcPr>
          <w:p w:rsidRPr="00D05944" w:rsidR="001D1C73" w:rsidP="00BD4146" w:rsidRDefault="001D1C73" w14:paraId="6D5BE90E" w14:textId="1ED72708">
            <w:pPr>
              <w:rPr>
                <w:rFonts w:asciiTheme="minorHAnsi" w:hAnsiTheme="minorHAnsi" w:cstheme="minorHAnsi"/>
                <w:i/>
              </w:rPr>
            </w:pPr>
            <w:r w:rsidRPr="00D05944">
              <w:rPr>
                <w:rFonts w:asciiTheme="minorHAnsi" w:hAnsiTheme="minorHAnsi" w:cstheme="minorHAnsi"/>
                <w:i/>
              </w:rPr>
              <w:t>Mode and Duration</w:t>
            </w:r>
          </w:p>
        </w:tc>
      </w:tr>
      <w:tr w:rsidRPr="00D05944" w:rsidR="001D1C73" w:rsidTr="00BD7901" w14:paraId="148EF023" w14:textId="77777777">
        <w:tc>
          <w:tcPr>
            <w:tcW w:w="1975" w:type="dxa"/>
          </w:tcPr>
          <w:p w:rsidRPr="00D05944" w:rsidR="001D1C73" w:rsidP="00BD4146" w:rsidRDefault="00891D4E" w14:paraId="4D2F3A2E" w14:textId="309F93D8">
            <w:pPr>
              <w:rPr>
                <w:rFonts w:asciiTheme="minorHAnsi" w:hAnsiTheme="minorHAnsi" w:cstheme="minorHAnsi"/>
              </w:rPr>
            </w:pPr>
            <w:r w:rsidRPr="00D05944">
              <w:rPr>
                <w:rStyle w:val="normaltextrun"/>
                <w:rFonts w:asciiTheme="minorHAnsi" w:hAnsiTheme="minorHAnsi" w:cstheme="minorHAnsi"/>
                <w:color w:val="000000"/>
                <w:shd w:val="clear" w:color="auto" w:fill="FFFFFF"/>
              </w:rPr>
              <w:t>Survey of E&amp;T Programs</w:t>
            </w:r>
            <w:r w:rsidRPr="00D05944">
              <w:rPr>
                <w:rStyle w:val="eop"/>
                <w:rFonts w:asciiTheme="minorHAnsi" w:hAnsiTheme="minorHAnsi" w:cstheme="minorHAnsi"/>
                <w:color w:val="000000"/>
                <w:shd w:val="clear" w:color="auto" w:fill="FFFFFF"/>
              </w:rPr>
              <w:t> </w:t>
            </w:r>
            <w:r w:rsidR="00EB0DE3">
              <w:rPr>
                <w:rStyle w:val="eop"/>
                <w:rFonts w:asciiTheme="minorHAnsi" w:hAnsiTheme="minorHAnsi" w:cstheme="minorHAnsi"/>
                <w:color w:val="000000"/>
                <w:shd w:val="clear" w:color="auto" w:fill="FFFFFF"/>
              </w:rPr>
              <w:t>Integrating Financial Capability</w:t>
            </w:r>
          </w:p>
        </w:tc>
        <w:tc>
          <w:tcPr>
            <w:tcW w:w="1530" w:type="dxa"/>
          </w:tcPr>
          <w:p w:rsidRPr="00D05944" w:rsidR="001D1C73" w:rsidP="00891D4E" w:rsidRDefault="00773D5C" w14:paraId="27D7C22A" w14:textId="1FD69319">
            <w:pPr>
              <w:rPr>
                <w:rFonts w:asciiTheme="minorHAnsi" w:hAnsiTheme="minorHAnsi" w:cstheme="minorHAnsi"/>
              </w:rPr>
            </w:pPr>
            <w:r w:rsidRPr="00D05944">
              <w:rPr>
                <w:rStyle w:val="normaltextrun"/>
                <w:rFonts w:asciiTheme="minorHAnsi" w:hAnsiTheme="minorHAnsi" w:cstheme="minorHAnsi"/>
                <w:color w:val="000000"/>
                <w:bdr w:val="none" w:color="auto" w:sz="0" w:space="0" w:frame="1"/>
              </w:rPr>
              <w:t>Survey instrument</w:t>
            </w:r>
            <w:r w:rsidR="0019522D">
              <w:rPr>
                <w:rStyle w:val="normaltextrun"/>
                <w:rFonts w:asciiTheme="minorHAnsi" w:hAnsiTheme="minorHAnsi" w:cstheme="minorHAnsi"/>
                <w:color w:val="000000"/>
                <w:bdr w:val="none" w:color="auto" w:sz="0" w:space="0" w:frame="1"/>
              </w:rPr>
              <w:t xml:space="preserve"> (</w:t>
            </w:r>
            <w:r w:rsidR="009912D5">
              <w:rPr>
                <w:rStyle w:val="normaltextrun"/>
                <w:rFonts w:asciiTheme="minorHAnsi" w:hAnsiTheme="minorHAnsi" w:cstheme="minorHAnsi"/>
                <w:color w:val="000000"/>
                <w:bdr w:val="none" w:color="auto" w:sz="0" w:space="0" w:frame="1"/>
              </w:rPr>
              <w:t>Instrument 1</w:t>
            </w:r>
            <w:r w:rsidR="0019522D">
              <w:rPr>
                <w:rStyle w:val="normaltextrun"/>
                <w:rFonts w:asciiTheme="minorHAnsi" w:hAnsiTheme="minorHAnsi" w:cstheme="minorHAnsi"/>
                <w:color w:val="000000"/>
                <w:bdr w:val="none" w:color="auto" w:sz="0" w:space="0" w:frame="1"/>
              </w:rPr>
              <w:t xml:space="preserve">) </w:t>
            </w:r>
          </w:p>
        </w:tc>
        <w:tc>
          <w:tcPr>
            <w:tcW w:w="4050" w:type="dxa"/>
          </w:tcPr>
          <w:p w:rsidRPr="00B757E3" w:rsidR="001D1C73" w:rsidP="00B757E3" w:rsidRDefault="001D1C73" w14:paraId="1B409BBA" w14:textId="3F9D7D2A">
            <w:pPr>
              <w:pStyle w:val="paragraph"/>
              <w:spacing w:before="0" w:beforeAutospacing="0" w:after="0" w:afterAutospacing="0"/>
              <w:textAlignment w:val="baseline"/>
              <w:rPr>
                <w:rFonts w:asciiTheme="minorHAnsi" w:hAnsiTheme="minorHAnsi" w:cstheme="minorHAnsi"/>
                <w:color w:val="000000"/>
                <w:sz w:val="20"/>
                <w:szCs w:val="20"/>
              </w:rPr>
            </w:pPr>
            <w:r w:rsidRPr="00D05944">
              <w:rPr>
                <w:rFonts w:asciiTheme="minorHAnsi" w:hAnsiTheme="minorHAnsi" w:cstheme="minorHAnsi"/>
                <w:b/>
                <w:sz w:val="20"/>
                <w:szCs w:val="20"/>
              </w:rPr>
              <w:t>Respondents</w:t>
            </w:r>
            <w:r w:rsidRPr="00D05944">
              <w:rPr>
                <w:rFonts w:asciiTheme="minorHAnsi" w:hAnsiTheme="minorHAnsi" w:cstheme="minorHAnsi"/>
                <w:sz w:val="20"/>
                <w:szCs w:val="20"/>
              </w:rPr>
              <w:t xml:space="preserve">: </w:t>
            </w:r>
            <w:r w:rsidRPr="00D05944" w:rsidR="00773D5C">
              <w:rPr>
                <w:rStyle w:val="normaltextrun"/>
                <w:rFonts w:asciiTheme="minorHAnsi" w:hAnsiTheme="minorHAnsi" w:cstheme="minorHAnsi"/>
                <w:color w:val="000000"/>
                <w:sz w:val="20"/>
                <w:szCs w:val="20"/>
              </w:rPr>
              <w:t> </w:t>
            </w:r>
            <w:r w:rsidR="0019522D">
              <w:rPr>
                <w:rStyle w:val="normaltextrun"/>
                <w:rFonts w:asciiTheme="minorHAnsi" w:hAnsiTheme="minorHAnsi" w:cstheme="minorHAnsi"/>
                <w:color w:val="000000"/>
                <w:sz w:val="20"/>
                <w:szCs w:val="20"/>
              </w:rPr>
              <w:t xml:space="preserve">Program managers or agency leads of </w:t>
            </w:r>
            <w:r w:rsidRPr="00D05944" w:rsidR="00773D5C">
              <w:rPr>
                <w:rStyle w:val="normaltextrun"/>
                <w:rFonts w:asciiTheme="minorHAnsi" w:hAnsiTheme="minorHAnsi" w:cstheme="minorHAnsi"/>
                <w:color w:val="000000"/>
                <w:sz w:val="20"/>
                <w:szCs w:val="20"/>
              </w:rPr>
              <w:t>E&amp;T programs thought to have financial capability interventions</w:t>
            </w:r>
          </w:p>
          <w:p w:rsidRPr="00D05944" w:rsidR="001D1C73" w:rsidP="00BD4146" w:rsidRDefault="001D1C73" w14:paraId="18A2F994" w14:textId="77777777">
            <w:pPr>
              <w:rPr>
                <w:rFonts w:asciiTheme="minorHAnsi" w:hAnsiTheme="minorHAnsi" w:cstheme="minorHAnsi"/>
              </w:rPr>
            </w:pPr>
          </w:p>
          <w:p w:rsidRPr="00D05944" w:rsidR="001D1C73" w:rsidP="00BD4146" w:rsidRDefault="001D1C73" w14:paraId="3F4D4F6C" w14:textId="650FC6CE">
            <w:pPr>
              <w:rPr>
                <w:rFonts w:asciiTheme="minorHAnsi" w:hAnsiTheme="minorHAnsi" w:cstheme="minorHAnsi"/>
              </w:rPr>
            </w:pPr>
            <w:r w:rsidRPr="00D05944">
              <w:rPr>
                <w:rFonts w:asciiTheme="minorHAnsi" w:hAnsiTheme="minorHAnsi" w:cstheme="minorHAnsi"/>
                <w:b/>
              </w:rPr>
              <w:t>Content</w:t>
            </w:r>
            <w:r w:rsidRPr="00D05944">
              <w:rPr>
                <w:rFonts w:asciiTheme="minorHAnsi" w:hAnsiTheme="minorHAnsi" w:cstheme="minorHAnsi"/>
              </w:rPr>
              <w:t xml:space="preserve">: </w:t>
            </w:r>
            <w:r w:rsidRPr="00D05944" w:rsidR="00773D5C">
              <w:rPr>
                <w:rStyle w:val="normaltextrun"/>
                <w:rFonts w:asciiTheme="minorHAnsi" w:hAnsiTheme="minorHAnsi" w:cstheme="minorHAnsi"/>
                <w:color w:val="000000"/>
                <w:bdr w:val="none" w:color="auto" w:sz="0" w:space="0" w:frame="1"/>
              </w:rPr>
              <w:t>Questions on type of financial capabilit</w:t>
            </w:r>
            <w:r w:rsidR="000B0779">
              <w:rPr>
                <w:rStyle w:val="normaltextrun"/>
                <w:rFonts w:asciiTheme="minorHAnsi" w:hAnsiTheme="minorHAnsi" w:cstheme="minorHAnsi"/>
                <w:color w:val="000000"/>
                <w:bdr w:val="none" w:color="auto" w:sz="0" w:space="0" w:frame="1"/>
              </w:rPr>
              <w:t>y</w:t>
            </w:r>
            <w:r w:rsidRPr="00D05944" w:rsidR="00773D5C">
              <w:rPr>
                <w:rStyle w:val="normaltextrun"/>
                <w:rFonts w:asciiTheme="minorHAnsi" w:hAnsiTheme="minorHAnsi" w:cstheme="minorHAnsi"/>
                <w:color w:val="000000"/>
                <w:bdr w:val="none" w:color="auto" w:sz="0" w:space="0" w:frame="1"/>
              </w:rPr>
              <w:t xml:space="preserve"> services integrated and details on the model of integration</w:t>
            </w:r>
          </w:p>
          <w:p w:rsidRPr="00D05944" w:rsidR="001D1C73" w:rsidP="00BD4146" w:rsidRDefault="001D1C73" w14:paraId="13ECC5F8" w14:textId="77777777">
            <w:pPr>
              <w:rPr>
                <w:rFonts w:asciiTheme="minorHAnsi" w:hAnsiTheme="minorHAnsi" w:cstheme="minorHAnsi"/>
              </w:rPr>
            </w:pPr>
          </w:p>
          <w:p w:rsidRPr="00D05944" w:rsidR="001D1C73" w:rsidP="00BD4146" w:rsidRDefault="001D1C73" w14:paraId="7D736580" w14:textId="59C21763">
            <w:pPr>
              <w:rPr>
                <w:rFonts w:asciiTheme="minorHAnsi" w:hAnsiTheme="minorHAnsi" w:cstheme="minorHAnsi"/>
              </w:rPr>
            </w:pPr>
            <w:r w:rsidRPr="00D05944">
              <w:rPr>
                <w:rFonts w:asciiTheme="minorHAnsi" w:hAnsiTheme="minorHAnsi" w:cstheme="minorHAnsi"/>
                <w:b/>
              </w:rPr>
              <w:t>Purpose</w:t>
            </w:r>
            <w:r w:rsidRPr="00D05944">
              <w:rPr>
                <w:rFonts w:asciiTheme="minorHAnsi" w:hAnsiTheme="minorHAnsi" w:cstheme="minorHAnsi"/>
              </w:rPr>
              <w:t>:</w:t>
            </w:r>
            <w:r w:rsidRPr="00D05944" w:rsidR="00773D5C">
              <w:rPr>
                <w:rFonts w:asciiTheme="minorHAnsi" w:hAnsiTheme="minorHAnsi" w:cstheme="minorHAnsi"/>
                <w:color w:val="000000"/>
                <w:shd w:val="clear" w:color="auto" w:fill="FFFFFF"/>
              </w:rPr>
              <w:t xml:space="preserve"> </w:t>
            </w:r>
            <w:r w:rsidRPr="00D05944" w:rsidR="00773D5C">
              <w:rPr>
                <w:rStyle w:val="normaltextrun"/>
                <w:rFonts w:asciiTheme="minorHAnsi" w:hAnsiTheme="minorHAnsi" w:cstheme="minorHAnsi"/>
                <w:color w:val="000000"/>
                <w:shd w:val="clear" w:color="auto" w:fill="FFFFFF"/>
              </w:rPr>
              <w:t>Documenting high level characteristics of financial capability interventions</w:t>
            </w:r>
            <w:r w:rsidR="0019522D">
              <w:rPr>
                <w:rStyle w:val="normaltextrun"/>
                <w:rFonts w:asciiTheme="minorHAnsi" w:hAnsiTheme="minorHAnsi" w:cstheme="minorHAnsi"/>
                <w:color w:val="000000"/>
                <w:shd w:val="clear" w:color="auto" w:fill="FFFFFF"/>
              </w:rPr>
              <w:t xml:space="preserve"> and</w:t>
            </w:r>
            <w:r w:rsidRPr="00D05944" w:rsidR="00773D5C">
              <w:rPr>
                <w:rStyle w:val="normaltextrun"/>
                <w:rFonts w:asciiTheme="minorHAnsi" w:hAnsiTheme="minorHAnsi" w:cstheme="minorHAnsi"/>
                <w:color w:val="000000"/>
                <w:shd w:val="clear" w:color="auto" w:fill="FFFFFF"/>
              </w:rPr>
              <w:t xml:space="preserve"> model of integration </w:t>
            </w:r>
          </w:p>
        </w:tc>
        <w:tc>
          <w:tcPr>
            <w:tcW w:w="1800" w:type="dxa"/>
          </w:tcPr>
          <w:p w:rsidRPr="00D05944" w:rsidR="001D1C73" w:rsidP="00BD4146" w:rsidRDefault="001D1C73" w14:paraId="4F09D85C" w14:textId="6A497BF4">
            <w:pPr>
              <w:rPr>
                <w:rFonts w:asciiTheme="minorHAnsi" w:hAnsiTheme="minorHAnsi" w:cstheme="minorHAnsi"/>
                <w:lang w:val="fr-FR"/>
              </w:rPr>
            </w:pPr>
            <w:r w:rsidRPr="00D05944">
              <w:rPr>
                <w:rFonts w:asciiTheme="minorHAnsi" w:hAnsiTheme="minorHAnsi" w:cstheme="minorHAnsi"/>
                <w:b/>
                <w:lang w:val="fr-FR"/>
              </w:rPr>
              <w:t>Mode</w:t>
            </w:r>
            <w:r w:rsidRPr="00D05944">
              <w:rPr>
                <w:rFonts w:asciiTheme="minorHAnsi" w:hAnsiTheme="minorHAnsi" w:cstheme="minorHAnsi"/>
                <w:lang w:val="fr-FR"/>
              </w:rPr>
              <w:t>:</w:t>
            </w:r>
            <w:r w:rsidR="00D05944">
              <w:rPr>
                <w:rFonts w:asciiTheme="minorHAnsi" w:hAnsiTheme="minorHAnsi" w:cstheme="minorHAnsi"/>
                <w:lang w:val="fr-FR"/>
              </w:rPr>
              <w:t xml:space="preserve"> </w:t>
            </w:r>
            <w:r w:rsidRPr="00D05944" w:rsidR="00773D5C">
              <w:rPr>
                <w:rStyle w:val="normaltextrun"/>
                <w:rFonts w:asciiTheme="minorHAnsi" w:hAnsiTheme="minorHAnsi" w:cstheme="minorHAnsi"/>
                <w:color w:val="000000"/>
                <w:shd w:val="clear" w:color="auto" w:fill="FFFFFF"/>
                <w:lang w:val="fr-FR"/>
              </w:rPr>
              <w:t>Online </w:t>
            </w:r>
            <w:r w:rsidRPr="00D05944" w:rsidR="00D05944">
              <w:rPr>
                <w:rStyle w:val="normaltextrun"/>
                <w:rFonts w:asciiTheme="minorHAnsi" w:hAnsiTheme="minorHAnsi" w:cstheme="minorHAnsi"/>
                <w:color w:val="000000"/>
                <w:shd w:val="clear" w:color="auto" w:fill="FFFFFF"/>
                <w:lang w:val="fr-FR"/>
              </w:rPr>
              <w:t>Surve</w:t>
            </w:r>
            <w:r w:rsidR="00D05944">
              <w:rPr>
                <w:rStyle w:val="normaltextrun"/>
                <w:rFonts w:asciiTheme="minorHAnsi" w:hAnsiTheme="minorHAnsi" w:cstheme="minorHAnsi"/>
                <w:color w:val="000000"/>
                <w:shd w:val="clear" w:color="auto" w:fill="FFFFFF"/>
                <w:lang w:val="fr-FR"/>
              </w:rPr>
              <w:t>y</w:t>
            </w:r>
            <w:r w:rsidRPr="00D05944" w:rsidR="00773D5C">
              <w:rPr>
                <w:rStyle w:val="eop"/>
                <w:rFonts w:asciiTheme="minorHAnsi" w:hAnsiTheme="minorHAnsi" w:cstheme="minorHAnsi"/>
                <w:color w:val="000000"/>
                <w:shd w:val="clear" w:color="auto" w:fill="FFFFFF"/>
                <w:lang w:val="fr-FR"/>
              </w:rPr>
              <w:t> </w:t>
            </w:r>
          </w:p>
          <w:p w:rsidRPr="00D05944" w:rsidR="001D1C73" w:rsidP="00BD4146" w:rsidRDefault="001D1C73" w14:paraId="47BE1AD0" w14:textId="77777777">
            <w:pPr>
              <w:rPr>
                <w:rFonts w:asciiTheme="minorHAnsi" w:hAnsiTheme="minorHAnsi" w:cstheme="minorHAnsi"/>
                <w:lang w:val="fr-FR"/>
              </w:rPr>
            </w:pPr>
          </w:p>
          <w:p w:rsidRPr="00D05944" w:rsidR="001D1C73" w:rsidP="00BD4146" w:rsidRDefault="001D1C73" w14:paraId="63176BC9" w14:textId="77E04F0E">
            <w:pPr>
              <w:rPr>
                <w:rFonts w:asciiTheme="minorHAnsi" w:hAnsiTheme="minorHAnsi" w:cstheme="minorHAnsi"/>
                <w:lang w:val="fr-FR"/>
              </w:rPr>
            </w:pPr>
            <w:r w:rsidRPr="00D05944">
              <w:rPr>
                <w:rFonts w:asciiTheme="minorHAnsi" w:hAnsiTheme="minorHAnsi" w:cstheme="minorHAnsi"/>
                <w:b/>
                <w:lang w:val="fr-FR"/>
              </w:rPr>
              <w:t>Duration</w:t>
            </w:r>
            <w:r w:rsidRPr="00D05944">
              <w:rPr>
                <w:rFonts w:asciiTheme="minorHAnsi" w:hAnsiTheme="minorHAnsi" w:cstheme="minorHAnsi"/>
                <w:lang w:val="fr-FR"/>
              </w:rPr>
              <w:t>:</w:t>
            </w:r>
            <w:r w:rsidRPr="00D05944" w:rsidR="00773D5C">
              <w:rPr>
                <w:rFonts w:asciiTheme="minorHAnsi" w:hAnsiTheme="minorHAnsi" w:cstheme="minorHAnsi"/>
                <w:color w:val="000000"/>
                <w:shd w:val="clear" w:color="auto" w:fill="FFFFFF"/>
                <w:lang w:val="fr-FR"/>
              </w:rPr>
              <w:t xml:space="preserve"> </w:t>
            </w:r>
            <w:r w:rsidRPr="00D05944" w:rsidR="00773D5C">
              <w:rPr>
                <w:rStyle w:val="normaltextrun"/>
                <w:rFonts w:asciiTheme="minorHAnsi" w:hAnsiTheme="minorHAnsi" w:cstheme="minorHAnsi"/>
                <w:color w:val="000000"/>
                <w:shd w:val="clear" w:color="auto" w:fill="FFFFFF"/>
                <w:lang w:val="fr-FR"/>
              </w:rPr>
              <w:t>2</w:t>
            </w:r>
            <w:r w:rsidR="00865A9E">
              <w:rPr>
                <w:rStyle w:val="normaltextrun"/>
                <w:rFonts w:asciiTheme="minorHAnsi" w:hAnsiTheme="minorHAnsi" w:cstheme="minorHAnsi"/>
                <w:color w:val="000000"/>
                <w:shd w:val="clear" w:color="auto" w:fill="FFFFFF"/>
                <w:lang w:val="fr-FR"/>
              </w:rPr>
              <w:t xml:space="preserve">0 </w:t>
            </w:r>
            <w:r w:rsidRPr="00D05944" w:rsidR="00773D5C">
              <w:rPr>
                <w:rStyle w:val="normaltextrun"/>
                <w:rFonts w:asciiTheme="minorHAnsi" w:hAnsiTheme="minorHAnsi" w:cstheme="minorHAnsi"/>
                <w:color w:val="000000"/>
                <w:shd w:val="clear" w:color="auto" w:fill="FFFFFF"/>
                <w:lang w:val="fr-FR"/>
              </w:rPr>
              <w:t>minutes </w:t>
            </w:r>
            <w:r w:rsidRPr="00D05944" w:rsidR="00773D5C">
              <w:rPr>
                <w:rStyle w:val="eop"/>
                <w:rFonts w:asciiTheme="minorHAnsi" w:hAnsiTheme="minorHAnsi" w:cstheme="minorHAnsi"/>
                <w:color w:val="000000"/>
                <w:shd w:val="clear" w:color="auto" w:fill="FFFFFF"/>
                <w:lang w:val="fr-FR"/>
              </w:rPr>
              <w:t> </w:t>
            </w:r>
          </w:p>
        </w:tc>
      </w:tr>
      <w:tr w:rsidRPr="00D05944" w:rsidR="00773D5C" w:rsidTr="00BD7901" w14:paraId="04406B13" w14:textId="77777777">
        <w:tc>
          <w:tcPr>
            <w:tcW w:w="1975" w:type="dxa"/>
          </w:tcPr>
          <w:p w:rsidRPr="00D05944" w:rsidR="00773D5C" w:rsidP="00BD4146" w:rsidRDefault="0045173B" w14:paraId="6D7EC760" w14:textId="056EA097">
            <w:pPr>
              <w:rPr>
                <w:rFonts w:asciiTheme="minorHAnsi" w:hAnsiTheme="minorHAnsi" w:cstheme="minorHAnsi"/>
                <w:lang w:val="fr-FR"/>
              </w:rPr>
            </w:pPr>
            <w:r w:rsidRPr="00D05944">
              <w:rPr>
                <w:rFonts w:asciiTheme="minorHAnsi" w:hAnsiTheme="minorHAnsi" w:cstheme="minorHAnsi"/>
                <w:lang w:val="fr-FR"/>
              </w:rPr>
              <w:t>Phone interviews</w:t>
            </w:r>
          </w:p>
        </w:tc>
        <w:tc>
          <w:tcPr>
            <w:tcW w:w="1530" w:type="dxa"/>
          </w:tcPr>
          <w:p w:rsidRPr="00D05944" w:rsidR="00773D5C" w:rsidP="00BD4146" w:rsidRDefault="0045173B" w14:paraId="33B3ADC7" w14:textId="5E93E898">
            <w:pPr>
              <w:rPr>
                <w:rFonts w:asciiTheme="minorHAnsi" w:hAnsiTheme="minorHAnsi" w:cstheme="minorHAnsi"/>
                <w:lang w:val="fr-FR"/>
              </w:rPr>
            </w:pPr>
            <w:r w:rsidRPr="00D05944">
              <w:rPr>
                <w:rFonts w:asciiTheme="minorHAnsi" w:hAnsiTheme="minorHAnsi" w:cstheme="minorHAnsi"/>
                <w:lang w:val="fr-FR"/>
              </w:rPr>
              <w:t>Phone interview guide</w:t>
            </w:r>
            <w:r w:rsidR="0019522D">
              <w:rPr>
                <w:rFonts w:asciiTheme="minorHAnsi" w:hAnsiTheme="minorHAnsi" w:cstheme="minorHAnsi"/>
                <w:lang w:val="fr-FR"/>
              </w:rPr>
              <w:t xml:space="preserve"> (</w:t>
            </w:r>
            <w:r w:rsidR="009912D5">
              <w:rPr>
                <w:rFonts w:asciiTheme="minorHAnsi" w:hAnsiTheme="minorHAnsi" w:cstheme="minorHAnsi"/>
                <w:lang w:val="fr-FR"/>
              </w:rPr>
              <w:t>Instrument 2</w:t>
            </w:r>
            <w:r w:rsidR="0019522D">
              <w:rPr>
                <w:rFonts w:asciiTheme="minorHAnsi" w:hAnsiTheme="minorHAnsi" w:cstheme="minorHAnsi"/>
                <w:lang w:val="fr-FR"/>
              </w:rPr>
              <w:t>)</w:t>
            </w:r>
          </w:p>
        </w:tc>
        <w:tc>
          <w:tcPr>
            <w:tcW w:w="4050" w:type="dxa"/>
          </w:tcPr>
          <w:p w:rsidRPr="00D05944" w:rsidR="0045173B" w:rsidP="0045173B" w:rsidRDefault="0045173B" w14:paraId="061AF615" w14:textId="07A1F36C">
            <w:pPr>
              <w:textAlignment w:val="baseline"/>
              <w:rPr>
                <w:rFonts w:asciiTheme="minorHAnsi" w:hAnsiTheme="minorHAnsi" w:cstheme="minorHAnsi"/>
                <w:color w:val="000000"/>
              </w:rPr>
            </w:pPr>
            <w:r w:rsidRPr="00D05944">
              <w:rPr>
                <w:rFonts w:asciiTheme="minorHAnsi" w:hAnsiTheme="minorHAnsi" w:cstheme="minorHAnsi"/>
                <w:b/>
                <w:bCs/>
                <w:color w:val="000000"/>
              </w:rPr>
              <w:t>Respondents</w:t>
            </w:r>
            <w:r w:rsidRPr="00D05944">
              <w:rPr>
                <w:rFonts w:asciiTheme="minorHAnsi" w:hAnsiTheme="minorHAnsi" w:cstheme="minorHAnsi"/>
                <w:color w:val="000000"/>
              </w:rPr>
              <w:t>: Program administrators from E&amp;T programs with financial capability interventions</w:t>
            </w:r>
          </w:p>
          <w:p w:rsidR="00B757E3" w:rsidP="0045173B" w:rsidRDefault="00B757E3" w14:paraId="23D5144C" w14:textId="77777777">
            <w:pPr>
              <w:textAlignment w:val="baseline"/>
              <w:rPr>
                <w:rFonts w:asciiTheme="minorHAnsi" w:hAnsiTheme="minorHAnsi" w:cstheme="minorHAnsi"/>
                <w:i/>
                <w:iCs/>
                <w:color w:val="000000"/>
              </w:rPr>
            </w:pPr>
          </w:p>
          <w:p w:rsidRPr="00D05944" w:rsidR="0045173B" w:rsidP="0045173B" w:rsidRDefault="0045173B" w14:paraId="07A97A48" w14:textId="6272BFAE">
            <w:pPr>
              <w:textAlignment w:val="baseline"/>
              <w:rPr>
                <w:rFonts w:asciiTheme="minorHAnsi" w:hAnsiTheme="minorHAnsi" w:cstheme="minorHAnsi"/>
                <w:color w:val="000000"/>
              </w:rPr>
            </w:pPr>
            <w:r w:rsidRPr="00D05944">
              <w:rPr>
                <w:rFonts w:asciiTheme="minorHAnsi" w:hAnsiTheme="minorHAnsi" w:cstheme="minorHAnsi"/>
                <w:b/>
                <w:bCs/>
                <w:color w:val="000000"/>
              </w:rPr>
              <w:t>Content</w:t>
            </w:r>
            <w:r w:rsidRPr="00D05944">
              <w:rPr>
                <w:rFonts w:asciiTheme="minorHAnsi" w:hAnsiTheme="minorHAnsi" w:cstheme="minorHAnsi"/>
                <w:color w:val="000000"/>
              </w:rPr>
              <w:t>: Description of fin</w:t>
            </w:r>
            <w:r w:rsidR="008C660E">
              <w:rPr>
                <w:rFonts w:asciiTheme="minorHAnsi" w:hAnsiTheme="minorHAnsi" w:cstheme="minorHAnsi"/>
                <w:color w:val="000000"/>
              </w:rPr>
              <w:t>ancial</w:t>
            </w:r>
            <w:r w:rsidRPr="00D05944">
              <w:rPr>
                <w:rFonts w:asciiTheme="minorHAnsi" w:hAnsiTheme="minorHAnsi" w:cstheme="minorHAnsi"/>
                <w:color w:val="000000"/>
              </w:rPr>
              <w:t xml:space="preserve"> cap</w:t>
            </w:r>
            <w:r w:rsidR="008C660E">
              <w:rPr>
                <w:rFonts w:asciiTheme="minorHAnsi" w:hAnsiTheme="minorHAnsi" w:cstheme="minorHAnsi"/>
                <w:color w:val="000000"/>
              </w:rPr>
              <w:t>ability</w:t>
            </w:r>
            <w:r w:rsidRPr="00D05944">
              <w:rPr>
                <w:rFonts w:asciiTheme="minorHAnsi" w:hAnsiTheme="minorHAnsi" w:cstheme="minorHAnsi"/>
                <w:color w:val="000000"/>
              </w:rPr>
              <w:t xml:space="preserve"> services, components, the key inputs, activities, and outputs involved in offering financial capabilities services</w:t>
            </w:r>
            <w:r w:rsidR="0011279D">
              <w:rPr>
                <w:rFonts w:asciiTheme="minorHAnsi" w:hAnsiTheme="minorHAnsi" w:cstheme="minorHAnsi"/>
                <w:color w:val="000000"/>
              </w:rPr>
              <w:t>;</w:t>
            </w:r>
            <w:r w:rsidRPr="00D05944">
              <w:rPr>
                <w:rFonts w:asciiTheme="minorHAnsi" w:hAnsiTheme="minorHAnsi" w:cstheme="minorHAnsi"/>
                <w:color w:val="000000"/>
              </w:rPr>
              <w:t xml:space="preserve"> how </w:t>
            </w:r>
            <w:r w:rsidR="0011279D">
              <w:rPr>
                <w:rFonts w:asciiTheme="minorHAnsi" w:hAnsiTheme="minorHAnsi" w:cstheme="minorHAnsi"/>
                <w:color w:val="000000"/>
              </w:rPr>
              <w:t>financial capability services</w:t>
            </w:r>
            <w:r w:rsidRPr="00D05944">
              <w:rPr>
                <w:rFonts w:asciiTheme="minorHAnsi" w:hAnsiTheme="minorHAnsi" w:cstheme="minorHAnsi"/>
                <w:color w:val="000000"/>
              </w:rPr>
              <w:t xml:space="preserve"> fit in the context of the organization and the E&amp;T services</w:t>
            </w:r>
            <w:r w:rsidR="0011279D">
              <w:rPr>
                <w:rFonts w:asciiTheme="minorHAnsi" w:hAnsiTheme="minorHAnsi" w:cstheme="minorHAnsi"/>
                <w:color w:val="000000"/>
              </w:rPr>
              <w:t>;</w:t>
            </w:r>
            <w:r w:rsidRPr="00D05944">
              <w:rPr>
                <w:rFonts w:asciiTheme="minorHAnsi" w:hAnsiTheme="minorHAnsi" w:cstheme="minorHAnsi"/>
                <w:color w:val="000000"/>
              </w:rPr>
              <w:t xml:space="preserve"> why program administrators chose to include fin</w:t>
            </w:r>
            <w:r w:rsidR="008C660E">
              <w:rPr>
                <w:rFonts w:asciiTheme="minorHAnsi" w:hAnsiTheme="minorHAnsi" w:cstheme="minorHAnsi"/>
                <w:color w:val="000000"/>
              </w:rPr>
              <w:t>ancial</w:t>
            </w:r>
            <w:r w:rsidRPr="00D05944">
              <w:rPr>
                <w:rFonts w:asciiTheme="minorHAnsi" w:hAnsiTheme="minorHAnsi" w:cstheme="minorHAnsi"/>
                <w:color w:val="000000"/>
              </w:rPr>
              <w:t xml:space="preserve"> cap</w:t>
            </w:r>
            <w:r w:rsidR="008C660E">
              <w:rPr>
                <w:rFonts w:asciiTheme="minorHAnsi" w:hAnsiTheme="minorHAnsi" w:cstheme="minorHAnsi"/>
                <w:color w:val="000000"/>
              </w:rPr>
              <w:t>ability</w:t>
            </w:r>
            <w:r w:rsidRPr="00D05944">
              <w:rPr>
                <w:rFonts w:asciiTheme="minorHAnsi" w:hAnsiTheme="minorHAnsi" w:cstheme="minorHAnsi"/>
                <w:color w:val="000000"/>
              </w:rPr>
              <w:t xml:space="preserve"> services broadly and the specific services they offer</w:t>
            </w:r>
            <w:r w:rsidR="0011279D">
              <w:rPr>
                <w:rFonts w:asciiTheme="minorHAnsi" w:hAnsiTheme="minorHAnsi" w:cstheme="minorHAnsi"/>
                <w:color w:val="000000"/>
              </w:rPr>
              <w:t>;</w:t>
            </w:r>
            <w:r w:rsidRPr="00D05944">
              <w:rPr>
                <w:rFonts w:asciiTheme="minorHAnsi" w:hAnsiTheme="minorHAnsi" w:cstheme="minorHAnsi"/>
                <w:color w:val="000000"/>
              </w:rPr>
              <w:t xml:space="preserve"> how staff are prepared to deliver fin</w:t>
            </w:r>
            <w:r w:rsidR="006E30F1">
              <w:rPr>
                <w:rFonts w:asciiTheme="minorHAnsi" w:hAnsiTheme="minorHAnsi" w:cstheme="minorHAnsi"/>
                <w:color w:val="000000"/>
              </w:rPr>
              <w:t>ancial</w:t>
            </w:r>
            <w:r w:rsidRPr="00D05944">
              <w:rPr>
                <w:rFonts w:asciiTheme="minorHAnsi" w:hAnsiTheme="minorHAnsi" w:cstheme="minorHAnsi"/>
                <w:color w:val="000000"/>
              </w:rPr>
              <w:t xml:space="preserve"> cap</w:t>
            </w:r>
            <w:r w:rsidR="006E30F1">
              <w:rPr>
                <w:rFonts w:asciiTheme="minorHAnsi" w:hAnsiTheme="minorHAnsi" w:cstheme="minorHAnsi"/>
                <w:color w:val="000000"/>
              </w:rPr>
              <w:t>ability</w:t>
            </w:r>
            <w:r w:rsidRPr="00D05944">
              <w:rPr>
                <w:rFonts w:asciiTheme="minorHAnsi" w:hAnsiTheme="minorHAnsi" w:cstheme="minorHAnsi"/>
                <w:color w:val="000000"/>
              </w:rPr>
              <w:t xml:space="preserve"> services, issues, implementation, policy contexts</w:t>
            </w:r>
            <w:r w:rsidR="0011279D">
              <w:rPr>
                <w:rFonts w:asciiTheme="minorHAnsi" w:hAnsiTheme="minorHAnsi" w:cstheme="minorHAnsi"/>
                <w:color w:val="000000"/>
              </w:rPr>
              <w:t>;</w:t>
            </w:r>
            <w:r w:rsidRPr="00D05944">
              <w:rPr>
                <w:rFonts w:asciiTheme="minorHAnsi" w:hAnsiTheme="minorHAnsi" w:cstheme="minorHAnsi"/>
                <w:color w:val="000000"/>
              </w:rPr>
              <w:t xml:space="preserve"> descriptions of partnerships and other organizations working in this space, curricula chosen and if/how tailored, trainings and preparation of staff for delivering services, thoughts on challenges and successes, </w:t>
            </w:r>
            <w:r w:rsidR="0011279D">
              <w:rPr>
                <w:rFonts w:asciiTheme="minorHAnsi" w:hAnsiTheme="minorHAnsi" w:cstheme="minorHAnsi"/>
                <w:color w:val="000000"/>
              </w:rPr>
              <w:t xml:space="preserve">and </w:t>
            </w:r>
            <w:r w:rsidRPr="00D05944">
              <w:rPr>
                <w:rFonts w:asciiTheme="minorHAnsi" w:hAnsiTheme="minorHAnsi" w:cstheme="minorHAnsi"/>
                <w:color w:val="000000"/>
              </w:rPr>
              <w:t>monitoring and evaluation activities</w:t>
            </w:r>
            <w:r w:rsidR="0011279D">
              <w:rPr>
                <w:rFonts w:asciiTheme="minorHAnsi" w:hAnsiTheme="minorHAnsi" w:cstheme="minorHAnsi"/>
                <w:color w:val="000000"/>
              </w:rPr>
              <w:t>;</w:t>
            </w:r>
            <w:r w:rsidRPr="00D05944">
              <w:rPr>
                <w:rFonts w:asciiTheme="minorHAnsi" w:hAnsiTheme="minorHAnsi" w:cstheme="minorHAnsi"/>
                <w:color w:val="000000"/>
              </w:rPr>
              <w:t xml:space="preserve"> use of credit reports by hiring employers. </w:t>
            </w:r>
          </w:p>
          <w:p w:rsidR="00B757E3" w:rsidP="0045173B" w:rsidRDefault="00B757E3" w14:paraId="6975712C" w14:textId="77777777">
            <w:pPr>
              <w:textAlignment w:val="baseline"/>
              <w:rPr>
                <w:rFonts w:asciiTheme="minorHAnsi" w:hAnsiTheme="minorHAnsi" w:cstheme="minorHAnsi"/>
                <w:b/>
                <w:bCs/>
                <w:color w:val="000000"/>
              </w:rPr>
            </w:pPr>
          </w:p>
          <w:p w:rsidRPr="00D05944" w:rsidR="00773D5C" w:rsidP="0019522D" w:rsidRDefault="0045173B" w14:paraId="0F1E8788" w14:textId="5978D800">
            <w:pPr>
              <w:textAlignment w:val="baseline"/>
              <w:rPr>
                <w:rFonts w:asciiTheme="minorHAnsi" w:hAnsiTheme="minorHAnsi" w:cstheme="minorHAnsi"/>
                <w:b/>
              </w:rPr>
            </w:pPr>
            <w:r w:rsidRPr="00D05944">
              <w:rPr>
                <w:rFonts w:asciiTheme="minorHAnsi" w:hAnsiTheme="minorHAnsi" w:cstheme="minorHAnsi"/>
                <w:b/>
                <w:bCs/>
                <w:color w:val="000000"/>
              </w:rPr>
              <w:t>Purpose</w:t>
            </w:r>
            <w:r w:rsidRPr="00D05944">
              <w:rPr>
                <w:rFonts w:asciiTheme="minorHAnsi" w:hAnsiTheme="minorHAnsi" w:cstheme="minorHAnsi"/>
                <w:color w:val="000000"/>
              </w:rPr>
              <w:t>: Collecting qualitative information on E&amp;T programs implementing fin</w:t>
            </w:r>
            <w:r w:rsidR="006E30F1">
              <w:rPr>
                <w:rFonts w:asciiTheme="minorHAnsi" w:hAnsiTheme="minorHAnsi" w:cstheme="minorHAnsi"/>
                <w:color w:val="000000"/>
              </w:rPr>
              <w:t>ancial</w:t>
            </w:r>
            <w:r w:rsidRPr="00D05944">
              <w:rPr>
                <w:rFonts w:asciiTheme="minorHAnsi" w:hAnsiTheme="minorHAnsi" w:cstheme="minorHAnsi"/>
                <w:color w:val="000000"/>
              </w:rPr>
              <w:t xml:space="preserve"> cap</w:t>
            </w:r>
            <w:r w:rsidR="006E30F1">
              <w:rPr>
                <w:rFonts w:asciiTheme="minorHAnsi" w:hAnsiTheme="minorHAnsi" w:cstheme="minorHAnsi"/>
                <w:color w:val="000000"/>
              </w:rPr>
              <w:t>ability services</w:t>
            </w:r>
            <w:r w:rsidRPr="00D05944">
              <w:rPr>
                <w:rFonts w:asciiTheme="minorHAnsi" w:hAnsiTheme="minorHAnsi" w:cstheme="minorHAnsi"/>
                <w:color w:val="000000"/>
              </w:rPr>
              <w:t xml:space="preserve"> across a variety of program types</w:t>
            </w:r>
          </w:p>
        </w:tc>
        <w:tc>
          <w:tcPr>
            <w:tcW w:w="1800" w:type="dxa"/>
          </w:tcPr>
          <w:p w:rsidRPr="00D05944" w:rsidR="0045173B" w:rsidP="0045173B" w:rsidRDefault="0045173B" w14:paraId="4F87D997" w14:textId="77777777">
            <w:pPr>
              <w:pStyle w:val="paragraph"/>
              <w:spacing w:before="0" w:beforeAutospacing="0" w:after="0" w:afterAutospacing="0"/>
              <w:textAlignment w:val="baseline"/>
              <w:rPr>
                <w:rFonts w:asciiTheme="minorHAnsi" w:hAnsiTheme="minorHAnsi" w:cstheme="minorHAnsi"/>
                <w:color w:val="000000"/>
                <w:sz w:val="20"/>
                <w:szCs w:val="20"/>
              </w:rPr>
            </w:pPr>
            <w:r w:rsidRPr="00D05944">
              <w:rPr>
                <w:rStyle w:val="normaltextrun"/>
                <w:rFonts w:asciiTheme="minorHAnsi" w:hAnsiTheme="minorHAnsi" w:cstheme="minorHAnsi"/>
                <w:b/>
                <w:bCs/>
                <w:color w:val="000000"/>
                <w:sz w:val="20"/>
                <w:szCs w:val="20"/>
              </w:rPr>
              <w:t>Mode:</w:t>
            </w:r>
            <w:r w:rsidRPr="00D05944">
              <w:rPr>
                <w:rStyle w:val="normaltextrun"/>
                <w:rFonts w:asciiTheme="minorHAnsi" w:hAnsiTheme="minorHAnsi" w:cstheme="minorHAnsi"/>
                <w:color w:val="000000"/>
                <w:sz w:val="20"/>
                <w:szCs w:val="20"/>
              </w:rPr>
              <w:t> Phone calls or videoconferencing </w:t>
            </w:r>
            <w:r w:rsidRPr="00D05944">
              <w:rPr>
                <w:rStyle w:val="eop"/>
                <w:rFonts w:asciiTheme="minorHAnsi" w:hAnsiTheme="minorHAnsi" w:cstheme="minorHAnsi"/>
                <w:color w:val="000000"/>
                <w:sz w:val="20"/>
                <w:szCs w:val="20"/>
              </w:rPr>
              <w:t> </w:t>
            </w:r>
          </w:p>
          <w:p w:rsidRPr="00D05944" w:rsidR="0045173B" w:rsidP="0045173B" w:rsidRDefault="0045173B" w14:paraId="29B36547" w14:textId="77777777">
            <w:pPr>
              <w:pStyle w:val="paragraph"/>
              <w:spacing w:before="0" w:beforeAutospacing="0" w:after="0" w:afterAutospacing="0"/>
              <w:textAlignment w:val="baseline"/>
              <w:rPr>
                <w:rFonts w:asciiTheme="minorHAnsi" w:hAnsiTheme="minorHAnsi" w:cstheme="minorHAnsi"/>
                <w:color w:val="000000"/>
                <w:sz w:val="20"/>
                <w:szCs w:val="20"/>
              </w:rPr>
            </w:pPr>
            <w:r w:rsidRPr="00D05944">
              <w:rPr>
                <w:rStyle w:val="eop"/>
                <w:rFonts w:asciiTheme="minorHAnsi" w:hAnsiTheme="minorHAnsi" w:cstheme="minorHAnsi"/>
                <w:color w:val="000000"/>
                <w:sz w:val="20"/>
                <w:szCs w:val="20"/>
              </w:rPr>
              <w:t> </w:t>
            </w:r>
          </w:p>
          <w:p w:rsidRPr="00D05944" w:rsidR="0045173B" w:rsidP="0045173B" w:rsidRDefault="0045173B" w14:paraId="62410C17" w14:textId="77777777">
            <w:pPr>
              <w:pStyle w:val="paragraph"/>
              <w:spacing w:before="0" w:beforeAutospacing="0" w:after="0" w:afterAutospacing="0"/>
              <w:textAlignment w:val="baseline"/>
              <w:rPr>
                <w:rFonts w:asciiTheme="minorHAnsi" w:hAnsiTheme="minorHAnsi" w:cstheme="minorHAnsi"/>
                <w:color w:val="000000"/>
                <w:sz w:val="20"/>
                <w:szCs w:val="20"/>
              </w:rPr>
            </w:pPr>
            <w:r w:rsidRPr="00D05944">
              <w:rPr>
                <w:rStyle w:val="normaltextrun"/>
                <w:rFonts w:asciiTheme="minorHAnsi" w:hAnsiTheme="minorHAnsi" w:cstheme="minorHAnsi"/>
                <w:b/>
                <w:bCs/>
                <w:color w:val="000000"/>
                <w:sz w:val="20"/>
                <w:szCs w:val="20"/>
              </w:rPr>
              <w:t>Duration</w:t>
            </w:r>
            <w:r w:rsidRPr="00D05944">
              <w:rPr>
                <w:rStyle w:val="normaltextrun"/>
                <w:rFonts w:asciiTheme="minorHAnsi" w:hAnsiTheme="minorHAnsi" w:cstheme="minorHAnsi"/>
                <w:color w:val="000000"/>
                <w:sz w:val="20"/>
                <w:szCs w:val="20"/>
              </w:rPr>
              <w:t>: 90 minutes</w:t>
            </w:r>
            <w:r w:rsidRPr="00D05944">
              <w:rPr>
                <w:rStyle w:val="eop"/>
                <w:rFonts w:asciiTheme="minorHAnsi" w:hAnsiTheme="minorHAnsi" w:cstheme="minorHAnsi"/>
                <w:color w:val="000000"/>
                <w:sz w:val="20"/>
                <w:szCs w:val="20"/>
              </w:rPr>
              <w:t> </w:t>
            </w:r>
          </w:p>
          <w:p w:rsidRPr="00D05944" w:rsidR="00773D5C" w:rsidP="00BD4146" w:rsidRDefault="00773D5C" w14:paraId="214236E3" w14:textId="77777777">
            <w:pPr>
              <w:rPr>
                <w:rFonts w:asciiTheme="minorHAnsi" w:hAnsiTheme="minorHAnsi" w:cstheme="minorHAnsi"/>
                <w:b/>
              </w:rPr>
            </w:pPr>
          </w:p>
        </w:tc>
      </w:tr>
      <w:tr w:rsidRPr="00D05944" w:rsidR="00773D5C" w:rsidTr="00BD7901" w14:paraId="330D95B3" w14:textId="77777777">
        <w:tc>
          <w:tcPr>
            <w:tcW w:w="1975" w:type="dxa"/>
          </w:tcPr>
          <w:p w:rsidRPr="00D05944" w:rsidR="00773D5C" w:rsidP="00BD4146" w:rsidRDefault="0045173B" w14:paraId="73310C51" w14:textId="5049A196">
            <w:pPr>
              <w:rPr>
                <w:rFonts w:asciiTheme="minorHAnsi" w:hAnsiTheme="minorHAnsi" w:cstheme="minorHAnsi"/>
              </w:rPr>
            </w:pPr>
            <w:r w:rsidRPr="00D05944">
              <w:rPr>
                <w:rFonts w:asciiTheme="minorHAnsi" w:hAnsiTheme="minorHAnsi" w:cstheme="minorHAnsi"/>
              </w:rPr>
              <w:t>Virtual site visit interviews</w:t>
            </w:r>
          </w:p>
        </w:tc>
        <w:tc>
          <w:tcPr>
            <w:tcW w:w="1530" w:type="dxa"/>
          </w:tcPr>
          <w:p w:rsidRPr="00D05944" w:rsidR="00773D5C" w:rsidP="00BD4146" w:rsidRDefault="0045173B" w14:paraId="3BB26BB3" w14:textId="0048F1DD">
            <w:pPr>
              <w:rPr>
                <w:rFonts w:asciiTheme="minorHAnsi" w:hAnsiTheme="minorHAnsi" w:cstheme="minorHAnsi"/>
              </w:rPr>
            </w:pPr>
            <w:r w:rsidRPr="00D05944">
              <w:rPr>
                <w:rFonts w:asciiTheme="minorHAnsi" w:hAnsiTheme="minorHAnsi" w:cstheme="minorHAnsi"/>
              </w:rPr>
              <w:t>Site visit interview guide</w:t>
            </w:r>
            <w:r w:rsidR="009912D5">
              <w:rPr>
                <w:rFonts w:asciiTheme="minorHAnsi" w:hAnsiTheme="minorHAnsi" w:cstheme="minorHAnsi"/>
              </w:rPr>
              <w:t xml:space="preserve"> (Instrument 3)</w:t>
            </w:r>
          </w:p>
        </w:tc>
        <w:tc>
          <w:tcPr>
            <w:tcW w:w="4050" w:type="dxa"/>
          </w:tcPr>
          <w:p w:rsidRPr="00D05944" w:rsidR="0045173B" w:rsidP="0045173B" w:rsidRDefault="0045173B" w14:paraId="17F68691" w14:textId="244E260B">
            <w:pPr>
              <w:rPr>
                <w:rFonts w:asciiTheme="minorHAnsi" w:hAnsiTheme="minorHAnsi" w:cstheme="minorHAnsi"/>
                <w:bCs/>
              </w:rPr>
            </w:pPr>
            <w:r w:rsidRPr="00D05944">
              <w:rPr>
                <w:rFonts w:asciiTheme="minorHAnsi" w:hAnsiTheme="minorHAnsi" w:cstheme="minorHAnsi"/>
                <w:b/>
              </w:rPr>
              <w:t>Respondents</w:t>
            </w:r>
            <w:r w:rsidRPr="00D05944">
              <w:rPr>
                <w:rFonts w:asciiTheme="minorHAnsi" w:hAnsiTheme="minorHAnsi" w:cstheme="minorHAnsi"/>
                <w:bCs/>
              </w:rPr>
              <w:t xml:space="preserve">: Program administrators, staff, and partners of four E&amp;T programs with financial capability interventions </w:t>
            </w:r>
          </w:p>
          <w:p w:rsidRPr="00D05944" w:rsidR="0045173B" w:rsidP="0045173B" w:rsidRDefault="0045173B" w14:paraId="679530AE" w14:textId="77777777">
            <w:pPr>
              <w:rPr>
                <w:rFonts w:asciiTheme="minorHAnsi" w:hAnsiTheme="minorHAnsi" w:cstheme="minorHAnsi"/>
                <w:bCs/>
              </w:rPr>
            </w:pPr>
          </w:p>
          <w:p w:rsidRPr="00D05944" w:rsidR="0045173B" w:rsidP="0045173B" w:rsidRDefault="0045173B" w14:paraId="4A094579" w14:textId="6559DA12">
            <w:pPr>
              <w:rPr>
                <w:rFonts w:asciiTheme="minorHAnsi" w:hAnsiTheme="minorHAnsi" w:cstheme="minorHAnsi"/>
                <w:bCs/>
              </w:rPr>
            </w:pPr>
            <w:r w:rsidRPr="00D05944">
              <w:rPr>
                <w:rFonts w:asciiTheme="minorHAnsi" w:hAnsiTheme="minorHAnsi" w:cstheme="minorHAnsi"/>
                <w:b/>
              </w:rPr>
              <w:t>Content:</w:t>
            </w:r>
            <w:r w:rsidRPr="00D05944">
              <w:rPr>
                <w:rFonts w:asciiTheme="minorHAnsi" w:hAnsiTheme="minorHAnsi" w:cstheme="minorHAnsi"/>
                <w:bCs/>
              </w:rPr>
              <w:t xml:space="preserve"> </w:t>
            </w:r>
            <w:r w:rsidR="00671581">
              <w:rPr>
                <w:rFonts w:asciiTheme="minorHAnsi" w:hAnsiTheme="minorHAnsi" w:cstheme="minorHAnsi"/>
                <w:bCs/>
              </w:rPr>
              <w:t>The virtual site visit</w:t>
            </w:r>
            <w:r w:rsidR="00797F75">
              <w:rPr>
                <w:rFonts w:asciiTheme="minorHAnsi" w:hAnsiTheme="minorHAnsi" w:cstheme="minorHAnsi"/>
                <w:bCs/>
              </w:rPr>
              <w:t xml:space="preserve"> interview</w:t>
            </w:r>
            <w:r w:rsidR="00671581">
              <w:rPr>
                <w:rFonts w:asciiTheme="minorHAnsi" w:hAnsiTheme="minorHAnsi" w:cstheme="minorHAnsi"/>
                <w:bCs/>
              </w:rPr>
              <w:t>s will expand on the same topic areas listed for the phone interviews</w:t>
            </w:r>
            <w:r w:rsidR="002D188B">
              <w:rPr>
                <w:rFonts w:asciiTheme="minorHAnsi" w:hAnsiTheme="minorHAnsi" w:cstheme="minorHAnsi"/>
                <w:bCs/>
              </w:rPr>
              <w:t>, with additional detail</w:t>
            </w:r>
            <w:r w:rsidR="00671581">
              <w:rPr>
                <w:rFonts w:asciiTheme="minorHAnsi" w:hAnsiTheme="minorHAnsi" w:cstheme="minorHAnsi"/>
                <w:bCs/>
              </w:rPr>
              <w:t>.</w:t>
            </w:r>
            <w:r w:rsidRPr="00D05944">
              <w:rPr>
                <w:rFonts w:asciiTheme="minorHAnsi" w:hAnsiTheme="minorHAnsi" w:cstheme="minorHAnsi"/>
                <w:bCs/>
              </w:rPr>
              <w:t xml:space="preserve"> </w:t>
            </w:r>
          </w:p>
          <w:p w:rsidRPr="00D05944" w:rsidR="0045173B" w:rsidP="0045173B" w:rsidRDefault="0045173B" w14:paraId="60BB2260" w14:textId="77777777">
            <w:pPr>
              <w:rPr>
                <w:rFonts w:asciiTheme="minorHAnsi" w:hAnsiTheme="minorHAnsi" w:cstheme="minorHAnsi"/>
                <w:bCs/>
              </w:rPr>
            </w:pPr>
          </w:p>
          <w:p w:rsidRPr="00D05944" w:rsidR="00773D5C" w:rsidP="0045173B" w:rsidRDefault="0045173B" w14:paraId="46DA77A3" w14:textId="5714BAFB">
            <w:pPr>
              <w:rPr>
                <w:rFonts w:asciiTheme="minorHAnsi" w:hAnsiTheme="minorHAnsi" w:cstheme="minorHAnsi"/>
                <w:b/>
              </w:rPr>
            </w:pPr>
            <w:r w:rsidRPr="00D05944">
              <w:rPr>
                <w:rFonts w:asciiTheme="minorHAnsi" w:hAnsiTheme="minorHAnsi" w:cstheme="minorHAnsi"/>
                <w:bCs/>
              </w:rPr>
              <w:t>​</w:t>
            </w:r>
            <w:r w:rsidRPr="00D05944">
              <w:rPr>
                <w:rFonts w:asciiTheme="minorHAnsi" w:hAnsiTheme="minorHAnsi" w:cstheme="minorHAnsi"/>
                <w:b/>
              </w:rPr>
              <w:t>Purpose:</w:t>
            </w:r>
            <w:r w:rsidRPr="00D05944">
              <w:rPr>
                <w:rFonts w:asciiTheme="minorHAnsi" w:hAnsiTheme="minorHAnsi" w:cstheme="minorHAnsi"/>
                <w:bCs/>
              </w:rPr>
              <w:t xml:space="preserve"> Collecting in-depth qualitative information from multiple perspectives on a </w:t>
            </w:r>
            <w:r w:rsidRPr="00D05944">
              <w:rPr>
                <w:rFonts w:asciiTheme="minorHAnsi" w:hAnsiTheme="minorHAnsi" w:cstheme="minorHAnsi"/>
                <w:bCs/>
              </w:rPr>
              <w:lastRenderedPageBreak/>
              <w:t>limited number of notable models of E&amp;T programs implementing fin</w:t>
            </w:r>
            <w:r w:rsidR="00EF66F7">
              <w:rPr>
                <w:rFonts w:asciiTheme="minorHAnsi" w:hAnsiTheme="minorHAnsi" w:cstheme="minorHAnsi"/>
                <w:bCs/>
              </w:rPr>
              <w:t>ancial</w:t>
            </w:r>
            <w:r w:rsidRPr="00D05944">
              <w:rPr>
                <w:rFonts w:asciiTheme="minorHAnsi" w:hAnsiTheme="minorHAnsi" w:cstheme="minorHAnsi"/>
                <w:bCs/>
              </w:rPr>
              <w:t xml:space="preserve"> cap</w:t>
            </w:r>
            <w:r w:rsidR="00EF66F7">
              <w:rPr>
                <w:rFonts w:asciiTheme="minorHAnsi" w:hAnsiTheme="minorHAnsi" w:cstheme="minorHAnsi"/>
                <w:bCs/>
              </w:rPr>
              <w:t>ability services</w:t>
            </w:r>
          </w:p>
        </w:tc>
        <w:tc>
          <w:tcPr>
            <w:tcW w:w="1800" w:type="dxa"/>
          </w:tcPr>
          <w:p w:rsidRPr="00D05944" w:rsidR="0045173B" w:rsidP="0045173B" w:rsidRDefault="0045173B" w14:paraId="55F8B61C" w14:textId="77777777">
            <w:pPr>
              <w:rPr>
                <w:rFonts w:asciiTheme="minorHAnsi" w:hAnsiTheme="minorHAnsi" w:cstheme="minorHAnsi"/>
                <w:bCs/>
              </w:rPr>
            </w:pPr>
            <w:r w:rsidRPr="00D05944">
              <w:rPr>
                <w:rFonts w:asciiTheme="minorHAnsi" w:hAnsiTheme="minorHAnsi" w:cstheme="minorHAnsi"/>
                <w:b/>
              </w:rPr>
              <w:lastRenderedPageBreak/>
              <w:t>Mode</w:t>
            </w:r>
            <w:r w:rsidRPr="00D05944">
              <w:rPr>
                <w:rFonts w:asciiTheme="minorHAnsi" w:hAnsiTheme="minorHAnsi" w:cstheme="minorHAnsi"/>
                <w:bCs/>
              </w:rPr>
              <w:t xml:space="preserve">: Videoconferencing  </w:t>
            </w:r>
          </w:p>
          <w:p w:rsidRPr="00D05944" w:rsidR="0045173B" w:rsidP="0045173B" w:rsidRDefault="0045173B" w14:paraId="416F462F" w14:textId="77777777">
            <w:pPr>
              <w:rPr>
                <w:rFonts w:asciiTheme="minorHAnsi" w:hAnsiTheme="minorHAnsi" w:cstheme="minorHAnsi"/>
                <w:bCs/>
              </w:rPr>
            </w:pPr>
          </w:p>
          <w:p w:rsidRPr="00D05944" w:rsidR="0045173B" w:rsidP="0045173B" w:rsidRDefault="0045173B" w14:paraId="64E45622" w14:textId="77777777">
            <w:pPr>
              <w:rPr>
                <w:rFonts w:asciiTheme="minorHAnsi" w:hAnsiTheme="minorHAnsi" w:cstheme="minorHAnsi"/>
                <w:bCs/>
              </w:rPr>
            </w:pPr>
            <w:r w:rsidRPr="00D05944">
              <w:rPr>
                <w:rFonts w:asciiTheme="minorHAnsi" w:hAnsiTheme="minorHAnsi" w:cstheme="minorHAnsi"/>
                <w:bCs/>
              </w:rPr>
              <w:t xml:space="preserve"> </w:t>
            </w:r>
          </w:p>
          <w:p w:rsidRPr="00D05944" w:rsidR="0045173B" w:rsidP="0045173B" w:rsidRDefault="0045173B" w14:paraId="26C9471F" w14:textId="77777777">
            <w:pPr>
              <w:rPr>
                <w:rFonts w:asciiTheme="minorHAnsi" w:hAnsiTheme="minorHAnsi" w:cstheme="minorHAnsi"/>
                <w:bCs/>
              </w:rPr>
            </w:pPr>
          </w:p>
          <w:p w:rsidRPr="00D05944" w:rsidR="00773D5C" w:rsidP="0045173B" w:rsidRDefault="0045173B" w14:paraId="462C783D" w14:textId="12BA31E7">
            <w:pPr>
              <w:rPr>
                <w:rFonts w:asciiTheme="minorHAnsi" w:hAnsiTheme="minorHAnsi" w:cstheme="minorHAnsi"/>
                <w:bCs/>
              </w:rPr>
            </w:pPr>
            <w:r w:rsidRPr="00D05944">
              <w:rPr>
                <w:rFonts w:asciiTheme="minorHAnsi" w:hAnsiTheme="minorHAnsi" w:cstheme="minorHAnsi"/>
                <w:b/>
              </w:rPr>
              <w:t>Duration</w:t>
            </w:r>
            <w:r w:rsidRPr="00D05944">
              <w:rPr>
                <w:rFonts w:asciiTheme="minorHAnsi" w:hAnsiTheme="minorHAnsi" w:cstheme="minorHAnsi"/>
                <w:bCs/>
              </w:rPr>
              <w:t>: 90-minute interviews</w:t>
            </w:r>
          </w:p>
        </w:tc>
      </w:tr>
      <w:tr w:rsidRPr="00D05944" w:rsidR="00773D5C" w:rsidTr="00BD7901" w14:paraId="740D25E4" w14:textId="77777777">
        <w:tc>
          <w:tcPr>
            <w:tcW w:w="1975" w:type="dxa"/>
          </w:tcPr>
          <w:p w:rsidRPr="00D05944" w:rsidR="00773D5C" w:rsidP="00BD4146" w:rsidRDefault="0045173B" w14:paraId="7A288733" w14:textId="0F8D5E15">
            <w:pPr>
              <w:rPr>
                <w:rFonts w:asciiTheme="minorHAnsi" w:hAnsiTheme="minorHAnsi" w:cstheme="minorHAnsi"/>
              </w:rPr>
            </w:pPr>
            <w:r w:rsidRPr="00D05944">
              <w:rPr>
                <w:rFonts w:asciiTheme="minorHAnsi" w:hAnsiTheme="minorHAnsi" w:cstheme="minorHAnsi"/>
              </w:rPr>
              <w:t>Participant interviews</w:t>
            </w:r>
          </w:p>
        </w:tc>
        <w:tc>
          <w:tcPr>
            <w:tcW w:w="1530" w:type="dxa"/>
          </w:tcPr>
          <w:p w:rsidRPr="00D05944" w:rsidR="00773D5C" w:rsidP="00BD4146" w:rsidRDefault="0045173B" w14:paraId="7FD7A1A4" w14:textId="25B18545">
            <w:pPr>
              <w:rPr>
                <w:rFonts w:asciiTheme="minorHAnsi" w:hAnsiTheme="minorHAnsi" w:cstheme="minorHAnsi"/>
              </w:rPr>
            </w:pPr>
            <w:r w:rsidRPr="00D05944">
              <w:rPr>
                <w:rFonts w:asciiTheme="minorHAnsi" w:hAnsiTheme="minorHAnsi" w:cstheme="minorHAnsi"/>
              </w:rPr>
              <w:t>Participant interview guide</w:t>
            </w:r>
            <w:r w:rsidR="009912D5">
              <w:rPr>
                <w:rFonts w:asciiTheme="minorHAnsi" w:hAnsiTheme="minorHAnsi" w:cstheme="minorHAnsi"/>
              </w:rPr>
              <w:t xml:space="preserve"> (Instrument 4) </w:t>
            </w:r>
          </w:p>
        </w:tc>
        <w:tc>
          <w:tcPr>
            <w:tcW w:w="4050" w:type="dxa"/>
          </w:tcPr>
          <w:p w:rsidRPr="00D05944" w:rsidR="0045173B" w:rsidP="0045173B" w:rsidRDefault="0045173B" w14:paraId="5C6888E7" w14:textId="54A2C5EC">
            <w:pPr>
              <w:rPr>
                <w:rFonts w:asciiTheme="minorHAnsi" w:hAnsiTheme="minorHAnsi" w:cstheme="minorHAnsi"/>
                <w:bCs/>
              </w:rPr>
            </w:pPr>
            <w:r w:rsidRPr="00D05944">
              <w:rPr>
                <w:rFonts w:asciiTheme="minorHAnsi" w:hAnsiTheme="minorHAnsi" w:cstheme="minorHAnsi"/>
                <w:b/>
              </w:rPr>
              <w:t>Respondents</w:t>
            </w:r>
            <w:r w:rsidRPr="00D05944">
              <w:rPr>
                <w:rFonts w:asciiTheme="minorHAnsi" w:hAnsiTheme="minorHAnsi" w:cstheme="minorHAnsi"/>
                <w:bCs/>
              </w:rPr>
              <w:t>: Current and recent program participants in financial capability interventions delivered through E&amp;T programs</w:t>
            </w:r>
          </w:p>
          <w:p w:rsidR="0019522D" w:rsidP="0045173B" w:rsidRDefault="0019522D" w14:paraId="15DCD905" w14:textId="77777777">
            <w:pPr>
              <w:rPr>
                <w:rFonts w:asciiTheme="minorHAnsi" w:hAnsiTheme="minorHAnsi" w:cstheme="minorHAnsi"/>
                <w:b/>
              </w:rPr>
            </w:pPr>
          </w:p>
          <w:p w:rsidRPr="00D05944" w:rsidR="0045173B" w:rsidP="0045173B" w:rsidRDefault="0045173B" w14:paraId="14536F47" w14:textId="3745E919">
            <w:pPr>
              <w:rPr>
                <w:rFonts w:asciiTheme="minorHAnsi" w:hAnsiTheme="minorHAnsi" w:cstheme="minorHAnsi"/>
                <w:bCs/>
              </w:rPr>
            </w:pPr>
            <w:r w:rsidRPr="00D05944">
              <w:rPr>
                <w:rFonts w:asciiTheme="minorHAnsi" w:hAnsiTheme="minorHAnsi" w:cstheme="minorHAnsi"/>
                <w:b/>
              </w:rPr>
              <w:t>Content</w:t>
            </w:r>
            <w:r w:rsidRPr="00D05944">
              <w:rPr>
                <w:rFonts w:asciiTheme="minorHAnsi" w:hAnsiTheme="minorHAnsi" w:cstheme="minorHAnsi"/>
                <w:bCs/>
              </w:rPr>
              <w:t>: Experiences with fin</w:t>
            </w:r>
            <w:r w:rsidR="00EF66F7">
              <w:rPr>
                <w:rFonts w:asciiTheme="minorHAnsi" w:hAnsiTheme="minorHAnsi" w:cstheme="minorHAnsi"/>
                <w:bCs/>
              </w:rPr>
              <w:t>ancial</w:t>
            </w:r>
            <w:r w:rsidRPr="00D05944">
              <w:rPr>
                <w:rFonts w:asciiTheme="minorHAnsi" w:hAnsiTheme="minorHAnsi" w:cstheme="minorHAnsi"/>
                <w:bCs/>
              </w:rPr>
              <w:t xml:space="preserve"> cap</w:t>
            </w:r>
            <w:r w:rsidR="00EF66F7">
              <w:rPr>
                <w:rFonts w:asciiTheme="minorHAnsi" w:hAnsiTheme="minorHAnsi" w:cstheme="minorHAnsi"/>
                <w:bCs/>
              </w:rPr>
              <w:t>ability</w:t>
            </w:r>
            <w:r w:rsidRPr="00D05944">
              <w:rPr>
                <w:rFonts w:asciiTheme="minorHAnsi" w:hAnsiTheme="minorHAnsi" w:cstheme="minorHAnsi"/>
                <w:bCs/>
              </w:rPr>
              <w:t xml:space="preserve"> interventions delivered through E&amp;T programs; reasons for participating</w:t>
            </w:r>
            <w:r w:rsidR="0011279D">
              <w:rPr>
                <w:rFonts w:asciiTheme="minorHAnsi" w:hAnsiTheme="minorHAnsi" w:cstheme="minorHAnsi"/>
                <w:bCs/>
              </w:rPr>
              <w:t>;</w:t>
            </w:r>
            <w:r w:rsidRPr="00D05944">
              <w:rPr>
                <w:rFonts w:asciiTheme="minorHAnsi" w:hAnsiTheme="minorHAnsi" w:cstheme="minorHAnsi"/>
                <w:bCs/>
              </w:rPr>
              <w:t xml:space="preserve"> whether participants thought services met their needs</w:t>
            </w:r>
            <w:r w:rsidR="0011279D">
              <w:rPr>
                <w:rFonts w:asciiTheme="minorHAnsi" w:hAnsiTheme="minorHAnsi" w:cstheme="minorHAnsi"/>
                <w:bCs/>
              </w:rPr>
              <w:t xml:space="preserve"> and</w:t>
            </w:r>
            <w:r w:rsidRPr="00D05944">
              <w:rPr>
                <w:rFonts w:asciiTheme="minorHAnsi" w:hAnsiTheme="minorHAnsi" w:cstheme="minorHAnsi"/>
                <w:bCs/>
              </w:rPr>
              <w:t xml:space="preserve"> expectations</w:t>
            </w:r>
            <w:r w:rsidR="0011279D">
              <w:rPr>
                <w:rFonts w:asciiTheme="minorHAnsi" w:hAnsiTheme="minorHAnsi" w:cstheme="minorHAnsi"/>
                <w:bCs/>
              </w:rPr>
              <w:t>;</w:t>
            </w:r>
            <w:r w:rsidRPr="00D05944">
              <w:rPr>
                <w:rFonts w:asciiTheme="minorHAnsi" w:hAnsiTheme="minorHAnsi" w:cstheme="minorHAnsi"/>
                <w:bCs/>
              </w:rPr>
              <w:t xml:space="preserve"> whether they found the services useful</w:t>
            </w:r>
            <w:r w:rsidR="0011279D">
              <w:rPr>
                <w:rFonts w:asciiTheme="minorHAnsi" w:hAnsiTheme="minorHAnsi" w:cstheme="minorHAnsi"/>
                <w:bCs/>
              </w:rPr>
              <w:t>;</w:t>
            </w:r>
            <w:r w:rsidRPr="00D05944">
              <w:rPr>
                <w:rFonts w:asciiTheme="minorHAnsi" w:hAnsiTheme="minorHAnsi" w:cstheme="minorHAnsi"/>
                <w:bCs/>
              </w:rPr>
              <w:t xml:space="preserve"> how they see financial capability intersecting with their experiences finding a job, maintaining a job once they have found it, and improving their financial well-being after they exit the program (including in overcoming challenges and supporting their well-being in smaller ways)</w:t>
            </w:r>
            <w:r w:rsidR="0011279D">
              <w:rPr>
                <w:rFonts w:asciiTheme="minorHAnsi" w:hAnsiTheme="minorHAnsi" w:cstheme="minorHAnsi"/>
                <w:bCs/>
              </w:rPr>
              <w:t>;</w:t>
            </w:r>
            <w:r w:rsidRPr="00D05944">
              <w:rPr>
                <w:rFonts w:asciiTheme="minorHAnsi" w:hAnsiTheme="minorHAnsi" w:cstheme="minorHAnsi"/>
                <w:bCs/>
              </w:rPr>
              <w:t xml:space="preserve"> participants</w:t>
            </w:r>
            <w:r w:rsidR="0011279D">
              <w:rPr>
                <w:rFonts w:asciiTheme="minorHAnsi" w:hAnsiTheme="minorHAnsi" w:cstheme="minorHAnsi"/>
                <w:bCs/>
              </w:rPr>
              <w:t>’</w:t>
            </w:r>
            <w:r w:rsidRPr="00D05944">
              <w:rPr>
                <w:rFonts w:asciiTheme="minorHAnsi" w:hAnsiTheme="minorHAnsi" w:cstheme="minorHAnsi"/>
                <w:bCs/>
              </w:rPr>
              <w:t xml:space="preserve"> aware</w:t>
            </w:r>
            <w:r w:rsidR="0011279D">
              <w:rPr>
                <w:rFonts w:asciiTheme="minorHAnsi" w:hAnsiTheme="minorHAnsi" w:cstheme="minorHAnsi"/>
                <w:bCs/>
              </w:rPr>
              <w:t>ness</w:t>
            </w:r>
            <w:r w:rsidRPr="00D05944">
              <w:rPr>
                <w:rFonts w:asciiTheme="minorHAnsi" w:hAnsiTheme="minorHAnsi" w:cstheme="minorHAnsi"/>
                <w:bCs/>
              </w:rPr>
              <w:t xml:space="preserve"> that employers may screen credit reports in the hiring process. </w:t>
            </w:r>
          </w:p>
          <w:p w:rsidRPr="00D05944" w:rsidR="0045173B" w:rsidP="0045173B" w:rsidRDefault="0045173B" w14:paraId="5FE0B116" w14:textId="77777777">
            <w:pPr>
              <w:rPr>
                <w:rFonts w:asciiTheme="minorHAnsi" w:hAnsiTheme="minorHAnsi" w:cstheme="minorHAnsi"/>
                <w:bCs/>
              </w:rPr>
            </w:pPr>
          </w:p>
          <w:p w:rsidRPr="00D05944" w:rsidR="00773D5C" w:rsidP="0045173B" w:rsidRDefault="0045173B" w14:paraId="0E6102FF" w14:textId="49F67EF8">
            <w:pPr>
              <w:rPr>
                <w:rFonts w:asciiTheme="minorHAnsi" w:hAnsiTheme="minorHAnsi" w:cstheme="minorHAnsi"/>
                <w:b/>
              </w:rPr>
            </w:pPr>
            <w:r w:rsidRPr="00D05944">
              <w:rPr>
                <w:rFonts w:asciiTheme="minorHAnsi" w:hAnsiTheme="minorHAnsi" w:cstheme="minorHAnsi"/>
                <w:bCs/>
              </w:rPr>
              <w:t>​</w:t>
            </w:r>
            <w:r w:rsidRPr="00D05944">
              <w:rPr>
                <w:rFonts w:asciiTheme="minorHAnsi" w:hAnsiTheme="minorHAnsi" w:cstheme="minorHAnsi"/>
                <w:b/>
              </w:rPr>
              <w:t>Purpose</w:t>
            </w:r>
            <w:r w:rsidRPr="00D05944">
              <w:rPr>
                <w:rFonts w:asciiTheme="minorHAnsi" w:hAnsiTheme="minorHAnsi" w:cstheme="minorHAnsi"/>
                <w:bCs/>
              </w:rPr>
              <w:t>: To support a brief specifically on participant perspectives and contextualize a brief on the use of credit reports in employment. We will also include questions to gather participant feedback on how E&amp;T programs could better provide financial capability services.</w:t>
            </w:r>
          </w:p>
        </w:tc>
        <w:tc>
          <w:tcPr>
            <w:tcW w:w="1800" w:type="dxa"/>
          </w:tcPr>
          <w:p w:rsidRPr="00D05944" w:rsidR="0045173B" w:rsidP="0045173B" w:rsidRDefault="0045173B" w14:paraId="12897B13" w14:textId="77777777">
            <w:pPr>
              <w:rPr>
                <w:rFonts w:asciiTheme="minorHAnsi" w:hAnsiTheme="minorHAnsi" w:cstheme="minorHAnsi"/>
                <w:bCs/>
              </w:rPr>
            </w:pPr>
            <w:r w:rsidRPr="00D05944">
              <w:rPr>
                <w:rFonts w:asciiTheme="minorHAnsi" w:hAnsiTheme="minorHAnsi" w:cstheme="minorHAnsi"/>
                <w:b/>
              </w:rPr>
              <w:t>Mode</w:t>
            </w:r>
            <w:r w:rsidRPr="00D05944">
              <w:rPr>
                <w:rFonts w:asciiTheme="minorHAnsi" w:hAnsiTheme="minorHAnsi" w:cstheme="minorHAnsi"/>
                <w:bCs/>
              </w:rPr>
              <w:t xml:space="preserve">: Phone calls or videoconferencing  </w:t>
            </w:r>
          </w:p>
          <w:p w:rsidRPr="00D05944" w:rsidR="0045173B" w:rsidP="0045173B" w:rsidRDefault="0045173B" w14:paraId="3F434797" w14:textId="77777777">
            <w:pPr>
              <w:rPr>
                <w:rFonts w:asciiTheme="minorHAnsi" w:hAnsiTheme="minorHAnsi" w:cstheme="minorHAnsi"/>
                <w:bCs/>
              </w:rPr>
            </w:pPr>
          </w:p>
          <w:p w:rsidRPr="00D05944" w:rsidR="0045173B" w:rsidP="0045173B" w:rsidRDefault="0045173B" w14:paraId="131E54D5" w14:textId="77777777">
            <w:pPr>
              <w:rPr>
                <w:rFonts w:asciiTheme="minorHAnsi" w:hAnsiTheme="minorHAnsi" w:cstheme="minorHAnsi"/>
                <w:bCs/>
              </w:rPr>
            </w:pPr>
            <w:r w:rsidRPr="00D05944">
              <w:rPr>
                <w:rFonts w:asciiTheme="minorHAnsi" w:hAnsiTheme="minorHAnsi" w:cstheme="minorHAnsi"/>
                <w:bCs/>
              </w:rPr>
              <w:t xml:space="preserve"> </w:t>
            </w:r>
          </w:p>
          <w:p w:rsidRPr="00D05944" w:rsidR="0045173B" w:rsidP="0045173B" w:rsidRDefault="0045173B" w14:paraId="0DA93537" w14:textId="77777777">
            <w:pPr>
              <w:rPr>
                <w:rFonts w:asciiTheme="minorHAnsi" w:hAnsiTheme="minorHAnsi" w:cstheme="minorHAnsi"/>
                <w:bCs/>
              </w:rPr>
            </w:pPr>
          </w:p>
          <w:p w:rsidRPr="00D05944" w:rsidR="00773D5C" w:rsidP="0045173B" w:rsidRDefault="0045173B" w14:paraId="3ABCB233" w14:textId="68D7C87C">
            <w:pPr>
              <w:rPr>
                <w:rFonts w:asciiTheme="minorHAnsi" w:hAnsiTheme="minorHAnsi" w:cstheme="minorHAnsi"/>
                <w:bCs/>
              </w:rPr>
            </w:pPr>
            <w:r w:rsidRPr="00D05944">
              <w:rPr>
                <w:rFonts w:asciiTheme="minorHAnsi" w:hAnsiTheme="minorHAnsi" w:cstheme="minorHAnsi"/>
                <w:bCs/>
              </w:rPr>
              <w:t>​</w:t>
            </w:r>
            <w:r w:rsidRPr="00D05944">
              <w:rPr>
                <w:rFonts w:asciiTheme="minorHAnsi" w:hAnsiTheme="minorHAnsi" w:cstheme="minorHAnsi"/>
                <w:b/>
              </w:rPr>
              <w:t>Duration</w:t>
            </w:r>
            <w:r w:rsidRPr="00D05944">
              <w:rPr>
                <w:rFonts w:asciiTheme="minorHAnsi" w:hAnsiTheme="minorHAnsi" w:cstheme="minorHAnsi"/>
                <w:bCs/>
              </w:rPr>
              <w:t xml:space="preserve">: 90 minutes </w:t>
            </w:r>
          </w:p>
        </w:tc>
      </w:tr>
      <w:tr w:rsidRPr="00D05944" w:rsidR="00773D5C" w:rsidTr="00BD7901" w14:paraId="0B154E72" w14:textId="77777777">
        <w:tc>
          <w:tcPr>
            <w:tcW w:w="1975" w:type="dxa"/>
          </w:tcPr>
          <w:p w:rsidRPr="00D05944" w:rsidR="00773D5C" w:rsidP="00BD4146" w:rsidRDefault="003D4E41" w14:paraId="3077AE28" w14:textId="26C07504">
            <w:pPr>
              <w:rPr>
                <w:rFonts w:asciiTheme="minorHAnsi" w:hAnsiTheme="minorHAnsi" w:cstheme="minorHAnsi"/>
              </w:rPr>
            </w:pPr>
            <w:r w:rsidRPr="00D05944">
              <w:rPr>
                <w:rFonts w:asciiTheme="minorHAnsi" w:hAnsiTheme="minorHAnsi" w:cstheme="minorHAnsi"/>
              </w:rPr>
              <w:t>Employer interviews</w:t>
            </w:r>
          </w:p>
        </w:tc>
        <w:tc>
          <w:tcPr>
            <w:tcW w:w="1530" w:type="dxa"/>
          </w:tcPr>
          <w:p w:rsidRPr="00D05944" w:rsidR="00773D5C" w:rsidP="00BD4146" w:rsidRDefault="003D4E41" w14:paraId="7A610F7E" w14:textId="0C4D19D1">
            <w:pPr>
              <w:rPr>
                <w:rFonts w:asciiTheme="minorHAnsi" w:hAnsiTheme="minorHAnsi" w:cstheme="minorHAnsi"/>
              </w:rPr>
            </w:pPr>
            <w:r w:rsidRPr="00D05944">
              <w:rPr>
                <w:rFonts w:asciiTheme="minorHAnsi" w:hAnsiTheme="minorHAnsi" w:cstheme="minorHAnsi"/>
              </w:rPr>
              <w:t>Employer in</w:t>
            </w:r>
            <w:r w:rsidR="009912D5">
              <w:rPr>
                <w:rFonts w:asciiTheme="minorHAnsi" w:hAnsiTheme="minorHAnsi" w:cstheme="minorHAnsi"/>
              </w:rPr>
              <w:t>t</w:t>
            </w:r>
            <w:r w:rsidRPr="00D05944">
              <w:rPr>
                <w:rFonts w:asciiTheme="minorHAnsi" w:hAnsiTheme="minorHAnsi" w:cstheme="minorHAnsi"/>
              </w:rPr>
              <w:t>erview guide</w:t>
            </w:r>
            <w:r w:rsidR="009912D5">
              <w:rPr>
                <w:rFonts w:asciiTheme="minorHAnsi" w:hAnsiTheme="minorHAnsi" w:cstheme="minorHAnsi"/>
              </w:rPr>
              <w:t xml:space="preserve"> (Instrument 5)</w:t>
            </w:r>
          </w:p>
        </w:tc>
        <w:tc>
          <w:tcPr>
            <w:tcW w:w="4050" w:type="dxa"/>
          </w:tcPr>
          <w:p w:rsidRPr="00D05944" w:rsidR="003D4E41" w:rsidP="003D4E41" w:rsidRDefault="003D4E41" w14:paraId="75990A74" w14:textId="422047DA">
            <w:pPr>
              <w:rPr>
                <w:rFonts w:asciiTheme="minorHAnsi" w:hAnsiTheme="minorHAnsi" w:cstheme="minorHAnsi"/>
                <w:bCs/>
              </w:rPr>
            </w:pPr>
            <w:r w:rsidRPr="00D05944">
              <w:rPr>
                <w:rFonts w:asciiTheme="minorHAnsi" w:hAnsiTheme="minorHAnsi" w:cstheme="minorHAnsi"/>
                <w:b/>
              </w:rPr>
              <w:t>Respondents</w:t>
            </w:r>
            <w:r w:rsidRPr="00D05944">
              <w:rPr>
                <w:rFonts w:asciiTheme="minorHAnsi" w:hAnsiTheme="minorHAnsi" w:cstheme="minorHAnsi"/>
                <w:bCs/>
              </w:rPr>
              <w:t xml:space="preserve">: Program administrators (typically HR representatives) for employer-based financial capability programs for low-income adults, and/or firm or organization managers or leadership involved in the organization decision making related to program adoption or operation </w:t>
            </w:r>
          </w:p>
          <w:p w:rsidRPr="00D05944" w:rsidR="003D4E41" w:rsidP="003D4E41" w:rsidRDefault="003D4E41" w14:paraId="0B3307A5" w14:textId="77777777">
            <w:pPr>
              <w:rPr>
                <w:rFonts w:asciiTheme="minorHAnsi" w:hAnsiTheme="minorHAnsi" w:cstheme="minorHAnsi"/>
                <w:bCs/>
              </w:rPr>
            </w:pPr>
          </w:p>
          <w:p w:rsidRPr="00D05944" w:rsidR="003D4E41" w:rsidP="003D4E41" w:rsidRDefault="003D4E41" w14:paraId="3FB8F007" w14:textId="04530F76">
            <w:pPr>
              <w:rPr>
                <w:rFonts w:asciiTheme="minorHAnsi" w:hAnsiTheme="minorHAnsi" w:cstheme="minorHAnsi"/>
                <w:bCs/>
              </w:rPr>
            </w:pPr>
            <w:r w:rsidRPr="00D05944">
              <w:rPr>
                <w:rFonts w:asciiTheme="minorHAnsi" w:hAnsiTheme="minorHAnsi" w:cstheme="minorHAnsi"/>
                <w:b/>
              </w:rPr>
              <w:t>Content</w:t>
            </w:r>
            <w:r w:rsidRPr="00D05944">
              <w:rPr>
                <w:rFonts w:asciiTheme="minorHAnsi" w:hAnsiTheme="minorHAnsi" w:cstheme="minorHAnsi"/>
                <w:bCs/>
              </w:rPr>
              <w:t>: Description of fin</w:t>
            </w:r>
            <w:r w:rsidR="00EF66F7">
              <w:rPr>
                <w:rFonts w:asciiTheme="minorHAnsi" w:hAnsiTheme="minorHAnsi" w:cstheme="minorHAnsi"/>
                <w:bCs/>
              </w:rPr>
              <w:t>ancial</w:t>
            </w:r>
            <w:r w:rsidRPr="00D05944">
              <w:rPr>
                <w:rFonts w:asciiTheme="minorHAnsi" w:hAnsiTheme="minorHAnsi" w:cstheme="minorHAnsi"/>
                <w:bCs/>
              </w:rPr>
              <w:t xml:space="preserve"> cap</w:t>
            </w:r>
            <w:r w:rsidR="00EF66F7">
              <w:rPr>
                <w:rFonts w:asciiTheme="minorHAnsi" w:hAnsiTheme="minorHAnsi" w:cstheme="minorHAnsi"/>
                <w:bCs/>
              </w:rPr>
              <w:t>ability</w:t>
            </w:r>
            <w:r w:rsidRPr="00D05944">
              <w:rPr>
                <w:rFonts w:asciiTheme="minorHAnsi" w:hAnsiTheme="minorHAnsi" w:cstheme="minorHAnsi"/>
                <w:bCs/>
              </w:rPr>
              <w:t xml:space="preserve"> services, components, </w:t>
            </w:r>
            <w:r w:rsidR="00DE2603">
              <w:rPr>
                <w:rFonts w:asciiTheme="minorHAnsi" w:hAnsiTheme="minorHAnsi" w:cstheme="minorHAnsi"/>
                <w:bCs/>
              </w:rPr>
              <w:t xml:space="preserve">and </w:t>
            </w:r>
            <w:r w:rsidRPr="00D05944">
              <w:rPr>
                <w:rFonts w:asciiTheme="minorHAnsi" w:hAnsiTheme="minorHAnsi" w:cstheme="minorHAnsi"/>
                <w:bCs/>
              </w:rPr>
              <w:t>how they fit in the context of the employer</w:t>
            </w:r>
            <w:r w:rsidR="00DE2603">
              <w:rPr>
                <w:rFonts w:asciiTheme="minorHAnsi" w:hAnsiTheme="minorHAnsi" w:cstheme="minorHAnsi"/>
                <w:bCs/>
              </w:rPr>
              <w:t>;</w:t>
            </w:r>
            <w:r w:rsidRPr="00D05944">
              <w:rPr>
                <w:rFonts w:asciiTheme="minorHAnsi" w:hAnsiTheme="minorHAnsi" w:cstheme="minorHAnsi"/>
                <w:bCs/>
              </w:rPr>
              <w:t xml:space="preserve"> why the employer chose to include fin</w:t>
            </w:r>
            <w:r w:rsidR="00EF66F7">
              <w:rPr>
                <w:rFonts w:asciiTheme="minorHAnsi" w:hAnsiTheme="minorHAnsi" w:cstheme="minorHAnsi"/>
                <w:bCs/>
              </w:rPr>
              <w:t>ancial</w:t>
            </w:r>
            <w:r w:rsidRPr="00D05944">
              <w:rPr>
                <w:rFonts w:asciiTheme="minorHAnsi" w:hAnsiTheme="minorHAnsi" w:cstheme="minorHAnsi"/>
                <w:bCs/>
              </w:rPr>
              <w:t xml:space="preserve"> cap</w:t>
            </w:r>
            <w:r w:rsidR="00EF66F7">
              <w:rPr>
                <w:rFonts w:asciiTheme="minorHAnsi" w:hAnsiTheme="minorHAnsi" w:cstheme="minorHAnsi"/>
                <w:bCs/>
              </w:rPr>
              <w:t>ability</w:t>
            </w:r>
            <w:r w:rsidRPr="00D05944">
              <w:rPr>
                <w:rFonts w:asciiTheme="minorHAnsi" w:hAnsiTheme="minorHAnsi" w:cstheme="minorHAnsi"/>
                <w:bCs/>
              </w:rPr>
              <w:t xml:space="preserve"> services</w:t>
            </w:r>
            <w:r w:rsidR="00DE2603">
              <w:rPr>
                <w:rFonts w:asciiTheme="minorHAnsi" w:hAnsiTheme="minorHAnsi" w:cstheme="minorHAnsi"/>
                <w:bCs/>
              </w:rPr>
              <w:t>;</w:t>
            </w:r>
            <w:r w:rsidRPr="00D05944">
              <w:rPr>
                <w:rFonts w:asciiTheme="minorHAnsi" w:hAnsiTheme="minorHAnsi" w:cstheme="minorHAnsi"/>
                <w:bCs/>
              </w:rPr>
              <w:t xml:space="preserve"> how staff or partners are prepared to deliver fin</w:t>
            </w:r>
            <w:r w:rsidR="004D7C0C">
              <w:rPr>
                <w:rFonts w:asciiTheme="minorHAnsi" w:hAnsiTheme="minorHAnsi" w:cstheme="minorHAnsi"/>
                <w:bCs/>
              </w:rPr>
              <w:t>ancial</w:t>
            </w:r>
            <w:r w:rsidRPr="00D05944">
              <w:rPr>
                <w:rFonts w:asciiTheme="minorHAnsi" w:hAnsiTheme="minorHAnsi" w:cstheme="minorHAnsi"/>
                <w:bCs/>
              </w:rPr>
              <w:t xml:space="preserve"> cap</w:t>
            </w:r>
            <w:r w:rsidR="004D7C0C">
              <w:rPr>
                <w:rFonts w:asciiTheme="minorHAnsi" w:hAnsiTheme="minorHAnsi" w:cstheme="minorHAnsi"/>
                <w:bCs/>
              </w:rPr>
              <w:t>ability</w:t>
            </w:r>
            <w:r w:rsidRPr="00D05944">
              <w:rPr>
                <w:rFonts w:asciiTheme="minorHAnsi" w:hAnsiTheme="minorHAnsi" w:cstheme="minorHAnsi"/>
                <w:bCs/>
              </w:rPr>
              <w:t xml:space="preserve"> services</w:t>
            </w:r>
            <w:r w:rsidR="00DE2603">
              <w:rPr>
                <w:rFonts w:asciiTheme="minorHAnsi" w:hAnsiTheme="minorHAnsi" w:cstheme="minorHAnsi"/>
                <w:bCs/>
              </w:rPr>
              <w:t>;</w:t>
            </w:r>
            <w:r w:rsidRPr="00D05944">
              <w:rPr>
                <w:rFonts w:asciiTheme="minorHAnsi" w:hAnsiTheme="minorHAnsi" w:cstheme="minorHAnsi"/>
                <w:bCs/>
              </w:rPr>
              <w:t xml:space="preserve"> </w:t>
            </w:r>
            <w:r w:rsidR="00DE2603">
              <w:rPr>
                <w:rFonts w:asciiTheme="minorHAnsi" w:hAnsiTheme="minorHAnsi" w:cstheme="minorHAnsi"/>
                <w:bCs/>
              </w:rPr>
              <w:t xml:space="preserve">program </w:t>
            </w:r>
            <w:r w:rsidRPr="00D05944">
              <w:rPr>
                <w:rFonts w:asciiTheme="minorHAnsi" w:hAnsiTheme="minorHAnsi" w:cstheme="minorHAnsi"/>
                <w:bCs/>
              </w:rPr>
              <w:t>implementation</w:t>
            </w:r>
            <w:r w:rsidR="00DE2603">
              <w:rPr>
                <w:rFonts w:asciiTheme="minorHAnsi" w:hAnsiTheme="minorHAnsi" w:cstheme="minorHAnsi"/>
                <w:bCs/>
              </w:rPr>
              <w:t>;</w:t>
            </w:r>
            <w:r w:rsidRPr="00D05944">
              <w:rPr>
                <w:rFonts w:asciiTheme="minorHAnsi" w:hAnsiTheme="minorHAnsi" w:cstheme="minorHAnsi"/>
                <w:bCs/>
              </w:rPr>
              <w:t xml:space="preserve"> </w:t>
            </w:r>
            <w:r w:rsidR="00DE2603">
              <w:rPr>
                <w:rFonts w:asciiTheme="minorHAnsi" w:hAnsiTheme="minorHAnsi" w:cstheme="minorHAnsi"/>
                <w:bCs/>
              </w:rPr>
              <w:t xml:space="preserve">descriptions of </w:t>
            </w:r>
            <w:r w:rsidRPr="00D05944">
              <w:rPr>
                <w:rFonts w:asciiTheme="minorHAnsi" w:hAnsiTheme="minorHAnsi" w:cstheme="minorHAnsi"/>
                <w:bCs/>
              </w:rPr>
              <w:t>partnership</w:t>
            </w:r>
            <w:r w:rsidR="00DE2603">
              <w:rPr>
                <w:rFonts w:asciiTheme="minorHAnsi" w:hAnsiTheme="minorHAnsi" w:cstheme="minorHAnsi"/>
                <w:bCs/>
              </w:rPr>
              <w:t>s</w:t>
            </w:r>
            <w:r w:rsidRPr="00D05944">
              <w:rPr>
                <w:rFonts w:asciiTheme="minorHAnsi" w:hAnsiTheme="minorHAnsi" w:cstheme="minorHAnsi"/>
                <w:bCs/>
              </w:rPr>
              <w:t xml:space="preserve">, curricula chosen and if/how </w:t>
            </w:r>
            <w:r w:rsidR="00DE2603">
              <w:rPr>
                <w:rFonts w:asciiTheme="minorHAnsi" w:hAnsiTheme="minorHAnsi" w:cstheme="minorHAnsi"/>
                <w:bCs/>
              </w:rPr>
              <w:t xml:space="preserve">they were </w:t>
            </w:r>
            <w:r w:rsidRPr="00D05944">
              <w:rPr>
                <w:rFonts w:asciiTheme="minorHAnsi" w:hAnsiTheme="minorHAnsi" w:cstheme="minorHAnsi"/>
                <w:bCs/>
              </w:rPr>
              <w:t>tailored</w:t>
            </w:r>
            <w:r w:rsidR="00DE2603">
              <w:rPr>
                <w:rFonts w:asciiTheme="minorHAnsi" w:hAnsiTheme="minorHAnsi" w:cstheme="minorHAnsi"/>
                <w:bCs/>
              </w:rPr>
              <w:t>;</w:t>
            </w:r>
            <w:r w:rsidRPr="00D05944">
              <w:rPr>
                <w:rFonts w:asciiTheme="minorHAnsi" w:hAnsiTheme="minorHAnsi" w:cstheme="minorHAnsi"/>
                <w:bCs/>
              </w:rPr>
              <w:t xml:space="preserve"> challenges and successes including perceived impact on participants’ financial well-being</w:t>
            </w:r>
            <w:r w:rsidR="00DE2603">
              <w:rPr>
                <w:rFonts w:asciiTheme="minorHAnsi" w:hAnsiTheme="minorHAnsi" w:cstheme="minorHAnsi"/>
                <w:bCs/>
              </w:rPr>
              <w:t>;</w:t>
            </w:r>
            <w:r w:rsidRPr="00D05944">
              <w:rPr>
                <w:rFonts w:asciiTheme="minorHAnsi" w:hAnsiTheme="minorHAnsi" w:cstheme="minorHAnsi"/>
                <w:bCs/>
              </w:rPr>
              <w:t xml:space="preserve"> use of credit reports by hiring employers</w:t>
            </w:r>
            <w:r w:rsidR="00DE2603">
              <w:rPr>
                <w:rFonts w:asciiTheme="minorHAnsi" w:hAnsiTheme="minorHAnsi" w:cstheme="minorHAnsi"/>
                <w:bCs/>
              </w:rPr>
              <w:t>.</w:t>
            </w:r>
          </w:p>
          <w:p w:rsidRPr="00D05944" w:rsidR="003D4E41" w:rsidP="003D4E41" w:rsidRDefault="003D4E41" w14:paraId="34DD0107" w14:textId="77777777">
            <w:pPr>
              <w:rPr>
                <w:rFonts w:asciiTheme="minorHAnsi" w:hAnsiTheme="minorHAnsi" w:cstheme="minorHAnsi"/>
                <w:bCs/>
              </w:rPr>
            </w:pPr>
          </w:p>
          <w:p w:rsidRPr="00D05944" w:rsidR="00773D5C" w:rsidP="003D4E41" w:rsidRDefault="003D4E41" w14:paraId="789C423E" w14:textId="1EB70630">
            <w:pPr>
              <w:rPr>
                <w:rFonts w:asciiTheme="minorHAnsi" w:hAnsiTheme="minorHAnsi" w:cstheme="minorHAnsi"/>
                <w:b/>
              </w:rPr>
            </w:pPr>
            <w:r w:rsidRPr="00D05944">
              <w:rPr>
                <w:rFonts w:asciiTheme="minorHAnsi" w:hAnsiTheme="minorHAnsi" w:cstheme="minorHAnsi"/>
                <w:b/>
              </w:rPr>
              <w:t>Purpose</w:t>
            </w:r>
            <w:r w:rsidRPr="00D05944">
              <w:rPr>
                <w:rFonts w:asciiTheme="minorHAnsi" w:hAnsiTheme="minorHAnsi" w:cstheme="minorHAnsi"/>
                <w:bCs/>
              </w:rPr>
              <w:t xml:space="preserve">: Collecting qualitative information on a variety of employer-based financial </w:t>
            </w:r>
            <w:r w:rsidRPr="00D05944">
              <w:rPr>
                <w:rFonts w:asciiTheme="minorHAnsi" w:hAnsiTheme="minorHAnsi" w:cstheme="minorHAnsi"/>
                <w:bCs/>
              </w:rPr>
              <w:lastRenderedPageBreak/>
              <w:t>capability programs to support a brief specifically on programs delivered in the employer context</w:t>
            </w:r>
          </w:p>
        </w:tc>
        <w:tc>
          <w:tcPr>
            <w:tcW w:w="1800" w:type="dxa"/>
          </w:tcPr>
          <w:p w:rsidRPr="00D05944" w:rsidR="003D4E41" w:rsidP="003D4E41" w:rsidRDefault="003D4E41" w14:paraId="45E2CF67" w14:textId="77777777">
            <w:pPr>
              <w:rPr>
                <w:rFonts w:asciiTheme="minorHAnsi" w:hAnsiTheme="minorHAnsi" w:cstheme="minorHAnsi"/>
                <w:bCs/>
              </w:rPr>
            </w:pPr>
            <w:r w:rsidRPr="00D05944">
              <w:rPr>
                <w:rFonts w:asciiTheme="minorHAnsi" w:hAnsiTheme="minorHAnsi" w:cstheme="minorHAnsi"/>
                <w:b/>
              </w:rPr>
              <w:lastRenderedPageBreak/>
              <w:t>Mode:</w:t>
            </w:r>
            <w:r w:rsidRPr="00D05944">
              <w:rPr>
                <w:rFonts w:asciiTheme="minorHAnsi" w:hAnsiTheme="minorHAnsi" w:cstheme="minorHAnsi"/>
                <w:bCs/>
              </w:rPr>
              <w:t xml:space="preserve"> Phone calls or video conferencing </w:t>
            </w:r>
          </w:p>
          <w:p w:rsidRPr="00D05944" w:rsidR="003D4E41" w:rsidP="003D4E41" w:rsidRDefault="003D4E41" w14:paraId="293B8E9E" w14:textId="77777777">
            <w:pPr>
              <w:rPr>
                <w:rFonts w:asciiTheme="minorHAnsi" w:hAnsiTheme="minorHAnsi" w:cstheme="minorHAnsi"/>
                <w:bCs/>
              </w:rPr>
            </w:pPr>
          </w:p>
          <w:p w:rsidRPr="00D05944" w:rsidR="003D4E41" w:rsidP="003D4E41" w:rsidRDefault="003D4E41" w14:paraId="6CDB01F6" w14:textId="77777777">
            <w:pPr>
              <w:rPr>
                <w:rFonts w:asciiTheme="minorHAnsi" w:hAnsiTheme="minorHAnsi" w:cstheme="minorHAnsi"/>
                <w:bCs/>
              </w:rPr>
            </w:pPr>
            <w:r w:rsidRPr="00D05944">
              <w:rPr>
                <w:rFonts w:asciiTheme="minorHAnsi" w:hAnsiTheme="minorHAnsi" w:cstheme="minorHAnsi"/>
                <w:bCs/>
              </w:rPr>
              <w:t xml:space="preserve"> </w:t>
            </w:r>
          </w:p>
          <w:p w:rsidRPr="00D05944" w:rsidR="003D4E41" w:rsidP="003D4E41" w:rsidRDefault="003D4E41" w14:paraId="28E72DE9" w14:textId="77777777">
            <w:pPr>
              <w:rPr>
                <w:rFonts w:asciiTheme="minorHAnsi" w:hAnsiTheme="minorHAnsi" w:cstheme="minorHAnsi"/>
                <w:bCs/>
              </w:rPr>
            </w:pPr>
          </w:p>
          <w:p w:rsidRPr="00D05944" w:rsidR="00773D5C" w:rsidP="003D4E41" w:rsidRDefault="003D4E41" w14:paraId="1DA62CE7" w14:textId="47D8FAB7">
            <w:pPr>
              <w:rPr>
                <w:rFonts w:asciiTheme="minorHAnsi" w:hAnsiTheme="minorHAnsi" w:cstheme="minorHAnsi"/>
                <w:bCs/>
              </w:rPr>
            </w:pPr>
            <w:r w:rsidRPr="00D05944">
              <w:rPr>
                <w:rFonts w:asciiTheme="minorHAnsi" w:hAnsiTheme="minorHAnsi" w:cstheme="minorHAnsi"/>
                <w:b/>
              </w:rPr>
              <w:t>Duration:</w:t>
            </w:r>
            <w:r w:rsidRPr="00D05944">
              <w:rPr>
                <w:rFonts w:asciiTheme="minorHAnsi" w:hAnsiTheme="minorHAnsi" w:cstheme="minorHAnsi"/>
                <w:bCs/>
              </w:rPr>
              <w:t xml:space="preserve"> 60 minutes</w:t>
            </w:r>
          </w:p>
        </w:tc>
      </w:tr>
      <w:tr w:rsidRPr="00D05944" w:rsidR="003D4E41" w:rsidTr="00BD7901" w14:paraId="32359501" w14:textId="77777777">
        <w:tc>
          <w:tcPr>
            <w:tcW w:w="1975" w:type="dxa"/>
          </w:tcPr>
          <w:p w:rsidRPr="00D05944" w:rsidR="003D4E41" w:rsidP="00BD4146" w:rsidRDefault="003D4E41" w14:paraId="1FF20C4A" w14:textId="41350D5D">
            <w:pPr>
              <w:rPr>
                <w:rFonts w:asciiTheme="minorHAnsi" w:hAnsiTheme="minorHAnsi" w:cstheme="minorHAnsi"/>
              </w:rPr>
            </w:pPr>
            <w:r w:rsidRPr="00D05944">
              <w:rPr>
                <w:rFonts w:asciiTheme="minorHAnsi" w:hAnsiTheme="minorHAnsi" w:cstheme="minorHAnsi"/>
              </w:rPr>
              <w:t>Program administrator focus groups</w:t>
            </w:r>
          </w:p>
        </w:tc>
        <w:tc>
          <w:tcPr>
            <w:tcW w:w="1530" w:type="dxa"/>
          </w:tcPr>
          <w:p w:rsidRPr="00D05944" w:rsidR="003D4E41" w:rsidP="00BD4146" w:rsidRDefault="003D4E41" w14:paraId="23CE418F" w14:textId="64788EFA">
            <w:pPr>
              <w:rPr>
                <w:rFonts w:asciiTheme="minorHAnsi" w:hAnsiTheme="minorHAnsi" w:cstheme="minorHAnsi"/>
              </w:rPr>
            </w:pPr>
            <w:r w:rsidRPr="00D05944">
              <w:rPr>
                <w:rFonts w:asciiTheme="minorHAnsi" w:hAnsiTheme="minorHAnsi" w:cstheme="minorHAnsi"/>
              </w:rPr>
              <w:t>Program administrator focus group guide</w:t>
            </w:r>
            <w:r w:rsidR="009912D5">
              <w:rPr>
                <w:rFonts w:asciiTheme="minorHAnsi" w:hAnsiTheme="minorHAnsi" w:cstheme="minorHAnsi"/>
              </w:rPr>
              <w:t xml:space="preserve"> (Instrument 6)</w:t>
            </w:r>
          </w:p>
        </w:tc>
        <w:tc>
          <w:tcPr>
            <w:tcW w:w="4050" w:type="dxa"/>
          </w:tcPr>
          <w:p w:rsidRPr="00D05944" w:rsidR="003D4E41" w:rsidP="003D4E41" w:rsidRDefault="003D4E41" w14:paraId="4EF06171" w14:textId="285CFA5B">
            <w:pPr>
              <w:rPr>
                <w:rFonts w:asciiTheme="minorHAnsi" w:hAnsiTheme="minorHAnsi" w:cstheme="minorHAnsi"/>
                <w:bCs/>
              </w:rPr>
            </w:pPr>
            <w:r w:rsidRPr="00D05944">
              <w:rPr>
                <w:rFonts w:asciiTheme="minorHAnsi" w:hAnsiTheme="minorHAnsi" w:cstheme="minorHAnsi"/>
                <w:b/>
              </w:rPr>
              <w:t>Respondents</w:t>
            </w:r>
            <w:r w:rsidRPr="00D05944">
              <w:rPr>
                <w:rFonts w:asciiTheme="minorHAnsi" w:hAnsiTheme="minorHAnsi" w:cstheme="minorHAnsi"/>
                <w:bCs/>
              </w:rPr>
              <w:t>: Program administrators</w:t>
            </w:r>
            <w:r w:rsidR="0019522D">
              <w:rPr>
                <w:rFonts w:asciiTheme="minorHAnsi" w:hAnsiTheme="minorHAnsi" w:cstheme="minorHAnsi"/>
                <w:bCs/>
              </w:rPr>
              <w:t xml:space="preserve"> of E&amp;T programs integrating financial capability services</w:t>
            </w:r>
            <w:r w:rsidRPr="00D05944">
              <w:rPr>
                <w:rFonts w:asciiTheme="minorHAnsi" w:hAnsiTheme="minorHAnsi" w:cstheme="minorHAnsi"/>
                <w:bCs/>
              </w:rPr>
              <w:t xml:space="preserve"> </w:t>
            </w:r>
          </w:p>
          <w:p w:rsidRPr="00D05944" w:rsidR="003D4E41" w:rsidP="003D4E41" w:rsidRDefault="003D4E41" w14:paraId="5EE80368" w14:textId="77777777">
            <w:pPr>
              <w:rPr>
                <w:rFonts w:asciiTheme="minorHAnsi" w:hAnsiTheme="minorHAnsi" w:cstheme="minorHAnsi"/>
                <w:bCs/>
              </w:rPr>
            </w:pPr>
          </w:p>
          <w:p w:rsidRPr="00D05944" w:rsidR="003D4E41" w:rsidP="003D4E41" w:rsidRDefault="003D4E41" w14:paraId="05D796BC" w14:textId="75BEEF50">
            <w:pPr>
              <w:rPr>
                <w:rFonts w:asciiTheme="minorHAnsi" w:hAnsiTheme="minorHAnsi" w:cstheme="minorHAnsi"/>
                <w:bCs/>
              </w:rPr>
            </w:pPr>
            <w:r w:rsidRPr="00D05944">
              <w:rPr>
                <w:rFonts w:asciiTheme="minorHAnsi" w:hAnsiTheme="minorHAnsi" w:cstheme="minorHAnsi"/>
                <w:b/>
              </w:rPr>
              <w:t>Content</w:t>
            </w:r>
            <w:r w:rsidRPr="00D05944">
              <w:rPr>
                <w:rFonts w:asciiTheme="minorHAnsi" w:hAnsiTheme="minorHAnsi" w:cstheme="minorHAnsi"/>
                <w:bCs/>
              </w:rPr>
              <w:t>: Goals in implementing fin</w:t>
            </w:r>
            <w:r w:rsidR="004D7C0C">
              <w:rPr>
                <w:rFonts w:asciiTheme="minorHAnsi" w:hAnsiTheme="minorHAnsi" w:cstheme="minorHAnsi"/>
                <w:bCs/>
              </w:rPr>
              <w:t>ancial</w:t>
            </w:r>
            <w:r w:rsidRPr="00D05944">
              <w:rPr>
                <w:rFonts w:asciiTheme="minorHAnsi" w:hAnsiTheme="minorHAnsi" w:cstheme="minorHAnsi"/>
                <w:bCs/>
              </w:rPr>
              <w:t xml:space="preserve"> cap</w:t>
            </w:r>
            <w:r w:rsidR="004D7C0C">
              <w:rPr>
                <w:rFonts w:asciiTheme="minorHAnsi" w:hAnsiTheme="minorHAnsi" w:cstheme="minorHAnsi"/>
                <w:bCs/>
              </w:rPr>
              <w:t>ability</w:t>
            </w:r>
            <w:r w:rsidRPr="00D05944">
              <w:rPr>
                <w:rFonts w:asciiTheme="minorHAnsi" w:hAnsiTheme="minorHAnsi" w:cstheme="minorHAnsi"/>
                <w:bCs/>
              </w:rPr>
              <w:t xml:space="preserve"> interventions within an E&amp;T program; challenges encountered and approaches to overcoming them; successes; promising practices; lessons learned; ideas for future advancement of the field; areas for research. </w:t>
            </w:r>
          </w:p>
          <w:p w:rsidRPr="00D05944" w:rsidR="003D4E41" w:rsidP="003D4E41" w:rsidRDefault="003D4E41" w14:paraId="3ABE57A1" w14:textId="77777777">
            <w:pPr>
              <w:rPr>
                <w:rFonts w:asciiTheme="minorHAnsi" w:hAnsiTheme="minorHAnsi" w:cstheme="minorHAnsi"/>
                <w:bCs/>
              </w:rPr>
            </w:pPr>
          </w:p>
          <w:p w:rsidRPr="00D05944" w:rsidR="003D4E41" w:rsidP="003D4E41" w:rsidRDefault="003D4E41" w14:paraId="3AB5DA26" w14:textId="19915633">
            <w:pPr>
              <w:rPr>
                <w:rFonts w:asciiTheme="minorHAnsi" w:hAnsiTheme="minorHAnsi" w:cstheme="minorHAnsi"/>
                <w:b/>
              </w:rPr>
            </w:pPr>
            <w:r w:rsidRPr="00D05944">
              <w:rPr>
                <w:rFonts w:asciiTheme="minorHAnsi" w:hAnsiTheme="minorHAnsi" w:cstheme="minorHAnsi"/>
                <w:b/>
              </w:rPr>
              <w:t>Purpose</w:t>
            </w:r>
            <w:r w:rsidRPr="00D05944">
              <w:rPr>
                <w:rFonts w:asciiTheme="minorHAnsi" w:hAnsiTheme="minorHAnsi" w:cstheme="minorHAnsi"/>
                <w:bCs/>
              </w:rPr>
              <w:t xml:space="preserve">: To have programs discuss experiences with each other and to elicit ideas about how to confront challenges or build upon the successes that they have each experienced. This will inform </w:t>
            </w:r>
            <w:r w:rsidR="004D7C0C">
              <w:rPr>
                <w:rFonts w:asciiTheme="minorHAnsi" w:hAnsiTheme="minorHAnsi" w:cstheme="minorHAnsi"/>
                <w:bCs/>
              </w:rPr>
              <w:t>a brief on challenges programs experience incorporating financial capability services.</w:t>
            </w:r>
          </w:p>
        </w:tc>
        <w:tc>
          <w:tcPr>
            <w:tcW w:w="1800" w:type="dxa"/>
          </w:tcPr>
          <w:p w:rsidRPr="00D05944" w:rsidR="003D4E41" w:rsidP="003D4E41" w:rsidRDefault="003D4E41" w14:paraId="0BE801C3" w14:textId="77777777">
            <w:pPr>
              <w:rPr>
                <w:rFonts w:asciiTheme="minorHAnsi" w:hAnsiTheme="minorHAnsi" w:cstheme="minorHAnsi"/>
                <w:bCs/>
              </w:rPr>
            </w:pPr>
            <w:r w:rsidRPr="00D05944">
              <w:rPr>
                <w:rFonts w:asciiTheme="minorHAnsi" w:hAnsiTheme="minorHAnsi" w:cstheme="minorHAnsi"/>
                <w:b/>
              </w:rPr>
              <w:t>Mode</w:t>
            </w:r>
            <w:r w:rsidRPr="00D05944">
              <w:rPr>
                <w:rFonts w:asciiTheme="minorHAnsi" w:hAnsiTheme="minorHAnsi" w:cstheme="minorHAnsi"/>
                <w:bCs/>
              </w:rPr>
              <w:t xml:space="preserve">: Videoconferencing </w:t>
            </w:r>
          </w:p>
          <w:p w:rsidRPr="00D05944" w:rsidR="003D4E41" w:rsidP="003D4E41" w:rsidRDefault="003D4E41" w14:paraId="5E98408C" w14:textId="77777777">
            <w:pPr>
              <w:rPr>
                <w:rFonts w:asciiTheme="minorHAnsi" w:hAnsiTheme="minorHAnsi" w:cstheme="minorHAnsi"/>
                <w:bCs/>
              </w:rPr>
            </w:pPr>
          </w:p>
          <w:p w:rsidRPr="00D05944" w:rsidR="003D4E41" w:rsidP="003D4E41" w:rsidRDefault="003D4E41" w14:paraId="11F1293B" w14:textId="77777777">
            <w:pPr>
              <w:rPr>
                <w:rFonts w:asciiTheme="minorHAnsi" w:hAnsiTheme="minorHAnsi" w:cstheme="minorHAnsi"/>
                <w:bCs/>
              </w:rPr>
            </w:pPr>
            <w:r w:rsidRPr="00D05944">
              <w:rPr>
                <w:rFonts w:asciiTheme="minorHAnsi" w:hAnsiTheme="minorHAnsi" w:cstheme="minorHAnsi"/>
                <w:bCs/>
              </w:rPr>
              <w:t xml:space="preserve"> </w:t>
            </w:r>
          </w:p>
          <w:p w:rsidRPr="00D05944" w:rsidR="003D4E41" w:rsidP="003D4E41" w:rsidRDefault="003D4E41" w14:paraId="6BC78543" w14:textId="77777777">
            <w:pPr>
              <w:rPr>
                <w:rFonts w:asciiTheme="minorHAnsi" w:hAnsiTheme="minorHAnsi" w:cstheme="minorHAnsi"/>
                <w:bCs/>
              </w:rPr>
            </w:pPr>
          </w:p>
          <w:p w:rsidRPr="00D05944" w:rsidR="003D4E41" w:rsidP="003D4E41" w:rsidRDefault="003D4E41" w14:paraId="6D7EBD6B" w14:textId="60504A75">
            <w:pPr>
              <w:rPr>
                <w:rFonts w:asciiTheme="minorHAnsi" w:hAnsiTheme="minorHAnsi" w:cstheme="minorHAnsi"/>
                <w:bCs/>
              </w:rPr>
            </w:pPr>
            <w:r w:rsidRPr="00D05944">
              <w:rPr>
                <w:rFonts w:asciiTheme="minorHAnsi" w:hAnsiTheme="minorHAnsi" w:cstheme="minorHAnsi"/>
                <w:b/>
              </w:rPr>
              <w:t>Duration</w:t>
            </w:r>
            <w:r w:rsidRPr="00D05944">
              <w:rPr>
                <w:rFonts w:asciiTheme="minorHAnsi" w:hAnsiTheme="minorHAnsi" w:cstheme="minorHAnsi"/>
                <w:bCs/>
              </w:rPr>
              <w:t>: 90 minutes</w:t>
            </w:r>
          </w:p>
        </w:tc>
      </w:tr>
    </w:tbl>
    <w:p w:rsidRPr="009139B3" w:rsidR="001D1C73" w:rsidP="001D1C73" w:rsidRDefault="001D1C73" w14:paraId="10B217EA" w14:textId="77777777">
      <w:pPr>
        <w:spacing w:after="0" w:line="240" w:lineRule="auto"/>
      </w:pP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3A7CC8" w:rsidR="003A7CC8" w:rsidP="003A7CC8" w:rsidRDefault="003A7CC8" w14:paraId="3EEA9ED9" w14:textId="0184C8C2">
      <w:pPr>
        <w:spacing w:after="0" w:line="240" w:lineRule="auto"/>
        <w:rPr>
          <w:rFonts w:cstheme="minorHAnsi"/>
          <w:shd w:val="clear" w:color="auto" w:fill="FFFFFF"/>
        </w:rPr>
      </w:pPr>
      <w:r>
        <w:t xml:space="preserve">The project team will use Qualtrics, a web-based survey platform, to collect responses for the </w:t>
      </w:r>
      <w:r w:rsidRPr="003A7CC8">
        <w:rPr>
          <w:b/>
          <w:bCs/>
          <w:i/>
          <w:iCs/>
        </w:rPr>
        <w:t xml:space="preserve">survey </w:t>
      </w:r>
      <w:r>
        <w:t>(</w:t>
      </w:r>
      <w:r w:rsidR="00B5236A">
        <w:t>Instrument 1</w:t>
      </w:r>
      <w:r>
        <w:t>). This will reduce burden for respondents by programming skips for nonapplicable questions, enabling them to submit responses efficiently and on their own time, save their work</w:t>
      </w:r>
      <w:r w:rsidR="002E68B1">
        <w:t xml:space="preserve"> and continue later</w:t>
      </w:r>
      <w:r>
        <w:t xml:space="preserve"> if they are not able to complete their response at once, and share with colleagues if needed. The project team anticipates </w:t>
      </w:r>
      <w:r w:rsidR="00DE2603">
        <w:t>all</w:t>
      </w:r>
      <w:r>
        <w:t xml:space="preserve"> of survey response</w:t>
      </w:r>
      <w:r w:rsidR="00DE2603">
        <w:t>s</w:t>
      </w:r>
      <w:r>
        <w:t xml:space="preserve"> will be completed via the web link.</w:t>
      </w:r>
    </w:p>
    <w:p w:rsidR="003A7CC8" w:rsidP="001D1C73" w:rsidRDefault="003A7CC8" w14:paraId="37ADD26C" w14:textId="77777777">
      <w:pPr>
        <w:pStyle w:val="ListParagraph"/>
        <w:spacing w:after="0" w:line="240" w:lineRule="auto"/>
        <w:ind w:left="360"/>
        <w:rPr>
          <w:rFonts w:cstheme="minorHAnsi"/>
          <w:shd w:val="clear" w:color="auto" w:fill="FFFFFF"/>
        </w:rPr>
      </w:pPr>
    </w:p>
    <w:p w:rsidRPr="003A7CC8" w:rsidR="003A7CC8" w:rsidP="003A7CC8" w:rsidRDefault="003A7CC8" w14:paraId="192F8842" w14:textId="2114010F">
      <w:pPr>
        <w:spacing w:after="0" w:line="240" w:lineRule="auto"/>
        <w:rPr>
          <w:rFonts w:cstheme="minorHAnsi"/>
        </w:rPr>
      </w:pPr>
      <w:r>
        <w:t>The semi-structured interviews and focus groups</w:t>
      </w:r>
      <w:r w:rsidR="002F31C8">
        <w:t xml:space="preserve"> </w:t>
      </w:r>
      <w:r>
        <w:t>(</w:t>
      </w:r>
      <w:r w:rsidRPr="003A7CC8">
        <w:rPr>
          <w:rFonts w:cstheme="minorHAnsi"/>
          <w:b/>
          <w:bCs/>
          <w:i/>
          <w:iCs/>
        </w:rPr>
        <w:t xml:space="preserve">Program </w:t>
      </w:r>
      <w:r w:rsidR="002E68B1">
        <w:rPr>
          <w:rFonts w:cstheme="minorHAnsi"/>
          <w:b/>
          <w:bCs/>
          <w:i/>
          <w:iCs/>
        </w:rPr>
        <w:t xml:space="preserve">Administrator </w:t>
      </w:r>
      <w:r w:rsidRPr="003A7CC8">
        <w:rPr>
          <w:rFonts w:cstheme="minorHAnsi"/>
          <w:b/>
          <w:bCs/>
          <w:i/>
          <w:iCs/>
        </w:rPr>
        <w:t>Phone Interviews,</w:t>
      </w:r>
      <w:r w:rsidRPr="003A7CC8">
        <w:rPr>
          <w:rFonts w:cstheme="minorHAnsi"/>
        </w:rPr>
        <w:t xml:space="preserve"> </w:t>
      </w:r>
      <w:r w:rsidRPr="003A7CC8">
        <w:rPr>
          <w:b/>
          <w:bCs/>
          <w:i/>
          <w:iCs/>
        </w:rPr>
        <w:t>Virtual Site Visit</w:t>
      </w:r>
      <w:r w:rsidR="00797F75">
        <w:rPr>
          <w:b/>
          <w:bCs/>
          <w:i/>
          <w:iCs/>
        </w:rPr>
        <w:t xml:space="preserve"> Interview</w:t>
      </w:r>
      <w:r w:rsidRPr="003A7CC8">
        <w:rPr>
          <w:b/>
          <w:bCs/>
          <w:i/>
          <w:iCs/>
        </w:rPr>
        <w:t>s, Interviews with Participants, Interviews with Employers</w:t>
      </w:r>
      <w:r>
        <w:rPr>
          <w:b/>
          <w:bCs/>
          <w:i/>
          <w:iCs/>
        </w:rPr>
        <w:t xml:space="preserve">, </w:t>
      </w:r>
      <w:r>
        <w:t xml:space="preserve">and </w:t>
      </w:r>
      <w:r>
        <w:rPr>
          <w:b/>
          <w:bCs/>
          <w:i/>
          <w:iCs/>
        </w:rPr>
        <w:t>Focus Groups with Program Administrators</w:t>
      </w:r>
      <w:r>
        <w:t xml:space="preserve">) will be conducted via </w:t>
      </w:r>
      <w:r w:rsidR="007E114B">
        <w:t>videoconferencing or phone</w:t>
      </w:r>
      <w:r>
        <w:t>, and audio recorded with the permission of respondents. Burden will be reduced by scheduling interviews at convenient times for respondents</w:t>
      </w:r>
      <w:r w:rsidR="00D61707">
        <w:t xml:space="preserve">. </w:t>
      </w:r>
      <w:r w:rsidR="00D61707">
        <w:rPr>
          <w:rFonts w:cstheme="minorHAnsi"/>
          <w:shd w:val="clear" w:color="auto" w:fill="FFFFFF"/>
        </w:rPr>
        <w:t>C</w:t>
      </w:r>
      <w:r>
        <w:rPr>
          <w:rFonts w:cstheme="minorHAnsi"/>
          <w:shd w:val="clear" w:color="auto" w:fill="FFFFFF"/>
        </w:rPr>
        <w:t xml:space="preserve">onducting interviews via </w:t>
      </w:r>
      <w:r w:rsidR="007E114B">
        <w:rPr>
          <w:rFonts w:cstheme="minorHAnsi"/>
          <w:shd w:val="clear" w:color="auto" w:fill="FFFFFF"/>
        </w:rPr>
        <w:t>videoconferencing or phone</w:t>
      </w:r>
      <w:r w:rsidRPr="003A7CC8" w:rsidR="007E114B">
        <w:rPr>
          <w:rFonts w:cstheme="minorHAnsi"/>
          <w:shd w:val="clear" w:color="auto" w:fill="FFFFFF"/>
        </w:rPr>
        <w:t xml:space="preserve"> </w:t>
      </w:r>
      <w:r>
        <w:rPr>
          <w:rFonts w:cstheme="minorHAnsi"/>
          <w:shd w:val="clear" w:color="auto" w:fill="FFFFFF"/>
        </w:rPr>
        <w:t>allows respondents</w:t>
      </w:r>
      <w:r w:rsidRPr="003A7CC8">
        <w:rPr>
          <w:rFonts w:cstheme="minorHAnsi"/>
          <w:shd w:val="clear" w:color="auto" w:fill="FFFFFF"/>
        </w:rPr>
        <w:t xml:space="preserve"> to </w:t>
      </w:r>
      <w:r>
        <w:rPr>
          <w:rFonts w:cstheme="minorHAnsi"/>
          <w:shd w:val="clear" w:color="auto" w:fill="FFFFFF"/>
        </w:rPr>
        <w:t xml:space="preserve">participate in the </w:t>
      </w:r>
      <w:r w:rsidRPr="003A7CC8">
        <w:rPr>
          <w:rFonts w:cstheme="minorHAnsi"/>
          <w:shd w:val="clear" w:color="auto" w:fill="FFFFFF"/>
        </w:rPr>
        <w:t xml:space="preserve">interview from their home or office while also maintaining health safety guidelines during the </w:t>
      </w:r>
      <w:r w:rsidR="00076B1D">
        <w:rPr>
          <w:rFonts w:cstheme="minorHAnsi"/>
          <w:shd w:val="clear" w:color="auto" w:fill="FFFFFF"/>
        </w:rPr>
        <w:t xml:space="preserve">ongoing </w:t>
      </w:r>
      <w:r w:rsidRPr="003A7CC8">
        <w:rPr>
          <w:rFonts w:cstheme="minorHAnsi"/>
          <w:shd w:val="clear" w:color="auto" w:fill="FFFFFF"/>
        </w:rPr>
        <w:t>pandemic.</w:t>
      </w:r>
      <w:r>
        <w:rPr>
          <w:rFonts w:cstheme="minorHAnsi"/>
          <w:shd w:val="clear" w:color="auto" w:fill="FFFFFF"/>
        </w:rPr>
        <w:t xml:space="preserve"> </w:t>
      </w:r>
      <w:r>
        <w:t>The project team will tailor the interview protocols to select only those questions relevant to each respondent.</w:t>
      </w:r>
    </w:p>
    <w:p w:rsidR="003A7CC8" w:rsidP="001D1C73" w:rsidRDefault="003A7CC8" w14:paraId="6B934B96" w14:textId="77777777">
      <w:pPr>
        <w:pStyle w:val="ListParagraph"/>
        <w:spacing w:after="0" w:line="240" w:lineRule="auto"/>
        <w:ind w:left="360"/>
        <w:rPr>
          <w:rFonts w:cstheme="minorHAnsi"/>
          <w:shd w:val="clear" w:color="auto" w:fill="FFFFFF"/>
        </w:rPr>
      </w:pPr>
    </w:p>
    <w:p w:rsidRPr="009139B3" w:rsidR="001D1C73" w:rsidP="001D1C73" w:rsidRDefault="001D1C73" w14:paraId="381FEAAD" w14:textId="77777777">
      <w:pPr>
        <w:pStyle w:val="ListParagraph"/>
        <w:spacing w:after="0" w:line="240" w:lineRule="auto"/>
        <w:ind w:left="360"/>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9139B3" w:rsidR="001D1C73" w:rsidP="00D61707" w:rsidRDefault="003A7CC8" w14:paraId="23E0A2E3" w14:textId="0EC759C4">
      <w:bookmarkStart w:name="_Ref447537036" w:id="1"/>
      <w:r>
        <w:t>This information will not duplicate information already available</w:t>
      </w:r>
      <w:r w:rsidR="00582ED5">
        <w:t xml:space="preserve">, as there is currently little known about </w:t>
      </w:r>
      <w:bookmarkEnd w:id="1"/>
      <w:r w:rsidRPr="00B757E3" w:rsidR="00582ED5">
        <w:t>the implementation and effectiveness of programs that integrate financial capability interventions into E&amp;T programming</w:t>
      </w:r>
      <w:r w:rsidR="00582ED5">
        <w:t xml:space="preserve">. While programs </w:t>
      </w:r>
      <w:r w:rsidR="002E68B1">
        <w:t>that</w:t>
      </w:r>
      <w:r w:rsidR="00582ED5">
        <w:t xml:space="preserve"> participate in the survey may be asked to participate in subsequent data collection activities (see B.</w:t>
      </w:r>
      <w:r w:rsidR="009912D5">
        <w:t>1 in Supporting Statement B</w:t>
      </w:r>
      <w:r w:rsidR="00582ED5">
        <w:t xml:space="preserve">), the purpose of each data collection activity </w:t>
      </w:r>
      <w:r w:rsidR="00865A9E">
        <w:t xml:space="preserve">and the level of detail collected </w:t>
      </w:r>
      <w:r w:rsidR="00582ED5">
        <w:t xml:space="preserve">differs. </w:t>
      </w:r>
      <w:r w:rsidR="004A51EC">
        <w:t xml:space="preserve">In addition, respondents may differ in the </w:t>
      </w:r>
      <w:r w:rsidR="004A51EC">
        <w:lastRenderedPageBreak/>
        <w:t xml:space="preserve">different stages of the information collection, and it will be valuable to the research to obtain different perspectives; for examples, program managers and </w:t>
      </w:r>
      <w:r w:rsidR="00076B1D">
        <w:t xml:space="preserve">front </w:t>
      </w:r>
      <w:r w:rsidR="004A51EC">
        <w:t>line staff may have different but complementary understandings of the details of service delivery. Even so, researchers conducting later stages of information collection will have access to responses from earlier stages and, given the semi-structured nature of the interviews and focus groups, will use that information to avoid asking questions again if an additional perspective is not needed.</w:t>
      </w: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A5789D" w:rsidRDefault="00A5789D" w14:paraId="69B7A867" w14:textId="591183C7">
      <w:r>
        <w:t xml:space="preserve">The primary organizations involved in </w:t>
      </w:r>
      <w:r w:rsidR="001A4F47">
        <w:t xml:space="preserve">the </w:t>
      </w:r>
      <w:r w:rsidRPr="009912D5" w:rsidR="001A4F47">
        <w:rPr>
          <w:b/>
          <w:bCs/>
          <w:i/>
          <w:iCs/>
        </w:rPr>
        <w:t>survey</w:t>
      </w:r>
      <w:r w:rsidR="001A4F47">
        <w:t xml:space="preserve">, </w:t>
      </w:r>
      <w:r w:rsidRPr="009912D5" w:rsidR="001A4F47">
        <w:rPr>
          <w:b/>
          <w:bCs/>
          <w:i/>
          <w:iCs/>
        </w:rPr>
        <w:t>phone interviews</w:t>
      </w:r>
      <w:r w:rsidR="001A4F47">
        <w:t xml:space="preserve">, </w:t>
      </w:r>
      <w:r w:rsidR="001A4F47">
        <w:rPr>
          <w:b/>
          <w:bCs/>
          <w:i/>
          <w:iCs/>
        </w:rPr>
        <w:t>virtual site visit</w:t>
      </w:r>
      <w:r w:rsidR="00797F75">
        <w:rPr>
          <w:b/>
          <w:bCs/>
          <w:i/>
          <w:iCs/>
        </w:rPr>
        <w:t xml:space="preserve"> interview</w:t>
      </w:r>
      <w:r w:rsidR="001A4F47">
        <w:rPr>
          <w:b/>
          <w:bCs/>
          <w:i/>
          <w:iCs/>
        </w:rPr>
        <w:t>s,</w:t>
      </w:r>
      <w:r w:rsidR="001A4F47">
        <w:t xml:space="preserve"> and </w:t>
      </w:r>
      <w:r w:rsidR="001A4F47">
        <w:rPr>
          <w:b/>
          <w:bCs/>
          <w:i/>
          <w:iCs/>
        </w:rPr>
        <w:t xml:space="preserve">focus groups of administrators </w:t>
      </w:r>
      <w:r>
        <w:t xml:space="preserve">will be local </w:t>
      </w:r>
      <w:r w:rsidR="001A4F47">
        <w:t>employment and training providers</w:t>
      </w:r>
      <w:r>
        <w:t xml:space="preserve">. It is possible some may be small entities as defined by OMB Form 83-I. </w:t>
      </w:r>
      <w:r w:rsidR="001A4F47">
        <w:t xml:space="preserve">Some small </w:t>
      </w:r>
      <w:r w:rsidR="00A6305C">
        <w:t xml:space="preserve">businesses may also be involved in the </w:t>
      </w:r>
      <w:r w:rsidR="00A6305C">
        <w:rPr>
          <w:b/>
          <w:bCs/>
          <w:i/>
          <w:iCs/>
        </w:rPr>
        <w:t>interviews with employers.</w:t>
      </w:r>
      <w:r w:rsidR="00A6305C">
        <w:t xml:space="preserve"> </w:t>
      </w:r>
      <w:r w:rsidR="0020303E">
        <w:t>T</w:t>
      </w:r>
      <w:r>
        <w:t>he project team will minimize the burden</w:t>
      </w:r>
      <w:r w:rsidR="0020303E">
        <w:t xml:space="preserve"> for all respondents</w:t>
      </w:r>
      <w:r>
        <w:t xml:space="preserve"> by providing clear guidance on procedures and by requesting only the information required to achieve the study’s objective as part of this one-time data collection. Interviews with staff will be scheduled according to their availability, and no more than 90 minutes will be required of any one individual. There should be no adverse impact for any organizations participating in this study. </w:t>
      </w:r>
    </w:p>
    <w:p w:rsidRPr="009139B3" w:rsidR="001D1C73" w:rsidP="001D1C73" w:rsidRDefault="001D1C73" w14:paraId="45C45C0C"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1D1C73" w:rsidP="00D05944" w:rsidRDefault="00A6305C" w14:paraId="460558B7" w14:textId="21CD3032">
      <w:pPr>
        <w:pStyle w:val="CommentText"/>
        <w:rPr>
          <w:sz w:val="22"/>
          <w:szCs w:val="22"/>
        </w:rPr>
      </w:pPr>
      <w:r w:rsidRPr="00A6305C">
        <w:rPr>
          <w:sz w:val="22"/>
          <w:szCs w:val="22"/>
        </w:rPr>
        <w:t xml:space="preserve">All data to be collected associated with this specific burden request are one-time in nature. Not collecting information as proposed would limit the government’s ability to identify and document valuable information about the strategies </w:t>
      </w:r>
      <w:r>
        <w:rPr>
          <w:sz w:val="22"/>
          <w:szCs w:val="22"/>
        </w:rPr>
        <w:t xml:space="preserve">employment and training </w:t>
      </w:r>
      <w:r w:rsidRPr="00A6305C">
        <w:rPr>
          <w:sz w:val="22"/>
          <w:szCs w:val="22"/>
        </w:rPr>
        <w:t xml:space="preserve">programs use to provide </w:t>
      </w:r>
      <w:r>
        <w:rPr>
          <w:sz w:val="22"/>
          <w:szCs w:val="22"/>
        </w:rPr>
        <w:t xml:space="preserve">financial capability </w:t>
      </w:r>
      <w:r w:rsidRPr="00A6305C">
        <w:rPr>
          <w:sz w:val="22"/>
          <w:szCs w:val="22"/>
        </w:rPr>
        <w:t xml:space="preserve">services to </w:t>
      </w:r>
      <w:r>
        <w:rPr>
          <w:sz w:val="22"/>
          <w:szCs w:val="22"/>
        </w:rPr>
        <w:t xml:space="preserve">their participants </w:t>
      </w:r>
      <w:r w:rsidRPr="00A6305C">
        <w:rPr>
          <w:sz w:val="22"/>
          <w:szCs w:val="22"/>
        </w:rPr>
        <w:t xml:space="preserve">that </w:t>
      </w:r>
      <w:r>
        <w:rPr>
          <w:sz w:val="22"/>
          <w:szCs w:val="22"/>
        </w:rPr>
        <w:t xml:space="preserve">can </w:t>
      </w:r>
      <w:r w:rsidR="002E68B1">
        <w:rPr>
          <w:sz w:val="22"/>
          <w:szCs w:val="22"/>
        </w:rPr>
        <w:t xml:space="preserve">promote </w:t>
      </w:r>
      <w:r w:rsidRPr="00A6305C">
        <w:rPr>
          <w:sz w:val="22"/>
          <w:szCs w:val="22"/>
        </w:rPr>
        <w:t>self-sufficiency.</w:t>
      </w:r>
      <w:r w:rsidRPr="00D05944" w:rsidR="00935A0A">
        <w:rPr>
          <w:sz w:val="22"/>
          <w:szCs w:val="22"/>
        </w:rPr>
        <w:t xml:space="preserve"> </w:t>
      </w:r>
    </w:p>
    <w:p w:rsidRPr="00D05944" w:rsidR="0020303E" w:rsidP="00CC7580" w:rsidRDefault="0020303E" w14:paraId="57BEB0ED" w14:textId="77777777">
      <w:pPr>
        <w:pStyle w:val="CommentText"/>
        <w:spacing w:after="0"/>
        <w:rPr>
          <w:sz w:val="22"/>
          <w:szCs w:val="22"/>
        </w:rPr>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1D1C73" w:rsidRDefault="001D1C73" w14:paraId="15C2AFB4" w14:textId="372CC480">
      <w:pPr>
        <w:spacing w:after="0"/>
      </w:pPr>
      <w:r w:rsidRPr="009139B3">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w:t>
      </w:r>
      <w:r w:rsidRPr="00660085">
        <w:t xml:space="preserve">ation collection activity.  This notice was published on </w:t>
      </w:r>
      <w:r w:rsidRPr="00660085" w:rsidR="00660085">
        <w:t>August 27, 2021</w:t>
      </w:r>
      <w:r w:rsidRPr="00660085">
        <w:t xml:space="preserve">, </w:t>
      </w:r>
      <w:r w:rsidRPr="00660085" w:rsidR="00660085">
        <w:t xml:space="preserve">Vol. 86, No. 164, </w:t>
      </w:r>
      <w:r w:rsidRPr="00660085">
        <w:t xml:space="preserve">page </w:t>
      </w:r>
      <w:r w:rsidRPr="00660085" w:rsidR="00660085">
        <w:t>48152</w:t>
      </w:r>
      <w:r w:rsidRPr="00660085">
        <w:t>, and</w:t>
      </w:r>
      <w:r w:rsidRPr="009139B3">
        <w:t xml:space="preserve"> provided a sixty-day period for public comment.  During the notice and comment period, </w:t>
      </w:r>
      <w:r w:rsidR="003C150E">
        <w:t>ACF did not receive any</w:t>
      </w:r>
      <w:r w:rsidR="00FF65DE">
        <w:t xml:space="preserve"> substantive</w:t>
      </w:r>
      <w:r w:rsidR="003C150E">
        <w:t xml:space="preserve"> comments.</w:t>
      </w:r>
      <w:r w:rsidRPr="009139B3" w:rsidR="003C150E">
        <w:t xml:space="preserve"> </w:t>
      </w:r>
    </w:p>
    <w:p w:rsidRPr="009139B3" w:rsidR="001D1C73" w:rsidP="001D1C73" w:rsidRDefault="001D1C73" w14:paraId="68DB4E07" w14:textId="77777777">
      <w:pPr>
        <w:spacing w:after="0"/>
      </w:pPr>
    </w:p>
    <w:p w:rsidRPr="00242214" w:rsidR="008739C4" w:rsidP="008739C4" w:rsidRDefault="001D1C73" w14:paraId="06347EDE" w14:textId="30E5723D">
      <w:pPr>
        <w:pStyle w:val="Heading4"/>
        <w:spacing w:before="0"/>
        <w:rPr>
          <w:rFonts w:asciiTheme="minorHAnsi" w:hAnsiTheme="minorHAnsi" w:cstheme="minorHAnsi"/>
          <w:b w:val="0"/>
          <w:i/>
          <w:sz w:val="22"/>
          <w:szCs w:val="22"/>
        </w:rPr>
      </w:pPr>
      <w:r w:rsidRPr="00242214">
        <w:rPr>
          <w:rFonts w:asciiTheme="minorHAnsi" w:hAnsiTheme="minorHAnsi" w:cstheme="minorHAnsi"/>
          <w:b w:val="0"/>
          <w:i/>
          <w:sz w:val="22"/>
          <w:szCs w:val="22"/>
        </w:rPr>
        <w:t>Consultation with Experts Outside of the Study</w:t>
      </w:r>
    </w:p>
    <w:p w:rsidR="008739C4" w:rsidP="008739C4" w:rsidRDefault="008739C4" w14:paraId="0A41D241" w14:textId="0FF941B6">
      <w:pPr>
        <w:spacing w:after="160" w:line="256" w:lineRule="auto"/>
      </w:pPr>
      <w:r>
        <w:t>We consulted both federal and non-federal experts to regarding the topics listed below. We asked different groups of experts to weigh in on different aspects of the study</w:t>
      </w:r>
      <w:r w:rsidR="0020303E">
        <w:t xml:space="preserve">. When specific information was requested, the information was not requested from more than 9 individuals. </w:t>
      </w:r>
    </w:p>
    <w:p w:rsidRPr="008739C4" w:rsidR="008739C4" w:rsidP="008739C4" w:rsidRDefault="008739C4" w14:paraId="5D4146EC" w14:textId="77777777">
      <w:pPr>
        <w:pStyle w:val="ListParagraph"/>
        <w:numPr>
          <w:ilvl w:val="0"/>
          <w:numId w:val="47"/>
        </w:numPr>
        <w:spacing w:after="160" w:line="256" w:lineRule="auto"/>
      </w:pPr>
      <w:r w:rsidRPr="008739C4">
        <w:rPr>
          <w:iCs/>
        </w:rPr>
        <w:lastRenderedPageBreak/>
        <w:t>Understanding the prevalence of financial capability interventions offered by E&amp;T programs</w:t>
      </w:r>
    </w:p>
    <w:p w:rsidRPr="008739C4" w:rsidR="008739C4" w:rsidP="008739C4" w:rsidRDefault="008739C4" w14:paraId="657B4448" w14:textId="6F8311FF">
      <w:pPr>
        <w:pStyle w:val="ListParagraph"/>
        <w:numPr>
          <w:ilvl w:val="0"/>
          <w:numId w:val="47"/>
        </w:numPr>
        <w:spacing w:after="160" w:line="256" w:lineRule="auto"/>
      </w:pPr>
      <w:r w:rsidRPr="008739C4">
        <w:rPr>
          <w:iCs/>
        </w:rPr>
        <w:t>Identifying programs for inclusion in the survey sample</w:t>
      </w:r>
    </w:p>
    <w:p w:rsidRPr="008739C4" w:rsidR="008739C4" w:rsidP="008739C4" w:rsidRDefault="008739C4" w14:paraId="67636F40" w14:textId="77777777">
      <w:pPr>
        <w:pStyle w:val="ListParagraph"/>
        <w:numPr>
          <w:ilvl w:val="0"/>
          <w:numId w:val="47"/>
        </w:numPr>
        <w:spacing w:after="160" w:line="256" w:lineRule="auto"/>
      </w:pPr>
      <w:r w:rsidRPr="008739C4">
        <w:rPr>
          <w:iCs/>
        </w:rPr>
        <w:t>Providing information on policies that might affect the adoption of program models combining employment services and financial capabilities</w:t>
      </w:r>
    </w:p>
    <w:p w:rsidRPr="008739C4" w:rsidR="008739C4" w:rsidP="008739C4" w:rsidRDefault="008739C4" w14:paraId="2D8A88F6" w14:textId="77777777">
      <w:pPr>
        <w:pStyle w:val="ListParagraph"/>
        <w:numPr>
          <w:ilvl w:val="0"/>
          <w:numId w:val="47"/>
        </w:numPr>
        <w:spacing w:after="160" w:line="256" w:lineRule="auto"/>
      </w:pPr>
      <w:r w:rsidRPr="008739C4">
        <w:rPr>
          <w:iCs/>
        </w:rPr>
        <w:t>Providing input on study focus</w:t>
      </w:r>
    </w:p>
    <w:p w:rsidRPr="008739C4" w:rsidR="001D1C73" w:rsidP="008739C4" w:rsidRDefault="008739C4" w14:paraId="6EBEC583" w14:textId="0710B1E9">
      <w:pPr>
        <w:pStyle w:val="ListParagraph"/>
        <w:numPr>
          <w:ilvl w:val="0"/>
          <w:numId w:val="47"/>
        </w:numPr>
        <w:spacing w:after="160" w:line="256" w:lineRule="auto"/>
      </w:pPr>
      <w:r w:rsidRPr="008739C4">
        <w:rPr>
          <w:iCs/>
        </w:rPr>
        <w:t>Identifying audiences for study outputs</w:t>
      </w:r>
    </w:p>
    <w:p w:rsidR="008739C4" w:rsidP="00BD7901" w:rsidRDefault="008739C4" w14:paraId="2685F649" w14:textId="42B7A5B1">
      <w:pPr>
        <w:spacing w:after="0" w:line="256" w:lineRule="auto"/>
      </w:pPr>
    </w:p>
    <w:p w:rsidRPr="009912D5" w:rsidR="008739C4" w:rsidP="008739C4" w:rsidRDefault="009912D5" w14:paraId="1A5C5C3B" w14:textId="5D35E5A0">
      <w:pPr>
        <w:spacing w:after="160" w:line="256" w:lineRule="auto"/>
        <w:rPr>
          <w:rFonts w:ascii="Arial Narrow" w:hAnsi="Arial Narrow"/>
          <w:b/>
          <w:bCs/>
        </w:rPr>
      </w:pPr>
      <w:r w:rsidRPr="009912D5">
        <w:rPr>
          <w:rFonts w:ascii="Arial Narrow" w:hAnsi="Arial Narrow"/>
          <w:b/>
          <w:bCs/>
        </w:rPr>
        <w:t>Table 2. List of Federal and Nonfederal Experts</w:t>
      </w:r>
    </w:p>
    <w:tbl>
      <w:tblPr>
        <w:tblStyle w:val="GridTable4-Accent3"/>
        <w:tblW w:w="9913" w:type="dxa"/>
        <w:tblLook w:val="04A0" w:firstRow="1" w:lastRow="0" w:firstColumn="1" w:lastColumn="0" w:noHBand="0" w:noVBand="1"/>
      </w:tblPr>
      <w:tblGrid>
        <w:gridCol w:w="2425"/>
        <w:gridCol w:w="7470"/>
        <w:gridCol w:w="18"/>
      </w:tblGrid>
      <w:tr w:rsidRPr="00A5789D" w:rsidR="008739C4" w:rsidTr="009912D5" w14:paraId="45A88235" w14:textId="7777777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913" w:type="dxa"/>
            <w:gridSpan w:val="3"/>
            <w:shd w:val="clear" w:color="auto" w:fill="244061" w:themeFill="accent1" w:themeFillShade="80"/>
          </w:tcPr>
          <w:p w:rsidRPr="00A5789D" w:rsidR="008739C4" w:rsidP="008739C4" w:rsidRDefault="008739C4" w14:paraId="7B92B14B" w14:textId="0997174F">
            <w:pPr>
              <w:jc w:val="center"/>
              <w:rPr>
                <w:rFonts w:ascii="Arial Narrow" w:hAnsi="Arial Narrow" w:eastAsia="Calibri" w:cs="Times New Roman"/>
                <w:b w:val="0"/>
                <w:bCs w:val="0"/>
                <w:color w:val="FFFFFF"/>
                <w:sz w:val="24"/>
              </w:rPr>
            </w:pPr>
            <w:r>
              <w:rPr>
                <w:rFonts w:ascii="Arial Narrow" w:hAnsi="Arial Narrow" w:eastAsia="Calibri" w:cs="Times New Roman"/>
                <w:b w:val="0"/>
                <w:bCs w:val="0"/>
                <w:color w:val="FFFFFF"/>
                <w:sz w:val="24"/>
              </w:rPr>
              <w:t>Federal Experts</w:t>
            </w:r>
          </w:p>
        </w:tc>
      </w:tr>
      <w:tr w:rsidRPr="00A5789D" w:rsidR="00A5789D" w:rsidTr="009912D5" w14:paraId="51AF7B76"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25" w:type="dxa"/>
            <w:shd w:val="clear" w:color="auto" w:fill="244061" w:themeFill="accent1" w:themeFillShade="80"/>
          </w:tcPr>
          <w:p w:rsidRPr="00A5789D" w:rsidR="00A5789D" w:rsidP="00A5789D" w:rsidRDefault="00A5789D" w14:paraId="40EFC12C" w14:textId="77777777">
            <w:pPr>
              <w:rPr>
                <w:rFonts w:ascii="Arial Narrow" w:hAnsi="Arial Narrow" w:eastAsia="Calibri" w:cs="Times New Roman"/>
                <w:color w:val="FFFFFF"/>
                <w:sz w:val="24"/>
                <w:szCs w:val="24"/>
              </w:rPr>
            </w:pPr>
            <w:bookmarkStart w:name="_Hlk81416765" w:id="2"/>
            <w:r w:rsidRPr="00A5789D">
              <w:rPr>
                <w:rFonts w:ascii="Arial Narrow" w:hAnsi="Arial Narrow" w:eastAsia="Calibri" w:cs="Times New Roman"/>
                <w:color w:val="FFFFFF"/>
                <w:sz w:val="24"/>
              </w:rPr>
              <w:t xml:space="preserve">Name </w:t>
            </w:r>
          </w:p>
        </w:tc>
        <w:tc>
          <w:tcPr>
            <w:tcW w:w="7488" w:type="dxa"/>
            <w:gridSpan w:val="2"/>
            <w:shd w:val="clear" w:color="auto" w:fill="244061" w:themeFill="accent1" w:themeFillShade="80"/>
          </w:tcPr>
          <w:p w:rsidRPr="00A5789D" w:rsidR="00A5789D" w:rsidP="00A5789D" w:rsidRDefault="00A5789D" w14:paraId="48D2951E"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eastAsia="Calibri" w:cs="Times New Roman"/>
                <w:color w:val="FFFFFF"/>
                <w:sz w:val="24"/>
              </w:rPr>
            </w:pPr>
            <w:r w:rsidRPr="00A5789D">
              <w:rPr>
                <w:rFonts w:ascii="Arial Narrow" w:hAnsi="Arial Narrow" w:eastAsia="Calibri" w:cs="Times New Roman"/>
                <w:b/>
                <w:bCs/>
                <w:color w:val="FFFFFF"/>
                <w:sz w:val="24"/>
              </w:rPr>
              <w:t>Office/ Agency</w:t>
            </w:r>
          </w:p>
        </w:tc>
      </w:tr>
      <w:tr w:rsidRPr="00A5789D" w:rsidR="00A5789D" w:rsidTr="009912D5" w14:paraId="72D22EC0" w14:textId="77777777">
        <w:trPr>
          <w:trHeight w:val="275"/>
        </w:trPr>
        <w:tc>
          <w:tcPr>
            <w:cnfStyle w:val="001000000000" w:firstRow="0" w:lastRow="0" w:firstColumn="1" w:lastColumn="0" w:oddVBand="0" w:evenVBand="0" w:oddHBand="0" w:evenHBand="0" w:firstRowFirstColumn="0" w:firstRowLastColumn="0" w:lastRowFirstColumn="0" w:lastRowLastColumn="0"/>
            <w:tcW w:w="9913" w:type="dxa"/>
            <w:gridSpan w:val="3"/>
            <w:shd w:val="clear" w:color="auto" w:fill="4FACC5"/>
          </w:tcPr>
          <w:p w:rsidRPr="00A5789D" w:rsidR="00A5789D" w:rsidP="00A5789D" w:rsidRDefault="00A5789D" w14:paraId="5420365B" w14:textId="77777777">
            <w:pPr>
              <w:rPr>
                <w:rFonts w:ascii="Arial Narrow" w:hAnsi="Arial Narrow" w:eastAsia="Calibri" w:cs="Times New Roman"/>
                <w:color w:val="000000"/>
                <w:szCs w:val="20"/>
              </w:rPr>
            </w:pPr>
            <w:r w:rsidRPr="00A5789D">
              <w:rPr>
                <w:rFonts w:ascii="Arial Narrow" w:hAnsi="Arial Narrow" w:eastAsia="Calibri" w:cs="Times New Roman"/>
                <w:color w:val="000000"/>
                <w:szCs w:val="20"/>
              </w:rPr>
              <w:t>ACF OFFICES</w:t>
            </w:r>
          </w:p>
        </w:tc>
      </w:tr>
      <w:bookmarkEnd w:id="2"/>
      <w:tr w:rsidRPr="00A5789D" w:rsidR="00671581" w:rsidTr="009912D5" w14:paraId="3003C9BA"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0566D245" w14:textId="7DE73B83">
            <w:pPr>
              <w:rPr>
                <w:rFonts w:ascii="Arial Narrow" w:hAnsi="Arial Narrow" w:eastAsia="Calibri" w:cs="Times New Roman"/>
                <w:color w:val="000000"/>
                <w:szCs w:val="20"/>
              </w:rPr>
            </w:pPr>
            <w:r w:rsidRPr="00A5789D">
              <w:rPr>
                <w:rFonts w:ascii="Arial Narrow" w:hAnsi="Arial Narrow" w:eastAsia="Calibri" w:cs="Times New Roman"/>
                <w:color w:val="000000"/>
                <w:szCs w:val="20"/>
              </w:rPr>
              <w:t xml:space="preserve">Carmelia Strickland </w:t>
            </w:r>
          </w:p>
        </w:tc>
        <w:tc>
          <w:tcPr>
            <w:tcW w:w="7488" w:type="dxa"/>
            <w:gridSpan w:val="2"/>
          </w:tcPr>
          <w:p w:rsidRPr="00A5789D" w:rsidR="00671581" w:rsidP="00671581" w:rsidRDefault="00671581" w14:paraId="549D4242" w14:textId="2AE30302">
            <w:pPr>
              <w:cnfStyle w:val="000000100000" w:firstRow="0" w:lastRow="0" w:firstColumn="0" w:lastColumn="0" w:oddVBand="0" w:evenVBand="0" w:oddHBand="1"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Administration for Native Americans</w:t>
            </w:r>
          </w:p>
        </w:tc>
      </w:tr>
      <w:tr w:rsidRPr="00A5789D" w:rsidR="00671581" w:rsidTr="009912D5" w14:paraId="358A9C9C" w14:textId="77777777">
        <w:trPr>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7B60DE68" w14:textId="5340B0D4">
            <w:pPr>
              <w:rPr>
                <w:rFonts w:ascii="Arial Narrow" w:hAnsi="Arial Narrow" w:eastAsia="Calibri" w:cs="Times New Roman"/>
                <w:color w:val="000000"/>
                <w:szCs w:val="20"/>
              </w:rPr>
            </w:pPr>
            <w:r w:rsidRPr="00A5789D">
              <w:rPr>
                <w:rFonts w:ascii="Arial Narrow" w:hAnsi="Arial Narrow" w:eastAsia="Calibri" w:cs="Times New Roman"/>
                <w:color w:val="000000"/>
                <w:szCs w:val="20"/>
              </w:rPr>
              <w:t>Lynda Perez</w:t>
            </w:r>
          </w:p>
        </w:tc>
        <w:tc>
          <w:tcPr>
            <w:tcW w:w="7488" w:type="dxa"/>
            <w:gridSpan w:val="2"/>
          </w:tcPr>
          <w:p w:rsidRPr="00A5789D" w:rsidR="00671581" w:rsidP="00671581" w:rsidRDefault="00671581" w14:paraId="4E412DE6" w14:textId="73CC9D17">
            <w:pPr>
              <w:cnfStyle w:val="000000000000" w:firstRow="0" w:lastRow="0" w:firstColumn="0" w:lastColumn="0" w:oddVBand="0" w:evenVBand="0" w:oddHBand="0"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Office of Community Services</w:t>
            </w:r>
          </w:p>
        </w:tc>
      </w:tr>
      <w:tr w:rsidRPr="00A5789D" w:rsidR="00671581" w:rsidTr="009912D5" w14:paraId="11B299FF"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40A5A389" w14:textId="0BB360A9">
            <w:pPr>
              <w:rPr>
                <w:rFonts w:ascii="Arial Narrow" w:hAnsi="Arial Narrow" w:eastAsia="Calibri" w:cs="Times New Roman"/>
                <w:color w:val="000000"/>
                <w:szCs w:val="20"/>
              </w:rPr>
            </w:pPr>
            <w:r w:rsidRPr="00A5789D">
              <w:rPr>
                <w:rFonts w:ascii="Arial Narrow" w:hAnsi="Arial Narrow" w:eastAsia="Calibri" w:cs="Times New Roman"/>
                <w:color w:val="000000"/>
                <w:szCs w:val="20"/>
              </w:rPr>
              <w:t>James Murray</w:t>
            </w:r>
          </w:p>
        </w:tc>
        <w:tc>
          <w:tcPr>
            <w:tcW w:w="7488" w:type="dxa"/>
            <w:gridSpan w:val="2"/>
          </w:tcPr>
          <w:p w:rsidRPr="00A5789D" w:rsidR="00671581" w:rsidP="00671581" w:rsidRDefault="00671581" w14:paraId="2D7F8F8B" w14:textId="7B8FFD0C">
            <w:pPr>
              <w:cnfStyle w:val="000000100000" w:firstRow="0" w:lastRow="0" w:firstColumn="0" w:lastColumn="0" w:oddVBand="0" w:evenVBand="0" w:oddHBand="1"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Office of Child Support Enforcement</w:t>
            </w:r>
          </w:p>
        </w:tc>
      </w:tr>
      <w:tr w:rsidRPr="00A5789D" w:rsidR="00671581" w:rsidTr="009912D5" w14:paraId="16DF57B3" w14:textId="77777777">
        <w:trPr>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045878F6" w14:textId="77777777">
            <w:pPr>
              <w:rPr>
                <w:rFonts w:ascii="Arial Narrow" w:hAnsi="Arial Narrow" w:eastAsia="Calibri" w:cs="Times New Roman"/>
                <w:color w:val="000000"/>
                <w:szCs w:val="20"/>
              </w:rPr>
            </w:pPr>
            <w:bookmarkStart w:name="_Hlk43368324" w:id="3"/>
            <w:r w:rsidRPr="00A5789D">
              <w:rPr>
                <w:rFonts w:ascii="Arial Narrow" w:hAnsi="Arial Narrow" w:eastAsia="Calibri" w:cs="Times New Roman"/>
                <w:color w:val="000000"/>
                <w:szCs w:val="20"/>
              </w:rPr>
              <w:t>Stanley Koutstaal</w:t>
            </w:r>
          </w:p>
        </w:tc>
        <w:tc>
          <w:tcPr>
            <w:tcW w:w="7488" w:type="dxa"/>
            <w:gridSpan w:val="2"/>
          </w:tcPr>
          <w:p w:rsidRPr="00A5789D" w:rsidR="00671581" w:rsidP="00671581" w:rsidRDefault="00671581" w14:paraId="5125168F"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Office of Family Assistance – National Staff</w:t>
            </w:r>
          </w:p>
        </w:tc>
      </w:tr>
      <w:tr w:rsidRPr="00A5789D" w:rsidR="00671581" w:rsidTr="009912D5" w14:paraId="48CC4902"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11342926" w14:textId="77777777">
            <w:pPr>
              <w:rPr>
                <w:rFonts w:ascii="Arial Narrow" w:hAnsi="Arial Narrow" w:eastAsia="Calibri" w:cs="Times New Roman"/>
                <w:color w:val="000000"/>
                <w:szCs w:val="20"/>
              </w:rPr>
            </w:pPr>
            <w:r w:rsidRPr="00A5789D">
              <w:rPr>
                <w:rFonts w:ascii="Arial Narrow" w:hAnsi="Arial Narrow" w:eastAsia="Calibri" w:cs="Times New Roman"/>
                <w:color w:val="000000"/>
                <w:szCs w:val="20"/>
              </w:rPr>
              <w:t xml:space="preserve">Christina Tsichlis </w:t>
            </w:r>
          </w:p>
        </w:tc>
        <w:tc>
          <w:tcPr>
            <w:tcW w:w="7488" w:type="dxa"/>
            <w:gridSpan w:val="2"/>
          </w:tcPr>
          <w:p w:rsidRPr="00A5789D" w:rsidR="00671581" w:rsidP="00671581" w:rsidRDefault="00671581" w14:paraId="191B5659"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Office of Family Assistance – Regional Staff</w:t>
            </w:r>
          </w:p>
        </w:tc>
      </w:tr>
      <w:tr w:rsidRPr="00A5789D" w:rsidR="00671581" w:rsidTr="009912D5" w14:paraId="72A65DE2" w14:textId="77777777">
        <w:trPr>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60199FCD" w14:textId="77777777">
            <w:pPr>
              <w:rPr>
                <w:rFonts w:ascii="Arial Narrow" w:hAnsi="Arial Narrow" w:eastAsia="Calibri" w:cs="Times New Roman"/>
                <w:color w:val="000000"/>
                <w:szCs w:val="20"/>
              </w:rPr>
            </w:pPr>
            <w:r w:rsidRPr="00A5789D">
              <w:rPr>
                <w:rFonts w:ascii="Arial Narrow" w:hAnsi="Arial Narrow" w:eastAsia="Calibri" w:cs="Times New Roman"/>
                <w:color w:val="000000"/>
                <w:szCs w:val="20"/>
              </w:rPr>
              <w:t>Frank Shields</w:t>
            </w:r>
          </w:p>
        </w:tc>
        <w:tc>
          <w:tcPr>
            <w:tcW w:w="7488" w:type="dxa"/>
            <w:gridSpan w:val="2"/>
          </w:tcPr>
          <w:p w:rsidRPr="00A5789D" w:rsidR="00671581" w:rsidP="00671581" w:rsidRDefault="00671581" w14:paraId="52145FA7"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Office of Family Assistance – Regional Staff</w:t>
            </w:r>
          </w:p>
        </w:tc>
      </w:tr>
      <w:tr w:rsidRPr="00A5789D" w:rsidR="00671581" w:rsidTr="009912D5" w14:paraId="35F81DE1"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736CAD98" w14:textId="77777777">
            <w:pPr>
              <w:rPr>
                <w:rFonts w:ascii="Arial Narrow" w:hAnsi="Arial Narrow" w:eastAsia="Calibri" w:cs="Times New Roman"/>
                <w:color w:val="000000"/>
                <w:szCs w:val="20"/>
              </w:rPr>
            </w:pPr>
            <w:r w:rsidRPr="00A5789D">
              <w:rPr>
                <w:rFonts w:ascii="Arial Narrow" w:hAnsi="Arial Narrow" w:eastAsia="Calibri" w:cs="Times New Roman"/>
                <w:color w:val="000000"/>
                <w:szCs w:val="20"/>
              </w:rPr>
              <w:t>Julie Fong</w:t>
            </w:r>
          </w:p>
        </w:tc>
        <w:tc>
          <w:tcPr>
            <w:tcW w:w="7488" w:type="dxa"/>
            <w:gridSpan w:val="2"/>
          </w:tcPr>
          <w:p w:rsidRPr="00A5789D" w:rsidR="00671581" w:rsidP="00671581" w:rsidRDefault="00671581" w14:paraId="2B4CA239"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Office of Family Assistance – Regional Staff</w:t>
            </w:r>
          </w:p>
        </w:tc>
      </w:tr>
      <w:tr w:rsidRPr="00A5789D" w:rsidR="00671581" w:rsidTr="009912D5" w14:paraId="544F3BED" w14:textId="77777777">
        <w:trPr>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0A9F0AEC" w14:textId="77777777">
            <w:pPr>
              <w:rPr>
                <w:rFonts w:ascii="Arial Narrow" w:hAnsi="Arial Narrow" w:eastAsia="Calibri" w:cs="Times New Roman"/>
                <w:color w:val="000000"/>
                <w:szCs w:val="20"/>
              </w:rPr>
            </w:pPr>
            <w:r w:rsidRPr="00A5789D">
              <w:rPr>
                <w:rFonts w:ascii="Arial Narrow" w:hAnsi="Arial Narrow" w:eastAsia="Calibri" w:cs="Times New Roman"/>
                <w:color w:val="000000"/>
                <w:szCs w:val="20"/>
              </w:rPr>
              <w:t>Mikaela Smith</w:t>
            </w:r>
          </w:p>
        </w:tc>
        <w:tc>
          <w:tcPr>
            <w:tcW w:w="7488" w:type="dxa"/>
            <w:gridSpan w:val="2"/>
          </w:tcPr>
          <w:p w:rsidRPr="00A5789D" w:rsidR="00671581" w:rsidP="00671581" w:rsidRDefault="00671581" w14:paraId="1272AC78"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Office of Family Assistance – Regional Staff</w:t>
            </w:r>
          </w:p>
        </w:tc>
      </w:tr>
      <w:tr w:rsidRPr="00A5789D" w:rsidR="00671581" w:rsidTr="009912D5" w14:paraId="0A67C6F0"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913" w:type="dxa"/>
            <w:gridSpan w:val="3"/>
            <w:shd w:val="clear" w:color="auto" w:fill="4FACC5"/>
          </w:tcPr>
          <w:p w:rsidRPr="00A5789D" w:rsidR="00671581" w:rsidP="00671581" w:rsidRDefault="00671581" w14:paraId="11EE9F73" w14:textId="77777777">
            <w:pPr>
              <w:rPr>
                <w:rFonts w:ascii="Arial Narrow" w:hAnsi="Arial Narrow" w:eastAsia="Calibri" w:cs="Times New Roman"/>
                <w:color w:val="000000"/>
                <w:szCs w:val="20"/>
              </w:rPr>
            </w:pPr>
            <w:r w:rsidRPr="00A5789D">
              <w:rPr>
                <w:rFonts w:ascii="Arial Narrow" w:hAnsi="Arial Narrow" w:eastAsia="Calibri" w:cs="Times New Roman"/>
                <w:color w:val="000000"/>
                <w:szCs w:val="20"/>
              </w:rPr>
              <w:t>OTHER AGENCIES</w:t>
            </w:r>
          </w:p>
        </w:tc>
      </w:tr>
      <w:bookmarkEnd w:id="3"/>
      <w:tr w:rsidRPr="00A5789D" w:rsidR="00671581" w:rsidTr="009912D5" w14:paraId="149999CA" w14:textId="77777777">
        <w:trPr>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42DE2106" w14:textId="37A03D7B">
            <w:pPr>
              <w:rPr>
                <w:rFonts w:ascii="Arial Narrow" w:hAnsi="Arial Narrow" w:eastAsia="Calibri" w:cs="Times New Roman"/>
                <w:color w:val="000000"/>
                <w:szCs w:val="20"/>
              </w:rPr>
            </w:pPr>
            <w:r w:rsidRPr="00A5789D">
              <w:rPr>
                <w:rFonts w:ascii="Arial Narrow" w:hAnsi="Arial Narrow" w:eastAsia="Calibri" w:cs="Times New Roman"/>
                <w:color w:val="000000"/>
                <w:szCs w:val="20"/>
              </w:rPr>
              <w:t>Janneke Ratcliffe</w:t>
            </w:r>
            <w:r w:rsidRPr="00A5789D">
              <w:rPr>
                <w:rFonts w:ascii="Arial Narrow" w:hAnsi="Arial Narrow" w:eastAsia="Calibri" w:cs="Times New Roman"/>
                <w:color w:val="000000"/>
                <w:szCs w:val="20"/>
              </w:rPr>
              <w:tab/>
              <w:t xml:space="preserve"> </w:t>
            </w:r>
          </w:p>
        </w:tc>
        <w:tc>
          <w:tcPr>
            <w:tcW w:w="7488" w:type="dxa"/>
            <w:gridSpan w:val="2"/>
          </w:tcPr>
          <w:p w:rsidRPr="00A5789D" w:rsidR="00671581" w:rsidP="00671581" w:rsidRDefault="00671581" w14:paraId="5EA5AAE2" w14:textId="19635A4C">
            <w:pPr>
              <w:cnfStyle w:val="000000000000" w:firstRow="0" w:lastRow="0" w:firstColumn="0" w:lastColumn="0" w:oddVBand="0" w:evenVBand="0" w:oddHBand="0"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 xml:space="preserve">Consumer Financial Protection Bureau </w:t>
            </w:r>
          </w:p>
        </w:tc>
      </w:tr>
      <w:tr w:rsidRPr="00A5789D" w:rsidR="00671581" w:rsidTr="009912D5" w14:paraId="797F77B9"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7698A6F3" w14:textId="7EEBF2DB">
            <w:pPr>
              <w:rPr>
                <w:rFonts w:ascii="Arial Narrow" w:hAnsi="Arial Narrow" w:eastAsia="Calibri" w:cs="Times New Roman"/>
                <w:color w:val="000000"/>
                <w:szCs w:val="20"/>
              </w:rPr>
            </w:pPr>
            <w:r w:rsidRPr="00A5789D">
              <w:rPr>
                <w:rFonts w:ascii="Arial Narrow" w:hAnsi="Arial Narrow" w:eastAsia="Calibri" w:cs="Times New Roman"/>
                <w:color w:val="000000"/>
                <w:szCs w:val="20"/>
              </w:rPr>
              <w:t>Kenneth</w:t>
            </w:r>
            <w:r>
              <w:rPr>
                <w:rFonts w:ascii="Arial Narrow" w:hAnsi="Arial Narrow" w:eastAsia="Calibri" w:cs="Times New Roman"/>
                <w:color w:val="000000"/>
                <w:szCs w:val="20"/>
              </w:rPr>
              <w:t xml:space="preserve"> </w:t>
            </w:r>
            <w:r w:rsidRPr="00A5789D">
              <w:rPr>
                <w:rFonts w:ascii="Arial Narrow" w:hAnsi="Arial Narrow" w:eastAsia="Calibri" w:cs="Times New Roman"/>
                <w:color w:val="000000"/>
                <w:szCs w:val="20"/>
              </w:rPr>
              <w:t>McDonnell</w:t>
            </w:r>
          </w:p>
        </w:tc>
        <w:tc>
          <w:tcPr>
            <w:tcW w:w="7488" w:type="dxa"/>
            <w:gridSpan w:val="2"/>
          </w:tcPr>
          <w:p w:rsidRPr="00A5789D" w:rsidR="00671581" w:rsidP="00671581" w:rsidRDefault="00671581" w14:paraId="5949A659" w14:textId="3CD0C547">
            <w:pPr>
              <w:cnfStyle w:val="000000100000" w:firstRow="0" w:lastRow="0" w:firstColumn="0" w:lastColumn="0" w:oddVBand="0" w:evenVBand="0" w:oddHBand="1"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Consumer Financial Protection Bureau</w:t>
            </w:r>
          </w:p>
        </w:tc>
      </w:tr>
      <w:tr w:rsidRPr="00A5789D" w:rsidR="00671581" w:rsidTr="009912D5" w14:paraId="77810D71" w14:textId="77777777">
        <w:trPr>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73C62403" w14:textId="1398D5AB">
            <w:pPr>
              <w:rPr>
                <w:rFonts w:ascii="Arial Narrow" w:hAnsi="Arial Narrow" w:eastAsia="Calibri" w:cs="Times New Roman"/>
                <w:color w:val="000000"/>
                <w:szCs w:val="20"/>
              </w:rPr>
            </w:pPr>
            <w:r w:rsidRPr="00A5789D">
              <w:rPr>
                <w:rFonts w:ascii="Arial Narrow" w:hAnsi="Arial Narrow" w:eastAsia="Calibri" w:cs="Times New Roman"/>
                <w:color w:val="000000"/>
                <w:szCs w:val="20"/>
              </w:rPr>
              <w:t>Laura Schlachtmeyer</w:t>
            </w:r>
          </w:p>
        </w:tc>
        <w:tc>
          <w:tcPr>
            <w:tcW w:w="7488" w:type="dxa"/>
            <w:gridSpan w:val="2"/>
          </w:tcPr>
          <w:p w:rsidRPr="00A5789D" w:rsidR="00671581" w:rsidP="00671581" w:rsidRDefault="00671581" w14:paraId="13607BFB" w14:textId="6949CEF8">
            <w:pPr>
              <w:cnfStyle w:val="000000000000" w:firstRow="0" w:lastRow="0" w:firstColumn="0" w:lastColumn="0" w:oddVBand="0" w:evenVBand="0" w:oddHBand="0"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Consumer Financial Protection Bureau</w:t>
            </w:r>
          </w:p>
        </w:tc>
      </w:tr>
      <w:tr w:rsidRPr="00A5789D" w:rsidR="00671581" w:rsidTr="009912D5" w14:paraId="134FF6D6"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4A479597" w14:textId="77777777">
            <w:pPr>
              <w:rPr>
                <w:rFonts w:ascii="Arial Narrow" w:hAnsi="Arial Narrow" w:eastAsia="Calibri" w:cs="Times New Roman"/>
                <w:color w:val="000000"/>
                <w:szCs w:val="20"/>
              </w:rPr>
            </w:pPr>
            <w:r w:rsidRPr="00A5789D">
              <w:rPr>
                <w:rFonts w:ascii="Arial Narrow" w:hAnsi="Arial Narrow" w:eastAsia="Calibri" w:cs="Times New Roman"/>
                <w:color w:val="000000"/>
                <w:szCs w:val="20"/>
              </w:rPr>
              <w:t>Wayne Gordon</w:t>
            </w:r>
          </w:p>
        </w:tc>
        <w:tc>
          <w:tcPr>
            <w:tcW w:w="7488" w:type="dxa"/>
            <w:gridSpan w:val="2"/>
          </w:tcPr>
          <w:p w:rsidRPr="00A5789D" w:rsidR="00671581" w:rsidP="00671581" w:rsidRDefault="00671581" w14:paraId="3742A8BC"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Employment and Training Administration, Department of Labor</w:t>
            </w:r>
          </w:p>
        </w:tc>
      </w:tr>
      <w:tr w:rsidRPr="00A5789D" w:rsidR="00671581" w:rsidTr="009912D5" w14:paraId="66DE50B4" w14:textId="77777777">
        <w:trPr>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5301308E" w14:textId="3BFEED9C">
            <w:pPr>
              <w:rPr>
                <w:rFonts w:ascii="Arial Narrow" w:hAnsi="Arial Narrow" w:eastAsia="Calibri" w:cs="Times New Roman"/>
                <w:color w:val="000000"/>
                <w:szCs w:val="20"/>
              </w:rPr>
            </w:pPr>
            <w:r w:rsidRPr="00A5789D">
              <w:rPr>
                <w:rFonts w:ascii="Arial Narrow" w:hAnsi="Arial Narrow" w:eastAsia="Calibri" w:cs="Times New Roman"/>
                <w:color w:val="000000"/>
                <w:szCs w:val="20"/>
              </w:rPr>
              <w:t>Susan Burhouse</w:t>
            </w:r>
          </w:p>
        </w:tc>
        <w:tc>
          <w:tcPr>
            <w:tcW w:w="7488" w:type="dxa"/>
            <w:gridSpan w:val="2"/>
          </w:tcPr>
          <w:p w:rsidRPr="00A5789D" w:rsidR="00671581" w:rsidP="00671581" w:rsidRDefault="00671581" w14:paraId="6FB0A607" w14:textId="3DEE56E2">
            <w:pPr>
              <w:cnfStyle w:val="000000000000" w:firstRow="0" w:lastRow="0" w:firstColumn="0" w:lastColumn="0" w:oddVBand="0" w:evenVBand="0" w:oddHBand="0"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Federal Deposit Insurance Corporation</w:t>
            </w:r>
          </w:p>
        </w:tc>
      </w:tr>
      <w:tr w:rsidRPr="00A5789D" w:rsidR="00671581" w:rsidTr="009912D5" w14:paraId="60E770DB"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604F51F1" w14:textId="7B87F470">
            <w:pPr>
              <w:rPr>
                <w:rFonts w:ascii="Arial Narrow" w:hAnsi="Arial Narrow" w:eastAsia="Calibri" w:cs="Times New Roman"/>
                <w:color w:val="000000"/>
                <w:szCs w:val="20"/>
              </w:rPr>
            </w:pPr>
            <w:r w:rsidRPr="00A5789D">
              <w:rPr>
                <w:rFonts w:ascii="Arial Narrow" w:hAnsi="Arial Narrow" w:eastAsia="Calibri" w:cs="Times New Roman"/>
                <w:color w:val="000000"/>
                <w:szCs w:val="20"/>
              </w:rPr>
              <w:t>Tracie Morris</w:t>
            </w:r>
          </w:p>
        </w:tc>
        <w:tc>
          <w:tcPr>
            <w:tcW w:w="7488" w:type="dxa"/>
            <w:gridSpan w:val="2"/>
          </w:tcPr>
          <w:p w:rsidRPr="00A5789D" w:rsidR="00671581" w:rsidP="00671581" w:rsidRDefault="00671581" w14:paraId="5E0780DC" w14:textId="29B972D0">
            <w:pPr>
              <w:cnfStyle w:val="000000100000" w:firstRow="0" w:lastRow="0" w:firstColumn="0" w:lastColumn="0" w:oddVBand="0" w:evenVBand="0" w:oddHBand="1"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Federal Deposit Insurance Corporation</w:t>
            </w:r>
          </w:p>
        </w:tc>
      </w:tr>
      <w:tr w:rsidRPr="00A5789D" w:rsidR="00671581" w:rsidTr="009912D5" w14:paraId="0AEC6B60" w14:textId="77777777">
        <w:trPr>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7DBD2E9B" w14:textId="77777777">
            <w:pPr>
              <w:rPr>
                <w:rFonts w:ascii="Arial Narrow" w:hAnsi="Arial Narrow" w:eastAsia="Calibri" w:cs="Times New Roman"/>
                <w:color w:val="000000"/>
                <w:szCs w:val="20"/>
              </w:rPr>
            </w:pPr>
            <w:r w:rsidRPr="00A5789D">
              <w:rPr>
                <w:rFonts w:ascii="Arial Narrow" w:hAnsi="Arial Narrow" w:eastAsia="Calibri" w:cs="Times New Roman"/>
                <w:color w:val="000000"/>
                <w:szCs w:val="20"/>
              </w:rPr>
              <w:t>Louisa Quittman</w:t>
            </w:r>
          </w:p>
        </w:tc>
        <w:tc>
          <w:tcPr>
            <w:tcW w:w="7488" w:type="dxa"/>
            <w:gridSpan w:val="2"/>
          </w:tcPr>
          <w:p w:rsidRPr="00A5789D" w:rsidR="00671581" w:rsidP="00671581" w:rsidRDefault="00671581" w14:paraId="5DB1D95B"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Office of Consumer Policy, Department of the Treasury</w:t>
            </w:r>
          </w:p>
        </w:tc>
      </w:tr>
      <w:tr w:rsidRPr="00A5789D" w:rsidR="00671581" w:rsidTr="009912D5" w14:paraId="397DD7EA"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25" w:type="dxa"/>
          </w:tcPr>
          <w:p w:rsidRPr="00A5789D" w:rsidR="00671581" w:rsidP="00671581" w:rsidRDefault="00671581" w14:paraId="7F8AC9BF" w14:textId="77777777">
            <w:pPr>
              <w:rPr>
                <w:rFonts w:ascii="Arial Narrow" w:hAnsi="Arial Narrow" w:eastAsia="Calibri" w:cs="Times New Roman"/>
                <w:color w:val="000000"/>
                <w:szCs w:val="20"/>
              </w:rPr>
            </w:pPr>
            <w:r w:rsidRPr="00A5789D">
              <w:rPr>
                <w:rFonts w:ascii="Arial Narrow" w:hAnsi="Arial Narrow" w:eastAsia="Calibri" w:cs="Times New Roman"/>
                <w:color w:val="000000"/>
                <w:szCs w:val="20"/>
              </w:rPr>
              <w:t>Barbara</w:t>
            </w:r>
            <w:r w:rsidRPr="00A5789D">
              <w:rPr>
                <w:rFonts w:ascii="Arial Narrow" w:hAnsi="Arial Narrow" w:eastAsia="Calibri" w:cs="Times New Roman"/>
                <w:color w:val="000000"/>
                <w:szCs w:val="20"/>
              </w:rPr>
              <w:tab/>
              <w:t>Smith</w:t>
            </w:r>
          </w:p>
        </w:tc>
        <w:tc>
          <w:tcPr>
            <w:tcW w:w="7488" w:type="dxa"/>
            <w:gridSpan w:val="2"/>
          </w:tcPr>
          <w:p w:rsidRPr="00A5789D" w:rsidR="00671581" w:rsidP="00671581" w:rsidRDefault="00671581" w14:paraId="0A6AAD0F"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eastAsia="Calibri" w:cs="Times New Roman"/>
                <w:color w:val="000000"/>
                <w:szCs w:val="20"/>
              </w:rPr>
            </w:pPr>
            <w:r w:rsidRPr="00A5789D">
              <w:rPr>
                <w:rFonts w:ascii="Arial Narrow" w:hAnsi="Arial Narrow" w:eastAsia="Calibri" w:cs="Times New Roman"/>
                <w:color w:val="000000"/>
                <w:szCs w:val="20"/>
              </w:rPr>
              <w:t>Office of Retirement Policy, Social Security Administration</w:t>
            </w:r>
          </w:p>
        </w:tc>
      </w:tr>
      <w:tr w:rsidRPr="00D86071" w:rsidR="00671581" w:rsidTr="009912D5" w14:paraId="441DF7A4" w14:textId="77777777">
        <w:trPr>
          <w:gridAfter w:val="1"/>
          <w:wAfter w:w="18" w:type="dxa"/>
          <w:trHeight w:val="300"/>
        </w:trPr>
        <w:tc>
          <w:tcPr>
            <w:cnfStyle w:val="001000000000" w:firstRow="0" w:lastRow="0" w:firstColumn="1" w:lastColumn="0" w:oddVBand="0" w:evenVBand="0" w:oddHBand="0" w:evenHBand="0" w:firstRowFirstColumn="0" w:firstRowLastColumn="0" w:lastRowFirstColumn="0" w:lastRowLastColumn="0"/>
            <w:tcW w:w="9895" w:type="dxa"/>
            <w:gridSpan w:val="2"/>
            <w:shd w:val="clear" w:color="auto" w:fill="244061" w:themeFill="accent1" w:themeFillShade="80"/>
            <w:noWrap/>
          </w:tcPr>
          <w:p w:rsidRPr="00D86071" w:rsidR="00671581" w:rsidP="00671581" w:rsidRDefault="00671581" w14:paraId="14DED855" w14:textId="527576F1">
            <w:pPr>
              <w:pStyle w:val="TableText"/>
              <w:framePr w:hSpace="0" w:wrap="auto" w:hAnchor="text" w:vAnchor="margin" w:yAlign="inline"/>
              <w:jc w:val="center"/>
              <w:rPr>
                <w:color w:val="FFFFFF" w:themeColor="background1"/>
              </w:rPr>
            </w:pPr>
            <w:r>
              <w:rPr>
                <w:color w:val="FFFFFF" w:themeColor="background1"/>
              </w:rPr>
              <w:t>Nonfederal Experts</w:t>
            </w:r>
          </w:p>
        </w:tc>
      </w:tr>
      <w:tr w:rsidRPr="00D86071" w:rsidR="00671581" w:rsidTr="009912D5" w14:paraId="1D2B60D9" w14:textId="77777777">
        <w:trPr>
          <w:gridAfter w:val="1"/>
          <w:cnfStyle w:val="000000100000" w:firstRow="0" w:lastRow="0" w:firstColumn="0" w:lastColumn="0" w:oddVBand="0" w:evenVBand="0" w:oddHBand="1" w:evenHBand="0" w:firstRowFirstColumn="0" w:firstRowLastColumn="0" w:lastRowFirstColumn="0" w:lastRowLastColumn="0"/>
          <w:wAfter w:w="18" w:type="dxa"/>
          <w:trHeight w:val="300"/>
        </w:trPr>
        <w:tc>
          <w:tcPr>
            <w:cnfStyle w:val="001000000000" w:firstRow="0" w:lastRow="0" w:firstColumn="1" w:lastColumn="0" w:oddVBand="0" w:evenVBand="0" w:oddHBand="0" w:evenHBand="0" w:firstRowFirstColumn="0" w:firstRowLastColumn="0" w:lastRowFirstColumn="0" w:lastRowLastColumn="0"/>
            <w:tcW w:w="2425" w:type="dxa"/>
            <w:shd w:val="clear" w:color="auto" w:fill="244061" w:themeFill="accent1" w:themeFillShade="80"/>
            <w:noWrap/>
            <w:hideMark/>
          </w:tcPr>
          <w:p w:rsidRPr="00D86071" w:rsidR="00671581" w:rsidP="00671581" w:rsidRDefault="00671581" w14:paraId="65FE7508" w14:textId="77777777">
            <w:pPr>
              <w:pStyle w:val="TableText"/>
              <w:framePr w:hSpace="0" w:wrap="auto" w:hAnchor="text" w:vAnchor="margin" w:yAlign="inline"/>
              <w:rPr>
                <w:color w:val="FFFFFF" w:themeColor="background1"/>
              </w:rPr>
            </w:pPr>
            <w:r w:rsidRPr="00D86071">
              <w:rPr>
                <w:color w:val="FFFFFF" w:themeColor="background1"/>
              </w:rPr>
              <w:t>Name</w:t>
            </w:r>
          </w:p>
        </w:tc>
        <w:tc>
          <w:tcPr>
            <w:tcW w:w="7470" w:type="dxa"/>
            <w:shd w:val="clear" w:color="auto" w:fill="244061" w:themeFill="accent1" w:themeFillShade="80"/>
            <w:noWrap/>
            <w:hideMark/>
          </w:tcPr>
          <w:p w:rsidRPr="00D86071" w:rsidR="00671581" w:rsidP="00671581" w:rsidRDefault="00671581" w14:paraId="6DDC90E4" w14:textId="77777777">
            <w:pPr>
              <w:pStyle w:val="TableText"/>
              <w:framePr w:hSpace="0" w:wrap="auto" w:hAnchor="text" w:vAnchor="margin" w:yAlign="inline"/>
              <w:cnfStyle w:val="000000100000" w:firstRow="0" w:lastRow="0" w:firstColumn="0" w:lastColumn="0" w:oddVBand="0" w:evenVBand="0" w:oddHBand="1" w:evenHBand="0" w:firstRowFirstColumn="0" w:firstRowLastColumn="0" w:lastRowFirstColumn="0" w:lastRowLastColumn="0"/>
              <w:rPr>
                <w:color w:val="FFFFFF" w:themeColor="background1"/>
              </w:rPr>
            </w:pPr>
            <w:r w:rsidRPr="00D86071">
              <w:rPr>
                <w:color w:val="FFFFFF" w:themeColor="background1"/>
              </w:rPr>
              <w:t>Organization</w:t>
            </w:r>
          </w:p>
        </w:tc>
      </w:tr>
      <w:tr w:rsidRPr="0077286D" w:rsidR="00671581" w:rsidTr="0077286D" w14:paraId="4180852A" w14:textId="77777777">
        <w:trPr>
          <w:gridAfter w:val="1"/>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14CC1601" w14:textId="67AC27C2">
            <w:pPr>
              <w:rPr>
                <w:rFonts w:ascii="Arial Narrow" w:hAnsi="Arial Narrow"/>
              </w:rPr>
            </w:pPr>
            <w:r w:rsidRPr="0077286D">
              <w:rPr>
                <w:rFonts w:ascii="Arial Narrow" w:hAnsi="Arial Narrow"/>
              </w:rPr>
              <w:t>Don Baylor</w:t>
            </w:r>
          </w:p>
        </w:tc>
        <w:tc>
          <w:tcPr>
            <w:tcW w:w="7470" w:type="dxa"/>
            <w:noWrap/>
          </w:tcPr>
          <w:p w:rsidRPr="0077286D" w:rsidR="00671581" w:rsidP="0077286D" w:rsidRDefault="00671581" w14:paraId="7474D79D" w14:textId="527E3822">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77286D">
              <w:rPr>
                <w:rFonts w:ascii="Arial Narrow" w:hAnsi="Arial Narrow"/>
              </w:rPr>
              <w:t>Annie E. Casey Foundation (Baltimore, MD)</w:t>
            </w:r>
          </w:p>
        </w:tc>
      </w:tr>
      <w:tr w:rsidRPr="0077286D" w:rsidR="00671581" w:rsidTr="0077286D" w14:paraId="59754552" w14:textId="77777777">
        <w:trPr>
          <w:gridAfter w:val="1"/>
          <w:cnfStyle w:val="000000100000" w:firstRow="0" w:lastRow="0" w:firstColumn="0" w:lastColumn="0" w:oddVBand="0" w:evenVBand="0" w:oddHBand="1" w:evenHBand="0" w:firstRowFirstColumn="0" w:firstRowLastColumn="0" w:lastRowFirstColumn="0" w:lastRowLastColumn="0"/>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365AAEE2" w14:textId="0F1611D4">
            <w:pPr>
              <w:rPr>
                <w:rFonts w:ascii="Arial Narrow" w:hAnsi="Arial Narrow"/>
              </w:rPr>
            </w:pPr>
            <w:r w:rsidRPr="0077286D">
              <w:rPr>
                <w:rFonts w:ascii="Arial Narrow" w:hAnsi="Arial Narrow"/>
              </w:rPr>
              <w:t>Ida Rademacher</w:t>
            </w:r>
          </w:p>
        </w:tc>
        <w:tc>
          <w:tcPr>
            <w:tcW w:w="7470" w:type="dxa"/>
            <w:noWrap/>
          </w:tcPr>
          <w:p w:rsidRPr="0077286D" w:rsidR="00671581" w:rsidP="0077286D" w:rsidRDefault="00671581" w14:paraId="4FF3DD15" w14:textId="5CB6A56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77286D">
              <w:rPr>
                <w:rFonts w:ascii="Arial Narrow" w:hAnsi="Arial Narrow"/>
              </w:rPr>
              <w:t>Aspen Institute (Washington, DC)</w:t>
            </w:r>
          </w:p>
        </w:tc>
      </w:tr>
      <w:tr w:rsidRPr="0077286D" w:rsidR="00671581" w:rsidTr="0077286D" w14:paraId="6F206F9A" w14:textId="77777777">
        <w:trPr>
          <w:gridAfter w:val="1"/>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10FCFA15" w14:textId="6D0EEBE5">
            <w:pPr>
              <w:rPr>
                <w:rFonts w:ascii="Arial Narrow" w:hAnsi="Arial Narrow"/>
              </w:rPr>
            </w:pPr>
            <w:r w:rsidRPr="0077286D">
              <w:rPr>
                <w:rFonts w:ascii="Arial Narrow" w:hAnsi="Arial Narrow"/>
              </w:rPr>
              <w:t>Tamara Lindsay</w:t>
            </w:r>
          </w:p>
        </w:tc>
        <w:tc>
          <w:tcPr>
            <w:tcW w:w="7470" w:type="dxa"/>
            <w:noWrap/>
          </w:tcPr>
          <w:p w:rsidRPr="0077286D" w:rsidR="00671581" w:rsidP="0077286D" w:rsidRDefault="00671581" w14:paraId="5412C51B" w14:textId="707CB184">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77286D">
              <w:rPr>
                <w:rFonts w:ascii="Arial Narrow" w:hAnsi="Arial Narrow"/>
              </w:rPr>
              <w:t>Cities for Financial Empowerment Fund (New York, NY)</w:t>
            </w:r>
          </w:p>
        </w:tc>
      </w:tr>
      <w:tr w:rsidRPr="0077286D" w:rsidR="00671581" w:rsidTr="0077286D" w14:paraId="4AD3237B" w14:textId="77777777">
        <w:trPr>
          <w:gridAfter w:val="1"/>
          <w:cnfStyle w:val="000000100000" w:firstRow="0" w:lastRow="0" w:firstColumn="0" w:lastColumn="0" w:oddVBand="0" w:evenVBand="0" w:oddHBand="1" w:evenHBand="0" w:firstRowFirstColumn="0" w:firstRowLastColumn="0" w:lastRowFirstColumn="0" w:lastRowLastColumn="0"/>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3B4DC9C8" w14:textId="41766D84">
            <w:pPr>
              <w:rPr>
                <w:rFonts w:ascii="Arial Narrow" w:hAnsi="Arial Narrow"/>
              </w:rPr>
            </w:pPr>
            <w:r w:rsidRPr="0077286D">
              <w:rPr>
                <w:rFonts w:ascii="Arial Narrow" w:hAnsi="Arial Narrow"/>
              </w:rPr>
              <w:t>Sherry Riva</w:t>
            </w:r>
          </w:p>
        </w:tc>
        <w:tc>
          <w:tcPr>
            <w:tcW w:w="7470" w:type="dxa"/>
            <w:noWrap/>
          </w:tcPr>
          <w:p w:rsidRPr="0077286D" w:rsidR="00671581" w:rsidP="0077286D" w:rsidRDefault="00671581" w14:paraId="3242E189" w14:textId="77544282">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77286D">
              <w:rPr>
                <w:rFonts w:ascii="Arial Narrow" w:hAnsi="Arial Narrow"/>
              </w:rPr>
              <w:t xml:space="preserve">Compass Working Capital (Boston, MA) </w:t>
            </w:r>
          </w:p>
        </w:tc>
      </w:tr>
      <w:tr w:rsidRPr="0077286D" w:rsidR="00671581" w:rsidTr="0077286D" w14:paraId="3C4F82B1" w14:textId="77777777">
        <w:trPr>
          <w:gridAfter w:val="1"/>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6AE771EB" w14:textId="04A4DD10">
            <w:pPr>
              <w:rPr>
                <w:rFonts w:ascii="Arial Narrow" w:hAnsi="Arial Narrow"/>
              </w:rPr>
            </w:pPr>
            <w:r w:rsidRPr="0077286D">
              <w:rPr>
                <w:rFonts w:ascii="Arial Narrow" w:hAnsi="Arial Narrow"/>
              </w:rPr>
              <w:t>Emet Ma’ayan</w:t>
            </w:r>
          </w:p>
        </w:tc>
        <w:tc>
          <w:tcPr>
            <w:tcW w:w="7470" w:type="dxa"/>
            <w:noWrap/>
          </w:tcPr>
          <w:p w:rsidRPr="0077286D" w:rsidR="00671581" w:rsidP="0077286D" w:rsidRDefault="00671581" w14:paraId="4C0A258D" w14:textId="43C1747F">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77286D">
              <w:rPr>
                <w:rFonts w:ascii="Arial Narrow" w:hAnsi="Arial Narrow"/>
              </w:rPr>
              <w:t>Fathers Building Futures (Albuquerque, NM)</w:t>
            </w:r>
          </w:p>
        </w:tc>
      </w:tr>
      <w:tr w:rsidRPr="0077286D" w:rsidR="00671581" w:rsidTr="0077286D" w14:paraId="71C1AD8F" w14:textId="77777777">
        <w:trPr>
          <w:gridAfter w:val="1"/>
          <w:cnfStyle w:val="000000100000" w:firstRow="0" w:lastRow="0" w:firstColumn="0" w:lastColumn="0" w:oddVBand="0" w:evenVBand="0" w:oddHBand="1" w:evenHBand="0" w:firstRowFirstColumn="0" w:firstRowLastColumn="0" w:lastRowFirstColumn="0" w:lastRowLastColumn="0"/>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455D7526" w14:textId="4B4D398C">
            <w:pPr>
              <w:rPr>
                <w:rFonts w:ascii="Arial Narrow" w:hAnsi="Arial Narrow"/>
              </w:rPr>
            </w:pPr>
            <w:r w:rsidRPr="0077286D">
              <w:rPr>
                <w:rFonts w:ascii="Arial Narrow" w:hAnsi="Arial Narrow"/>
              </w:rPr>
              <w:t>Gary Mottola</w:t>
            </w:r>
          </w:p>
        </w:tc>
        <w:tc>
          <w:tcPr>
            <w:tcW w:w="7470" w:type="dxa"/>
            <w:noWrap/>
          </w:tcPr>
          <w:p w:rsidRPr="0077286D" w:rsidR="00671581" w:rsidP="0077286D" w:rsidRDefault="00671581" w14:paraId="2D640933" w14:textId="6CA58E7E">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77286D">
              <w:rPr>
                <w:rFonts w:ascii="Arial Narrow" w:hAnsi="Arial Narrow"/>
              </w:rPr>
              <w:t>FINRA Foundation (Washington, DC)</w:t>
            </w:r>
          </w:p>
        </w:tc>
      </w:tr>
      <w:tr w:rsidRPr="0077286D" w:rsidR="00671581" w:rsidTr="0077286D" w14:paraId="383D8A73" w14:textId="77777777">
        <w:trPr>
          <w:gridAfter w:val="1"/>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27C37AC1" w14:textId="3426715D">
            <w:pPr>
              <w:rPr>
                <w:rFonts w:ascii="Arial Narrow" w:hAnsi="Arial Narrow"/>
              </w:rPr>
            </w:pPr>
            <w:r w:rsidRPr="0077286D">
              <w:rPr>
                <w:rFonts w:ascii="Arial Narrow" w:hAnsi="Arial Narrow"/>
              </w:rPr>
              <w:t>David Greenberg</w:t>
            </w:r>
          </w:p>
        </w:tc>
        <w:tc>
          <w:tcPr>
            <w:tcW w:w="7470" w:type="dxa"/>
            <w:noWrap/>
          </w:tcPr>
          <w:p w:rsidRPr="0077286D" w:rsidR="00671581" w:rsidP="0077286D" w:rsidRDefault="00671581" w14:paraId="1148FDCE" w14:textId="41D7CDA2">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77286D">
              <w:rPr>
                <w:rFonts w:ascii="Arial Narrow" w:hAnsi="Arial Narrow"/>
              </w:rPr>
              <w:t>Local Initiatives Support Corporation (New York, NY)</w:t>
            </w:r>
          </w:p>
        </w:tc>
      </w:tr>
      <w:tr w:rsidRPr="0077286D" w:rsidR="00671581" w:rsidTr="0077286D" w14:paraId="55EC68FC" w14:textId="77777777">
        <w:trPr>
          <w:gridAfter w:val="1"/>
          <w:cnfStyle w:val="000000100000" w:firstRow="0" w:lastRow="0" w:firstColumn="0" w:lastColumn="0" w:oddVBand="0" w:evenVBand="0" w:oddHBand="1" w:evenHBand="0" w:firstRowFirstColumn="0" w:firstRowLastColumn="0" w:lastRowFirstColumn="0" w:lastRowLastColumn="0"/>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74DE6D1E" w14:textId="04ECB9F4">
            <w:pPr>
              <w:rPr>
                <w:rFonts w:ascii="Arial Narrow" w:hAnsi="Arial Narrow"/>
              </w:rPr>
            </w:pPr>
            <w:r w:rsidRPr="0077286D">
              <w:rPr>
                <w:rFonts w:ascii="Arial Narrow" w:hAnsi="Arial Narrow"/>
              </w:rPr>
              <w:t>Caroline Schultz</w:t>
            </w:r>
          </w:p>
        </w:tc>
        <w:tc>
          <w:tcPr>
            <w:tcW w:w="7470" w:type="dxa"/>
            <w:noWrap/>
          </w:tcPr>
          <w:p w:rsidRPr="0077286D" w:rsidR="00671581" w:rsidP="0077286D" w:rsidRDefault="00671581" w14:paraId="140D1BB3" w14:textId="08A66916">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77286D">
              <w:rPr>
                <w:rFonts w:ascii="Arial Narrow" w:hAnsi="Arial Narrow"/>
              </w:rPr>
              <w:t>MDRC (New York, NY)</w:t>
            </w:r>
          </w:p>
        </w:tc>
      </w:tr>
      <w:tr w:rsidRPr="0077286D" w:rsidR="00671581" w:rsidTr="0077286D" w14:paraId="71A1D5F6" w14:textId="77777777">
        <w:trPr>
          <w:gridAfter w:val="1"/>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374CCCA9" w14:textId="355DC3EC">
            <w:pPr>
              <w:rPr>
                <w:rFonts w:ascii="Arial Narrow" w:hAnsi="Arial Narrow"/>
              </w:rPr>
            </w:pPr>
            <w:r w:rsidRPr="0077286D">
              <w:rPr>
                <w:rFonts w:ascii="Arial Narrow" w:hAnsi="Arial Narrow"/>
              </w:rPr>
              <w:t>Ben Damerow</w:t>
            </w:r>
          </w:p>
        </w:tc>
        <w:tc>
          <w:tcPr>
            <w:tcW w:w="7470" w:type="dxa"/>
            <w:noWrap/>
          </w:tcPr>
          <w:p w:rsidRPr="0077286D" w:rsidR="00671581" w:rsidP="0077286D" w:rsidRDefault="00671581" w14:paraId="185435D4" w14:textId="6932024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77286D">
              <w:rPr>
                <w:rFonts w:ascii="Arial Narrow" w:hAnsi="Arial Narrow"/>
              </w:rPr>
              <w:t>Michigan Works! Southwest (Kalamazoo, MI)</w:t>
            </w:r>
          </w:p>
        </w:tc>
      </w:tr>
      <w:tr w:rsidRPr="0077286D" w:rsidR="00671581" w:rsidTr="0077286D" w14:paraId="12B69574" w14:textId="77777777">
        <w:trPr>
          <w:gridAfter w:val="1"/>
          <w:cnfStyle w:val="000000100000" w:firstRow="0" w:lastRow="0" w:firstColumn="0" w:lastColumn="0" w:oddVBand="0" w:evenVBand="0" w:oddHBand="1" w:evenHBand="0" w:firstRowFirstColumn="0" w:firstRowLastColumn="0" w:lastRowFirstColumn="0" w:lastRowLastColumn="0"/>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7FC8E336" w14:textId="235D8C08">
            <w:pPr>
              <w:rPr>
                <w:rFonts w:ascii="Arial Narrow" w:hAnsi="Arial Narrow"/>
              </w:rPr>
            </w:pPr>
            <w:r w:rsidRPr="0077286D">
              <w:rPr>
                <w:rFonts w:ascii="Arial Narrow" w:hAnsi="Arial Narrow"/>
              </w:rPr>
              <w:t>Carly Urban</w:t>
            </w:r>
          </w:p>
        </w:tc>
        <w:tc>
          <w:tcPr>
            <w:tcW w:w="7470" w:type="dxa"/>
            <w:noWrap/>
          </w:tcPr>
          <w:p w:rsidRPr="0077286D" w:rsidR="00671581" w:rsidP="0077286D" w:rsidRDefault="00671581" w14:paraId="58C18275" w14:textId="56D1DF9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77286D">
              <w:rPr>
                <w:rFonts w:ascii="Arial Narrow" w:hAnsi="Arial Narrow"/>
              </w:rPr>
              <w:t xml:space="preserve">Montana State University (Bozeman, MT) </w:t>
            </w:r>
          </w:p>
        </w:tc>
      </w:tr>
      <w:tr w:rsidRPr="0077286D" w:rsidR="00671581" w:rsidTr="0077286D" w14:paraId="5AA49C41" w14:textId="77777777">
        <w:trPr>
          <w:gridAfter w:val="1"/>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443348DA" w14:textId="345C0687">
            <w:pPr>
              <w:rPr>
                <w:rFonts w:ascii="Arial Narrow" w:hAnsi="Arial Narrow"/>
              </w:rPr>
            </w:pPr>
            <w:r w:rsidRPr="0077286D">
              <w:rPr>
                <w:rFonts w:ascii="Arial Narrow" w:hAnsi="Arial Narrow"/>
              </w:rPr>
              <w:t>Yvette Chocolaad</w:t>
            </w:r>
          </w:p>
        </w:tc>
        <w:tc>
          <w:tcPr>
            <w:tcW w:w="7470" w:type="dxa"/>
            <w:noWrap/>
          </w:tcPr>
          <w:p w:rsidRPr="0077286D" w:rsidR="00671581" w:rsidP="0077286D" w:rsidRDefault="00671581" w14:paraId="7E7E9EF2" w14:textId="49732AC1">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77286D">
              <w:rPr>
                <w:rFonts w:ascii="Arial Narrow" w:hAnsi="Arial Narrow"/>
              </w:rPr>
              <w:t>National Association of State Workforce Agencies (Washington, DC)</w:t>
            </w:r>
          </w:p>
        </w:tc>
      </w:tr>
      <w:tr w:rsidRPr="0077286D" w:rsidR="00671581" w:rsidTr="0077286D" w14:paraId="0BD1A0F0" w14:textId="77777777">
        <w:trPr>
          <w:gridAfter w:val="1"/>
          <w:cnfStyle w:val="000000100000" w:firstRow="0" w:lastRow="0" w:firstColumn="0" w:lastColumn="0" w:oddVBand="0" w:evenVBand="0" w:oddHBand="1" w:evenHBand="0" w:firstRowFirstColumn="0" w:firstRowLastColumn="0" w:lastRowFirstColumn="0" w:lastRowLastColumn="0"/>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62A1B889" w14:textId="668447CE">
            <w:pPr>
              <w:rPr>
                <w:rFonts w:ascii="Arial Narrow" w:hAnsi="Arial Narrow"/>
              </w:rPr>
            </w:pPr>
            <w:r w:rsidRPr="0077286D">
              <w:rPr>
                <w:rFonts w:ascii="Arial Narrow" w:hAnsi="Arial Narrow"/>
              </w:rPr>
              <w:t>Billy Hensley</w:t>
            </w:r>
          </w:p>
        </w:tc>
        <w:tc>
          <w:tcPr>
            <w:tcW w:w="7470" w:type="dxa"/>
            <w:noWrap/>
          </w:tcPr>
          <w:p w:rsidRPr="0077286D" w:rsidR="00671581" w:rsidP="0077286D" w:rsidRDefault="00671581" w14:paraId="71314FDC" w14:textId="7BC39D4C">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77286D">
              <w:rPr>
                <w:rFonts w:ascii="Arial Narrow" w:hAnsi="Arial Narrow"/>
              </w:rPr>
              <w:t>National Endowment for Financial Education (Denver, CO)</w:t>
            </w:r>
          </w:p>
        </w:tc>
      </w:tr>
      <w:tr w:rsidRPr="0077286D" w:rsidR="00671581" w:rsidTr="0077286D" w14:paraId="26D5FA27" w14:textId="77777777">
        <w:trPr>
          <w:gridAfter w:val="1"/>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5D923DAC" w14:textId="19AD64D3">
            <w:pPr>
              <w:rPr>
                <w:rFonts w:ascii="Arial Narrow" w:hAnsi="Arial Narrow"/>
              </w:rPr>
            </w:pPr>
            <w:r w:rsidRPr="0077286D">
              <w:rPr>
                <w:rFonts w:ascii="Arial Narrow" w:hAnsi="Arial Narrow"/>
              </w:rPr>
              <w:t>Timothy Ogden</w:t>
            </w:r>
          </w:p>
        </w:tc>
        <w:tc>
          <w:tcPr>
            <w:tcW w:w="7470" w:type="dxa"/>
            <w:noWrap/>
          </w:tcPr>
          <w:p w:rsidRPr="0077286D" w:rsidR="00671581" w:rsidP="0077286D" w:rsidRDefault="00671581" w14:paraId="4E54D0AA" w14:textId="2C01BEDB">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77286D">
              <w:rPr>
                <w:rFonts w:ascii="Arial Narrow" w:hAnsi="Arial Narrow"/>
              </w:rPr>
              <w:t>NYU (New York, NY)</w:t>
            </w:r>
          </w:p>
        </w:tc>
      </w:tr>
      <w:tr w:rsidRPr="0077286D" w:rsidR="00671581" w:rsidTr="0077286D" w14:paraId="77954703" w14:textId="77777777">
        <w:trPr>
          <w:gridAfter w:val="1"/>
          <w:cnfStyle w:val="000000100000" w:firstRow="0" w:lastRow="0" w:firstColumn="0" w:lastColumn="0" w:oddVBand="0" w:evenVBand="0" w:oddHBand="1" w:evenHBand="0" w:firstRowFirstColumn="0" w:firstRowLastColumn="0" w:lastRowFirstColumn="0" w:lastRowLastColumn="0"/>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71DA200E" w14:textId="61A8B8B4">
            <w:pPr>
              <w:rPr>
                <w:rFonts w:ascii="Arial Narrow" w:hAnsi="Arial Narrow"/>
              </w:rPr>
            </w:pPr>
            <w:r w:rsidRPr="0077286D">
              <w:rPr>
                <w:rFonts w:ascii="Arial Narrow" w:hAnsi="Arial Narrow"/>
              </w:rPr>
              <w:lastRenderedPageBreak/>
              <w:t>Mae Watson Grote</w:t>
            </w:r>
          </w:p>
        </w:tc>
        <w:tc>
          <w:tcPr>
            <w:tcW w:w="7470" w:type="dxa"/>
            <w:noWrap/>
          </w:tcPr>
          <w:p w:rsidRPr="0077286D" w:rsidR="00671581" w:rsidP="0077286D" w:rsidRDefault="00671581" w14:paraId="580CA14F" w14:textId="20C2C3A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77286D">
              <w:rPr>
                <w:rFonts w:ascii="Arial Narrow" w:hAnsi="Arial Narrow"/>
              </w:rPr>
              <w:t>The Financial Clinic (Brooklyn, NY)</w:t>
            </w:r>
          </w:p>
        </w:tc>
      </w:tr>
      <w:tr w:rsidRPr="0077286D" w:rsidR="00671581" w:rsidTr="0077286D" w14:paraId="36E968CC" w14:textId="77777777">
        <w:trPr>
          <w:gridAfter w:val="1"/>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292E7DF3" w14:textId="6CA13FE1">
            <w:pPr>
              <w:rPr>
                <w:rFonts w:ascii="Arial Narrow" w:hAnsi="Arial Narrow"/>
              </w:rPr>
            </w:pPr>
            <w:r w:rsidRPr="0077286D">
              <w:rPr>
                <w:rFonts w:ascii="Arial Narrow" w:hAnsi="Arial Narrow"/>
              </w:rPr>
              <w:t>J. Michael Collins</w:t>
            </w:r>
          </w:p>
        </w:tc>
        <w:tc>
          <w:tcPr>
            <w:tcW w:w="7470" w:type="dxa"/>
            <w:noWrap/>
          </w:tcPr>
          <w:p w:rsidRPr="0077286D" w:rsidR="00671581" w:rsidP="0077286D" w:rsidRDefault="00671581" w14:paraId="77A2AD90" w14:textId="011C8CB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77286D">
              <w:rPr>
                <w:rFonts w:ascii="Arial Narrow" w:hAnsi="Arial Narrow"/>
              </w:rPr>
              <w:t>University of Wisconsin-Madison (Madison, WI)</w:t>
            </w:r>
          </w:p>
        </w:tc>
      </w:tr>
      <w:tr w:rsidRPr="0077286D" w:rsidR="00671581" w:rsidTr="0077286D" w14:paraId="3F414C1D" w14:textId="77777777">
        <w:trPr>
          <w:gridAfter w:val="1"/>
          <w:cnfStyle w:val="000000100000" w:firstRow="0" w:lastRow="0" w:firstColumn="0" w:lastColumn="0" w:oddVBand="0" w:evenVBand="0" w:oddHBand="1" w:evenHBand="0" w:firstRowFirstColumn="0" w:firstRowLastColumn="0" w:lastRowFirstColumn="0" w:lastRowLastColumn="0"/>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hideMark/>
          </w:tcPr>
          <w:p w:rsidRPr="0077286D" w:rsidR="00671581" w:rsidP="0077286D" w:rsidRDefault="00671581" w14:paraId="242F3622" w14:textId="77777777">
            <w:pPr>
              <w:rPr>
                <w:rFonts w:ascii="Arial Narrow" w:hAnsi="Arial Narrow"/>
              </w:rPr>
            </w:pPr>
            <w:r w:rsidRPr="0077286D">
              <w:rPr>
                <w:rFonts w:ascii="Arial Narrow" w:hAnsi="Arial Narrow"/>
              </w:rPr>
              <w:t>Mark Golden</w:t>
            </w:r>
          </w:p>
        </w:tc>
        <w:tc>
          <w:tcPr>
            <w:tcW w:w="7470" w:type="dxa"/>
            <w:noWrap/>
            <w:hideMark/>
          </w:tcPr>
          <w:p w:rsidRPr="0077286D" w:rsidR="00671581" w:rsidP="0077286D" w:rsidRDefault="00671581" w14:paraId="423C7867"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77286D">
              <w:rPr>
                <w:rFonts w:ascii="Arial Narrow" w:hAnsi="Arial Narrow"/>
              </w:rPr>
              <w:t>Virginia Department of Social Services (Richmond, VA)</w:t>
            </w:r>
          </w:p>
        </w:tc>
      </w:tr>
      <w:tr w:rsidRPr="0077286D" w:rsidR="00671581" w:rsidTr="0077286D" w14:paraId="17B3B152" w14:textId="77777777">
        <w:trPr>
          <w:gridAfter w:val="1"/>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4CA5E86F" w14:textId="1ED47068">
            <w:pPr>
              <w:rPr>
                <w:rFonts w:ascii="Arial Narrow" w:hAnsi="Arial Narrow"/>
              </w:rPr>
            </w:pPr>
            <w:r w:rsidRPr="0077286D">
              <w:rPr>
                <w:rFonts w:ascii="Arial Narrow" w:hAnsi="Arial Narrow"/>
              </w:rPr>
              <w:t>Sarah Garcia</w:t>
            </w:r>
          </w:p>
        </w:tc>
        <w:tc>
          <w:tcPr>
            <w:tcW w:w="7470" w:type="dxa"/>
            <w:noWrap/>
          </w:tcPr>
          <w:p w:rsidRPr="0077286D" w:rsidR="00671581" w:rsidP="0077286D" w:rsidRDefault="00671581" w14:paraId="13D2C3F1" w14:textId="56E91B33">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77286D">
              <w:rPr>
                <w:rFonts w:ascii="Arial Narrow" w:hAnsi="Arial Narrow"/>
              </w:rPr>
              <w:t>Washington State Department of Social and Health Services, Community Services Division (Seattle, WA)</w:t>
            </w:r>
          </w:p>
        </w:tc>
      </w:tr>
      <w:tr w:rsidRPr="0077286D" w:rsidR="00671581" w:rsidTr="0077286D" w14:paraId="46272A82" w14:textId="77777777">
        <w:trPr>
          <w:gridAfter w:val="1"/>
          <w:cnfStyle w:val="000000100000" w:firstRow="0" w:lastRow="0" w:firstColumn="0" w:lastColumn="0" w:oddVBand="0" w:evenVBand="0" w:oddHBand="1" w:evenHBand="0" w:firstRowFirstColumn="0" w:firstRowLastColumn="0" w:lastRowFirstColumn="0" w:lastRowLastColumn="0"/>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hideMark/>
          </w:tcPr>
          <w:p w:rsidRPr="0077286D" w:rsidR="00671581" w:rsidP="0077286D" w:rsidRDefault="00671581" w14:paraId="4711D6FE" w14:textId="77777777">
            <w:pPr>
              <w:rPr>
                <w:rFonts w:ascii="Arial Narrow" w:hAnsi="Arial Narrow"/>
              </w:rPr>
            </w:pPr>
            <w:r w:rsidRPr="0077286D">
              <w:rPr>
                <w:rFonts w:ascii="Arial Narrow" w:hAnsi="Arial Narrow"/>
              </w:rPr>
              <w:t>Susan Kavanaugh</w:t>
            </w:r>
          </w:p>
        </w:tc>
        <w:tc>
          <w:tcPr>
            <w:tcW w:w="7470" w:type="dxa"/>
            <w:noWrap/>
            <w:hideMark/>
          </w:tcPr>
          <w:p w:rsidRPr="0077286D" w:rsidR="00671581" w:rsidP="0077286D" w:rsidRDefault="00671581" w14:paraId="12719BAD"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77286D">
              <w:rPr>
                <w:rFonts w:ascii="Arial Narrow" w:hAnsi="Arial Narrow"/>
              </w:rPr>
              <w:t>Washington State Department of Social and Health Services, Community Services Division (Seattle, WA)</w:t>
            </w:r>
          </w:p>
        </w:tc>
      </w:tr>
      <w:tr w:rsidRPr="0077286D" w:rsidR="00671581" w:rsidTr="0077286D" w14:paraId="64F2507C" w14:textId="77777777">
        <w:trPr>
          <w:gridAfter w:val="1"/>
          <w:wAfter w:w="18" w:type="dxa"/>
          <w:trHeight w:val="274"/>
        </w:trPr>
        <w:tc>
          <w:tcPr>
            <w:cnfStyle w:val="001000000000" w:firstRow="0" w:lastRow="0" w:firstColumn="1" w:lastColumn="0" w:oddVBand="0" w:evenVBand="0" w:oddHBand="0" w:evenHBand="0" w:firstRowFirstColumn="0" w:firstRowLastColumn="0" w:lastRowFirstColumn="0" w:lastRowLastColumn="0"/>
            <w:tcW w:w="2425" w:type="dxa"/>
            <w:noWrap/>
          </w:tcPr>
          <w:p w:rsidRPr="0077286D" w:rsidR="00671581" w:rsidP="0077286D" w:rsidRDefault="00671581" w14:paraId="30498706" w14:textId="42891D36">
            <w:pPr>
              <w:rPr>
                <w:rFonts w:ascii="Arial Narrow" w:hAnsi="Arial Narrow"/>
              </w:rPr>
            </w:pPr>
            <w:r w:rsidRPr="0077286D">
              <w:rPr>
                <w:rFonts w:ascii="Arial Narrow" w:hAnsi="Arial Narrow"/>
              </w:rPr>
              <w:t>Gena Gunn McClendon</w:t>
            </w:r>
          </w:p>
        </w:tc>
        <w:tc>
          <w:tcPr>
            <w:tcW w:w="7470" w:type="dxa"/>
            <w:noWrap/>
          </w:tcPr>
          <w:p w:rsidRPr="0077286D" w:rsidR="00671581" w:rsidP="0077286D" w:rsidRDefault="00671581" w14:paraId="0FCDCB06" w14:textId="213284CD">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77286D">
              <w:rPr>
                <w:rFonts w:ascii="Arial Narrow" w:hAnsi="Arial Narrow"/>
              </w:rPr>
              <w:t>Washington University in St. Louis (St. Louis, MO)</w:t>
            </w:r>
          </w:p>
        </w:tc>
      </w:tr>
    </w:tbl>
    <w:p w:rsidRPr="009139B3" w:rsidR="00A5789D" w:rsidP="001D1C73" w:rsidRDefault="00A5789D" w14:paraId="5300EFDB" w14:textId="77777777">
      <w:pPr>
        <w:spacing w:after="0"/>
      </w:pPr>
    </w:p>
    <w:p w:rsidRPr="009139B3" w:rsidR="001D1C73" w:rsidP="001D1C73" w:rsidRDefault="001D1C73" w14:paraId="1184C5C2" w14:textId="77777777">
      <w:pPr>
        <w:spacing w:after="0"/>
      </w:pPr>
    </w:p>
    <w:p w:rsidRPr="009139B3" w:rsidR="001D1C73" w:rsidP="001D1C73" w:rsidRDefault="001D1C73" w14:paraId="2DA362B8" w14:textId="1607BB07">
      <w:pPr>
        <w:spacing w:after="120" w:line="240" w:lineRule="auto"/>
      </w:pPr>
      <w:r w:rsidRPr="009139B3">
        <w:rPr>
          <w:b/>
        </w:rPr>
        <w:t>A9</w:t>
      </w:r>
      <w:r w:rsidRPr="009139B3">
        <w:t>.</w:t>
      </w:r>
      <w:r w:rsidRPr="009139B3">
        <w:tab/>
      </w:r>
      <w:r w:rsidRPr="009139B3">
        <w:rPr>
          <w:b/>
        </w:rPr>
        <w:t>Tokens of Appreciation</w:t>
      </w:r>
    </w:p>
    <w:p w:rsidRPr="00763BA2" w:rsidR="00763BA2" w:rsidP="00CC7580" w:rsidRDefault="00EE0683" w14:paraId="1B209622" w14:textId="3B86A43D">
      <w:pPr>
        <w:pStyle w:val="NormalWeb"/>
        <w:spacing w:before="0" w:beforeAutospacing="0"/>
        <w:rPr>
          <w:rFonts w:asciiTheme="minorHAnsi" w:hAnsiTheme="minorHAnsi"/>
          <w:color w:val="000000"/>
          <w:sz w:val="22"/>
          <w:szCs w:val="22"/>
        </w:rPr>
      </w:pPr>
      <w:bookmarkStart w:name="_Hlk510699539" w:id="4"/>
      <w:r>
        <w:rPr>
          <w:rFonts w:asciiTheme="minorHAnsi" w:hAnsiTheme="minorHAnsi"/>
          <w:color w:val="000000"/>
          <w:sz w:val="22"/>
          <w:szCs w:val="22"/>
        </w:rPr>
        <w:t xml:space="preserve">We intend to provide tokens of appreciation in connection only with the </w:t>
      </w:r>
      <w:r>
        <w:rPr>
          <w:rFonts w:asciiTheme="minorHAnsi" w:hAnsiTheme="minorHAnsi"/>
          <w:b/>
          <w:bCs/>
          <w:i/>
          <w:iCs/>
          <w:color w:val="000000"/>
          <w:sz w:val="22"/>
          <w:szCs w:val="22"/>
        </w:rPr>
        <w:t>interviews with participants</w:t>
      </w:r>
      <w:r>
        <w:rPr>
          <w:rFonts w:asciiTheme="minorHAnsi" w:hAnsiTheme="minorHAnsi"/>
          <w:color w:val="000000"/>
          <w:sz w:val="22"/>
          <w:szCs w:val="22"/>
        </w:rPr>
        <w:t xml:space="preserve"> mode of information collection. </w:t>
      </w:r>
      <w:r w:rsidR="00763BA2">
        <w:rPr>
          <w:rFonts w:asciiTheme="minorHAnsi" w:hAnsiTheme="minorHAnsi"/>
          <w:color w:val="000000"/>
          <w:sz w:val="22"/>
          <w:szCs w:val="22"/>
        </w:rPr>
        <w:t>Interview</w:t>
      </w:r>
      <w:r w:rsidRPr="00763BA2" w:rsidR="00763BA2">
        <w:rPr>
          <w:rFonts w:asciiTheme="minorHAnsi" w:hAnsiTheme="minorHAnsi"/>
          <w:color w:val="000000"/>
          <w:sz w:val="22"/>
          <w:szCs w:val="22"/>
        </w:rPr>
        <w:t xml:space="preserve"> data</w:t>
      </w:r>
      <w:r w:rsidR="00763BA2">
        <w:rPr>
          <w:rFonts w:asciiTheme="minorHAnsi" w:hAnsiTheme="minorHAnsi"/>
          <w:color w:val="000000"/>
          <w:sz w:val="22"/>
          <w:szCs w:val="22"/>
        </w:rPr>
        <w:t xml:space="preserve"> with participants</w:t>
      </w:r>
      <w:r w:rsidRPr="00763BA2" w:rsidR="00763BA2">
        <w:rPr>
          <w:rFonts w:asciiTheme="minorHAnsi" w:hAnsiTheme="minorHAnsi"/>
          <w:color w:val="000000"/>
          <w:sz w:val="22"/>
          <w:szCs w:val="22"/>
        </w:rPr>
        <w:t xml:space="preserve"> are not intended to be representative in a statistical sense, in that they will not be used to make statements about the prevalence of experiences in the </w:t>
      </w:r>
      <w:r w:rsidR="00763BA2">
        <w:rPr>
          <w:rFonts w:asciiTheme="minorHAnsi" w:hAnsiTheme="minorHAnsi"/>
          <w:color w:val="000000"/>
          <w:sz w:val="22"/>
          <w:szCs w:val="22"/>
        </w:rPr>
        <w:t>population of adults with low</w:t>
      </w:r>
      <w:r w:rsidR="002E68B1">
        <w:rPr>
          <w:rFonts w:asciiTheme="minorHAnsi" w:hAnsiTheme="minorHAnsi"/>
          <w:color w:val="000000"/>
          <w:sz w:val="22"/>
          <w:szCs w:val="22"/>
        </w:rPr>
        <w:t xml:space="preserve"> </w:t>
      </w:r>
      <w:r w:rsidR="00763BA2">
        <w:rPr>
          <w:rFonts w:asciiTheme="minorHAnsi" w:hAnsiTheme="minorHAnsi"/>
          <w:color w:val="000000"/>
          <w:sz w:val="22"/>
          <w:szCs w:val="22"/>
        </w:rPr>
        <w:t>incomes</w:t>
      </w:r>
      <w:r w:rsidRPr="00763BA2" w:rsidR="00763BA2">
        <w:rPr>
          <w:rFonts w:asciiTheme="minorHAnsi" w:hAnsiTheme="minorHAnsi"/>
          <w:color w:val="000000"/>
          <w:sz w:val="22"/>
          <w:szCs w:val="22"/>
        </w:rPr>
        <w:t xml:space="preserve">. However, it is important to secure participants with a range of background characteristics to capture a variety of possible experiences with </w:t>
      </w:r>
      <w:r w:rsidR="00763BA2">
        <w:rPr>
          <w:rFonts w:asciiTheme="minorHAnsi" w:hAnsiTheme="minorHAnsi"/>
          <w:color w:val="000000"/>
          <w:sz w:val="22"/>
          <w:szCs w:val="22"/>
        </w:rPr>
        <w:t xml:space="preserve">financial capability </w:t>
      </w:r>
      <w:r w:rsidRPr="00763BA2" w:rsidR="00763BA2">
        <w:rPr>
          <w:rFonts w:asciiTheme="minorHAnsi" w:hAnsiTheme="minorHAnsi"/>
          <w:color w:val="000000"/>
          <w:sz w:val="22"/>
          <w:szCs w:val="22"/>
        </w:rPr>
        <w:t>services</w:t>
      </w:r>
      <w:r w:rsidR="00763BA2">
        <w:rPr>
          <w:rFonts w:asciiTheme="minorHAnsi" w:hAnsiTheme="minorHAnsi"/>
          <w:color w:val="000000"/>
          <w:sz w:val="22"/>
          <w:szCs w:val="22"/>
        </w:rPr>
        <w:t xml:space="preserve"> in E&amp;T programs</w:t>
      </w:r>
      <w:r w:rsidRPr="00763BA2" w:rsidR="00763BA2">
        <w:rPr>
          <w:rFonts w:asciiTheme="minorHAnsi" w:hAnsiTheme="minorHAnsi"/>
          <w:color w:val="000000"/>
          <w:sz w:val="22"/>
          <w:szCs w:val="22"/>
        </w:rPr>
        <w:t xml:space="preserve">.  As all participants will be current or former </w:t>
      </w:r>
      <w:r w:rsidR="00763BA2">
        <w:rPr>
          <w:rFonts w:asciiTheme="minorHAnsi" w:hAnsiTheme="minorHAnsi"/>
          <w:color w:val="000000"/>
          <w:sz w:val="22"/>
          <w:szCs w:val="22"/>
        </w:rPr>
        <w:t>participants of E&amp;T programs serving adults with low</w:t>
      </w:r>
      <w:r>
        <w:rPr>
          <w:rFonts w:asciiTheme="minorHAnsi" w:hAnsiTheme="minorHAnsi"/>
          <w:color w:val="000000"/>
          <w:sz w:val="22"/>
          <w:szCs w:val="22"/>
        </w:rPr>
        <w:t xml:space="preserve"> </w:t>
      </w:r>
      <w:r w:rsidR="00763BA2">
        <w:rPr>
          <w:rFonts w:asciiTheme="minorHAnsi" w:hAnsiTheme="minorHAnsi"/>
          <w:color w:val="000000"/>
          <w:sz w:val="22"/>
          <w:szCs w:val="22"/>
        </w:rPr>
        <w:t>incomes</w:t>
      </w:r>
      <w:r w:rsidRPr="00763BA2" w:rsidR="00763BA2">
        <w:rPr>
          <w:rFonts w:asciiTheme="minorHAnsi" w:hAnsiTheme="minorHAnsi"/>
          <w:color w:val="000000"/>
          <w:sz w:val="22"/>
          <w:szCs w:val="22"/>
        </w:rPr>
        <w:t xml:space="preserve">, the target population is, by definition, low income. Without offsetting the direct costs incurred by respondents for </w:t>
      </w:r>
      <w:r w:rsidR="00763BA2">
        <w:rPr>
          <w:rFonts w:asciiTheme="minorHAnsi" w:hAnsiTheme="minorHAnsi"/>
          <w:color w:val="000000"/>
          <w:sz w:val="22"/>
          <w:szCs w:val="22"/>
        </w:rPr>
        <w:t xml:space="preserve">participating in </w:t>
      </w:r>
      <w:r w:rsidRPr="00763BA2" w:rsidR="00763BA2">
        <w:rPr>
          <w:rFonts w:asciiTheme="minorHAnsi" w:hAnsiTheme="minorHAnsi"/>
          <w:color w:val="000000"/>
          <w:sz w:val="22"/>
          <w:szCs w:val="22"/>
        </w:rPr>
        <w:t xml:space="preserve">the </w:t>
      </w:r>
      <w:r w:rsidR="00763BA2">
        <w:rPr>
          <w:rFonts w:asciiTheme="minorHAnsi" w:hAnsiTheme="minorHAnsi"/>
          <w:color w:val="000000"/>
          <w:sz w:val="22"/>
          <w:szCs w:val="22"/>
        </w:rPr>
        <w:t>interviews</w:t>
      </w:r>
      <w:r w:rsidRPr="00763BA2" w:rsidR="00763BA2">
        <w:rPr>
          <w:rFonts w:asciiTheme="minorHAnsi" w:hAnsiTheme="minorHAnsi"/>
          <w:color w:val="000000"/>
          <w:sz w:val="22"/>
          <w:szCs w:val="22"/>
        </w:rPr>
        <w:t>, such as arranging child care</w:t>
      </w:r>
      <w:r w:rsidR="00763BA2">
        <w:rPr>
          <w:rFonts w:asciiTheme="minorHAnsi" w:hAnsiTheme="minorHAnsi"/>
          <w:color w:val="000000"/>
          <w:sz w:val="22"/>
          <w:szCs w:val="22"/>
        </w:rPr>
        <w:t xml:space="preserve"> </w:t>
      </w:r>
      <w:r w:rsidRPr="00763BA2" w:rsidR="00763BA2">
        <w:rPr>
          <w:rFonts w:asciiTheme="minorHAnsi" w:hAnsiTheme="minorHAnsi"/>
          <w:color w:val="000000"/>
          <w:sz w:val="22"/>
          <w:szCs w:val="22"/>
        </w:rPr>
        <w:t>or time off from paid work, the research team increases the risk that only those individuals able to overcome the financial barriers to attend will participate in the study. Participants will receive a $</w:t>
      </w:r>
      <w:r w:rsidR="00763BA2">
        <w:rPr>
          <w:rFonts w:asciiTheme="minorHAnsi" w:hAnsiTheme="minorHAnsi"/>
          <w:color w:val="000000"/>
          <w:sz w:val="22"/>
          <w:szCs w:val="22"/>
        </w:rPr>
        <w:t>30</w:t>
      </w:r>
      <w:r w:rsidRPr="00763BA2" w:rsidR="00763BA2">
        <w:rPr>
          <w:rFonts w:asciiTheme="minorHAnsi" w:hAnsiTheme="minorHAnsi"/>
          <w:color w:val="000000"/>
          <w:sz w:val="22"/>
          <w:szCs w:val="22"/>
        </w:rPr>
        <w:t xml:space="preserve"> gift card </w:t>
      </w:r>
      <w:r w:rsidR="00763BA2">
        <w:rPr>
          <w:rFonts w:asciiTheme="minorHAnsi" w:hAnsiTheme="minorHAnsi"/>
          <w:color w:val="000000"/>
          <w:sz w:val="22"/>
          <w:szCs w:val="22"/>
        </w:rPr>
        <w:t>following the interview.</w:t>
      </w:r>
    </w:p>
    <w:p w:rsidRPr="00763BA2" w:rsidR="001D1C73" w:rsidP="00BD7901" w:rsidRDefault="0070140F" w14:paraId="0780E74A" w14:textId="21A4C0DB">
      <w:pPr>
        <w:pStyle w:val="NormalWeb"/>
        <w:spacing w:after="0" w:afterAutospacing="0"/>
        <w:rPr>
          <w:rFonts w:asciiTheme="minorHAnsi" w:hAnsiTheme="minorHAnsi"/>
          <w:color w:val="000000"/>
          <w:sz w:val="22"/>
          <w:szCs w:val="22"/>
        </w:rPr>
      </w:pPr>
      <w:r>
        <w:rPr>
          <w:rFonts w:asciiTheme="minorHAnsi" w:hAnsiTheme="minorHAnsi"/>
          <w:color w:val="000000"/>
          <w:sz w:val="22"/>
          <w:szCs w:val="22"/>
        </w:rPr>
        <w:t xml:space="preserve">The amount proposed is based on research on tokens of appreciation and the study team’s experiences with other federal studies. For example, TANF recipients </w:t>
      </w:r>
      <w:r w:rsidR="00D35A4B">
        <w:rPr>
          <w:rFonts w:asciiTheme="minorHAnsi" w:hAnsiTheme="minorHAnsi"/>
          <w:color w:val="000000"/>
          <w:sz w:val="22"/>
          <w:szCs w:val="22"/>
        </w:rPr>
        <w:t>who</w:t>
      </w:r>
      <w:r>
        <w:rPr>
          <w:rFonts w:asciiTheme="minorHAnsi" w:hAnsiTheme="minorHAnsi"/>
          <w:color w:val="000000"/>
          <w:sz w:val="22"/>
          <w:szCs w:val="22"/>
        </w:rPr>
        <w:t xml:space="preserve"> participated </w:t>
      </w:r>
      <w:r w:rsidRPr="00763BA2">
        <w:rPr>
          <w:rFonts w:asciiTheme="minorHAnsi" w:hAnsiTheme="minorHAnsi"/>
          <w:color w:val="000000"/>
          <w:sz w:val="22"/>
          <w:szCs w:val="22"/>
        </w:rPr>
        <w:t>in</w:t>
      </w:r>
      <w:r>
        <w:rPr>
          <w:rFonts w:asciiTheme="minorHAnsi" w:hAnsiTheme="minorHAnsi"/>
          <w:color w:val="000000"/>
          <w:sz w:val="22"/>
          <w:szCs w:val="22"/>
        </w:rPr>
        <w:t xml:space="preserve"> 90 minute</w:t>
      </w:r>
      <w:r w:rsidRPr="00763BA2">
        <w:rPr>
          <w:rFonts w:asciiTheme="minorHAnsi" w:hAnsiTheme="minorHAnsi"/>
          <w:color w:val="000000"/>
          <w:sz w:val="22"/>
          <w:szCs w:val="22"/>
        </w:rPr>
        <w:t xml:space="preserve"> focus groups </w:t>
      </w:r>
      <w:r>
        <w:rPr>
          <w:rFonts w:asciiTheme="minorHAnsi" w:hAnsiTheme="minorHAnsi"/>
          <w:color w:val="000000"/>
          <w:sz w:val="22"/>
          <w:szCs w:val="22"/>
        </w:rPr>
        <w:t xml:space="preserve">as part of </w:t>
      </w:r>
      <w:r w:rsidRPr="00763BA2">
        <w:rPr>
          <w:rFonts w:asciiTheme="minorHAnsi" w:hAnsiTheme="minorHAnsi"/>
          <w:color w:val="000000"/>
          <w:sz w:val="22"/>
          <w:szCs w:val="22"/>
        </w:rPr>
        <w:t xml:space="preserve">ACF’s </w:t>
      </w:r>
      <w:r>
        <w:rPr>
          <w:rFonts w:asciiTheme="minorHAnsi" w:hAnsiTheme="minorHAnsi"/>
          <w:color w:val="000000"/>
          <w:sz w:val="22"/>
          <w:szCs w:val="22"/>
        </w:rPr>
        <w:t xml:space="preserve">Understanding Poverty: TANF Office Culture Study </w:t>
      </w:r>
      <w:r w:rsidRPr="00763BA2">
        <w:rPr>
          <w:rFonts w:asciiTheme="minorHAnsi" w:hAnsiTheme="minorHAnsi"/>
          <w:color w:val="000000"/>
          <w:sz w:val="22"/>
          <w:szCs w:val="22"/>
        </w:rPr>
        <w:t xml:space="preserve">(OMB control number </w:t>
      </w:r>
      <w:r w:rsidRPr="008F2FD1">
        <w:rPr>
          <w:rFonts w:asciiTheme="minorHAnsi" w:hAnsiTheme="minorHAnsi"/>
          <w:color w:val="000000"/>
          <w:sz w:val="22"/>
          <w:szCs w:val="22"/>
        </w:rPr>
        <w:t>0970-0520</w:t>
      </w:r>
      <w:r w:rsidRPr="00763BA2">
        <w:rPr>
          <w:rFonts w:asciiTheme="minorHAnsi" w:hAnsiTheme="minorHAnsi"/>
          <w:color w:val="000000"/>
          <w:sz w:val="22"/>
          <w:szCs w:val="22"/>
        </w:rPr>
        <w:t>)</w:t>
      </w:r>
      <w:r>
        <w:rPr>
          <w:rFonts w:asciiTheme="minorHAnsi" w:hAnsiTheme="minorHAnsi"/>
          <w:color w:val="000000"/>
          <w:sz w:val="22"/>
          <w:szCs w:val="22"/>
        </w:rPr>
        <w:t xml:space="preserve"> were</w:t>
      </w:r>
      <w:r w:rsidRPr="00763BA2">
        <w:rPr>
          <w:rFonts w:asciiTheme="minorHAnsi" w:hAnsiTheme="minorHAnsi"/>
          <w:color w:val="000000"/>
          <w:sz w:val="22"/>
          <w:szCs w:val="22"/>
        </w:rPr>
        <w:t xml:space="preserve"> offered a $25 </w:t>
      </w:r>
      <w:r>
        <w:rPr>
          <w:rFonts w:asciiTheme="minorHAnsi" w:hAnsiTheme="minorHAnsi"/>
          <w:color w:val="000000"/>
          <w:sz w:val="22"/>
          <w:szCs w:val="22"/>
        </w:rPr>
        <w:t xml:space="preserve">token of appreciation and the study </w:t>
      </w:r>
      <w:r w:rsidDel="000A3C62">
        <w:rPr>
          <w:rFonts w:asciiTheme="minorHAnsi" w:hAnsiTheme="minorHAnsi"/>
          <w:color w:val="000000"/>
          <w:sz w:val="22"/>
          <w:szCs w:val="22"/>
        </w:rPr>
        <w:t>achieved the goal of averaging 6-9 participants per focus group</w:t>
      </w:r>
      <w:r w:rsidRPr="00763BA2" w:rsidDel="000A3C62">
        <w:rPr>
          <w:rFonts w:asciiTheme="minorHAnsi" w:hAnsiTheme="minorHAnsi"/>
          <w:color w:val="000000"/>
          <w:sz w:val="22"/>
          <w:szCs w:val="22"/>
        </w:rPr>
        <w:t xml:space="preserve">. </w:t>
      </w:r>
      <w:r>
        <w:rPr>
          <w:rFonts w:asciiTheme="minorHAnsi" w:hAnsiTheme="minorHAnsi"/>
          <w:color w:val="000000"/>
          <w:sz w:val="22"/>
          <w:szCs w:val="22"/>
        </w:rPr>
        <w:t xml:space="preserve"> Additionally, research has</w:t>
      </w:r>
      <w:r w:rsidRPr="00763BA2" w:rsidR="00763BA2">
        <w:rPr>
          <w:rFonts w:asciiTheme="minorHAnsi" w:hAnsiTheme="minorHAnsi"/>
          <w:color w:val="000000"/>
          <w:sz w:val="22"/>
          <w:szCs w:val="22"/>
        </w:rPr>
        <w:t xml:space="preserve"> shown </w:t>
      </w:r>
      <w:r w:rsidR="004B4A12">
        <w:rPr>
          <w:rFonts w:asciiTheme="minorHAnsi" w:hAnsiTheme="minorHAnsi"/>
          <w:color w:val="000000"/>
          <w:sz w:val="22"/>
          <w:szCs w:val="22"/>
        </w:rPr>
        <w:t xml:space="preserve">the </w:t>
      </w:r>
      <w:r w:rsidRPr="00763BA2" w:rsidR="00763BA2">
        <w:rPr>
          <w:rFonts w:asciiTheme="minorHAnsi" w:hAnsiTheme="minorHAnsi"/>
          <w:color w:val="000000"/>
          <w:sz w:val="22"/>
          <w:szCs w:val="22"/>
        </w:rPr>
        <w:t>effectiveness</w:t>
      </w:r>
      <w:r w:rsidR="004B4A12">
        <w:rPr>
          <w:rFonts w:asciiTheme="minorHAnsi" w:hAnsiTheme="minorHAnsi"/>
          <w:color w:val="000000"/>
          <w:sz w:val="22"/>
          <w:szCs w:val="22"/>
        </w:rPr>
        <w:t xml:space="preserve"> of a token of appreciation</w:t>
      </w:r>
      <w:r w:rsidRPr="00763BA2" w:rsidR="00763BA2">
        <w:rPr>
          <w:rFonts w:asciiTheme="minorHAnsi" w:hAnsiTheme="minorHAnsi"/>
          <w:color w:val="000000"/>
          <w:sz w:val="22"/>
          <w:szCs w:val="22"/>
        </w:rPr>
        <w:t xml:space="preserve"> in increasing study participation among underrepresented populations, such as individuals from low-income</w:t>
      </w:r>
      <w:r w:rsidRPr="00763BA2" w:rsidR="00763BA2">
        <w:rPr>
          <w:rStyle w:val="FootnoteReference"/>
          <w:rFonts w:asciiTheme="minorHAnsi" w:hAnsiTheme="minorHAnsi"/>
          <w:color w:val="000000"/>
          <w:sz w:val="22"/>
          <w:szCs w:val="22"/>
        </w:rPr>
        <w:footnoteReference w:id="3"/>
      </w:r>
      <w:r w:rsidRPr="00763BA2" w:rsidR="00763BA2">
        <w:rPr>
          <w:rFonts w:asciiTheme="minorHAnsi" w:hAnsiTheme="minorHAnsi"/>
          <w:color w:val="000000"/>
          <w:sz w:val="22"/>
          <w:szCs w:val="22"/>
        </w:rPr>
        <w:t xml:space="preserve"> or low-education households</w:t>
      </w:r>
      <w:r w:rsidRPr="00763BA2" w:rsidR="00763BA2">
        <w:rPr>
          <w:rStyle w:val="FootnoteReference"/>
          <w:rFonts w:asciiTheme="minorHAnsi" w:hAnsiTheme="minorHAnsi"/>
          <w:color w:val="000000"/>
          <w:sz w:val="22"/>
          <w:szCs w:val="22"/>
        </w:rPr>
        <w:footnoteReference w:id="4"/>
      </w:r>
      <w:r w:rsidRPr="00763BA2" w:rsidR="00763BA2">
        <w:rPr>
          <w:rFonts w:asciiTheme="minorHAnsi" w:hAnsiTheme="minorHAnsi"/>
          <w:color w:val="000000"/>
          <w:sz w:val="22"/>
          <w:szCs w:val="22"/>
        </w:rPr>
        <w:t xml:space="preserve">, demographics of concern here. Given that previous studies have found </w:t>
      </w:r>
      <w:r w:rsidR="00763BA2">
        <w:rPr>
          <w:rFonts w:asciiTheme="minorHAnsi" w:hAnsiTheme="minorHAnsi"/>
          <w:color w:val="000000"/>
          <w:sz w:val="22"/>
          <w:szCs w:val="22"/>
        </w:rPr>
        <w:t xml:space="preserve">tokens of appreciation </w:t>
      </w:r>
      <w:r w:rsidRPr="00763BA2" w:rsidR="00763BA2">
        <w:rPr>
          <w:rFonts w:asciiTheme="minorHAnsi" w:hAnsiTheme="minorHAnsi"/>
          <w:color w:val="000000"/>
          <w:sz w:val="22"/>
          <w:szCs w:val="22"/>
        </w:rPr>
        <w:t>ranging from $</w:t>
      </w:r>
      <w:r w:rsidRPr="00763BA2" w:rsidR="00153B69">
        <w:rPr>
          <w:rFonts w:asciiTheme="minorHAnsi" w:hAnsiTheme="minorHAnsi"/>
          <w:color w:val="000000"/>
          <w:sz w:val="22"/>
          <w:szCs w:val="22"/>
        </w:rPr>
        <w:t>2</w:t>
      </w:r>
      <w:r w:rsidR="00153B69">
        <w:rPr>
          <w:rFonts w:asciiTheme="minorHAnsi" w:hAnsiTheme="minorHAnsi"/>
          <w:color w:val="000000"/>
          <w:sz w:val="22"/>
          <w:szCs w:val="22"/>
        </w:rPr>
        <w:t>5</w:t>
      </w:r>
      <w:r w:rsidRPr="00763BA2" w:rsidR="00763BA2">
        <w:rPr>
          <w:rFonts w:asciiTheme="minorHAnsi" w:hAnsiTheme="minorHAnsi"/>
          <w:color w:val="000000"/>
          <w:sz w:val="22"/>
          <w:szCs w:val="22"/>
        </w:rPr>
        <w:t>-$</w:t>
      </w:r>
      <w:r w:rsidR="00153B69">
        <w:rPr>
          <w:rFonts w:asciiTheme="minorHAnsi" w:hAnsiTheme="minorHAnsi"/>
          <w:color w:val="000000"/>
          <w:sz w:val="22"/>
          <w:szCs w:val="22"/>
        </w:rPr>
        <w:t>75</w:t>
      </w:r>
      <w:r w:rsidRPr="00763BA2" w:rsidR="00153B69">
        <w:rPr>
          <w:rFonts w:asciiTheme="minorHAnsi" w:hAnsiTheme="minorHAnsi"/>
          <w:color w:val="000000"/>
          <w:sz w:val="22"/>
          <w:szCs w:val="22"/>
        </w:rPr>
        <w:t xml:space="preserve"> </w:t>
      </w:r>
      <w:r w:rsidRPr="00763BA2" w:rsidR="00763BA2">
        <w:rPr>
          <w:rFonts w:asciiTheme="minorHAnsi" w:hAnsiTheme="minorHAnsi"/>
          <w:color w:val="000000"/>
          <w:sz w:val="22"/>
          <w:szCs w:val="22"/>
        </w:rPr>
        <w:t xml:space="preserve">effective in increasing </w:t>
      </w:r>
      <w:r w:rsidR="00153B69">
        <w:rPr>
          <w:rFonts w:asciiTheme="minorHAnsi" w:hAnsiTheme="minorHAnsi"/>
          <w:color w:val="000000"/>
          <w:sz w:val="22"/>
          <w:szCs w:val="22"/>
        </w:rPr>
        <w:t xml:space="preserve">willingness to participate in qualitative </w:t>
      </w:r>
      <w:r w:rsidR="009A7E4B">
        <w:rPr>
          <w:rFonts w:asciiTheme="minorHAnsi" w:hAnsiTheme="minorHAnsi"/>
          <w:color w:val="000000"/>
          <w:sz w:val="22"/>
          <w:szCs w:val="22"/>
        </w:rPr>
        <w:t>research</w:t>
      </w:r>
      <w:r w:rsidR="00153B69">
        <w:rPr>
          <w:rFonts w:asciiTheme="minorHAnsi" w:hAnsiTheme="minorHAnsi"/>
          <w:color w:val="000000"/>
          <w:sz w:val="22"/>
          <w:szCs w:val="22"/>
        </w:rPr>
        <w:t>,</w:t>
      </w:r>
      <w:r w:rsidRPr="00763BA2" w:rsidR="00763BA2">
        <w:rPr>
          <w:rFonts w:asciiTheme="minorHAnsi" w:hAnsiTheme="minorHAnsi"/>
          <w:color w:val="000000"/>
          <w:sz w:val="22"/>
          <w:szCs w:val="22"/>
        </w:rPr>
        <w:t xml:space="preserve"> we believe $</w:t>
      </w:r>
      <w:r w:rsidR="00763BA2">
        <w:rPr>
          <w:rFonts w:asciiTheme="minorHAnsi" w:hAnsiTheme="minorHAnsi"/>
          <w:color w:val="000000"/>
          <w:sz w:val="22"/>
          <w:szCs w:val="22"/>
        </w:rPr>
        <w:t>30</w:t>
      </w:r>
      <w:r w:rsidRPr="00763BA2" w:rsidR="00763BA2">
        <w:rPr>
          <w:rFonts w:asciiTheme="minorHAnsi" w:hAnsiTheme="minorHAnsi"/>
          <w:color w:val="000000"/>
          <w:sz w:val="22"/>
          <w:szCs w:val="22"/>
        </w:rPr>
        <w:t xml:space="preserve"> is a reasonable amount for the time and cost associated with participation in these data collection activities but is not so high as to appear coercive for potential participants.</w:t>
      </w:r>
      <w:r w:rsidRPr="00763BA2" w:rsidR="00763BA2">
        <w:rPr>
          <w:rStyle w:val="FootnoteReference"/>
          <w:rFonts w:asciiTheme="minorHAnsi" w:hAnsiTheme="minorHAnsi"/>
          <w:color w:val="000000"/>
          <w:sz w:val="22"/>
          <w:szCs w:val="22"/>
        </w:rPr>
        <w:footnoteReference w:id="5"/>
      </w:r>
      <w:bookmarkEnd w:id="4"/>
    </w:p>
    <w:p w:rsidR="001D1C73" w:rsidP="001D1C73" w:rsidRDefault="001D1C73" w14:paraId="7735BE59" w14:textId="524AFA76">
      <w:pPr>
        <w:spacing w:after="0"/>
      </w:pPr>
    </w:p>
    <w:p w:rsidR="00BD7901" w:rsidP="001D1C73" w:rsidRDefault="00BD7901" w14:paraId="21776C64" w14:textId="7D8604E7">
      <w:pPr>
        <w:spacing w:after="0"/>
      </w:pPr>
    </w:p>
    <w:p w:rsidRPr="009139B3" w:rsidR="00BD7901" w:rsidP="001D1C73" w:rsidRDefault="00BD7901" w14:paraId="19770430" w14:textId="77777777">
      <w:pPr>
        <w:spacing w:after="0"/>
      </w:pPr>
    </w:p>
    <w:p w:rsidRPr="009139B3" w:rsidR="001D1C73" w:rsidP="001D1C73" w:rsidRDefault="001D1C73" w14:paraId="63D44C93" w14:textId="77777777">
      <w:pPr>
        <w:spacing w:after="120" w:line="240" w:lineRule="auto"/>
      </w:pPr>
      <w:r w:rsidRPr="009139B3">
        <w:rPr>
          <w:b/>
        </w:rPr>
        <w:lastRenderedPageBreak/>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r w:rsidRPr="009139B3">
        <w:rPr>
          <w:i/>
        </w:rPr>
        <w:t>Personally Identifiable Information</w:t>
      </w:r>
    </w:p>
    <w:p w:rsidR="008739C4" w:rsidP="001D1C73" w:rsidRDefault="008739C4" w14:paraId="107180F0" w14:textId="29F0D52B">
      <w:pPr>
        <w:spacing w:after="0" w:line="240" w:lineRule="auto"/>
        <w:rPr>
          <w:rFonts w:cstheme="minorHAnsi"/>
        </w:rPr>
      </w:pPr>
      <w:r>
        <w:rPr>
          <w:rFonts w:cstheme="minorHAnsi"/>
        </w:rPr>
        <w:t xml:space="preserve">The only </w:t>
      </w:r>
      <w:r w:rsidR="004B4A12">
        <w:rPr>
          <w:rFonts w:cstheme="minorHAnsi"/>
        </w:rPr>
        <w:t>personally identifiable information (</w:t>
      </w:r>
      <w:r>
        <w:rPr>
          <w:rFonts w:cstheme="minorHAnsi"/>
        </w:rPr>
        <w:t>PII</w:t>
      </w:r>
      <w:r w:rsidR="004B4A12">
        <w:rPr>
          <w:rFonts w:cstheme="minorHAnsi"/>
        </w:rPr>
        <w:t>)</w:t>
      </w:r>
      <w:r>
        <w:rPr>
          <w:rFonts w:cstheme="minorHAnsi"/>
        </w:rPr>
        <w:t xml:space="preserve"> that will be collected through the semi-structured interviews and focus groups will be voice recordings, including the interviewee’s first name and voice. </w:t>
      </w:r>
      <w:r w:rsidR="00133804">
        <w:rPr>
          <w:rFonts w:cstheme="minorHAnsi"/>
        </w:rPr>
        <w:t xml:space="preserve">We will have contact information for interviewees in order to arrange data collection but will not maintain their contact information as part of the data collected. </w:t>
      </w:r>
      <w:r w:rsidR="002D188B">
        <w:rPr>
          <w:rFonts w:cstheme="minorHAnsi"/>
        </w:rPr>
        <w:t xml:space="preserve">For the </w:t>
      </w:r>
      <w:r w:rsidR="002D188B">
        <w:rPr>
          <w:rFonts w:cstheme="minorHAnsi"/>
          <w:b/>
          <w:bCs/>
          <w:i/>
          <w:iCs/>
        </w:rPr>
        <w:t>interviews with participants</w:t>
      </w:r>
      <w:r w:rsidR="002D188B">
        <w:rPr>
          <w:rFonts w:cstheme="minorHAnsi"/>
        </w:rPr>
        <w:t>, we will have program staff confirm with the participant their permission to share contact information before sharing it with us.</w:t>
      </w:r>
    </w:p>
    <w:p w:rsidR="008739C4" w:rsidP="001D1C73" w:rsidRDefault="008739C4" w14:paraId="6ACD007F" w14:textId="77777777">
      <w:pPr>
        <w:spacing w:after="0" w:line="240" w:lineRule="auto"/>
        <w:rPr>
          <w:rFonts w:cstheme="minorHAnsi"/>
        </w:rPr>
      </w:pPr>
    </w:p>
    <w:p w:rsidR="00475DE7" w:rsidP="001B33E2" w:rsidRDefault="008739C4" w14:paraId="27005FC2" w14:textId="58D6E867">
      <w:pPr>
        <w:spacing w:after="0" w:line="240" w:lineRule="auto"/>
        <w:rPr>
          <w:rFonts w:cstheme="minorHAnsi"/>
        </w:rPr>
      </w:pPr>
      <w:r>
        <w:rPr>
          <w:rFonts w:cstheme="minorHAnsi"/>
        </w:rPr>
        <w:t xml:space="preserve">Because the research team may wish to learn more about a survey respondent’s organization through some of the subsequent data collection, the </w:t>
      </w:r>
      <w:r w:rsidRPr="00D61707">
        <w:rPr>
          <w:rFonts w:cstheme="minorHAnsi"/>
          <w:b/>
          <w:i/>
        </w:rPr>
        <w:t>survey</w:t>
      </w:r>
      <w:r>
        <w:rPr>
          <w:rFonts w:cstheme="minorHAnsi"/>
        </w:rPr>
        <w:t xml:space="preserve"> collects the respondent’s name, email, and the name of their organization. </w:t>
      </w:r>
      <w:r w:rsidR="00065A99">
        <w:rPr>
          <w:rFonts w:cstheme="minorHAnsi"/>
        </w:rPr>
        <w:t>W</w:t>
      </w:r>
      <w:r>
        <w:rPr>
          <w:rFonts w:cstheme="minorHAnsi"/>
        </w:rPr>
        <w:t>e will de-identify data during analysis</w:t>
      </w:r>
      <w:r w:rsidR="00065A99">
        <w:rPr>
          <w:rFonts w:cstheme="minorHAnsi"/>
        </w:rPr>
        <w:t>, using a unique identifier to link the respondent’s responses to their name, email, and name of their organization</w:t>
      </w:r>
      <w:r w:rsidR="001520A8">
        <w:rPr>
          <w:rFonts w:cstheme="minorHAnsi"/>
        </w:rPr>
        <w:t>,</w:t>
      </w:r>
      <w:r w:rsidR="00065A99">
        <w:rPr>
          <w:rFonts w:cstheme="minorHAnsi"/>
        </w:rPr>
        <w:t xml:space="preserve"> which we will keep in a separate file. </w:t>
      </w:r>
      <w:r w:rsidR="008F2FD1">
        <w:rPr>
          <w:rFonts w:cstheme="minorHAnsi"/>
        </w:rPr>
        <w:t xml:space="preserve">Maintaining this separate crosswalk file will allow us to </w:t>
      </w:r>
      <w:r w:rsidR="00475DE7">
        <w:rPr>
          <w:rFonts w:cstheme="minorHAnsi"/>
        </w:rPr>
        <w:t xml:space="preserve">identify appropriate contacts to invite to participate in the </w:t>
      </w:r>
      <w:r w:rsidR="00475DE7">
        <w:rPr>
          <w:rFonts w:cstheme="minorHAnsi"/>
          <w:b/>
          <w:bCs/>
          <w:i/>
          <w:iCs/>
        </w:rPr>
        <w:t>phone interviews</w:t>
      </w:r>
      <w:r w:rsidR="00475DE7">
        <w:rPr>
          <w:rFonts w:cstheme="minorHAnsi"/>
        </w:rPr>
        <w:t xml:space="preserve"> or </w:t>
      </w:r>
      <w:r w:rsidR="00475DE7">
        <w:rPr>
          <w:rFonts w:cstheme="minorHAnsi"/>
          <w:b/>
          <w:bCs/>
          <w:i/>
          <w:iCs/>
        </w:rPr>
        <w:t>virtual site visit</w:t>
      </w:r>
      <w:r w:rsidR="00797F75">
        <w:rPr>
          <w:rFonts w:cstheme="minorHAnsi"/>
          <w:b/>
          <w:bCs/>
          <w:i/>
          <w:iCs/>
        </w:rPr>
        <w:t xml:space="preserve"> interview</w:t>
      </w:r>
      <w:r w:rsidR="00475DE7">
        <w:rPr>
          <w:rFonts w:cstheme="minorHAnsi"/>
          <w:b/>
          <w:bCs/>
          <w:i/>
          <w:iCs/>
        </w:rPr>
        <w:t>s</w:t>
      </w:r>
      <w:r w:rsidR="00475DE7">
        <w:rPr>
          <w:rFonts w:cstheme="minorHAnsi"/>
        </w:rPr>
        <w:t xml:space="preserve"> and to avoid asking questions during those phases of information collection if the same respondent has already provided a response at an earlier stage. </w:t>
      </w:r>
    </w:p>
    <w:p w:rsidR="001B33E2" w:rsidP="001B33E2" w:rsidRDefault="001B33E2" w14:paraId="2BAB335B" w14:textId="77777777">
      <w:pPr>
        <w:spacing w:after="0" w:line="240" w:lineRule="auto"/>
        <w:rPr>
          <w:rFonts w:cstheme="minorHAnsi"/>
        </w:rPr>
      </w:pPr>
    </w:p>
    <w:p w:rsidRPr="009139B3" w:rsidR="001D1C73" w:rsidP="001D1C73" w:rsidRDefault="001D1C73" w14:paraId="7688FE78" w14:textId="57E7068E">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0C14D2" w:rsidR="000C14D2" w:rsidP="000C14D2" w:rsidRDefault="000C14D2" w14:paraId="30111960" w14:textId="1C26CF86">
      <w:pPr>
        <w:pStyle w:val="BodyText"/>
        <w:spacing w:line="240" w:lineRule="auto"/>
        <w:rPr>
          <w:rFonts w:asciiTheme="minorHAnsi" w:hAnsiTheme="minorHAnsi"/>
          <w:lang w:eastAsia="zh-CN" w:bidi="hi-IN"/>
        </w:rPr>
      </w:pPr>
      <w:r w:rsidRPr="000C14D2">
        <w:rPr>
          <w:rFonts w:asciiTheme="minorHAnsi" w:hAnsiTheme="minorHAnsi"/>
          <w:lang w:eastAsia="zh-CN" w:bidi="hi-IN"/>
        </w:rPr>
        <w:t xml:space="preserve">The research team will maintain privacy of interview participants by not disclosing </w:t>
      </w:r>
      <w:r w:rsidR="004B4A12">
        <w:rPr>
          <w:rFonts w:asciiTheme="minorHAnsi" w:hAnsiTheme="minorHAnsi"/>
          <w:lang w:eastAsia="zh-CN" w:bidi="hi-IN"/>
        </w:rPr>
        <w:t>PII</w:t>
      </w:r>
      <w:r w:rsidRPr="000C14D2">
        <w:rPr>
          <w:rFonts w:asciiTheme="minorHAnsi" w:hAnsiTheme="minorHAnsi"/>
          <w:lang w:eastAsia="zh-CN" w:bidi="hi-IN"/>
        </w:rPr>
        <w:t xml:space="preserve"> or quotes that may be attributable to individual respondents. All members of the research team involved in program staff interviews will sign </w:t>
      </w:r>
      <w:r w:rsidR="004B4A12">
        <w:rPr>
          <w:rFonts w:asciiTheme="minorHAnsi" w:hAnsiTheme="minorHAnsi"/>
          <w:lang w:eastAsia="zh-CN" w:bidi="hi-IN"/>
        </w:rPr>
        <w:t>the contractor’s</w:t>
      </w:r>
      <w:r w:rsidRPr="000C14D2">
        <w:rPr>
          <w:rFonts w:asciiTheme="minorHAnsi" w:hAnsiTheme="minorHAnsi"/>
          <w:lang w:eastAsia="zh-CN" w:bidi="hi-IN"/>
        </w:rPr>
        <w:t xml:space="preserve"> confidentiality pledge before collecting data. Participants of the semi-structured interviews and focus groups will also be asked to participate from a private location where they will not be overheard, such as a personal office or room with a closed door, in order to protect the </w:t>
      </w:r>
      <w:r w:rsidR="004B4A12">
        <w:rPr>
          <w:rFonts w:asciiTheme="minorHAnsi" w:hAnsiTheme="minorHAnsi"/>
          <w:lang w:eastAsia="zh-CN" w:bidi="hi-IN"/>
        </w:rPr>
        <w:t>privacy</w:t>
      </w:r>
      <w:r w:rsidRPr="000C14D2" w:rsidR="004B4A12">
        <w:rPr>
          <w:rFonts w:asciiTheme="minorHAnsi" w:hAnsiTheme="minorHAnsi"/>
          <w:lang w:eastAsia="zh-CN" w:bidi="hi-IN"/>
        </w:rPr>
        <w:t xml:space="preserve"> </w:t>
      </w:r>
      <w:r w:rsidRPr="000C14D2">
        <w:rPr>
          <w:rFonts w:asciiTheme="minorHAnsi" w:hAnsiTheme="minorHAnsi"/>
          <w:lang w:eastAsia="zh-CN" w:bidi="hi-IN"/>
        </w:rPr>
        <w:t>of their answers and others’, in the case of a focus group.</w:t>
      </w:r>
    </w:p>
    <w:p w:rsidRPr="000C14D2" w:rsidR="001D1C73" w:rsidP="000C14D2" w:rsidRDefault="001D1C73" w14:paraId="3B371F60" w14:textId="77777777">
      <w:pPr>
        <w:spacing w:after="0" w:line="240" w:lineRule="auto"/>
        <w:rPr>
          <w:rFonts w:cstheme="minorHAnsi"/>
        </w:rPr>
      </w:pPr>
      <w:r w:rsidRPr="000C14D2">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9139B3" w:rsidR="001D1C73" w:rsidP="001D1C73" w:rsidRDefault="001D1C73" w14:paraId="5E1F4C48" w14:textId="77777777">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Pr="009139B3" w:rsidR="001B33E2" w:rsidP="001D1C73" w:rsidRDefault="001D1C73" w14:paraId="7C9FD3E6" w14:textId="541989C1">
      <w:pPr>
        <w:spacing w:after="0" w:line="240" w:lineRule="auto"/>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w:t>
      </w:r>
      <w:r w:rsidRPr="009139B3">
        <w:rPr>
          <w:rFonts w:eastAsia="Times New Roman" w:cstheme="minorHAnsi"/>
        </w:rPr>
        <w:lastRenderedPageBreak/>
        <w:t xml:space="preserve">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Pr="009139B3" w:rsidR="001D1C73" w:rsidP="001D1C73" w:rsidRDefault="001D1C73" w14:paraId="00EDDFF9" w14:textId="77777777">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6"/>
      </w:r>
    </w:p>
    <w:p w:rsidRPr="001B33E2" w:rsidR="001D1C73" w:rsidP="001D1C73" w:rsidRDefault="000C14D2" w14:paraId="1F9FAE3F" w14:textId="39E89DDF">
      <w:pPr>
        <w:spacing w:after="0" w:line="240" w:lineRule="auto"/>
        <w:rPr>
          <w:rFonts w:cstheme="minorHAnsi"/>
        </w:rPr>
      </w:pPr>
      <w:r>
        <w:rPr>
          <w:rFonts w:cstheme="minorHAnsi"/>
        </w:rPr>
        <w:t xml:space="preserve">No sensitive questions will be asked as part of </w:t>
      </w:r>
      <w:r w:rsidR="001B33E2">
        <w:rPr>
          <w:rFonts w:cstheme="minorHAnsi"/>
        </w:rPr>
        <w:t xml:space="preserve">most modes of </w:t>
      </w:r>
      <w:r>
        <w:rPr>
          <w:rFonts w:cstheme="minorHAnsi"/>
        </w:rPr>
        <w:t xml:space="preserve">this data collection. </w:t>
      </w:r>
      <w:r w:rsidR="001B33E2">
        <w:rPr>
          <w:rFonts w:cstheme="minorHAnsi"/>
        </w:rPr>
        <w:t xml:space="preserve">The one exception is the </w:t>
      </w:r>
      <w:r w:rsidR="001B33E2">
        <w:rPr>
          <w:rFonts w:cstheme="minorHAnsi"/>
          <w:b/>
          <w:bCs/>
          <w:i/>
          <w:iCs/>
        </w:rPr>
        <w:t>interviews with participants</w:t>
      </w:r>
      <w:r w:rsidR="001B33E2">
        <w:rPr>
          <w:rFonts w:cstheme="minorHAnsi"/>
        </w:rPr>
        <w:t xml:space="preserve">; asking about participation in employment and training programs and in financial capability services may in some cases involve asking about </w:t>
      </w:r>
      <w:r w:rsidRPr="00D30B6F" w:rsidR="001B33E2">
        <w:rPr>
          <w:rFonts w:cstheme="minorHAnsi"/>
        </w:rPr>
        <w:t>receipt of economic assistance from the government</w:t>
      </w:r>
      <w:r w:rsidR="00A34937">
        <w:rPr>
          <w:rFonts w:cstheme="minorHAnsi"/>
        </w:rPr>
        <w:t xml:space="preserve">. </w:t>
      </w:r>
    </w:p>
    <w:p w:rsidR="001D1C73" w:rsidP="001D1C73" w:rsidRDefault="001D1C73" w14:paraId="4BEC5A23" w14:textId="5808FAAC">
      <w:pPr>
        <w:spacing w:after="0" w:line="240" w:lineRule="auto"/>
        <w:rPr>
          <w:rFonts w:cstheme="minorHAnsi"/>
        </w:rPr>
      </w:pPr>
    </w:p>
    <w:p w:rsidR="00A34937" w:rsidP="001D1C73" w:rsidRDefault="00A34937" w14:paraId="2C815B25" w14:textId="5EBD83EF">
      <w:pPr>
        <w:spacing w:after="0" w:line="240" w:lineRule="auto"/>
        <w:rPr>
          <w:rFonts w:cstheme="minorHAnsi"/>
        </w:rPr>
      </w:pPr>
      <w:r w:rsidRPr="00A34937">
        <w:rPr>
          <w:rFonts w:cstheme="minorHAnsi"/>
        </w:rPr>
        <w:t>Including these items is necessary to understand participants’ experiences accessing services through the programs</w:t>
      </w:r>
      <w:r>
        <w:rPr>
          <w:rFonts w:cstheme="minorHAnsi"/>
        </w:rPr>
        <w:t xml:space="preserve"> and services that are the focus of the study. </w:t>
      </w:r>
      <w:r w:rsidRPr="00A34937">
        <w:rPr>
          <w:rFonts w:cstheme="minorHAnsi"/>
        </w:rPr>
        <w:t xml:space="preserve">The research team will take several steps to minimize the discomfort that such questions may pose. Participants will </w:t>
      </w:r>
      <w:r>
        <w:rPr>
          <w:rFonts w:cstheme="minorHAnsi"/>
        </w:rPr>
        <w:t xml:space="preserve">be alerted to the types of questions that might cause discomfort as part of the informed consent process. Staff </w:t>
      </w:r>
      <w:r w:rsidRPr="00A34937">
        <w:rPr>
          <w:rFonts w:cstheme="minorHAnsi"/>
        </w:rPr>
        <w:t>will inform respondents that participation is voluntary and they may refuse to answer individual items</w:t>
      </w:r>
      <w:r w:rsidR="00A4721C">
        <w:rPr>
          <w:rFonts w:cstheme="minorHAnsi"/>
        </w:rPr>
        <w:t xml:space="preserve"> or stop the interview</w:t>
      </w:r>
      <w:r>
        <w:rPr>
          <w:rFonts w:cstheme="minorHAnsi"/>
        </w:rPr>
        <w:t>, including after the interview has started</w:t>
      </w:r>
      <w:r w:rsidRPr="00A34937">
        <w:rPr>
          <w:rFonts w:cstheme="minorHAnsi"/>
        </w:rPr>
        <w:t xml:space="preserve">. Study participants will also be reminded that the study team will keep their responses private, to encourage their candid responses. When coordinating the </w:t>
      </w:r>
      <w:r>
        <w:rPr>
          <w:rFonts w:cstheme="minorHAnsi"/>
        </w:rPr>
        <w:t>interviews</w:t>
      </w:r>
      <w:r w:rsidRPr="00A34937">
        <w:rPr>
          <w:rFonts w:cstheme="minorHAnsi"/>
        </w:rPr>
        <w:t xml:space="preserve">, the research team will </w:t>
      </w:r>
      <w:r>
        <w:rPr>
          <w:rFonts w:cstheme="minorHAnsi"/>
        </w:rPr>
        <w:t xml:space="preserve">identify at least one resource (potentially appropriate program staff) to refer participants to for support if they </w:t>
      </w:r>
      <w:r w:rsidR="00242214">
        <w:rPr>
          <w:rFonts w:cstheme="minorHAnsi"/>
        </w:rPr>
        <w:t>experience emotional</w:t>
      </w:r>
      <w:r>
        <w:rPr>
          <w:rFonts w:cstheme="minorHAnsi"/>
        </w:rPr>
        <w:t xml:space="preserve"> strain.</w:t>
      </w:r>
    </w:p>
    <w:p w:rsidR="00A34937" w:rsidP="001D1C73" w:rsidRDefault="00A34937" w14:paraId="17AED841" w14:textId="5916DC9D">
      <w:pPr>
        <w:spacing w:after="0" w:line="240" w:lineRule="auto"/>
        <w:rPr>
          <w:rFonts w:cstheme="minorHAnsi"/>
        </w:rPr>
      </w:pPr>
    </w:p>
    <w:p w:rsidR="00A34937" w:rsidP="001D1C73" w:rsidRDefault="00A34937" w14:paraId="5D1A58DC" w14:textId="138244C1">
      <w:pPr>
        <w:spacing w:after="0" w:line="240" w:lineRule="auto"/>
        <w:rPr>
          <w:rFonts w:cstheme="minorHAnsi"/>
        </w:rPr>
      </w:pPr>
      <w:r>
        <w:rPr>
          <w:rFonts w:cstheme="minorHAnsi"/>
        </w:rPr>
        <w:t xml:space="preserve">Appendix </w:t>
      </w:r>
      <w:r w:rsidR="00B5236A">
        <w:rPr>
          <w:rFonts w:cstheme="minorHAnsi"/>
        </w:rPr>
        <w:t>F</w:t>
      </w:r>
      <w:r>
        <w:rPr>
          <w:rFonts w:cstheme="minorHAnsi"/>
        </w:rPr>
        <w:t xml:space="preserve"> includes approval for this study from the HML IRB Institutional Review Board.</w:t>
      </w:r>
    </w:p>
    <w:p w:rsidRPr="009139B3" w:rsidR="00A34937" w:rsidP="001D1C73" w:rsidRDefault="00A34937" w14:paraId="6B85722C" w14:textId="23C11E55">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001D1C73" w:rsidP="001D1C73" w:rsidRDefault="00042714" w14:paraId="688B2061" w14:textId="063C015F">
      <w:pPr>
        <w:spacing w:after="0" w:line="240" w:lineRule="auto"/>
      </w:pPr>
      <w:r>
        <w:t xml:space="preserve">Table </w:t>
      </w:r>
      <w:r w:rsidR="00DE22AC">
        <w:t>3</w:t>
      </w:r>
      <w:r>
        <w:t xml:space="preserve"> below shows estimated burden for the information collection, which will take place over a period of approximately 12 months. Respondents by instrument include: </w:t>
      </w:r>
    </w:p>
    <w:p w:rsidR="00042714" w:rsidP="00BD7901" w:rsidRDefault="00042714" w14:paraId="0776EF11" w14:textId="74C25209">
      <w:pPr>
        <w:pStyle w:val="ListParagraph"/>
        <w:numPr>
          <w:ilvl w:val="0"/>
          <w:numId w:val="48"/>
        </w:numPr>
        <w:spacing w:after="0" w:line="240" w:lineRule="auto"/>
        <w:ind w:left="450" w:hanging="270"/>
      </w:pPr>
      <w:r>
        <w:t xml:space="preserve">Survey: 80 E&amp;T Program Managers for .33 hours each (Instrument </w:t>
      </w:r>
      <w:r w:rsidR="009912D5">
        <w:t>1</w:t>
      </w:r>
      <w:r>
        <w:t>)</w:t>
      </w:r>
    </w:p>
    <w:p w:rsidR="00042714" w:rsidP="00BD7901" w:rsidRDefault="00042714" w14:paraId="70C4CC90" w14:textId="5EF5C9BE">
      <w:pPr>
        <w:pStyle w:val="ListParagraph"/>
        <w:numPr>
          <w:ilvl w:val="0"/>
          <w:numId w:val="48"/>
        </w:numPr>
        <w:spacing w:after="0" w:line="240" w:lineRule="auto"/>
        <w:ind w:left="450" w:hanging="270"/>
      </w:pPr>
      <w:r>
        <w:t xml:space="preserve">Phone Interviews: 15 E&amp;T Program Managers for 1.5 hours each (Instrument </w:t>
      </w:r>
      <w:r w:rsidR="009912D5">
        <w:t>2</w:t>
      </w:r>
      <w:r>
        <w:t>)</w:t>
      </w:r>
    </w:p>
    <w:p w:rsidR="00042714" w:rsidP="00BD7901" w:rsidRDefault="00042714" w14:paraId="1B643D69" w14:textId="11B69ACD">
      <w:pPr>
        <w:pStyle w:val="ListParagraph"/>
        <w:numPr>
          <w:ilvl w:val="0"/>
          <w:numId w:val="48"/>
        </w:numPr>
        <w:spacing w:after="0" w:line="240" w:lineRule="auto"/>
        <w:ind w:left="450" w:hanging="270"/>
      </w:pPr>
      <w:r>
        <w:t>Virtual Site Visit</w:t>
      </w:r>
      <w:r w:rsidR="00797F75">
        <w:t xml:space="preserve"> Interviews</w:t>
      </w:r>
      <w:r>
        <w:t xml:space="preserve"> (Instrument </w:t>
      </w:r>
      <w:r w:rsidR="009912D5">
        <w:t>3</w:t>
      </w:r>
      <w:r>
        <w:t xml:space="preserve">): </w:t>
      </w:r>
    </w:p>
    <w:p w:rsidR="00042714" w:rsidP="00BD7901" w:rsidRDefault="00042714" w14:paraId="7169C95F" w14:textId="784583F3">
      <w:pPr>
        <w:pStyle w:val="ListParagraph"/>
        <w:numPr>
          <w:ilvl w:val="1"/>
          <w:numId w:val="48"/>
        </w:numPr>
        <w:spacing w:after="0" w:line="240" w:lineRule="auto"/>
        <w:ind w:left="900"/>
      </w:pPr>
      <w:r>
        <w:t xml:space="preserve">8 Program Managers for 1.5 hours each </w:t>
      </w:r>
    </w:p>
    <w:p w:rsidR="00042714" w:rsidP="00BD7901" w:rsidRDefault="00042714" w14:paraId="1DE3EC81" w14:textId="595D3D72">
      <w:pPr>
        <w:pStyle w:val="ListParagraph"/>
        <w:numPr>
          <w:ilvl w:val="1"/>
          <w:numId w:val="48"/>
        </w:numPr>
        <w:spacing w:after="0" w:line="240" w:lineRule="auto"/>
        <w:ind w:left="900"/>
      </w:pPr>
      <w:r>
        <w:t xml:space="preserve">24 Frontline Staff for 1.5 hours each </w:t>
      </w:r>
    </w:p>
    <w:p w:rsidR="001D1C73" w:rsidP="00BD7901" w:rsidRDefault="00CA74D9" w14:paraId="3C662ADD" w14:textId="06F3C5DA">
      <w:pPr>
        <w:pStyle w:val="ListParagraph"/>
        <w:numPr>
          <w:ilvl w:val="0"/>
          <w:numId w:val="48"/>
        </w:numPr>
        <w:spacing w:after="0" w:line="240" w:lineRule="auto"/>
        <w:ind w:left="450" w:hanging="270"/>
      </w:pPr>
      <w:r>
        <w:t xml:space="preserve">Participant Interviews: 16 participants for 1.5 hours each (Instrument </w:t>
      </w:r>
      <w:r w:rsidR="009912D5">
        <w:t>4</w:t>
      </w:r>
      <w:r>
        <w:t>)</w:t>
      </w:r>
    </w:p>
    <w:p w:rsidR="00CA74D9" w:rsidP="00BD7901" w:rsidRDefault="00CA74D9" w14:paraId="6FD9C7C1" w14:textId="1F020FF2">
      <w:pPr>
        <w:pStyle w:val="ListParagraph"/>
        <w:numPr>
          <w:ilvl w:val="0"/>
          <w:numId w:val="48"/>
        </w:numPr>
        <w:spacing w:after="0" w:line="240" w:lineRule="auto"/>
        <w:ind w:left="450" w:hanging="270"/>
      </w:pPr>
      <w:r>
        <w:t xml:space="preserve">Employers Interviews: 10 HR Representatives for 1 hour each (Instrument </w:t>
      </w:r>
      <w:r w:rsidR="009912D5">
        <w:t>5</w:t>
      </w:r>
      <w:r>
        <w:t xml:space="preserve">) </w:t>
      </w:r>
    </w:p>
    <w:p w:rsidR="00CA74D9" w:rsidP="00BD7901" w:rsidRDefault="00CA74D9" w14:paraId="4FC3BC51" w14:textId="4F09B275">
      <w:pPr>
        <w:pStyle w:val="ListParagraph"/>
        <w:numPr>
          <w:ilvl w:val="0"/>
          <w:numId w:val="48"/>
        </w:numPr>
        <w:spacing w:after="0" w:line="240" w:lineRule="auto"/>
        <w:ind w:left="450" w:hanging="270"/>
      </w:pPr>
      <w:r>
        <w:lastRenderedPageBreak/>
        <w:t xml:space="preserve">Program Administrator Focus Groups: 10 E&amp;T Program Managers for 1.5 hours each (Instrument </w:t>
      </w:r>
      <w:r w:rsidR="009912D5">
        <w:t>6</w:t>
      </w:r>
      <w:r>
        <w:t xml:space="preserve">) </w:t>
      </w:r>
    </w:p>
    <w:p w:rsidR="00CA74D9" w:rsidP="00CA74D9" w:rsidRDefault="00CA74D9" w14:paraId="6A2C918A" w14:textId="73702420">
      <w:pPr>
        <w:spacing w:after="0" w:line="240" w:lineRule="auto"/>
      </w:pPr>
    </w:p>
    <w:p w:rsidR="001D1C73" w:rsidP="001D1C73" w:rsidRDefault="001D1C73" w14:paraId="36874344" w14:textId="1335858B">
      <w:pPr>
        <w:spacing w:after="60" w:line="240" w:lineRule="auto"/>
        <w:rPr>
          <w:i/>
        </w:rPr>
      </w:pPr>
      <w:r w:rsidRPr="009139B3">
        <w:rPr>
          <w:i/>
        </w:rPr>
        <w:t>Estimated Annualized Cost to Respondents</w:t>
      </w:r>
    </w:p>
    <w:p w:rsidRPr="009139B3" w:rsidR="00CA74D9" w:rsidP="00CA74D9" w:rsidRDefault="00CA74D9" w14:paraId="2DF84898" w14:textId="277B5226">
      <w:pPr>
        <w:spacing w:after="0" w:line="240" w:lineRule="auto"/>
      </w:pPr>
      <w:r>
        <w:t>We estimate the total annual cost burden respondents to be $5,434.11 We estimate hourly wages from the  May 2020 U.S. Department of Labor, Bureau of Labor Statistics, Occupational Employment and Wages, fully loading them at 33% to account for benefits.</w:t>
      </w:r>
      <w:r w:rsidR="000D14BD">
        <w:rPr>
          <w:rStyle w:val="FootnoteReference"/>
        </w:rPr>
        <w:footnoteReference w:id="7"/>
      </w:r>
      <w:r>
        <w:t xml:space="preserve"> For program managers, we calculated a $44.50 hourly wage based on the mean wages for “Social and Community Service Managers” (11-9151).</w:t>
      </w:r>
      <w:r w:rsidR="000D14BD">
        <w:t xml:space="preserve">  For frontline staff, we calculated a $30.39 hourly wage based on the mean wages for “Community and Social Services Occupations” (21-000). For participants, we used the federal minimum wage. For employers, we calculated a $77.51 hourly wage rate based on the mean wages for “Human Resources Managers” (11-3121).</w:t>
      </w:r>
    </w:p>
    <w:p w:rsidRPr="009139B3" w:rsidR="001D1C73" w:rsidP="001D1C73" w:rsidRDefault="001D1C73" w14:paraId="075946AA" w14:textId="77777777">
      <w:pPr>
        <w:spacing w:after="0" w:line="240" w:lineRule="auto"/>
      </w:pPr>
    </w:p>
    <w:p w:rsidRPr="009912D5" w:rsidR="001D1C73" w:rsidP="001D1C73" w:rsidRDefault="00B44BDB" w14:paraId="06F8970B" w14:textId="52A20B1A">
      <w:pPr>
        <w:spacing w:after="0" w:line="240" w:lineRule="auto"/>
        <w:rPr>
          <w:rFonts w:ascii="Arial Narrow" w:hAnsi="Arial Narrow"/>
          <w:b/>
          <w:bCs/>
        </w:rPr>
      </w:pPr>
      <w:r w:rsidRPr="009912D5">
        <w:rPr>
          <w:rFonts w:ascii="Arial Narrow" w:hAnsi="Arial Narrow"/>
          <w:b/>
          <w:bCs/>
        </w:rPr>
        <w:t xml:space="preserve">Table </w:t>
      </w:r>
      <w:r w:rsidRPr="009912D5" w:rsidR="009912D5">
        <w:rPr>
          <w:rFonts w:ascii="Arial Narrow" w:hAnsi="Arial Narrow"/>
          <w:b/>
          <w:bCs/>
        </w:rPr>
        <w:t>3</w:t>
      </w:r>
      <w:r w:rsidRPr="009912D5">
        <w:rPr>
          <w:rFonts w:ascii="Arial Narrow" w:hAnsi="Arial Narrow"/>
          <w:b/>
          <w:bCs/>
        </w:rPr>
        <w:t>: Total Burden Requested Under this Information Collection</w:t>
      </w:r>
    </w:p>
    <w:tbl>
      <w:tblPr>
        <w:tblStyle w:val="TableGrid"/>
        <w:tblW w:w="9337" w:type="dxa"/>
        <w:tblInd w:w="108" w:type="dxa"/>
        <w:tblLayout w:type="fixed"/>
        <w:tblLook w:val="01E0" w:firstRow="1" w:lastRow="1" w:firstColumn="1" w:lastColumn="1" w:noHBand="0" w:noVBand="0"/>
      </w:tblPr>
      <w:tblGrid>
        <w:gridCol w:w="2407"/>
        <w:gridCol w:w="1350"/>
        <w:gridCol w:w="1530"/>
        <w:gridCol w:w="1080"/>
        <w:gridCol w:w="900"/>
        <w:gridCol w:w="810"/>
        <w:gridCol w:w="1260"/>
      </w:tblGrid>
      <w:tr w:rsidRPr="009139B3" w:rsidR="00242214" w:rsidTr="00BD7901" w14:paraId="4E2D066D" w14:textId="77777777">
        <w:tc>
          <w:tcPr>
            <w:tcW w:w="2407" w:type="dxa"/>
            <w:tcBorders>
              <w:top w:val="single" w:color="auto" w:sz="4" w:space="0"/>
              <w:left w:val="single" w:color="auto" w:sz="4" w:space="0"/>
              <w:bottom w:val="single" w:color="auto" w:sz="4" w:space="0"/>
              <w:right w:val="single" w:color="auto" w:sz="4" w:space="0"/>
            </w:tcBorders>
            <w:hideMark/>
          </w:tcPr>
          <w:p w:rsidRPr="009139B3" w:rsidR="00242214" w:rsidP="00BD4146" w:rsidRDefault="00242214"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9139B3" w:rsidR="00242214" w:rsidP="00BD4146" w:rsidRDefault="00242214"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9139B3" w:rsidR="00242214" w:rsidP="00BD4146" w:rsidRDefault="00242214"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9139B3" w:rsidR="00242214" w:rsidP="00BD4146" w:rsidRDefault="00242214"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9139B3" w:rsidR="00242214" w:rsidP="00BD4146" w:rsidRDefault="00242214"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810" w:type="dxa"/>
            <w:tcBorders>
              <w:top w:val="single" w:color="auto" w:sz="4" w:space="0"/>
              <w:left w:val="single" w:color="auto" w:sz="4" w:space="0"/>
              <w:bottom w:val="single" w:color="auto" w:sz="4" w:space="0"/>
              <w:right w:val="single" w:color="auto" w:sz="4" w:space="0"/>
            </w:tcBorders>
            <w:hideMark/>
          </w:tcPr>
          <w:p w:rsidRPr="009139B3" w:rsidR="00242214" w:rsidP="00BD4146" w:rsidRDefault="00242214"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9139B3" w:rsidR="00242214" w:rsidP="00BD4146" w:rsidRDefault="00242214"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rsidRPr="009139B3" w:rsidR="00242214" w:rsidTr="00BD7901" w14:paraId="5BC27676" w14:textId="77777777">
        <w:tc>
          <w:tcPr>
            <w:tcW w:w="2407" w:type="dxa"/>
            <w:tcBorders>
              <w:top w:val="single" w:color="auto" w:sz="4" w:space="0"/>
              <w:left w:val="single" w:color="auto" w:sz="4" w:space="0"/>
              <w:bottom w:val="single" w:color="auto" w:sz="4" w:space="0"/>
              <w:right w:val="single" w:color="auto" w:sz="4" w:space="0"/>
            </w:tcBorders>
            <w:vAlign w:val="center"/>
          </w:tcPr>
          <w:p w:rsidRPr="009139B3" w:rsidR="00242214" w:rsidP="00042714" w:rsidRDefault="00242214" w14:paraId="305C520D" w14:textId="378B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Survey</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242214" w:rsidP="00BD4146" w:rsidRDefault="00242214" w14:paraId="60C47704" w14:textId="398CA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80</w:t>
            </w:r>
          </w:p>
        </w:tc>
        <w:tc>
          <w:tcPr>
            <w:tcW w:w="1530" w:type="dxa"/>
            <w:tcBorders>
              <w:top w:val="single" w:color="auto" w:sz="4" w:space="0"/>
              <w:left w:val="single" w:color="auto" w:sz="4" w:space="0"/>
              <w:bottom w:val="single" w:color="auto" w:sz="4" w:space="0"/>
              <w:right w:val="single" w:color="auto" w:sz="4" w:space="0"/>
            </w:tcBorders>
            <w:vAlign w:val="center"/>
          </w:tcPr>
          <w:p w:rsidRPr="009139B3" w:rsidR="00242214" w:rsidP="00BD4146" w:rsidRDefault="00242214" w14:paraId="6C16BA6E" w14:textId="2A1BE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9139B3" w:rsidR="00242214" w:rsidP="00BD4146" w:rsidRDefault="00242214" w14:paraId="3EFAEFF8" w14:textId="05F3F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.33</w:t>
            </w:r>
          </w:p>
        </w:tc>
        <w:tc>
          <w:tcPr>
            <w:tcW w:w="900" w:type="dxa"/>
            <w:tcBorders>
              <w:top w:val="single" w:color="auto" w:sz="4" w:space="0"/>
              <w:left w:val="single" w:color="auto" w:sz="4" w:space="0"/>
              <w:bottom w:val="single" w:color="auto" w:sz="4" w:space="0"/>
              <w:right w:val="single" w:color="auto" w:sz="4" w:space="0"/>
            </w:tcBorders>
          </w:tcPr>
          <w:p w:rsidRPr="009139B3" w:rsidR="00242214" w:rsidP="00BD4146" w:rsidRDefault="00242214" w14:paraId="3BD4C70C" w14:textId="770076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26</w:t>
            </w:r>
          </w:p>
        </w:tc>
        <w:tc>
          <w:tcPr>
            <w:tcW w:w="810" w:type="dxa"/>
            <w:tcBorders>
              <w:top w:val="single" w:color="auto" w:sz="4" w:space="0"/>
              <w:left w:val="single" w:color="auto" w:sz="4" w:space="0"/>
              <w:bottom w:val="single" w:color="auto" w:sz="4" w:space="0"/>
              <w:right w:val="single" w:color="auto" w:sz="4" w:space="0"/>
            </w:tcBorders>
            <w:vAlign w:val="center"/>
            <w:hideMark/>
          </w:tcPr>
          <w:p w:rsidRPr="009139B3" w:rsidR="00242214" w:rsidP="00BD4146" w:rsidRDefault="00242214" w14:paraId="27A110B5" w14:textId="48F8B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44.50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242214" w:rsidP="00EF1F63" w:rsidRDefault="00242214" w14:paraId="690ABB5B" w14:textId="6740E7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1,1</w:t>
            </w:r>
            <w:r w:rsidR="00EF1F63">
              <w:rPr>
                <w:rFonts w:asciiTheme="minorHAnsi" w:hAnsiTheme="minorHAnsi" w:cstheme="minorHAnsi"/>
                <w:bCs/>
              </w:rPr>
              <w:t>74.80</w:t>
            </w:r>
          </w:p>
        </w:tc>
      </w:tr>
      <w:tr w:rsidRPr="009139B3" w:rsidR="00242214" w:rsidTr="00BD7901" w14:paraId="7505F08D" w14:textId="77777777">
        <w:tc>
          <w:tcPr>
            <w:tcW w:w="2407"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35385DA3" w14:textId="4E3E07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42714">
              <w:rPr>
                <w:rFonts w:asciiTheme="minorHAnsi" w:hAnsiTheme="minorHAnsi" w:cstheme="minorHAnsi"/>
                <w:bCs/>
              </w:rPr>
              <w:t>Phone Interviews</w:t>
            </w:r>
          </w:p>
        </w:tc>
        <w:tc>
          <w:tcPr>
            <w:tcW w:w="135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4E6D13F3" w14:textId="281D4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153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49A33408" w14:textId="0AC38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1510002F" w14:textId="7E18C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21E3C66B" w14:textId="4005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EF1F63">
              <w:rPr>
                <w:rFonts w:asciiTheme="minorHAnsi" w:hAnsiTheme="minorHAnsi" w:cstheme="minorHAnsi"/>
                <w:bCs/>
              </w:rPr>
              <w:t>3</w:t>
            </w:r>
          </w:p>
        </w:tc>
        <w:tc>
          <w:tcPr>
            <w:tcW w:w="81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3C67B11A" w14:textId="719101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$44.50</w:t>
            </w:r>
          </w:p>
        </w:tc>
        <w:tc>
          <w:tcPr>
            <w:tcW w:w="126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710201A4" w14:textId="204119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r w:rsidR="00EF1F63">
              <w:rPr>
                <w:rFonts w:asciiTheme="minorHAnsi" w:hAnsiTheme="minorHAnsi" w:cstheme="minorHAnsi"/>
                <w:bCs/>
              </w:rPr>
              <w:t>23.50</w:t>
            </w:r>
          </w:p>
        </w:tc>
      </w:tr>
      <w:tr w:rsidRPr="009139B3" w:rsidR="00242214" w:rsidTr="00BD7901" w14:paraId="509F6043" w14:textId="77777777">
        <w:tc>
          <w:tcPr>
            <w:tcW w:w="2407"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78834865" w14:textId="3A841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42714">
              <w:rPr>
                <w:rFonts w:asciiTheme="minorHAnsi" w:hAnsiTheme="minorHAnsi" w:cstheme="minorHAnsi"/>
                <w:bCs/>
              </w:rPr>
              <w:t>Virtual Site Visit Interview (</w:t>
            </w:r>
            <w:r>
              <w:rPr>
                <w:rFonts w:asciiTheme="minorHAnsi" w:hAnsiTheme="minorHAnsi" w:cstheme="minorHAnsi"/>
                <w:bCs/>
              </w:rPr>
              <w:t>Managers)</w:t>
            </w:r>
          </w:p>
        </w:tc>
        <w:tc>
          <w:tcPr>
            <w:tcW w:w="135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5F7D3D2E" w14:textId="79452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w:t>
            </w:r>
          </w:p>
        </w:tc>
        <w:tc>
          <w:tcPr>
            <w:tcW w:w="153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62A0FC87" w14:textId="3CBDC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5504B9AF" w14:textId="0BC7F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315444F8" w14:textId="03D99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w:t>
            </w:r>
          </w:p>
        </w:tc>
        <w:tc>
          <w:tcPr>
            <w:tcW w:w="81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12E6A322" w14:textId="7A4E5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$44.50</w:t>
            </w:r>
          </w:p>
        </w:tc>
        <w:tc>
          <w:tcPr>
            <w:tcW w:w="126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350D0C58" w14:textId="1C266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$534</w:t>
            </w:r>
          </w:p>
        </w:tc>
      </w:tr>
      <w:tr w:rsidRPr="009139B3" w:rsidR="00242214" w:rsidTr="00BD7901" w14:paraId="747A8036" w14:textId="77777777">
        <w:tc>
          <w:tcPr>
            <w:tcW w:w="2407"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57ACB60F" w14:textId="333AA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42714">
              <w:rPr>
                <w:rFonts w:asciiTheme="minorHAnsi" w:hAnsiTheme="minorHAnsi" w:cstheme="minorHAnsi"/>
                <w:bCs/>
              </w:rPr>
              <w:t>Virtual Site Visit Interview (Frontline Staff)</w:t>
            </w:r>
          </w:p>
        </w:tc>
        <w:tc>
          <w:tcPr>
            <w:tcW w:w="135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17D15531" w14:textId="2DBC2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w:t>
            </w:r>
          </w:p>
        </w:tc>
        <w:tc>
          <w:tcPr>
            <w:tcW w:w="153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54BDE6F5" w14:textId="257C9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14521AA6" w14:textId="4F23D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2CD51D62" w14:textId="38D6A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36</w:t>
            </w:r>
          </w:p>
        </w:tc>
        <w:tc>
          <w:tcPr>
            <w:tcW w:w="81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37370A77" w14:textId="70A2B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$30.39</w:t>
            </w:r>
          </w:p>
        </w:tc>
        <w:tc>
          <w:tcPr>
            <w:tcW w:w="126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55994860" w14:textId="17F51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$1,094.04</w:t>
            </w:r>
          </w:p>
        </w:tc>
      </w:tr>
      <w:tr w:rsidRPr="009139B3" w:rsidR="00242214" w:rsidTr="00BD7901" w14:paraId="23D3961C" w14:textId="77777777">
        <w:tc>
          <w:tcPr>
            <w:tcW w:w="2407"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0A3AA116" w14:textId="16C6DE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42714">
              <w:rPr>
                <w:rFonts w:asciiTheme="minorHAnsi" w:hAnsiTheme="minorHAnsi" w:cstheme="minorHAnsi"/>
                <w:bCs/>
              </w:rPr>
              <w:t xml:space="preserve">Participant Interviews </w:t>
            </w:r>
          </w:p>
        </w:tc>
        <w:tc>
          <w:tcPr>
            <w:tcW w:w="135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06427D98" w14:textId="2D1F2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w:t>
            </w:r>
          </w:p>
        </w:tc>
        <w:tc>
          <w:tcPr>
            <w:tcW w:w="153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3FD8F753" w14:textId="1FA2E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01951375" w14:textId="3DC92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4F181CFC" w14:textId="1D60B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w:t>
            </w:r>
          </w:p>
        </w:tc>
        <w:tc>
          <w:tcPr>
            <w:tcW w:w="81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4BDF4729" w14:textId="3531B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$7.25</w:t>
            </w:r>
          </w:p>
        </w:tc>
        <w:tc>
          <w:tcPr>
            <w:tcW w:w="1260" w:type="dxa"/>
            <w:tcBorders>
              <w:top w:val="single" w:color="auto" w:sz="4" w:space="0"/>
              <w:left w:val="single" w:color="auto" w:sz="4" w:space="0"/>
              <w:bottom w:val="single" w:color="auto" w:sz="4" w:space="0"/>
              <w:right w:val="single" w:color="auto" w:sz="4" w:space="0"/>
            </w:tcBorders>
            <w:vAlign w:val="center"/>
          </w:tcPr>
          <w:p w:rsidRPr="00042714" w:rsidR="00242214" w:rsidP="00042714" w:rsidRDefault="00242214" w14:paraId="4FB9BEA5" w14:textId="6E889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$174</w:t>
            </w:r>
          </w:p>
        </w:tc>
      </w:tr>
      <w:tr w:rsidRPr="009139B3" w:rsidR="00242214" w:rsidTr="00BD7901" w14:paraId="63EF6545" w14:textId="77777777">
        <w:tc>
          <w:tcPr>
            <w:tcW w:w="2407"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2A491802" w14:textId="36CB4C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A74D9">
              <w:rPr>
                <w:rFonts w:asciiTheme="minorHAnsi" w:hAnsiTheme="minorHAnsi" w:cstheme="minorHAnsi"/>
                <w:bCs/>
              </w:rPr>
              <w:t>Employer Interviews</w:t>
            </w:r>
          </w:p>
        </w:tc>
        <w:tc>
          <w:tcPr>
            <w:tcW w:w="1350"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512ADAE5" w14:textId="34D2B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A74D9">
              <w:rPr>
                <w:rFonts w:asciiTheme="minorHAnsi" w:hAnsiTheme="minorHAnsi" w:cstheme="minorHAnsi"/>
                <w:bCs/>
              </w:rPr>
              <w:t>10</w:t>
            </w:r>
          </w:p>
        </w:tc>
        <w:tc>
          <w:tcPr>
            <w:tcW w:w="1530"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741C58AF" w14:textId="13CFD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A74D9">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7E831513" w14:textId="26894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A74D9">
              <w:rPr>
                <w:rFonts w:asciiTheme="minorHAnsi" w:hAnsiTheme="minorHAnsi" w:cstheme="minorHAnsi"/>
                <w:bCs/>
              </w:rPr>
              <w:t>1</w:t>
            </w:r>
          </w:p>
        </w:tc>
        <w:tc>
          <w:tcPr>
            <w:tcW w:w="900"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05CC8280" w14:textId="1B669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A74D9">
              <w:rPr>
                <w:rFonts w:asciiTheme="minorHAnsi" w:hAnsiTheme="minorHAnsi" w:cstheme="minorHAnsi"/>
                <w:bCs/>
              </w:rPr>
              <w:t>10</w:t>
            </w:r>
          </w:p>
        </w:tc>
        <w:tc>
          <w:tcPr>
            <w:tcW w:w="810"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397C8EB3" w14:textId="53A2D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$77.51</w:t>
            </w:r>
          </w:p>
        </w:tc>
        <w:tc>
          <w:tcPr>
            <w:tcW w:w="1260"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7A7B36BA" w14:textId="7C77C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$775.1</w:t>
            </w:r>
            <w:r w:rsidR="00EF1F63">
              <w:rPr>
                <w:rFonts w:asciiTheme="minorHAnsi" w:hAnsiTheme="minorHAnsi" w:cstheme="minorHAnsi"/>
                <w:bCs/>
              </w:rPr>
              <w:t>0</w:t>
            </w:r>
          </w:p>
        </w:tc>
      </w:tr>
      <w:tr w:rsidRPr="009139B3" w:rsidR="00242214" w:rsidTr="00BD7901" w14:paraId="547A7440" w14:textId="77777777">
        <w:tc>
          <w:tcPr>
            <w:tcW w:w="2407"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6A5BF4BF" w14:textId="51D98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A74D9">
              <w:rPr>
                <w:rFonts w:asciiTheme="minorHAnsi" w:hAnsiTheme="minorHAnsi" w:cstheme="minorHAnsi"/>
                <w:bCs/>
              </w:rPr>
              <w:t>Program Administrator Focus Gr</w:t>
            </w:r>
            <w:r>
              <w:rPr>
                <w:rFonts w:asciiTheme="minorHAnsi" w:hAnsiTheme="minorHAnsi" w:cstheme="minorHAnsi"/>
                <w:bCs/>
              </w:rPr>
              <w:t>oups</w:t>
            </w:r>
          </w:p>
        </w:tc>
        <w:tc>
          <w:tcPr>
            <w:tcW w:w="1350"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64C93966" w14:textId="4D35F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p>
        </w:tc>
        <w:tc>
          <w:tcPr>
            <w:tcW w:w="1530"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16ABDB1E" w14:textId="2ACFA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5A01D84D" w14:textId="569AD5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13D3E9FA" w14:textId="1D7A2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810"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4AA0E085" w14:textId="6086F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$44.50</w:t>
            </w:r>
          </w:p>
        </w:tc>
        <w:tc>
          <w:tcPr>
            <w:tcW w:w="1260" w:type="dxa"/>
            <w:tcBorders>
              <w:top w:val="single" w:color="auto" w:sz="4" w:space="0"/>
              <w:left w:val="single" w:color="auto" w:sz="4" w:space="0"/>
              <w:bottom w:val="single" w:color="auto" w:sz="4" w:space="0"/>
              <w:right w:val="single" w:color="auto" w:sz="4" w:space="0"/>
            </w:tcBorders>
            <w:vAlign w:val="center"/>
          </w:tcPr>
          <w:p w:rsidRPr="00CA74D9" w:rsidR="00242214" w:rsidP="00042714" w:rsidRDefault="00242214" w14:paraId="18D23CFD" w14:textId="2ED1DC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$667.50</w:t>
            </w:r>
          </w:p>
        </w:tc>
      </w:tr>
      <w:tr w:rsidRPr="009139B3" w:rsidR="00242214" w:rsidTr="00BD7901" w14:paraId="718F3303" w14:textId="77777777">
        <w:tc>
          <w:tcPr>
            <w:tcW w:w="2407" w:type="dxa"/>
            <w:tcBorders>
              <w:top w:val="single" w:color="auto" w:sz="4" w:space="0"/>
              <w:left w:val="single" w:color="auto" w:sz="4" w:space="0"/>
              <w:bottom w:val="single" w:color="auto" w:sz="4" w:space="0"/>
              <w:right w:val="single" w:color="auto" w:sz="4" w:space="0"/>
            </w:tcBorders>
            <w:hideMark/>
          </w:tcPr>
          <w:p w:rsidRPr="009139B3" w:rsidR="00242214" w:rsidP="00BD4146" w:rsidRDefault="00242214"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242214" w:rsidP="00BD4146" w:rsidRDefault="00242214" w14:paraId="26866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530" w:type="dxa"/>
            <w:tcBorders>
              <w:top w:val="single" w:color="auto" w:sz="4" w:space="0"/>
              <w:left w:val="single" w:color="auto" w:sz="4" w:space="0"/>
              <w:bottom w:val="single" w:color="auto" w:sz="4" w:space="0"/>
              <w:right w:val="single" w:color="auto" w:sz="4" w:space="0"/>
            </w:tcBorders>
            <w:vAlign w:val="center"/>
          </w:tcPr>
          <w:p w:rsidRPr="009139B3" w:rsidR="00242214" w:rsidP="00BD4146" w:rsidRDefault="00242214" w14:paraId="0CDF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9139B3" w:rsidR="00242214" w:rsidP="00BD4146" w:rsidRDefault="00242214"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tcPr>
          <w:p w:rsidRPr="009139B3" w:rsidR="00242214" w:rsidP="00BD4146" w:rsidRDefault="00BD7901" w14:paraId="343D9ABE" w14:textId="21039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146</w:t>
            </w:r>
          </w:p>
        </w:tc>
        <w:tc>
          <w:tcPr>
            <w:tcW w:w="810" w:type="dxa"/>
            <w:tcBorders>
              <w:top w:val="single" w:color="auto" w:sz="4" w:space="0"/>
              <w:left w:val="single" w:color="auto" w:sz="4" w:space="0"/>
              <w:bottom w:val="single" w:color="auto" w:sz="4" w:space="0"/>
              <w:right w:val="single" w:color="auto" w:sz="4" w:space="0"/>
            </w:tcBorders>
            <w:vAlign w:val="center"/>
            <w:hideMark/>
          </w:tcPr>
          <w:p w:rsidRPr="009139B3" w:rsidR="00242214" w:rsidP="00BD4146" w:rsidRDefault="00242214" w14:paraId="00D13F6F" w14:textId="14DAA7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242214" w:rsidP="00BD4146" w:rsidRDefault="00242214" w14:paraId="767B4190" w14:textId="1ABFF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5,</w:t>
            </w:r>
            <w:r w:rsidR="00EF1F63">
              <w:rPr>
                <w:rFonts w:asciiTheme="minorHAnsi" w:hAnsiTheme="minorHAnsi" w:cstheme="minorHAnsi"/>
                <w:bCs/>
              </w:rPr>
              <w:t>442.94</w:t>
            </w:r>
          </w:p>
        </w:tc>
      </w:tr>
    </w:tbl>
    <w:p w:rsidRPr="009139B3" w:rsidR="001D1C73" w:rsidP="001D1C73" w:rsidRDefault="001D1C73" w14:paraId="1DA4EFA8"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1D1C73" w:rsidP="001D1C73" w:rsidRDefault="00CA74D9" w14:paraId="37B3A42A" w14:textId="17E0D442">
      <w:pPr>
        <w:autoSpaceDE w:val="0"/>
        <w:autoSpaceDN w:val="0"/>
        <w:adjustRightInd w:val="0"/>
        <w:spacing w:after="0" w:line="240" w:lineRule="auto"/>
        <w:rPr>
          <w:rFonts w:cstheme="minorHAnsi"/>
        </w:rPr>
      </w:pPr>
      <w:r>
        <w:rPr>
          <w:rFonts w:cstheme="minorHAnsi"/>
        </w:rPr>
        <w:t xml:space="preserve">There are no additional costs to respondents. </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242214" w:rsidRDefault="001D1C73" w14:paraId="35E516D7" w14:textId="4AA0934B">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tbl>
      <w:tblPr>
        <w:tblW w:w="0" w:type="auto"/>
        <w:tblCellMar>
          <w:left w:w="0" w:type="dxa"/>
          <w:right w:w="0" w:type="dxa"/>
        </w:tblCellMar>
        <w:tblLook w:val="04A0" w:firstRow="1" w:lastRow="0" w:firstColumn="1" w:lastColumn="0" w:noHBand="0" w:noVBand="1"/>
      </w:tblPr>
      <w:tblGrid>
        <w:gridCol w:w="2510"/>
        <w:gridCol w:w="4590"/>
        <w:gridCol w:w="1710"/>
      </w:tblGrid>
      <w:tr w:rsidRPr="009139B3" w:rsidR="001D1C73" w:rsidTr="00BD4146" w14:paraId="6C6F85A7" w14:textId="77777777">
        <w:tc>
          <w:tcPr>
            <w:tcW w:w="251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BD4146" w:rsidRDefault="001D1C73" w14:paraId="203C71D4" w14:textId="77777777">
            <w:pPr>
              <w:spacing w:after="0"/>
              <w:rPr>
                <w:b/>
                <w:sz w:val="20"/>
              </w:rPr>
            </w:pPr>
            <w:r w:rsidRPr="009139B3">
              <w:rPr>
                <w:b/>
                <w:sz w:val="20"/>
              </w:rPr>
              <w:t>Activity</w:t>
            </w:r>
          </w:p>
        </w:tc>
        <w:tc>
          <w:tcPr>
            <w:tcW w:w="459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BD4146" w:rsidRDefault="001D1C73" w14:paraId="49E796B9" w14:textId="77777777">
            <w:pPr>
              <w:spacing w:after="0"/>
              <w:rPr>
                <w:rFonts w:ascii="Calibri" w:hAnsi="Calibri" w:cs="Calibri"/>
                <w:b/>
                <w:sz w:val="20"/>
              </w:rPr>
            </w:pPr>
            <w:r w:rsidRPr="009139B3">
              <w:rPr>
                <w:b/>
                <w:sz w:val="20"/>
              </w:rPr>
              <w:t>Detail</w:t>
            </w:r>
          </w:p>
        </w:tc>
        <w:tc>
          <w:tcPr>
            <w:tcW w:w="1710" w:type="dxa"/>
            <w:tcBorders>
              <w:top w:val="single" w:color="auto" w:sz="8" w:space="0"/>
              <w:left w:val="nil"/>
              <w:bottom w:val="single" w:color="auto" w:sz="8" w:space="0"/>
              <w:right w:val="single" w:color="auto" w:sz="8" w:space="0"/>
            </w:tcBorders>
            <w:shd w:val="clear" w:color="auto" w:fill="BFBFBF"/>
            <w:hideMark/>
          </w:tcPr>
          <w:p w:rsidRPr="009139B3" w:rsidR="001D1C73" w:rsidP="00BD4146" w:rsidRDefault="001D1C73" w14:paraId="548E26B3" w14:textId="77777777">
            <w:pPr>
              <w:spacing w:after="0"/>
              <w:rPr>
                <w:b/>
                <w:sz w:val="20"/>
              </w:rPr>
            </w:pPr>
            <w:r w:rsidRPr="009139B3">
              <w:rPr>
                <w:b/>
                <w:sz w:val="20"/>
              </w:rPr>
              <w:t>Estimated Cost</w:t>
            </w:r>
          </w:p>
        </w:tc>
      </w:tr>
      <w:tr w:rsidRPr="009139B3" w:rsidR="001D1C73" w:rsidTr="00BD4146" w14:paraId="6F4D8174" w14:textId="77777777">
        <w:tc>
          <w:tcPr>
            <w:tcW w:w="2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BD4146" w:rsidRDefault="00BB4491" w14:paraId="338CE8DC" w14:textId="7E354ADA">
            <w:pPr>
              <w:spacing w:after="0"/>
              <w:rPr>
                <w:sz w:val="20"/>
              </w:rPr>
            </w:pPr>
            <w:r>
              <w:rPr>
                <w:sz w:val="20"/>
              </w:rPr>
              <w:t xml:space="preserve">Data Collection </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9139B3" w:rsidR="001D1C73" w:rsidP="00BD4146" w:rsidRDefault="00944DAE" w14:paraId="3FCDFF76" w14:textId="5D8594D1">
            <w:pPr>
              <w:pStyle w:val="ListParagraph"/>
              <w:numPr>
                <w:ilvl w:val="0"/>
                <w:numId w:val="22"/>
              </w:numPr>
              <w:spacing w:after="0" w:line="240" w:lineRule="auto"/>
              <w:ind w:left="256" w:hanging="180"/>
              <w:contextualSpacing w:val="0"/>
              <w:rPr>
                <w:sz w:val="20"/>
              </w:rPr>
            </w:pPr>
            <w:r>
              <w:rPr>
                <w:sz w:val="20"/>
              </w:rPr>
              <w:t>1,723</w:t>
            </w:r>
            <w:r w:rsidR="00DE3548">
              <w:rPr>
                <w:sz w:val="20"/>
              </w:rPr>
              <w:t xml:space="preserve"> hours</w:t>
            </w:r>
          </w:p>
          <w:p w:rsidRPr="009139B3" w:rsidR="001D1C73" w:rsidP="00BD4146" w:rsidRDefault="00DE3548" w14:paraId="5CCE2CE7" w14:textId="7E34D947">
            <w:pPr>
              <w:pStyle w:val="ListParagraph"/>
              <w:numPr>
                <w:ilvl w:val="0"/>
                <w:numId w:val="22"/>
              </w:numPr>
              <w:spacing w:after="0" w:line="240" w:lineRule="auto"/>
              <w:ind w:left="256" w:hanging="180"/>
              <w:contextualSpacing w:val="0"/>
              <w:rPr>
                <w:sz w:val="20"/>
              </w:rPr>
            </w:pPr>
            <w:r>
              <w:rPr>
                <w:sz w:val="20"/>
              </w:rPr>
              <w:t>$480 for incentives for participant interviews</w:t>
            </w:r>
          </w:p>
          <w:p w:rsidRPr="009139B3" w:rsidR="001D1C73" w:rsidP="00BD4146" w:rsidRDefault="00DE3548" w14:paraId="6C9D8E5B" w14:textId="5FFF661E">
            <w:pPr>
              <w:pStyle w:val="ListParagraph"/>
              <w:numPr>
                <w:ilvl w:val="0"/>
                <w:numId w:val="22"/>
              </w:numPr>
              <w:spacing w:after="0" w:line="240" w:lineRule="auto"/>
              <w:ind w:left="256" w:hanging="180"/>
              <w:contextualSpacing w:val="0"/>
              <w:rPr>
                <w:sz w:val="20"/>
              </w:rPr>
            </w:pPr>
            <w:r>
              <w:rPr>
                <w:sz w:val="20"/>
              </w:rPr>
              <w:t>Includes prorated project management costs</w:t>
            </w:r>
          </w:p>
        </w:tc>
        <w:tc>
          <w:tcPr>
            <w:tcW w:w="1710" w:type="dxa"/>
            <w:tcBorders>
              <w:top w:val="nil"/>
              <w:left w:val="nil"/>
              <w:bottom w:val="single" w:color="auto" w:sz="8" w:space="0"/>
              <w:right w:val="single" w:color="auto" w:sz="8" w:space="0"/>
            </w:tcBorders>
            <w:vAlign w:val="center"/>
            <w:hideMark/>
          </w:tcPr>
          <w:p w:rsidRPr="009139B3" w:rsidR="001D1C73" w:rsidP="00BD4146" w:rsidRDefault="001D1C73" w14:paraId="736B1D3C" w14:textId="68AAFE00">
            <w:pPr>
              <w:spacing w:after="0"/>
              <w:jc w:val="center"/>
              <w:rPr>
                <w:sz w:val="20"/>
              </w:rPr>
            </w:pPr>
            <w:r w:rsidRPr="009139B3">
              <w:rPr>
                <w:sz w:val="20"/>
              </w:rPr>
              <w:t>$</w:t>
            </w:r>
            <w:r w:rsidR="00944DAE">
              <w:rPr>
                <w:sz w:val="20"/>
              </w:rPr>
              <w:t>209,714</w:t>
            </w:r>
          </w:p>
        </w:tc>
      </w:tr>
      <w:tr w:rsidRPr="009139B3" w:rsidR="001D1C73" w:rsidTr="00BD4146" w14:paraId="661CC617" w14:textId="77777777">
        <w:tc>
          <w:tcPr>
            <w:tcW w:w="2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BD4146" w:rsidRDefault="00DE3548" w14:paraId="0B6C2652" w14:textId="6C325400">
            <w:pPr>
              <w:spacing w:after="0"/>
              <w:rPr>
                <w:sz w:val="20"/>
              </w:rPr>
            </w:pPr>
            <w:r>
              <w:rPr>
                <w:sz w:val="20"/>
              </w:rPr>
              <w:t>Analysis</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9139B3" w:rsidR="001D1C73" w:rsidP="00BD4146" w:rsidRDefault="00DE3548" w14:paraId="4F06CFE9" w14:textId="24123687">
            <w:pPr>
              <w:pStyle w:val="ListParagraph"/>
              <w:numPr>
                <w:ilvl w:val="0"/>
                <w:numId w:val="22"/>
              </w:numPr>
              <w:spacing w:after="0" w:line="240" w:lineRule="auto"/>
              <w:ind w:left="256" w:hanging="180"/>
              <w:contextualSpacing w:val="0"/>
              <w:rPr>
                <w:sz w:val="20"/>
              </w:rPr>
            </w:pPr>
            <w:r>
              <w:rPr>
                <w:sz w:val="20"/>
              </w:rPr>
              <w:t>1,159 hours</w:t>
            </w:r>
          </w:p>
          <w:p w:rsidRPr="009139B3" w:rsidR="001D1C73" w:rsidP="00BD4146" w:rsidRDefault="00DE3548" w14:paraId="1704FE7D" w14:textId="41F1B4EA">
            <w:pPr>
              <w:pStyle w:val="ListParagraph"/>
              <w:numPr>
                <w:ilvl w:val="0"/>
                <w:numId w:val="22"/>
              </w:numPr>
              <w:spacing w:after="0" w:line="240" w:lineRule="auto"/>
              <w:ind w:left="256" w:hanging="180"/>
              <w:contextualSpacing w:val="0"/>
              <w:rPr>
                <w:sz w:val="20"/>
              </w:rPr>
            </w:pPr>
            <w:r>
              <w:rPr>
                <w:sz w:val="20"/>
              </w:rPr>
              <w:t>Includes prorated project management costs</w:t>
            </w:r>
          </w:p>
        </w:tc>
        <w:tc>
          <w:tcPr>
            <w:tcW w:w="1710" w:type="dxa"/>
            <w:tcBorders>
              <w:top w:val="nil"/>
              <w:left w:val="nil"/>
              <w:bottom w:val="single" w:color="auto" w:sz="8" w:space="0"/>
              <w:right w:val="single" w:color="auto" w:sz="8" w:space="0"/>
            </w:tcBorders>
            <w:vAlign w:val="center"/>
            <w:hideMark/>
          </w:tcPr>
          <w:p w:rsidRPr="009139B3" w:rsidR="001D1C73" w:rsidP="00BD4146" w:rsidRDefault="001D1C73" w14:paraId="35A3C080" w14:textId="468D058E">
            <w:pPr>
              <w:spacing w:after="0"/>
              <w:jc w:val="center"/>
              <w:rPr>
                <w:sz w:val="20"/>
              </w:rPr>
            </w:pPr>
            <w:r w:rsidRPr="009139B3">
              <w:rPr>
                <w:sz w:val="20"/>
              </w:rPr>
              <w:t>$</w:t>
            </w:r>
            <w:r w:rsidR="00DE3548">
              <w:rPr>
                <w:sz w:val="20"/>
              </w:rPr>
              <w:t>142,391</w:t>
            </w:r>
          </w:p>
        </w:tc>
      </w:tr>
      <w:tr w:rsidRPr="009139B3" w:rsidR="001D1C73" w:rsidTr="00BD4146" w14:paraId="0AEC8C9C" w14:textId="77777777">
        <w:tc>
          <w:tcPr>
            <w:tcW w:w="251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BD4146" w:rsidRDefault="00DE3548" w14:paraId="78E84727" w14:textId="2E6BADC1">
            <w:pPr>
              <w:spacing w:after="0"/>
              <w:rPr>
                <w:sz w:val="20"/>
              </w:rPr>
            </w:pPr>
            <w:r>
              <w:rPr>
                <w:sz w:val="20"/>
              </w:rPr>
              <w:t>Publications/Dissemination</w:t>
            </w:r>
          </w:p>
        </w:tc>
        <w:tc>
          <w:tcPr>
            <w:tcW w:w="4590" w:type="dxa"/>
            <w:tcBorders>
              <w:top w:val="nil"/>
              <w:left w:val="nil"/>
              <w:bottom w:val="single" w:color="auto" w:sz="4" w:space="0"/>
              <w:right w:val="single" w:color="auto" w:sz="8" w:space="0"/>
            </w:tcBorders>
            <w:tcMar>
              <w:top w:w="0" w:type="dxa"/>
              <w:left w:w="108" w:type="dxa"/>
              <w:bottom w:w="0" w:type="dxa"/>
              <w:right w:w="108" w:type="dxa"/>
            </w:tcMar>
            <w:hideMark/>
          </w:tcPr>
          <w:p w:rsidRPr="009139B3" w:rsidR="001D1C73" w:rsidP="00BD4146" w:rsidRDefault="00DE3548" w14:paraId="01FEAB77" w14:textId="1AFA5E73">
            <w:pPr>
              <w:pStyle w:val="ListParagraph"/>
              <w:numPr>
                <w:ilvl w:val="0"/>
                <w:numId w:val="22"/>
              </w:numPr>
              <w:spacing w:after="0" w:line="240" w:lineRule="auto"/>
              <w:ind w:left="256" w:hanging="180"/>
              <w:contextualSpacing w:val="0"/>
              <w:rPr>
                <w:sz w:val="20"/>
              </w:rPr>
            </w:pPr>
            <w:r>
              <w:rPr>
                <w:sz w:val="20"/>
              </w:rPr>
              <w:t>2,159 hours</w:t>
            </w:r>
          </w:p>
          <w:p w:rsidRPr="009139B3" w:rsidR="001D1C73" w:rsidP="00BD4146" w:rsidRDefault="00DE3548" w14:paraId="29F88188" w14:textId="3BD43F47">
            <w:pPr>
              <w:pStyle w:val="ListParagraph"/>
              <w:numPr>
                <w:ilvl w:val="0"/>
                <w:numId w:val="22"/>
              </w:numPr>
              <w:spacing w:after="0" w:line="240" w:lineRule="auto"/>
              <w:ind w:left="256" w:hanging="180"/>
              <w:contextualSpacing w:val="0"/>
              <w:rPr>
                <w:sz w:val="20"/>
              </w:rPr>
            </w:pPr>
            <w:r>
              <w:rPr>
                <w:sz w:val="20"/>
              </w:rPr>
              <w:t>Includes prorated project management costs</w:t>
            </w:r>
          </w:p>
        </w:tc>
        <w:tc>
          <w:tcPr>
            <w:tcW w:w="1710" w:type="dxa"/>
            <w:tcBorders>
              <w:top w:val="nil"/>
              <w:left w:val="nil"/>
              <w:bottom w:val="single" w:color="auto" w:sz="4" w:space="0"/>
              <w:right w:val="single" w:color="auto" w:sz="8" w:space="0"/>
            </w:tcBorders>
            <w:vAlign w:val="center"/>
            <w:hideMark/>
          </w:tcPr>
          <w:p w:rsidRPr="009139B3" w:rsidR="001D1C73" w:rsidP="00BD4146" w:rsidRDefault="001D1C73" w14:paraId="3D8DFB40" w14:textId="359977EA">
            <w:pPr>
              <w:spacing w:after="0"/>
              <w:jc w:val="center"/>
              <w:rPr>
                <w:sz w:val="20"/>
              </w:rPr>
            </w:pPr>
            <w:r w:rsidRPr="009139B3">
              <w:rPr>
                <w:sz w:val="20"/>
              </w:rPr>
              <w:t>$</w:t>
            </w:r>
            <w:r w:rsidR="00DE3548">
              <w:rPr>
                <w:sz w:val="20"/>
              </w:rPr>
              <w:t>322,468</w:t>
            </w:r>
          </w:p>
        </w:tc>
      </w:tr>
      <w:tr w:rsidRPr="009139B3" w:rsidR="00DE3548" w:rsidTr="00BD4146" w14:paraId="3F59835F" w14:textId="77777777">
        <w:tc>
          <w:tcPr>
            <w:tcW w:w="251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9139B3" w:rsidR="00DE3548" w:rsidP="00BD4146" w:rsidRDefault="00DE3548" w14:paraId="3FFDB398" w14:textId="61BCE552">
            <w:pPr>
              <w:spacing w:after="0"/>
              <w:rPr>
                <w:sz w:val="20"/>
              </w:rPr>
            </w:pPr>
            <w:r>
              <w:rPr>
                <w:sz w:val="20"/>
              </w:rPr>
              <w:t>Data Security</w:t>
            </w:r>
          </w:p>
        </w:tc>
        <w:tc>
          <w:tcPr>
            <w:tcW w:w="4590" w:type="dxa"/>
            <w:tcBorders>
              <w:top w:val="nil"/>
              <w:left w:val="nil"/>
              <w:bottom w:val="single" w:color="auto" w:sz="4" w:space="0"/>
              <w:right w:val="single" w:color="auto" w:sz="8" w:space="0"/>
            </w:tcBorders>
            <w:tcMar>
              <w:top w:w="0" w:type="dxa"/>
              <w:left w:w="108" w:type="dxa"/>
              <w:bottom w:w="0" w:type="dxa"/>
              <w:right w:w="108" w:type="dxa"/>
            </w:tcMar>
          </w:tcPr>
          <w:p w:rsidR="00DE3548" w:rsidP="00BD4146" w:rsidRDefault="00DE3548" w14:paraId="2F3F6709" w14:textId="6A20193D">
            <w:pPr>
              <w:pStyle w:val="ListParagraph"/>
              <w:numPr>
                <w:ilvl w:val="0"/>
                <w:numId w:val="22"/>
              </w:numPr>
              <w:spacing w:after="0" w:line="240" w:lineRule="auto"/>
              <w:ind w:left="256" w:hanging="180"/>
              <w:contextualSpacing w:val="0"/>
              <w:rPr>
                <w:sz w:val="20"/>
              </w:rPr>
            </w:pPr>
            <w:r>
              <w:rPr>
                <w:sz w:val="20"/>
              </w:rPr>
              <w:t>98 hours</w:t>
            </w:r>
          </w:p>
          <w:p w:rsidRPr="009139B3" w:rsidR="00DE3548" w:rsidP="00BD4146" w:rsidRDefault="00DE3548" w14:paraId="02DFA584" w14:textId="09638EE1">
            <w:pPr>
              <w:pStyle w:val="ListParagraph"/>
              <w:numPr>
                <w:ilvl w:val="0"/>
                <w:numId w:val="22"/>
              </w:numPr>
              <w:spacing w:after="0" w:line="240" w:lineRule="auto"/>
              <w:ind w:left="256" w:hanging="180"/>
              <w:contextualSpacing w:val="0"/>
              <w:rPr>
                <w:sz w:val="20"/>
              </w:rPr>
            </w:pPr>
            <w:r>
              <w:rPr>
                <w:sz w:val="20"/>
              </w:rPr>
              <w:t>Includes prorated project management costs</w:t>
            </w:r>
          </w:p>
        </w:tc>
        <w:tc>
          <w:tcPr>
            <w:tcW w:w="1710" w:type="dxa"/>
            <w:tcBorders>
              <w:top w:val="nil"/>
              <w:left w:val="nil"/>
              <w:bottom w:val="single" w:color="auto" w:sz="4" w:space="0"/>
              <w:right w:val="single" w:color="auto" w:sz="8" w:space="0"/>
            </w:tcBorders>
            <w:vAlign w:val="center"/>
          </w:tcPr>
          <w:p w:rsidRPr="009139B3" w:rsidR="00DE3548" w:rsidP="00BD4146" w:rsidRDefault="00DE3548" w14:paraId="58DD5D84" w14:textId="459B4E0C">
            <w:pPr>
              <w:spacing w:after="0"/>
              <w:jc w:val="center"/>
              <w:rPr>
                <w:sz w:val="20"/>
              </w:rPr>
            </w:pPr>
            <w:r>
              <w:rPr>
                <w:sz w:val="20"/>
              </w:rPr>
              <w:t>$13,296</w:t>
            </w:r>
          </w:p>
        </w:tc>
      </w:tr>
      <w:tr w:rsidRPr="009139B3" w:rsidR="001D1C73" w:rsidTr="00BD4146" w14:paraId="1751DF55" w14:textId="77777777">
        <w:tc>
          <w:tcPr>
            <w:tcW w:w="71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BD4146" w:rsidRDefault="001D1C73" w14:paraId="2FDB05A7" w14:textId="77777777">
            <w:pPr>
              <w:spacing w:after="0"/>
              <w:jc w:val="right"/>
              <w:rPr>
                <w:b/>
                <w:sz w:val="20"/>
              </w:rPr>
            </w:pPr>
            <w:r w:rsidRPr="009139B3">
              <w:rPr>
                <w:b/>
                <w:color w:val="000000"/>
                <w:sz w:val="20"/>
              </w:rPr>
              <w:t>Total costs over the request period</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9139B3" w:rsidR="001D1C73" w:rsidP="00BD4146" w:rsidRDefault="001D1C73" w14:paraId="0074AE5D" w14:textId="02DF2B4F">
            <w:pPr>
              <w:spacing w:after="0"/>
              <w:jc w:val="center"/>
              <w:rPr>
                <w:sz w:val="20"/>
              </w:rPr>
            </w:pPr>
            <w:r w:rsidRPr="009139B3">
              <w:rPr>
                <w:sz w:val="20"/>
              </w:rPr>
              <w:t>$</w:t>
            </w:r>
            <w:r w:rsidR="0021017A">
              <w:rPr>
                <w:sz w:val="20"/>
              </w:rPr>
              <w:t>688,901</w:t>
            </w:r>
          </w:p>
        </w:tc>
      </w:tr>
    </w:tbl>
    <w:p w:rsidRPr="009139B3" w:rsidR="001D1C73" w:rsidP="001D1C73" w:rsidRDefault="001D1C73" w14:paraId="628BD691" w14:textId="77777777">
      <w:pPr>
        <w:spacing w:after="0"/>
        <w:rPr>
          <w:rFonts w:ascii="Calibri" w:hAnsi="Calibri" w:eastAsia="Calibri" w:cs="Calibri"/>
          <w:color w:val="1F497D"/>
        </w:rPr>
      </w:pPr>
    </w:p>
    <w:p w:rsidRPr="009139B3" w:rsidR="001D1C73" w:rsidP="001D1C73" w:rsidRDefault="001D1C73" w14:paraId="29B359B6"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1D1C73" w:rsidRDefault="000D14BD" w14:paraId="766F8004" w14:textId="7F157AB5">
      <w:pPr>
        <w:spacing w:after="0" w:line="240" w:lineRule="auto"/>
        <w:rPr>
          <w:rFonts w:cstheme="minorHAnsi"/>
        </w:rPr>
      </w:pPr>
      <w:r>
        <w:rPr>
          <w:rFonts w:cstheme="minorHAnsi"/>
        </w:rPr>
        <w:t xml:space="preserve">This is a new information collection request. </w:t>
      </w:r>
    </w:p>
    <w:p w:rsidRPr="009139B3" w:rsidR="001D1C73" w:rsidP="001D1C73" w:rsidRDefault="001D1C73" w14:paraId="2E8F0BA5" w14:textId="77777777">
      <w:pPr>
        <w:spacing w:after="0" w:line="240" w:lineRule="auto"/>
        <w:rPr>
          <w:rFonts w:cstheme="minorHAnsi"/>
        </w:rPr>
      </w:pPr>
    </w:p>
    <w:p w:rsidRPr="009139B3" w:rsidR="001D1C73" w:rsidP="001D1C73" w:rsidRDefault="001D1C73" w14:paraId="40BE8BE3" w14:textId="77777777">
      <w:pPr>
        <w:spacing w:after="0" w:line="240" w:lineRule="auto"/>
        <w:rPr>
          <w:rFonts w:cstheme="minorHAnsi"/>
        </w:rPr>
      </w:pPr>
    </w:p>
    <w:p w:rsidR="001D1C73" w:rsidP="001D1C73" w:rsidRDefault="001D1C73" w14:paraId="69096039" w14:textId="04E34314">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B25F24" w:rsidP="001D1C73" w:rsidRDefault="00B25F24" w14:paraId="3808A3D8" w14:textId="59B98CF6">
      <w:pPr>
        <w:spacing w:after="120" w:line="240" w:lineRule="auto"/>
        <w:rPr>
          <w:rFonts w:cstheme="minorHAnsi"/>
          <w:bCs/>
        </w:rPr>
      </w:pPr>
      <w:r>
        <w:rPr>
          <w:bCs/>
        </w:rPr>
        <w:t xml:space="preserve">Table </w:t>
      </w:r>
      <w:r w:rsidR="009912D5">
        <w:rPr>
          <w:bCs/>
        </w:rPr>
        <w:t>4</w:t>
      </w:r>
      <w:r>
        <w:rPr>
          <w:bCs/>
        </w:rPr>
        <w:t xml:space="preserve"> </w:t>
      </w:r>
      <w:r w:rsidR="00865A9E">
        <w:rPr>
          <w:bCs/>
        </w:rPr>
        <w:t xml:space="preserve">below outlines a schedule for data collection, analysis, and reporting. </w:t>
      </w:r>
    </w:p>
    <w:p w:rsidRPr="009912D5" w:rsidR="00B25F24" w:rsidP="00EB0DE3" w:rsidRDefault="00B25F24" w14:paraId="12C612A4" w14:textId="2EAF68F9">
      <w:pPr>
        <w:pStyle w:val="TableText"/>
        <w:framePr w:wrap="around"/>
        <w:rPr>
          <w:b/>
          <w:bCs/>
        </w:rPr>
      </w:pPr>
      <w:r w:rsidRPr="009912D5">
        <w:rPr>
          <w:b/>
          <w:bCs/>
        </w:rPr>
        <w:t xml:space="preserve">Table </w:t>
      </w:r>
      <w:r w:rsidR="009912D5">
        <w:rPr>
          <w:b/>
          <w:bCs/>
        </w:rPr>
        <w:t>4</w:t>
      </w:r>
      <w:r w:rsidRPr="009912D5">
        <w:rPr>
          <w:b/>
          <w:bCs/>
        </w:rPr>
        <w:t>: Data Collection Timeline</w:t>
      </w:r>
    </w:p>
    <w:tbl>
      <w:tblPr>
        <w:tblStyle w:val="TableGrid"/>
        <w:tblW w:w="0" w:type="auto"/>
        <w:tblInd w:w="0" w:type="dxa"/>
        <w:tblLook w:val="04A0" w:firstRow="1" w:lastRow="0" w:firstColumn="1" w:lastColumn="0" w:noHBand="0" w:noVBand="1"/>
      </w:tblPr>
      <w:tblGrid>
        <w:gridCol w:w="4675"/>
        <w:gridCol w:w="4675"/>
      </w:tblGrid>
      <w:tr w:rsidR="00865A9E" w:rsidTr="00865A9E" w14:paraId="38DA3926" w14:textId="77777777">
        <w:tc>
          <w:tcPr>
            <w:tcW w:w="4675" w:type="dxa"/>
          </w:tcPr>
          <w:p w:rsidRPr="00865A9E" w:rsidR="00865A9E" w:rsidP="001D1C73" w:rsidRDefault="00865A9E" w14:paraId="40D3DA29" w14:textId="00EC36FE">
            <w:pPr>
              <w:rPr>
                <w:rFonts w:asciiTheme="minorHAnsi" w:hAnsiTheme="minorHAnsi" w:cstheme="minorHAnsi"/>
                <w:b/>
                <w:bCs/>
              </w:rPr>
            </w:pPr>
            <w:r w:rsidRPr="00865A9E">
              <w:rPr>
                <w:rFonts w:asciiTheme="minorHAnsi" w:hAnsiTheme="minorHAnsi" w:cstheme="minorHAnsi"/>
                <w:b/>
                <w:bCs/>
              </w:rPr>
              <w:t>Task</w:t>
            </w:r>
          </w:p>
        </w:tc>
        <w:tc>
          <w:tcPr>
            <w:tcW w:w="4675" w:type="dxa"/>
          </w:tcPr>
          <w:p w:rsidRPr="00865A9E" w:rsidR="00865A9E" w:rsidP="001D1C73" w:rsidRDefault="00865A9E" w14:paraId="1A653CCD" w14:textId="4EF8960F">
            <w:pPr>
              <w:rPr>
                <w:rFonts w:asciiTheme="minorHAnsi" w:hAnsiTheme="minorHAnsi" w:cstheme="minorHAnsi"/>
                <w:b/>
                <w:bCs/>
              </w:rPr>
            </w:pPr>
            <w:r w:rsidRPr="00865A9E">
              <w:rPr>
                <w:rFonts w:asciiTheme="minorHAnsi" w:hAnsiTheme="minorHAnsi" w:cstheme="minorHAnsi"/>
                <w:b/>
                <w:bCs/>
              </w:rPr>
              <w:t xml:space="preserve">Timeframe </w:t>
            </w:r>
          </w:p>
        </w:tc>
      </w:tr>
      <w:tr w:rsidR="00865A9E" w:rsidTr="00865A9E" w14:paraId="391CD74C" w14:textId="77777777">
        <w:tc>
          <w:tcPr>
            <w:tcW w:w="4675" w:type="dxa"/>
          </w:tcPr>
          <w:p w:rsidRPr="00A64638" w:rsidR="00865A9E" w:rsidP="001D1C73" w:rsidRDefault="00865A9E" w14:paraId="47AFB30F" w14:textId="4CC44928">
            <w:pPr>
              <w:rPr>
                <w:rFonts w:asciiTheme="minorHAnsi" w:hAnsiTheme="minorHAnsi" w:cstheme="minorHAnsi"/>
              </w:rPr>
            </w:pPr>
            <w:r w:rsidRPr="00A64638">
              <w:rPr>
                <w:rFonts w:asciiTheme="minorHAnsi" w:hAnsiTheme="minorHAnsi" w:cstheme="minorHAnsi"/>
              </w:rPr>
              <w:t xml:space="preserve">Web survey </w:t>
            </w:r>
          </w:p>
        </w:tc>
        <w:tc>
          <w:tcPr>
            <w:tcW w:w="4675" w:type="dxa"/>
          </w:tcPr>
          <w:p w:rsidRPr="00A64638" w:rsidR="00865A9E" w:rsidP="001D1C73" w:rsidRDefault="00865A9E" w14:paraId="3A7517BF" w14:textId="1CBB0D43">
            <w:pPr>
              <w:rPr>
                <w:rFonts w:asciiTheme="minorHAnsi" w:hAnsiTheme="minorHAnsi" w:cstheme="minorHAnsi"/>
              </w:rPr>
            </w:pPr>
            <w:r w:rsidRPr="00A64638">
              <w:rPr>
                <w:rFonts w:asciiTheme="minorHAnsi" w:hAnsiTheme="minorHAnsi" w:cstheme="minorHAnsi"/>
              </w:rPr>
              <w:t>1-4 months after OMB approval</w:t>
            </w:r>
          </w:p>
        </w:tc>
      </w:tr>
      <w:tr w:rsidR="00865A9E" w:rsidTr="00865A9E" w14:paraId="2491890C" w14:textId="77777777">
        <w:tc>
          <w:tcPr>
            <w:tcW w:w="4675" w:type="dxa"/>
          </w:tcPr>
          <w:p w:rsidRPr="00A64638" w:rsidR="00865A9E" w:rsidP="001D1C73" w:rsidRDefault="00865A9E" w14:paraId="227C6171" w14:textId="1AAFFBAA">
            <w:pPr>
              <w:rPr>
                <w:rFonts w:asciiTheme="minorHAnsi" w:hAnsiTheme="minorHAnsi" w:cstheme="minorHAnsi"/>
              </w:rPr>
            </w:pPr>
            <w:r w:rsidRPr="00A64638">
              <w:rPr>
                <w:rFonts w:asciiTheme="minorHAnsi" w:hAnsiTheme="minorHAnsi" w:cstheme="minorHAnsi"/>
              </w:rPr>
              <w:t>Phone interviews</w:t>
            </w:r>
          </w:p>
        </w:tc>
        <w:tc>
          <w:tcPr>
            <w:tcW w:w="4675" w:type="dxa"/>
          </w:tcPr>
          <w:p w:rsidRPr="00A64638" w:rsidR="00865A9E" w:rsidP="001D1C73" w:rsidRDefault="00865A9E" w14:paraId="18B2F5EF" w14:textId="0FD827C7">
            <w:pPr>
              <w:rPr>
                <w:rFonts w:asciiTheme="minorHAnsi" w:hAnsiTheme="minorHAnsi" w:cstheme="minorHAnsi"/>
              </w:rPr>
            </w:pPr>
            <w:r w:rsidRPr="00A64638">
              <w:rPr>
                <w:rFonts w:asciiTheme="minorHAnsi" w:hAnsiTheme="minorHAnsi" w:cstheme="minorHAnsi"/>
              </w:rPr>
              <w:t>3-6 months after OMB approval</w:t>
            </w:r>
          </w:p>
        </w:tc>
      </w:tr>
      <w:tr w:rsidR="00865A9E" w:rsidTr="00865A9E" w14:paraId="5C87A851" w14:textId="77777777">
        <w:tc>
          <w:tcPr>
            <w:tcW w:w="4675" w:type="dxa"/>
          </w:tcPr>
          <w:p w:rsidRPr="00A64638" w:rsidR="00865A9E" w:rsidP="001D1C73" w:rsidRDefault="00865A9E" w14:paraId="7E43662D" w14:textId="64D3A776">
            <w:pPr>
              <w:rPr>
                <w:rFonts w:asciiTheme="minorHAnsi" w:hAnsiTheme="minorHAnsi" w:cstheme="minorHAnsi"/>
              </w:rPr>
            </w:pPr>
            <w:r w:rsidRPr="00A64638">
              <w:rPr>
                <w:rFonts w:asciiTheme="minorHAnsi" w:hAnsiTheme="minorHAnsi" w:cstheme="minorHAnsi"/>
              </w:rPr>
              <w:t>Site visits, participant interviews, and employer interviews</w:t>
            </w:r>
          </w:p>
        </w:tc>
        <w:tc>
          <w:tcPr>
            <w:tcW w:w="4675" w:type="dxa"/>
          </w:tcPr>
          <w:p w:rsidRPr="00A64638" w:rsidR="00865A9E" w:rsidP="001D1C73" w:rsidRDefault="00865A9E" w14:paraId="7AB3BDDC" w14:textId="53BA2E9E">
            <w:pPr>
              <w:rPr>
                <w:rFonts w:asciiTheme="minorHAnsi" w:hAnsiTheme="minorHAnsi" w:cstheme="minorHAnsi"/>
              </w:rPr>
            </w:pPr>
            <w:r w:rsidRPr="00A64638">
              <w:rPr>
                <w:rFonts w:asciiTheme="minorHAnsi" w:hAnsiTheme="minorHAnsi" w:cstheme="minorHAnsi"/>
              </w:rPr>
              <w:t>5-7 months after OMB approval</w:t>
            </w:r>
          </w:p>
        </w:tc>
      </w:tr>
      <w:tr w:rsidR="00865A9E" w:rsidTr="00865A9E" w14:paraId="56AA982E" w14:textId="77777777">
        <w:tc>
          <w:tcPr>
            <w:tcW w:w="4675" w:type="dxa"/>
          </w:tcPr>
          <w:p w:rsidRPr="00A64638" w:rsidR="00865A9E" w:rsidP="001D1C73" w:rsidRDefault="00865A9E" w14:paraId="62664B4E" w14:textId="0CF5BFD8">
            <w:pPr>
              <w:rPr>
                <w:rFonts w:asciiTheme="minorHAnsi" w:hAnsiTheme="minorHAnsi" w:cstheme="minorHAnsi"/>
              </w:rPr>
            </w:pPr>
            <w:r w:rsidRPr="00A64638">
              <w:rPr>
                <w:rFonts w:asciiTheme="minorHAnsi" w:hAnsiTheme="minorHAnsi" w:cstheme="minorHAnsi"/>
              </w:rPr>
              <w:t>Program administrator focus groups</w:t>
            </w:r>
          </w:p>
        </w:tc>
        <w:tc>
          <w:tcPr>
            <w:tcW w:w="4675" w:type="dxa"/>
          </w:tcPr>
          <w:p w:rsidRPr="00A64638" w:rsidR="00865A9E" w:rsidP="001D1C73" w:rsidRDefault="00A64638" w14:paraId="0963D9E3" w14:textId="37F1D486">
            <w:pPr>
              <w:rPr>
                <w:rFonts w:asciiTheme="minorHAnsi" w:hAnsiTheme="minorHAnsi" w:cstheme="minorHAnsi"/>
              </w:rPr>
            </w:pPr>
            <w:r w:rsidRPr="00A64638">
              <w:rPr>
                <w:rFonts w:asciiTheme="minorHAnsi" w:hAnsiTheme="minorHAnsi" w:cstheme="minorHAnsi"/>
              </w:rPr>
              <w:t>8-10 months after OMB approval</w:t>
            </w:r>
          </w:p>
        </w:tc>
      </w:tr>
      <w:tr w:rsidR="00865A9E" w:rsidTr="00865A9E" w14:paraId="12F8DE96" w14:textId="77777777">
        <w:tc>
          <w:tcPr>
            <w:tcW w:w="4675" w:type="dxa"/>
          </w:tcPr>
          <w:p w:rsidRPr="00865A9E" w:rsidR="00865A9E" w:rsidP="001D1C73" w:rsidRDefault="00A64638" w14:paraId="5B510DF5" w14:textId="6F7F53D7">
            <w:pPr>
              <w:rPr>
                <w:rFonts w:asciiTheme="minorHAnsi" w:hAnsiTheme="minorHAnsi" w:cstheme="minorHAnsi"/>
              </w:rPr>
            </w:pPr>
            <w:r>
              <w:rPr>
                <w:rFonts w:asciiTheme="minorHAnsi" w:hAnsiTheme="minorHAnsi" w:cstheme="minorHAnsi"/>
              </w:rPr>
              <w:t>Data analysis</w:t>
            </w:r>
          </w:p>
        </w:tc>
        <w:tc>
          <w:tcPr>
            <w:tcW w:w="4675" w:type="dxa"/>
          </w:tcPr>
          <w:p w:rsidRPr="00865A9E" w:rsidR="00865A9E" w:rsidP="001D1C73" w:rsidRDefault="00A64638" w14:paraId="4F91445F" w14:textId="59370754">
            <w:pPr>
              <w:rPr>
                <w:rFonts w:asciiTheme="minorHAnsi" w:hAnsiTheme="minorHAnsi" w:cstheme="minorHAnsi"/>
              </w:rPr>
            </w:pPr>
            <w:r>
              <w:rPr>
                <w:rFonts w:asciiTheme="minorHAnsi" w:hAnsiTheme="minorHAnsi" w:cstheme="minorHAnsi"/>
              </w:rPr>
              <w:t>1-12 months after OMB approval</w:t>
            </w:r>
          </w:p>
        </w:tc>
      </w:tr>
      <w:tr w:rsidR="00865A9E" w:rsidTr="00865A9E" w14:paraId="0DCA162F" w14:textId="77777777">
        <w:tc>
          <w:tcPr>
            <w:tcW w:w="4675" w:type="dxa"/>
          </w:tcPr>
          <w:p w:rsidRPr="00865A9E" w:rsidR="00865A9E" w:rsidP="001D1C73" w:rsidRDefault="00A64638" w14:paraId="707FCD72" w14:textId="3E24F7AF">
            <w:pPr>
              <w:rPr>
                <w:rFonts w:asciiTheme="minorHAnsi" w:hAnsiTheme="minorHAnsi" w:cstheme="minorHAnsi"/>
              </w:rPr>
            </w:pPr>
            <w:r>
              <w:rPr>
                <w:rFonts w:asciiTheme="minorHAnsi" w:hAnsiTheme="minorHAnsi" w:cstheme="minorHAnsi"/>
              </w:rPr>
              <w:t>Completion of final report</w:t>
            </w:r>
          </w:p>
        </w:tc>
        <w:tc>
          <w:tcPr>
            <w:tcW w:w="4675" w:type="dxa"/>
          </w:tcPr>
          <w:p w:rsidRPr="00865A9E" w:rsidR="00865A9E" w:rsidP="001D1C73" w:rsidRDefault="00A64638" w14:paraId="71F98E04" w14:textId="4298AEDF">
            <w:pPr>
              <w:rPr>
                <w:rFonts w:asciiTheme="minorHAnsi" w:hAnsiTheme="minorHAnsi" w:cstheme="minorHAnsi"/>
              </w:rPr>
            </w:pPr>
            <w:r>
              <w:rPr>
                <w:rFonts w:asciiTheme="minorHAnsi" w:hAnsiTheme="minorHAnsi" w:cstheme="minorHAnsi"/>
              </w:rPr>
              <w:t>17 months after OMB approval</w:t>
            </w:r>
          </w:p>
        </w:tc>
      </w:tr>
      <w:tr w:rsidR="00865A9E" w:rsidTr="00865A9E" w14:paraId="44BF4ED5" w14:textId="77777777">
        <w:tc>
          <w:tcPr>
            <w:tcW w:w="4675" w:type="dxa"/>
          </w:tcPr>
          <w:p w:rsidRPr="00865A9E" w:rsidR="00865A9E" w:rsidP="001D1C73" w:rsidRDefault="00A64638" w14:paraId="1CC1BDC0" w14:textId="0A7DAB81">
            <w:pPr>
              <w:rPr>
                <w:rFonts w:asciiTheme="minorHAnsi" w:hAnsiTheme="minorHAnsi" w:cstheme="minorHAnsi"/>
              </w:rPr>
            </w:pPr>
            <w:r>
              <w:rPr>
                <w:rFonts w:asciiTheme="minorHAnsi" w:hAnsiTheme="minorHAnsi" w:cstheme="minorHAnsi"/>
              </w:rPr>
              <w:t>Completion of project briefs</w:t>
            </w:r>
          </w:p>
        </w:tc>
        <w:tc>
          <w:tcPr>
            <w:tcW w:w="4675" w:type="dxa"/>
          </w:tcPr>
          <w:p w:rsidRPr="00865A9E" w:rsidR="00865A9E" w:rsidP="001D1C73" w:rsidRDefault="00A64638" w14:paraId="4F993CD3" w14:textId="4CDF3B01">
            <w:pPr>
              <w:rPr>
                <w:rFonts w:asciiTheme="minorHAnsi" w:hAnsiTheme="minorHAnsi" w:cstheme="minorHAnsi"/>
              </w:rPr>
            </w:pPr>
            <w:r>
              <w:rPr>
                <w:rFonts w:asciiTheme="minorHAnsi" w:hAnsiTheme="minorHAnsi" w:cstheme="minorHAnsi"/>
              </w:rPr>
              <w:t>17 months after OMB approval</w:t>
            </w:r>
          </w:p>
        </w:tc>
      </w:tr>
    </w:tbl>
    <w:p w:rsidRPr="009139B3" w:rsidR="001D1C73" w:rsidP="009912D5" w:rsidRDefault="009912D5" w14:paraId="27BD65F7" w14:textId="1A5AF6A5">
      <w:pPr>
        <w:tabs>
          <w:tab w:val="left" w:pos="990"/>
        </w:tabs>
        <w:spacing w:after="0" w:line="240" w:lineRule="auto"/>
        <w:rPr>
          <w:rFonts w:cstheme="minorHAnsi"/>
        </w:rPr>
      </w:pPr>
      <w:r>
        <w:rPr>
          <w:rFonts w:cstheme="minorHAnsi"/>
        </w:rPr>
        <w:tab/>
      </w:r>
    </w:p>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6B3BCAE2" w14:textId="53954087">
      <w:pPr>
        <w:spacing w:after="0"/>
      </w:pPr>
      <w:r w:rsidRPr="009139B3">
        <w:t>No exceptions are necessary for this information collection.</w:t>
      </w:r>
    </w:p>
    <w:p w:rsidRPr="009139B3" w:rsidR="001D1C73" w:rsidP="001D1C73" w:rsidRDefault="001D1C73" w14:paraId="6FE33ECD" w14:textId="77777777">
      <w:pPr>
        <w:spacing w:after="0"/>
      </w:pPr>
      <w:r w:rsidRPr="009139B3">
        <w:tab/>
      </w:r>
    </w:p>
    <w:p w:rsidR="001D1C73" w:rsidP="001D1C73" w:rsidRDefault="001D1C73" w14:paraId="7BED44AA" w14:textId="419EBEA4">
      <w:pPr>
        <w:spacing w:after="120" w:line="240" w:lineRule="auto"/>
        <w:rPr>
          <w:b/>
        </w:rPr>
      </w:pPr>
      <w:r w:rsidRPr="009139B3">
        <w:rPr>
          <w:b/>
        </w:rPr>
        <w:t>Attachments</w:t>
      </w:r>
    </w:p>
    <w:p w:rsidR="00083227" w:rsidP="00BD7901" w:rsidRDefault="00D61707" w14:paraId="1E574BF6" w14:textId="0907E71D">
      <w:pPr>
        <w:spacing w:after="60"/>
      </w:pPr>
      <w:r>
        <w:t xml:space="preserve">Instrument 1. </w:t>
      </w:r>
      <w:r w:rsidRPr="00D05944" w:rsidR="00EB0DE3">
        <w:rPr>
          <w:rStyle w:val="normaltextrun"/>
          <w:rFonts w:cstheme="minorHAnsi"/>
          <w:color w:val="000000"/>
          <w:shd w:val="clear" w:color="auto" w:fill="FFFFFF"/>
        </w:rPr>
        <w:t>Survey of E&amp;T Programs</w:t>
      </w:r>
      <w:r w:rsidRPr="00D05944" w:rsidR="00EB0DE3">
        <w:rPr>
          <w:rStyle w:val="eop"/>
          <w:rFonts w:cstheme="minorHAnsi"/>
          <w:color w:val="000000"/>
          <w:shd w:val="clear" w:color="auto" w:fill="FFFFFF"/>
        </w:rPr>
        <w:t> </w:t>
      </w:r>
      <w:r w:rsidR="00EB0DE3">
        <w:rPr>
          <w:rStyle w:val="eop"/>
          <w:rFonts w:cstheme="minorHAnsi"/>
          <w:color w:val="000000"/>
          <w:shd w:val="clear" w:color="auto" w:fill="FFFFFF"/>
        </w:rPr>
        <w:t>Integrating Financial Capability</w:t>
      </w:r>
    </w:p>
    <w:p w:rsidR="00D61707" w:rsidP="00BD7901" w:rsidRDefault="00D61707" w14:paraId="4CD9201F" w14:textId="52760CA2">
      <w:pPr>
        <w:spacing w:after="60"/>
      </w:pPr>
      <w:r>
        <w:t xml:space="preserve">Instrument 2. Phone Interview Protocol </w:t>
      </w:r>
    </w:p>
    <w:p w:rsidR="00D61707" w:rsidP="00BD7901" w:rsidRDefault="00D61707" w14:paraId="3858DB28" w14:textId="15CF91E6">
      <w:pPr>
        <w:spacing w:after="60"/>
      </w:pPr>
      <w:r>
        <w:t>Instrument 3. Virtual Site Visit Interview Protocol</w:t>
      </w:r>
    </w:p>
    <w:p w:rsidR="00D61707" w:rsidP="00BD7901" w:rsidRDefault="00D61707" w14:paraId="571CDF5F" w14:textId="5BF1FA74">
      <w:pPr>
        <w:spacing w:after="60"/>
      </w:pPr>
      <w:r>
        <w:t xml:space="preserve">Instrument 4. Participant Interview Protocol </w:t>
      </w:r>
    </w:p>
    <w:p w:rsidR="00D61707" w:rsidP="00BD7901" w:rsidRDefault="00D61707" w14:paraId="6D2227AD" w14:textId="2D0E42A8">
      <w:pPr>
        <w:spacing w:after="60"/>
      </w:pPr>
      <w:r>
        <w:t xml:space="preserve">Instrument 5. Employer Interview Protocol </w:t>
      </w:r>
    </w:p>
    <w:p w:rsidR="00D61707" w:rsidP="00BD7901" w:rsidRDefault="00D61707" w14:paraId="17200272" w14:textId="75FED496">
      <w:pPr>
        <w:spacing w:after="60"/>
      </w:pPr>
      <w:r>
        <w:t xml:space="preserve">Instrument 6. Program Administrator Focus Group Protocol </w:t>
      </w:r>
    </w:p>
    <w:p w:rsidR="00D61707" w:rsidP="00BD7901" w:rsidRDefault="00D61707" w14:paraId="4C2E7C85" w14:textId="6CC09C72">
      <w:pPr>
        <w:spacing w:after="60"/>
      </w:pPr>
      <w:r>
        <w:t>Appendix A. Survey Outreach and Reminder Emails</w:t>
      </w:r>
    </w:p>
    <w:p w:rsidR="00D61707" w:rsidP="00BD7901" w:rsidRDefault="00D61707" w14:paraId="46149546" w14:textId="42FF84CF">
      <w:pPr>
        <w:spacing w:after="60"/>
      </w:pPr>
      <w:r>
        <w:t xml:space="preserve">Appendix B. Phone Interview Outreach Email </w:t>
      </w:r>
    </w:p>
    <w:p w:rsidR="00D61707" w:rsidP="00BD7901" w:rsidRDefault="00D61707" w14:paraId="5F96D92E" w14:textId="2922E475">
      <w:pPr>
        <w:spacing w:after="60"/>
      </w:pPr>
      <w:r>
        <w:t xml:space="preserve">Appendix C. Virtual Site Visit Outreach Email </w:t>
      </w:r>
    </w:p>
    <w:p w:rsidR="00D61707" w:rsidP="00BD7901" w:rsidRDefault="00D61707" w14:paraId="396C61C4" w14:textId="12165E28">
      <w:pPr>
        <w:spacing w:after="60"/>
      </w:pPr>
      <w:r>
        <w:t xml:space="preserve">Appendix </w:t>
      </w:r>
      <w:r w:rsidR="00B5236A">
        <w:t>D</w:t>
      </w:r>
      <w:r>
        <w:t xml:space="preserve">. Employer Interview Outreach Email </w:t>
      </w:r>
    </w:p>
    <w:p w:rsidR="00083227" w:rsidP="00BD7901" w:rsidRDefault="00D61707" w14:paraId="3F700DAA" w14:textId="12C0594E">
      <w:pPr>
        <w:spacing w:after="60"/>
      </w:pPr>
      <w:r>
        <w:t xml:space="preserve">Appendix </w:t>
      </w:r>
      <w:r w:rsidR="00B5236A">
        <w:t>E</w:t>
      </w:r>
      <w:r>
        <w:t xml:space="preserve">. Program Administrator Focus Group Outreach Email </w:t>
      </w:r>
    </w:p>
    <w:p w:rsidRPr="006B53F1" w:rsidR="009912D5" w:rsidP="00BD7901" w:rsidRDefault="009912D5" w14:paraId="6AC6E434" w14:textId="326C6122">
      <w:pPr>
        <w:spacing w:after="60"/>
      </w:pPr>
      <w:r>
        <w:t xml:space="preserve">Appendix </w:t>
      </w:r>
      <w:r w:rsidR="00B5236A">
        <w:t>F</w:t>
      </w:r>
      <w:r>
        <w:t>: Institutional Review Board Approval</w:t>
      </w:r>
    </w:p>
    <w:sectPr w:rsidRPr="006B53F1" w:rsidR="009912D5"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06756" w14:textId="77777777" w:rsidR="004B4A12" w:rsidRDefault="004B4A12" w:rsidP="0004063C">
      <w:pPr>
        <w:spacing w:after="0" w:line="240" w:lineRule="auto"/>
      </w:pPr>
      <w:r>
        <w:separator/>
      </w:r>
    </w:p>
  </w:endnote>
  <w:endnote w:type="continuationSeparator" w:id="0">
    <w:p w14:paraId="5B7C03F5" w14:textId="77777777" w:rsidR="004B4A12" w:rsidRDefault="004B4A12" w:rsidP="0004063C">
      <w:pPr>
        <w:spacing w:after="0" w:line="240" w:lineRule="auto"/>
      </w:pPr>
      <w:r>
        <w:continuationSeparator/>
      </w:r>
    </w:p>
  </w:endnote>
  <w:endnote w:type="continuationNotice" w:id="1">
    <w:p w14:paraId="764F24B5" w14:textId="77777777" w:rsidR="004B4A12" w:rsidRDefault="004B4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ato">
    <w:altName w:val="Segoe UI"/>
    <w:charset w:val="00"/>
    <w:family w:val="swiss"/>
    <w:pitch w:val="variable"/>
    <w:sig w:usb0="E10002FF" w:usb1="5000EC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Lato Regular">
    <w:altName w:val="Calibri"/>
    <w:charset w:val="00"/>
    <w:family w:val="auto"/>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35C9BB79" w:rsidR="004B4A12" w:rsidRDefault="004B4A12">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04723F22" w14:textId="77777777" w:rsidR="004B4A12" w:rsidRDefault="004B4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6C9B7" w14:textId="77777777" w:rsidR="004B4A12" w:rsidRDefault="004B4A12" w:rsidP="0004063C">
      <w:pPr>
        <w:spacing w:after="0" w:line="240" w:lineRule="auto"/>
      </w:pPr>
      <w:r>
        <w:separator/>
      </w:r>
    </w:p>
  </w:footnote>
  <w:footnote w:type="continuationSeparator" w:id="0">
    <w:p w14:paraId="59FFBE02" w14:textId="77777777" w:rsidR="004B4A12" w:rsidRDefault="004B4A12" w:rsidP="0004063C">
      <w:pPr>
        <w:spacing w:after="0" w:line="240" w:lineRule="auto"/>
      </w:pPr>
      <w:r>
        <w:continuationSeparator/>
      </w:r>
    </w:p>
  </w:footnote>
  <w:footnote w:type="continuationNotice" w:id="1">
    <w:p w14:paraId="1FAAB0D0" w14:textId="77777777" w:rsidR="004B4A12" w:rsidRDefault="004B4A12">
      <w:pPr>
        <w:spacing w:after="0" w:line="240" w:lineRule="auto"/>
      </w:pPr>
    </w:p>
  </w:footnote>
  <w:footnote w:id="2">
    <w:p w14:paraId="50BB9BCE" w14:textId="210FD71A" w:rsidR="004B4A12" w:rsidRDefault="004B4A12">
      <w:pPr>
        <w:pStyle w:val="FootnoteText"/>
      </w:pPr>
      <w:r>
        <w:rPr>
          <w:rStyle w:val="FootnoteReference"/>
        </w:rPr>
        <w:footnoteRef/>
      </w:r>
      <w:r>
        <w:t xml:space="preserve"> </w:t>
      </w:r>
      <w:r w:rsidRPr="002B74B6">
        <w:t xml:space="preserve">Treskon, Mark, William J. Congdon, Kassandra Martinchek, and Alexander Carther (2021). </w:t>
      </w:r>
      <w:r w:rsidRPr="002B74B6">
        <w:rPr>
          <w:i/>
          <w:iCs/>
        </w:rPr>
        <w:t>Integrating Financial Capability into Employment Services: Literature Synthesis</w:t>
      </w:r>
      <w:r w:rsidRPr="002B74B6">
        <w:t>, OPRE Report #2021-04, Washington, DC: Office of Planning, Research, and Evaluation, Administration for Children and Families, U.S. Department of Health and Human Services.</w:t>
      </w:r>
    </w:p>
  </w:footnote>
  <w:footnote w:id="3">
    <w:p w14:paraId="5AD6D327" w14:textId="77777777" w:rsidR="004B4A12" w:rsidRDefault="004B4A12" w:rsidP="00763BA2">
      <w:pPr>
        <w:pStyle w:val="FootnoteText"/>
        <w:rPr>
          <w:rFonts w:ascii="Times New Roman" w:hAnsi="Times New Roman"/>
        </w:rPr>
      </w:pPr>
      <w:r>
        <w:rPr>
          <w:rStyle w:val="FootnoteReference"/>
        </w:rPr>
        <w:footnoteRef/>
      </w:r>
      <w:r>
        <w:t xml:space="preserve"> Singer, Eleanor and Richard A. Kulka. (2002). “Paying Respondents for Survey Participation.” </w:t>
      </w:r>
      <w:r>
        <w:rPr>
          <w:i/>
        </w:rPr>
        <w:t>Studies of Welfare Populations: Data collection and Research Issues. Panel on Data and Methods for Measuring the Effects of Changes in Social Welfare Programs</w:t>
      </w:r>
      <w:r>
        <w:t>, edited by Michele Ver Ploeg, Robert A. Moffitt, and Constance F. Citro. Committee on National Statistics, Division of Behavioral and Social Sciences and Education. Washington, DC: National Academy Press.</w:t>
      </w:r>
    </w:p>
  </w:footnote>
  <w:footnote w:id="4">
    <w:p w14:paraId="7E6F551B" w14:textId="77777777" w:rsidR="004B4A12" w:rsidRDefault="004B4A12" w:rsidP="00763BA2">
      <w:pPr>
        <w:pStyle w:val="FootnoteText"/>
      </w:pPr>
      <w:r>
        <w:rPr>
          <w:rStyle w:val="FootnoteReference"/>
        </w:rPr>
        <w:footnoteRef/>
      </w:r>
      <w:r>
        <w:t xml:space="preserve"> Singer, Eleanor, John Van Hoewyk, and Mary P. Maher. (2000). Experiments with incentives in telephone surveys. </w:t>
      </w:r>
      <w:r>
        <w:rPr>
          <w:i/>
        </w:rPr>
        <w:t>Public Opinion Quarterly</w:t>
      </w:r>
      <w:r>
        <w:t>, 64:2, 171-188</w:t>
      </w:r>
    </w:p>
  </w:footnote>
  <w:footnote w:id="5">
    <w:p w14:paraId="1020FA20" w14:textId="463FFDFA" w:rsidR="004B4A12" w:rsidRDefault="004B4A12" w:rsidP="00763BA2">
      <w:pPr>
        <w:pStyle w:val="FootnoteText"/>
      </w:pPr>
      <w:r>
        <w:rPr>
          <w:rStyle w:val="FootnoteReference"/>
        </w:rPr>
        <w:footnoteRef/>
      </w:r>
      <w:r>
        <w:t xml:space="preserve"> </w:t>
      </w:r>
      <w:r w:rsidR="00153B69">
        <w:t xml:space="preserve">= Bridget, Kelly, Marjorie Margolis, Lauren McCormack, Patricia LeBaron, and Dhuly Chowdhury. (2017). What Affects People’s Willingness to Participate in Qualitative Research? An Experimental Comparison of Five Incentives. </w:t>
      </w:r>
      <w:r>
        <w:t xml:space="preserve"> </w:t>
      </w:r>
      <w:r w:rsidR="00153B69">
        <w:rPr>
          <w:i/>
          <w:iCs/>
        </w:rPr>
        <w:t xml:space="preserve">Field Methods, </w:t>
      </w:r>
      <w:r w:rsidR="00153B69">
        <w:t>29:4, 333-350</w:t>
      </w:r>
      <w:r w:rsidR="00CE1982">
        <w:t>.</w:t>
      </w:r>
    </w:p>
  </w:footnote>
  <w:footnote w:id="6">
    <w:p w14:paraId="440255E6" w14:textId="77777777" w:rsidR="004B4A12" w:rsidRPr="00D82755" w:rsidRDefault="004B4A12"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7">
    <w:p w14:paraId="7C6BEE77" w14:textId="197FDD3A" w:rsidR="004B4A12" w:rsidRDefault="004B4A12">
      <w:pPr>
        <w:pStyle w:val="FootnoteText"/>
      </w:pPr>
      <w:r>
        <w:rPr>
          <w:rStyle w:val="FootnoteReference"/>
        </w:rPr>
        <w:footnoteRef/>
      </w:r>
      <w:r>
        <w:t xml:space="preserve"> </w:t>
      </w:r>
      <w:r w:rsidRPr="000D14BD">
        <w:t>https://www.bls.gov/oes/current/oes_nat.htm#11-0000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4B4A12" w:rsidRPr="000D7D44" w:rsidRDefault="004B4A12"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4B4A12" w:rsidRPr="001D1C73" w:rsidRDefault="004B4A12"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B368A"/>
    <w:multiLevelType w:val="multilevel"/>
    <w:tmpl w:val="3A22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214FE"/>
    <w:multiLevelType w:val="hybridMultilevel"/>
    <w:tmpl w:val="2FA0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1160E"/>
    <w:multiLevelType w:val="multilevel"/>
    <w:tmpl w:val="C8866BFA"/>
    <w:lvl w:ilvl="0">
      <w:start w:val="1"/>
      <w:numFmt w:val="decimal"/>
      <w:lvlText w:val="%1."/>
      <w:lvlJc w:val="left"/>
      <w:pPr>
        <w:tabs>
          <w:tab w:val="num" w:pos="720"/>
        </w:tabs>
        <w:ind w:left="720" w:hanging="360"/>
      </w:pPr>
      <w:rPr>
        <w:rFonts w:ascii="Source Sans Pro" w:eastAsia="Times New Roman" w:hAnsi="Source Sans Pro"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2B1ACE"/>
    <w:multiLevelType w:val="hybridMultilevel"/>
    <w:tmpl w:val="29D8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71A96"/>
    <w:multiLevelType w:val="hybridMultilevel"/>
    <w:tmpl w:val="65142512"/>
    <w:lvl w:ilvl="0" w:tplc="90EE6C72">
      <w:start w:val="1"/>
      <w:numFmt w:val="upperLetter"/>
      <w:lvlText w:val="%1."/>
      <w:lvlJc w:val="left"/>
      <w:pPr>
        <w:ind w:left="720" w:hanging="360"/>
      </w:pPr>
      <w:rPr>
        <w:rFonts w:ascii="Garamond" w:eastAsiaTheme="minorHAnsi" w:hAnsi="Garamond"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2FF4387"/>
    <w:multiLevelType w:val="multilevel"/>
    <w:tmpl w:val="9C1C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D3073"/>
    <w:multiLevelType w:val="hybridMultilevel"/>
    <w:tmpl w:val="C26E6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EF2755"/>
    <w:multiLevelType w:val="hybridMultilevel"/>
    <w:tmpl w:val="6C403720"/>
    <w:lvl w:ilvl="0" w:tplc="F0CC50CE">
      <w:start w:val="3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1"/>
  </w:num>
  <w:num w:numId="3">
    <w:abstractNumId w:val="7"/>
  </w:num>
  <w:num w:numId="4">
    <w:abstractNumId w:val="36"/>
  </w:num>
  <w:num w:numId="5">
    <w:abstractNumId w:val="24"/>
  </w:num>
  <w:num w:numId="6">
    <w:abstractNumId w:val="46"/>
  </w:num>
  <w:num w:numId="7">
    <w:abstractNumId w:val="5"/>
  </w:num>
  <w:num w:numId="8">
    <w:abstractNumId w:val="15"/>
  </w:num>
  <w:num w:numId="9">
    <w:abstractNumId w:val="23"/>
  </w:num>
  <w:num w:numId="10">
    <w:abstractNumId w:val="44"/>
  </w:num>
  <w:num w:numId="11">
    <w:abstractNumId w:val="48"/>
  </w:num>
  <w:num w:numId="12">
    <w:abstractNumId w:val="40"/>
  </w:num>
  <w:num w:numId="13">
    <w:abstractNumId w:val="35"/>
  </w:num>
  <w:num w:numId="14">
    <w:abstractNumId w:val="42"/>
  </w:num>
  <w:num w:numId="15">
    <w:abstractNumId w:val="26"/>
  </w:num>
  <w:num w:numId="16">
    <w:abstractNumId w:val="34"/>
  </w:num>
  <w:num w:numId="17">
    <w:abstractNumId w:val="22"/>
  </w:num>
  <w:num w:numId="18">
    <w:abstractNumId w:val="13"/>
  </w:num>
  <w:num w:numId="19">
    <w:abstractNumId w:val="12"/>
  </w:num>
  <w:num w:numId="20">
    <w:abstractNumId w:val="32"/>
  </w:num>
  <w:num w:numId="21">
    <w:abstractNumId w:val="0"/>
  </w:num>
  <w:num w:numId="22">
    <w:abstractNumId w:val="2"/>
  </w:num>
  <w:num w:numId="23">
    <w:abstractNumId w:val="27"/>
  </w:num>
  <w:num w:numId="24">
    <w:abstractNumId w:val="3"/>
  </w:num>
  <w:num w:numId="25">
    <w:abstractNumId w:val="17"/>
  </w:num>
  <w:num w:numId="26">
    <w:abstractNumId w:val="41"/>
  </w:num>
  <w:num w:numId="27">
    <w:abstractNumId w:val="19"/>
  </w:num>
  <w:num w:numId="28">
    <w:abstractNumId w:val="18"/>
  </w:num>
  <w:num w:numId="29">
    <w:abstractNumId w:val="4"/>
  </w:num>
  <w:num w:numId="30">
    <w:abstractNumId w:val="28"/>
  </w:num>
  <w:num w:numId="31">
    <w:abstractNumId w:val="37"/>
  </w:num>
  <w:num w:numId="32">
    <w:abstractNumId w:val="16"/>
  </w:num>
  <w:num w:numId="33">
    <w:abstractNumId w:val="25"/>
  </w:num>
  <w:num w:numId="34">
    <w:abstractNumId w:val="21"/>
  </w:num>
  <w:num w:numId="35">
    <w:abstractNumId w:val="38"/>
  </w:num>
  <w:num w:numId="36">
    <w:abstractNumId w:val="29"/>
  </w:num>
  <w:num w:numId="37">
    <w:abstractNumId w:val="11"/>
  </w:num>
  <w:num w:numId="38">
    <w:abstractNumId w:val="45"/>
  </w:num>
  <w:num w:numId="39">
    <w:abstractNumId w:val="39"/>
  </w:num>
  <w:num w:numId="40">
    <w:abstractNumId w:val="14"/>
  </w:num>
  <w:num w:numId="41">
    <w:abstractNumId w:val="30"/>
  </w:num>
  <w:num w:numId="42">
    <w:abstractNumId w:val="1"/>
  </w:num>
  <w:num w:numId="43">
    <w:abstractNumId w:val="33"/>
  </w:num>
  <w:num w:numId="44">
    <w:abstractNumId w:val="8"/>
  </w:num>
  <w:num w:numId="45">
    <w:abstractNumId w:val="20"/>
    <w:lvlOverride w:ilvl="0">
      <w:startOverride w:val="1"/>
    </w:lvlOverride>
    <w:lvlOverride w:ilvl="1"/>
    <w:lvlOverride w:ilvl="2"/>
    <w:lvlOverride w:ilvl="3"/>
    <w:lvlOverride w:ilvl="4"/>
    <w:lvlOverride w:ilvl="5"/>
    <w:lvlOverride w:ilvl="6"/>
    <w:lvlOverride w:ilvl="7"/>
    <w:lvlOverride w:ilvl="8"/>
  </w:num>
  <w:num w:numId="46">
    <w:abstractNumId w:val="10"/>
  </w:num>
  <w:num w:numId="47">
    <w:abstractNumId w:val="6"/>
  </w:num>
  <w:num w:numId="48">
    <w:abstractNumId w:val="43"/>
  </w:num>
  <w:num w:numId="49">
    <w:abstractNumId w:val="4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2BB7"/>
    <w:rsid w:val="00027E79"/>
    <w:rsid w:val="00032057"/>
    <w:rsid w:val="0004063C"/>
    <w:rsid w:val="0004247F"/>
    <w:rsid w:val="00042714"/>
    <w:rsid w:val="00062AFB"/>
    <w:rsid w:val="000655DD"/>
    <w:rsid w:val="00065A99"/>
    <w:rsid w:val="00071F79"/>
    <w:rsid w:val="0007251B"/>
    <w:rsid w:val="000733A5"/>
    <w:rsid w:val="00073A35"/>
    <w:rsid w:val="00076B1D"/>
    <w:rsid w:val="00082C5B"/>
    <w:rsid w:val="00083227"/>
    <w:rsid w:val="00085A9F"/>
    <w:rsid w:val="00086CBE"/>
    <w:rsid w:val="00090812"/>
    <w:rsid w:val="000921F0"/>
    <w:rsid w:val="00095074"/>
    <w:rsid w:val="000959E6"/>
    <w:rsid w:val="000A012A"/>
    <w:rsid w:val="000A3C62"/>
    <w:rsid w:val="000A5FA3"/>
    <w:rsid w:val="000B0488"/>
    <w:rsid w:val="000B0779"/>
    <w:rsid w:val="000C043E"/>
    <w:rsid w:val="000C14D2"/>
    <w:rsid w:val="000C3355"/>
    <w:rsid w:val="000D084B"/>
    <w:rsid w:val="000D14BD"/>
    <w:rsid w:val="000D34F2"/>
    <w:rsid w:val="000D4E9A"/>
    <w:rsid w:val="000D639F"/>
    <w:rsid w:val="000D7D44"/>
    <w:rsid w:val="000F1E4A"/>
    <w:rsid w:val="001003EB"/>
    <w:rsid w:val="00100D34"/>
    <w:rsid w:val="00103EFD"/>
    <w:rsid w:val="00107D87"/>
    <w:rsid w:val="0011279D"/>
    <w:rsid w:val="00112C5B"/>
    <w:rsid w:val="001253F4"/>
    <w:rsid w:val="00133804"/>
    <w:rsid w:val="001503CD"/>
    <w:rsid w:val="001520A8"/>
    <w:rsid w:val="00153B69"/>
    <w:rsid w:val="00157482"/>
    <w:rsid w:val="0016367F"/>
    <w:rsid w:val="001707D8"/>
    <w:rsid w:val="0017632B"/>
    <w:rsid w:val="001850C1"/>
    <w:rsid w:val="0019522D"/>
    <w:rsid w:val="001A4F47"/>
    <w:rsid w:val="001B0A76"/>
    <w:rsid w:val="001B33E2"/>
    <w:rsid w:val="001C42AB"/>
    <w:rsid w:val="001D1C73"/>
    <w:rsid w:val="001D7139"/>
    <w:rsid w:val="001F350F"/>
    <w:rsid w:val="001F57F5"/>
    <w:rsid w:val="0020303E"/>
    <w:rsid w:val="0020401C"/>
    <w:rsid w:val="0020629A"/>
    <w:rsid w:val="00206E11"/>
    <w:rsid w:val="00206FE3"/>
    <w:rsid w:val="00207554"/>
    <w:rsid w:val="0021017A"/>
    <w:rsid w:val="00211261"/>
    <w:rsid w:val="00217A31"/>
    <w:rsid w:val="00233F88"/>
    <w:rsid w:val="00242214"/>
    <w:rsid w:val="002517BB"/>
    <w:rsid w:val="00256E24"/>
    <w:rsid w:val="00265491"/>
    <w:rsid w:val="00265A8F"/>
    <w:rsid w:val="00276CE2"/>
    <w:rsid w:val="00287AF1"/>
    <w:rsid w:val="0029424C"/>
    <w:rsid w:val="002A3DCD"/>
    <w:rsid w:val="002A41C6"/>
    <w:rsid w:val="002B116D"/>
    <w:rsid w:val="002B74B6"/>
    <w:rsid w:val="002B785B"/>
    <w:rsid w:val="002C592A"/>
    <w:rsid w:val="002C6D62"/>
    <w:rsid w:val="002D188B"/>
    <w:rsid w:val="002E2A94"/>
    <w:rsid w:val="002E68B1"/>
    <w:rsid w:val="002E6CCF"/>
    <w:rsid w:val="002F31C8"/>
    <w:rsid w:val="002F33D0"/>
    <w:rsid w:val="00300722"/>
    <w:rsid w:val="0030316D"/>
    <w:rsid w:val="00340E0C"/>
    <w:rsid w:val="0034465A"/>
    <w:rsid w:val="00373D2F"/>
    <w:rsid w:val="003879F7"/>
    <w:rsid w:val="003941AE"/>
    <w:rsid w:val="003A06D3"/>
    <w:rsid w:val="003A7774"/>
    <w:rsid w:val="003A7CC8"/>
    <w:rsid w:val="003C150E"/>
    <w:rsid w:val="003C7358"/>
    <w:rsid w:val="003D1A1F"/>
    <w:rsid w:val="003D4E41"/>
    <w:rsid w:val="003E61F6"/>
    <w:rsid w:val="0040291E"/>
    <w:rsid w:val="00407537"/>
    <w:rsid w:val="004165BD"/>
    <w:rsid w:val="0042220D"/>
    <w:rsid w:val="0043377A"/>
    <w:rsid w:val="004348F1"/>
    <w:rsid w:val="004379B6"/>
    <w:rsid w:val="0044428E"/>
    <w:rsid w:val="00446465"/>
    <w:rsid w:val="0045173B"/>
    <w:rsid w:val="00452207"/>
    <w:rsid w:val="00452540"/>
    <w:rsid w:val="00452828"/>
    <w:rsid w:val="004565A2"/>
    <w:rsid w:val="00460569"/>
    <w:rsid w:val="00460D54"/>
    <w:rsid w:val="00461D3E"/>
    <w:rsid w:val="004706CC"/>
    <w:rsid w:val="0047571C"/>
    <w:rsid w:val="00475DE7"/>
    <w:rsid w:val="00481427"/>
    <w:rsid w:val="0048562D"/>
    <w:rsid w:val="004A4619"/>
    <w:rsid w:val="004A51EC"/>
    <w:rsid w:val="004A640D"/>
    <w:rsid w:val="004B4A12"/>
    <w:rsid w:val="004B75AC"/>
    <w:rsid w:val="004C3644"/>
    <w:rsid w:val="004C59CD"/>
    <w:rsid w:val="004D12DD"/>
    <w:rsid w:val="004D7C0C"/>
    <w:rsid w:val="004E0CC8"/>
    <w:rsid w:val="004E5778"/>
    <w:rsid w:val="004E6A9A"/>
    <w:rsid w:val="004E7ED8"/>
    <w:rsid w:val="004F668A"/>
    <w:rsid w:val="0050376D"/>
    <w:rsid w:val="00512C25"/>
    <w:rsid w:val="00525353"/>
    <w:rsid w:val="00525B8D"/>
    <w:rsid w:val="005302CB"/>
    <w:rsid w:val="0055434C"/>
    <w:rsid w:val="005811A7"/>
    <w:rsid w:val="00582ED5"/>
    <w:rsid w:val="00591283"/>
    <w:rsid w:val="00593620"/>
    <w:rsid w:val="005A61CE"/>
    <w:rsid w:val="005A7E5A"/>
    <w:rsid w:val="005B1285"/>
    <w:rsid w:val="005B1410"/>
    <w:rsid w:val="005C4BC9"/>
    <w:rsid w:val="005D02DC"/>
    <w:rsid w:val="005D4A40"/>
    <w:rsid w:val="005E493B"/>
    <w:rsid w:val="005F2951"/>
    <w:rsid w:val="006177AB"/>
    <w:rsid w:val="00624DDC"/>
    <w:rsid w:val="006253B6"/>
    <w:rsid w:val="006257ED"/>
    <w:rsid w:val="0062686E"/>
    <w:rsid w:val="00630B30"/>
    <w:rsid w:val="006336B0"/>
    <w:rsid w:val="00634713"/>
    <w:rsid w:val="00635799"/>
    <w:rsid w:val="00651FF6"/>
    <w:rsid w:val="00660085"/>
    <w:rsid w:val="00664575"/>
    <w:rsid w:val="00670817"/>
    <w:rsid w:val="00671581"/>
    <w:rsid w:val="006773A8"/>
    <w:rsid w:val="0068303E"/>
    <w:rsid w:val="0068383E"/>
    <w:rsid w:val="00697501"/>
    <w:rsid w:val="006A34DC"/>
    <w:rsid w:val="006A4D02"/>
    <w:rsid w:val="006B1BF9"/>
    <w:rsid w:val="006B31DA"/>
    <w:rsid w:val="006B53F1"/>
    <w:rsid w:val="006B6037"/>
    <w:rsid w:val="006C0E56"/>
    <w:rsid w:val="006C5AA0"/>
    <w:rsid w:val="006D7FDF"/>
    <w:rsid w:val="006E30F1"/>
    <w:rsid w:val="006E4F82"/>
    <w:rsid w:val="006E7426"/>
    <w:rsid w:val="006E7B2B"/>
    <w:rsid w:val="0070140F"/>
    <w:rsid w:val="007027B1"/>
    <w:rsid w:val="0071183A"/>
    <w:rsid w:val="00717BDC"/>
    <w:rsid w:val="00723A28"/>
    <w:rsid w:val="00736B62"/>
    <w:rsid w:val="00747290"/>
    <w:rsid w:val="00763BA2"/>
    <w:rsid w:val="00764C85"/>
    <w:rsid w:val="0077286D"/>
    <w:rsid w:val="00773D5C"/>
    <w:rsid w:val="00793E3E"/>
    <w:rsid w:val="00797F75"/>
    <w:rsid w:val="007A0B1E"/>
    <w:rsid w:val="007A29C5"/>
    <w:rsid w:val="007C7B4B"/>
    <w:rsid w:val="007E114B"/>
    <w:rsid w:val="007F0528"/>
    <w:rsid w:val="00823428"/>
    <w:rsid w:val="008369BA"/>
    <w:rsid w:val="00840D32"/>
    <w:rsid w:val="00843933"/>
    <w:rsid w:val="00852033"/>
    <w:rsid w:val="008531A0"/>
    <w:rsid w:val="00860B6D"/>
    <w:rsid w:val="00864C1F"/>
    <w:rsid w:val="00865A9E"/>
    <w:rsid w:val="00870FA1"/>
    <w:rsid w:val="008739C4"/>
    <w:rsid w:val="00875220"/>
    <w:rsid w:val="00891CD9"/>
    <w:rsid w:val="00891D4E"/>
    <w:rsid w:val="00895DB1"/>
    <w:rsid w:val="008A25E9"/>
    <w:rsid w:val="008B33B8"/>
    <w:rsid w:val="008B5864"/>
    <w:rsid w:val="008C5058"/>
    <w:rsid w:val="008C64EF"/>
    <w:rsid w:val="008C660E"/>
    <w:rsid w:val="008E0239"/>
    <w:rsid w:val="008E4718"/>
    <w:rsid w:val="008F2446"/>
    <w:rsid w:val="008F2FD1"/>
    <w:rsid w:val="00901040"/>
    <w:rsid w:val="009139B3"/>
    <w:rsid w:val="00921B36"/>
    <w:rsid w:val="00921BEE"/>
    <w:rsid w:val="00923F25"/>
    <w:rsid w:val="00935A0A"/>
    <w:rsid w:val="009372B9"/>
    <w:rsid w:val="009403FE"/>
    <w:rsid w:val="00941E39"/>
    <w:rsid w:val="00944DAE"/>
    <w:rsid w:val="0095072F"/>
    <w:rsid w:val="009519BC"/>
    <w:rsid w:val="00955DEB"/>
    <w:rsid w:val="00963503"/>
    <w:rsid w:val="00965DBD"/>
    <w:rsid w:val="00971944"/>
    <w:rsid w:val="0098141F"/>
    <w:rsid w:val="009815C6"/>
    <w:rsid w:val="009912D5"/>
    <w:rsid w:val="00996201"/>
    <w:rsid w:val="00997482"/>
    <w:rsid w:val="009A39E1"/>
    <w:rsid w:val="009A3AD8"/>
    <w:rsid w:val="009A6EE8"/>
    <w:rsid w:val="009A7E4B"/>
    <w:rsid w:val="009B0F58"/>
    <w:rsid w:val="009B71D3"/>
    <w:rsid w:val="009C3380"/>
    <w:rsid w:val="009E7E38"/>
    <w:rsid w:val="009F265B"/>
    <w:rsid w:val="009F482C"/>
    <w:rsid w:val="009F68DB"/>
    <w:rsid w:val="00A03E3F"/>
    <w:rsid w:val="00A1108E"/>
    <w:rsid w:val="00A1642A"/>
    <w:rsid w:val="00A27CD0"/>
    <w:rsid w:val="00A30E9A"/>
    <w:rsid w:val="00A34937"/>
    <w:rsid w:val="00A362B6"/>
    <w:rsid w:val="00A4721C"/>
    <w:rsid w:val="00A54F02"/>
    <w:rsid w:val="00A5789D"/>
    <w:rsid w:val="00A61032"/>
    <w:rsid w:val="00A6305C"/>
    <w:rsid w:val="00A64638"/>
    <w:rsid w:val="00A67DFF"/>
    <w:rsid w:val="00A71475"/>
    <w:rsid w:val="00A714DC"/>
    <w:rsid w:val="00A7179C"/>
    <w:rsid w:val="00A761CB"/>
    <w:rsid w:val="00A80C20"/>
    <w:rsid w:val="00A85701"/>
    <w:rsid w:val="00A93035"/>
    <w:rsid w:val="00A96528"/>
    <w:rsid w:val="00AC6377"/>
    <w:rsid w:val="00AD3261"/>
    <w:rsid w:val="00AD4355"/>
    <w:rsid w:val="00AE3F5F"/>
    <w:rsid w:val="00B13DC4"/>
    <w:rsid w:val="00B17B7C"/>
    <w:rsid w:val="00B23277"/>
    <w:rsid w:val="00B245AD"/>
    <w:rsid w:val="00B25F24"/>
    <w:rsid w:val="00B4182B"/>
    <w:rsid w:val="00B44BDB"/>
    <w:rsid w:val="00B5236A"/>
    <w:rsid w:val="00B55E54"/>
    <w:rsid w:val="00B56589"/>
    <w:rsid w:val="00B64D05"/>
    <w:rsid w:val="00B657FD"/>
    <w:rsid w:val="00B70460"/>
    <w:rsid w:val="00B757E3"/>
    <w:rsid w:val="00B9441B"/>
    <w:rsid w:val="00BA5034"/>
    <w:rsid w:val="00BB23C4"/>
    <w:rsid w:val="00BB4491"/>
    <w:rsid w:val="00BB4BF8"/>
    <w:rsid w:val="00BD4146"/>
    <w:rsid w:val="00BD702B"/>
    <w:rsid w:val="00BD7901"/>
    <w:rsid w:val="00BD7B78"/>
    <w:rsid w:val="00BE2E38"/>
    <w:rsid w:val="00BE773B"/>
    <w:rsid w:val="00BF10CB"/>
    <w:rsid w:val="00C017A3"/>
    <w:rsid w:val="00C05352"/>
    <w:rsid w:val="00C152B8"/>
    <w:rsid w:val="00C313F3"/>
    <w:rsid w:val="00C32404"/>
    <w:rsid w:val="00C34CC2"/>
    <w:rsid w:val="00C43B0B"/>
    <w:rsid w:val="00C54A2E"/>
    <w:rsid w:val="00C62A96"/>
    <w:rsid w:val="00C70B44"/>
    <w:rsid w:val="00C73360"/>
    <w:rsid w:val="00C75B64"/>
    <w:rsid w:val="00C772AE"/>
    <w:rsid w:val="00C8111E"/>
    <w:rsid w:val="00C851FF"/>
    <w:rsid w:val="00C86CB2"/>
    <w:rsid w:val="00C91C71"/>
    <w:rsid w:val="00C92C72"/>
    <w:rsid w:val="00C93DF1"/>
    <w:rsid w:val="00C95126"/>
    <w:rsid w:val="00CA0105"/>
    <w:rsid w:val="00CA72A5"/>
    <w:rsid w:val="00CA74D9"/>
    <w:rsid w:val="00CC07BF"/>
    <w:rsid w:val="00CC4651"/>
    <w:rsid w:val="00CC7580"/>
    <w:rsid w:val="00CD66AA"/>
    <w:rsid w:val="00CE018E"/>
    <w:rsid w:val="00CE1982"/>
    <w:rsid w:val="00CE244B"/>
    <w:rsid w:val="00CE7A4A"/>
    <w:rsid w:val="00D05944"/>
    <w:rsid w:val="00D12B25"/>
    <w:rsid w:val="00D1343F"/>
    <w:rsid w:val="00D13AA8"/>
    <w:rsid w:val="00D149E8"/>
    <w:rsid w:val="00D16829"/>
    <w:rsid w:val="00D176C0"/>
    <w:rsid w:val="00D227AF"/>
    <w:rsid w:val="00D239B5"/>
    <w:rsid w:val="00D243C6"/>
    <w:rsid w:val="00D26CA1"/>
    <w:rsid w:val="00D32B72"/>
    <w:rsid w:val="00D35A4B"/>
    <w:rsid w:val="00D4033C"/>
    <w:rsid w:val="00D45504"/>
    <w:rsid w:val="00D5346A"/>
    <w:rsid w:val="00D55767"/>
    <w:rsid w:val="00D61707"/>
    <w:rsid w:val="00D71BA0"/>
    <w:rsid w:val="00D7438A"/>
    <w:rsid w:val="00D749DF"/>
    <w:rsid w:val="00D8045F"/>
    <w:rsid w:val="00D82755"/>
    <w:rsid w:val="00D82E67"/>
    <w:rsid w:val="00D831AC"/>
    <w:rsid w:val="00D9316E"/>
    <w:rsid w:val="00D97926"/>
    <w:rsid w:val="00DA2E68"/>
    <w:rsid w:val="00DA3557"/>
    <w:rsid w:val="00DA4701"/>
    <w:rsid w:val="00DB31C2"/>
    <w:rsid w:val="00DC65F2"/>
    <w:rsid w:val="00DC7876"/>
    <w:rsid w:val="00DC7DD5"/>
    <w:rsid w:val="00DE22AC"/>
    <w:rsid w:val="00DE2508"/>
    <w:rsid w:val="00DE2603"/>
    <w:rsid w:val="00DE3548"/>
    <w:rsid w:val="00DE3ED7"/>
    <w:rsid w:val="00DF1291"/>
    <w:rsid w:val="00DF7428"/>
    <w:rsid w:val="00E0037C"/>
    <w:rsid w:val="00E06D03"/>
    <w:rsid w:val="00E12C56"/>
    <w:rsid w:val="00E1392C"/>
    <w:rsid w:val="00E22AC6"/>
    <w:rsid w:val="00E24830"/>
    <w:rsid w:val="00E318A6"/>
    <w:rsid w:val="00E41C62"/>
    <w:rsid w:val="00E41EE9"/>
    <w:rsid w:val="00E461D4"/>
    <w:rsid w:val="00E62285"/>
    <w:rsid w:val="00E62819"/>
    <w:rsid w:val="00E71E25"/>
    <w:rsid w:val="00E732C4"/>
    <w:rsid w:val="00E77D89"/>
    <w:rsid w:val="00E81FF4"/>
    <w:rsid w:val="00E9045F"/>
    <w:rsid w:val="00E91446"/>
    <w:rsid w:val="00EA0D4F"/>
    <w:rsid w:val="00EA405B"/>
    <w:rsid w:val="00EB0DE3"/>
    <w:rsid w:val="00EB4C26"/>
    <w:rsid w:val="00EB6134"/>
    <w:rsid w:val="00EC1A6C"/>
    <w:rsid w:val="00EC65A2"/>
    <w:rsid w:val="00ED7509"/>
    <w:rsid w:val="00EE0683"/>
    <w:rsid w:val="00EE38AF"/>
    <w:rsid w:val="00EF1F63"/>
    <w:rsid w:val="00EF254B"/>
    <w:rsid w:val="00EF4422"/>
    <w:rsid w:val="00EF4FF2"/>
    <w:rsid w:val="00EF66F7"/>
    <w:rsid w:val="00F05825"/>
    <w:rsid w:val="00F059A9"/>
    <w:rsid w:val="00F071DE"/>
    <w:rsid w:val="00F12B3C"/>
    <w:rsid w:val="00F21C20"/>
    <w:rsid w:val="00F42246"/>
    <w:rsid w:val="00F74630"/>
    <w:rsid w:val="00F82FC3"/>
    <w:rsid w:val="00F9122A"/>
    <w:rsid w:val="00F97544"/>
    <w:rsid w:val="00FA6D2C"/>
    <w:rsid w:val="00FB3BD8"/>
    <w:rsid w:val="00FB5BF6"/>
    <w:rsid w:val="00FB60BC"/>
    <w:rsid w:val="00FC779A"/>
    <w:rsid w:val="00FE0463"/>
    <w:rsid w:val="00FE3D54"/>
    <w:rsid w:val="00FF5C51"/>
    <w:rsid w:val="00FF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8F2F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ALT-F,F1,*Footnote Text,Footnote Text Char Char Char Char,Footnote Text Char Char,Footnote Text ERA,Footnote Text ERA1,Footnote Text ERA2,Footnote Text ERA11,Footnote Text ERA3,Footnote Text ERA12,Footnote Text ERA21,fn"/>
    <w:basedOn w:val="Normal"/>
    <w:link w:val="FootnoteTextChar"/>
    <w:uiPriority w:val="99"/>
    <w:semiHidden/>
    <w:unhideWhenUsed/>
    <w:qFormat/>
    <w:rsid w:val="00B55E54"/>
    <w:pPr>
      <w:spacing w:after="0" w:line="240" w:lineRule="auto"/>
    </w:pPr>
    <w:rPr>
      <w:sz w:val="20"/>
      <w:szCs w:val="20"/>
    </w:rPr>
  </w:style>
  <w:style w:type="character" w:customStyle="1" w:styleId="FootnoteTextChar">
    <w:name w:val="Footnote Text Char"/>
    <w:aliases w:val="*Footnote Text ALT-F Char,F1 Char,*Footnote Text Char,Footnote Text Char Char Char Char Char,Footnote Text Char Char Char,Footnote Text ERA Char,Footnote Text ERA1 Char,Footnote Text ERA2 Char,Footnote Text ERA11 Char,fn Char"/>
    <w:basedOn w:val="DefaultParagraphFont"/>
    <w:link w:val="FootnoteText"/>
    <w:uiPriority w:val="99"/>
    <w:semiHidden/>
    <w:rsid w:val="00B55E54"/>
    <w:rPr>
      <w:sz w:val="20"/>
      <w:szCs w:val="20"/>
    </w:rPr>
  </w:style>
  <w:style w:type="character" w:styleId="FootnoteReference">
    <w:name w:val="footnote reference"/>
    <w:aliases w:val="*Footnote Reference ALT-R,*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unhideWhenUsed/>
    <w:rsid w:val="00FE0463"/>
    <w:rPr>
      <w:color w:val="605E5C"/>
      <w:shd w:val="clear" w:color="auto" w:fill="E1DFDD"/>
    </w:rPr>
  </w:style>
  <w:style w:type="character" w:customStyle="1" w:styleId="Mention1">
    <w:name w:val="Mention1"/>
    <w:basedOn w:val="DefaultParagraphFont"/>
    <w:uiPriority w:val="99"/>
    <w:unhideWhenUsed/>
    <w:rsid w:val="00FE0463"/>
    <w:rPr>
      <w:color w:val="2B579A"/>
      <w:shd w:val="clear" w:color="auto" w:fill="E1DFDD"/>
    </w:rPr>
  </w:style>
  <w:style w:type="character" w:styleId="FollowedHyperlink">
    <w:name w:val="FollowedHyperlink"/>
    <w:basedOn w:val="DefaultParagraphFont"/>
    <w:uiPriority w:val="99"/>
    <w:semiHidden/>
    <w:unhideWhenUsed/>
    <w:rsid w:val="00D227AF"/>
    <w:rPr>
      <w:color w:val="800080" w:themeColor="followedHyperlink"/>
      <w:u w:val="single"/>
    </w:rPr>
  </w:style>
  <w:style w:type="character" w:customStyle="1" w:styleId="normaltextrun">
    <w:name w:val="normaltextrun"/>
    <w:basedOn w:val="DefaultParagraphFont"/>
    <w:rsid w:val="00D12B25"/>
  </w:style>
  <w:style w:type="character" w:customStyle="1" w:styleId="eop">
    <w:name w:val="eop"/>
    <w:basedOn w:val="DefaultParagraphFont"/>
    <w:rsid w:val="00891D4E"/>
  </w:style>
  <w:style w:type="paragraph" w:customStyle="1" w:styleId="paragraph">
    <w:name w:val="paragraph"/>
    <w:basedOn w:val="Normal"/>
    <w:rsid w:val="00773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A54F02"/>
  </w:style>
  <w:style w:type="character" w:customStyle="1" w:styleId="Normal2xChar">
    <w:name w:val="Normal 2x Char"/>
    <w:basedOn w:val="DefaultParagraphFont"/>
    <w:link w:val="Normal2x"/>
    <w:locked/>
    <w:rsid w:val="00B757E3"/>
    <w:rPr>
      <w:rFonts w:ascii="Arial Narrow" w:hAnsi="Arial Narrow"/>
      <w:color w:val="212121"/>
      <w:spacing w:val="-10"/>
      <w:sz w:val="24"/>
      <w:szCs w:val="24"/>
      <w:shd w:val="clear" w:color="auto" w:fill="FFFFFF"/>
    </w:rPr>
  </w:style>
  <w:style w:type="paragraph" w:customStyle="1" w:styleId="Normal2x">
    <w:name w:val="Normal 2x"/>
    <w:basedOn w:val="Normal"/>
    <w:link w:val="Normal2xChar"/>
    <w:qFormat/>
    <w:rsid w:val="00B757E3"/>
    <w:pPr>
      <w:widowControl w:val="0"/>
      <w:shd w:val="clear" w:color="auto" w:fill="FFFFFF"/>
      <w:spacing w:after="0" w:line="480" w:lineRule="auto"/>
      <w:ind w:firstLine="288"/>
      <w:contextualSpacing/>
    </w:pPr>
    <w:rPr>
      <w:rFonts w:ascii="Arial Narrow" w:hAnsi="Arial Narrow"/>
      <w:color w:val="212121"/>
      <w:spacing w:val="-10"/>
      <w:sz w:val="24"/>
      <w:szCs w:val="24"/>
    </w:rPr>
  </w:style>
  <w:style w:type="paragraph" w:styleId="BodyText">
    <w:name w:val="Body Text"/>
    <w:basedOn w:val="Normal"/>
    <w:link w:val="BodyTextChar"/>
    <w:unhideWhenUsed/>
    <w:qFormat/>
    <w:rsid w:val="00B657FD"/>
    <w:pPr>
      <w:spacing w:after="180"/>
    </w:pPr>
    <w:rPr>
      <w:rFonts w:ascii="Lato" w:eastAsia="Times New Roman" w:hAnsi="Lato"/>
      <w:bCs/>
    </w:rPr>
  </w:style>
  <w:style w:type="character" w:customStyle="1" w:styleId="BodyTextChar">
    <w:name w:val="Body Text Char"/>
    <w:basedOn w:val="DefaultParagraphFont"/>
    <w:link w:val="BodyText"/>
    <w:rsid w:val="00B657FD"/>
    <w:rPr>
      <w:rFonts w:ascii="Lato" w:eastAsia="Times New Roman" w:hAnsi="Lato"/>
      <w:bCs/>
    </w:rPr>
  </w:style>
  <w:style w:type="paragraph" w:styleId="BodyTextFirstIndent">
    <w:name w:val="Body Text First Indent"/>
    <w:basedOn w:val="BodyText"/>
    <w:link w:val="BodyTextFirstIndentChar"/>
    <w:uiPriority w:val="99"/>
    <w:unhideWhenUsed/>
    <w:rsid w:val="00B657FD"/>
    <w:pPr>
      <w:spacing w:after="200"/>
      <w:ind w:firstLine="360"/>
    </w:pPr>
    <w:rPr>
      <w:rFonts w:asciiTheme="minorHAnsi" w:eastAsiaTheme="minorHAnsi" w:hAnsiTheme="minorHAnsi"/>
      <w:bCs w:val="0"/>
    </w:rPr>
  </w:style>
  <w:style w:type="character" w:customStyle="1" w:styleId="BodyTextFirstIndentChar">
    <w:name w:val="Body Text First Indent Char"/>
    <w:basedOn w:val="BodyTextChar"/>
    <w:link w:val="BodyTextFirstIndent"/>
    <w:uiPriority w:val="99"/>
    <w:rsid w:val="00B657FD"/>
    <w:rPr>
      <w:rFonts w:ascii="Lato" w:eastAsia="Times New Roman" w:hAnsi="Lato"/>
      <w:bCs w:val="0"/>
    </w:rPr>
  </w:style>
  <w:style w:type="table" w:styleId="GridTable4-Accent3">
    <w:name w:val="Grid Table 4 Accent 3"/>
    <w:basedOn w:val="TableNormal"/>
    <w:uiPriority w:val="49"/>
    <w:rsid w:val="00A5789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TableText">
    <w:name w:val="TableText"/>
    <w:basedOn w:val="Normal"/>
    <w:qFormat/>
    <w:rsid w:val="00A5789D"/>
    <w:pPr>
      <w:framePr w:hSpace="180" w:wrap="around" w:vAnchor="text" w:hAnchor="margin" w:y="101"/>
      <w:spacing w:before="60" w:after="60" w:line="240" w:lineRule="auto"/>
    </w:pPr>
    <w:rPr>
      <w:rFonts w:ascii="Arial Narrow" w:hAnsi="Arial Narrow"/>
      <w:color w:val="061115" w:themeColor="accent5" w:themeShade="1A"/>
    </w:rPr>
  </w:style>
  <w:style w:type="character" w:customStyle="1" w:styleId="Heading2Char">
    <w:name w:val="Heading 2 Char"/>
    <w:basedOn w:val="DefaultParagraphFont"/>
    <w:link w:val="Heading2"/>
    <w:uiPriority w:val="9"/>
    <w:semiHidden/>
    <w:rsid w:val="008F2FD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unhideWhenUsed/>
    <w:rsid w:val="003A06D3"/>
    <w:rPr>
      <w:color w:val="605E5C"/>
      <w:shd w:val="clear" w:color="auto" w:fill="E1DFDD"/>
    </w:rPr>
  </w:style>
  <w:style w:type="character" w:styleId="Mention">
    <w:name w:val="Mention"/>
    <w:basedOn w:val="DefaultParagraphFont"/>
    <w:uiPriority w:val="99"/>
    <w:unhideWhenUsed/>
    <w:rsid w:val="003A06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4210">
      <w:bodyDiv w:val="1"/>
      <w:marLeft w:val="0"/>
      <w:marRight w:val="0"/>
      <w:marTop w:val="0"/>
      <w:marBottom w:val="0"/>
      <w:divBdr>
        <w:top w:val="none" w:sz="0" w:space="0" w:color="auto"/>
        <w:left w:val="none" w:sz="0" w:space="0" w:color="auto"/>
        <w:bottom w:val="none" w:sz="0" w:space="0" w:color="auto"/>
        <w:right w:val="none" w:sz="0" w:space="0" w:color="auto"/>
      </w:divBdr>
    </w:div>
    <w:div w:id="25911805">
      <w:bodyDiv w:val="1"/>
      <w:marLeft w:val="0"/>
      <w:marRight w:val="0"/>
      <w:marTop w:val="0"/>
      <w:marBottom w:val="0"/>
      <w:divBdr>
        <w:top w:val="none" w:sz="0" w:space="0" w:color="auto"/>
        <w:left w:val="none" w:sz="0" w:space="0" w:color="auto"/>
        <w:bottom w:val="none" w:sz="0" w:space="0" w:color="auto"/>
        <w:right w:val="none" w:sz="0" w:space="0" w:color="auto"/>
      </w:divBdr>
    </w:div>
    <w:div w:id="66925213">
      <w:bodyDiv w:val="1"/>
      <w:marLeft w:val="0"/>
      <w:marRight w:val="0"/>
      <w:marTop w:val="0"/>
      <w:marBottom w:val="0"/>
      <w:divBdr>
        <w:top w:val="none" w:sz="0" w:space="0" w:color="auto"/>
        <w:left w:val="none" w:sz="0" w:space="0" w:color="auto"/>
        <w:bottom w:val="none" w:sz="0" w:space="0" w:color="auto"/>
        <w:right w:val="none" w:sz="0" w:space="0" w:color="auto"/>
      </w:divBdr>
    </w:div>
    <w:div w:id="304435613">
      <w:bodyDiv w:val="1"/>
      <w:marLeft w:val="0"/>
      <w:marRight w:val="0"/>
      <w:marTop w:val="0"/>
      <w:marBottom w:val="0"/>
      <w:divBdr>
        <w:top w:val="none" w:sz="0" w:space="0" w:color="auto"/>
        <w:left w:val="none" w:sz="0" w:space="0" w:color="auto"/>
        <w:bottom w:val="none" w:sz="0" w:space="0" w:color="auto"/>
        <w:right w:val="none" w:sz="0" w:space="0" w:color="auto"/>
      </w:divBdr>
    </w:div>
    <w:div w:id="312216684">
      <w:bodyDiv w:val="1"/>
      <w:marLeft w:val="0"/>
      <w:marRight w:val="0"/>
      <w:marTop w:val="0"/>
      <w:marBottom w:val="0"/>
      <w:divBdr>
        <w:top w:val="none" w:sz="0" w:space="0" w:color="auto"/>
        <w:left w:val="none" w:sz="0" w:space="0" w:color="auto"/>
        <w:bottom w:val="none" w:sz="0" w:space="0" w:color="auto"/>
        <w:right w:val="none" w:sz="0" w:space="0" w:color="auto"/>
      </w:divBdr>
    </w:div>
    <w:div w:id="32598674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14081897">
      <w:bodyDiv w:val="1"/>
      <w:marLeft w:val="0"/>
      <w:marRight w:val="0"/>
      <w:marTop w:val="0"/>
      <w:marBottom w:val="0"/>
      <w:divBdr>
        <w:top w:val="none" w:sz="0" w:space="0" w:color="auto"/>
        <w:left w:val="none" w:sz="0" w:space="0" w:color="auto"/>
        <w:bottom w:val="none" w:sz="0" w:space="0" w:color="auto"/>
        <w:right w:val="none" w:sz="0" w:space="0" w:color="auto"/>
      </w:divBdr>
    </w:div>
    <w:div w:id="776368976">
      <w:bodyDiv w:val="1"/>
      <w:marLeft w:val="0"/>
      <w:marRight w:val="0"/>
      <w:marTop w:val="0"/>
      <w:marBottom w:val="0"/>
      <w:divBdr>
        <w:top w:val="none" w:sz="0" w:space="0" w:color="auto"/>
        <w:left w:val="none" w:sz="0" w:space="0" w:color="auto"/>
        <w:bottom w:val="none" w:sz="0" w:space="0" w:color="auto"/>
        <w:right w:val="none" w:sz="0" w:space="0" w:color="auto"/>
      </w:divBdr>
    </w:div>
    <w:div w:id="875898295">
      <w:bodyDiv w:val="1"/>
      <w:marLeft w:val="0"/>
      <w:marRight w:val="0"/>
      <w:marTop w:val="0"/>
      <w:marBottom w:val="0"/>
      <w:divBdr>
        <w:top w:val="none" w:sz="0" w:space="0" w:color="auto"/>
        <w:left w:val="none" w:sz="0" w:space="0" w:color="auto"/>
        <w:bottom w:val="none" w:sz="0" w:space="0" w:color="auto"/>
        <w:right w:val="none" w:sz="0" w:space="0" w:color="auto"/>
      </w:divBdr>
      <w:divsChild>
        <w:div w:id="442766221">
          <w:marLeft w:val="0"/>
          <w:marRight w:val="0"/>
          <w:marTop w:val="0"/>
          <w:marBottom w:val="0"/>
          <w:divBdr>
            <w:top w:val="none" w:sz="0" w:space="0" w:color="auto"/>
            <w:left w:val="none" w:sz="0" w:space="0" w:color="auto"/>
            <w:bottom w:val="none" w:sz="0" w:space="0" w:color="auto"/>
            <w:right w:val="none" w:sz="0" w:space="0" w:color="auto"/>
          </w:divBdr>
        </w:div>
        <w:div w:id="2084184557">
          <w:marLeft w:val="0"/>
          <w:marRight w:val="0"/>
          <w:marTop w:val="0"/>
          <w:marBottom w:val="0"/>
          <w:divBdr>
            <w:top w:val="none" w:sz="0" w:space="0" w:color="auto"/>
            <w:left w:val="none" w:sz="0" w:space="0" w:color="auto"/>
            <w:bottom w:val="none" w:sz="0" w:space="0" w:color="auto"/>
            <w:right w:val="none" w:sz="0" w:space="0" w:color="auto"/>
          </w:divBdr>
        </w:div>
        <w:div w:id="159851650">
          <w:marLeft w:val="0"/>
          <w:marRight w:val="0"/>
          <w:marTop w:val="0"/>
          <w:marBottom w:val="0"/>
          <w:divBdr>
            <w:top w:val="none" w:sz="0" w:space="0" w:color="auto"/>
            <w:left w:val="none" w:sz="0" w:space="0" w:color="auto"/>
            <w:bottom w:val="none" w:sz="0" w:space="0" w:color="auto"/>
            <w:right w:val="none" w:sz="0" w:space="0" w:color="auto"/>
          </w:divBdr>
        </w:div>
      </w:divsChild>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0406660">
      <w:bodyDiv w:val="1"/>
      <w:marLeft w:val="0"/>
      <w:marRight w:val="0"/>
      <w:marTop w:val="0"/>
      <w:marBottom w:val="0"/>
      <w:divBdr>
        <w:top w:val="none" w:sz="0" w:space="0" w:color="auto"/>
        <w:left w:val="none" w:sz="0" w:space="0" w:color="auto"/>
        <w:bottom w:val="none" w:sz="0" w:space="0" w:color="auto"/>
        <w:right w:val="none" w:sz="0" w:space="0" w:color="auto"/>
      </w:divBdr>
    </w:div>
    <w:div w:id="1080324760">
      <w:bodyDiv w:val="1"/>
      <w:marLeft w:val="0"/>
      <w:marRight w:val="0"/>
      <w:marTop w:val="0"/>
      <w:marBottom w:val="0"/>
      <w:divBdr>
        <w:top w:val="none" w:sz="0" w:space="0" w:color="auto"/>
        <w:left w:val="none" w:sz="0" w:space="0" w:color="auto"/>
        <w:bottom w:val="none" w:sz="0" w:space="0" w:color="auto"/>
        <w:right w:val="none" w:sz="0" w:space="0" w:color="auto"/>
      </w:divBdr>
    </w:div>
    <w:div w:id="1142117070">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99647210">
      <w:bodyDiv w:val="1"/>
      <w:marLeft w:val="0"/>
      <w:marRight w:val="0"/>
      <w:marTop w:val="0"/>
      <w:marBottom w:val="0"/>
      <w:divBdr>
        <w:top w:val="none" w:sz="0" w:space="0" w:color="auto"/>
        <w:left w:val="none" w:sz="0" w:space="0" w:color="auto"/>
        <w:bottom w:val="none" w:sz="0" w:space="0" w:color="auto"/>
        <w:right w:val="none" w:sz="0" w:space="0" w:color="auto"/>
      </w:divBdr>
    </w:div>
    <w:div w:id="1429157657">
      <w:bodyDiv w:val="1"/>
      <w:marLeft w:val="0"/>
      <w:marRight w:val="0"/>
      <w:marTop w:val="0"/>
      <w:marBottom w:val="0"/>
      <w:divBdr>
        <w:top w:val="none" w:sz="0" w:space="0" w:color="auto"/>
        <w:left w:val="none" w:sz="0" w:space="0" w:color="auto"/>
        <w:bottom w:val="none" w:sz="0" w:space="0" w:color="auto"/>
        <w:right w:val="none" w:sz="0" w:space="0" w:color="auto"/>
      </w:divBdr>
      <w:divsChild>
        <w:div w:id="1436755102">
          <w:marLeft w:val="0"/>
          <w:marRight w:val="0"/>
          <w:marTop w:val="0"/>
          <w:marBottom w:val="0"/>
          <w:divBdr>
            <w:top w:val="none" w:sz="0" w:space="0" w:color="auto"/>
            <w:left w:val="none" w:sz="0" w:space="0" w:color="auto"/>
            <w:bottom w:val="none" w:sz="0" w:space="0" w:color="auto"/>
            <w:right w:val="none" w:sz="0" w:space="0" w:color="auto"/>
          </w:divBdr>
        </w:div>
        <w:div w:id="1512722343">
          <w:marLeft w:val="0"/>
          <w:marRight w:val="0"/>
          <w:marTop w:val="0"/>
          <w:marBottom w:val="0"/>
          <w:divBdr>
            <w:top w:val="none" w:sz="0" w:space="0" w:color="auto"/>
            <w:left w:val="none" w:sz="0" w:space="0" w:color="auto"/>
            <w:bottom w:val="none" w:sz="0" w:space="0" w:color="auto"/>
            <w:right w:val="none" w:sz="0" w:space="0" w:color="auto"/>
          </w:divBdr>
        </w:div>
        <w:div w:id="15352653">
          <w:marLeft w:val="0"/>
          <w:marRight w:val="0"/>
          <w:marTop w:val="0"/>
          <w:marBottom w:val="0"/>
          <w:divBdr>
            <w:top w:val="none" w:sz="0" w:space="0" w:color="auto"/>
            <w:left w:val="none" w:sz="0" w:space="0" w:color="auto"/>
            <w:bottom w:val="none" w:sz="0" w:space="0" w:color="auto"/>
            <w:right w:val="none" w:sz="0" w:space="0" w:color="auto"/>
          </w:divBdr>
        </w:div>
        <w:div w:id="1829514025">
          <w:marLeft w:val="0"/>
          <w:marRight w:val="0"/>
          <w:marTop w:val="0"/>
          <w:marBottom w:val="0"/>
          <w:divBdr>
            <w:top w:val="none" w:sz="0" w:space="0" w:color="auto"/>
            <w:left w:val="none" w:sz="0" w:space="0" w:color="auto"/>
            <w:bottom w:val="none" w:sz="0" w:space="0" w:color="auto"/>
            <w:right w:val="none" w:sz="0" w:space="0" w:color="auto"/>
          </w:divBdr>
        </w:div>
        <w:div w:id="1802259253">
          <w:marLeft w:val="0"/>
          <w:marRight w:val="0"/>
          <w:marTop w:val="0"/>
          <w:marBottom w:val="0"/>
          <w:divBdr>
            <w:top w:val="none" w:sz="0" w:space="0" w:color="auto"/>
            <w:left w:val="none" w:sz="0" w:space="0" w:color="auto"/>
            <w:bottom w:val="none" w:sz="0" w:space="0" w:color="auto"/>
            <w:right w:val="none" w:sz="0" w:space="0" w:color="auto"/>
          </w:divBdr>
        </w:div>
      </w:divsChild>
    </w:div>
    <w:div w:id="1472484843">
      <w:bodyDiv w:val="1"/>
      <w:marLeft w:val="0"/>
      <w:marRight w:val="0"/>
      <w:marTop w:val="0"/>
      <w:marBottom w:val="0"/>
      <w:divBdr>
        <w:top w:val="none" w:sz="0" w:space="0" w:color="auto"/>
        <w:left w:val="none" w:sz="0" w:space="0" w:color="auto"/>
        <w:bottom w:val="none" w:sz="0" w:space="0" w:color="auto"/>
        <w:right w:val="none" w:sz="0" w:space="0" w:color="auto"/>
      </w:divBdr>
      <w:divsChild>
        <w:div w:id="462622394">
          <w:marLeft w:val="0"/>
          <w:marRight w:val="0"/>
          <w:marTop w:val="0"/>
          <w:marBottom w:val="0"/>
          <w:divBdr>
            <w:top w:val="none" w:sz="0" w:space="0" w:color="auto"/>
            <w:left w:val="none" w:sz="0" w:space="0" w:color="auto"/>
            <w:bottom w:val="none" w:sz="0" w:space="0" w:color="auto"/>
            <w:right w:val="none" w:sz="0" w:space="0" w:color="auto"/>
          </w:divBdr>
        </w:div>
        <w:div w:id="224688043">
          <w:marLeft w:val="0"/>
          <w:marRight w:val="0"/>
          <w:marTop w:val="0"/>
          <w:marBottom w:val="0"/>
          <w:divBdr>
            <w:top w:val="none" w:sz="0" w:space="0" w:color="auto"/>
            <w:left w:val="none" w:sz="0" w:space="0" w:color="auto"/>
            <w:bottom w:val="none" w:sz="0" w:space="0" w:color="auto"/>
            <w:right w:val="none" w:sz="0" w:space="0" w:color="auto"/>
          </w:divBdr>
        </w:div>
        <w:div w:id="2139107317">
          <w:marLeft w:val="0"/>
          <w:marRight w:val="0"/>
          <w:marTop w:val="0"/>
          <w:marBottom w:val="0"/>
          <w:divBdr>
            <w:top w:val="none" w:sz="0" w:space="0" w:color="auto"/>
            <w:left w:val="none" w:sz="0" w:space="0" w:color="auto"/>
            <w:bottom w:val="none" w:sz="0" w:space="0" w:color="auto"/>
            <w:right w:val="none" w:sz="0" w:space="0" w:color="auto"/>
          </w:divBdr>
        </w:div>
      </w:divsChild>
    </w:div>
    <w:div w:id="1564488883">
      <w:bodyDiv w:val="1"/>
      <w:marLeft w:val="0"/>
      <w:marRight w:val="0"/>
      <w:marTop w:val="0"/>
      <w:marBottom w:val="0"/>
      <w:divBdr>
        <w:top w:val="none" w:sz="0" w:space="0" w:color="auto"/>
        <w:left w:val="none" w:sz="0" w:space="0" w:color="auto"/>
        <w:bottom w:val="none" w:sz="0" w:space="0" w:color="auto"/>
        <w:right w:val="none" w:sz="0" w:space="0" w:color="auto"/>
      </w:divBdr>
      <w:divsChild>
        <w:div w:id="514346083">
          <w:marLeft w:val="0"/>
          <w:marRight w:val="0"/>
          <w:marTop w:val="0"/>
          <w:marBottom w:val="0"/>
          <w:divBdr>
            <w:top w:val="none" w:sz="0" w:space="0" w:color="auto"/>
            <w:left w:val="none" w:sz="0" w:space="0" w:color="auto"/>
            <w:bottom w:val="none" w:sz="0" w:space="0" w:color="auto"/>
            <w:right w:val="none" w:sz="0" w:space="0" w:color="auto"/>
          </w:divBdr>
        </w:div>
        <w:div w:id="287320079">
          <w:marLeft w:val="0"/>
          <w:marRight w:val="0"/>
          <w:marTop w:val="0"/>
          <w:marBottom w:val="0"/>
          <w:divBdr>
            <w:top w:val="none" w:sz="0" w:space="0" w:color="auto"/>
            <w:left w:val="none" w:sz="0" w:space="0" w:color="auto"/>
            <w:bottom w:val="none" w:sz="0" w:space="0" w:color="auto"/>
            <w:right w:val="none" w:sz="0" w:space="0" w:color="auto"/>
          </w:divBdr>
        </w:div>
        <w:div w:id="2142117249">
          <w:marLeft w:val="0"/>
          <w:marRight w:val="0"/>
          <w:marTop w:val="0"/>
          <w:marBottom w:val="0"/>
          <w:divBdr>
            <w:top w:val="none" w:sz="0" w:space="0" w:color="auto"/>
            <w:left w:val="none" w:sz="0" w:space="0" w:color="auto"/>
            <w:bottom w:val="none" w:sz="0" w:space="0" w:color="auto"/>
            <w:right w:val="none" w:sz="0" w:space="0" w:color="auto"/>
          </w:divBdr>
        </w:div>
        <w:div w:id="1896311038">
          <w:marLeft w:val="0"/>
          <w:marRight w:val="0"/>
          <w:marTop w:val="0"/>
          <w:marBottom w:val="0"/>
          <w:divBdr>
            <w:top w:val="none" w:sz="0" w:space="0" w:color="auto"/>
            <w:left w:val="none" w:sz="0" w:space="0" w:color="auto"/>
            <w:bottom w:val="none" w:sz="0" w:space="0" w:color="auto"/>
            <w:right w:val="none" w:sz="0" w:space="0" w:color="auto"/>
          </w:divBdr>
        </w:div>
        <w:div w:id="134834186">
          <w:marLeft w:val="0"/>
          <w:marRight w:val="0"/>
          <w:marTop w:val="0"/>
          <w:marBottom w:val="0"/>
          <w:divBdr>
            <w:top w:val="none" w:sz="0" w:space="0" w:color="auto"/>
            <w:left w:val="none" w:sz="0" w:space="0" w:color="auto"/>
            <w:bottom w:val="none" w:sz="0" w:space="0" w:color="auto"/>
            <w:right w:val="none" w:sz="0" w:space="0" w:color="auto"/>
          </w:divBdr>
        </w:div>
      </w:divsChild>
    </w:div>
    <w:div w:id="1781148001">
      <w:bodyDiv w:val="1"/>
      <w:marLeft w:val="0"/>
      <w:marRight w:val="0"/>
      <w:marTop w:val="0"/>
      <w:marBottom w:val="0"/>
      <w:divBdr>
        <w:top w:val="none" w:sz="0" w:space="0" w:color="auto"/>
        <w:left w:val="none" w:sz="0" w:space="0" w:color="auto"/>
        <w:bottom w:val="none" w:sz="0" w:space="0" w:color="auto"/>
        <w:right w:val="none" w:sz="0" w:space="0" w:color="auto"/>
      </w:divBdr>
    </w:div>
    <w:div w:id="1860851604">
      <w:bodyDiv w:val="1"/>
      <w:marLeft w:val="0"/>
      <w:marRight w:val="0"/>
      <w:marTop w:val="0"/>
      <w:marBottom w:val="0"/>
      <w:divBdr>
        <w:top w:val="none" w:sz="0" w:space="0" w:color="auto"/>
        <w:left w:val="none" w:sz="0" w:space="0" w:color="auto"/>
        <w:bottom w:val="none" w:sz="0" w:space="0" w:color="auto"/>
        <w:right w:val="none" w:sz="0" w:space="0" w:color="auto"/>
      </w:divBdr>
    </w:div>
    <w:div w:id="1878663994">
      <w:bodyDiv w:val="1"/>
      <w:marLeft w:val="0"/>
      <w:marRight w:val="0"/>
      <w:marTop w:val="0"/>
      <w:marBottom w:val="0"/>
      <w:divBdr>
        <w:top w:val="none" w:sz="0" w:space="0" w:color="auto"/>
        <w:left w:val="none" w:sz="0" w:space="0" w:color="auto"/>
        <w:bottom w:val="none" w:sz="0" w:space="0" w:color="auto"/>
        <w:right w:val="none" w:sz="0" w:space="0" w:color="auto"/>
      </w:divBdr>
      <w:divsChild>
        <w:div w:id="1091196086">
          <w:marLeft w:val="0"/>
          <w:marRight w:val="0"/>
          <w:marTop w:val="0"/>
          <w:marBottom w:val="0"/>
          <w:divBdr>
            <w:top w:val="none" w:sz="0" w:space="0" w:color="auto"/>
            <w:left w:val="none" w:sz="0" w:space="0" w:color="auto"/>
            <w:bottom w:val="none" w:sz="0" w:space="0" w:color="auto"/>
            <w:right w:val="none" w:sz="0" w:space="0" w:color="auto"/>
          </w:divBdr>
        </w:div>
        <w:div w:id="1504659127">
          <w:marLeft w:val="0"/>
          <w:marRight w:val="0"/>
          <w:marTop w:val="0"/>
          <w:marBottom w:val="0"/>
          <w:divBdr>
            <w:top w:val="none" w:sz="0" w:space="0" w:color="auto"/>
            <w:left w:val="none" w:sz="0" w:space="0" w:color="auto"/>
            <w:bottom w:val="none" w:sz="0" w:space="0" w:color="auto"/>
            <w:right w:val="none" w:sz="0" w:space="0" w:color="auto"/>
          </w:divBdr>
        </w:div>
      </w:divsChild>
    </w:div>
    <w:div w:id="196287665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45CAA5CB7A04AAC1F444CFDF5E113" ma:contentTypeVersion="12" ma:contentTypeDescription="Create a new document." ma:contentTypeScope="" ma:versionID="f5c36229d378f79f1adfbf45f9fd5c6e">
  <xsd:schema xmlns:xsd="http://www.w3.org/2001/XMLSchema" xmlns:xs="http://www.w3.org/2001/XMLSchema" xmlns:p="http://schemas.microsoft.com/office/2006/metadata/properties" xmlns:ns2="18fe44ab-182f-465c-9107-9ca699e2e926" xmlns:ns3="ab950adb-3cd1-4746-a3ee-9c0fc77c5927" targetNamespace="http://schemas.microsoft.com/office/2006/metadata/properties" ma:root="true" ma:fieldsID="8fc55730f8553646cf235a641d9fc1e2" ns2:_="" ns3:_="">
    <xsd:import namespace="18fe44ab-182f-465c-9107-9ca699e2e926"/>
    <xsd:import namespace="ab950adb-3cd1-4746-a3ee-9c0fc77c5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44ab-182f-465c-9107-9ca699e2e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nts" ma:index="14" nillable="true" ma:displayName="Contents" ma:format="Dropdown" ma:internalName="Cont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0adb-3cd1-4746-a3ee-9c0fc77c59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s xmlns="18fe44ab-182f-465c-9107-9ca699e2e926" xsi:nil="true"/>
    <SharedWithUsers xmlns="ab950adb-3cd1-4746-a3ee-9c0fc77c5927">
      <UserInfo>
        <DisplayName>Sam Elkin</DisplayName>
        <AccountId>12</AccountId>
        <AccountType/>
      </UserInfo>
    </SharedWithUsers>
  </documentManagement>
</p:properties>
</file>

<file path=customXml/itemProps1.xml><?xml version="1.0" encoding="utf-8"?>
<ds:datastoreItem xmlns:ds="http://schemas.openxmlformats.org/officeDocument/2006/customXml" ds:itemID="{F547163F-39D7-4F57-B774-5DF8026D1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44ab-182f-465c-9107-9ca699e2e926"/>
    <ds:schemaRef ds:uri="ab950adb-3cd1-4746-a3ee-9c0fc77c5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A000C-EAF2-4BFF-AEB2-702E1306793D}">
  <ds:schemaRefs>
    <ds:schemaRef ds:uri="http://schemas.openxmlformats.org/officeDocument/2006/bibliography"/>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E4EDB25D-F193-4A9B-8B80-CDA9A2B9B261}">
  <ds:schemaRefs>
    <ds:schemaRef ds:uri="18fe44ab-182f-465c-9107-9ca699e2e926"/>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ab950adb-3cd1-4746-a3ee-9c0fc77c592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4899</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Riley Webster</dc:creator>
  <cp:lastModifiedBy>Jones, Molly (ACF)</cp:lastModifiedBy>
  <cp:revision>8</cp:revision>
  <dcterms:created xsi:type="dcterms:W3CDTF">2021-10-12T19:23:00Z</dcterms:created>
  <dcterms:modified xsi:type="dcterms:W3CDTF">2021-10-27T15:01:00Z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0x0101001A145CAA5CB7A04AAC1F444CFDF5E113</vt:lpwstr>
  </property>
</Properties>
</file>